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EAEE1" w14:textId="58E4DF16" w:rsidR="00CE7FDE" w:rsidRPr="00E26ADF" w:rsidRDefault="007E0293" w:rsidP="007E0293">
      <w:pPr>
        <w:tabs>
          <w:tab w:val="left" w:pos="284"/>
        </w:tabs>
        <w:spacing w:after="480"/>
        <w:rPr>
          <w:rFonts w:ascii="Calibri Light" w:hAnsi="Calibri Light"/>
        </w:rPr>
      </w:pPr>
      <w:r w:rsidRPr="00E26ADF">
        <w:rPr>
          <w:noProof/>
          <w:lang w:eastAsia="en-AU"/>
        </w:rPr>
        <mc:AlternateContent>
          <mc:Choice Requires="wps">
            <w:drawing>
              <wp:inline distT="0" distB="0" distL="0" distR="0" wp14:anchorId="3CAE232F" wp14:editId="7F889A1D">
                <wp:extent cx="252095" cy="414020"/>
                <wp:effectExtent l="0" t="0" r="0" b="50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F1119" w14:textId="77777777" w:rsidR="00E123A5" w:rsidRPr="00BE2A26" w:rsidRDefault="00E123A5" w:rsidP="007E0293">
                            <w:pPr>
                              <w:rPr>
                                <w:rFonts w:ascii="Wingdings 3" w:hAnsi="Wingdings 3" w:hint="eastAsia"/>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3CAE232F" id="_x0000_t202" coordsize="21600,21600" o:spt="202" path="m,l,21600r21600,l21600,xe">
                <v:stroke joinstyle="miter"/>
                <v:path gradientshapeok="t" o:connecttype="rect"/>
              </v:shapetype>
              <v:shape id="Text Box 1" o:spid="_x0000_s1026" type="#_x0000_t202" style="width:19.8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" stroked="f">
                <v:textbox inset="0,0,0,0">
                  <w:txbxContent>
                    <w:p w14:paraId="39EF1119" w14:textId="77777777" w:rsidR="00E123A5" w:rsidRPr="00BE2A26" w:rsidRDefault="00E123A5" w:rsidP="007E0293">
                      <w:pPr>
                        <w:rPr>
                          <w:rFonts w:ascii="Wingdings 3" w:hAnsi="Wingdings 3" w:hint="eastAsia"/>
                        </w:rPr>
                      </w:pPr>
                      <w:r w:rsidRPr="00BE2A26">
                        <w:rPr>
                          <w:rFonts w:ascii="SimSun" w:eastAsia="SimSun" w:hAnsi="SimSun" w:cs="Arial" w:hint="eastAsia"/>
                          <w:sz w:val="40"/>
                        </w:rPr>
                        <w:t>▼</w:t>
                      </w:r>
                    </w:p>
                  </w:txbxContent>
                </v:textbox>
                <w10:anchorlock/>
              </v:shape>
            </w:pict>
          </mc:Fallback>
        </mc:AlternateContent>
      </w:r>
      <w:r w:rsidRPr="00E26ADF">
        <w:rPr>
          <w:rFonts w:ascii="Cambria" w:hAnsi="Cambria"/>
        </w:rPr>
        <w:t>This medicinal product is subject to additional m</w:t>
      </w:r>
      <w:r w:rsidR="00826F31">
        <w:rPr>
          <w:rFonts w:ascii="Cambria" w:hAnsi="Cambria"/>
        </w:rPr>
        <w:t>onito</w:t>
      </w:r>
      <w:r w:rsidRPr="00E26ADF">
        <w:rPr>
          <w:rFonts w:ascii="Cambria" w:hAnsi="Cambria"/>
        </w:rPr>
        <w:t xml:space="preserve">ring in Australia. This will allow quick identification of new safety information. Healthcare professionals are asked to report any suspected adverse events at </w:t>
      </w:r>
      <w:hyperlink r:id="rId8" w:history="1">
        <w:r w:rsidR="00CE7FDE" w:rsidRPr="005978A4">
          <w:rPr>
            <w:rStyle w:val="Hyperlink"/>
            <w:rFonts w:ascii="Cambria" w:hAnsi="Cambria"/>
          </w:rPr>
          <w:t>www.tga.gov.au/reporting-problems</w:t>
        </w:r>
      </w:hyperlink>
    </w:p>
    <w:p w14:paraId="2DD3A4ED" w14:textId="58F05040" w:rsidR="004032BD" w:rsidRPr="00E26ADF" w:rsidRDefault="00D86276" w:rsidP="00024098">
      <w:pPr>
        <w:pStyle w:val="Heading1"/>
        <w:keepNext w:val="0"/>
        <w:pageBreakBefore w:val="0"/>
        <w:numPr>
          <w:ilvl w:val="0"/>
          <w:numId w:val="0"/>
        </w:numPr>
        <w:spacing w:after="240"/>
        <w:rPr>
          <w:rFonts w:eastAsia="SimSun"/>
          <w:lang w:val="en-AU"/>
        </w:rPr>
      </w:pPr>
      <w:r w:rsidRPr="00E26ADF">
        <w:rPr>
          <w:rFonts w:eastAsia="SimSun"/>
          <w:lang w:val="en-AU"/>
        </w:rPr>
        <w:t xml:space="preserve">Australian product </w:t>
      </w:r>
      <w:r w:rsidR="004032BD" w:rsidRPr="00E26ADF">
        <w:rPr>
          <w:rFonts w:eastAsia="SimSun"/>
          <w:lang w:val="en-AU"/>
        </w:rPr>
        <w:t>I</w:t>
      </w:r>
      <w:r w:rsidRPr="00E26ADF">
        <w:rPr>
          <w:rFonts w:eastAsia="SimSun"/>
          <w:lang w:val="en-AU"/>
        </w:rPr>
        <w:t>nformation</w:t>
      </w:r>
      <w:r w:rsidR="004032BD" w:rsidRPr="00E26ADF">
        <w:rPr>
          <w:rFonts w:eastAsia="SimSun"/>
          <w:lang w:val="en-AU"/>
        </w:rPr>
        <w:t xml:space="preserve"> </w:t>
      </w:r>
      <w:r w:rsidR="007E0293" w:rsidRPr="00E26ADF">
        <w:rPr>
          <w:rFonts w:eastAsia="SimSun"/>
          <w:lang w:val="en-AU"/>
        </w:rPr>
        <w:t>- DUPIXENT</w:t>
      </w:r>
      <w:r w:rsidR="007E0293" w:rsidRPr="007B4F95">
        <w:rPr>
          <w:rFonts w:eastAsia="SimSun"/>
          <w:vertAlign w:val="superscript"/>
          <w:lang w:val="en-AU"/>
        </w:rPr>
        <w:t>®</w:t>
      </w:r>
      <w:r w:rsidR="002E7DE1" w:rsidRPr="00E26ADF">
        <w:rPr>
          <w:rFonts w:eastAsia="SimSun"/>
          <w:lang w:val="en-AU"/>
        </w:rPr>
        <w:t xml:space="preserve"> (dupilumab) solution for injection</w:t>
      </w:r>
    </w:p>
    <w:p w14:paraId="40CA961E" w14:textId="77777777" w:rsidR="001A3992" w:rsidRPr="00E26ADF" w:rsidRDefault="001A3992" w:rsidP="00966777">
      <w:pPr>
        <w:pStyle w:val="Heading1"/>
        <w:pageBreakBefore w:val="0"/>
        <w:rPr>
          <w:lang w:val="en-AU"/>
        </w:rPr>
      </w:pPr>
      <w:r w:rsidRPr="00E26ADF">
        <w:rPr>
          <w:lang w:val="en-AU"/>
        </w:rPr>
        <w:t>Name of the medicine</w:t>
      </w:r>
    </w:p>
    <w:p w14:paraId="36EDDE88" w14:textId="345EBD16" w:rsidR="007E0293" w:rsidRPr="00E26ADF" w:rsidRDefault="002E7DE1" w:rsidP="007E0293">
      <w:pPr>
        <w:spacing w:before="120"/>
        <w:jc w:val="both"/>
      </w:pPr>
      <w:r w:rsidRPr="00E26ADF">
        <w:t>Dupilumab (</w:t>
      </w:r>
      <w:proofErr w:type="spellStart"/>
      <w:r w:rsidRPr="00E26ADF">
        <w:t>rch</w:t>
      </w:r>
      <w:proofErr w:type="spellEnd"/>
      <w:r w:rsidRPr="00E26ADF">
        <w:t>)</w:t>
      </w:r>
    </w:p>
    <w:p w14:paraId="695DAA61" w14:textId="77777777" w:rsidR="001A3992" w:rsidRPr="00E26ADF" w:rsidRDefault="001A3992" w:rsidP="00966777">
      <w:pPr>
        <w:pStyle w:val="Heading1"/>
        <w:pageBreakBefore w:val="0"/>
        <w:rPr>
          <w:lang w:val="en-AU"/>
        </w:rPr>
      </w:pPr>
      <w:r w:rsidRPr="00E26ADF">
        <w:rPr>
          <w:lang w:val="en-AU"/>
        </w:rPr>
        <w:t>Qualitative and quantitative composition</w:t>
      </w:r>
    </w:p>
    <w:p w14:paraId="495E2860" w14:textId="1043B5DA" w:rsidR="00F12308" w:rsidRPr="00E26ADF" w:rsidRDefault="00F12308" w:rsidP="008F5EB4">
      <w:pPr>
        <w:pStyle w:val="Heading3"/>
        <w:numPr>
          <w:ilvl w:val="0"/>
          <w:numId w:val="0"/>
        </w:numPr>
      </w:pPr>
      <w:r w:rsidRPr="00E26ADF">
        <w:t>300 mg Pre-Filled Syringe</w:t>
      </w:r>
      <w:r w:rsidR="00D70581">
        <w:t xml:space="preserve"> </w:t>
      </w:r>
    </w:p>
    <w:p w14:paraId="3C3FBC3F" w14:textId="1FF6922F" w:rsidR="00F12308" w:rsidRPr="00602B94" w:rsidRDefault="00F12308" w:rsidP="001C7628">
      <w:pPr>
        <w:rPr>
          <w:color w:val="auto"/>
        </w:rPr>
      </w:pPr>
      <w:r w:rsidRPr="00E26ADF">
        <w:t xml:space="preserve">Each pre-filled syringe </w:t>
      </w:r>
      <w:r w:rsidR="00D70581" w:rsidRPr="00602B94">
        <w:rPr>
          <w:color w:val="auto"/>
        </w:rPr>
        <w:t xml:space="preserve">contains </w:t>
      </w:r>
      <w:r w:rsidRPr="00602B94">
        <w:rPr>
          <w:color w:val="auto"/>
        </w:rPr>
        <w:t xml:space="preserve">300 mg dupilumab in 2 mL (150 mg/mL solution). It is supplied as a single-use pre-filled syringe without </w:t>
      </w:r>
      <w:r w:rsidR="009E26B1" w:rsidRPr="00602B94">
        <w:rPr>
          <w:rFonts w:eastAsia="Times New Roman"/>
          <w:color w:val="auto"/>
          <w:szCs w:val="20"/>
        </w:rPr>
        <w:t xml:space="preserve">a </w:t>
      </w:r>
      <w:r w:rsidRPr="00602B94">
        <w:rPr>
          <w:color w:val="auto"/>
        </w:rPr>
        <w:t>needle shield.</w:t>
      </w:r>
    </w:p>
    <w:p w14:paraId="23CF32B8" w14:textId="09FC0192" w:rsidR="00D70581" w:rsidRPr="00602B94" w:rsidRDefault="00D70581" w:rsidP="00C502F0">
      <w:pPr>
        <w:pStyle w:val="Heading3"/>
        <w:numPr>
          <w:ilvl w:val="0"/>
          <w:numId w:val="0"/>
        </w:numPr>
        <w:ind w:left="680" w:hanging="680"/>
      </w:pPr>
      <w:r w:rsidRPr="00602B94">
        <w:t>300 mg Pre-Filled Syringe with needle shield</w:t>
      </w:r>
    </w:p>
    <w:p w14:paraId="24B08AF2" w14:textId="341DE7AF" w:rsidR="00D70581" w:rsidRPr="00602B94" w:rsidRDefault="00D70581" w:rsidP="001C7628">
      <w:pPr>
        <w:rPr>
          <w:color w:val="auto"/>
        </w:rPr>
      </w:pPr>
      <w:r w:rsidRPr="00602B94">
        <w:rPr>
          <w:color w:val="auto"/>
        </w:rPr>
        <w:t xml:space="preserve">Each pre-filled syringe contains 300 mg dupilumab in 2 mL (150 mg/mL solution). It is supplied as a single-use pre-filled syringe with </w:t>
      </w:r>
      <w:r w:rsidRPr="00602B94">
        <w:rPr>
          <w:rFonts w:eastAsia="Times New Roman"/>
          <w:color w:val="auto"/>
          <w:szCs w:val="20"/>
        </w:rPr>
        <w:t xml:space="preserve">a </w:t>
      </w:r>
      <w:r w:rsidRPr="00602B94">
        <w:rPr>
          <w:color w:val="auto"/>
        </w:rPr>
        <w:t>needle shiel</w:t>
      </w:r>
      <w:r w:rsidR="00BD5E45" w:rsidRPr="00602B94">
        <w:rPr>
          <w:color w:val="auto"/>
        </w:rPr>
        <w:t>d.</w:t>
      </w:r>
    </w:p>
    <w:p w14:paraId="7425A0C3" w14:textId="5B6B34B1" w:rsidR="00F12308" w:rsidRPr="00602B94" w:rsidRDefault="00F12308" w:rsidP="00C502F0">
      <w:pPr>
        <w:pStyle w:val="Heading3"/>
        <w:numPr>
          <w:ilvl w:val="0"/>
          <w:numId w:val="0"/>
        </w:numPr>
        <w:ind w:left="680" w:hanging="680"/>
      </w:pPr>
      <w:r w:rsidRPr="00602B94">
        <w:t>200 mg Pre-Filled Syringe</w:t>
      </w:r>
      <w:r w:rsidR="00D70581" w:rsidRPr="00602B94">
        <w:t xml:space="preserve"> with needle shield</w:t>
      </w:r>
    </w:p>
    <w:p w14:paraId="62955DE9" w14:textId="0CD36275" w:rsidR="000E1A58" w:rsidRPr="00E26ADF" w:rsidRDefault="00F12308" w:rsidP="001C7628">
      <w:r w:rsidRPr="00E26ADF">
        <w:t>Each single-use pre-filled syringe contains 200 mg dupilumab in 1.14 mL (175mg/mL</w:t>
      </w:r>
      <w:r w:rsidR="00004793" w:rsidRPr="00E26ADF">
        <w:t>) solution</w:t>
      </w:r>
      <w:r w:rsidR="009E26B1" w:rsidRPr="00E26ADF">
        <w:t>.</w:t>
      </w:r>
      <w:r w:rsidR="00004793" w:rsidRPr="00E26ADF">
        <w:t xml:space="preserve"> </w:t>
      </w:r>
      <w:r w:rsidRPr="00E26ADF">
        <w:t xml:space="preserve">It is supplied as a single-use pre-filled syringe </w:t>
      </w:r>
      <w:r w:rsidRPr="0050145A">
        <w:rPr>
          <w:color w:val="auto"/>
        </w:rPr>
        <w:t>with</w:t>
      </w:r>
      <w:r w:rsidR="009E26B1" w:rsidRPr="0050145A">
        <w:rPr>
          <w:color w:val="auto"/>
        </w:rPr>
        <w:t xml:space="preserve"> </w:t>
      </w:r>
      <w:r w:rsidR="009E26B1" w:rsidRPr="0050145A">
        <w:rPr>
          <w:rFonts w:eastAsia="Times New Roman"/>
          <w:color w:val="auto"/>
          <w:szCs w:val="20"/>
        </w:rPr>
        <w:t>a</w:t>
      </w:r>
      <w:r w:rsidRPr="0050145A">
        <w:rPr>
          <w:color w:val="auto"/>
        </w:rPr>
        <w:t xml:space="preserve"> needle </w:t>
      </w:r>
      <w:r w:rsidRPr="00E26ADF">
        <w:t>shield.</w:t>
      </w:r>
    </w:p>
    <w:p w14:paraId="25EA7868" w14:textId="45CA5F6A" w:rsidR="00F12308" w:rsidRPr="00E26ADF" w:rsidRDefault="00F12308" w:rsidP="001C7628">
      <w:r w:rsidRPr="00E26ADF">
        <w:t>Du</w:t>
      </w:r>
      <w:r w:rsidR="00DF60DE" w:rsidRPr="00E26ADF">
        <w:t xml:space="preserve">pilumab </w:t>
      </w:r>
      <w:r w:rsidRPr="00E26ADF">
        <w:t>is a fully human monoclonal antibody</w:t>
      </w:r>
      <w:r w:rsidR="00DF60DE" w:rsidRPr="00E26ADF">
        <w:t xml:space="preserve"> </w:t>
      </w:r>
      <w:r w:rsidRPr="00E26ADF">
        <w:t xml:space="preserve">produced by recombinant DNA technology in Chinese Hamster Ovary cell suspension culture. </w:t>
      </w:r>
    </w:p>
    <w:p w14:paraId="2F19EDFF" w14:textId="3C974C43" w:rsidR="00F12308" w:rsidRPr="00E26ADF" w:rsidRDefault="00F12308" w:rsidP="001C7628">
      <w:r w:rsidRPr="00E26ADF">
        <w:t xml:space="preserve">For the full list of excipients, see </w:t>
      </w:r>
      <w:r w:rsidR="00187A1E" w:rsidRPr="00E26ADF">
        <w:t xml:space="preserve">Section </w:t>
      </w:r>
      <w:r w:rsidR="00187A1E" w:rsidRPr="00E26ADF">
        <w:rPr>
          <w:color w:val="0000FF"/>
        </w:rPr>
        <w:fldChar w:fldCharType="begin"/>
      </w:r>
      <w:r w:rsidR="00187A1E" w:rsidRPr="00E26ADF">
        <w:rPr>
          <w:color w:val="0000FF"/>
        </w:rPr>
        <w:instrText xml:space="preserve"> REF _Ref10723500 \r \h  \* MERGEFORMAT </w:instrText>
      </w:r>
      <w:r w:rsidR="00187A1E" w:rsidRPr="00E26ADF">
        <w:rPr>
          <w:color w:val="0000FF"/>
        </w:rPr>
      </w:r>
      <w:r w:rsidR="00187A1E" w:rsidRPr="00E26ADF">
        <w:rPr>
          <w:color w:val="0000FF"/>
        </w:rPr>
        <w:fldChar w:fldCharType="separate"/>
      </w:r>
      <w:r w:rsidR="00E123A5">
        <w:rPr>
          <w:color w:val="0000FF"/>
        </w:rPr>
        <w:t>6.1</w:t>
      </w:r>
      <w:r w:rsidR="00187A1E" w:rsidRPr="00E26ADF">
        <w:rPr>
          <w:color w:val="0000FF"/>
        </w:rPr>
        <w:fldChar w:fldCharType="end"/>
      </w:r>
      <w:r w:rsidR="00187A1E" w:rsidRPr="00E26ADF">
        <w:rPr>
          <w:color w:val="0000FF"/>
        </w:rPr>
        <w:t xml:space="preserve"> </w:t>
      </w:r>
      <w:r w:rsidR="002E7DE1" w:rsidRPr="00E26ADF">
        <w:t>-</w:t>
      </w:r>
      <w:r w:rsidRPr="00E26ADF">
        <w:t xml:space="preserve"> List of excipients.</w:t>
      </w:r>
    </w:p>
    <w:p w14:paraId="0174751C" w14:textId="77777777" w:rsidR="001A3992" w:rsidRPr="00E26ADF" w:rsidRDefault="001A3992" w:rsidP="00966777">
      <w:pPr>
        <w:pStyle w:val="Heading1"/>
        <w:pageBreakBefore w:val="0"/>
        <w:rPr>
          <w:lang w:val="en-AU"/>
        </w:rPr>
      </w:pPr>
      <w:r w:rsidRPr="00E26ADF">
        <w:rPr>
          <w:lang w:val="en-AU"/>
        </w:rPr>
        <w:t>Pharmaceutical form</w:t>
      </w:r>
    </w:p>
    <w:p w14:paraId="4ED01B9D" w14:textId="08C92532" w:rsidR="00DF60DE" w:rsidRPr="00E26ADF" w:rsidRDefault="002B2BA3" w:rsidP="001C7628">
      <w:r w:rsidRPr="00E26ADF">
        <w:t xml:space="preserve">Solution </w:t>
      </w:r>
      <w:r w:rsidR="00DF60DE" w:rsidRPr="00E26ADF">
        <w:t>for injection.</w:t>
      </w:r>
    </w:p>
    <w:p w14:paraId="5E25C84F" w14:textId="331B95C1" w:rsidR="00F12308" w:rsidRPr="00E26ADF" w:rsidRDefault="00F12308" w:rsidP="001C7628">
      <w:r w:rsidRPr="00E26ADF">
        <w:t xml:space="preserve">Dupixent is a sterile, preservative-free, clear to slightly opalescent, </w:t>
      </w:r>
      <w:proofErr w:type="spellStart"/>
      <w:r w:rsidRPr="00E26ADF">
        <w:t>colo</w:t>
      </w:r>
      <w:r w:rsidR="00DF60DE" w:rsidRPr="00E26ADF">
        <w:t>u</w:t>
      </w:r>
      <w:r w:rsidRPr="00E26ADF">
        <w:t>rless</w:t>
      </w:r>
      <w:proofErr w:type="spellEnd"/>
      <w:r w:rsidRPr="00E26ADF">
        <w:t xml:space="preserve"> to pale yellow solution for subcutaneous </w:t>
      </w:r>
      <w:proofErr w:type="gramStart"/>
      <w:r w:rsidRPr="00E26ADF">
        <w:t>injection</w:t>
      </w:r>
      <w:proofErr w:type="gramEnd"/>
      <w:r w:rsidRPr="00E26ADF">
        <w:t xml:space="preserve"> which is free from visible particulates</w:t>
      </w:r>
      <w:r w:rsidR="00DF60DE" w:rsidRPr="00E26ADF">
        <w:t>, pH 5.9</w:t>
      </w:r>
      <w:r w:rsidRPr="00E26ADF">
        <w:t>.</w:t>
      </w:r>
    </w:p>
    <w:p w14:paraId="6A8270D0" w14:textId="77777777" w:rsidR="001A3992" w:rsidRPr="00E26ADF" w:rsidRDefault="001A3992" w:rsidP="00966777">
      <w:pPr>
        <w:pStyle w:val="Heading1"/>
        <w:pageBreakBefore w:val="0"/>
        <w:rPr>
          <w:lang w:val="en-AU"/>
        </w:rPr>
      </w:pPr>
      <w:r w:rsidRPr="00E26ADF">
        <w:rPr>
          <w:lang w:val="en-AU"/>
        </w:rPr>
        <w:lastRenderedPageBreak/>
        <w:t>Clinical particulars</w:t>
      </w:r>
    </w:p>
    <w:p w14:paraId="292ECDE8" w14:textId="36F06BAB" w:rsidR="001A3992" w:rsidRDefault="001A3992" w:rsidP="00966777">
      <w:pPr>
        <w:pStyle w:val="Heading2"/>
        <w:rPr>
          <w:lang w:val="en-AU"/>
        </w:rPr>
      </w:pPr>
      <w:r w:rsidRPr="00E26ADF">
        <w:rPr>
          <w:lang w:val="en-AU"/>
        </w:rPr>
        <w:t xml:space="preserve">Therapeutic indications </w:t>
      </w:r>
    </w:p>
    <w:p w14:paraId="24274318" w14:textId="27772841" w:rsidR="0083085F" w:rsidRPr="00FB39D4" w:rsidRDefault="00BD5E45" w:rsidP="0083085F">
      <w:pPr>
        <w:rPr>
          <w:color w:val="auto"/>
        </w:rPr>
      </w:pPr>
      <w:r w:rsidRPr="00FB39D4">
        <w:rPr>
          <w:color w:val="auto"/>
        </w:rPr>
        <w:t>Dupixent is indicated for the following type 2 inflammatory diseases:</w:t>
      </w:r>
    </w:p>
    <w:p w14:paraId="43F2D1D5" w14:textId="7F52BCF0" w:rsidR="00FE0914" w:rsidRPr="00FB39D4" w:rsidRDefault="00F12308" w:rsidP="00BF26E7">
      <w:pPr>
        <w:pStyle w:val="Heading3"/>
        <w:numPr>
          <w:ilvl w:val="0"/>
          <w:numId w:val="0"/>
        </w:numPr>
        <w:rPr>
          <w:lang w:val="en-AU"/>
        </w:rPr>
      </w:pPr>
      <w:bookmarkStart w:id="0" w:name="_Hlk77331850"/>
      <w:r w:rsidRPr="00FB39D4">
        <w:rPr>
          <w:lang w:val="en-AU"/>
        </w:rPr>
        <w:t>Atopic Dermatitis</w:t>
      </w:r>
      <w:r w:rsidR="003914ED" w:rsidRPr="00FB39D4">
        <w:t xml:space="preserve"> </w:t>
      </w:r>
    </w:p>
    <w:p w14:paraId="556C9916" w14:textId="5CBE819F" w:rsidR="00253388" w:rsidRPr="00FB39D4" w:rsidRDefault="00253388" w:rsidP="003914ED">
      <w:pPr>
        <w:rPr>
          <w:i/>
          <w:iCs/>
          <w:color w:val="auto"/>
        </w:rPr>
      </w:pPr>
      <w:bookmarkStart w:id="1" w:name="_Hlk43035949"/>
      <w:r w:rsidRPr="00FB39D4">
        <w:rPr>
          <w:i/>
          <w:iCs/>
          <w:color w:val="auto"/>
        </w:rPr>
        <w:t>Adults and adolescents</w:t>
      </w:r>
    </w:p>
    <w:p w14:paraId="3AD5D984" w14:textId="7FA89457" w:rsidR="00A3094F" w:rsidRPr="00FB39D4" w:rsidRDefault="00FE0914" w:rsidP="003914ED">
      <w:pPr>
        <w:rPr>
          <w:color w:val="auto"/>
        </w:rPr>
      </w:pPr>
      <w:r w:rsidRPr="00FB39D4">
        <w:rPr>
          <w:color w:val="auto"/>
        </w:rPr>
        <w:t>Dupixent is indicated for the treatment of moderate to severe atopic dermatitis in patients aged 12 years and older who are candidates for chronic systemic therapy. Dupixent is not intended for episodic use.</w:t>
      </w:r>
      <w:bookmarkEnd w:id="1"/>
      <w:r w:rsidRPr="00FB39D4">
        <w:rPr>
          <w:color w:val="auto"/>
          <w:highlight w:val="yellow"/>
        </w:rPr>
        <w:t xml:space="preserve"> </w:t>
      </w:r>
    </w:p>
    <w:p w14:paraId="48A3E437" w14:textId="77777777" w:rsidR="00B53976" w:rsidRPr="00FB39D4" w:rsidRDefault="00B53976" w:rsidP="00B53976">
      <w:pPr>
        <w:rPr>
          <w:i/>
          <w:iCs/>
          <w:color w:val="auto"/>
        </w:rPr>
      </w:pPr>
      <w:r w:rsidRPr="00FB39D4">
        <w:rPr>
          <w:i/>
          <w:iCs/>
          <w:color w:val="auto"/>
        </w:rPr>
        <w:t>Children 6 to 11 years of age</w:t>
      </w:r>
    </w:p>
    <w:p w14:paraId="5276DEC8" w14:textId="77777777" w:rsidR="00B53976" w:rsidRPr="00FB39D4" w:rsidRDefault="00B53976" w:rsidP="00B53976">
      <w:pPr>
        <w:rPr>
          <w:color w:val="auto"/>
        </w:rPr>
      </w:pPr>
      <w:r w:rsidRPr="00FB39D4">
        <w:rPr>
          <w:color w:val="auto"/>
        </w:rPr>
        <w:t>Dupixent is indicated for the treatment of severe atopic dermatitis in patients aged 6 to 11 years old who are candidates for chronic systemic therapy. Dupixent is not intended for episodic use.</w:t>
      </w:r>
      <w:r w:rsidRPr="00FB39D4">
        <w:rPr>
          <w:color w:val="auto"/>
          <w:highlight w:val="yellow"/>
        </w:rPr>
        <w:t xml:space="preserve"> </w:t>
      </w:r>
    </w:p>
    <w:bookmarkEnd w:id="0"/>
    <w:p w14:paraId="302EB0EB" w14:textId="77777777" w:rsidR="00F12308" w:rsidRPr="00FB39D4" w:rsidRDefault="00F12308" w:rsidP="00966777">
      <w:pPr>
        <w:pStyle w:val="Heading3"/>
        <w:numPr>
          <w:ilvl w:val="0"/>
          <w:numId w:val="0"/>
        </w:numPr>
        <w:rPr>
          <w:b w:val="0"/>
          <w:lang w:val="en-AU"/>
        </w:rPr>
      </w:pPr>
      <w:r w:rsidRPr="00FB39D4">
        <w:rPr>
          <w:lang w:val="en-AU"/>
        </w:rPr>
        <w:t>Asthma</w:t>
      </w:r>
    </w:p>
    <w:p w14:paraId="127BDC7A" w14:textId="74314909" w:rsidR="00AC2DB2" w:rsidRPr="00FB39D4" w:rsidRDefault="00AC2DB2" w:rsidP="00966777">
      <w:pPr>
        <w:rPr>
          <w:color w:val="auto"/>
        </w:rPr>
      </w:pPr>
      <w:bookmarkStart w:id="2" w:name="_Hlk43131919"/>
      <w:r w:rsidRPr="00FB39D4">
        <w:rPr>
          <w:color w:val="auto"/>
        </w:rPr>
        <w:t>Dupixent is indicated as add on maintenance treatment in patients aged 12 years and older wi</w:t>
      </w:r>
      <w:r w:rsidR="00430E99" w:rsidRPr="00FB39D4">
        <w:rPr>
          <w:color w:val="auto"/>
        </w:rPr>
        <w:t xml:space="preserve">th moderate to severe asthma </w:t>
      </w:r>
      <w:r w:rsidRPr="00FB39D4">
        <w:rPr>
          <w:color w:val="auto"/>
        </w:rPr>
        <w:t xml:space="preserve">with type 2 inflammation (elevated eosinophils or elevated </w:t>
      </w:r>
      <w:proofErr w:type="spellStart"/>
      <w:r w:rsidRPr="00FB39D4">
        <w:rPr>
          <w:color w:val="auto"/>
        </w:rPr>
        <w:t>FeNO</w:t>
      </w:r>
      <w:proofErr w:type="spellEnd"/>
      <w:r w:rsidRPr="00FB39D4">
        <w:rPr>
          <w:color w:val="auto"/>
        </w:rPr>
        <w:t>).</w:t>
      </w:r>
    </w:p>
    <w:p w14:paraId="3872FFC4" w14:textId="258F1A96" w:rsidR="00292D82" w:rsidRPr="00FB39D4" w:rsidRDefault="00AC2DB2" w:rsidP="00966777">
      <w:pPr>
        <w:rPr>
          <w:color w:val="auto"/>
        </w:rPr>
      </w:pPr>
      <w:r w:rsidRPr="00FB39D4">
        <w:rPr>
          <w:color w:val="auto"/>
        </w:rPr>
        <w:t>Dupixent is indicated as maintenance therapy for oral corticosteroid dependent asthma</w:t>
      </w:r>
      <w:r w:rsidR="006D0C3B" w:rsidRPr="00FB39D4">
        <w:rPr>
          <w:color w:val="auto"/>
        </w:rPr>
        <w:t>.</w:t>
      </w:r>
    </w:p>
    <w:p w14:paraId="4CBAF598" w14:textId="48DD2A7C" w:rsidR="00A3094F" w:rsidRPr="00FB39D4" w:rsidRDefault="00B331B2" w:rsidP="00DB2A2C">
      <w:pPr>
        <w:pStyle w:val="Heading3"/>
        <w:numPr>
          <w:ilvl w:val="0"/>
          <w:numId w:val="0"/>
        </w:numPr>
        <w:ind w:left="680" w:hanging="680"/>
      </w:pPr>
      <w:bookmarkStart w:id="3" w:name="_Hlk43036008"/>
      <w:bookmarkEnd w:id="2"/>
      <w:r w:rsidRPr="00FB39D4">
        <w:t>Chronic rhinosinusitis with nasal polyposis</w:t>
      </w:r>
      <w:r w:rsidR="00EC60F3" w:rsidRPr="00FB39D4">
        <w:t xml:space="preserve"> (CRSwNP)</w:t>
      </w:r>
      <w:bookmarkStart w:id="4" w:name="_Hlk43029926"/>
      <w:bookmarkStart w:id="5" w:name="_Hlk43036050"/>
      <w:bookmarkStart w:id="6" w:name="_Hlk43036703"/>
      <w:bookmarkEnd w:id="3"/>
    </w:p>
    <w:p w14:paraId="6438133E" w14:textId="635891B0" w:rsidR="00DB2A2C" w:rsidRPr="00FB39D4" w:rsidRDefault="00DB2A2C" w:rsidP="00B331B2">
      <w:pPr>
        <w:rPr>
          <w:color w:val="auto"/>
        </w:rPr>
      </w:pPr>
      <w:r w:rsidRPr="00FB39D4">
        <w:rPr>
          <w:color w:val="auto"/>
        </w:rPr>
        <w:t xml:space="preserve">Dupixent is indicated as an add-on maintenance treatment in adult patients with </w:t>
      </w:r>
      <w:r w:rsidR="00AB1085" w:rsidRPr="00FB39D4">
        <w:rPr>
          <w:color w:val="auto"/>
        </w:rPr>
        <w:t>inadequately cont</w:t>
      </w:r>
      <w:r w:rsidR="00FB39D4">
        <w:rPr>
          <w:color w:val="auto"/>
        </w:rPr>
        <w:t>r</w:t>
      </w:r>
      <w:r w:rsidR="00AB1085" w:rsidRPr="00FB39D4">
        <w:rPr>
          <w:color w:val="auto"/>
        </w:rPr>
        <w:t xml:space="preserve">olled </w:t>
      </w:r>
      <w:r w:rsidRPr="00FB39D4">
        <w:rPr>
          <w:color w:val="auto"/>
        </w:rPr>
        <w:t>chronic rhinosinusitis with nasal polyposis (CRSwNP)</w:t>
      </w:r>
      <w:r w:rsidR="00AB1085" w:rsidRPr="00FB39D4">
        <w:rPr>
          <w:color w:val="auto"/>
        </w:rPr>
        <w:t xml:space="preserve">. </w:t>
      </w:r>
      <w:r w:rsidRPr="00FB39D4">
        <w:rPr>
          <w:color w:val="auto"/>
        </w:rPr>
        <w:t xml:space="preserve"> </w:t>
      </w:r>
    </w:p>
    <w:bookmarkEnd w:id="4"/>
    <w:bookmarkEnd w:id="5"/>
    <w:bookmarkEnd w:id="6"/>
    <w:p w14:paraId="2ECAE1D0" w14:textId="77777777" w:rsidR="001A3992" w:rsidRPr="00E26ADF" w:rsidRDefault="001A3992" w:rsidP="00966777">
      <w:pPr>
        <w:pStyle w:val="Heading2"/>
        <w:rPr>
          <w:lang w:val="en-AU"/>
        </w:rPr>
      </w:pPr>
      <w:r w:rsidRPr="00E26ADF">
        <w:rPr>
          <w:lang w:val="en-AU"/>
        </w:rPr>
        <w:t xml:space="preserve">Dose and method of administration </w:t>
      </w:r>
    </w:p>
    <w:p w14:paraId="3845B9B6" w14:textId="77777777" w:rsidR="00A764C9" w:rsidRPr="00E26ADF" w:rsidRDefault="00A764C9" w:rsidP="00966777">
      <w:pPr>
        <w:pStyle w:val="Heading3"/>
        <w:numPr>
          <w:ilvl w:val="0"/>
          <w:numId w:val="0"/>
        </w:numPr>
        <w:rPr>
          <w:b w:val="0"/>
          <w:lang w:val="en-AU"/>
        </w:rPr>
      </w:pPr>
      <w:r w:rsidRPr="00E26ADF">
        <w:rPr>
          <w:lang w:val="en-AU"/>
        </w:rPr>
        <w:t>Atopic</w:t>
      </w:r>
      <w:r w:rsidRPr="00E26ADF">
        <w:rPr>
          <w:b w:val="0"/>
          <w:lang w:val="en-AU"/>
        </w:rPr>
        <w:t xml:space="preserve"> </w:t>
      </w:r>
      <w:r w:rsidRPr="00E26ADF">
        <w:rPr>
          <w:lang w:val="en-AU"/>
        </w:rPr>
        <w:t>dermatitis</w:t>
      </w:r>
    </w:p>
    <w:p w14:paraId="65F24A17" w14:textId="7CC9BA03" w:rsidR="00A764C9" w:rsidRDefault="00A764C9" w:rsidP="00966777">
      <w:r w:rsidRPr="00E26ADF">
        <w:t>Dupixent treatment should be initiated and supervised by a dermatologist or immunologist.</w:t>
      </w:r>
    </w:p>
    <w:p w14:paraId="7696942C" w14:textId="77777777" w:rsidR="008D73C2" w:rsidRDefault="0086070B" w:rsidP="0086070B">
      <w:pPr>
        <w:rPr>
          <w:color w:val="31849B" w:themeColor="accent5" w:themeShade="BF"/>
          <w:u w:val="double"/>
        </w:rPr>
      </w:pPr>
      <w:r w:rsidRPr="00804ACD">
        <w:rPr>
          <w:color w:val="auto"/>
        </w:rPr>
        <w:t>Dupixent can be used with or without topical therapy</w:t>
      </w:r>
      <w:r>
        <w:rPr>
          <w:color w:val="auto"/>
        </w:rPr>
        <w:t xml:space="preserve">, </w:t>
      </w:r>
      <w:r w:rsidRPr="00FB39D4">
        <w:rPr>
          <w:color w:val="auto"/>
        </w:rPr>
        <w:t>including corticosteroids and/or calcineurin inhibitors as appropriate</w:t>
      </w:r>
      <w:r w:rsidR="008D73C2" w:rsidRPr="00FB39D4">
        <w:rPr>
          <w:color w:val="auto"/>
        </w:rPr>
        <w:t>.</w:t>
      </w:r>
    </w:p>
    <w:p w14:paraId="532AC39A" w14:textId="2A9EDE1D" w:rsidR="006A7654" w:rsidRPr="00E26ADF" w:rsidRDefault="006A7654" w:rsidP="006A7654">
      <w:pPr>
        <w:pStyle w:val="Heading4"/>
        <w:numPr>
          <w:ilvl w:val="0"/>
          <w:numId w:val="0"/>
        </w:numPr>
        <w:ind w:left="862" w:hanging="862"/>
        <w:rPr>
          <w:lang w:val="en-AU"/>
        </w:rPr>
      </w:pPr>
      <w:r w:rsidRPr="00E26ADF">
        <w:rPr>
          <w:lang w:val="en-AU"/>
        </w:rPr>
        <w:t>Adults</w:t>
      </w:r>
    </w:p>
    <w:p w14:paraId="1B113F6E" w14:textId="44D7229E" w:rsidR="00A764C9" w:rsidRPr="00E26ADF" w:rsidRDefault="00A764C9" w:rsidP="00966777">
      <w:r w:rsidRPr="00E26ADF">
        <w:t xml:space="preserve">The recommended </w:t>
      </w:r>
      <w:r w:rsidRPr="0050145A">
        <w:rPr>
          <w:color w:val="auto"/>
        </w:rPr>
        <w:t xml:space="preserve">dose of </w:t>
      </w:r>
      <w:r w:rsidR="006A7654" w:rsidRPr="0050145A">
        <w:rPr>
          <w:color w:val="auto"/>
        </w:rPr>
        <w:t>Dupixent</w:t>
      </w:r>
      <w:r w:rsidRPr="00E26ADF">
        <w:t xml:space="preserve"> for adult patients is as follows:</w:t>
      </w:r>
    </w:p>
    <w:p w14:paraId="7FBB2816" w14:textId="6C3B39E9" w:rsidR="00A764C9" w:rsidRPr="00B70363" w:rsidRDefault="00A764C9" w:rsidP="00B70363">
      <w:r w:rsidRPr="00B70363">
        <w:lastRenderedPageBreak/>
        <w:t xml:space="preserve">Initial dose of 600 mg by subcutaneous injection (two 300 mg injections consecutively in different injection sites), followed by 300 mg given every other week. </w:t>
      </w:r>
    </w:p>
    <w:p w14:paraId="50B6C601" w14:textId="66244642" w:rsidR="008D73C2" w:rsidRPr="00FB39D4" w:rsidRDefault="008D73C2" w:rsidP="008D73C2">
      <w:pPr>
        <w:pStyle w:val="Heading4"/>
        <w:numPr>
          <w:ilvl w:val="0"/>
          <w:numId w:val="0"/>
        </w:numPr>
        <w:ind w:left="862" w:hanging="862"/>
        <w:rPr>
          <w:i w:val="0"/>
          <w:lang w:val="en-AU"/>
        </w:rPr>
      </w:pPr>
      <w:r w:rsidRPr="00FB39D4">
        <w:rPr>
          <w:lang w:val="en-AU"/>
        </w:rPr>
        <w:t>Paediatric and Adolescent</w:t>
      </w:r>
      <w:r w:rsidRPr="00FB39D4">
        <w:rPr>
          <w:i w:val="0"/>
          <w:lang w:val="en-AU"/>
        </w:rPr>
        <w:t xml:space="preserve"> patients (6 to 17 years of age)</w:t>
      </w:r>
    </w:p>
    <w:p w14:paraId="0ED6F65F" w14:textId="5C76EC07" w:rsidR="008D73C2" w:rsidRPr="009B5405" w:rsidRDefault="008D73C2" w:rsidP="008D73C2">
      <w:pPr>
        <w:rPr>
          <w:color w:val="0000FF"/>
          <w:u w:val="double"/>
        </w:rPr>
      </w:pPr>
      <w:r w:rsidRPr="00FB39D4">
        <w:rPr>
          <w:color w:val="auto"/>
        </w:rPr>
        <w:t xml:space="preserve">The recommended dose of Dupixent for paediatric and adolescent patients 6 to 17 </w:t>
      </w:r>
      <w:r w:rsidRPr="0050145A">
        <w:rPr>
          <w:color w:val="auto"/>
        </w:rPr>
        <w:t>years of age is specified in</w:t>
      </w:r>
      <w:r w:rsidRPr="0050145A">
        <w:rPr>
          <w:color w:val="0000FF"/>
        </w:rPr>
        <w:t xml:space="preserve"> </w:t>
      </w:r>
      <w:r w:rsidRPr="0050145A">
        <w:rPr>
          <w:color w:val="0000FF"/>
        </w:rPr>
        <w:fldChar w:fldCharType="begin"/>
      </w:r>
      <w:r w:rsidRPr="0050145A">
        <w:rPr>
          <w:color w:val="0000FF"/>
        </w:rPr>
        <w:instrText xml:space="preserve"> REF _Ref22568009 \h  \* MERGEFORMAT </w:instrText>
      </w:r>
      <w:r w:rsidRPr="0050145A">
        <w:rPr>
          <w:color w:val="0000FF"/>
        </w:rPr>
      </w:r>
      <w:r w:rsidRPr="0050145A">
        <w:rPr>
          <w:color w:val="0000FF"/>
        </w:rPr>
        <w:fldChar w:fldCharType="separate"/>
      </w:r>
      <w:r w:rsidR="00E123A5" w:rsidRPr="00E123A5">
        <w:rPr>
          <w:color w:val="0000FF"/>
        </w:rPr>
        <w:t>Table 1</w:t>
      </w:r>
      <w:r w:rsidRPr="0050145A">
        <w:rPr>
          <w:color w:val="0000FF"/>
        </w:rPr>
        <w:fldChar w:fldCharType="end"/>
      </w:r>
      <w:r w:rsidRPr="009B5405">
        <w:rPr>
          <w:color w:val="0000FF"/>
          <w:u w:val="double"/>
        </w:rPr>
        <w:t xml:space="preserve"> </w:t>
      </w:r>
    </w:p>
    <w:p w14:paraId="4390E0E2" w14:textId="527D8DA4" w:rsidR="00B43286" w:rsidRPr="00FB39D4" w:rsidRDefault="00B43286" w:rsidP="00B43286">
      <w:pPr>
        <w:pStyle w:val="Caption"/>
        <w:rPr>
          <w:lang w:val="en-AU"/>
        </w:rPr>
      </w:pPr>
      <w:r w:rsidRPr="0050145A">
        <w:rPr>
          <w:color w:val="0000FF"/>
        </w:rPr>
        <w:t xml:space="preserve"> </w:t>
      </w:r>
      <w:bookmarkStart w:id="7" w:name="_Ref22568009"/>
      <w:r w:rsidRPr="0050145A">
        <w:t>Table </w:t>
      </w:r>
      <w:r w:rsidRPr="0050145A">
        <w:fldChar w:fldCharType="begin"/>
      </w:r>
      <w:r w:rsidRPr="0050145A">
        <w:instrText xml:space="preserve"> SEQ Table \* ARABIC </w:instrText>
      </w:r>
      <w:r w:rsidRPr="0050145A">
        <w:fldChar w:fldCharType="separate"/>
      </w:r>
      <w:r w:rsidR="00E123A5">
        <w:rPr>
          <w:noProof/>
        </w:rPr>
        <w:t>1</w:t>
      </w:r>
      <w:r w:rsidRPr="0050145A">
        <w:fldChar w:fldCharType="end"/>
      </w:r>
      <w:bookmarkEnd w:id="7"/>
      <w:r w:rsidRPr="0050145A">
        <w:t xml:space="preserve"> ­ </w:t>
      </w:r>
      <w:r w:rsidR="0030219F" w:rsidRPr="0050145A">
        <w:rPr>
          <w:lang w:val="en-AU"/>
        </w:rPr>
        <w:t xml:space="preserve">Dose of Dupixent for </w:t>
      </w:r>
      <w:r w:rsidR="0030219F" w:rsidRPr="00FB39D4">
        <w:rPr>
          <w:lang w:val="en-AU"/>
        </w:rPr>
        <w:t>subcutaneous administration in paediatric and adolescent patients 6 years to 17 years of age with atopic dermatitis</w:t>
      </w:r>
    </w:p>
    <w:tbl>
      <w:tblPr>
        <w:tblW w:w="0" w:type="auto"/>
        <w:jc w:val="center"/>
        <w:tblBorders>
          <w:top w:val="single" w:sz="2" w:space="0" w:color="000000"/>
        </w:tblBorders>
        <w:tblLook w:val="04A0" w:firstRow="1" w:lastRow="0" w:firstColumn="1" w:lastColumn="0" w:noHBand="0" w:noVBand="1"/>
      </w:tblPr>
      <w:tblGrid>
        <w:gridCol w:w="2405"/>
        <w:gridCol w:w="2496"/>
        <w:gridCol w:w="2754"/>
      </w:tblGrid>
      <w:tr w:rsidR="0030219F" w:rsidRPr="00FB39D4" w14:paraId="6A765066" w14:textId="77777777" w:rsidTr="00F5065D">
        <w:trPr>
          <w:cantSplit/>
          <w:tblHeader/>
          <w:jc w:val="center"/>
        </w:trPr>
        <w:tc>
          <w:tcPr>
            <w:tcW w:w="0" w:type="auto"/>
            <w:tcBorders>
              <w:top w:val="single" w:sz="4" w:space="0" w:color="000000"/>
              <w:bottom w:val="single" w:sz="4" w:space="0" w:color="000000"/>
            </w:tcBorders>
            <w:shd w:val="clear" w:color="auto" w:fill="auto"/>
          </w:tcPr>
          <w:p w14:paraId="406BD528" w14:textId="77777777" w:rsidR="0030219F" w:rsidRPr="00FB39D4" w:rsidRDefault="0030219F" w:rsidP="00F5065D">
            <w:pPr>
              <w:pStyle w:val="TblHeadingCenter"/>
              <w:rPr>
                <w:lang w:val="en-AU"/>
              </w:rPr>
            </w:pPr>
            <w:r w:rsidRPr="00FB39D4">
              <w:rPr>
                <w:lang w:val="en-AU"/>
              </w:rPr>
              <w:t>Body Weight of Patient</w:t>
            </w:r>
          </w:p>
        </w:tc>
        <w:tc>
          <w:tcPr>
            <w:tcW w:w="0" w:type="auto"/>
            <w:tcBorders>
              <w:top w:val="single" w:sz="4" w:space="0" w:color="000000"/>
              <w:bottom w:val="single" w:sz="4" w:space="0" w:color="000000"/>
            </w:tcBorders>
            <w:shd w:val="clear" w:color="auto" w:fill="auto"/>
          </w:tcPr>
          <w:p w14:paraId="03DD3B79" w14:textId="77777777" w:rsidR="0030219F" w:rsidRPr="00FB39D4" w:rsidRDefault="0030219F" w:rsidP="00F5065D">
            <w:pPr>
              <w:pStyle w:val="TblHeadingCenter"/>
              <w:rPr>
                <w:lang w:val="en-AU"/>
              </w:rPr>
            </w:pPr>
            <w:r w:rsidRPr="00FB39D4">
              <w:rPr>
                <w:lang w:val="en-AU"/>
              </w:rPr>
              <w:t>Initial Dose</w:t>
            </w:r>
          </w:p>
        </w:tc>
        <w:tc>
          <w:tcPr>
            <w:tcW w:w="2754" w:type="dxa"/>
            <w:tcBorders>
              <w:top w:val="single" w:sz="4" w:space="0" w:color="000000"/>
              <w:bottom w:val="single" w:sz="4" w:space="0" w:color="000000"/>
            </w:tcBorders>
            <w:shd w:val="clear" w:color="auto" w:fill="auto"/>
          </w:tcPr>
          <w:p w14:paraId="593F3F90" w14:textId="40F0F05E" w:rsidR="0030219F" w:rsidRPr="00FB39D4" w:rsidRDefault="0030219F" w:rsidP="00F5065D">
            <w:pPr>
              <w:pStyle w:val="TblHeadingCenter"/>
              <w:rPr>
                <w:lang w:val="en-AU"/>
              </w:rPr>
            </w:pPr>
            <w:r w:rsidRPr="00FB39D4">
              <w:rPr>
                <w:lang w:val="en-AU"/>
              </w:rPr>
              <w:t xml:space="preserve">Subsequent Doses </w:t>
            </w:r>
          </w:p>
        </w:tc>
      </w:tr>
      <w:tr w:rsidR="0030219F" w:rsidRPr="00FB39D4" w14:paraId="43AAD6D9" w14:textId="77777777" w:rsidTr="00F5065D">
        <w:trPr>
          <w:cantSplit/>
          <w:jc w:val="center"/>
        </w:trPr>
        <w:tc>
          <w:tcPr>
            <w:tcW w:w="0" w:type="auto"/>
            <w:tcBorders>
              <w:top w:val="single" w:sz="4" w:space="0" w:color="000000"/>
            </w:tcBorders>
            <w:shd w:val="clear" w:color="auto" w:fill="auto"/>
          </w:tcPr>
          <w:p w14:paraId="57F75822" w14:textId="77777777" w:rsidR="0030219F" w:rsidRPr="00FB39D4" w:rsidRDefault="0030219F" w:rsidP="00F5065D">
            <w:pPr>
              <w:pStyle w:val="TblTextCenter"/>
              <w:rPr>
                <w:lang w:val="en-AU"/>
              </w:rPr>
            </w:pPr>
            <w:r w:rsidRPr="00FB39D4">
              <w:rPr>
                <w:lang w:val="en-AU"/>
              </w:rPr>
              <w:t xml:space="preserve">15 </w:t>
            </w:r>
            <w:proofErr w:type="gramStart"/>
            <w:r w:rsidRPr="00FB39D4">
              <w:rPr>
                <w:lang w:val="en-AU"/>
              </w:rPr>
              <w:t>kg  -</w:t>
            </w:r>
            <w:proofErr w:type="gramEnd"/>
            <w:r w:rsidRPr="00FB39D4">
              <w:rPr>
                <w:lang w:val="en-AU"/>
              </w:rPr>
              <w:t xml:space="preserve">  &lt; 30 kg</w:t>
            </w:r>
          </w:p>
        </w:tc>
        <w:tc>
          <w:tcPr>
            <w:tcW w:w="0" w:type="auto"/>
            <w:tcBorders>
              <w:top w:val="single" w:sz="4" w:space="0" w:color="000000"/>
            </w:tcBorders>
            <w:shd w:val="clear" w:color="auto" w:fill="auto"/>
          </w:tcPr>
          <w:p w14:paraId="46FCEC97" w14:textId="77777777" w:rsidR="0030219F" w:rsidRPr="00FB39D4" w:rsidRDefault="0030219F" w:rsidP="00F5065D">
            <w:pPr>
              <w:pStyle w:val="TblTextCenter"/>
              <w:rPr>
                <w:lang w:val="en-AU"/>
              </w:rPr>
            </w:pPr>
            <w:r w:rsidRPr="00FB39D4">
              <w:rPr>
                <w:lang w:val="en-AU"/>
              </w:rPr>
              <w:t>600 mg (two 300 mg injections)</w:t>
            </w:r>
          </w:p>
        </w:tc>
        <w:tc>
          <w:tcPr>
            <w:tcW w:w="2754" w:type="dxa"/>
            <w:tcBorders>
              <w:top w:val="single" w:sz="4" w:space="0" w:color="000000"/>
            </w:tcBorders>
            <w:shd w:val="clear" w:color="auto" w:fill="auto"/>
          </w:tcPr>
          <w:p w14:paraId="700D2755" w14:textId="77777777" w:rsidR="0030219F" w:rsidRPr="00FB39D4" w:rsidRDefault="0030219F" w:rsidP="00F5065D">
            <w:pPr>
              <w:pStyle w:val="TblTextCenter"/>
              <w:rPr>
                <w:lang w:val="en-AU"/>
              </w:rPr>
            </w:pPr>
            <w:r w:rsidRPr="00FB39D4">
              <w:rPr>
                <w:lang w:val="en-AU"/>
              </w:rPr>
              <w:t>300 mg every 4 weeks (q4w)</w:t>
            </w:r>
          </w:p>
        </w:tc>
      </w:tr>
      <w:tr w:rsidR="0030219F" w:rsidRPr="00FB39D4" w14:paraId="36270C2D" w14:textId="77777777" w:rsidTr="00F5065D">
        <w:trPr>
          <w:cantSplit/>
          <w:jc w:val="center"/>
        </w:trPr>
        <w:tc>
          <w:tcPr>
            <w:tcW w:w="0" w:type="auto"/>
            <w:tcBorders>
              <w:top w:val="single" w:sz="4" w:space="0" w:color="000000"/>
            </w:tcBorders>
            <w:shd w:val="clear" w:color="auto" w:fill="auto"/>
          </w:tcPr>
          <w:p w14:paraId="0C011D20" w14:textId="77777777" w:rsidR="0030219F" w:rsidRPr="00FB39D4" w:rsidRDefault="0030219F" w:rsidP="00F5065D">
            <w:pPr>
              <w:pStyle w:val="TblTextCenter"/>
              <w:rPr>
                <w:lang w:val="en-AU"/>
              </w:rPr>
            </w:pPr>
            <w:r w:rsidRPr="00FB39D4">
              <w:rPr>
                <w:lang w:val="en-AU"/>
              </w:rPr>
              <w:t>30</w:t>
            </w:r>
            <w:proofErr w:type="gramStart"/>
            <w:r w:rsidRPr="00FB39D4">
              <w:rPr>
                <w:lang w:val="en-AU"/>
              </w:rPr>
              <w:t>kg  -</w:t>
            </w:r>
            <w:proofErr w:type="gramEnd"/>
            <w:r w:rsidRPr="00FB39D4">
              <w:rPr>
                <w:lang w:val="en-AU"/>
              </w:rPr>
              <w:t xml:space="preserve">  &lt; 60 kg</w:t>
            </w:r>
          </w:p>
        </w:tc>
        <w:tc>
          <w:tcPr>
            <w:tcW w:w="0" w:type="auto"/>
            <w:tcBorders>
              <w:top w:val="single" w:sz="4" w:space="0" w:color="000000"/>
            </w:tcBorders>
            <w:shd w:val="clear" w:color="auto" w:fill="auto"/>
          </w:tcPr>
          <w:p w14:paraId="21C70362" w14:textId="77777777" w:rsidR="0030219F" w:rsidRPr="00FB39D4" w:rsidRDefault="0030219F" w:rsidP="00F5065D">
            <w:pPr>
              <w:pStyle w:val="TblTextCenter"/>
              <w:rPr>
                <w:lang w:val="en-AU"/>
              </w:rPr>
            </w:pPr>
            <w:r w:rsidRPr="00FB39D4">
              <w:rPr>
                <w:lang w:val="en-AU"/>
              </w:rPr>
              <w:t>400 mg (two 200 mg injections)</w:t>
            </w:r>
          </w:p>
        </w:tc>
        <w:tc>
          <w:tcPr>
            <w:tcW w:w="2754" w:type="dxa"/>
            <w:tcBorders>
              <w:top w:val="single" w:sz="4" w:space="0" w:color="000000"/>
            </w:tcBorders>
            <w:shd w:val="clear" w:color="auto" w:fill="auto"/>
          </w:tcPr>
          <w:p w14:paraId="6AD98743" w14:textId="77777777" w:rsidR="0030219F" w:rsidRPr="00FB39D4" w:rsidRDefault="0030219F" w:rsidP="00F5065D">
            <w:pPr>
              <w:pStyle w:val="TblTextCenter"/>
              <w:rPr>
                <w:lang w:val="en-AU"/>
              </w:rPr>
            </w:pPr>
            <w:r w:rsidRPr="00FB39D4">
              <w:rPr>
                <w:lang w:val="en-AU"/>
              </w:rPr>
              <w:t>200mg every other week (q2w)</w:t>
            </w:r>
          </w:p>
        </w:tc>
      </w:tr>
      <w:tr w:rsidR="0030219F" w:rsidRPr="00FB39D4" w14:paraId="58D74975" w14:textId="77777777" w:rsidTr="00F5065D">
        <w:trPr>
          <w:cantSplit/>
          <w:jc w:val="center"/>
        </w:trPr>
        <w:tc>
          <w:tcPr>
            <w:tcW w:w="0" w:type="auto"/>
            <w:tcBorders>
              <w:bottom w:val="single" w:sz="12" w:space="0" w:color="auto"/>
            </w:tcBorders>
            <w:shd w:val="clear" w:color="auto" w:fill="auto"/>
          </w:tcPr>
          <w:p w14:paraId="130AF77D" w14:textId="77777777" w:rsidR="0030219F" w:rsidRPr="00FB39D4" w:rsidRDefault="0030219F" w:rsidP="00F5065D">
            <w:pPr>
              <w:pStyle w:val="TblTextCenter"/>
              <w:rPr>
                <w:lang w:val="en-AU"/>
              </w:rPr>
            </w:pPr>
            <w:r w:rsidRPr="00FB39D4">
              <w:rPr>
                <w:lang w:val="en-AU"/>
              </w:rPr>
              <w:t xml:space="preserve">≥ 60 kg </w:t>
            </w:r>
          </w:p>
        </w:tc>
        <w:tc>
          <w:tcPr>
            <w:tcW w:w="0" w:type="auto"/>
            <w:tcBorders>
              <w:bottom w:val="single" w:sz="12" w:space="0" w:color="auto"/>
            </w:tcBorders>
            <w:shd w:val="clear" w:color="auto" w:fill="auto"/>
          </w:tcPr>
          <w:p w14:paraId="26C5216C" w14:textId="77777777" w:rsidR="0030219F" w:rsidRPr="00FB39D4" w:rsidRDefault="0030219F" w:rsidP="00F5065D">
            <w:pPr>
              <w:pStyle w:val="TblTextCenter"/>
              <w:rPr>
                <w:lang w:val="en-AU"/>
              </w:rPr>
            </w:pPr>
            <w:r w:rsidRPr="00FB39D4">
              <w:rPr>
                <w:lang w:val="en-AU"/>
              </w:rPr>
              <w:t>600 mg (two 300 mg injections)</w:t>
            </w:r>
          </w:p>
        </w:tc>
        <w:tc>
          <w:tcPr>
            <w:tcW w:w="2754" w:type="dxa"/>
            <w:tcBorders>
              <w:bottom w:val="single" w:sz="12" w:space="0" w:color="auto"/>
            </w:tcBorders>
            <w:shd w:val="clear" w:color="auto" w:fill="auto"/>
          </w:tcPr>
          <w:p w14:paraId="739FE9BF" w14:textId="77777777" w:rsidR="0030219F" w:rsidRPr="00FB39D4" w:rsidRDefault="0030219F" w:rsidP="00F5065D">
            <w:pPr>
              <w:pStyle w:val="TblTextCenter"/>
              <w:rPr>
                <w:lang w:val="en-AU"/>
              </w:rPr>
            </w:pPr>
            <w:r w:rsidRPr="00FB39D4">
              <w:rPr>
                <w:lang w:val="en-AU"/>
              </w:rPr>
              <w:t>300mg every other week (q2w)</w:t>
            </w:r>
          </w:p>
        </w:tc>
      </w:tr>
      <w:tr w:rsidR="0030219F" w:rsidRPr="00FB39D4" w14:paraId="2406C554" w14:textId="77777777" w:rsidTr="00F5065D">
        <w:trPr>
          <w:cantSplit/>
          <w:jc w:val="center"/>
        </w:trPr>
        <w:tc>
          <w:tcPr>
            <w:tcW w:w="7655" w:type="dxa"/>
            <w:gridSpan w:val="3"/>
            <w:tcBorders>
              <w:top w:val="single" w:sz="12" w:space="0" w:color="auto"/>
            </w:tcBorders>
            <w:shd w:val="clear" w:color="auto" w:fill="auto"/>
          </w:tcPr>
          <w:p w14:paraId="5629FE1F" w14:textId="77777777" w:rsidR="0030219F" w:rsidRPr="00FB39D4" w:rsidRDefault="0030219F" w:rsidP="00F5065D">
            <w:pPr>
              <w:pStyle w:val="TblFigFootnote"/>
              <w:rPr>
                <w:rFonts w:ascii="Times New Roman" w:hAnsi="Times New Roman"/>
                <w:lang w:val="en-AU"/>
              </w:rPr>
            </w:pPr>
          </w:p>
        </w:tc>
      </w:tr>
    </w:tbl>
    <w:p w14:paraId="3F527AF4" w14:textId="77777777" w:rsidR="00231604" w:rsidRPr="007B4F95" w:rsidRDefault="00231604" w:rsidP="00231604">
      <w:pPr>
        <w:rPr>
          <w:i/>
          <w:iCs/>
          <w:color w:val="auto"/>
        </w:rPr>
      </w:pPr>
      <w:r w:rsidRPr="007B4F95">
        <w:rPr>
          <w:i/>
          <w:iCs/>
          <w:color w:val="auto"/>
        </w:rPr>
        <w:t xml:space="preserve">Treatment interruption </w:t>
      </w:r>
    </w:p>
    <w:p w14:paraId="5A43CB17" w14:textId="1BD56C61" w:rsidR="00231604" w:rsidRPr="00FB39D4" w:rsidRDefault="00231604" w:rsidP="00231604">
      <w:pPr>
        <w:rPr>
          <w:i/>
          <w:iCs/>
          <w:color w:val="auto"/>
        </w:rPr>
      </w:pPr>
      <w:r w:rsidRPr="00FB39D4">
        <w:rPr>
          <w:color w:val="auto"/>
        </w:rPr>
        <w:t xml:space="preserve">If </w:t>
      </w:r>
      <w:r w:rsidR="00A9312F" w:rsidRPr="00FB39D4">
        <w:rPr>
          <w:color w:val="auto"/>
        </w:rPr>
        <w:t>Dupixent</w:t>
      </w:r>
      <w:r w:rsidRPr="00FB39D4">
        <w:rPr>
          <w:color w:val="auto"/>
        </w:rPr>
        <w:t xml:space="preserve"> treatment interruption becomes necessary, patients can still be successfully re-treated.</w:t>
      </w:r>
    </w:p>
    <w:p w14:paraId="49FDDEFC" w14:textId="77777777" w:rsidR="00A764C9" w:rsidRPr="00E26ADF" w:rsidRDefault="00A764C9" w:rsidP="00966777">
      <w:pPr>
        <w:pStyle w:val="Heading3"/>
        <w:numPr>
          <w:ilvl w:val="0"/>
          <w:numId w:val="0"/>
        </w:numPr>
        <w:rPr>
          <w:lang w:val="en-AU"/>
        </w:rPr>
      </w:pPr>
      <w:r w:rsidRPr="00E26ADF">
        <w:rPr>
          <w:lang w:val="en-AU"/>
        </w:rPr>
        <w:t>Asthma</w:t>
      </w:r>
    </w:p>
    <w:p w14:paraId="2B60414A" w14:textId="0ABAB230" w:rsidR="00A764C9" w:rsidRPr="00E26ADF" w:rsidRDefault="00A764C9" w:rsidP="00966777">
      <w:r w:rsidRPr="00E26ADF">
        <w:t>Dupixent treatment should be prescribed by a specialist experienced in the diagnosis and treatme</w:t>
      </w:r>
      <w:r w:rsidR="00180B67" w:rsidRPr="00E26ADF">
        <w:t>nt of</w:t>
      </w:r>
      <w:r w:rsidR="00882375" w:rsidRPr="00E26ADF">
        <w:t xml:space="preserve"> asthma</w:t>
      </w:r>
      <w:r w:rsidRPr="00E26ADF">
        <w:t>.</w:t>
      </w:r>
    </w:p>
    <w:p w14:paraId="26B58242" w14:textId="77777777" w:rsidR="00A764C9" w:rsidRPr="00E26ADF" w:rsidRDefault="00A764C9" w:rsidP="00966777">
      <w:r w:rsidRPr="00E26ADF">
        <w:t>The recommended dose of Dupixent for adults and adolescents (12 years of age and older) is:</w:t>
      </w:r>
    </w:p>
    <w:p w14:paraId="623980E6" w14:textId="0B39BCBD" w:rsidR="00882375" w:rsidRPr="00E26ADF" w:rsidRDefault="00A764C9" w:rsidP="00E9483F">
      <w:pPr>
        <w:pStyle w:val="ListBulletLevel1"/>
        <w:numPr>
          <w:ilvl w:val="0"/>
          <w:numId w:val="12"/>
        </w:numPr>
      </w:pPr>
      <w:r w:rsidRPr="00E26ADF">
        <w:t>Initial dose of 400 mg by subcutaneous injection (two 200 mg injections consecutive</w:t>
      </w:r>
      <w:r w:rsidR="00966777" w:rsidRPr="00E26ADF">
        <w:t>ly in different injection sites</w:t>
      </w:r>
      <w:r w:rsidRPr="00E26ADF">
        <w:t xml:space="preserve">) followed by 200 mg given every other week. </w:t>
      </w:r>
    </w:p>
    <w:p w14:paraId="4E1FA4DC" w14:textId="6D816321" w:rsidR="00D61FB5" w:rsidRPr="00FB39D4" w:rsidRDefault="00144E03" w:rsidP="00966777">
      <w:pPr>
        <w:rPr>
          <w:color w:val="auto"/>
        </w:rPr>
      </w:pPr>
      <w:r w:rsidRPr="00E26ADF">
        <w:t xml:space="preserve">Patients </w:t>
      </w:r>
      <w:r w:rsidR="00A764C9" w:rsidRPr="00E26ADF">
        <w:t>with oral corticosteroids-dependent asthma or with co-morbid moderate-to-severe atopic dermatitis</w:t>
      </w:r>
      <w:r w:rsidR="00474665">
        <w:t xml:space="preserve"> </w:t>
      </w:r>
      <w:r w:rsidR="00474665" w:rsidRPr="00FB39D4">
        <w:rPr>
          <w:color w:val="auto"/>
        </w:rPr>
        <w:t>or adults with co-morbid severe chronic rhinosinus</w:t>
      </w:r>
      <w:r w:rsidR="002B505B" w:rsidRPr="00FB39D4">
        <w:rPr>
          <w:color w:val="auto"/>
        </w:rPr>
        <w:t>i</w:t>
      </w:r>
      <w:r w:rsidR="00474665" w:rsidRPr="00FB39D4">
        <w:rPr>
          <w:color w:val="auto"/>
        </w:rPr>
        <w:t>tis with nasal polyposis</w:t>
      </w:r>
      <w:r w:rsidR="00A764C9" w:rsidRPr="00FB39D4">
        <w:rPr>
          <w:color w:val="auto"/>
        </w:rPr>
        <w:t xml:space="preserve"> for which Dupixent is </w:t>
      </w:r>
      <w:proofErr w:type="gramStart"/>
      <w:r w:rsidR="00A764C9" w:rsidRPr="00FB39D4">
        <w:rPr>
          <w:color w:val="auto"/>
        </w:rPr>
        <w:t>indicated;</w:t>
      </w:r>
      <w:proofErr w:type="gramEnd"/>
    </w:p>
    <w:p w14:paraId="5312F309" w14:textId="4F1EABB0" w:rsidR="00882375" w:rsidRPr="00FB39D4" w:rsidRDefault="00A764C9" w:rsidP="00E9483F">
      <w:pPr>
        <w:pStyle w:val="ListBulletLevel1"/>
        <w:numPr>
          <w:ilvl w:val="0"/>
          <w:numId w:val="13"/>
        </w:numPr>
        <w:rPr>
          <w:color w:val="auto"/>
        </w:rPr>
      </w:pPr>
      <w:r w:rsidRPr="00FB39D4">
        <w:rPr>
          <w:color w:val="auto"/>
        </w:rPr>
        <w:t xml:space="preserve">Initial dose of 600 mg by subcutaneous injection (two 300 mg injections consecutively in different injection sites) followed by 300 mg given every other week </w:t>
      </w:r>
    </w:p>
    <w:p w14:paraId="37AF14D0" w14:textId="4BC98A77" w:rsidR="00494AB4" w:rsidRPr="00FB39D4" w:rsidRDefault="00494AB4" w:rsidP="00494AB4">
      <w:pPr>
        <w:pStyle w:val="Heading3"/>
        <w:numPr>
          <w:ilvl w:val="0"/>
          <w:numId w:val="0"/>
        </w:numPr>
        <w:ind w:left="680" w:hanging="680"/>
      </w:pPr>
      <w:r w:rsidRPr="00FB39D4">
        <w:t>Chronic Rhinosinusitis with Nasal Polyposis</w:t>
      </w:r>
    </w:p>
    <w:p w14:paraId="0DD1D6C4" w14:textId="36EDEFC0" w:rsidR="00494AB4" w:rsidRPr="00FB39D4" w:rsidRDefault="00494AB4" w:rsidP="00494AB4">
      <w:pPr>
        <w:rPr>
          <w:color w:val="auto"/>
        </w:rPr>
      </w:pPr>
      <w:r w:rsidRPr="00FB39D4">
        <w:rPr>
          <w:color w:val="auto"/>
        </w:rPr>
        <w:t>The recommended dose of Dupixent for adult patients is an initial dose of 300 mg followed by 300 mg given every other week.</w:t>
      </w:r>
    </w:p>
    <w:p w14:paraId="651F9DFD" w14:textId="6A4FF338" w:rsidR="00FF5408" w:rsidRPr="00FB39D4" w:rsidRDefault="00FF5408" w:rsidP="00FF5408">
      <w:pPr>
        <w:rPr>
          <w:color w:val="auto"/>
        </w:rPr>
      </w:pPr>
      <w:r w:rsidRPr="00FB39D4">
        <w:rPr>
          <w:color w:val="auto"/>
        </w:rPr>
        <w:t>Dupi</w:t>
      </w:r>
      <w:r w:rsidR="007B4F95">
        <w:rPr>
          <w:color w:val="auto"/>
        </w:rPr>
        <w:t>xent</w:t>
      </w:r>
      <w:r w:rsidRPr="00FB39D4">
        <w:rPr>
          <w:color w:val="auto"/>
        </w:rPr>
        <w:t xml:space="preserve"> is intended for long-term treatment. Consideration should be given to discontinuing treatment in patients who have shown no response after 24 weeks of treatment for CRSwNP. Some patients with initial partial response may subsequently improve with continued treatment beyond 24 weeks</w:t>
      </w:r>
      <w:r w:rsidR="00383D2B">
        <w:rPr>
          <w:color w:val="auto"/>
        </w:rPr>
        <w:t>.</w:t>
      </w:r>
    </w:p>
    <w:p w14:paraId="62704E81" w14:textId="416B354A" w:rsidR="00FD05CB" w:rsidRPr="00FB39D4" w:rsidRDefault="00FD05CB" w:rsidP="00FD05CB">
      <w:pPr>
        <w:rPr>
          <w:color w:val="auto"/>
        </w:rPr>
      </w:pPr>
      <w:r w:rsidRPr="00FB39D4">
        <w:rPr>
          <w:color w:val="auto"/>
        </w:rPr>
        <w:lastRenderedPageBreak/>
        <w:t xml:space="preserve">If </w:t>
      </w:r>
      <w:r w:rsidR="00FB39D4" w:rsidRPr="00FB39D4">
        <w:rPr>
          <w:color w:val="auto"/>
        </w:rPr>
        <w:t>a</w:t>
      </w:r>
      <w:r w:rsidRPr="00FB39D4">
        <w:rPr>
          <w:color w:val="auto"/>
        </w:rPr>
        <w:t>fter 24 weeks of treatment a patient</w:t>
      </w:r>
      <w:r w:rsidR="00C97339">
        <w:rPr>
          <w:color w:val="auto"/>
        </w:rPr>
        <w:t>’</w:t>
      </w:r>
      <w:r w:rsidRPr="00FB39D4">
        <w:rPr>
          <w:color w:val="auto"/>
        </w:rPr>
        <w:t>s disease is stable, Dupixent may be given at a dose of 300</w:t>
      </w:r>
      <w:r w:rsidR="007408BC">
        <w:rPr>
          <w:color w:val="auto"/>
        </w:rPr>
        <w:t xml:space="preserve"> </w:t>
      </w:r>
      <w:r w:rsidRPr="00FB39D4">
        <w:rPr>
          <w:color w:val="auto"/>
        </w:rPr>
        <w:t xml:space="preserve">mg every four weeks in patients with CRSwNP who do not have comorbid asthma. </w:t>
      </w:r>
    </w:p>
    <w:p w14:paraId="607218A6" w14:textId="67187D63" w:rsidR="00B53976" w:rsidRDefault="00253388" w:rsidP="00B53976">
      <w:pPr>
        <w:rPr>
          <w:color w:val="31849B" w:themeColor="accent5" w:themeShade="BF"/>
          <w:u w:val="double"/>
        </w:rPr>
      </w:pPr>
      <w:r>
        <w:rPr>
          <w:color w:val="0000FF"/>
          <w:u w:val="double"/>
        </w:rPr>
        <w:t xml:space="preserve"> </w:t>
      </w:r>
    </w:p>
    <w:p w14:paraId="0F2408BE" w14:textId="0DF629D2" w:rsidR="00A764C9" w:rsidRPr="00E26ADF" w:rsidRDefault="00A764C9" w:rsidP="00966777">
      <w:pPr>
        <w:pStyle w:val="Heading3"/>
        <w:numPr>
          <w:ilvl w:val="0"/>
          <w:numId w:val="0"/>
        </w:numPr>
        <w:rPr>
          <w:lang w:val="en-AU"/>
        </w:rPr>
      </w:pPr>
      <w:r w:rsidRPr="00E26ADF">
        <w:rPr>
          <w:lang w:val="en-AU"/>
        </w:rPr>
        <w:t>Missed dose</w:t>
      </w:r>
    </w:p>
    <w:p w14:paraId="7FB44CCE" w14:textId="77777777" w:rsidR="000A629C" w:rsidRPr="00FB39D4" w:rsidRDefault="00A764C9" w:rsidP="000A629C">
      <w:pPr>
        <w:rPr>
          <w:color w:val="auto"/>
        </w:rPr>
      </w:pPr>
      <w:r w:rsidRPr="00FB39D4">
        <w:rPr>
          <w:color w:val="auto"/>
        </w:rPr>
        <w:t xml:space="preserve">If </w:t>
      </w:r>
      <w:proofErr w:type="gramStart"/>
      <w:r w:rsidRPr="00FB39D4">
        <w:rPr>
          <w:color w:val="auto"/>
        </w:rPr>
        <w:t>a</w:t>
      </w:r>
      <w:r w:rsidR="000A629C" w:rsidRPr="00FB39D4">
        <w:rPr>
          <w:color w:val="auto"/>
        </w:rPr>
        <w:t>n every</w:t>
      </w:r>
      <w:proofErr w:type="gramEnd"/>
      <w:r w:rsidR="000A629C" w:rsidRPr="00FB39D4">
        <w:rPr>
          <w:color w:val="auto"/>
        </w:rPr>
        <w:t xml:space="preserve"> other week</w:t>
      </w:r>
      <w:r w:rsidRPr="00FB39D4">
        <w:rPr>
          <w:color w:val="auto"/>
        </w:rPr>
        <w:t xml:space="preserve"> dose is missed, </w:t>
      </w:r>
      <w:r w:rsidR="0048186F" w:rsidRPr="00FB39D4">
        <w:rPr>
          <w:color w:val="auto"/>
        </w:rPr>
        <w:t>instruct the patient to administer the injection within 7 days from the missed dose and then resume the patient's original schedule. If the missed dose is not administered within 7 days, instruct the patient to wait until the next dose on the original schedule.</w:t>
      </w:r>
    </w:p>
    <w:p w14:paraId="31F9E9C7" w14:textId="35F7B538" w:rsidR="000A629C" w:rsidRPr="00FB39D4" w:rsidRDefault="000A629C" w:rsidP="000A629C">
      <w:pPr>
        <w:rPr>
          <w:color w:val="auto"/>
        </w:rPr>
      </w:pPr>
      <w:r w:rsidRPr="00FB39D4">
        <w:rPr>
          <w:color w:val="auto"/>
        </w:rPr>
        <w:t xml:space="preserve">If </w:t>
      </w:r>
      <w:proofErr w:type="gramStart"/>
      <w:r w:rsidRPr="00FB39D4">
        <w:rPr>
          <w:color w:val="auto"/>
        </w:rPr>
        <w:t>an every</w:t>
      </w:r>
      <w:proofErr w:type="gramEnd"/>
      <w:r w:rsidRPr="00FB39D4">
        <w:rPr>
          <w:color w:val="auto"/>
        </w:rPr>
        <w:t xml:space="preserve"> 4 week dose is missed, instruct the patient to administer the injection within 7 days from the missed dose and then resume the patient's original schedule. If the missed dose is not administered within 7 days, instruct the patient to administer the dose, starting a new schedule based on this date.</w:t>
      </w:r>
    </w:p>
    <w:p w14:paraId="2ACE09A8" w14:textId="618C987E" w:rsidR="00966777" w:rsidRPr="00FB39D4" w:rsidRDefault="00A764C9" w:rsidP="00966777">
      <w:pPr>
        <w:rPr>
          <w:color w:val="auto"/>
        </w:rPr>
      </w:pPr>
      <w:r w:rsidRPr="00FB39D4">
        <w:rPr>
          <w:color w:val="auto"/>
        </w:rPr>
        <w:t>Product is for single use in one patient only. Discard any residue.</w:t>
      </w:r>
    </w:p>
    <w:p w14:paraId="1EA7D341" w14:textId="542461D9" w:rsidR="00C716D6" w:rsidRPr="00E26ADF" w:rsidRDefault="002B2BA3" w:rsidP="002B2BA3">
      <w:pPr>
        <w:pStyle w:val="Heading3"/>
        <w:numPr>
          <w:ilvl w:val="0"/>
          <w:numId w:val="0"/>
        </w:numPr>
        <w:rPr>
          <w:lang w:val="en-AU"/>
        </w:rPr>
      </w:pPr>
      <w:r w:rsidRPr="00E26ADF">
        <w:rPr>
          <w:lang w:val="en-AU"/>
        </w:rPr>
        <w:t>Special Populations</w:t>
      </w:r>
    </w:p>
    <w:p w14:paraId="27601B2A" w14:textId="77777777" w:rsidR="00C716D6" w:rsidRPr="00E26ADF" w:rsidRDefault="00C716D6" w:rsidP="002B2BA3">
      <w:pPr>
        <w:pStyle w:val="Heading4"/>
        <w:numPr>
          <w:ilvl w:val="0"/>
          <w:numId w:val="0"/>
        </w:numPr>
        <w:ind w:left="862" w:hanging="862"/>
        <w:rPr>
          <w:lang w:val="en-AU"/>
        </w:rPr>
      </w:pPr>
      <w:r w:rsidRPr="00E26ADF">
        <w:rPr>
          <w:lang w:val="en-AU"/>
        </w:rPr>
        <w:t>Paediatric patients</w:t>
      </w:r>
    </w:p>
    <w:p w14:paraId="2CFED6BA" w14:textId="77777777" w:rsidR="00C716D6" w:rsidRPr="00E26ADF" w:rsidRDefault="00C716D6" w:rsidP="002B2BA3">
      <w:pPr>
        <w:pStyle w:val="Heading5"/>
        <w:numPr>
          <w:ilvl w:val="0"/>
          <w:numId w:val="0"/>
        </w:numPr>
        <w:ind w:left="1009" w:hanging="1009"/>
        <w:rPr>
          <w:lang w:val="en-AU"/>
        </w:rPr>
      </w:pPr>
      <w:r w:rsidRPr="00E26ADF">
        <w:rPr>
          <w:lang w:val="en-AU"/>
        </w:rPr>
        <w:t>Atopic dermatitis</w:t>
      </w:r>
    </w:p>
    <w:p w14:paraId="47806773" w14:textId="5F9FDEE4" w:rsidR="00C716D6" w:rsidRDefault="00725590" w:rsidP="00C716D6">
      <w:pPr>
        <w:rPr>
          <w:color w:val="auto"/>
        </w:rPr>
      </w:pPr>
      <w:r w:rsidRPr="00E26ADF">
        <w:rPr>
          <w:color w:val="auto"/>
        </w:rPr>
        <w:t xml:space="preserve">Safety and efficacy </w:t>
      </w:r>
      <w:r w:rsidRPr="0050145A">
        <w:rPr>
          <w:color w:val="auto"/>
        </w:rPr>
        <w:t>in</w:t>
      </w:r>
      <w:r w:rsidR="002C21E5" w:rsidRPr="0050145A">
        <w:rPr>
          <w:color w:val="auto"/>
        </w:rPr>
        <w:t xml:space="preserve"> </w:t>
      </w:r>
      <w:r w:rsidR="006A7654" w:rsidRPr="0050145A">
        <w:rPr>
          <w:color w:val="auto"/>
        </w:rPr>
        <w:t xml:space="preserve">children below the age </w:t>
      </w:r>
      <w:r w:rsidR="006A7654" w:rsidRPr="007C2F21">
        <w:rPr>
          <w:color w:val="auto"/>
        </w:rPr>
        <w:t xml:space="preserve">of </w:t>
      </w:r>
      <w:r w:rsidR="00474665" w:rsidRPr="007C2F21">
        <w:rPr>
          <w:color w:val="auto"/>
        </w:rPr>
        <w:t>6</w:t>
      </w:r>
      <w:r w:rsidR="006A7654" w:rsidRPr="007C2F21">
        <w:rPr>
          <w:color w:val="auto"/>
        </w:rPr>
        <w:t xml:space="preserve"> years with atopic dermatitis ha</w:t>
      </w:r>
      <w:r w:rsidR="008F32BD" w:rsidRPr="007C2F21">
        <w:rPr>
          <w:color w:val="auto"/>
        </w:rPr>
        <w:t>ve</w:t>
      </w:r>
      <w:r w:rsidR="006A7654" w:rsidRPr="007C2F21">
        <w:rPr>
          <w:color w:val="auto"/>
        </w:rPr>
        <w:t xml:space="preserve"> </w:t>
      </w:r>
      <w:r w:rsidRPr="007C2F21">
        <w:rPr>
          <w:color w:val="auto"/>
        </w:rPr>
        <w:t xml:space="preserve">not </w:t>
      </w:r>
      <w:r w:rsidRPr="00E26ADF">
        <w:rPr>
          <w:color w:val="auto"/>
        </w:rPr>
        <w:t xml:space="preserve">been established (see </w:t>
      </w:r>
      <w:r w:rsidR="00187A1E" w:rsidRPr="00E26ADF">
        <w:rPr>
          <w:color w:val="auto"/>
        </w:rPr>
        <w:t>Section</w:t>
      </w:r>
      <w:r w:rsidR="007C2F21">
        <w:rPr>
          <w:color w:val="auto"/>
        </w:rPr>
        <w:t xml:space="preserve">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187A1E" w:rsidRPr="00E26ADF">
        <w:rPr>
          <w:color w:val="auto"/>
        </w:rPr>
        <w:t xml:space="preserve"> </w:t>
      </w:r>
      <w:r w:rsidR="002E7DE1" w:rsidRPr="00E26ADF">
        <w:rPr>
          <w:color w:val="auto"/>
        </w:rPr>
        <w:t>-</w:t>
      </w:r>
      <w:r w:rsidR="00187A1E" w:rsidRPr="00E26ADF">
        <w:rPr>
          <w:color w:val="auto"/>
        </w:rPr>
        <w:t xml:space="preserve"> Pharmacokinetic Properties</w:t>
      </w:r>
      <w:r w:rsidRPr="00E26ADF">
        <w:rPr>
          <w:color w:val="auto"/>
        </w:rPr>
        <w:t>).</w:t>
      </w:r>
    </w:p>
    <w:p w14:paraId="240D845D" w14:textId="77777777" w:rsidR="00C716D6" w:rsidRPr="00E26ADF" w:rsidRDefault="00C716D6" w:rsidP="002B2BA3">
      <w:pPr>
        <w:pStyle w:val="Heading5"/>
        <w:numPr>
          <w:ilvl w:val="0"/>
          <w:numId w:val="0"/>
        </w:numPr>
        <w:ind w:left="1009" w:hanging="1009"/>
        <w:rPr>
          <w:lang w:val="en-AU"/>
        </w:rPr>
      </w:pPr>
      <w:r w:rsidRPr="00E26ADF">
        <w:rPr>
          <w:lang w:val="en-AU"/>
        </w:rPr>
        <w:t>Asthma</w:t>
      </w:r>
    </w:p>
    <w:p w14:paraId="73915DCD" w14:textId="32CE18D6" w:rsidR="00725590" w:rsidRDefault="00180B67" w:rsidP="002B2BA3">
      <w:r w:rsidRPr="00E26ADF">
        <w:t>Safety and efficacy in</w:t>
      </w:r>
      <w:r w:rsidR="00725590" w:rsidRPr="00E26ADF">
        <w:t xml:space="preserve"> patients younger than 12 years with asthma have not been established </w:t>
      </w:r>
      <w:r w:rsidR="00187A1E" w:rsidRPr="00E26ADF">
        <w:rPr>
          <w:color w:val="auto"/>
        </w:rPr>
        <w:t>(see</w:t>
      </w:r>
      <w:r w:rsidR="003914ED">
        <w:rPr>
          <w:color w:val="auto"/>
        </w:rPr>
        <w:t xml:space="preserve"> Section </w:t>
      </w:r>
      <w:r w:rsidR="003914ED" w:rsidRPr="003914ED">
        <w:rPr>
          <w:color w:val="0000FF"/>
        </w:rPr>
        <w:fldChar w:fldCharType="begin"/>
      </w:r>
      <w:r w:rsidR="003914ED" w:rsidRPr="003914ED">
        <w:rPr>
          <w:color w:val="0000FF"/>
        </w:rPr>
        <w:instrText xml:space="preserve"> REF _Ref43115398 \r \h  \* MERGEFORMAT </w:instrText>
      </w:r>
      <w:r w:rsidR="003914ED" w:rsidRPr="003914ED">
        <w:rPr>
          <w:color w:val="0000FF"/>
        </w:rPr>
      </w:r>
      <w:r w:rsidR="003914ED" w:rsidRPr="003914ED">
        <w:rPr>
          <w:color w:val="0000FF"/>
        </w:rPr>
        <w:fldChar w:fldCharType="separate"/>
      </w:r>
      <w:r w:rsidR="00E123A5">
        <w:rPr>
          <w:color w:val="0000FF"/>
        </w:rPr>
        <w:t>5.2</w:t>
      </w:r>
      <w:r w:rsidR="003914ED" w:rsidRPr="003914ED">
        <w:rPr>
          <w:color w:val="0000FF"/>
        </w:rPr>
        <w:fldChar w:fldCharType="end"/>
      </w:r>
      <w:r w:rsidR="00187A1E" w:rsidRPr="00E26ADF">
        <w:rPr>
          <w:color w:val="auto"/>
        </w:rPr>
        <w:t>- Pharmacokinetic Properties</w:t>
      </w:r>
      <w:r w:rsidR="00725590" w:rsidRPr="00E26ADF">
        <w:t>).</w:t>
      </w:r>
    </w:p>
    <w:p w14:paraId="3B729666" w14:textId="0CEEB17D" w:rsidR="00C502F0" w:rsidRPr="007C2F21" w:rsidRDefault="00C502F0" w:rsidP="00C502F0">
      <w:pPr>
        <w:pStyle w:val="Heading5"/>
        <w:numPr>
          <w:ilvl w:val="0"/>
          <w:numId w:val="0"/>
        </w:numPr>
        <w:ind w:left="1009" w:hanging="1009"/>
      </w:pPr>
      <w:r w:rsidRPr="007C2F21">
        <w:t>Chronic Rhinosinusitis with Nasal Polyposis</w:t>
      </w:r>
    </w:p>
    <w:p w14:paraId="3C1BBC43" w14:textId="17BEDACD" w:rsidR="00C502F0" w:rsidRPr="007C2F21" w:rsidRDefault="00C502F0" w:rsidP="00C502F0">
      <w:pPr>
        <w:rPr>
          <w:color w:val="auto"/>
        </w:rPr>
      </w:pPr>
      <w:r w:rsidRPr="007C2F21">
        <w:rPr>
          <w:color w:val="auto"/>
        </w:rPr>
        <w:t>CRSwNP does not normally occur in children. Safety and efficacy in p</w:t>
      </w:r>
      <w:r w:rsidR="00E54EBF" w:rsidRPr="007C2F21">
        <w:rPr>
          <w:color w:val="auto"/>
        </w:rPr>
        <w:t>a</w:t>
      </w:r>
      <w:r w:rsidRPr="007C2F21">
        <w:rPr>
          <w:color w:val="auto"/>
        </w:rPr>
        <w:t xml:space="preserve">ediatric patients with CRSwNP younger than 18 years have not been established. (see Section </w:t>
      </w:r>
      <w:r w:rsidR="00EC60F3" w:rsidRPr="007C2F21">
        <w:rPr>
          <w:color w:val="auto"/>
        </w:rPr>
        <w:t>5.2</w:t>
      </w:r>
      <w:r w:rsidRPr="007C2F21">
        <w:rPr>
          <w:color w:val="auto"/>
        </w:rPr>
        <w:t>- Pharmacokinetic Properties).</w:t>
      </w:r>
    </w:p>
    <w:p w14:paraId="3E454265" w14:textId="77777777" w:rsidR="00B70363" w:rsidRPr="0055065C" w:rsidRDefault="00B70363" w:rsidP="00492C20">
      <w:pPr>
        <w:spacing w:before="0"/>
        <w:rPr>
          <w:i/>
          <w:iCs/>
          <w:color w:val="008000"/>
          <w:sz w:val="22"/>
          <w:szCs w:val="22"/>
        </w:rPr>
      </w:pPr>
    </w:p>
    <w:p w14:paraId="55AD2099" w14:textId="77777777" w:rsidR="00C716D6" w:rsidRPr="00E26ADF" w:rsidRDefault="00C716D6" w:rsidP="002B2BA3">
      <w:pPr>
        <w:pStyle w:val="Heading4"/>
        <w:numPr>
          <w:ilvl w:val="0"/>
          <w:numId w:val="0"/>
        </w:numPr>
        <w:ind w:left="862" w:hanging="862"/>
        <w:rPr>
          <w:lang w:val="en-AU"/>
        </w:rPr>
      </w:pPr>
      <w:r w:rsidRPr="00E26ADF">
        <w:rPr>
          <w:lang w:val="en-AU"/>
        </w:rPr>
        <w:t>Elderly patients</w:t>
      </w:r>
    </w:p>
    <w:p w14:paraId="6DC87F65" w14:textId="19E4F109" w:rsidR="00C716D6" w:rsidRPr="00E26ADF" w:rsidRDefault="00C716D6" w:rsidP="00C716D6">
      <w:r w:rsidRPr="00E26ADF">
        <w:t xml:space="preserve">No dose adjustment is recommended for elderly patients </w:t>
      </w:r>
      <w:r w:rsidR="00187A1E" w:rsidRPr="00E26ADF">
        <w:rPr>
          <w:color w:val="auto"/>
        </w:rPr>
        <w:t>(see Section</w:t>
      </w:r>
      <w:r w:rsidR="007C2F21">
        <w:rPr>
          <w:color w:val="auto"/>
        </w:rPr>
        <w:t xml:space="preserve">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187A1E" w:rsidRPr="00E26ADF">
        <w:rPr>
          <w:color w:val="auto"/>
        </w:rPr>
        <w:t xml:space="preserve"> - Pharmacokinetic Properties</w:t>
      </w:r>
      <w:r w:rsidRPr="00E26ADF">
        <w:t>)</w:t>
      </w:r>
      <w:r w:rsidR="00383D2B">
        <w:t>.</w:t>
      </w:r>
    </w:p>
    <w:p w14:paraId="3FCC4286" w14:textId="77777777" w:rsidR="00C716D6" w:rsidRPr="00E26ADF" w:rsidRDefault="00C716D6" w:rsidP="002B2BA3">
      <w:pPr>
        <w:pStyle w:val="Heading4"/>
        <w:numPr>
          <w:ilvl w:val="0"/>
          <w:numId w:val="0"/>
        </w:numPr>
        <w:ind w:left="862" w:hanging="862"/>
        <w:rPr>
          <w:lang w:val="en-AU"/>
        </w:rPr>
      </w:pPr>
      <w:r w:rsidRPr="00E26ADF">
        <w:rPr>
          <w:lang w:val="en-AU"/>
        </w:rPr>
        <w:lastRenderedPageBreak/>
        <w:t>Hepatic impairment</w:t>
      </w:r>
    </w:p>
    <w:p w14:paraId="1A20D9D6" w14:textId="2FF357F7" w:rsidR="00C716D6" w:rsidRPr="00E26ADF" w:rsidRDefault="00C716D6" w:rsidP="00C716D6">
      <w:r w:rsidRPr="00E26ADF">
        <w:t xml:space="preserve">No data are available in patients with hepatic impairment </w:t>
      </w:r>
      <w:r w:rsidR="00187A1E" w:rsidRPr="00E26ADF">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187A1E" w:rsidRPr="00E26ADF">
        <w:rPr>
          <w:color w:val="auto"/>
        </w:rPr>
        <w:t>- Pharmacokinetic Properties</w:t>
      </w:r>
      <w:r w:rsidRPr="00E26ADF">
        <w:t>).</w:t>
      </w:r>
    </w:p>
    <w:p w14:paraId="7951A155" w14:textId="77777777" w:rsidR="00C716D6" w:rsidRPr="00E26ADF" w:rsidRDefault="00C716D6" w:rsidP="002B2BA3">
      <w:pPr>
        <w:pStyle w:val="Heading4"/>
        <w:numPr>
          <w:ilvl w:val="0"/>
          <w:numId w:val="0"/>
        </w:numPr>
        <w:ind w:left="862" w:hanging="862"/>
        <w:rPr>
          <w:lang w:val="en-AU"/>
        </w:rPr>
      </w:pPr>
      <w:r w:rsidRPr="00E26ADF">
        <w:rPr>
          <w:lang w:val="en-AU"/>
        </w:rPr>
        <w:t>Renal impairment</w:t>
      </w:r>
    </w:p>
    <w:p w14:paraId="4BA73BBB" w14:textId="15367A4E" w:rsidR="00C716D6" w:rsidRPr="00E26ADF" w:rsidRDefault="00C716D6" w:rsidP="00C716D6">
      <w:r w:rsidRPr="00E26ADF">
        <w:t xml:space="preserve">No dosage adjustment is needed in patients with mild or moderate renal impairment. No data are available in patients with severe renal impairment </w:t>
      </w:r>
      <w:r w:rsidR="00187A1E" w:rsidRPr="00E26ADF">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7C2F21">
        <w:rPr>
          <w:color w:val="auto"/>
        </w:rPr>
        <w:t xml:space="preserve"> </w:t>
      </w:r>
      <w:r w:rsidR="00187A1E" w:rsidRPr="00E26ADF">
        <w:rPr>
          <w:color w:val="auto"/>
        </w:rPr>
        <w:t>- Pharmacokinetic Properties</w:t>
      </w:r>
      <w:r w:rsidRPr="00E26ADF">
        <w:t>).</w:t>
      </w:r>
    </w:p>
    <w:p w14:paraId="69AB4687" w14:textId="65655264" w:rsidR="00C716D6" w:rsidRDefault="00C716D6" w:rsidP="002B2BA3">
      <w:pPr>
        <w:pStyle w:val="Heading4"/>
        <w:numPr>
          <w:ilvl w:val="0"/>
          <w:numId w:val="0"/>
        </w:numPr>
        <w:ind w:left="862" w:hanging="862"/>
        <w:rPr>
          <w:lang w:val="en-AU"/>
        </w:rPr>
      </w:pPr>
      <w:r w:rsidRPr="00E26ADF">
        <w:rPr>
          <w:lang w:val="en-AU"/>
        </w:rPr>
        <w:t>Body weight</w:t>
      </w:r>
    </w:p>
    <w:p w14:paraId="4644EE35" w14:textId="7A8E5BD5" w:rsidR="000F4CA2" w:rsidRPr="007C2F21" w:rsidRDefault="000F4CA2" w:rsidP="000F4CA2">
      <w:pPr>
        <w:rPr>
          <w:color w:val="auto"/>
        </w:rPr>
      </w:pPr>
      <w:r w:rsidRPr="007C2F21">
        <w:rPr>
          <w:color w:val="auto"/>
        </w:rPr>
        <w:t xml:space="preserve">No dose adjustment for body weight is recommended </w:t>
      </w:r>
      <w:r w:rsidR="008A2070" w:rsidRPr="007C2F21">
        <w:rPr>
          <w:color w:val="auto"/>
        </w:rPr>
        <w:t>for</w:t>
      </w:r>
      <w:r w:rsidRPr="007C2F21">
        <w:rPr>
          <w:color w:val="auto"/>
        </w:rPr>
        <w:t xml:space="preserve"> patients with asthma 12 years of age and older </w:t>
      </w:r>
      <w:r w:rsidR="0046355D" w:rsidRPr="007C2F21">
        <w:rPr>
          <w:color w:val="auto"/>
        </w:rPr>
        <w:t xml:space="preserve">or </w:t>
      </w:r>
      <w:r w:rsidRPr="007C2F21">
        <w:rPr>
          <w:color w:val="auto"/>
        </w:rPr>
        <w:t xml:space="preserve">in adults with atopic dermatitis or </w:t>
      </w:r>
      <w:proofErr w:type="spellStart"/>
      <w:r w:rsidRPr="007C2F21">
        <w:rPr>
          <w:color w:val="auto"/>
        </w:rPr>
        <w:t>CRSwNP</w:t>
      </w:r>
      <w:proofErr w:type="spellEnd"/>
      <w:r w:rsidR="0046355D" w:rsidRPr="007C2F21">
        <w:rPr>
          <w:color w:val="auto"/>
        </w:rPr>
        <w:t xml:space="preserve"> </w:t>
      </w:r>
      <w:r w:rsidR="00EA1D25" w:rsidRPr="007C2F21">
        <w:rPr>
          <w:color w:val="auto"/>
        </w:rPr>
        <w:t>(</w:t>
      </w:r>
      <w:r w:rsidR="0046355D" w:rsidRPr="007C2F21">
        <w:rPr>
          <w:color w:val="auto"/>
        </w:rPr>
        <w:t xml:space="preserve">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7C2F21">
        <w:rPr>
          <w:color w:val="auto"/>
        </w:rPr>
        <w:t xml:space="preserve"> </w:t>
      </w:r>
      <w:r w:rsidR="0046355D" w:rsidRPr="007C2F21">
        <w:rPr>
          <w:color w:val="auto"/>
        </w:rPr>
        <w:t xml:space="preserve">- Pharmacokinetic Properties). </w:t>
      </w:r>
    </w:p>
    <w:p w14:paraId="620FE4DA" w14:textId="3157C2D9" w:rsidR="00121500" w:rsidRPr="007C2F21" w:rsidRDefault="00121500" w:rsidP="00121500">
      <w:pPr>
        <w:rPr>
          <w:color w:val="auto"/>
        </w:rPr>
      </w:pPr>
      <w:r w:rsidRPr="007C2F21">
        <w:rPr>
          <w:color w:val="auto"/>
        </w:rPr>
        <w:t xml:space="preserve">Refer to </w:t>
      </w:r>
      <w:r w:rsidRPr="007C2F21">
        <w:rPr>
          <w:color w:val="0000FF"/>
        </w:rPr>
        <w:fldChar w:fldCharType="begin"/>
      </w:r>
      <w:r w:rsidRPr="007C2F21">
        <w:rPr>
          <w:color w:val="0000FF"/>
        </w:rPr>
        <w:instrText xml:space="preserve"> REF _Ref22568009 \h  \* MERGEFORMAT </w:instrText>
      </w:r>
      <w:r w:rsidRPr="007C2F21">
        <w:rPr>
          <w:color w:val="0000FF"/>
        </w:rPr>
      </w:r>
      <w:r w:rsidRPr="007C2F21">
        <w:rPr>
          <w:color w:val="0000FF"/>
        </w:rPr>
        <w:fldChar w:fldCharType="separate"/>
      </w:r>
      <w:r w:rsidR="00E123A5" w:rsidRPr="00E123A5">
        <w:rPr>
          <w:color w:val="0000FF"/>
        </w:rPr>
        <w:t>Table 1</w:t>
      </w:r>
      <w:r w:rsidRPr="007C2F21">
        <w:rPr>
          <w:color w:val="0000FF"/>
        </w:rPr>
        <w:fldChar w:fldCharType="end"/>
      </w:r>
      <w:r w:rsidRPr="007C2F21">
        <w:rPr>
          <w:color w:val="0000FF"/>
        </w:rPr>
        <w:t xml:space="preserve"> </w:t>
      </w:r>
      <w:r w:rsidRPr="007C2F21">
        <w:rPr>
          <w:color w:val="auto"/>
        </w:rPr>
        <w:t>for dose adjustments based on body weight for adolescent and paediatric patients with atopic dermatitis.</w:t>
      </w:r>
    </w:p>
    <w:p w14:paraId="07F6145E" w14:textId="78FAAA59" w:rsidR="00C716D6" w:rsidRPr="00E26ADF" w:rsidRDefault="00C716D6" w:rsidP="002B2BA3">
      <w:pPr>
        <w:pStyle w:val="Heading3"/>
        <w:numPr>
          <w:ilvl w:val="0"/>
          <w:numId w:val="0"/>
        </w:numPr>
        <w:ind w:left="680" w:hanging="680"/>
        <w:rPr>
          <w:lang w:val="en-AU"/>
        </w:rPr>
      </w:pPr>
      <w:r w:rsidRPr="00E26ADF">
        <w:rPr>
          <w:lang w:val="en-AU"/>
        </w:rPr>
        <w:t>P</w:t>
      </w:r>
      <w:r w:rsidR="00364D09" w:rsidRPr="00E26ADF">
        <w:rPr>
          <w:lang w:val="en-AU"/>
        </w:rPr>
        <w:t>reparation and Handling</w:t>
      </w:r>
    </w:p>
    <w:p w14:paraId="0677FF2B" w14:textId="77777777" w:rsidR="00C716D6" w:rsidRPr="00E26ADF" w:rsidRDefault="00C716D6" w:rsidP="00C716D6">
      <w:r w:rsidRPr="00E26ADF">
        <w:t>Before injection, remove Dupixent pre-filled syringe from the refrigerator to allow to reach to room temperature.</w:t>
      </w:r>
    </w:p>
    <w:p w14:paraId="4484BDC2" w14:textId="7B99B2EB" w:rsidR="00C716D6" w:rsidRPr="00B70363" w:rsidRDefault="00180B67" w:rsidP="00B70363">
      <w:r w:rsidRPr="00B70363">
        <w:t xml:space="preserve">300 mg </w:t>
      </w:r>
      <w:r w:rsidR="00364D09" w:rsidRPr="00B70363">
        <w:t>syringe</w:t>
      </w:r>
      <w:r w:rsidR="00E756A5" w:rsidRPr="00B70363">
        <w:t>s</w:t>
      </w:r>
      <w:r w:rsidR="00364D09" w:rsidRPr="00B70363">
        <w:t>;</w:t>
      </w:r>
      <w:r w:rsidR="00C716D6" w:rsidRPr="00B70363">
        <w:t xml:space="preserve"> </w:t>
      </w:r>
      <w:r w:rsidR="00144E03" w:rsidRPr="00B70363">
        <w:t xml:space="preserve">Wait </w:t>
      </w:r>
      <w:r w:rsidR="00C716D6" w:rsidRPr="00B70363">
        <w:t xml:space="preserve">for 45 min without removing the needle cap. </w:t>
      </w:r>
    </w:p>
    <w:p w14:paraId="33708A9A" w14:textId="0FFAE1BC" w:rsidR="00C716D6" w:rsidRPr="00B70363" w:rsidRDefault="00C716D6" w:rsidP="00B70363">
      <w:r w:rsidRPr="00B70363">
        <w:t>200 mg syringe;</w:t>
      </w:r>
      <w:r w:rsidR="00DC4CFC" w:rsidRPr="00B70363">
        <w:t xml:space="preserve"> </w:t>
      </w:r>
      <w:r w:rsidRPr="00D551D0">
        <w:rPr>
          <w:color w:val="auto"/>
        </w:rPr>
        <w:t>w</w:t>
      </w:r>
      <w:r w:rsidRPr="00B70363">
        <w:t>ait for 30 min without removing the needle cap.</w:t>
      </w:r>
    </w:p>
    <w:p w14:paraId="221F3ECE" w14:textId="13E79D04" w:rsidR="00C716D6" w:rsidRPr="007C2F21" w:rsidRDefault="00C716D6" w:rsidP="00364D09">
      <w:pPr>
        <w:rPr>
          <w:color w:val="auto"/>
        </w:rPr>
      </w:pPr>
      <w:r w:rsidRPr="00E26ADF">
        <w:t xml:space="preserve">Inspect Dupixent </w:t>
      </w:r>
      <w:r w:rsidRPr="007C2F21">
        <w:rPr>
          <w:color w:val="auto"/>
        </w:rPr>
        <w:t xml:space="preserve">visually for particulate matter and </w:t>
      </w:r>
      <w:proofErr w:type="spellStart"/>
      <w:r w:rsidRPr="007C2F21">
        <w:rPr>
          <w:color w:val="auto"/>
        </w:rPr>
        <w:t>discolo</w:t>
      </w:r>
      <w:r w:rsidR="007679AE" w:rsidRPr="007C2F21">
        <w:rPr>
          <w:color w:val="auto"/>
        </w:rPr>
        <w:t>u</w:t>
      </w:r>
      <w:r w:rsidRPr="007C2F21">
        <w:rPr>
          <w:color w:val="auto"/>
        </w:rPr>
        <w:t>ration</w:t>
      </w:r>
      <w:proofErr w:type="spellEnd"/>
      <w:r w:rsidRPr="007C2F21">
        <w:rPr>
          <w:color w:val="auto"/>
        </w:rPr>
        <w:t xml:space="preserve"> prior to administration. Dupixent is a clear to slightly opalescent, </w:t>
      </w:r>
      <w:proofErr w:type="spellStart"/>
      <w:r w:rsidRPr="007C2F21">
        <w:rPr>
          <w:color w:val="auto"/>
        </w:rPr>
        <w:t>colo</w:t>
      </w:r>
      <w:r w:rsidR="007679AE" w:rsidRPr="007C2F21">
        <w:rPr>
          <w:color w:val="auto"/>
        </w:rPr>
        <w:t>u</w:t>
      </w:r>
      <w:r w:rsidRPr="007C2F21">
        <w:rPr>
          <w:color w:val="auto"/>
        </w:rPr>
        <w:t>rless</w:t>
      </w:r>
      <w:proofErr w:type="spellEnd"/>
      <w:r w:rsidRPr="007C2F21">
        <w:rPr>
          <w:color w:val="auto"/>
        </w:rPr>
        <w:t xml:space="preserve"> to pale yellow solution. Do not use if the liquid contains visible particulate matter, is </w:t>
      </w:r>
      <w:proofErr w:type="spellStart"/>
      <w:r w:rsidRPr="007C2F21">
        <w:rPr>
          <w:color w:val="auto"/>
        </w:rPr>
        <w:t>discolo</w:t>
      </w:r>
      <w:r w:rsidR="007679AE" w:rsidRPr="007C2F21">
        <w:rPr>
          <w:color w:val="auto"/>
        </w:rPr>
        <w:t>u</w:t>
      </w:r>
      <w:r w:rsidRPr="007C2F21">
        <w:rPr>
          <w:color w:val="auto"/>
        </w:rPr>
        <w:t>red</w:t>
      </w:r>
      <w:proofErr w:type="spellEnd"/>
      <w:r w:rsidRPr="007C2F21">
        <w:rPr>
          <w:color w:val="auto"/>
        </w:rPr>
        <w:t xml:space="preserve"> or cloudy (other than clear to slightly opalescent, </w:t>
      </w:r>
      <w:proofErr w:type="spellStart"/>
      <w:r w:rsidRPr="007C2F21">
        <w:rPr>
          <w:color w:val="auto"/>
        </w:rPr>
        <w:t>colo</w:t>
      </w:r>
      <w:r w:rsidR="007679AE" w:rsidRPr="007C2F21">
        <w:rPr>
          <w:color w:val="auto"/>
        </w:rPr>
        <w:t>u</w:t>
      </w:r>
      <w:r w:rsidRPr="007C2F21">
        <w:rPr>
          <w:color w:val="auto"/>
        </w:rPr>
        <w:t>rless</w:t>
      </w:r>
      <w:proofErr w:type="spellEnd"/>
      <w:r w:rsidRPr="007C2F21">
        <w:rPr>
          <w:color w:val="auto"/>
        </w:rPr>
        <w:t xml:space="preserve"> to pale yellow).  </w:t>
      </w:r>
    </w:p>
    <w:p w14:paraId="23B92128" w14:textId="0D7A1982" w:rsidR="00C716D6" w:rsidRPr="007C2F21" w:rsidRDefault="00C716D6" w:rsidP="00364D09">
      <w:pPr>
        <w:rPr>
          <w:color w:val="auto"/>
        </w:rPr>
      </w:pPr>
      <w:r w:rsidRPr="007C2F21">
        <w:rPr>
          <w:color w:val="auto"/>
        </w:rPr>
        <w:t xml:space="preserve">Dupixent does not contain preservatives; </w:t>
      </w:r>
      <w:r w:rsidR="007408BC" w:rsidRPr="007C2F21">
        <w:rPr>
          <w:color w:val="auto"/>
        </w:rPr>
        <w:t>therefore,</w:t>
      </w:r>
      <w:r w:rsidRPr="007C2F21">
        <w:rPr>
          <w:color w:val="auto"/>
        </w:rPr>
        <w:t xml:space="preserve"> discard any unused product remaining in the pre-filled syringe.</w:t>
      </w:r>
    </w:p>
    <w:p w14:paraId="1039B77A" w14:textId="77777777" w:rsidR="00C716D6" w:rsidRPr="00E26ADF" w:rsidRDefault="00C716D6" w:rsidP="00364D09">
      <w:r w:rsidRPr="00E26ADF">
        <w:t>Comprehensive instructions for administration are given in the package leaflet.</w:t>
      </w:r>
    </w:p>
    <w:p w14:paraId="114082CA" w14:textId="77777777" w:rsidR="00C716D6" w:rsidRPr="00E26ADF" w:rsidRDefault="00C716D6" w:rsidP="00364D09">
      <w:r w:rsidRPr="00E26ADF">
        <w:t xml:space="preserve">If necessary, pre-filled syringes may be kept at room temperature up to 25°C for a maximum of 14 days. Do not store above 25°C. After removal from the refrigerator, Dupixent must be used within 14 days or discarded. </w:t>
      </w:r>
    </w:p>
    <w:p w14:paraId="72E62D16" w14:textId="77777777" w:rsidR="00C716D6" w:rsidRPr="00E26ADF" w:rsidRDefault="00C716D6" w:rsidP="00364D09">
      <w:r w:rsidRPr="00E26ADF">
        <w:t>The pre-filled syringe should not be exposed to heat or direct sunlight.</w:t>
      </w:r>
    </w:p>
    <w:p w14:paraId="035C9D8E" w14:textId="77777777" w:rsidR="00C716D6" w:rsidRPr="00E26ADF" w:rsidRDefault="00C716D6" w:rsidP="00364D09">
      <w:r w:rsidRPr="00E26ADF">
        <w:t>Any unused medicinal product or waste material should be disposed. A puncture-resistant container for disposal of syringes should be used and should be kept out of the reach of children.</w:t>
      </w:r>
    </w:p>
    <w:p w14:paraId="13150E1B" w14:textId="06701FC2" w:rsidR="00C716D6" w:rsidRPr="00E26ADF" w:rsidRDefault="00C716D6" w:rsidP="00364D09">
      <w:pPr>
        <w:pStyle w:val="Heading3"/>
        <w:numPr>
          <w:ilvl w:val="0"/>
          <w:numId w:val="0"/>
        </w:numPr>
        <w:ind w:left="680" w:hanging="680"/>
        <w:rPr>
          <w:lang w:val="en-AU"/>
        </w:rPr>
      </w:pPr>
      <w:r w:rsidRPr="00E26ADF">
        <w:rPr>
          <w:lang w:val="en-AU"/>
        </w:rPr>
        <w:lastRenderedPageBreak/>
        <w:t>A</w:t>
      </w:r>
      <w:r w:rsidR="00364D09" w:rsidRPr="00E26ADF">
        <w:rPr>
          <w:lang w:val="en-AU"/>
        </w:rPr>
        <w:t>dministration</w:t>
      </w:r>
    </w:p>
    <w:p w14:paraId="29CADA28" w14:textId="77777777" w:rsidR="00C716D6" w:rsidRPr="00E26ADF" w:rsidRDefault="00C716D6" w:rsidP="00C716D6">
      <w:r w:rsidRPr="00E26ADF">
        <w:t xml:space="preserve">Dupixent is intended for use under the guidance of a healthcare provider. The patient's caregiver may administer </w:t>
      </w:r>
      <w:proofErr w:type="gramStart"/>
      <w:r w:rsidRPr="00E26ADF">
        <w:t>Dupixent</w:t>
      </w:r>
      <w:proofErr w:type="gramEnd"/>
      <w:r w:rsidRPr="00E26ADF">
        <w:t xml:space="preserve"> or the patient may self-inject it after guidance has been provided by a healthcare professional on proper subcutaneous injection technique. Provide proper training to patients and/or caregivers on the preparation and administration of Dupixent prior to use according to the instruction leaflet inside the pack.</w:t>
      </w:r>
    </w:p>
    <w:p w14:paraId="661FFAC8" w14:textId="77777777" w:rsidR="00C716D6" w:rsidRPr="00E26ADF" w:rsidRDefault="00C716D6" w:rsidP="00C716D6">
      <w:r w:rsidRPr="00E26ADF">
        <w:t xml:space="preserve">Administer subcutaneous injection into the thigh or abdomen, except for the 5 cm (2 inches) around the navel, using a single-dose pre-filled syringe. If somebody else administers the injection, the upper arm can also be used. Rotate the injection site with each injection. </w:t>
      </w:r>
    </w:p>
    <w:p w14:paraId="73E4CB15" w14:textId="77777777" w:rsidR="00C716D6" w:rsidRPr="00E26ADF" w:rsidRDefault="00C716D6" w:rsidP="00C716D6">
      <w:r w:rsidRPr="00E26ADF">
        <w:t>DO NOT inject Dupixent into skin that is tender, damaged or has bruises or scars.</w:t>
      </w:r>
    </w:p>
    <w:p w14:paraId="38BE1A8D" w14:textId="2B4FCB35" w:rsidR="00C716D6" w:rsidRPr="00E26ADF" w:rsidRDefault="00C716D6" w:rsidP="00C716D6">
      <w:r w:rsidRPr="00E26ADF">
        <w:t>In the absence of compatibility studies, this medicinal product must not be mixed with other medicinal products.</w:t>
      </w:r>
    </w:p>
    <w:p w14:paraId="1284B9E2" w14:textId="77777777" w:rsidR="001A3992" w:rsidRPr="00E26ADF" w:rsidRDefault="001A3992" w:rsidP="00966777">
      <w:pPr>
        <w:pStyle w:val="Heading2"/>
        <w:rPr>
          <w:lang w:val="en-AU"/>
        </w:rPr>
      </w:pPr>
      <w:bookmarkStart w:id="8" w:name="_Ref10723799"/>
      <w:r w:rsidRPr="00E26ADF">
        <w:rPr>
          <w:lang w:val="en-AU"/>
        </w:rPr>
        <w:t>Contraindications</w:t>
      </w:r>
      <w:bookmarkEnd w:id="8"/>
    </w:p>
    <w:p w14:paraId="48C7EC39" w14:textId="7ADFA55D" w:rsidR="00C716D6" w:rsidRPr="00E26ADF" w:rsidRDefault="00C716D6" w:rsidP="00966777">
      <w:r w:rsidRPr="00E26ADF">
        <w:t xml:space="preserve">Dupixent is contraindicated in patients who have known hypersensitivity to dupilumab or any of its excipients (see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E123A5">
        <w:rPr>
          <w:color w:val="0000FF"/>
        </w:rPr>
        <w:t>4.4</w:t>
      </w:r>
      <w:r w:rsidR="00187A1E" w:rsidRPr="00E26ADF">
        <w:rPr>
          <w:color w:val="0000FF"/>
        </w:rPr>
        <w:fldChar w:fldCharType="end"/>
      </w:r>
      <w:r w:rsidR="00187A1E" w:rsidRPr="00E26ADF">
        <w:rPr>
          <w:color w:val="0000FF"/>
        </w:rPr>
        <w:t xml:space="preserve"> </w:t>
      </w:r>
      <w:r w:rsidR="00187A1E" w:rsidRPr="00E26ADF">
        <w:t>–</w:t>
      </w:r>
      <w:r w:rsidRPr="00E26ADF">
        <w:t xml:space="preserve"> </w:t>
      </w:r>
      <w:r w:rsidR="00187A1E" w:rsidRPr="00E26ADF">
        <w:t>Special Warnings and Precautions for Use</w:t>
      </w:r>
      <w:r w:rsidRPr="00E26ADF">
        <w:t>).</w:t>
      </w:r>
    </w:p>
    <w:p w14:paraId="720D710E" w14:textId="77777777" w:rsidR="001A3992" w:rsidRPr="00E26ADF" w:rsidRDefault="00E74A56" w:rsidP="00966777">
      <w:pPr>
        <w:pStyle w:val="Heading2"/>
        <w:rPr>
          <w:lang w:val="en-AU"/>
        </w:rPr>
      </w:pPr>
      <w:bookmarkStart w:id="9" w:name="_Ref10723598"/>
      <w:r w:rsidRPr="00E26ADF">
        <w:rPr>
          <w:lang w:val="en-AU"/>
        </w:rPr>
        <w:t>Special warnings and p</w:t>
      </w:r>
      <w:r w:rsidR="001A3992" w:rsidRPr="00E26ADF">
        <w:rPr>
          <w:lang w:val="en-AU"/>
        </w:rPr>
        <w:t xml:space="preserve">recautions </w:t>
      </w:r>
      <w:r w:rsidRPr="00E26ADF">
        <w:rPr>
          <w:lang w:val="en-AU"/>
        </w:rPr>
        <w:t>for use</w:t>
      </w:r>
      <w:bookmarkEnd w:id="9"/>
    </w:p>
    <w:p w14:paraId="1779BBA6" w14:textId="77777777" w:rsidR="00C716D6" w:rsidRPr="00E26ADF" w:rsidRDefault="00C716D6" w:rsidP="00966777">
      <w:proofErr w:type="gramStart"/>
      <w:r w:rsidRPr="00E26ADF">
        <w:t>In order to</w:t>
      </w:r>
      <w:proofErr w:type="gramEnd"/>
      <w:r w:rsidRPr="00E26ADF">
        <w:t xml:space="preserve"> improve the traceability of biological medicines, the tradename and the batch number of the administered product should be clearly recorded in the patient’s medical record and/or dispensing record.</w:t>
      </w:r>
    </w:p>
    <w:p w14:paraId="3420803C" w14:textId="77777777" w:rsidR="00C716D6" w:rsidRPr="00E26ADF" w:rsidRDefault="00C716D6" w:rsidP="00966777">
      <w:pPr>
        <w:pStyle w:val="Heading3"/>
        <w:numPr>
          <w:ilvl w:val="0"/>
          <w:numId w:val="0"/>
        </w:numPr>
        <w:ind w:left="680" w:hanging="680"/>
        <w:rPr>
          <w:lang w:val="en-AU"/>
        </w:rPr>
      </w:pPr>
      <w:r w:rsidRPr="00E26ADF">
        <w:rPr>
          <w:lang w:val="en-AU"/>
        </w:rPr>
        <w:t>Hypersensitivity</w:t>
      </w:r>
    </w:p>
    <w:p w14:paraId="09910AD7" w14:textId="229A75C8" w:rsidR="00CF7743" w:rsidRPr="008E3B63" w:rsidRDefault="00C716D6" w:rsidP="008E3B63">
      <w:r w:rsidRPr="00E26ADF">
        <w:t>If a systemic hypersensitivity reaction occurs, administration of Dupixent should be discontinued immediately and appropriate therapy initiated</w:t>
      </w:r>
      <w:r w:rsidRPr="008E3B63">
        <w:rPr>
          <w:color w:val="auto"/>
        </w:rPr>
        <w:t xml:space="preserve">.  </w:t>
      </w:r>
      <w:r w:rsidR="00CF7743" w:rsidRPr="008E3B63">
        <w:rPr>
          <w:color w:val="auto"/>
        </w:rPr>
        <w:t xml:space="preserve">Hypersensitivity reactions, including anaphylaxis, serum sickness or serum sickness-like reactions and angioedema, have been reported </w:t>
      </w:r>
      <w:r w:rsidR="002E7DE1" w:rsidRPr="00E26ADF">
        <w:t xml:space="preserve">(see </w:t>
      </w:r>
      <w:r w:rsidR="00187A1E" w:rsidRPr="00E26ADF">
        <w:t xml:space="preserve">Section </w:t>
      </w:r>
      <w:r w:rsidR="00187A1E" w:rsidRPr="00E26ADF">
        <w:rPr>
          <w:color w:val="0000FF"/>
        </w:rPr>
        <w:fldChar w:fldCharType="begin"/>
      </w:r>
      <w:r w:rsidR="00187A1E" w:rsidRPr="00E26ADF">
        <w:rPr>
          <w:color w:val="0000FF"/>
        </w:rPr>
        <w:instrText xml:space="preserve"> REF _Ref10723649 \r \h  \* MERGEFORMAT </w:instrText>
      </w:r>
      <w:r w:rsidR="00187A1E" w:rsidRPr="00E26ADF">
        <w:rPr>
          <w:color w:val="0000FF"/>
        </w:rPr>
      </w:r>
      <w:r w:rsidR="00187A1E" w:rsidRPr="00E26ADF">
        <w:rPr>
          <w:color w:val="0000FF"/>
        </w:rPr>
        <w:fldChar w:fldCharType="separate"/>
      </w:r>
      <w:r w:rsidR="00E123A5">
        <w:rPr>
          <w:color w:val="0000FF"/>
        </w:rPr>
        <w:t>4.8</w:t>
      </w:r>
      <w:r w:rsidR="00187A1E" w:rsidRPr="00E26ADF">
        <w:rPr>
          <w:color w:val="0000FF"/>
        </w:rPr>
        <w:fldChar w:fldCharType="end"/>
      </w:r>
      <w:r w:rsidR="00187A1E" w:rsidRPr="00E26ADF">
        <w:rPr>
          <w:color w:val="0000FF"/>
        </w:rPr>
        <w:t xml:space="preserve"> </w:t>
      </w:r>
      <w:r w:rsidR="00187A1E" w:rsidRPr="00E26ADF">
        <w:t>–</w:t>
      </w:r>
      <w:r w:rsidR="002E7DE1" w:rsidRPr="00E26ADF">
        <w:t xml:space="preserve"> </w:t>
      </w:r>
      <w:r w:rsidR="00187A1E" w:rsidRPr="00E26ADF">
        <w:t>Adverse Effects (Undesirable Effects))</w:t>
      </w:r>
      <w:r w:rsidRPr="00E26ADF">
        <w:t>.</w:t>
      </w:r>
    </w:p>
    <w:p w14:paraId="0B281252" w14:textId="77777777" w:rsidR="00C716D6" w:rsidRPr="00E26ADF" w:rsidRDefault="00C716D6" w:rsidP="00966777">
      <w:pPr>
        <w:pStyle w:val="Heading3"/>
        <w:numPr>
          <w:ilvl w:val="0"/>
          <w:numId w:val="0"/>
        </w:numPr>
        <w:ind w:left="680" w:hanging="680"/>
        <w:rPr>
          <w:lang w:val="en-AU"/>
        </w:rPr>
      </w:pPr>
      <w:r w:rsidRPr="00E26ADF">
        <w:rPr>
          <w:lang w:val="en-AU"/>
        </w:rPr>
        <w:t>Helminth Infection</w:t>
      </w:r>
    </w:p>
    <w:p w14:paraId="1B538F49" w14:textId="6E021AAD" w:rsidR="00C716D6" w:rsidRPr="00E26ADF" w:rsidRDefault="00C716D6" w:rsidP="00966777">
      <w:r w:rsidRPr="00E26ADF">
        <w:t>Patients with known helminth infections were excluded from part</w:t>
      </w:r>
      <w:r w:rsidR="00187A1E" w:rsidRPr="00E26ADF">
        <w:t xml:space="preserve">icipation in clinical studies. </w:t>
      </w:r>
      <w:r w:rsidRPr="00E26ADF">
        <w:t>It is unknown if Dupixent will influence the immune respons</w:t>
      </w:r>
      <w:r w:rsidR="00187A1E" w:rsidRPr="00E26ADF">
        <w:t xml:space="preserve">e against helminth infections. </w:t>
      </w:r>
      <w:r w:rsidRPr="00E26ADF">
        <w:t>Treat patients with pre-existing helminth infecti</w:t>
      </w:r>
      <w:r w:rsidR="00187A1E" w:rsidRPr="00E26ADF">
        <w:t>ons before initiating Dupixent.</w:t>
      </w:r>
      <w:r w:rsidRPr="00E26ADF">
        <w:t xml:space="preserve"> If patients become infected while receiving treatment with Dupixent and do not respond to anti-helminth treatment, discontinue treatment with Dupixent until infection resolves.</w:t>
      </w:r>
    </w:p>
    <w:p w14:paraId="6FAC9F89" w14:textId="7A3A7DB0" w:rsidR="00C716D6" w:rsidRPr="00E26ADF" w:rsidRDefault="00364D09" w:rsidP="00966777">
      <w:pPr>
        <w:pStyle w:val="Heading3"/>
        <w:numPr>
          <w:ilvl w:val="0"/>
          <w:numId w:val="0"/>
        </w:numPr>
        <w:ind w:left="680" w:hanging="680"/>
        <w:rPr>
          <w:lang w:val="en-AU"/>
        </w:rPr>
      </w:pPr>
      <w:r w:rsidRPr="00E26ADF">
        <w:rPr>
          <w:lang w:val="en-AU"/>
        </w:rPr>
        <w:t>Conjunctivitis and Keratitis</w:t>
      </w:r>
    </w:p>
    <w:p w14:paraId="4C713791" w14:textId="52C34958" w:rsidR="00C716D6" w:rsidRDefault="00C716D6" w:rsidP="009A177F">
      <w:pPr>
        <w:jc w:val="both"/>
      </w:pPr>
      <w:r w:rsidRPr="00E26ADF">
        <w:t>Conjunctivitis and kerati</w:t>
      </w:r>
      <w:r w:rsidR="00180B67" w:rsidRPr="00E26ADF">
        <w:t>tis</w:t>
      </w:r>
      <w:r w:rsidR="00180B67" w:rsidRPr="009A177F">
        <w:t xml:space="preserve"> </w:t>
      </w:r>
      <w:r w:rsidR="009A177F" w:rsidRPr="007C2F21">
        <w:rPr>
          <w:color w:val="auto"/>
        </w:rPr>
        <w:t>have been report</w:t>
      </w:r>
      <w:r w:rsidR="00A12ED2" w:rsidRPr="007C2F21">
        <w:rPr>
          <w:color w:val="auto"/>
        </w:rPr>
        <w:t>ed</w:t>
      </w:r>
      <w:r w:rsidR="009A177F" w:rsidRPr="007C2F21">
        <w:rPr>
          <w:color w:val="auto"/>
        </w:rPr>
        <w:t xml:space="preserve"> with Dupixent, predominantly</w:t>
      </w:r>
      <w:r w:rsidR="00BD79E4" w:rsidRPr="007C2F21">
        <w:rPr>
          <w:color w:val="auto"/>
        </w:rPr>
        <w:t xml:space="preserve"> </w:t>
      </w:r>
      <w:r w:rsidR="00180B67" w:rsidRPr="007C2F21">
        <w:rPr>
          <w:color w:val="auto"/>
        </w:rPr>
        <w:t>in</w:t>
      </w:r>
      <w:r w:rsidRPr="007C2F21">
        <w:rPr>
          <w:color w:val="auto"/>
        </w:rPr>
        <w:t xml:space="preserve"> </w:t>
      </w:r>
      <w:r w:rsidR="00B55554" w:rsidRPr="007C2F21">
        <w:rPr>
          <w:color w:val="auto"/>
        </w:rPr>
        <w:t>atopic dermatitis patients</w:t>
      </w:r>
      <w:r w:rsidRPr="007C2F21">
        <w:rPr>
          <w:color w:val="auto"/>
        </w:rPr>
        <w:t xml:space="preserve">. </w:t>
      </w:r>
      <w:r w:rsidR="009A177F" w:rsidRPr="007C2F21">
        <w:rPr>
          <w:color w:val="auto"/>
        </w:rPr>
        <w:t xml:space="preserve"> Some patients reported visual disturbances (</w:t>
      </w:r>
      <w:proofErr w:type="spellStart"/>
      <w:r w:rsidR="009A177F" w:rsidRPr="007C2F21">
        <w:rPr>
          <w:color w:val="auto"/>
        </w:rPr>
        <w:t>eg</w:t>
      </w:r>
      <w:proofErr w:type="spellEnd"/>
      <w:r w:rsidR="009A177F" w:rsidRPr="007C2F21">
        <w:rPr>
          <w:color w:val="auto"/>
        </w:rPr>
        <w:t xml:space="preserve">: blurred vision) associated with conjunctivitis or keratitis. </w:t>
      </w:r>
      <w:r w:rsidR="007B1D9C" w:rsidRPr="007C2F21">
        <w:rPr>
          <w:color w:val="auto"/>
        </w:rPr>
        <w:t xml:space="preserve"> In patients with CRSwNP, the frequency of conjunctivitis was </w:t>
      </w:r>
      <w:r w:rsidR="007B1D9C" w:rsidRPr="007C2F21">
        <w:rPr>
          <w:color w:val="auto"/>
        </w:rPr>
        <w:lastRenderedPageBreak/>
        <w:t>low, although the frequency in the Dupixent group was higher than in the placebo group.</w:t>
      </w:r>
      <w:r w:rsidR="007B1D9C" w:rsidRPr="007C2F21">
        <w:rPr>
          <w:b/>
          <w:bCs/>
          <w:color w:val="auto"/>
          <w:sz w:val="22"/>
          <w:szCs w:val="22"/>
        </w:rPr>
        <w:t xml:space="preserve"> </w:t>
      </w:r>
      <w:r w:rsidRPr="007C2F21">
        <w:rPr>
          <w:color w:val="auto"/>
        </w:rPr>
        <w:t>Advise patients to report new onset or worsening eye symptoms to their healthcare provider.</w:t>
      </w:r>
      <w:r w:rsidR="009A177F" w:rsidRPr="007C2F21">
        <w:rPr>
          <w:color w:val="auto"/>
        </w:rPr>
        <w:t xml:space="preserve"> Patients treated with Dupixent who develop conjunctivitis </w:t>
      </w:r>
      <w:r w:rsidR="009A177F" w:rsidRPr="009A177F">
        <w:t xml:space="preserve">that does not resolve following standard treatment or signs and symptoms suggestive of keratitis should undergo ophthalmological examination, as appropriate (see Section </w:t>
      </w:r>
      <w:proofErr w:type="spellStart"/>
      <w:r w:rsidR="009A177F">
        <w:t>Section</w:t>
      </w:r>
      <w:proofErr w:type="spellEnd"/>
      <w:r w:rsidR="009A177F">
        <w:t xml:space="preserve"> </w:t>
      </w:r>
      <w:r w:rsidR="009A177F" w:rsidRPr="009A177F">
        <w:rPr>
          <w:color w:val="0000FF"/>
        </w:rPr>
        <w:fldChar w:fldCharType="begin"/>
      </w:r>
      <w:r w:rsidR="009A177F" w:rsidRPr="009A177F">
        <w:rPr>
          <w:color w:val="0000FF"/>
        </w:rPr>
        <w:instrText xml:space="preserve"> REF _Ref10723649 \r \h  \* MERGEFORMAT </w:instrText>
      </w:r>
      <w:r w:rsidR="009A177F" w:rsidRPr="009A177F">
        <w:rPr>
          <w:color w:val="0000FF"/>
        </w:rPr>
      </w:r>
      <w:r w:rsidR="009A177F" w:rsidRPr="009A177F">
        <w:rPr>
          <w:color w:val="0000FF"/>
        </w:rPr>
        <w:fldChar w:fldCharType="separate"/>
      </w:r>
      <w:r w:rsidR="00E123A5">
        <w:rPr>
          <w:color w:val="0000FF"/>
        </w:rPr>
        <w:t>4.8</w:t>
      </w:r>
      <w:r w:rsidR="009A177F" w:rsidRPr="009A177F">
        <w:rPr>
          <w:color w:val="0000FF"/>
        </w:rPr>
        <w:fldChar w:fldCharType="end"/>
      </w:r>
      <w:r w:rsidR="009A177F" w:rsidRPr="009A177F">
        <w:t xml:space="preserve"> – Adverse Effects (Undesirable Effects)</w:t>
      </w:r>
      <w:r w:rsidR="00383D2B">
        <w:t>).</w:t>
      </w:r>
    </w:p>
    <w:p w14:paraId="548B017C" w14:textId="77777777" w:rsidR="00B70363" w:rsidRPr="0055065C" w:rsidRDefault="00B70363" w:rsidP="000F4CA2">
      <w:pPr>
        <w:spacing w:before="0"/>
        <w:rPr>
          <w:i/>
          <w:iCs/>
          <w:color w:val="008000"/>
          <w:sz w:val="22"/>
          <w:szCs w:val="22"/>
        </w:rPr>
      </w:pPr>
    </w:p>
    <w:p w14:paraId="092C4290" w14:textId="70A367B2" w:rsidR="00C716D6" w:rsidRPr="00E26ADF" w:rsidRDefault="00C716D6" w:rsidP="00966777">
      <w:r w:rsidRPr="00E26ADF">
        <w:t>In</w:t>
      </w:r>
      <w:r w:rsidR="00AE5233" w:rsidRPr="00E26ADF">
        <w:t xml:space="preserve"> the</w:t>
      </w:r>
      <w:r w:rsidRPr="00E26ADF">
        <w:t xml:space="preserve"> atopic dermatitis clinical program, keratitis was reported in &lt;1% of the Dupixent group (1 per 100 subject-years) and in 0% of the placebo group (0 per 100 subject-years) in the 16-week monotherapy trials. In the 52-week Dupixent+ topical corticosteroids (TCS) trial in patients with atopic dermatitis, keratitis was reported in 4% of the </w:t>
      </w:r>
      <w:proofErr w:type="spellStart"/>
      <w:r w:rsidRPr="00E26ADF">
        <w:t>Dupixent+TCS</w:t>
      </w:r>
      <w:proofErr w:type="spellEnd"/>
      <w:r w:rsidRPr="00E26ADF">
        <w:t xml:space="preserve"> group (12 per 100 subject-years) and in 0% of the placebo + TCS group (0 per 100 subject-years). Most subjects with keratitis recovered or were recovering during the treatment period </w:t>
      </w:r>
      <w:r w:rsidR="00187A1E" w:rsidRPr="00E26ADF">
        <w:t xml:space="preserve">(see Section </w:t>
      </w:r>
      <w:r w:rsidR="00187A1E" w:rsidRPr="00E26ADF">
        <w:rPr>
          <w:color w:val="0000FF"/>
        </w:rPr>
        <w:fldChar w:fldCharType="begin"/>
      </w:r>
      <w:r w:rsidR="00187A1E" w:rsidRPr="00E26ADF">
        <w:rPr>
          <w:color w:val="0000FF"/>
        </w:rPr>
        <w:instrText xml:space="preserve"> REF _Ref10723649 \r \h  \* MERGEFORMAT </w:instrText>
      </w:r>
      <w:r w:rsidR="00187A1E" w:rsidRPr="00E26ADF">
        <w:rPr>
          <w:color w:val="0000FF"/>
        </w:rPr>
      </w:r>
      <w:r w:rsidR="00187A1E" w:rsidRPr="00E26ADF">
        <w:rPr>
          <w:color w:val="0000FF"/>
        </w:rPr>
        <w:fldChar w:fldCharType="separate"/>
      </w:r>
      <w:r w:rsidR="00E123A5">
        <w:rPr>
          <w:color w:val="0000FF"/>
        </w:rPr>
        <w:t>4.8</w:t>
      </w:r>
      <w:r w:rsidR="00187A1E" w:rsidRPr="00E26ADF">
        <w:rPr>
          <w:color w:val="0000FF"/>
        </w:rPr>
        <w:fldChar w:fldCharType="end"/>
      </w:r>
      <w:r w:rsidR="00187A1E" w:rsidRPr="00E26ADF">
        <w:rPr>
          <w:color w:val="0000FF"/>
        </w:rPr>
        <w:t xml:space="preserve"> </w:t>
      </w:r>
      <w:r w:rsidR="00187A1E" w:rsidRPr="00E26ADF">
        <w:t>– Adverse Effects (Undesirable Effects))</w:t>
      </w:r>
      <w:r w:rsidRPr="00E26ADF">
        <w:t xml:space="preserve"> Advise patients to report new onset or worsening eye symptoms to their healthcare provider.</w:t>
      </w:r>
    </w:p>
    <w:p w14:paraId="6306E921" w14:textId="3B08CE10" w:rsidR="00C716D6" w:rsidRPr="00E26ADF" w:rsidRDefault="00364D09" w:rsidP="00C716D6">
      <w:pPr>
        <w:rPr>
          <w:rFonts w:ascii="Arial" w:eastAsia="MS Gothic" w:hAnsi="Arial" w:cs="Arial"/>
          <w:b/>
          <w:color w:val="auto"/>
          <w:kern w:val="32"/>
          <w:sz w:val="22"/>
          <w:szCs w:val="26"/>
        </w:rPr>
      </w:pPr>
      <w:r w:rsidRPr="00E26ADF">
        <w:rPr>
          <w:rFonts w:ascii="Arial" w:eastAsia="MS Gothic" w:hAnsi="Arial" w:cs="Arial"/>
          <w:b/>
          <w:color w:val="auto"/>
          <w:kern w:val="32"/>
          <w:sz w:val="22"/>
          <w:szCs w:val="26"/>
        </w:rPr>
        <w:t>Concomitant Atopic Conditions</w:t>
      </w:r>
    </w:p>
    <w:p w14:paraId="00083A64" w14:textId="47AC57AE" w:rsidR="007F4E3E" w:rsidRDefault="00C716D6" w:rsidP="00966777">
      <w:r w:rsidRPr="00E26ADF">
        <w:t xml:space="preserve">Patients with atopic dermatitis </w:t>
      </w:r>
      <w:r w:rsidR="007F4E3E" w:rsidRPr="007C2F21">
        <w:t xml:space="preserve">or CRSwNP </w:t>
      </w:r>
      <w:r w:rsidRPr="00E26ADF">
        <w:t>and comorbid atopic conditions (such as asthma) should be advised not to adjust their treatment without consultation with their physicians. When discontinuing Dupixent consider the potential effects on other atopic conditions.</w:t>
      </w:r>
    </w:p>
    <w:p w14:paraId="46260777" w14:textId="77777777" w:rsidR="00C716D6" w:rsidRPr="00E26ADF" w:rsidRDefault="00C716D6" w:rsidP="00C716D6">
      <w:pPr>
        <w:rPr>
          <w:rFonts w:ascii="Arial" w:eastAsia="MS Gothic" w:hAnsi="Arial" w:cs="Arial"/>
          <w:b/>
          <w:color w:val="auto"/>
          <w:kern w:val="32"/>
          <w:sz w:val="22"/>
          <w:szCs w:val="26"/>
        </w:rPr>
      </w:pPr>
      <w:r w:rsidRPr="00E26ADF">
        <w:rPr>
          <w:rFonts w:ascii="Arial" w:eastAsia="MS Gothic" w:hAnsi="Arial" w:cs="Arial"/>
          <w:b/>
          <w:color w:val="auto"/>
          <w:kern w:val="32"/>
          <w:sz w:val="22"/>
          <w:szCs w:val="26"/>
        </w:rPr>
        <w:t>Eosinophilic Conditions</w:t>
      </w:r>
    </w:p>
    <w:p w14:paraId="3BF92BFC" w14:textId="64493DB8" w:rsidR="00C716D6" w:rsidRPr="007679AE" w:rsidRDefault="00C716D6" w:rsidP="007C2F21">
      <w:pPr>
        <w:rPr>
          <w:rFonts w:eastAsiaTheme="minorHAnsi"/>
          <w:color w:val="0000FF"/>
          <w:u w:val="double"/>
        </w:rPr>
      </w:pPr>
      <w:r w:rsidRPr="00E26ADF">
        <w:t xml:space="preserve">Patients being treated for asthma may present with serious systemic eosinophilia sometimes presenting with clinical features of eosinophilic pneumonia or vasculitis consistent with eosinophilic granulomatosis with polyangiitis, conditions which are often treated with systemic corticosteroid therapy. These events usually, but not always, may be associated with the reduction of oral corticosteroid therapy. Physicians should be alert to </w:t>
      </w:r>
      <w:proofErr w:type="spellStart"/>
      <w:r w:rsidRPr="00E26ADF">
        <w:t>vasculitic</w:t>
      </w:r>
      <w:proofErr w:type="spellEnd"/>
      <w:r w:rsidRPr="00E26ADF">
        <w:t xml:space="preserve"> rash, worsening </w:t>
      </w:r>
      <w:r w:rsidRPr="007C2F21">
        <w:rPr>
          <w:color w:val="auto"/>
        </w:rPr>
        <w:t>pulmonary symptoms, cardiac complications, and/or neuropathy presenting in their patients with eosinophilia.</w:t>
      </w:r>
      <w:r w:rsidR="00180B67" w:rsidRPr="007C2F21">
        <w:rPr>
          <w:color w:val="auto"/>
        </w:rPr>
        <w:t xml:space="preserve"> </w:t>
      </w:r>
      <w:r w:rsidR="00AE5233" w:rsidRPr="007C2F21">
        <w:rPr>
          <w:color w:val="auto"/>
        </w:rPr>
        <w:t>C</w:t>
      </w:r>
      <w:r w:rsidRPr="007C2F21">
        <w:rPr>
          <w:color w:val="auto"/>
        </w:rPr>
        <w:t xml:space="preserve">ases of eosinophilic pneumonia </w:t>
      </w:r>
      <w:r w:rsidR="007679AE" w:rsidRPr="007C2F21">
        <w:rPr>
          <w:rFonts w:eastAsiaTheme="minorHAnsi"/>
          <w:color w:val="auto"/>
        </w:rPr>
        <w:t>were reported in adult patients who participated in the asthma development program</w:t>
      </w:r>
      <w:r w:rsidR="007679AE" w:rsidRPr="007C2F21">
        <w:rPr>
          <w:rFonts w:eastAsiaTheme="minorHAnsi"/>
          <w:b/>
          <w:bCs/>
          <w:color w:val="auto"/>
          <w:sz w:val="22"/>
          <w:szCs w:val="22"/>
        </w:rPr>
        <w:t xml:space="preserve"> </w:t>
      </w:r>
      <w:r w:rsidRPr="007C2F21">
        <w:rPr>
          <w:color w:val="auto"/>
        </w:rPr>
        <w:t xml:space="preserve">and </w:t>
      </w:r>
      <w:r w:rsidR="007679AE" w:rsidRPr="007C2F21">
        <w:rPr>
          <w:color w:val="auto"/>
        </w:rPr>
        <w:t xml:space="preserve">cases </w:t>
      </w:r>
      <w:r w:rsidRPr="007C2F21">
        <w:rPr>
          <w:color w:val="auto"/>
        </w:rPr>
        <w:t xml:space="preserve">of vasculitis consistent with eosinophilic granulomatosis with polyangiitis </w:t>
      </w:r>
      <w:r w:rsidR="00CC6603" w:rsidRPr="007C2F21">
        <w:rPr>
          <w:color w:val="auto"/>
        </w:rPr>
        <w:t xml:space="preserve">(EGPA) </w:t>
      </w:r>
      <w:r w:rsidRPr="007C2F21">
        <w:rPr>
          <w:color w:val="auto"/>
        </w:rPr>
        <w:t>have been reported with Dupixent in adult patients who participated in the asthma development program</w:t>
      </w:r>
      <w:r w:rsidR="00CC6603" w:rsidRPr="007C2F21">
        <w:rPr>
          <w:color w:val="auto"/>
        </w:rPr>
        <w:t xml:space="preserve"> as well as in adult patients with co-morbid asthma in the CRSwNP development program</w:t>
      </w:r>
      <w:r w:rsidRPr="007C2F21">
        <w:rPr>
          <w:color w:val="auto"/>
        </w:rPr>
        <w:t xml:space="preserve">. </w:t>
      </w:r>
      <w:r w:rsidRPr="00E26ADF">
        <w:t xml:space="preserve">A causal association between Dupilumab and these conditions has not been established. </w:t>
      </w:r>
    </w:p>
    <w:p w14:paraId="2675455B" w14:textId="77777777" w:rsidR="00C716D6" w:rsidRPr="00E26ADF" w:rsidRDefault="00C716D6" w:rsidP="00966777">
      <w:pPr>
        <w:pStyle w:val="Heading3"/>
        <w:numPr>
          <w:ilvl w:val="0"/>
          <w:numId w:val="0"/>
        </w:numPr>
        <w:ind w:left="680" w:hanging="680"/>
        <w:rPr>
          <w:lang w:val="en-AU"/>
        </w:rPr>
      </w:pPr>
      <w:r w:rsidRPr="00E26ADF">
        <w:rPr>
          <w:lang w:val="en-AU"/>
        </w:rPr>
        <w:t>Acute Asthma Symptoms or Deteriorating Disease</w:t>
      </w:r>
    </w:p>
    <w:p w14:paraId="201D9664" w14:textId="3C659BCB" w:rsidR="006C5023" w:rsidRPr="00E26ADF" w:rsidRDefault="00C716D6" w:rsidP="00C716D6">
      <w:pPr>
        <w:rPr>
          <w:color w:val="auto"/>
        </w:rPr>
      </w:pPr>
      <w:r w:rsidRPr="00E26ADF">
        <w:rPr>
          <w:color w:val="auto"/>
        </w:rPr>
        <w:t xml:space="preserve">Dupixent should not be used to treat acute asthma symptoms or acute exacerbations. Do not use Dupixent to treat acute bronchospasm or status asthmaticus. </w:t>
      </w:r>
    </w:p>
    <w:p w14:paraId="2AF44E3C" w14:textId="77777777" w:rsidR="00C716D6" w:rsidRPr="00E26ADF" w:rsidRDefault="00C716D6" w:rsidP="00966777">
      <w:pPr>
        <w:pStyle w:val="Heading3"/>
        <w:numPr>
          <w:ilvl w:val="0"/>
          <w:numId w:val="0"/>
        </w:numPr>
        <w:ind w:left="680" w:hanging="680"/>
        <w:rPr>
          <w:lang w:val="en-AU"/>
        </w:rPr>
      </w:pPr>
      <w:r w:rsidRPr="00E26ADF">
        <w:rPr>
          <w:lang w:val="en-AU"/>
        </w:rPr>
        <w:t>Reduction of Corticosteroid Dosage</w:t>
      </w:r>
    </w:p>
    <w:p w14:paraId="279C3C23" w14:textId="5FEFD4FC" w:rsidR="002B4B84" w:rsidRPr="00E26ADF" w:rsidRDefault="00C716D6" w:rsidP="00DE4B77">
      <w:pPr>
        <w:rPr>
          <w:color w:val="auto"/>
        </w:rPr>
      </w:pPr>
      <w:r w:rsidRPr="00E26ADF">
        <w:rPr>
          <w:color w:val="auto"/>
        </w:rPr>
        <w:t xml:space="preserve">Do not discontinue systemic, topical, or inhaled corticosteroids abruptly upon initiation of therapy with Dupixent. Reductions in corticosteroid dose, if appropriate, should be gradual and performed under the direct supervision of a physician. Reduction in corticosteroid dose </w:t>
      </w:r>
      <w:r w:rsidRPr="00E26ADF">
        <w:rPr>
          <w:color w:val="auto"/>
        </w:rPr>
        <w:lastRenderedPageBreak/>
        <w:t>may be associated with systemic withdrawal symptoms and/or unmask conditions previously suppressed by systemic corticosteroid therapy.</w:t>
      </w:r>
    </w:p>
    <w:p w14:paraId="0380A813" w14:textId="77777777" w:rsidR="001A3992" w:rsidRPr="00E26ADF" w:rsidRDefault="001A3992" w:rsidP="00966777">
      <w:pPr>
        <w:pStyle w:val="Heading3"/>
        <w:numPr>
          <w:ilvl w:val="0"/>
          <w:numId w:val="0"/>
        </w:numPr>
        <w:ind w:left="680" w:hanging="680"/>
        <w:rPr>
          <w:lang w:val="en-AU"/>
        </w:rPr>
      </w:pPr>
      <w:r w:rsidRPr="00E26ADF">
        <w:rPr>
          <w:lang w:val="en-AU"/>
        </w:rPr>
        <w:t>Use in the elderly</w:t>
      </w:r>
    </w:p>
    <w:p w14:paraId="26FCA8C2" w14:textId="2A5932B2" w:rsidR="002B4B84" w:rsidRPr="00E26ADF" w:rsidRDefault="002B4B84" w:rsidP="002B4B84">
      <w:pPr>
        <w:rPr>
          <w:color w:val="auto"/>
        </w:rPr>
      </w:pPr>
      <w:r w:rsidRPr="00E26ADF">
        <w:t>Of the 1472 patients with atopic dermatitis exposed to Dupixent in a phase 2 dose-ranging s</w:t>
      </w:r>
      <w:r w:rsidRPr="00E26ADF">
        <w:rPr>
          <w:color w:val="auto"/>
        </w:rPr>
        <w:t>tudy or phase 3 placebo-controlled studies, a total of 67 were 65 years or older. Although no differences in safety or efficacy were observed between older and younger adult atopic dermatitis patients, the number of patients aged 65 and over is not sufficient to determine whether they respond differently from younger patients.</w:t>
      </w:r>
    </w:p>
    <w:p w14:paraId="79BC8DC8" w14:textId="7E1CAFE4" w:rsidR="00477BD3" w:rsidRPr="00E26ADF" w:rsidRDefault="002B4B84" w:rsidP="00477BD3">
      <w:pPr>
        <w:rPr>
          <w:color w:val="auto"/>
        </w:rPr>
      </w:pPr>
      <w:r w:rsidRPr="00E26ADF">
        <w:rPr>
          <w:color w:val="auto"/>
        </w:rPr>
        <w:t xml:space="preserve">Of the 1977 patients with asthma exposed to Dupixent, a total of 240 patients were 65 years or older and 39 patients were 75 years or older. Efficacy and safety in this age group was </w:t>
      </w:r>
      <w:proofErr w:type="gramStart"/>
      <w:r w:rsidRPr="00E26ADF">
        <w:rPr>
          <w:color w:val="auto"/>
        </w:rPr>
        <w:t>similar to</w:t>
      </w:r>
      <w:proofErr w:type="gramEnd"/>
      <w:r w:rsidRPr="00E26ADF">
        <w:rPr>
          <w:color w:val="auto"/>
        </w:rPr>
        <w:t xml:space="preserve"> the overall study population.</w:t>
      </w:r>
    </w:p>
    <w:p w14:paraId="51982A4A" w14:textId="77777777" w:rsidR="001A3992" w:rsidRPr="00E26ADF" w:rsidRDefault="001A3992" w:rsidP="00966777">
      <w:pPr>
        <w:pStyle w:val="Heading3"/>
        <w:numPr>
          <w:ilvl w:val="0"/>
          <w:numId w:val="0"/>
        </w:numPr>
        <w:ind w:left="680" w:hanging="680"/>
        <w:rPr>
          <w:lang w:val="en-AU"/>
        </w:rPr>
      </w:pPr>
      <w:r w:rsidRPr="00E26ADF">
        <w:rPr>
          <w:lang w:val="en-AU"/>
        </w:rPr>
        <w:t>Paediatric use</w:t>
      </w:r>
    </w:p>
    <w:p w14:paraId="17420C7F" w14:textId="4264F244" w:rsidR="00144E03" w:rsidRPr="00E26ADF" w:rsidRDefault="00144E03" w:rsidP="00966777">
      <w:pPr>
        <w:pStyle w:val="Heading4"/>
        <w:numPr>
          <w:ilvl w:val="0"/>
          <w:numId w:val="0"/>
        </w:numPr>
        <w:ind w:left="862" w:hanging="862"/>
        <w:rPr>
          <w:lang w:val="en-AU"/>
        </w:rPr>
      </w:pPr>
      <w:r w:rsidRPr="00E26ADF">
        <w:rPr>
          <w:lang w:val="en-AU"/>
        </w:rPr>
        <w:t>Atopic Dermatitis</w:t>
      </w:r>
    </w:p>
    <w:p w14:paraId="20F4384C" w14:textId="70CE6F1B" w:rsidR="002B4B84" w:rsidRDefault="00725590" w:rsidP="002B4B84">
      <w:pPr>
        <w:rPr>
          <w:color w:val="auto"/>
        </w:rPr>
      </w:pPr>
      <w:r w:rsidRPr="00E26ADF">
        <w:rPr>
          <w:color w:val="auto"/>
        </w:rPr>
        <w:t xml:space="preserve">Safety and </w:t>
      </w:r>
      <w:r w:rsidRPr="0050145A">
        <w:rPr>
          <w:color w:val="auto"/>
        </w:rPr>
        <w:t xml:space="preserve">efficacy in </w:t>
      </w:r>
      <w:r w:rsidR="00780900" w:rsidRPr="0050145A">
        <w:rPr>
          <w:color w:val="auto"/>
        </w:rPr>
        <w:t xml:space="preserve">children below the age of </w:t>
      </w:r>
      <w:r w:rsidR="00FF5408" w:rsidRPr="007C2F21">
        <w:rPr>
          <w:color w:val="auto"/>
        </w:rPr>
        <w:t>6</w:t>
      </w:r>
      <w:r w:rsidR="0042364E" w:rsidRPr="00FF5408">
        <w:rPr>
          <w:color w:val="auto"/>
        </w:rPr>
        <w:t xml:space="preserve"> </w:t>
      </w:r>
      <w:r w:rsidRPr="0050145A">
        <w:rPr>
          <w:color w:val="auto"/>
        </w:rPr>
        <w:t xml:space="preserve">years </w:t>
      </w:r>
      <w:r w:rsidRPr="00E26ADF">
        <w:rPr>
          <w:color w:val="auto"/>
        </w:rPr>
        <w:t>with atopic dermatitis have not been established.</w:t>
      </w:r>
    </w:p>
    <w:p w14:paraId="39351F1A" w14:textId="77777777" w:rsidR="00144E03" w:rsidRPr="00E26ADF" w:rsidRDefault="00144E03" w:rsidP="00966777">
      <w:pPr>
        <w:pStyle w:val="Heading4"/>
        <w:numPr>
          <w:ilvl w:val="0"/>
          <w:numId w:val="0"/>
        </w:numPr>
        <w:ind w:left="862" w:hanging="862"/>
        <w:rPr>
          <w:b w:val="0"/>
          <w:lang w:val="en-AU"/>
        </w:rPr>
      </w:pPr>
      <w:r w:rsidRPr="00E26ADF">
        <w:rPr>
          <w:lang w:val="en-AU"/>
        </w:rPr>
        <w:t>Asthma</w:t>
      </w:r>
    </w:p>
    <w:p w14:paraId="47B25E32" w14:textId="46B045D4" w:rsidR="00725590" w:rsidRPr="00E26ADF" w:rsidRDefault="00725590" w:rsidP="00725590">
      <w:pPr>
        <w:rPr>
          <w:color w:val="auto"/>
        </w:rPr>
      </w:pPr>
      <w:r w:rsidRPr="00E26ADF">
        <w:rPr>
          <w:color w:val="auto"/>
        </w:rPr>
        <w:t xml:space="preserve">Safety and efficacy in </w:t>
      </w:r>
      <w:r w:rsidR="00780900" w:rsidRPr="0050145A">
        <w:rPr>
          <w:color w:val="auto"/>
        </w:rPr>
        <w:t xml:space="preserve">children below the age of </w:t>
      </w:r>
      <w:r w:rsidRPr="0050145A">
        <w:rPr>
          <w:color w:val="auto"/>
        </w:rPr>
        <w:t xml:space="preserve">12 years </w:t>
      </w:r>
      <w:r w:rsidRPr="00E26ADF">
        <w:rPr>
          <w:color w:val="auto"/>
        </w:rPr>
        <w:t xml:space="preserve">with asthma have not been established (see </w:t>
      </w:r>
      <w:r w:rsidR="007C2F21">
        <w:rPr>
          <w:color w:val="auto"/>
        </w:rPr>
        <w:t xml:space="preserve">Section </w:t>
      </w:r>
      <w:r w:rsidR="007C2F21" w:rsidRPr="007C2F21">
        <w:rPr>
          <w:color w:val="0000FF"/>
        </w:rPr>
        <w:fldChar w:fldCharType="begin"/>
      </w:r>
      <w:r w:rsidR="007C2F21" w:rsidRPr="007C2F21">
        <w:rPr>
          <w:color w:val="0000FF"/>
        </w:rPr>
        <w:instrText xml:space="preserve"> REF _Ref43115398 \r \h  \* MERGEFORMAT </w:instrText>
      </w:r>
      <w:r w:rsidR="007C2F21" w:rsidRPr="007C2F21">
        <w:rPr>
          <w:color w:val="0000FF"/>
        </w:rPr>
      </w:r>
      <w:r w:rsidR="007C2F21" w:rsidRPr="007C2F21">
        <w:rPr>
          <w:color w:val="0000FF"/>
        </w:rPr>
        <w:fldChar w:fldCharType="separate"/>
      </w:r>
      <w:r w:rsidR="00E123A5">
        <w:rPr>
          <w:color w:val="0000FF"/>
        </w:rPr>
        <w:t>5.2</w:t>
      </w:r>
      <w:r w:rsidR="007C2F21" w:rsidRPr="007C2F21">
        <w:rPr>
          <w:color w:val="0000FF"/>
        </w:rPr>
        <w:fldChar w:fldCharType="end"/>
      </w:r>
      <w:r w:rsidR="00187A1E" w:rsidRPr="00E26ADF">
        <w:rPr>
          <w:color w:val="auto"/>
        </w:rPr>
        <w:t xml:space="preserve"> –</w:t>
      </w:r>
      <w:r w:rsidR="002E7DE1" w:rsidRPr="00E26ADF">
        <w:rPr>
          <w:color w:val="auto"/>
        </w:rPr>
        <w:t xml:space="preserve"> </w:t>
      </w:r>
      <w:r w:rsidR="00187A1E" w:rsidRPr="00E26ADF">
        <w:rPr>
          <w:color w:val="auto"/>
        </w:rPr>
        <w:t>Pharmacokinetic Properties</w:t>
      </w:r>
      <w:r w:rsidRPr="00E26ADF">
        <w:rPr>
          <w:color w:val="auto"/>
        </w:rPr>
        <w:t>).</w:t>
      </w:r>
    </w:p>
    <w:p w14:paraId="40851765" w14:textId="77777777" w:rsidR="001A3992" w:rsidRPr="00E26ADF" w:rsidRDefault="001A3992" w:rsidP="00966777">
      <w:pPr>
        <w:pStyle w:val="Heading3"/>
        <w:numPr>
          <w:ilvl w:val="0"/>
          <w:numId w:val="0"/>
        </w:numPr>
        <w:ind w:left="680" w:hanging="680"/>
        <w:rPr>
          <w:lang w:val="en-AU"/>
        </w:rPr>
      </w:pPr>
      <w:r w:rsidRPr="00E26ADF">
        <w:rPr>
          <w:lang w:val="en-AU"/>
        </w:rPr>
        <w:t>Effects on laboratory tests</w:t>
      </w:r>
    </w:p>
    <w:p w14:paraId="554E688A" w14:textId="693578D5" w:rsidR="002B4B84" w:rsidRPr="00E26ADF" w:rsidRDefault="002B4B84" w:rsidP="002B4B84">
      <w:r w:rsidRPr="00E26ADF">
        <w:t>There is no known interference between Dupixent and routine laboratory tests.</w:t>
      </w:r>
    </w:p>
    <w:p w14:paraId="2C482F72" w14:textId="77777777" w:rsidR="001A3992" w:rsidRPr="00E26ADF" w:rsidRDefault="001A3992" w:rsidP="00966777">
      <w:pPr>
        <w:pStyle w:val="Heading2"/>
        <w:rPr>
          <w:lang w:val="en-AU"/>
        </w:rPr>
      </w:pPr>
      <w:r w:rsidRPr="00E26ADF">
        <w:rPr>
          <w:lang w:val="en-AU"/>
        </w:rPr>
        <w:t>Interactions with other medicines and other forms of interactions</w:t>
      </w:r>
    </w:p>
    <w:p w14:paraId="39934BAB" w14:textId="77777777" w:rsidR="002B4B84" w:rsidRPr="00E26ADF" w:rsidRDefault="002B4B84" w:rsidP="00966777">
      <w:pPr>
        <w:pStyle w:val="Heading3"/>
        <w:numPr>
          <w:ilvl w:val="0"/>
          <w:numId w:val="0"/>
        </w:numPr>
        <w:rPr>
          <w:lang w:val="en-AU"/>
        </w:rPr>
      </w:pPr>
      <w:r w:rsidRPr="00E26ADF">
        <w:rPr>
          <w:lang w:val="en-AU"/>
        </w:rPr>
        <w:t>Live Vaccines</w:t>
      </w:r>
    </w:p>
    <w:p w14:paraId="62CA9F2F" w14:textId="77777777" w:rsidR="002B4B84" w:rsidRPr="00E26ADF" w:rsidRDefault="002B4B84" w:rsidP="002B4B84">
      <w:r w:rsidRPr="00E26ADF">
        <w:t xml:space="preserve">The safety and efficacy of concurrent use of Dupixent with live vaccines has not been studied. </w:t>
      </w:r>
    </w:p>
    <w:p w14:paraId="1249B388" w14:textId="77777777" w:rsidR="002B4B84" w:rsidRPr="00E26ADF" w:rsidRDefault="002B4B84" w:rsidP="00966777">
      <w:pPr>
        <w:pStyle w:val="Heading3"/>
        <w:numPr>
          <w:ilvl w:val="0"/>
          <w:numId w:val="0"/>
        </w:numPr>
        <w:rPr>
          <w:lang w:val="en-AU"/>
        </w:rPr>
      </w:pPr>
      <w:r w:rsidRPr="00E26ADF">
        <w:rPr>
          <w:lang w:val="en-AU"/>
        </w:rPr>
        <w:t>Non-Live Vaccines</w:t>
      </w:r>
    </w:p>
    <w:p w14:paraId="307919A3" w14:textId="77777777" w:rsidR="002B4B84" w:rsidRPr="00E26ADF" w:rsidRDefault="002B4B84" w:rsidP="00966777">
      <w:r w:rsidRPr="00E26ADF">
        <w:t xml:space="preserve">Immune responses to vaccination were assessed in a study in which patients with atopic dermatitis were treated once weekly for 16 weeks with 300 mg of dupilumab. After 12 weeks of dupilumab administration, patients were vaccinated with a Tdap vaccine (T cell-dependent) and a meningococcal polysaccharide vaccine (T cell-independent) and immune responses were assessed 4 weeks later. Antibody responses to both tetanus vaccine and meningococcal polysaccharide vaccine were similar in dupilumab-treated and placebo-treated </w:t>
      </w:r>
      <w:r w:rsidRPr="00E26ADF">
        <w:lastRenderedPageBreak/>
        <w:t xml:space="preserve">patients. No adverse interactions between either of the non-live vaccines and dupilumab were noted in the study. </w:t>
      </w:r>
    </w:p>
    <w:p w14:paraId="30D942A8" w14:textId="77777777" w:rsidR="002B4B84" w:rsidRPr="00E26ADF" w:rsidRDefault="002B4B84" w:rsidP="00966777">
      <w:r w:rsidRPr="00E26ADF">
        <w:t>Therefore, patients receiving Dupixent may receive concurrent inactivated or non-live vaccinations.</w:t>
      </w:r>
    </w:p>
    <w:p w14:paraId="19DEE29A" w14:textId="77777777" w:rsidR="002B4B84" w:rsidRPr="00E26ADF" w:rsidRDefault="002B4B84" w:rsidP="00966777">
      <w:pPr>
        <w:pStyle w:val="Heading3"/>
        <w:numPr>
          <w:ilvl w:val="0"/>
          <w:numId w:val="0"/>
        </w:numPr>
        <w:rPr>
          <w:lang w:val="en-AU"/>
        </w:rPr>
      </w:pPr>
      <w:r w:rsidRPr="00E26ADF">
        <w:rPr>
          <w:lang w:val="en-AU"/>
        </w:rPr>
        <w:t xml:space="preserve">Interactions with CYP450 Substrates </w:t>
      </w:r>
    </w:p>
    <w:p w14:paraId="16A7F0EF" w14:textId="2739065C" w:rsidR="002B4B84" w:rsidRPr="00E26ADF" w:rsidRDefault="002B4B84" w:rsidP="00966777">
      <w:r w:rsidRPr="00E26ADF">
        <w:t>In a clinical study of AD patients, the effects of dupilumab on the PK of CYP substrates were evaluated. The data gathered from this study did not indicate clinically relevant effect of dupilumab on CYP1A2, CYP3A, CYP2C19, CYP2D6, or CYP2C9 activity.</w:t>
      </w:r>
    </w:p>
    <w:p w14:paraId="43D2C323" w14:textId="77777777" w:rsidR="002B4B84" w:rsidRPr="00E26ADF" w:rsidRDefault="002B4B84" w:rsidP="00966777">
      <w:pPr>
        <w:pStyle w:val="Heading3"/>
        <w:numPr>
          <w:ilvl w:val="0"/>
          <w:numId w:val="0"/>
        </w:numPr>
        <w:rPr>
          <w:lang w:val="en-AU"/>
        </w:rPr>
      </w:pPr>
      <w:r w:rsidRPr="00E26ADF">
        <w:rPr>
          <w:lang w:val="en-AU"/>
        </w:rPr>
        <w:t>Other</w:t>
      </w:r>
    </w:p>
    <w:p w14:paraId="0794E60B" w14:textId="452FDFC6" w:rsidR="002B4B84" w:rsidRPr="00E26ADF" w:rsidRDefault="002B4B84" w:rsidP="00966777">
      <w:r w:rsidRPr="00E26ADF">
        <w:t>There are no data on the safety of Dupixent when co-administered with other immunomodulators.</w:t>
      </w:r>
    </w:p>
    <w:p w14:paraId="7649DCAE" w14:textId="77777777" w:rsidR="002B4B84" w:rsidRPr="00E26ADF" w:rsidRDefault="002B4B84" w:rsidP="00966777">
      <w:pPr>
        <w:pStyle w:val="Heading3"/>
        <w:numPr>
          <w:ilvl w:val="0"/>
          <w:numId w:val="0"/>
        </w:numPr>
        <w:rPr>
          <w:lang w:val="en-AU"/>
        </w:rPr>
      </w:pPr>
      <w:r w:rsidRPr="00E26ADF">
        <w:rPr>
          <w:lang w:val="en-AU"/>
        </w:rPr>
        <w:t>Use with Other Drugs for Treatment of Asthma</w:t>
      </w:r>
    </w:p>
    <w:p w14:paraId="0AA3F141" w14:textId="77777777" w:rsidR="002B4B84" w:rsidRPr="00E26ADF" w:rsidRDefault="002B4B84" w:rsidP="00966777">
      <w:r w:rsidRPr="00E26ADF">
        <w:t>An effect of dupilumab on the PK of co-administered medications is not expected.</w:t>
      </w:r>
    </w:p>
    <w:p w14:paraId="43697964" w14:textId="44926B6E" w:rsidR="002B4B84" w:rsidRPr="00E26ADF" w:rsidRDefault="002B4B84" w:rsidP="00966777">
      <w:r w:rsidRPr="00E26ADF">
        <w:t>Based on the population analysis, commonly co-administered medications had no effect on dupilumab pharmacokinetics on patients with moderate to severe asthma.</w:t>
      </w:r>
    </w:p>
    <w:p w14:paraId="051B5CF2" w14:textId="77777777" w:rsidR="001A3992" w:rsidRPr="00E26ADF" w:rsidRDefault="001A3992" w:rsidP="00780900">
      <w:pPr>
        <w:pStyle w:val="Heading2"/>
        <w:rPr>
          <w:lang w:val="en-AU"/>
        </w:rPr>
      </w:pPr>
      <w:r w:rsidRPr="00E26ADF">
        <w:rPr>
          <w:lang w:val="en-AU"/>
        </w:rPr>
        <w:t xml:space="preserve">Fertility, pregnancy and lactation </w:t>
      </w:r>
    </w:p>
    <w:p w14:paraId="05C96F88" w14:textId="77777777" w:rsidR="001A3992" w:rsidRPr="00E26ADF" w:rsidRDefault="001A3992" w:rsidP="00966777">
      <w:pPr>
        <w:pStyle w:val="Heading3"/>
        <w:numPr>
          <w:ilvl w:val="0"/>
          <w:numId w:val="0"/>
        </w:numPr>
        <w:rPr>
          <w:lang w:val="en-AU"/>
        </w:rPr>
      </w:pPr>
      <w:r w:rsidRPr="00E26ADF">
        <w:rPr>
          <w:lang w:val="en-AU"/>
        </w:rPr>
        <w:t>Effects on fertility</w:t>
      </w:r>
    </w:p>
    <w:p w14:paraId="69DAE518" w14:textId="57C9A1A7" w:rsidR="00477C82" w:rsidRPr="00E26ADF" w:rsidRDefault="00477C82" w:rsidP="00477C82">
      <w:r w:rsidRPr="00E26ADF">
        <w:t xml:space="preserve">Fertility studies conducted in male and female mice using a surrogate antibody against IL-4Rα showed no impairment of fertility. The no-observed-effect-level (NOEL) was the maximum dose </w:t>
      </w:r>
      <w:proofErr w:type="gramStart"/>
      <w:r w:rsidRPr="00E26ADF">
        <w:t>studied,</w:t>
      </w:r>
      <w:proofErr w:type="gramEnd"/>
      <w:r w:rsidRPr="00E26ADF">
        <w:t xml:space="preserve"> 200 mg/kg/week administered subcutaneously which yielded a high multiple of the exposure (serum AUC) in patients at the recommended dose.</w:t>
      </w:r>
    </w:p>
    <w:p w14:paraId="737F6CAD" w14:textId="76ABAF7E" w:rsidR="001A3992" w:rsidRPr="00E26ADF" w:rsidRDefault="001A3992" w:rsidP="00966777">
      <w:pPr>
        <w:pStyle w:val="Heading3"/>
        <w:numPr>
          <w:ilvl w:val="0"/>
          <w:numId w:val="0"/>
        </w:numPr>
        <w:rPr>
          <w:lang w:val="en-AU"/>
        </w:rPr>
      </w:pPr>
      <w:r w:rsidRPr="00E26ADF">
        <w:rPr>
          <w:lang w:val="en-AU"/>
        </w:rPr>
        <w:t xml:space="preserve">Use in pregnancy </w:t>
      </w:r>
      <w:r w:rsidR="00477C82" w:rsidRPr="00E26ADF">
        <w:rPr>
          <w:lang w:val="en-AU"/>
        </w:rPr>
        <w:t>(Category B1)</w:t>
      </w:r>
    </w:p>
    <w:p w14:paraId="49A0B1FD" w14:textId="3E43B656" w:rsidR="00477C82" w:rsidRPr="00E26ADF" w:rsidRDefault="00477C82" w:rsidP="00966777">
      <w:r w:rsidRPr="00E26ADF">
        <w:t xml:space="preserve">There </w:t>
      </w:r>
      <w:proofErr w:type="gramStart"/>
      <w:r w:rsidR="009B1E52">
        <w:t>are</w:t>
      </w:r>
      <w:proofErr w:type="gramEnd"/>
      <w:r w:rsidRPr="00E26ADF">
        <w:t xml:space="preserve"> limited amount of data from the use of dupilumab in pregnant women. Animal studies do not indicate direct or indirect harmful effects with respect to reproductive toxicity.</w:t>
      </w:r>
    </w:p>
    <w:p w14:paraId="34D9237B" w14:textId="5B1CED31" w:rsidR="00477C82" w:rsidRPr="00E26ADF" w:rsidRDefault="00477C82" w:rsidP="00966777">
      <w:r w:rsidRPr="00E26ADF">
        <w:t xml:space="preserve">Dupixent should be used during pregnancy only if the potential benefit justifies the potential risk to the </w:t>
      </w:r>
      <w:proofErr w:type="spellStart"/>
      <w:r w:rsidRPr="00E26ADF">
        <w:t>f</w:t>
      </w:r>
      <w:r w:rsidR="00AE5233" w:rsidRPr="00E26ADF">
        <w:t>o</w:t>
      </w:r>
      <w:r w:rsidRPr="00E26ADF">
        <w:t>etus</w:t>
      </w:r>
      <w:proofErr w:type="spellEnd"/>
      <w:r w:rsidRPr="00E26ADF">
        <w:t>. Like other IgG antibodies, dupilumab is expected to cross the placental barrier.</w:t>
      </w:r>
    </w:p>
    <w:p w14:paraId="33787799" w14:textId="09330718" w:rsidR="00477C82" w:rsidRPr="00E26ADF" w:rsidRDefault="00477C82" w:rsidP="00966777">
      <w:r w:rsidRPr="00E26ADF">
        <w:t xml:space="preserve">In an enhanced pre-and postnatal development study, pregnant cynomolgus monkeys were administered a surrogate antibody against IL-4Rα by subcutaneous injection once weekly at doses up to 100 mg/kg/week, from the beginning of organogenesis to parturition. The surrogate antibody used displayed considerably lower affinity for monkey IL-4Rα compared to dupilumab for human IL-4Rα, but the doses used in the study were sufficient to saturate maternal IL-4Rα receptors throughout the treatment period. No treatment-related effects on </w:t>
      </w:r>
      <w:r w:rsidRPr="00E26ADF">
        <w:lastRenderedPageBreak/>
        <w:t>embryofetal survival, malformations, or on growth, functional development or immunology were observed in the offspring, monitored from birth through to 6 months of age.</w:t>
      </w:r>
    </w:p>
    <w:p w14:paraId="1103F945" w14:textId="77777777" w:rsidR="001A3992" w:rsidRPr="00E26ADF" w:rsidRDefault="001A3992" w:rsidP="00966777">
      <w:pPr>
        <w:pStyle w:val="Heading3"/>
        <w:numPr>
          <w:ilvl w:val="0"/>
          <w:numId w:val="0"/>
        </w:numPr>
        <w:rPr>
          <w:lang w:val="en-AU"/>
        </w:rPr>
      </w:pPr>
      <w:r w:rsidRPr="00E26ADF">
        <w:rPr>
          <w:lang w:val="en-AU"/>
        </w:rPr>
        <w:t xml:space="preserve">Use in lactation </w:t>
      </w:r>
    </w:p>
    <w:p w14:paraId="7A46E20A" w14:textId="0B830B00" w:rsidR="00477C82" w:rsidRPr="00E26ADF" w:rsidRDefault="00477C82" w:rsidP="00477C82">
      <w:r w:rsidRPr="00E26ADF">
        <w:t xml:space="preserve">There are no specific data on the presence of dupilumab in human </w:t>
      </w:r>
      <w:r w:rsidRPr="007C2F21">
        <w:rPr>
          <w:color w:val="auto"/>
        </w:rPr>
        <w:t>milk</w:t>
      </w:r>
      <w:r w:rsidR="005669B4" w:rsidRPr="007C2F21">
        <w:rPr>
          <w:color w:val="auto"/>
        </w:rPr>
        <w:t>,</w:t>
      </w:r>
      <w:r w:rsidR="007C2F21">
        <w:rPr>
          <w:color w:val="auto"/>
        </w:rPr>
        <w:t xml:space="preserve"> </w:t>
      </w:r>
      <w:r w:rsidR="005669B4" w:rsidRPr="007C2F21">
        <w:rPr>
          <w:color w:val="auto"/>
        </w:rPr>
        <w:t>b</w:t>
      </w:r>
      <w:r w:rsidRPr="007C2F21">
        <w:rPr>
          <w:color w:val="auto"/>
        </w:rPr>
        <w:t xml:space="preserve">ut </w:t>
      </w:r>
      <w:r w:rsidRPr="00E26ADF">
        <w:t xml:space="preserve">human IgG is known to be excreted in human milk. A decision must be made whether to discontinue breast-feeding or to discontinue Dupixent therapy </w:t>
      </w:r>
      <w:proofErr w:type="gramStart"/>
      <w:r w:rsidRPr="00E26ADF">
        <w:t>taking into account</w:t>
      </w:r>
      <w:proofErr w:type="gramEnd"/>
      <w:r w:rsidRPr="00E26ADF">
        <w:t xml:space="preserve"> the benefit of breast feeding for the child and the benefit of therapy for the woman.</w:t>
      </w:r>
    </w:p>
    <w:p w14:paraId="6FE449AF" w14:textId="77777777" w:rsidR="001A3992" w:rsidRPr="00E26ADF" w:rsidRDefault="001A3992" w:rsidP="00966777">
      <w:pPr>
        <w:pStyle w:val="Heading2"/>
        <w:rPr>
          <w:lang w:val="en-AU"/>
        </w:rPr>
      </w:pPr>
      <w:r w:rsidRPr="00E26ADF">
        <w:rPr>
          <w:lang w:val="en-AU"/>
        </w:rPr>
        <w:t xml:space="preserve">Effects on ability to drive and use machines </w:t>
      </w:r>
    </w:p>
    <w:p w14:paraId="23EBA873" w14:textId="2023BB56" w:rsidR="00744556" w:rsidRPr="00E26ADF" w:rsidRDefault="00477C82" w:rsidP="00744556">
      <w:r w:rsidRPr="00E26ADF">
        <w:t>Dupixent has no or negligible influence on the ability to drive or operate machinery.</w:t>
      </w:r>
    </w:p>
    <w:p w14:paraId="22AA1095" w14:textId="77777777" w:rsidR="001A3992" w:rsidRPr="00E26ADF" w:rsidRDefault="001A3992" w:rsidP="00966777">
      <w:pPr>
        <w:pStyle w:val="Heading2"/>
        <w:rPr>
          <w:lang w:val="en-AU"/>
        </w:rPr>
      </w:pPr>
      <w:bookmarkStart w:id="10" w:name="_Ref10723649"/>
      <w:r w:rsidRPr="00E26ADF">
        <w:rPr>
          <w:lang w:val="en-AU"/>
        </w:rPr>
        <w:t>Adverse effects (Undesirable effects)</w:t>
      </w:r>
      <w:bookmarkEnd w:id="10"/>
    </w:p>
    <w:p w14:paraId="35D39159" w14:textId="7051634C" w:rsidR="00477C82" w:rsidRDefault="00477C82" w:rsidP="00966777">
      <w:pPr>
        <w:pStyle w:val="Heading3"/>
        <w:numPr>
          <w:ilvl w:val="0"/>
          <w:numId w:val="0"/>
        </w:numPr>
        <w:rPr>
          <w:lang w:val="en-AU"/>
        </w:rPr>
      </w:pPr>
      <w:r w:rsidRPr="00E26ADF">
        <w:rPr>
          <w:lang w:val="en-AU"/>
        </w:rPr>
        <w:t>Atopic Dermatitis</w:t>
      </w:r>
    </w:p>
    <w:p w14:paraId="7D5B4DC5" w14:textId="44015796" w:rsidR="007679AE" w:rsidRPr="007679AE" w:rsidRDefault="007679AE" w:rsidP="007679AE">
      <w:pPr>
        <w:pStyle w:val="Heading4"/>
        <w:numPr>
          <w:ilvl w:val="0"/>
          <w:numId w:val="0"/>
        </w:numPr>
        <w:ind w:left="862" w:hanging="862"/>
      </w:pPr>
      <w:r>
        <w:t>Adults</w:t>
      </w:r>
    </w:p>
    <w:p w14:paraId="580FAAAF" w14:textId="3E6E541F" w:rsidR="00450C26" w:rsidRPr="00E26ADF" w:rsidRDefault="00477C82" w:rsidP="00966777">
      <w:pPr>
        <w:rPr>
          <w:highlight w:val="yellow"/>
        </w:rPr>
      </w:pPr>
      <w:r w:rsidRPr="00E26ADF">
        <w:t>In the overall exposure pool, a total of 2526 patients with atopic dermatitis were treated with Dupixent in controlled and uncontrolled clinical trials. 739 patients were exposed for at least 1 year. In controlled trials, 1564 patients received Dupixent alone</w:t>
      </w:r>
      <w:r w:rsidR="00A67CFF" w:rsidRPr="00E26ADF">
        <w:t xml:space="preserve"> (monotherapy)</w:t>
      </w:r>
      <w:r w:rsidRPr="00E26ADF">
        <w:t xml:space="preserve"> </w:t>
      </w:r>
      <w:r w:rsidR="00A67CFF" w:rsidRPr="00E26ADF">
        <w:t>and 740 received D</w:t>
      </w:r>
      <w:r w:rsidRPr="00E26ADF">
        <w:t>upixent with concomitant topical corticosteroid therapy</w:t>
      </w:r>
      <w:r w:rsidR="00180B67" w:rsidRPr="00E26ADF">
        <w:t>.</w:t>
      </w:r>
      <w:r w:rsidR="0064720B" w:rsidRPr="00E26ADF">
        <w:t xml:space="preserve"> The monotherapy study was of 16 weeks duration. The concomitant topical corticosteroid therapy study was of 52 weeks duration and, 739 patients were exposed for at least 1 year.</w:t>
      </w:r>
    </w:p>
    <w:p w14:paraId="26BB398A" w14:textId="3F9DB82B" w:rsidR="0064720B" w:rsidRPr="00E26ADF" w:rsidRDefault="0064720B" w:rsidP="00966777">
      <w:r w:rsidRPr="00E26ADF">
        <w:t>In the monotherapy study, the reported co-morbid atopic conditions were asthma (39.6%), allergic rhinitis (49%), food allergy (37%), and allergic conjunctivitis (23.1%). In the concomitant topical corticosteroid therapy study, the reported co-morbid atopic conditions were asthma (39.3%), allergic rhinitis (42.8%), food allergy (33.4%), and allergic conjunctivitis (23.2%)”.</w:t>
      </w:r>
    </w:p>
    <w:p w14:paraId="6AE27F60" w14:textId="77777777" w:rsidR="00477C82" w:rsidRPr="00E26ADF" w:rsidRDefault="00477C82" w:rsidP="00966777">
      <w:r w:rsidRPr="00E26ADF">
        <w:t>The adverse reactions in the following table are listed by system organ class and frequency using the following convention: Very common &gt; 10%; Common &gt; 1 and &lt; 10%; Uncommon &gt; 0.1 and &lt; 1%, Rare &gt; 0.01 and &lt;0.1%; Very rare &lt;0.01%; Not known *(cannot be estimated from available data).</w:t>
      </w:r>
    </w:p>
    <w:p w14:paraId="3F4F113C" w14:textId="1F19818D" w:rsidR="00A80162" w:rsidRPr="00E26ADF" w:rsidRDefault="00A80162" w:rsidP="00A80162">
      <w:pPr>
        <w:pStyle w:val="Caption"/>
        <w:rPr>
          <w:vertAlign w:val="superscript"/>
          <w:lang w:val="en-AU"/>
        </w:rPr>
      </w:pPr>
      <w:r w:rsidRPr="00E26ADF">
        <w:rPr>
          <w:lang w:val="en-AU"/>
        </w:rPr>
        <w:lastRenderedPageBreak/>
        <w:t xml:space="preserve"> 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2</w:t>
      </w:r>
      <w:r w:rsidRPr="00E26ADF">
        <w:rPr>
          <w:lang w:val="en-AU"/>
        </w:rPr>
        <w:fldChar w:fldCharType="end"/>
      </w:r>
      <w:r w:rsidRPr="00E26ADF">
        <w:rPr>
          <w:lang w:val="en-AU"/>
        </w:rPr>
        <w:t xml:space="preserve"> ­ List of adverse reactions in clinical </w:t>
      </w:r>
      <w:proofErr w:type="spellStart"/>
      <w:r w:rsidRPr="00E26ADF">
        <w:rPr>
          <w:lang w:val="en-AU"/>
        </w:rPr>
        <w:t>studies</w:t>
      </w:r>
      <w:r w:rsidRPr="00E26ADF">
        <w:rPr>
          <w:vertAlign w:val="superscript"/>
          <w:lang w:val="en-AU"/>
        </w:rPr>
        <w:t>a</w:t>
      </w:r>
      <w:proofErr w:type="spellEnd"/>
    </w:p>
    <w:tbl>
      <w:tblPr>
        <w:tblW w:w="0" w:type="auto"/>
        <w:jc w:val="center"/>
        <w:tblBorders>
          <w:top w:val="single" w:sz="2" w:space="0" w:color="000000"/>
        </w:tblBorders>
        <w:tblLook w:val="04A0" w:firstRow="1" w:lastRow="0" w:firstColumn="1" w:lastColumn="0" w:noHBand="0" w:noVBand="1"/>
      </w:tblPr>
      <w:tblGrid>
        <w:gridCol w:w="4207"/>
        <w:gridCol w:w="1892"/>
        <w:gridCol w:w="2927"/>
      </w:tblGrid>
      <w:tr w:rsidR="00A80162" w:rsidRPr="00E26ADF" w14:paraId="46E709D6" w14:textId="77777777" w:rsidTr="005977C2">
        <w:trPr>
          <w:cantSplit/>
          <w:tblHeader/>
          <w:jc w:val="center"/>
        </w:trPr>
        <w:tc>
          <w:tcPr>
            <w:tcW w:w="0" w:type="auto"/>
            <w:tcBorders>
              <w:top w:val="single" w:sz="4" w:space="0" w:color="000000"/>
              <w:bottom w:val="single" w:sz="4" w:space="0" w:color="000000"/>
            </w:tcBorders>
            <w:shd w:val="clear" w:color="auto" w:fill="auto"/>
          </w:tcPr>
          <w:p w14:paraId="293C699D" w14:textId="7EDF7BB3" w:rsidR="005E5B7C" w:rsidRPr="00E26ADF" w:rsidRDefault="00A80162" w:rsidP="005977C2">
            <w:pPr>
              <w:pStyle w:val="TblHeadingCenter"/>
              <w:rPr>
                <w:lang w:val="en-AU"/>
              </w:rPr>
            </w:pPr>
            <w:r w:rsidRPr="00E26ADF">
              <w:rPr>
                <w:lang w:val="en-AU"/>
              </w:rPr>
              <w:t>System Organ Class</w:t>
            </w:r>
          </w:p>
          <w:p w14:paraId="5021EDFD" w14:textId="2ACA2D66" w:rsidR="00A80162" w:rsidRPr="00E26ADF" w:rsidRDefault="00A80162" w:rsidP="005977C2">
            <w:pPr>
              <w:pStyle w:val="TblHeadingCenter"/>
              <w:rPr>
                <w:lang w:val="en-AU"/>
              </w:rPr>
            </w:pPr>
          </w:p>
        </w:tc>
        <w:tc>
          <w:tcPr>
            <w:tcW w:w="0" w:type="auto"/>
            <w:tcBorders>
              <w:top w:val="single" w:sz="4" w:space="0" w:color="000000"/>
              <w:bottom w:val="single" w:sz="4" w:space="0" w:color="000000"/>
            </w:tcBorders>
            <w:shd w:val="clear" w:color="auto" w:fill="auto"/>
          </w:tcPr>
          <w:p w14:paraId="2723E25E" w14:textId="77777777" w:rsidR="00A80162" w:rsidRPr="00E26ADF" w:rsidRDefault="00A80162" w:rsidP="005977C2">
            <w:pPr>
              <w:pStyle w:val="TblHeadingCenter"/>
              <w:rPr>
                <w:lang w:val="en-AU"/>
              </w:rPr>
            </w:pPr>
            <w:r w:rsidRPr="00E26ADF">
              <w:rPr>
                <w:lang w:val="en-AU"/>
              </w:rPr>
              <w:t>Frequency</w:t>
            </w:r>
          </w:p>
        </w:tc>
        <w:tc>
          <w:tcPr>
            <w:tcW w:w="0" w:type="auto"/>
            <w:tcBorders>
              <w:top w:val="single" w:sz="4" w:space="0" w:color="000000"/>
              <w:bottom w:val="single" w:sz="4" w:space="0" w:color="000000"/>
            </w:tcBorders>
            <w:shd w:val="clear" w:color="auto" w:fill="auto"/>
          </w:tcPr>
          <w:p w14:paraId="26AFF216" w14:textId="77777777" w:rsidR="00A80162" w:rsidRPr="00E26ADF" w:rsidRDefault="00A80162" w:rsidP="005977C2">
            <w:pPr>
              <w:pStyle w:val="TblHeadingCenter"/>
              <w:rPr>
                <w:lang w:val="en-AU"/>
              </w:rPr>
            </w:pPr>
            <w:r w:rsidRPr="00E26ADF">
              <w:rPr>
                <w:lang w:val="en-AU"/>
              </w:rPr>
              <w:t>Adverse Reaction</w:t>
            </w:r>
          </w:p>
        </w:tc>
      </w:tr>
      <w:tr w:rsidR="00A80162" w:rsidRPr="00E26ADF" w14:paraId="29BCA18F" w14:textId="77777777" w:rsidTr="005977C2">
        <w:trPr>
          <w:cantSplit/>
          <w:jc w:val="center"/>
        </w:trPr>
        <w:tc>
          <w:tcPr>
            <w:tcW w:w="0" w:type="auto"/>
            <w:tcBorders>
              <w:top w:val="single" w:sz="4" w:space="0" w:color="000000"/>
            </w:tcBorders>
            <w:shd w:val="clear" w:color="auto" w:fill="auto"/>
          </w:tcPr>
          <w:p w14:paraId="28713A66" w14:textId="77777777" w:rsidR="00A80162" w:rsidRPr="00E26ADF" w:rsidRDefault="00A80162" w:rsidP="005977C2">
            <w:pPr>
              <w:pStyle w:val="TblTextCenter"/>
              <w:rPr>
                <w:lang w:val="en-AU"/>
              </w:rPr>
            </w:pPr>
            <w:r w:rsidRPr="00E26ADF">
              <w:rPr>
                <w:lang w:val="en-AU"/>
              </w:rPr>
              <w:t>Infections and infestations</w:t>
            </w:r>
          </w:p>
        </w:tc>
        <w:tc>
          <w:tcPr>
            <w:tcW w:w="0" w:type="auto"/>
            <w:tcBorders>
              <w:top w:val="single" w:sz="4" w:space="0" w:color="000000"/>
            </w:tcBorders>
            <w:shd w:val="clear" w:color="auto" w:fill="auto"/>
          </w:tcPr>
          <w:p w14:paraId="1ADA24DD" w14:textId="77777777" w:rsidR="00A80162" w:rsidRPr="00E26ADF" w:rsidRDefault="00A80162" w:rsidP="005977C2">
            <w:pPr>
              <w:pStyle w:val="TblTextCenter"/>
              <w:rPr>
                <w:lang w:val="en-AU"/>
              </w:rPr>
            </w:pPr>
            <w:r w:rsidRPr="00E26ADF">
              <w:rPr>
                <w:lang w:val="en-AU"/>
              </w:rPr>
              <w:t>Common</w:t>
            </w:r>
          </w:p>
        </w:tc>
        <w:tc>
          <w:tcPr>
            <w:tcW w:w="0" w:type="auto"/>
            <w:tcBorders>
              <w:top w:val="single" w:sz="4" w:space="0" w:color="000000"/>
            </w:tcBorders>
            <w:shd w:val="clear" w:color="auto" w:fill="auto"/>
          </w:tcPr>
          <w:p w14:paraId="3DC4E28A" w14:textId="77777777" w:rsidR="00A80162" w:rsidRPr="00E26ADF" w:rsidRDefault="00A80162" w:rsidP="005977C2">
            <w:pPr>
              <w:pStyle w:val="TblTextCenter"/>
              <w:rPr>
                <w:lang w:val="en-AU"/>
              </w:rPr>
            </w:pPr>
            <w:r w:rsidRPr="00E26ADF">
              <w:rPr>
                <w:lang w:val="en-AU"/>
              </w:rPr>
              <w:t>Conjunctivitis (4.0 %)</w:t>
            </w:r>
          </w:p>
          <w:p w14:paraId="4533A113" w14:textId="77777777" w:rsidR="00A80162" w:rsidRPr="00E26ADF" w:rsidRDefault="00A80162" w:rsidP="005977C2">
            <w:pPr>
              <w:pStyle w:val="TblTextCenter"/>
              <w:rPr>
                <w:lang w:val="en-AU"/>
              </w:rPr>
            </w:pPr>
            <w:r w:rsidRPr="00E26ADF">
              <w:rPr>
                <w:lang w:val="en-AU"/>
              </w:rPr>
              <w:t>Oral herpes (3.8%)</w:t>
            </w:r>
          </w:p>
          <w:p w14:paraId="68B720AE" w14:textId="77777777" w:rsidR="00A80162" w:rsidRPr="00E26ADF" w:rsidRDefault="00A80162" w:rsidP="005977C2">
            <w:pPr>
              <w:pStyle w:val="TblTextCenter"/>
              <w:rPr>
                <w:lang w:val="en-AU"/>
              </w:rPr>
            </w:pPr>
            <w:r w:rsidRPr="00E26ADF">
              <w:rPr>
                <w:lang w:val="en-AU"/>
              </w:rPr>
              <w:t>Conjunctivitis bacterial (1.9%)</w:t>
            </w:r>
          </w:p>
          <w:p w14:paraId="546D97B0" w14:textId="77777777" w:rsidR="00A80162" w:rsidRPr="00E26ADF" w:rsidRDefault="00A80162" w:rsidP="005977C2">
            <w:pPr>
              <w:pStyle w:val="TblTextCenter"/>
              <w:rPr>
                <w:lang w:val="en-AU"/>
              </w:rPr>
            </w:pPr>
            <w:r w:rsidRPr="00E26ADF">
              <w:rPr>
                <w:lang w:val="en-AU"/>
              </w:rPr>
              <w:t xml:space="preserve">Herpes </w:t>
            </w:r>
            <w:proofErr w:type="spellStart"/>
            <w:r w:rsidRPr="00E26ADF">
              <w:rPr>
                <w:lang w:val="en-AU"/>
              </w:rPr>
              <w:t>simplex</w:t>
            </w:r>
            <w:r w:rsidRPr="004A3827">
              <w:rPr>
                <w:vertAlign w:val="superscript"/>
                <w:lang w:val="en-AU"/>
              </w:rPr>
              <w:t>b</w:t>
            </w:r>
            <w:proofErr w:type="spellEnd"/>
            <w:r w:rsidRPr="00E26ADF">
              <w:rPr>
                <w:lang w:val="en-AU"/>
              </w:rPr>
              <w:t xml:space="preserve"> (1.7 %)</w:t>
            </w:r>
          </w:p>
          <w:p w14:paraId="0B612B09" w14:textId="77777777" w:rsidR="00A80162" w:rsidRPr="00E26ADF" w:rsidRDefault="00A80162" w:rsidP="005977C2">
            <w:pPr>
              <w:pStyle w:val="TblTextCenter"/>
              <w:rPr>
                <w:lang w:val="en-AU"/>
              </w:rPr>
            </w:pPr>
          </w:p>
        </w:tc>
      </w:tr>
      <w:tr w:rsidR="00A80162" w:rsidRPr="00E26ADF" w14:paraId="33E57AFA" w14:textId="77777777" w:rsidTr="005977C2">
        <w:trPr>
          <w:cantSplit/>
          <w:jc w:val="center"/>
        </w:trPr>
        <w:tc>
          <w:tcPr>
            <w:tcW w:w="0" w:type="auto"/>
            <w:shd w:val="clear" w:color="auto" w:fill="auto"/>
          </w:tcPr>
          <w:p w14:paraId="448EA1A6" w14:textId="77777777" w:rsidR="00A80162" w:rsidRPr="00E26ADF" w:rsidRDefault="00A80162" w:rsidP="005977C2">
            <w:pPr>
              <w:pStyle w:val="TblTextCenter"/>
              <w:rPr>
                <w:lang w:val="en-AU"/>
              </w:rPr>
            </w:pPr>
            <w:r w:rsidRPr="00E26ADF">
              <w:rPr>
                <w:lang w:val="en-AU"/>
              </w:rPr>
              <w:t>Blood and lymphatic system disorders</w:t>
            </w:r>
          </w:p>
          <w:p w14:paraId="2EDC27B6" w14:textId="77777777" w:rsidR="00A80162" w:rsidRPr="00E26ADF" w:rsidRDefault="00A80162" w:rsidP="005977C2">
            <w:pPr>
              <w:pStyle w:val="TblTextCenter"/>
              <w:rPr>
                <w:lang w:val="en-AU"/>
              </w:rPr>
            </w:pPr>
            <w:r w:rsidRPr="00E26ADF">
              <w:rPr>
                <w:lang w:val="en-AU"/>
              </w:rPr>
              <w:t>Eye disorders</w:t>
            </w:r>
          </w:p>
          <w:p w14:paraId="4EEC32C1" w14:textId="77777777" w:rsidR="00A80162" w:rsidRPr="00E26ADF" w:rsidRDefault="00A80162" w:rsidP="005977C2">
            <w:pPr>
              <w:pStyle w:val="TblTextCenter"/>
              <w:rPr>
                <w:lang w:val="en-AU"/>
              </w:rPr>
            </w:pPr>
          </w:p>
          <w:p w14:paraId="5663F472" w14:textId="77777777" w:rsidR="00A80162" w:rsidRPr="00E26ADF" w:rsidRDefault="00A80162" w:rsidP="005977C2">
            <w:pPr>
              <w:pStyle w:val="TblTextCenter"/>
              <w:rPr>
                <w:lang w:val="en-AU"/>
              </w:rPr>
            </w:pPr>
          </w:p>
          <w:p w14:paraId="53A5AD8D" w14:textId="77777777" w:rsidR="00A80162" w:rsidRPr="00E26ADF" w:rsidRDefault="00A80162" w:rsidP="005977C2">
            <w:pPr>
              <w:pStyle w:val="TblTextCenter"/>
              <w:rPr>
                <w:lang w:val="en-AU"/>
              </w:rPr>
            </w:pPr>
          </w:p>
          <w:p w14:paraId="15FFE8E5" w14:textId="77777777" w:rsidR="00A80162" w:rsidRPr="00E26ADF" w:rsidRDefault="00A80162" w:rsidP="005977C2">
            <w:pPr>
              <w:pStyle w:val="TblTextCenter"/>
              <w:rPr>
                <w:lang w:val="en-AU"/>
              </w:rPr>
            </w:pPr>
          </w:p>
        </w:tc>
        <w:tc>
          <w:tcPr>
            <w:tcW w:w="0" w:type="auto"/>
            <w:shd w:val="clear" w:color="auto" w:fill="auto"/>
          </w:tcPr>
          <w:p w14:paraId="15965789" w14:textId="77777777" w:rsidR="00A80162" w:rsidRPr="00E26ADF" w:rsidRDefault="00A80162" w:rsidP="005977C2">
            <w:pPr>
              <w:pStyle w:val="TblTextCenter"/>
              <w:rPr>
                <w:lang w:val="en-AU"/>
              </w:rPr>
            </w:pPr>
            <w:r w:rsidRPr="00E26ADF">
              <w:rPr>
                <w:lang w:val="en-AU"/>
              </w:rPr>
              <w:t>Common</w:t>
            </w:r>
          </w:p>
          <w:p w14:paraId="43A8DB0A" w14:textId="77777777" w:rsidR="00A80162" w:rsidRPr="00E26ADF" w:rsidRDefault="00A80162" w:rsidP="005977C2">
            <w:pPr>
              <w:pStyle w:val="TblTextCenter"/>
              <w:rPr>
                <w:lang w:val="en-AU"/>
              </w:rPr>
            </w:pPr>
            <w:r w:rsidRPr="00E26ADF">
              <w:rPr>
                <w:lang w:val="en-AU"/>
              </w:rPr>
              <w:t>Common</w:t>
            </w:r>
          </w:p>
          <w:p w14:paraId="3FE7F848" w14:textId="77777777" w:rsidR="00A80162" w:rsidRPr="00E26ADF" w:rsidRDefault="00A80162" w:rsidP="005977C2">
            <w:pPr>
              <w:pStyle w:val="TblTextCenter"/>
              <w:rPr>
                <w:lang w:val="en-AU"/>
              </w:rPr>
            </w:pPr>
          </w:p>
          <w:p w14:paraId="412CC057" w14:textId="77777777" w:rsidR="00A80162" w:rsidRPr="00E26ADF" w:rsidRDefault="00A80162" w:rsidP="005977C2">
            <w:pPr>
              <w:pStyle w:val="TblTextCenter"/>
              <w:rPr>
                <w:lang w:val="en-AU"/>
              </w:rPr>
            </w:pPr>
          </w:p>
          <w:p w14:paraId="6CDBAFCE" w14:textId="77777777" w:rsidR="00A80162" w:rsidRPr="00E26ADF" w:rsidRDefault="00A80162" w:rsidP="005977C2">
            <w:pPr>
              <w:pStyle w:val="TblTextCenter"/>
              <w:rPr>
                <w:lang w:val="en-AU"/>
              </w:rPr>
            </w:pPr>
          </w:p>
          <w:p w14:paraId="42F468BF" w14:textId="77777777" w:rsidR="00A80162" w:rsidRPr="00E26ADF" w:rsidRDefault="00A80162" w:rsidP="005977C2">
            <w:pPr>
              <w:pStyle w:val="TblTextCenter"/>
              <w:rPr>
                <w:lang w:val="en-AU"/>
              </w:rPr>
            </w:pPr>
          </w:p>
        </w:tc>
        <w:tc>
          <w:tcPr>
            <w:tcW w:w="0" w:type="auto"/>
            <w:shd w:val="clear" w:color="auto" w:fill="auto"/>
          </w:tcPr>
          <w:p w14:paraId="35634B6B" w14:textId="77777777" w:rsidR="00A80162" w:rsidRPr="00E26ADF" w:rsidRDefault="00A80162" w:rsidP="005977C2">
            <w:pPr>
              <w:pStyle w:val="TblTextCenter"/>
              <w:rPr>
                <w:lang w:val="en-AU"/>
              </w:rPr>
            </w:pPr>
            <w:r w:rsidRPr="00E26ADF">
              <w:rPr>
                <w:lang w:val="en-AU"/>
              </w:rPr>
              <w:t>Eosinophilia (1.7%)</w:t>
            </w:r>
          </w:p>
          <w:p w14:paraId="3D510E28" w14:textId="77777777" w:rsidR="00A80162" w:rsidRPr="00E26ADF" w:rsidRDefault="00A80162" w:rsidP="005977C2">
            <w:pPr>
              <w:pStyle w:val="TblTextCenter"/>
              <w:rPr>
                <w:lang w:val="en-AU"/>
              </w:rPr>
            </w:pPr>
            <w:r w:rsidRPr="00E26ADF">
              <w:rPr>
                <w:lang w:val="en-AU"/>
              </w:rPr>
              <w:t>Conjunctivitis allergic (7.0%)</w:t>
            </w:r>
          </w:p>
          <w:p w14:paraId="6998D68A" w14:textId="77777777" w:rsidR="00A80162" w:rsidRPr="00E26ADF" w:rsidRDefault="00A80162" w:rsidP="005977C2">
            <w:pPr>
              <w:pStyle w:val="TblTextCenter"/>
              <w:rPr>
                <w:lang w:val="en-AU"/>
              </w:rPr>
            </w:pPr>
            <w:r w:rsidRPr="00E26ADF">
              <w:rPr>
                <w:lang w:val="en-AU"/>
              </w:rPr>
              <w:t>Eye pruritus (2.9 %)</w:t>
            </w:r>
          </w:p>
          <w:p w14:paraId="276B6D50" w14:textId="77777777" w:rsidR="00A80162" w:rsidRPr="00E26ADF" w:rsidRDefault="00A80162" w:rsidP="005977C2">
            <w:pPr>
              <w:pStyle w:val="TblTextCenter"/>
              <w:rPr>
                <w:lang w:val="en-AU"/>
              </w:rPr>
            </w:pPr>
            <w:r w:rsidRPr="00E26ADF">
              <w:rPr>
                <w:lang w:val="en-AU"/>
              </w:rPr>
              <w:t>Blepharitis (4.5%)</w:t>
            </w:r>
          </w:p>
          <w:p w14:paraId="5F4D4F3B" w14:textId="77777777" w:rsidR="00A80162" w:rsidRPr="00E26ADF" w:rsidRDefault="00A80162" w:rsidP="005977C2">
            <w:pPr>
              <w:pStyle w:val="TblTextCenter"/>
              <w:rPr>
                <w:lang w:val="en-AU"/>
              </w:rPr>
            </w:pPr>
            <w:r w:rsidRPr="00E26ADF">
              <w:rPr>
                <w:lang w:val="en-AU"/>
              </w:rPr>
              <w:t>Dry eye (1.8 %)</w:t>
            </w:r>
          </w:p>
        </w:tc>
      </w:tr>
      <w:tr w:rsidR="00A80162" w:rsidRPr="00E26ADF" w14:paraId="5E123EA7" w14:textId="77777777" w:rsidTr="005977C2">
        <w:trPr>
          <w:cantSplit/>
          <w:jc w:val="center"/>
        </w:trPr>
        <w:tc>
          <w:tcPr>
            <w:tcW w:w="0" w:type="auto"/>
            <w:tcBorders>
              <w:bottom w:val="single" w:sz="12" w:space="0" w:color="auto"/>
            </w:tcBorders>
            <w:shd w:val="clear" w:color="auto" w:fill="auto"/>
          </w:tcPr>
          <w:p w14:paraId="05AB9BEB" w14:textId="77777777" w:rsidR="00A80162" w:rsidRPr="00E26ADF" w:rsidRDefault="00A80162" w:rsidP="005977C2">
            <w:pPr>
              <w:pStyle w:val="TblTextCenter"/>
              <w:rPr>
                <w:lang w:val="en-AU"/>
              </w:rPr>
            </w:pPr>
            <w:r w:rsidRPr="00E26ADF">
              <w:rPr>
                <w:lang w:val="en-AU"/>
              </w:rPr>
              <w:t>General disorders and administration site conditions</w:t>
            </w:r>
          </w:p>
        </w:tc>
        <w:tc>
          <w:tcPr>
            <w:tcW w:w="0" w:type="auto"/>
            <w:tcBorders>
              <w:bottom w:val="single" w:sz="12" w:space="0" w:color="auto"/>
            </w:tcBorders>
            <w:shd w:val="clear" w:color="auto" w:fill="auto"/>
          </w:tcPr>
          <w:p w14:paraId="23894AB5" w14:textId="77777777" w:rsidR="00A80162" w:rsidRPr="00E26ADF" w:rsidRDefault="00A80162" w:rsidP="005977C2">
            <w:pPr>
              <w:pStyle w:val="TblTextCenter"/>
              <w:rPr>
                <w:lang w:val="en-AU"/>
              </w:rPr>
            </w:pPr>
            <w:r w:rsidRPr="00E26ADF">
              <w:rPr>
                <w:lang w:val="en-AU"/>
              </w:rPr>
              <w:t>Very common</w:t>
            </w:r>
          </w:p>
        </w:tc>
        <w:tc>
          <w:tcPr>
            <w:tcW w:w="0" w:type="auto"/>
            <w:tcBorders>
              <w:bottom w:val="single" w:sz="12" w:space="0" w:color="auto"/>
            </w:tcBorders>
            <w:shd w:val="clear" w:color="auto" w:fill="auto"/>
          </w:tcPr>
          <w:p w14:paraId="6503CE67" w14:textId="77777777" w:rsidR="00A80162" w:rsidRPr="00E26ADF" w:rsidRDefault="00A80162" w:rsidP="005977C2">
            <w:pPr>
              <w:pStyle w:val="TblTextCenter"/>
              <w:rPr>
                <w:lang w:val="en-AU"/>
              </w:rPr>
            </w:pPr>
            <w:r w:rsidRPr="00E26ADF">
              <w:rPr>
                <w:lang w:val="en-AU"/>
              </w:rPr>
              <w:t>Injection site reactions (15.9 %)</w:t>
            </w:r>
          </w:p>
        </w:tc>
      </w:tr>
      <w:tr w:rsidR="00A80162" w:rsidRPr="00E26ADF" w14:paraId="1640ACDA" w14:textId="77777777" w:rsidTr="005977C2">
        <w:trPr>
          <w:cantSplit/>
          <w:jc w:val="center"/>
        </w:trPr>
        <w:tc>
          <w:tcPr>
            <w:tcW w:w="0" w:type="auto"/>
            <w:gridSpan w:val="3"/>
            <w:tcBorders>
              <w:top w:val="single" w:sz="12" w:space="0" w:color="auto"/>
            </w:tcBorders>
            <w:shd w:val="clear" w:color="auto" w:fill="auto"/>
          </w:tcPr>
          <w:p w14:paraId="7CFA6275" w14:textId="77777777" w:rsidR="00A80162" w:rsidRPr="00E26ADF" w:rsidRDefault="00A80162" w:rsidP="00721C58">
            <w:pPr>
              <w:pStyle w:val="TblFigFootnote"/>
              <w:rPr>
                <w:color w:val="000000"/>
                <w:lang w:val="en-AU"/>
              </w:rPr>
            </w:pPr>
            <w:r w:rsidRPr="00E26ADF">
              <w:rPr>
                <w:color w:val="000000"/>
                <w:vertAlign w:val="superscript"/>
                <w:lang w:val="en-AU"/>
              </w:rPr>
              <w:t xml:space="preserve">a </w:t>
            </w:r>
            <w:r w:rsidRPr="00E26ADF">
              <w:rPr>
                <w:color w:val="000000"/>
                <w:lang w:val="en-AU"/>
              </w:rPr>
              <w:t>Pooled data from placebo-controlled monotherapy clinical studies (SOLO 1, SOLO 2, and a phase 2, dose-ranging study data) and placebo-controlled concomitant therapy with TCS study (CHRONOS) in AD, patients exposed to 300 mg every other week or 300 mg once weekly with or without topical corticosteroids, up to 16 weeks</w:t>
            </w:r>
          </w:p>
          <w:p w14:paraId="2CA021E2" w14:textId="77777777" w:rsidR="00A80162" w:rsidRPr="00E26ADF" w:rsidRDefault="00A80162" w:rsidP="00721C58">
            <w:pPr>
              <w:pStyle w:val="TblFigFootnote"/>
              <w:rPr>
                <w:rFonts w:ascii="Cambria" w:hAnsi="Cambria"/>
                <w:color w:val="000000"/>
                <w:lang w:val="en-AU"/>
              </w:rPr>
            </w:pPr>
            <w:r w:rsidRPr="00E26ADF">
              <w:rPr>
                <w:color w:val="000000"/>
                <w:vertAlign w:val="superscript"/>
                <w:lang w:val="en-AU"/>
              </w:rPr>
              <w:t>b</w:t>
            </w:r>
            <w:r w:rsidRPr="00E26ADF">
              <w:rPr>
                <w:color w:val="000000"/>
                <w:lang w:val="en-AU"/>
              </w:rPr>
              <w:t xml:space="preserve"> </w:t>
            </w:r>
            <w:proofErr w:type="gramStart"/>
            <w:r w:rsidRPr="00E26ADF">
              <w:rPr>
                <w:color w:val="000000"/>
                <w:lang w:val="en-AU"/>
              </w:rPr>
              <w:t>In</w:t>
            </w:r>
            <w:proofErr w:type="gramEnd"/>
            <w:r w:rsidRPr="00E26ADF">
              <w:rPr>
                <w:color w:val="000000"/>
                <w:lang w:val="en-AU"/>
              </w:rPr>
              <w:t xml:space="preserve"> clinical trials, herpes simplex cases were mucocutaneous, generally mild to moderate in severity, and did not include eczema </w:t>
            </w:r>
            <w:proofErr w:type="spellStart"/>
            <w:r w:rsidRPr="00E26ADF">
              <w:rPr>
                <w:color w:val="000000"/>
                <w:lang w:val="en-AU"/>
              </w:rPr>
              <w:t>herpecticum</w:t>
            </w:r>
            <w:proofErr w:type="spellEnd"/>
            <w:r w:rsidRPr="00E26ADF">
              <w:rPr>
                <w:color w:val="000000"/>
                <w:lang w:val="en-AU"/>
              </w:rPr>
              <w:t xml:space="preserve">. Eczema </w:t>
            </w:r>
            <w:proofErr w:type="spellStart"/>
            <w:r w:rsidRPr="00E26ADF">
              <w:rPr>
                <w:color w:val="000000"/>
                <w:lang w:val="en-AU"/>
              </w:rPr>
              <w:t>herpeticum</w:t>
            </w:r>
            <w:proofErr w:type="spellEnd"/>
            <w:r w:rsidRPr="00E26ADF">
              <w:rPr>
                <w:color w:val="000000"/>
                <w:lang w:val="en-AU"/>
              </w:rPr>
              <w:t xml:space="preserve"> cases were reported separately and incidence was numerically lower in patients treated with Dupixent compared to placebo.</w:t>
            </w:r>
          </w:p>
        </w:tc>
      </w:tr>
    </w:tbl>
    <w:p w14:paraId="4352DEE8" w14:textId="779574C2" w:rsidR="00A80162" w:rsidRPr="00AA4223" w:rsidRDefault="00C8795E" w:rsidP="00A80162">
      <w:pPr>
        <w:rPr>
          <w:color w:val="auto"/>
        </w:rPr>
      </w:pPr>
      <w:r w:rsidRPr="00C8795E">
        <w:rPr>
          <w:color w:val="0000FF"/>
        </w:rPr>
        <w:fldChar w:fldCharType="begin"/>
      </w:r>
      <w:r w:rsidRPr="00C8795E">
        <w:rPr>
          <w:strike/>
          <w:color w:val="0000FF"/>
        </w:rPr>
        <w:instrText xml:space="preserve"> REF _Ref22569476 \h  \* MERGEFORMAT </w:instrText>
      </w:r>
      <w:r w:rsidRPr="00C8795E">
        <w:rPr>
          <w:color w:val="0000FF"/>
        </w:rPr>
      </w:r>
      <w:r w:rsidRPr="00C8795E">
        <w:rPr>
          <w:color w:val="0000FF"/>
        </w:rPr>
        <w:fldChar w:fldCharType="separate"/>
      </w:r>
      <w:r w:rsidR="00E123A5" w:rsidRPr="00E123A5">
        <w:rPr>
          <w:color w:val="0000FF"/>
        </w:rPr>
        <w:t>Table 3</w:t>
      </w:r>
      <w:r w:rsidRPr="00C8795E">
        <w:rPr>
          <w:color w:val="0000FF"/>
        </w:rPr>
        <w:fldChar w:fldCharType="end"/>
      </w:r>
      <w:r w:rsidR="00A80162" w:rsidRPr="00C8795E">
        <w:rPr>
          <w:color w:val="auto"/>
        </w:rPr>
        <w:t xml:space="preserve"> </w:t>
      </w:r>
      <w:proofErr w:type="spellStart"/>
      <w:r w:rsidR="00A80162" w:rsidRPr="00C8795E">
        <w:rPr>
          <w:color w:val="auto"/>
        </w:rPr>
        <w:t>summari</w:t>
      </w:r>
      <w:r w:rsidR="00AB1085" w:rsidRPr="007C2F21">
        <w:rPr>
          <w:color w:val="auto"/>
        </w:rPr>
        <w:t>s</w:t>
      </w:r>
      <w:r w:rsidR="00A80162" w:rsidRPr="00C8795E">
        <w:rPr>
          <w:color w:val="auto"/>
        </w:rPr>
        <w:t>es</w:t>
      </w:r>
      <w:proofErr w:type="spellEnd"/>
      <w:r w:rsidR="00A80162" w:rsidRPr="00C8795E">
        <w:rPr>
          <w:color w:val="auto"/>
        </w:rPr>
        <w:t xml:space="preserve"> the adverse reactions that occurred in ≥1% of patients treated with Dupixent during the first 16-weeks of treatment in placebo-controlled trials.</w:t>
      </w:r>
    </w:p>
    <w:p w14:paraId="0CBE780D" w14:textId="3610C1BD" w:rsidR="00A80162" w:rsidRPr="00E26ADF" w:rsidRDefault="00A80162" w:rsidP="00A80162">
      <w:pPr>
        <w:pStyle w:val="Caption"/>
        <w:rPr>
          <w:lang w:val="en-AU"/>
        </w:rPr>
      </w:pPr>
      <w:r w:rsidRPr="00E26ADF">
        <w:rPr>
          <w:lang w:val="en-AU"/>
        </w:rPr>
        <w:t xml:space="preserve"> </w:t>
      </w:r>
      <w:bookmarkStart w:id="11" w:name="_Ref22569476"/>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3</w:t>
      </w:r>
      <w:r w:rsidRPr="00E26ADF">
        <w:rPr>
          <w:lang w:val="en-AU"/>
        </w:rPr>
        <w:fldChar w:fldCharType="end"/>
      </w:r>
      <w:bookmarkEnd w:id="11"/>
      <w:r w:rsidRPr="00E26ADF">
        <w:rPr>
          <w:lang w:val="en-AU"/>
        </w:rPr>
        <w:t xml:space="preserve"> ­ Adverse Reactions Occurring in ≥1% of Patients with Atopic Dermatitis Treated with Dupixent through Week 16 in Placebo-controlled Trials</w:t>
      </w:r>
    </w:p>
    <w:tbl>
      <w:tblPr>
        <w:tblW w:w="0" w:type="auto"/>
        <w:jc w:val="center"/>
        <w:tblBorders>
          <w:top w:val="single" w:sz="2" w:space="0" w:color="000000"/>
        </w:tblBorders>
        <w:tblLook w:val="04A0" w:firstRow="1" w:lastRow="0" w:firstColumn="1" w:lastColumn="0" w:noHBand="0" w:noVBand="1"/>
      </w:tblPr>
      <w:tblGrid>
        <w:gridCol w:w="1709"/>
        <w:gridCol w:w="1102"/>
        <w:gridCol w:w="1183"/>
        <w:gridCol w:w="1145"/>
        <w:gridCol w:w="1177"/>
        <w:gridCol w:w="1374"/>
        <w:gridCol w:w="1336"/>
      </w:tblGrid>
      <w:tr w:rsidR="00A80162" w:rsidRPr="00E26ADF" w14:paraId="6C1736BE" w14:textId="77777777" w:rsidTr="005977C2">
        <w:trPr>
          <w:cantSplit/>
          <w:tblHeader/>
          <w:jc w:val="center"/>
        </w:trPr>
        <w:tc>
          <w:tcPr>
            <w:tcW w:w="0" w:type="auto"/>
            <w:vMerge w:val="restart"/>
            <w:tcBorders>
              <w:top w:val="single" w:sz="4" w:space="0" w:color="000000"/>
              <w:bottom w:val="single" w:sz="4" w:space="0" w:color="000000"/>
            </w:tcBorders>
            <w:shd w:val="clear" w:color="auto" w:fill="auto"/>
            <w:vAlign w:val="center"/>
          </w:tcPr>
          <w:p w14:paraId="7C6F84AC" w14:textId="77777777" w:rsidR="00A80162" w:rsidRPr="00E26ADF" w:rsidRDefault="00A80162" w:rsidP="005977C2">
            <w:pPr>
              <w:pStyle w:val="TblHeadingCenter"/>
              <w:rPr>
                <w:lang w:val="en-AU"/>
              </w:rPr>
            </w:pPr>
            <w:r w:rsidRPr="00E26ADF">
              <w:rPr>
                <w:lang w:val="en-AU"/>
              </w:rPr>
              <w:t>Adverse Reaction</w:t>
            </w:r>
          </w:p>
        </w:tc>
        <w:tc>
          <w:tcPr>
            <w:tcW w:w="0" w:type="auto"/>
            <w:gridSpan w:val="3"/>
            <w:tcBorders>
              <w:top w:val="single" w:sz="4" w:space="0" w:color="000000"/>
              <w:bottom w:val="single" w:sz="4" w:space="0" w:color="000000"/>
            </w:tcBorders>
            <w:shd w:val="clear" w:color="auto" w:fill="auto"/>
          </w:tcPr>
          <w:p w14:paraId="5D41BC2F" w14:textId="77777777" w:rsidR="00A80162" w:rsidRPr="00E26ADF" w:rsidRDefault="00A80162" w:rsidP="005977C2">
            <w:pPr>
              <w:pStyle w:val="TblHeadingCenter"/>
              <w:rPr>
                <w:vertAlign w:val="subscript"/>
                <w:lang w:val="en-AU"/>
              </w:rPr>
            </w:pPr>
            <w:r w:rsidRPr="00E26ADF">
              <w:rPr>
                <w:lang w:val="en-AU"/>
              </w:rPr>
              <w:t>Dupixent</w:t>
            </w:r>
            <w:r w:rsidRPr="00E26ADF">
              <w:rPr>
                <w:vertAlign w:val="superscript"/>
                <w:lang w:val="en-AU"/>
              </w:rPr>
              <w:t xml:space="preserve">a </w:t>
            </w:r>
            <w:r w:rsidRPr="00E26ADF">
              <w:rPr>
                <w:lang w:val="en-AU"/>
              </w:rPr>
              <w:t>Monotherapy</w:t>
            </w:r>
          </w:p>
        </w:tc>
        <w:tc>
          <w:tcPr>
            <w:tcW w:w="0" w:type="auto"/>
            <w:gridSpan w:val="3"/>
            <w:tcBorders>
              <w:top w:val="single" w:sz="4" w:space="0" w:color="000000"/>
              <w:bottom w:val="single" w:sz="4" w:space="0" w:color="000000"/>
            </w:tcBorders>
            <w:shd w:val="clear" w:color="auto" w:fill="auto"/>
          </w:tcPr>
          <w:p w14:paraId="3DDD4119" w14:textId="77777777" w:rsidR="00A80162" w:rsidRPr="00E26ADF" w:rsidRDefault="00A80162" w:rsidP="005977C2">
            <w:pPr>
              <w:pStyle w:val="TblHeadingCenter"/>
              <w:rPr>
                <w:strike/>
                <w:lang w:val="en-AU"/>
              </w:rPr>
            </w:pPr>
            <w:r w:rsidRPr="00E26ADF">
              <w:rPr>
                <w:lang w:val="en-AU"/>
              </w:rPr>
              <w:t>Dupixent</w:t>
            </w:r>
            <w:r w:rsidRPr="00E26ADF">
              <w:rPr>
                <w:vertAlign w:val="superscript"/>
                <w:lang w:val="en-AU"/>
              </w:rPr>
              <w:t>b</w:t>
            </w:r>
            <w:r w:rsidRPr="00E26ADF">
              <w:rPr>
                <w:lang w:val="en-AU"/>
              </w:rPr>
              <w:t xml:space="preserve"> + TCS</w:t>
            </w:r>
          </w:p>
        </w:tc>
      </w:tr>
      <w:tr w:rsidR="005977C2" w:rsidRPr="00E26ADF" w14:paraId="0A4DD519" w14:textId="77777777" w:rsidTr="005977C2">
        <w:trPr>
          <w:cantSplit/>
          <w:tblHeader/>
          <w:jc w:val="center"/>
        </w:trPr>
        <w:tc>
          <w:tcPr>
            <w:tcW w:w="0" w:type="auto"/>
            <w:vMerge/>
            <w:tcBorders>
              <w:top w:val="single" w:sz="4" w:space="0" w:color="auto"/>
              <w:bottom w:val="single" w:sz="4" w:space="0" w:color="000000"/>
            </w:tcBorders>
            <w:shd w:val="clear" w:color="auto" w:fill="auto"/>
          </w:tcPr>
          <w:p w14:paraId="519C0EFC" w14:textId="77777777" w:rsidR="00A80162" w:rsidRPr="00E26ADF" w:rsidRDefault="00A80162" w:rsidP="00721C58">
            <w:pPr>
              <w:pStyle w:val="C-BodyText"/>
              <w:keepNext/>
              <w:keepLines/>
              <w:spacing w:before="0" w:after="0" w:line="240" w:lineRule="auto"/>
              <w:contextualSpacing/>
              <w:rPr>
                <w:rFonts w:ascii="Cambria" w:hAnsi="Cambria"/>
                <w:b/>
                <w:sz w:val="20"/>
                <w:lang w:val="en-AU"/>
              </w:rPr>
            </w:pPr>
          </w:p>
        </w:tc>
        <w:tc>
          <w:tcPr>
            <w:tcW w:w="0" w:type="auto"/>
            <w:tcBorders>
              <w:top w:val="single" w:sz="4" w:space="0" w:color="000000"/>
            </w:tcBorders>
            <w:shd w:val="clear" w:color="auto" w:fill="auto"/>
          </w:tcPr>
          <w:p w14:paraId="6AF7AC0A" w14:textId="77777777" w:rsidR="00A80162" w:rsidRPr="00E26ADF" w:rsidRDefault="00A80162" w:rsidP="005977C2">
            <w:pPr>
              <w:pStyle w:val="TblTextCenter"/>
              <w:rPr>
                <w:lang w:val="en-AU"/>
              </w:rPr>
            </w:pPr>
            <w:r w:rsidRPr="00E26ADF">
              <w:rPr>
                <w:lang w:val="en-AU"/>
              </w:rPr>
              <w:t>Placebo</w:t>
            </w:r>
          </w:p>
          <w:p w14:paraId="3A8FFB50" w14:textId="77777777" w:rsidR="00A80162" w:rsidRPr="00E26ADF" w:rsidRDefault="00A80162" w:rsidP="005977C2">
            <w:pPr>
              <w:pStyle w:val="TblTextCenter"/>
              <w:rPr>
                <w:lang w:val="en-AU"/>
              </w:rPr>
            </w:pPr>
            <w:r w:rsidRPr="00E26ADF">
              <w:rPr>
                <w:lang w:val="en-AU"/>
              </w:rPr>
              <w:t>N=517 n (%)</w:t>
            </w:r>
          </w:p>
        </w:tc>
        <w:tc>
          <w:tcPr>
            <w:tcW w:w="0" w:type="auto"/>
            <w:tcBorders>
              <w:top w:val="single" w:sz="4" w:space="0" w:color="000000"/>
            </w:tcBorders>
            <w:shd w:val="clear" w:color="auto" w:fill="auto"/>
          </w:tcPr>
          <w:p w14:paraId="40A8F352" w14:textId="77777777" w:rsidR="00A80162" w:rsidRPr="00E26ADF" w:rsidRDefault="00A80162" w:rsidP="005977C2">
            <w:pPr>
              <w:pStyle w:val="TblTextCenter"/>
              <w:rPr>
                <w:lang w:val="en-AU"/>
              </w:rPr>
            </w:pPr>
            <w:r w:rsidRPr="00E26ADF">
              <w:rPr>
                <w:lang w:val="en-AU"/>
              </w:rPr>
              <w:t>Dupixent</w:t>
            </w:r>
          </w:p>
          <w:p w14:paraId="2C8B60AA" w14:textId="77777777" w:rsidR="00A80162" w:rsidRPr="00E26ADF" w:rsidRDefault="00A80162" w:rsidP="005977C2">
            <w:pPr>
              <w:pStyle w:val="TblTextCenter"/>
              <w:rPr>
                <w:lang w:val="en-AU"/>
              </w:rPr>
            </w:pPr>
            <w:r w:rsidRPr="00E26ADF">
              <w:rPr>
                <w:lang w:val="en-AU"/>
              </w:rPr>
              <w:t xml:space="preserve"> 300 mg Q2W</w:t>
            </w:r>
          </w:p>
          <w:p w14:paraId="7A08255B" w14:textId="77777777" w:rsidR="00A80162" w:rsidRPr="00E26ADF" w:rsidRDefault="00A80162" w:rsidP="005977C2">
            <w:pPr>
              <w:pStyle w:val="TblTextCenter"/>
              <w:rPr>
                <w:lang w:val="en-AU"/>
              </w:rPr>
            </w:pPr>
            <w:r w:rsidRPr="00E26ADF">
              <w:rPr>
                <w:lang w:val="en-AU"/>
              </w:rPr>
              <w:t>N=529   n (%)</w:t>
            </w:r>
          </w:p>
        </w:tc>
        <w:tc>
          <w:tcPr>
            <w:tcW w:w="0" w:type="auto"/>
            <w:tcBorders>
              <w:top w:val="single" w:sz="4" w:space="0" w:color="000000"/>
            </w:tcBorders>
            <w:shd w:val="clear" w:color="auto" w:fill="auto"/>
          </w:tcPr>
          <w:p w14:paraId="258E1ED4" w14:textId="77777777" w:rsidR="00A80162" w:rsidRPr="00E26ADF" w:rsidRDefault="00A80162" w:rsidP="005977C2">
            <w:pPr>
              <w:pStyle w:val="TblTextCenter"/>
              <w:rPr>
                <w:lang w:val="en-AU"/>
              </w:rPr>
            </w:pPr>
            <w:r w:rsidRPr="00E26ADF">
              <w:rPr>
                <w:lang w:val="en-AU"/>
              </w:rPr>
              <w:t>Dupixent</w:t>
            </w:r>
          </w:p>
          <w:p w14:paraId="58416DC7" w14:textId="77777777" w:rsidR="00A80162" w:rsidRPr="00E26ADF" w:rsidRDefault="00A80162" w:rsidP="005977C2">
            <w:pPr>
              <w:pStyle w:val="TblTextCenter"/>
              <w:rPr>
                <w:lang w:val="en-AU"/>
              </w:rPr>
            </w:pPr>
            <w:r w:rsidRPr="00E26ADF">
              <w:rPr>
                <w:lang w:val="en-AU"/>
              </w:rPr>
              <w:t>300 mg QW</w:t>
            </w:r>
          </w:p>
          <w:p w14:paraId="611D3F10" w14:textId="77777777" w:rsidR="00A80162" w:rsidRPr="00E26ADF" w:rsidRDefault="00A80162" w:rsidP="005977C2">
            <w:pPr>
              <w:pStyle w:val="TblTextCenter"/>
              <w:rPr>
                <w:lang w:val="en-AU"/>
              </w:rPr>
            </w:pPr>
            <w:r w:rsidRPr="00E26ADF">
              <w:rPr>
                <w:lang w:val="en-AU"/>
              </w:rPr>
              <w:t>N=518 n (%)</w:t>
            </w:r>
          </w:p>
        </w:tc>
        <w:tc>
          <w:tcPr>
            <w:tcW w:w="0" w:type="auto"/>
            <w:tcBorders>
              <w:top w:val="single" w:sz="4" w:space="0" w:color="000000"/>
            </w:tcBorders>
            <w:shd w:val="clear" w:color="auto" w:fill="auto"/>
          </w:tcPr>
          <w:p w14:paraId="3A092580" w14:textId="77777777" w:rsidR="00A80162" w:rsidRPr="00E26ADF" w:rsidRDefault="00A80162" w:rsidP="005977C2">
            <w:pPr>
              <w:pStyle w:val="TblTextCenter"/>
              <w:rPr>
                <w:lang w:val="en-AU"/>
              </w:rPr>
            </w:pPr>
            <w:r w:rsidRPr="00E26ADF">
              <w:rPr>
                <w:lang w:val="en-AU"/>
              </w:rPr>
              <w:t>Placebo +TCS</w:t>
            </w:r>
          </w:p>
          <w:p w14:paraId="0BF06D6E" w14:textId="77777777" w:rsidR="00A80162" w:rsidRPr="00E26ADF" w:rsidRDefault="00A80162" w:rsidP="005977C2">
            <w:pPr>
              <w:pStyle w:val="TblTextCenter"/>
              <w:rPr>
                <w:lang w:val="en-AU"/>
              </w:rPr>
            </w:pPr>
          </w:p>
          <w:p w14:paraId="21A2C4D8" w14:textId="77777777" w:rsidR="00A80162" w:rsidRPr="00E26ADF" w:rsidRDefault="00A80162" w:rsidP="005977C2">
            <w:pPr>
              <w:pStyle w:val="TblTextCenter"/>
              <w:rPr>
                <w:lang w:val="en-AU"/>
              </w:rPr>
            </w:pPr>
            <w:r w:rsidRPr="00E26ADF">
              <w:rPr>
                <w:lang w:val="en-AU"/>
              </w:rPr>
              <w:t>N=315     n (%)</w:t>
            </w:r>
          </w:p>
        </w:tc>
        <w:tc>
          <w:tcPr>
            <w:tcW w:w="0" w:type="auto"/>
            <w:tcBorders>
              <w:top w:val="single" w:sz="4" w:space="0" w:color="000000"/>
            </w:tcBorders>
            <w:shd w:val="clear" w:color="auto" w:fill="auto"/>
          </w:tcPr>
          <w:p w14:paraId="7C664890" w14:textId="77777777" w:rsidR="00A80162" w:rsidRPr="00E26ADF" w:rsidRDefault="00A80162" w:rsidP="005977C2">
            <w:pPr>
              <w:pStyle w:val="TblTextCenter"/>
              <w:rPr>
                <w:lang w:val="en-AU"/>
              </w:rPr>
            </w:pPr>
            <w:r w:rsidRPr="00E26ADF">
              <w:rPr>
                <w:lang w:val="en-AU"/>
              </w:rPr>
              <w:t>Dupixent</w:t>
            </w:r>
          </w:p>
          <w:p w14:paraId="7AFAC20E" w14:textId="77777777" w:rsidR="00A80162" w:rsidRPr="00E26ADF" w:rsidRDefault="00A80162" w:rsidP="005977C2">
            <w:pPr>
              <w:pStyle w:val="TblTextCenter"/>
              <w:rPr>
                <w:lang w:val="en-AU"/>
              </w:rPr>
            </w:pPr>
            <w:r w:rsidRPr="00E26ADF">
              <w:rPr>
                <w:lang w:val="en-AU"/>
              </w:rPr>
              <w:t>300 mg Q2W + TCS</w:t>
            </w:r>
          </w:p>
          <w:p w14:paraId="00F39C22" w14:textId="77777777" w:rsidR="00A80162" w:rsidRPr="00E26ADF" w:rsidRDefault="00A80162" w:rsidP="005977C2">
            <w:pPr>
              <w:pStyle w:val="TblTextCenter"/>
              <w:rPr>
                <w:lang w:val="en-AU"/>
              </w:rPr>
            </w:pPr>
            <w:r w:rsidRPr="00E26ADF">
              <w:rPr>
                <w:lang w:val="en-AU"/>
              </w:rPr>
              <w:t>N=110</w:t>
            </w:r>
          </w:p>
          <w:p w14:paraId="1CB9805F" w14:textId="77777777" w:rsidR="00A80162" w:rsidRPr="00E26ADF" w:rsidRDefault="00A80162" w:rsidP="005977C2">
            <w:pPr>
              <w:pStyle w:val="TblTextCenter"/>
              <w:rPr>
                <w:lang w:val="en-AU"/>
              </w:rPr>
            </w:pPr>
            <w:r w:rsidRPr="00E26ADF">
              <w:rPr>
                <w:lang w:val="en-AU"/>
              </w:rPr>
              <w:t>n (%)</w:t>
            </w:r>
          </w:p>
        </w:tc>
        <w:tc>
          <w:tcPr>
            <w:tcW w:w="0" w:type="auto"/>
            <w:tcBorders>
              <w:top w:val="single" w:sz="4" w:space="0" w:color="000000"/>
            </w:tcBorders>
            <w:shd w:val="clear" w:color="auto" w:fill="auto"/>
          </w:tcPr>
          <w:p w14:paraId="137E82F3" w14:textId="77777777" w:rsidR="00A80162" w:rsidRPr="00E26ADF" w:rsidRDefault="00A80162" w:rsidP="005977C2">
            <w:pPr>
              <w:pStyle w:val="TblTextCenter"/>
              <w:rPr>
                <w:lang w:val="en-AU"/>
              </w:rPr>
            </w:pPr>
            <w:r w:rsidRPr="00E26ADF">
              <w:rPr>
                <w:lang w:val="en-AU"/>
              </w:rPr>
              <w:t>Dupixent</w:t>
            </w:r>
          </w:p>
          <w:p w14:paraId="7772595C" w14:textId="77777777" w:rsidR="00A80162" w:rsidRPr="00E26ADF" w:rsidRDefault="00A80162" w:rsidP="005977C2">
            <w:pPr>
              <w:pStyle w:val="TblTextCenter"/>
              <w:rPr>
                <w:lang w:val="en-AU"/>
              </w:rPr>
            </w:pPr>
            <w:r w:rsidRPr="00E26ADF">
              <w:rPr>
                <w:lang w:val="en-AU"/>
              </w:rPr>
              <w:t>300 mg QW + TCS</w:t>
            </w:r>
          </w:p>
          <w:p w14:paraId="78DB2600" w14:textId="77777777" w:rsidR="00A80162" w:rsidRPr="00E26ADF" w:rsidRDefault="00A80162" w:rsidP="005977C2">
            <w:pPr>
              <w:pStyle w:val="TblTextCenter"/>
              <w:rPr>
                <w:lang w:val="en-AU"/>
              </w:rPr>
            </w:pPr>
            <w:r w:rsidRPr="00E26ADF">
              <w:rPr>
                <w:lang w:val="en-AU"/>
              </w:rPr>
              <w:t>N=315 n (%)</w:t>
            </w:r>
          </w:p>
        </w:tc>
      </w:tr>
      <w:tr w:rsidR="005977C2" w:rsidRPr="00E26ADF" w14:paraId="05C4DF4A" w14:textId="77777777" w:rsidTr="005977C2">
        <w:trPr>
          <w:cantSplit/>
          <w:trHeight w:val="20"/>
          <w:jc w:val="center"/>
        </w:trPr>
        <w:tc>
          <w:tcPr>
            <w:tcW w:w="0" w:type="auto"/>
            <w:tcBorders>
              <w:top w:val="single" w:sz="4" w:space="0" w:color="000000"/>
            </w:tcBorders>
            <w:shd w:val="clear" w:color="auto" w:fill="auto"/>
          </w:tcPr>
          <w:p w14:paraId="66F4E6BD" w14:textId="77777777" w:rsidR="00A80162" w:rsidRPr="00E26ADF" w:rsidRDefault="00A80162" w:rsidP="005977C2">
            <w:pPr>
              <w:pStyle w:val="TblTextCenter"/>
              <w:rPr>
                <w:lang w:val="en-AU"/>
              </w:rPr>
            </w:pPr>
            <w:r w:rsidRPr="00E26ADF">
              <w:rPr>
                <w:lang w:val="en-AU"/>
              </w:rPr>
              <w:t>Injection site reactions</w:t>
            </w:r>
          </w:p>
        </w:tc>
        <w:tc>
          <w:tcPr>
            <w:tcW w:w="0" w:type="auto"/>
            <w:shd w:val="clear" w:color="auto" w:fill="auto"/>
          </w:tcPr>
          <w:p w14:paraId="5C44C583" w14:textId="77777777" w:rsidR="00A80162" w:rsidRPr="00E26ADF" w:rsidRDefault="00A80162" w:rsidP="005977C2">
            <w:pPr>
              <w:pStyle w:val="TblTextCenter"/>
              <w:rPr>
                <w:lang w:val="en-AU"/>
              </w:rPr>
            </w:pPr>
            <w:r w:rsidRPr="00E26ADF">
              <w:rPr>
                <w:lang w:val="en-AU"/>
              </w:rPr>
              <w:t>28 (5.4%)</w:t>
            </w:r>
          </w:p>
        </w:tc>
        <w:tc>
          <w:tcPr>
            <w:tcW w:w="0" w:type="auto"/>
            <w:shd w:val="clear" w:color="auto" w:fill="auto"/>
          </w:tcPr>
          <w:p w14:paraId="555A1F29" w14:textId="77777777" w:rsidR="00A80162" w:rsidRPr="00E26ADF" w:rsidRDefault="00A80162" w:rsidP="005977C2">
            <w:pPr>
              <w:pStyle w:val="TblTextCenter"/>
              <w:rPr>
                <w:lang w:val="en-AU"/>
              </w:rPr>
            </w:pPr>
            <w:r w:rsidRPr="00E26ADF">
              <w:rPr>
                <w:lang w:val="en-AU"/>
              </w:rPr>
              <w:t>51 (9.6%)</w:t>
            </w:r>
          </w:p>
        </w:tc>
        <w:tc>
          <w:tcPr>
            <w:tcW w:w="0" w:type="auto"/>
            <w:shd w:val="clear" w:color="auto" w:fill="auto"/>
          </w:tcPr>
          <w:p w14:paraId="7D6A494C" w14:textId="77777777" w:rsidR="00A80162" w:rsidRPr="00E26ADF" w:rsidRDefault="00A80162" w:rsidP="005977C2">
            <w:pPr>
              <w:pStyle w:val="TblTextCenter"/>
              <w:rPr>
                <w:lang w:val="en-AU"/>
              </w:rPr>
            </w:pPr>
            <w:r w:rsidRPr="00E26ADF">
              <w:rPr>
                <w:lang w:val="en-AU"/>
              </w:rPr>
              <w:t>72 (13.9%)</w:t>
            </w:r>
          </w:p>
        </w:tc>
        <w:tc>
          <w:tcPr>
            <w:tcW w:w="0" w:type="auto"/>
            <w:shd w:val="clear" w:color="auto" w:fill="auto"/>
          </w:tcPr>
          <w:p w14:paraId="718AEDE7" w14:textId="77777777" w:rsidR="00A80162" w:rsidRPr="00E26ADF" w:rsidRDefault="00A80162" w:rsidP="005977C2">
            <w:pPr>
              <w:pStyle w:val="TblTextCenter"/>
              <w:rPr>
                <w:lang w:val="en-AU"/>
              </w:rPr>
            </w:pPr>
            <w:r w:rsidRPr="00E26ADF">
              <w:rPr>
                <w:lang w:val="en-AU"/>
              </w:rPr>
              <w:t>18 (5.7%)</w:t>
            </w:r>
          </w:p>
        </w:tc>
        <w:tc>
          <w:tcPr>
            <w:tcW w:w="0" w:type="auto"/>
            <w:shd w:val="clear" w:color="auto" w:fill="auto"/>
          </w:tcPr>
          <w:p w14:paraId="79D5BC83" w14:textId="77777777" w:rsidR="00A80162" w:rsidRPr="00E26ADF" w:rsidRDefault="00A80162" w:rsidP="005977C2">
            <w:pPr>
              <w:pStyle w:val="TblTextCenter"/>
              <w:rPr>
                <w:lang w:val="en-AU"/>
              </w:rPr>
            </w:pPr>
            <w:r w:rsidRPr="00E26ADF">
              <w:rPr>
                <w:lang w:val="en-AU"/>
              </w:rPr>
              <w:t>11 (10.0%)</w:t>
            </w:r>
          </w:p>
        </w:tc>
        <w:tc>
          <w:tcPr>
            <w:tcW w:w="0" w:type="auto"/>
            <w:shd w:val="clear" w:color="auto" w:fill="auto"/>
          </w:tcPr>
          <w:p w14:paraId="17ADE8B3" w14:textId="77777777" w:rsidR="00A80162" w:rsidRPr="00E26ADF" w:rsidRDefault="00A80162" w:rsidP="005977C2">
            <w:pPr>
              <w:pStyle w:val="TblTextCenter"/>
              <w:rPr>
                <w:lang w:val="en-AU"/>
              </w:rPr>
            </w:pPr>
            <w:r w:rsidRPr="00E26ADF">
              <w:rPr>
                <w:lang w:val="en-AU"/>
              </w:rPr>
              <w:t>50 (15.9%)</w:t>
            </w:r>
          </w:p>
        </w:tc>
      </w:tr>
      <w:tr w:rsidR="005977C2" w:rsidRPr="00E26ADF" w14:paraId="0EDC3B38" w14:textId="77777777" w:rsidTr="005977C2">
        <w:trPr>
          <w:cantSplit/>
          <w:trHeight w:val="20"/>
          <w:jc w:val="center"/>
        </w:trPr>
        <w:tc>
          <w:tcPr>
            <w:tcW w:w="0" w:type="auto"/>
            <w:shd w:val="clear" w:color="auto" w:fill="auto"/>
          </w:tcPr>
          <w:p w14:paraId="6CB6DF90" w14:textId="77777777" w:rsidR="00A80162" w:rsidRPr="00E26ADF" w:rsidRDefault="00A80162" w:rsidP="005977C2">
            <w:pPr>
              <w:pStyle w:val="TblTextCenter"/>
              <w:rPr>
                <w:lang w:val="en-AU"/>
              </w:rPr>
            </w:pPr>
            <w:r w:rsidRPr="00E26ADF">
              <w:rPr>
                <w:lang w:val="en-AU"/>
              </w:rPr>
              <w:t>Conjunctivitis allergic</w:t>
            </w:r>
          </w:p>
        </w:tc>
        <w:tc>
          <w:tcPr>
            <w:tcW w:w="0" w:type="auto"/>
            <w:shd w:val="clear" w:color="auto" w:fill="auto"/>
          </w:tcPr>
          <w:p w14:paraId="3EAB94AB" w14:textId="77777777" w:rsidR="00A80162" w:rsidRPr="00E26ADF" w:rsidRDefault="00A80162" w:rsidP="005977C2">
            <w:pPr>
              <w:pStyle w:val="TblTextCenter"/>
              <w:rPr>
                <w:lang w:val="en-AU"/>
              </w:rPr>
            </w:pPr>
            <w:r w:rsidRPr="00E26ADF">
              <w:rPr>
                <w:lang w:val="en-AU"/>
              </w:rPr>
              <w:t>5 (1.0%)</w:t>
            </w:r>
          </w:p>
        </w:tc>
        <w:tc>
          <w:tcPr>
            <w:tcW w:w="0" w:type="auto"/>
            <w:shd w:val="clear" w:color="auto" w:fill="auto"/>
          </w:tcPr>
          <w:p w14:paraId="5773399D" w14:textId="77777777" w:rsidR="00A80162" w:rsidRPr="00E26ADF" w:rsidRDefault="00A80162" w:rsidP="005977C2">
            <w:pPr>
              <w:pStyle w:val="TblTextCenter"/>
              <w:rPr>
                <w:lang w:val="en-AU"/>
              </w:rPr>
            </w:pPr>
            <w:r w:rsidRPr="00E26ADF">
              <w:rPr>
                <w:lang w:val="en-AU"/>
              </w:rPr>
              <w:t>16 (3.0%)</w:t>
            </w:r>
          </w:p>
        </w:tc>
        <w:tc>
          <w:tcPr>
            <w:tcW w:w="0" w:type="auto"/>
            <w:shd w:val="clear" w:color="auto" w:fill="auto"/>
          </w:tcPr>
          <w:p w14:paraId="7A761F89" w14:textId="77777777" w:rsidR="00A80162" w:rsidRPr="00E26ADF" w:rsidRDefault="00A80162" w:rsidP="005977C2">
            <w:pPr>
              <w:pStyle w:val="TblTextCenter"/>
              <w:rPr>
                <w:lang w:val="en-AU"/>
              </w:rPr>
            </w:pPr>
            <w:r w:rsidRPr="00E26ADF">
              <w:rPr>
                <w:lang w:val="en-AU"/>
              </w:rPr>
              <w:t>12 (2.3%)</w:t>
            </w:r>
          </w:p>
        </w:tc>
        <w:tc>
          <w:tcPr>
            <w:tcW w:w="0" w:type="auto"/>
            <w:shd w:val="clear" w:color="auto" w:fill="auto"/>
          </w:tcPr>
          <w:p w14:paraId="20A4D35E" w14:textId="77777777" w:rsidR="00A80162" w:rsidRPr="00E26ADF" w:rsidRDefault="00A80162" w:rsidP="005977C2">
            <w:pPr>
              <w:pStyle w:val="TblTextCenter"/>
              <w:rPr>
                <w:lang w:val="en-AU"/>
              </w:rPr>
            </w:pPr>
            <w:r w:rsidRPr="00E26ADF">
              <w:rPr>
                <w:lang w:val="en-AU"/>
              </w:rPr>
              <w:t>10 (3.2%)</w:t>
            </w:r>
          </w:p>
        </w:tc>
        <w:tc>
          <w:tcPr>
            <w:tcW w:w="0" w:type="auto"/>
            <w:shd w:val="clear" w:color="auto" w:fill="auto"/>
          </w:tcPr>
          <w:p w14:paraId="6E4D75B8" w14:textId="77777777" w:rsidR="00A80162" w:rsidRPr="00E26ADF" w:rsidRDefault="00A80162" w:rsidP="005977C2">
            <w:pPr>
              <w:pStyle w:val="TblTextCenter"/>
              <w:rPr>
                <w:lang w:val="en-AU"/>
              </w:rPr>
            </w:pPr>
            <w:r w:rsidRPr="00E26ADF">
              <w:rPr>
                <w:lang w:val="en-AU"/>
              </w:rPr>
              <w:t>7 (6.4%)</w:t>
            </w:r>
          </w:p>
        </w:tc>
        <w:tc>
          <w:tcPr>
            <w:tcW w:w="0" w:type="auto"/>
            <w:shd w:val="clear" w:color="auto" w:fill="auto"/>
          </w:tcPr>
          <w:p w14:paraId="2CA9F301" w14:textId="77777777" w:rsidR="00A80162" w:rsidRPr="00E26ADF" w:rsidRDefault="00A80162" w:rsidP="005977C2">
            <w:pPr>
              <w:pStyle w:val="TblTextCenter"/>
              <w:rPr>
                <w:lang w:val="en-AU"/>
              </w:rPr>
            </w:pPr>
            <w:r w:rsidRPr="00E26ADF">
              <w:rPr>
                <w:lang w:val="en-AU"/>
              </w:rPr>
              <w:t>22 (7.0%)</w:t>
            </w:r>
          </w:p>
        </w:tc>
      </w:tr>
      <w:tr w:rsidR="005977C2" w:rsidRPr="00E26ADF" w14:paraId="75ABCC79" w14:textId="77777777" w:rsidTr="005977C2">
        <w:trPr>
          <w:cantSplit/>
          <w:trHeight w:val="20"/>
          <w:jc w:val="center"/>
        </w:trPr>
        <w:tc>
          <w:tcPr>
            <w:tcW w:w="0" w:type="auto"/>
            <w:shd w:val="clear" w:color="auto" w:fill="auto"/>
          </w:tcPr>
          <w:p w14:paraId="31D87C41" w14:textId="77777777" w:rsidR="00A80162" w:rsidRPr="00E26ADF" w:rsidRDefault="00A80162" w:rsidP="005977C2">
            <w:pPr>
              <w:pStyle w:val="TblTextCenter"/>
              <w:rPr>
                <w:lang w:val="en-AU"/>
              </w:rPr>
            </w:pPr>
            <w:r w:rsidRPr="00E26ADF">
              <w:rPr>
                <w:lang w:val="en-AU"/>
              </w:rPr>
              <w:t>Blepharitis</w:t>
            </w:r>
          </w:p>
        </w:tc>
        <w:tc>
          <w:tcPr>
            <w:tcW w:w="0" w:type="auto"/>
            <w:shd w:val="clear" w:color="auto" w:fill="auto"/>
          </w:tcPr>
          <w:p w14:paraId="5923AA32"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48451F2C"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1EC9C11D" w14:textId="77777777" w:rsidR="00A80162" w:rsidRPr="00E26ADF" w:rsidRDefault="00A80162" w:rsidP="005977C2">
            <w:pPr>
              <w:pStyle w:val="TblTextCenter"/>
              <w:rPr>
                <w:lang w:val="en-AU"/>
              </w:rPr>
            </w:pPr>
            <w:r w:rsidRPr="00E26ADF">
              <w:rPr>
                <w:lang w:val="en-AU"/>
              </w:rPr>
              <w:t>6 (1.2%)</w:t>
            </w:r>
          </w:p>
        </w:tc>
        <w:tc>
          <w:tcPr>
            <w:tcW w:w="0" w:type="auto"/>
            <w:shd w:val="clear" w:color="auto" w:fill="auto"/>
          </w:tcPr>
          <w:p w14:paraId="3D023F1E"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1A3C239D" w14:textId="77777777" w:rsidR="00A80162" w:rsidRPr="00E26ADF" w:rsidRDefault="00A80162" w:rsidP="005977C2">
            <w:pPr>
              <w:pStyle w:val="TblTextCenter"/>
              <w:rPr>
                <w:lang w:val="en-AU"/>
              </w:rPr>
            </w:pPr>
            <w:r w:rsidRPr="00E26ADF">
              <w:rPr>
                <w:lang w:val="en-AU"/>
              </w:rPr>
              <w:t>5 (4.5%)</w:t>
            </w:r>
          </w:p>
        </w:tc>
        <w:tc>
          <w:tcPr>
            <w:tcW w:w="0" w:type="auto"/>
            <w:shd w:val="clear" w:color="auto" w:fill="auto"/>
          </w:tcPr>
          <w:p w14:paraId="102EFCFA" w14:textId="77777777" w:rsidR="00A80162" w:rsidRPr="00E26ADF" w:rsidRDefault="00A80162" w:rsidP="005977C2">
            <w:pPr>
              <w:pStyle w:val="TblTextCenter"/>
              <w:rPr>
                <w:lang w:val="en-AU"/>
              </w:rPr>
            </w:pPr>
            <w:r w:rsidRPr="00E26ADF">
              <w:rPr>
                <w:lang w:val="en-AU"/>
              </w:rPr>
              <w:t>8 (2.5%)</w:t>
            </w:r>
          </w:p>
        </w:tc>
      </w:tr>
      <w:tr w:rsidR="005977C2" w:rsidRPr="00E26ADF" w14:paraId="14196D6E" w14:textId="77777777" w:rsidTr="005977C2">
        <w:trPr>
          <w:cantSplit/>
          <w:trHeight w:val="20"/>
          <w:jc w:val="center"/>
        </w:trPr>
        <w:tc>
          <w:tcPr>
            <w:tcW w:w="0" w:type="auto"/>
            <w:shd w:val="clear" w:color="auto" w:fill="auto"/>
          </w:tcPr>
          <w:p w14:paraId="5AD02D00" w14:textId="77777777" w:rsidR="00A80162" w:rsidRPr="00E26ADF" w:rsidRDefault="00A80162" w:rsidP="005977C2">
            <w:pPr>
              <w:pStyle w:val="TblTextCenter"/>
              <w:rPr>
                <w:lang w:val="en-AU"/>
              </w:rPr>
            </w:pPr>
            <w:r w:rsidRPr="00E26ADF">
              <w:rPr>
                <w:lang w:val="en-AU"/>
              </w:rPr>
              <w:t>Conjunctivitis</w:t>
            </w:r>
          </w:p>
        </w:tc>
        <w:tc>
          <w:tcPr>
            <w:tcW w:w="0" w:type="auto"/>
            <w:shd w:val="clear" w:color="auto" w:fill="auto"/>
          </w:tcPr>
          <w:p w14:paraId="7F5B3A54" w14:textId="77777777" w:rsidR="00A80162" w:rsidRPr="00E26ADF" w:rsidRDefault="00A80162" w:rsidP="005977C2">
            <w:pPr>
              <w:pStyle w:val="TblTextCenter"/>
              <w:rPr>
                <w:lang w:val="en-AU"/>
              </w:rPr>
            </w:pPr>
            <w:r w:rsidRPr="00E26ADF">
              <w:rPr>
                <w:lang w:val="en-AU"/>
              </w:rPr>
              <w:t>3 (0.6%)</w:t>
            </w:r>
          </w:p>
        </w:tc>
        <w:tc>
          <w:tcPr>
            <w:tcW w:w="0" w:type="auto"/>
            <w:shd w:val="clear" w:color="auto" w:fill="auto"/>
          </w:tcPr>
          <w:p w14:paraId="69D9A6D8" w14:textId="77777777" w:rsidR="00A80162" w:rsidRPr="00E26ADF" w:rsidRDefault="00A80162" w:rsidP="005977C2">
            <w:pPr>
              <w:pStyle w:val="TblTextCenter"/>
              <w:rPr>
                <w:lang w:val="en-AU"/>
              </w:rPr>
            </w:pPr>
            <w:r w:rsidRPr="00E26ADF">
              <w:rPr>
                <w:lang w:val="en-AU"/>
              </w:rPr>
              <w:t>21 (4.0%)</w:t>
            </w:r>
          </w:p>
        </w:tc>
        <w:tc>
          <w:tcPr>
            <w:tcW w:w="0" w:type="auto"/>
            <w:shd w:val="clear" w:color="auto" w:fill="auto"/>
          </w:tcPr>
          <w:p w14:paraId="5DE28FE6" w14:textId="77777777" w:rsidR="00A80162" w:rsidRPr="00E26ADF" w:rsidRDefault="00A80162" w:rsidP="005977C2">
            <w:pPr>
              <w:pStyle w:val="TblTextCenter"/>
              <w:rPr>
                <w:lang w:val="en-AU"/>
              </w:rPr>
            </w:pPr>
            <w:r w:rsidRPr="00E26ADF">
              <w:rPr>
                <w:lang w:val="en-AU"/>
              </w:rPr>
              <w:t>20 (3.9%)</w:t>
            </w:r>
          </w:p>
        </w:tc>
        <w:tc>
          <w:tcPr>
            <w:tcW w:w="0" w:type="auto"/>
            <w:shd w:val="clear" w:color="auto" w:fill="auto"/>
          </w:tcPr>
          <w:p w14:paraId="57B745D1"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2CFE45E8" w14:textId="77777777" w:rsidR="00A80162" w:rsidRPr="00E26ADF" w:rsidRDefault="00A80162" w:rsidP="005977C2">
            <w:pPr>
              <w:pStyle w:val="TblTextCenter"/>
              <w:rPr>
                <w:lang w:val="en-AU"/>
              </w:rPr>
            </w:pPr>
            <w:r w:rsidRPr="00E26ADF">
              <w:rPr>
                <w:lang w:val="en-AU"/>
              </w:rPr>
              <w:t>0</w:t>
            </w:r>
          </w:p>
        </w:tc>
        <w:tc>
          <w:tcPr>
            <w:tcW w:w="0" w:type="auto"/>
            <w:shd w:val="clear" w:color="auto" w:fill="auto"/>
          </w:tcPr>
          <w:p w14:paraId="31CCAD19" w14:textId="77777777" w:rsidR="00A80162" w:rsidRPr="00E26ADF" w:rsidRDefault="00A80162" w:rsidP="005977C2">
            <w:pPr>
              <w:pStyle w:val="TblTextCenter"/>
              <w:rPr>
                <w:lang w:val="en-AU"/>
              </w:rPr>
            </w:pPr>
            <w:r w:rsidRPr="00E26ADF">
              <w:rPr>
                <w:lang w:val="en-AU"/>
              </w:rPr>
              <w:t>1 (0.3%)</w:t>
            </w:r>
          </w:p>
        </w:tc>
      </w:tr>
      <w:tr w:rsidR="005977C2" w:rsidRPr="00E26ADF" w14:paraId="0370ADFB" w14:textId="77777777" w:rsidTr="005977C2">
        <w:trPr>
          <w:cantSplit/>
          <w:trHeight w:val="20"/>
          <w:jc w:val="center"/>
        </w:trPr>
        <w:tc>
          <w:tcPr>
            <w:tcW w:w="0" w:type="auto"/>
            <w:shd w:val="clear" w:color="auto" w:fill="auto"/>
          </w:tcPr>
          <w:p w14:paraId="2E87C42B" w14:textId="77777777" w:rsidR="00A80162" w:rsidRPr="00E26ADF" w:rsidRDefault="00A80162" w:rsidP="005977C2">
            <w:pPr>
              <w:pStyle w:val="TblTextCenter"/>
              <w:rPr>
                <w:lang w:val="en-AU"/>
              </w:rPr>
            </w:pPr>
            <w:r w:rsidRPr="00E26ADF">
              <w:rPr>
                <w:lang w:val="en-AU"/>
              </w:rPr>
              <w:t>Oral herpes</w:t>
            </w:r>
          </w:p>
        </w:tc>
        <w:tc>
          <w:tcPr>
            <w:tcW w:w="0" w:type="auto"/>
            <w:shd w:val="clear" w:color="auto" w:fill="auto"/>
          </w:tcPr>
          <w:p w14:paraId="297D69BC" w14:textId="77777777" w:rsidR="00A80162" w:rsidRPr="00E26ADF" w:rsidRDefault="00A80162" w:rsidP="005977C2">
            <w:pPr>
              <w:pStyle w:val="TblTextCenter"/>
              <w:rPr>
                <w:lang w:val="en-AU"/>
              </w:rPr>
            </w:pPr>
            <w:r w:rsidRPr="00E26ADF">
              <w:rPr>
                <w:lang w:val="en-AU"/>
              </w:rPr>
              <w:t>8 (1.5%)</w:t>
            </w:r>
          </w:p>
        </w:tc>
        <w:tc>
          <w:tcPr>
            <w:tcW w:w="0" w:type="auto"/>
            <w:shd w:val="clear" w:color="auto" w:fill="auto"/>
          </w:tcPr>
          <w:p w14:paraId="4B4E090B" w14:textId="77777777" w:rsidR="00A80162" w:rsidRPr="00E26ADF" w:rsidRDefault="00A80162" w:rsidP="005977C2">
            <w:pPr>
              <w:pStyle w:val="TblTextCenter"/>
              <w:rPr>
                <w:lang w:val="en-AU"/>
              </w:rPr>
            </w:pPr>
            <w:r w:rsidRPr="00E26ADF">
              <w:rPr>
                <w:lang w:val="en-AU"/>
              </w:rPr>
              <w:t>20 (3.8%)</w:t>
            </w:r>
          </w:p>
        </w:tc>
        <w:tc>
          <w:tcPr>
            <w:tcW w:w="0" w:type="auto"/>
            <w:shd w:val="clear" w:color="auto" w:fill="auto"/>
          </w:tcPr>
          <w:p w14:paraId="0BBDCA3C" w14:textId="77777777" w:rsidR="00A80162" w:rsidRPr="00E26ADF" w:rsidRDefault="00A80162" w:rsidP="005977C2">
            <w:pPr>
              <w:pStyle w:val="TblTextCenter"/>
              <w:rPr>
                <w:lang w:val="en-AU"/>
              </w:rPr>
            </w:pPr>
            <w:r w:rsidRPr="00E26ADF">
              <w:rPr>
                <w:lang w:val="en-AU"/>
              </w:rPr>
              <w:t>13 (2.5%)</w:t>
            </w:r>
          </w:p>
        </w:tc>
        <w:tc>
          <w:tcPr>
            <w:tcW w:w="0" w:type="auto"/>
            <w:shd w:val="clear" w:color="auto" w:fill="auto"/>
          </w:tcPr>
          <w:p w14:paraId="0B040E1B" w14:textId="77777777" w:rsidR="00A80162" w:rsidRPr="00E26ADF" w:rsidRDefault="00A80162" w:rsidP="005977C2">
            <w:pPr>
              <w:pStyle w:val="TblTextCenter"/>
              <w:rPr>
                <w:lang w:val="en-AU"/>
              </w:rPr>
            </w:pPr>
            <w:r w:rsidRPr="00E26ADF">
              <w:rPr>
                <w:lang w:val="en-AU"/>
              </w:rPr>
              <w:t>5 (1.6%)</w:t>
            </w:r>
          </w:p>
        </w:tc>
        <w:tc>
          <w:tcPr>
            <w:tcW w:w="0" w:type="auto"/>
            <w:shd w:val="clear" w:color="auto" w:fill="auto"/>
          </w:tcPr>
          <w:p w14:paraId="359DDF07" w14:textId="77777777" w:rsidR="00A80162" w:rsidRPr="00E26ADF" w:rsidRDefault="00A80162" w:rsidP="005977C2">
            <w:pPr>
              <w:pStyle w:val="TblTextCenter"/>
              <w:rPr>
                <w:lang w:val="en-AU"/>
              </w:rPr>
            </w:pPr>
            <w:r w:rsidRPr="00E26ADF">
              <w:rPr>
                <w:lang w:val="en-AU"/>
              </w:rPr>
              <w:t>3 (2.7%)</w:t>
            </w:r>
          </w:p>
        </w:tc>
        <w:tc>
          <w:tcPr>
            <w:tcW w:w="0" w:type="auto"/>
            <w:shd w:val="clear" w:color="auto" w:fill="auto"/>
          </w:tcPr>
          <w:p w14:paraId="0481D262" w14:textId="77777777" w:rsidR="00A80162" w:rsidRPr="00E26ADF" w:rsidRDefault="00A80162" w:rsidP="005977C2">
            <w:pPr>
              <w:pStyle w:val="TblTextCenter"/>
              <w:rPr>
                <w:lang w:val="en-AU"/>
              </w:rPr>
            </w:pPr>
            <w:r w:rsidRPr="00E26ADF">
              <w:rPr>
                <w:lang w:val="en-AU"/>
              </w:rPr>
              <w:t>8 (2.5%)</w:t>
            </w:r>
          </w:p>
        </w:tc>
      </w:tr>
      <w:tr w:rsidR="005977C2" w:rsidRPr="00E26ADF" w14:paraId="663F4393" w14:textId="77777777" w:rsidTr="005977C2">
        <w:trPr>
          <w:cantSplit/>
          <w:trHeight w:val="20"/>
          <w:jc w:val="center"/>
        </w:trPr>
        <w:tc>
          <w:tcPr>
            <w:tcW w:w="0" w:type="auto"/>
            <w:shd w:val="clear" w:color="auto" w:fill="auto"/>
          </w:tcPr>
          <w:p w14:paraId="14CF2863" w14:textId="77777777" w:rsidR="00A80162" w:rsidRPr="00E26ADF" w:rsidRDefault="00A80162" w:rsidP="005977C2">
            <w:pPr>
              <w:pStyle w:val="TblTextCenter"/>
              <w:rPr>
                <w:lang w:val="en-AU"/>
              </w:rPr>
            </w:pPr>
            <w:r w:rsidRPr="00E26ADF">
              <w:rPr>
                <w:lang w:val="en-AU"/>
              </w:rPr>
              <w:t>Eye pruritus</w:t>
            </w:r>
          </w:p>
        </w:tc>
        <w:tc>
          <w:tcPr>
            <w:tcW w:w="0" w:type="auto"/>
            <w:shd w:val="clear" w:color="auto" w:fill="auto"/>
          </w:tcPr>
          <w:p w14:paraId="6A4D2C43"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2DA7FF6D" w14:textId="77777777" w:rsidR="00A80162" w:rsidRPr="00E26ADF" w:rsidRDefault="00A80162" w:rsidP="005977C2">
            <w:pPr>
              <w:pStyle w:val="TblTextCenter"/>
              <w:rPr>
                <w:lang w:val="en-AU"/>
              </w:rPr>
            </w:pPr>
            <w:r w:rsidRPr="00E26ADF">
              <w:rPr>
                <w:lang w:val="en-AU"/>
              </w:rPr>
              <w:t>3 (0.6%)</w:t>
            </w:r>
          </w:p>
        </w:tc>
        <w:tc>
          <w:tcPr>
            <w:tcW w:w="0" w:type="auto"/>
            <w:shd w:val="clear" w:color="auto" w:fill="auto"/>
          </w:tcPr>
          <w:p w14:paraId="20FEC075"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682A0365"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2ED1310E" w14:textId="77777777" w:rsidR="00A80162" w:rsidRPr="00E26ADF" w:rsidRDefault="00A80162" w:rsidP="005977C2">
            <w:pPr>
              <w:pStyle w:val="TblTextCenter"/>
              <w:rPr>
                <w:lang w:val="en-AU"/>
              </w:rPr>
            </w:pPr>
            <w:r w:rsidRPr="00E26ADF">
              <w:rPr>
                <w:lang w:val="en-AU"/>
              </w:rPr>
              <w:t>2 (1.8%)</w:t>
            </w:r>
          </w:p>
        </w:tc>
        <w:tc>
          <w:tcPr>
            <w:tcW w:w="0" w:type="auto"/>
            <w:shd w:val="clear" w:color="auto" w:fill="auto"/>
          </w:tcPr>
          <w:p w14:paraId="2A53A720" w14:textId="77777777" w:rsidR="00A80162" w:rsidRPr="00E26ADF" w:rsidRDefault="00A80162" w:rsidP="005977C2">
            <w:pPr>
              <w:pStyle w:val="TblTextCenter"/>
              <w:rPr>
                <w:lang w:val="en-AU"/>
              </w:rPr>
            </w:pPr>
            <w:r w:rsidRPr="00E26ADF">
              <w:rPr>
                <w:lang w:val="en-AU"/>
              </w:rPr>
              <w:t>9 (2.9%)</w:t>
            </w:r>
          </w:p>
        </w:tc>
      </w:tr>
      <w:tr w:rsidR="005977C2" w:rsidRPr="00E26ADF" w14:paraId="2F01B23E" w14:textId="77777777" w:rsidTr="005977C2">
        <w:trPr>
          <w:cantSplit/>
          <w:trHeight w:val="56"/>
          <w:jc w:val="center"/>
        </w:trPr>
        <w:tc>
          <w:tcPr>
            <w:tcW w:w="0" w:type="auto"/>
            <w:shd w:val="clear" w:color="auto" w:fill="auto"/>
          </w:tcPr>
          <w:p w14:paraId="24104D26" w14:textId="77777777" w:rsidR="00A80162" w:rsidRPr="00E26ADF" w:rsidRDefault="00A80162" w:rsidP="005977C2">
            <w:pPr>
              <w:pStyle w:val="TblTextCenter"/>
              <w:rPr>
                <w:lang w:val="en-AU"/>
              </w:rPr>
            </w:pPr>
            <w:r w:rsidRPr="00E26ADF">
              <w:rPr>
                <w:lang w:val="en-AU"/>
              </w:rPr>
              <w:t>Conjunctivitis bacterial</w:t>
            </w:r>
          </w:p>
        </w:tc>
        <w:tc>
          <w:tcPr>
            <w:tcW w:w="0" w:type="auto"/>
            <w:shd w:val="clear" w:color="auto" w:fill="auto"/>
          </w:tcPr>
          <w:p w14:paraId="206C701E" w14:textId="77777777" w:rsidR="00A80162" w:rsidRPr="00E26ADF" w:rsidRDefault="00A80162" w:rsidP="005977C2">
            <w:pPr>
              <w:pStyle w:val="TblTextCenter"/>
              <w:rPr>
                <w:lang w:val="en-AU"/>
              </w:rPr>
            </w:pPr>
            <w:r w:rsidRPr="00E26ADF">
              <w:rPr>
                <w:lang w:val="en-AU"/>
              </w:rPr>
              <w:t>2 (0.4%)</w:t>
            </w:r>
          </w:p>
        </w:tc>
        <w:tc>
          <w:tcPr>
            <w:tcW w:w="0" w:type="auto"/>
            <w:shd w:val="clear" w:color="auto" w:fill="auto"/>
          </w:tcPr>
          <w:p w14:paraId="7B15E30C" w14:textId="77777777" w:rsidR="00A80162" w:rsidRPr="00E26ADF" w:rsidRDefault="00A80162" w:rsidP="005977C2">
            <w:pPr>
              <w:pStyle w:val="TblTextCenter"/>
              <w:rPr>
                <w:lang w:val="en-AU"/>
              </w:rPr>
            </w:pPr>
            <w:r w:rsidRPr="00E26ADF">
              <w:rPr>
                <w:lang w:val="en-AU"/>
              </w:rPr>
              <w:t>7 (1.3%)</w:t>
            </w:r>
          </w:p>
        </w:tc>
        <w:tc>
          <w:tcPr>
            <w:tcW w:w="0" w:type="auto"/>
            <w:shd w:val="clear" w:color="auto" w:fill="auto"/>
          </w:tcPr>
          <w:p w14:paraId="11B42D63" w14:textId="77777777" w:rsidR="00A80162" w:rsidRPr="00E26ADF" w:rsidRDefault="00A80162" w:rsidP="005977C2">
            <w:pPr>
              <w:pStyle w:val="TblTextCenter"/>
              <w:rPr>
                <w:lang w:val="en-AU"/>
              </w:rPr>
            </w:pPr>
            <w:r w:rsidRPr="00E26ADF">
              <w:rPr>
                <w:lang w:val="en-AU"/>
              </w:rPr>
              <w:t>8 (1.5%)</w:t>
            </w:r>
          </w:p>
        </w:tc>
        <w:tc>
          <w:tcPr>
            <w:tcW w:w="0" w:type="auto"/>
            <w:shd w:val="clear" w:color="auto" w:fill="auto"/>
          </w:tcPr>
          <w:p w14:paraId="483DE357" w14:textId="77777777" w:rsidR="00A80162" w:rsidRPr="00E26ADF" w:rsidRDefault="00A80162" w:rsidP="005977C2">
            <w:pPr>
              <w:pStyle w:val="TblTextCenter"/>
              <w:rPr>
                <w:lang w:val="en-AU"/>
              </w:rPr>
            </w:pPr>
            <w:r w:rsidRPr="00E26ADF">
              <w:rPr>
                <w:lang w:val="en-AU"/>
              </w:rPr>
              <w:t>2 (0.6%)</w:t>
            </w:r>
          </w:p>
        </w:tc>
        <w:tc>
          <w:tcPr>
            <w:tcW w:w="0" w:type="auto"/>
            <w:shd w:val="clear" w:color="auto" w:fill="auto"/>
          </w:tcPr>
          <w:p w14:paraId="0947592D" w14:textId="77777777" w:rsidR="00A80162" w:rsidRPr="00E26ADF" w:rsidRDefault="00A80162" w:rsidP="005977C2">
            <w:pPr>
              <w:pStyle w:val="TblTextCenter"/>
              <w:rPr>
                <w:lang w:val="en-AU"/>
              </w:rPr>
            </w:pPr>
            <w:r w:rsidRPr="00E26ADF">
              <w:rPr>
                <w:lang w:val="en-AU"/>
              </w:rPr>
              <w:t>1 (0.9%)</w:t>
            </w:r>
          </w:p>
        </w:tc>
        <w:tc>
          <w:tcPr>
            <w:tcW w:w="0" w:type="auto"/>
            <w:shd w:val="clear" w:color="auto" w:fill="auto"/>
          </w:tcPr>
          <w:p w14:paraId="1134BB4A" w14:textId="77777777" w:rsidR="00A80162" w:rsidRPr="00E26ADF" w:rsidRDefault="00A80162" w:rsidP="005977C2">
            <w:pPr>
              <w:pStyle w:val="TblTextCenter"/>
              <w:rPr>
                <w:lang w:val="en-AU"/>
              </w:rPr>
            </w:pPr>
            <w:r w:rsidRPr="00E26ADF">
              <w:rPr>
                <w:lang w:val="en-AU"/>
              </w:rPr>
              <w:t>6 (1.9%)</w:t>
            </w:r>
          </w:p>
        </w:tc>
      </w:tr>
      <w:tr w:rsidR="005977C2" w:rsidRPr="00E26ADF" w14:paraId="14739674" w14:textId="77777777" w:rsidTr="005977C2">
        <w:trPr>
          <w:cantSplit/>
          <w:trHeight w:val="56"/>
          <w:jc w:val="center"/>
        </w:trPr>
        <w:tc>
          <w:tcPr>
            <w:tcW w:w="0" w:type="auto"/>
            <w:shd w:val="clear" w:color="auto" w:fill="auto"/>
          </w:tcPr>
          <w:p w14:paraId="6F1FBC61" w14:textId="77777777" w:rsidR="00A80162" w:rsidRPr="00E26ADF" w:rsidRDefault="00A80162" w:rsidP="005977C2">
            <w:pPr>
              <w:pStyle w:val="TblTextCenter"/>
              <w:rPr>
                <w:lang w:val="en-AU"/>
              </w:rPr>
            </w:pPr>
            <w:r w:rsidRPr="00E26ADF">
              <w:rPr>
                <w:lang w:val="en-AU"/>
              </w:rPr>
              <w:t>Dry eye</w:t>
            </w:r>
          </w:p>
        </w:tc>
        <w:tc>
          <w:tcPr>
            <w:tcW w:w="0" w:type="auto"/>
            <w:shd w:val="clear" w:color="auto" w:fill="auto"/>
          </w:tcPr>
          <w:p w14:paraId="2F8AB67F" w14:textId="77777777" w:rsidR="00A80162" w:rsidRPr="00E26ADF" w:rsidRDefault="00A80162" w:rsidP="005977C2">
            <w:pPr>
              <w:pStyle w:val="TblTextCenter"/>
              <w:rPr>
                <w:lang w:val="en-AU"/>
              </w:rPr>
            </w:pPr>
            <w:r w:rsidRPr="00E26ADF">
              <w:rPr>
                <w:lang w:val="en-AU"/>
              </w:rPr>
              <w:t>0</w:t>
            </w:r>
          </w:p>
        </w:tc>
        <w:tc>
          <w:tcPr>
            <w:tcW w:w="0" w:type="auto"/>
            <w:shd w:val="clear" w:color="auto" w:fill="auto"/>
          </w:tcPr>
          <w:p w14:paraId="7787F748" w14:textId="77777777" w:rsidR="00A80162" w:rsidRPr="00E26ADF" w:rsidRDefault="00A80162" w:rsidP="005977C2">
            <w:pPr>
              <w:pStyle w:val="TblTextCenter"/>
              <w:rPr>
                <w:lang w:val="en-AU"/>
              </w:rPr>
            </w:pPr>
            <w:r w:rsidRPr="00E26ADF">
              <w:rPr>
                <w:lang w:val="en-AU"/>
              </w:rPr>
              <w:t>1 (0.2%)</w:t>
            </w:r>
          </w:p>
        </w:tc>
        <w:tc>
          <w:tcPr>
            <w:tcW w:w="0" w:type="auto"/>
            <w:shd w:val="clear" w:color="auto" w:fill="auto"/>
          </w:tcPr>
          <w:p w14:paraId="36267A7F" w14:textId="77777777" w:rsidR="00A80162" w:rsidRPr="00E26ADF" w:rsidRDefault="00A80162" w:rsidP="005977C2">
            <w:pPr>
              <w:pStyle w:val="TblTextCenter"/>
              <w:rPr>
                <w:lang w:val="en-AU"/>
              </w:rPr>
            </w:pPr>
            <w:r w:rsidRPr="00E26ADF">
              <w:rPr>
                <w:lang w:val="en-AU"/>
              </w:rPr>
              <w:t>6 (1.2%)</w:t>
            </w:r>
          </w:p>
        </w:tc>
        <w:tc>
          <w:tcPr>
            <w:tcW w:w="0" w:type="auto"/>
            <w:shd w:val="clear" w:color="auto" w:fill="auto"/>
          </w:tcPr>
          <w:p w14:paraId="7D361EFE"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204FF3B5" w14:textId="77777777" w:rsidR="00A80162" w:rsidRPr="00E26ADF" w:rsidRDefault="00A80162" w:rsidP="005977C2">
            <w:pPr>
              <w:pStyle w:val="TblTextCenter"/>
              <w:rPr>
                <w:lang w:val="en-AU"/>
              </w:rPr>
            </w:pPr>
            <w:r w:rsidRPr="00E26ADF">
              <w:rPr>
                <w:lang w:val="en-AU"/>
              </w:rPr>
              <w:t>2 (1.8%)</w:t>
            </w:r>
          </w:p>
        </w:tc>
        <w:tc>
          <w:tcPr>
            <w:tcW w:w="0" w:type="auto"/>
            <w:shd w:val="clear" w:color="auto" w:fill="auto"/>
          </w:tcPr>
          <w:p w14:paraId="36451CEE" w14:textId="77777777" w:rsidR="00A80162" w:rsidRPr="00E26ADF" w:rsidRDefault="00A80162" w:rsidP="005977C2">
            <w:pPr>
              <w:pStyle w:val="TblTextCenter"/>
              <w:rPr>
                <w:lang w:val="en-AU"/>
              </w:rPr>
            </w:pPr>
            <w:r w:rsidRPr="00E26ADF">
              <w:rPr>
                <w:lang w:val="en-AU"/>
              </w:rPr>
              <w:t>3 (1.0%)</w:t>
            </w:r>
          </w:p>
        </w:tc>
      </w:tr>
      <w:tr w:rsidR="005977C2" w:rsidRPr="00E26ADF" w14:paraId="3020EC9A" w14:textId="77777777" w:rsidTr="005977C2">
        <w:trPr>
          <w:cantSplit/>
          <w:trHeight w:val="56"/>
          <w:jc w:val="center"/>
        </w:trPr>
        <w:tc>
          <w:tcPr>
            <w:tcW w:w="0" w:type="auto"/>
            <w:shd w:val="clear" w:color="auto" w:fill="auto"/>
          </w:tcPr>
          <w:p w14:paraId="315F9843" w14:textId="77777777" w:rsidR="00A80162" w:rsidRPr="00E26ADF" w:rsidRDefault="00A80162" w:rsidP="005977C2">
            <w:pPr>
              <w:pStyle w:val="TblTextCenter"/>
              <w:rPr>
                <w:lang w:val="en-AU"/>
              </w:rPr>
            </w:pPr>
            <w:r w:rsidRPr="00E26ADF">
              <w:rPr>
                <w:lang w:val="en-AU"/>
              </w:rPr>
              <w:t xml:space="preserve">Herpes </w:t>
            </w:r>
            <w:proofErr w:type="spellStart"/>
            <w:r w:rsidRPr="00E26ADF">
              <w:rPr>
                <w:lang w:val="en-AU"/>
              </w:rPr>
              <w:t>simplex</w:t>
            </w:r>
            <w:r w:rsidRPr="009B5405">
              <w:rPr>
                <w:vertAlign w:val="superscript"/>
                <w:lang w:val="en-AU"/>
              </w:rPr>
              <w:t>c</w:t>
            </w:r>
            <w:proofErr w:type="spellEnd"/>
          </w:p>
        </w:tc>
        <w:tc>
          <w:tcPr>
            <w:tcW w:w="0" w:type="auto"/>
            <w:shd w:val="clear" w:color="auto" w:fill="auto"/>
          </w:tcPr>
          <w:p w14:paraId="3B611E0D" w14:textId="77777777" w:rsidR="00A80162" w:rsidRPr="00E26ADF" w:rsidRDefault="00A80162" w:rsidP="005977C2">
            <w:pPr>
              <w:pStyle w:val="TblTextCenter"/>
              <w:rPr>
                <w:lang w:val="en-AU"/>
              </w:rPr>
            </w:pPr>
            <w:r w:rsidRPr="00E26ADF">
              <w:rPr>
                <w:lang w:val="en-AU"/>
              </w:rPr>
              <w:t>4 (0.8%)</w:t>
            </w:r>
          </w:p>
        </w:tc>
        <w:tc>
          <w:tcPr>
            <w:tcW w:w="0" w:type="auto"/>
            <w:shd w:val="clear" w:color="auto" w:fill="auto"/>
          </w:tcPr>
          <w:p w14:paraId="17CABF27" w14:textId="77777777" w:rsidR="00A80162" w:rsidRPr="00E26ADF" w:rsidRDefault="00A80162" w:rsidP="005977C2">
            <w:pPr>
              <w:pStyle w:val="TblTextCenter"/>
              <w:rPr>
                <w:lang w:val="en-AU"/>
              </w:rPr>
            </w:pPr>
            <w:r w:rsidRPr="00E26ADF">
              <w:rPr>
                <w:lang w:val="en-AU"/>
              </w:rPr>
              <w:t>9 (1.7%)</w:t>
            </w:r>
          </w:p>
        </w:tc>
        <w:tc>
          <w:tcPr>
            <w:tcW w:w="0" w:type="auto"/>
            <w:shd w:val="clear" w:color="auto" w:fill="auto"/>
          </w:tcPr>
          <w:p w14:paraId="5813FA42" w14:textId="77777777" w:rsidR="00A80162" w:rsidRPr="00E26ADF" w:rsidRDefault="00A80162" w:rsidP="005977C2">
            <w:pPr>
              <w:pStyle w:val="TblTextCenter"/>
              <w:rPr>
                <w:lang w:val="en-AU"/>
              </w:rPr>
            </w:pPr>
            <w:r w:rsidRPr="00E26ADF">
              <w:rPr>
                <w:lang w:val="en-AU"/>
              </w:rPr>
              <w:t>4 (0.8%)</w:t>
            </w:r>
          </w:p>
        </w:tc>
        <w:tc>
          <w:tcPr>
            <w:tcW w:w="0" w:type="auto"/>
            <w:shd w:val="clear" w:color="auto" w:fill="auto"/>
          </w:tcPr>
          <w:p w14:paraId="11748D92" w14:textId="77777777" w:rsidR="00A80162" w:rsidRPr="00E26ADF" w:rsidRDefault="00A80162" w:rsidP="005977C2">
            <w:pPr>
              <w:pStyle w:val="TblTextCenter"/>
              <w:rPr>
                <w:lang w:val="en-AU"/>
              </w:rPr>
            </w:pPr>
            <w:r w:rsidRPr="00E26ADF">
              <w:rPr>
                <w:lang w:val="en-AU"/>
              </w:rPr>
              <w:t>1 (0.3%)</w:t>
            </w:r>
          </w:p>
        </w:tc>
        <w:tc>
          <w:tcPr>
            <w:tcW w:w="0" w:type="auto"/>
            <w:shd w:val="clear" w:color="auto" w:fill="auto"/>
          </w:tcPr>
          <w:p w14:paraId="3F67DA7A" w14:textId="77777777" w:rsidR="00A80162" w:rsidRPr="00E26ADF" w:rsidRDefault="00A80162" w:rsidP="005977C2">
            <w:pPr>
              <w:pStyle w:val="TblTextCenter"/>
              <w:rPr>
                <w:lang w:val="en-AU"/>
              </w:rPr>
            </w:pPr>
            <w:r w:rsidRPr="00E26ADF">
              <w:rPr>
                <w:lang w:val="en-AU"/>
              </w:rPr>
              <w:t>1 (0.9%)</w:t>
            </w:r>
          </w:p>
        </w:tc>
        <w:tc>
          <w:tcPr>
            <w:tcW w:w="0" w:type="auto"/>
            <w:shd w:val="clear" w:color="auto" w:fill="auto"/>
          </w:tcPr>
          <w:p w14:paraId="0E355C41" w14:textId="77777777" w:rsidR="00A80162" w:rsidRPr="00E26ADF" w:rsidRDefault="00A80162" w:rsidP="005977C2">
            <w:pPr>
              <w:pStyle w:val="TblTextCenter"/>
              <w:rPr>
                <w:lang w:val="en-AU"/>
              </w:rPr>
            </w:pPr>
            <w:r w:rsidRPr="00E26ADF">
              <w:rPr>
                <w:lang w:val="en-AU"/>
              </w:rPr>
              <w:t>4 (1.3%)</w:t>
            </w:r>
          </w:p>
        </w:tc>
      </w:tr>
      <w:tr w:rsidR="005977C2" w:rsidRPr="00E26ADF" w14:paraId="504B2F9C" w14:textId="77777777" w:rsidTr="005977C2">
        <w:trPr>
          <w:cantSplit/>
          <w:trHeight w:val="56"/>
          <w:jc w:val="center"/>
        </w:trPr>
        <w:tc>
          <w:tcPr>
            <w:tcW w:w="0" w:type="auto"/>
            <w:tcBorders>
              <w:bottom w:val="single" w:sz="12" w:space="0" w:color="auto"/>
            </w:tcBorders>
            <w:shd w:val="clear" w:color="auto" w:fill="auto"/>
          </w:tcPr>
          <w:p w14:paraId="7A219241" w14:textId="77777777" w:rsidR="00A80162" w:rsidRPr="00E26ADF" w:rsidRDefault="00A80162" w:rsidP="005977C2">
            <w:pPr>
              <w:pStyle w:val="TblTextCenter"/>
              <w:rPr>
                <w:lang w:val="en-AU"/>
              </w:rPr>
            </w:pPr>
            <w:r w:rsidRPr="00E26ADF">
              <w:rPr>
                <w:lang w:val="en-AU"/>
              </w:rPr>
              <w:lastRenderedPageBreak/>
              <w:t>Eosinophilia</w:t>
            </w:r>
          </w:p>
        </w:tc>
        <w:tc>
          <w:tcPr>
            <w:tcW w:w="0" w:type="auto"/>
            <w:tcBorders>
              <w:bottom w:val="single" w:sz="12" w:space="0" w:color="auto"/>
            </w:tcBorders>
            <w:shd w:val="clear" w:color="auto" w:fill="auto"/>
          </w:tcPr>
          <w:p w14:paraId="74F4BE4C" w14:textId="77777777" w:rsidR="00A80162" w:rsidRPr="00E26ADF" w:rsidRDefault="00A80162" w:rsidP="005977C2">
            <w:pPr>
              <w:pStyle w:val="TblTextCenter"/>
              <w:rPr>
                <w:lang w:val="en-AU"/>
              </w:rPr>
            </w:pPr>
            <w:r w:rsidRPr="00E26ADF">
              <w:rPr>
                <w:lang w:val="en-AU"/>
              </w:rPr>
              <w:t>2 (0.4%)</w:t>
            </w:r>
          </w:p>
        </w:tc>
        <w:tc>
          <w:tcPr>
            <w:tcW w:w="0" w:type="auto"/>
            <w:tcBorders>
              <w:bottom w:val="single" w:sz="12" w:space="0" w:color="auto"/>
            </w:tcBorders>
            <w:shd w:val="clear" w:color="auto" w:fill="auto"/>
          </w:tcPr>
          <w:p w14:paraId="6C355F05" w14:textId="77777777" w:rsidR="00A80162" w:rsidRPr="00E26ADF" w:rsidRDefault="00A80162" w:rsidP="005977C2">
            <w:pPr>
              <w:pStyle w:val="TblTextCenter"/>
              <w:rPr>
                <w:lang w:val="en-AU"/>
              </w:rPr>
            </w:pPr>
            <w:r w:rsidRPr="00E26ADF">
              <w:rPr>
                <w:lang w:val="en-AU"/>
              </w:rPr>
              <w:t>9 (1.7%)</w:t>
            </w:r>
          </w:p>
        </w:tc>
        <w:tc>
          <w:tcPr>
            <w:tcW w:w="0" w:type="auto"/>
            <w:tcBorders>
              <w:bottom w:val="single" w:sz="12" w:space="0" w:color="auto"/>
            </w:tcBorders>
            <w:shd w:val="clear" w:color="auto" w:fill="auto"/>
          </w:tcPr>
          <w:p w14:paraId="568B34EE" w14:textId="77777777" w:rsidR="00A80162" w:rsidRPr="00E26ADF" w:rsidRDefault="00A80162" w:rsidP="005977C2">
            <w:pPr>
              <w:pStyle w:val="TblTextCenter"/>
              <w:rPr>
                <w:lang w:val="en-AU"/>
              </w:rPr>
            </w:pPr>
            <w:r w:rsidRPr="00E26ADF">
              <w:rPr>
                <w:lang w:val="en-AU"/>
              </w:rPr>
              <w:t>1 (0.2%)</w:t>
            </w:r>
          </w:p>
        </w:tc>
        <w:tc>
          <w:tcPr>
            <w:tcW w:w="0" w:type="auto"/>
            <w:tcBorders>
              <w:bottom w:val="single" w:sz="12" w:space="0" w:color="auto"/>
            </w:tcBorders>
            <w:shd w:val="clear" w:color="auto" w:fill="auto"/>
          </w:tcPr>
          <w:p w14:paraId="357A80E1" w14:textId="77777777" w:rsidR="00A80162" w:rsidRPr="00E26ADF" w:rsidRDefault="00A80162" w:rsidP="005977C2">
            <w:pPr>
              <w:pStyle w:val="TblTextCenter"/>
              <w:rPr>
                <w:lang w:val="en-AU"/>
              </w:rPr>
            </w:pPr>
            <w:r w:rsidRPr="00E26ADF">
              <w:rPr>
                <w:lang w:val="en-AU"/>
              </w:rPr>
              <w:t>0</w:t>
            </w:r>
          </w:p>
        </w:tc>
        <w:tc>
          <w:tcPr>
            <w:tcW w:w="0" w:type="auto"/>
            <w:tcBorders>
              <w:bottom w:val="single" w:sz="12" w:space="0" w:color="auto"/>
            </w:tcBorders>
            <w:shd w:val="clear" w:color="auto" w:fill="auto"/>
          </w:tcPr>
          <w:p w14:paraId="37AEF93A" w14:textId="77777777" w:rsidR="00A80162" w:rsidRPr="00E26ADF" w:rsidRDefault="00A80162" w:rsidP="005977C2">
            <w:pPr>
              <w:pStyle w:val="TblTextCenter"/>
              <w:rPr>
                <w:lang w:val="en-AU"/>
              </w:rPr>
            </w:pPr>
            <w:r w:rsidRPr="00E26ADF">
              <w:rPr>
                <w:lang w:val="en-AU"/>
              </w:rPr>
              <w:t>1 (0.9%)</w:t>
            </w:r>
          </w:p>
        </w:tc>
        <w:tc>
          <w:tcPr>
            <w:tcW w:w="0" w:type="auto"/>
            <w:tcBorders>
              <w:bottom w:val="single" w:sz="12" w:space="0" w:color="auto"/>
            </w:tcBorders>
            <w:shd w:val="clear" w:color="auto" w:fill="auto"/>
          </w:tcPr>
          <w:p w14:paraId="4E9BF678" w14:textId="77777777" w:rsidR="00A80162" w:rsidRPr="00E26ADF" w:rsidRDefault="00A80162" w:rsidP="005977C2">
            <w:pPr>
              <w:pStyle w:val="TblTextCenter"/>
              <w:rPr>
                <w:lang w:val="en-AU"/>
              </w:rPr>
            </w:pPr>
            <w:r w:rsidRPr="00E26ADF">
              <w:rPr>
                <w:lang w:val="en-AU"/>
              </w:rPr>
              <w:t>1 (0.3%)</w:t>
            </w:r>
          </w:p>
        </w:tc>
      </w:tr>
      <w:tr w:rsidR="00A80162" w:rsidRPr="00E26ADF" w14:paraId="2AC5CD51" w14:textId="77777777" w:rsidTr="005977C2">
        <w:trPr>
          <w:cantSplit/>
          <w:trHeight w:val="56"/>
          <w:jc w:val="center"/>
        </w:trPr>
        <w:tc>
          <w:tcPr>
            <w:tcW w:w="0" w:type="auto"/>
            <w:gridSpan w:val="7"/>
            <w:tcBorders>
              <w:top w:val="single" w:sz="12" w:space="0" w:color="auto"/>
            </w:tcBorders>
            <w:shd w:val="clear" w:color="auto" w:fill="auto"/>
          </w:tcPr>
          <w:p w14:paraId="6F6E6197" w14:textId="77777777" w:rsidR="00A80162" w:rsidRPr="00E26ADF" w:rsidRDefault="00A80162" w:rsidP="00721C58">
            <w:pPr>
              <w:pStyle w:val="TblFigFootnote"/>
              <w:rPr>
                <w:lang w:val="en-AU"/>
              </w:rPr>
            </w:pPr>
            <w:r w:rsidRPr="00E26ADF">
              <w:rPr>
                <w:lang w:val="en-AU"/>
              </w:rPr>
              <w:t>a Safety Data from SOLO 1, SOLO 2, and a phase 2, dose-ranging study</w:t>
            </w:r>
          </w:p>
          <w:p w14:paraId="78A2C999" w14:textId="77777777" w:rsidR="00A80162" w:rsidRPr="00E26ADF" w:rsidRDefault="00A80162" w:rsidP="00721C58">
            <w:pPr>
              <w:pStyle w:val="TblFigFootnote"/>
              <w:rPr>
                <w:lang w:val="en-AU"/>
              </w:rPr>
            </w:pPr>
            <w:r w:rsidRPr="00E26ADF">
              <w:rPr>
                <w:lang w:val="en-AU"/>
              </w:rPr>
              <w:t>b Safety Data from CHRONOS. Patients were on background TCS therapy.</w:t>
            </w:r>
          </w:p>
          <w:p w14:paraId="181CFA94" w14:textId="77777777" w:rsidR="00A80162" w:rsidRPr="00E26ADF" w:rsidRDefault="00A80162" w:rsidP="00721C58">
            <w:pPr>
              <w:pStyle w:val="TblFigFootnote"/>
              <w:rPr>
                <w:rFonts w:ascii="Cambria" w:hAnsi="Cambria"/>
                <w:lang w:val="en-AU"/>
              </w:rPr>
            </w:pPr>
            <w:r w:rsidRPr="00E26ADF">
              <w:rPr>
                <w:lang w:val="en-AU"/>
              </w:rPr>
              <w:t xml:space="preserve">c </w:t>
            </w:r>
            <w:proofErr w:type="gramStart"/>
            <w:r w:rsidRPr="00E26ADF">
              <w:rPr>
                <w:lang w:val="en-AU"/>
              </w:rPr>
              <w:t>In</w:t>
            </w:r>
            <w:proofErr w:type="gramEnd"/>
            <w:r w:rsidRPr="00E26ADF">
              <w:rPr>
                <w:lang w:val="en-AU"/>
              </w:rPr>
              <w:t xml:space="preserve"> clinical trials, herpes simplex cases were mucocutaneous, generally mild to moderate in severity, and did not include eczema </w:t>
            </w:r>
            <w:proofErr w:type="spellStart"/>
            <w:r w:rsidRPr="00E26ADF">
              <w:rPr>
                <w:lang w:val="en-AU"/>
              </w:rPr>
              <w:t>herpeticum</w:t>
            </w:r>
            <w:proofErr w:type="spellEnd"/>
            <w:r w:rsidRPr="00E26ADF">
              <w:rPr>
                <w:lang w:val="en-AU"/>
              </w:rPr>
              <w:t xml:space="preserve">. Eczema </w:t>
            </w:r>
            <w:proofErr w:type="spellStart"/>
            <w:r w:rsidRPr="00E26ADF">
              <w:rPr>
                <w:lang w:val="en-AU"/>
              </w:rPr>
              <w:t>herpeticum</w:t>
            </w:r>
            <w:proofErr w:type="spellEnd"/>
            <w:r w:rsidRPr="00E26ADF">
              <w:rPr>
                <w:lang w:val="en-AU"/>
              </w:rPr>
              <w:t xml:space="preserve"> cases were reported separately and incidence was numerically lower in patients treated with Dupixent compared to placebo.</w:t>
            </w:r>
          </w:p>
        </w:tc>
      </w:tr>
    </w:tbl>
    <w:p w14:paraId="4E230F24" w14:textId="526E104A" w:rsidR="00477C82" w:rsidRPr="00E26ADF" w:rsidRDefault="00477C82" w:rsidP="00477C82">
      <w:r w:rsidRPr="00E26ADF">
        <w:t>The safety profile of Dupixent + TCS through week 52 is consistent with the safety profile</w:t>
      </w:r>
      <w:r w:rsidR="00D1125C" w:rsidRPr="00E26ADF">
        <w:t xml:space="preserve"> </w:t>
      </w:r>
      <w:r w:rsidRPr="00E26ADF">
        <w:t>observed at week 16.</w:t>
      </w:r>
    </w:p>
    <w:p w14:paraId="0DC5945B" w14:textId="1D34B737" w:rsidR="00780900" w:rsidRPr="00E26ADF" w:rsidRDefault="00780900" w:rsidP="007679AE">
      <w:pPr>
        <w:pStyle w:val="Heading4"/>
        <w:numPr>
          <w:ilvl w:val="0"/>
          <w:numId w:val="0"/>
        </w:numPr>
        <w:ind w:left="862" w:hanging="862"/>
      </w:pPr>
      <w:r w:rsidRPr="00E26ADF">
        <w:t>Adolescents with atopic dermatitis</w:t>
      </w:r>
      <w:r w:rsidR="007679AE">
        <w:t xml:space="preserve"> </w:t>
      </w:r>
      <w:r w:rsidR="007679AE" w:rsidRPr="007C2F21">
        <w:t>(12 to 17 years of age)</w:t>
      </w:r>
    </w:p>
    <w:p w14:paraId="3B836147" w14:textId="77777777" w:rsidR="00780900" w:rsidRPr="0050145A" w:rsidRDefault="00780900" w:rsidP="00780900">
      <w:pPr>
        <w:rPr>
          <w:color w:val="auto"/>
        </w:rPr>
      </w:pPr>
      <w:r w:rsidRPr="0050145A">
        <w:rPr>
          <w:color w:val="auto"/>
        </w:rPr>
        <w:t xml:space="preserve">The safety of Dupixent was assessed in a study of 250 patients 12 to 17 years of age with moderate-to-severe atopic dermatitis (AD-1526). The safety profile of Dupixent in these patients followed through Week 16 was </w:t>
      </w:r>
      <w:proofErr w:type="gramStart"/>
      <w:r w:rsidRPr="0050145A">
        <w:rPr>
          <w:color w:val="auto"/>
        </w:rPr>
        <w:t>similar to</w:t>
      </w:r>
      <w:proofErr w:type="gramEnd"/>
      <w:r w:rsidRPr="0050145A">
        <w:rPr>
          <w:color w:val="auto"/>
        </w:rPr>
        <w:t xml:space="preserve"> the safety profile from studies in adults with atopic dermatitis.</w:t>
      </w:r>
    </w:p>
    <w:p w14:paraId="7FE1639B" w14:textId="49423BB5" w:rsidR="00780900" w:rsidRDefault="00780900" w:rsidP="00780900">
      <w:pPr>
        <w:rPr>
          <w:color w:val="auto"/>
        </w:rPr>
      </w:pPr>
      <w:r w:rsidRPr="0050145A">
        <w:rPr>
          <w:color w:val="auto"/>
        </w:rPr>
        <w:t xml:space="preserve">The long-term safety of Dupixent was assessed in an open-label extension study in patients 12 to 17 years of age with moderate-to-severe atopic dermatitis (AD-1434). The safety profile of Dupixent in patients followed through Week 52 was </w:t>
      </w:r>
      <w:proofErr w:type="gramStart"/>
      <w:r w:rsidRPr="0050145A">
        <w:rPr>
          <w:color w:val="auto"/>
        </w:rPr>
        <w:t>similar to</w:t>
      </w:r>
      <w:proofErr w:type="gramEnd"/>
      <w:r w:rsidRPr="0050145A">
        <w:rPr>
          <w:color w:val="auto"/>
        </w:rPr>
        <w:t xml:space="preserve"> the safety profile observed at Week 16 in AD-1526 study. The long-term safety profile of Dupixent observed in adolescents was consistent with that seen in adults with atopic dermatitis.</w:t>
      </w:r>
    </w:p>
    <w:p w14:paraId="0CF95976" w14:textId="7D384FC6" w:rsidR="005E0674" w:rsidRPr="007C2F21" w:rsidRDefault="005E0674" w:rsidP="007679AE">
      <w:pPr>
        <w:pStyle w:val="Heading4"/>
        <w:numPr>
          <w:ilvl w:val="0"/>
          <w:numId w:val="0"/>
        </w:numPr>
        <w:ind w:left="862" w:hanging="862"/>
      </w:pPr>
      <w:r w:rsidRPr="007C2F21">
        <w:t>Paediatric patients (6 to 11 years of age) with atopic dermatitis</w:t>
      </w:r>
    </w:p>
    <w:p w14:paraId="74595431" w14:textId="4992D07C" w:rsidR="005E0674" w:rsidRPr="007C2F21" w:rsidRDefault="005E0674" w:rsidP="005E0674">
      <w:pPr>
        <w:rPr>
          <w:color w:val="auto"/>
        </w:rPr>
      </w:pPr>
      <w:r w:rsidRPr="007C2F21">
        <w:rPr>
          <w:color w:val="auto"/>
        </w:rPr>
        <w:t>The safety of Dupixent was assessed in a trial of 367 patients 6 to 11 years of age with severe atopic dermatitis (AD-1652). The safety profile of Dupixent + TCS in these patients through</w:t>
      </w:r>
      <w:r w:rsidRPr="007C2F21">
        <w:rPr>
          <w:color w:val="auto"/>
          <w:u w:val="double"/>
        </w:rPr>
        <w:t xml:space="preserve"> </w:t>
      </w:r>
      <w:r w:rsidRPr="007C2F21">
        <w:rPr>
          <w:color w:val="auto"/>
        </w:rPr>
        <w:t xml:space="preserve">Week 16 was </w:t>
      </w:r>
      <w:proofErr w:type="gramStart"/>
      <w:r w:rsidRPr="007C2F21">
        <w:rPr>
          <w:color w:val="auto"/>
        </w:rPr>
        <w:t>similar to</w:t>
      </w:r>
      <w:proofErr w:type="gramEnd"/>
      <w:r w:rsidRPr="007C2F21">
        <w:rPr>
          <w:color w:val="auto"/>
        </w:rPr>
        <w:t xml:space="preserve"> the safety profile from studies in adults and adolescents with atopic dermatitis.</w:t>
      </w:r>
    </w:p>
    <w:p w14:paraId="5D55D43E" w14:textId="0FDC9F60" w:rsidR="005E0674" w:rsidRPr="007C2F21" w:rsidRDefault="005E0674" w:rsidP="005E0674">
      <w:pPr>
        <w:rPr>
          <w:color w:val="auto"/>
        </w:rPr>
      </w:pPr>
      <w:r w:rsidRPr="007C2F21">
        <w:rPr>
          <w:color w:val="auto"/>
        </w:rPr>
        <w:t xml:space="preserve">The long-term safety of Dupixent + TCS was assessed in an open-label extension study of 368 patients 6 to 11 years of age with atopic dermatitis (AD-1434). Among patients who entered this study, 110 (29.9%) had moderate and 72 (19.6%) had severe atopic dermatitis at the time of enrolment in study AD-1434.90 The safety profile of Dupixent + TCS in patients followed through Week 52 was </w:t>
      </w:r>
      <w:proofErr w:type="gramStart"/>
      <w:r w:rsidRPr="007C2F21">
        <w:rPr>
          <w:color w:val="auto"/>
        </w:rPr>
        <w:t>similar to</w:t>
      </w:r>
      <w:proofErr w:type="gramEnd"/>
      <w:r w:rsidRPr="007C2F21">
        <w:rPr>
          <w:color w:val="auto"/>
        </w:rPr>
        <w:t xml:space="preserve"> the safety profile observed at Week 16 in AD-1652. The long-term safety profile of Dupixent + TCS observed in p</w:t>
      </w:r>
      <w:r w:rsidR="00E54EBF" w:rsidRPr="007C2F21">
        <w:rPr>
          <w:color w:val="auto"/>
        </w:rPr>
        <w:t>a</w:t>
      </w:r>
      <w:r w:rsidRPr="007C2F21">
        <w:rPr>
          <w:color w:val="auto"/>
        </w:rPr>
        <w:t>ediatric patients was consistent with that seen in adults and adolescents with atopic dermatitis.</w:t>
      </w:r>
    </w:p>
    <w:p w14:paraId="3208C267" w14:textId="77777777" w:rsidR="00477C82" w:rsidRPr="00E26ADF" w:rsidRDefault="00477C82" w:rsidP="00966777">
      <w:pPr>
        <w:pStyle w:val="Heading3"/>
        <w:numPr>
          <w:ilvl w:val="0"/>
          <w:numId w:val="0"/>
        </w:numPr>
        <w:ind w:left="680" w:hanging="680"/>
        <w:rPr>
          <w:lang w:val="en-AU"/>
        </w:rPr>
      </w:pPr>
      <w:r w:rsidRPr="00E26ADF">
        <w:rPr>
          <w:lang w:val="en-AU"/>
        </w:rPr>
        <w:lastRenderedPageBreak/>
        <w:t>Asthma</w:t>
      </w:r>
    </w:p>
    <w:p w14:paraId="7C0949FE" w14:textId="2599AF19" w:rsidR="00FA046D" w:rsidRPr="00E26ADF" w:rsidRDefault="00477C82" w:rsidP="00477C82">
      <w:pPr>
        <w:rPr>
          <w:color w:val="auto"/>
        </w:rPr>
      </w:pPr>
      <w:r w:rsidRPr="00E26ADF">
        <w:rPr>
          <w:color w:val="auto"/>
        </w:rPr>
        <w:t xml:space="preserve">A total of 2888 adult and adolescent patients with moderate-to-severe asthma were evaluated in 3 </w:t>
      </w:r>
      <w:proofErr w:type="spellStart"/>
      <w:r w:rsidRPr="00E26ADF">
        <w:rPr>
          <w:color w:val="auto"/>
        </w:rPr>
        <w:t>randomi</w:t>
      </w:r>
      <w:r w:rsidR="00AB1085" w:rsidRPr="007C2F21">
        <w:rPr>
          <w:color w:val="auto"/>
        </w:rPr>
        <w:t>s</w:t>
      </w:r>
      <w:r w:rsidRPr="00E26ADF">
        <w:rPr>
          <w:color w:val="auto"/>
        </w:rPr>
        <w:t>ed</w:t>
      </w:r>
      <w:proofErr w:type="spellEnd"/>
      <w:r w:rsidRPr="00E26ADF">
        <w:rPr>
          <w:color w:val="auto"/>
        </w:rPr>
        <w:t xml:space="preserve">, placebo-controlled, </w:t>
      </w:r>
      <w:proofErr w:type="spellStart"/>
      <w:r w:rsidRPr="00E26ADF">
        <w:rPr>
          <w:color w:val="auto"/>
        </w:rPr>
        <w:t>multicent</w:t>
      </w:r>
      <w:r w:rsidRPr="004A3827">
        <w:rPr>
          <w:color w:val="auto"/>
        </w:rPr>
        <w:t>r</w:t>
      </w:r>
      <w:r w:rsidR="004A3827" w:rsidRPr="007C2F21">
        <w:rPr>
          <w:color w:val="auto"/>
        </w:rPr>
        <w:t>e</w:t>
      </w:r>
      <w:proofErr w:type="spellEnd"/>
      <w:r w:rsidRPr="00E26ADF">
        <w:rPr>
          <w:color w:val="auto"/>
        </w:rPr>
        <w:t xml:space="preserve"> trials of 24 to 52 weeks duration (</w:t>
      </w:r>
      <w:r w:rsidR="00A80162" w:rsidRPr="00E26ADF">
        <w:rPr>
          <w:color w:val="auto"/>
        </w:rPr>
        <w:t xml:space="preserve">DRI12544, Quest, and Venture). </w:t>
      </w:r>
    </w:p>
    <w:p w14:paraId="62ACBEFA" w14:textId="0B688C6A" w:rsidR="00477C82" w:rsidRPr="00E26ADF" w:rsidRDefault="00477C82" w:rsidP="00477C82">
      <w:pPr>
        <w:rPr>
          <w:color w:val="auto"/>
        </w:rPr>
      </w:pPr>
      <w:r w:rsidRPr="00E26ADF">
        <w:rPr>
          <w:color w:val="auto"/>
        </w:rPr>
        <w:t xml:space="preserve">Of these, 2678 had a history of 1 or more severe exacerbations in the year prior to enrollment despite regular use of medium to high-dose inhaled corticosteroids plus an additional controller(s) (DRI12544 and Quest). </w:t>
      </w:r>
    </w:p>
    <w:p w14:paraId="1BC68DB0" w14:textId="6A71EC5A" w:rsidR="00477C82" w:rsidRPr="00E26ADF" w:rsidRDefault="00477C82" w:rsidP="00A80162">
      <w:pPr>
        <w:rPr>
          <w:color w:val="auto"/>
        </w:rPr>
      </w:pPr>
      <w:r w:rsidRPr="00E26ADF">
        <w:rPr>
          <w:color w:val="auto"/>
        </w:rPr>
        <w:t xml:space="preserve">A total of 210 patients with oral corticosteroid-dependent asthma receiving high-dose inhaled corticosteroids plus up to two additional controllers were enrolled (Venture). </w:t>
      </w:r>
    </w:p>
    <w:p w14:paraId="2B3662BF" w14:textId="310F848B" w:rsidR="00477C82" w:rsidRPr="00E26ADF" w:rsidRDefault="00C8795E" w:rsidP="00477C82">
      <w:pPr>
        <w:rPr>
          <w:color w:val="auto"/>
        </w:rPr>
      </w:pPr>
      <w:r w:rsidRPr="00C8795E">
        <w:rPr>
          <w:color w:val="0000FF"/>
        </w:rPr>
        <w:fldChar w:fldCharType="begin"/>
      </w:r>
      <w:r w:rsidRPr="00C8795E">
        <w:rPr>
          <w:strike/>
          <w:color w:val="0000FF"/>
          <w:u w:val="double"/>
        </w:rPr>
        <w:instrText xml:space="preserve"> REF _Ref22592517 \h  \* MERGEFORMAT </w:instrText>
      </w:r>
      <w:r w:rsidRPr="00C8795E">
        <w:rPr>
          <w:color w:val="0000FF"/>
        </w:rPr>
      </w:r>
      <w:r w:rsidRPr="00C8795E">
        <w:rPr>
          <w:color w:val="0000FF"/>
        </w:rPr>
        <w:fldChar w:fldCharType="separate"/>
      </w:r>
      <w:r w:rsidR="00E123A5" w:rsidRPr="00E123A5">
        <w:rPr>
          <w:color w:val="0000FF"/>
        </w:rPr>
        <w:t>Table 4</w:t>
      </w:r>
      <w:r w:rsidRPr="00C8795E">
        <w:rPr>
          <w:color w:val="0000FF"/>
        </w:rPr>
        <w:fldChar w:fldCharType="end"/>
      </w:r>
      <w:r w:rsidR="00477C82" w:rsidRPr="0098698F">
        <w:rPr>
          <w:color w:val="auto"/>
        </w:rPr>
        <w:t xml:space="preserve"> </w:t>
      </w:r>
      <w:proofErr w:type="spellStart"/>
      <w:r w:rsidR="00477C82" w:rsidRPr="00E26ADF">
        <w:rPr>
          <w:color w:val="auto"/>
        </w:rPr>
        <w:t>summari</w:t>
      </w:r>
      <w:r w:rsidR="00AB1085" w:rsidRPr="007C2F21">
        <w:rPr>
          <w:color w:val="auto"/>
        </w:rPr>
        <w:t>s</w:t>
      </w:r>
      <w:r w:rsidR="00477C82" w:rsidRPr="00E26ADF">
        <w:rPr>
          <w:color w:val="auto"/>
        </w:rPr>
        <w:t>es</w:t>
      </w:r>
      <w:proofErr w:type="spellEnd"/>
      <w:r w:rsidR="00477C82" w:rsidRPr="00E26ADF">
        <w:rPr>
          <w:color w:val="auto"/>
        </w:rPr>
        <w:t xml:space="preserve"> the adverse reactions that occurred at a rate of at least 3% of patients treated with Dupixent and at higher rate than in their respective </w:t>
      </w:r>
      <w:r w:rsidR="00364D09" w:rsidRPr="0050145A">
        <w:rPr>
          <w:color w:val="auto"/>
        </w:rPr>
        <w:t>comparator</w:t>
      </w:r>
      <w:r w:rsidR="00477C82" w:rsidRPr="0050145A">
        <w:rPr>
          <w:color w:val="auto"/>
        </w:rPr>
        <w:t xml:space="preserve"> groups </w:t>
      </w:r>
      <w:r w:rsidR="00477C82" w:rsidRPr="00E26ADF">
        <w:rPr>
          <w:color w:val="auto"/>
        </w:rPr>
        <w:t>in DRI12544 and Quest studies.</w:t>
      </w:r>
    </w:p>
    <w:p w14:paraId="26259A95" w14:textId="2BB531DE" w:rsidR="00364D09" w:rsidRPr="00E26ADF" w:rsidRDefault="00364D09" w:rsidP="00364D09">
      <w:pPr>
        <w:pStyle w:val="Caption"/>
        <w:rPr>
          <w:lang w:val="en-AU"/>
        </w:rPr>
      </w:pPr>
      <w:bookmarkStart w:id="12" w:name="_Ref22592517"/>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4</w:t>
      </w:r>
      <w:r w:rsidRPr="00E26ADF">
        <w:rPr>
          <w:lang w:val="en-AU"/>
        </w:rPr>
        <w:fldChar w:fldCharType="end"/>
      </w:r>
      <w:bookmarkEnd w:id="12"/>
      <w:r w:rsidRPr="00E26ADF">
        <w:rPr>
          <w:lang w:val="en-AU"/>
        </w:rPr>
        <w:t xml:space="preserve"> ­ Adverse Reactions Occurring in ≥1% of the DUPIXENT Groups in Asthma Trials 1 and 2 and Greater than Placebo (6 Month Safety Pool)</w:t>
      </w:r>
    </w:p>
    <w:tbl>
      <w:tblPr>
        <w:tblStyle w:val="TableGrid"/>
        <w:tblW w:w="0" w:type="auto"/>
        <w:jc w:val="center"/>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364D09" w:rsidRPr="00E26ADF" w14:paraId="6DC88247" w14:textId="77777777" w:rsidTr="00FC2300">
        <w:trPr>
          <w:cantSplit/>
          <w:tblHeader/>
          <w:jc w:val="center"/>
        </w:trPr>
        <w:tc>
          <w:tcPr>
            <w:tcW w:w="2254" w:type="dxa"/>
            <w:tcBorders>
              <w:top w:val="single" w:sz="4" w:space="0" w:color="000000"/>
              <w:bottom w:val="single" w:sz="4" w:space="0" w:color="000000"/>
            </w:tcBorders>
            <w:shd w:val="clear" w:color="auto" w:fill="auto"/>
          </w:tcPr>
          <w:p w14:paraId="6295C919" w14:textId="7CDA3BF1" w:rsidR="00364D09" w:rsidRPr="00E26ADF" w:rsidRDefault="00364D09" w:rsidP="00364D09">
            <w:pPr>
              <w:pStyle w:val="TblHeadingCenter"/>
              <w:rPr>
                <w:lang w:val="en-AU"/>
              </w:rPr>
            </w:pPr>
            <w:r w:rsidRPr="00E26ADF">
              <w:rPr>
                <w:lang w:val="en-AU"/>
              </w:rPr>
              <w:t>Adverse Reaction</w:t>
            </w:r>
          </w:p>
        </w:tc>
        <w:tc>
          <w:tcPr>
            <w:tcW w:w="6762" w:type="dxa"/>
            <w:gridSpan w:val="3"/>
            <w:tcBorders>
              <w:top w:val="single" w:sz="4" w:space="0" w:color="000000"/>
              <w:bottom w:val="single" w:sz="4" w:space="0" w:color="000000"/>
            </w:tcBorders>
            <w:shd w:val="clear" w:color="auto" w:fill="auto"/>
          </w:tcPr>
          <w:p w14:paraId="665BE0B6" w14:textId="58C47EB7" w:rsidR="00364D09" w:rsidRPr="00E26ADF" w:rsidRDefault="00364D09" w:rsidP="00364D09">
            <w:pPr>
              <w:pStyle w:val="TblHeadingCenter"/>
              <w:rPr>
                <w:lang w:val="en-AU"/>
              </w:rPr>
            </w:pPr>
            <w:r w:rsidRPr="00E26ADF">
              <w:rPr>
                <w:lang w:val="en-AU"/>
              </w:rPr>
              <w:t>AS Trials 1 and 2</w:t>
            </w:r>
          </w:p>
        </w:tc>
      </w:tr>
      <w:tr w:rsidR="00364D09" w:rsidRPr="00E26ADF" w14:paraId="3326C133" w14:textId="77777777" w:rsidTr="00364D09">
        <w:trPr>
          <w:cantSplit/>
          <w:jc w:val="center"/>
        </w:trPr>
        <w:tc>
          <w:tcPr>
            <w:tcW w:w="2254" w:type="dxa"/>
            <w:tcBorders>
              <w:top w:val="single" w:sz="4" w:space="0" w:color="000000"/>
            </w:tcBorders>
            <w:shd w:val="clear" w:color="auto" w:fill="auto"/>
          </w:tcPr>
          <w:p w14:paraId="403AC7AB" w14:textId="77777777" w:rsidR="00364D09" w:rsidRPr="00E26ADF" w:rsidRDefault="00364D09" w:rsidP="00364D09">
            <w:pPr>
              <w:pStyle w:val="TblTextCenter"/>
              <w:rPr>
                <w:lang w:val="en-AU"/>
              </w:rPr>
            </w:pPr>
          </w:p>
        </w:tc>
        <w:tc>
          <w:tcPr>
            <w:tcW w:w="2254" w:type="dxa"/>
            <w:tcBorders>
              <w:top w:val="single" w:sz="4" w:space="0" w:color="000000"/>
            </w:tcBorders>
            <w:shd w:val="clear" w:color="auto" w:fill="auto"/>
          </w:tcPr>
          <w:p w14:paraId="7E4ACEBA" w14:textId="77777777" w:rsidR="00364D09" w:rsidRPr="00E26ADF" w:rsidRDefault="00364D09" w:rsidP="00364D09">
            <w:pPr>
              <w:pStyle w:val="TblTextCenter"/>
              <w:rPr>
                <w:lang w:val="en-AU"/>
              </w:rPr>
            </w:pPr>
            <w:r w:rsidRPr="00E26ADF">
              <w:rPr>
                <w:lang w:val="en-AU"/>
              </w:rPr>
              <w:t>DUPIXENT</w:t>
            </w:r>
          </w:p>
          <w:p w14:paraId="16E9B819" w14:textId="77777777" w:rsidR="00364D09" w:rsidRPr="00E26ADF" w:rsidRDefault="00364D09" w:rsidP="00364D09">
            <w:pPr>
              <w:pStyle w:val="TblTextCenter"/>
              <w:rPr>
                <w:lang w:val="en-AU"/>
              </w:rPr>
            </w:pPr>
            <w:r w:rsidRPr="00E26ADF">
              <w:rPr>
                <w:lang w:val="en-AU"/>
              </w:rPr>
              <w:t>200 mg Q2W</w:t>
            </w:r>
          </w:p>
          <w:p w14:paraId="1F485ABF" w14:textId="77777777" w:rsidR="00364D09" w:rsidRPr="00E26ADF" w:rsidRDefault="00364D09" w:rsidP="00364D09">
            <w:pPr>
              <w:pStyle w:val="TblTextCenter"/>
              <w:rPr>
                <w:lang w:val="en-AU"/>
              </w:rPr>
            </w:pPr>
          </w:p>
          <w:p w14:paraId="35CE05B0" w14:textId="77777777" w:rsidR="00364D09" w:rsidRPr="00E26ADF" w:rsidRDefault="00364D09" w:rsidP="00364D09">
            <w:pPr>
              <w:pStyle w:val="TblTextCenter"/>
              <w:rPr>
                <w:lang w:val="en-AU"/>
              </w:rPr>
            </w:pPr>
            <w:r w:rsidRPr="00E26ADF">
              <w:rPr>
                <w:lang w:val="en-AU"/>
              </w:rPr>
              <w:t>N=779</w:t>
            </w:r>
          </w:p>
          <w:p w14:paraId="2A0AB7ED" w14:textId="3BBD0289" w:rsidR="00364D09" w:rsidRPr="00E26ADF" w:rsidRDefault="00364D09" w:rsidP="00364D09">
            <w:pPr>
              <w:pStyle w:val="TblTextCenter"/>
              <w:rPr>
                <w:lang w:val="en-AU"/>
              </w:rPr>
            </w:pPr>
            <w:r w:rsidRPr="00E26ADF">
              <w:rPr>
                <w:lang w:val="en-AU"/>
              </w:rPr>
              <w:t>n (%)</w:t>
            </w:r>
          </w:p>
        </w:tc>
        <w:tc>
          <w:tcPr>
            <w:tcW w:w="2254" w:type="dxa"/>
            <w:tcBorders>
              <w:top w:val="single" w:sz="4" w:space="0" w:color="000000"/>
            </w:tcBorders>
            <w:shd w:val="clear" w:color="auto" w:fill="auto"/>
          </w:tcPr>
          <w:p w14:paraId="5D171430" w14:textId="77777777" w:rsidR="00364D09" w:rsidRPr="00E26ADF" w:rsidRDefault="00364D09" w:rsidP="00364D09">
            <w:pPr>
              <w:pStyle w:val="TblTextCenter"/>
              <w:rPr>
                <w:lang w:val="en-AU"/>
              </w:rPr>
            </w:pPr>
            <w:r w:rsidRPr="00E26ADF">
              <w:rPr>
                <w:lang w:val="en-AU"/>
              </w:rPr>
              <w:t>DUPIXENT</w:t>
            </w:r>
          </w:p>
          <w:p w14:paraId="596E6E25" w14:textId="77777777" w:rsidR="00364D09" w:rsidRPr="00E26ADF" w:rsidRDefault="00364D09" w:rsidP="00364D09">
            <w:pPr>
              <w:pStyle w:val="TblTextCenter"/>
              <w:rPr>
                <w:lang w:val="en-AU"/>
              </w:rPr>
            </w:pPr>
            <w:r w:rsidRPr="00E26ADF">
              <w:rPr>
                <w:lang w:val="en-AU"/>
              </w:rPr>
              <w:t>300 mg Q2W</w:t>
            </w:r>
          </w:p>
          <w:p w14:paraId="7C84732E" w14:textId="77777777" w:rsidR="00364D09" w:rsidRPr="00E26ADF" w:rsidRDefault="00364D09" w:rsidP="00364D09">
            <w:pPr>
              <w:pStyle w:val="TblTextCenter"/>
              <w:rPr>
                <w:lang w:val="en-AU"/>
              </w:rPr>
            </w:pPr>
          </w:p>
          <w:p w14:paraId="0043A194" w14:textId="77777777" w:rsidR="00364D09" w:rsidRPr="00E26ADF" w:rsidRDefault="00364D09" w:rsidP="00364D09">
            <w:pPr>
              <w:pStyle w:val="TblTextCenter"/>
              <w:rPr>
                <w:lang w:val="en-AU"/>
              </w:rPr>
            </w:pPr>
            <w:r w:rsidRPr="00E26ADF">
              <w:rPr>
                <w:lang w:val="en-AU"/>
              </w:rPr>
              <w:t>N=788</w:t>
            </w:r>
          </w:p>
          <w:p w14:paraId="783EB98A" w14:textId="3D9A539A" w:rsidR="00364D09" w:rsidRPr="00E26ADF" w:rsidRDefault="00364D09" w:rsidP="00364D09">
            <w:pPr>
              <w:pStyle w:val="TblTextCenter"/>
              <w:rPr>
                <w:lang w:val="en-AU"/>
              </w:rPr>
            </w:pPr>
            <w:r w:rsidRPr="00E26ADF">
              <w:rPr>
                <w:lang w:val="en-AU"/>
              </w:rPr>
              <w:t>n (%)</w:t>
            </w:r>
          </w:p>
        </w:tc>
        <w:tc>
          <w:tcPr>
            <w:tcW w:w="2254" w:type="dxa"/>
            <w:tcBorders>
              <w:top w:val="single" w:sz="4" w:space="0" w:color="000000"/>
            </w:tcBorders>
            <w:shd w:val="clear" w:color="auto" w:fill="auto"/>
          </w:tcPr>
          <w:p w14:paraId="6486148F" w14:textId="77777777" w:rsidR="00364D09" w:rsidRPr="00E26ADF" w:rsidRDefault="00364D09" w:rsidP="00364D09">
            <w:pPr>
              <w:pStyle w:val="TblTextCenter"/>
              <w:rPr>
                <w:lang w:val="en-AU"/>
              </w:rPr>
            </w:pPr>
            <w:r w:rsidRPr="00E26ADF">
              <w:rPr>
                <w:lang w:val="en-AU"/>
              </w:rPr>
              <w:t>Placebo</w:t>
            </w:r>
          </w:p>
          <w:p w14:paraId="06CFA378" w14:textId="77777777" w:rsidR="00364D09" w:rsidRPr="00E26ADF" w:rsidRDefault="00364D09" w:rsidP="00364D09">
            <w:pPr>
              <w:pStyle w:val="TblTextCenter"/>
              <w:rPr>
                <w:lang w:val="en-AU"/>
              </w:rPr>
            </w:pPr>
          </w:p>
          <w:p w14:paraId="66BEED30" w14:textId="77777777" w:rsidR="00364D09" w:rsidRPr="00E26ADF" w:rsidRDefault="00364D09" w:rsidP="00364D09">
            <w:pPr>
              <w:pStyle w:val="TblTextCenter"/>
              <w:rPr>
                <w:lang w:val="en-AU"/>
              </w:rPr>
            </w:pPr>
          </w:p>
          <w:p w14:paraId="459E25ED" w14:textId="77777777" w:rsidR="00364D09" w:rsidRPr="00E26ADF" w:rsidRDefault="00364D09" w:rsidP="00364D09">
            <w:pPr>
              <w:pStyle w:val="TblTextCenter"/>
              <w:rPr>
                <w:lang w:val="en-AU"/>
              </w:rPr>
            </w:pPr>
            <w:r w:rsidRPr="00E26ADF">
              <w:rPr>
                <w:lang w:val="en-AU"/>
              </w:rPr>
              <w:t>N=792</w:t>
            </w:r>
          </w:p>
          <w:p w14:paraId="1960D70D" w14:textId="5F21C69E" w:rsidR="00364D09" w:rsidRPr="00E26ADF" w:rsidRDefault="00364D09" w:rsidP="00364D09">
            <w:pPr>
              <w:pStyle w:val="TblTextCenter"/>
              <w:rPr>
                <w:lang w:val="en-AU"/>
              </w:rPr>
            </w:pPr>
            <w:r w:rsidRPr="00E26ADF">
              <w:rPr>
                <w:lang w:val="en-AU"/>
              </w:rPr>
              <w:t>n (%)</w:t>
            </w:r>
          </w:p>
        </w:tc>
      </w:tr>
      <w:tr w:rsidR="00364D09" w:rsidRPr="00E26ADF" w14:paraId="600EAF1C" w14:textId="77777777" w:rsidTr="00364D09">
        <w:trPr>
          <w:cantSplit/>
          <w:jc w:val="center"/>
        </w:trPr>
        <w:tc>
          <w:tcPr>
            <w:tcW w:w="2254" w:type="dxa"/>
            <w:shd w:val="clear" w:color="auto" w:fill="auto"/>
          </w:tcPr>
          <w:p w14:paraId="70CE9332" w14:textId="41445DAD" w:rsidR="00364D09" w:rsidRPr="00E26ADF" w:rsidRDefault="00364D09" w:rsidP="00364D09">
            <w:pPr>
              <w:pStyle w:val="TblTextCenter"/>
              <w:rPr>
                <w:lang w:val="en-AU"/>
              </w:rPr>
            </w:pPr>
            <w:r w:rsidRPr="00E26ADF">
              <w:rPr>
                <w:lang w:val="en-AU"/>
              </w:rPr>
              <w:t xml:space="preserve">Injection site </w:t>
            </w:r>
            <w:proofErr w:type="spellStart"/>
            <w:r w:rsidRPr="00E26ADF">
              <w:rPr>
                <w:lang w:val="en-AU"/>
              </w:rPr>
              <w:t>reactions</w:t>
            </w:r>
            <w:r w:rsidRPr="00E26ADF">
              <w:rPr>
                <w:vertAlign w:val="superscript"/>
                <w:lang w:val="en-AU"/>
              </w:rPr>
              <w:t>a</w:t>
            </w:r>
            <w:proofErr w:type="spellEnd"/>
            <w:r w:rsidRPr="00E26ADF">
              <w:rPr>
                <w:lang w:val="en-AU"/>
              </w:rPr>
              <w:t xml:space="preserve"> </w:t>
            </w:r>
          </w:p>
        </w:tc>
        <w:tc>
          <w:tcPr>
            <w:tcW w:w="2254" w:type="dxa"/>
            <w:shd w:val="clear" w:color="auto" w:fill="auto"/>
          </w:tcPr>
          <w:p w14:paraId="3FF1E4EB" w14:textId="09AC3013" w:rsidR="00364D09" w:rsidRPr="00E26ADF" w:rsidRDefault="00364D09" w:rsidP="00364D09">
            <w:pPr>
              <w:pStyle w:val="TblTextCenter"/>
              <w:rPr>
                <w:lang w:val="en-AU"/>
              </w:rPr>
            </w:pPr>
            <w:r w:rsidRPr="00E26ADF">
              <w:rPr>
                <w:lang w:val="en-AU"/>
              </w:rPr>
              <w:t>111 (14%)</w:t>
            </w:r>
          </w:p>
        </w:tc>
        <w:tc>
          <w:tcPr>
            <w:tcW w:w="2254" w:type="dxa"/>
            <w:shd w:val="clear" w:color="auto" w:fill="auto"/>
          </w:tcPr>
          <w:p w14:paraId="3DE7D9AC" w14:textId="2DBD0D8A" w:rsidR="00364D09" w:rsidRPr="00E26ADF" w:rsidRDefault="00364D09" w:rsidP="00364D09">
            <w:pPr>
              <w:pStyle w:val="TblTextCenter"/>
              <w:rPr>
                <w:lang w:val="en-AU"/>
              </w:rPr>
            </w:pPr>
            <w:r w:rsidRPr="00E26ADF">
              <w:rPr>
                <w:lang w:val="en-AU"/>
              </w:rPr>
              <w:t>144 (18%)</w:t>
            </w:r>
          </w:p>
        </w:tc>
        <w:tc>
          <w:tcPr>
            <w:tcW w:w="2254" w:type="dxa"/>
            <w:shd w:val="clear" w:color="auto" w:fill="auto"/>
          </w:tcPr>
          <w:p w14:paraId="02966E36" w14:textId="48BD294B" w:rsidR="00364D09" w:rsidRPr="00E26ADF" w:rsidRDefault="00364D09" w:rsidP="00364D09">
            <w:pPr>
              <w:pStyle w:val="TblTextCenter"/>
              <w:rPr>
                <w:lang w:val="en-AU"/>
              </w:rPr>
            </w:pPr>
            <w:r w:rsidRPr="00E26ADF">
              <w:rPr>
                <w:lang w:val="en-AU"/>
              </w:rPr>
              <w:t>50 (6%)</w:t>
            </w:r>
          </w:p>
        </w:tc>
      </w:tr>
      <w:tr w:rsidR="00364D09" w:rsidRPr="00E26ADF" w14:paraId="0734EEFF" w14:textId="77777777" w:rsidTr="00364D09">
        <w:trPr>
          <w:cantSplit/>
          <w:jc w:val="center"/>
        </w:trPr>
        <w:tc>
          <w:tcPr>
            <w:tcW w:w="2254" w:type="dxa"/>
            <w:shd w:val="clear" w:color="auto" w:fill="auto"/>
          </w:tcPr>
          <w:p w14:paraId="4FC5223F" w14:textId="76CA8724" w:rsidR="00364D09" w:rsidRPr="00E26ADF" w:rsidRDefault="00364D09" w:rsidP="00364D09">
            <w:pPr>
              <w:pStyle w:val="TblTextCenter"/>
              <w:rPr>
                <w:lang w:val="en-AU"/>
              </w:rPr>
            </w:pPr>
            <w:r w:rsidRPr="00E26ADF">
              <w:rPr>
                <w:lang w:val="en-AU"/>
              </w:rPr>
              <w:t>Oropharyngeal pain</w:t>
            </w:r>
          </w:p>
        </w:tc>
        <w:tc>
          <w:tcPr>
            <w:tcW w:w="2254" w:type="dxa"/>
            <w:shd w:val="clear" w:color="auto" w:fill="auto"/>
          </w:tcPr>
          <w:p w14:paraId="58BFA912" w14:textId="1BE60B00" w:rsidR="00364D09" w:rsidRPr="00E26ADF" w:rsidRDefault="00364D09" w:rsidP="00364D09">
            <w:pPr>
              <w:pStyle w:val="TblTextCenter"/>
              <w:rPr>
                <w:lang w:val="en-AU"/>
              </w:rPr>
            </w:pPr>
            <w:r w:rsidRPr="00E26ADF">
              <w:rPr>
                <w:lang w:val="en-AU"/>
              </w:rPr>
              <w:t>13 (2%)</w:t>
            </w:r>
          </w:p>
        </w:tc>
        <w:tc>
          <w:tcPr>
            <w:tcW w:w="2254" w:type="dxa"/>
            <w:shd w:val="clear" w:color="auto" w:fill="auto"/>
          </w:tcPr>
          <w:p w14:paraId="4BC5FDBE" w14:textId="6340AFED" w:rsidR="00364D09" w:rsidRPr="00E26ADF" w:rsidRDefault="00364D09" w:rsidP="00364D09">
            <w:pPr>
              <w:pStyle w:val="TblTextCenter"/>
              <w:rPr>
                <w:lang w:val="en-AU"/>
              </w:rPr>
            </w:pPr>
            <w:r w:rsidRPr="00E26ADF">
              <w:rPr>
                <w:lang w:val="en-AU"/>
              </w:rPr>
              <w:t>19 (2%)</w:t>
            </w:r>
          </w:p>
        </w:tc>
        <w:tc>
          <w:tcPr>
            <w:tcW w:w="2254" w:type="dxa"/>
            <w:shd w:val="clear" w:color="auto" w:fill="auto"/>
          </w:tcPr>
          <w:p w14:paraId="05A43293" w14:textId="43AA0864" w:rsidR="00364D09" w:rsidRPr="00E26ADF" w:rsidRDefault="00364D09" w:rsidP="00364D09">
            <w:pPr>
              <w:pStyle w:val="TblTextCenter"/>
              <w:rPr>
                <w:lang w:val="en-AU"/>
              </w:rPr>
            </w:pPr>
            <w:r w:rsidRPr="00E26ADF">
              <w:rPr>
                <w:lang w:val="en-AU"/>
              </w:rPr>
              <w:t>7 (1%)</w:t>
            </w:r>
          </w:p>
        </w:tc>
      </w:tr>
      <w:tr w:rsidR="00364D09" w:rsidRPr="00E26ADF" w14:paraId="0BC7CD15" w14:textId="77777777" w:rsidTr="00364D09">
        <w:trPr>
          <w:cantSplit/>
          <w:jc w:val="center"/>
        </w:trPr>
        <w:tc>
          <w:tcPr>
            <w:tcW w:w="2254" w:type="dxa"/>
            <w:tcBorders>
              <w:bottom w:val="single" w:sz="12" w:space="0" w:color="auto"/>
            </w:tcBorders>
            <w:shd w:val="clear" w:color="auto" w:fill="auto"/>
          </w:tcPr>
          <w:p w14:paraId="2E60A66F" w14:textId="52AF735A" w:rsidR="00364D09" w:rsidRPr="00E26ADF" w:rsidRDefault="00364D09" w:rsidP="00364D09">
            <w:pPr>
              <w:pStyle w:val="TblTextCenter"/>
              <w:rPr>
                <w:lang w:val="en-AU"/>
              </w:rPr>
            </w:pPr>
            <w:proofErr w:type="spellStart"/>
            <w:r w:rsidRPr="00E26ADF">
              <w:rPr>
                <w:lang w:val="en-AU"/>
              </w:rPr>
              <w:t>Eosinophilia</w:t>
            </w:r>
            <w:r w:rsidRPr="00E26ADF">
              <w:rPr>
                <w:vertAlign w:val="superscript"/>
                <w:lang w:val="en-AU"/>
              </w:rPr>
              <w:t>b</w:t>
            </w:r>
            <w:proofErr w:type="spellEnd"/>
          </w:p>
        </w:tc>
        <w:tc>
          <w:tcPr>
            <w:tcW w:w="2254" w:type="dxa"/>
            <w:tcBorders>
              <w:bottom w:val="single" w:sz="12" w:space="0" w:color="auto"/>
            </w:tcBorders>
            <w:shd w:val="clear" w:color="auto" w:fill="auto"/>
          </w:tcPr>
          <w:p w14:paraId="4CDDB1F6" w14:textId="6D10B061" w:rsidR="00364D09" w:rsidRPr="00E26ADF" w:rsidRDefault="00364D09" w:rsidP="00364D09">
            <w:pPr>
              <w:pStyle w:val="TblTextCenter"/>
              <w:rPr>
                <w:lang w:val="en-AU"/>
              </w:rPr>
            </w:pPr>
            <w:r w:rsidRPr="00E26ADF">
              <w:rPr>
                <w:lang w:val="en-AU"/>
              </w:rPr>
              <w:t>17 (2%)</w:t>
            </w:r>
          </w:p>
        </w:tc>
        <w:tc>
          <w:tcPr>
            <w:tcW w:w="2254" w:type="dxa"/>
            <w:tcBorders>
              <w:bottom w:val="single" w:sz="12" w:space="0" w:color="auto"/>
            </w:tcBorders>
            <w:shd w:val="clear" w:color="auto" w:fill="auto"/>
          </w:tcPr>
          <w:p w14:paraId="700108B3" w14:textId="344B6117" w:rsidR="00364D09" w:rsidRPr="00E26ADF" w:rsidRDefault="00364D09" w:rsidP="00364D09">
            <w:pPr>
              <w:pStyle w:val="TblTextCenter"/>
              <w:rPr>
                <w:lang w:val="en-AU"/>
              </w:rPr>
            </w:pPr>
            <w:r w:rsidRPr="00E26ADF">
              <w:rPr>
                <w:lang w:val="en-AU"/>
              </w:rPr>
              <w:t>16 (2%)</w:t>
            </w:r>
          </w:p>
        </w:tc>
        <w:tc>
          <w:tcPr>
            <w:tcW w:w="2254" w:type="dxa"/>
            <w:tcBorders>
              <w:bottom w:val="single" w:sz="12" w:space="0" w:color="auto"/>
            </w:tcBorders>
            <w:shd w:val="clear" w:color="auto" w:fill="auto"/>
          </w:tcPr>
          <w:p w14:paraId="72B7AF2A" w14:textId="4AD87FE7" w:rsidR="00364D09" w:rsidRPr="00E26ADF" w:rsidRDefault="00364D09" w:rsidP="00364D09">
            <w:pPr>
              <w:pStyle w:val="TblTextCenter"/>
              <w:rPr>
                <w:lang w:val="en-AU"/>
              </w:rPr>
            </w:pPr>
            <w:r w:rsidRPr="00E26ADF">
              <w:rPr>
                <w:lang w:val="en-AU"/>
              </w:rPr>
              <w:t>2 (&lt;1%)</w:t>
            </w:r>
          </w:p>
        </w:tc>
      </w:tr>
      <w:tr w:rsidR="00364D09" w:rsidRPr="00E26ADF" w14:paraId="29F59E72" w14:textId="77777777" w:rsidTr="00364D09">
        <w:trPr>
          <w:cantSplit/>
          <w:jc w:val="center"/>
        </w:trPr>
        <w:tc>
          <w:tcPr>
            <w:tcW w:w="9016" w:type="dxa"/>
            <w:gridSpan w:val="4"/>
            <w:tcBorders>
              <w:top w:val="single" w:sz="12" w:space="0" w:color="auto"/>
            </w:tcBorders>
            <w:shd w:val="clear" w:color="auto" w:fill="auto"/>
          </w:tcPr>
          <w:p w14:paraId="13A9FCA3" w14:textId="77777777" w:rsidR="00364D09" w:rsidRPr="00E26ADF" w:rsidRDefault="00364D09" w:rsidP="00364D09">
            <w:pPr>
              <w:pStyle w:val="C-Footnote"/>
              <w:rPr>
                <w:rFonts w:ascii="Arial Narrow" w:eastAsia="MS Mincho" w:hAnsi="Arial Narrow"/>
                <w:sz w:val="18"/>
                <w:szCs w:val="18"/>
              </w:rPr>
            </w:pPr>
            <w:proofErr w:type="spellStart"/>
            <w:proofErr w:type="gramStart"/>
            <w:r w:rsidRPr="00E26ADF">
              <w:rPr>
                <w:rFonts w:ascii="Arial Narrow" w:eastAsia="MS Mincho" w:hAnsi="Arial Narrow"/>
                <w:sz w:val="18"/>
                <w:szCs w:val="18"/>
                <w:vertAlign w:val="superscript"/>
              </w:rPr>
              <w:t>a</w:t>
            </w:r>
            <w:proofErr w:type="spellEnd"/>
            <w:proofErr w:type="gramEnd"/>
            <w:r w:rsidRPr="00E26ADF">
              <w:rPr>
                <w:rFonts w:ascii="Arial Narrow" w:eastAsia="MS Mincho" w:hAnsi="Arial Narrow"/>
                <w:sz w:val="18"/>
                <w:szCs w:val="18"/>
              </w:rPr>
              <w:t xml:space="preserve"> </w:t>
            </w:r>
            <w:r w:rsidRPr="00E26ADF">
              <w:rPr>
                <w:rFonts w:ascii="Arial Narrow" w:eastAsia="MS Mincho" w:hAnsi="Arial Narrow"/>
                <w:sz w:val="18"/>
                <w:szCs w:val="18"/>
              </w:rPr>
              <w:tab/>
              <w:t>Injection site reactions cluster includes erythema, edema, pruritus, pain, and inflammation</w:t>
            </w:r>
          </w:p>
          <w:p w14:paraId="0DECAD5B" w14:textId="52E3DC88" w:rsidR="00364D09" w:rsidRDefault="00364D09" w:rsidP="00364D09">
            <w:pPr>
              <w:spacing w:before="0"/>
              <w:rPr>
                <w:rFonts w:ascii="Arial Narrow" w:hAnsi="Arial Narrow" w:cs="Arial"/>
                <w:color w:val="auto"/>
                <w:sz w:val="18"/>
                <w:szCs w:val="18"/>
              </w:rPr>
            </w:pPr>
            <w:r w:rsidRPr="00E26ADF">
              <w:rPr>
                <w:rFonts w:ascii="Arial Narrow" w:hAnsi="Arial Narrow"/>
                <w:color w:val="auto"/>
                <w:sz w:val="18"/>
                <w:szCs w:val="18"/>
                <w:vertAlign w:val="superscript"/>
              </w:rPr>
              <w:t>b</w:t>
            </w:r>
            <w:r w:rsidRPr="00E26ADF">
              <w:rPr>
                <w:rFonts w:ascii="Arial Narrow" w:hAnsi="Arial Narrow"/>
                <w:color w:val="auto"/>
                <w:sz w:val="18"/>
                <w:szCs w:val="18"/>
              </w:rPr>
              <w:t xml:space="preserve"> </w:t>
            </w:r>
            <w:r w:rsidRPr="00E26ADF">
              <w:rPr>
                <w:rFonts w:ascii="Arial Narrow" w:hAnsi="Arial Narrow" w:cs="Arial"/>
                <w:color w:val="auto"/>
                <w:sz w:val="18"/>
                <w:szCs w:val="18"/>
              </w:rPr>
              <w:t>Eosinophilia = blood eosinophils ≥ 3,000 cells/</w:t>
            </w:r>
            <w:proofErr w:type="spellStart"/>
            <w:proofErr w:type="gramStart"/>
            <w:r w:rsidRPr="00E26ADF">
              <w:rPr>
                <w:rFonts w:ascii="Arial Narrow" w:hAnsi="Arial Narrow" w:cs="Arial"/>
                <w:color w:val="auto"/>
                <w:sz w:val="18"/>
                <w:szCs w:val="18"/>
              </w:rPr>
              <w:t>mcL,or</w:t>
            </w:r>
            <w:proofErr w:type="spellEnd"/>
            <w:proofErr w:type="gramEnd"/>
            <w:r w:rsidRPr="00E26ADF">
              <w:rPr>
                <w:rFonts w:ascii="Arial Narrow" w:hAnsi="Arial Narrow" w:cs="Arial"/>
                <w:color w:val="auto"/>
                <w:sz w:val="18"/>
                <w:szCs w:val="18"/>
              </w:rPr>
              <w:t xml:space="preserve"> deemed by the investigator to be an adverse event. None met the criteria for serious eosinophilic conditions</w:t>
            </w:r>
          </w:p>
          <w:p w14:paraId="58F77FFB" w14:textId="70FBFB82" w:rsidR="00A05E57" w:rsidRPr="00E26ADF" w:rsidRDefault="00A05E57" w:rsidP="00364D09">
            <w:pPr>
              <w:spacing w:before="0"/>
              <w:rPr>
                <w:rFonts w:cs="Arial"/>
                <w:color w:val="auto"/>
                <w:sz w:val="20"/>
                <w:szCs w:val="20"/>
              </w:rPr>
            </w:pPr>
          </w:p>
        </w:tc>
      </w:tr>
    </w:tbl>
    <w:p w14:paraId="5D23122E" w14:textId="5B4CA654" w:rsidR="007B6C63" w:rsidRDefault="00A80162" w:rsidP="007B6C63">
      <w:pPr>
        <w:pStyle w:val="Caption"/>
        <w:rPr>
          <w:lang w:val="en-AU"/>
        </w:rPr>
      </w:pPr>
      <w:bookmarkStart w:id="13" w:name="_Ref72402063"/>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5</w:t>
      </w:r>
      <w:r w:rsidRPr="00E26ADF">
        <w:rPr>
          <w:lang w:val="en-AU"/>
        </w:rPr>
        <w:fldChar w:fldCharType="end"/>
      </w:r>
      <w:bookmarkEnd w:id="13"/>
      <w:r w:rsidRPr="00E26ADF">
        <w:rPr>
          <w:lang w:val="en-AU"/>
        </w:rPr>
        <w:t xml:space="preserve"> ­ List of adverse reactions in asthma clinical studies</w:t>
      </w:r>
    </w:p>
    <w:tbl>
      <w:tblPr>
        <w:tblStyle w:val="TableGrid"/>
        <w:tblW w:w="0" w:type="auto"/>
        <w:jc w:val="center"/>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454EE" w:rsidRPr="00E26ADF" w14:paraId="0F2B2B88" w14:textId="77777777" w:rsidTr="00BA5A6A">
        <w:trPr>
          <w:cantSplit/>
          <w:tblHeader/>
          <w:jc w:val="center"/>
        </w:trPr>
        <w:tc>
          <w:tcPr>
            <w:tcW w:w="3005" w:type="dxa"/>
            <w:tcBorders>
              <w:top w:val="single" w:sz="4" w:space="0" w:color="000000"/>
              <w:bottom w:val="single" w:sz="4" w:space="0" w:color="000000"/>
            </w:tcBorders>
            <w:shd w:val="clear" w:color="auto" w:fill="auto"/>
          </w:tcPr>
          <w:p w14:paraId="6A224C34" w14:textId="77777777" w:rsidR="00C454EE" w:rsidRPr="00E26ADF" w:rsidRDefault="00C454EE" w:rsidP="00BA5A6A">
            <w:pPr>
              <w:pStyle w:val="TblHeadingCenter"/>
              <w:rPr>
                <w:lang w:val="en-AU"/>
              </w:rPr>
            </w:pPr>
            <w:r w:rsidRPr="00E26ADF">
              <w:rPr>
                <w:lang w:val="en-AU"/>
              </w:rPr>
              <w:t>System Organ Class</w:t>
            </w:r>
          </w:p>
        </w:tc>
        <w:tc>
          <w:tcPr>
            <w:tcW w:w="3005" w:type="dxa"/>
            <w:tcBorders>
              <w:top w:val="single" w:sz="4" w:space="0" w:color="000000"/>
              <w:bottom w:val="single" w:sz="4" w:space="0" w:color="000000"/>
            </w:tcBorders>
            <w:shd w:val="clear" w:color="auto" w:fill="auto"/>
          </w:tcPr>
          <w:p w14:paraId="40D2655F" w14:textId="77777777" w:rsidR="00C454EE" w:rsidRPr="00E26ADF" w:rsidRDefault="00C454EE" w:rsidP="00BA5A6A">
            <w:pPr>
              <w:pStyle w:val="TblHeadingCenter"/>
              <w:rPr>
                <w:lang w:val="en-AU"/>
              </w:rPr>
            </w:pPr>
            <w:r w:rsidRPr="00E26ADF">
              <w:rPr>
                <w:lang w:val="en-AU"/>
              </w:rPr>
              <w:t>Frequency</w:t>
            </w:r>
          </w:p>
        </w:tc>
        <w:tc>
          <w:tcPr>
            <w:tcW w:w="3006" w:type="dxa"/>
            <w:tcBorders>
              <w:top w:val="single" w:sz="4" w:space="0" w:color="000000"/>
              <w:bottom w:val="single" w:sz="4" w:space="0" w:color="000000"/>
            </w:tcBorders>
            <w:shd w:val="clear" w:color="auto" w:fill="auto"/>
          </w:tcPr>
          <w:p w14:paraId="6287CF5E" w14:textId="77777777" w:rsidR="00C454EE" w:rsidRPr="00E26ADF" w:rsidRDefault="00C454EE" w:rsidP="00BA5A6A">
            <w:pPr>
              <w:pStyle w:val="TblHeadingCenter"/>
              <w:rPr>
                <w:lang w:val="en-AU"/>
              </w:rPr>
            </w:pPr>
            <w:r w:rsidRPr="00E26ADF">
              <w:rPr>
                <w:lang w:val="en-AU"/>
              </w:rPr>
              <w:t>Adverse Reaction</w:t>
            </w:r>
          </w:p>
        </w:tc>
      </w:tr>
      <w:tr w:rsidR="00C454EE" w:rsidRPr="00E26ADF" w14:paraId="0750E2B2" w14:textId="77777777" w:rsidTr="00BA5A6A">
        <w:trPr>
          <w:cantSplit/>
          <w:jc w:val="center"/>
        </w:trPr>
        <w:tc>
          <w:tcPr>
            <w:tcW w:w="3005" w:type="dxa"/>
            <w:tcBorders>
              <w:top w:val="single" w:sz="4" w:space="0" w:color="000000"/>
              <w:bottom w:val="single" w:sz="12" w:space="0" w:color="auto"/>
            </w:tcBorders>
            <w:shd w:val="clear" w:color="auto" w:fill="auto"/>
          </w:tcPr>
          <w:p w14:paraId="0631C6D8" w14:textId="77777777" w:rsidR="00C454EE" w:rsidRPr="00E26ADF" w:rsidRDefault="00C454EE" w:rsidP="00BA5A6A">
            <w:pPr>
              <w:pStyle w:val="TblTextCenter"/>
              <w:rPr>
                <w:lang w:val="en-AU"/>
              </w:rPr>
            </w:pPr>
            <w:r w:rsidRPr="00E26ADF">
              <w:rPr>
                <w:lang w:val="en-AU"/>
              </w:rPr>
              <w:t xml:space="preserve">General disorders and administration site conditions </w:t>
            </w:r>
          </w:p>
        </w:tc>
        <w:tc>
          <w:tcPr>
            <w:tcW w:w="3005" w:type="dxa"/>
            <w:tcBorders>
              <w:top w:val="single" w:sz="4" w:space="0" w:color="000000"/>
              <w:bottom w:val="single" w:sz="12" w:space="0" w:color="auto"/>
            </w:tcBorders>
            <w:shd w:val="clear" w:color="auto" w:fill="auto"/>
          </w:tcPr>
          <w:p w14:paraId="3EA5F60E" w14:textId="77777777" w:rsidR="00C454EE" w:rsidRPr="00E26ADF" w:rsidRDefault="00C454EE" w:rsidP="00BA5A6A">
            <w:pPr>
              <w:pStyle w:val="TblTextCenter"/>
              <w:rPr>
                <w:lang w:val="en-AU"/>
              </w:rPr>
            </w:pPr>
            <w:r w:rsidRPr="00E26ADF">
              <w:rPr>
                <w:lang w:val="en-AU"/>
              </w:rPr>
              <w:t xml:space="preserve">Very common </w:t>
            </w:r>
          </w:p>
          <w:p w14:paraId="7FDD49A7" w14:textId="77777777" w:rsidR="00C454EE" w:rsidRPr="00E26ADF" w:rsidRDefault="00C454EE" w:rsidP="00BA5A6A">
            <w:pPr>
              <w:pStyle w:val="TblTextCenter"/>
              <w:rPr>
                <w:lang w:val="en-AU"/>
              </w:rPr>
            </w:pPr>
            <w:r w:rsidRPr="00E26ADF">
              <w:rPr>
                <w:lang w:val="en-AU"/>
              </w:rPr>
              <w:t xml:space="preserve">Common </w:t>
            </w:r>
          </w:p>
          <w:p w14:paraId="675F9250" w14:textId="77777777" w:rsidR="00C454EE" w:rsidRPr="00E26ADF" w:rsidRDefault="00C454EE" w:rsidP="00BA5A6A">
            <w:pPr>
              <w:pStyle w:val="TblTextCenter"/>
              <w:rPr>
                <w:lang w:val="en-AU"/>
              </w:rPr>
            </w:pPr>
            <w:r w:rsidRPr="00E26ADF">
              <w:rPr>
                <w:lang w:val="en-AU"/>
              </w:rPr>
              <w:t xml:space="preserve">Common </w:t>
            </w:r>
          </w:p>
        </w:tc>
        <w:tc>
          <w:tcPr>
            <w:tcW w:w="3006" w:type="dxa"/>
            <w:tcBorders>
              <w:top w:val="single" w:sz="4" w:space="0" w:color="000000"/>
              <w:bottom w:val="single" w:sz="12" w:space="0" w:color="auto"/>
            </w:tcBorders>
            <w:shd w:val="clear" w:color="auto" w:fill="auto"/>
          </w:tcPr>
          <w:p w14:paraId="587CF0A3" w14:textId="77777777" w:rsidR="00C454EE" w:rsidRPr="00E26ADF" w:rsidRDefault="00C454EE" w:rsidP="00BA5A6A">
            <w:pPr>
              <w:pStyle w:val="TblTextCenter"/>
              <w:rPr>
                <w:lang w:val="en-AU"/>
              </w:rPr>
            </w:pPr>
            <w:r w:rsidRPr="00E26ADF">
              <w:rPr>
                <w:lang w:val="en-AU"/>
              </w:rPr>
              <w:t xml:space="preserve">Injection site erythema (14.6%) </w:t>
            </w:r>
          </w:p>
          <w:p w14:paraId="4C28746E" w14:textId="77777777" w:rsidR="00C454EE" w:rsidRPr="00E26ADF" w:rsidRDefault="00C454EE" w:rsidP="00BA5A6A">
            <w:pPr>
              <w:pStyle w:val="TblTextCenter"/>
              <w:rPr>
                <w:lang w:val="en-AU"/>
              </w:rPr>
            </w:pPr>
            <w:r w:rsidRPr="00E26ADF">
              <w:rPr>
                <w:lang w:val="en-AU"/>
              </w:rPr>
              <w:t xml:space="preserve">Injection site oedema (4.8%) </w:t>
            </w:r>
          </w:p>
          <w:p w14:paraId="47078A49" w14:textId="77777777" w:rsidR="00C454EE" w:rsidRPr="00E26ADF" w:rsidRDefault="00C454EE" w:rsidP="00BA5A6A">
            <w:pPr>
              <w:pStyle w:val="TblTextCenter"/>
              <w:rPr>
                <w:lang w:val="en-AU"/>
              </w:rPr>
            </w:pPr>
            <w:r w:rsidRPr="00E26ADF">
              <w:rPr>
                <w:lang w:val="en-AU"/>
              </w:rPr>
              <w:t xml:space="preserve">Injection site pruritus (4.7%) </w:t>
            </w:r>
          </w:p>
        </w:tc>
      </w:tr>
    </w:tbl>
    <w:p w14:paraId="498BFFDF" w14:textId="6ECC8CC8" w:rsidR="00AB1C87" w:rsidRPr="007C2F21" w:rsidRDefault="00AB1C87" w:rsidP="00AB1C87">
      <w:pPr>
        <w:rPr>
          <w:color w:val="auto"/>
        </w:rPr>
      </w:pPr>
      <w:r w:rsidRPr="007C2F21">
        <w:rPr>
          <w:color w:val="auto"/>
        </w:rPr>
        <w:t>The long-term safety of Dupixent was assessed in an open-label extension study in 2282 patients 12 years and older with moderate-to-severe asthma (TRAVERSE). In this study, patients were followed for up to 96 weeks, resulting in 3169 patient-years cumulative exposure to D</w:t>
      </w:r>
      <w:r w:rsidR="003F089D">
        <w:rPr>
          <w:color w:val="auto"/>
        </w:rPr>
        <w:t>upixent</w:t>
      </w:r>
      <w:r w:rsidRPr="007C2F21">
        <w:rPr>
          <w:color w:val="auto"/>
        </w:rPr>
        <w:t>. The safety profile of D</w:t>
      </w:r>
      <w:r w:rsidR="003F089D">
        <w:rPr>
          <w:color w:val="auto"/>
        </w:rPr>
        <w:t>upixent</w:t>
      </w:r>
      <w:r w:rsidRPr="007C2F21">
        <w:rPr>
          <w:color w:val="auto"/>
        </w:rPr>
        <w:t xml:space="preserve"> in TRAVERSE was consistent with the safety profile observed in pivotal asthma studies for up to 52 weeks of treatment. No additional adverse reactions were identified.</w:t>
      </w:r>
    </w:p>
    <w:p w14:paraId="424CCE69" w14:textId="0A0A8E4E" w:rsidR="005536F3" w:rsidRPr="007C2F21" w:rsidRDefault="005536F3" w:rsidP="00604D48">
      <w:pPr>
        <w:pStyle w:val="Heading3"/>
        <w:numPr>
          <w:ilvl w:val="0"/>
          <w:numId w:val="0"/>
        </w:numPr>
        <w:ind w:left="680" w:hanging="680"/>
      </w:pPr>
      <w:r w:rsidRPr="007C2F21">
        <w:lastRenderedPageBreak/>
        <w:t>Chronic Rhinosinusitis with nasal polyposis</w:t>
      </w:r>
    </w:p>
    <w:p w14:paraId="40DC22C3" w14:textId="56097494" w:rsidR="005536F3" w:rsidRPr="007C2F21" w:rsidRDefault="005536F3" w:rsidP="005536F3">
      <w:pPr>
        <w:rPr>
          <w:color w:val="auto"/>
        </w:rPr>
      </w:pPr>
      <w:r w:rsidRPr="007C2F21">
        <w:rPr>
          <w:color w:val="auto"/>
        </w:rPr>
        <w:t xml:space="preserve">A total of 722 adult patients with chronic rhinosinusitis with nasal polyposis (CRSwNP) were evaluated in 2 </w:t>
      </w:r>
      <w:proofErr w:type="spellStart"/>
      <w:r w:rsidRPr="007C2F21">
        <w:rPr>
          <w:color w:val="auto"/>
        </w:rPr>
        <w:t>randomi</w:t>
      </w:r>
      <w:r w:rsidR="00E54EBF" w:rsidRPr="007C2F21">
        <w:rPr>
          <w:color w:val="auto"/>
        </w:rPr>
        <w:t>s</w:t>
      </w:r>
      <w:r w:rsidRPr="007C2F21">
        <w:rPr>
          <w:color w:val="auto"/>
        </w:rPr>
        <w:t>ed</w:t>
      </w:r>
      <w:proofErr w:type="spellEnd"/>
      <w:r w:rsidRPr="007C2F21">
        <w:rPr>
          <w:color w:val="auto"/>
        </w:rPr>
        <w:t xml:space="preserve">, placebo-controlled, </w:t>
      </w:r>
      <w:proofErr w:type="spellStart"/>
      <w:r w:rsidRPr="007C2F21">
        <w:rPr>
          <w:color w:val="auto"/>
        </w:rPr>
        <w:t>multicent</w:t>
      </w:r>
      <w:r w:rsidR="004A3827" w:rsidRPr="007C2F21">
        <w:rPr>
          <w:color w:val="auto"/>
        </w:rPr>
        <w:t>re</w:t>
      </w:r>
      <w:proofErr w:type="spellEnd"/>
      <w:r w:rsidRPr="007C2F21">
        <w:rPr>
          <w:color w:val="auto"/>
        </w:rPr>
        <w:t xml:space="preserve"> trials of 24 to 52 weeks duration (SINUS-24 and SINUS-52). The safety pool consisted of data from the first 24 weeks of treatment.</w:t>
      </w:r>
    </w:p>
    <w:p w14:paraId="582E63B0" w14:textId="1BF0906A" w:rsidR="005536F3" w:rsidRPr="007C2F21" w:rsidRDefault="005536F3" w:rsidP="005536F3">
      <w:pPr>
        <w:rPr>
          <w:color w:val="auto"/>
        </w:rPr>
      </w:pPr>
      <w:r w:rsidRPr="007C2F21">
        <w:rPr>
          <w:color w:val="auto"/>
        </w:rPr>
        <w:t>In the safety pool, the proportion of subjects who discontinued treatment due to adverse events was 2.0% of the Dupixent 300 mg Q2W group and 4.6% of the placebo group.</w:t>
      </w:r>
    </w:p>
    <w:p w14:paraId="63958531" w14:textId="22F4F212" w:rsidR="005536F3" w:rsidRPr="005536F3" w:rsidRDefault="005536F3" w:rsidP="005536F3">
      <w:pPr>
        <w:rPr>
          <w:color w:val="0000FF"/>
          <w:u w:val="double"/>
        </w:rPr>
      </w:pPr>
      <w:r w:rsidRPr="007C2F21">
        <w:rPr>
          <w:color w:val="0000FF"/>
        </w:rPr>
        <w:fldChar w:fldCharType="begin"/>
      </w:r>
      <w:r w:rsidRPr="007C2F21">
        <w:rPr>
          <w:color w:val="0000FF"/>
        </w:rPr>
        <w:instrText xml:space="preserve"> REF _Ref41518004 \h  \* MERGEFORMAT </w:instrText>
      </w:r>
      <w:r w:rsidRPr="007C2F21">
        <w:rPr>
          <w:color w:val="0000FF"/>
        </w:rPr>
      </w:r>
      <w:r w:rsidRPr="007C2F21">
        <w:rPr>
          <w:color w:val="0000FF"/>
        </w:rPr>
        <w:fldChar w:fldCharType="separate"/>
      </w:r>
      <w:r w:rsidR="00E123A5" w:rsidRPr="00E123A5">
        <w:rPr>
          <w:color w:val="0000FF"/>
        </w:rPr>
        <w:t>Table 6</w:t>
      </w:r>
      <w:r w:rsidRPr="007C2F21">
        <w:rPr>
          <w:color w:val="0000FF"/>
        </w:rPr>
        <w:fldChar w:fldCharType="end"/>
      </w:r>
      <w:r w:rsidRPr="007C2F21">
        <w:rPr>
          <w:color w:val="0000FF"/>
        </w:rPr>
        <w:t xml:space="preserve"> </w:t>
      </w:r>
      <w:proofErr w:type="spellStart"/>
      <w:r w:rsidRPr="007C2F21">
        <w:rPr>
          <w:color w:val="auto"/>
        </w:rPr>
        <w:t>summari</w:t>
      </w:r>
      <w:r w:rsidR="00E54EBF" w:rsidRPr="007C2F21">
        <w:rPr>
          <w:color w:val="auto"/>
        </w:rPr>
        <w:t>s</w:t>
      </w:r>
      <w:r w:rsidRPr="007C2F21">
        <w:rPr>
          <w:color w:val="auto"/>
        </w:rPr>
        <w:t>es</w:t>
      </w:r>
      <w:proofErr w:type="spellEnd"/>
      <w:r w:rsidRPr="007C2F21">
        <w:rPr>
          <w:color w:val="auto"/>
        </w:rPr>
        <w:t xml:space="preserve"> the adverse reactions that occurred at a rate of at least 1% in patients treated with Dupixent and at a higher rate than in their respective comparator group in SINUS-24 and SINUS-52</w:t>
      </w:r>
    </w:p>
    <w:p w14:paraId="4B4B8CFE" w14:textId="488C556B" w:rsidR="00C454EE" w:rsidRPr="007C2F21" w:rsidRDefault="00C454EE" w:rsidP="00C454EE">
      <w:pPr>
        <w:pStyle w:val="Caption"/>
      </w:pPr>
      <w:r w:rsidRPr="0007403D">
        <w:t xml:space="preserve"> </w:t>
      </w:r>
      <w:bookmarkStart w:id="14" w:name="_Ref41518004"/>
      <w:r w:rsidRPr="0007403D">
        <w:t>Table </w:t>
      </w:r>
      <w:r w:rsidRPr="0007403D">
        <w:fldChar w:fldCharType="begin"/>
      </w:r>
      <w:r w:rsidRPr="0007403D">
        <w:instrText xml:space="preserve"> SEQ Table \* ARABIC </w:instrText>
      </w:r>
      <w:r w:rsidRPr="0007403D">
        <w:fldChar w:fldCharType="separate"/>
      </w:r>
      <w:r w:rsidR="00E123A5">
        <w:rPr>
          <w:noProof/>
        </w:rPr>
        <w:t>6</w:t>
      </w:r>
      <w:r w:rsidRPr="0007403D">
        <w:fldChar w:fldCharType="end"/>
      </w:r>
      <w:bookmarkEnd w:id="14"/>
      <w:r w:rsidRPr="0007403D">
        <w:t xml:space="preserve"> </w:t>
      </w:r>
      <w:r w:rsidRPr="007C2F21">
        <w:t xml:space="preserve">­ Adverse Reactions Occurring in ≥1% of the </w:t>
      </w:r>
      <w:r w:rsidR="005536F3" w:rsidRPr="007C2F21">
        <w:t>Dupixent</w:t>
      </w:r>
      <w:r w:rsidRPr="007C2F21">
        <w:t xml:space="preserve"> Group in SINUS-24 and SINUS-52 and Greater than Placebo (24-Week Safety Pool)  </w:t>
      </w:r>
    </w:p>
    <w:tbl>
      <w:tblPr>
        <w:tblW w:w="0" w:type="auto"/>
        <w:jc w:val="center"/>
        <w:tblBorders>
          <w:top w:val="single" w:sz="2" w:space="0" w:color="000000"/>
        </w:tblBorders>
        <w:tblLook w:val="04A0" w:firstRow="1" w:lastRow="0" w:firstColumn="1" w:lastColumn="0" w:noHBand="0" w:noVBand="1"/>
      </w:tblPr>
      <w:tblGrid>
        <w:gridCol w:w="2261"/>
        <w:gridCol w:w="1725"/>
        <w:gridCol w:w="1220"/>
      </w:tblGrid>
      <w:tr w:rsidR="00BB77A7" w:rsidRPr="007C2F21" w14:paraId="55F0443A" w14:textId="77777777" w:rsidTr="005536F3">
        <w:trPr>
          <w:cantSplit/>
          <w:trHeight w:val="282"/>
          <w:tblHeader/>
          <w:jc w:val="center"/>
        </w:trPr>
        <w:tc>
          <w:tcPr>
            <w:tcW w:w="0" w:type="auto"/>
            <w:vMerge w:val="restart"/>
            <w:tcBorders>
              <w:top w:val="single" w:sz="4" w:space="0" w:color="000000"/>
              <w:bottom w:val="single" w:sz="4" w:space="0" w:color="000000"/>
            </w:tcBorders>
            <w:shd w:val="clear" w:color="auto" w:fill="auto"/>
          </w:tcPr>
          <w:p w14:paraId="37521E9E" w14:textId="77777777" w:rsidR="005536F3" w:rsidRPr="007C2F21" w:rsidRDefault="005536F3" w:rsidP="005536F3">
            <w:pPr>
              <w:pStyle w:val="TblHeadingCenter"/>
            </w:pPr>
            <w:r w:rsidRPr="007C2F21">
              <w:t>Adverse Reaction</w:t>
            </w:r>
          </w:p>
        </w:tc>
        <w:tc>
          <w:tcPr>
            <w:tcW w:w="0" w:type="auto"/>
            <w:gridSpan w:val="2"/>
            <w:tcBorders>
              <w:top w:val="single" w:sz="4" w:space="0" w:color="000000"/>
              <w:bottom w:val="single" w:sz="4" w:space="0" w:color="000000"/>
            </w:tcBorders>
            <w:shd w:val="clear" w:color="auto" w:fill="auto"/>
          </w:tcPr>
          <w:p w14:paraId="646D7361" w14:textId="77777777" w:rsidR="005536F3" w:rsidRPr="007C2F21" w:rsidRDefault="005536F3" w:rsidP="005536F3">
            <w:pPr>
              <w:pStyle w:val="TblHeadingCenter"/>
            </w:pPr>
            <w:r w:rsidRPr="007C2F21">
              <w:t>SINUS-24 and SINUS-52</w:t>
            </w:r>
          </w:p>
        </w:tc>
      </w:tr>
      <w:tr w:rsidR="00BB77A7" w:rsidRPr="007C2F21" w14:paraId="63153A1A" w14:textId="77777777" w:rsidTr="005536F3">
        <w:trPr>
          <w:cantSplit/>
          <w:trHeight w:val="949"/>
          <w:tblHeader/>
          <w:jc w:val="center"/>
        </w:trPr>
        <w:tc>
          <w:tcPr>
            <w:tcW w:w="0" w:type="auto"/>
            <w:vMerge/>
            <w:tcBorders>
              <w:top w:val="single" w:sz="4" w:space="0" w:color="auto"/>
              <w:bottom w:val="single" w:sz="4" w:space="0" w:color="000000"/>
            </w:tcBorders>
            <w:shd w:val="clear" w:color="auto" w:fill="auto"/>
          </w:tcPr>
          <w:p w14:paraId="7D7645CD" w14:textId="77777777" w:rsidR="005536F3" w:rsidRPr="007C2F21" w:rsidRDefault="005536F3" w:rsidP="00BA5A6A">
            <w:pPr>
              <w:pStyle w:val="C-BodyText"/>
              <w:jc w:val="center"/>
              <w:rPr>
                <w:b/>
                <w:sz w:val="22"/>
                <w:szCs w:val="22"/>
              </w:rPr>
            </w:pPr>
          </w:p>
        </w:tc>
        <w:tc>
          <w:tcPr>
            <w:tcW w:w="0" w:type="auto"/>
            <w:tcBorders>
              <w:top w:val="single" w:sz="4" w:space="0" w:color="000000"/>
            </w:tcBorders>
            <w:shd w:val="clear" w:color="auto" w:fill="auto"/>
          </w:tcPr>
          <w:p w14:paraId="3D60B66B" w14:textId="5A84C7A8" w:rsidR="005536F3" w:rsidRPr="007C2F21" w:rsidRDefault="00604D48" w:rsidP="005536F3">
            <w:pPr>
              <w:pStyle w:val="TblTextCenter"/>
            </w:pPr>
            <w:r w:rsidRPr="007C2F21">
              <w:t>Dupixent</w:t>
            </w:r>
          </w:p>
          <w:p w14:paraId="424304E8" w14:textId="77777777" w:rsidR="005536F3" w:rsidRPr="007C2F21" w:rsidRDefault="005536F3" w:rsidP="005536F3">
            <w:pPr>
              <w:pStyle w:val="TblTextCenter"/>
            </w:pPr>
            <w:r w:rsidRPr="007C2F21">
              <w:t>300 mg Q2W</w:t>
            </w:r>
          </w:p>
          <w:p w14:paraId="2020108D" w14:textId="77777777" w:rsidR="005536F3" w:rsidRPr="007C2F21" w:rsidRDefault="005536F3" w:rsidP="005536F3">
            <w:pPr>
              <w:pStyle w:val="TblTextCenter"/>
            </w:pPr>
            <w:r w:rsidRPr="007C2F21">
              <w:t>N=440</w:t>
            </w:r>
          </w:p>
          <w:p w14:paraId="0927A3A7" w14:textId="77777777" w:rsidR="005536F3" w:rsidRPr="007C2F21" w:rsidRDefault="005536F3" w:rsidP="005536F3">
            <w:pPr>
              <w:pStyle w:val="TblTextCenter"/>
            </w:pPr>
            <w:r w:rsidRPr="007C2F21">
              <w:t>n (%)</w:t>
            </w:r>
          </w:p>
        </w:tc>
        <w:tc>
          <w:tcPr>
            <w:tcW w:w="0" w:type="auto"/>
            <w:tcBorders>
              <w:top w:val="single" w:sz="4" w:space="0" w:color="000000"/>
            </w:tcBorders>
            <w:shd w:val="clear" w:color="auto" w:fill="auto"/>
          </w:tcPr>
          <w:p w14:paraId="50BDFA82" w14:textId="77777777" w:rsidR="005536F3" w:rsidRPr="007C2F21" w:rsidRDefault="005536F3" w:rsidP="005536F3">
            <w:pPr>
              <w:pStyle w:val="TblTextCenter"/>
            </w:pPr>
            <w:r w:rsidRPr="007C2F21">
              <w:t>Placebo</w:t>
            </w:r>
          </w:p>
          <w:p w14:paraId="234039F3" w14:textId="77777777" w:rsidR="005536F3" w:rsidRPr="007C2F21" w:rsidRDefault="005536F3" w:rsidP="005536F3">
            <w:pPr>
              <w:pStyle w:val="TblTextCenter"/>
            </w:pPr>
          </w:p>
          <w:p w14:paraId="71FBE841" w14:textId="77777777" w:rsidR="005536F3" w:rsidRPr="007C2F21" w:rsidRDefault="005536F3" w:rsidP="005536F3">
            <w:pPr>
              <w:pStyle w:val="TblTextCenter"/>
            </w:pPr>
            <w:r w:rsidRPr="007C2F21">
              <w:t>N=282</w:t>
            </w:r>
          </w:p>
          <w:p w14:paraId="680A02AB" w14:textId="77777777" w:rsidR="005536F3" w:rsidRPr="007C2F21" w:rsidRDefault="005536F3" w:rsidP="005536F3">
            <w:pPr>
              <w:pStyle w:val="TblTextCenter"/>
            </w:pPr>
            <w:r w:rsidRPr="007C2F21">
              <w:t>n (%)</w:t>
            </w:r>
          </w:p>
        </w:tc>
      </w:tr>
      <w:tr w:rsidR="00BB77A7" w:rsidRPr="007C2F21" w14:paraId="35D0B0CB" w14:textId="77777777" w:rsidTr="005536F3">
        <w:trPr>
          <w:cantSplit/>
          <w:trHeight w:val="22"/>
          <w:jc w:val="center"/>
        </w:trPr>
        <w:tc>
          <w:tcPr>
            <w:tcW w:w="0" w:type="auto"/>
            <w:tcBorders>
              <w:top w:val="single" w:sz="4" w:space="0" w:color="000000"/>
            </w:tcBorders>
            <w:shd w:val="clear" w:color="auto" w:fill="auto"/>
          </w:tcPr>
          <w:p w14:paraId="4062EB6F" w14:textId="77777777" w:rsidR="005536F3" w:rsidRPr="007C2F21" w:rsidRDefault="005536F3" w:rsidP="005536F3">
            <w:pPr>
              <w:pStyle w:val="TblTextCenter"/>
            </w:pPr>
            <w:r w:rsidRPr="007C2F21">
              <w:t xml:space="preserve">Injection site </w:t>
            </w:r>
            <w:proofErr w:type="spellStart"/>
            <w:r w:rsidRPr="007C2F21">
              <w:t>reactions</w:t>
            </w:r>
            <w:r w:rsidRPr="007C2F21">
              <w:rPr>
                <w:vertAlign w:val="superscript"/>
              </w:rPr>
              <w:t>a</w:t>
            </w:r>
            <w:proofErr w:type="spellEnd"/>
          </w:p>
        </w:tc>
        <w:tc>
          <w:tcPr>
            <w:tcW w:w="0" w:type="auto"/>
            <w:shd w:val="clear" w:color="auto" w:fill="auto"/>
          </w:tcPr>
          <w:p w14:paraId="2DEEE20F" w14:textId="77777777" w:rsidR="005536F3" w:rsidRPr="007C2F21" w:rsidRDefault="005536F3" w:rsidP="005536F3">
            <w:pPr>
              <w:pStyle w:val="TblTextCenter"/>
            </w:pPr>
            <w:r w:rsidRPr="007C2F21">
              <w:t>20 (4.5%)</w:t>
            </w:r>
          </w:p>
        </w:tc>
        <w:tc>
          <w:tcPr>
            <w:tcW w:w="0" w:type="auto"/>
            <w:shd w:val="clear" w:color="auto" w:fill="auto"/>
          </w:tcPr>
          <w:p w14:paraId="40632008" w14:textId="77777777" w:rsidR="005536F3" w:rsidRPr="007C2F21" w:rsidRDefault="005536F3" w:rsidP="005536F3">
            <w:pPr>
              <w:pStyle w:val="TblTextCenter"/>
            </w:pPr>
            <w:r w:rsidRPr="007C2F21">
              <w:t>6 (2.1%)</w:t>
            </w:r>
          </w:p>
        </w:tc>
      </w:tr>
      <w:tr w:rsidR="00BB77A7" w:rsidRPr="007C2F21" w:rsidDel="00CE4E10" w14:paraId="4A7F9D8F" w14:textId="77777777" w:rsidTr="005536F3">
        <w:trPr>
          <w:cantSplit/>
          <w:trHeight w:val="22"/>
          <w:jc w:val="center"/>
        </w:trPr>
        <w:tc>
          <w:tcPr>
            <w:tcW w:w="0" w:type="auto"/>
            <w:tcBorders>
              <w:bottom w:val="single" w:sz="12" w:space="0" w:color="auto"/>
            </w:tcBorders>
            <w:shd w:val="clear" w:color="auto" w:fill="auto"/>
          </w:tcPr>
          <w:p w14:paraId="221B2614" w14:textId="77777777" w:rsidR="005536F3" w:rsidRPr="007C2F21" w:rsidDel="00CE4E10" w:rsidRDefault="005536F3" w:rsidP="005536F3">
            <w:pPr>
              <w:pStyle w:val="TblTextCenter"/>
            </w:pPr>
            <w:r w:rsidRPr="007C2F21">
              <w:t>Conjunctivitis</w:t>
            </w:r>
          </w:p>
        </w:tc>
        <w:tc>
          <w:tcPr>
            <w:tcW w:w="0" w:type="auto"/>
            <w:tcBorders>
              <w:bottom w:val="single" w:sz="12" w:space="0" w:color="auto"/>
            </w:tcBorders>
            <w:shd w:val="clear" w:color="auto" w:fill="auto"/>
          </w:tcPr>
          <w:p w14:paraId="069087F0" w14:textId="77777777" w:rsidR="005536F3" w:rsidRPr="007C2F21" w:rsidDel="00CE4E10" w:rsidRDefault="005536F3" w:rsidP="005536F3">
            <w:pPr>
              <w:pStyle w:val="TblTextCenter"/>
            </w:pPr>
            <w:r w:rsidRPr="007C2F21">
              <w:t>6 (1.4%)</w:t>
            </w:r>
          </w:p>
        </w:tc>
        <w:tc>
          <w:tcPr>
            <w:tcW w:w="0" w:type="auto"/>
            <w:tcBorders>
              <w:bottom w:val="single" w:sz="12" w:space="0" w:color="auto"/>
            </w:tcBorders>
            <w:shd w:val="clear" w:color="auto" w:fill="auto"/>
          </w:tcPr>
          <w:p w14:paraId="71BBBE47" w14:textId="77777777" w:rsidR="005536F3" w:rsidRPr="007C2F21" w:rsidDel="00CE4E10" w:rsidRDefault="005536F3" w:rsidP="005536F3">
            <w:pPr>
              <w:pStyle w:val="TblTextCenter"/>
            </w:pPr>
            <w:r w:rsidRPr="007C2F21">
              <w:t>0 (0%)</w:t>
            </w:r>
          </w:p>
        </w:tc>
      </w:tr>
      <w:tr w:rsidR="00BB77A7" w:rsidRPr="007C2F21" w:rsidDel="00CE4E10" w14:paraId="23DF6B67" w14:textId="77777777" w:rsidTr="005536F3">
        <w:trPr>
          <w:cantSplit/>
          <w:trHeight w:val="22"/>
          <w:jc w:val="center"/>
        </w:trPr>
        <w:tc>
          <w:tcPr>
            <w:tcW w:w="0" w:type="auto"/>
            <w:gridSpan w:val="3"/>
            <w:tcBorders>
              <w:top w:val="single" w:sz="12" w:space="0" w:color="auto"/>
            </w:tcBorders>
            <w:shd w:val="clear" w:color="auto" w:fill="auto"/>
          </w:tcPr>
          <w:p w14:paraId="020F6697" w14:textId="106C38E0" w:rsidR="005536F3" w:rsidRPr="007C2F21" w:rsidRDefault="00604D48" w:rsidP="005536F3">
            <w:pPr>
              <w:pStyle w:val="TblFigFootnote"/>
            </w:pPr>
            <w:r w:rsidRPr="007C2F21">
              <w:rPr>
                <w:vertAlign w:val="superscript"/>
              </w:rPr>
              <w:t xml:space="preserve"> </w:t>
            </w:r>
            <w:proofErr w:type="spellStart"/>
            <w:proofErr w:type="gramStart"/>
            <w:r w:rsidRPr="007C2F21">
              <w:rPr>
                <w:vertAlign w:val="superscript"/>
              </w:rPr>
              <w:t>a</w:t>
            </w:r>
            <w:proofErr w:type="spellEnd"/>
            <w:proofErr w:type="gramEnd"/>
            <w:r w:rsidRPr="007C2F21">
              <w:t xml:space="preserve"> Injection site reactions cluster includes injection site reactions and swelling</w:t>
            </w:r>
          </w:p>
        </w:tc>
      </w:tr>
    </w:tbl>
    <w:p w14:paraId="0EDC5FC1" w14:textId="120A6F0D" w:rsidR="005536F3" w:rsidRDefault="005536F3" w:rsidP="005536F3">
      <w:pPr>
        <w:spacing w:before="0"/>
        <w:jc w:val="center"/>
      </w:pPr>
    </w:p>
    <w:p w14:paraId="2454D894" w14:textId="03EBB2C0" w:rsidR="00BB77A7" w:rsidRPr="007C2F21" w:rsidRDefault="00BB77A7" w:rsidP="00BB77A7">
      <w:pPr>
        <w:pStyle w:val="Caption"/>
      </w:pPr>
      <w:bookmarkStart w:id="15" w:name="_Ref72402092"/>
      <w:r w:rsidRPr="007C2F21">
        <w:t>Table </w:t>
      </w:r>
      <w:r w:rsidRPr="007C2F21">
        <w:fldChar w:fldCharType="begin"/>
      </w:r>
      <w:r w:rsidRPr="007C2F21">
        <w:instrText xml:space="preserve"> SEQ Table \* ARABIC </w:instrText>
      </w:r>
      <w:r w:rsidRPr="007C2F21">
        <w:fldChar w:fldCharType="separate"/>
      </w:r>
      <w:r w:rsidR="00E123A5">
        <w:rPr>
          <w:noProof/>
        </w:rPr>
        <w:t>7</w:t>
      </w:r>
      <w:r w:rsidRPr="007C2F21">
        <w:fldChar w:fldCharType="end"/>
      </w:r>
      <w:bookmarkEnd w:id="15"/>
      <w:r w:rsidRPr="007C2F21">
        <w:t xml:space="preserve"> ­ List of adverse reactions in CRSwNP clinical studies</w:t>
      </w:r>
    </w:p>
    <w:tbl>
      <w:tblPr>
        <w:tblW w:w="0" w:type="auto"/>
        <w:jc w:val="center"/>
        <w:tblBorders>
          <w:top w:val="single" w:sz="2" w:space="0" w:color="000000"/>
        </w:tblBorders>
        <w:tblLook w:val="04A0" w:firstRow="1" w:lastRow="0" w:firstColumn="1" w:lastColumn="0" w:noHBand="0" w:noVBand="1"/>
      </w:tblPr>
      <w:tblGrid>
        <w:gridCol w:w="3991"/>
        <w:gridCol w:w="1228"/>
        <w:gridCol w:w="2286"/>
      </w:tblGrid>
      <w:tr w:rsidR="00BB77A7" w:rsidRPr="007C2F21" w14:paraId="6D296438" w14:textId="77777777" w:rsidTr="00BB77A7">
        <w:trPr>
          <w:cantSplit/>
          <w:tblHeader/>
          <w:jc w:val="center"/>
        </w:trPr>
        <w:tc>
          <w:tcPr>
            <w:tcW w:w="0" w:type="auto"/>
            <w:tcBorders>
              <w:top w:val="single" w:sz="4" w:space="0" w:color="000000"/>
              <w:bottom w:val="single" w:sz="4" w:space="0" w:color="000000"/>
            </w:tcBorders>
            <w:shd w:val="clear" w:color="auto" w:fill="auto"/>
          </w:tcPr>
          <w:p w14:paraId="46CBA594" w14:textId="77777777" w:rsidR="00BB77A7" w:rsidRPr="007C2F21" w:rsidRDefault="00BB77A7" w:rsidP="00BB77A7">
            <w:pPr>
              <w:pStyle w:val="TblHeadingCenter"/>
            </w:pPr>
            <w:r w:rsidRPr="007C2F21">
              <w:t>System Organ Class</w:t>
            </w:r>
          </w:p>
        </w:tc>
        <w:tc>
          <w:tcPr>
            <w:tcW w:w="0" w:type="auto"/>
            <w:tcBorders>
              <w:top w:val="single" w:sz="4" w:space="0" w:color="000000"/>
              <w:bottom w:val="single" w:sz="4" w:space="0" w:color="000000"/>
            </w:tcBorders>
            <w:shd w:val="clear" w:color="auto" w:fill="auto"/>
          </w:tcPr>
          <w:p w14:paraId="0D9C05DF" w14:textId="77777777" w:rsidR="00BB77A7" w:rsidRPr="007C2F21" w:rsidRDefault="00BB77A7" w:rsidP="00BB77A7">
            <w:pPr>
              <w:pStyle w:val="TblHeadingCenter"/>
            </w:pPr>
            <w:r w:rsidRPr="007C2F21">
              <w:t>Frequency</w:t>
            </w:r>
          </w:p>
        </w:tc>
        <w:tc>
          <w:tcPr>
            <w:tcW w:w="0" w:type="auto"/>
            <w:tcBorders>
              <w:top w:val="single" w:sz="4" w:space="0" w:color="000000"/>
              <w:bottom w:val="single" w:sz="4" w:space="0" w:color="000000"/>
            </w:tcBorders>
            <w:shd w:val="clear" w:color="auto" w:fill="auto"/>
          </w:tcPr>
          <w:p w14:paraId="3599ED17" w14:textId="77777777" w:rsidR="00BB77A7" w:rsidRPr="007C2F21" w:rsidRDefault="00BB77A7" w:rsidP="00BB77A7">
            <w:pPr>
              <w:pStyle w:val="TblHeadingCenter"/>
            </w:pPr>
            <w:r w:rsidRPr="007C2F21">
              <w:t>Adverse Reaction</w:t>
            </w:r>
          </w:p>
        </w:tc>
      </w:tr>
      <w:tr w:rsidR="00BB77A7" w:rsidRPr="007C2F21" w14:paraId="6E32849C" w14:textId="77777777" w:rsidTr="00BB77A7">
        <w:trPr>
          <w:cantSplit/>
          <w:trHeight w:val="863"/>
          <w:jc w:val="center"/>
        </w:trPr>
        <w:tc>
          <w:tcPr>
            <w:tcW w:w="0" w:type="auto"/>
            <w:tcBorders>
              <w:top w:val="single" w:sz="4" w:space="0" w:color="000000"/>
            </w:tcBorders>
            <w:shd w:val="clear" w:color="auto" w:fill="auto"/>
          </w:tcPr>
          <w:p w14:paraId="67F6A284" w14:textId="77777777" w:rsidR="00BB77A7" w:rsidRPr="007C2F21" w:rsidRDefault="00BB77A7" w:rsidP="00BB77A7">
            <w:pPr>
              <w:pStyle w:val="TblTextCenter"/>
            </w:pPr>
            <w:r w:rsidRPr="007C2F21">
              <w:t>Infections and infestations</w:t>
            </w:r>
          </w:p>
        </w:tc>
        <w:tc>
          <w:tcPr>
            <w:tcW w:w="0" w:type="auto"/>
            <w:tcBorders>
              <w:top w:val="single" w:sz="4" w:space="0" w:color="000000"/>
            </w:tcBorders>
            <w:shd w:val="clear" w:color="auto" w:fill="auto"/>
          </w:tcPr>
          <w:p w14:paraId="7BC58AA0" w14:textId="77777777" w:rsidR="00BB77A7" w:rsidRPr="007C2F21" w:rsidRDefault="00BB77A7" w:rsidP="00BB77A7">
            <w:pPr>
              <w:pStyle w:val="TblTextCenter"/>
            </w:pPr>
            <w:r w:rsidRPr="007C2F21">
              <w:t>Common</w:t>
            </w:r>
          </w:p>
        </w:tc>
        <w:tc>
          <w:tcPr>
            <w:tcW w:w="0" w:type="auto"/>
            <w:tcBorders>
              <w:top w:val="single" w:sz="4" w:space="0" w:color="000000"/>
            </w:tcBorders>
            <w:shd w:val="clear" w:color="auto" w:fill="auto"/>
          </w:tcPr>
          <w:p w14:paraId="646412CF" w14:textId="77777777" w:rsidR="00BB77A7" w:rsidRPr="007C2F21" w:rsidRDefault="00BB77A7" w:rsidP="00BB77A7">
            <w:pPr>
              <w:pStyle w:val="TblTextCenter"/>
            </w:pPr>
            <w:r w:rsidRPr="007C2F21">
              <w:t>Conjunctivitis (1.4%)</w:t>
            </w:r>
          </w:p>
        </w:tc>
      </w:tr>
      <w:tr w:rsidR="00BB77A7" w:rsidRPr="007C2F21" w14:paraId="6F8F593C" w14:textId="77777777" w:rsidTr="00BB77A7">
        <w:trPr>
          <w:cantSplit/>
          <w:trHeight w:val="863"/>
          <w:jc w:val="center"/>
        </w:trPr>
        <w:tc>
          <w:tcPr>
            <w:tcW w:w="0" w:type="auto"/>
            <w:tcBorders>
              <w:bottom w:val="single" w:sz="12" w:space="0" w:color="auto"/>
            </w:tcBorders>
            <w:shd w:val="clear" w:color="auto" w:fill="auto"/>
          </w:tcPr>
          <w:p w14:paraId="231646B7" w14:textId="77777777" w:rsidR="00BB77A7" w:rsidRPr="007C2F21" w:rsidRDefault="00BB77A7" w:rsidP="00BB77A7">
            <w:pPr>
              <w:pStyle w:val="TblTextCenter"/>
            </w:pPr>
            <w:r w:rsidRPr="007C2F21">
              <w:t>General disorders and administration site conditions</w:t>
            </w:r>
          </w:p>
        </w:tc>
        <w:tc>
          <w:tcPr>
            <w:tcW w:w="0" w:type="auto"/>
            <w:tcBorders>
              <w:bottom w:val="single" w:sz="12" w:space="0" w:color="auto"/>
            </w:tcBorders>
            <w:shd w:val="clear" w:color="auto" w:fill="auto"/>
          </w:tcPr>
          <w:p w14:paraId="28A39FA4" w14:textId="77777777" w:rsidR="00BB77A7" w:rsidRPr="007C2F21" w:rsidRDefault="00BB77A7" w:rsidP="00BB77A7">
            <w:pPr>
              <w:pStyle w:val="TblTextCenter"/>
            </w:pPr>
            <w:r w:rsidRPr="007C2F21">
              <w:t>Common</w:t>
            </w:r>
          </w:p>
        </w:tc>
        <w:tc>
          <w:tcPr>
            <w:tcW w:w="0" w:type="auto"/>
            <w:tcBorders>
              <w:bottom w:val="single" w:sz="12" w:space="0" w:color="auto"/>
            </w:tcBorders>
            <w:shd w:val="clear" w:color="auto" w:fill="auto"/>
          </w:tcPr>
          <w:p w14:paraId="28302328" w14:textId="77777777" w:rsidR="00BB77A7" w:rsidRPr="007C2F21" w:rsidRDefault="00BB77A7" w:rsidP="00BB77A7">
            <w:pPr>
              <w:pStyle w:val="TblTextCenter"/>
            </w:pPr>
            <w:r w:rsidRPr="007C2F21">
              <w:t>Injection site reaction (3.4%)</w:t>
            </w:r>
          </w:p>
          <w:p w14:paraId="59C1816F" w14:textId="77777777" w:rsidR="00BB77A7" w:rsidRPr="007C2F21" w:rsidRDefault="00BB77A7" w:rsidP="00BB77A7">
            <w:pPr>
              <w:pStyle w:val="TblTextCenter"/>
            </w:pPr>
            <w:r w:rsidRPr="007C2F21">
              <w:t>Injection site swelling (1.4%)</w:t>
            </w:r>
          </w:p>
        </w:tc>
      </w:tr>
    </w:tbl>
    <w:p w14:paraId="2E5459D5" w14:textId="16B35365" w:rsidR="005536F3" w:rsidRPr="007C2F21" w:rsidRDefault="00604D48" w:rsidP="005536F3">
      <w:pPr>
        <w:rPr>
          <w:color w:val="auto"/>
        </w:rPr>
      </w:pPr>
      <w:r w:rsidRPr="007C2F21">
        <w:rPr>
          <w:color w:val="auto"/>
        </w:rPr>
        <w:t>The safety profile of Dupixent through Week 52 was generally consistent with the safety profile observed at Week 24</w:t>
      </w:r>
      <w:r w:rsidR="00534F7F" w:rsidRPr="007C2F21">
        <w:rPr>
          <w:color w:val="auto"/>
        </w:rPr>
        <w:t>.</w:t>
      </w:r>
    </w:p>
    <w:p w14:paraId="50829E6B" w14:textId="77777777" w:rsidR="00477C82" w:rsidRPr="00E26ADF" w:rsidRDefault="00477C82" w:rsidP="004949E0">
      <w:pPr>
        <w:pStyle w:val="Heading3"/>
        <w:numPr>
          <w:ilvl w:val="0"/>
          <w:numId w:val="0"/>
        </w:numPr>
        <w:ind w:left="680" w:hanging="680"/>
        <w:rPr>
          <w:lang w:val="en-AU"/>
        </w:rPr>
      </w:pPr>
      <w:r w:rsidRPr="00E26ADF">
        <w:rPr>
          <w:lang w:val="en-AU"/>
        </w:rPr>
        <w:t>Description of selected adverse reactions:</w:t>
      </w:r>
    </w:p>
    <w:p w14:paraId="3E043E85" w14:textId="77777777" w:rsidR="00477C82" w:rsidRPr="00E26ADF" w:rsidRDefault="00477C82" w:rsidP="004949E0">
      <w:pPr>
        <w:pStyle w:val="Heading4"/>
        <w:numPr>
          <w:ilvl w:val="0"/>
          <w:numId w:val="0"/>
        </w:numPr>
        <w:ind w:left="862" w:hanging="862"/>
        <w:rPr>
          <w:u w:val="single"/>
          <w:lang w:val="en-AU"/>
        </w:rPr>
      </w:pPr>
      <w:r w:rsidRPr="00E26ADF">
        <w:rPr>
          <w:lang w:val="en-AU"/>
        </w:rPr>
        <w:t>Hypersensitivity</w:t>
      </w:r>
    </w:p>
    <w:p w14:paraId="0D474B0E" w14:textId="76E99735" w:rsidR="004662CB" w:rsidRDefault="0042044F" w:rsidP="008E3B63">
      <w:r w:rsidRPr="008E3B63">
        <w:rPr>
          <w:color w:val="auto"/>
        </w:rPr>
        <w:t xml:space="preserve">Hypersensitivity reactions, including anaphylaxis and </w:t>
      </w:r>
      <w:bookmarkStart w:id="16" w:name="_Hlk41029059"/>
      <w:r w:rsidRPr="008E3B63">
        <w:rPr>
          <w:color w:val="auto"/>
        </w:rPr>
        <w:t>serum sickness or serum sickness-like reactions</w:t>
      </w:r>
      <w:bookmarkEnd w:id="16"/>
      <w:r w:rsidRPr="008E3B63">
        <w:rPr>
          <w:color w:val="auto"/>
        </w:rPr>
        <w:t>, have been reported</w:t>
      </w:r>
      <w:r w:rsidRPr="008E3B63">
        <w:rPr>
          <w:strike/>
          <w:color w:val="auto"/>
        </w:rPr>
        <w:t xml:space="preserve"> </w:t>
      </w:r>
      <w:r w:rsidR="00477C82" w:rsidRPr="008E3B63">
        <w:rPr>
          <w:color w:val="auto"/>
        </w:rPr>
        <w:t>(</w:t>
      </w:r>
      <w:r w:rsidR="00477C82" w:rsidRPr="00E26ADF">
        <w:t xml:space="preserve">see </w:t>
      </w:r>
      <w:r w:rsidR="00187A1E" w:rsidRPr="00E26ADF">
        <w:t xml:space="preserve">Section </w:t>
      </w:r>
      <w:r w:rsidR="00187A1E" w:rsidRPr="00E26ADF">
        <w:rPr>
          <w:color w:val="0000FF"/>
        </w:rPr>
        <w:fldChar w:fldCharType="begin"/>
      </w:r>
      <w:r w:rsidR="00187A1E" w:rsidRPr="00E26ADF">
        <w:rPr>
          <w:color w:val="0000FF"/>
        </w:rPr>
        <w:instrText xml:space="preserve"> REF _Ref10723799 \r \h  \* MERGEFORMAT </w:instrText>
      </w:r>
      <w:r w:rsidR="00187A1E" w:rsidRPr="00E26ADF">
        <w:rPr>
          <w:color w:val="0000FF"/>
        </w:rPr>
      </w:r>
      <w:r w:rsidR="00187A1E" w:rsidRPr="00E26ADF">
        <w:rPr>
          <w:color w:val="0000FF"/>
        </w:rPr>
        <w:fldChar w:fldCharType="separate"/>
      </w:r>
      <w:r w:rsidR="00E123A5">
        <w:rPr>
          <w:color w:val="0000FF"/>
        </w:rPr>
        <w:t>4.3</w:t>
      </w:r>
      <w:r w:rsidR="00187A1E" w:rsidRPr="00E26ADF">
        <w:rPr>
          <w:color w:val="0000FF"/>
        </w:rPr>
        <w:fldChar w:fldCharType="end"/>
      </w:r>
      <w:r w:rsidR="00187A1E" w:rsidRPr="00E26ADF">
        <w:rPr>
          <w:color w:val="0000FF"/>
        </w:rPr>
        <w:t xml:space="preserve"> </w:t>
      </w:r>
      <w:r w:rsidR="002E7DE1" w:rsidRPr="00E26ADF">
        <w:t>-</w:t>
      </w:r>
      <w:r w:rsidR="00477C82" w:rsidRPr="00E26ADF">
        <w:t xml:space="preserve"> </w:t>
      </w:r>
      <w:r w:rsidR="00187A1E" w:rsidRPr="00E26ADF">
        <w:t>Contraindications</w:t>
      </w:r>
      <w:r w:rsidR="00477C82" w:rsidRPr="00E26ADF">
        <w:t xml:space="preserve"> and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E123A5">
        <w:rPr>
          <w:color w:val="0000FF"/>
        </w:rPr>
        <w:t>4.4</w:t>
      </w:r>
      <w:r w:rsidR="00187A1E" w:rsidRPr="00E26ADF">
        <w:rPr>
          <w:color w:val="0000FF"/>
        </w:rPr>
        <w:fldChar w:fldCharType="end"/>
      </w:r>
      <w:r w:rsidR="00477C82" w:rsidRPr="00E26ADF">
        <w:t xml:space="preserve"> </w:t>
      </w:r>
      <w:r w:rsidR="00187A1E" w:rsidRPr="00E26ADF">
        <w:t>Special Warnings and Precautions for Use</w:t>
      </w:r>
      <w:r w:rsidR="00477C82" w:rsidRPr="00E26ADF">
        <w:t>).</w:t>
      </w:r>
    </w:p>
    <w:p w14:paraId="25836896" w14:textId="27AE6FD3" w:rsidR="009A177F" w:rsidRPr="009A177F" w:rsidRDefault="009A177F" w:rsidP="009A177F">
      <w:pPr>
        <w:pStyle w:val="Heading4"/>
        <w:numPr>
          <w:ilvl w:val="0"/>
          <w:numId w:val="0"/>
        </w:numPr>
        <w:ind w:left="862" w:hanging="862"/>
        <w:rPr>
          <w:lang w:val="en-AU"/>
        </w:rPr>
      </w:pPr>
      <w:r w:rsidRPr="009A177F">
        <w:rPr>
          <w:lang w:val="en-AU"/>
        </w:rPr>
        <w:lastRenderedPageBreak/>
        <w:t>Conju</w:t>
      </w:r>
      <w:r>
        <w:rPr>
          <w:lang w:val="en-AU"/>
        </w:rPr>
        <w:t>n</w:t>
      </w:r>
      <w:r w:rsidRPr="009A177F">
        <w:rPr>
          <w:lang w:val="en-AU"/>
        </w:rPr>
        <w:t>ctivitis and keratitis related events</w:t>
      </w:r>
    </w:p>
    <w:p w14:paraId="1A8E4CE0" w14:textId="3D5006FA" w:rsidR="009A177F" w:rsidRDefault="009A177F" w:rsidP="009A177F">
      <w:r>
        <w:t>Conjunctivitis was the most frequently reported eye disorder. Most subjects with conjunctivitis recovered or were recovering during the treatment period. Among asthma patients the frequency of conjunctivitis was low and similar between Dupixent and placebo.</w:t>
      </w:r>
    </w:p>
    <w:p w14:paraId="636C3088" w14:textId="77777777" w:rsidR="00477C82" w:rsidRPr="00E26ADF" w:rsidRDefault="00477C82" w:rsidP="008E3B63">
      <w:pPr>
        <w:pStyle w:val="Heading4"/>
        <w:numPr>
          <w:ilvl w:val="0"/>
          <w:numId w:val="0"/>
        </w:numPr>
        <w:rPr>
          <w:lang w:val="en-AU"/>
        </w:rPr>
      </w:pPr>
      <w:r w:rsidRPr="00E26ADF">
        <w:rPr>
          <w:lang w:val="en-AU"/>
        </w:rPr>
        <w:t>Eosinophils</w:t>
      </w:r>
    </w:p>
    <w:p w14:paraId="488ECE29" w14:textId="77777777" w:rsidR="00477C82" w:rsidRPr="00E26ADF" w:rsidRDefault="00477C82" w:rsidP="004949E0">
      <w:r w:rsidRPr="00E26ADF">
        <w:t>Dupixent-treated patients had a greater mean initial increase from baseline in eosinophil count compared to patients treated with placebo. Eosinophil counts declined to near baseline levels during study treatment.</w:t>
      </w:r>
    </w:p>
    <w:p w14:paraId="2987E54B" w14:textId="2A684C77" w:rsidR="00477C82" w:rsidRDefault="00DC5327" w:rsidP="004949E0">
      <w:r w:rsidRPr="007C2F21">
        <w:t>Across all indi</w:t>
      </w:r>
      <w:r w:rsidR="003A6FB9" w:rsidRPr="007C2F21">
        <w:t>c</w:t>
      </w:r>
      <w:r w:rsidRPr="007C2F21">
        <w:t>ations,</w:t>
      </w:r>
      <w:r>
        <w:t xml:space="preserve"> t</w:t>
      </w:r>
      <w:r w:rsidR="00477C82" w:rsidRPr="00E26ADF">
        <w:t>he incidence of treatment-emergent eosinophilia (≥500 cells/</w:t>
      </w:r>
      <w:proofErr w:type="spellStart"/>
      <w:r w:rsidR="00477C82" w:rsidRPr="00E26ADF">
        <w:t>mcL</w:t>
      </w:r>
      <w:proofErr w:type="spellEnd"/>
      <w:r w:rsidR="00477C82" w:rsidRPr="00E26ADF">
        <w:t>) was similar in Dupixent and placebo groups. Treatment-emergent eosinophilia (≥5,000 cells/</w:t>
      </w:r>
      <w:proofErr w:type="spellStart"/>
      <w:r w:rsidR="00477C82" w:rsidRPr="00E26ADF">
        <w:t>mcL</w:t>
      </w:r>
      <w:proofErr w:type="spellEnd"/>
      <w:r w:rsidR="00477C82" w:rsidRPr="00E26ADF">
        <w:t>) was reported in &lt;2% of Dupixent-treated patients and &lt;0.5% in placebo-treated patients.</w:t>
      </w:r>
    </w:p>
    <w:p w14:paraId="2998B5DE" w14:textId="6549F6D0" w:rsidR="00E07E99" w:rsidRPr="007C2F21" w:rsidRDefault="00E07E99" w:rsidP="004949E0">
      <w:r w:rsidRPr="007C2F21">
        <w:t>Eosinophil counts continued to decline below baseline during the open-label extension study in asthma patients.</w:t>
      </w:r>
    </w:p>
    <w:p w14:paraId="579C4570" w14:textId="77777777" w:rsidR="00752046" w:rsidRPr="00E26ADF" w:rsidRDefault="00752046" w:rsidP="004949E0">
      <w:pPr>
        <w:pStyle w:val="Heading4"/>
        <w:numPr>
          <w:ilvl w:val="0"/>
          <w:numId w:val="0"/>
        </w:numPr>
        <w:ind w:left="862" w:hanging="862"/>
        <w:rPr>
          <w:lang w:val="en-AU"/>
        </w:rPr>
      </w:pPr>
      <w:r w:rsidRPr="00E26ADF">
        <w:rPr>
          <w:lang w:val="en-AU"/>
        </w:rPr>
        <w:t>Cardiovascular</w:t>
      </w:r>
    </w:p>
    <w:p w14:paraId="2120CD74" w14:textId="056FA239" w:rsidR="00752046" w:rsidRPr="00E26ADF" w:rsidRDefault="00752046" w:rsidP="00752046">
      <w:pPr>
        <w:pStyle w:val="C-BodyText"/>
        <w:rPr>
          <w:lang w:val="en-AU"/>
        </w:rPr>
      </w:pPr>
      <w:r w:rsidRPr="00E26ADF">
        <w:rPr>
          <w:lang w:val="en-AU"/>
        </w:rPr>
        <w:t xml:space="preserve">In the 1-year </w:t>
      </w:r>
      <w:proofErr w:type="gramStart"/>
      <w:r w:rsidRPr="00E26ADF">
        <w:rPr>
          <w:lang w:val="en-AU"/>
        </w:rPr>
        <w:t>placebo controlled</w:t>
      </w:r>
      <w:proofErr w:type="gramEnd"/>
      <w:r w:rsidRPr="00E26ADF">
        <w:rPr>
          <w:lang w:val="en-AU"/>
        </w:rPr>
        <w:t xml:space="preserve"> trial in subjects with asthma (Quest), cardiovascular thromboembolic events (cardiovascular deaths, non-fatal myocardial infarctions, and non-fatal strokes) were reported in 1 (0.2%) of the Dupixent 200 mg Q2W group, 4 (0.6%) of the Dupixent 300 mg Q2W group, and 2 (0.3%) of the placebo group. </w:t>
      </w:r>
    </w:p>
    <w:p w14:paraId="7129472C" w14:textId="339A4899" w:rsidR="00752046" w:rsidRPr="00E26ADF" w:rsidRDefault="00752046" w:rsidP="00180B67">
      <w:pPr>
        <w:pStyle w:val="C-BodyText"/>
        <w:rPr>
          <w:lang w:val="en-AU"/>
        </w:rPr>
      </w:pPr>
      <w:r w:rsidRPr="00E26ADF">
        <w:rPr>
          <w:lang w:val="en-AU"/>
        </w:rPr>
        <w:t xml:space="preserve">In the 1-year </w:t>
      </w:r>
      <w:proofErr w:type="gramStart"/>
      <w:r w:rsidRPr="00E26ADF">
        <w:rPr>
          <w:lang w:val="en-AU"/>
        </w:rPr>
        <w:t>placebo controlled</w:t>
      </w:r>
      <w:proofErr w:type="gramEnd"/>
      <w:r w:rsidRPr="00E26ADF">
        <w:rPr>
          <w:lang w:val="en-AU"/>
        </w:rPr>
        <w:t xml:space="preserve"> trial in subjects with atopic dermatitis (CHRONOS), cardiovascular thromboembolic events (cardiovascular deaths, non-fatal myocardial infarctions, and non-fatal strokes) were reported in 1 (0.9%) of the Dupixent + TCS 300 mg Q2W group, 0 (0.0%) of the Dupixent + TCS 300 mg QW group, and 1 (0.3%) of the placebo + TCS group.</w:t>
      </w:r>
    </w:p>
    <w:p w14:paraId="2D8570D1" w14:textId="77777777" w:rsidR="00477C82" w:rsidRPr="00E26ADF" w:rsidRDefault="00477C82" w:rsidP="004949E0">
      <w:pPr>
        <w:pStyle w:val="Heading4"/>
        <w:numPr>
          <w:ilvl w:val="0"/>
          <w:numId w:val="0"/>
        </w:numPr>
        <w:ind w:left="862" w:hanging="862"/>
        <w:rPr>
          <w:i w:val="0"/>
          <w:u w:val="single"/>
          <w:lang w:val="en-AU"/>
        </w:rPr>
      </w:pPr>
      <w:r w:rsidRPr="00E26ADF">
        <w:rPr>
          <w:lang w:val="en-AU"/>
        </w:rPr>
        <w:t>Overall Infections</w:t>
      </w:r>
    </w:p>
    <w:p w14:paraId="3598C1E8" w14:textId="3BF63D41" w:rsidR="00BB77A7" w:rsidRPr="007C2F21" w:rsidRDefault="00BB77A7" w:rsidP="004949E0">
      <w:r w:rsidRPr="007C2F21">
        <w:t>In atopic dermatitis, asthma, and CRSwNP, the rate of serious infections was similar between Dupixent and placebo-treated patients</w:t>
      </w:r>
      <w:r w:rsidR="007B1D9C" w:rsidRPr="007C2F21">
        <w:t>.</w:t>
      </w:r>
    </w:p>
    <w:p w14:paraId="26C8E9A1" w14:textId="754A11C6" w:rsidR="00D1125C" w:rsidRPr="00E26ADF" w:rsidRDefault="00477C82" w:rsidP="004949E0">
      <w:r w:rsidRPr="00E26ADF">
        <w:t>No increase was observed in the overall incidence of infections or serious infections with Dupixent compared to placebo in atopic dermatitis clinical studies. In the 16-week monotherapy clinical studies, serious infections were reported in 1.0% of patients treated with placebo and 0.5% of patients treated with Dupixent. In the 52-week CHRONOS study serious infections were reported in 0.6% of patients treated with placebo and 0.2% of patients treated with Dupixent.</w:t>
      </w:r>
    </w:p>
    <w:p w14:paraId="0C4F1C49" w14:textId="445F5EB0" w:rsidR="00D1125C" w:rsidRDefault="00D1125C" w:rsidP="004949E0">
      <w:r w:rsidRPr="00E26ADF">
        <w:t>No increase was observed in the overa</w:t>
      </w:r>
      <w:r w:rsidR="00180B67" w:rsidRPr="00E26ADF">
        <w:t xml:space="preserve">ll incidence of infections with </w:t>
      </w:r>
      <w:r w:rsidRPr="00E26ADF">
        <w:t xml:space="preserve">Dupixent compared to placebo in the safety pool for asthma clinical studies. In the 24-week safety pool, serious infections were reported in 1.0% of </w:t>
      </w:r>
      <w:r w:rsidR="004949E0" w:rsidRPr="00E26ADF">
        <w:t xml:space="preserve">patients treated with Dupixent </w:t>
      </w:r>
      <w:r w:rsidRPr="00E26ADF">
        <w:t xml:space="preserve">and 1.1% of patients treated with placebo.  In the 52-week QUEST study, serious infections were reported in 1.3% of patients treated with </w:t>
      </w:r>
      <w:r w:rsidR="006F27D9" w:rsidRPr="00E26ADF">
        <w:t>Dupixent</w:t>
      </w:r>
      <w:r w:rsidRPr="00E26ADF">
        <w:t xml:space="preserve"> and 1.4% of patients treated with placebo. </w:t>
      </w:r>
    </w:p>
    <w:p w14:paraId="19C05810" w14:textId="344B22C6" w:rsidR="00BB77A7" w:rsidRPr="007C2F21" w:rsidRDefault="00BB77A7" w:rsidP="004949E0">
      <w:r w:rsidRPr="007C2F21">
        <w:lastRenderedPageBreak/>
        <w:t>No increase was observed in the overall incidence of infections with Dupixent compared to placebo in the safety pool for CRSwNP clinical studies. In the 24-week safety pool, serious infections were reported in 0.7% of patients treated with Dupixent and 1.1% of patients treated with placebo. In the 52-week SINUS-52 study, serious infections were reported in 1.3% of patients treated with Dupixent and 1.3 % of patients treated with placebo.</w:t>
      </w:r>
    </w:p>
    <w:p w14:paraId="57CAF9DE" w14:textId="2DEBF6DC" w:rsidR="00477C82" w:rsidRPr="00E26ADF" w:rsidRDefault="00477C82" w:rsidP="004949E0">
      <w:pPr>
        <w:pStyle w:val="Heading4"/>
        <w:numPr>
          <w:ilvl w:val="0"/>
          <w:numId w:val="0"/>
        </w:numPr>
        <w:ind w:left="862" w:hanging="862"/>
        <w:rPr>
          <w:lang w:val="en-AU"/>
        </w:rPr>
      </w:pPr>
      <w:r w:rsidRPr="00E26ADF">
        <w:rPr>
          <w:lang w:val="en-AU"/>
        </w:rPr>
        <w:t>Immunogenicity</w:t>
      </w:r>
    </w:p>
    <w:p w14:paraId="20E0A9D1" w14:textId="77777777" w:rsidR="00477C82" w:rsidRPr="00E26ADF" w:rsidRDefault="00477C82" w:rsidP="004949E0">
      <w:r w:rsidRPr="00E26ADF">
        <w:t>As with all therapeutic proteins, there is a potential for immunogenicity with dupilumab.</w:t>
      </w:r>
    </w:p>
    <w:p w14:paraId="5D545DA9" w14:textId="6A3EC9AC" w:rsidR="00477C82" w:rsidRPr="007C2F21" w:rsidRDefault="00477C82" w:rsidP="004949E0">
      <w:r w:rsidRPr="00E26ADF">
        <w:t xml:space="preserve">Approximately </w:t>
      </w:r>
      <w:r w:rsidR="00845FD6" w:rsidRPr="007C2F21">
        <w:t>5</w:t>
      </w:r>
      <w:r w:rsidRPr="00E26ADF">
        <w:t>% of patients with atopic dermatitis</w:t>
      </w:r>
      <w:r w:rsidR="00845FD6" w:rsidRPr="007C2F21">
        <w:t>,</w:t>
      </w:r>
      <w:r w:rsidRPr="00E26ADF">
        <w:t xml:space="preserve"> </w:t>
      </w:r>
      <w:r w:rsidR="00845FD6">
        <w:t xml:space="preserve">asthma </w:t>
      </w:r>
      <w:r w:rsidR="00845FD6" w:rsidRPr="007C2F21">
        <w:t>or CRSwNP</w:t>
      </w:r>
      <w:r w:rsidRPr="007C2F21">
        <w:t xml:space="preserve"> </w:t>
      </w:r>
      <w:r w:rsidRPr="00E26ADF">
        <w:t xml:space="preserve">who received Dupixent 300 mg Q2W for 52 weeks developed </w:t>
      </w:r>
      <w:r w:rsidR="00DD696E" w:rsidRPr="00E26ADF">
        <w:t>anti-drug antibod</w:t>
      </w:r>
      <w:r w:rsidRPr="00E26ADF">
        <w:t>ies (ADA) to dupilumab; approximately 2% exhibited persistent ADA responses and approximately 2% had neutralizing antibodies</w:t>
      </w:r>
      <w:r w:rsidR="00180B67" w:rsidRPr="00E26ADF">
        <w:t>.</w:t>
      </w:r>
      <w:r w:rsidR="00845FD6">
        <w:t xml:space="preserve"> </w:t>
      </w:r>
      <w:r w:rsidR="00845FD6" w:rsidRPr="007C2F21">
        <w:t>Similar results were observed in p</w:t>
      </w:r>
      <w:r w:rsidR="00E54EBF" w:rsidRPr="007C2F21">
        <w:t>a</w:t>
      </w:r>
      <w:r w:rsidR="00845FD6" w:rsidRPr="007C2F21">
        <w:t>ediatric patients (6 to 11 years of age) with atopic dermatitis who received Dup</w:t>
      </w:r>
      <w:r w:rsidR="009D4DB8" w:rsidRPr="007C2F21">
        <w:t>i</w:t>
      </w:r>
      <w:r w:rsidR="00845FD6" w:rsidRPr="007C2F21">
        <w:t>xe</w:t>
      </w:r>
      <w:r w:rsidR="009D4DB8" w:rsidRPr="007C2F21">
        <w:t>n</w:t>
      </w:r>
      <w:r w:rsidR="00845FD6" w:rsidRPr="007C2F21">
        <w:t>t 200 mg Q2W or 300 mg Q4W for 16 weeks.</w:t>
      </w:r>
    </w:p>
    <w:p w14:paraId="372A0314" w14:textId="254D9629" w:rsidR="002529FB" w:rsidRPr="007C2F21" w:rsidRDefault="002529FB" w:rsidP="007C2F21">
      <w:r w:rsidRPr="007C2F21">
        <w:t xml:space="preserve">Approximately 16% of adolescent patients with atopic dermatitis who received Dupixent 300 mg or 200 mg Q2W for 16 weeks developed antibodies to dupilumab; approximately 3% exhibited persistent ADA responses, and approximately 5% had </w:t>
      </w:r>
      <w:proofErr w:type="spellStart"/>
      <w:r w:rsidRPr="007C2F21">
        <w:t>neutrali</w:t>
      </w:r>
      <w:r w:rsidR="00E54EBF" w:rsidRPr="007C2F21">
        <w:t>s</w:t>
      </w:r>
      <w:r w:rsidRPr="007C2F21">
        <w:t>ing</w:t>
      </w:r>
      <w:proofErr w:type="spellEnd"/>
      <w:r w:rsidRPr="007C2F21">
        <w:t xml:space="preserve"> antibodies.</w:t>
      </w:r>
    </w:p>
    <w:p w14:paraId="4D8C8659" w14:textId="77777777" w:rsidR="00477C82" w:rsidRPr="00E26ADF" w:rsidRDefault="00477C82" w:rsidP="004949E0">
      <w:r w:rsidRPr="00E26ADF">
        <w:t>Approximately 9% of patients with asthma who received Dupixent 200 mg Q2W for 52 weeks developed antibodies to dupilumab; approximately 4% exhibited persistent ADA responses and approximately 4% had neutralizing antibodies.</w:t>
      </w:r>
    </w:p>
    <w:p w14:paraId="2BE1C1F2" w14:textId="0424A0A0" w:rsidR="00477C82" w:rsidRPr="002529FB" w:rsidRDefault="00477C82" w:rsidP="004949E0">
      <w:pPr>
        <w:rPr>
          <w:color w:val="auto"/>
        </w:rPr>
      </w:pPr>
      <w:r w:rsidRPr="002529FB">
        <w:rPr>
          <w:color w:val="auto"/>
        </w:rPr>
        <w:t>Approximately 5% of patients</w:t>
      </w:r>
      <w:r w:rsidR="007D0207" w:rsidRPr="002529FB">
        <w:rPr>
          <w:color w:val="auto"/>
        </w:rPr>
        <w:t xml:space="preserve"> with atopic dermatitis or asthma</w:t>
      </w:r>
      <w:r w:rsidRPr="002529FB">
        <w:rPr>
          <w:color w:val="auto"/>
        </w:rPr>
        <w:t xml:space="preserve"> in the placebo groups in the </w:t>
      </w:r>
      <w:proofErr w:type="gramStart"/>
      <w:r w:rsidRPr="002529FB">
        <w:rPr>
          <w:color w:val="auto"/>
        </w:rPr>
        <w:t>52 week</w:t>
      </w:r>
      <w:proofErr w:type="gramEnd"/>
      <w:r w:rsidRPr="002529FB">
        <w:rPr>
          <w:color w:val="auto"/>
        </w:rPr>
        <w:t xml:space="preserve"> studies were positive for antibodies to Dupixent; approximately 2% exhibited persistent ADA responses and approximately 1% had neutralizing antibodies. </w:t>
      </w:r>
    </w:p>
    <w:p w14:paraId="05AC288B" w14:textId="0534FAC7" w:rsidR="00477C82" w:rsidRDefault="00467CCE" w:rsidP="004949E0">
      <w:r w:rsidRPr="00F64F0A">
        <w:t xml:space="preserve">Regardless of age or population, approximately 2 to 4% of patients in the placebo groups were positive for antibodies to Dupixent; approximately 2% exhibited persistent ADA responses and approximately 1% had </w:t>
      </w:r>
      <w:proofErr w:type="spellStart"/>
      <w:r w:rsidRPr="00F64F0A">
        <w:t>neutrali</w:t>
      </w:r>
      <w:r w:rsidR="00E54EBF" w:rsidRPr="00F64F0A">
        <w:t>s</w:t>
      </w:r>
      <w:r w:rsidRPr="00F64F0A">
        <w:t>ing</w:t>
      </w:r>
      <w:proofErr w:type="spellEnd"/>
      <w:r w:rsidRPr="00F64F0A">
        <w:t xml:space="preserve"> antibodies. </w:t>
      </w:r>
      <w:r w:rsidR="00477C82" w:rsidRPr="00E26ADF">
        <w:t xml:space="preserve">ADA responses were not generally associated with impact on Dupixent exposure, safety, or efficacy. Less than </w:t>
      </w:r>
      <w:r w:rsidR="00E0259B" w:rsidRPr="00F64F0A">
        <w:t>1</w:t>
      </w:r>
      <w:r w:rsidR="00477C82" w:rsidRPr="00E26ADF">
        <w:t xml:space="preserve">% </w:t>
      </w:r>
      <w:r w:rsidR="00477C82" w:rsidRPr="0050145A">
        <w:rPr>
          <w:color w:val="auto"/>
        </w:rPr>
        <w:t xml:space="preserve">of patients </w:t>
      </w:r>
      <w:r w:rsidR="007D0207" w:rsidRPr="0050145A">
        <w:rPr>
          <w:color w:val="auto"/>
        </w:rPr>
        <w:t xml:space="preserve">who received Dupixent 300 mg Q2W and less than 1% of patients who received Dupixent 200 mg Q2W </w:t>
      </w:r>
      <w:r w:rsidR="00477C82" w:rsidRPr="0050145A">
        <w:rPr>
          <w:color w:val="auto"/>
        </w:rPr>
        <w:t xml:space="preserve">exhibited </w:t>
      </w:r>
      <w:r w:rsidR="00477C82" w:rsidRPr="00E26ADF">
        <w:t xml:space="preserve">high titer ADA responses associated with reduced exposure and efficacy. In addition, there was one patient with serum sickness and one with serum sickness-like reaction (&lt;0.1%) associated with high ADA titers (see </w:t>
      </w:r>
      <w:r w:rsidR="00187A1E" w:rsidRPr="00E26ADF">
        <w:t xml:space="preserve">Section </w:t>
      </w:r>
      <w:r w:rsidR="00187A1E" w:rsidRPr="00E26ADF">
        <w:rPr>
          <w:color w:val="0000FF"/>
        </w:rPr>
        <w:fldChar w:fldCharType="begin"/>
      </w:r>
      <w:r w:rsidR="00187A1E" w:rsidRPr="00E26ADF">
        <w:rPr>
          <w:color w:val="0000FF"/>
        </w:rPr>
        <w:instrText xml:space="preserve"> REF _Ref10723598 \r \h  \* MERGEFORMAT </w:instrText>
      </w:r>
      <w:r w:rsidR="00187A1E" w:rsidRPr="00E26ADF">
        <w:rPr>
          <w:color w:val="0000FF"/>
        </w:rPr>
      </w:r>
      <w:r w:rsidR="00187A1E" w:rsidRPr="00E26ADF">
        <w:rPr>
          <w:color w:val="0000FF"/>
        </w:rPr>
        <w:fldChar w:fldCharType="separate"/>
      </w:r>
      <w:r w:rsidR="00E123A5">
        <w:rPr>
          <w:color w:val="0000FF"/>
        </w:rPr>
        <w:t>4.4</w:t>
      </w:r>
      <w:r w:rsidR="00187A1E" w:rsidRPr="00E26ADF">
        <w:rPr>
          <w:color w:val="0000FF"/>
        </w:rPr>
        <w:fldChar w:fldCharType="end"/>
      </w:r>
      <w:r w:rsidR="00187A1E" w:rsidRPr="00E26ADF">
        <w:t xml:space="preserve"> Special Warnings and Precautions for Use</w:t>
      </w:r>
      <w:r w:rsidR="00477C82" w:rsidRPr="00E26ADF">
        <w:t>)</w:t>
      </w:r>
      <w:r w:rsidR="00187A1E" w:rsidRPr="00E26ADF">
        <w:t>.</w:t>
      </w:r>
    </w:p>
    <w:p w14:paraId="60497AF4" w14:textId="04073321" w:rsidR="009E4A3A" w:rsidRDefault="004662CB" w:rsidP="004949E0">
      <w:r>
        <w:rPr>
          <w:i/>
          <w:iCs/>
          <w:color w:val="008000"/>
        </w:rPr>
        <w:t xml:space="preserve"> </w:t>
      </w:r>
      <w:r w:rsidR="00477C82" w:rsidRPr="00E26ADF">
        <w:t>The observed incidence of persistent ADA responses and neutralizing activity in the assay are highly dependent on the sensitivity and specificity of the assay used. Additionally, the observed incidence of antibody positivity in an assay may be influenced by several factors, including assay methodology, sample handling, timing of sample collection, concomitant medications, and underlying disease status of the individual patient. For these reasons, comparison of the incidence of antibodies to Dupixent with the incidence of antibodies to other products may be misleading.</w:t>
      </w:r>
    </w:p>
    <w:p w14:paraId="7A517719" w14:textId="30C876AA" w:rsidR="0042044F" w:rsidRPr="008E3B63" w:rsidRDefault="0042044F" w:rsidP="004949E0">
      <w:pPr>
        <w:rPr>
          <w:rFonts w:ascii="Arial" w:eastAsia="MS Gothic" w:hAnsi="Arial" w:cs="Arial"/>
          <w:b/>
          <w:color w:val="auto"/>
          <w:kern w:val="32"/>
          <w:sz w:val="22"/>
          <w:szCs w:val="26"/>
        </w:rPr>
      </w:pPr>
      <w:r w:rsidRPr="008E3B63">
        <w:rPr>
          <w:rFonts w:ascii="Arial" w:eastAsia="MS Gothic" w:hAnsi="Arial" w:cs="Arial"/>
          <w:b/>
          <w:color w:val="auto"/>
          <w:kern w:val="32"/>
          <w:sz w:val="22"/>
          <w:szCs w:val="26"/>
        </w:rPr>
        <w:t>Post Marketing Experience</w:t>
      </w:r>
    </w:p>
    <w:p w14:paraId="0600DCAB" w14:textId="32DEB8F1" w:rsidR="0042044F" w:rsidRDefault="0042044F" w:rsidP="006A0DB9">
      <w:pPr>
        <w:rPr>
          <w:color w:val="auto"/>
        </w:rPr>
      </w:pPr>
      <w:r w:rsidRPr="008E3B63">
        <w:rPr>
          <w:color w:val="auto"/>
        </w:rPr>
        <w:lastRenderedPageBreak/>
        <w:t xml:space="preserve">The following </w:t>
      </w:r>
      <w:r w:rsidR="009A177F">
        <w:rPr>
          <w:color w:val="auto"/>
        </w:rPr>
        <w:t xml:space="preserve">additional </w:t>
      </w:r>
      <w:r w:rsidRPr="008E3B63">
        <w:rPr>
          <w:color w:val="auto"/>
        </w:rPr>
        <w:t xml:space="preserve">adverse reactions have been reported during post-approval use of </w:t>
      </w:r>
      <w:r w:rsidR="006A0DB9" w:rsidRPr="008E3B63">
        <w:rPr>
          <w:color w:val="auto"/>
        </w:rPr>
        <w:t>Dupixent</w:t>
      </w:r>
      <w:r w:rsidRPr="008E3B63">
        <w:rPr>
          <w:color w:val="auto"/>
        </w:rPr>
        <w:t>. The adverse</w:t>
      </w:r>
      <w:r w:rsidR="006A0DB9" w:rsidRPr="008E3B63">
        <w:rPr>
          <w:color w:val="auto"/>
        </w:rPr>
        <w:t xml:space="preserve"> </w:t>
      </w:r>
      <w:r w:rsidRPr="008E3B63">
        <w:rPr>
          <w:color w:val="auto"/>
        </w:rPr>
        <w:t>reactions are derived from spontaneous reports and therefore, the frequency is “not known” (cannot be</w:t>
      </w:r>
      <w:r w:rsidR="006A0DB9" w:rsidRPr="008E3B63">
        <w:rPr>
          <w:color w:val="auto"/>
        </w:rPr>
        <w:t xml:space="preserve"> </w:t>
      </w:r>
      <w:r w:rsidRPr="008E3B63">
        <w:rPr>
          <w:color w:val="auto"/>
        </w:rPr>
        <w:t>estimated from the available data).</w:t>
      </w:r>
    </w:p>
    <w:p w14:paraId="2569C92C" w14:textId="0C381119" w:rsidR="009A177F" w:rsidRPr="008E3B63" w:rsidRDefault="009A177F" w:rsidP="006A0DB9">
      <w:pPr>
        <w:rPr>
          <w:color w:val="auto"/>
        </w:rPr>
      </w:pPr>
      <w:r w:rsidRPr="009A177F">
        <w:rPr>
          <w:i/>
          <w:iCs/>
          <w:color w:val="auto"/>
        </w:rPr>
        <w:t xml:space="preserve">Eye disorders: </w:t>
      </w:r>
      <w:r w:rsidRPr="009A177F">
        <w:rPr>
          <w:color w:val="auto"/>
        </w:rPr>
        <w:t>Keratitis, ulcerative keratitis</w:t>
      </w:r>
    </w:p>
    <w:p w14:paraId="233E9BFE" w14:textId="3CD1D69D" w:rsidR="0042044F" w:rsidRPr="008E3B63" w:rsidRDefault="0042044F" w:rsidP="006A0DB9">
      <w:pPr>
        <w:rPr>
          <w:i/>
          <w:iCs/>
          <w:color w:val="auto"/>
        </w:rPr>
      </w:pPr>
      <w:r w:rsidRPr="008E3B63">
        <w:rPr>
          <w:i/>
          <w:iCs/>
          <w:color w:val="auto"/>
        </w:rPr>
        <w:t>Immune system disorders:</w:t>
      </w:r>
      <w:r w:rsidR="006A0DB9" w:rsidRPr="008E3B63">
        <w:rPr>
          <w:i/>
          <w:iCs/>
          <w:color w:val="auto"/>
        </w:rPr>
        <w:t xml:space="preserve"> </w:t>
      </w:r>
      <w:r w:rsidRPr="008E3B63">
        <w:rPr>
          <w:color w:val="auto"/>
        </w:rPr>
        <w:t>Angioedema</w:t>
      </w:r>
    </w:p>
    <w:p w14:paraId="7ACE5CE6" w14:textId="311423B0" w:rsidR="009E79D0" w:rsidRDefault="0042044F" w:rsidP="008E3B63">
      <w:pPr>
        <w:rPr>
          <w:color w:val="auto"/>
        </w:rPr>
      </w:pPr>
      <w:r w:rsidRPr="008E3B63">
        <w:rPr>
          <w:i/>
          <w:iCs/>
          <w:color w:val="auto"/>
        </w:rPr>
        <w:t>Musculoskeletal and connective tissue disorders:</w:t>
      </w:r>
      <w:r w:rsidR="006A0DB9" w:rsidRPr="008E3B63">
        <w:rPr>
          <w:i/>
          <w:iCs/>
          <w:color w:val="auto"/>
        </w:rPr>
        <w:t xml:space="preserve"> </w:t>
      </w:r>
      <w:r w:rsidRPr="008E3B63">
        <w:rPr>
          <w:color w:val="auto"/>
        </w:rPr>
        <w:t>Arthralgia</w:t>
      </w:r>
    </w:p>
    <w:p w14:paraId="00C4EA73" w14:textId="77777777" w:rsidR="00630461" w:rsidRPr="00630461" w:rsidRDefault="00630461" w:rsidP="00630461">
      <w:pPr>
        <w:rPr>
          <w:color w:val="auto"/>
        </w:rPr>
      </w:pPr>
      <w:r w:rsidRPr="00630461">
        <w:rPr>
          <w:i/>
          <w:iCs/>
          <w:color w:val="auto"/>
        </w:rPr>
        <w:t xml:space="preserve">Skin and subcutaneous tissue disorders: </w:t>
      </w:r>
      <w:r w:rsidRPr="00630461">
        <w:rPr>
          <w:color w:val="auto"/>
        </w:rPr>
        <w:t>Facial rash</w:t>
      </w:r>
    </w:p>
    <w:p w14:paraId="7E2BCE62" w14:textId="3AC03F79" w:rsidR="00063A1E" w:rsidRPr="0050145A" w:rsidRDefault="00063A1E" w:rsidP="009B5405">
      <w:pPr>
        <w:pStyle w:val="Heading3"/>
        <w:numPr>
          <w:ilvl w:val="0"/>
          <w:numId w:val="0"/>
        </w:numPr>
        <w:ind w:left="680" w:hanging="680"/>
      </w:pPr>
      <w:r w:rsidRPr="0050145A">
        <w:t>Reporting Suspected Adverse Effects</w:t>
      </w:r>
      <w:r w:rsidRPr="0050145A">
        <w:cr/>
      </w:r>
    </w:p>
    <w:p w14:paraId="78B40DC0" w14:textId="77777777" w:rsidR="0050145A" w:rsidRDefault="009B5405" w:rsidP="009B5405">
      <w:pPr>
        <w:spacing w:before="0"/>
        <w:rPr>
          <w:color w:val="auto"/>
        </w:rPr>
      </w:pPr>
      <w:r w:rsidRPr="0050145A">
        <w:rPr>
          <w:color w:val="auto"/>
        </w:rPr>
        <w:t>Reporting suspected adverse reactions after registration of the medicinal product is important. It allows continued monitoring of the benefit-risk balance of the medicinal product. Healthcare professionals are asked to report any suspected adverse reactions at</w:t>
      </w:r>
    </w:p>
    <w:p w14:paraId="41F3E3C0" w14:textId="2AAD0070" w:rsidR="009B5405" w:rsidRPr="0050145A" w:rsidRDefault="00DA1FFB" w:rsidP="009B5405">
      <w:pPr>
        <w:spacing w:before="0"/>
        <w:rPr>
          <w:color w:val="auto"/>
        </w:rPr>
      </w:pPr>
      <w:hyperlink r:id="rId9" w:history="1">
        <w:r w:rsidR="0050145A" w:rsidRPr="005978A4">
          <w:rPr>
            <w:rStyle w:val="Hyperlink"/>
          </w:rPr>
          <w:t>www.tga.gov.au/reportingproblems</w:t>
        </w:r>
      </w:hyperlink>
    </w:p>
    <w:p w14:paraId="7DFEBC7A" w14:textId="77777777" w:rsidR="001A3992" w:rsidRPr="00E26ADF" w:rsidRDefault="001A3992" w:rsidP="004949E0">
      <w:pPr>
        <w:pStyle w:val="Heading2"/>
        <w:rPr>
          <w:lang w:val="en-AU"/>
        </w:rPr>
      </w:pPr>
      <w:r w:rsidRPr="00E26ADF">
        <w:rPr>
          <w:lang w:val="en-AU"/>
        </w:rPr>
        <w:t>Overdose</w:t>
      </w:r>
    </w:p>
    <w:p w14:paraId="291F6739" w14:textId="77777777" w:rsidR="00D03865" w:rsidRPr="00E26ADF" w:rsidRDefault="00D03865" w:rsidP="004949E0">
      <w:r w:rsidRPr="00E26ADF">
        <w:t>In clinical studies, no safety issues were identified with single intravenous doses up to 12 mg/kg.</w:t>
      </w:r>
    </w:p>
    <w:p w14:paraId="34C7B313" w14:textId="77777777" w:rsidR="00D03865" w:rsidRPr="00E26ADF" w:rsidRDefault="00D03865" w:rsidP="004949E0">
      <w:r w:rsidRPr="00E26ADF">
        <w:t>In the event of overdosage, monitor the patient for any signs or symptoms of adverse reactions and institute appropriate symptomatic treatment immediately.</w:t>
      </w:r>
    </w:p>
    <w:p w14:paraId="5AC25899" w14:textId="6C2DB0AC" w:rsidR="00A62F6D" w:rsidRPr="00E26ADF" w:rsidRDefault="00D03865" w:rsidP="004949E0">
      <w:r w:rsidRPr="00E26ADF">
        <w:t>For information on the management of overdose, contact the Australian Poison Information Centre on 131126.</w:t>
      </w:r>
    </w:p>
    <w:p w14:paraId="6CCDC1BE" w14:textId="77777777" w:rsidR="001A3992" w:rsidRPr="00E26ADF" w:rsidRDefault="001A3992" w:rsidP="004949E0">
      <w:pPr>
        <w:pStyle w:val="Heading1"/>
        <w:pageBreakBefore w:val="0"/>
        <w:rPr>
          <w:lang w:val="en-AU"/>
        </w:rPr>
      </w:pPr>
      <w:r w:rsidRPr="00E26ADF">
        <w:rPr>
          <w:lang w:val="en-AU"/>
        </w:rPr>
        <w:t>Pharmacological properties</w:t>
      </w:r>
    </w:p>
    <w:p w14:paraId="2C8E7FE6" w14:textId="77777777" w:rsidR="001A3992" w:rsidRPr="00E26ADF" w:rsidRDefault="001A3992" w:rsidP="004949E0">
      <w:pPr>
        <w:pStyle w:val="Heading2"/>
        <w:rPr>
          <w:lang w:val="en-AU"/>
        </w:rPr>
      </w:pPr>
      <w:r w:rsidRPr="00E26ADF">
        <w:rPr>
          <w:lang w:val="en-AU"/>
        </w:rPr>
        <w:t xml:space="preserve">Pharmacodynamic properties </w:t>
      </w:r>
    </w:p>
    <w:p w14:paraId="3B928833" w14:textId="77777777" w:rsidR="0024632F" w:rsidRPr="002C21E5" w:rsidRDefault="0024632F" w:rsidP="00B15694">
      <w:pPr>
        <w:pStyle w:val="Heading3"/>
        <w:numPr>
          <w:ilvl w:val="0"/>
          <w:numId w:val="0"/>
        </w:numPr>
      </w:pPr>
      <w:r w:rsidRPr="002C21E5">
        <w:t>Mechanism of action</w:t>
      </w:r>
    </w:p>
    <w:p w14:paraId="6B2EFC1C" w14:textId="3945B807" w:rsidR="00DA79D3" w:rsidRPr="00E26ADF" w:rsidRDefault="00DA79D3" w:rsidP="004949E0">
      <w:r w:rsidRPr="00E26ADF">
        <w:t xml:space="preserve">Dupixent is a recombinant human IgG4 monoclonal antibody that inhibits interleukin-4 and interleukin-13 </w:t>
      </w:r>
      <w:proofErr w:type="spellStart"/>
      <w:r w:rsidR="00E26ADF" w:rsidRPr="00E26ADF">
        <w:t>signalling</w:t>
      </w:r>
      <w:proofErr w:type="spellEnd"/>
      <w:r w:rsidRPr="00E26ADF">
        <w:t xml:space="preserve"> by specifically binding to the IL-4Rα subunit shared by the IL-4 and IL-13 receptor complexes. Dupixent inhibits IL-4 </w:t>
      </w:r>
      <w:proofErr w:type="spellStart"/>
      <w:r w:rsidR="00E26ADF" w:rsidRPr="00E26ADF">
        <w:t>signalling</w:t>
      </w:r>
      <w:proofErr w:type="spellEnd"/>
      <w:r w:rsidRPr="00E26ADF">
        <w:t xml:space="preserve"> via the Type I receptor (IL-4Rα/</w:t>
      </w:r>
      <w:proofErr w:type="spellStart"/>
      <w:r w:rsidRPr="00E26ADF">
        <w:t>γc</w:t>
      </w:r>
      <w:proofErr w:type="spellEnd"/>
      <w:r w:rsidRPr="00E26ADF">
        <w:t xml:space="preserve">), and both IL-4 and IL-13 </w:t>
      </w:r>
      <w:proofErr w:type="spellStart"/>
      <w:r w:rsidR="00E26ADF" w:rsidRPr="00E26ADF">
        <w:t>signalling</w:t>
      </w:r>
      <w:proofErr w:type="spellEnd"/>
      <w:r w:rsidRPr="00E26ADF">
        <w:t xml:space="preserve"> through the Type II receptor (IL-4Rα/IL-13Rα).</w:t>
      </w:r>
    </w:p>
    <w:p w14:paraId="4D26367B" w14:textId="04732D69" w:rsidR="005024C1" w:rsidRPr="00E26ADF" w:rsidRDefault="00DA79D3" w:rsidP="004949E0">
      <w:r w:rsidRPr="00E26ADF">
        <w:t>IL-4 and IL-13 are key type 2 (including Th2) cytoki</w:t>
      </w:r>
      <w:r w:rsidR="002E46C0" w:rsidRPr="00E26ADF">
        <w:t>nes involved in atopic disease.</w:t>
      </w:r>
    </w:p>
    <w:p w14:paraId="2F28DC0A" w14:textId="0923364F" w:rsidR="005024C1" w:rsidRPr="00E26ADF" w:rsidRDefault="00DA79D3" w:rsidP="004949E0">
      <w:r w:rsidRPr="00E26ADF">
        <w:t xml:space="preserve">Type 2 inflammation plays an important role in the pathogenesis of multiple atopic conditions including asthma, where it contributes to airflow limitation and increases risk of exacerbations. IL-4 and IL-13 act as major drivers of type 2 inflammation by activating multiple cell types (e.g., mast cells, lymphocytes, eosinophils, neutrophils, macrophages) and </w:t>
      </w:r>
      <w:r w:rsidRPr="00E26ADF">
        <w:lastRenderedPageBreak/>
        <w:t xml:space="preserve">inducing multiple mediators (e.g., </w:t>
      </w:r>
      <w:proofErr w:type="spellStart"/>
      <w:r w:rsidRPr="00E26ADF">
        <w:t>IgE</w:t>
      </w:r>
      <w:proofErr w:type="spellEnd"/>
      <w:r w:rsidRPr="00E26ADF">
        <w:t xml:space="preserve">, histamine, eicosanoids, leukotrienes, </w:t>
      </w:r>
      <w:proofErr w:type="gramStart"/>
      <w:r w:rsidRPr="00E26ADF">
        <w:t>chemokines</w:t>
      </w:r>
      <w:proofErr w:type="gramEnd"/>
      <w:r w:rsidRPr="00E26ADF">
        <w:t xml:space="preserve"> and cytokines, including </w:t>
      </w:r>
      <w:proofErr w:type="spellStart"/>
      <w:r w:rsidRPr="00E26ADF">
        <w:t>eotaxin</w:t>
      </w:r>
      <w:proofErr w:type="spellEnd"/>
      <w:r w:rsidRPr="00E26ADF">
        <w:t xml:space="preserve">/CCL11, TARC/CCL17, and IL-5) involved in Type 2 inflammation. Blocking the IL-4/IL-13 pathway with dupilumab in patients decreases many of these markers of Type 2 inflammation, including </w:t>
      </w:r>
      <w:proofErr w:type="spellStart"/>
      <w:r w:rsidRPr="00E26ADF">
        <w:t>IgE</w:t>
      </w:r>
      <w:proofErr w:type="spellEnd"/>
      <w:r w:rsidRPr="00E26ADF">
        <w:t xml:space="preserve">, </w:t>
      </w:r>
      <w:proofErr w:type="spellStart"/>
      <w:r w:rsidRPr="00E26ADF">
        <w:t>periostin</w:t>
      </w:r>
      <w:proofErr w:type="spellEnd"/>
      <w:r w:rsidRPr="00E26ADF">
        <w:t>, and multiple proinflammatory cytokines and chemokines (</w:t>
      </w:r>
      <w:proofErr w:type="gramStart"/>
      <w:r w:rsidRPr="00E26ADF">
        <w:t>e.g.</w:t>
      </w:r>
      <w:proofErr w:type="gramEnd"/>
      <w:r w:rsidRPr="00E26ADF">
        <w:t xml:space="preserve"> </w:t>
      </w:r>
      <w:proofErr w:type="spellStart"/>
      <w:r w:rsidRPr="00E26ADF">
        <w:t>eotaxin</w:t>
      </w:r>
      <w:proofErr w:type="spellEnd"/>
      <w:r w:rsidRPr="00E26ADF">
        <w:t>, TARC), as well as fractional exhaled nitric oxide (</w:t>
      </w:r>
      <w:proofErr w:type="spellStart"/>
      <w:r w:rsidRPr="00E26ADF">
        <w:t>FeNO</w:t>
      </w:r>
      <w:proofErr w:type="spellEnd"/>
      <w:r w:rsidRPr="00E26ADF">
        <w:t xml:space="preserve">), a marker of lung inflammation. Blocking the IL-4/IL-13 pathway with dupilumab in </w:t>
      </w:r>
      <w:proofErr w:type="spellStart"/>
      <w:r w:rsidRPr="00E26ADF">
        <w:t>humani</w:t>
      </w:r>
      <w:r w:rsidR="00AB1085" w:rsidRPr="00F64F0A">
        <w:t>s</w:t>
      </w:r>
      <w:r w:rsidRPr="00E26ADF">
        <w:t>ed</w:t>
      </w:r>
      <w:proofErr w:type="spellEnd"/>
      <w:r w:rsidRPr="00E26ADF">
        <w:t xml:space="preserve"> animal models has been shown to prevent the downstream actions of these cytokines and chemokines, including goblet cell hyperplasia, airway smooth muscle hyperreactivity, eosinophilic lung inflammation, as well as other lung inflammatory processes, while also preventing lung function impairment; the decrease in eosinophilic lung inflammation occurs despite the presence of normal or increased blood eosinophil levels.</w:t>
      </w:r>
    </w:p>
    <w:p w14:paraId="06B7264B" w14:textId="047A5D6A" w:rsidR="00DA79D3" w:rsidRPr="00E26ADF" w:rsidRDefault="004949E0" w:rsidP="004949E0">
      <w:pPr>
        <w:pStyle w:val="Heading3"/>
        <w:numPr>
          <w:ilvl w:val="0"/>
          <w:numId w:val="0"/>
        </w:numPr>
        <w:ind w:left="680" w:hanging="680"/>
        <w:rPr>
          <w:lang w:val="en-AU"/>
        </w:rPr>
      </w:pPr>
      <w:r w:rsidRPr="00E26ADF">
        <w:rPr>
          <w:lang w:val="en-AU"/>
        </w:rPr>
        <w:t>P</w:t>
      </w:r>
      <w:r w:rsidR="00DA79D3" w:rsidRPr="00E26ADF">
        <w:rPr>
          <w:lang w:val="en-AU"/>
        </w:rPr>
        <w:t>harmacodynamic Effects</w:t>
      </w:r>
    </w:p>
    <w:p w14:paraId="3B44BB6D" w14:textId="77777777" w:rsidR="00DA79D3" w:rsidRPr="00E26ADF" w:rsidRDefault="00DA79D3" w:rsidP="004949E0">
      <w:pPr>
        <w:pStyle w:val="Heading4"/>
        <w:numPr>
          <w:ilvl w:val="0"/>
          <w:numId w:val="0"/>
        </w:numPr>
        <w:ind w:left="862" w:hanging="862"/>
        <w:rPr>
          <w:lang w:val="en-AU"/>
        </w:rPr>
      </w:pPr>
      <w:r w:rsidRPr="00E26ADF">
        <w:rPr>
          <w:lang w:val="en-AU"/>
        </w:rPr>
        <w:t>Atopic dermatitis</w:t>
      </w:r>
    </w:p>
    <w:p w14:paraId="56D71691" w14:textId="4932015F" w:rsidR="00DA79D3" w:rsidRPr="00E26ADF" w:rsidRDefault="00DA79D3" w:rsidP="004949E0">
      <w:r w:rsidRPr="00E26ADF">
        <w:t xml:space="preserve">In clinical trials </w:t>
      </w:r>
      <w:r w:rsidR="00A67CFF" w:rsidRPr="00E26ADF">
        <w:t>involving patients with</w:t>
      </w:r>
      <w:r w:rsidRPr="00E26ADF">
        <w:t xml:space="preserve"> atopic dermatitis, treatment with Dupixent was associated with decreases from baseline in concentrations of type 2-associated biomarkers, such as thymus and activation regulated chemokine (TARC/CCL17), total serum </w:t>
      </w:r>
      <w:proofErr w:type="spellStart"/>
      <w:r w:rsidRPr="00E26ADF">
        <w:t>IgE</w:t>
      </w:r>
      <w:proofErr w:type="spellEnd"/>
      <w:r w:rsidRPr="00E26ADF">
        <w:t xml:space="preserve"> and allergen-specific </w:t>
      </w:r>
      <w:proofErr w:type="spellStart"/>
      <w:r w:rsidRPr="00E26ADF">
        <w:t>IgE</w:t>
      </w:r>
      <w:proofErr w:type="spellEnd"/>
      <w:r w:rsidRPr="00E26ADF">
        <w:t xml:space="preserve"> in serum. A reduction of lactate dehydrogenase (LDH), a biomarker associated with AD disease activity and severity, was observed with Dupixent treatment.</w:t>
      </w:r>
    </w:p>
    <w:p w14:paraId="1489ADF1" w14:textId="26E721BC" w:rsidR="00DA79D3" w:rsidRPr="00E26ADF" w:rsidRDefault="00DA79D3" w:rsidP="004949E0">
      <w:r w:rsidRPr="00E26ADF">
        <w:t xml:space="preserve">Dupixent suppressed TARC relative to placebo as early as week 2, with a trend of continued decline to a maximal and sustained suppression by Week 12.  The majority of patients treated with Dupixent in CHRONOS (87.0% and 84.9% of patients in the Dupixent 300 mg every </w:t>
      </w:r>
      <w:proofErr w:type="gramStart"/>
      <w:r w:rsidRPr="00E26ADF">
        <w:t>two week</w:t>
      </w:r>
      <w:proofErr w:type="gramEnd"/>
      <w:r w:rsidRPr="00E26ADF">
        <w:t xml:space="preserve"> dosing (Q2W) and 300 mg weekly dosing (QW), respectively) achieved </w:t>
      </w:r>
      <w:proofErr w:type="spellStart"/>
      <w:r w:rsidRPr="00E26ADF">
        <w:t>normali</w:t>
      </w:r>
      <w:r w:rsidR="00AB1085" w:rsidRPr="00F64F0A">
        <w:t>s</w:t>
      </w:r>
      <w:r w:rsidRPr="00E26ADF">
        <w:t>ed</w:t>
      </w:r>
      <w:proofErr w:type="spellEnd"/>
      <w:r w:rsidRPr="00E26ADF">
        <w:t xml:space="preserve"> TARC levels compared to 20.0% in the placebo group at week 52. </w:t>
      </w:r>
    </w:p>
    <w:p w14:paraId="00E2B44C" w14:textId="0C05E325" w:rsidR="00DA79D3" w:rsidRPr="00E26ADF" w:rsidRDefault="00DA79D3" w:rsidP="004949E0">
      <w:r w:rsidRPr="00E26ADF">
        <w:t xml:space="preserve">Total </w:t>
      </w:r>
      <w:proofErr w:type="spellStart"/>
      <w:r w:rsidRPr="00E26ADF">
        <w:t>IgE</w:t>
      </w:r>
      <w:proofErr w:type="spellEnd"/>
      <w:r w:rsidRPr="00E26ADF">
        <w:t xml:space="preserve"> was reduced -74.8% and -73.9% by Week 52 (median change from baseline) with Dupixent 300 mg Q2W and 300 mg QW, respectively compared to -0% in the placebo group. Similar trends were observed for allergen specific </w:t>
      </w:r>
      <w:proofErr w:type="spellStart"/>
      <w:r w:rsidRPr="00E26ADF">
        <w:t>IgEs</w:t>
      </w:r>
      <w:proofErr w:type="spellEnd"/>
      <w:r w:rsidRPr="00E26ADF">
        <w:t xml:space="preserve">. After 52 weeks of treatment, total </w:t>
      </w:r>
      <w:proofErr w:type="spellStart"/>
      <w:r w:rsidRPr="00E26ADF">
        <w:t>IgE</w:t>
      </w:r>
      <w:proofErr w:type="spellEnd"/>
      <w:r w:rsidRPr="00E26ADF">
        <w:t xml:space="preserve"> was </w:t>
      </w:r>
      <w:proofErr w:type="spellStart"/>
      <w:r w:rsidRPr="00E26ADF">
        <w:t>normali</w:t>
      </w:r>
      <w:r w:rsidR="00AB1085" w:rsidRPr="003F089D">
        <w:t>s</w:t>
      </w:r>
      <w:r w:rsidRPr="00E26ADF">
        <w:t>ed</w:t>
      </w:r>
      <w:proofErr w:type="spellEnd"/>
      <w:r w:rsidRPr="00E26ADF">
        <w:t xml:space="preserve"> in 11.7% and 15.9% of patients receiving Dupixent 300 mg Q2W and 300 mg QW, respectively, compared to 4.4% in receiving placebo.  Similar trends were observed with </w:t>
      </w:r>
      <w:proofErr w:type="gramStart"/>
      <w:r w:rsidRPr="00E26ADF">
        <w:t>antigen-specific</w:t>
      </w:r>
      <w:proofErr w:type="gramEnd"/>
      <w:r w:rsidRPr="00E26ADF">
        <w:t xml:space="preserve"> </w:t>
      </w:r>
      <w:proofErr w:type="spellStart"/>
      <w:r w:rsidRPr="00E26ADF">
        <w:t>IgEs</w:t>
      </w:r>
      <w:proofErr w:type="spellEnd"/>
      <w:r w:rsidRPr="00E26ADF">
        <w:t xml:space="preserve"> such as those against S. aureus specific enterotoxin A, grass and tree allergens.</w:t>
      </w:r>
    </w:p>
    <w:p w14:paraId="142B6E80" w14:textId="77777777" w:rsidR="00DA79D3" w:rsidRPr="00E26ADF" w:rsidRDefault="00DA79D3" w:rsidP="004949E0">
      <w:pPr>
        <w:pStyle w:val="Heading4"/>
        <w:numPr>
          <w:ilvl w:val="0"/>
          <w:numId w:val="0"/>
        </w:numPr>
        <w:ind w:left="862" w:hanging="862"/>
        <w:rPr>
          <w:lang w:val="en-AU"/>
        </w:rPr>
      </w:pPr>
      <w:r w:rsidRPr="00E26ADF">
        <w:rPr>
          <w:lang w:val="en-AU"/>
        </w:rPr>
        <w:t>Asthma</w:t>
      </w:r>
    </w:p>
    <w:p w14:paraId="67FB1EAF" w14:textId="039F8F92" w:rsidR="00DA79D3" w:rsidRDefault="00DA79D3" w:rsidP="00DA79D3">
      <w:r w:rsidRPr="00E26ADF">
        <w:t xml:space="preserve">Consistent with inhibition of IL-4 and IL-13 signaling, dupilumab treatment markedly decreased </w:t>
      </w:r>
      <w:proofErr w:type="spellStart"/>
      <w:r w:rsidRPr="00E26ADF">
        <w:t>FeNO</w:t>
      </w:r>
      <w:proofErr w:type="spellEnd"/>
      <w:r w:rsidRPr="00E26ADF">
        <w:t xml:space="preserve"> and circulating concentrations of eotaxin-3, total </w:t>
      </w:r>
      <w:proofErr w:type="spellStart"/>
      <w:r w:rsidRPr="00E26ADF">
        <w:t>IgE</w:t>
      </w:r>
      <w:proofErr w:type="spellEnd"/>
      <w:r w:rsidRPr="00E26ADF">
        <w:t xml:space="preserve">, allergen specific </w:t>
      </w:r>
      <w:proofErr w:type="spellStart"/>
      <w:r w:rsidRPr="00E26ADF">
        <w:t>IgE</w:t>
      </w:r>
      <w:proofErr w:type="spellEnd"/>
      <w:r w:rsidRPr="00E26ADF">
        <w:t xml:space="preserve">, TARC, and </w:t>
      </w:r>
      <w:proofErr w:type="spellStart"/>
      <w:r w:rsidRPr="00E26ADF">
        <w:t>periostin</w:t>
      </w:r>
      <w:proofErr w:type="spellEnd"/>
      <w:r w:rsidRPr="00E26ADF">
        <w:t xml:space="preserve"> in asthma subjects relative to placebo. These reductions in biomarkers of inflammation were comparable for the 200 mg Q2W and 300 mg Q2W regimens. These markers were near maximal suppression after 2 weeks of treatment, except for </w:t>
      </w:r>
      <w:proofErr w:type="spellStart"/>
      <w:r w:rsidRPr="00E26ADF">
        <w:t>IgE</w:t>
      </w:r>
      <w:proofErr w:type="spellEnd"/>
      <w:r w:rsidRPr="00E26ADF">
        <w:t xml:space="preserve"> which declined more slowly. These effects were sustained throughout treatment.</w:t>
      </w:r>
    </w:p>
    <w:p w14:paraId="1B53887E" w14:textId="43A912D2" w:rsidR="00467CCE" w:rsidRPr="00F64F0A" w:rsidRDefault="00467CCE" w:rsidP="00467CCE">
      <w:pPr>
        <w:pStyle w:val="Heading4"/>
        <w:numPr>
          <w:ilvl w:val="0"/>
          <w:numId w:val="0"/>
        </w:numPr>
        <w:ind w:left="862" w:hanging="862"/>
      </w:pPr>
      <w:r w:rsidRPr="00F64F0A">
        <w:lastRenderedPageBreak/>
        <w:t>CRSwNP</w:t>
      </w:r>
    </w:p>
    <w:p w14:paraId="4843E26C" w14:textId="48C7A583" w:rsidR="00467CCE" w:rsidRPr="00F64F0A" w:rsidRDefault="00467CCE" w:rsidP="00467CCE">
      <w:pPr>
        <w:rPr>
          <w:color w:val="auto"/>
        </w:rPr>
      </w:pPr>
      <w:r w:rsidRPr="00F64F0A">
        <w:rPr>
          <w:color w:val="auto"/>
        </w:rPr>
        <w:t>Among CRSwNP subjects, urinary LTE4 (leukotriene E4), a marker associated with mast cell, basophil, and eosinophil activation was also suppressed by dupilumab treatment.</w:t>
      </w:r>
    </w:p>
    <w:p w14:paraId="7F7FE65D" w14:textId="77777777" w:rsidR="001A3992" w:rsidRPr="00E26ADF" w:rsidRDefault="001A3992" w:rsidP="004949E0">
      <w:pPr>
        <w:pStyle w:val="Heading3"/>
        <w:numPr>
          <w:ilvl w:val="0"/>
          <w:numId w:val="0"/>
        </w:numPr>
        <w:ind w:left="680" w:hanging="680"/>
        <w:rPr>
          <w:lang w:val="en-AU"/>
        </w:rPr>
      </w:pPr>
      <w:r w:rsidRPr="00E26ADF">
        <w:rPr>
          <w:lang w:val="en-AU"/>
        </w:rPr>
        <w:t>Clinical trials</w:t>
      </w:r>
    </w:p>
    <w:p w14:paraId="04841707" w14:textId="1A39BE42" w:rsidR="00DA79D3" w:rsidRPr="00E26ADF" w:rsidRDefault="00DA79D3" w:rsidP="004949E0">
      <w:pPr>
        <w:pStyle w:val="Heading4"/>
        <w:numPr>
          <w:ilvl w:val="0"/>
          <w:numId w:val="0"/>
        </w:numPr>
        <w:ind w:left="862" w:hanging="862"/>
        <w:rPr>
          <w:lang w:val="en-AU"/>
        </w:rPr>
      </w:pPr>
      <w:r w:rsidRPr="00E26ADF">
        <w:rPr>
          <w:lang w:val="en-AU"/>
        </w:rPr>
        <w:t>Atopic derm</w:t>
      </w:r>
      <w:r w:rsidRPr="0050145A">
        <w:rPr>
          <w:lang w:val="en-AU"/>
        </w:rPr>
        <w:t>atitis</w:t>
      </w:r>
      <w:r w:rsidR="00234110" w:rsidRPr="0050145A">
        <w:rPr>
          <w:lang w:val="en-AU"/>
        </w:rPr>
        <w:t xml:space="preserve"> - Adults</w:t>
      </w:r>
    </w:p>
    <w:p w14:paraId="5A741E2A" w14:textId="58E7BE9C" w:rsidR="00DA79D3" w:rsidRPr="00E26ADF" w:rsidRDefault="00DA79D3" w:rsidP="00DA79D3">
      <w:r w:rsidRPr="00E26ADF">
        <w:t xml:space="preserve">The efficacy and safety of Dupixent as monotherapy and with concomitant topical corticosteroids (TCS) were evaluated in three pivotal </w:t>
      </w:r>
      <w:proofErr w:type="spellStart"/>
      <w:r w:rsidRPr="00E26ADF">
        <w:t>randomi</w:t>
      </w:r>
      <w:r w:rsidR="002C171C" w:rsidRPr="00F64F0A">
        <w:t>s</w:t>
      </w:r>
      <w:r w:rsidRPr="00E26ADF">
        <w:t>ed</w:t>
      </w:r>
      <w:proofErr w:type="spellEnd"/>
      <w:r w:rsidRPr="00E26ADF">
        <w:t>, double-blind, placebo-controlled studies, Study 1334, (SOLO 1), Study 1416 (SOLO 2), and Study 1224 (CHRONOS) 2119 patients 18 years</w:t>
      </w:r>
      <w:r w:rsidR="001250DD">
        <w:t xml:space="preserve"> </w:t>
      </w:r>
      <w:r w:rsidRPr="00E26ADF">
        <w:t>of age and older with moderate to severe atopic dermatitis (AD) defined by Investigator’s Global Assessment (IGA) score ≥3, an Eczema Area and Severity Index (EASI) score ≥16, and a minimum body surface area (BSA) involvement of ≥10%. Eligible patients enrolled into the three studies had previous inadequate response to topical medication.</w:t>
      </w:r>
    </w:p>
    <w:p w14:paraId="33B61B0F" w14:textId="77777777" w:rsidR="00DA79D3" w:rsidRPr="00E26ADF" w:rsidRDefault="00DA79D3" w:rsidP="00DA79D3">
      <w:r w:rsidRPr="00E26ADF">
        <w:t xml:space="preserve">In all three studies, patients received </w:t>
      </w:r>
    </w:p>
    <w:p w14:paraId="6C38D435" w14:textId="059C4647" w:rsidR="00DA79D3" w:rsidRPr="00E26ADF" w:rsidRDefault="00DA79D3" w:rsidP="00DA79D3">
      <w:pPr>
        <w:pStyle w:val="ListNumbered"/>
      </w:pPr>
      <w:r w:rsidRPr="00E26ADF">
        <w:t>an initial dose of 600 mg Dupixent (two 300 mg injections) on day 1, followed by 300 mg once every other week (Q2W</w:t>
      </w:r>
      <w:proofErr w:type="gramStart"/>
      <w:r w:rsidRPr="00E26ADF">
        <w:t>);</w:t>
      </w:r>
      <w:proofErr w:type="gramEnd"/>
      <w:r w:rsidRPr="00E26ADF">
        <w:t xml:space="preserve"> </w:t>
      </w:r>
    </w:p>
    <w:p w14:paraId="5B31D336" w14:textId="5740C485" w:rsidR="00DA79D3" w:rsidRPr="00E26ADF" w:rsidRDefault="00DA79D3" w:rsidP="00DA79D3">
      <w:pPr>
        <w:pStyle w:val="ListNumbered"/>
      </w:pPr>
      <w:r w:rsidRPr="00E26ADF">
        <w:t xml:space="preserve">an initial dose of 600 mg Dupixent on day 1, followed by 300 mg once weekly (QW); or </w:t>
      </w:r>
    </w:p>
    <w:p w14:paraId="2180B66E" w14:textId="6ABFFB07" w:rsidR="00DA79D3" w:rsidRPr="00E26ADF" w:rsidRDefault="00DA79D3" w:rsidP="00DA79D3">
      <w:pPr>
        <w:pStyle w:val="ListNumbered"/>
      </w:pPr>
      <w:r w:rsidRPr="00E26ADF">
        <w:t xml:space="preserve">matching placebo.  </w:t>
      </w:r>
    </w:p>
    <w:p w14:paraId="61E35E72" w14:textId="77777777" w:rsidR="00DA79D3" w:rsidRPr="00E26ADF" w:rsidRDefault="00DA79D3" w:rsidP="00FB15C5">
      <w:pPr>
        <w:spacing w:after="240"/>
      </w:pPr>
      <w:r w:rsidRPr="00E26ADF">
        <w:t>Dupixent was administered by subcutaneous (SC) injection in all studies. If needed to control intolerable symptoms, patients were permitted to receive rescue treatment at the discretion of the investigator. Patients who received rescue treatment were considered non-responders.</w:t>
      </w:r>
    </w:p>
    <w:p w14:paraId="6AAB1600" w14:textId="5634AB9F" w:rsidR="00DA79D3" w:rsidRPr="00E26ADF" w:rsidRDefault="00DA79D3" w:rsidP="00E9483F">
      <w:pPr>
        <w:pStyle w:val="ListBulletLevel1"/>
        <w:numPr>
          <w:ilvl w:val="0"/>
          <w:numId w:val="10"/>
        </w:numPr>
        <w:spacing w:after="240"/>
      </w:pPr>
      <w:r w:rsidRPr="00E26ADF">
        <w:t xml:space="preserve">Study 1334 enrolled 671 patients (224 to placebo, 224 to Dupixent 300 mg Q2W, and 223 to Dupixent 300 mg QW) and had a treatment period of 16 weeks. </w:t>
      </w:r>
    </w:p>
    <w:p w14:paraId="4077EEFE" w14:textId="3DA8DCB6" w:rsidR="00DA79D3" w:rsidRPr="00E26ADF" w:rsidRDefault="00DA79D3" w:rsidP="00E9483F">
      <w:pPr>
        <w:pStyle w:val="ListBulletLevel1"/>
        <w:numPr>
          <w:ilvl w:val="0"/>
          <w:numId w:val="10"/>
        </w:numPr>
        <w:spacing w:after="240"/>
      </w:pPr>
      <w:r w:rsidRPr="00E26ADF">
        <w:t xml:space="preserve">Study 1416 enrolled 708 patients (236 to placebo, 233 to Dupixent 300 mg Q2W, and 239 to Dupixent 300 mg QW) and had a treatment period of 16 weeks. </w:t>
      </w:r>
    </w:p>
    <w:p w14:paraId="7EB6533F" w14:textId="4D883B0A" w:rsidR="00F55F33" w:rsidRPr="00E26ADF" w:rsidRDefault="00DA79D3" w:rsidP="00E9483F">
      <w:pPr>
        <w:pStyle w:val="ListBulletLevel1"/>
        <w:numPr>
          <w:ilvl w:val="0"/>
          <w:numId w:val="10"/>
        </w:numPr>
      </w:pPr>
      <w:r w:rsidRPr="00E26ADF">
        <w:t xml:space="preserve">Study 1224) enrolled 740 patients (315 to placebo + TCS, 106 to Dupixent 300 mg Q2W + TCS, and 319 to Dupixent 300 mg QW +TCS) and had a treatment period of 52 weeks. Patients received Dupixent or placebo with concomitant use of TCS starting at baseline using a </w:t>
      </w:r>
      <w:proofErr w:type="spellStart"/>
      <w:r w:rsidRPr="00E26ADF">
        <w:t>standardi</w:t>
      </w:r>
      <w:r w:rsidR="002C171C" w:rsidRPr="00F64F0A">
        <w:t>s</w:t>
      </w:r>
      <w:r w:rsidRPr="00E26ADF">
        <w:t>ed</w:t>
      </w:r>
      <w:proofErr w:type="spellEnd"/>
      <w:r w:rsidRPr="00E26ADF">
        <w:t xml:space="preserve"> regimen. Patients were also permitted to use topical calcineurin inhibitors (TCI).</w:t>
      </w:r>
    </w:p>
    <w:p w14:paraId="45AD8FE6" w14:textId="77777777" w:rsidR="00DA79D3" w:rsidRPr="00E26ADF" w:rsidRDefault="00DA79D3" w:rsidP="00B15694">
      <w:pPr>
        <w:pStyle w:val="Heading5"/>
        <w:numPr>
          <w:ilvl w:val="0"/>
          <w:numId w:val="0"/>
        </w:numPr>
        <w:ind w:left="1009" w:hanging="1009"/>
      </w:pPr>
      <w:r w:rsidRPr="00E26ADF">
        <w:t>Endpoints</w:t>
      </w:r>
    </w:p>
    <w:p w14:paraId="2E763975" w14:textId="3498438F" w:rsidR="00DA79D3" w:rsidRPr="00E26ADF" w:rsidRDefault="00DA79D3" w:rsidP="00DA79D3">
      <w:r w:rsidRPr="00E26ADF">
        <w:t xml:space="preserve">In all three pivotal studies, the endpoints were the proportion of patients with IGA 0 or 1 (“clear” or “almost clear”) and a reduction of ≥ 2 points on a 0-4 IGA scale and the proportion of patients with improvement of at least 75% in EASI (EASI-75) from baseline to Week 16.  Other evaluated outcomes included the proportion of patients with improvement of </w:t>
      </w:r>
      <w:r w:rsidRPr="00E26ADF">
        <w:lastRenderedPageBreak/>
        <w:t xml:space="preserve">at least 50% or 90% in EASI (EASI-50 or EASI -90, respectively), reduction in itch as measured by the peak pruritus Numerical Rating Scale (NRS) and percent change in the </w:t>
      </w:r>
      <w:proofErr w:type="spellStart"/>
      <w:r w:rsidRPr="00E26ADF">
        <w:t>SCORing</w:t>
      </w:r>
      <w:proofErr w:type="spellEnd"/>
      <w:r w:rsidRPr="00E26ADF">
        <w:t xml:space="preserve"> Atopic Dermatitis (SCORAD) scale from baseline to Week 16. Additional secondary endpoints included mean change from baseline to week 16 in the Patient Oriented Eczema Measure (POEM), Dermatology Life Quality Index (DLQI), and Hospital Anxiety and Depression Scale (HADS) scores. In Study 1224, efficacy was also evaluated at Week 52.</w:t>
      </w:r>
    </w:p>
    <w:p w14:paraId="0886FB40" w14:textId="77777777" w:rsidR="00DA79D3" w:rsidRPr="00E26ADF" w:rsidRDefault="00DA79D3" w:rsidP="00DA79D3">
      <w:r w:rsidRPr="00E26ADF">
        <w:t xml:space="preserve">IGA reflects physician’s overall assessment (whole body average) of AD skin lesions. EASI is a composite score (ranging from 0-72) based on the extent and severity of the AD lesions assessed systematically for erythema, induration/papulation/edema, excoriation, and </w:t>
      </w:r>
      <w:proofErr w:type="spellStart"/>
      <w:r w:rsidRPr="00E26ADF">
        <w:t>lichenification</w:t>
      </w:r>
      <w:proofErr w:type="spellEnd"/>
      <w:r w:rsidRPr="00E26ADF">
        <w:t xml:space="preserve"> for each anatomical region.  The pruritus NRS is a patient-reported measure which assesses maximum itch intensity in the previous 24-hours using a 0-10-point scale (0 = no itch; 10 = worst itch imaginable.) The SCORAD is used to assess extent and severity of AD signs and includes two visual analogue scales for symptoms (itch and sleep). The POEM evaluates frequency of AD symptoms (including itch) and the impact of AD on sleep (score ranging from 0-28). The DLQI evaluates the health-related quality of life in dermatological patients (score ranging from 0-30). The HADS measures anxiety and depression symptoms (total score ranging from 0-42).</w:t>
      </w:r>
    </w:p>
    <w:p w14:paraId="3D616D23" w14:textId="77777777" w:rsidR="00DA79D3" w:rsidRPr="00E26ADF" w:rsidRDefault="00DA79D3" w:rsidP="00B15694">
      <w:pPr>
        <w:pStyle w:val="Heading5"/>
        <w:numPr>
          <w:ilvl w:val="0"/>
          <w:numId w:val="0"/>
        </w:numPr>
        <w:ind w:left="1009" w:hanging="1009"/>
      </w:pPr>
      <w:r w:rsidRPr="00E26ADF">
        <w:t>Baseline Characteristics</w:t>
      </w:r>
    </w:p>
    <w:p w14:paraId="5DA4BBF8" w14:textId="77777777" w:rsidR="00DA79D3" w:rsidRPr="00E26ADF" w:rsidRDefault="00DA79D3" w:rsidP="00DA79D3">
      <w:r w:rsidRPr="00E26ADF">
        <w:t>In the monotherapy studies (Study 1334 and Study 1416), across all treatment groups, 51.6% of patients had a baseline IGA score of 3 (moderate AD), 48.3% of patients had a baseline IGA of 4 (severe AD) and 32.4 % of patients had received prior systemic immunosuppressants.  The baseline mean EASI score was 33.0, the baseline weekly averaged pruritus NRS was 7.4</w:t>
      </w:r>
    </w:p>
    <w:p w14:paraId="13CBF449" w14:textId="77777777" w:rsidR="00DA79D3" w:rsidRPr="00E26ADF" w:rsidRDefault="00DA79D3" w:rsidP="00DA79D3">
      <w:r w:rsidRPr="00E26ADF">
        <w:t>In the concomitant TCS study (Study 1224), across all treatment groups, 53.1% of patients had a baseline IGA score of 3 and 46.9% of patients had a baseline IGA of 4 and 33.6 % of patients received prior systemic immunosuppressants. The baseline mean EASI score was 32.5, the baseline weekly pruritus NRS was 7.3.</w:t>
      </w:r>
    </w:p>
    <w:p w14:paraId="12674A2C" w14:textId="77777777" w:rsidR="00DA79D3" w:rsidRPr="00E26ADF" w:rsidRDefault="00DA79D3" w:rsidP="00234110">
      <w:pPr>
        <w:pStyle w:val="Heading5"/>
        <w:numPr>
          <w:ilvl w:val="0"/>
          <w:numId w:val="0"/>
        </w:numPr>
        <w:ind w:left="1009" w:hanging="1009"/>
      </w:pPr>
      <w:r w:rsidRPr="00E26ADF">
        <w:t>Clinical Response</w:t>
      </w:r>
    </w:p>
    <w:p w14:paraId="1F952F8F" w14:textId="3E77D90E" w:rsidR="00DA79D3" w:rsidRPr="00F64F0A" w:rsidRDefault="00DA79D3" w:rsidP="00234110">
      <w:pPr>
        <w:pStyle w:val="Heading6"/>
        <w:numPr>
          <w:ilvl w:val="0"/>
          <w:numId w:val="0"/>
        </w:numPr>
        <w:ind w:left="1151" w:hanging="1151"/>
      </w:pPr>
      <w:r w:rsidRPr="00E26ADF">
        <w:t xml:space="preserve">16-Week Monotherapy </w:t>
      </w:r>
      <w:r w:rsidRPr="00F64F0A">
        <w:t xml:space="preserve">Studies </w:t>
      </w:r>
      <w:r w:rsidR="00854DEE" w:rsidRPr="00F64F0A">
        <w:t>[SOLO 1 (</w:t>
      </w:r>
      <w:r w:rsidRPr="00F64F0A">
        <w:t>Study 1334</w:t>
      </w:r>
      <w:r w:rsidR="00854DEE" w:rsidRPr="00F64F0A">
        <w:t>)</w:t>
      </w:r>
      <w:r w:rsidRPr="00F64F0A">
        <w:t xml:space="preserve"> and </w:t>
      </w:r>
      <w:r w:rsidR="00854DEE" w:rsidRPr="00F64F0A">
        <w:t>SOLO 2 (</w:t>
      </w:r>
      <w:r w:rsidRPr="00F64F0A">
        <w:t>Study 1416)</w:t>
      </w:r>
      <w:r w:rsidR="00854DEE" w:rsidRPr="00F64F0A">
        <w:t>]</w:t>
      </w:r>
    </w:p>
    <w:p w14:paraId="394E55EB" w14:textId="0A520717" w:rsidR="00DA79D3" w:rsidRDefault="00DA79D3" w:rsidP="00DA79D3">
      <w:r w:rsidRPr="00F64F0A">
        <w:rPr>
          <w:color w:val="auto"/>
        </w:rPr>
        <w:t xml:space="preserve">In </w:t>
      </w:r>
      <w:r w:rsidR="00854DEE" w:rsidRPr="00F64F0A">
        <w:rPr>
          <w:color w:val="auto"/>
        </w:rPr>
        <w:t xml:space="preserve">SOLO 1 </w:t>
      </w:r>
      <w:r w:rsidRPr="00F64F0A">
        <w:rPr>
          <w:color w:val="auto"/>
        </w:rPr>
        <w:t xml:space="preserve">and </w:t>
      </w:r>
      <w:r w:rsidR="00854DEE" w:rsidRPr="00F64F0A">
        <w:rPr>
          <w:color w:val="auto"/>
        </w:rPr>
        <w:t>SOLO 2</w:t>
      </w:r>
      <w:r w:rsidRPr="00F64F0A">
        <w:rPr>
          <w:color w:val="auto"/>
        </w:rPr>
        <w:t xml:space="preserve">, from baseline to week 16, a significantly greater proportion of patients </w:t>
      </w:r>
      <w:proofErr w:type="spellStart"/>
      <w:r w:rsidRPr="00F64F0A">
        <w:rPr>
          <w:color w:val="auto"/>
        </w:rPr>
        <w:t>randomi</w:t>
      </w:r>
      <w:r w:rsidR="002C171C" w:rsidRPr="00F64F0A">
        <w:rPr>
          <w:color w:val="auto"/>
        </w:rPr>
        <w:t>s</w:t>
      </w:r>
      <w:r w:rsidRPr="00F64F0A">
        <w:rPr>
          <w:color w:val="auto"/>
        </w:rPr>
        <w:t>ed</w:t>
      </w:r>
      <w:proofErr w:type="spellEnd"/>
      <w:r w:rsidRPr="00F64F0A">
        <w:rPr>
          <w:color w:val="auto"/>
        </w:rPr>
        <w:t xml:space="preserve"> to Dupixent achieved </w:t>
      </w:r>
      <w:r w:rsidRPr="00E26ADF">
        <w:t>an IGA 0 or 1 response, EASI-75, and/or an improvement of ≥ 4 points on the pruritus NRS compare</w:t>
      </w:r>
      <w:r w:rsidR="001A70ED" w:rsidRPr="00E26ADF">
        <w:t xml:space="preserve">d to placebo (see </w:t>
      </w:r>
      <w:r w:rsidR="00C8795E" w:rsidRPr="00C8795E">
        <w:rPr>
          <w:color w:val="0000FF"/>
          <w:u w:val="double"/>
        </w:rPr>
        <w:fldChar w:fldCharType="begin"/>
      </w:r>
      <w:r w:rsidR="00C8795E" w:rsidRPr="00C8795E">
        <w:rPr>
          <w:strike/>
          <w:color w:val="0000FF"/>
        </w:rPr>
        <w:instrText xml:space="preserve"> REF _Ref10724076 \h  \* MERGEFORMAT </w:instrText>
      </w:r>
      <w:r w:rsidR="00C8795E" w:rsidRPr="00C8795E">
        <w:rPr>
          <w:color w:val="0000FF"/>
          <w:u w:val="double"/>
        </w:rPr>
      </w:r>
      <w:r w:rsidR="00C8795E" w:rsidRPr="00C8795E">
        <w:rPr>
          <w:color w:val="0000FF"/>
          <w:u w:val="double"/>
        </w:rPr>
        <w:fldChar w:fldCharType="separate"/>
      </w:r>
      <w:r w:rsidR="00E123A5" w:rsidRPr="00E123A5">
        <w:rPr>
          <w:color w:val="0000FF"/>
        </w:rPr>
        <w:t>Table 8</w:t>
      </w:r>
      <w:r w:rsidR="00C8795E" w:rsidRPr="00C8795E">
        <w:rPr>
          <w:color w:val="0000FF"/>
          <w:u w:val="double"/>
        </w:rPr>
        <w:fldChar w:fldCharType="end"/>
      </w:r>
      <w:r w:rsidRPr="00E26ADF">
        <w:t xml:space="preserve">). </w:t>
      </w:r>
    </w:p>
    <w:p w14:paraId="0D42F177" w14:textId="1301617E" w:rsidR="00DA79D3" w:rsidRPr="00E26ADF" w:rsidRDefault="00DA79D3" w:rsidP="00DA79D3">
      <w:r w:rsidRPr="00E26ADF">
        <w:t xml:space="preserve">A significantly greater proportion of patients </w:t>
      </w:r>
      <w:proofErr w:type="spellStart"/>
      <w:r w:rsidRPr="00E26ADF">
        <w:t>randomi</w:t>
      </w:r>
      <w:r w:rsidR="002C171C" w:rsidRPr="00F64F0A">
        <w:t>s</w:t>
      </w:r>
      <w:r w:rsidRPr="00E26ADF">
        <w:t>ed</w:t>
      </w:r>
      <w:proofErr w:type="spellEnd"/>
      <w:r w:rsidRPr="00E26ADF">
        <w:t xml:space="preserve"> to Dupixent achieved a rapid improvement in the pruritus NRS compared to placebo (defined as ≥4-point improvement as early as week 2; p &lt;0.01) and the proportion of patients responding on the pruritus NRS continued to increase through the treatment period. The improvement in pruritus NRS occurred in conjunction with the improvement of objective signs of atopic dermatitis. </w:t>
      </w:r>
    </w:p>
    <w:p w14:paraId="5C361495" w14:textId="18CA4E3D" w:rsidR="00DA79D3" w:rsidRPr="00E26ADF" w:rsidRDefault="00C8795E" w:rsidP="00DA79D3">
      <w:r w:rsidRPr="00C8795E">
        <w:rPr>
          <w:color w:val="0000FF"/>
        </w:rPr>
        <w:lastRenderedPageBreak/>
        <w:fldChar w:fldCharType="begin"/>
      </w:r>
      <w:r w:rsidRPr="00C8795E">
        <w:rPr>
          <w:color w:val="0000FF"/>
        </w:rPr>
        <w:instrText xml:space="preserve"> REF _Ref22571643 \h  \* MERGEFORMAT </w:instrText>
      </w:r>
      <w:r w:rsidRPr="00C8795E">
        <w:rPr>
          <w:color w:val="0000FF"/>
        </w:rPr>
      </w:r>
      <w:r w:rsidRPr="00C8795E">
        <w:rPr>
          <w:color w:val="0000FF"/>
        </w:rPr>
        <w:fldChar w:fldCharType="separate"/>
      </w:r>
      <w:r w:rsidR="00E123A5" w:rsidRPr="00E123A5">
        <w:rPr>
          <w:color w:val="0000FF"/>
        </w:rPr>
        <w:t>Figure 1</w:t>
      </w:r>
      <w:r w:rsidRPr="00C8795E">
        <w:rPr>
          <w:color w:val="0000FF"/>
        </w:rPr>
        <w:fldChar w:fldCharType="end"/>
      </w:r>
      <w:r w:rsidR="00DA79D3" w:rsidRPr="00E26ADF">
        <w:t xml:space="preserve"> and </w:t>
      </w:r>
      <w:r w:rsidRPr="00C8795E">
        <w:rPr>
          <w:color w:val="0000FF"/>
        </w:rPr>
        <w:fldChar w:fldCharType="begin"/>
      </w:r>
      <w:r w:rsidRPr="00C8795E">
        <w:rPr>
          <w:color w:val="0000FF"/>
        </w:rPr>
        <w:instrText xml:space="preserve"> REF _Ref22571656 \h  \* MERGEFORMAT </w:instrText>
      </w:r>
      <w:r w:rsidRPr="00C8795E">
        <w:rPr>
          <w:color w:val="0000FF"/>
        </w:rPr>
      </w:r>
      <w:r w:rsidRPr="00C8795E">
        <w:rPr>
          <w:color w:val="0000FF"/>
        </w:rPr>
        <w:fldChar w:fldCharType="separate"/>
      </w:r>
      <w:r w:rsidR="00E123A5" w:rsidRPr="00E123A5">
        <w:rPr>
          <w:color w:val="0000FF"/>
        </w:rPr>
        <w:t>Figure 2</w:t>
      </w:r>
      <w:r w:rsidRPr="00C8795E">
        <w:rPr>
          <w:color w:val="0000FF"/>
        </w:rPr>
        <w:fldChar w:fldCharType="end"/>
      </w:r>
      <w:r w:rsidR="00DA79D3" w:rsidRPr="00E26ADF">
        <w:t xml:space="preserve"> show the proportion of patients who achieved an IGA 0 or 1 response and EASI-75, respectively, up to Week 16. </w:t>
      </w:r>
    </w:p>
    <w:p w14:paraId="21C0745E" w14:textId="77777777" w:rsidR="00DA79D3" w:rsidRPr="00E26ADF" w:rsidRDefault="00DA79D3" w:rsidP="00DA79D3">
      <w:r w:rsidRPr="00E26ADF">
        <w:t>EASI-90 response at Week 16 was achieved in 7.6% of patients in the placebo group, 35.7% in the Dupixent 300 mg Q2W group, and 33.2% in the Dupixent 300 mg QW group, respectively in Study 1334 and 7.2%, 30%, and 30.5% of patients, respectively in Study 1416.</w:t>
      </w:r>
    </w:p>
    <w:p w14:paraId="68B575D1" w14:textId="6F3D04A0" w:rsidR="000E1A58" w:rsidRPr="00E26ADF" w:rsidRDefault="00DA79D3" w:rsidP="00DA79D3">
      <w:r w:rsidRPr="00E26ADF">
        <w:t>EASI-50 response at Week 16 was achieved 24.6% of patients in the placebo group, 68.8% in the Dupixent 300 mg Q2W group, and 61.0% in the Dupixent 300 mg QW group, respectively in Study 1334 and 22%, 65.2%, and 61.1% of patients, respectively in Study 1416.</w:t>
      </w:r>
    </w:p>
    <w:p w14:paraId="39349D5D" w14:textId="785782FF" w:rsidR="00317701" w:rsidRDefault="00317701" w:rsidP="003F089D">
      <w:pPr>
        <w:pStyle w:val="Caption"/>
        <w:spacing w:before="240"/>
        <w:rPr>
          <w:lang w:val="en-AU"/>
        </w:rPr>
      </w:pPr>
      <w:r w:rsidRPr="00E26ADF">
        <w:rPr>
          <w:lang w:val="en-AU"/>
        </w:rPr>
        <w:t xml:space="preserve"> </w:t>
      </w:r>
      <w:bookmarkStart w:id="17" w:name="_Ref10724076"/>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8</w:t>
      </w:r>
      <w:r w:rsidRPr="00E26ADF">
        <w:rPr>
          <w:lang w:val="en-AU"/>
        </w:rPr>
        <w:fldChar w:fldCharType="end"/>
      </w:r>
      <w:bookmarkEnd w:id="17"/>
      <w:r w:rsidRPr="00E26ADF">
        <w:rPr>
          <w:lang w:val="en-AU"/>
        </w:rPr>
        <w:t xml:space="preserve"> ­ Efficacy Results of Dupixent Monotherapy at Week 16 (FAS)</w:t>
      </w:r>
    </w:p>
    <w:tbl>
      <w:tblPr>
        <w:tblW w:w="10212" w:type="dxa"/>
        <w:jc w:val="center"/>
        <w:tblBorders>
          <w:top w:val="single" w:sz="2" w:space="0" w:color="000000"/>
        </w:tblBorders>
        <w:tblLayout w:type="fixed"/>
        <w:tblLook w:val="04A0" w:firstRow="1" w:lastRow="0" w:firstColumn="1" w:lastColumn="0" w:noHBand="0" w:noVBand="1"/>
      </w:tblPr>
      <w:tblGrid>
        <w:gridCol w:w="2835"/>
        <w:gridCol w:w="76"/>
        <w:gridCol w:w="1165"/>
        <w:gridCol w:w="1169"/>
        <w:gridCol w:w="823"/>
        <w:gridCol w:w="28"/>
        <w:gridCol w:w="978"/>
        <w:gridCol w:w="1092"/>
        <w:gridCol w:w="2046"/>
      </w:tblGrid>
      <w:tr w:rsidR="00FA6B33" w:rsidRPr="00E26ADF" w14:paraId="0D36AAC7" w14:textId="77777777" w:rsidTr="00FA6B33">
        <w:trPr>
          <w:cantSplit/>
          <w:tblHeader/>
          <w:jc w:val="center"/>
        </w:trPr>
        <w:tc>
          <w:tcPr>
            <w:tcW w:w="2911" w:type="dxa"/>
            <w:gridSpan w:val="2"/>
            <w:tcBorders>
              <w:top w:val="single" w:sz="4" w:space="0" w:color="000000"/>
              <w:left w:val="nil"/>
              <w:bottom w:val="single" w:sz="4" w:space="0" w:color="000000"/>
            </w:tcBorders>
            <w:shd w:val="clear" w:color="auto" w:fill="auto"/>
          </w:tcPr>
          <w:p w14:paraId="1E0ED638" w14:textId="77777777" w:rsidR="00FA6B33" w:rsidRPr="00F64F0A" w:rsidRDefault="00FA6B33" w:rsidP="00FA6B33">
            <w:pPr>
              <w:pStyle w:val="TblHeadingCenter"/>
              <w:rPr>
                <w:lang w:val="en-AU"/>
              </w:rPr>
            </w:pPr>
          </w:p>
        </w:tc>
        <w:tc>
          <w:tcPr>
            <w:tcW w:w="3157" w:type="dxa"/>
            <w:gridSpan w:val="3"/>
            <w:tcBorders>
              <w:top w:val="single" w:sz="4" w:space="0" w:color="000000"/>
              <w:bottom w:val="single" w:sz="4" w:space="0" w:color="000000"/>
            </w:tcBorders>
            <w:shd w:val="clear" w:color="auto" w:fill="auto"/>
          </w:tcPr>
          <w:p w14:paraId="3A3CDB4A" w14:textId="442959F6" w:rsidR="00FA6B33" w:rsidRPr="00F64F0A" w:rsidRDefault="00854DEE" w:rsidP="00FA6B33">
            <w:pPr>
              <w:pStyle w:val="TblHeadingCenter"/>
              <w:rPr>
                <w:lang w:val="en-AU"/>
              </w:rPr>
            </w:pPr>
            <w:r w:rsidRPr="00F64F0A">
              <w:rPr>
                <w:lang w:val="en-AU"/>
              </w:rPr>
              <w:t>SOLO 1 (</w:t>
            </w:r>
            <w:r w:rsidR="00FA6B33" w:rsidRPr="00F64F0A">
              <w:rPr>
                <w:lang w:val="en-AU"/>
              </w:rPr>
              <w:t>Study 1334</w:t>
            </w:r>
            <w:r w:rsidRPr="00F64F0A">
              <w:rPr>
                <w:lang w:val="en-AU"/>
              </w:rPr>
              <w:t>)</w:t>
            </w:r>
            <w:r w:rsidR="00FA6B33" w:rsidRPr="00F64F0A">
              <w:rPr>
                <w:lang w:val="en-AU"/>
              </w:rPr>
              <w:t xml:space="preserve"> (FAS)</w:t>
            </w:r>
            <w:r w:rsidR="00FA6B33" w:rsidRPr="00F64F0A">
              <w:rPr>
                <w:vertAlign w:val="superscript"/>
                <w:lang w:val="en-AU"/>
              </w:rPr>
              <w:t>a</w:t>
            </w:r>
          </w:p>
        </w:tc>
        <w:tc>
          <w:tcPr>
            <w:tcW w:w="4144" w:type="dxa"/>
            <w:gridSpan w:val="4"/>
            <w:tcBorders>
              <w:top w:val="single" w:sz="4" w:space="0" w:color="000000"/>
              <w:bottom w:val="single" w:sz="4" w:space="0" w:color="000000"/>
              <w:right w:val="nil"/>
            </w:tcBorders>
            <w:shd w:val="clear" w:color="auto" w:fill="auto"/>
          </w:tcPr>
          <w:p w14:paraId="4BB58185" w14:textId="2BD0B366" w:rsidR="00FA6B33" w:rsidRPr="00F64F0A" w:rsidRDefault="00854DEE" w:rsidP="00FA6B33">
            <w:pPr>
              <w:pStyle w:val="TblHeadingCenter"/>
              <w:rPr>
                <w:lang w:val="en-AU"/>
              </w:rPr>
            </w:pPr>
            <w:r w:rsidRPr="00F64F0A">
              <w:rPr>
                <w:lang w:val="en-AU"/>
              </w:rPr>
              <w:t>SOLO 2 (</w:t>
            </w:r>
            <w:r w:rsidR="00FA6B33" w:rsidRPr="00F64F0A">
              <w:rPr>
                <w:lang w:val="en-AU"/>
              </w:rPr>
              <w:t>Study 1416</w:t>
            </w:r>
            <w:r w:rsidRPr="00F64F0A">
              <w:rPr>
                <w:lang w:val="en-AU"/>
              </w:rPr>
              <w:t>)</w:t>
            </w:r>
            <w:r w:rsidR="00FA6B33" w:rsidRPr="00F64F0A">
              <w:rPr>
                <w:lang w:val="en-AU"/>
              </w:rPr>
              <w:t xml:space="preserve"> (FAS)</w:t>
            </w:r>
            <w:r w:rsidR="00FA6B33" w:rsidRPr="00F64F0A">
              <w:rPr>
                <w:vertAlign w:val="superscript"/>
                <w:lang w:val="en-AU"/>
              </w:rPr>
              <w:t>a</w:t>
            </w:r>
          </w:p>
        </w:tc>
      </w:tr>
      <w:tr w:rsidR="00FA6B33" w:rsidRPr="00E26ADF" w14:paraId="1BA1B674" w14:textId="77777777" w:rsidTr="00FA6B33">
        <w:trPr>
          <w:cantSplit/>
          <w:tblHeader/>
          <w:jc w:val="center"/>
        </w:trPr>
        <w:tc>
          <w:tcPr>
            <w:tcW w:w="2835" w:type="dxa"/>
            <w:tcBorders>
              <w:top w:val="single" w:sz="4" w:space="0" w:color="000000"/>
              <w:left w:val="nil"/>
            </w:tcBorders>
            <w:shd w:val="clear" w:color="auto" w:fill="auto"/>
          </w:tcPr>
          <w:p w14:paraId="05425782" w14:textId="77777777" w:rsidR="00FA6B33" w:rsidRPr="00F64F0A" w:rsidRDefault="00FA6B33" w:rsidP="00FA6B33">
            <w:pPr>
              <w:pStyle w:val="TblTextCenter"/>
              <w:rPr>
                <w:lang w:val="en-AU"/>
              </w:rPr>
            </w:pPr>
          </w:p>
        </w:tc>
        <w:tc>
          <w:tcPr>
            <w:tcW w:w="1241" w:type="dxa"/>
            <w:gridSpan w:val="2"/>
            <w:tcBorders>
              <w:top w:val="single" w:sz="4" w:space="0" w:color="000000"/>
            </w:tcBorders>
            <w:shd w:val="clear" w:color="auto" w:fill="auto"/>
          </w:tcPr>
          <w:p w14:paraId="5D23C714" w14:textId="77777777" w:rsidR="00FA6B33" w:rsidRPr="00F64F0A" w:rsidRDefault="00FA6B33" w:rsidP="00FA6B33">
            <w:pPr>
              <w:pStyle w:val="TblTextCenter"/>
              <w:rPr>
                <w:b/>
                <w:lang w:val="en-AU"/>
              </w:rPr>
            </w:pPr>
            <w:r w:rsidRPr="00F64F0A">
              <w:rPr>
                <w:b/>
                <w:lang w:val="en-AU"/>
              </w:rPr>
              <w:t>Placebo</w:t>
            </w:r>
          </w:p>
          <w:p w14:paraId="40993497" w14:textId="77777777" w:rsidR="00FA6B33" w:rsidRPr="00F64F0A" w:rsidRDefault="00FA6B33" w:rsidP="00FA6B33">
            <w:pPr>
              <w:pStyle w:val="TblTextCenter"/>
              <w:rPr>
                <w:b/>
                <w:lang w:val="en-AU"/>
              </w:rPr>
            </w:pPr>
          </w:p>
        </w:tc>
        <w:tc>
          <w:tcPr>
            <w:tcW w:w="1169" w:type="dxa"/>
            <w:tcBorders>
              <w:top w:val="single" w:sz="4" w:space="0" w:color="000000"/>
            </w:tcBorders>
            <w:shd w:val="clear" w:color="auto" w:fill="auto"/>
          </w:tcPr>
          <w:p w14:paraId="50835507" w14:textId="77777777" w:rsidR="00FA6B33" w:rsidRPr="00F64F0A" w:rsidRDefault="00FA6B33" w:rsidP="00FA6B33">
            <w:pPr>
              <w:pStyle w:val="TblTextCenter"/>
              <w:rPr>
                <w:b/>
                <w:lang w:val="en-AU"/>
              </w:rPr>
            </w:pPr>
            <w:r w:rsidRPr="00F64F0A">
              <w:rPr>
                <w:b/>
                <w:lang w:val="en-AU"/>
              </w:rPr>
              <w:t xml:space="preserve">Dupixent </w:t>
            </w:r>
          </w:p>
          <w:p w14:paraId="5961D505" w14:textId="77777777" w:rsidR="00FA6B33" w:rsidRPr="00F64F0A" w:rsidRDefault="00FA6B33" w:rsidP="00FA6B33">
            <w:pPr>
              <w:pStyle w:val="TblTextCenter"/>
              <w:rPr>
                <w:b/>
                <w:lang w:val="en-AU"/>
              </w:rPr>
            </w:pPr>
            <w:r w:rsidRPr="00F64F0A">
              <w:rPr>
                <w:b/>
                <w:lang w:val="en-AU"/>
              </w:rPr>
              <w:t>300 mg Q2W</w:t>
            </w:r>
          </w:p>
        </w:tc>
        <w:tc>
          <w:tcPr>
            <w:tcW w:w="851" w:type="dxa"/>
            <w:gridSpan w:val="2"/>
            <w:tcBorders>
              <w:top w:val="single" w:sz="4" w:space="0" w:color="000000"/>
            </w:tcBorders>
            <w:shd w:val="clear" w:color="auto" w:fill="auto"/>
          </w:tcPr>
          <w:p w14:paraId="1935F4BD" w14:textId="77777777" w:rsidR="00FA6B33" w:rsidRPr="00F64F0A" w:rsidRDefault="00FA6B33" w:rsidP="00FA6B33">
            <w:pPr>
              <w:pStyle w:val="TblTextCenter"/>
              <w:rPr>
                <w:b/>
                <w:lang w:val="en-AU"/>
              </w:rPr>
            </w:pPr>
            <w:r w:rsidRPr="00F64F0A">
              <w:rPr>
                <w:b/>
                <w:lang w:val="en-AU"/>
              </w:rPr>
              <w:t xml:space="preserve">Dupixent </w:t>
            </w:r>
          </w:p>
          <w:p w14:paraId="45FABAEB" w14:textId="77777777" w:rsidR="00FA6B33" w:rsidRPr="00F64F0A" w:rsidRDefault="00FA6B33" w:rsidP="00FA6B33">
            <w:pPr>
              <w:pStyle w:val="TblTextCenter"/>
              <w:rPr>
                <w:b/>
                <w:lang w:val="en-AU"/>
              </w:rPr>
            </w:pPr>
            <w:r w:rsidRPr="00F64F0A">
              <w:rPr>
                <w:b/>
                <w:lang w:val="en-AU"/>
              </w:rPr>
              <w:t>300 mg QW</w:t>
            </w:r>
          </w:p>
        </w:tc>
        <w:tc>
          <w:tcPr>
            <w:tcW w:w="978" w:type="dxa"/>
            <w:tcBorders>
              <w:top w:val="single" w:sz="4" w:space="0" w:color="000000"/>
            </w:tcBorders>
            <w:shd w:val="clear" w:color="auto" w:fill="auto"/>
          </w:tcPr>
          <w:p w14:paraId="3EE1B56B" w14:textId="77777777" w:rsidR="00FA6B33" w:rsidRPr="00F64F0A" w:rsidRDefault="00FA6B33" w:rsidP="00FA6B33">
            <w:pPr>
              <w:pStyle w:val="TblTextCenter"/>
              <w:rPr>
                <w:b/>
                <w:lang w:val="en-AU"/>
              </w:rPr>
            </w:pPr>
            <w:r w:rsidRPr="00F64F0A">
              <w:rPr>
                <w:b/>
                <w:lang w:val="en-AU"/>
              </w:rPr>
              <w:t>Placebo</w:t>
            </w:r>
          </w:p>
        </w:tc>
        <w:tc>
          <w:tcPr>
            <w:tcW w:w="1092" w:type="dxa"/>
            <w:tcBorders>
              <w:top w:val="single" w:sz="4" w:space="0" w:color="000000"/>
            </w:tcBorders>
            <w:shd w:val="clear" w:color="auto" w:fill="auto"/>
          </w:tcPr>
          <w:p w14:paraId="73F9A0DC" w14:textId="77777777" w:rsidR="00FA6B33" w:rsidRPr="00F64F0A" w:rsidRDefault="00FA6B33" w:rsidP="00FA6B33">
            <w:pPr>
              <w:pStyle w:val="TblTextCenter"/>
              <w:rPr>
                <w:b/>
                <w:lang w:val="en-AU"/>
              </w:rPr>
            </w:pPr>
            <w:r w:rsidRPr="00F64F0A">
              <w:rPr>
                <w:b/>
                <w:lang w:val="en-AU"/>
              </w:rPr>
              <w:t xml:space="preserve">Dupixent </w:t>
            </w:r>
          </w:p>
          <w:p w14:paraId="4A9D13B4" w14:textId="77777777" w:rsidR="00FA6B33" w:rsidRPr="00F64F0A" w:rsidRDefault="00FA6B33" w:rsidP="00FA6B33">
            <w:pPr>
              <w:pStyle w:val="TblTextCenter"/>
              <w:rPr>
                <w:b/>
                <w:lang w:val="en-AU"/>
              </w:rPr>
            </w:pPr>
            <w:r w:rsidRPr="00F64F0A">
              <w:rPr>
                <w:b/>
                <w:lang w:val="en-AU"/>
              </w:rPr>
              <w:t>300 mg Q2W</w:t>
            </w:r>
          </w:p>
        </w:tc>
        <w:tc>
          <w:tcPr>
            <w:tcW w:w="2046" w:type="dxa"/>
            <w:tcBorders>
              <w:top w:val="single" w:sz="4" w:space="0" w:color="000000"/>
              <w:right w:val="nil"/>
            </w:tcBorders>
            <w:shd w:val="clear" w:color="auto" w:fill="auto"/>
          </w:tcPr>
          <w:p w14:paraId="0709BCEE" w14:textId="77777777" w:rsidR="00FA6B33" w:rsidRPr="00F64F0A" w:rsidRDefault="00FA6B33" w:rsidP="00FA6B33">
            <w:pPr>
              <w:pStyle w:val="TblTextCenter"/>
              <w:rPr>
                <w:b/>
                <w:lang w:val="en-AU"/>
              </w:rPr>
            </w:pPr>
            <w:r w:rsidRPr="00F64F0A">
              <w:rPr>
                <w:b/>
                <w:lang w:val="en-AU"/>
              </w:rPr>
              <w:t>Dupixent 300 mg QW</w:t>
            </w:r>
          </w:p>
        </w:tc>
      </w:tr>
      <w:tr w:rsidR="00FA6B33" w:rsidRPr="00E26ADF" w14:paraId="3F230C99" w14:textId="77777777" w:rsidTr="00FA6B33">
        <w:trPr>
          <w:cantSplit/>
          <w:jc w:val="center"/>
        </w:trPr>
        <w:tc>
          <w:tcPr>
            <w:tcW w:w="2835" w:type="dxa"/>
            <w:tcBorders>
              <w:left w:val="nil"/>
            </w:tcBorders>
            <w:shd w:val="clear" w:color="auto" w:fill="auto"/>
          </w:tcPr>
          <w:p w14:paraId="25E13844" w14:textId="3705D89E" w:rsidR="00FA6B33" w:rsidRPr="00F64F0A" w:rsidRDefault="00FA6B33" w:rsidP="00FA6B33">
            <w:pPr>
              <w:pStyle w:val="TblTextCenter"/>
              <w:jc w:val="left"/>
              <w:rPr>
                <w:lang w:val="en-AU"/>
              </w:rPr>
            </w:pPr>
            <w:r w:rsidRPr="00F64F0A">
              <w:rPr>
                <w:lang w:val="en-AU"/>
              </w:rPr>
              <w:t>Patients randomi</w:t>
            </w:r>
            <w:r w:rsidR="002C171C" w:rsidRPr="00F64F0A">
              <w:rPr>
                <w:lang w:val="en-AU"/>
              </w:rPr>
              <w:t>s</w:t>
            </w:r>
            <w:r w:rsidRPr="00F64F0A">
              <w:rPr>
                <w:lang w:val="en-AU"/>
              </w:rPr>
              <w:t>ed</w:t>
            </w:r>
          </w:p>
        </w:tc>
        <w:tc>
          <w:tcPr>
            <w:tcW w:w="1241" w:type="dxa"/>
            <w:gridSpan w:val="2"/>
            <w:shd w:val="clear" w:color="auto" w:fill="auto"/>
          </w:tcPr>
          <w:p w14:paraId="4C383E0D" w14:textId="77777777" w:rsidR="00FA6B33" w:rsidRPr="00F64F0A" w:rsidRDefault="00FA6B33" w:rsidP="00FA6B33">
            <w:pPr>
              <w:pStyle w:val="TblTextCenter"/>
              <w:rPr>
                <w:lang w:val="en-AU"/>
              </w:rPr>
            </w:pPr>
            <w:r w:rsidRPr="00F64F0A">
              <w:rPr>
                <w:lang w:val="en-AU"/>
              </w:rPr>
              <w:t>224</w:t>
            </w:r>
          </w:p>
        </w:tc>
        <w:tc>
          <w:tcPr>
            <w:tcW w:w="1169" w:type="dxa"/>
            <w:shd w:val="clear" w:color="auto" w:fill="auto"/>
          </w:tcPr>
          <w:p w14:paraId="24B15F27" w14:textId="77777777" w:rsidR="00FA6B33" w:rsidRPr="00F64F0A" w:rsidRDefault="00FA6B33" w:rsidP="00FA6B33">
            <w:pPr>
              <w:pStyle w:val="TblTextCenter"/>
              <w:rPr>
                <w:lang w:val="en-AU"/>
              </w:rPr>
            </w:pPr>
            <w:r w:rsidRPr="00F64F0A">
              <w:rPr>
                <w:lang w:val="en-AU"/>
              </w:rPr>
              <w:t>224</w:t>
            </w:r>
          </w:p>
        </w:tc>
        <w:tc>
          <w:tcPr>
            <w:tcW w:w="851" w:type="dxa"/>
            <w:gridSpan w:val="2"/>
            <w:shd w:val="clear" w:color="auto" w:fill="auto"/>
          </w:tcPr>
          <w:p w14:paraId="439C1A42" w14:textId="77777777" w:rsidR="00FA6B33" w:rsidRPr="00F64F0A" w:rsidRDefault="00FA6B33" w:rsidP="00FA6B33">
            <w:pPr>
              <w:pStyle w:val="TblTextCenter"/>
              <w:rPr>
                <w:lang w:val="en-AU"/>
              </w:rPr>
            </w:pPr>
            <w:r w:rsidRPr="00F64F0A">
              <w:rPr>
                <w:lang w:val="en-AU"/>
              </w:rPr>
              <w:t>223</w:t>
            </w:r>
          </w:p>
        </w:tc>
        <w:tc>
          <w:tcPr>
            <w:tcW w:w="978" w:type="dxa"/>
            <w:shd w:val="clear" w:color="auto" w:fill="auto"/>
          </w:tcPr>
          <w:p w14:paraId="56A82D91" w14:textId="77777777" w:rsidR="00FA6B33" w:rsidRPr="00F64F0A" w:rsidRDefault="00FA6B33" w:rsidP="00FA6B33">
            <w:pPr>
              <w:pStyle w:val="TblTextCenter"/>
              <w:rPr>
                <w:lang w:val="en-AU"/>
              </w:rPr>
            </w:pPr>
            <w:r w:rsidRPr="00F64F0A">
              <w:rPr>
                <w:lang w:val="en-AU"/>
              </w:rPr>
              <w:t>236</w:t>
            </w:r>
          </w:p>
        </w:tc>
        <w:tc>
          <w:tcPr>
            <w:tcW w:w="1092" w:type="dxa"/>
            <w:shd w:val="clear" w:color="auto" w:fill="auto"/>
          </w:tcPr>
          <w:p w14:paraId="0CE8FA7B" w14:textId="77777777" w:rsidR="00FA6B33" w:rsidRPr="00F64F0A" w:rsidRDefault="00FA6B33" w:rsidP="00FA6B33">
            <w:pPr>
              <w:pStyle w:val="TblTextCenter"/>
              <w:rPr>
                <w:lang w:val="en-AU"/>
              </w:rPr>
            </w:pPr>
            <w:r w:rsidRPr="00F64F0A">
              <w:rPr>
                <w:lang w:val="en-AU"/>
              </w:rPr>
              <w:t>233</w:t>
            </w:r>
          </w:p>
        </w:tc>
        <w:tc>
          <w:tcPr>
            <w:tcW w:w="2046" w:type="dxa"/>
            <w:tcBorders>
              <w:right w:val="nil"/>
            </w:tcBorders>
            <w:shd w:val="clear" w:color="auto" w:fill="auto"/>
          </w:tcPr>
          <w:p w14:paraId="60DDFC40" w14:textId="77777777" w:rsidR="00FA6B33" w:rsidRPr="00F64F0A" w:rsidRDefault="00FA6B33" w:rsidP="00FA6B33">
            <w:pPr>
              <w:pStyle w:val="TblTextCenter"/>
              <w:rPr>
                <w:lang w:val="en-AU"/>
              </w:rPr>
            </w:pPr>
            <w:r w:rsidRPr="00F64F0A">
              <w:rPr>
                <w:lang w:val="en-AU"/>
              </w:rPr>
              <w:t>239</w:t>
            </w:r>
          </w:p>
        </w:tc>
      </w:tr>
      <w:tr w:rsidR="00FA6B33" w:rsidRPr="00E26ADF" w14:paraId="0FFA91EF" w14:textId="77777777" w:rsidTr="00FA6B33">
        <w:trPr>
          <w:cantSplit/>
          <w:jc w:val="center"/>
        </w:trPr>
        <w:tc>
          <w:tcPr>
            <w:tcW w:w="2835" w:type="dxa"/>
            <w:tcBorders>
              <w:left w:val="nil"/>
            </w:tcBorders>
            <w:shd w:val="clear" w:color="auto" w:fill="auto"/>
          </w:tcPr>
          <w:p w14:paraId="3EA73242" w14:textId="77777777" w:rsidR="00FA6B33" w:rsidRPr="00F64F0A" w:rsidRDefault="00FA6B33" w:rsidP="00FA6B33">
            <w:pPr>
              <w:pStyle w:val="TblTextCenter"/>
              <w:jc w:val="left"/>
              <w:rPr>
                <w:lang w:val="en-AU"/>
              </w:rPr>
            </w:pPr>
            <w:r w:rsidRPr="00F64F0A">
              <w:rPr>
                <w:lang w:val="en-AU"/>
              </w:rPr>
              <w:t>IGA 0 or 1</w:t>
            </w:r>
            <w:r w:rsidRPr="00F64F0A">
              <w:rPr>
                <w:vertAlign w:val="superscript"/>
                <w:lang w:val="en-AU"/>
              </w:rPr>
              <w:t>b</w:t>
            </w:r>
            <w:r w:rsidRPr="00F64F0A">
              <w:rPr>
                <w:lang w:val="en-AU"/>
              </w:rPr>
              <w:t>, % </w:t>
            </w:r>
            <w:proofErr w:type="spellStart"/>
            <w:r w:rsidRPr="00F64F0A">
              <w:rPr>
                <w:lang w:val="en-AU"/>
              </w:rPr>
              <w:t>responders</w:t>
            </w:r>
            <w:r w:rsidRPr="00F64F0A">
              <w:rPr>
                <w:vertAlign w:val="superscript"/>
                <w:lang w:val="en-AU"/>
              </w:rPr>
              <w:t>c</w:t>
            </w:r>
            <w:proofErr w:type="spellEnd"/>
          </w:p>
        </w:tc>
        <w:tc>
          <w:tcPr>
            <w:tcW w:w="1241" w:type="dxa"/>
            <w:gridSpan w:val="2"/>
            <w:shd w:val="clear" w:color="auto" w:fill="auto"/>
          </w:tcPr>
          <w:p w14:paraId="2F3FDE4D" w14:textId="77777777" w:rsidR="00FA6B33" w:rsidRPr="00F64F0A" w:rsidRDefault="00FA6B33" w:rsidP="00FA6B33">
            <w:pPr>
              <w:pStyle w:val="TblTextCenter"/>
              <w:rPr>
                <w:lang w:val="en-AU"/>
              </w:rPr>
            </w:pPr>
            <w:r w:rsidRPr="00F64F0A">
              <w:rPr>
                <w:lang w:val="en-AU"/>
              </w:rPr>
              <w:t>10.3 %</w:t>
            </w:r>
          </w:p>
        </w:tc>
        <w:tc>
          <w:tcPr>
            <w:tcW w:w="1169" w:type="dxa"/>
            <w:shd w:val="clear" w:color="auto" w:fill="auto"/>
          </w:tcPr>
          <w:p w14:paraId="403FFF06" w14:textId="77777777" w:rsidR="00FA6B33" w:rsidRPr="00F64F0A" w:rsidRDefault="00FA6B33" w:rsidP="00FA6B33">
            <w:pPr>
              <w:pStyle w:val="TblTextCenter"/>
              <w:rPr>
                <w:lang w:val="en-AU"/>
              </w:rPr>
            </w:pPr>
            <w:r w:rsidRPr="00F64F0A">
              <w:rPr>
                <w:lang w:val="en-AU"/>
              </w:rPr>
              <w:t>37.9 %*</w:t>
            </w:r>
          </w:p>
        </w:tc>
        <w:tc>
          <w:tcPr>
            <w:tcW w:w="851" w:type="dxa"/>
            <w:gridSpan w:val="2"/>
            <w:shd w:val="clear" w:color="auto" w:fill="auto"/>
          </w:tcPr>
          <w:p w14:paraId="722754DB" w14:textId="77777777" w:rsidR="00FA6B33" w:rsidRPr="00F64F0A" w:rsidRDefault="00FA6B33" w:rsidP="00FA6B33">
            <w:pPr>
              <w:pStyle w:val="TblTextCenter"/>
              <w:rPr>
                <w:lang w:val="en-AU"/>
              </w:rPr>
            </w:pPr>
            <w:r w:rsidRPr="00F64F0A">
              <w:rPr>
                <w:lang w:val="en-AU"/>
              </w:rPr>
              <w:t>37.2 %*</w:t>
            </w:r>
          </w:p>
        </w:tc>
        <w:tc>
          <w:tcPr>
            <w:tcW w:w="978" w:type="dxa"/>
            <w:shd w:val="clear" w:color="auto" w:fill="auto"/>
          </w:tcPr>
          <w:p w14:paraId="69EF40EE" w14:textId="77777777" w:rsidR="00FA6B33" w:rsidRPr="00F64F0A" w:rsidRDefault="00FA6B33" w:rsidP="00FA6B33">
            <w:pPr>
              <w:pStyle w:val="TblTextCenter"/>
              <w:rPr>
                <w:lang w:val="en-AU"/>
              </w:rPr>
            </w:pPr>
            <w:r w:rsidRPr="00F64F0A">
              <w:rPr>
                <w:lang w:val="en-AU"/>
              </w:rPr>
              <w:t>8.5%</w:t>
            </w:r>
          </w:p>
        </w:tc>
        <w:tc>
          <w:tcPr>
            <w:tcW w:w="1092" w:type="dxa"/>
            <w:shd w:val="clear" w:color="auto" w:fill="auto"/>
          </w:tcPr>
          <w:p w14:paraId="1A9ACF8B" w14:textId="77777777" w:rsidR="00FA6B33" w:rsidRPr="00F64F0A" w:rsidRDefault="00FA6B33" w:rsidP="00FA6B33">
            <w:pPr>
              <w:pStyle w:val="TblTextCenter"/>
              <w:rPr>
                <w:lang w:val="en-AU"/>
              </w:rPr>
            </w:pPr>
            <w:r w:rsidRPr="00F64F0A">
              <w:rPr>
                <w:lang w:val="en-AU"/>
              </w:rPr>
              <w:t>36.1 %*</w:t>
            </w:r>
          </w:p>
        </w:tc>
        <w:tc>
          <w:tcPr>
            <w:tcW w:w="2046" w:type="dxa"/>
            <w:tcBorders>
              <w:right w:val="nil"/>
            </w:tcBorders>
            <w:shd w:val="clear" w:color="auto" w:fill="auto"/>
          </w:tcPr>
          <w:p w14:paraId="4018BC3F" w14:textId="77777777" w:rsidR="00FA6B33" w:rsidRPr="00F64F0A" w:rsidRDefault="00FA6B33" w:rsidP="00FA6B33">
            <w:pPr>
              <w:pStyle w:val="TblTextCenter"/>
              <w:rPr>
                <w:lang w:val="en-AU"/>
              </w:rPr>
            </w:pPr>
            <w:r w:rsidRPr="00F64F0A">
              <w:rPr>
                <w:lang w:val="en-AU"/>
              </w:rPr>
              <w:t>36.4 %*</w:t>
            </w:r>
          </w:p>
        </w:tc>
      </w:tr>
      <w:tr w:rsidR="00FA6B33" w:rsidRPr="00E26ADF" w14:paraId="1BCDE020" w14:textId="77777777" w:rsidTr="00FA6B33">
        <w:trPr>
          <w:cantSplit/>
          <w:jc w:val="center"/>
        </w:trPr>
        <w:tc>
          <w:tcPr>
            <w:tcW w:w="2835" w:type="dxa"/>
            <w:tcBorders>
              <w:left w:val="nil"/>
            </w:tcBorders>
            <w:shd w:val="clear" w:color="auto" w:fill="auto"/>
          </w:tcPr>
          <w:p w14:paraId="1ABD3786" w14:textId="77777777" w:rsidR="00FA6B33" w:rsidRPr="00F64F0A" w:rsidRDefault="00FA6B33" w:rsidP="00FA6B33">
            <w:pPr>
              <w:pStyle w:val="TblTextCenter"/>
              <w:jc w:val="left"/>
              <w:rPr>
                <w:lang w:val="en-AU"/>
              </w:rPr>
            </w:pPr>
            <w:r w:rsidRPr="00F64F0A">
              <w:rPr>
                <w:lang w:val="en-AU"/>
              </w:rPr>
              <w:t>EASI-75, % </w:t>
            </w:r>
            <w:proofErr w:type="spellStart"/>
            <w:r w:rsidRPr="00F64F0A">
              <w:rPr>
                <w:lang w:val="en-AU"/>
              </w:rPr>
              <w:t>responders</w:t>
            </w:r>
            <w:r w:rsidRPr="00F64F0A">
              <w:rPr>
                <w:vertAlign w:val="superscript"/>
                <w:lang w:val="en-AU"/>
              </w:rPr>
              <w:t>c</w:t>
            </w:r>
            <w:proofErr w:type="spellEnd"/>
          </w:p>
        </w:tc>
        <w:tc>
          <w:tcPr>
            <w:tcW w:w="1241" w:type="dxa"/>
            <w:gridSpan w:val="2"/>
            <w:shd w:val="clear" w:color="auto" w:fill="auto"/>
          </w:tcPr>
          <w:p w14:paraId="6807BDE9" w14:textId="77777777" w:rsidR="00FA6B33" w:rsidRPr="00F64F0A" w:rsidRDefault="00FA6B33" w:rsidP="00FA6B33">
            <w:pPr>
              <w:pStyle w:val="TblTextCenter"/>
              <w:rPr>
                <w:lang w:val="en-AU"/>
              </w:rPr>
            </w:pPr>
            <w:r w:rsidRPr="00F64F0A">
              <w:rPr>
                <w:lang w:val="en-AU"/>
              </w:rPr>
              <w:t>14.7 %</w:t>
            </w:r>
          </w:p>
        </w:tc>
        <w:tc>
          <w:tcPr>
            <w:tcW w:w="1169" w:type="dxa"/>
            <w:shd w:val="clear" w:color="auto" w:fill="auto"/>
          </w:tcPr>
          <w:p w14:paraId="0C0D7042" w14:textId="77777777" w:rsidR="00FA6B33" w:rsidRPr="00F64F0A" w:rsidRDefault="00FA6B33" w:rsidP="00FA6B33">
            <w:pPr>
              <w:pStyle w:val="TblTextCenter"/>
              <w:rPr>
                <w:lang w:val="en-AU"/>
              </w:rPr>
            </w:pPr>
            <w:r w:rsidRPr="00F64F0A">
              <w:rPr>
                <w:lang w:val="en-AU"/>
              </w:rPr>
              <w:t>51.3 %*</w:t>
            </w:r>
          </w:p>
        </w:tc>
        <w:tc>
          <w:tcPr>
            <w:tcW w:w="851" w:type="dxa"/>
            <w:gridSpan w:val="2"/>
            <w:shd w:val="clear" w:color="auto" w:fill="auto"/>
          </w:tcPr>
          <w:p w14:paraId="7A985AEE" w14:textId="77777777" w:rsidR="00FA6B33" w:rsidRPr="00F64F0A" w:rsidRDefault="00FA6B33" w:rsidP="00FA6B33">
            <w:pPr>
              <w:pStyle w:val="TblTextCenter"/>
              <w:rPr>
                <w:lang w:val="en-AU"/>
              </w:rPr>
            </w:pPr>
            <w:r w:rsidRPr="00F64F0A">
              <w:rPr>
                <w:lang w:val="en-AU"/>
              </w:rPr>
              <w:t>52.5 %*</w:t>
            </w:r>
          </w:p>
        </w:tc>
        <w:tc>
          <w:tcPr>
            <w:tcW w:w="978" w:type="dxa"/>
            <w:shd w:val="clear" w:color="auto" w:fill="auto"/>
          </w:tcPr>
          <w:p w14:paraId="41E55D30" w14:textId="77777777" w:rsidR="00FA6B33" w:rsidRPr="00F64F0A" w:rsidRDefault="00FA6B33" w:rsidP="00FA6B33">
            <w:pPr>
              <w:pStyle w:val="TblTextCenter"/>
              <w:rPr>
                <w:lang w:val="en-AU"/>
              </w:rPr>
            </w:pPr>
            <w:r w:rsidRPr="00F64F0A">
              <w:rPr>
                <w:lang w:val="en-AU"/>
              </w:rPr>
              <w:t>11.9 %</w:t>
            </w:r>
          </w:p>
        </w:tc>
        <w:tc>
          <w:tcPr>
            <w:tcW w:w="1092" w:type="dxa"/>
            <w:shd w:val="clear" w:color="auto" w:fill="auto"/>
          </w:tcPr>
          <w:p w14:paraId="1734D6AD" w14:textId="77777777" w:rsidR="00FA6B33" w:rsidRPr="00F64F0A" w:rsidRDefault="00FA6B33" w:rsidP="00FA6B33">
            <w:pPr>
              <w:pStyle w:val="TblTextCenter"/>
              <w:rPr>
                <w:lang w:val="en-AU"/>
              </w:rPr>
            </w:pPr>
            <w:r w:rsidRPr="00F64F0A">
              <w:rPr>
                <w:lang w:val="en-AU"/>
              </w:rPr>
              <w:t>44.2 %*</w:t>
            </w:r>
          </w:p>
        </w:tc>
        <w:tc>
          <w:tcPr>
            <w:tcW w:w="2046" w:type="dxa"/>
            <w:tcBorders>
              <w:right w:val="nil"/>
            </w:tcBorders>
            <w:shd w:val="clear" w:color="auto" w:fill="auto"/>
          </w:tcPr>
          <w:p w14:paraId="611C7553" w14:textId="77777777" w:rsidR="00FA6B33" w:rsidRPr="00F64F0A" w:rsidRDefault="00FA6B33" w:rsidP="00FA6B33">
            <w:pPr>
              <w:pStyle w:val="TblTextCenter"/>
              <w:rPr>
                <w:lang w:val="en-AU"/>
              </w:rPr>
            </w:pPr>
            <w:r w:rsidRPr="00F64F0A">
              <w:rPr>
                <w:lang w:val="en-AU"/>
              </w:rPr>
              <w:t>48.1 %*</w:t>
            </w:r>
          </w:p>
        </w:tc>
      </w:tr>
      <w:tr w:rsidR="00FA6B33" w:rsidRPr="00E26ADF" w14:paraId="17A7CE81" w14:textId="77777777" w:rsidTr="00FA6B33">
        <w:trPr>
          <w:cantSplit/>
          <w:jc w:val="center"/>
        </w:trPr>
        <w:tc>
          <w:tcPr>
            <w:tcW w:w="2835" w:type="dxa"/>
            <w:tcBorders>
              <w:left w:val="nil"/>
            </w:tcBorders>
            <w:shd w:val="clear" w:color="auto" w:fill="auto"/>
          </w:tcPr>
          <w:p w14:paraId="441BDF7A" w14:textId="77777777" w:rsidR="00FA6B33" w:rsidRPr="00E26ADF" w:rsidRDefault="00FA6B33" w:rsidP="00FA6B33">
            <w:pPr>
              <w:pStyle w:val="TblTextCenter"/>
              <w:jc w:val="left"/>
              <w:rPr>
                <w:lang w:val="en-AU"/>
              </w:rPr>
            </w:pPr>
            <w:r w:rsidRPr="00E26ADF">
              <w:rPr>
                <w:lang w:val="en-AU"/>
              </w:rPr>
              <w:t>EASI, LS mean % change from baseline (+/- SE)</w:t>
            </w:r>
          </w:p>
        </w:tc>
        <w:tc>
          <w:tcPr>
            <w:tcW w:w="1241" w:type="dxa"/>
            <w:gridSpan w:val="2"/>
            <w:shd w:val="clear" w:color="auto" w:fill="auto"/>
          </w:tcPr>
          <w:p w14:paraId="7C591978" w14:textId="77777777" w:rsidR="00FA6B33" w:rsidRDefault="00FA6B33" w:rsidP="00FA6B33">
            <w:pPr>
              <w:pStyle w:val="TblTextCenter"/>
              <w:rPr>
                <w:lang w:val="en-AU"/>
              </w:rPr>
            </w:pPr>
            <w:r w:rsidRPr="00E26ADF">
              <w:rPr>
                <w:lang w:val="en-AU"/>
              </w:rPr>
              <w:t xml:space="preserve">-37.6% </w:t>
            </w:r>
          </w:p>
          <w:p w14:paraId="0132FBBF" w14:textId="77777777" w:rsidR="00FA6B33" w:rsidRPr="00E26ADF" w:rsidRDefault="00FA6B33" w:rsidP="00FA6B33">
            <w:pPr>
              <w:pStyle w:val="TblTextCenter"/>
              <w:rPr>
                <w:lang w:val="en-AU"/>
              </w:rPr>
            </w:pPr>
            <w:r w:rsidRPr="00E26ADF">
              <w:rPr>
                <w:lang w:val="en-AU"/>
              </w:rPr>
              <w:t>(3.28)</w:t>
            </w:r>
          </w:p>
        </w:tc>
        <w:tc>
          <w:tcPr>
            <w:tcW w:w="1169" w:type="dxa"/>
            <w:shd w:val="clear" w:color="auto" w:fill="auto"/>
          </w:tcPr>
          <w:p w14:paraId="1BF07846" w14:textId="77777777" w:rsidR="00FA6B33" w:rsidRPr="00E26ADF" w:rsidRDefault="00FA6B33" w:rsidP="00FA6B33">
            <w:pPr>
              <w:pStyle w:val="TblTextCenter"/>
              <w:rPr>
                <w:lang w:val="en-AU"/>
              </w:rPr>
            </w:pPr>
            <w:r w:rsidRPr="00E26ADF">
              <w:rPr>
                <w:lang w:val="en-AU"/>
              </w:rPr>
              <w:t>-72.3 % * (2.63)</w:t>
            </w:r>
          </w:p>
        </w:tc>
        <w:tc>
          <w:tcPr>
            <w:tcW w:w="851" w:type="dxa"/>
            <w:gridSpan w:val="2"/>
            <w:shd w:val="clear" w:color="auto" w:fill="auto"/>
          </w:tcPr>
          <w:p w14:paraId="7342DD82" w14:textId="77777777" w:rsidR="00FA6B33" w:rsidRPr="00E26ADF" w:rsidRDefault="00FA6B33" w:rsidP="00FA6B33">
            <w:pPr>
              <w:pStyle w:val="TblTextCenter"/>
              <w:rPr>
                <w:lang w:val="en-AU"/>
              </w:rPr>
            </w:pPr>
            <w:r w:rsidRPr="00E26ADF">
              <w:rPr>
                <w:lang w:val="en-AU"/>
              </w:rPr>
              <w:t>-72.0 %* (2.56)</w:t>
            </w:r>
          </w:p>
        </w:tc>
        <w:tc>
          <w:tcPr>
            <w:tcW w:w="978" w:type="dxa"/>
            <w:shd w:val="clear" w:color="auto" w:fill="auto"/>
          </w:tcPr>
          <w:p w14:paraId="6738C5E3" w14:textId="77777777" w:rsidR="00FA6B33" w:rsidRPr="00E26ADF" w:rsidRDefault="00FA6B33" w:rsidP="00FA6B33">
            <w:pPr>
              <w:pStyle w:val="TblTextCenter"/>
              <w:rPr>
                <w:lang w:val="en-AU"/>
              </w:rPr>
            </w:pPr>
            <w:r w:rsidRPr="00E26ADF">
              <w:rPr>
                <w:lang w:val="en-AU"/>
              </w:rPr>
              <w:t>-30.9 % (2.97)</w:t>
            </w:r>
          </w:p>
        </w:tc>
        <w:tc>
          <w:tcPr>
            <w:tcW w:w="1092" w:type="dxa"/>
            <w:shd w:val="clear" w:color="auto" w:fill="auto"/>
          </w:tcPr>
          <w:p w14:paraId="080C8F3A" w14:textId="77777777" w:rsidR="00FA6B33" w:rsidRPr="00E26ADF" w:rsidRDefault="00FA6B33" w:rsidP="00FA6B33">
            <w:pPr>
              <w:pStyle w:val="TblTextCenter"/>
              <w:rPr>
                <w:lang w:val="en-AU"/>
              </w:rPr>
            </w:pPr>
            <w:r w:rsidRPr="00E26ADF">
              <w:rPr>
                <w:lang w:val="en-AU"/>
              </w:rPr>
              <w:t>-67.1 % * (2.52)</w:t>
            </w:r>
          </w:p>
        </w:tc>
        <w:tc>
          <w:tcPr>
            <w:tcW w:w="2046" w:type="dxa"/>
            <w:tcBorders>
              <w:right w:val="nil"/>
            </w:tcBorders>
            <w:shd w:val="clear" w:color="auto" w:fill="auto"/>
          </w:tcPr>
          <w:p w14:paraId="64DF5DEA" w14:textId="77777777" w:rsidR="00FA6B33" w:rsidRDefault="00FA6B33" w:rsidP="00FA6B33">
            <w:pPr>
              <w:pStyle w:val="TblTextCenter"/>
              <w:rPr>
                <w:lang w:val="en-AU"/>
              </w:rPr>
            </w:pPr>
            <w:r w:rsidRPr="00E26ADF">
              <w:rPr>
                <w:lang w:val="en-AU"/>
              </w:rPr>
              <w:t xml:space="preserve">-69.1 %* </w:t>
            </w:r>
          </w:p>
          <w:p w14:paraId="6822BC89" w14:textId="77777777" w:rsidR="00FA6B33" w:rsidRPr="00E26ADF" w:rsidRDefault="00FA6B33" w:rsidP="00FA6B33">
            <w:pPr>
              <w:pStyle w:val="TblTextCenter"/>
              <w:rPr>
                <w:lang w:val="en-AU"/>
              </w:rPr>
            </w:pPr>
            <w:r w:rsidRPr="00E26ADF">
              <w:rPr>
                <w:lang w:val="en-AU"/>
              </w:rPr>
              <w:t>(2.49)</w:t>
            </w:r>
          </w:p>
        </w:tc>
      </w:tr>
      <w:tr w:rsidR="00FA6B33" w:rsidRPr="00E26ADF" w14:paraId="0AC476E3" w14:textId="77777777" w:rsidTr="00FA6B33">
        <w:trPr>
          <w:cantSplit/>
          <w:jc w:val="center"/>
        </w:trPr>
        <w:tc>
          <w:tcPr>
            <w:tcW w:w="2835" w:type="dxa"/>
            <w:tcBorders>
              <w:left w:val="nil"/>
            </w:tcBorders>
            <w:shd w:val="clear" w:color="auto" w:fill="auto"/>
          </w:tcPr>
          <w:p w14:paraId="1BA9F292" w14:textId="77777777" w:rsidR="00FA6B33" w:rsidRPr="00E26ADF" w:rsidRDefault="00FA6B33" w:rsidP="00FA6B33">
            <w:pPr>
              <w:pStyle w:val="TblTextCenter"/>
              <w:jc w:val="left"/>
              <w:rPr>
                <w:lang w:val="en-AU"/>
              </w:rPr>
            </w:pPr>
            <w:r w:rsidRPr="00E26ADF">
              <w:rPr>
                <w:lang w:val="en-AU"/>
              </w:rPr>
              <w:t>Pruritus NRS, LS mean % change from baseline (+/- SE)</w:t>
            </w:r>
          </w:p>
        </w:tc>
        <w:tc>
          <w:tcPr>
            <w:tcW w:w="1241" w:type="dxa"/>
            <w:gridSpan w:val="2"/>
            <w:shd w:val="clear" w:color="auto" w:fill="auto"/>
          </w:tcPr>
          <w:p w14:paraId="61CB9E5C" w14:textId="77777777" w:rsidR="00FA6B33" w:rsidRDefault="00FA6B33" w:rsidP="00FA6B33">
            <w:pPr>
              <w:pStyle w:val="TblTextCenter"/>
              <w:rPr>
                <w:lang w:val="en-AU"/>
              </w:rPr>
            </w:pPr>
            <w:r w:rsidRPr="00E26ADF">
              <w:rPr>
                <w:lang w:val="en-AU"/>
              </w:rPr>
              <w:t xml:space="preserve">-26.1% </w:t>
            </w:r>
          </w:p>
          <w:p w14:paraId="5B8708A9" w14:textId="77777777" w:rsidR="00FA6B33" w:rsidRPr="00E26ADF" w:rsidRDefault="00FA6B33" w:rsidP="00FA6B33">
            <w:pPr>
              <w:pStyle w:val="TblTextCenter"/>
              <w:rPr>
                <w:lang w:val="en-AU"/>
              </w:rPr>
            </w:pPr>
            <w:r w:rsidRPr="00E26ADF">
              <w:rPr>
                <w:lang w:val="en-AU"/>
              </w:rPr>
              <w:t>(3.02)</w:t>
            </w:r>
          </w:p>
        </w:tc>
        <w:tc>
          <w:tcPr>
            <w:tcW w:w="1169" w:type="dxa"/>
            <w:shd w:val="clear" w:color="auto" w:fill="auto"/>
          </w:tcPr>
          <w:p w14:paraId="6664220B" w14:textId="77777777" w:rsidR="00FA6B33" w:rsidRPr="00E26ADF" w:rsidRDefault="00FA6B33" w:rsidP="00FA6B33">
            <w:pPr>
              <w:pStyle w:val="TblTextCenter"/>
              <w:rPr>
                <w:lang w:val="en-AU"/>
              </w:rPr>
            </w:pPr>
            <w:r w:rsidRPr="00E26ADF">
              <w:rPr>
                <w:lang w:val="en-AU"/>
              </w:rPr>
              <w:t xml:space="preserve">-51.0%* </w:t>
            </w:r>
          </w:p>
          <w:p w14:paraId="2A7AFA5B" w14:textId="77777777" w:rsidR="00FA6B33" w:rsidRPr="00E26ADF" w:rsidRDefault="00FA6B33" w:rsidP="00FA6B33">
            <w:pPr>
              <w:pStyle w:val="TblTextCenter"/>
              <w:rPr>
                <w:lang w:val="en-AU"/>
              </w:rPr>
            </w:pPr>
            <w:r w:rsidRPr="00E26ADF">
              <w:rPr>
                <w:lang w:val="en-AU"/>
              </w:rPr>
              <w:t>(2.50)</w:t>
            </w:r>
          </w:p>
        </w:tc>
        <w:tc>
          <w:tcPr>
            <w:tcW w:w="851" w:type="dxa"/>
            <w:gridSpan w:val="2"/>
            <w:shd w:val="clear" w:color="auto" w:fill="auto"/>
          </w:tcPr>
          <w:p w14:paraId="4AE34049" w14:textId="77777777" w:rsidR="00FA6B33" w:rsidRPr="00E26ADF" w:rsidRDefault="00FA6B33" w:rsidP="00FA6B33">
            <w:pPr>
              <w:pStyle w:val="TblTextCenter"/>
              <w:rPr>
                <w:lang w:val="en-AU"/>
              </w:rPr>
            </w:pPr>
            <w:r w:rsidRPr="00E26ADF">
              <w:rPr>
                <w:lang w:val="en-AU"/>
              </w:rPr>
              <w:t>-48.9*</w:t>
            </w:r>
          </w:p>
          <w:p w14:paraId="0B261873" w14:textId="77777777" w:rsidR="00FA6B33" w:rsidRPr="00E26ADF" w:rsidRDefault="00FA6B33" w:rsidP="00FA6B33">
            <w:pPr>
              <w:pStyle w:val="TblTextCenter"/>
              <w:rPr>
                <w:lang w:val="en-AU"/>
              </w:rPr>
            </w:pPr>
            <w:r w:rsidRPr="00E26ADF">
              <w:rPr>
                <w:lang w:val="en-AU"/>
              </w:rPr>
              <w:t>(2.60)</w:t>
            </w:r>
          </w:p>
        </w:tc>
        <w:tc>
          <w:tcPr>
            <w:tcW w:w="978" w:type="dxa"/>
            <w:shd w:val="clear" w:color="auto" w:fill="auto"/>
          </w:tcPr>
          <w:p w14:paraId="4F84A4C8" w14:textId="77777777" w:rsidR="00FA6B33" w:rsidRPr="00E26ADF" w:rsidRDefault="00FA6B33" w:rsidP="00FA6B33">
            <w:pPr>
              <w:pStyle w:val="TblTextCenter"/>
              <w:rPr>
                <w:lang w:val="en-AU"/>
              </w:rPr>
            </w:pPr>
            <w:r w:rsidRPr="00E26ADF">
              <w:rPr>
                <w:lang w:val="en-AU"/>
              </w:rPr>
              <w:t xml:space="preserve">-15.4% </w:t>
            </w:r>
          </w:p>
          <w:p w14:paraId="2EB25E8E" w14:textId="77777777" w:rsidR="00FA6B33" w:rsidRPr="00E26ADF" w:rsidRDefault="00FA6B33" w:rsidP="00FA6B33">
            <w:pPr>
              <w:pStyle w:val="TblTextCenter"/>
              <w:rPr>
                <w:lang w:val="en-AU"/>
              </w:rPr>
            </w:pPr>
            <w:r w:rsidRPr="00E26ADF">
              <w:rPr>
                <w:lang w:val="en-AU"/>
              </w:rPr>
              <w:t>(2.98)</w:t>
            </w:r>
          </w:p>
        </w:tc>
        <w:tc>
          <w:tcPr>
            <w:tcW w:w="1092" w:type="dxa"/>
            <w:shd w:val="clear" w:color="auto" w:fill="auto"/>
          </w:tcPr>
          <w:p w14:paraId="0BE23585" w14:textId="77777777" w:rsidR="00FA6B33" w:rsidRPr="00E26ADF" w:rsidRDefault="00FA6B33" w:rsidP="00FA6B33">
            <w:pPr>
              <w:pStyle w:val="TblTextCenter"/>
              <w:rPr>
                <w:lang w:val="en-AU"/>
              </w:rPr>
            </w:pPr>
            <w:r w:rsidRPr="00E26ADF">
              <w:rPr>
                <w:lang w:val="en-AU"/>
              </w:rPr>
              <w:t xml:space="preserve">-44.3%* </w:t>
            </w:r>
          </w:p>
          <w:p w14:paraId="002BF12F" w14:textId="77777777" w:rsidR="00FA6B33" w:rsidRPr="00E26ADF" w:rsidRDefault="00FA6B33" w:rsidP="00FA6B33">
            <w:pPr>
              <w:pStyle w:val="TblTextCenter"/>
              <w:rPr>
                <w:lang w:val="en-AU"/>
              </w:rPr>
            </w:pPr>
            <w:r w:rsidRPr="00E26ADF">
              <w:rPr>
                <w:lang w:val="en-AU"/>
              </w:rPr>
              <w:t>(2.28)</w:t>
            </w:r>
          </w:p>
        </w:tc>
        <w:tc>
          <w:tcPr>
            <w:tcW w:w="2046" w:type="dxa"/>
            <w:tcBorders>
              <w:right w:val="nil"/>
            </w:tcBorders>
            <w:shd w:val="clear" w:color="auto" w:fill="auto"/>
          </w:tcPr>
          <w:p w14:paraId="30D03E97" w14:textId="77777777" w:rsidR="00FA6B33" w:rsidRPr="00E26ADF" w:rsidRDefault="00FA6B33" w:rsidP="00FA6B33">
            <w:pPr>
              <w:pStyle w:val="TblTextCenter"/>
              <w:rPr>
                <w:lang w:val="en-AU"/>
              </w:rPr>
            </w:pPr>
            <w:r w:rsidRPr="00E26ADF">
              <w:rPr>
                <w:lang w:val="en-AU"/>
              </w:rPr>
              <w:t>-48.3*</w:t>
            </w:r>
          </w:p>
          <w:p w14:paraId="3FFDE845" w14:textId="77777777" w:rsidR="00FA6B33" w:rsidRPr="00E26ADF" w:rsidRDefault="00FA6B33" w:rsidP="00FA6B33">
            <w:pPr>
              <w:pStyle w:val="TblTextCenter"/>
              <w:rPr>
                <w:lang w:val="en-AU"/>
              </w:rPr>
            </w:pPr>
            <w:r w:rsidRPr="00E26ADF">
              <w:rPr>
                <w:lang w:val="en-AU"/>
              </w:rPr>
              <w:t>(2.35)</w:t>
            </w:r>
          </w:p>
        </w:tc>
      </w:tr>
      <w:tr w:rsidR="00FA6B33" w:rsidRPr="00E26ADF" w14:paraId="0F1B2950" w14:textId="77777777" w:rsidTr="00FA6B33">
        <w:trPr>
          <w:cantSplit/>
          <w:jc w:val="center"/>
        </w:trPr>
        <w:tc>
          <w:tcPr>
            <w:tcW w:w="2835" w:type="dxa"/>
            <w:tcBorders>
              <w:left w:val="nil"/>
            </w:tcBorders>
            <w:shd w:val="clear" w:color="auto" w:fill="auto"/>
          </w:tcPr>
          <w:p w14:paraId="2E119172" w14:textId="216D0FAC" w:rsidR="00FA6B33" w:rsidRPr="00E26ADF" w:rsidRDefault="00FA6B33" w:rsidP="00FA6B33">
            <w:pPr>
              <w:pStyle w:val="TblTextCenter"/>
              <w:jc w:val="left"/>
              <w:rPr>
                <w:lang w:val="en-AU"/>
              </w:rPr>
            </w:pPr>
            <w:r w:rsidRPr="00E26ADF">
              <w:rPr>
                <w:lang w:val="en-AU"/>
              </w:rPr>
              <w:t>Number of patients with baseline pruritus NRS score</w:t>
            </w:r>
            <w:r w:rsidR="00F64F0A">
              <w:rPr>
                <w:lang w:val="en-AU"/>
              </w:rPr>
              <w:t xml:space="preserve"> </w:t>
            </w:r>
            <w:r w:rsidRPr="00E26ADF">
              <w:rPr>
                <w:lang w:val="en-AU"/>
              </w:rPr>
              <w:t>≥ 4</w:t>
            </w:r>
          </w:p>
        </w:tc>
        <w:tc>
          <w:tcPr>
            <w:tcW w:w="1241" w:type="dxa"/>
            <w:gridSpan w:val="2"/>
            <w:shd w:val="clear" w:color="auto" w:fill="auto"/>
          </w:tcPr>
          <w:p w14:paraId="730597FB" w14:textId="77777777" w:rsidR="00FA6B33" w:rsidRPr="00E26ADF" w:rsidRDefault="00FA6B33" w:rsidP="00FA6B33">
            <w:pPr>
              <w:pStyle w:val="TblTextCenter"/>
              <w:rPr>
                <w:lang w:val="en-AU"/>
              </w:rPr>
            </w:pPr>
            <w:r w:rsidRPr="00E26ADF">
              <w:rPr>
                <w:lang w:val="en-AU"/>
              </w:rPr>
              <w:t>212</w:t>
            </w:r>
          </w:p>
        </w:tc>
        <w:tc>
          <w:tcPr>
            <w:tcW w:w="1169" w:type="dxa"/>
            <w:shd w:val="clear" w:color="auto" w:fill="auto"/>
          </w:tcPr>
          <w:p w14:paraId="38A462A8" w14:textId="77777777" w:rsidR="00FA6B33" w:rsidRPr="00E26ADF" w:rsidRDefault="00FA6B33" w:rsidP="00FA6B33">
            <w:pPr>
              <w:pStyle w:val="TblTextCenter"/>
              <w:rPr>
                <w:lang w:val="en-AU"/>
              </w:rPr>
            </w:pPr>
            <w:r w:rsidRPr="00E26ADF">
              <w:rPr>
                <w:lang w:val="en-AU"/>
              </w:rPr>
              <w:t>213</w:t>
            </w:r>
          </w:p>
        </w:tc>
        <w:tc>
          <w:tcPr>
            <w:tcW w:w="851" w:type="dxa"/>
            <w:gridSpan w:val="2"/>
            <w:shd w:val="clear" w:color="auto" w:fill="auto"/>
          </w:tcPr>
          <w:p w14:paraId="1569A538" w14:textId="77777777" w:rsidR="00FA6B33" w:rsidRPr="00E26ADF" w:rsidRDefault="00FA6B33" w:rsidP="00FA6B33">
            <w:pPr>
              <w:pStyle w:val="TblTextCenter"/>
              <w:rPr>
                <w:lang w:val="en-AU"/>
              </w:rPr>
            </w:pPr>
            <w:r w:rsidRPr="00E26ADF">
              <w:rPr>
                <w:lang w:val="en-AU"/>
              </w:rPr>
              <w:t>201</w:t>
            </w:r>
          </w:p>
        </w:tc>
        <w:tc>
          <w:tcPr>
            <w:tcW w:w="978" w:type="dxa"/>
            <w:shd w:val="clear" w:color="auto" w:fill="auto"/>
          </w:tcPr>
          <w:p w14:paraId="10F41530" w14:textId="77777777" w:rsidR="00FA6B33" w:rsidRPr="00E26ADF" w:rsidRDefault="00FA6B33" w:rsidP="00FA6B33">
            <w:pPr>
              <w:pStyle w:val="TblTextCenter"/>
              <w:rPr>
                <w:lang w:val="en-AU"/>
              </w:rPr>
            </w:pPr>
            <w:r w:rsidRPr="00E26ADF">
              <w:rPr>
                <w:lang w:val="en-AU"/>
              </w:rPr>
              <w:t>221</w:t>
            </w:r>
          </w:p>
        </w:tc>
        <w:tc>
          <w:tcPr>
            <w:tcW w:w="1092" w:type="dxa"/>
            <w:shd w:val="clear" w:color="auto" w:fill="auto"/>
          </w:tcPr>
          <w:p w14:paraId="7EDD7C9E" w14:textId="77777777" w:rsidR="00FA6B33" w:rsidRPr="00E26ADF" w:rsidRDefault="00FA6B33" w:rsidP="00FA6B33">
            <w:pPr>
              <w:pStyle w:val="TblTextCenter"/>
              <w:rPr>
                <w:lang w:val="en-AU"/>
              </w:rPr>
            </w:pPr>
            <w:r w:rsidRPr="00E26ADF">
              <w:rPr>
                <w:lang w:val="en-AU"/>
              </w:rPr>
              <w:t>225</w:t>
            </w:r>
          </w:p>
        </w:tc>
        <w:tc>
          <w:tcPr>
            <w:tcW w:w="2046" w:type="dxa"/>
            <w:tcBorders>
              <w:right w:val="nil"/>
            </w:tcBorders>
            <w:shd w:val="clear" w:color="auto" w:fill="auto"/>
          </w:tcPr>
          <w:p w14:paraId="1202C3B8" w14:textId="77777777" w:rsidR="00FA6B33" w:rsidRPr="00E26ADF" w:rsidRDefault="00FA6B33" w:rsidP="00FA6B33">
            <w:pPr>
              <w:pStyle w:val="TblTextCenter"/>
              <w:rPr>
                <w:lang w:val="en-AU"/>
              </w:rPr>
            </w:pPr>
            <w:r w:rsidRPr="00E26ADF">
              <w:rPr>
                <w:lang w:val="en-AU"/>
              </w:rPr>
              <w:t>228</w:t>
            </w:r>
          </w:p>
        </w:tc>
      </w:tr>
      <w:tr w:rsidR="00FA6B33" w:rsidRPr="00E26ADF" w14:paraId="4E5C58DE" w14:textId="77777777" w:rsidTr="00FA6B33">
        <w:trPr>
          <w:cantSplit/>
          <w:jc w:val="center"/>
        </w:trPr>
        <w:tc>
          <w:tcPr>
            <w:tcW w:w="2835" w:type="dxa"/>
            <w:tcBorders>
              <w:left w:val="nil"/>
              <w:bottom w:val="single" w:sz="12" w:space="0" w:color="auto"/>
            </w:tcBorders>
            <w:shd w:val="clear" w:color="auto" w:fill="auto"/>
          </w:tcPr>
          <w:p w14:paraId="200C8FC5" w14:textId="77777777" w:rsidR="00FA6B33" w:rsidRPr="00E26ADF" w:rsidRDefault="00FA6B33" w:rsidP="00FA6B33">
            <w:pPr>
              <w:pStyle w:val="TblTextCenter"/>
              <w:jc w:val="left"/>
              <w:rPr>
                <w:lang w:val="en-AU"/>
              </w:rPr>
            </w:pPr>
            <w:r w:rsidRPr="00E26ADF">
              <w:rPr>
                <w:lang w:val="en-AU"/>
              </w:rPr>
              <w:t xml:space="preserve">Pruritus NRS (≥4-point improvement), % </w:t>
            </w:r>
            <w:proofErr w:type="spellStart"/>
            <w:r w:rsidRPr="00E26ADF">
              <w:rPr>
                <w:lang w:val="en-AU"/>
              </w:rPr>
              <w:t>responders</w:t>
            </w:r>
            <w:r w:rsidRPr="00E26ADF">
              <w:rPr>
                <w:vertAlign w:val="superscript"/>
                <w:lang w:val="en-AU"/>
              </w:rPr>
              <w:t>c</w:t>
            </w:r>
            <w:proofErr w:type="spellEnd"/>
            <w:r w:rsidRPr="00E26ADF">
              <w:rPr>
                <w:vertAlign w:val="superscript"/>
                <w:lang w:val="en-AU"/>
              </w:rPr>
              <w:t>, d</w:t>
            </w:r>
          </w:p>
        </w:tc>
        <w:tc>
          <w:tcPr>
            <w:tcW w:w="1241" w:type="dxa"/>
            <w:gridSpan w:val="2"/>
            <w:tcBorders>
              <w:bottom w:val="single" w:sz="12" w:space="0" w:color="auto"/>
            </w:tcBorders>
            <w:shd w:val="clear" w:color="auto" w:fill="auto"/>
          </w:tcPr>
          <w:p w14:paraId="1CF44AC4" w14:textId="77777777" w:rsidR="00FA6B33" w:rsidRPr="00E26ADF" w:rsidRDefault="00FA6B33" w:rsidP="00FA6B33">
            <w:pPr>
              <w:pStyle w:val="TblTextCenter"/>
              <w:rPr>
                <w:lang w:val="en-AU"/>
              </w:rPr>
            </w:pPr>
            <w:r w:rsidRPr="00E26ADF">
              <w:rPr>
                <w:lang w:val="en-AU"/>
              </w:rPr>
              <w:t>12.3 %</w:t>
            </w:r>
          </w:p>
          <w:p w14:paraId="62E4FEA4" w14:textId="77777777" w:rsidR="00FA6B33" w:rsidRPr="00E26ADF" w:rsidRDefault="00FA6B33" w:rsidP="00FA6B33">
            <w:pPr>
              <w:pStyle w:val="TblTextCenter"/>
              <w:rPr>
                <w:lang w:val="en-AU"/>
              </w:rPr>
            </w:pPr>
          </w:p>
        </w:tc>
        <w:tc>
          <w:tcPr>
            <w:tcW w:w="1169" w:type="dxa"/>
            <w:tcBorders>
              <w:bottom w:val="single" w:sz="12" w:space="0" w:color="auto"/>
            </w:tcBorders>
            <w:shd w:val="clear" w:color="auto" w:fill="auto"/>
          </w:tcPr>
          <w:p w14:paraId="0609D7B0" w14:textId="77777777" w:rsidR="00FA6B33" w:rsidRPr="00E26ADF" w:rsidRDefault="00FA6B33" w:rsidP="00FA6B33">
            <w:pPr>
              <w:pStyle w:val="TblTextCenter"/>
              <w:rPr>
                <w:lang w:val="en-AU"/>
              </w:rPr>
            </w:pPr>
            <w:r w:rsidRPr="00E26ADF">
              <w:rPr>
                <w:lang w:val="en-AU"/>
              </w:rPr>
              <w:t>40.8 %*</w:t>
            </w:r>
          </w:p>
          <w:p w14:paraId="42A422F3" w14:textId="77777777" w:rsidR="00FA6B33" w:rsidRPr="00E26ADF" w:rsidRDefault="00FA6B33" w:rsidP="00FA6B33">
            <w:pPr>
              <w:pStyle w:val="TblTextCenter"/>
              <w:rPr>
                <w:lang w:val="en-AU"/>
              </w:rPr>
            </w:pPr>
          </w:p>
        </w:tc>
        <w:tc>
          <w:tcPr>
            <w:tcW w:w="851" w:type="dxa"/>
            <w:gridSpan w:val="2"/>
            <w:tcBorders>
              <w:bottom w:val="single" w:sz="12" w:space="0" w:color="auto"/>
            </w:tcBorders>
            <w:shd w:val="clear" w:color="auto" w:fill="auto"/>
          </w:tcPr>
          <w:p w14:paraId="2DDD9DF8" w14:textId="77777777" w:rsidR="00FA6B33" w:rsidRPr="00E26ADF" w:rsidRDefault="00FA6B33" w:rsidP="00FA6B33">
            <w:pPr>
              <w:pStyle w:val="TblTextCenter"/>
              <w:rPr>
                <w:lang w:val="en-AU"/>
              </w:rPr>
            </w:pPr>
            <w:r w:rsidRPr="00E26ADF">
              <w:rPr>
                <w:lang w:val="en-AU"/>
              </w:rPr>
              <w:t xml:space="preserve">40.3 %* </w:t>
            </w:r>
          </w:p>
        </w:tc>
        <w:tc>
          <w:tcPr>
            <w:tcW w:w="978" w:type="dxa"/>
            <w:tcBorders>
              <w:bottom w:val="single" w:sz="12" w:space="0" w:color="auto"/>
            </w:tcBorders>
            <w:shd w:val="clear" w:color="auto" w:fill="auto"/>
          </w:tcPr>
          <w:p w14:paraId="2A01F6D5" w14:textId="77777777" w:rsidR="00FA6B33" w:rsidRPr="00E26ADF" w:rsidRDefault="00FA6B33" w:rsidP="00FA6B33">
            <w:pPr>
              <w:pStyle w:val="TblTextCenter"/>
              <w:rPr>
                <w:lang w:val="en-AU"/>
              </w:rPr>
            </w:pPr>
            <w:r w:rsidRPr="00E26ADF">
              <w:rPr>
                <w:lang w:val="en-AU"/>
              </w:rPr>
              <w:t>9.5%</w:t>
            </w:r>
          </w:p>
          <w:p w14:paraId="286704A6" w14:textId="77777777" w:rsidR="00FA6B33" w:rsidRPr="00E26ADF" w:rsidRDefault="00FA6B33" w:rsidP="00FA6B33">
            <w:pPr>
              <w:pStyle w:val="TblTextCenter"/>
              <w:rPr>
                <w:lang w:val="en-AU"/>
              </w:rPr>
            </w:pPr>
          </w:p>
        </w:tc>
        <w:tc>
          <w:tcPr>
            <w:tcW w:w="1092" w:type="dxa"/>
            <w:tcBorders>
              <w:bottom w:val="single" w:sz="12" w:space="0" w:color="auto"/>
            </w:tcBorders>
            <w:shd w:val="clear" w:color="auto" w:fill="auto"/>
          </w:tcPr>
          <w:p w14:paraId="132A21C9" w14:textId="77777777" w:rsidR="00FA6B33" w:rsidRPr="00E26ADF" w:rsidRDefault="00FA6B33" w:rsidP="00FA6B33">
            <w:pPr>
              <w:pStyle w:val="TblTextCenter"/>
              <w:rPr>
                <w:lang w:val="en-AU"/>
              </w:rPr>
            </w:pPr>
            <w:r w:rsidRPr="00E26ADF">
              <w:rPr>
                <w:lang w:val="en-AU"/>
              </w:rPr>
              <w:t>36.0 %*</w:t>
            </w:r>
          </w:p>
          <w:p w14:paraId="525EC874" w14:textId="77777777" w:rsidR="00FA6B33" w:rsidRPr="00E26ADF" w:rsidRDefault="00FA6B33" w:rsidP="00FA6B33">
            <w:pPr>
              <w:pStyle w:val="TblTextCenter"/>
              <w:rPr>
                <w:lang w:val="en-AU"/>
              </w:rPr>
            </w:pPr>
          </w:p>
        </w:tc>
        <w:tc>
          <w:tcPr>
            <w:tcW w:w="2046" w:type="dxa"/>
            <w:tcBorders>
              <w:bottom w:val="single" w:sz="12" w:space="0" w:color="auto"/>
              <w:right w:val="nil"/>
            </w:tcBorders>
            <w:shd w:val="clear" w:color="auto" w:fill="auto"/>
          </w:tcPr>
          <w:p w14:paraId="193CD8F8" w14:textId="77777777" w:rsidR="00FA6B33" w:rsidRPr="00E26ADF" w:rsidRDefault="00FA6B33" w:rsidP="00FA6B33">
            <w:pPr>
              <w:pStyle w:val="TblTextCenter"/>
              <w:rPr>
                <w:lang w:val="en-AU"/>
              </w:rPr>
            </w:pPr>
            <w:r w:rsidRPr="00E26ADF">
              <w:rPr>
                <w:lang w:val="en-AU"/>
              </w:rPr>
              <w:t xml:space="preserve">39.0 %* </w:t>
            </w:r>
          </w:p>
        </w:tc>
      </w:tr>
      <w:tr w:rsidR="00FA6B33" w:rsidRPr="00E26ADF" w14:paraId="45E362E4" w14:textId="77777777" w:rsidTr="00FA6B33">
        <w:trPr>
          <w:cantSplit/>
          <w:jc w:val="center"/>
        </w:trPr>
        <w:tc>
          <w:tcPr>
            <w:tcW w:w="10212" w:type="dxa"/>
            <w:gridSpan w:val="9"/>
            <w:tcBorders>
              <w:top w:val="single" w:sz="12" w:space="0" w:color="auto"/>
              <w:left w:val="nil"/>
              <w:right w:val="nil"/>
            </w:tcBorders>
            <w:shd w:val="clear" w:color="auto" w:fill="auto"/>
          </w:tcPr>
          <w:p w14:paraId="47CA0E05" w14:textId="765407ED" w:rsidR="00FA6B33" w:rsidRPr="00E26ADF" w:rsidRDefault="00FA6B33" w:rsidP="00FA6B33">
            <w:pPr>
              <w:pStyle w:val="TblFigFootnote"/>
              <w:rPr>
                <w:lang w:val="en-AU"/>
              </w:rPr>
            </w:pPr>
            <w:r w:rsidRPr="00E26ADF">
              <w:rPr>
                <w:lang w:val="en-AU"/>
              </w:rPr>
              <w:t>a Full analysis set (FAS) includes all patients randomi</w:t>
            </w:r>
            <w:r w:rsidR="002C171C" w:rsidRPr="00F64F0A">
              <w:rPr>
                <w:lang w:val="en-AU"/>
              </w:rPr>
              <w:t>s</w:t>
            </w:r>
            <w:r w:rsidRPr="00E26ADF">
              <w:rPr>
                <w:lang w:val="en-AU"/>
              </w:rPr>
              <w:t>ed.</w:t>
            </w:r>
          </w:p>
          <w:p w14:paraId="2D88B9B3" w14:textId="77777777" w:rsidR="00FA6B33" w:rsidRPr="00E26ADF" w:rsidRDefault="00FA6B33" w:rsidP="00FA6B33">
            <w:pPr>
              <w:pStyle w:val="TblFigFootnote"/>
              <w:rPr>
                <w:lang w:val="en-AU"/>
              </w:rPr>
            </w:pPr>
            <w:r w:rsidRPr="00E26ADF">
              <w:rPr>
                <w:lang w:val="en-AU"/>
              </w:rPr>
              <w:t xml:space="preserve">b Responder was defined as a patient with IGA 0 or 1 (“clear” or “almost clear”) with a reduction of </w:t>
            </w:r>
            <w:r w:rsidRPr="00E26ADF">
              <w:rPr>
                <w:b/>
                <w:lang w:val="en-AU"/>
              </w:rPr>
              <w:t>≥</w:t>
            </w:r>
            <w:r w:rsidRPr="00E26ADF">
              <w:rPr>
                <w:lang w:val="en-AU"/>
              </w:rPr>
              <w:t xml:space="preserve"> 2 points on a 0-4 IGA scale.</w:t>
            </w:r>
          </w:p>
          <w:p w14:paraId="7148C05F" w14:textId="77777777" w:rsidR="00FA6B33" w:rsidRPr="00E26ADF" w:rsidRDefault="00FA6B33" w:rsidP="00FA6B33">
            <w:pPr>
              <w:pStyle w:val="TblFigFootnote"/>
              <w:rPr>
                <w:lang w:val="en-AU"/>
              </w:rPr>
            </w:pPr>
            <w:r w:rsidRPr="00E26ADF">
              <w:rPr>
                <w:lang w:val="en-AU"/>
              </w:rPr>
              <w:t>c Patients who received rescue treatment or with missing data were considered as non-responders.</w:t>
            </w:r>
          </w:p>
          <w:p w14:paraId="0F08ED22" w14:textId="77777777" w:rsidR="00FA6B33" w:rsidRPr="00E26ADF" w:rsidRDefault="00FA6B33" w:rsidP="00FA6B33">
            <w:pPr>
              <w:pStyle w:val="TblFigFootnote"/>
              <w:rPr>
                <w:lang w:val="en-AU"/>
              </w:rPr>
            </w:pPr>
            <w:r w:rsidRPr="00E26ADF">
              <w:rPr>
                <w:lang w:val="en-AU"/>
              </w:rPr>
              <w:t>d a significantly greater proportion of patients on Dupixent had improvement in pruritus NRS of ≥4 points compared to placebo at week 2 (p&lt;0.01).</w:t>
            </w:r>
          </w:p>
          <w:p w14:paraId="647DE520" w14:textId="77777777" w:rsidR="00FA6B33" w:rsidRPr="00E26ADF" w:rsidRDefault="00FA6B33" w:rsidP="00FA6B33">
            <w:pPr>
              <w:pStyle w:val="TblFigFootnote"/>
              <w:rPr>
                <w:lang w:val="en-AU"/>
              </w:rPr>
            </w:pPr>
            <w:r w:rsidRPr="00E26ADF">
              <w:rPr>
                <w:lang w:val="en-AU"/>
              </w:rPr>
              <w:t>*p-value &lt;0.0001</w:t>
            </w:r>
          </w:p>
          <w:p w14:paraId="4CCBEA2B" w14:textId="77777777" w:rsidR="00FA6B33" w:rsidRPr="00E26ADF" w:rsidRDefault="00FA6B33" w:rsidP="00FA6B33">
            <w:pPr>
              <w:pStyle w:val="TblFigFootnote"/>
              <w:rPr>
                <w:lang w:val="en-AU"/>
              </w:rPr>
            </w:pPr>
            <w:r w:rsidRPr="00E26ADF">
              <w:rPr>
                <w:lang w:val="en-AU"/>
              </w:rPr>
              <w:t>LS = least squares SE= standard error</w:t>
            </w:r>
          </w:p>
        </w:tc>
      </w:tr>
    </w:tbl>
    <w:p w14:paraId="21F69B38" w14:textId="71B245FD" w:rsidR="00317701" w:rsidRPr="00F64F0A" w:rsidRDefault="00317701" w:rsidP="009E79D0">
      <w:pPr>
        <w:pStyle w:val="Caption"/>
        <w:jc w:val="left"/>
        <w:rPr>
          <w:lang w:val="en-AU"/>
        </w:rPr>
      </w:pPr>
      <w:bookmarkStart w:id="18" w:name="_Ref22571643"/>
      <w:r w:rsidRPr="00F64F0A">
        <w:rPr>
          <w:lang w:val="en-AU"/>
        </w:rPr>
        <w:lastRenderedPageBreak/>
        <w:t>Figure </w:t>
      </w:r>
      <w:r w:rsidRPr="00F64F0A">
        <w:rPr>
          <w:lang w:val="en-AU"/>
        </w:rPr>
        <w:fldChar w:fldCharType="begin"/>
      </w:r>
      <w:r w:rsidRPr="00F64F0A">
        <w:rPr>
          <w:lang w:val="en-AU"/>
        </w:rPr>
        <w:instrText xml:space="preserve"> SEQ Figure \* ARABIC </w:instrText>
      </w:r>
      <w:r w:rsidRPr="00F64F0A">
        <w:rPr>
          <w:lang w:val="en-AU"/>
        </w:rPr>
        <w:fldChar w:fldCharType="separate"/>
      </w:r>
      <w:r w:rsidR="00E123A5">
        <w:rPr>
          <w:noProof/>
          <w:lang w:val="en-AU"/>
        </w:rPr>
        <w:t>1</w:t>
      </w:r>
      <w:r w:rsidRPr="00F64F0A">
        <w:rPr>
          <w:lang w:val="en-AU"/>
        </w:rPr>
        <w:fldChar w:fldCharType="end"/>
      </w:r>
      <w:bookmarkEnd w:id="18"/>
      <w:r w:rsidRPr="00F64F0A">
        <w:rPr>
          <w:lang w:val="en-AU"/>
        </w:rPr>
        <w:t xml:space="preserve"> ­ Proportion of Patients with IGA 0 or 1a in </w:t>
      </w:r>
      <w:r w:rsidR="00854DEE" w:rsidRPr="00F64F0A">
        <w:rPr>
          <w:lang w:val="en-AU"/>
        </w:rPr>
        <w:t>SOLO 1</w:t>
      </w:r>
      <w:r w:rsidR="00240A8C" w:rsidRPr="00F64F0A">
        <w:rPr>
          <w:lang w:val="en-AU"/>
        </w:rPr>
        <w:t xml:space="preserve"> </w:t>
      </w:r>
      <w:r w:rsidR="00854DEE" w:rsidRPr="00F64F0A">
        <w:rPr>
          <w:lang w:val="en-AU"/>
        </w:rPr>
        <w:t>(</w:t>
      </w:r>
      <w:r w:rsidRPr="00F64F0A">
        <w:rPr>
          <w:lang w:val="en-AU"/>
        </w:rPr>
        <w:t>Study 1334</w:t>
      </w:r>
      <w:r w:rsidR="00854DEE" w:rsidRPr="00F64F0A">
        <w:rPr>
          <w:lang w:val="en-AU"/>
        </w:rPr>
        <w:t>)</w:t>
      </w:r>
      <w:r w:rsidRPr="00F64F0A">
        <w:rPr>
          <w:lang w:val="en-AU"/>
        </w:rPr>
        <w:t xml:space="preserve"> and </w:t>
      </w:r>
      <w:r w:rsidR="000672A5" w:rsidRPr="00F64F0A">
        <w:rPr>
          <w:lang w:val="en-AU"/>
        </w:rPr>
        <w:t>SOLO 2</w:t>
      </w:r>
      <w:r w:rsidR="00240A8C" w:rsidRPr="00F64F0A">
        <w:rPr>
          <w:lang w:val="en-AU"/>
        </w:rPr>
        <w:t xml:space="preserve"> </w:t>
      </w:r>
      <w:r w:rsidR="000672A5" w:rsidRPr="00F64F0A">
        <w:rPr>
          <w:lang w:val="en-AU"/>
        </w:rPr>
        <w:t>(S</w:t>
      </w:r>
      <w:r w:rsidRPr="00F64F0A">
        <w:rPr>
          <w:lang w:val="en-AU"/>
        </w:rPr>
        <w:t>tudy 1416</w:t>
      </w:r>
      <w:r w:rsidR="000672A5" w:rsidRPr="00F64F0A">
        <w:rPr>
          <w:lang w:val="en-AU"/>
        </w:rPr>
        <w:t>)</w:t>
      </w:r>
      <w:r w:rsidRPr="00F64F0A">
        <w:rPr>
          <w:lang w:val="en-AU"/>
        </w:rPr>
        <w:t xml:space="preserve"> (FAS)</w:t>
      </w:r>
    </w:p>
    <w:p w14:paraId="77667F1F" w14:textId="12511C5C" w:rsidR="009E79D0" w:rsidRDefault="00317701" w:rsidP="00FC2300">
      <w:pPr>
        <w:spacing w:before="0"/>
        <w:rPr>
          <w:rFonts w:ascii="Arial Narrow" w:hAnsi="Arial Narrow"/>
          <w:sz w:val="18"/>
          <w:szCs w:val="18"/>
        </w:rPr>
      </w:pPr>
      <w:r w:rsidRPr="00E26ADF">
        <w:rPr>
          <w:rFonts w:ascii="Cambria" w:hAnsi="Cambria"/>
          <w:noProof/>
          <w:lang w:eastAsia="en-AU"/>
        </w:rPr>
        <w:drawing>
          <wp:inline distT="0" distB="0" distL="0" distR="0" wp14:anchorId="55524DA3" wp14:editId="2C794ADA">
            <wp:extent cx="5038725" cy="2631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103" cy="2639905"/>
                    </a:xfrm>
                    <a:prstGeom prst="rect">
                      <a:avLst/>
                    </a:prstGeom>
                    <a:noFill/>
                    <a:ln>
                      <a:noFill/>
                    </a:ln>
                  </pic:spPr>
                </pic:pic>
              </a:graphicData>
            </a:graphic>
          </wp:inline>
        </w:drawing>
      </w:r>
      <w:r w:rsidRPr="00E26ADF">
        <w:rPr>
          <w:rFonts w:ascii="Arial Narrow" w:hAnsi="Arial Narrow"/>
          <w:sz w:val="18"/>
          <w:szCs w:val="18"/>
        </w:rPr>
        <w:t>a Responder was defined as a patient with IGA 0 or 1 (“clear” or “almost clear”) with a reduction of ≥ 2 points on a 0-4 IGA scale.</w:t>
      </w:r>
      <w:r w:rsidR="00FC2300" w:rsidRPr="00E26ADF">
        <w:rPr>
          <w:rFonts w:ascii="Arial Narrow" w:hAnsi="Arial Narrow"/>
          <w:sz w:val="18"/>
          <w:szCs w:val="18"/>
        </w:rPr>
        <w:br/>
      </w:r>
      <w:r w:rsidRPr="00E26ADF">
        <w:rPr>
          <w:rFonts w:ascii="Arial Narrow" w:hAnsi="Arial Narrow"/>
          <w:sz w:val="18"/>
          <w:szCs w:val="18"/>
        </w:rPr>
        <w:t>b</w:t>
      </w:r>
      <w:r w:rsidR="00FC2300" w:rsidRPr="00E26ADF">
        <w:rPr>
          <w:rFonts w:ascii="Arial Narrow" w:hAnsi="Arial Narrow"/>
          <w:sz w:val="18"/>
          <w:szCs w:val="18"/>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above)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rPr>
        <w:t>c</w:t>
      </w:r>
      <w:r w:rsidR="00FC2300" w:rsidRPr="00E26ADF">
        <w:rPr>
          <w:rFonts w:ascii="Arial Narrow" w:hAnsi="Arial Narrow"/>
          <w:sz w:val="18"/>
          <w:szCs w:val="18"/>
        </w:rPr>
        <w:t xml:space="preserve"> </w:t>
      </w:r>
      <w:r w:rsidRPr="00E26ADF">
        <w:rPr>
          <w:rFonts w:ascii="Arial Narrow" w:hAnsi="Arial Narrow"/>
          <w:sz w:val="18"/>
          <w:szCs w:val="18"/>
        </w:rPr>
        <w:t>Full analysis set (FAS) inc</w:t>
      </w:r>
      <w:r w:rsidR="00FC2300" w:rsidRPr="00E26ADF">
        <w:rPr>
          <w:rFonts w:ascii="Arial Narrow" w:hAnsi="Arial Narrow"/>
          <w:sz w:val="18"/>
          <w:szCs w:val="18"/>
        </w:rPr>
        <w:t xml:space="preserve">ludes all patients </w:t>
      </w:r>
      <w:proofErr w:type="spellStart"/>
      <w:r w:rsidR="00FC2300" w:rsidRPr="00E26ADF">
        <w:rPr>
          <w:rFonts w:ascii="Arial Narrow" w:hAnsi="Arial Narrow"/>
          <w:sz w:val="18"/>
          <w:szCs w:val="18"/>
        </w:rPr>
        <w:t>randomi</w:t>
      </w:r>
      <w:r w:rsidR="002C171C" w:rsidRPr="00F64F0A">
        <w:rPr>
          <w:rFonts w:ascii="Arial Narrow" w:hAnsi="Arial Narrow"/>
          <w:sz w:val="18"/>
          <w:szCs w:val="18"/>
        </w:rPr>
        <w:t>s</w:t>
      </w:r>
      <w:r w:rsidR="00FC2300" w:rsidRPr="00E26ADF">
        <w:rPr>
          <w:rFonts w:ascii="Arial Narrow" w:hAnsi="Arial Narrow"/>
          <w:sz w:val="18"/>
          <w:szCs w:val="18"/>
        </w:rPr>
        <w:t>ed</w:t>
      </w:r>
      <w:proofErr w:type="spellEnd"/>
      <w:r w:rsidR="00FC2300" w:rsidRPr="00E26ADF">
        <w:rPr>
          <w:rFonts w:ascii="Arial Narrow" w:hAnsi="Arial Narrow"/>
          <w:sz w:val="18"/>
          <w:szCs w:val="18"/>
        </w:rPr>
        <w:t>.</w:t>
      </w:r>
    </w:p>
    <w:p w14:paraId="4CB9ABD2" w14:textId="0A016C30" w:rsidR="003F089D" w:rsidRDefault="003F089D" w:rsidP="00FC2300">
      <w:pPr>
        <w:spacing w:before="0"/>
        <w:rPr>
          <w:rFonts w:ascii="Arial Narrow" w:hAnsi="Arial Narrow"/>
          <w:sz w:val="18"/>
          <w:szCs w:val="18"/>
        </w:rPr>
      </w:pPr>
    </w:p>
    <w:p w14:paraId="73A01931" w14:textId="5FF37000" w:rsidR="003F089D" w:rsidRDefault="003F089D" w:rsidP="00FC2300">
      <w:pPr>
        <w:spacing w:before="0"/>
        <w:rPr>
          <w:rFonts w:ascii="Arial Narrow" w:hAnsi="Arial Narrow"/>
          <w:sz w:val="18"/>
          <w:szCs w:val="18"/>
        </w:rPr>
      </w:pPr>
    </w:p>
    <w:p w14:paraId="191C8BF1" w14:textId="77314B27" w:rsidR="003F089D" w:rsidRDefault="003F089D" w:rsidP="00FC2300">
      <w:pPr>
        <w:spacing w:before="0"/>
        <w:rPr>
          <w:rFonts w:ascii="Arial Narrow" w:hAnsi="Arial Narrow"/>
          <w:sz w:val="18"/>
          <w:szCs w:val="18"/>
        </w:rPr>
      </w:pPr>
    </w:p>
    <w:p w14:paraId="391D169F" w14:textId="2BF9AA8E" w:rsidR="003F089D" w:rsidRDefault="003F089D" w:rsidP="00FC2300">
      <w:pPr>
        <w:spacing w:before="0"/>
        <w:rPr>
          <w:rFonts w:ascii="Arial Narrow" w:hAnsi="Arial Narrow"/>
          <w:sz w:val="18"/>
          <w:szCs w:val="18"/>
        </w:rPr>
      </w:pPr>
    </w:p>
    <w:p w14:paraId="2410C66E" w14:textId="32993052" w:rsidR="003F089D" w:rsidRDefault="003F089D" w:rsidP="00FC2300">
      <w:pPr>
        <w:spacing w:before="0"/>
        <w:rPr>
          <w:rFonts w:ascii="Arial Narrow" w:hAnsi="Arial Narrow"/>
          <w:sz w:val="18"/>
          <w:szCs w:val="18"/>
        </w:rPr>
      </w:pPr>
    </w:p>
    <w:p w14:paraId="39DF82C5" w14:textId="4EA89642" w:rsidR="003F089D" w:rsidRDefault="003F089D" w:rsidP="00FC2300">
      <w:pPr>
        <w:spacing w:before="0"/>
        <w:rPr>
          <w:rFonts w:ascii="Arial Narrow" w:hAnsi="Arial Narrow"/>
          <w:sz w:val="18"/>
          <w:szCs w:val="18"/>
        </w:rPr>
      </w:pPr>
    </w:p>
    <w:p w14:paraId="349941E3" w14:textId="7681681F" w:rsidR="003F089D" w:rsidRDefault="003F089D" w:rsidP="00FC2300">
      <w:pPr>
        <w:spacing w:before="0"/>
        <w:rPr>
          <w:rFonts w:ascii="Arial Narrow" w:hAnsi="Arial Narrow"/>
          <w:sz w:val="18"/>
          <w:szCs w:val="18"/>
        </w:rPr>
      </w:pPr>
    </w:p>
    <w:p w14:paraId="5D84521D" w14:textId="384F0F42" w:rsidR="003F089D" w:rsidRDefault="003F089D" w:rsidP="00FC2300">
      <w:pPr>
        <w:spacing w:before="0"/>
        <w:rPr>
          <w:rFonts w:ascii="Arial Narrow" w:hAnsi="Arial Narrow"/>
          <w:sz w:val="18"/>
          <w:szCs w:val="18"/>
        </w:rPr>
      </w:pPr>
    </w:p>
    <w:p w14:paraId="4C091FF5" w14:textId="151BD0B3" w:rsidR="003F089D" w:rsidRDefault="003F089D" w:rsidP="00FC2300">
      <w:pPr>
        <w:spacing w:before="0"/>
        <w:rPr>
          <w:rFonts w:ascii="Arial Narrow" w:hAnsi="Arial Narrow"/>
          <w:sz w:val="18"/>
          <w:szCs w:val="18"/>
        </w:rPr>
      </w:pPr>
    </w:p>
    <w:p w14:paraId="67221C92" w14:textId="22AEFA10" w:rsidR="003F089D" w:rsidRDefault="003F089D" w:rsidP="00FC2300">
      <w:pPr>
        <w:spacing w:before="0"/>
        <w:rPr>
          <w:rFonts w:ascii="Arial Narrow" w:hAnsi="Arial Narrow"/>
          <w:sz w:val="18"/>
          <w:szCs w:val="18"/>
        </w:rPr>
      </w:pPr>
    </w:p>
    <w:p w14:paraId="2DBBF64E" w14:textId="1EE4D48C" w:rsidR="003F089D" w:rsidRDefault="003F089D" w:rsidP="00FC2300">
      <w:pPr>
        <w:spacing w:before="0"/>
        <w:rPr>
          <w:rFonts w:ascii="Arial Narrow" w:hAnsi="Arial Narrow"/>
          <w:sz w:val="18"/>
          <w:szCs w:val="18"/>
        </w:rPr>
      </w:pPr>
    </w:p>
    <w:p w14:paraId="4BBAB9E7" w14:textId="557AB1DA" w:rsidR="003F089D" w:rsidRDefault="003F089D" w:rsidP="00FC2300">
      <w:pPr>
        <w:spacing w:before="0"/>
        <w:rPr>
          <w:rFonts w:ascii="Arial Narrow" w:hAnsi="Arial Narrow"/>
          <w:sz w:val="18"/>
          <w:szCs w:val="18"/>
        </w:rPr>
      </w:pPr>
    </w:p>
    <w:p w14:paraId="5F05D75A" w14:textId="7E238BC1" w:rsidR="003F089D" w:rsidRDefault="003F089D" w:rsidP="00FC2300">
      <w:pPr>
        <w:spacing w:before="0"/>
        <w:rPr>
          <w:rFonts w:ascii="Arial Narrow" w:hAnsi="Arial Narrow"/>
          <w:sz w:val="18"/>
          <w:szCs w:val="18"/>
        </w:rPr>
      </w:pPr>
    </w:p>
    <w:p w14:paraId="34B5792E" w14:textId="30F69C2C" w:rsidR="003F089D" w:rsidRDefault="003F089D" w:rsidP="00FC2300">
      <w:pPr>
        <w:spacing w:before="0"/>
        <w:rPr>
          <w:rFonts w:ascii="Arial Narrow" w:hAnsi="Arial Narrow"/>
          <w:sz w:val="18"/>
          <w:szCs w:val="18"/>
        </w:rPr>
      </w:pPr>
    </w:p>
    <w:p w14:paraId="7FD2223E" w14:textId="3B7891B2" w:rsidR="003F089D" w:rsidRDefault="003F089D" w:rsidP="00FC2300">
      <w:pPr>
        <w:spacing w:before="0"/>
        <w:rPr>
          <w:rFonts w:ascii="Arial Narrow" w:hAnsi="Arial Narrow"/>
          <w:sz w:val="18"/>
          <w:szCs w:val="18"/>
        </w:rPr>
      </w:pPr>
    </w:p>
    <w:p w14:paraId="1B7A262B" w14:textId="3817048E" w:rsidR="003F089D" w:rsidRDefault="003F089D" w:rsidP="00FC2300">
      <w:pPr>
        <w:spacing w:before="0"/>
        <w:rPr>
          <w:rFonts w:ascii="Arial Narrow" w:hAnsi="Arial Narrow"/>
          <w:sz w:val="18"/>
          <w:szCs w:val="18"/>
        </w:rPr>
      </w:pPr>
    </w:p>
    <w:p w14:paraId="6616999E" w14:textId="0C104108" w:rsidR="003F089D" w:rsidRDefault="003F089D" w:rsidP="00FC2300">
      <w:pPr>
        <w:spacing w:before="0"/>
        <w:rPr>
          <w:rFonts w:ascii="Arial Narrow" w:hAnsi="Arial Narrow"/>
          <w:sz w:val="18"/>
          <w:szCs w:val="18"/>
        </w:rPr>
      </w:pPr>
    </w:p>
    <w:p w14:paraId="669B8255" w14:textId="77777777" w:rsidR="003F089D" w:rsidRDefault="003F089D" w:rsidP="00FC2300">
      <w:pPr>
        <w:spacing w:before="0"/>
        <w:rPr>
          <w:rFonts w:ascii="Arial Narrow" w:hAnsi="Arial Narrow"/>
          <w:sz w:val="18"/>
          <w:szCs w:val="18"/>
        </w:rPr>
      </w:pPr>
    </w:p>
    <w:p w14:paraId="1F0EDFE9" w14:textId="035C2374" w:rsidR="00317701" w:rsidRPr="00E26ADF" w:rsidRDefault="00317701" w:rsidP="003F089D">
      <w:pPr>
        <w:pStyle w:val="Caption"/>
        <w:spacing w:before="240"/>
        <w:rPr>
          <w:lang w:val="en-AU"/>
        </w:rPr>
      </w:pPr>
      <w:r w:rsidRPr="00E26ADF">
        <w:rPr>
          <w:lang w:val="en-AU"/>
        </w:rPr>
        <w:t xml:space="preserve"> </w:t>
      </w:r>
      <w:bookmarkStart w:id="19" w:name="_Ref22571656"/>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2</w:t>
      </w:r>
      <w:r w:rsidRPr="00E26ADF">
        <w:rPr>
          <w:lang w:val="en-AU"/>
        </w:rPr>
        <w:fldChar w:fldCharType="end"/>
      </w:r>
      <w:bookmarkEnd w:id="19"/>
      <w:r w:rsidRPr="00E26ADF">
        <w:rPr>
          <w:lang w:val="en-AU"/>
        </w:rPr>
        <w:t xml:space="preserve"> ­ Proportion of Patients with EASI-75 </w:t>
      </w:r>
      <w:r w:rsidRPr="00F64F0A">
        <w:rPr>
          <w:lang w:val="en-AU"/>
        </w:rPr>
        <w:t xml:space="preserve">in </w:t>
      </w:r>
      <w:r w:rsidR="000672A5" w:rsidRPr="00F64F0A">
        <w:rPr>
          <w:lang w:val="en-AU"/>
        </w:rPr>
        <w:t>SOLO 1</w:t>
      </w:r>
      <w:r w:rsidR="00240A8C" w:rsidRPr="00F64F0A">
        <w:rPr>
          <w:lang w:val="en-AU"/>
        </w:rPr>
        <w:t xml:space="preserve"> </w:t>
      </w:r>
      <w:r w:rsidR="000672A5" w:rsidRPr="00F64F0A">
        <w:rPr>
          <w:lang w:val="en-AU"/>
        </w:rPr>
        <w:t>(</w:t>
      </w:r>
      <w:r w:rsidRPr="00F64F0A">
        <w:rPr>
          <w:lang w:val="en-AU"/>
        </w:rPr>
        <w:t>Study 1334</w:t>
      </w:r>
      <w:r w:rsidR="000672A5" w:rsidRPr="00F64F0A">
        <w:rPr>
          <w:lang w:val="en-AU"/>
        </w:rPr>
        <w:t>)</w:t>
      </w:r>
      <w:r w:rsidRPr="00F64F0A">
        <w:rPr>
          <w:lang w:val="en-AU"/>
        </w:rPr>
        <w:t xml:space="preserve"> and </w:t>
      </w:r>
      <w:r w:rsidR="000672A5" w:rsidRPr="00F64F0A">
        <w:rPr>
          <w:lang w:val="en-AU"/>
        </w:rPr>
        <w:t>SOLO 2 (</w:t>
      </w:r>
      <w:r w:rsidRPr="00F64F0A">
        <w:rPr>
          <w:lang w:val="en-AU"/>
        </w:rPr>
        <w:t>Study 1416</w:t>
      </w:r>
      <w:r w:rsidR="000672A5" w:rsidRPr="00F64F0A">
        <w:rPr>
          <w:lang w:val="en-AU"/>
        </w:rPr>
        <w:t>)</w:t>
      </w:r>
      <w:r w:rsidRPr="00F64F0A">
        <w:rPr>
          <w:lang w:val="en-AU"/>
        </w:rPr>
        <w:t xml:space="preserve"> (</w:t>
      </w:r>
      <w:proofErr w:type="spellStart"/>
      <w:r w:rsidRPr="00F64F0A">
        <w:rPr>
          <w:lang w:val="en-AU"/>
        </w:rPr>
        <w:t>FAS</w:t>
      </w:r>
      <w:r w:rsidRPr="00F64F0A">
        <w:rPr>
          <w:vertAlign w:val="superscript"/>
          <w:lang w:val="en-AU"/>
        </w:rPr>
        <w:t>b</w:t>
      </w:r>
      <w:proofErr w:type="spellEnd"/>
      <w:r w:rsidRPr="00F64F0A">
        <w:rPr>
          <w:lang w:val="en-AU"/>
        </w:rPr>
        <w:t>)</w:t>
      </w:r>
    </w:p>
    <w:tbl>
      <w:tblPr>
        <w:tblW w:w="9572" w:type="dxa"/>
        <w:tblLook w:val="04A0" w:firstRow="1" w:lastRow="0" w:firstColumn="1" w:lastColumn="0" w:noHBand="0" w:noVBand="1"/>
      </w:tblPr>
      <w:tblGrid>
        <w:gridCol w:w="4786"/>
        <w:gridCol w:w="4786"/>
      </w:tblGrid>
      <w:tr w:rsidR="00317701" w:rsidRPr="00E26ADF" w14:paraId="4EAADAB5" w14:textId="77777777" w:rsidTr="00721C58">
        <w:tc>
          <w:tcPr>
            <w:tcW w:w="4786" w:type="dxa"/>
            <w:shd w:val="clear" w:color="auto" w:fill="auto"/>
          </w:tcPr>
          <w:p w14:paraId="379D8523" w14:textId="77777777" w:rsidR="00317701" w:rsidRPr="00E26ADF" w:rsidRDefault="00317701" w:rsidP="00FC2300">
            <w:pPr>
              <w:pStyle w:val="TblHeadingCenter"/>
              <w:rPr>
                <w:lang w:val="en-AU"/>
              </w:rPr>
            </w:pPr>
            <w:r w:rsidRPr="00E26ADF">
              <w:rPr>
                <w:lang w:val="en-AU"/>
              </w:rPr>
              <w:t xml:space="preserve">SOLO 1 </w:t>
            </w:r>
          </w:p>
        </w:tc>
        <w:tc>
          <w:tcPr>
            <w:tcW w:w="4786" w:type="dxa"/>
            <w:shd w:val="clear" w:color="auto" w:fill="auto"/>
          </w:tcPr>
          <w:p w14:paraId="31095912" w14:textId="77777777" w:rsidR="00317701" w:rsidRPr="00E26ADF" w:rsidRDefault="00317701" w:rsidP="00FC2300">
            <w:pPr>
              <w:pStyle w:val="TblHeadingCenter"/>
              <w:rPr>
                <w:lang w:val="en-AU"/>
              </w:rPr>
            </w:pPr>
            <w:r w:rsidRPr="00E26ADF">
              <w:rPr>
                <w:lang w:val="en-AU"/>
              </w:rPr>
              <w:t>SOLO 2</w:t>
            </w:r>
          </w:p>
        </w:tc>
      </w:tr>
    </w:tbl>
    <w:p w14:paraId="5BF59E37" w14:textId="118E2ABA" w:rsidR="00317701" w:rsidRPr="00E26ADF" w:rsidRDefault="003F089D" w:rsidP="003F089D">
      <w:pPr>
        <w:pStyle w:val="Caption"/>
      </w:pPr>
      <w:r>
        <w:lastRenderedPageBreak/>
        <w:t xml:space="preserve"> </w:t>
      </w:r>
      <w:r w:rsidR="00317701" w:rsidRPr="00E26ADF">
        <w:rPr>
          <w:rFonts w:ascii="Cambria" w:hAnsi="Cambria"/>
          <w:noProof/>
          <w:lang w:eastAsia="en-AU"/>
        </w:rPr>
        <w:drawing>
          <wp:inline distT="0" distB="0" distL="0" distR="0" wp14:anchorId="74AD13E6" wp14:editId="2802E67D">
            <wp:extent cx="5086184" cy="277164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543" cy="2811075"/>
                    </a:xfrm>
                    <a:prstGeom prst="rect">
                      <a:avLst/>
                    </a:prstGeom>
                    <a:noFill/>
                    <a:ln>
                      <a:noFill/>
                    </a:ln>
                  </pic:spPr>
                </pic:pic>
              </a:graphicData>
            </a:graphic>
          </wp:inline>
        </w:drawing>
      </w:r>
    </w:p>
    <w:p w14:paraId="2DDACB69" w14:textId="426713F0" w:rsidR="00317701" w:rsidRPr="00E26ADF" w:rsidRDefault="00317701" w:rsidP="00317701">
      <w:pPr>
        <w:rPr>
          <w:rFonts w:ascii="Arial Narrow" w:hAnsi="Arial Narrow"/>
          <w:sz w:val="18"/>
          <w:szCs w:val="18"/>
        </w:rPr>
      </w:pPr>
      <w:proofErr w:type="spellStart"/>
      <w:r w:rsidRPr="00E26ADF">
        <w:rPr>
          <w:rFonts w:ascii="Arial Narrow" w:hAnsi="Arial Narrow"/>
          <w:sz w:val="18"/>
          <w:szCs w:val="18"/>
          <w:vertAlign w:val="superscript"/>
        </w:rPr>
        <w:t>a</w:t>
      </w:r>
      <w:proofErr w:type="spellEnd"/>
      <w:r w:rsidR="00FC2300" w:rsidRPr="00E26ADF">
        <w:rPr>
          <w:rFonts w:ascii="Arial Narrow" w:hAnsi="Arial Narrow"/>
          <w:sz w:val="18"/>
          <w:szCs w:val="18"/>
          <w:vertAlign w:val="superscript"/>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above)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vertAlign w:val="superscript"/>
        </w:rPr>
        <w:t>b</w:t>
      </w:r>
      <w:r w:rsidR="00FC2300" w:rsidRPr="00E26ADF">
        <w:rPr>
          <w:rFonts w:ascii="Arial Narrow" w:hAnsi="Arial Narrow"/>
          <w:sz w:val="18"/>
          <w:szCs w:val="18"/>
          <w:vertAlign w:val="superscript"/>
        </w:rPr>
        <w:t xml:space="preserve"> </w:t>
      </w:r>
      <w:r w:rsidRPr="00E26ADF">
        <w:rPr>
          <w:rFonts w:ascii="Arial Narrow" w:hAnsi="Arial Narrow"/>
          <w:sz w:val="18"/>
          <w:szCs w:val="18"/>
        </w:rPr>
        <w:t xml:space="preserve">Full analysis set (FAS) includes all patients </w:t>
      </w:r>
      <w:proofErr w:type="spellStart"/>
      <w:r w:rsidRPr="00E26ADF">
        <w:rPr>
          <w:rFonts w:ascii="Arial Narrow" w:hAnsi="Arial Narrow"/>
          <w:sz w:val="18"/>
          <w:szCs w:val="18"/>
        </w:rPr>
        <w:t>randomi</w:t>
      </w:r>
      <w:r w:rsidR="002C171C" w:rsidRPr="00F64F0A">
        <w:rPr>
          <w:rFonts w:ascii="Arial Narrow" w:hAnsi="Arial Narrow"/>
          <w:sz w:val="18"/>
          <w:szCs w:val="18"/>
        </w:rPr>
        <w:t>s</w:t>
      </w:r>
      <w:r w:rsidRPr="00E26ADF">
        <w:rPr>
          <w:rFonts w:ascii="Arial Narrow" w:hAnsi="Arial Narrow"/>
          <w:sz w:val="18"/>
          <w:szCs w:val="18"/>
        </w:rPr>
        <w:t>ed</w:t>
      </w:r>
      <w:proofErr w:type="spellEnd"/>
      <w:r w:rsidRPr="00E26ADF">
        <w:rPr>
          <w:rFonts w:ascii="Arial Narrow" w:hAnsi="Arial Narrow"/>
          <w:sz w:val="18"/>
          <w:szCs w:val="18"/>
        </w:rPr>
        <w:t>.</w:t>
      </w:r>
    </w:p>
    <w:p w14:paraId="48EED4A8" w14:textId="77777777" w:rsidR="00317701" w:rsidRPr="00E26ADF" w:rsidRDefault="00317701" w:rsidP="00317701">
      <w:r w:rsidRPr="00E26ADF">
        <w:t>Treatment effects in subgroups (weight, age, gender, race, and background treatment, including immunosuppressants) in Study 1334 and Study 1416 were in general consistent with the results in the overall study population.</w:t>
      </w:r>
    </w:p>
    <w:p w14:paraId="0D6109D3" w14:textId="61692E04" w:rsidR="00317701" w:rsidRPr="00F64F0A" w:rsidRDefault="00317701" w:rsidP="00234110">
      <w:pPr>
        <w:pStyle w:val="Heading6"/>
        <w:numPr>
          <w:ilvl w:val="0"/>
          <w:numId w:val="0"/>
        </w:numPr>
        <w:ind w:left="1151" w:hanging="1151"/>
      </w:pPr>
      <w:r w:rsidRPr="00E26ADF">
        <w:t xml:space="preserve">52-Week </w:t>
      </w:r>
      <w:r w:rsidRPr="00F64F0A">
        <w:t xml:space="preserve">Concomitant TCS Study </w:t>
      </w:r>
      <w:r w:rsidR="000672A5" w:rsidRPr="00F64F0A">
        <w:t xml:space="preserve">– CHRONOS </w:t>
      </w:r>
      <w:r w:rsidRPr="00F64F0A">
        <w:t>(Study 1224)</w:t>
      </w:r>
    </w:p>
    <w:p w14:paraId="5EC2A07E" w14:textId="60F8C7BA" w:rsidR="00317701" w:rsidRPr="00E26ADF" w:rsidRDefault="00317701" w:rsidP="00317701">
      <w:r w:rsidRPr="00F64F0A">
        <w:rPr>
          <w:color w:val="auto"/>
        </w:rPr>
        <w:t xml:space="preserve">In </w:t>
      </w:r>
      <w:r w:rsidR="000672A5" w:rsidRPr="00F64F0A">
        <w:rPr>
          <w:color w:val="auto"/>
        </w:rPr>
        <w:t>CHRONOS (</w:t>
      </w:r>
      <w:r w:rsidRPr="00F64F0A">
        <w:rPr>
          <w:color w:val="auto"/>
        </w:rPr>
        <w:t>Study 1224</w:t>
      </w:r>
      <w:r w:rsidRPr="00E26ADF">
        <w:t xml:space="preserve">), a significantly greater proportion of patients </w:t>
      </w:r>
      <w:proofErr w:type="spellStart"/>
      <w:r w:rsidRPr="00E26ADF">
        <w:t>randomi</w:t>
      </w:r>
      <w:r w:rsidR="002C171C" w:rsidRPr="00F64F0A">
        <w:t>s</w:t>
      </w:r>
      <w:r w:rsidRPr="00E26ADF">
        <w:t>ed</w:t>
      </w:r>
      <w:proofErr w:type="spellEnd"/>
      <w:r w:rsidRPr="00E26ADF">
        <w:t xml:space="preserve"> to Dupixent 300 mg Q2W + TCS achieved an IGA 0 or 1 response, EASI-75, and/or an improvement of ≥ 4 points on the pruritis NRS from baseline to week 16 and week 52 compared to placebo + TCS (se</w:t>
      </w:r>
      <w:r w:rsidRPr="00E26ADF">
        <w:rPr>
          <w:color w:val="auto"/>
        </w:rPr>
        <w:t>e</w:t>
      </w:r>
      <w:r w:rsidR="001A70ED" w:rsidRPr="00E26ADF">
        <w:rPr>
          <w:color w:val="auto"/>
        </w:rPr>
        <w:t xml:space="preserve"> </w:t>
      </w:r>
      <w:r w:rsidR="00C8795E" w:rsidRPr="00C8795E">
        <w:rPr>
          <w:color w:val="0000FF"/>
          <w:u w:val="double"/>
        </w:rPr>
        <w:fldChar w:fldCharType="begin"/>
      </w:r>
      <w:r w:rsidR="00C8795E" w:rsidRPr="00C8795E">
        <w:rPr>
          <w:color w:val="0000FF"/>
        </w:rPr>
        <w:instrText xml:space="preserve"> REF _Ref10724124 \h  \* MERGEFORMAT </w:instrText>
      </w:r>
      <w:r w:rsidR="00C8795E" w:rsidRPr="00C8795E">
        <w:rPr>
          <w:color w:val="0000FF"/>
          <w:u w:val="double"/>
        </w:rPr>
      </w:r>
      <w:r w:rsidR="00C8795E" w:rsidRPr="00C8795E">
        <w:rPr>
          <w:color w:val="0000FF"/>
          <w:u w:val="double"/>
        </w:rPr>
        <w:fldChar w:fldCharType="separate"/>
      </w:r>
      <w:r w:rsidR="00E123A5" w:rsidRPr="00E123A5">
        <w:rPr>
          <w:color w:val="0000FF"/>
        </w:rPr>
        <w:t>Table 9</w:t>
      </w:r>
      <w:r w:rsidR="00C8795E" w:rsidRPr="00C8795E">
        <w:rPr>
          <w:color w:val="0000FF"/>
          <w:u w:val="double"/>
        </w:rPr>
        <w:fldChar w:fldCharType="end"/>
      </w:r>
      <w:r w:rsidRPr="00E26ADF">
        <w:rPr>
          <w:color w:val="auto"/>
        </w:rPr>
        <w:t xml:space="preserve">). </w:t>
      </w:r>
    </w:p>
    <w:p w14:paraId="6B93EE7E" w14:textId="0FB987AA" w:rsidR="00317701" w:rsidRPr="00E26ADF" w:rsidRDefault="00317701" w:rsidP="00317701">
      <w:r w:rsidRPr="00E26ADF">
        <w:t xml:space="preserve">A significantly greater proportion of patients </w:t>
      </w:r>
      <w:proofErr w:type="spellStart"/>
      <w:r w:rsidRPr="00E26ADF">
        <w:t>randomi</w:t>
      </w:r>
      <w:r w:rsidR="002C171C" w:rsidRPr="00F64F0A">
        <w:t>s</w:t>
      </w:r>
      <w:r w:rsidRPr="00E26ADF">
        <w:t>ed</w:t>
      </w:r>
      <w:proofErr w:type="spellEnd"/>
      <w:r w:rsidRPr="00E26ADF">
        <w:t xml:space="preserve"> to Dupixent + TCS achieved a rapid improvement in the pruritus NRS compared to placebo + TCS (defined as ≥4-point improvement as early as week 2; p &lt;0.05) and the proportion of patients responding on the pruritus NRS continued to increase through the treatment period (see</w:t>
      </w:r>
      <w:r w:rsidR="001A70ED" w:rsidRPr="00E26ADF">
        <w:t xml:space="preserve"> </w:t>
      </w:r>
      <w:r w:rsidR="00C8795E" w:rsidRPr="00C8795E">
        <w:rPr>
          <w:color w:val="0000FF"/>
        </w:rPr>
        <w:fldChar w:fldCharType="begin"/>
      </w:r>
      <w:r w:rsidR="00C8795E" w:rsidRPr="00C8795E">
        <w:rPr>
          <w:color w:val="0000FF"/>
        </w:rPr>
        <w:instrText xml:space="preserve"> REF _Ref10724214 \h  \* MERGEFORMAT </w:instrText>
      </w:r>
      <w:r w:rsidR="00C8795E" w:rsidRPr="00C8795E">
        <w:rPr>
          <w:color w:val="0000FF"/>
        </w:rPr>
      </w:r>
      <w:r w:rsidR="00C8795E" w:rsidRPr="00C8795E">
        <w:rPr>
          <w:color w:val="0000FF"/>
        </w:rPr>
        <w:fldChar w:fldCharType="separate"/>
      </w:r>
      <w:r w:rsidR="00E123A5" w:rsidRPr="00E123A5">
        <w:rPr>
          <w:color w:val="0000FF"/>
        </w:rPr>
        <w:t>Figure 3</w:t>
      </w:r>
      <w:r w:rsidR="00C8795E" w:rsidRPr="00C8795E">
        <w:rPr>
          <w:color w:val="0000FF"/>
        </w:rPr>
        <w:fldChar w:fldCharType="end"/>
      </w:r>
      <w:r w:rsidRPr="00E26ADF">
        <w:t xml:space="preserve">). The improvement in pruritus NRS occurred in conjunction with the improvement of objective signs of atopic dermatitis. </w:t>
      </w:r>
    </w:p>
    <w:p w14:paraId="2531471E" w14:textId="3849132E" w:rsidR="00317701" w:rsidRPr="00E26ADF" w:rsidRDefault="00C8795E" w:rsidP="00317701">
      <w:r w:rsidRPr="00C8795E">
        <w:rPr>
          <w:color w:val="0000FF"/>
        </w:rPr>
        <w:fldChar w:fldCharType="begin"/>
      </w:r>
      <w:r w:rsidRPr="00C8795E">
        <w:rPr>
          <w:color w:val="0000FF"/>
        </w:rPr>
        <w:instrText xml:space="preserve"> REF _Ref10724214 \h  \* MERGEFORMAT </w:instrText>
      </w:r>
      <w:r w:rsidRPr="00C8795E">
        <w:rPr>
          <w:color w:val="0000FF"/>
        </w:rPr>
      </w:r>
      <w:r w:rsidRPr="00C8795E">
        <w:rPr>
          <w:color w:val="0000FF"/>
        </w:rPr>
        <w:fldChar w:fldCharType="separate"/>
      </w:r>
      <w:r w:rsidR="00E123A5" w:rsidRPr="00E123A5">
        <w:rPr>
          <w:color w:val="0000FF"/>
        </w:rPr>
        <w:t>Figure 3</w:t>
      </w:r>
      <w:r w:rsidRPr="00C8795E">
        <w:rPr>
          <w:color w:val="0000FF"/>
        </w:rPr>
        <w:fldChar w:fldCharType="end"/>
      </w:r>
      <w:r w:rsidR="00317701" w:rsidRPr="00E26ADF">
        <w:t xml:space="preserve"> and </w:t>
      </w:r>
      <w:r w:rsidRPr="00C8795E">
        <w:rPr>
          <w:color w:val="0000FF"/>
        </w:rPr>
        <w:fldChar w:fldCharType="begin"/>
      </w:r>
      <w:r w:rsidRPr="00C8795E">
        <w:rPr>
          <w:color w:val="0000FF"/>
        </w:rPr>
        <w:instrText xml:space="preserve"> REF _Ref22571937 \h  \* MERGEFORMAT </w:instrText>
      </w:r>
      <w:r w:rsidRPr="00C8795E">
        <w:rPr>
          <w:color w:val="0000FF"/>
        </w:rPr>
      </w:r>
      <w:r w:rsidRPr="00C8795E">
        <w:rPr>
          <w:color w:val="0000FF"/>
        </w:rPr>
        <w:fldChar w:fldCharType="separate"/>
      </w:r>
      <w:r w:rsidR="00E123A5" w:rsidRPr="00E123A5">
        <w:rPr>
          <w:color w:val="0000FF"/>
        </w:rPr>
        <w:t>Figure 4</w:t>
      </w:r>
      <w:r w:rsidRPr="00C8795E">
        <w:rPr>
          <w:color w:val="0000FF"/>
        </w:rPr>
        <w:fldChar w:fldCharType="end"/>
      </w:r>
      <w:r w:rsidR="00317701" w:rsidRPr="00E26ADF">
        <w:t xml:space="preserve"> show the proportion of patients who achieved an IGA 0 or 1 response and EASI 75, respectively, up to Week 52 in Study 1224.</w:t>
      </w:r>
    </w:p>
    <w:p w14:paraId="6E8220BD" w14:textId="77777777" w:rsidR="00317701" w:rsidRPr="00E26ADF" w:rsidRDefault="00317701" w:rsidP="00317701">
      <w:r w:rsidRPr="00E26ADF">
        <w:t>EASI-90 response was achieved in 15.5% of patients in the placebo group, 50.6% in the Dupixent 300 mg Q2W group, and 50.7% in the Dupixent 300 mg QW group, respectively in the Study 1224 study at Week 52.</w:t>
      </w:r>
    </w:p>
    <w:p w14:paraId="24E91B52" w14:textId="2227A516" w:rsidR="00317701" w:rsidRDefault="00317701" w:rsidP="00317701">
      <w:r w:rsidRPr="00E26ADF">
        <w:t xml:space="preserve">EASI-50 response was achieved </w:t>
      </w:r>
      <w:r w:rsidR="004E695B" w:rsidRPr="00F64F0A">
        <w:t>in</w:t>
      </w:r>
      <w:r w:rsidR="004E695B">
        <w:t xml:space="preserve"> </w:t>
      </w:r>
      <w:r w:rsidRPr="00E26ADF">
        <w:t>29.9% of patients in the placebo group, 7</w:t>
      </w:r>
      <w:r w:rsidR="005F1E6D" w:rsidRPr="00F64F0A">
        <w:t>8</w:t>
      </w:r>
      <w:r w:rsidRPr="00E26ADF">
        <w:t>.7% in the Dupixent 300 mg Q2W group, and 70.0% in the Dupixent 300 mg QW group, respectively in Study 1224 at Week 52.</w:t>
      </w:r>
    </w:p>
    <w:p w14:paraId="4FA94164" w14:textId="76E3DA15" w:rsidR="00B70363" w:rsidRPr="00C15D97" w:rsidRDefault="004B3B7A" w:rsidP="00C15D97">
      <w:pPr>
        <w:spacing w:before="0"/>
        <w:rPr>
          <w:i/>
          <w:iCs/>
          <w:color w:val="008000"/>
          <w:sz w:val="22"/>
          <w:szCs w:val="22"/>
        </w:rPr>
      </w:pPr>
      <w:r w:rsidRPr="00C15D97">
        <w:rPr>
          <w:i/>
          <w:iCs/>
          <w:color w:val="008000"/>
          <w:sz w:val="22"/>
          <w:szCs w:val="22"/>
        </w:rPr>
        <w:lastRenderedPageBreak/>
        <w:t xml:space="preserve"> </w:t>
      </w:r>
    </w:p>
    <w:p w14:paraId="6448405A" w14:textId="5B9A8BF3" w:rsidR="00317701" w:rsidRPr="00E26ADF" w:rsidRDefault="00317701" w:rsidP="003F089D">
      <w:pPr>
        <w:pStyle w:val="Caption"/>
        <w:spacing w:before="240"/>
        <w:rPr>
          <w:lang w:val="en-AU"/>
        </w:rPr>
      </w:pPr>
      <w:r w:rsidRPr="00E26ADF">
        <w:rPr>
          <w:lang w:val="en-AU"/>
        </w:rPr>
        <w:t xml:space="preserve"> </w:t>
      </w:r>
      <w:bookmarkStart w:id="20" w:name="_Ref10724124"/>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9</w:t>
      </w:r>
      <w:r w:rsidRPr="00E26ADF">
        <w:rPr>
          <w:lang w:val="en-AU"/>
        </w:rPr>
        <w:fldChar w:fldCharType="end"/>
      </w:r>
      <w:bookmarkEnd w:id="20"/>
      <w:r w:rsidRPr="00E26ADF">
        <w:rPr>
          <w:lang w:val="en-AU"/>
        </w:rPr>
        <w:t xml:space="preserve"> ­ Efficacy Results of Dupixent with Concomitant </w:t>
      </w:r>
      <w:proofErr w:type="spellStart"/>
      <w:r w:rsidRPr="00E26ADF">
        <w:rPr>
          <w:lang w:val="en-AU"/>
        </w:rPr>
        <w:t>TCS</w:t>
      </w:r>
      <w:r w:rsidRPr="00A05E57">
        <w:rPr>
          <w:vertAlign w:val="superscript"/>
          <w:lang w:val="en-AU"/>
        </w:rPr>
        <w:t>a</w:t>
      </w:r>
      <w:proofErr w:type="spellEnd"/>
      <w:r w:rsidRPr="00E26ADF">
        <w:rPr>
          <w:lang w:val="en-AU"/>
        </w:rPr>
        <w:t xml:space="preserve"> at Week 16 and Week 52 in </w:t>
      </w:r>
      <w:r w:rsidR="000672A5" w:rsidRPr="00F64F0A">
        <w:rPr>
          <w:lang w:val="en-AU"/>
        </w:rPr>
        <w:t>CHRONOS (</w:t>
      </w:r>
      <w:r w:rsidRPr="00F64F0A">
        <w:rPr>
          <w:lang w:val="en-AU"/>
        </w:rPr>
        <w:t>Study 1224</w:t>
      </w:r>
      <w:r w:rsidR="000672A5" w:rsidRPr="00F64F0A">
        <w:rPr>
          <w:lang w:val="en-AU"/>
        </w:rPr>
        <w:t>)</w:t>
      </w:r>
    </w:p>
    <w:tbl>
      <w:tblPr>
        <w:tblW w:w="0" w:type="auto"/>
        <w:jc w:val="center"/>
        <w:tblBorders>
          <w:top w:val="single" w:sz="2" w:space="0" w:color="000000"/>
        </w:tblBorders>
        <w:tblLook w:val="04A0" w:firstRow="1" w:lastRow="0" w:firstColumn="1" w:lastColumn="0" w:noHBand="0" w:noVBand="1"/>
      </w:tblPr>
      <w:tblGrid>
        <w:gridCol w:w="2316"/>
        <w:gridCol w:w="1022"/>
        <w:gridCol w:w="1191"/>
        <w:gridCol w:w="1160"/>
        <w:gridCol w:w="986"/>
        <w:gridCol w:w="1191"/>
        <w:gridCol w:w="1160"/>
      </w:tblGrid>
      <w:tr w:rsidR="00FC2300" w:rsidRPr="00E26ADF" w14:paraId="2E2A3239" w14:textId="77777777" w:rsidTr="00FC2300">
        <w:trPr>
          <w:cantSplit/>
          <w:tblHeader/>
          <w:jc w:val="center"/>
        </w:trPr>
        <w:tc>
          <w:tcPr>
            <w:tcW w:w="0" w:type="auto"/>
            <w:tcBorders>
              <w:top w:val="single" w:sz="4" w:space="0" w:color="000000"/>
              <w:bottom w:val="single" w:sz="4" w:space="0" w:color="000000"/>
            </w:tcBorders>
            <w:shd w:val="clear" w:color="auto" w:fill="auto"/>
          </w:tcPr>
          <w:p w14:paraId="1B8EFDD7" w14:textId="77777777" w:rsidR="00317701" w:rsidRPr="00E26ADF" w:rsidRDefault="00317701" w:rsidP="00FC2300">
            <w:pPr>
              <w:pStyle w:val="TblHeadingCenter"/>
              <w:rPr>
                <w:lang w:val="en-AU"/>
              </w:rPr>
            </w:pPr>
          </w:p>
        </w:tc>
        <w:tc>
          <w:tcPr>
            <w:tcW w:w="0" w:type="auto"/>
            <w:gridSpan w:val="3"/>
            <w:tcBorders>
              <w:top w:val="single" w:sz="4" w:space="0" w:color="000000"/>
              <w:bottom w:val="single" w:sz="4" w:space="0" w:color="000000"/>
            </w:tcBorders>
            <w:shd w:val="clear" w:color="auto" w:fill="auto"/>
          </w:tcPr>
          <w:p w14:paraId="57ACD0E9" w14:textId="77777777" w:rsidR="00317701" w:rsidRPr="00E26ADF" w:rsidRDefault="00317701" w:rsidP="00FC2300">
            <w:pPr>
              <w:pStyle w:val="TblHeadingCenter"/>
              <w:rPr>
                <w:vertAlign w:val="superscript"/>
                <w:lang w:val="en-AU"/>
              </w:rPr>
            </w:pPr>
            <w:r w:rsidRPr="00E26ADF">
              <w:rPr>
                <w:lang w:val="en-AU"/>
              </w:rPr>
              <w:t>Week 16 (FAS)</w:t>
            </w:r>
            <w:r w:rsidRPr="00E26ADF">
              <w:rPr>
                <w:vertAlign w:val="superscript"/>
                <w:lang w:val="en-AU"/>
              </w:rPr>
              <w:t>b</w:t>
            </w:r>
          </w:p>
        </w:tc>
        <w:tc>
          <w:tcPr>
            <w:tcW w:w="0" w:type="auto"/>
            <w:gridSpan w:val="3"/>
            <w:tcBorders>
              <w:top w:val="single" w:sz="4" w:space="0" w:color="000000"/>
              <w:bottom w:val="single" w:sz="4" w:space="0" w:color="000000"/>
            </w:tcBorders>
            <w:shd w:val="clear" w:color="auto" w:fill="auto"/>
          </w:tcPr>
          <w:p w14:paraId="1BD75024" w14:textId="77777777" w:rsidR="00317701" w:rsidRPr="00E26ADF" w:rsidRDefault="00317701" w:rsidP="00FC2300">
            <w:pPr>
              <w:pStyle w:val="TblHeadingCenter"/>
              <w:rPr>
                <w:vertAlign w:val="superscript"/>
                <w:lang w:val="en-AU"/>
              </w:rPr>
            </w:pPr>
            <w:r w:rsidRPr="00E26ADF">
              <w:rPr>
                <w:lang w:val="en-AU"/>
              </w:rPr>
              <w:t>Week 52 (FAS Week 52)</w:t>
            </w:r>
            <w:r w:rsidRPr="00E26ADF">
              <w:rPr>
                <w:vertAlign w:val="superscript"/>
                <w:lang w:val="en-AU"/>
              </w:rPr>
              <w:t>b</w:t>
            </w:r>
          </w:p>
        </w:tc>
      </w:tr>
      <w:tr w:rsidR="00FC2300" w:rsidRPr="00E26ADF" w14:paraId="35589392" w14:textId="77777777" w:rsidTr="00FC2300">
        <w:trPr>
          <w:cantSplit/>
          <w:tblHeader/>
          <w:jc w:val="center"/>
        </w:trPr>
        <w:tc>
          <w:tcPr>
            <w:tcW w:w="0" w:type="auto"/>
            <w:tcBorders>
              <w:top w:val="single" w:sz="4" w:space="0" w:color="000000"/>
            </w:tcBorders>
            <w:shd w:val="clear" w:color="auto" w:fill="auto"/>
          </w:tcPr>
          <w:p w14:paraId="23D57094" w14:textId="77777777" w:rsidR="00317701" w:rsidRPr="00E26ADF" w:rsidRDefault="00317701" w:rsidP="00FC2300">
            <w:pPr>
              <w:pStyle w:val="TblTextCenter"/>
              <w:rPr>
                <w:lang w:val="en-AU"/>
              </w:rPr>
            </w:pPr>
          </w:p>
        </w:tc>
        <w:tc>
          <w:tcPr>
            <w:tcW w:w="0" w:type="auto"/>
            <w:tcBorders>
              <w:top w:val="single" w:sz="4" w:space="0" w:color="000000"/>
            </w:tcBorders>
            <w:shd w:val="clear" w:color="auto" w:fill="auto"/>
          </w:tcPr>
          <w:p w14:paraId="4E4C9643" w14:textId="77777777" w:rsidR="00317701" w:rsidRPr="00E26ADF" w:rsidRDefault="00317701" w:rsidP="00FC2300">
            <w:pPr>
              <w:pStyle w:val="TblTextCenter"/>
              <w:rPr>
                <w:b/>
                <w:lang w:val="en-AU"/>
              </w:rPr>
            </w:pPr>
            <w:r w:rsidRPr="00E26ADF">
              <w:rPr>
                <w:b/>
                <w:lang w:val="en-AU"/>
              </w:rPr>
              <w:t>Placebo + TCS</w:t>
            </w:r>
          </w:p>
        </w:tc>
        <w:tc>
          <w:tcPr>
            <w:tcW w:w="0" w:type="auto"/>
            <w:tcBorders>
              <w:top w:val="single" w:sz="4" w:space="0" w:color="000000"/>
            </w:tcBorders>
            <w:shd w:val="clear" w:color="auto" w:fill="auto"/>
          </w:tcPr>
          <w:p w14:paraId="6B2D6087" w14:textId="77777777" w:rsidR="00317701" w:rsidRPr="00E26ADF" w:rsidRDefault="00317701" w:rsidP="00FC2300">
            <w:pPr>
              <w:pStyle w:val="TblTextCenter"/>
              <w:rPr>
                <w:b/>
                <w:lang w:val="en-AU"/>
              </w:rPr>
            </w:pPr>
            <w:r w:rsidRPr="00E26ADF">
              <w:rPr>
                <w:b/>
                <w:lang w:val="en-AU"/>
              </w:rPr>
              <w:t>Dupixent</w:t>
            </w:r>
          </w:p>
          <w:p w14:paraId="46DD133A" w14:textId="77777777" w:rsidR="00317701" w:rsidRPr="00E26ADF" w:rsidRDefault="00317701" w:rsidP="00FC2300">
            <w:pPr>
              <w:pStyle w:val="TblTextCenter"/>
              <w:rPr>
                <w:b/>
                <w:lang w:val="en-AU"/>
              </w:rPr>
            </w:pPr>
            <w:r w:rsidRPr="00E26ADF">
              <w:rPr>
                <w:b/>
                <w:lang w:val="en-AU"/>
              </w:rPr>
              <w:t>300 mg Q2W + TCS</w:t>
            </w:r>
          </w:p>
        </w:tc>
        <w:tc>
          <w:tcPr>
            <w:tcW w:w="0" w:type="auto"/>
            <w:tcBorders>
              <w:top w:val="single" w:sz="4" w:space="0" w:color="000000"/>
            </w:tcBorders>
            <w:shd w:val="clear" w:color="auto" w:fill="auto"/>
          </w:tcPr>
          <w:p w14:paraId="2A377F66" w14:textId="77777777" w:rsidR="00317701" w:rsidRPr="00E26ADF" w:rsidRDefault="00317701" w:rsidP="00FC2300">
            <w:pPr>
              <w:pStyle w:val="TblTextCenter"/>
              <w:rPr>
                <w:b/>
                <w:lang w:val="en-AU"/>
              </w:rPr>
            </w:pPr>
            <w:r w:rsidRPr="00E26ADF">
              <w:rPr>
                <w:b/>
                <w:lang w:val="en-AU"/>
              </w:rPr>
              <w:t>Dupixent</w:t>
            </w:r>
          </w:p>
          <w:p w14:paraId="2E1F320A" w14:textId="77777777" w:rsidR="00317701" w:rsidRPr="00E26ADF" w:rsidRDefault="00317701" w:rsidP="00FC2300">
            <w:pPr>
              <w:pStyle w:val="TblTextCenter"/>
              <w:rPr>
                <w:b/>
                <w:lang w:val="en-AU"/>
              </w:rPr>
            </w:pPr>
            <w:r w:rsidRPr="00E26ADF">
              <w:rPr>
                <w:b/>
                <w:lang w:val="en-AU"/>
              </w:rPr>
              <w:t>300 mg QW + TCS</w:t>
            </w:r>
          </w:p>
        </w:tc>
        <w:tc>
          <w:tcPr>
            <w:tcW w:w="0" w:type="auto"/>
            <w:tcBorders>
              <w:top w:val="single" w:sz="4" w:space="0" w:color="000000"/>
            </w:tcBorders>
            <w:shd w:val="clear" w:color="auto" w:fill="auto"/>
          </w:tcPr>
          <w:p w14:paraId="7DCF7622" w14:textId="77777777" w:rsidR="00317701" w:rsidRPr="00E26ADF" w:rsidRDefault="00317701" w:rsidP="00FC2300">
            <w:pPr>
              <w:pStyle w:val="TblTextCenter"/>
              <w:rPr>
                <w:b/>
                <w:lang w:val="en-AU"/>
              </w:rPr>
            </w:pPr>
            <w:r w:rsidRPr="00E26ADF">
              <w:rPr>
                <w:b/>
                <w:lang w:val="en-AU"/>
              </w:rPr>
              <w:t xml:space="preserve">Placebo + </w:t>
            </w:r>
          </w:p>
          <w:p w14:paraId="1AF3E1A7" w14:textId="77777777" w:rsidR="00317701" w:rsidRPr="00E26ADF" w:rsidRDefault="00317701" w:rsidP="00FC2300">
            <w:pPr>
              <w:pStyle w:val="TblTextCenter"/>
              <w:rPr>
                <w:b/>
                <w:lang w:val="en-AU"/>
              </w:rPr>
            </w:pPr>
            <w:r w:rsidRPr="00E26ADF">
              <w:rPr>
                <w:b/>
                <w:lang w:val="en-AU"/>
              </w:rPr>
              <w:t>TCS</w:t>
            </w:r>
          </w:p>
        </w:tc>
        <w:tc>
          <w:tcPr>
            <w:tcW w:w="0" w:type="auto"/>
            <w:tcBorders>
              <w:top w:val="single" w:sz="4" w:space="0" w:color="000000"/>
            </w:tcBorders>
            <w:shd w:val="clear" w:color="auto" w:fill="auto"/>
          </w:tcPr>
          <w:p w14:paraId="19247B58" w14:textId="77777777" w:rsidR="00317701" w:rsidRPr="00E26ADF" w:rsidRDefault="00317701" w:rsidP="00FC2300">
            <w:pPr>
              <w:pStyle w:val="TblTextCenter"/>
              <w:rPr>
                <w:b/>
                <w:lang w:val="en-AU"/>
              </w:rPr>
            </w:pPr>
            <w:r w:rsidRPr="00E26ADF">
              <w:rPr>
                <w:b/>
                <w:lang w:val="en-AU"/>
              </w:rPr>
              <w:t>Dupixent</w:t>
            </w:r>
          </w:p>
          <w:p w14:paraId="279C90DF" w14:textId="77777777" w:rsidR="00317701" w:rsidRPr="00E26ADF" w:rsidRDefault="00317701" w:rsidP="00FC2300">
            <w:pPr>
              <w:pStyle w:val="TblTextCenter"/>
              <w:rPr>
                <w:b/>
                <w:lang w:val="en-AU"/>
              </w:rPr>
            </w:pPr>
            <w:r w:rsidRPr="00E26ADF">
              <w:rPr>
                <w:b/>
                <w:lang w:val="en-AU"/>
              </w:rPr>
              <w:t>300 mg Q2W + TCS</w:t>
            </w:r>
          </w:p>
        </w:tc>
        <w:tc>
          <w:tcPr>
            <w:tcW w:w="0" w:type="auto"/>
            <w:tcBorders>
              <w:top w:val="single" w:sz="4" w:space="0" w:color="000000"/>
            </w:tcBorders>
            <w:shd w:val="clear" w:color="auto" w:fill="auto"/>
          </w:tcPr>
          <w:p w14:paraId="3C6E93CD" w14:textId="77777777" w:rsidR="00317701" w:rsidRPr="00E26ADF" w:rsidRDefault="00317701" w:rsidP="00FC2300">
            <w:pPr>
              <w:pStyle w:val="TblTextCenter"/>
              <w:rPr>
                <w:b/>
                <w:lang w:val="en-AU"/>
              </w:rPr>
            </w:pPr>
            <w:r w:rsidRPr="00E26ADF">
              <w:rPr>
                <w:b/>
                <w:lang w:val="en-AU"/>
              </w:rPr>
              <w:t>Dupixent</w:t>
            </w:r>
          </w:p>
          <w:p w14:paraId="792902AD" w14:textId="77777777" w:rsidR="00317701" w:rsidRPr="00E26ADF" w:rsidRDefault="00317701" w:rsidP="00FC2300">
            <w:pPr>
              <w:pStyle w:val="TblTextCenter"/>
              <w:rPr>
                <w:b/>
                <w:lang w:val="en-AU"/>
              </w:rPr>
            </w:pPr>
            <w:r w:rsidRPr="00E26ADF">
              <w:rPr>
                <w:b/>
                <w:lang w:val="en-AU"/>
              </w:rPr>
              <w:t>300 mg QW + TCS</w:t>
            </w:r>
          </w:p>
        </w:tc>
      </w:tr>
      <w:tr w:rsidR="00FC2300" w:rsidRPr="00E26ADF" w14:paraId="7AFA1516" w14:textId="77777777" w:rsidTr="00FC2300">
        <w:trPr>
          <w:cantSplit/>
          <w:jc w:val="center"/>
        </w:trPr>
        <w:tc>
          <w:tcPr>
            <w:tcW w:w="0" w:type="auto"/>
            <w:shd w:val="clear" w:color="auto" w:fill="auto"/>
          </w:tcPr>
          <w:p w14:paraId="22221119" w14:textId="4165549A" w:rsidR="00317701" w:rsidRPr="00E26ADF" w:rsidRDefault="00317701" w:rsidP="00CE7FDE">
            <w:pPr>
              <w:pStyle w:val="TblTextCenter"/>
              <w:jc w:val="left"/>
              <w:rPr>
                <w:lang w:val="en-AU"/>
              </w:rPr>
            </w:pPr>
            <w:r w:rsidRPr="00E26ADF">
              <w:rPr>
                <w:lang w:val="en-AU"/>
              </w:rPr>
              <w:t>Patients randomi</w:t>
            </w:r>
            <w:r w:rsidR="002C171C" w:rsidRPr="007408BC">
              <w:rPr>
                <w:lang w:val="en-AU"/>
              </w:rPr>
              <w:t>s</w:t>
            </w:r>
            <w:r w:rsidRPr="00E26ADF">
              <w:rPr>
                <w:lang w:val="en-AU"/>
              </w:rPr>
              <w:t>ed</w:t>
            </w:r>
          </w:p>
        </w:tc>
        <w:tc>
          <w:tcPr>
            <w:tcW w:w="0" w:type="auto"/>
            <w:shd w:val="clear" w:color="auto" w:fill="auto"/>
          </w:tcPr>
          <w:p w14:paraId="0FF6A362" w14:textId="77777777" w:rsidR="00317701" w:rsidRPr="00E26ADF" w:rsidRDefault="00317701" w:rsidP="00FC2300">
            <w:pPr>
              <w:pStyle w:val="TblTextCenter"/>
              <w:rPr>
                <w:lang w:val="en-AU"/>
              </w:rPr>
            </w:pPr>
            <w:r w:rsidRPr="00E26ADF">
              <w:rPr>
                <w:lang w:val="en-AU"/>
              </w:rPr>
              <w:t>315</w:t>
            </w:r>
          </w:p>
        </w:tc>
        <w:tc>
          <w:tcPr>
            <w:tcW w:w="0" w:type="auto"/>
            <w:shd w:val="clear" w:color="auto" w:fill="auto"/>
          </w:tcPr>
          <w:p w14:paraId="03E69C08" w14:textId="77777777" w:rsidR="00317701" w:rsidRPr="00E26ADF" w:rsidRDefault="00317701" w:rsidP="00FC2300">
            <w:pPr>
              <w:pStyle w:val="TblTextCenter"/>
              <w:rPr>
                <w:lang w:val="en-AU"/>
              </w:rPr>
            </w:pPr>
            <w:r w:rsidRPr="00E26ADF">
              <w:rPr>
                <w:lang w:val="en-AU"/>
              </w:rPr>
              <w:t>106</w:t>
            </w:r>
          </w:p>
        </w:tc>
        <w:tc>
          <w:tcPr>
            <w:tcW w:w="0" w:type="auto"/>
            <w:shd w:val="clear" w:color="auto" w:fill="auto"/>
          </w:tcPr>
          <w:p w14:paraId="40FC7F93" w14:textId="77777777" w:rsidR="00317701" w:rsidRPr="00E26ADF" w:rsidRDefault="00317701" w:rsidP="00FC2300">
            <w:pPr>
              <w:pStyle w:val="TblTextCenter"/>
              <w:rPr>
                <w:lang w:val="en-AU"/>
              </w:rPr>
            </w:pPr>
            <w:r w:rsidRPr="00E26ADF">
              <w:rPr>
                <w:lang w:val="en-AU"/>
              </w:rPr>
              <w:t>319</w:t>
            </w:r>
          </w:p>
        </w:tc>
        <w:tc>
          <w:tcPr>
            <w:tcW w:w="0" w:type="auto"/>
            <w:shd w:val="clear" w:color="auto" w:fill="auto"/>
          </w:tcPr>
          <w:p w14:paraId="31B70BBC" w14:textId="77777777" w:rsidR="00317701" w:rsidRPr="00E26ADF" w:rsidRDefault="00317701" w:rsidP="00FC2300">
            <w:pPr>
              <w:pStyle w:val="TblTextCenter"/>
              <w:rPr>
                <w:lang w:val="en-AU"/>
              </w:rPr>
            </w:pPr>
            <w:r w:rsidRPr="00E26ADF">
              <w:rPr>
                <w:lang w:val="en-AU"/>
              </w:rPr>
              <w:t>264</w:t>
            </w:r>
          </w:p>
        </w:tc>
        <w:tc>
          <w:tcPr>
            <w:tcW w:w="0" w:type="auto"/>
            <w:shd w:val="clear" w:color="auto" w:fill="auto"/>
          </w:tcPr>
          <w:p w14:paraId="564A0343" w14:textId="77777777" w:rsidR="00317701" w:rsidRPr="00E26ADF" w:rsidRDefault="00317701" w:rsidP="00FC2300">
            <w:pPr>
              <w:pStyle w:val="TblTextCenter"/>
              <w:rPr>
                <w:lang w:val="en-AU"/>
              </w:rPr>
            </w:pPr>
            <w:r w:rsidRPr="00E26ADF">
              <w:rPr>
                <w:lang w:val="en-AU"/>
              </w:rPr>
              <w:t>89</w:t>
            </w:r>
          </w:p>
        </w:tc>
        <w:tc>
          <w:tcPr>
            <w:tcW w:w="0" w:type="auto"/>
            <w:shd w:val="clear" w:color="auto" w:fill="auto"/>
          </w:tcPr>
          <w:p w14:paraId="706C049E" w14:textId="77777777" w:rsidR="00317701" w:rsidRPr="00E26ADF" w:rsidRDefault="00317701" w:rsidP="00FC2300">
            <w:pPr>
              <w:pStyle w:val="TblTextCenter"/>
              <w:rPr>
                <w:lang w:val="en-AU"/>
              </w:rPr>
            </w:pPr>
            <w:r w:rsidRPr="00E26ADF">
              <w:rPr>
                <w:lang w:val="en-AU"/>
              </w:rPr>
              <w:t>270</w:t>
            </w:r>
          </w:p>
        </w:tc>
      </w:tr>
      <w:tr w:rsidR="00FC2300" w:rsidRPr="00E26ADF" w14:paraId="3CB8AE32" w14:textId="77777777" w:rsidTr="00FC2300">
        <w:trPr>
          <w:cantSplit/>
          <w:jc w:val="center"/>
        </w:trPr>
        <w:tc>
          <w:tcPr>
            <w:tcW w:w="0" w:type="auto"/>
            <w:shd w:val="clear" w:color="auto" w:fill="auto"/>
          </w:tcPr>
          <w:p w14:paraId="6707D836" w14:textId="77777777" w:rsidR="00317701" w:rsidRPr="00E26ADF" w:rsidRDefault="00317701" w:rsidP="00CE7FDE">
            <w:pPr>
              <w:pStyle w:val="TblTextCenter"/>
              <w:jc w:val="left"/>
              <w:rPr>
                <w:lang w:val="en-AU"/>
              </w:rPr>
            </w:pPr>
            <w:r w:rsidRPr="00E26ADF">
              <w:rPr>
                <w:lang w:val="en-AU"/>
              </w:rPr>
              <w:t>IGA 0 or 1</w:t>
            </w:r>
            <w:r w:rsidRPr="00A05E57">
              <w:rPr>
                <w:vertAlign w:val="superscript"/>
                <w:lang w:val="en-AU"/>
              </w:rPr>
              <w:t>c</w:t>
            </w:r>
            <w:r w:rsidRPr="00E26ADF">
              <w:rPr>
                <w:lang w:val="en-AU"/>
              </w:rPr>
              <w:t xml:space="preserve">, % responders </w:t>
            </w:r>
            <w:r w:rsidRPr="00A05E57">
              <w:rPr>
                <w:vertAlign w:val="superscript"/>
                <w:lang w:val="en-AU"/>
              </w:rPr>
              <w:t>d</w:t>
            </w:r>
          </w:p>
        </w:tc>
        <w:tc>
          <w:tcPr>
            <w:tcW w:w="0" w:type="auto"/>
            <w:shd w:val="clear" w:color="auto" w:fill="auto"/>
          </w:tcPr>
          <w:p w14:paraId="32FE8D20" w14:textId="77777777" w:rsidR="00317701" w:rsidRPr="00E26ADF" w:rsidRDefault="00317701" w:rsidP="00FC2300">
            <w:pPr>
              <w:pStyle w:val="TblTextCenter"/>
              <w:rPr>
                <w:lang w:val="en-AU"/>
              </w:rPr>
            </w:pPr>
            <w:r w:rsidRPr="00E26ADF">
              <w:rPr>
                <w:lang w:val="en-AU"/>
              </w:rPr>
              <w:t>12.4 %</w:t>
            </w:r>
          </w:p>
        </w:tc>
        <w:tc>
          <w:tcPr>
            <w:tcW w:w="0" w:type="auto"/>
            <w:shd w:val="clear" w:color="auto" w:fill="auto"/>
          </w:tcPr>
          <w:p w14:paraId="6A78C19D" w14:textId="77777777" w:rsidR="00317701" w:rsidRPr="00E26ADF" w:rsidRDefault="00317701" w:rsidP="00FC2300">
            <w:pPr>
              <w:pStyle w:val="TblTextCenter"/>
              <w:rPr>
                <w:lang w:val="en-AU"/>
              </w:rPr>
            </w:pPr>
            <w:r w:rsidRPr="00E26ADF">
              <w:rPr>
                <w:lang w:val="en-AU"/>
              </w:rPr>
              <w:t>38.7 %*</w:t>
            </w:r>
          </w:p>
        </w:tc>
        <w:tc>
          <w:tcPr>
            <w:tcW w:w="0" w:type="auto"/>
            <w:shd w:val="clear" w:color="auto" w:fill="auto"/>
          </w:tcPr>
          <w:p w14:paraId="35A89EB2" w14:textId="77777777" w:rsidR="00317701" w:rsidRPr="00E26ADF" w:rsidRDefault="00317701" w:rsidP="00FC2300">
            <w:pPr>
              <w:pStyle w:val="TblTextCenter"/>
              <w:rPr>
                <w:lang w:val="en-AU"/>
              </w:rPr>
            </w:pPr>
            <w:r w:rsidRPr="00E26ADF">
              <w:rPr>
                <w:lang w:val="en-AU"/>
              </w:rPr>
              <w:t>39.2 %*</w:t>
            </w:r>
          </w:p>
        </w:tc>
        <w:tc>
          <w:tcPr>
            <w:tcW w:w="0" w:type="auto"/>
            <w:shd w:val="clear" w:color="auto" w:fill="auto"/>
          </w:tcPr>
          <w:p w14:paraId="20DCD368" w14:textId="77777777" w:rsidR="00317701" w:rsidRPr="00E26ADF" w:rsidRDefault="00317701" w:rsidP="00FC2300">
            <w:pPr>
              <w:pStyle w:val="TblTextCenter"/>
              <w:rPr>
                <w:lang w:val="en-AU"/>
              </w:rPr>
            </w:pPr>
            <w:r w:rsidRPr="00E26ADF">
              <w:rPr>
                <w:lang w:val="en-AU"/>
              </w:rPr>
              <w:t>12.5 %</w:t>
            </w:r>
          </w:p>
        </w:tc>
        <w:tc>
          <w:tcPr>
            <w:tcW w:w="0" w:type="auto"/>
            <w:shd w:val="clear" w:color="auto" w:fill="auto"/>
          </w:tcPr>
          <w:p w14:paraId="52A6EDDC" w14:textId="77777777" w:rsidR="00317701" w:rsidRPr="00E26ADF" w:rsidRDefault="00317701" w:rsidP="00FC2300">
            <w:pPr>
              <w:pStyle w:val="TblTextCenter"/>
              <w:rPr>
                <w:lang w:val="en-AU"/>
              </w:rPr>
            </w:pPr>
            <w:r w:rsidRPr="00E26ADF">
              <w:rPr>
                <w:lang w:val="en-AU"/>
              </w:rPr>
              <w:t>36.0%*</w:t>
            </w:r>
          </w:p>
        </w:tc>
        <w:tc>
          <w:tcPr>
            <w:tcW w:w="0" w:type="auto"/>
            <w:shd w:val="clear" w:color="auto" w:fill="auto"/>
          </w:tcPr>
          <w:p w14:paraId="68FFE9C9" w14:textId="77777777" w:rsidR="00317701" w:rsidRPr="00E26ADF" w:rsidRDefault="00317701" w:rsidP="00FC2300">
            <w:pPr>
              <w:pStyle w:val="TblTextCenter"/>
              <w:rPr>
                <w:lang w:val="en-AU"/>
              </w:rPr>
            </w:pPr>
            <w:r w:rsidRPr="00E26ADF">
              <w:rPr>
                <w:lang w:val="en-AU"/>
              </w:rPr>
              <w:t>40.0 %*</w:t>
            </w:r>
          </w:p>
        </w:tc>
      </w:tr>
      <w:tr w:rsidR="00FC2300" w:rsidRPr="00E26ADF" w14:paraId="2B3BABEA" w14:textId="77777777" w:rsidTr="00FC2300">
        <w:trPr>
          <w:cantSplit/>
          <w:jc w:val="center"/>
        </w:trPr>
        <w:tc>
          <w:tcPr>
            <w:tcW w:w="0" w:type="auto"/>
            <w:shd w:val="clear" w:color="auto" w:fill="auto"/>
          </w:tcPr>
          <w:p w14:paraId="13FF7667" w14:textId="77777777" w:rsidR="00317701" w:rsidRPr="00E26ADF" w:rsidRDefault="00317701" w:rsidP="00CE7FDE">
            <w:pPr>
              <w:pStyle w:val="TblTextCenter"/>
              <w:jc w:val="left"/>
              <w:rPr>
                <w:lang w:val="en-AU"/>
              </w:rPr>
            </w:pPr>
            <w:r w:rsidRPr="00E26ADF">
              <w:rPr>
                <w:lang w:val="en-AU"/>
              </w:rPr>
              <w:t>EASI-75, % responders</w:t>
            </w:r>
            <w:r w:rsidRPr="00A05E57">
              <w:rPr>
                <w:vertAlign w:val="superscript"/>
                <w:lang w:val="en-AU"/>
              </w:rPr>
              <w:t xml:space="preserve"> d</w:t>
            </w:r>
          </w:p>
        </w:tc>
        <w:tc>
          <w:tcPr>
            <w:tcW w:w="0" w:type="auto"/>
            <w:shd w:val="clear" w:color="auto" w:fill="auto"/>
          </w:tcPr>
          <w:p w14:paraId="4A6E16C6" w14:textId="77777777" w:rsidR="00317701" w:rsidRPr="00E26ADF" w:rsidRDefault="00317701" w:rsidP="00FC2300">
            <w:pPr>
              <w:pStyle w:val="TblTextCenter"/>
              <w:rPr>
                <w:lang w:val="en-AU"/>
              </w:rPr>
            </w:pPr>
            <w:r w:rsidRPr="00E26ADF">
              <w:rPr>
                <w:lang w:val="en-AU"/>
              </w:rPr>
              <w:t>23.2 %</w:t>
            </w:r>
          </w:p>
        </w:tc>
        <w:tc>
          <w:tcPr>
            <w:tcW w:w="0" w:type="auto"/>
            <w:shd w:val="clear" w:color="auto" w:fill="auto"/>
          </w:tcPr>
          <w:p w14:paraId="7C6C7D19" w14:textId="77777777" w:rsidR="00317701" w:rsidRPr="00E26ADF" w:rsidRDefault="00317701" w:rsidP="00FC2300">
            <w:pPr>
              <w:pStyle w:val="TblTextCenter"/>
              <w:rPr>
                <w:lang w:val="en-AU"/>
              </w:rPr>
            </w:pPr>
            <w:r w:rsidRPr="00E26ADF">
              <w:rPr>
                <w:lang w:val="en-AU"/>
              </w:rPr>
              <w:t>68.9 %*</w:t>
            </w:r>
          </w:p>
        </w:tc>
        <w:tc>
          <w:tcPr>
            <w:tcW w:w="0" w:type="auto"/>
            <w:shd w:val="clear" w:color="auto" w:fill="auto"/>
          </w:tcPr>
          <w:p w14:paraId="690819BF" w14:textId="77777777" w:rsidR="00317701" w:rsidRPr="00E26ADF" w:rsidRDefault="00317701" w:rsidP="00FC2300">
            <w:pPr>
              <w:pStyle w:val="TblTextCenter"/>
              <w:rPr>
                <w:lang w:val="en-AU"/>
              </w:rPr>
            </w:pPr>
            <w:r w:rsidRPr="00E26ADF">
              <w:rPr>
                <w:lang w:val="en-AU"/>
              </w:rPr>
              <w:t>63.9 %*</w:t>
            </w:r>
          </w:p>
        </w:tc>
        <w:tc>
          <w:tcPr>
            <w:tcW w:w="0" w:type="auto"/>
            <w:shd w:val="clear" w:color="auto" w:fill="auto"/>
          </w:tcPr>
          <w:p w14:paraId="76D0A35A" w14:textId="77777777" w:rsidR="00317701" w:rsidRPr="00E26ADF" w:rsidRDefault="00317701" w:rsidP="00FC2300">
            <w:pPr>
              <w:pStyle w:val="TblTextCenter"/>
              <w:rPr>
                <w:lang w:val="en-AU"/>
              </w:rPr>
            </w:pPr>
            <w:r w:rsidRPr="00E26ADF">
              <w:rPr>
                <w:lang w:val="en-AU"/>
              </w:rPr>
              <w:t>21.6 %</w:t>
            </w:r>
          </w:p>
        </w:tc>
        <w:tc>
          <w:tcPr>
            <w:tcW w:w="0" w:type="auto"/>
            <w:shd w:val="clear" w:color="auto" w:fill="auto"/>
          </w:tcPr>
          <w:p w14:paraId="3D17B446" w14:textId="77777777" w:rsidR="00317701" w:rsidRPr="00E26ADF" w:rsidRDefault="00317701" w:rsidP="00FC2300">
            <w:pPr>
              <w:pStyle w:val="TblTextCenter"/>
              <w:rPr>
                <w:lang w:val="en-AU"/>
              </w:rPr>
            </w:pPr>
            <w:r w:rsidRPr="00E26ADF">
              <w:rPr>
                <w:lang w:val="en-AU"/>
              </w:rPr>
              <w:t>65.2 %*</w:t>
            </w:r>
          </w:p>
        </w:tc>
        <w:tc>
          <w:tcPr>
            <w:tcW w:w="0" w:type="auto"/>
            <w:shd w:val="clear" w:color="auto" w:fill="auto"/>
          </w:tcPr>
          <w:p w14:paraId="516BAF94" w14:textId="77777777" w:rsidR="00317701" w:rsidRPr="00E26ADF" w:rsidRDefault="00317701" w:rsidP="00FC2300">
            <w:pPr>
              <w:pStyle w:val="TblTextCenter"/>
              <w:rPr>
                <w:lang w:val="en-AU"/>
              </w:rPr>
            </w:pPr>
            <w:r w:rsidRPr="00E26ADF">
              <w:rPr>
                <w:lang w:val="en-AU"/>
              </w:rPr>
              <w:t>64.1 %*</w:t>
            </w:r>
          </w:p>
        </w:tc>
      </w:tr>
      <w:tr w:rsidR="00FC2300" w:rsidRPr="00E26ADF" w14:paraId="69B02333" w14:textId="77777777" w:rsidTr="00FC2300">
        <w:trPr>
          <w:cantSplit/>
          <w:jc w:val="center"/>
        </w:trPr>
        <w:tc>
          <w:tcPr>
            <w:tcW w:w="0" w:type="auto"/>
            <w:shd w:val="clear" w:color="auto" w:fill="auto"/>
          </w:tcPr>
          <w:p w14:paraId="2B3F001C" w14:textId="77777777" w:rsidR="00317701" w:rsidRPr="00E26ADF" w:rsidRDefault="00317701" w:rsidP="00CE7FDE">
            <w:pPr>
              <w:pStyle w:val="TblTextCenter"/>
              <w:jc w:val="left"/>
              <w:rPr>
                <w:lang w:val="en-AU"/>
              </w:rPr>
            </w:pPr>
            <w:r w:rsidRPr="00E26ADF">
              <w:rPr>
                <w:lang w:val="en-AU"/>
              </w:rPr>
              <w:t>EASI, LS mean % change from baseline (+/- SE)</w:t>
            </w:r>
          </w:p>
        </w:tc>
        <w:tc>
          <w:tcPr>
            <w:tcW w:w="0" w:type="auto"/>
            <w:shd w:val="clear" w:color="auto" w:fill="auto"/>
          </w:tcPr>
          <w:p w14:paraId="2AF3EC51" w14:textId="77777777" w:rsidR="00317701" w:rsidRPr="00E26ADF" w:rsidRDefault="00317701" w:rsidP="00FC2300">
            <w:pPr>
              <w:pStyle w:val="TblTextCenter"/>
              <w:rPr>
                <w:lang w:val="en-AU"/>
              </w:rPr>
            </w:pPr>
            <w:r w:rsidRPr="00E26ADF">
              <w:rPr>
                <w:lang w:val="en-AU"/>
              </w:rPr>
              <w:t>-48.4 % (3.82)</w:t>
            </w:r>
          </w:p>
        </w:tc>
        <w:tc>
          <w:tcPr>
            <w:tcW w:w="0" w:type="auto"/>
            <w:shd w:val="clear" w:color="auto" w:fill="auto"/>
          </w:tcPr>
          <w:p w14:paraId="6ABDB777" w14:textId="77777777" w:rsidR="00317701" w:rsidRPr="00E26ADF" w:rsidRDefault="00317701" w:rsidP="00FC2300">
            <w:pPr>
              <w:pStyle w:val="TblTextCenter"/>
              <w:rPr>
                <w:lang w:val="en-AU"/>
              </w:rPr>
            </w:pPr>
            <w:r w:rsidRPr="00E26ADF">
              <w:rPr>
                <w:lang w:val="en-AU"/>
              </w:rPr>
              <w:t>-80.5 %* (6.34)</w:t>
            </w:r>
          </w:p>
        </w:tc>
        <w:tc>
          <w:tcPr>
            <w:tcW w:w="0" w:type="auto"/>
            <w:shd w:val="clear" w:color="auto" w:fill="auto"/>
          </w:tcPr>
          <w:p w14:paraId="0B343A7B" w14:textId="77777777" w:rsidR="00317701" w:rsidRPr="00E26ADF" w:rsidRDefault="00317701" w:rsidP="00FC2300">
            <w:pPr>
              <w:pStyle w:val="TblTextCenter"/>
              <w:rPr>
                <w:lang w:val="en-AU"/>
              </w:rPr>
            </w:pPr>
            <w:r w:rsidRPr="00E26ADF">
              <w:rPr>
                <w:lang w:val="en-AU"/>
              </w:rPr>
              <w:t>-81.5 %* (5.78)</w:t>
            </w:r>
          </w:p>
        </w:tc>
        <w:tc>
          <w:tcPr>
            <w:tcW w:w="0" w:type="auto"/>
            <w:shd w:val="clear" w:color="auto" w:fill="auto"/>
          </w:tcPr>
          <w:p w14:paraId="6DB449E3" w14:textId="77777777" w:rsidR="00317701" w:rsidRPr="00E26ADF" w:rsidRDefault="00317701" w:rsidP="00FC2300">
            <w:pPr>
              <w:pStyle w:val="TblTextCenter"/>
              <w:rPr>
                <w:lang w:val="en-AU"/>
              </w:rPr>
            </w:pPr>
            <w:r w:rsidRPr="00E26ADF">
              <w:rPr>
                <w:lang w:val="en-AU"/>
              </w:rPr>
              <w:t>-60.9 % (4.29)</w:t>
            </w:r>
          </w:p>
        </w:tc>
        <w:tc>
          <w:tcPr>
            <w:tcW w:w="0" w:type="auto"/>
            <w:shd w:val="clear" w:color="auto" w:fill="auto"/>
          </w:tcPr>
          <w:p w14:paraId="38837510" w14:textId="77777777" w:rsidR="00317701" w:rsidRPr="00E26ADF" w:rsidRDefault="00317701" w:rsidP="00FC2300">
            <w:pPr>
              <w:pStyle w:val="TblTextCenter"/>
              <w:rPr>
                <w:lang w:val="en-AU"/>
              </w:rPr>
            </w:pPr>
            <w:r w:rsidRPr="00E26ADF">
              <w:rPr>
                <w:lang w:val="en-AU"/>
              </w:rPr>
              <w:t>-84.9 %# (6.73)</w:t>
            </w:r>
          </w:p>
        </w:tc>
        <w:tc>
          <w:tcPr>
            <w:tcW w:w="0" w:type="auto"/>
            <w:shd w:val="clear" w:color="auto" w:fill="auto"/>
          </w:tcPr>
          <w:p w14:paraId="262EBA5C" w14:textId="77777777" w:rsidR="00317701" w:rsidRPr="00E26ADF" w:rsidRDefault="00317701" w:rsidP="00FC2300">
            <w:pPr>
              <w:pStyle w:val="TblTextCenter"/>
              <w:rPr>
                <w:lang w:val="en-AU"/>
              </w:rPr>
            </w:pPr>
            <w:r w:rsidRPr="00E26ADF">
              <w:rPr>
                <w:lang w:val="en-AU"/>
              </w:rPr>
              <w:t>-87.8 % ‡ (6.19)</w:t>
            </w:r>
          </w:p>
        </w:tc>
      </w:tr>
      <w:tr w:rsidR="00FC2300" w:rsidRPr="00E26ADF" w14:paraId="2D8A2FCB" w14:textId="77777777" w:rsidTr="00FC2300">
        <w:trPr>
          <w:cantSplit/>
          <w:jc w:val="center"/>
        </w:trPr>
        <w:tc>
          <w:tcPr>
            <w:tcW w:w="0" w:type="auto"/>
            <w:shd w:val="clear" w:color="auto" w:fill="auto"/>
          </w:tcPr>
          <w:p w14:paraId="25435C2E" w14:textId="77777777" w:rsidR="00317701" w:rsidRPr="00E26ADF" w:rsidRDefault="00317701" w:rsidP="00CE7FDE">
            <w:pPr>
              <w:pStyle w:val="TblTextCenter"/>
              <w:jc w:val="left"/>
              <w:rPr>
                <w:lang w:val="en-AU"/>
              </w:rPr>
            </w:pPr>
            <w:r w:rsidRPr="00E26ADF">
              <w:rPr>
                <w:lang w:val="en-AU"/>
              </w:rPr>
              <w:t>Pruritus NRS, LS mean % change from baseline (+/- SE)</w:t>
            </w:r>
          </w:p>
        </w:tc>
        <w:tc>
          <w:tcPr>
            <w:tcW w:w="0" w:type="auto"/>
            <w:shd w:val="clear" w:color="auto" w:fill="auto"/>
          </w:tcPr>
          <w:p w14:paraId="243425D5" w14:textId="77777777" w:rsidR="00317701" w:rsidRPr="00E26ADF" w:rsidRDefault="00317701" w:rsidP="00FC2300">
            <w:pPr>
              <w:pStyle w:val="TblTextCenter"/>
              <w:rPr>
                <w:lang w:val="en-AU"/>
              </w:rPr>
            </w:pPr>
            <w:r w:rsidRPr="00E26ADF">
              <w:rPr>
                <w:lang w:val="en-AU"/>
              </w:rPr>
              <w:t>-30.3</w:t>
            </w:r>
          </w:p>
          <w:p w14:paraId="7F9C1D0A" w14:textId="77777777" w:rsidR="00317701" w:rsidRPr="00E26ADF" w:rsidRDefault="00317701" w:rsidP="00FC2300">
            <w:pPr>
              <w:pStyle w:val="TblTextCenter"/>
              <w:rPr>
                <w:lang w:val="en-AU"/>
              </w:rPr>
            </w:pPr>
            <w:r w:rsidRPr="00E26ADF">
              <w:rPr>
                <w:lang w:val="en-AU"/>
              </w:rPr>
              <w:t>(2.36)</w:t>
            </w:r>
          </w:p>
        </w:tc>
        <w:tc>
          <w:tcPr>
            <w:tcW w:w="0" w:type="auto"/>
            <w:shd w:val="clear" w:color="auto" w:fill="auto"/>
          </w:tcPr>
          <w:p w14:paraId="2312FF79" w14:textId="77777777" w:rsidR="00317701" w:rsidRPr="00E26ADF" w:rsidRDefault="00317701" w:rsidP="00FC2300">
            <w:pPr>
              <w:pStyle w:val="TblTextCenter"/>
              <w:rPr>
                <w:lang w:val="en-AU"/>
              </w:rPr>
            </w:pPr>
            <w:r w:rsidRPr="00E26ADF">
              <w:rPr>
                <w:lang w:val="en-AU"/>
              </w:rPr>
              <w:t>-56.6*</w:t>
            </w:r>
          </w:p>
          <w:p w14:paraId="2ADF7BBB" w14:textId="77777777" w:rsidR="00317701" w:rsidRPr="00E26ADF" w:rsidRDefault="00317701" w:rsidP="00FC2300">
            <w:pPr>
              <w:pStyle w:val="TblTextCenter"/>
              <w:rPr>
                <w:lang w:val="en-AU"/>
              </w:rPr>
            </w:pPr>
            <w:r w:rsidRPr="00E26ADF">
              <w:rPr>
                <w:lang w:val="en-AU"/>
              </w:rPr>
              <w:t>(3.95)</w:t>
            </w:r>
          </w:p>
        </w:tc>
        <w:tc>
          <w:tcPr>
            <w:tcW w:w="0" w:type="auto"/>
            <w:shd w:val="clear" w:color="auto" w:fill="auto"/>
          </w:tcPr>
          <w:p w14:paraId="5A9A864E" w14:textId="77777777" w:rsidR="00317701" w:rsidRPr="00E26ADF" w:rsidRDefault="00317701" w:rsidP="00FC2300">
            <w:pPr>
              <w:pStyle w:val="TblTextCenter"/>
              <w:rPr>
                <w:lang w:val="en-AU"/>
              </w:rPr>
            </w:pPr>
            <w:r w:rsidRPr="00E26ADF">
              <w:rPr>
                <w:lang w:val="en-AU"/>
              </w:rPr>
              <w:t>-57.1</w:t>
            </w:r>
          </w:p>
          <w:p w14:paraId="751F4236" w14:textId="77777777" w:rsidR="00317701" w:rsidRPr="00E26ADF" w:rsidRDefault="00317701" w:rsidP="00FC2300">
            <w:pPr>
              <w:pStyle w:val="TblTextCenter"/>
              <w:rPr>
                <w:lang w:val="en-AU"/>
              </w:rPr>
            </w:pPr>
            <w:r w:rsidRPr="00E26ADF">
              <w:rPr>
                <w:lang w:val="en-AU"/>
              </w:rPr>
              <w:t>(2.11)</w:t>
            </w:r>
          </w:p>
        </w:tc>
        <w:tc>
          <w:tcPr>
            <w:tcW w:w="0" w:type="auto"/>
            <w:shd w:val="clear" w:color="auto" w:fill="auto"/>
          </w:tcPr>
          <w:p w14:paraId="4B3C16B1" w14:textId="77777777" w:rsidR="00317701" w:rsidRPr="00E26ADF" w:rsidRDefault="00317701" w:rsidP="00FC2300">
            <w:pPr>
              <w:pStyle w:val="TblTextCenter"/>
              <w:rPr>
                <w:lang w:val="en-AU"/>
              </w:rPr>
            </w:pPr>
            <w:r w:rsidRPr="00E26ADF">
              <w:rPr>
                <w:lang w:val="en-AU"/>
              </w:rPr>
              <w:t>-31.7</w:t>
            </w:r>
          </w:p>
          <w:p w14:paraId="5B3F4E8E" w14:textId="77777777" w:rsidR="00317701" w:rsidRPr="00E26ADF" w:rsidRDefault="00317701" w:rsidP="00FC2300">
            <w:pPr>
              <w:pStyle w:val="TblTextCenter"/>
              <w:rPr>
                <w:lang w:val="en-AU"/>
              </w:rPr>
            </w:pPr>
            <w:r w:rsidRPr="00E26ADF">
              <w:rPr>
                <w:lang w:val="en-AU"/>
              </w:rPr>
              <w:t>(3.95)</w:t>
            </w:r>
          </w:p>
        </w:tc>
        <w:tc>
          <w:tcPr>
            <w:tcW w:w="0" w:type="auto"/>
            <w:shd w:val="clear" w:color="auto" w:fill="auto"/>
          </w:tcPr>
          <w:p w14:paraId="26B577A7" w14:textId="77777777" w:rsidR="00317701" w:rsidRPr="00E26ADF" w:rsidRDefault="00317701" w:rsidP="00FC2300">
            <w:pPr>
              <w:pStyle w:val="TblTextCenter"/>
              <w:rPr>
                <w:lang w:val="en-AU"/>
              </w:rPr>
            </w:pPr>
            <w:r w:rsidRPr="00E26ADF">
              <w:rPr>
                <w:lang w:val="en-AU"/>
              </w:rPr>
              <w:t>-57.0§</w:t>
            </w:r>
          </w:p>
          <w:p w14:paraId="1ABC01E2" w14:textId="77777777" w:rsidR="00317701" w:rsidRPr="00E26ADF" w:rsidRDefault="00317701" w:rsidP="00FC2300">
            <w:pPr>
              <w:pStyle w:val="TblTextCenter"/>
              <w:rPr>
                <w:lang w:val="en-AU"/>
              </w:rPr>
            </w:pPr>
            <w:r w:rsidRPr="00E26ADF">
              <w:rPr>
                <w:lang w:val="en-AU"/>
              </w:rPr>
              <w:t>(6.17)</w:t>
            </w:r>
          </w:p>
        </w:tc>
        <w:tc>
          <w:tcPr>
            <w:tcW w:w="0" w:type="auto"/>
            <w:shd w:val="clear" w:color="auto" w:fill="auto"/>
          </w:tcPr>
          <w:p w14:paraId="39A10821" w14:textId="77777777" w:rsidR="00317701" w:rsidRPr="00E26ADF" w:rsidRDefault="00317701" w:rsidP="00FC2300">
            <w:pPr>
              <w:pStyle w:val="TblTextCenter"/>
              <w:rPr>
                <w:lang w:val="en-AU"/>
              </w:rPr>
            </w:pPr>
            <w:r w:rsidRPr="00E26ADF">
              <w:rPr>
                <w:lang w:val="en-AU"/>
              </w:rPr>
              <w:t>-56.5</w:t>
            </w:r>
          </w:p>
          <w:p w14:paraId="71C1A956" w14:textId="77777777" w:rsidR="00317701" w:rsidRPr="00E26ADF" w:rsidRDefault="00317701" w:rsidP="00FC2300">
            <w:pPr>
              <w:pStyle w:val="TblTextCenter"/>
              <w:rPr>
                <w:lang w:val="en-AU"/>
              </w:rPr>
            </w:pPr>
            <w:r w:rsidRPr="00E26ADF">
              <w:rPr>
                <w:lang w:val="en-AU"/>
              </w:rPr>
              <w:t>(3.26)</w:t>
            </w:r>
          </w:p>
        </w:tc>
      </w:tr>
      <w:tr w:rsidR="00FC2300" w:rsidRPr="00E26ADF" w14:paraId="03808A7C" w14:textId="77777777" w:rsidTr="00FC2300">
        <w:trPr>
          <w:cantSplit/>
          <w:jc w:val="center"/>
        </w:trPr>
        <w:tc>
          <w:tcPr>
            <w:tcW w:w="0" w:type="auto"/>
            <w:shd w:val="clear" w:color="auto" w:fill="auto"/>
          </w:tcPr>
          <w:p w14:paraId="295859C9" w14:textId="77777777" w:rsidR="00317701" w:rsidRPr="00E26ADF" w:rsidRDefault="00317701" w:rsidP="00CE7FDE">
            <w:pPr>
              <w:pStyle w:val="TblTextCenter"/>
              <w:jc w:val="left"/>
              <w:rPr>
                <w:lang w:val="en-AU"/>
              </w:rPr>
            </w:pPr>
            <w:r w:rsidRPr="00E26ADF">
              <w:rPr>
                <w:lang w:val="en-AU"/>
              </w:rPr>
              <w:t>Number of patients with baseline pruritus NRS score ≥ 4</w:t>
            </w:r>
          </w:p>
        </w:tc>
        <w:tc>
          <w:tcPr>
            <w:tcW w:w="0" w:type="auto"/>
            <w:shd w:val="clear" w:color="auto" w:fill="auto"/>
          </w:tcPr>
          <w:p w14:paraId="3D794218" w14:textId="77777777" w:rsidR="00317701" w:rsidRPr="00E26ADF" w:rsidRDefault="00317701" w:rsidP="00FC2300">
            <w:pPr>
              <w:pStyle w:val="TblTextCenter"/>
              <w:rPr>
                <w:lang w:val="en-AU"/>
              </w:rPr>
            </w:pPr>
            <w:r w:rsidRPr="00E26ADF">
              <w:rPr>
                <w:lang w:val="en-AU"/>
              </w:rPr>
              <w:t>299</w:t>
            </w:r>
          </w:p>
        </w:tc>
        <w:tc>
          <w:tcPr>
            <w:tcW w:w="0" w:type="auto"/>
            <w:shd w:val="clear" w:color="auto" w:fill="auto"/>
          </w:tcPr>
          <w:p w14:paraId="6FE976E5" w14:textId="77777777" w:rsidR="00317701" w:rsidRPr="00E26ADF" w:rsidRDefault="00317701" w:rsidP="00FC2300">
            <w:pPr>
              <w:pStyle w:val="TblTextCenter"/>
              <w:rPr>
                <w:lang w:val="en-AU"/>
              </w:rPr>
            </w:pPr>
            <w:r w:rsidRPr="00E26ADF">
              <w:rPr>
                <w:lang w:val="en-AU"/>
              </w:rPr>
              <w:t>102</w:t>
            </w:r>
          </w:p>
        </w:tc>
        <w:tc>
          <w:tcPr>
            <w:tcW w:w="0" w:type="auto"/>
            <w:shd w:val="clear" w:color="auto" w:fill="auto"/>
          </w:tcPr>
          <w:p w14:paraId="6A8329C6" w14:textId="77777777" w:rsidR="00317701" w:rsidRPr="00E26ADF" w:rsidRDefault="00317701" w:rsidP="00FC2300">
            <w:pPr>
              <w:pStyle w:val="TblTextCenter"/>
              <w:rPr>
                <w:lang w:val="en-AU"/>
              </w:rPr>
            </w:pPr>
            <w:r w:rsidRPr="00E26ADF">
              <w:rPr>
                <w:lang w:val="en-AU"/>
              </w:rPr>
              <w:t>295</w:t>
            </w:r>
          </w:p>
        </w:tc>
        <w:tc>
          <w:tcPr>
            <w:tcW w:w="0" w:type="auto"/>
            <w:shd w:val="clear" w:color="auto" w:fill="auto"/>
          </w:tcPr>
          <w:p w14:paraId="44E67110" w14:textId="77777777" w:rsidR="00317701" w:rsidRPr="00E26ADF" w:rsidRDefault="00317701" w:rsidP="00FC2300">
            <w:pPr>
              <w:pStyle w:val="TblTextCenter"/>
              <w:rPr>
                <w:lang w:val="en-AU"/>
              </w:rPr>
            </w:pPr>
            <w:r w:rsidRPr="00E26ADF">
              <w:rPr>
                <w:lang w:val="en-AU"/>
              </w:rPr>
              <w:t>249</w:t>
            </w:r>
          </w:p>
        </w:tc>
        <w:tc>
          <w:tcPr>
            <w:tcW w:w="0" w:type="auto"/>
            <w:shd w:val="clear" w:color="auto" w:fill="auto"/>
          </w:tcPr>
          <w:p w14:paraId="578C4E60" w14:textId="77777777" w:rsidR="00317701" w:rsidRPr="00E26ADF" w:rsidRDefault="00317701" w:rsidP="00FC2300">
            <w:pPr>
              <w:pStyle w:val="TblTextCenter"/>
              <w:rPr>
                <w:lang w:val="en-AU"/>
              </w:rPr>
            </w:pPr>
            <w:r w:rsidRPr="00E26ADF">
              <w:rPr>
                <w:lang w:val="en-AU"/>
              </w:rPr>
              <w:t>86</w:t>
            </w:r>
          </w:p>
        </w:tc>
        <w:tc>
          <w:tcPr>
            <w:tcW w:w="0" w:type="auto"/>
            <w:shd w:val="clear" w:color="auto" w:fill="auto"/>
          </w:tcPr>
          <w:p w14:paraId="3CA7915E" w14:textId="77777777" w:rsidR="00317701" w:rsidRPr="00E26ADF" w:rsidRDefault="00317701" w:rsidP="00FC2300">
            <w:pPr>
              <w:pStyle w:val="TblTextCenter"/>
              <w:rPr>
                <w:lang w:val="en-AU"/>
              </w:rPr>
            </w:pPr>
            <w:r w:rsidRPr="00E26ADF">
              <w:rPr>
                <w:lang w:val="en-AU"/>
              </w:rPr>
              <w:t>249</w:t>
            </w:r>
          </w:p>
        </w:tc>
      </w:tr>
      <w:tr w:rsidR="00FC2300" w:rsidRPr="00E26ADF" w14:paraId="39DBECB0" w14:textId="77777777" w:rsidTr="00FC2300">
        <w:trPr>
          <w:cantSplit/>
          <w:jc w:val="center"/>
        </w:trPr>
        <w:tc>
          <w:tcPr>
            <w:tcW w:w="0" w:type="auto"/>
            <w:tcBorders>
              <w:bottom w:val="single" w:sz="12" w:space="0" w:color="auto"/>
            </w:tcBorders>
            <w:shd w:val="clear" w:color="auto" w:fill="auto"/>
          </w:tcPr>
          <w:p w14:paraId="754D6786" w14:textId="76869D7D" w:rsidR="00317701" w:rsidRPr="00E26ADF" w:rsidRDefault="00317701" w:rsidP="00CE7FDE">
            <w:pPr>
              <w:pStyle w:val="TblTextCenter"/>
              <w:jc w:val="left"/>
              <w:rPr>
                <w:lang w:val="en-AU"/>
              </w:rPr>
            </w:pPr>
            <w:r w:rsidRPr="00E26ADF">
              <w:rPr>
                <w:lang w:val="en-AU"/>
              </w:rPr>
              <w:t>Pruritus NRS (</w:t>
            </w:r>
            <w:r w:rsidR="006B2E87" w:rsidRPr="00E26ADF">
              <w:rPr>
                <w:lang w:val="en-AU"/>
              </w:rPr>
              <w:t>≥</w:t>
            </w:r>
            <w:r w:rsidRPr="00E26ADF">
              <w:rPr>
                <w:lang w:val="en-AU"/>
              </w:rPr>
              <w:t xml:space="preserve">4-point improvement), % responders </w:t>
            </w:r>
            <w:r w:rsidRPr="00A05E57">
              <w:rPr>
                <w:vertAlign w:val="superscript"/>
                <w:lang w:val="en-AU"/>
              </w:rPr>
              <w:t>d e</w:t>
            </w:r>
            <w:r w:rsidRPr="00E26ADF">
              <w:rPr>
                <w:lang w:val="en-AU"/>
              </w:rPr>
              <w:t xml:space="preserve"> </w:t>
            </w:r>
          </w:p>
        </w:tc>
        <w:tc>
          <w:tcPr>
            <w:tcW w:w="0" w:type="auto"/>
            <w:tcBorders>
              <w:bottom w:val="single" w:sz="12" w:space="0" w:color="auto"/>
            </w:tcBorders>
            <w:shd w:val="clear" w:color="auto" w:fill="auto"/>
          </w:tcPr>
          <w:p w14:paraId="35896D87" w14:textId="77777777" w:rsidR="00317701" w:rsidRPr="00E26ADF" w:rsidRDefault="00317701" w:rsidP="00FC2300">
            <w:pPr>
              <w:pStyle w:val="TblTextCenter"/>
              <w:rPr>
                <w:lang w:val="en-AU"/>
              </w:rPr>
            </w:pPr>
            <w:r w:rsidRPr="00E26ADF">
              <w:rPr>
                <w:lang w:val="en-AU"/>
              </w:rPr>
              <w:t>19.7 %</w:t>
            </w:r>
          </w:p>
          <w:p w14:paraId="743B929B" w14:textId="77777777" w:rsidR="00317701" w:rsidRPr="00E26ADF" w:rsidRDefault="00317701" w:rsidP="00FC2300">
            <w:pPr>
              <w:pStyle w:val="TblTextCenter"/>
              <w:rPr>
                <w:lang w:val="en-AU"/>
              </w:rPr>
            </w:pPr>
          </w:p>
        </w:tc>
        <w:tc>
          <w:tcPr>
            <w:tcW w:w="0" w:type="auto"/>
            <w:tcBorders>
              <w:bottom w:val="single" w:sz="12" w:space="0" w:color="auto"/>
            </w:tcBorders>
            <w:shd w:val="clear" w:color="auto" w:fill="auto"/>
          </w:tcPr>
          <w:p w14:paraId="2C7437D9" w14:textId="77777777" w:rsidR="00317701" w:rsidRPr="00E26ADF" w:rsidRDefault="00317701" w:rsidP="00FC2300">
            <w:pPr>
              <w:pStyle w:val="TblTextCenter"/>
              <w:rPr>
                <w:lang w:val="en-AU"/>
              </w:rPr>
            </w:pPr>
            <w:r w:rsidRPr="00E26ADF">
              <w:rPr>
                <w:lang w:val="en-AU"/>
              </w:rPr>
              <w:t>58.8 %*</w:t>
            </w:r>
          </w:p>
          <w:p w14:paraId="018F5D46" w14:textId="77777777" w:rsidR="00317701" w:rsidRPr="00E26ADF" w:rsidRDefault="00317701" w:rsidP="00FC2300">
            <w:pPr>
              <w:pStyle w:val="TblTextCenter"/>
              <w:rPr>
                <w:lang w:val="en-AU"/>
              </w:rPr>
            </w:pPr>
          </w:p>
        </w:tc>
        <w:tc>
          <w:tcPr>
            <w:tcW w:w="0" w:type="auto"/>
            <w:tcBorders>
              <w:bottom w:val="single" w:sz="12" w:space="0" w:color="auto"/>
            </w:tcBorders>
            <w:shd w:val="clear" w:color="auto" w:fill="auto"/>
          </w:tcPr>
          <w:p w14:paraId="73F9E6F2" w14:textId="77777777" w:rsidR="00317701" w:rsidRPr="00E26ADF" w:rsidRDefault="00317701" w:rsidP="00FC2300">
            <w:pPr>
              <w:pStyle w:val="TblTextCenter"/>
              <w:rPr>
                <w:lang w:val="en-AU"/>
              </w:rPr>
            </w:pPr>
            <w:r w:rsidRPr="00E26ADF">
              <w:rPr>
                <w:lang w:val="en-AU"/>
              </w:rPr>
              <w:t xml:space="preserve">50.8 %* </w:t>
            </w:r>
          </w:p>
        </w:tc>
        <w:tc>
          <w:tcPr>
            <w:tcW w:w="0" w:type="auto"/>
            <w:tcBorders>
              <w:bottom w:val="single" w:sz="12" w:space="0" w:color="auto"/>
            </w:tcBorders>
            <w:shd w:val="clear" w:color="auto" w:fill="auto"/>
          </w:tcPr>
          <w:p w14:paraId="551DCBAC" w14:textId="77777777" w:rsidR="00317701" w:rsidRPr="00E26ADF" w:rsidRDefault="00317701" w:rsidP="00FC2300">
            <w:pPr>
              <w:pStyle w:val="TblTextCenter"/>
              <w:rPr>
                <w:lang w:val="en-AU"/>
              </w:rPr>
            </w:pPr>
            <w:r w:rsidRPr="00E26ADF">
              <w:rPr>
                <w:lang w:val="en-AU"/>
              </w:rPr>
              <w:t>12.9 %</w:t>
            </w:r>
          </w:p>
          <w:p w14:paraId="731B714E" w14:textId="77777777" w:rsidR="00317701" w:rsidRPr="00E26ADF" w:rsidRDefault="00317701" w:rsidP="00FC2300">
            <w:pPr>
              <w:pStyle w:val="TblTextCenter"/>
              <w:rPr>
                <w:lang w:val="en-AU"/>
              </w:rPr>
            </w:pPr>
          </w:p>
        </w:tc>
        <w:tc>
          <w:tcPr>
            <w:tcW w:w="0" w:type="auto"/>
            <w:tcBorders>
              <w:bottom w:val="single" w:sz="12" w:space="0" w:color="auto"/>
            </w:tcBorders>
            <w:shd w:val="clear" w:color="auto" w:fill="auto"/>
          </w:tcPr>
          <w:p w14:paraId="7ED6A5C8" w14:textId="77777777" w:rsidR="00317701" w:rsidRPr="00E26ADF" w:rsidRDefault="00317701" w:rsidP="00FC2300">
            <w:pPr>
              <w:pStyle w:val="TblTextCenter"/>
              <w:rPr>
                <w:lang w:val="en-AU"/>
              </w:rPr>
            </w:pPr>
            <w:r w:rsidRPr="00E26ADF">
              <w:rPr>
                <w:lang w:val="en-AU"/>
              </w:rPr>
              <w:t>51.2 %*</w:t>
            </w:r>
          </w:p>
          <w:p w14:paraId="0BA2F1F4" w14:textId="77777777" w:rsidR="00317701" w:rsidRPr="00E26ADF" w:rsidRDefault="00317701" w:rsidP="00FC2300">
            <w:pPr>
              <w:pStyle w:val="TblTextCenter"/>
              <w:rPr>
                <w:lang w:val="en-AU"/>
              </w:rPr>
            </w:pPr>
          </w:p>
        </w:tc>
        <w:tc>
          <w:tcPr>
            <w:tcW w:w="0" w:type="auto"/>
            <w:tcBorders>
              <w:bottom w:val="single" w:sz="12" w:space="0" w:color="auto"/>
            </w:tcBorders>
            <w:shd w:val="clear" w:color="auto" w:fill="auto"/>
          </w:tcPr>
          <w:p w14:paraId="0528E0B5" w14:textId="77777777" w:rsidR="00317701" w:rsidRPr="00E26ADF" w:rsidRDefault="00317701" w:rsidP="00FC2300">
            <w:pPr>
              <w:pStyle w:val="TblTextCenter"/>
              <w:rPr>
                <w:lang w:val="en-AU"/>
              </w:rPr>
            </w:pPr>
            <w:r w:rsidRPr="00E26ADF">
              <w:rPr>
                <w:lang w:val="en-AU"/>
              </w:rPr>
              <w:t>39.0 %*</w:t>
            </w:r>
          </w:p>
          <w:p w14:paraId="0C4122AD" w14:textId="77777777" w:rsidR="00317701" w:rsidRPr="00E26ADF" w:rsidRDefault="00317701" w:rsidP="00FC2300">
            <w:pPr>
              <w:pStyle w:val="TblTextCenter"/>
              <w:rPr>
                <w:lang w:val="en-AU"/>
              </w:rPr>
            </w:pPr>
          </w:p>
        </w:tc>
      </w:tr>
      <w:tr w:rsidR="00317701" w:rsidRPr="00E26ADF" w14:paraId="283916F1" w14:textId="77777777" w:rsidTr="00FC2300">
        <w:trPr>
          <w:cantSplit/>
          <w:jc w:val="center"/>
        </w:trPr>
        <w:tc>
          <w:tcPr>
            <w:tcW w:w="0" w:type="auto"/>
            <w:gridSpan w:val="7"/>
            <w:tcBorders>
              <w:top w:val="single" w:sz="12" w:space="0" w:color="auto"/>
            </w:tcBorders>
            <w:shd w:val="clear" w:color="auto" w:fill="auto"/>
          </w:tcPr>
          <w:p w14:paraId="094D16AF" w14:textId="77777777" w:rsidR="00317701" w:rsidRPr="00E26ADF" w:rsidRDefault="00317701" w:rsidP="00317701">
            <w:pPr>
              <w:pStyle w:val="TblFigFootnote"/>
              <w:rPr>
                <w:lang w:val="en-AU"/>
              </w:rPr>
            </w:pPr>
            <w:r w:rsidRPr="00E26ADF">
              <w:rPr>
                <w:lang w:val="en-AU"/>
              </w:rPr>
              <w:t xml:space="preserve">* p-value &lt;0.0001, </w:t>
            </w:r>
          </w:p>
          <w:p w14:paraId="6D6BE068" w14:textId="77777777" w:rsidR="00317701" w:rsidRPr="00E26ADF" w:rsidRDefault="00317701" w:rsidP="00317701">
            <w:pPr>
              <w:pStyle w:val="TblFigFootnote"/>
              <w:rPr>
                <w:lang w:val="en-AU"/>
              </w:rPr>
            </w:pPr>
            <w:r w:rsidRPr="00E26ADF">
              <w:rPr>
                <w:lang w:val="en-AU"/>
              </w:rPr>
              <w:t>‡ p-value = 0.0003,</w:t>
            </w:r>
          </w:p>
          <w:p w14:paraId="5E8CF5C2" w14:textId="77777777" w:rsidR="00317701" w:rsidRPr="00E26ADF" w:rsidRDefault="00317701" w:rsidP="00317701">
            <w:pPr>
              <w:pStyle w:val="TblFigFootnote"/>
              <w:rPr>
                <w:lang w:val="en-AU"/>
              </w:rPr>
            </w:pPr>
            <w:r w:rsidRPr="00E26ADF">
              <w:rPr>
                <w:lang w:val="en-AU"/>
              </w:rPr>
              <w:t>§ p-value = 0.0005,</w:t>
            </w:r>
          </w:p>
          <w:p w14:paraId="60BCF69B" w14:textId="77777777" w:rsidR="00317701" w:rsidRPr="00E26ADF" w:rsidRDefault="00317701" w:rsidP="00317701">
            <w:pPr>
              <w:pStyle w:val="TblFigFootnote"/>
              <w:rPr>
                <w:lang w:val="en-AU"/>
              </w:rPr>
            </w:pPr>
            <w:r w:rsidRPr="00E26ADF">
              <w:rPr>
                <w:lang w:val="en-AU"/>
              </w:rPr>
              <w:t># p-value = 0.0015</w:t>
            </w:r>
          </w:p>
          <w:p w14:paraId="4513EB5D" w14:textId="60453B31" w:rsidR="00317701" w:rsidRPr="00E26ADF" w:rsidRDefault="00317701" w:rsidP="00FC2300">
            <w:pPr>
              <w:pStyle w:val="TblFigFootnote"/>
              <w:rPr>
                <w:rFonts w:ascii="Cambria" w:hAnsi="Cambria"/>
                <w:lang w:val="en-AU"/>
              </w:rPr>
            </w:pPr>
            <w:proofErr w:type="spellStart"/>
            <w:r w:rsidRPr="00E26ADF">
              <w:rPr>
                <w:lang w:val="en-AU"/>
              </w:rPr>
              <w:t>a</w:t>
            </w:r>
            <w:proofErr w:type="spellEnd"/>
            <w:r w:rsidRPr="00E26ADF">
              <w:rPr>
                <w:lang w:val="en-AU"/>
              </w:rPr>
              <w:t xml:space="preserve"> All patients were on background TCS therapy and patients were permitted to use topical calcineurin inhibitors.</w:t>
            </w:r>
            <w:r w:rsidR="00FC2300" w:rsidRPr="00E26ADF">
              <w:rPr>
                <w:lang w:val="en-AU"/>
              </w:rPr>
              <w:br/>
              <w:t xml:space="preserve">b </w:t>
            </w:r>
            <w:r w:rsidRPr="00E26ADF">
              <w:rPr>
                <w:lang w:val="en-AU"/>
              </w:rPr>
              <w:t xml:space="preserve">Full analysis set (FAS) includes all patients </w:t>
            </w:r>
            <w:r w:rsidRPr="00F64F0A">
              <w:rPr>
                <w:lang w:val="en-AU"/>
              </w:rPr>
              <w:t>randomi</w:t>
            </w:r>
            <w:r w:rsidR="002C171C" w:rsidRPr="00F64F0A">
              <w:rPr>
                <w:lang w:val="en-AU"/>
              </w:rPr>
              <w:t>s</w:t>
            </w:r>
            <w:r w:rsidRPr="00F64F0A">
              <w:rPr>
                <w:lang w:val="en-AU"/>
              </w:rPr>
              <w:t>ed. FAS Week 52 includes all patients randomi</w:t>
            </w:r>
            <w:r w:rsidR="002C171C" w:rsidRPr="00F64F0A">
              <w:rPr>
                <w:lang w:val="en-AU"/>
              </w:rPr>
              <w:t>s</w:t>
            </w:r>
            <w:r w:rsidRPr="00F64F0A">
              <w:rPr>
                <w:lang w:val="en-AU"/>
              </w:rPr>
              <w:t xml:space="preserve">ed at least one year before the </w:t>
            </w:r>
            <w:r w:rsidR="00FC2300" w:rsidRPr="00F64F0A">
              <w:rPr>
                <w:lang w:val="en-AU"/>
              </w:rPr>
              <w:t>cut-off</w:t>
            </w:r>
            <w:r w:rsidRPr="00F64F0A">
              <w:rPr>
                <w:lang w:val="en-AU"/>
              </w:rPr>
              <w:t xml:space="preserve"> date of the primary analysis. </w:t>
            </w:r>
            <w:r w:rsidR="00FC2300" w:rsidRPr="00F64F0A">
              <w:rPr>
                <w:lang w:val="en-AU"/>
              </w:rPr>
              <w:br/>
            </w:r>
            <w:r w:rsidRPr="00F64F0A">
              <w:rPr>
                <w:lang w:val="en-AU"/>
              </w:rPr>
              <w:t>c Responder was defined as a patient with IGA 0 or 1 (“clear” or “almost clear”) with a reduction of ≥ 2 points on a 0-4 IGA scale.</w:t>
            </w:r>
            <w:r w:rsidR="00FC2300" w:rsidRPr="00F64F0A">
              <w:rPr>
                <w:lang w:val="en-AU"/>
              </w:rPr>
              <w:br/>
            </w:r>
            <w:r w:rsidRPr="00F64F0A">
              <w:rPr>
                <w:lang w:val="en-AU"/>
              </w:rPr>
              <w:t xml:space="preserve">d Patients who received rescue treatment or with missing data </w:t>
            </w:r>
            <w:r w:rsidRPr="00E26ADF">
              <w:rPr>
                <w:lang w:val="en-AU"/>
              </w:rPr>
              <w:t>were considered as non-responders.</w:t>
            </w:r>
            <w:r w:rsidR="00FC2300" w:rsidRPr="00E26ADF">
              <w:rPr>
                <w:lang w:val="en-AU"/>
              </w:rPr>
              <w:br/>
            </w:r>
            <w:r w:rsidRPr="00E26ADF">
              <w:rPr>
                <w:lang w:val="en-AU"/>
              </w:rPr>
              <w:t>e a significantly greater proportion of patients on Dupixent had improvement in pruritus NRS of ≥4 points compared to placebo at week 2 (p&lt;0.05).</w:t>
            </w:r>
            <w:r w:rsidR="00FC2300" w:rsidRPr="00E26ADF">
              <w:rPr>
                <w:lang w:val="en-AU"/>
              </w:rPr>
              <w:br/>
            </w:r>
            <w:r w:rsidRPr="00E26ADF">
              <w:rPr>
                <w:lang w:val="en-AU"/>
              </w:rPr>
              <w:t xml:space="preserve">LS = least </w:t>
            </w:r>
            <w:proofErr w:type="gramStart"/>
            <w:r w:rsidRPr="00E26ADF">
              <w:rPr>
                <w:lang w:val="en-AU"/>
              </w:rPr>
              <w:t>square  SE</w:t>
            </w:r>
            <w:proofErr w:type="gramEnd"/>
            <w:r w:rsidRPr="00E26ADF">
              <w:rPr>
                <w:lang w:val="en-AU"/>
              </w:rPr>
              <w:t xml:space="preserve"> = standard error </w:t>
            </w:r>
          </w:p>
        </w:tc>
      </w:tr>
    </w:tbl>
    <w:p w14:paraId="63930E0D" w14:textId="3131F252" w:rsidR="00317701" w:rsidRPr="00E26ADF" w:rsidRDefault="00317701" w:rsidP="00317701">
      <w:pPr>
        <w:spacing w:before="0"/>
      </w:pPr>
    </w:p>
    <w:p w14:paraId="6429F44D" w14:textId="35397164" w:rsidR="00317701" w:rsidRPr="00E26ADF" w:rsidRDefault="00317701" w:rsidP="00317701">
      <w:pPr>
        <w:pStyle w:val="Caption"/>
        <w:rPr>
          <w:lang w:val="en-AU"/>
        </w:rPr>
      </w:pPr>
      <w:bookmarkStart w:id="21" w:name="_Ref10724214"/>
      <w:r w:rsidRPr="00E26ADF">
        <w:rPr>
          <w:lang w:val="en-AU"/>
        </w:rPr>
        <w:lastRenderedPageBreak/>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3</w:t>
      </w:r>
      <w:r w:rsidRPr="00E26ADF">
        <w:rPr>
          <w:lang w:val="en-AU"/>
        </w:rPr>
        <w:fldChar w:fldCharType="end"/>
      </w:r>
      <w:bookmarkEnd w:id="21"/>
      <w:r w:rsidRPr="00E26ADF">
        <w:rPr>
          <w:lang w:val="en-AU"/>
        </w:rPr>
        <w:t xml:space="preserve"> ­ Proportion of Patients with IGA 0 or 1</w:t>
      </w:r>
      <w:r w:rsidRPr="00A05E57">
        <w:rPr>
          <w:vertAlign w:val="superscript"/>
          <w:lang w:val="en-AU"/>
        </w:rPr>
        <w:t>a</w:t>
      </w:r>
      <w:r w:rsidRPr="00E26ADF">
        <w:rPr>
          <w:lang w:val="en-AU"/>
        </w:rPr>
        <w:t xml:space="preserve"> in </w:t>
      </w:r>
      <w:r w:rsidR="000672A5" w:rsidRPr="00F64F0A">
        <w:rPr>
          <w:lang w:val="en-AU"/>
        </w:rPr>
        <w:t>CHRONOS (</w:t>
      </w:r>
      <w:r w:rsidRPr="00F64F0A">
        <w:rPr>
          <w:lang w:val="en-AU"/>
        </w:rPr>
        <w:t>Study 1224</w:t>
      </w:r>
      <w:r w:rsidR="000672A5" w:rsidRPr="00F64F0A">
        <w:rPr>
          <w:lang w:val="en-AU"/>
        </w:rPr>
        <w:t>)</w:t>
      </w:r>
      <w:r w:rsidRPr="00F64F0A">
        <w:rPr>
          <w:lang w:val="en-AU"/>
        </w:rPr>
        <w:t xml:space="preserve"> (FAS </w:t>
      </w:r>
      <w:r w:rsidRPr="00E26ADF">
        <w:rPr>
          <w:lang w:val="en-AU"/>
        </w:rPr>
        <w:t>Week 52</w:t>
      </w:r>
      <w:r w:rsidRPr="00A05E57">
        <w:rPr>
          <w:vertAlign w:val="superscript"/>
          <w:lang w:val="en-AU"/>
        </w:rPr>
        <w:t>c</w:t>
      </w:r>
      <w:r w:rsidRPr="00E26ADF">
        <w:rPr>
          <w:lang w:val="en-AU"/>
        </w:rPr>
        <w:t>)</w:t>
      </w:r>
    </w:p>
    <w:p w14:paraId="72C0AA40" w14:textId="45CF6A18" w:rsidR="00317701" w:rsidRPr="00E26ADF" w:rsidRDefault="00317701" w:rsidP="00317701">
      <w:pPr>
        <w:spacing w:before="0"/>
        <w:jc w:val="center"/>
      </w:pPr>
      <w:r w:rsidRPr="00E26ADF">
        <w:rPr>
          <w:rFonts w:ascii="Cambria" w:hAnsi="Cambria"/>
          <w:noProof/>
          <w:lang w:eastAsia="en-AU"/>
        </w:rPr>
        <w:drawing>
          <wp:inline distT="0" distB="0" distL="0" distR="0" wp14:anchorId="1AF0299E" wp14:editId="6F967461">
            <wp:extent cx="4688840" cy="2583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2583815"/>
                    </a:xfrm>
                    <a:prstGeom prst="rect">
                      <a:avLst/>
                    </a:prstGeom>
                    <a:noFill/>
                    <a:ln>
                      <a:noFill/>
                    </a:ln>
                  </pic:spPr>
                </pic:pic>
              </a:graphicData>
            </a:graphic>
          </wp:inline>
        </w:drawing>
      </w:r>
    </w:p>
    <w:p w14:paraId="226FAF52" w14:textId="5AFCB2D9" w:rsidR="00317701" w:rsidRPr="00E26ADF" w:rsidRDefault="00317701" w:rsidP="00FC2300">
      <w:pPr>
        <w:rPr>
          <w:rFonts w:ascii="Arial Narrow" w:hAnsi="Arial Narrow"/>
          <w:sz w:val="18"/>
          <w:szCs w:val="18"/>
        </w:rPr>
      </w:pPr>
      <w:r w:rsidRPr="00E26ADF">
        <w:rPr>
          <w:rFonts w:ascii="Arial Narrow" w:hAnsi="Arial Narrow"/>
          <w:sz w:val="18"/>
          <w:szCs w:val="18"/>
        </w:rPr>
        <w:t>a Responder was defined as a patient with IGA 0 or 1 (“clear” or “almost clear”) with a reduction of ≥ 2 points on a 0-4 IGA scale.</w:t>
      </w:r>
      <w:r w:rsidR="00FC2300" w:rsidRPr="00E26ADF">
        <w:rPr>
          <w:rFonts w:ascii="Arial Narrow" w:hAnsi="Arial Narrow"/>
          <w:sz w:val="18"/>
          <w:szCs w:val="18"/>
        </w:rPr>
        <w:br/>
      </w:r>
      <w:r w:rsidRPr="00E26ADF">
        <w:rPr>
          <w:rFonts w:ascii="Arial Narrow" w:hAnsi="Arial Narrow"/>
          <w:sz w:val="18"/>
          <w:szCs w:val="18"/>
        </w:rPr>
        <w:t>b</w:t>
      </w:r>
      <w:r w:rsidR="00FC2300" w:rsidRPr="00E26ADF">
        <w:rPr>
          <w:rFonts w:ascii="Arial Narrow" w:hAnsi="Arial Narrow"/>
          <w:sz w:val="18"/>
          <w:szCs w:val="18"/>
        </w:rPr>
        <w:t xml:space="preserve"> </w:t>
      </w:r>
      <w:proofErr w:type="gramStart"/>
      <w:r w:rsidRPr="00E26ADF">
        <w:rPr>
          <w:rFonts w:ascii="Arial Narrow" w:hAnsi="Arial Narrow"/>
          <w:sz w:val="18"/>
          <w:szCs w:val="18"/>
        </w:rPr>
        <w:t>In</w:t>
      </w:r>
      <w:proofErr w:type="gramEnd"/>
      <w:r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included all data regardless of rescue treatment. In both cases, patients with missing data were considered as non-responders.</w:t>
      </w:r>
      <w:r w:rsidR="00FC2300" w:rsidRPr="00E26ADF">
        <w:rPr>
          <w:rFonts w:ascii="Arial Narrow" w:hAnsi="Arial Narrow"/>
          <w:sz w:val="18"/>
          <w:szCs w:val="18"/>
        </w:rPr>
        <w:br/>
      </w:r>
      <w:r w:rsidRPr="00E26ADF">
        <w:rPr>
          <w:rFonts w:ascii="Arial Narrow" w:hAnsi="Arial Narrow"/>
          <w:sz w:val="18"/>
          <w:szCs w:val="18"/>
        </w:rPr>
        <w:t>c</w:t>
      </w:r>
      <w:r w:rsidR="00FC2300" w:rsidRPr="00E26ADF">
        <w:rPr>
          <w:rFonts w:ascii="Arial Narrow" w:hAnsi="Arial Narrow"/>
          <w:sz w:val="18"/>
          <w:szCs w:val="18"/>
        </w:rPr>
        <w:t xml:space="preserve"> </w:t>
      </w:r>
      <w:r w:rsidRPr="00E26ADF">
        <w:rPr>
          <w:rFonts w:ascii="Arial Narrow" w:hAnsi="Arial Narrow"/>
          <w:sz w:val="18"/>
          <w:szCs w:val="18"/>
        </w:rPr>
        <w:t xml:space="preserve">FAS Week 52 includes all patients </w:t>
      </w:r>
      <w:proofErr w:type="spellStart"/>
      <w:r w:rsidRPr="00E26ADF">
        <w:rPr>
          <w:rFonts w:ascii="Arial Narrow" w:hAnsi="Arial Narrow"/>
          <w:sz w:val="18"/>
          <w:szCs w:val="18"/>
        </w:rPr>
        <w:t>randomi</w:t>
      </w:r>
      <w:r w:rsidR="002C171C" w:rsidRPr="00F64F0A">
        <w:rPr>
          <w:rFonts w:ascii="Arial Narrow" w:hAnsi="Arial Narrow"/>
          <w:sz w:val="18"/>
          <w:szCs w:val="18"/>
        </w:rPr>
        <w:t>s</w:t>
      </w:r>
      <w:r w:rsidRPr="00E26ADF">
        <w:rPr>
          <w:rFonts w:ascii="Arial Narrow" w:hAnsi="Arial Narrow"/>
          <w:sz w:val="18"/>
          <w:szCs w:val="18"/>
        </w:rPr>
        <w:t>ed</w:t>
      </w:r>
      <w:proofErr w:type="spellEnd"/>
      <w:r w:rsidRPr="00E26ADF">
        <w:rPr>
          <w:rFonts w:ascii="Arial Narrow" w:hAnsi="Arial Narrow"/>
          <w:sz w:val="18"/>
          <w:szCs w:val="18"/>
        </w:rPr>
        <w:t xml:space="preserve"> at least one year before the </w:t>
      </w:r>
      <w:r w:rsidR="00FC2300" w:rsidRPr="00E26ADF">
        <w:rPr>
          <w:rFonts w:ascii="Arial Narrow" w:hAnsi="Arial Narrow"/>
          <w:sz w:val="18"/>
          <w:szCs w:val="18"/>
        </w:rPr>
        <w:t>cut-off</w:t>
      </w:r>
      <w:r w:rsidRPr="00E26ADF">
        <w:rPr>
          <w:rFonts w:ascii="Arial Narrow" w:hAnsi="Arial Narrow"/>
          <w:sz w:val="18"/>
          <w:szCs w:val="18"/>
        </w:rPr>
        <w:t xml:space="preserve"> date of the primary analysis. </w:t>
      </w:r>
    </w:p>
    <w:p w14:paraId="6FDAF54F" w14:textId="6CA34CA5" w:rsidR="00317701" w:rsidRPr="00E26ADF" w:rsidRDefault="00317701" w:rsidP="00317701">
      <w:pPr>
        <w:pStyle w:val="Caption"/>
        <w:rPr>
          <w:lang w:val="en-AU"/>
        </w:rPr>
      </w:pPr>
      <w:r w:rsidRPr="00E26ADF">
        <w:rPr>
          <w:rFonts w:ascii="Cambria" w:hAnsi="Cambria"/>
          <w:lang w:val="en-AU"/>
        </w:rPr>
        <w:t xml:space="preserve"> </w:t>
      </w:r>
      <w:bookmarkStart w:id="22" w:name="_Ref22571937"/>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4</w:t>
      </w:r>
      <w:r w:rsidRPr="00E26ADF">
        <w:rPr>
          <w:lang w:val="en-AU"/>
        </w:rPr>
        <w:fldChar w:fldCharType="end"/>
      </w:r>
      <w:bookmarkEnd w:id="22"/>
      <w:r w:rsidRPr="00E26ADF">
        <w:rPr>
          <w:lang w:val="en-AU"/>
        </w:rPr>
        <w:t xml:space="preserve"> ­ Proportion of Patients with EASI-</w:t>
      </w:r>
      <w:r w:rsidRPr="00F64F0A">
        <w:rPr>
          <w:lang w:val="en-AU"/>
        </w:rPr>
        <w:t xml:space="preserve">75 in </w:t>
      </w:r>
      <w:r w:rsidR="000672A5" w:rsidRPr="00F64F0A">
        <w:rPr>
          <w:lang w:val="en-AU"/>
        </w:rPr>
        <w:t>CHRONOS (</w:t>
      </w:r>
      <w:r w:rsidRPr="00F64F0A">
        <w:rPr>
          <w:lang w:val="en-AU"/>
        </w:rPr>
        <w:t>Study 1224</w:t>
      </w:r>
      <w:r w:rsidR="000672A5" w:rsidRPr="00F64F0A">
        <w:rPr>
          <w:lang w:val="en-AU"/>
        </w:rPr>
        <w:t>)</w:t>
      </w:r>
      <w:r w:rsidRPr="00F64F0A">
        <w:rPr>
          <w:lang w:val="en-AU"/>
        </w:rPr>
        <w:t xml:space="preserve"> (FAS </w:t>
      </w:r>
      <w:r w:rsidRPr="00E26ADF">
        <w:rPr>
          <w:lang w:val="en-AU"/>
        </w:rPr>
        <w:t>Week 52</w:t>
      </w:r>
      <w:r w:rsidRPr="007A7D95">
        <w:rPr>
          <w:vertAlign w:val="superscript"/>
          <w:lang w:val="en-AU"/>
        </w:rPr>
        <w:t>b</w:t>
      </w:r>
      <w:r w:rsidRPr="00E26ADF">
        <w:rPr>
          <w:lang w:val="en-AU"/>
        </w:rPr>
        <w:t>)</w:t>
      </w:r>
    </w:p>
    <w:p w14:paraId="4E37AF4C" w14:textId="6FCC69A3" w:rsidR="00317701" w:rsidRPr="00E26ADF" w:rsidRDefault="00317701" w:rsidP="00317701">
      <w:pPr>
        <w:spacing w:before="0"/>
        <w:jc w:val="center"/>
      </w:pPr>
      <w:r w:rsidRPr="00E26ADF">
        <w:rPr>
          <w:rFonts w:ascii="Cambria" w:hAnsi="Cambria"/>
          <w:noProof/>
          <w:lang w:eastAsia="en-AU"/>
        </w:rPr>
        <w:drawing>
          <wp:inline distT="0" distB="0" distL="0" distR="0" wp14:anchorId="20AF7490" wp14:editId="6C1422B2">
            <wp:extent cx="4901565" cy="2679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565" cy="2679700"/>
                    </a:xfrm>
                    <a:prstGeom prst="rect">
                      <a:avLst/>
                    </a:prstGeom>
                    <a:noFill/>
                    <a:ln>
                      <a:noFill/>
                    </a:ln>
                  </pic:spPr>
                </pic:pic>
              </a:graphicData>
            </a:graphic>
          </wp:inline>
        </w:drawing>
      </w:r>
    </w:p>
    <w:p w14:paraId="0FFD968B" w14:textId="65F4FE1A" w:rsidR="00317701" w:rsidRPr="00E26ADF" w:rsidRDefault="00FC2300" w:rsidP="00FC2300">
      <w:pPr>
        <w:rPr>
          <w:rFonts w:ascii="Arial Narrow" w:hAnsi="Arial Narrow"/>
          <w:sz w:val="18"/>
          <w:szCs w:val="18"/>
        </w:rPr>
      </w:pPr>
      <w:proofErr w:type="spellStart"/>
      <w:r w:rsidRPr="007A7D95">
        <w:rPr>
          <w:rFonts w:ascii="Arial Narrow" w:hAnsi="Arial Narrow"/>
          <w:sz w:val="18"/>
          <w:szCs w:val="18"/>
        </w:rPr>
        <w:t>a</w:t>
      </w:r>
      <w:proofErr w:type="spellEnd"/>
      <w:r w:rsidRPr="00E26ADF">
        <w:rPr>
          <w:rFonts w:ascii="Arial Narrow" w:hAnsi="Arial Narrow"/>
          <w:sz w:val="18"/>
          <w:szCs w:val="18"/>
        </w:rPr>
        <w:t xml:space="preserve"> </w:t>
      </w:r>
      <w:proofErr w:type="gramStart"/>
      <w:r w:rsidR="00317701" w:rsidRPr="00E26ADF">
        <w:rPr>
          <w:rFonts w:ascii="Arial Narrow" w:hAnsi="Arial Narrow"/>
          <w:sz w:val="18"/>
          <w:szCs w:val="18"/>
        </w:rPr>
        <w:t>In</w:t>
      </w:r>
      <w:proofErr w:type="gramEnd"/>
      <w:r w:rsidR="00317701" w:rsidRPr="00E26ADF">
        <w:rPr>
          <w:rFonts w:ascii="Arial Narrow" w:hAnsi="Arial Narrow"/>
          <w:sz w:val="18"/>
          <w:szCs w:val="18"/>
        </w:rPr>
        <w:t xml:space="preserve"> the primary analyses of the efficacy endpoints (solid line above), patients who received rescue treatment were considered non-responders for the purpose of this statistical analysis. The as-observed analyses (dotted line) included all data regardless of rescue treatment. In both cases, patients with missing data were considered as non-responders.</w:t>
      </w:r>
      <w:r w:rsidRPr="00E26ADF">
        <w:rPr>
          <w:rFonts w:ascii="Arial Narrow" w:hAnsi="Arial Narrow"/>
          <w:sz w:val="18"/>
          <w:szCs w:val="18"/>
        </w:rPr>
        <w:br/>
      </w:r>
      <w:r w:rsidR="00317701" w:rsidRPr="00E26ADF">
        <w:rPr>
          <w:rFonts w:ascii="Arial Narrow" w:hAnsi="Arial Narrow"/>
          <w:sz w:val="18"/>
          <w:szCs w:val="18"/>
        </w:rPr>
        <w:t>b</w:t>
      </w:r>
      <w:r w:rsidRPr="00E26ADF">
        <w:rPr>
          <w:rFonts w:ascii="Arial Narrow" w:hAnsi="Arial Narrow"/>
          <w:sz w:val="18"/>
          <w:szCs w:val="18"/>
        </w:rPr>
        <w:t xml:space="preserve"> </w:t>
      </w:r>
      <w:r w:rsidR="00317701" w:rsidRPr="00E26ADF">
        <w:rPr>
          <w:rFonts w:ascii="Arial Narrow" w:hAnsi="Arial Narrow"/>
          <w:sz w:val="18"/>
          <w:szCs w:val="18"/>
        </w:rPr>
        <w:t xml:space="preserve">FAS Week 52 includes all patients </w:t>
      </w:r>
      <w:proofErr w:type="spellStart"/>
      <w:r w:rsidR="00317701" w:rsidRPr="00E26ADF">
        <w:rPr>
          <w:rFonts w:ascii="Arial Narrow" w:hAnsi="Arial Narrow"/>
          <w:sz w:val="18"/>
          <w:szCs w:val="18"/>
        </w:rPr>
        <w:t>randomi</w:t>
      </w:r>
      <w:r w:rsidR="002C171C" w:rsidRPr="00F64F0A">
        <w:rPr>
          <w:rFonts w:ascii="Arial Narrow" w:hAnsi="Arial Narrow"/>
          <w:sz w:val="18"/>
          <w:szCs w:val="18"/>
        </w:rPr>
        <w:t>s</w:t>
      </w:r>
      <w:r w:rsidR="00317701" w:rsidRPr="00E26ADF">
        <w:rPr>
          <w:rFonts w:ascii="Arial Narrow" w:hAnsi="Arial Narrow"/>
          <w:sz w:val="18"/>
          <w:szCs w:val="18"/>
        </w:rPr>
        <w:t>ed</w:t>
      </w:r>
      <w:proofErr w:type="spellEnd"/>
      <w:r w:rsidR="00317701" w:rsidRPr="00E26ADF">
        <w:rPr>
          <w:rFonts w:ascii="Arial Narrow" w:hAnsi="Arial Narrow"/>
          <w:sz w:val="18"/>
          <w:szCs w:val="18"/>
        </w:rPr>
        <w:t xml:space="preserve"> at least one year before the </w:t>
      </w:r>
      <w:r w:rsidRPr="00E26ADF">
        <w:rPr>
          <w:rFonts w:ascii="Arial Narrow" w:hAnsi="Arial Narrow"/>
          <w:sz w:val="18"/>
          <w:szCs w:val="18"/>
        </w:rPr>
        <w:t>cut-off</w:t>
      </w:r>
      <w:r w:rsidR="00317701" w:rsidRPr="00E26ADF">
        <w:rPr>
          <w:rFonts w:ascii="Arial Narrow" w:hAnsi="Arial Narrow"/>
          <w:sz w:val="18"/>
          <w:szCs w:val="18"/>
        </w:rPr>
        <w:t xml:space="preserve"> date of the primary analysis.</w:t>
      </w:r>
    </w:p>
    <w:p w14:paraId="08F33679" w14:textId="0315CD95" w:rsidR="00780900" w:rsidRPr="00E26ADF" w:rsidRDefault="00317701" w:rsidP="00FC2300">
      <w:r w:rsidRPr="00E26ADF">
        <w:t>Treatment effects in evaluable subgroups (weight, age, gender, race, and background treatment, including immunosuppressants) in Study 1224 were in general consistent with the results in the overall study population.</w:t>
      </w:r>
    </w:p>
    <w:p w14:paraId="5C3C7D74" w14:textId="77777777" w:rsidR="00317701" w:rsidRPr="00E26ADF" w:rsidRDefault="00317701" w:rsidP="00234110">
      <w:pPr>
        <w:pStyle w:val="Heading6"/>
        <w:numPr>
          <w:ilvl w:val="0"/>
          <w:numId w:val="0"/>
        </w:numPr>
        <w:ind w:left="1151" w:hanging="1151"/>
      </w:pPr>
      <w:r w:rsidRPr="00E26ADF">
        <w:lastRenderedPageBreak/>
        <w:t>Clinical Response in Patients for whom Cyclosporin Treatment was Inadvisable</w:t>
      </w:r>
    </w:p>
    <w:p w14:paraId="79B3739E" w14:textId="71D6131E" w:rsidR="00317701" w:rsidRPr="00E26ADF" w:rsidRDefault="00317701" w:rsidP="00CE00B3">
      <w:r w:rsidRPr="00E26ADF">
        <w:t>In the monotherapy studies, across both Dupixent treatment groups, patients for whom cyclosporin treatment was inadvisable (uncontrolled with or ine</w:t>
      </w:r>
      <w:r w:rsidR="00FB15C5" w:rsidRPr="00E26ADF">
        <w:t>ligible to receive cyclosporin)</w:t>
      </w:r>
      <w:r w:rsidRPr="00E26ADF">
        <w:t xml:space="preserve"> had generally more severe AD at baseline based on mean EASI (36.3 vs 31.4), IGA (3.6 vs 3.4), mean BSA involvement (58.9 % vs 52.5 %), peak pruritus NRS (7.5 vs 7.3) and DLQI (16.2 vs 14.5) scores relative to the remainder of patients in these studies. Similar findings were observed for patients for whom cyclosporin treatment was inadvisable in </w:t>
      </w:r>
      <w:r w:rsidR="004E523C" w:rsidRPr="00E26ADF">
        <w:t xml:space="preserve">the </w:t>
      </w:r>
      <w:r w:rsidR="00CE00B3" w:rsidRPr="00E26ADF">
        <w:t>concomitant TCS study.</w:t>
      </w:r>
    </w:p>
    <w:p w14:paraId="09956E64" w14:textId="22F76A0E" w:rsidR="000774B1" w:rsidRPr="00E26ADF" w:rsidRDefault="000774B1" w:rsidP="00CE00B3">
      <w:r w:rsidRPr="00E26ADF">
        <w:t xml:space="preserve">In patients for whom cyclosporin treatment was inadvisable, treatment with Dupixent monotherapy, across both Dupixent treatment groups, resulted in significant improvements in signs and symptoms of AD, compared to placebo-treated patients. A greater percentage of Dupixent-treated patients than placebo-treated patients achieved IGA 0 or 1 and a reduction from baseline of ≥2 points at week 16 (29.5% vs 6.8%), EASI-75 at week 16 (38% vs 11.4%), and a ≥4 points reduction in pruritus NRS from baseline to week 16 (34.9% vs 8%) (p &lt;0.001 for all 3 endpoints). </w:t>
      </w:r>
    </w:p>
    <w:p w14:paraId="0814E94A" w14:textId="482C0F85" w:rsidR="00C65E61" w:rsidRPr="00E26ADF" w:rsidRDefault="000774B1" w:rsidP="00CE00B3">
      <w:r w:rsidRPr="00E26ADF">
        <w:t>Similar results were observed in patients who received Dupixent concomitantly with TCS. The efficacy of Dupixent + TCS was sustained at week 52.</w:t>
      </w:r>
      <w:r w:rsidR="006971FE" w:rsidRPr="00E26ADF">
        <w:t xml:space="preserve"> </w:t>
      </w:r>
      <w:r w:rsidR="00F542D5" w:rsidRPr="00E26ADF">
        <w:t>In the combination therapy of Dupixent + TCS the proportion of patients achieving EASI-75 at week 16 was significantly higher in the dupilumab 300 mg Q2W + TCS (62.6%) and dupilumab 300 mg QW + TCS (59.1%) groups than the placebo + TCS group (29.6%). Both comparisons were statistically significant (p&lt;0.0001 for each). The efficacy of Dupixent + TCS was sustained at week 52.</w:t>
      </w:r>
    </w:p>
    <w:p w14:paraId="7A822907" w14:textId="77777777" w:rsidR="00E513F5" w:rsidRPr="00E26ADF" w:rsidRDefault="00E513F5" w:rsidP="00234110">
      <w:pPr>
        <w:pStyle w:val="Heading6"/>
        <w:numPr>
          <w:ilvl w:val="0"/>
          <w:numId w:val="0"/>
        </w:numPr>
        <w:ind w:left="1151" w:hanging="1151"/>
      </w:pPr>
      <w:r w:rsidRPr="00E26ADF">
        <w:t>Maintenance and Durability of Response (SOLO CONTINUE study)</w:t>
      </w:r>
    </w:p>
    <w:p w14:paraId="6E6CFBB5" w14:textId="2B661CD4" w:rsidR="00E513F5" w:rsidRPr="00E26ADF" w:rsidRDefault="00E513F5" w:rsidP="00FC2300">
      <w:r w:rsidRPr="00E26ADF">
        <w:t>To evaluate maintenance and durability of response, subjects treated with Dupixent for 16 weeks in SOLO 1 and SOLO 2 studies who achieved IGA 0 or 1 or EASI-75 were re-</w:t>
      </w:r>
      <w:proofErr w:type="spellStart"/>
      <w:r w:rsidRPr="00E26ADF">
        <w:t>randomi</w:t>
      </w:r>
      <w:r w:rsidR="002C171C" w:rsidRPr="0007403D">
        <w:t>s</w:t>
      </w:r>
      <w:r w:rsidRPr="00E26ADF">
        <w:t>ed</w:t>
      </w:r>
      <w:proofErr w:type="spellEnd"/>
      <w:r w:rsidRPr="00E26ADF">
        <w:t xml:space="preserve"> in </w:t>
      </w:r>
      <w:r w:rsidR="004E523C" w:rsidRPr="00E26ADF">
        <w:t xml:space="preserve">the </w:t>
      </w:r>
      <w:r w:rsidRPr="00E26ADF">
        <w:t>SOLO CONTINUE study to an additional 36-week treatment of Dupixent or placebo, for a cumulative 52-week study treatment. Endpoints were assessed at weeks 51 or 52.</w:t>
      </w:r>
    </w:p>
    <w:p w14:paraId="66014CDB" w14:textId="77777777" w:rsidR="00E513F5" w:rsidRPr="00E26ADF" w:rsidRDefault="00E513F5" w:rsidP="00FC2300">
      <w:r w:rsidRPr="00E26ADF">
        <w:t>The co-primary endpoints were the difference between baseline (week 0) and week 36 in percent change in EASI from SOLO 1 and SOLO 2 studies baseline and percentage of patients with EASI-75 at week 36 in patients with EASI-75 at baseline.</w:t>
      </w:r>
    </w:p>
    <w:p w14:paraId="5AEE625F" w14:textId="77777777" w:rsidR="00E513F5" w:rsidRPr="00E26ADF" w:rsidRDefault="00E513F5" w:rsidP="00FC2300">
      <w:r w:rsidRPr="00E26ADF">
        <w:t xml:space="preserve">Patients who </w:t>
      </w:r>
      <w:proofErr w:type="gramStart"/>
      <w:r w:rsidRPr="00E26ADF">
        <w:t>continued on</w:t>
      </w:r>
      <w:proofErr w:type="gramEnd"/>
      <w:r w:rsidRPr="00E26ADF">
        <w:t xml:space="preserve"> the same dose regimen received in the SOLO 1 and SOLO 2 studies (300 mg Q2W or 300 mg QW) showed the optimal effect in maintaining clinical response while efficacy for other dose regimens diminished in a dose-dependent manner.</w:t>
      </w:r>
    </w:p>
    <w:p w14:paraId="583E5EB7" w14:textId="744BCDFE" w:rsidR="00E513F5" w:rsidRPr="00E26ADF" w:rsidRDefault="00E513F5" w:rsidP="00FC2300">
      <w:r w:rsidRPr="00E26ADF">
        <w:t xml:space="preserve">Primary and secondary endpoints for the </w:t>
      </w:r>
      <w:proofErr w:type="gramStart"/>
      <w:r w:rsidRPr="00E26ADF">
        <w:t>52 week</w:t>
      </w:r>
      <w:proofErr w:type="gramEnd"/>
      <w:r w:rsidRPr="00E26ADF">
        <w:t xml:space="preserve"> SOLO CONTINUE study are </w:t>
      </w:r>
      <w:proofErr w:type="spellStart"/>
      <w:r w:rsidRPr="00E26ADF">
        <w:t>summari</w:t>
      </w:r>
      <w:r w:rsidR="002C171C" w:rsidRPr="00F64F0A">
        <w:t>s</w:t>
      </w:r>
      <w:r w:rsidRPr="00E26ADF">
        <w:t>ed</w:t>
      </w:r>
      <w:proofErr w:type="spellEnd"/>
      <w:r w:rsidRPr="00E26ADF">
        <w:t xml:space="preserve"> in</w:t>
      </w:r>
      <w:r w:rsidR="00FC2300" w:rsidRPr="00E26ADF">
        <w:t xml:space="preserve"> </w:t>
      </w:r>
      <w:r w:rsidR="00C8795E" w:rsidRPr="00C8795E">
        <w:rPr>
          <w:color w:val="0000FF"/>
        </w:rPr>
        <w:fldChar w:fldCharType="begin"/>
      </w:r>
      <w:r w:rsidR="00C8795E" w:rsidRPr="00C8795E">
        <w:rPr>
          <w:color w:val="0000FF"/>
        </w:rPr>
        <w:instrText xml:space="preserve"> REF _Ref10717898 \h  \* MERGEFORMAT </w:instrText>
      </w:r>
      <w:r w:rsidR="00C8795E" w:rsidRPr="00C8795E">
        <w:rPr>
          <w:color w:val="0000FF"/>
        </w:rPr>
      </w:r>
      <w:r w:rsidR="00C8795E" w:rsidRPr="00C8795E">
        <w:rPr>
          <w:color w:val="0000FF"/>
        </w:rPr>
        <w:fldChar w:fldCharType="separate"/>
      </w:r>
      <w:r w:rsidR="00E123A5" w:rsidRPr="00E123A5">
        <w:rPr>
          <w:color w:val="0000FF"/>
        </w:rPr>
        <w:t>Table 10</w:t>
      </w:r>
      <w:r w:rsidR="00C8795E" w:rsidRPr="00C8795E">
        <w:rPr>
          <w:color w:val="0000FF"/>
        </w:rPr>
        <w:fldChar w:fldCharType="end"/>
      </w:r>
      <w:r w:rsidR="00C8795E">
        <w:rPr>
          <w:color w:val="0000FF"/>
        </w:rPr>
        <w:t xml:space="preserve"> </w:t>
      </w:r>
    </w:p>
    <w:p w14:paraId="6E8FAF16" w14:textId="4A47D902" w:rsidR="00E513F5" w:rsidRPr="00E26ADF" w:rsidRDefault="0086319E" w:rsidP="0086319E">
      <w:pPr>
        <w:pStyle w:val="Caption"/>
        <w:rPr>
          <w:lang w:val="en-AU"/>
        </w:rPr>
      </w:pPr>
      <w:r w:rsidRPr="00E26ADF">
        <w:rPr>
          <w:rFonts w:ascii="Times New Roman" w:eastAsia="MS Mincho" w:hAnsi="Times New Roman"/>
          <w:color w:val="3333FF"/>
          <w:sz w:val="24"/>
          <w:szCs w:val="24"/>
          <w:lang w:val="en-AU"/>
        </w:rPr>
        <w:t xml:space="preserve"> </w:t>
      </w:r>
      <w:bookmarkStart w:id="23" w:name="_Ref10717898"/>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10</w:t>
      </w:r>
      <w:r w:rsidRPr="00E26ADF">
        <w:rPr>
          <w:lang w:val="en-AU"/>
        </w:rPr>
        <w:fldChar w:fldCharType="end"/>
      </w:r>
      <w:bookmarkEnd w:id="23"/>
      <w:r w:rsidRPr="00E26ADF">
        <w:rPr>
          <w:lang w:val="en-AU"/>
        </w:rPr>
        <w:t xml:space="preserve"> ­ Results of the primary and secondary endpoints in </w:t>
      </w:r>
      <w:r w:rsidR="00C76190" w:rsidRPr="00E26ADF">
        <w:rPr>
          <w:lang w:val="en-AU"/>
        </w:rPr>
        <w:t xml:space="preserve">the </w:t>
      </w:r>
      <w:r w:rsidRPr="00E26ADF">
        <w:rPr>
          <w:lang w:val="en-AU"/>
        </w:rPr>
        <w:t>SOLO CONTINUE study</w:t>
      </w:r>
    </w:p>
    <w:tbl>
      <w:tblPr>
        <w:tblW w:w="0" w:type="auto"/>
        <w:jc w:val="center"/>
        <w:tblBorders>
          <w:top w:val="single" w:sz="2" w:space="0" w:color="000000"/>
        </w:tblBorders>
        <w:tblLook w:val="0000" w:firstRow="0" w:lastRow="0" w:firstColumn="0" w:lastColumn="0" w:noHBand="0" w:noVBand="0"/>
      </w:tblPr>
      <w:tblGrid>
        <w:gridCol w:w="4893"/>
        <w:gridCol w:w="950"/>
        <w:gridCol w:w="972"/>
        <w:gridCol w:w="994"/>
        <w:gridCol w:w="1217"/>
      </w:tblGrid>
      <w:tr w:rsidR="0086319E" w:rsidRPr="00E26ADF" w14:paraId="69882993" w14:textId="77777777" w:rsidTr="00FC2300">
        <w:trPr>
          <w:cantSplit/>
          <w:trHeight w:val="98"/>
          <w:tblHeader/>
          <w:jc w:val="center"/>
        </w:trPr>
        <w:tc>
          <w:tcPr>
            <w:tcW w:w="0" w:type="auto"/>
            <w:gridSpan w:val="2"/>
            <w:tcBorders>
              <w:top w:val="single" w:sz="4" w:space="0" w:color="000000"/>
              <w:bottom w:val="single" w:sz="4" w:space="0" w:color="000000"/>
            </w:tcBorders>
            <w:shd w:val="clear" w:color="auto" w:fill="auto"/>
          </w:tcPr>
          <w:p w14:paraId="19B22671" w14:textId="5066770E" w:rsidR="0086319E" w:rsidRPr="00E26ADF" w:rsidRDefault="0086319E" w:rsidP="00FC2300">
            <w:pPr>
              <w:pStyle w:val="TblHeadingCenter"/>
              <w:rPr>
                <w:lang w:val="en-AU"/>
              </w:rPr>
            </w:pPr>
            <w:r w:rsidRPr="00E26ADF">
              <w:rPr>
                <w:lang w:val="en-AU"/>
              </w:rPr>
              <w:t>Placebo</w:t>
            </w:r>
          </w:p>
        </w:tc>
        <w:tc>
          <w:tcPr>
            <w:tcW w:w="0" w:type="auto"/>
            <w:gridSpan w:val="3"/>
            <w:tcBorders>
              <w:top w:val="single" w:sz="4" w:space="0" w:color="000000"/>
              <w:bottom w:val="single" w:sz="4" w:space="0" w:color="000000"/>
            </w:tcBorders>
            <w:shd w:val="clear" w:color="auto" w:fill="auto"/>
          </w:tcPr>
          <w:p w14:paraId="62797B9D" w14:textId="77777777" w:rsidR="0086319E" w:rsidRPr="00E26ADF" w:rsidRDefault="0086319E" w:rsidP="00FC2300">
            <w:pPr>
              <w:pStyle w:val="TblHeadingCenter"/>
              <w:rPr>
                <w:lang w:val="en-AU"/>
              </w:rPr>
            </w:pPr>
            <w:r w:rsidRPr="00E26ADF">
              <w:rPr>
                <w:lang w:val="en-AU"/>
              </w:rPr>
              <w:t xml:space="preserve">Dupilumab 300 mg </w:t>
            </w:r>
          </w:p>
        </w:tc>
      </w:tr>
      <w:tr w:rsidR="00FC2300" w:rsidRPr="00E26ADF" w14:paraId="5A24B735" w14:textId="77777777" w:rsidTr="00FC2300">
        <w:trPr>
          <w:cantSplit/>
          <w:trHeight w:val="643"/>
          <w:jc w:val="center"/>
        </w:trPr>
        <w:tc>
          <w:tcPr>
            <w:tcW w:w="0" w:type="auto"/>
            <w:tcBorders>
              <w:top w:val="single" w:sz="4" w:space="0" w:color="000000"/>
            </w:tcBorders>
            <w:shd w:val="clear" w:color="auto" w:fill="auto"/>
          </w:tcPr>
          <w:p w14:paraId="4D8E6377" w14:textId="77777777" w:rsidR="00FC2300" w:rsidRPr="00E26ADF" w:rsidRDefault="00FC2300" w:rsidP="00FC2300">
            <w:pPr>
              <w:pStyle w:val="TblTextCenter"/>
              <w:rPr>
                <w:lang w:val="en-AU"/>
              </w:rPr>
            </w:pPr>
          </w:p>
        </w:tc>
        <w:tc>
          <w:tcPr>
            <w:tcW w:w="0" w:type="auto"/>
            <w:tcBorders>
              <w:top w:val="single" w:sz="4" w:space="0" w:color="000000"/>
            </w:tcBorders>
            <w:shd w:val="clear" w:color="auto" w:fill="auto"/>
          </w:tcPr>
          <w:p w14:paraId="6A8A9BE1" w14:textId="428C40B2" w:rsidR="00FC2300" w:rsidRPr="00E26ADF" w:rsidRDefault="00FC2300" w:rsidP="00FC2300">
            <w:pPr>
              <w:pStyle w:val="TblTextCenter"/>
              <w:rPr>
                <w:lang w:val="en-AU"/>
              </w:rPr>
            </w:pPr>
            <w:r w:rsidRPr="00E26ADF">
              <w:rPr>
                <w:lang w:val="en-AU"/>
              </w:rPr>
              <w:t>N=83</w:t>
            </w:r>
          </w:p>
        </w:tc>
        <w:tc>
          <w:tcPr>
            <w:tcW w:w="0" w:type="auto"/>
            <w:tcBorders>
              <w:top w:val="single" w:sz="4" w:space="0" w:color="000000"/>
            </w:tcBorders>
            <w:shd w:val="clear" w:color="auto" w:fill="auto"/>
          </w:tcPr>
          <w:p w14:paraId="628AE3CC" w14:textId="61219BFD" w:rsidR="00FC2300" w:rsidRPr="00E26ADF" w:rsidRDefault="00FC2300" w:rsidP="00FC2300">
            <w:pPr>
              <w:pStyle w:val="TblTextCenter"/>
              <w:rPr>
                <w:lang w:val="en-AU"/>
              </w:rPr>
            </w:pPr>
            <w:r w:rsidRPr="00E26ADF">
              <w:rPr>
                <w:lang w:val="en-AU"/>
              </w:rPr>
              <w:t>Q8W N=84</w:t>
            </w:r>
          </w:p>
        </w:tc>
        <w:tc>
          <w:tcPr>
            <w:tcW w:w="0" w:type="auto"/>
            <w:tcBorders>
              <w:top w:val="single" w:sz="4" w:space="0" w:color="000000"/>
            </w:tcBorders>
            <w:shd w:val="clear" w:color="auto" w:fill="auto"/>
          </w:tcPr>
          <w:p w14:paraId="0551F9E1" w14:textId="3C1AE324" w:rsidR="00FC2300" w:rsidRPr="00E26ADF" w:rsidRDefault="00FC2300" w:rsidP="00FC2300">
            <w:pPr>
              <w:pStyle w:val="TblTextCenter"/>
              <w:rPr>
                <w:lang w:val="en-AU"/>
              </w:rPr>
            </w:pPr>
            <w:r w:rsidRPr="00E26ADF">
              <w:rPr>
                <w:lang w:val="en-AU"/>
              </w:rPr>
              <w:t>Q4W N=86</w:t>
            </w:r>
          </w:p>
        </w:tc>
        <w:tc>
          <w:tcPr>
            <w:tcW w:w="0" w:type="auto"/>
            <w:tcBorders>
              <w:top w:val="single" w:sz="4" w:space="0" w:color="000000"/>
            </w:tcBorders>
            <w:shd w:val="clear" w:color="auto" w:fill="auto"/>
          </w:tcPr>
          <w:p w14:paraId="34EBEE60" w14:textId="43E35A1C" w:rsidR="00FC2300" w:rsidRPr="00E26ADF" w:rsidRDefault="00FC2300" w:rsidP="00FC2300">
            <w:pPr>
              <w:pStyle w:val="TblTextCenter"/>
              <w:rPr>
                <w:lang w:val="en-AU"/>
              </w:rPr>
            </w:pPr>
            <w:r w:rsidRPr="00E26ADF">
              <w:rPr>
                <w:lang w:val="en-AU"/>
              </w:rPr>
              <w:t>Q2W/QW N=169</w:t>
            </w:r>
          </w:p>
        </w:tc>
      </w:tr>
      <w:tr w:rsidR="00FC2300" w:rsidRPr="00E26ADF" w14:paraId="4C677684" w14:textId="77777777" w:rsidTr="00FC2300">
        <w:trPr>
          <w:cantSplit/>
          <w:trHeight w:val="354"/>
          <w:jc w:val="center"/>
        </w:trPr>
        <w:tc>
          <w:tcPr>
            <w:tcW w:w="0" w:type="auto"/>
            <w:gridSpan w:val="5"/>
            <w:shd w:val="clear" w:color="auto" w:fill="auto"/>
          </w:tcPr>
          <w:p w14:paraId="42BC49C9" w14:textId="2FF3F229" w:rsidR="00FC2300" w:rsidRPr="00E26ADF" w:rsidRDefault="00FC2300" w:rsidP="00FC2300">
            <w:pPr>
              <w:pStyle w:val="TblTextCenter"/>
              <w:jc w:val="left"/>
              <w:rPr>
                <w:b/>
                <w:lang w:val="en-AU"/>
              </w:rPr>
            </w:pPr>
            <w:r w:rsidRPr="00E26ADF">
              <w:rPr>
                <w:b/>
                <w:lang w:val="en-AU"/>
              </w:rPr>
              <w:lastRenderedPageBreak/>
              <w:t>Co-Primary Endpoints</w:t>
            </w:r>
          </w:p>
        </w:tc>
      </w:tr>
      <w:tr w:rsidR="0086319E" w:rsidRPr="00E26ADF" w14:paraId="5F4FAED1" w14:textId="77777777" w:rsidTr="00FC2300">
        <w:trPr>
          <w:cantSplit/>
          <w:trHeight w:val="643"/>
          <w:jc w:val="center"/>
        </w:trPr>
        <w:tc>
          <w:tcPr>
            <w:tcW w:w="0" w:type="auto"/>
            <w:shd w:val="clear" w:color="auto" w:fill="auto"/>
          </w:tcPr>
          <w:p w14:paraId="273ECC4A" w14:textId="77777777" w:rsidR="0086319E" w:rsidRPr="00E26ADF" w:rsidRDefault="0086319E" w:rsidP="007A7D95">
            <w:pPr>
              <w:pStyle w:val="TblTextCenter"/>
              <w:jc w:val="left"/>
              <w:rPr>
                <w:lang w:val="en-AU"/>
              </w:rPr>
            </w:pPr>
            <w:r w:rsidRPr="00E26ADF">
              <w:rPr>
                <w:lang w:val="en-AU"/>
              </w:rPr>
              <w:t xml:space="preserve">LS mean change (SE) between baseline and week 36 in percent change in EASI Score from Parent Study baseline </w:t>
            </w:r>
          </w:p>
        </w:tc>
        <w:tc>
          <w:tcPr>
            <w:tcW w:w="0" w:type="auto"/>
            <w:shd w:val="clear" w:color="auto" w:fill="auto"/>
          </w:tcPr>
          <w:p w14:paraId="2F300A1A" w14:textId="77777777" w:rsidR="0086319E" w:rsidRPr="00E26ADF" w:rsidRDefault="0086319E" w:rsidP="00FC2300">
            <w:pPr>
              <w:pStyle w:val="TblTextCenter"/>
              <w:rPr>
                <w:lang w:val="en-AU"/>
              </w:rPr>
            </w:pPr>
            <w:r w:rsidRPr="00E26ADF">
              <w:rPr>
                <w:lang w:val="en-AU"/>
              </w:rPr>
              <w:t xml:space="preserve">21.7 (3.13) </w:t>
            </w:r>
          </w:p>
        </w:tc>
        <w:tc>
          <w:tcPr>
            <w:tcW w:w="0" w:type="auto"/>
            <w:shd w:val="clear" w:color="auto" w:fill="auto"/>
          </w:tcPr>
          <w:p w14:paraId="61004B67" w14:textId="77777777" w:rsidR="0086319E" w:rsidRPr="00E26ADF" w:rsidRDefault="0086319E" w:rsidP="00FC2300">
            <w:pPr>
              <w:pStyle w:val="TblTextCenter"/>
              <w:rPr>
                <w:lang w:val="en-AU"/>
              </w:rPr>
            </w:pPr>
            <w:r w:rsidRPr="00E26ADF">
              <w:rPr>
                <w:lang w:val="en-AU"/>
              </w:rPr>
              <w:t xml:space="preserve">6.8*** (2.43) </w:t>
            </w:r>
          </w:p>
        </w:tc>
        <w:tc>
          <w:tcPr>
            <w:tcW w:w="0" w:type="auto"/>
            <w:shd w:val="clear" w:color="auto" w:fill="auto"/>
          </w:tcPr>
          <w:p w14:paraId="6359A4F4" w14:textId="77777777" w:rsidR="0086319E" w:rsidRPr="00E26ADF" w:rsidRDefault="0086319E" w:rsidP="00FC2300">
            <w:pPr>
              <w:pStyle w:val="TblTextCenter"/>
              <w:rPr>
                <w:lang w:val="en-AU"/>
              </w:rPr>
            </w:pPr>
            <w:r w:rsidRPr="00E26ADF">
              <w:rPr>
                <w:lang w:val="en-AU"/>
              </w:rPr>
              <w:t xml:space="preserve">3.8*** (2.28) </w:t>
            </w:r>
          </w:p>
        </w:tc>
        <w:tc>
          <w:tcPr>
            <w:tcW w:w="0" w:type="auto"/>
            <w:shd w:val="clear" w:color="auto" w:fill="auto"/>
          </w:tcPr>
          <w:p w14:paraId="011A0C1F" w14:textId="1C145B8E" w:rsidR="0086319E" w:rsidRPr="00E26ADF" w:rsidRDefault="0086319E" w:rsidP="00FC2300">
            <w:pPr>
              <w:pStyle w:val="TblTextCenter"/>
              <w:rPr>
                <w:lang w:val="en-AU"/>
              </w:rPr>
            </w:pPr>
            <w:r w:rsidRPr="00E26ADF">
              <w:rPr>
                <w:lang w:val="en-AU"/>
              </w:rPr>
              <w:t xml:space="preserve">0.1*** </w:t>
            </w:r>
            <w:r w:rsidR="00FC2300" w:rsidRPr="00E26ADF">
              <w:rPr>
                <w:lang w:val="en-AU"/>
              </w:rPr>
              <w:br/>
            </w:r>
            <w:r w:rsidRPr="00E26ADF">
              <w:rPr>
                <w:lang w:val="en-AU"/>
              </w:rPr>
              <w:t xml:space="preserve">(1.74) </w:t>
            </w:r>
          </w:p>
        </w:tc>
      </w:tr>
      <w:tr w:rsidR="0086319E" w:rsidRPr="00E26ADF" w14:paraId="3A5FA9F5" w14:textId="77777777" w:rsidTr="00FC2300">
        <w:trPr>
          <w:cantSplit/>
          <w:trHeight w:val="382"/>
          <w:jc w:val="center"/>
        </w:trPr>
        <w:tc>
          <w:tcPr>
            <w:tcW w:w="0" w:type="auto"/>
            <w:shd w:val="clear" w:color="auto" w:fill="auto"/>
          </w:tcPr>
          <w:p w14:paraId="0EF2728E" w14:textId="77777777" w:rsidR="0086319E" w:rsidRPr="00E26ADF" w:rsidRDefault="0086319E" w:rsidP="007A7D95">
            <w:pPr>
              <w:pStyle w:val="TblTextCenter"/>
              <w:jc w:val="left"/>
              <w:rPr>
                <w:lang w:val="en-AU"/>
              </w:rPr>
            </w:pPr>
            <w:r w:rsidRPr="00E26ADF">
              <w:rPr>
                <w:lang w:val="en-AU"/>
              </w:rPr>
              <w:t xml:space="preserve">Percent of patients with EASI-75 at week 36 for patients with EASI-75 at baseline, n (%) </w:t>
            </w:r>
          </w:p>
        </w:tc>
        <w:tc>
          <w:tcPr>
            <w:tcW w:w="0" w:type="auto"/>
            <w:shd w:val="clear" w:color="auto" w:fill="auto"/>
          </w:tcPr>
          <w:p w14:paraId="06215C60" w14:textId="77777777" w:rsidR="0086319E" w:rsidRPr="00E26ADF" w:rsidRDefault="0086319E" w:rsidP="00FC2300">
            <w:pPr>
              <w:pStyle w:val="TblTextCenter"/>
              <w:rPr>
                <w:lang w:val="en-AU"/>
              </w:rPr>
            </w:pPr>
            <w:r w:rsidRPr="00E26ADF">
              <w:rPr>
                <w:lang w:val="en-AU"/>
              </w:rPr>
              <w:t xml:space="preserve">24/79 (30.4%) </w:t>
            </w:r>
          </w:p>
        </w:tc>
        <w:tc>
          <w:tcPr>
            <w:tcW w:w="0" w:type="auto"/>
            <w:shd w:val="clear" w:color="auto" w:fill="auto"/>
          </w:tcPr>
          <w:p w14:paraId="48E1777C" w14:textId="77777777" w:rsidR="0086319E" w:rsidRPr="00E26ADF" w:rsidRDefault="0086319E" w:rsidP="00FC2300">
            <w:pPr>
              <w:pStyle w:val="TblTextCenter"/>
              <w:rPr>
                <w:lang w:val="en-AU"/>
              </w:rPr>
            </w:pPr>
            <w:r w:rsidRPr="00E26ADF">
              <w:rPr>
                <w:lang w:val="en-AU"/>
              </w:rPr>
              <w:t xml:space="preserve">45/82* (54.9%) </w:t>
            </w:r>
          </w:p>
        </w:tc>
        <w:tc>
          <w:tcPr>
            <w:tcW w:w="0" w:type="auto"/>
            <w:shd w:val="clear" w:color="auto" w:fill="auto"/>
          </w:tcPr>
          <w:p w14:paraId="0CB1BB1F" w14:textId="77777777" w:rsidR="0086319E" w:rsidRPr="00E26ADF" w:rsidRDefault="0086319E" w:rsidP="00FC2300">
            <w:pPr>
              <w:pStyle w:val="TblTextCenter"/>
              <w:rPr>
                <w:lang w:val="en-AU"/>
              </w:rPr>
            </w:pPr>
            <w:r w:rsidRPr="00E26ADF">
              <w:rPr>
                <w:lang w:val="en-AU"/>
              </w:rPr>
              <w:t xml:space="preserve">49/84** (58.3%) </w:t>
            </w:r>
          </w:p>
        </w:tc>
        <w:tc>
          <w:tcPr>
            <w:tcW w:w="0" w:type="auto"/>
            <w:shd w:val="clear" w:color="auto" w:fill="auto"/>
          </w:tcPr>
          <w:p w14:paraId="19645D65" w14:textId="77777777" w:rsidR="0086319E" w:rsidRPr="00E26ADF" w:rsidRDefault="0086319E" w:rsidP="00FC2300">
            <w:pPr>
              <w:pStyle w:val="TblTextCenter"/>
              <w:rPr>
                <w:lang w:val="en-AU"/>
              </w:rPr>
            </w:pPr>
            <w:r w:rsidRPr="00E26ADF">
              <w:rPr>
                <w:lang w:val="en-AU"/>
              </w:rPr>
              <w:t xml:space="preserve">116/162*** (71.6%) </w:t>
            </w:r>
          </w:p>
        </w:tc>
      </w:tr>
      <w:tr w:rsidR="0086319E" w:rsidRPr="00E26ADF" w14:paraId="631BD4E4" w14:textId="77777777" w:rsidTr="00FC2300">
        <w:trPr>
          <w:cantSplit/>
          <w:trHeight w:val="98"/>
          <w:jc w:val="center"/>
        </w:trPr>
        <w:tc>
          <w:tcPr>
            <w:tcW w:w="0" w:type="auto"/>
            <w:gridSpan w:val="5"/>
            <w:shd w:val="clear" w:color="auto" w:fill="auto"/>
          </w:tcPr>
          <w:p w14:paraId="0307F3AD" w14:textId="77777777" w:rsidR="0086319E" w:rsidRPr="00E26ADF" w:rsidRDefault="0086319E" w:rsidP="00FC2300">
            <w:pPr>
              <w:pStyle w:val="TblTextCenter"/>
              <w:jc w:val="left"/>
              <w:rPr>
                <w:b/>
                <w:lang w:val="en-AU"/>
              </w:rPr>
            </w:pPr>
            <w:r w:rsidRPr="00E26ADF">
              <w:rPr>
                <w:b/>
                <w:lang w:val="en-AU"/>
              </w:rPr>
              <w:t xml:space="preserve">Key Secondary Endpoints </w:t>
            </w:r>
          </w:p>
        </w:tc>
      </w:tr>
      <w:tr w:rsidR="0086319E" w:rsidRPr="00E26ADF" w14:paraId="72D9F978" w14:textId="77777777" w:rsidTr="00FC2300">
        <w:trPr>
          <w:cantSplit/>
          <w:trHeight w:val="512"/>
          <w:jc w:val="center"/>
        </w:trPr>
        <w:tc>
          <w:tcPr>
            <w:tcW w:w="0" w:type="auto"/>
            <w:shd w:val="clear" w:color="auto" w:fill="auto"/>
          </w:tcPr>
          <w:p w14:paraId="3DC30CA4" w14:textId="77777777" w:rsidR="0086319E" w:rsidRPr="00E26ADF" w:rsidRDefault="0086319E" w:rsidP="007A7D95">
            <w:pPr>
              <w:pStyle w:val="TblTextCenter"/>
              <w:jc w:val="left"/>
              <w:rPr>
                <w:lang w:val="en-AU"/>
              </w:rPr>
            </w:pPr>
            <w:r w:rsidRPr="00E26ADF">
              <w:rPr>
                <w:lang w:val="en-AU"/>
              </w:rPr>
              <w:t xml:space="preserve">Percent of patients whose IGA response at week 36 was maintained within 1 point of baseline in the subset of patients with IGA (0,1) at baseline, n (%) </w:t>
            </w:r>
          </w:p>
        </w:tc>
        <w:tc>
          <w:tcPr>
            <w:tcW w:w="0" w:type="auto"/>
            <w:shd w:val="clear" w:color="auto" w:fill="auto"/>
          </w:tcPr>
          <w:p w14:paraId="7EC8C9F0" w14:textId="77777777" w:rsidR="0086319E" w:rsidRPr="00E26ADF" w:rsidRDefault="0086319E" w:rsidP="00FC2300">
            <w:pPr>
              <w:pStyle w:val="TblTextCenter"/>
              <w:rPr>
                <w:lang w:val="en-AU"/>
              </w:rPr>
            </w:pPr>
            <w:r w:rsidRPr="00E26ADF">
              <w:rPr>
                <w:lang w:val="en-AU"/>
              </w:rPr>
              <w:t xml:space="preserve">18/63 (28.6) </w:t>
            </w:r>
          </w:p>
        </w:tc>
        <w:tc>
          <w:tcPr>
            <w:tcW w:w="0" w:type="auto"/>
            <w:shd w:val="clear" w:color="auto" w:fill="auto"/>
          </w:tcPr>
          <w:p w14:paraId="77F7FEA2" w14:textId="77777777" w:rsidR="0086319E" w:rsidRPr="00E26ADF" w:rsidRDefault="0086319E" w:rsidP="00FC2300">
            <w:pPr>
              <w:pStyle w:val="TblTextCenter"/>
              <w:rPr>
                <w:lang w:val="en-AU"/>
              </w:rPr>
            </w:pPr>
            <w:r w:rsidRPr="00E26ADF">
              <w:rPr>
                <w:lang w:val="en-AU"/>
              </w:rPr>
              <w:t xml:space="preserve">32/64† (50.0) </w:t>
            </w:r>
          </w:p>
        </w:tc>
        <w:tc>
          <w:tcPr>
            <w:tcW w:w="0" w:type="auto"/>
            <w:shd w:val="clear" w:color="auto" w:fill="auto"/>
          </w:tcPr>
          <w:p w14:paraId="7FF09631" w14:textId="77777777" w:rsidR="0086319E" w:rsidRPr="00E26ADF" w:rsidRDefault="0086319E" w:rsidP="00FC2300">
            <w:pPr>
              <w:pStyle w:val="TblTextCenter"/>
              <w:rPr>
                <w:lang w:val="en-AU"/>
              </w:rPr>
            </w:pPr>
            <w:r w:rsidRPr="00E26ADF">
              <w:rPr>
                <w:lang w:val="en-AU"/>
              </w:rPr>
              <w:t xml:space="preserve">41/66** (62.1) </w:t>
            </w:r>
          </w:p>
        </w:tc>
        <w:tc>
          <w:tcPr>
            <w:tcW w:w="0" w:type="auto"/>
            <w:shd w:val="clear" w:color="auto" w:fill="auto"/>
          </w:tcPr>
          <w:p w14:paraId="4BBED40E" w14:textId="77777777" w:rsidR="0086319E" w:rsidRPr="00E26ADF" w:rsidRDefault="0086319E" w:rsidP="00FC2300">
            <w:pPr>
              <w:pStyle w:val="TblTextCenter"/>
              <w:rPr>
                <w:lang w:val="en-AU"/>
              </w:rPr>
            </w:pPr>
            <w:r w:rsidRPr="00E26ADF">
              <w:rPr>
                <w:lang w:val="en-AU"/>
              </w:rPr>
              <w:t xml:space="preserve">89/126*** (70.6) </w:t>
            </w:r>
          </w:p>
        </w:tc>
      </w:tr>
      <w:tr w:rsidR="0086319E" w:rsidRPr="00E26ADF" w14:paraId="562EEE4B" w14:textId="77777777" w:rsidTr="00FC2300">
        <w:trPr>
          <w:cantSplit/>
          <w:trHeight w:val="382"/>
          <w:jc w:val="center"/>
        </w:trPr>
        <w:tc>
          <w:tcPr>
            <w:tcW w:w="0" w:type="auto"/>
            <w:shd w:val="clear" w:color="auto" w:fill="auto"/>
          </w:tcPr>
          <w:p w14:paraId="2F446F60" w14:textId="77777777" w:rsidR="0086319E" w:rsidRPr="00E26ADF" w:rsidRDefault="0086319E" w:rsidP="007A7D95">
            <w:pPr>
              <w:pStyle w:val="TblTextCenter"/>
              <w:jc w:val="left"/>
              <w:rPr>
                <w:lang w:val="en-AU"/>
              </w:rPr>
            </w:pPr>
            <w:r w:rsidRPr="00E26ADF">
              <w:rPr>
                <w:lang w:val="en-AU"/>
              </w:rPr>
              <w:t xml:space="preserve">Percent of patients with IGA (0,1) at week 36 in the subset of patients with IGA (0,1) at baseline, n (%) </w:t>
            </w:r>
          </w:p>
        </w:tc>
        <w:tc>
          <w:tcPr>
            <w:tcW w:w="0" w:type="auto"/>
            <w:shd w:val="clear" w:color="auto" w:fill="auto"/>
          </w:tcPr>
          <w:p w14:paraId="6F71763C" w14:textId="77777777" w:rsidR="0086319E" w:rsidRPr="00E26ADF" w:rsidRDefault="0086319E" w:rsidP="00FC2300">
            <w:pPr>
              <w:pStyle w:val="TblTextCenter"/>
              <w:rPr>
                <w:lang w:val="en-AU"/>
              </w:rPr>
            </w:pPr>
            <w:r w:rsidRPr="00E26ADF">
              <w:rPr>
                <w:lang w:val="en-AU"/>
              </w:rPr>
              <w:t xml:space="preserve">9/63 (14.3) </w:t>
            </w:r>
          </w:p>
        </w:tc>
        <w:tc>
          <w:tcPr>
            <w:tcW w:w="0" w:type="auto"/>
            <w:shd w:val="clear" w:color="auto" w:fill="auto"/>
          </w:tcPr>
          <w:p w14:paraId="6ED1DD1F" w14:textId="77777777" w:rsidR="0086319E" w:rsidRPr="00E26ADF" w:rsidRDefault="0086319E" w:rsidP="00FC2300">
            <w:pPr>
              <w:pStyle w:val="TblTextCenter"/>
              <w:rPr>
                <w:lang w:val="en-AU"/>
              </w:rPr>
            </w:pPr>
            <w:r w:rsidRPr="00E26ADF">
              <w:rPr>
                <w:lang w:val="en-AU"/>
              </w:rPr>
              <w:t xml:space="preserve">21/64† (32.8) </w:t>
            </w:r>
          </w:p>
        </w:tc>
        <w:tc>
          <w:tcPr>
            <w:tcW w:w="0" w:type="auto"/>
            <w:shd w:val="clear" w:color="auto" w:fill="auto"/>
          </w:tcPr>
          <w:p w14:paraId="041CDBE3" w14:textId="77777777" w:rsidR="0086319E" w:rsidRPr="00E26ADF" w:rsidRDefault="0086319E" w:rsidP="00FC2300">
            <w:pPr>
              <w:pStyle w:val="TblTextCenter"/>
              <w:rPr>
                <w:lang w:val="en-AU"/>
              </w:rPr>
            </w:pPr>
            <w:r w:rsidRPr="00E26ADF">
              <w:rPr>
                <w:lang w:val="en-AU"/>
              </w:rPr>
              <w:t xml:space="preserve">29/66** (43.9) </w:t>
            </w:r>
          </w:p>
        </w:tc>
        <w:tc>
          <w:tcPr>
            <w:tcW w:w="0" w:type="auto"/>
            <w:shd w:val="clear" w:color="auto" w:fill="auto"/>
          </w:tcPr>
          <w:p w14:paraId="622C3D0C" w14:textId="77777777" w:rsidR="0086319E" w:rsidRPr="00E26ADF" w:rsidRDefault="0086319E" w:rsidP="00FC2300">
            <w:pPr>
              <w:pStyle w:val="TblTextCenter"/>
              <w:rPr>
                <w:lang w:val="en-AU"/>
              </w:rPr>
            </w:pPr>
            <w:r w:rsidRPr="00E26ADF">
              <w:rPr>
                <w:lang w:val="en-AU"/>
              </w:rPr>
              <w:t xml:space="preserve">68/126*** (54.0) </w:t>
            </w:r>
          </w:p>
        </w:tc>
      </w:tr>
      <w:tr w:rsidR="0086319E" w:rsidRPr="00E26ADF" w14:paraId="6EE13453" w14:textId="77777777" w:rsidTr="00FC2300">
        <w:trPr>
          <w:cantSplit/>
          <w:trHeight w:val="643"/>
          <w:jc w:val="center"/>
        </w:trPr>
        <w:tc>
          <w:tcPr>
            <w:tcW w:w="0" w:type="auto"/>
            <w:tcBorders>
              <w:bottom w:val="single" w:sz="12" w:space="0" w:color="auto"/>
            </w:tcBorders>
            <w:shd w:val="clear" w:color="auto" w:fill="auto"/>
          </w:tcPr>
          <w:p w14:paraId="61789387" w14:textId="77777777" w:rsidR="0086319E" w:rsidRPr="00E26ADF" w:rsidRDefault="0086319E" w:rsidP="007A7D95">
            <w:pPr>
              <w:pStyle w:val="TblTextCenter"/>
              <w:jc w:val="left"/>
              <w:rPr>
                <w:lang w:val="en-AU"/>
              </w:rPr>
            </w:pPr>
            <w:r w:rsidRPr="00E26ADF">
              <w:rPr>
                <w:lang w:val="en-AU"/>
              </w:rPr>
              <w:t xml:space="preserve">Percent of patients whose peak pruritus NRS increased by ≥3 points from baseline to week 35 in the subset of patients with peak pruritus NRS ≤7 at baseline, n (%) </w:t>
            </w:r>
          </w:p>
        </w:tc>
        <w:tc>
          <w:tcPr>
            <w:tcW w:w="0" w:type="auto"/>
            <w:tcBorders>
              <w:bottom w:val="single" w:sz="12" w:space="0" w:color="auto"/>
            </w:tcBorders>
            <w:shd w:val="clear" w:color="auto" w:fill="auto"/>
          </w:tcPr>
          <w:p w14:paraId="69C08B8A" w14:textId="77777777" w:rsidR="0086319E" w:rsidRPr="00E26ADF" w:rsidRDefault="0086319E" w:rsidP="00FC2300">
            <w:pPr>
              <w:pStyle w:val="TblTextCenter"/>
              <w:rPr>
                <w:lang w:val="en-AU"/>
              </w:rPr>
            </w:pPr>
            <w:r w:rsidRPr="00E26ADF">
              <w:rPr>
                <w:lang w:val="en-AU"/>
              </w:rPr>
              <w:t xml:space="preserve">56/80 (70.0) </w:t>
            </w:r>
          </w:p>
        </w:tc>
        <w:tc>
          <w:tcPr>
            <w:tcW w:w="0" w:type="auto"/>
            <w:tcBorders>
              <w:bottom w:val="single" w:sz="12" w:space="0" w:color="auto"/>
            </w:tcBorders>
            <w:shd w:val="clear" w:color="auto" w:fill="auto"/>
          </w:tcPr>
          <w:p w14:paraId="1AB623BF" w14:textId="77777777" w:rsidR="0086319E" w:rsidRPr="00E26ADF" w:rsidRDefault="0086319E" w:rsidP="00FC2300">
            <w:pPr>
              <w:pStyle w:val="TblTextCenter"/>
              <w:rPr>
                <w:lang w:val="en-AU"/>
              </w:rPr>
            </w:pPr>
            <w:r w:rsidRPr="00E26ADF">
              <w:rPr>
                <w:lang w:val="en-AU"/>
              </w:rPr>
              <w:t xml:space="preserve">45/81 (55.6) </w:t>
            </w:r>
          </w:p>
        </w:tc>
        <w:tc>
          <w:tcPr>
            <w:tcW w:w="0" w:type="auto"/>
            <w:tcBorders>
              <w:bottom w:val="single" w:sz="12" w:space="0" w:color="auto"/>
            </w:tcBorders>
            <w:shd w:val="clear" w:color="auto" w:fill="auto"/>
          </w:tcPr>
          <w:p w14:paraId="58861E77" w14:textId="77777777" w:rsidR="0086319E" w:rsidRPr="00E26ADF" w:rsidRDefault="0086319E" w:rsidP="00FC2300">
            <w:pPr>
              <w:pStyle w:val="TblTextCenter"/>
              <w:rPr>
                <w:lang w:val="en-AU"/>
              </w:rPr>
            </w:pPr>
            <w:r w:rsidRPr="00E26ADF">
              <w:rPr>
                <w:lang w:val="en-AU"/>
              </w:rPr>
              <w:t xml:space="preserve">41/83† (49.4) </w:t>
            </w:r>
          </w:p>
        </w:tc>
        <w:tc>
          <w:tcPr>
            <w:tcW w:w="0" w:type="auto"/>
            <w:tcBorders>
              <w:bottom w:val="single" w:sz="12" w:space="0" w:color="auto"/>
            </w:tcBorders>
            <w:shd w:val="clear" w:color="auto" w:fill="auto"/>
          </w:tcPr>
          <w:p w14:paraId="2C4BB165" w14:textId="77777777" w:rsidR="0086319E" w:rsidRPr="00E26ADF" w:rsidRDefault="0086319E" w:rsidP="00FC2300">
            <w:pPr>
              <w:pStyle w:val="TblTextCenter"/>
              <w:rPr>
                <w:lang w:val="en-AU"/>
              </w:rPr>
            </w:pPr>
            <w:r w:rsidRPr="00E26ADF">
              <w:rPr>
                <w:lang w:val="en-AU"/>
              </w:rPr>
              <w:t xml:space="preserve">57/168*** (33.9) </w:t>
            </w:r>
          </w:p>
        </w:tc>
      </w:tr>
      <w:tr w:rsidR="0086319E" w:rsidRPr="00E26ADF" w14:paraId="15EA2230" w14:textId="77777777" w:rsidTr="00FC2300">
        <w:trPr>
          <w:cantSplit/>
          <w:trHeight w:val="234"/>
          <w:jc w:val="center"/>
        </w:trPr>
        <w:tc>
          <w:tcPr>
            <w:tcW w:w="0" w:type="auto"/>
            <w:gridSpan w:val="5"/>
            <w:tcBorders>
              <w:top w:val="single" w:sz="12" w:space="0" w:color="auto"/>
            </w:tcBorders>
            <w:shd w:val="clear" w:color="auto" w:fill="auto"/>
          </w:tcPr>
          <w:p w14:paraId="729D4197" w14:textId="0B8DBD40" w:rsidR="0086319E" w:rsidRPr="00E26ADF" w:rsidRDefault="0086319E" w:rsidP="00CE00B3">
            <w:pPr>
              <w:pStyle w:val="TblFigFootnote"/>
              <w:spacing w:after="0"/>
              <w:rPr>
                <w:lang w:val="en-AU"/>
              </w:rPr>
            </w:pPr>
            <w:r w:rsidRPr="00E26ADF">
              <w:rPr>
                <w:lang w:val="en-AU"/>
              </w:rPr>
              <w:t>†P&lt;0.05, *P&lt;0.01, **P&lt;0.001, ***P≤0.0001</w:t>
            </w:r>
            <w:r w:rsidR="00CE00B3" w:rsidRPr="00E26ADF">
              <w:rPr>
                <w:lang w:val="en-AU"/>
              </w:rPr>
              <w:t xml:space="preserve"> </w:t>
            </w:r>
          </w:p>
        </w:tc>
      </w:tr>
    </w:tbl>
    <w:p w14:paraId="3AB153DF" w14:textId="77777777" w:rsidR="00CE00B3" w:rsidRPr="00E26ADF" w:rsidRDefault="00CE00B3" w:rsidP="00CE00B3">
      <w:r w:rsidRPr="00E26ADF">
        <w:t>In SOLO CONTINUE, a trend for increased treatment-emergent ADA positivity with increased dosing intervals was observed. Treatment-emergent ADA: QW: 1.2%; Q2W: 4.3%; Q4W: 6.0%; Q8W: 11.7%. ADA responses lasting more than 12 weeks: QW: 0.0%; Q2W: 1.4%; Q4W: 0.0%; Q8W: 2.6%.</w:t>
      </w:r>
    </w:p>
    <w:p w14:paraId="219DC924" w14:textId="28A71F6D" w:rsidR="00780900" w:rsidRPr="0050145A" w:rsidRDefault="00780900" w:rsidP="00780900">
      <w:pPr>
        <w:pStyle w:val="Heading4"/>
        <w:numPr>
          <w:ilvl w:val="0"/>
          <w:numId w:val="0"/>
        </w:numPr>
        <w:ind w:left="862" w:hanging="862"/>
        <w:rPr>
          <w:lang w:val="en-AU"/>
        </w:rPr>
      </w:pPr>
      <w:r w:rsidRPr="0050145A">
        <w:rPr>
          <w:lang w:val="en-AU"/>
        </w:rPr>
        <w:t>Adolescent atopic dermatitis</w:t>
      </w:r>
      <w:r w:rsidR="000672A5">
        <w:rPr>
          <w:lang w:val="en-AU"/>
        </w:rPr>
        <w:t xml:space="preserve"> </w:t>
      </w:r>
      <w:r w:rsidR="000672A5" w:rsidRPr="00F64F0A">
        <w:rPr>
          <w:lang w:val="en-AU"/>
        </w:rPr>
        <w:t xml:space="preserve">(12 to 17 years of age) </w:t>
      </w:r>
    </w:p>
    <w:p w14:paraId="590392AB" w14:textId="77777777" w:rsidR="006D2947" w:rsidRPr="0050145A" w:rsidRDefault="006D2947" w:rsidP="006D2947">
      <w:pPr>
        <w:rPr>
          <w:color w:val="auto"/>
        </w:rPr>
      </w:pPr>
      <w:r w:rsidRPr="0050145A">
        <w:rPr>
          <w:color w:val="auto"/>
        </w:rPr>
        <w:t xml:space="preserve">The efficacy and safety of Dupixent monotherapy in adolescent patients was evaluated in a </w:t>
      </w:r>
      <w:proofErr w:type="spellStart"/>
      <w:r w:rsidRPr="0050145A">
        <w:rPr>
          <w:color w:val="auto"/>
        </w:rPr>
        <w:t>multicentre</w:t>
      </w:r>
      <w:proofErr w:type="spellEnd"/>
      <w:r w:rsidRPr="0050145A">
        <w:rPr>
          <w:color w:val="auto"/>
        </w:rPr>
        <w:t xml:space="preserve">, </w:t>
      </w:r>
      <w:proofErr w:type="spellStart"/>
      <w:r w:rsidRPr="0050145A">
        <w:rPr>
          <w:color w:val="auto"/>
        </w:rPr>
        <w:t>randomised</w:t>
      </w:r>
      <w:proofErr w:type="spellEnd"/>
      <w:r w:rsidRPr="0050145A">
        <w:rPr>
          <w:color w:val="auto"/>
        </w:rPr>
        <w:t>, double-blind, placebo-controlled study (AD-1526) in 251 adolescent patients 12 to 17 years of age with moderate-to-severe atopic dermatitis (AD) defined by Investigator’s Global Assessment (IGA) score ≥3 in the overall assessment of AD lesions on a severity scale of 0 to 4, an Eczema Area and Severity Index (EASI) score ≥16 on a scale of 0 to 72, and a minimum body surface area (BSA) involvement of ≥10%. Eligible patients enrolled into this study had previous inadequate response to topical medication.</w:t>
      </w:r>
    </w:p>
    <w:p w14:paraId="02729614" w14:textId="77777777" w:rsidR="006D2947" w:rsidRPr="0050145A" w:rsidRDefault="006D2947" w:rsidP="006D2947">
      <w:pPr>
        <w:rPr>
          <w:color w:val="auto"/>
        </w:rPr>
      </w:pPr>
      <w:r w:rsidRPr="0050145A">
        <w:rPr>
          <w:color w:val="auto"/>
        </w:rPr>
        <w:t>Patients received one of the following regimens:</w:t>
      </w:r>
    </w:p>
    <w:p w14:paraId="00F41CE4" w14:textId="77777777" w:rsidR="006D2947" w:rsidRPr="0050145A" w:rsidRDefault="006D2947" w:rsidP="006D2947">
      <w:pPr>
        <w:pStyle w:val="ListNumbered"/>
        <w:numPr>
          <w:ilvl w:val="0"/>
          <w:numId w:val="30"/>
        </w:numPr>
        <w:rPr>
          <w:color w:val="auto"/>
        </w:rPr>
      </w:pPr>
      <w:r w:rsidRPr="0050145A">
        <w:rPr>
          <w:color w:val="auto"/>
        </w:rPr>
        <w:t xml:space="preserve">an initial dose of 400 mg Dupixent (two 200 mg injections) on day 1, followed by 200 mg once every other week (Q2W) for patients with baseline weight of &lt;60 kg or an initial dose of 600 mg Dupixent (two 300 mg injections) on day 1, followed by 300 mg Q2W for patients with baseline weight of ≥ 60 </w:t>
      </w:r>
      <w:proofErr w:type="gramStart"/>
      <w:r w:rsidRPr="0050145A">
        <w:rPr>
          <w:color w:val="auto"/>
        </w:rPr>
        <w:t>kg;</w:t>
      </w:r>
      <w:proofErr w:type="gramEnd"/>
      <w:r w:rsidRPr="0050145A">
        <w:rPr>
          <w:color w:val="auto"/>
        </w:rPr>
        <w:t xml:space="preserve"> </w:t>
      </w:r>
    </w:p>
    <w:p w14:paraId="3004FCF8" w14:textId="77777777" w:rsidR="006D2947" w:rsidRPr="0050145A" w:rsidRDefault="006D2947" w:rsidP="006D2947">
      <w:pPr>
        <w:pStyle w:val="ListNumbered"/>
        <w:numPr>
          <w:ilvl w:val="0"/>
          <w:numId w:val="30"/>
        </w:numPr>
        <w:rPr>
          <w:color w:val="auto"/>
        </w:rPr>
      </w:pPr>
      <w:r w:rsidRPr="0050145A">
        <w:rPr>
          <w:color w:val="auto"/>
        </w:rPr>
        <w:t xml:space="preserve">an initial dose of 600 mg Dupixent (two 300 mg injections) on day 1, followed by 300 mg every 4 weeks (Q4W) regardless of baseline body </w:t>
      </w:r>
      <w:proofErr w:type="gramStart"/>
      <w:r w:rsidRPr="0050145A">
        <w:rPr>
          <w:color w:val="auto"/>
        </w:rPr>
        <w:t>weight;</w:t>
      </w:r>
      <w:proofErr w:type="gramEnd"/>
      <w:r w:rsidRPr="0050145A">
        <w:rPr>
          <w:color w:val="auto"/>
        </w:rPr>
        <w:t xml:space="preserve"> </w:t>
      </w:r>
    </w:p>
    <w:p w14:paraId="4A699206" w14:textId="77777777" w:rsidR="006D2947" w:rsidRPr="0050145A" w:rsidRDefault="006D2947" w:rsidP="006D2947">
      <w:pPr>
        <w:pStyle w:val="ListNumbered"/>
        <w:numPr>
          <w:ilvl w:val="0"/>
          <w:numId w:val="30"/>
        </w:numPr>
        <w:rPr>
          <w:color w:val="auto"/>
        </w:rPr>
      </w:pPr>
      <w:r w:rsidRPr="0050145A">
        <w:rPr>
          <w:color w:val="auto"/>
        </w:rPr>
        <w:t xml:space="preserve">matching placebo. </w:t>
      </w:r>
    </w:p>
    <w:p w14:paraId="1FB7B1C5" w14:textId="77777777" w:rsidR="006D2947" w:rsidRPr="0050145A" w:rsidRDefault="006D2947" w:rsidP="006D2947">
      <w:pPr>
        <w:rPr>
          <w:color w:val="auto"/>
        </w:rPr>
      </w:pPr>
      <w:r w:rsidRPr="0050145A">
        <w:rPr>
          <w:color w:val="auto"/>
        </w:rPr>
        <w:t>Dupixent was administered by subcutaneous (SC) injection. If needed to control intolerable symptoms, patients were permitted to receive rescue treatment at the discretion of the investigator. Patients who received rescue treatment were considered non-responders.</w:t>
      </w:r>
    </w:p>
    <w:p w14:paraId="2B8F5C1C" w14:textId="77777777" w:rsidR="006D2947" w:rsidRPr="0050145A" w:rsidRDefault="006D2947" w:rsidP="006D2947">
      <w:pPr>
        <w:rPr>
          <w:color w:val="auto"/>
        </w:rPr>
      </w:pPr>
      <w:r w:rsidRPr="0050145A">
        <w:rPr>
          <w:color w:val="auto"/>
        </w:rPr>
        <w:lastRenderedPageBreak/>
        <w:t xml:space="preserve">At baseline 46.2% of patients had a baseline IGA score of 3 (moderate AD), 53.8% of patients had a baseline IGA of 4 (severe AD), the mean BSA involvement was 56.5%, and 42.4 % of patients had received prior systemic immunosuppressants. </w:t>
      </w:r>
      <w:proofErr w:type="gramStart"/>
      <w:r w:rsidRPr="0050145A">
        <w:rPr>
          <w:color w:val="auto"/>
        </w:rPr>
        <w:t>Also</w:t>
      </w:r>
      <w:proofErr w:type="gramEnd"/>
      <w:r w:rsidRPr="0050145A">
        <w:rPr>
          <w:color w:val="auto"/>
        </w:rPr>
        <w:t xml:space="preserve"> at baseline the mean Eczema Area and Severity Index (EASI) score was 35.5, the baseline weekly averaged pruritus Numerical Rating Scale (NRS) was 7.6, the baseline mean Scoring Atopic Dermatitis (SCORAD) score was 70.3. Overall, 92.0% of patients had at least one co-morbid allergic condition; 65.6% had allergic rhinitis, 53.6% had asthma, and 60.8% had food allergies.</w:t>
      </w:r>
    </w:p>
    <w:p w14:paraId="4BB41670" w14:textId="77777777" w:rsidR="006D2947" w:rsidRPr="0050145A" w:rsidRDefault="006D2947" w:rsidP="006D2947">
      <w:pPr>
        <w:rPr>
          <w:color w:val="auto"/>
        </w:rPr>
      </w:pPr>
      <w:r w:rsidRPr="0050145A">
        <w:rPr>
          <w:color w:val="auto"/>
        </w:rPr>
        <w:t>The co-primary endpoint was the proportion of patients with IGA 0 or 1 (“clear” or “almost clear”) and at least a 2-point improvement.  The other co-primary endpoint was the proportion of patients with EASI-75 (improvement of at least 75% in EASI). Both co-primary endpoints were measured from baseline to Week 16. Other evaluated outcomes included the proportion of subjects with EASI-50 or EASI-90 (improvement of at least 50% or 90% in EASI from baseline respectively), reduction in itch as measured by the peak pruritus NRS, and percent change in the SCORAD scale from baseline to Week 16. Additional secondary endpoints included mean change from baseline to week 16 in the POEM and CDLQI scores.</w:t>
      </w:r>
    </w:p>
    <w:p w14:paraId="263B394B" w14:textId="77777777" w:rsidR="006D2947" w:rsidRPr="0050145A" w:rsidRDefault="006D2947" w:rsidP="006D2947">
      <w:pPr>
        <w:pStyle w:val="Heading5"/>
        <w:numPr>
          <w:ilvl w:val="0"/>
          <w:numId w:val="0"/>
        </w:numPr>
        <w:ind w:left="1009" w:hanging="1009"/>
        <w:rPr>
          <w:lang w:val="en-AU"/>
        </w:rPr>
      </w:pPr>
      <w:r w:rsidRPr="0050145A">
        <w:rPr>
          <w:lang w:val="en-AU"/>
        </w:rPr>
        <w:t>Clinical Response</w:t>
      </w:r>
    </w:p>
    <w:p w14:paraId="0815F0F1" w14:textId="77777777" w:rsidR="006D2947" w:rsidRPr="009B5405" w:rsidRDefault="006D2947" w:rsidP="006D2947">
      <w:pPr>
        <w:spacing w:before="0"/>
        <w:rPr>
          <w:color w:val="0000FF"/>
          <w:u w:val="double"/>
        </w:rPr>
      </w:pPr>
    </w:p>
    <w:p w14:paraId="157E826E" w14:textId="48F495C2" w:rsidR="006D2947" w:rsidRPr="0050145A" w:rsidRDefault="006D2947" w:rsidP="006D2947">
      <w:pPr>
        <w:spacing w:before="0"/>
        <w:rPr>
          <w:color w:val="0070C0"/>
        </w:rPr>
      </w:pPr>
      <w:r w:rsidRPr="0050145A">
        <w:rPr>
          <w:color w:val="auto"/>
        </w:rPr>
        <w:t xml:space="preserve">The efficacy results at Week 16 for adolescent atopic dermatitis study are presented in </w:t>
      </w:r>
      <w:r w:rsidR="00C8795E" w:rsidRPr="0050145A">
        <w:rPr>
          <w:color w:val="0000FF"/>
        </w:rPr>
        <w:fldChar w:fldCharType="begin"/>
      </w:r>
      <w:r w:rsidR="00C8795E" w:rsidRPr="0050145A">
        <w:rPr>
          <w:color w:val="0000FF"/>
        </w:rPr>
        <w:instrText xml:space="preserve"> REF _Ref10721097 \h  \* MERGEFORMAT </w:instrText>
      </w:r>
      <w:r w:rsidR="00C8795E" w:rsidRPr="0050145A">
        <w:rPr>
          <w:color w:val="0000FF"/>
        </w:rPr>
      </w:r>
      <w:r w:rsidR="00C8795E" w:rsidRPr="0050145A">
        <w:rPr>
          <w:color w:val="0000FF"/>
        </w:rPr>
        <w:fldChar w:fldCharType="separate"/>
      </w:r>
      <w:r w:rsidR="00E123A5" w:rsidRPr="00E123A5">
        <w:rPr>
          <w:color w:val="0000FF"/>
        </w:rPr>
        <w:t>Table 11</w:t>
      </w:r>
      <w:r w:rsidR="00C8795E" w:rsidRPr="0050145A">
        <w:rPr>
          <w:color w:val="0000FF"/>
        </w:rPr>
        <w:fldChar w:fldCharType="end"/>
      </w:r>
      <w:r w:rsidRPr="0050145A">
        <w:rPr>
          <w:color w:val="0070C0"/>
        </w:rPr>
        <w:t xml:space="preserve"> </w:t>
      </w:r>
      <w:r w:rsidR="0050145A">
        <w:rPr>
          <w:color w:val="0070C0"/>
        </w:rPr>
        <w:t>.</w:t>
      </w:r>
    </w:p>
    <w:p w14:paraId="757D650B" w14:textId="2C481786" w:rsidR="00780900" w:rsidRPr="0050145A" w:rsidRDefault="006D2947" w:rsidP="006D2947">
      <w:pPr>
        <w:pStyle w:val="Caption"/>
        <w:rPr>
          <w:lang w:val="en-AU"/>
        </w:rPr>
      </w:pPr>
      <w:r w:rsidRPr="00A5103D">
        <w:rPr>
          <w:color w:val="0000FF"/>
          <w:lang w:val="en-AU"/>
        </w:rPr>
        <w:t xml:space="preserve"> </w:t>
      </w:r>
      <w:bookmarkStart w:id="24" w:name="_Ref10721097"/>
      <w:r w:rsidRPr="00A5103D">
        <w:rPr>
          <w:lang w:val="en-AU"/>
        </w:rPr>
        <w:t>T</w:t>
      </w:r>
      <w:r w:rsidRPr="0050145A">
        <w:rPr>
          <w:lang w:val="en-AU"/>
        </w:rPr>
        <w:t>able </w:t>
      </w:r>
      <w:r w:rsidRPr="0050145A">
        <w:rPr>
          <w:lang w:val="en-AU"/>
        </w:rPr>
        <w:fldChar w:fldCharType="begin"/>
      </w:r>
      <w:r w:rsidRPr="0050145A">
        <w:rPr>
          <w:lang w:val="en-AU"/>
        </w:rPr>
        <w:instrText xml:space="preserve"> SEQ Table \* ARABIC </w:instrText>
      </w:r>
      <w:r w:rsidRPr="0050145A">
        <w:rPr>
          <w:lang w:val="en-AU"/>
        </w:rPr>
        <w:fldChar w:fldCharType="separate"/>
      </w:r>
      <w:r w:rsidR="00E123A5">
        <w:rPr>
          <w:noProof/>
          <w:lang w:val="en-AU"/>
        </w:rPr>
        <w:t>11</w:t>
      </w:r>
      <w:r w:rsidRPr="0050145A">
        <w:rPr>
          <w:lang w:val="en-AU"/>
        </w:rPr>
        <w:fldChar w:fldCharType="end"/>
      </w:r>
      <w:bookmarkEnd w:id="24"/>
      <w:r w:rsidRPr="0050145A">
        <w:rPr>
          <w:lang w:val="en-AU"/>
        </w:rPr>
        <w:t xml:space="preserve"> ­ Efficacy results of Dupixent in the adolescent atopic dermatitis study at Week 16 (FAS)</w:t>
      </w:r>
      <w:r w:rsidRPr="0050145A">
        <w:rPr>
          <w:vertAlign w:val="superscript"/>
          <w:lang w:val="en-AU"/>
        </w:rPr>
        <w:t>a</w:t>
      </w:r>
    </w:p>
    <w:tbl>
      <w:tblPr>
        <w:tblW w:w="0" w:type="auto"/>
        <w:jc w:val="center"/>
        <w:tblBorders>
          <w:top w:val="single" w:sz="2" w:space="0" w:color="000000"/>
        </w:tblBorders>
        <w:tblLook w:val="04A0" w:firstRow="1" w:lastRow="0" w:firstColumn="1" w:lastColumn="0" w:noHBand="0" w:noVBand="1"/>
      </w:tblPr>
      <w:tblGrid>
        <w:gridCol w:w="4987"/>
        <w:gridCol w:w="983"/>
        <w:gridCol w:w="3056"/>
      </w:tblGrid>
      <w:tr w:rsidR="0050145A" w:rsidRPr="0050145A" w14:paraId="736B7298" w14:textId="77777777" w:rsidTr="006D2947">
        <w:trPr>
          <w:cantSplit/>
          <w:tblHeader/>
          <w:jc w:val="center"/>
        </w:trPr>
        <w:tc>
          <w:tcPr>
            <w:tcW w:w="0" w:type="auto"/>
            <w:tcBorders>
              <w:top w:val="single" w:sz="4" w:space="0" w:color="000000"/>
              <w:bottom w:val="single" w:sz="4" w:space="0" w:color="000000"/>
            </w:tcBorders>
            <w:shd w:val="clear" w:color="auto" w:fill="auto"/>
          </w:tcPr>
          <w:p w14:paraId="0CC61083" w14:textId="77777777" w:rsidR="006D2947" w:rsidRPr="0050145A" w:rsidRDefault="006D2947" w:rsidP="0011038A">
            <w:pPr>
              <w:pStyle w:val="TblHeadingCenter"/>
              <w:rPr>
                <w:lang w:val="en-AU"/>
              </w:rPr>
            </w:pPr>
          </w:p>
        </w:tc>
        <w:tc>
          <w:tcPr>
            <w:tcW w:w="4039" w:type="dxa"/>
            <w:gridSpan w:val="2"/>
            <w:tcBorders>
              <w:top w:val="single" w:sz="4" w:space="0" w:color="000000"/>
              <w:bottom w:val="single" w:sz="4" w:space="0" w:color="000000"/>
            </w:tcBorders>
            <w:shd w:val="clear" w:color="auto" w:fill="auto"/>
          </w:tcPr>
          <w:p w14:paraId="257422E5" w14:textId="77777777" w:rsidR="006D2947" w:rsidRPr="0050145A" w:rsidRDefault="006D2947" w:rsidP="0011038A">
            <w:pPr>
              <w:pStyle w:val="TblHeadingCenter"/>
              <w:rPr>
                <w:vertAlign w:val="superscript"/>
                <w:lang w:val="en-AU"/>
              </w:rPr>
            </w:pPr>
            <w:r w:rsidRPr="0050145A">
              <w:rPr>
                <w:lang w:val="en-AU"/>
              </w:rPr>
              <w:t>AD-1526(FAS)</w:t>
            </w:r>
            <w:r w:rsidRPr="0050145A">
              <w:rPr>
                <w:vertAlign w:val="superscript"/>
                <w:lang w:val="en-AU"/>
              </w:rPr>
              <w:t>a</w:t>
            </w:r>
          </w:p>
        </w:tc>
      </w:tr>
      <w:tr w:rsidR="0050145A" w:rsidRPr="0050145A" w14:paraId="07F2EFFA" w14:textId="77777777" w:rsidTr="0011038A">
        <w:trPr>
          <w:cantSplit/>
          <w:tblHeader/>
          <w:jc w:val="center"/>
        </w:trPr>
        <w:tc>
          <w:tcPr>
            <w:tcW w:w="0" w:type="auto"/>
            <w:tcBorders>
              <w:top w:val="single" w:sz="4" w:space="0" w:color="000000"/>
            </w:tcBorders>
            <w:shd w:val="clear" w:color="auto" w:fill="auto"/>
          </w:tcPr>
          <w:p w14:paraId="7C183564" w14:textId="77777777" w:rsidR="006D2947" w:rsidRPr="0050145A" w:rsidRDefault="006D2947" w:rsidP="0011038A">
            <w:pPr>
              <w:pStyle w:val="TblTextCenter"/>
              <w:rPr>
                <w:rFonts w:ascii="Arial" w:hAnsi="Arial" w:cs="Arial"/>
                <w:lang w:val="en-AU"/>
              </w:rPr>
            </w:pPr>
          </w:p>
        </w:tc>
        <w:tc>
          <w:tcPr>
            <w:tcW w:w="0" w:type="auto"/>
            <w:tcBorders>
              <w:top w:val="single" w:sz="4" w:space="0" w:color="000000"/>
            </w:tcBorders>
            <w:shd w:val="clear" w:color="auto" w:fill="auto"/>
          </w:tcPr>
          <w:p w14:paraId="47C5270D"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Placebo</w:t>
            </w:r>
          </w:p>
          <w:p w14:paraId="717802F3" w14:textId="77777777" w:rsidR="006D2947" w:rsidRPr="0050145A" w:rsidRDefault="006D2947" w:rsidP="0011038A">
            <w:pPr>
              <w:pStyle w:val="TblTextCenter"/>
              <w:rPr>
                <w:rFonts w:ascii="Arial" w:hAnsi="Arial" w:cs="Arial"/>
                <w:b/>
                <w:lang w:val="en-AU"/>
              </w:rPr>
            </w:pPr>
          </w:p>
        </w:tc>
        <w:tc>
          <w:tcPr>
            <w:tcW w:w="3056" w:type="dxa"/>
            <w:tcBorders>
              <w:top w:val="single" w:sz="4" w:space="0" w:color="000000"/>
            </w:tcBorders>
            <w:shd w:val="clear" w:color="auto" w:fill="auto"/>
          </w:tcPr>
          <w:p w14:paraId="24160D54"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Dupixent 200 mg (&lt;60 kg) and</w:t>
            </w:r>
          </w:p>
          <w:p w14:paraId="7D0A1C77" w14:textId="77777777" w:rsidR="006D2947" w:rsidRPr="0050145A" w:rsidRDefault="006D2947" w:rsidP="0011038A">
            <w:pPr>
              <w:pStyle w:val="TblTextCenter"/>
              <w:rPr>
                <w:rFonts w:ascii="Arial" w:hAnsi="Arial" w:cs="Arial"/>
                <w:b/>
                <w:lang w:val="en-AU"/>
              </w:rPr>
            </w:pPr>
            <w:r w:rsidRPr="0050145A">
              <w:rPr>
                <w:rFonts w:ascii="Arial" w:hAnsi="Arial" w:cs="Arial"/>
                <w:b/>
                <w:lang w:val="en-AU"/>
              </w:rPr>
              <w:t>300 mg (≥60 kg) Q2W*</w:t>
            </w:r>
          </w:p>
        </w:tc>
      </w:tr>
      <w:tr w:rsidR="0050145A" w:rsidRPr="0050145A" w14:paraId="2EE0BEC0" w14:textId="77777777" w:rsidTr="0011038A">
        <w:trPr>
          <w:cantSplit/>
          <w:jc w:val="center"/>
        </w:trPr>
        <w:tc>
          <w:tcPr>
            <w:tcW w:w="0" w:type="auto"/>
            <w:shd w:val="clear" w:color="auto" w:fill="auto"/>
          </w:tcPr>
          <w:p w14:paraId="0DED0F48" w14:textId="40DF6D22" w:rsidR="006D2947" w:rsidRPr="0050145A" w:rsidRDefault="006D2947" w:rsidP="007A7D95">
            <w:pPr>
              <w:pStyle w:val="TblTextCenter"/>
              <w:jc w:val="left"/>
              <w:rPr>
                <w:rFonts w:ascii="Arial" w:hAnsi="Arial" w:cs="Arial"/>
                <w:b/>
                <w:lang w:val="en-AU"/>
              </w:rPr>
            </w:pPr>
            <w:r w:rsidRPr="0050145A">
              <w:rPr>
                <w:rFonts w:ascii="Arial" w:hAnsi="Arial" w:cs="Arial"/>
                <w:b/>
                <w:lang w:val="en-AU"/>
              </w:rPr>
              <w:t>Patients randomi</w:t>
            </w:r>
            <w:r w:rsidR="002C171C" w:rsidRPr="00F64F0A">
              <w:rPr>
                <w:rFonts w:ascii="Arial" w:hAnsi="Arial" w:cs="Arial"/>
                <w:b/>
                <w:lang w:val="en-AU"/>
              </w:rPr>
              <w:t>s</w:t>
            </w:r>
            <w:r w:rsidRPr="0050145A">
              <w:rPr>
                <w:rFonts w:ascii="Arial" w:hAnsi="Arial" w:cs="Arial"/>
                <w:b/>
                <w:lang w:val="en-AU"/>
              </w:rPr>
              <w:t>ed (n)</w:t>
            </w:r>
          </w:p>
        </w:tc>
        <w:tc>
          <w:tcPr>
            <w:tcW w:w="0" w:type="auto"/>
            <w:shd w:val="clear" w:color="auto" w:fill="auto"/>
          </w:tcPr>
          <w:p w14:paraId="5A6FFF3E" w14:textId="77777777" w:rsidR="006D2947" w:rsidRPr="0050145A" w:rsidRDefault="006D2947" w:rsidP="0011038A">
            <w:pPr>
              <w:pStyle w:val="TblTextCenter"/>
              <w:rPr>
                <w:rFonts w:ascii="Arial" w:hAnsi="Arial" w:cs="Arial"/>
                <w:lang w:val="en-AU"/>
              </w:rPr>
            </w:pPr>
            <w:r w:rsidRPr="0050145A">
              <w:rPr>
                <w:rFonts w:ascii="Arial" w:hAnsi="Arial" w:cs="Arial"/>
                <w:lang w:val="en-AU"/>
              </w:rPr>
              <w:t>85</w:t>
            </w:r>
            <w:r w:rsidRPr="0050145A">
              <w:rPr>
                <w:rFonts w:ascii="Arial" w:hAnsi="Arial" w:cs="Arial"/>
                <w:vertAlign w:val="superscript"/>
                <w:lang w:val="en-AU"/>
              </w:rPr>
              <w:t>a</w:t>
            </w:r>
          </w:p>
        </w:tc>
        <w:tc>
          <w:tcPr>
            <w:tcW w:w="3056" w:type="dxa"/>
            <w:shd w:val="clear" w:color="auto" w:fill="auto"/>
          </w:tcPr>
          <w:p w14:paraId="159FCF4F" w14:textId="77777777" w:rsidR="006D2947" w:rsidRPr="0050145A" w:rsidRDefault="006D2947" w:rsidP="0011038A">
            <w:pPr>
              <w:pStyle w:val="TblTextCenter"/>
              <w:rPr>
                <w:rFonts w:ascii="Arial" w:hAnsi="Arial" w:cs="Arial"/>
                <w:lang w:val="en-AU"/>
              </w:rPr>
            </w:pPr>
            <w:r w:rsidRPr="0050145A">
              <w:rPr>
                <w:rFonts w:ascii="Arial" w:hAnsi="Arial" w:cs="Arial"/>
                <w:lang w:val="en-AU"/>
              </w:rPr>
              <w:t>82</w:t>
            </w:r>
            <w:r w:rsidRPr="0050145A">
              <w:rPr>
                <w:rFonts w:ascii="Arial" w:hAnsi="Arial" w:cs="Arial"/>
                <w:vertAlign w:val="superscript"/>
                <w:lang w:val="en-AU"/>
              </w:rPr>
              <w:t>a</w:t>
            </w:r>
          </w:p>
        </w:tc>
      </w:tr>
      <w:tr w:rsidR="0050145A" w:rsidRPr="0050145A" w14:paraId="514345ED" w14:textId="77777777" w:rsidTr="0011038A">
        <w:trPr>
          <w:cantSplit/>
          <w:jc w:val="center"/>
        </w:trPr>
        <w:tc>
          <w:tcPr>
            <w:tcW w:w="0" w:type="auto"/>
            <w:shd w:val="clear" w:color="auto" w:fill="auto"/>
          </w:tcPr>
          <w:p w14:paraId="7F02964D"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IGA 0 or 1</w:t>
            </w:r>
            <w:r w:rsidRPr="0050145A">
              <w:rPr>
                <w:rFonts w:ascii="Arial" w:hAnsi="Arial" w:cs="Arial"/>
                <w:vertAlign w:val="superscript"/>
                <w:lang w:val="en-AU"/>
              </w:rPr>
              <w:t>b</w:t>
            </w:r>
            <w:r w:rsidRPr="0050145A">
              <w:rPr>
                <w:rFonts w:ascii="Arial" w:hAnsi="Arial" w:cs="Arial"/>
                <w:lang w:val="en-AU"/>
              </w:rPr>
              <w:t>,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214CFDE9"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w:t>
            </w:r>
          </w:p>
        </w:tc>
        <w:tc>
          <w:tcPr>
            <w:tcW w:w="3056" w:type="dxa"/>
            <w:shd w:val="clear" w:color="auto" w:fill="auto"/>
          </w:tcPr>
          <w:p w14:paraId="21B5A9E4"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24.4%</w:t>
            </w:r>
          </w:p>
        </w:tc>
      </w:tr>
      <w:tr w:rsidR="0050145A" w:rsidRPr="0050145A" w14:paraId="5110154B" w14:textId="77777777" w:rsidTr="0011038A">
        <w:trPr>
          <w:cantSplit/>
          <w:jc w:val="center"/>
        </w:trPr>
        <w:tc>
          <w:tcPr>
            <w:tcW w:w="0" w:type="auto"/>
            <w:shd w:val="clear" w:color="auto" w:fill="auto"/>
          </w:tcPr>
          <w:p w14:paraId="1CDE747C"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EASI-50,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1D27754B" w14:textId="77777777" w:rsidR="006D2947" w:rsidRPr="0050145A" w:rsidRDefault="006D2947" w:rsidP="0011038A">
            <w:pPr>
              <w:pStyle w:val="TblTextCenter"/>
              <w:rPr>
                <w:rFonts w:ascii="Arial" w:hAnsi="Arial" w:cs="Arial"/>
                <w:lang w:val="en-AU"/>
              </w:rPr>
            </w:pPr>
            <w:r w:rsidRPr="0050145A">
              <w:rPr>
                <w:rFonts w:ascii="Arial" w:hAnsi="Arial" w:cs="Arial"/>
                <w:lang w:val="en-AU"/>
              </w:rPr>
              <w:t>12.9%</w:t>
            </w:r>
          </w:p>
        </w:tc>
        <w:tc>
          <w:tcPr>
            <w:tcW w:w="3056" w:type="dxa"/>
            <w:shd w:val="clear" w:color="auto" w:fill="auto"/>
          </w:tcPr>
          <w:p w14:paraId="0DCB7339" w14:textId="77777777" w:rsidR="006D2947" w:rsidRPr="0050145A" w:rsidRDefault="006D2947" w:rsidP="0011038A">
            <w:pPr>
              <w:pStyle w:val="TblTextCenter"/>
              <w:rPr>
                <w:rFonts w:ascii="Arial" w:hAnsi="Arial" w:cs="Arial"/>
                <w:lang w:val="en-AU"/>
              </w:rPr>
            </w:pPr>
            <w:r w:rsidRPr="0050145A">
              <w:rPr>
                <w:rFonts w:ascii="Arial" w:hAnsi="Arial" w:cs="Arial"/>
                <w:lang w:val="en-AU"/>
              </w:rPr>
              <w:t>61.0%</w:t>
            </w:r>
          </w:p>
        </w:tc>
      </w:tr>
      <w:tr w:rsidR="0050145A" w:rsidRPr="0050145A" w14:paraId="76F35366" w14:textId="77777777" w:rsidTr="0011038A">
        <w:trPr>
          <w:cantSplit/>
          <w:jc w:val="center"/>
        </w:trPr>
        <w:tc>
          <w:tcPr>
            <w:tcW w:w="0" w:type="auto"/>
            <w:shd w:val="clear" w:color="auto" w:fill="auto"/>
          </w:tcPr>
          <w:p w14:paraId="710DB1F0"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EASI-75,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35704045" w14:textId="77777777" w:rsidR="006D2947" w:rsidRPr="0050145A" w:rsidRDefault="006D2947" w:rsidP="0011038A">
            <w:pPr>
              <w:pStyle w:val="TblTextCenter"/>
              <w:rPr>
                <w:rFonts w:ascii="Arial" w:hAnsi="Arial" w:cs="Arial"/>
                <w:lang w:val="en-AU"/>
              </w:rPr>
            </w:pPr>
            <w:r w:rsidRPr="0050145A">
              <w:rPr>
                <w:rFonts w:ascii="Arial" w:hAnsi="Arial" w:cs="Arial"/>
                <w:lang w:val="en-AU"/>
              </w:rPr>
              <w:t>8.2%</w:t>
            </w:r>
          </w:p>
        </w:tc>
        <w:tc>
          <w:tcPr>
            <w:tcW w:w="3056" w:type="dxa"/>
            <w:shd w:val="clear" w:color="auto" w:fill="auto"/>
          </w:tcPr>
          <w:p w14:paraId="2E5E691D" w14:textId="77777777" w:rsidR="006D2947" w:rsidRPr="0050145A" w:rsidRDefault="006D2947" w:rsidP="0011038A">
            <w:pPr>
              <w:pStyle w:val="TblTextCenter"/>
              <w:rPr>
                <w:rFonts w:ascii="Arial" w:hAnsi="Arial" w:cs="Arial"/>
                <w:lang w:val="en-AU"/>
              </w:rPr>
            </w:pPr>
            <w:r w:rsidRPr="0050145A">
              <w:rPr>
                <w:rFonts w:ascii="Arial" w:hAnsi="Arial" w:cs="Arial"/>
                <w:lang w:val="en-AU"/>
              </w:rPr>
              <w:t>41.5%</w:t>
            </w:r>
          </w:p>
        </w:tc>
      </w:tr>
      <w:tr w:rsidR="0050145A" w:rsidRPr="0050145A" w14:paraId="5022F747" w14:textId="77777777" w:rsidTr="0011038A">
        <w:trPr>
          <w:cantSplit/>
          <w:jc w:val="center"/>
        </w:trPr>
        <w:tc>
          <w:tcPr>
            <w:tcW w:w="0" w:type="auto"/>
            <w:shd w:val="clear" w:color="auto" w:fill="auto"/>
          </w:tcPr>
          <w:p w14:paraId="6FD37666"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EASI-90,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p>
        </w:tc>
        <w:tc>
          <w:tcPr>
            <w:tcW w:w="0" w:type="auto"/>
            <w:shd w:val="clear" w:color="auto" w:fill="auto"/>
          </w:tcPr>
          <w:p w14:paraId="1E721B1F" w14:textId="77777777" w:rsidR="006D2947" w:rsidRPr="0050145A" w:rsidRDefault="006D2947" w:rsidP="0011038A">
            <w:pPr>
              <w:pStyle w:val="TblTextCenter"/>
              <w:rPr>
                <w:rFonts w:ascii="Arial" w:hAnsi="Arial" w:cs="Arial"/>
                <w:lang w:val="en-AU"/>
              </w:rPr>
            </w:pPr>
            <w:r w:rsidRPr="0050145A">
              <w:rPr>
                <w:rFonts w:ascii="Arial" w:hAnsi="Arial" w:cs="Arial"/>
                <w:lang w:val="en-AU"/>
              </w:rPr>
              <w:t>2.4%</w:t>
            </w:r>
          </w:p>
        </w:tc>
        <w:tc>
          <w:tcPr>
            <w:tcW w:w="3056" w:type="dxa"/>
            <w:shd w:val="clear" w:color="auto" w:fill="auto"/>
          </w:tcPr>
          <w:p w14:paraId="1A8735AD"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23.2%</w:t>
            </w:r>
          </w:p>
        </w:tc>
      </w:tr>
      <w:tr w:rsidR="0050145A" w:rsidRPr="0050145A" w14:paraId="111280E4" w14:textId="77777777" w:rsidTr="0011038A">
        <w:trPr>
          <w:cantSplit/>
          <w:jc w:val="center"/>
        </w:trPr>
        <w:tc>
          <w:tcPr>
            <w:tcW w:w="0" w:type="auto"/>
            <w:shd w:val="clear" w:color="auto" w:fill="auto"/>
          </w:tcPr>
          <w:p w14:paraId="687538EE"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EASI, LS mean % change from baseline</w:t>
            </w:r>
          </w:p>
          <w:p w14:paraId="7415F001"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(+/-SE)</w:t>
            </w:r>
          </w:p>
        </w:tc>
        <w:tc>
          <w:tcPr>
            <w:tcW w:w="0" w:type="auto"/>
            <w:shd w:val="clear" w:color="auto" w:fill="auto"/>
          </w:tcPr>
          <w:p w14:paraId="08A545A3"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-23.6%</w:t>
            </w:r>
          </w:p>
          <w:p w14:paraId="476D27A6" w14:textId="77777777" w:rsidR="006D2947" w:rsidRPr="0050145A" w:rsidRDefault="006D2947" w:rsidP="0011038A">
            <w:pPr>
              <w:pStyle w:val="TblTextCenter"/>
              <w:rPr>
                <w:rFonts w:ascii="Arial" w:hAnsi="Arial" w:cs="Arial"/>
                <w:lang w:val="en-AU"/>
              </w:rPr>
            </w:pPr>
            <w:r w:rsidRPr="0050145A">
              <w:rPr>
                <w:rFonts w:ascii="Arial" w:hAnsi="Arial" w:cs="Arial"/>
                <w:lang w:val="en-AU"/>
              </w:rPr>
              <w:t>(5.49)</w:t>
            </w:r>
          </w:p>
        </w:tc>
        <w:tc>
          <w:tcPr>
            <w:tcW w:w="3056" w:type="dxa"/>
            <w:shd w:val="clear" w:color="auto" w:fill="auto"/>
          </w:tcPr>
          <w:p w14:paraId="4196F64D" w14:textId="77777777" w:rsidR="006D2947" w:rsidRPr="0050145A" w:rsidRDefault="006D2947" w:rsidP="0011038A">
            <w:pPr>
              <w:pStyle w:val="TblTextCenter"/>
              <w:rPr>
                <w:rFonts w:ascii="Arial" w:hAnsi="Arial" w:cs="Arial"/>
                <w:lang w:val="en-AU"/>
              </w:rPr>
            </w:pPr>
            <w:r w:rsidRPr="0050145A">
              <w:rPr>
                <w:rFonts w:ascii="Arial" w:hAnsi="Arial" w:cs="Arial"/>
                <w:lang w:val="en-AU"/>
              </w:rPr>
              <w:t>-65.9%</w:t>
            </w:r>
          </w:p>
          <w:p w14:paraId="5773D07F" w14:textId="77777777" w:rsidR="006D2947" w:rsidRPr="0050145A" w:rsidRDefault="006D2947" w:rsidP="0011038A">
            <w:pPr>
              <w:pStyle w:val="TblTextCenter"/>
              <w:rPr>
                <w:rFonts w:ascii="Arial" w:hAnsi="Arial" w:cs="Arial"/>
                <w:lang w:val="en-AU"/>
              </w:rPr>
            </w:pPr>
            <w:r w:rsidRPr="0050145A">
              <w:rPr>
                <w:rFonts w:ascii="Arial" w:hAnsi="Arial" w:cs="Arial"/>
                <w:lang w:val="en-AU"/>
              </w:rPr>
              <w:t>(3.99)</w:t>
            </w:r>
          </w:p>
        </w:tc>
      </w:tr>
      <w:tr w:rsidR="0050145A" w:rsidRPr="0050145A" w14:paraId="5D851249" w14:textId="77777777" w:rsidTr="0011038A">
        <w:trPr>
          <w:cantSplit/>
          <w:jc w:val="center"/>
        </w:trPr>
        <w:tc>
          <w:tcPr>
            <w:tcW w:w="0" w:type="auto"/>
            <w:shd w:val="clear" w:color="auto" w:fill="auto"/>
          </w:tcPr>
          <w:p w14:paraId="0DE75BC2"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SCORAD, LS mean % change from baseline (+/- SE)</w:t>
            </w:r>
          </w:p>
        </w:tc>
        <w:tc>
          <w:tcPr>
            <w:tcW w:w="0" w:type="auto"/>
            <w:shd w:val="clear" w:color="auto" w:fill="auto"/>
          </w:tcPr>
          <w:p w14:paraId="7FB7EC67" w14:textId="77777777" w:rsidR="006D2947" w:rsidRPr="0050145A" w:rsidRDefault="006D2947" w:rsidP="0011038A">
            <w:pPr>
              <w:pStyle w:val="TblTextCenter"/>
              <w:rPr>
                <w:rFonts w:ascii="Arial" w:hAnsi="Arial" w:cs="Arial"/>
                <w:lang w:val="en-AU"/>
              </w:rPr>
            </w:pPr>
            <w:r w:rsidRPr="0050145A">
              <w:rPr>
                <w:rFonts w:ascii="Arial" w:hAnsi="Arial" w:cs="Arial"/>
                <w:lang w:val="en-AU"/>
              </w:rPr>
              <w:t>-17.6%</w:t>
            </w:r>
          </w:p>
          <w:p w14:paraId="4DF51DD5" w14:textId="77777777" w:rsidR="006D2947" w:rsidRPr="0050145A" w:rsidRDefault="006D2947" w:rsidP="0011038A">
            <w:pPr>
              <w:pStyle w:val="TblTextCenter"/>
              <w:rPr>
                <w:rFonts w:ascii="Arial" w:hAnsi="Arial" w:cs="Arial"/>
                <w:lang w:val="en-AU"/>
              </w:rPr>
            </w:pPr>
            <w:r w:rsidRPr="0050145A">
              <w:rPr>
                <w:rFonts w:ascii="Arial" w:hAnsi="Arial" w:cs="Arial"/>
                <w:lang w:val="en-AU"/>
              </w:rPr>
              <w:t>(3.76)</w:t>
            </w:r>
          </w:p>
        </w:tc>
        <w:tc>
          <w:tcPr>
            <w:tcW w:w="3056" w:type="dxa"/>
            <w:shd w:val="clear" w:color="auto" w:fill="auto"/>
          </w:tcPr>
          <w:p w14:paraId="4F865C4E" w14:textId="77777777" w:rsidR="006D2947" w:rsidRPr="0050145A" w:rsidRDefault="006D2947" w:rsidP="0011038A">
            <w:pPr>
              <w:pStyle w:val="TblTextCenter"/>
              <w:rPr>
                <w:rFonts w:ascii="Arial" w:hAnsi="Arial" w:cs="Arial"/>
                <w:lang w:val="en-AU"/>
              </w:rPr>
            </w:pPr>
            <w:r w:rsidRPr="0050145A">
              <w:rPr>
                <w:rFonts w:ascii="Arial" w:hAnsi="Arial" w:cs="Arial"/>
                <w:lang w:val="en-AU"/>
              </w:rPr>
              <w:t>-51.6%</w:t>
            </w:r>
          </w:p>
          <w:p w14:paraId="708FF3B3" w14:textId="77777777" w:rsidR="006D2947" w:rsidRPr="0050145A" w:rsidRDefault="006D2947" w:rsidP="0011038A">
            <w:pPr>
              <w:pStyle w:val="TblTextCenter"/>
              <w:rPr>
                <w:rFonts w:ascii="Arial" w:hAnsi="Arial" w:cs="Arial"/>
                <w:lang w:val="en-AU"/>
              </w:rPr>
            </w:pPr>
            <w:r w:rsidRPr="0050145A">
              <w:rPr>
                <w:rFonts w:ascii="Arial" w:hAnsi="Arial" w:cs="Arial"/>
                <w:lang w:val="en-AU"/>
              </w:rPr>
              <w:t>(3.23)</w:t>
            </w:r>
          </w:p>
        </w:tc>
      </w:tr>
      <w:tr w:rsidR="0050145A" w:rsidRPr="0050145A" w14:paraId="69983A8A" w14:textId="77777777" w:rsidTr="0011038A">
        <w:trPr>
          <w:cantSplit/>
          <w:jc w:val="center"/>
        </w:trPr>
        <w:tc>
          <w:tcPr>
            <w:tcW w:w="0" w:type="auto"/>
            <w:shd w:val="clear" w:color="auto" w:fill="auto"/>
          </w:tcPr>
          <w:p w14:paraId="551B68E3"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Pruritus NRS, LS mean % change from baseline (+/- SE)</w:t>
            </w:r>
          </w:p>
        </w:tc>
        <w:tc>
          <w:tcPr>
            <w:tcW w:w="0" w:type="auto"/>
            <w:shd w:val="clear" w:color="auto" w:fill="auto"/>
          </w:tcPr>
          <w:p w14:paraId="1793BBA9" w14:textId="77777777" w:rsidR="006D2947" w:rsidRPr="0050145A" w:rsidRDefault="006D2947" w:rsidP="0011038A">
            <w:pPr>
              <w:pStyle w:val="TblTextCenter"/>
              <w:rPr>
                <w:rFonts w:ascii="Arial" w:hAnsi="Arial" w:cs="Arial"/>
                <w:lang w:val="en-AU"/>
              </w:rPr>
            </w:pPr>
            <w:r w:rsidRPr="0050145A">
              <w:rPr>
                <w:rFonts w:ascii="Arial" w:hAnsi="Arial" w:cs="Arial"/>
                <w:lang w:val="en-AU"/>
              </w:rPr>
              <w:t>-19.0%</w:t>
            </w:r>
          </w:p>
          <w:p w14:paraId="19930B27" w14:textId="77777777" w:rsidR="006D2947" w:rsidRPr="0050145A" w:rsidRDefault="006D2947" w:rsidP="0011038A">
            <w:pPr>
              <w:pStyle w:val="TblTextCenter"/>
              <w:rPr>
                <w:rFonts w:ascii="Arial" w:hAnsi="Arial" w:cs="Arial"/>
                <w:lang w:val="en-AU"/>
              </w:rPr>
            </w:pPr>
            <w:r w:rsidRPr="0050145A">
              <w:rPr>
                <w:rFonts w:ascii="Arial" w:hAnsi="Arial" w:cs="Arial"/>
                <w:lang w:val="en-AU"/>
              </w:rPr>
              <w:t>(4.09)</w:t>
            </w:r>
          </w:p>
        </w:tc>
        <w:tc>
          <w:tcPr>
            <w:tcW w:w="3056" w:type="dxa"/>
            <w:shd w:val="clear" w:color="auto" w:fill="auto"/>
          </w:tcPr>
          <w:p w14:paraId="391F98F5" w14:textId="77777777" w:rsidR="006D2947" w:rsidRPr="0050145A" w:rsidRDefault="006D2947" w:rsidP="0011038A">
            <w:pPr>
              <w:pStyle w:val="TblTextCenter"/>
              <w:rPr>
                <w:rFonts w:ascii="Arial" w:hAnsi="Arial" w:cs="Arial"/>
                <w:lang w:val="en-AU"/>
              </w:rPr>
            </w:pPr>
            <w:r w:rsidRPr="0050145A">
              <w:rPr>
                <w:rFonts w:ascii="Arial" w:hAnsi="Arial" w:cs="Arial"/>
                <w:lang w:val="en-AU"/>
              </w:rPr>
              <w:t>-47.9%</w:t>
            </w:r>
          </w:p>
          <w:p w14:paraId="0C3BB4EA" w14:textId="77777777" w:rsidR="006D2947" w:rsidRPr="0050145A" w:rsidRDefault="006D2947" w:rsidP="0011038A">
            <w:pPr>
              <w:pStyle w:val="TblTextCenter"/>
              <w:rPr>
                <w:rFonts w:ascii="Arial" w:hAnsi="Arial" w:cs="Arial"/>
                <w:lang w:val="en-AU"/>
              </w:rPr>
            </w:pPr>
            <w:r w:rsidRPr="0050145A">
              <w:rPr>
                <w:rFonts w:ascii="Arial" w:hAnsi="Arial" w:cs="Arial"/>
                <w:lang w:val="en-AU"/>
              </w:rPr>
              <w:t>(3.43)</w:t>
            </w:r>
          </w:p>
        </w:tc>
      </w:tr>
      <w:tr w:rsidR="0050145A" w:rsidRPr="0050145A" w14:paraId="38C1FFDC" w14:textId="77777777" w:rsidTr="0011038A">
        <w:trPr>
          <w:cantSplit/>
          <w:jc w:val="center"/>
        </w:trPr>
        <w:tc>
          <w:tcPr>
            <w:tcW w:w="0" w:type="auto"/>
            <w:shd w:val="clear" w:color="auto" w:fill="auto"/>
          </w:tcPr>
          <w:p w14:paraId="100AAF8E"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 xml:space="preserve">Pruritus NRS (&gt;4-point improvement), % </w:t>
            </w:r>
            <w:proofErr w:type="spellStart"/>
            <w:r w:rsidRPr="0050145A">
              <w:rPr>
                <w:rFonts w:ascii="Arial" w:hAnsi="Arial" w:cs="Arial"/>
                <w:lang w:val="en-AU"/>
              </w:rPr>
              <w:t>responders</w:t>
            </w:r>
            <w:r w:rsidRPr="0050145A">
              <w:rPr>
                <w:rFonts w:ascii="Arial" w:hAnsi="Arial" w:cs="Arial"/>
                <w:vertAlign w:val="superscript"/>
                <w:lang w:val="en-AU"/>
              </w:rPr>
              <w:t>c</w:t>
            </w:r>
            <w:proofErr w:type="spellEnd"/>
            <w:r w:rsidRPr="0050145A">
              <w:rPr>
                <w:rFonts w:ascii="Arial" w:hAnsi="Arial" w:cs="Arial"/>
                <w:lang w:val="en-AU"/>
              </w:rPr>
              <w:t xml:space="preserve"> </w:t>
            </w:r>
          </w:p>
        </w:tc>
        <w:tc>
          <w:tcPr>
            <w:tcW w:w="0" w:type="auto"/>
            <w:shd w:val="clear" w:color="auto" w:fill="auto"/>
          </w:tcPr>
          <w:p w14:paraId="04FD91E3" w14:textId="77777777" w:rsidR="006D2947" w:rsidRPr="0050145A" w:rsidRDefault="006D2947" w:rsidP="0011038A">
            <w:pPr>
              <w:pStyle w:val="TblTextCenter"/>
              <w:rPr>
                <w:rFonts w:ascii="Arial" w:hAnsi="Arial" w:cs="Arial"/>
                <w:lang w:val="en-AU"/>
              </w:rPr>
            </w:pPr>
            <w:r w:rsidRPr="0050145A">
              <w:rPr>
                <w:rFonts w:ascii="Arial" w:hAnsi="Arial" w:cs="Arial"/>
                <w:lang w:val="en-AU"/>
              </w:rPr>
              <w:t>4.8%</w:t>
            </w:r>
          </w:p>
        </w:tc>
        <w:tc>
          <w:tcPr>
            <w:tcW w:w="3056" w:type="dxa"/>
            <w:shd w:val="clear" w:color="auto" w:fill="auto"/>
          </w:tcPr>
          <w:p w14:paraId="0ED266E4" w14:textId="77777777" w:rsidR="006D2947" w:rsidRPr="0050145A" w:rsidRDefault="006D2947" w:rsidP="0011038A">
            <w:pPr>
              <w:pStyle w:val="TblTextCenter"/>
              <w:rPr>
                <w:rFonts w:ascii="Arial" w:hAnsi="Arial" w:cs="Arial"/>
                <w:lang w:val="en-AU"/>
              </w:rPr>
            </w:pPr>
            <w:r w:rsidRPr="0050145A">
              <w:rPr>
                <w:rFonts w:ascii="Arial" w:hAnsi="Arial" w:cs="Arial"/>
                <w:lang w:val="en-AU"/>
              </w:rPr>
              <w:t>36.6%</w:t>
            </w:r>
          </w:p>
        </w:tc>
      </w:tr>
      <w:tr w:rsidR="0050145A" w:rsidRPr="0050145A" w14:paraId="05BFEEBD" w14:textId="77777777" w:rsidTr="0011038A">
        <w:trPr>
          <w:cantSplit/>
          <w:jc w:val="center"/>
        </w:trPr>
        <w:tc>
          <w:tcPr>
            <w:tcW w:w="0" w:type="auto"/>
            <w:shd w:val="clear" w:color="auto" w:fill="auto"/>
          </w:tcPr>
          <w:p w14:paraId="05817C42"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BSA LS mean % change from baseline</w:t>
            </w:r>
          </w:p>
          <w:p w14:paraId="5388A194" w14:textId="77777777" w:rsidR="006D2947" w:rsidRPr="0050145A" w:rsidRDefault="006D2947" w:rsidP="007A7D95">
            <w:pPr>
              <w:pStyle w:val="TblTextCenter"/>
              <w:jc w:val="left"/>
              <w:rPr>
                <w:rFonts w:ascii="Arial" w:hAnsi="Arial" w:cs="Arial"/>
                <w:lang w:val="en-AU"/>
              </w:rPr>
            </w:pPr>
            <w:r w:rsidRPr="0050145A">
              <w:rPr>
                <w:rFonts w:ascii="Arial" w:hAnsi="Arial" w:cs="Arial"/>
                <w:lang w:val="en-AU"/>
              </w:rPr>
              <w:t>(+/- SE)</w:t>
            </w:r>
          </w:p>
        </w:tc>
        <w:tc>
          <w:tcPr>
            <w:tcW w:w="0" w:type="auto"/>
            <w:shd w:val="clear" w:color="auto" w:fill="auto"/>
          </w:tcPr>
          <w:p w14:paraId="3BAB8E0C" w14:textId="77777777" w:rsidR="006D2947" w:rsidRPr="0050145A" w:rsidRDefault="006D2947" w:rsidP="0011038A">
            <w:pPr>
              <w:pStyle w:val="TblTextCenter"/>
              <w:rPr>
                <w:rFonts w:ascii="Arial" w:hAnsi="Arial" w:cs="Arial"/>
                <w:lang w:val="en-AU"/>
              </w:rPr>
            </w:pPr>
            <w:r w:rsidRPr="0050145A">
              <w:rPr>
                <w:rFonts w:ascii="Arial" w:hAnsi="Arial" w:cs="Arial"/>
                <w:lang w:val="en-AU"/>
              </w:rPr>
              <w:t>-11.7%</w:t>
            </w:r>
          </w:p>
          <w:p w14:paraId="3F752FB0" w14:textId="77777777" w:rsidR="006D2947" w:rsidRPr="0050145A" w:rsidRDefault="006D2947" w:rsidP="0011038A">
            <w:pPr>
              <w:pStyle w:val="TblTextCenter"/>
              <w:rPr>
                <w:rFonts w:ascii="Arial" w:hAnsi="Arial" w:cs="Arial"/>
                <w:lang w:val="en-AU"/>
              </w:rPr>
            </w:pPr>
            <w:r w:rsidRPr="0050145A">
              <w:rPr>
                <w:rFonts w:ascii="Arial" w:hAnsi="Arial" w:cs="Arial"/>
                <w:lang w:val="en-AU"/>
              </w:rPr>
              <w:t>(2.72)</w:t>
            </w:r>
          </w:p>
        </w:tc>
        <w:tc>
          <w:tcPr>
            <w:tcW w:w="3056" w:type="dxa"/>
            <w:shd w:val="clear" w:color="auto" w:fill="auto"/>
          </w:tcPr>
          <w:p w14:paraId="0DB337CD" w14:textId="77777777" w:rsidR="006D2947" w:rsidRPr="0050145A" w:rsidRDefault="006D2947" w:rsidP="0011038A">
            <w:pPr>
              <w:pStyle w:val="TblTextCenter"/>
              <w:rPr>
                <w:rFonts w:ascii="Arial" w:hAnsi="Arial" w:cs="Arial"/>
                <w:lang w:val="en-AU"/>
              </w:rPr>
            </w:pPr>
            <w:r w:rsidRPr="0050145A">
              <w:rPr>
                <w:rFonts w:ascii="Arial" w:hAnsi="Arial" w:cs="Arial"/>
                <w:lang w:val="en-AU"/>
              </w:rPr>
              <w:t>-30.1%</w:t>
            </w:r>
          </w:p>
          <w:p w14:paraId="2F70642D" w14:textId="77777777" w:rsidR="006D2947" w:rsidRPr="0050145A" w:rsidRDefault="006D2947" w:rsidP="0011038A">
            <w:pPr>
              <w:pStyle w:val="TblTextCenter"/>
              <w:rPr>
                <w:rFonts w:ascii="Arial" w:hAnsi="Arial" w:cs="Arial"/>
                <w:lang w:val="en-AU"/>
              </w:rPr>
            </w:pPr>
            <w:r w:rsidRPr="0050145A">
              <w:rPr>
                <w:rFonts w:ascii="Arial" w:hAnsi="Arial" w:cs="Arial"/>
                <w:lang w:val="en-AU"/>
              </w:rPr>
              <w:t>(2.34)</w:t>
            </w:r>
          </w:p>
        </w:tc>
      </w:tr>
      <w:tr w:rsidR="0050145A" w:rsidRPr="0050145A" w14:paraId="77B1C042" w14:textId="77777777" w:rsidTr="006D2947">
        <w:trPr>
          <w:cantSplit/>
          <w:jc w:val="center"/>
        </w:trPr>
        <w:tc>
          <w:tcPr>
            <w:tcW w:w="9026" w:type="dxa"/>
            <w:gridSpan w:val="3"/>
            <w:tcBorders>
              <w:top w:val="single" w:sz="12" w:space="0" w:color="auto"/>
            </w:tcBorders>
            <w:shd w:val="clear" w:color="auto" w:fill="auto"/>
          </w:tcPr>
          <w:p w14:paraId="2F367AB7" w14:textId="71A99C82" w:rsidR="006D2947" w:rsidRPr="0050145A" w:rsidRDefault="006D2947" w:rsidP="0011038A">
            <w:pPr>
              <w:pStyle w:val="TblFigFootnote"/>
              <w:rPr>
                <w:rFonts w:cs="Arial"/>
                <w:lang w:val="en-AU"/>
              </w:rPr>
            </w:pPr>
            <w:r w:rsidRPr="0050145A">
              <w:rPr>
                <w:rFonts w:cs="Arial"/>
                <w:vertAlign w:val="superscript"/>
                <w:lang w:val="en-AU"/>
              </w:rPr>
              <w:lastRenderedPageBreak/>
              <w:t>a</w:t>
            </w:r>
            <w:r w:rsidRPr="0050145A">
              <w:rPr>
                <w:rFonts w:cs="Arial"/>
                <w:lang w:val="en-AU"/>
              </w:rPr>
              <w:t xml:space="preserve"> Full Analysis Set (FAS) includes all patients randomi</w:t>
            </w:r>
            <w:r w:rsidR="002B505B" w:rsidRPr="00F64F0A">
              <w:rPr>
                <w:rFonts w:cs="Arial"/>
                <w:lang w:val="en-AU"/>
              </w:rPr>
              <w:t>s</w:t>
            </w:r>
            <w:r w:rsidRPr="0050145A">
              <w:rPr>
                <w:rFonts w:cs="Arial"/>
                <w:lang w:val="en-AU"/>
              </w:rPr>
              <w:t>ed.</w:t>
            </w:r>
          </w:p>
          <w:p w14:paraId="580E7ED8" w14:textId="77777777" w:rsidR="006D2947" w:rsidRPr="0050145A" w:rsidRDefault="006D2947" w:rsidP="0011038A">
            <w:pPr>
              <w:pStyle w:val="TblFigFootnote"/>
              <w:rPr>
                <w:rFonts w:cs="Arial"/>
                <w:lang w:val="en-AU"/>
              </w:rPr>
            </w:pPr>
            <w:r w:rsidRPr="0050145A">
              <w:rPr>
                <w:rFonts w:cs="Arial"/>
                <w:vertAlign w:val="superscript"/>
                <w:lang w:val="en-AU"/>
              </w:rPr>
              <w:t>b</w:t>
            </w:r>
            <w:r w:rsidRPr="0050145A">
              <w:rPr>
                <w:rFonts w:cs="Arial"/>
                <w:lang w:val="en-AU"/>
              </w:rPr>
              <w:t xml:space="preserve"> Responder was defined as a subject with IGA 0 or 1 (“clear” or “almost clear”) with a reduction of ≥2 points on a 0-4 IGA scale.</w:t>
            </w:r>
          </w:p>
          <w:p w14:paraId="3F24FF6F" w14:textId="77777777" w:rsidR="006D2947" w:rsidRPr="0050145A" w:rsidRDefault="006D2947" w:rsidP="0011038A">
            <w:pPr>
              <w:pStyle w:val="TblFigFootnote"/>
              <w:rPr>
                <w:rFonts w:cs="Arial"/>
                <w:lang w:val="en-AU"/>
              </w:rPr>
            </w:pPr>
            <w:r w:rsidRPr="0050145A">
              <w:rPr>
                <w:rFonts w:cs="Arial"/>
                <w:vertAlign w:val="superscript"/>
                <w:lang w:val="en-AU"/>
              </w:rPr>
              <w:t xml:space="preserve">c </w:t>
            </w:r>
            <w:r w:rsidRPr="0050145A">
              <w:rPr>
                <w:rFonts w:cs="Arial"/>
                <w:lang w:val="en-AU"/>
              </w:rPr>
              <w:t xml:space="preserve">Patients who received rescue treatment or with missing data were considered as non-responders (58.8% and 20.7% in the placebo and </w:t>
            </w:r>
            <w:proofErr w:type="spellStart"/>
            <w:r w:rsidRPr="0050145A">
              <w:rPr>
                <w:rFonts w:cs="Arial"/>
                <w:lang w:val="en-AU"/>
              </w:rPr>
              <w:t>dupixent</w:t>
            </w:r>
            <w:proofErr w:type="spellEnd"/>
            <w:r w:rsidRPr="0050145A">
              <w:rPr>
                <w:rFonts w:cs="Arial"/>
                <w:lang w:val="en-AU"/>
              </w:rPr>
              <w:t xml:space="preserve"> arms, respectively. </w:t>
            </w:r>
          </w:p>
          <w:p w14:paraId="09680C6F" w14:textId="77777777" w:rsidR="006D2947" w:rsidRPr="0050145A" w:rsidRDefault="006D2947" w:rsidP="0011038A">
            <w:pPr>
              <w:pStyle w:val="TblFigFootnote"/>
              <w:rPr>
                <w:rFonts w:ascii="Arial" w:hAnsi="Arial" w:cs="Arial"/>
                <w:lang w:val="en-AU"/>
              </w:rPr>
            </w:pPr>
            <w:r w:rsidRPr="0050145A">
              <w:rPr>
                <w:rFonts w:cs="Arial"/>
                <w:lang w:val="en-AU"/>
              </w:rPr>
              <w:t>* All p-values &lt;0.0001</w:t>
            </w:r>
          </w:p>
        </w:tc>
      </w:tr>
    </w:tbl>
    <w:p w14:paraId="498EB72B" w14:textId="4CC40E7D" w:rsidR="00780900" w:rsidRPr="0050145A" w:rsidRDefault="006D2947" w:rsidP="00CE00B3">
      <w:pPr>
        <w:rPr>
          <w:color w:val="auto"/>
        </w:rPr>
      </w:pPr>
      <w:r w:rsidRPr="0050145A">
        <w:rPr>
          <w:color w:val="auto"/>
        </w:rPr>
        <w:t xml:space="preserve">A larger percentage of patients </w:t>
      </w:r>
      <w:proofErr w:type="spellStart"/>
      <w:r w:rsidRPr="0050145A">
        <w:rPr>
          <w:color w:val="auto"/>
        </w:rPr>
        <w:t>randomised</w:t>
      </w:r>
      <w:proofErr w:type="spellEnd"/>
      <w:r w:rsidRPr="0050145A">
        <w:rPr>
          <w:color w:val="auto"/>
        </w:rPr>
        <w:t xml:space="preserve"> to placebo needed rescue treatment (topical corticosteroids, systemic corticosteroids, or systemic non-steroidal immunosuppressants) as compared to the Dupixent group (58.8% and 20.7%, respectively).</w:t>
      </w:r>
    </w:p>
    <w:p w14:paraId="69691FB5" w14:textId="32A9E1D0" w:rsidR="006D2947" w:rsidRPr="0050145A" w:rsidRDefault="006D2947" w:rsidP="006D2947">
      <w:pPr>
        <w:rPr>
          <w:color w:val="0000FF"/>
        </w:rPr>
      </w:pPr>
      <w:r w:rsidRPr="0050145A">
        <w:rPr>
          <w:color w:val="auto"/>
        </w:rPr>
        <w:t xml:space="preserve">A significantly greater proportion of patients </w:t>
      </w:r>
      <w:proofErr w:type="spellStart"/>
      <w:r w:rsidRPr="0050145A">
        <w:rPr>
          <w:color w:val="auto"/>
        </w:rPr>
        <w:t>randomised</w:t>
      </w:r>
      <w:proofErr w:type="spellEnd"/>
      <w:r w:rsidRPr="0050145A">
        <w:rPr>
          <w:color w:val="auto"/>
        </w:rPr>
        <w:t xml:space="preserve"> to Dupixent achieved a rapid improvement in the pruritus NRS compared to placebo (defined as &gt;4-point improvement as early as week 4; nominal p&lt;0.001) and the proportion of patients responding on the pruritus NRS continued to increase through the treatment period (see </w:t>
      </w:r>
      <w:r w:rsidR="00C8795E" w:rsidRPr="0050145A">
        <w:rPr>
          <w:color w:val="0000FF"/>
        </w:rPr>
        <w:fldChar w:fldCharType="begin"/>
      </w:r>
      <w:r w:rsidR="00C8795E" w:rsidRPr="0050145A">
        <w:rPr>
          <w:color w:val="0000FF"/>
        </w:rPr>
        <w:instrText xml:space="preserve"> REF _Ref10721296 \h  \* MERGEFORMAT </w:instrText>
      </w:r>
      <w:r w:rsidR="00C8795E" w:rsidRPr="0050145A">
        <w:rPr>
          <w:color w:val="0000FF"/>
        </w:rPr>
      </w:r>
      <w:r w:rsidR="00C8795E" w:rsidRPr="0050145A">
        <w:rPr>
          <w:color w:val="0000FF"/>
        </w:rPr>
        <w:fldChar w:fldCharType="separate"/>
      </w:r>
      <w:r w:rsidR="00E123A5" w:rsidRPr="00E123A5">
        <w:rPr>
          <w:color w:val="0000FF"/>
        </w:rPr>
        <w:t>Figure 5</w:t>
      </w:r>
      <w:r w:rsidR="00C8795E" w:rsidRPr="0050145A">
        <w:rPr>
          <w:color w:val="0000FF"/>
        </w:rPr>
        <w:fldChar w:fldCharType="end"/>
      </w:r>
      <w:r w:rsidRPr="0050145A">
        <w:rPr>
          <w:color w:val="auto"/>
        </w:rPr>
        <w:t>). The improvement in pruritus NRS occurred in conjunction with the improvement of objective signs of atopic dermatitis</w:t>
      </w:r>
      <w:r w:rsidRPr="0050145A">
        <w:rPr>
          <w:color w:val="0000FF"/>
        </w:rPr>
        <w:t>.</w:t>
      </w:r>
    </w:p>
    <w:p w14:paraId="38B8A21C" w14:textId="599CC901" w:rsidR="006D2947" w:rsidRPr="0050145A" w:rsidRDefault="006D2947" w:rsidP="006D2947">
      <w:pPr>
        <w:pStyle w:val="Caption"/>
        <w:rPr>
          <w:lang w:val="en-AU"/>
        </w:rPr>
      </w:pPr>
      <w:bookmarkStart w:id="25" w:name="_Ref10721296"/>
      <w:r w:rsidRPr="0050145A">
        <w:rPr>
          <w:lang w:val="en-AU"/>
        </w:rPr>
        <w:t>Figure </w:t>
      </w:r>
      <w:r w:rsidRPr="0050145A">
        <w:rPr>
          <w:lang w:val="en-AU"/>
        </w:rPr>
        <w:fldChar w:fldCharType="begin"/>
      </w:r>
      <w:r w:rsidRPr="0050145A">
        <w:rPr>
          <w:lang w:val="en-AU"/>
        </w:rPr>
        <w:instrText xml:space="preserve"> SEQ Figure \* ARABIC </w:instrText>
      </w:r>
      <w:r w:rsidRPr="0050145A">
        <w:rPr>
          <w:lang w:val="en-AU"/>
        </w:rPr>
        <w:fldChar w:fldCharType="separate"/>
      </w:r>
      <w:r w:rsidR="00E123A5">
        <w:rPr>
          <w:noProof/>
          <w:lang w:val="en-AU"/>
        </w:rPr>
        <w:t>5</w:t>
      </w:r>
      <w:r w:rsidRPr="0050145A">
        <w:rPr>
          <w:lang w:val="en-AU"/>
        </w:rPr>
        <w:fldChar w:fldCharType="end"/>
      </w:r>
      <w:bookmarkEnd w:id="25"/>
      <w:r w:rsidRPr="0050145A">
        <w:rPr>
          <w:lang w:val="en-AU"/>
        </w:rPr>
        <w:t xml:space="preserve"> ­ Proportion of adolescent patients with ≥4-point improvement on the pruritus NRS in AD-1526 </w:t>
      </w:r>
      <w:proofErr w:type="spellStart"/>
      <w:r w:rsidRPr="0050145A">
        <w:rPr>
          <w:lang w:val="en-AU"/>
        </w:rPr>
        <w:t>study</w:t>
      </w:r>
      <w:r w:rsidRPr="0050145A">
        <w:rPr>
          <w:vertAlign w:val="superscript"/>
          <w:lang w:val="en-AU"/>
        </w:rPr>
        <w:t>a</w:t>
      </w:r>
      <w:proofErr w:type="spellEnd"/>
      <w:r w:rsidRPr="0050145A">
        <w:rPr>
          <w:lang w:val="en-AU"/>
        </w:rPr>
        <w:t xml:space="preserve"> (FAS)</w:t>
      </w:r>
      <w:r w:rsidRPr="0050145A">
        <w:rPr>
          <w:vertAlign w:val="superscript"/>
          <w:lang w:val="en-AU"/>
        </w:rPr>
        <w:t>b</w:t>
      </w:r>
    </w:p>
    <w:p w14:paraId="1E2FEAF5" w14:textId="75EF1291" w:rsidR="006D2947" w:rsidRPr="00E26ADF" w:rsidRDefault="006D2947" w:rsidP="006D2947">
      <w:pPr>
        <w:jc w:val="center"/>
      </w:pPr>
      <w:r w:rsidRPr="00E26ADF">
        <w:rPr>
          <w:rFonts w:ascii="Arial" w:hAnsi="Arial" w:cs="Arial"/>
          <w:noProof/>
          <w:lang w:eastAsia="en-AU"/>
        </w:rPr>
        <w:drawing>
          <wp:inline distT="0" distB="0" distL="0" distR="0" wp14:anchorId="2889DAB2" wp14:editId="1CF4C9D1">
            <wp:extent cx="3552190" cy="3107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190" cy="3107055"/>
                    </a:xfrm>
                    <a:prstGeom prst="rect">
                      <a:avLst/>
                    </a:prstGeom>
                    <a:noFill/>
                    <a:ln>
                      <a:noFill/>
                    </a:ln>
                  </pic:spPr>
                </pic:pic>
              </a:graphicData>
            </a:graphic>
          </wp:inline>
        </w:drawing>
      </w:r>
    </w:p>
    <w:p w14:paraId="41F86B9F" w14:textId="77777777" w:rsidR="006D2947" w:rsidRPr="0050145A" w:rsidRDefault="006D2947" w:rsidP="006D2947">
      <w:pPr>
        <w:pStyle w:val="Default"/>
        <w:rPr>
          <w:rFonts w:ascii="Arial Narrow" w:eastAsia="MS Gothic" w:hAnsi="Arial Narrow" w:cs="Arial"/>
          <w:color w:val="auto"/>
          <w:sz w:val="18"/>
          <w:szCs w:val="20"/>
        </w:rPr>
      </w:pPr>
      <w:proofErr w:type="spellStart"/>
      <w:r w:rsidRPr="0050145A">
        <w:rPr>
          <w:rFonts w:ascii="Arial Narrow" w:eastAsia="MS Gothic" w:hAnsi="Arial Narrow" w:cs="Arial"/>
          <w:color w:val="auto"/>
          <w:sz w:val="18"/>
          <w:szCs w:val="20"/>
          <w:vertAlign w:val="superscript"/>
        </w:rPr>
        <w:t>a</w:t>
      </w:r>
      <w:proofErr w:type="spellEnd"/>
      <w:r w:rsidRPr="0050145A">
        <w:rPr>
          <w:rFonts w:ascii="Arial Narrow" w:eastAsia="MS Gothic" w:hAnsi="Arial Narrow" w:cs="Arial"/>
          <w:color w:val="auto"/>
          <w:sz w:val="18"/>
          <w:szCs w:val="20"/>
        </w:rPr>
        <w:t xml:space="preserve"> </w:t>
      </w:r>
      <w:proofErr w:type="gramStart"/>
      <w:r w:rsidRPr="0050145A">
        <w:rPr>
          <w:rFonts w:ascii="Arial Narrow" w:eastAsia="MS Gothic" w:hAnsi="Arial Narrow" w:cs="Arial"/>
          <w:color w:val="auto"/>
          <w:sz w:val="18"/>
          <w:szCs w:val="20"/>
        </w:rPr>
        <w:t>In</w:t>
      </w:r>
      <w:proofErr w:type="gramEnd"/>
      <w:r w:rsidRPr="0050145A">
        <w:rPr>
          <w:rFonts w:ascii="Arial Narrow" w:eastAsia="MS Gothic" w:hAnsi="Arial Narrow" w:cs="Arial"/>
          <w:color w:val="auto"/>
          <w:sz w:val="18"/>
          <w:szCs w:val="20"/>
        </w:rPr>
        <w:t xml:space="preserve"> the primary analyses of the efficacy endpoints, subjects who received rescue treatment or with missing data were considered non-responders. </w:t>
      </w:r>
    </w:p>
    <w:p w14:paraId="72457C1D" w14:textId="77777777" w:rsidR="006D2947" w:rsidRPr="0050145A" w:rsidRDefault="006D2947" w:rsidP="006D2947">
      <w:pPr>
        <w:pStyle w:val="Default"/>
        <w:rPr>
          <w:rFonts w:ascii="Arial Narrow" w:eastAsia="MS Gothic" w:hAnsi="Arial Narrow" w:cs="Arial"/>
          <w:color w:val="auto"/>
          <w:sz w:val="18"/>
          <w:szCs w:val="20"/>
        </w:rPr>
      </w:pPr>
      <w:r w:rsidRPr="0050145A">
        <w:rPr>
          <w:rFonts w:ascii="Arial Narrow" w:eastAsia="MS Gothic" w:hAnsi="Arial Narrow" w:cs="Arial"/>
          <w:color w:val="auto"/>
          <w:sz w:val="18"/>
          <w:szCs w:val="20"/>
          <w:vertAlign w:val="superscript"/>
        </w:rPr>
        <w:t xml:space="preserve">b </w:t>
      </w:r>
      <w:r w:rsidRPr="0050145A">
        <w:rPr>
          <w:rFonts w:ascii="Arial Narrow" w:eastAsia="MS Gothic" w:hAnsi="Arial Narrow" w:cs="Arial"/>
          <w:color w:val="auto"/>
          <w:sz w:val="18"/>
          <w:szCs w:val="20"/>
        </w:rPr>
        <w:t>Full Analysis Set (FAS) includes all subjects randomised.</w:t>
      </w:r>
    </w:p>
    <w:p w14:paraId="0BDCD4CA" w14:textId="12313295" w:rsidR="006D2947" w:rsidRDefault="006D2947" w:rsidP="006D2947">
      <w:pPr>
        <w:rPr>
          <w:color w:val="auto"/>
        </w:rPr>
      </w:pPr>
      <w:r w:rsidRPr="0050145A">
        <w:rPr>
          <w:color w:val="auto"/>
        </w:rPr>
        <w:t>The long-term efficacy of Dupixent in adolescent patients with moderate-to-severe AD who had participated in previous clinical trials of Dupixent was assessed in open-label extension study (AD-1434). Efficacy data from this study suggests that clinical benefit provided at week 16 was sustained through week 52.</w:t>
      </w:r>
    </w:p>
    <w:p w14:paraId="046E46D0" w14:textId="652CA41D" w:rsidR="002703B9" w:rsidRPr="00F64F0A" w:rsidRDefault="002703B9" w:rsidP="002703B9">
      <w:pPr>
        <w:pStyle w:val="Heading4"/>
        <w:numPr>
          <w:ilvl w:val="0"/>
          <w:numId w:val="0"/>
        </w:numPr>
        <w:ind w:left="862" w:hanging="862"/>
      </w:pPr>
      <w:r w:rsidRPr="00F64F0A">
        <w:lastRenderedPageBreak/>
        <w:t>Paediatric</w:t>
      </w:r>
      <w:r w:rsidR="00A35A6D" w:rsidRPr="00F64F0A">
        <w:t xml:space="preserve"> </w:t>
      </w:r>
      <w:r w:rsidRPr="00F64F0A">
        <w:t>Atopic Dermatitis (6 to 11 years of age)</w:t>
      </w:r>
    </w:p>
    <w:p w14:paraId="731091E0" w14:textId="17B7642F" w:rsidR="002A4B3F" w:rsidRPr="00F64F0A" w:rsidRDefault="002703B9" w:rsidP="002703B9">
      <w:pPr>
        <w:jc w:val="both"/>
        <w:rPr>
          <w:color w:val="auto"/>
        </w:rPr>
      </w:pPr>
      <w:r w:rsidRPr="00F64F0A">
        <w:rPr>
          <w:color w:val="auto"/>
        </w:rPr>
        <w:t>The efficacy and safety of Dupixent in p</w:t>
      </w:r>
      <w:r w:rsidR="00E54EBF" w:rsidRPr="00F64F0A">
        <w:rPr>
          <w:color w:val="auto"/>
        </w:rPr>
        <w:t>a</w:t>
      </w:r>
      <w:r w:rsidRPr="00F64F0A">
        <w:rPr>
          <w:color w:val="auto"/>
        </w:rPr>
        <w:t xml:space="preserve">ediatric patients concomitantly with TCS was evaluated in a </w:t>
      </w:r>
      <w:proofErr w:type="spellStart"/>
      <w:r w:rsidRPr="00F64F0A">
        <w:rPr>
          <w:color w:val="auto"/>
        </w:rPr>
        <w:t>multicent</w:t>
      </w:r>
      <w:r w:rsidR="004A3827" w:rsidRPr="00F64F0A">
        <w:rPr>
          <w:color w:val="auto"/>
        </w:rPr>
        <w:t>re</w:t>
      </w:r>
      <w:proofErr w:type="spellEnd"/>
      <w:r w:rsidRPr="00F64F0A">
        <w:rPr>
          <w:color w:val="auto"/>
        </w:rPr>
        <w:t xml:space="preserve">, </w:t>
      </w:r>
      <w:proofErr w:type="spellStart"/>
      <w:r w:rsidRPr="00F64F0A">
        <w:rPr>
          <w:color w:val="auto"/>
        </w:rPr>
        <w:t>randomi</w:t>
      </w:r>
      <w:r w:rsidR="00E54EBF" w:rsidRPr="00F64F0A">
        <w:rPr>
          <w:color w:val="auto"/>
        </w:rPr>
        <w:t>s</w:t>
      </w:r>
      <w:r w:rsidRPr="00F64F0A">
        <w:rPr>
          <w:color w:val="auto"/>
        </w:rPr>
        <w:t>ed</w:t>
      </w:r>
      <w:proofErr w:type="spellEnd"/>
      <w:r w:rsidRPr="00F64F0A">
        <w:rPr>
          <w:color w:val="auto"/>
        </w:rPr>
        <w:t>, double-blind, placebo-controlled study (AD-1652) in 367 subjects 6 to 11 years of age, with AD defined by an IGA score of 4 (scale of 0 to 4), an EASI score ≥21 (scale of 0 to 72), and a minimum BSA involvement of ≥15%. Eligible patients enrolled into this trial had previous inadequate response to topical medication. Enrollment was stratified by baseline weight (&lt;30 kg; ≥30 kg).</w:t>
      </w:r>
    </w:p>
    <w:p w14:paraId="5CD2F24C" w14:textId="24B12E89" w:rsidR="002703B9" w:rsidRPr="00F64F0A" w:rsidRDefault="002703B9" w:rsidP="002703B9">
      <w:pPr>
        <w:jc w:val="both"/>
        <w:rPr>
          <w:color w:val="auto"/>
        </w:rPr>
      </w:pPr>
      <w:r w:rsidRPr="00F64F0A">
        <w:rPr>
          <w:color w:val="auto"/>
        </w:rPr>
        <w:t>Patients in the Dupixent Q2W + TCS group with baseline weight of &lt;30 kg received an initial dose of 200 mg on Day 1, followed by 100 mg Q2W from Week 2 to Week 14, and patients with baseline weight of ≥30 kg received an initial dose of 400 mg on Day 1, followed by 200 mg Q2W from week 2 to week 14. Patients in the Dupixent Q4W + TCS group received an initial dose of 600 mg on Day 1, followed by 300 mg Q4W from week 4 to week 12, regardless of weight. Patients were permitted to receive rescue treatment at the discretion of the investigator. Patients who received rescue treatment were considered non-responders.</w:t>
      </w:r>
    </w:p>
    <w:p w14:paraId="51FCB22A" w14:textId="420A8D61" w:rsidR="002703B9" w:rsidRPr="00F64F0A" w:rsidRDefault="002703B9" w:rsidP="002703B9">
      <w:pPr>
        <w:jc w:val="both"/>
        <w:rPr>
          <w:color w:val="0000FF"/>
        </w:rPr>
      </w:pPr>
      <w:r w:rsidRPr="00F64F0A">
        <w:rPr>
          <w:color w:val="auto"/>
        </w:rPr>
        <w:t>In this study, the mean age was 8.5 years, the median weight was 29.8 kg, 50.1% of patients were female, 69.2% were White, 16.9% were Black, and 7.6% were Asian.  At baseline, the mean BSA involvement was 57.6%, and 16.9% had received prior systemic non-steroidal immunosuppressants.</w:t>
      </w:r>
      <w:r w:rsidR="00486860" w:rsidRPr="00F64F0A">
        <w:rPr>
          <w:color w:val="auto"/>
        </w:rPr>
        <w:t xml:space="preserve"> </w:t>
      </w:r>
      <w:r w:rsidRPr="00F64F0A">
        <w:rPr>
          <w:color w:val="auto"/>
        </w:rPr>
        <w:t>Also, at baseline the mean EASI score was 37.9, and the weekly average of daily worst itch score was 7.8 on a scale of 0-10, the baseline mean SCORAD score was 73.6, the baseline POEM score was 20.9, and the baseline mean CDLQI was 15.1. Overall, 91.7% of subjects had at least one co-morbid allergic condition; 64.4% had food allergies, 62.7% had other allergies, 60.2% had allergic rhinitis, and 46.7% had asthma.</w:t>
      </w:r>
    </w:p>
    <w:p w14:paraId="3F948440" w14:textId="59767B6B" w:rsidR="008266FA" w:rsidRPr="00F64F0A" w:rsidRDefault="002703B9" w:rsidP="002A4B3F">
      <w:pPr>
        <w:jc w:val="both"/>
        <w:rPr>
          <w:color w:val="auto"/>
        </w:rPr>
      </w:pPr>
      <w:r w:rsidRPr="00F64F0A">
        <w:rPr>
          <w:color w:val="auto"/>
        </w:rPr>
        <w:t>The primary endpoint was the proportion of patients with an IGA 0 (clear) or 1 (almost clear) at week 16. Other evaluated outcomes included the proportion of patients with EASI-75 or EASI-90 (improvement of at least 75% or 90% in EASI from baseline, respectively), percent change in EASI score from baseline to week 16, and reduction in itch as measured by the peak pruritus NRS (≥4-point improvement).  Additional secondary endpoints included mean change from baseline to week 16 in the POEM and CDLQI scores</w:t>
      </w:r>
      <w:r w:rsidR="002A4B3F" w:rsidRPr="00F64F0A">
        <w:rPr>
          <w:color w:val="auto"/>
        </w:rPr>
        <w:t>.</w:t>
      </w:r>
    </w:p>
    <w:p w14:paraId="71F159A0" w14:textId="5DE4940B" w:rsidR="002703B9" w:rsidRPr="00F64F0A" w:rsidRDefault="002703B9" w:rsidP="002703B9">
      <w:pPr>
        <w:pStyle w:val="Heading5"/>
        <w:numPr>
          <w:ilvl w:val="0"/>
          <w:numId w:val="0"/>
        </w:numPr>
        <w:ind w:left="1009" w:hanging="1009"/>
      </w:pPr>
      <w:r w:rsidRPr="00F64F0A">
        <w:t>Clinical Response</w:t>
      </w:r>
    </w:p>
    <w:p w14:paraId="251053DF" w14:textId="31A81942" w:rsidR="002703B9" w:rsidRPr="00F64F0A" w:rsidRDefault="00BA5A6A" w:rsidP="002703B9">
      <w:pPr>
        <w:rPr>
          <w:color w:val="0000FF"/>
        </w:rPr>
      </w:pPr>
      <w:r w:rsidRPr="00F64F0A">
        <w:rPr>
          <w:color w:val="0000FF"/>
        </w:rPr>
        <w:fldChar w:fldCharType="begin"/>
      </w:r>
      <w:r w:rsidRPr="00F64F0A">
        <w:rPr>
          <w:color w:val="0000FF"/>
        </w:rPr>
        <w:instrText xml:space="preserve"> REF _Ref41520860 \h  \* MERGEFORMAT </w:instrText>
      </w:r>
      <w:r w:rsidRPr="00F64F0A">
        <w:rPr>
          <w:color w:val="0000FF"/>
        </w:rPr>
      </w:r>
      <w:r w:rsidRPr="00F64F0A">
        <w:rPr>
          <w:color w:val="0000FF"/>
        </w:rPr>
        <w:fldChar w:fldCharType="separate"/>
      </w:r>
      <w:r w:rsidR="00E123A5" w:rsidRPr="00E123A5">
        <w:rPr>
          <w:color w:val="0000FF"/>
        </w:rPr>
        <w:t>Table 12</w:t>
      </w:r>
      <w:r w:rsidRPr="00F64F0A">
        <w:rPr>
          <w:color w:val="0000FF"/>
        </w:rPr>
        <w:fldChar w:fldCharType="end"/>
      </w:r>
      <w:r w:rsidR="002549AD" w:rsidRPr="00F64F0A">
        <w:rPr>
          <w:color w:val="0000FF"/>
        </w:rPr>
        <w:t xml:space="preserve"> </w:t>
      </w:r>
      <w:r w:rsidR="002703B9" w:rsidRPr="00F64F0A">
        <w:rPr>
          <w:color w:val="auto"/>
        </w:rPr>
        <w:t>presents the results by baseline weight strata for the approved dose regimens.</w:t>
      </w:r>
    </w:p>
    <w:p w14:paraId="29A2F80E" w14:textId="25177AB5" w:rsidR="002703B9" w:rsidRPr="00F64F0A" w:rsidRDefault="002703B9" w:rsidP="002703B9">
      <w:pPr>
        <w:pStyle w:val="Caption"/>
        <w:rPr>
          <w:vertAlign w:val="superscript"/>
        </w:rPr>
      </w:pPr>
      <w:bookmarkStart w:id="26" w:name="_Ref41520860"/>
      <w:r w:rsidRPr="00F64F0A">
        <w:t>Table </w:t>
      </w:r>
      <w:r w:rsidRPr="00F64F0A">
        <w:fldChar w:fldCharType="begin"/>
      </w:r>
      <w:r w:rsidRPr="00F64F0A">
        <w:instrText xml:space="preserve"> SEQ Table \* ARABIC </w:instrText>
      </w:r>
      <w:r w:rsidRPr="00F64F0A">
        <w:fldChar w:fldCharType="separate"/>
      </w:r>
      <w:r w:rsidR="00E123A5">
        <w:rPr>
          <w:noProof/>
        </w:rPr>
        <w:t>12</w:t>
      </w:r>
      <w:r w:rsidRPr="00F64F0A">
        <w:fldChar w:fldCharType="end"/>
      </w:r>
      <w:bookmarkEnd w:id="26"/>
      <w:r w:rsidRPr="00F64F0A">
        <w:t xml:space="preserve"> ­ Efficacy Results of </w:t>
      </w:r>
      <w:r w:rsidR="00BA5A6A" w:rsidRPr="00F64F0A">
        <w:t>Dupixent</w:t>
      </w:r>
      <w:r w:rsidRPr="00F64F0A">
        <w:t xml:space="preserve"> with Concomitant TCS in AD-1652 at Week 16 (FAS)</w:t>
      </w:r>
      <w:r w:rsidRPr="00F64F0A">
        <w:rPr>
          <w:vertAlign w:val="superscript"/>
        </w:rPr>
        <w:t>a</w:t>
      </w:r>
    </w:p>
    <w:tbl>
      <w:tblPr>
        <w:tblW w:w="0" w:type="auto"/>
        <w:jc w:val="center"/>
        <w:tblBorders>
          <w:top w:val="single" w:sz="2" w:space="0" w:color="000000"/>
        </w:tblBorders>
        <w:tblLook w:val="04A0" w:firstRow="1" w:lastRow="0" w:firstColumn="1" w:lastColumn="0" w:noHBand="0" w:noVBand="1"/>
      </w:tblPr>
      <w:tblGrid>
        <w:gridCol w:w="3767"/>
        <w:gridCol w:w="1416"/>
        <w:gridCol w:w="1449"/>
        <w:gridCol w:w="1411"/>
        <w:gridCol w:w="983"/>
      </w:tblGrid>
      <w:tr w:rsidR="00BA5A6A" w:rsidRPr="00F64F0A" w14:paraId="6B0E246D" w14:textId="77777777" w:rsidTr="00BA5A6A">
        <w:trPr>
          <w:cantSplit/>
          <w:trHeight w:val="881"/>
          <w:tblHeader/>
          <w:jc w:val="center"/>
        </w:trPr>
        <w:tc>
          <w:tcPr>
            <w:tcW w:w="0" w:type="auto"/>
            <w:vMerge w:val="restart"/>
            <w:tcBorders>
              <w:top w:val="single" w:sz="4" w:space="0" w:color="000000"/>
              <w:bottom w:val="single" w:sz="4" w:space="0" w:color="000000"/>
            </w:tcBorders>
            <w:shd w:val="clear" w:color="auto" w:fill="auto"/>
          </w:tcPr>
          <w:p w14:paraId="6001F5D6" w14:textId="77777777" w:rsidR="00BA5A6A" w:rsidRPr="00F64F0A" w:rsidRDefault="00BA5A6A" w:rsidP="00BA5A6A">
            <w:pPr>
              <w:pStyle w:val="TblHeadingCenter"/>
            </w:pPr>
            <w:bookmarkStart w:id="27" w:name="_Hlk24459530"/>
          </w:p>
        </w:tc>
        <w:tc>
          <w:tcPr>
            <w:tcW w:w="0" w:type="auto"/>
            <w:tcBorders>
              <w:top w:val="single" w:sz="4" w:space="0" w:color="000000"/>
              <w:bottom w:val="single" w:sz="4" w:space="0" w:color="000000"/>
            </w:tcBorders>
            <w:shd w:val="clear" w:color="auto" w:fill="auto"/>
          </w:tcPr>
          <w:p w14:paraId="4641066E" w14:textId="2893D239" w:rsidR="00BA5A6A" w:rsidRPr="00F64F0A" w:rsidRDefault="00BA5A6A" w:rsidP="00BA5A6A">
            <w:pPr>
              <w:pStyle w:val="TblHeadingCenter"/>
            </w:pPr>
            <w:r w:rsidRPr="00F64F0A">
              <w:t>Dupixent</w:t>
            </w:r>
          </w:p>
          <w:p w14:paraId="47A0952F" w14:textId="77777777" w:rsidR="00BA5A6A" w:rsidRPr="00F64F0A" w:rsidRDefault="00BA5A6A" w:rsidP="00BA5A6A">
            <w:pPr>
              <w:pStyle w:val="TblHeadingCenter"/>
            </w:pPr>
            <w:r w:rsidRPr="00F64F0A">
              <w:t>300 mg Q4W</w:t>
            </w:r>
            <w:r w:rsidRPr="00F64F0A">
              <w:rPr>
                <w:vertAlign w:val="superscript"/>
              </w:rPr>
              <w:t>d</w:t>
            </w:r>
          </w:p>
          <w:p w14:paraId="76880323" w14:textId="77777777" w:rsidR="00BA5A6A" w:rsidRPr="00F64F0A" w:rsidRDefault="00BA5A6A" w:rsidP="00BA5A6A">
            <w:pPr>
              <w:pStyle w:val="TblHeadingCenter"/>
            </w:pPr>
            <w:r w:rsidRPr="00F64F0A">
              <w:t>+ TCS</w:t>
            </w:r>
          </w:p>
        </w:tc>
        <w:tc>
          <w:tcPr>
            <w:tcW w:w="0" w:type="auto"/>
            <w:tcBorders>
              <w:top w:val="single" w:sz="4" w:space="0" w:color="000000"/>
              <w:bottom w:val="single" w:sz="4" w:space="0" w:color="000000"/>
            </w:tcBorders>
            <w:shd w:val="clear" w:color="auto" w:fill="auto"/>
          </w:tcPr>
          <w:p w14:paraId="5AED5877" w14:textId="77777777" w:rsidR="00BA5A6A" w:rsidRPr="00F64F0A" w:rsidRDefault="00BA5A6A" w:rsidP="00BA5A6A">
            <w:pPr>
              <w:pStyle w:val="TblHeadingCenter"/>
            </w:pPr>
            <w:r w:rsidRPr="00F64F0A">
              <w:t>Placebo +TCS</w:t>
            </w:r>
          </w:p>
        </w:tc>
        <w:tc>
          <w:tcPr>
            <w:tcW w:w="0" w:type="auto"/>
            <w:tcBorders>
              <w:top w:val="single" w:sz="4" w:space="0" w:color="000000"/>
              <w:bottom w:val="single" w:sz="4" w:space="0" w:color="000000"/>
            </w:tcBorders>
            <w:shd w:val="clear" w:color="auto" w:fill="auto"/>
          </w:tcPr>
          <w:p w14:paraId="5E67A5B8" w14:textId="760A272C" w:rsidR="00BA5A6A" w:rsidRPr="00F64F0A" w:rsidRDefault="00BA5A6A" w:rsidP="00BA5A6A">
            <w:pPr>
              <w:pStyle w:val="TblHeadingCenter"/>
            </w:pPr>
            <w:r w:rsidRPr="00F64F0A">
              <w:t>Dupixent</w:t>
            </w:r>
          </w:p>
          <w:p w14:paraId="494D718A" w14:textId="77777777" w:rsidR="00BA5A6A" w:rsidRPr="00F64F0A" w:rsidRDefault="00BA5A6A" w:rsidP="00BA5A6A">
            <w:pPr>
              <w:pStyle w:val="TblHeadingCenter"/>
            </w:pPr>
            <w:r w:rsidRPr="00F64F0A">
              <w:t>200 mg Q2W</w:t>
            </w:r>
            <w:r w:rsidRPr="00F64F0A">
              <w:rPr>
                <w:vertAlign w:val="superscript"/>
              </w:rPr>
              <w:t>e</w:t>
            </w:r>
          </w:p>
          <w:p w14:paraId="3B0991FA" w14:textId="77777777" w:rsidR="00BA5A6A" w:rsidRPr="00F64F0A" w:rsidRDefault="00BA5A6A" w:rsidP="00BA5A6A">
            <w:pPr>
              <w:pStyle w:val="TblHeadingCenter"/>
            </w:pPr>
            <w:r w:rsidRPr="00F64F0A">
              <w:t>+ TCS</w:t>
            </w:r>
          </w:p>
        </w:tc>
        <w:tc>
          <w:tcPr>
            <w:tcW w:w="0" w:type="auto"/>
            <w:tcBorders>
              <w:top w:val="single" w:sz="4" w:space="0" w:color="000000"/>
              <w:bottom w:val="single" w:sz="4" w:space="0" w:color="000000"/>
            </w:tcBorders>
            <w:shd w:val="clear" w:color="auto" w:fill="auto"/>
          </w:tcPr>
          <w:p w14:paraId="7931EB4C" w14:textId="77777777" w:rsidR="00BA5A6A" w:rsidRPr="00F64F0A" w:rsidRDefault="00BA5A6A" w:rsidP="00BA5A6A">
            <w:pPr>
              <w:pStyle w:val="TblHeadingCenter"/>
            </w:pPr>
            <w:r w:rsidRPr="00F64F0A">
              <w:t>Placebo</w:t>
            </w:r>
          </w:p>
          <w:p w14:paraId="0B1CCDC1" w14:textId="77777777" w:rsidR="00BA5A6A" w:rsidRPr="00F64F0A" w:rsidRDefault="00BA5A6A" w:rsidP="00BA5A6A">
            <w:pPr>
              <w:pStyle w:val="TblHeadingCenter"/>
            </w:pPr>
            <w:r w:rsidRPr="00F64F0A">
              <w:t>+ TCS</w:t>
            </w:r>
          </w:p>
        </w:tc>
      </w:tr>
      <w:tr w:rsidR="00BA5A6A" w:rsidRPr="00F64F0A" w14:paraId="256FB766" w14:textId="77777777" w:rsidTr="00BA5A6A">
        <w:trPr>
          <w:cantSplit/>
          <w:trHeight w:val="280"/>
          <w:tblHeader/>
          <w:jc w:val="center"/>
        </w:trPr>
        <w:tc>
          <w:tcPr>
            <w:tcW w:w="0" w:type="auto"/>
            <w:vMerge/>
            <w:tcBorders>
              <w:top w:val="single" w:sz="4" w:space="0" w:color="auto"/>
              <w:bottom w:val="single" w:sz="4" w:space="0" w:color="000000"/>
            </w:tcBorders>
            <w:shd w:val="clear" w:color="auto" w:fill="auto"/>
          </w:tcPr>
          <w:p w14:paraId="18985619" w14:textId="77777777" w:rsidR="00BA5A6A" w:rsidRPr="00F64F0A" w:rsidRDefault="00BA5A6A" w:rsidP="00BA5A6A">
            <w:pPr>
              <w:pStyle w:val="C-BodyText"/>
              <w:spacing w:before="0" w:after="0"/>
              <w:rPr>
                <w:rFonts w:eastAsia="MS Mincho"/>
                <w:b/>
                <w:sz w:val="22"/>
                <w:szCs w:val="22"/>
              </w:rPr>
            </w:pPr>
          </w:p>
        </w:tc>
        <w:tc>
          <w:tcPr>
            <w:tcW w:w="0" w:type="auto"/>
            <w:tcBorders>
              <w:top w:val="single" w:sz="4" w:space="0" w:color="000000"/>
              <w:bottom w:val="single" w:sz="4" w:space="0" w:color="auto"/>
            </w:tcBorders>
            <w:shd w:val="clear" w:color="auto" w:fill="auto"/>
            <w:vAlign w:val="center"/>
          </w:tcPr>
          <w:p w14:paraId="272BB129" w14:textId="77777777" w:rsidR="00BA5A6A" w:rsidRPr="00F64F0A" w:rsidRDefault="00BA5A6A" w:rsidP="00BA5A6A">
            <w:pPr>
              <w:pStyle w:val="TblTextCenter"/>
              <w:rPr>
                <w:b/>
                <w:bCs/>
              </w:rPr>
            </w:pPr>
            <w:r w:rsidRPr="00F64F0A">
              <w:rPr>
                <w:b/>
                <w:bCs/>
              </w:rPr>
              <w:t>(N=61)</w:t>
            </w:r>
          </w:p>
        </w:tc>
        <w:tc>
          <w:tcPr>
            <w:tcW w:w="0" w:type="auto"/>
            <w:tcBorders>
              <w:top w:val="single" w:sz="4" w:space="0" w:color="000000"/>
              <w:bottom w:val="single" w:sz="4" w:space="0" w:color="auto"/>
            </w:tcBorders>
            <w:shd w:val="clear" w:color="auto" w:fill="auto"/>
            <w:vAlign w:val="center"/>
          </w:tcPr>
          <w:p w14:paraId="52382E96" w14:textId="77777777" w:rsidR="00BA5A6A" w:rsidRPr="00F64F0A" w:rsidRDefault="00BA5A6A" w:rsidP="00BA5A6A">
            <w:pPr>
              <w:pStyle w:val="TblTextCenter"/>
              <w:rPr>
                <w:b/>
                <w:bCs/>
              </w:rPr>
            </w:pPr>
            <w:r w:rsidRPr="00F64F0A">
              <w:rPr>
                <w:b/>
                <w:bCs/>
              </w:rPr>
              <w:t>(N=61)</w:t>
            </w:r>
          </w:p>
        </w:tc>
        <w:tc>
          <w:tcPr>
            <w:tcW w:w="0" w:type="auto"/>
            <w:tcBorders>
              <w:top w:val="single" w:sz="4" w:space="0" w:color="000000"/>
              <w:bottom w:val="single" w:sz="4" w:space="0" w:color="auto"/>
            </w:tcBorders>
            <w:shd w:val="clear" w:color="auto" w:fill="auto"/>
            <w:vAlign w:val="center"/>
          </w:tcPr>
          <w:p w14:paraId="50600F47" w14:textId="77777777" w:rsidR="00BA5A6A" w:rsidRPr="00F64F0A" w:rsidRDefault="00BA5A6A" w:rsidP="00BA5A6A">
            <w:pPr>
              <w:pStyle w:val="TblTextCenter"/>
              <w:rPr>
                <w:b/>
                <w:bCs/>
              </w:rPr>
            </w:pPr>
            <w:r w:rsidRPr="00F64F0A">
              <w:rPr>
                <w:b/>
                <w:bCs/>
              </w:rPr>
              <w:t>(N=59)</w:t>
            </w:r>
          </w:p>
        </w:tc>
        <w:tc>
          <w:tcPr>
            <w:tcW w:w="0" w:type="auto"/>
            <w:tcBorders>
              <w:top w:val="single" w:sz="4" w:space="0" w:color="000000"/>
              <w:bottom w:val="single" w:sz="4" w:space="0" w:color="auto"/>
            </w:tcBorders>
            <w:shd w:val="clear" w:color="auto" w:fill="auto"/>
            <w:vAlign w:val="center"/>
          </w:tcPr>
          <w:p w14:paraId="1036E805" w14:textId="77777777" w:rsidR="00BA5A6A" w:rsidRPr="00F64F0A" w:rsidRDefault="00BA5A6A" w:rsidP="00BA5A6A">
            <w:pPr>
              <w:pStyle w:val="TblTextCenter"/>
              <w:rPr>
                <w:b/>
                <w:bCs/>
              </w:rPr>
            </w:pPr>
            <w:r w:rsidRPr="00F64F0A">
              <w:rPr>
                <w:b/>
                <w:bCs/>
              </w:rPr>
              <w:t>(N=62)</w:t>
            </w:r>
          </w:p>
        </w:tc>
      </w:tr>
      <w:tr w:rsidR="00BA5A6A" w:rsidRPr="00F64F0A" w14:paraId="2DA93A8A" w14:textId="77777777" w:rsidTr="00BA5A6A">
        <w:trPr>
          <w:cantSplit/>
          <w:trHeight w:val="280"/>
          <w:jc w:val="center"/>
        </w:trPr>
        <w:tc>
          <w:tcPr>
            <w:tcW w:w="0" w:type="auto"/>
            <w:tcBorders>
              <w:top w:val="single" w:sz="4" w:space="0" w:color="000000"/>
            </w:tcBorders>
            <w:shd w:val="clear" w:color="auto" w:fill="auto"/>
          </w:tcPr>
          <w:p w14:paraId="49DB84A5" w14:textId="77777777" w:rsidR="00BA5A6A" w:rsidRPr="00F64F0A" w:rsidRDefault="00BA5A6A" w:rsidP="00BA5A6A">
            <w:pPr>
              <w:pStyle w:val="TblTextCenter"/>
            </w:pPr>
          </w:p>
        </w:tc>
        <w:tc>
          <w:tcPr>
            <w:tcW w:w="0" w:type="auto"/>
            <w:tcBorders>
              <w:top w:val="single" w:sz="4" w:space="0" w:color="auto"/>
            </w:tcBorders>
            <w:shd w:val="clear" w:color="auto" w:fill="auto"/>
          </w:tcPr>
          <w:p w14:paraId="057C7773" w14:textId="77777777" w:rsidR="00BA5A6A" w:rsidRPr="00F64F0A" w:rsidRDefault="00BA5A6A" w:rsidP="00BA5A6A">
            <w:pPr>
              <w:pStyle w:val="TblTextCenter"/>
              <w:rPr>
                <w:b/>
                <w:bCs/>
              </w:rPr>
            </w:pPr>
            <w:r w:rsidRPr="00F64F0A">
              <w:rPr>
                <w:b/>
                <w:bCs/>
              </w:rPr>
              <w:t>&lt;30 kg</w:t>
            </w:r>
          </w:p>
        </w:tc>
        <w:tc>
          <w:tcPr>
            <w:tcW w:w="0" w:type="auto"/>
            <w:tcBorders>
              <w:top w:val="single" w:sz="4" w:space="0" w:color="auto"/>
            </w:tcBorders>
            <w:shd w:val="clear" w:color="auto" w:fill="auto"/>
          </w:tcPr>
          <w:p w14:paraId="12FF3186" w14:textId="77777777" w:rsidR="00BA5A6A" w:rsidRPr="00F64F0A" w:rsidRDefault="00BA5A6A" w:rsidP="00BA5A6A">
            <w:pPr>
              <w:pStyle w:val="TblTextCenter"/>
              <w:rPr>
                <w:b/>
                <w:bCs/>
              </w:rPr>
            </w:pPr>
            <w:r w:rsidRPr="00F64F0A">
              <w:rPr>
                <w:b/>
                <w:bCs/>
              </w:rPr>
              <w:t>&lt;30 kg</w:t>
            </w:r>
          </w:p>
        </w:tc>
        <w:tc>
          <w:tcPr>
            <w:tcW w:w="0" w:type="auto"/>
            <w:tcBorders>
              <w:top w:val="single" w:sz="4" w:space="0" w:color="auto"/>
            </w:tcBorders>
            <w:shd w:val="clear" w:color="auto" w:fill="auto"/>
          </w:tcPr>
          <w:p w14:paraId="631BA4BD" w14:textId="77777777" w:rsidR="00BA5A6A" w:rsidRPr="00F64F0A" w:rsidRDefault="00BA5A6A" w:rsidP="00BA5A6A">
            <w:pPr>
              <w:pStyle w:val="TblTextCenter"/>
              <w:rPr>
                <w:b/>
                <w:bCs/>
              </w:rPr>
            </w:pPr>
            <w:r w:rsidRPr="00F64F0A">
              <w:rPr>
                <w:b/>
                <w:bCs/>
              </w:rPr>
              <w:t>≥30 kg</w:t>
            </w:r>
          </w:p>
        </w:tc>
        <w:tc>
          <w:tcPr>
            <w:tcW w:w="0" w:type="auto"/>
            <w:tcBorders>
              <w:top w:val="single" w:sz="4" w:space="0" w:color="auto"/>
            </w:tcBorders>
            <w:shd w:val="clear" w:color="auto" w:fill="auto"/>
          </w:tcPr>
          <w:p w14:paraId="368BD64E" w14:textId="77777777" w:rsidR="00BA5A6A" w:rsidRPr="00F64F0A" w:rsidRDefault="00BA5A6A" w:rsidP="00BA5A6A">
            <w:pPr>
              <w:pStyle w:val="TblTextCenter"/>
              <w:rPr>
                <w:b/>
                <w:bCs/>
              </w:rPr>
            </w:pPr>
            <w:r w:rsidRPr="00F64F0A">
              <w:rPr>
                <w:b/>
                <w:bCs/>
              </w:rPr>
              <w:t>≥30 kg</w:t>
            </w:r>
          </w:p>
        </w:tc>
      </w:tr>
      <w:tr w:rsidR="00BA5A6A" w:rsidRPr="00F64F0A" w14:paraId="632CDC4F" w14:textId="77777777" w:rsidTr="00BA5A6A">
        <w:trPr>
          <w:cantSplit/>
          <w:trHeight w:val="278"/>
          <w:jc w:val="center"/>
        </w:trPr>
        <w:tc>
          <w:tcPr>
            <w:tcW w:w="0" w:type="auto"/>
            <w:shd w:val="clear" w:color="auto" w:fill="auto"/>
          </w:tcPr>
          <w:p w14:paraId="50378F8E" w14:textId="77777777" w:rsidR="00BA5A6A" w:rsidRPr="00F64F0A" w:rsidRDefault="00BA5A6A" w:rsidP="00BA5A6A">
            <w:pPr>
              <w:pStyle w:val="TblTextCenter"/>
              <w:jc w:val="both"/>
            </w:pPr>
            <w:r w:rsidRPr="00F64F0A">
              <w:t>IGA 0 or 1</w:t>
            </w:r>
            <w:r w:rsidRPr="00F64F0A">
              <w:rPr>
                <w:vertAlign w:val="superscript"/>
              </w:rPr>
              <w:t>b</w:t>
            </w:r>
            <w:r w:rsidRPr="00F64F0A">
              <w:t>, % </w:t>
            </w:r>
            <w:proofErr w:type="spellStart"/>
            <w:r w:rsidRPr="00F64F0A">
              <w:t>responders</w:t>
            </w:r>
            <w:r w:rsidRPr="00F64F0A">
              <w:rPr>
                <w:vertAlign w:val="superscript"/>
              </w:rPr>
              <w:t>c</w:t>
            </w:r>
            <w:proofErr w:type="spellEnd"/>
          </w:p>
        </w:tc>
        <w:tc>
          <w:tcPr>
            <w:tcW w:w="0" w:type="auto"/>
            <w:shd w:val="clear" w:color="auto" w:fill="auto"/>
            <w:vAlign w:val="center"/>
          </w:tcPr>
          <w:p w14:paraId="7E8B291A" w14:textId="77777777" w:rsidR="00BA5A6A" w:rsidRPr="00F64F0A" w:rsidRDefault="00BA5A6A" w:rsidP="00BA5A6A">
            <w:pPr>
              <w:pStyle w:val="TblTextCenter"/>
            </w:pPr>
            <w:r w:rsidRPr="00F64F0A">
              <w:t>29.5%</w:t>
            </w:r>
          </w:p>
        </w:tc>
        <w:tc>
          <w:tcPr>
            <w:tcW w:w="0" w:type="auto"/>
            <w:shd w:val="clear" w:color="auto" w:fill="auto"/>
            <w:vAlign w:val="center"/>
          </w:tcPr>
          <w:p w14:paraId="3BB4C793" w14:textId="77777777" w:rsidR="00BA5A6A" w:rsidRPr="00F64F0A" w:rsidRDefault="00BA5A6A" w:rsidP="00BA5A6A">
            <w:pPr>
              <w:pStyle w:val="TblTextCenter"/>
            </w:pPr>
            <w:r w:rsidRPr="00F64F0A">
              <w:t>13.1%</w:t>
            </w:r>
          </w:p>
        </w:tc>
        <w:tc>
          <w:tcPr>
            <w:tcW w:w="0" w:type="auto"/>
            <w:shd w:val="clear" w:color="auto" w:fill="auto"/>
            <w:vAlign w:val="center"/>
          </w:tcPr>
          <w:p w14:paraId="2159396E" w14:textId="77777777" w:rsidR="00BA5A6A" w:rsidRPr="00F64F0A" w:rsidRDefault="00BA5A6A" w:rsidP="00BA5A6A">
            <w:pPr>
              <w:pStyle w:val="TblTextCenter"/>
            </w:pPr>
            <w:r w:rsidRPr="00F64F0A">
              <w:t>39.0%</w:t>
            </w:r>
          </w:p>
        </w:tc>
        <w:tc>
          <w:tcPr>
            <w:tcW w:w="0" w:type="auto"/>
            <w:shd w:val="clear" w:color="auto" w:fill="auto"/>
            <w:vAlign w:val="center"/>
          </w:tcPr>
          <w:p w14:paraId="76FD016E" w14:textId="77777777" w:rsidR="00BA5A6A" w:rsidRPr="00F64F0A" w:rsidRDefault="00BA5A6A" w:rsidP="00BA5A6A">
            <w:pPr>
              <w:pStyle w:val="TblTextCenter"/>
            </w:pPr>
            <w:r w:rsidRPr="00F64F0A">
              <w:t>9.7%</w:t>
            </w:r>
          </w:p>
        </w:tc>
      </w:tr>
      <w:tr w:rsidR="00BA5A6A" w:rsidRPr="00F64F0A" w14:paraId="104626BE" w14:textId="77777777" w:rsidTr="00BA5A6A">
        <w:trPr>
          <w:cantSplit/>
          <w:trHeight w:val="332"/>
          <w:jc w:val="center"/>
        </w:trPr>
        <w:tc>
          <w:tcPr>
            <w:tcW w:w="0" w:type="auto"/>
            <w:shd w:val="clear" w:color="auto" w:fill="auto"/>
          </w:tcPr>
          <w:p w14:paraId="4B0CAC93" w14:textId="77777777" w:rsidR="00BA5A6A" w:rsidRPr="00F64F0A" w:rsidRDefault="00BA5A6A" w:rsidP="00BA5A6A">
            <w:pPr>
              <w:pStyle w:val="TblTextCenter"/>
              <w:jc w:val="both"/>
            </w:pPr>
            <w:r w:rsidRPr="00F64F0A">
              <w:t>EASI-50, % </w:t>
            </w:r>
            <w:proofErr w:type="spellStart"/>
            <w:r w:rsidRPr="00F64F0A">
              <w:t>responders</w:t>
            </w:r>
            <w:r w:rsidRPr="00F64F0A">
              <w:rPr>
                <w:vertAlign w:val="superscript"/>
              </w:rPr>
              <w:t>c</w:t>
            </w:r>
            <w:proofErr w:type="spellEnd"/>
          </w:p>
        </w:tc>
        <w:tc>
          <w:tcPr>
            <w:tcW w:w="0" w:type="auto"/>
            <w:shd w:val="clear" w:color="auto" w:fill="auto"/>
            <w:vAlign w:val="center"/>
          </w:tcPr>
          <w:p w14:paraId="40455021" w14:textId="77777777" w:rsidR="00BA5A6A" w:rsidRPr="00F64F0A" w:rsidRDefault="00BA5A6A" w:rsidP="00BA5A6A">
            <w:pPr>
              <w:pStyle w:val="TblTextCenter"/>
            </w:pPr>
            <w:r w:rsidRPr="00F64F0A">
              <w:t>95.1%</w:t>
            </w:r>
          </w:p>
        </w:tc>
        <w:tc>
          <w:tcPr>
            <w:tcW w:w="0" w:type="auto"/>
            <w:shd w:val="clear" w:color="auto" w:fill="auto"/>
            <w:vAlign w:val="center"/>
          </w:tcPr>
          <w:p w14:paraId="3E1FDBD4" w14:textId="77777777" w:rsidR="00BA5A6A" w:rsidRPr="00F64F0A" w:rsidRDefault="00BA5A6A" w:rsidP="00BA5A6A">
            <w:pPr>
              <w:pStyle w:val="TblTextCenter"/>
            </w:pPr>
            <w:r w:rsidRPr="00F64F0A">
              <w:t>42.6%</w:t>
            </w:r>
          </w:p>
        </w:tc>
        <w:tc>
          <w:tcPr>
            <w:tcW w:w="0" w:type="auto"/>
            <w:shd w:val="clear" w:color="auto" w:fill="auto"/>
            <w:vAlign w:val="center"/>
          </w:tcPr>
          <w:p w14:paraId="674125AF" w14:textId="77777777" w:rsidR="00BA5A6A" w:rsidRPr="00F64F0A" w:rsidRDefault="00BA5A6A" w:rsidP="00BA5A6A">
            <w:pPr>
              <w:pStyle w:val="TblTextCenter"/>
            </w:pPr>
            <w:r w:rsidRPr="00F64F0A">
              <w:t>86.4%</w:t>
            </w:r>
          </w:p>
        </w:tc>
        <w:tc>
          <w:tcPr>
            <w:tcW w:w="0" w:type="auto"/>
            <w:shd w:val="clear" w:color="auto" w:fill="auto"/>
            <w:vAlign w:val="center"/>
          </w:tcPr>
          <w:p w14:paraId="494FAA54" w14:textId="77777777" w:rsidR="00BA5A6A" w:rsidRPr="00F64F0A" w:rsidRDefault="00BA5A6A" w:rsidP="00BA5A6A">
            <w:pPr>
              <w:pStyle w:val="TblTextCenter"/>
            </w:pPr>
            <w:r w:rsidRPr="00F64F0A">
              <w:t>43.5%</w:t>
            </w:r>
          </w:p>
        </w:tc>
      </w:tr>
      <w:tr w:rsidR="00BA5A6A" w:rsidRPr="00F64F0A" w14:paraId="79E72B98" w14:textId="77777777" w:rsidTr="00BA5A6A">
        <w:trPr>
          <w:cantSplit/>
          <w:trHeight w:val="278"/>
          <w:jc w:val="center"/>
        </w:trPr>
        <w:tc>
          <w:tcPr>
            <w:tcW w:w="0" w:type="auto"/>
            <w:shd w:val="clear" w:color="auto" w:fill="auto"/>
          </w:tcPr>
          <w:p w14:paraId="6E4912C6" w14:textId="77777777" w:rsidR="00BA5A6A" w:rsidRPr="00F64F0A" w:rsidRDefault="00BA5A6A" w:rsidP="00BA5A6A">
            <w:pPr>
              <w:pStyle w:val="TblTextCenter"/>
              <w:jc w:val="both"/>
            </w:pPr>
            <w:r w:rsidRPr="00F64F0A">
              <w:t>EASI-75, % </w:t>
            </w:r>
            <w:proofErr w:type="spellStart"/>
            <w:r w:rsidRPr="00F64F0A">
              <w:t>responders</w:t>
            </w:r>
            <w:r w:rsidRPr="00F64F0A">
              <w:rPr>
                <w:vertAlign w:val="superscript"/>
              </w:rPr>
              <w:t>c</w:t>
            </w:r>
            <w:proofErr w:type="spellEnd"/>
          </w:p>
        </w:tc>
        <w:tc>
          <w:tcPr>
            <w:tcW w:w="0" w:type="auto"/>
            <w:shd w:val="clear" w:color="auto" w:fill="auto"/>
            <w:vAlign w:val="center"/>
          </w:tcPr>
          <w:p w14:paraId="04622846" w14:textId="77777777" w:rsidR="00BA5A6A" w:rsidRPr="00F64F0A" w:rsidRDefault="00BA5A6A" w:rsidP="00BA5A6A">
            <w:pPr>
              <w:pStyle w:val="TblTextCenter"/>
            </w:pPr>
            <w:r w:rsidRPr="00F64F0A">
              <w:t>75.4%</w:t>
            </w:r>
          </w:p>
        </w:tc>
        <w:tc>
          <w:tcPr>
            <w:tcW w:w="0" w:type="auto"/>
            <w:shd w:val="clear" w:color="auto" w:fill="auto"/>
            <w:vAlign w:val="center"/>
          </w:tcPr>
          <w:p w14:paraId="44AFC019" w14:textId="77777777" w:rsidR="00BA5A6A" w:rsidRPr="00F64F0A" w:rsidRDefault="00BA5A6A" w:rsidP="00BA5A6A">
            <w:pPr>
              <w:pStyle w:val="TblTextCenter"/>
            </w:pPr>
            <w:r w:rsidRPr="00F64F0A">
              <w:t>27.9%</w:t>
            </w:r>
          </w:p>
        </w:tc>
        <w:tc>
          <w:tcPr>
            <w:tcW w:w="0" w:type="auto"/>
            <w:shd w:val="clear" w:color="auto" w:fill="auto"/>
            <w:vAlign w:val="center"/>
          </w:tcPr>
          <w:p w14:paraId="2569618A" w14:textId="77777777" w:rsidR="00BA5A6A" w:rsidRPr="00F64F0A" w:rsidRDefault="00BA5A6A" w:rsidP="00BA5A6A">
            <w:pPr>
              <w:pStyle w:val="TblTextCenter"/>
            </w:pPr>
            <w:r w:rsidRPr="00F64F0A">
              <w:t>74.6%</w:t>
            </w:r>
          </w:p>
        </w:tc>
        <w:tc>
          <w:tcPr>
            <w:tcW w:w="0" w:type="auto"/>
            <w:shd w:val="clear" w:color="auto" w:fill="auto"/>
            <w:vAlign w:val="center"/>
          </w:tcPr>
          <w:p w14:paraId="56CFB888" w14:textId="77777777" w:rsidR="00BA5A6A" w:rsidRPr="00F64F0A" w:rsidRDefault="00BA5A6A" w:rsidP="00BA5A6A">
            <w:pPr>
              <w:pStyle w:val="TblTextCenter"/>
            </w:pPr>
            <w:r w:rsidRPr="00F64F0A">
              <w:t>25.8%</w:t>
            </w:r>
          </w:p>
        </w:tc>
      </w:tr>
      <w:tr w:rsidR="00BA5A6A" w:rsidRPr="00F64F0A" w14:paraId="4EBAE2F7" w14:textId="77777777" w:rsidTr="00BA5A6A">
        <w:trPr>
          <w:cantSplit/>
          <w:trHeight w:val="332"/>
          <w:jc w:val="center"/>
        </w:trPr>
        <w:tc>
          <w:tcPr>
            <w:tcW w:w="0" w:type="auto"/>
            <w:shd w:val="clear" w:color="auto" w:fill="auto"/>
          </w:tcPr>
          <w:p w14:paraId="34805F87" w14:textId="77777777" w:rsidR="00BA5A6A" w:rsidRPr="00F64F0A" w:rsidRDefault="00BA5A6A" w:rsidP="00BA5A6A">
            <w:pPr>
              <w:pStyle w:val="TblTextCenter"/>
              <w:jc w:val="both"/>
            </w:pPr>
            <w:r w:rsidRPr="00F64F0A">
              <w:lastRenderedPageBreak/>
              <w:t>EASI-90, % </w:t>
            </w:r>
            <w:proofErr w:type="spellStart"/>
            <w:r w:rsidRPr="00F64F0A">
              <w:t>responders</w:t>
            </w:r>
            <w:r w:rsidRPr="00F64F0A">
              <w:rPr>
                <w:vertAlign w:val="superscript"/>
              </w:rPr>
              <w:t>c</w:t>
            </w:r>
            <w:proofErr w:type="spellEnd"/>
          </w:p>
        </w:tc>
        <w:tc>
          <w:tcPr>
            <w:tcW w:w="0" w:type="auto"/>
            <w:shd w:val="clear" w:color="auto" w:fill="auto"/>
            <w:vAlign w:val="center"/>
          </w:tcPr>
          <w:p w14:paraId="3BDD9AE1" w14:textId="77777777" w:rsidR="00BA5A6A" w:rsidRPr="00F64F0A" w:rsidRDefault="00BA5A6A" w:rsidP="00BA5A6A">
            <w:pPr>
              <w:pStyle w:val="TblTextCenter"/>
            </w:pPr>
            <w:r w:rsidRPr="00F64F0A">
              <w:t>45.9%</w:t>
            </w:r>
          </w:p>
        </w:tc>
        <w:tc>
          <w:tcPr>
            <w:tcW w:w="0" w:type="auto"/>
            <w:shd w:val="clear" w:color="auto" w:fill="auto"/>
            <w:vAlign w:val="center"/>
          </w:tcPr>
          <w:p w14:paraId="3F8B859A" w14:textId="77777777" w:rsidR="00BA5A6A" w:rsidRPr="00F64F0A" w:rsidRDefault="00BA5A6A" w:rsidP="00BA5A6A">
            <w:pPr>
              <w:pStyle w:val="TblTextCenter"/>
            </w:pPr>
            <w:r w:rsidRPr="00F64F0A">
              <w:t>6.6%</w:t>
            </w:r>
          </w:p>
        </w:tc>
        <w:tc>
          <w:tcPr>
            <w:tcW w:w="0" w:type="auto"/>
            <w:shd w:val="clear" w:color="auto" w:fill="auto"/>
            <w:vAlign w:val="center"/>
          </w:tcPr>
          <w:p w14:paraId="669132F2" w14:textId="77777777" w:rsidR="00BA5A6A" w:rsidRPr="00F64F0A" w:rsidRDefault="00BA5A6A" w:rsidP="00BA5A6A">
            <w:pPr>
              <w:pStyle w:val="TblTextCenter"/>
            </w:pPr>
            <w:r w:rsidRPr="00F64F0A">
              <w:t>35.6%</w:t>
            </w:r>
          </w:p>
        </w:tc>
        <w:tc>
          <w:tcPr>
            <w:tcW w:w="0" w:type="auto"/>
            <w:shd w:val="clear" w:color="auto" w:fill="auto"/>
            <w:vAlign w:val="center"/>
          </w:tcPr>
          <w:p w14:paraId="6B5C4B1F" w14:textId="77777777" w:rsidR="00BA5A6A" w:rsidRPr="00F64F0A" w:rsidRDefault="00BA5A6A" w:rsidP="00BA5A6A">
            <w:pPr>
              <w:pStyle w:val="TblTextCenter"/>
            </w:pPr>
            <w:r w:rsidRPr="00F64F0A">
              <w:t>8.1%</w:t>
            </w:r>
          </w:p>
        </w:tc>
      </w:tr>
      <w:tr w:rsidR="00BA5A6A" w:rsidRPr="00F64F0A" w14:paraId="6EDB168C" w14:textId="77777777" w:rsidTr="00BA5A6A">
        <w:trPr>
          <w:cantSplit/>
          <w:trHeight w:val="491"/>
          <w:jc w:val="center"/>
        </w:trPr>
        <w:tc>
          <w:tcPr>
            <w:tcW w:w="0" w:type="auto"/>
            <w:shd w:val="clear" w:color="auto" w:fill="auto"/>
          </w:tcPr>
          <w:p w14:paraId="72A1FD90" w14:textId="77777777" w:rsidR="00BA5A6A" w:rsidRPr="00F64F0A" w:rsidRDefault="00BA5A6A" w:rsidP="00BA5A6A">
            <w:pPr>
              <w:pStyle w:val="TblTextCenter"/>
              <w:jc w:val="both"/>
            </w:pPr>
            <w:r w:rsidRPr="00F64F0A">
              <w:t>EASI, LS mean % change from baseline (+/-SE)</w:t>
            </w:r>
          </w:p>
        </w:tc>
        <w:tc>
          <w:tcPr>
            <w:tcW w:w="0" w:type="auto"/>
            <w:shd w:val="clear" w:color="auto" w:fill="auto"/>
            <w:vAlign w:val="center"/>
          </w:tcPr>
          <w:p w14:paraId="4B89635D" w14:textId="77777777" w:rsidR="00BA5A6A" w:rsidRPr="00F64F0A" w:rsidRDefault="00BA5A6A" w:rsidP="00BA5A6A">
            <w:pPr>
              <w:pStyle w:val="TblTextCenter"/>
            </w:pPr>
            <w:r w:rsidRPr="00F64F0A">
              <w:t>-84.3%</w:t>
            </w:r>
          </w:p>
          <w:p w14:paraId="70B5CFE8" w14:textId="77777777" w:rsidR="00BA5A6A" w:rsidRPr="00F64F0A" w:rsidRDefault="00BA5A6A" w:rsidP="00BA5A6A">
            <w:pPr>
              <w:pStyle w:val="TblTextCenter"/>
            </w:pPr>
            <w:r w:rsidRPr="00F64F0A">
              <w:t>(3.08)</w:t>
            </w:r>
          </w:p>
        </w:tc>
        <w:tc>
          <w:tcPr>
            <w:tcW w:w="0" w:type="auto"/>
            <w:shd w:val="clear" w:color="auto" w:fill="auto"/>
            <w:vAlign w:val="center"/>
          </w:tcPr>
          <w:p w14:paraId="09F5F16B" w14:textId="77777777" w:rsidR="00BA5A6A" w:rsidRPr="00F64F0A" w:rsidRDefault="00BA5A6A" w:rsidP="00BA5A6A">
            <w:pPr>
              <w:pStyle w:val="TblTextCenter"/>
            </w:pPr>
            <w:r w:rsidRPr="00F64F0A">
              <w:t>-49.1%</w:t>
            </w:r>
          </w:p>
          <w:p w14:paraId="3B3B4C58" w14:textId="77777777" w:rsidR="00BA5A6A" w:rsidRPr="00F64F0A" w:rsidRDefault="00BA5A6A" w:rsidP="00BA5A6A">
            <w:pPr>
              <w:pStyle w:val="TblTextCenter"/>
            </w:pPr>
            <w:r w:rsidRPr="00F64F0A">
              <w:t>(3.30)</w:t>
            </w:r>
          </w:p>
        </w:tc>
        <w:tc>
          <w:tcPr>
            <w:tcW w:w="0" w:type="auto"/>
            <w:shd w:val="clear" w:color="auto" w:fill="auto"/>
            <w:vAlign w:val="center"/>
          </w:tcPr>
          <w:p w14:paraId="6CECA7D4" w14:textId="77777777" w:rsidR="00BA5A6A" w:rsidRPr="00F64F0A" w:rsidRDefault="00BA5A6A" w:rsidP="00BA5A6A">
            <w:pPr>
              <w:pStyle w:val="TblTextCenter"/>
            </w:pPr>
            <w:r w:rsidRPr="00F64F0A">
              <w:t>-80.4%</w:t>
            </w:r>
          </w:p>
          <w:p w14:paraId="4DEF6461" w14:textId="77777777" w:rsidR="00BA5A6A" w:rsidRPr="00F64F0A" w:rsidRDefault="00BA5A6A" w:rsidP="00BA5A6A">
            <w:pPr>
              <w:pStyle w:val="TblTextCenter"/>
            </w:pPr>
            <w:r w:rsidRPr="00F64F0A">
              <w:t>(3.61)</w:t>
            </w:r>
          </w:p>
        </w:tc>
        <w:tc>
          <w:tcPr>
            <w:tcW w:w="0" w:type="auto"/>
            <w:shd w:val="clear" w:color="auto" w:fill="auto"/>
            <w:vAlign w:val="center"/>
          </w:tcPr>
          <w:p w14:paraId="73EABA85" w14:textId="77777777" w:rsidR="00BA5A6A" w:rsidRPr="00F64F0A" w:rsidRDefault="00BA5A6A" w:rsidP="00BA5A6A">
            <w:pPr>
              <w:pStyle w:val="TblTextCenter"/>
            </w:pPr>
            <w:r w:rsidRPr="00F64F0A">
              <w:t>-48.3%</w:t>
            </w:r>
          </w:p>
          <w:p w14:paraId="0F0285FE" w14:textId="77777777" w:rsidR="00BA5A6A" w:rsidRPr="00F64F0A" w:rsidRDefault="00BA5A6A" w:rsidP="00BA5A6A">
            <w:pPr>
              <w:pStyle w:val="TblTextCenter"/>
            </w:pPr>
            <w:r w:rsidRPr="00F64F0A">
              <w:t>(3.63)</w:t>
            </w:r>
          </w:p>
        </w:tc>
      </w:tr>
      <w:tr w:rsidR="00BA5A6A" w:rsidRPr="00F64F0A" w14:paraId="38BB3155" w14:textId="77777777" w:rsidTr="00BA5A6A">
        <w:trPr>
          <w:cantSplit/>
          <w:trHeight w:val="491"/>
          <w:jc w:val="center"/>
        </w:trPr>
        <w:tc>
          <w:tcPr>
            <w:tcW w:w="0" w:type="auto"/>
            <w:shd w:val="clear" w:color="auto" w:fill="auto"/>
          </w:tcPr>
          <w:p w14:paraId="65FCD851" w14:textId="77777777" w:rsidR="00BA5A6A" w:rsidRPr="00F64F0A" w:rsidRDefault="00BA5A6A" w:rsidP="00BA5A6A">
            <w:pPr>
              <w:pStyle w:val="TblTextCenter"/>
              <w:jc w:val="both"/>
            </w:pPr>
            <w:r w:rsidRPr="00F64F0A">
              <w:t>SCORAD, LS mean % change from baseline (+/- SE)</w:t>
            </w:r>
          </w:p>
        </w:tc>
        <w:tc>
          <w:tcPr>
            <w:tcW w:w="0" w:type="auto"/>
            <w:shd w:val="clear" w:color="auto" w:fill="auto"/>
            <w:vAlign w:val="center"/>
          </w:tcPr>
          <w:p w14:paraId="30038527" w14:textId="77777777" w:rsidR="00BA5A6A" w:rsidRPr="00F64F0A" w:rsidRDefault="00BA5A6A" w:rsidP="00BA5A6A">
            <w:pPr>
              <w:pStyle w:val="TblTextCenter"/>
            </w:pPr>
            <w:r w:rsidRPr="00F64F0A">
              <w:t>-65.3%</w:t>
            </w:r>
          </w:p>
          <w:p w14:paraId="1217E7F6" w14:textId="77777777" w:rsidR="00BA5A6A" w:rsidRPr="00F64F0A" w:rsidRDefault="00BA5A6A" w:rsidP="00BA5A6A">
            <w:pPr>
              <w:pStyle w:val="TblTextCenter"/>
            </w:pPr>
            <w:r w:rsidRPr="00F64F0A">
              <w:t>(2.87)</w:t>
            </w:r>
          </w:p>
        </w:tc>
        <w:tc>
          <w:tcPr>
            <w:tcW w:w="0" w:type="auto"/>
            <w:shd w:val="clear" w:color="auto" w:fill="auto"/>
            <w:vAlign w:val="center"/>
          </w:tcPr>
          <w:p w14:paraId="3A2A8416" w14:textId="77777777" w:rsidR="00BA5A6A" w:rsidRPr="00F64F0A" w:rsidRDefault="00BA5A6A" w:rsidP="00BA5A6A">
            <w:pPr>
              <w:pStyle w:val="TblTextCenter"/>
            </w:pPr>
            <w:r w:rsidRPr="00F64F0A">
              <w:t>-28.9%</w:t>
            </w:r>
          </w:p>
          <w:p w14:paraId="0C1A10EB" w14:textId="77777777" w:rsidR="00BA5A6A" w:rsidRPr="00F64F0A" w:rsidRDefault="00BA5A6A" w:rsidP="00BA5A6A">
            <w:pPr>
              <w:pStyle w:val="TblTextCenter"/>
            </w:pPr>
            <w:r w:rsidRPr="00F64F0A">
              <w:t>(3.05)</w:t>
            </w:r>
          </w:p>
        </w:tc>
        <w:tc>
          <w:tcPr>
            <w:tcW w:w="0" w:type="auto"/>
            <w:shd w:val="clear" w:color="auto" w:fill="auto"/>
            <w:vAlign w:val="center"/>
          </w:tcPr>
          <w:p w14:paraId="5F07C170" w14:textId="77777777" w:rsidR="00BA5A6A" w:rsidRPr="00F64F0A" w:rsidRDefault="00BA5A6A" w:rsidP="00BA5A6A">
            <w:pPr>
              <w:pStyle w:val="TblTextCenter"/>
            </w:pPr>
            <w:r w:rsidRPr="00F64F0A">
              <w:t>-62.7%</w:t>
            </w:r>
          </w:p>
          <w:p w14:paraId="4794DD20" w14:textId="77777777" w:rsidR="00BA5A6A" w:rsidRPr="00F64F0A" w:rsidRDefault="00BA5A6A" w:rsidP="00BA5A6A">
            <w:pPr>
              <w:pStyle w:val="TblTextCenter"/>
            </w:pPr>
            <w:r w:rsidRPr="00F64F0A">
              <w:t>(3.14)</w:t>
            </w:r>
          </w:p>
        </w:tc>
        <w:tc>
          <w:tcPr>
            <w:tcW w:w="0" w:type="auto"/>
            <w:shd w:val="clear" w:color="auto" w:fill="auto"/>
            <w:vAlign w:val="center"/>
          </w:tcPr>
          <w:p w14:paraId="34F3DCA2" w14:textId="77777777" w:rsidR="00BA5A6A" w:rsidRPr="00F64F0A" w:rsidRDefault="00BA5A6A" w:rsidP="00BA5A6A">
            <w:pPr>
              <w:pStyle w:val="TblTextCenter"/>
            </w:pPr>
            <w:r w:rsidRPr="00F64F0A">
              <w:t>-30.7%</w:t>
            </w:r>
          </w:p>
          <w:p w14:paraId="0A63FBAF" w14:textId="77777777" w:rsidR="00BA5A6A" w:rsidRPr="00F64F0A" w:rsidRDefault="00BA5A6A" w:rsidP="00BA5A6A">
            <w:pPr>
              <w:pStyle w:val="TblTextCenter"/>
            </w:pPr>
            <w:r w:rsidRPr="00F64F0A">
              <w:t>(3.28)</w:t>
            </w:r>
          </w:p>
        </w:tc>
      </w:tr>
      <w:tr w:rsidR="00BA5A6A" w:rsidRPr="00F64F0A" w14:paraId="03E117F5" w14:textId="77777777" w:rsidTr="00BA5A6A">
        <w:trPr>
          <w:cantSplit/>
          <w:trHeight w:val="491"/>
          <w:jc w:val="center"/>
        </w:trPr>
        <w:tc>
          <w:tcPr>
            <w:tcW w:w="0" w:type="auto"/>
            <w:shd w:val="clear" w:color="auto" w:fill="auto"/>
          </w:tcPr>
          <w:p w14:paraId="00604BAC" w14:textId="77777777" w:rsidR="00BA5A6A" w:rsidRPr="00F64F0A" w:rsidRDefault="00BA5A6A" w:rsidP="00BA5A6A">
            <w:pPr>
              <w:pStyle w:val="TblTextCenter"/>
              <w:jc w:val="both"/>
            </w:pPr>
            <w:r w:rsidRPr="00F64F0A">
              <w:t>Pruritus NRS, LS mean % change from baseline (+/- SE)</w:t>
            </w:r>
          </w:p>
        </w:tc>
        <w:tc>
          <w:tcPr>
            <w:tcW w:w="0" w:type="auto"/>
            <w:shd w:val="clear" w:color="auto" w:fill="auto"/>
            <w:vAlign w:val="center"/>
          </w:tcPr>
          <w:p w14:paraId="0943A508" w14:textId="77777777" w:rsidR="00BA5A6A" w:rsidRPr="00F64F0A" w:rsidRDefault="00BA5A6A" w:rsidP="00BA5A6A">
            <w:pPr>
              <w:pStyle w:val="TblTextCenter"/>
            </w:pPr>
            <w:r w:rsidRPr="00F64F0A">
              <w:t>-55.1%</w:t>
            </w:r>
          </w:p>
          <w:p w14:paraId="031EE972" w14:textId="77777777" w:rsidR="00BA5A6A" w:rsidRPr="00F64F0A" w:rsidRDefault="00BA5A6A" w:rsidP="00BA5A6A">
            <w:pPr>
              <w:pStyle w:val="TblTextCenter"/>
            </w:pPr>
            <w:r w:rsidRPr="00F64F0A">
              <w:t>(3.94)</w:t>
            </w:r>
          </w:p>
        </w:tc>
        <w:tc>
          <w:tcPr>
            <w:tcW w:w="0" w:type="auto"/>
            <w:shd w:val="clear" w:color="auto" w:fill="auto"/>
            <w:vAlign w:val="center"/>
          </w:tcPr>
          <w:p w14:paraId="53EE6B7B" w14:textId="77777777" w:rsidR="00BA5A6A" w:rsidRPr="00F64F0A" w:rsidRDefault="00BA5A6A" w:rsidP="00BA5A6A">
            <w:pPr>
              <w:pStyle w:val="TblTextCenter"/>
            </w:pPr>
            <w:r w:rsidRPr="00F64F0A">
              <w:t>-27.0%</w:t>
            </w:r>
          </w:p>
          <w:p w14:paraId="7C9E3DA7" w14:textId="77777777" w:rsidR="00BA5A6A" w:rsidRPr="00F64F0A" w:rsidRDefault="00BA5A6A" w:rsidP="00BA5A6A">
            <w:pPr>
              <w:pStyle w:val="TblTextCenter"/>
            </w:pPr>
            <w:r w:rsidRPr="00F64F0A">
              <w:t>(4.24)</w:t>
            </w:r>
          </w:p>
        </w:tc>
        <w:tc>
          <w:tcPr>
            <w:tcW w:w="0" w:type="auto"/>
            <w:shd w:val="clear" w:color="auto" w:fill="auto"/>
            <w:vAlign w:val="center"/>
          </w:tcPr>
          <w:p w14:paraId="5DB0362A" w14:textId="77777777" w:rsidR="00BA5A6A" w:rsidRPr="00F64F0A" w:rsidRDefault="00BA5A6A" w:rsidP="00BA5A6A">
            <w:pPr>
              <w:pStyle w:val="TblTextCenter"/>
            </w:pPr>
            <w:r w:rsidRPr="00F64F0A">
              <w:t>-58.2%</w:t>
            </w:r>
          </w:p>
          <w:p w14:paraId="4C1AC4E5" w14:textId="77777777" w:rsidR="00BA5A6A" w:rsidRPr="00F64F0A" w:rsidRDefault="00BA5A6A" w:rsidP="00BA5A6A">
            <w:pPr>
              <w:pStyle w:val="TblTextCenter"/>
            </w:pPr>
            <w:r w:rsidRPr="00F64F0A">
              <w:t>(4.01)</w:t>
            </w:r>
          </w:p>
        </w:tc>
        <w:tc>
          <w:tcPr>
            <w:tcW w:w="0" w:type="auto"/>
            <w:shd w:val="clear" w:color="auto" w:fill="auto"/>
            <w:vAlign w:val="center"/>
          </w:tcPr>
          <w:p w14:paraId="3A0064A7" w14:textId="77777777" w:rsidR="00BA5A6A" w:rsidRPr="00F64F0A" w:rsidRDefault="00BA5A6A" w:rsidP="00BA5A6A">
            <w:pPr>
              <w:pStyle w:val="TblTextCenter"/>
            </w:pPr>
            <w:r w:rsidRPr="00F64F0A">
              <w:t>-25.0%</w:t>
            </w:r>
          </w:p>
          <w:p w14:paraId="3C221DE1" w14:textId="77777777" w:rsidR="00BA5A6A" w:rsidRPr="00F64F0A" w:rsidRDefault="00BA5A6A" w:rsidP="00BA5A6A">
            <w:pPr>
              <w:pStyle w:val="TblTextCenter"/>
            </w:pPr>
            <w:r w:rsidRPr="00F64F0A">
              <w:t>(3.95)</w:t>
            </w:r>
          </w:p>
        </w:tc>
      </w:tr>
      <w:tr w:rsidR="00BA5A6A" w:rsidRPr="00F64F0A" w14:paraId="640D3BC5" w14:textId="77777777" w:rsidTr="00BA5A6A">
        <w:trPr>
          <w:cantSplit/>
          <w:trHeight w:val="503"/>
          <w:jc w:val="center"/>
        </w:trPr>
        <w:tc>
          <w:tcPr>
            <w:tcW w:w="0" w:type="auto"/>
            <w:shd w:val="clear" w:color="auto" w:fill="auto"/>
          </w:tcPr>
          <w:p w14:paraId="6D60D5F6" w14:textId="77777777" w:rsidR="00BA5A6A" w:rsidRPr="00F64F0A" w:rsidRDefault="00BA5A6A" w:rsidP="00BA5A6A">
            <w:pPr>
              <w:pStyle w:val="TblTextCenter"/>
              <w:jc w:val="both"/>
            </w:pPr>
            <w:r w:rsidRPr="00F64F0A">
              <w:t>Pruritus NRS (≥4-point improvement), % </w:t>
            </w:r>
            <w:proofErr w:type="spellStart"/>
            <w:r w:rsidRPr="00F64F0A">
              <w:t>responders</w:t>
            </w:r>
            <w:r w:rsidRPr="00F64F0A">
              <w:rPr>
                <w:vertAlign w:val="superscript"/>
              </w:rPr>
              <w:t>c</w:t>
            </w:r>
            <w:proofErr w:type="spellEnd"/>
          </w:p>
        </w:tc>
        <w:tc>
          <w:tcPr>
            <w:tcW w:w="0" w:type="auto"/>
            <w:shd w:val="clear" w:color="auto" w:fill="auto"/>
            <w:vAlign w:val="center"/>
          </w:tcPr>
          <w:p w14:paraId="36FD34E8" w14:textId="77777777" w:rsidR="00BA5A6A" w:rsidRPr="00F64F0A" w:rsidRDefault="00BA5A6A" w:rsidP="00BA5A6A">
            <w:pPr>
              <w:pStyle w:val="TblTextCenter"/>
            </w:pPr>
            <w:r w:rsidRPr="00F64F0A">
              <w:t>54.1%</w:t>
            </w:r>
          </w:p>
        </w:tc>
        <w:tc>
          <w:tcPr>
            <w:tcW w:w="0" w:type="auto"/>
            <w:shd w:val="clear" w:color="auto" w:fill="auto"/>
            <w:vAlign w:val="center"/>
          </w:tcPr>
          <w:p w14:paraId="2AE3698C" w14:textId="77777777" w:rsidR="00BA5A6A" w:rsidRPr="00F64F0A" w:rsidRDefault="00BA5A6A" w:rsidP="00BA5A6A">
            <w:pPr>
              <w:pStyle w:val="TblTextCenter"/>
            </w:pPr>
            <w:r w:rsidRPr="00F64F0A">
              <w:t>11.7%</w:t>
            </w:r>
          </w:p>
        </w:tc>
        <w:tc>
          <w:tcPr>
            <w:tcW w:w="0" w:type="auto"/>
            <w:shd w:val="clear" w:color="auto" w:fill="auto"/>
            <w:vAlign w:val="center"/>
          </w:tcPr>
          <w:p w14:paraId="7154DB5A" w14:textId="77777777" w:rsidR="00BA5A6A" w:rsidRPr="00F64F0A" w:rsidRDefault="00BA5A6A" w:rsidP="00BA5A6A">
            <w:pPr>
              <w:pStyle w:val="TblTextCenter"/>
            </w:pPr>
            <w:r w:rsidRPr="00F64F0A">
              <w:t>61.4%</w:t>
            </w:r>
          </w:p>
        </w:tc>
        <w:tc>
          <w:tcPr>
            <w:tcW w:w="0" w:type="auto"/>
            <w:shd w:val="clear" w:color="auto" w:fill="auto"/>
            <w:vAlign w:val="center"/>
          </w:tcPr>
          <w:p w14:paraId="5F6FEE13" w14:textId="77777777" w:rsidR="00BA5A6A" w:rsidRPr="00F64F0A" w:rsidRDefault="00BA5A6A" w:rsidP="00BA5A6A">
            <w:pPr>
              <w:pStyle w:val="TblTextCenter"/>
            </w:pPr>
            <w:r w:rsidRPr="00F64F0A">
              <w:t>12.9%</w:t>
            </w:r>
          </w:p>
        </w:tc>
      </w:tr>
      <w:tr w:rsidR="00BA5A6A" w:rsidRPr="00F64F0A" w14:paraId="4EC3FA87" w14:textId="77777777" w:rsidTr="00BA5A6A">
        <w:trPr>
          <w:cantSplit/>
          <w:trHeight w:val="548"/>
          <w:jc w:val="center"/>
        </w:trPr>
        <w:tc>
          <w:tcPr>
            <w:tcW w:w="0" w:type="auto"/>
            <w:shd w:val="clear" w:color="auto" w:fill="auto"/>
          </w:tcPr>
          <w:p w14:paraId="6ABAF1D8" w14:textId="77777777" w:rsidR="00BA5A6A" w:rsidRPr="00F64F0A" w:rsidRDefault="00BA5A6A" w:rsidP="00BA5A6A">
            <w:pPr>
              <w:pStyle w:val="TblTextCenter"/>
              <w:jc w:val="both"/>
            </w:pPr>
            <w:r w:rsidRPr="00F64F0A">
              <w:t>BSA, LS mean change from baseline (+/- SE)</w:t>
            </w:r>
          </w:p>
        </w:tc>
        <w:tc>
          <w:tcPr>
            <w:tcW w:w="0" w:type="auto"/>
            <w:shd w:val="clear" w:color="auto" w:fill="auto"/>
            <w:vAlign w:val="center"/>
          </w:tcPr>
          <w:p w14:paraId="20DCE049" w14:textId="77777777" w:rsidR="00BA5A6A" w:rsidRPr="00F64F0A" w:rsidRDefault="00BA5A6A" w:rsidP="00BA5A6A">
            <w:pPr>
              <w:pStyle w:val="TblTextCenter"/>
            </w:pPr>
            <w:r w:rsidRPr="00F64F0A">
              <w:t>-43.2</w:t>
            </w:r>
          </w:p>
          <w:p w14:paraId="54950AD0" w14:textId="77777777" w:rsidR="00BA5A6A" w:rsidRPr="00F64F0A" w:rsidRDefault="00BA5A6A" w:rsidP="00BA5A6A">
            <w:pPr>
              <w:pStyle w:val="TblTextCenter"/>
            </w:pPr>
            <w:r w:rsidRPr="00F64F0A">
              <w:t>(2.16)</w:t>
            </w:r>
          </w:p>
        </w:tc>
        <w:tc>
          <w:tcPr>
            <w:tcW w:w="0" w:type="auto"/>
            <w:shd w:val="clear" w:color="auto" w:fill="auto"/>
            <w:vAlign w:val="center"/>
          </w:tcPr>
          <w:p w14:paraId="74CCB389" w14:textId="77777777" w:rsidR="00BA5A6A" w:rsidRPr="00F64F0A" w:rsidRDefault="00BA5A6A" w:rsidP="00BA5A6A">
            <w:pPr>
              <w:pStyle w:val="TblTextCenter"/>
            </w:pPr>
            <w:r w:rsidRPr="00F64F0A">
              <w:t>-23.9</w:t>
            </w:r>
          </w:p>
          <w:p w14:paraId="6C109723" w14:textId="77777777" w:rsidR="00BA5A6A" w:rsidRPr="00F64F0A" w:rsidRDefault="00BA5A6A" w:rsidP="00BA5A6A">
            <w:pPr>
              <w:pStyle w:val="TblTextCenter"/>
            </w:pPr>
            <w:r w:rsidRPr="00F64F0A">
              <w:t>(2.34)</w:t>
            </w:r>
          </w:p>
        </w:tc>
        <w:tc>
          <w:tcPr>
            <w:tcW w:w="0" w:type="auto"/>
            <w:shd w:val="clear" w:color="auto" w:fill="auto"/>
            <w:vAlign w:val="center"/>
          </w:tcPr>
          <w:p w14:paraId="53830A08" w14:textId="77777777" w:rsidR="00BA5A6A" w:rsidRPr="00F64F0A" w:rsidRDefault="00BA5A6A" w:rsidP="00BA5A6A">
            <w:pPr>
              <w:pStyle w:val="TblTextCenter"/>
            </w:pPr>
            <w:r w:rsidRPr="00F64F0A">
              <w:t>-38.4</w:t>
            </w:r>
          </w:p>
          <w:p w14:paraId="6524B988" w14:textId="77777777" w:rsidR="00BA5A6A" w:rsidRPr="00F64F0A" w:rsidRDefault="00BA5A6A" w:rsidP="00BA5A6A">
            <w:pPr>
              <w:pStyle w:val="TblTextCenter"/>
            </w:pPr>
            <w:r w:rsidRPr="00F64F0A">
              <w:t>(2.47)</w:t>
            </w:r>
          </w:p>
        </w:tc>
        <w:tc>
          <w:tcPr>
            <w:tcW w:w="0" w:type="auto"/>
            <w:shd w:val="clear" w:color="auto" w:fill="auto"/>
            <w:vAlign w:val="center"/>
          </w:tcPr>
          <w:p w14:paraId="4CEE946F" w14:textId="77777777" w:rsidR="00BA5A6A" w:rsidRPr="00F64F0A" w:rsidRDefault="00BA5A6A" w:rsidP="00BA5A6A">
            <w:pPr>
              <w:pStyle w:val="TblTextCenter"/>
            </w:pPr>
            <w:r w:rsidRPr="00F64F0A">
              <w:t>-19.8</w:t>
            </w:r>
          </w:p>
          <w:p w14:paraId="77C15417" w14:textId="77777777" w:rsidR="00BA5A6A" w:rsidRPr="00F64F0A" w:rsidRDefault="00BA5A6A" w:rsidP="00BA5A6A">
            <w:pPr>
              <w:pStyle w:val="TblTextCenter"/>
            </w:pPr>
            <w:r w:rsidRPr="00F64F0A">
              <w:t>(2.50)</w:t>
            </w:r>
          </w:p>
        </w:tc>
      </w:tr>
      <w:tr w:rsidR="00BA5A6A" w:rsidRPr="00F64F0A" w14:paraId="64AB55F8" w14:textId="77777777" w:rsidTr="00BA5A6A">
        <w:trPr>
          <w:cantSplit/>
          <w:trHeight w:val="593"/>
          <w:jc w:val="center"/>
        </w:trPr>
        <w:tc>
          <w:tcPr>
            <w:tcW w:w="0" w:type="auto"/>
            <w:shd w:val="clear" w:color="auto" w:fill="auto"/>
          </w:tcPr>
          <w:p w14:paraId="4F6EF6C4" w14:textId="77777777" w:rsidR="00BA5A6A" w:rsidRPr="00F64F0A" w:rsidRDefault="00BA5A6A" w:rsidP="00BA5A6A">
            <w:pPr>
              <w:pStyle w:val="TblTextCenter"/>
              <w:jc w:val="both"/>
            </w:pPr>
            <w:r w:rsidRPr="00F64F0A">
              <w:t>CDLQI, LS mean change from baseline (+/-SE)</w:t>
            </w:r>
          </w:p>
        </w:tc>
        <w:tc>
          <w:tcPr>
            <w:tcW w:w="0" w:type="auto"/>
            <w:shd w:val="clear" w:color="auto" w:fill="auto"/>
            <w:vAlign w:val="center"/>
          </w:tcPr>
          <w:p w14:paraId="6EFDA25B" w14:textId="77777777" w:rsidR="00BA5A6A" w:rsidRPr="00F64F0A" w:rsidRDefault="00BA5A6A" w:rsidP="00BA5A6A">
            <w:pPr>
              <w:pStyle w:val="TblTextCenter"/>
            </w:pPr>
            <w:r w:rsidRPr="00F64F0A">
              <w:t>-11.5</w:t>
            </w:r>
          </w:p>
          <w:p w14:paraId="134A5F25" w14:textId="77777777" w:rsidR="00BA5A6A" w:rsidRPr="00F64F0A" w:rsidRDefault="00BA5A6A" w:rsidP="00BA5A6A">
            <w:pPr>
              <w:pStyle w:val="TblTextCenter"/>
            </w:pPr>
            <w:r w:rsidRPr="00F64F0A">
              <w:t>(0.69)</w:t>
            </w:r>
          </w:p>
        </w:tc>
        <w:tc>
          <w:tcPr>
            <w:tcW w:w="0" w:type="auto"/>
            <w:shd w:val="clear" w:color="auto" w:fill="auto"/>
            <w:vAlign w:val="center"/>
          </w:tcPr>
          <w:p w14:paraId="2730B914" w14:textId="77777777" w:rsidR="00BA5A6A" w:rsidRPr="00F64F0A" w:rsidRDefault="00BA5A6A" w:rsidP="00BA5A6A">
            <w:pPr>
              <w:pStyle w:val="TblTextCenter"/>
            </w:pPr>
            <w:r w:rsidRPr="00F64F0A">
              <w:t>-7.2</w:t>
            </w:r>
          </w:p>
          <w:p w14:paraId="1338F54E" w14:textId="77777777" w:rsidR="00BA5A6A" w:rsidRPr="00F64F0A" w:rsidRDefault="00BA5A6A" w:rsidP="00BA5A6A">
            <w:pPr>
              <w:pStyle w:val="TblTextCenter"/>
            </w:pPr>
            <w:r w:rsidRPr="00F64F0A">
              <w:t>(0.76)</w:t>
            </w:r>
          </w:p>
        </w:tc>
        <w:tc>
          <w:tcPr>
            <w:tcW w:w="0" w:type="auto"/>
            <w:shd w:val="clear" w:color="auto" w:fill="auto"/>
            <w:vAlign w:val="center"/>
          </w:tcPr>
          <w:p w14:paraId="0B277E4A" w14:textId="77777777" w:rsidR="00BA5A6A" w:rsidRPr="00F64F0A" w:rsidRDefault="00BA5A6A" w:rsidP="00BA5A6A">
            <w:pPr>
              <w:pStyle w:val="TblTextCenter"/>
            </w:pPr>
            <w:r w:rsidRPr="00F64F0A">
              <w:t>-9.8</w:t>
            </w:r>
          </w:p>
          <w:p w14:paraId="0524A544" w14:textId="77777777" w:rsidR="00BA5A6A" w:rsidRPr="00F64F0A" w:rsidRDefault="00BA5A6A" w:rsidP="00BA5A6A">
            <w:pPr>
              <w:pStyle w:val="TblTextCenter"/>
            </w:pPr>
            <w:r w:rsidRPr="00F64F0A">
              <w:t>(0.63)</w:t>
            </w:r>
          </w:p>
        </w:tc>
        <w:tc>
          <w:tcPr>
            <w:tcW w:w="0" w:type="auto"/>
            <w:shd w:val="clear" w:color="auto" w:fill="auto"/>
            <w:vAlign w:val="center"/>
          </w:tcPr>
          <w:p w14:paraId="69E4E702" w14:textId="77777777" w:rsidR="00BA5A6A" w:rsidRPr="00F64F0A" w:rsidRDefault="00BA5A6A" w:rsidP="00BA5A6A">
            <w:pPr>
              <w:pStyle w:val="TblTextCenter"/>
            </w:pPr>
            <w:r w:rsidRPr="00F64F0A">
              <w:t>-5.6</w:t>
            </w:r>
          </w:p>
          <w:p w14:paraId="0D7F389B" w14:textId="77777777" w:rsidR="00BA5A6A" w:rsidRPr="00F64F0A" w:rsidRDefault="00BA5A6A" w:rsidP="00BA5A6A">
            <w:pPr>
              <w:pStyle w:val="TblTextCenter"/>
            </w:pPr>
            <w:r w:rsidRPr="00F64F0A">
              <w:t>(0.66)</w:t>
            </w:r>
          </w:p>
        </w:tc>
      </w:tr>
      <w:tr w:rsidR="00BA5A6A" w:rsidRPr="00F64F0A" w14:paraId="702F4A3C" w14:textId="77777777" w:rsidTr="00BA5A6A">
        <w:trPr>
          <w:cantSplit/>
          <w:trHeight w:val="467"/>
          <w:jc w:val="center"/>
        </w:trPr>
        <w:tc>
          <w:tcPr>
            <w:tcW w:w="0" w:type="auto"/>
            <w:shd w:val="clear" w:color="auto" w:fill="auto"/>
          </w:tcPr>
          <w:p w14:paraId="1C0DE5C2" w14:textId="77777777" w:rsidR="00BA5A6A" w:rsidRPr="00F64F0A" w:rsidRDefault="00BA5A6A" w:rsidP="00BA5A6A">
            <w:pPr>
              <w:pStyle w:val="TblTextCenter"/>
              <w:jc w:val="both"/>
            </w:pPr>
            <w:r w:rsidRPr="00F64F0A">
              <w:t>CDLQI, (≥6-point improvement), % responders</w:t>
            </w:r>
          </w:p>
        </w:tc>
        <w:tc>
          <w:tcPr>
            <w:tcW w:w="0" w:type="auto"/>
            <w:shd w:val="clear" w:color="auto" w:fill="auto"/>
            <w:vAlign w:val="center"/>
          </w:tcPr>
          <w:p w14:paraId="5C341512" w14:textId="77777777" w:rsidR="00BA5A6A" w:rsidRPr="00F64F0A" w:rsidRDefault="00BA5A6A" w:rsidP="00BA5A6A">
            <w:pPr>
              <w:pStyle w:val="TblTextCenter"/>
            </w:pPr>
            <w:r w:rsidRPr="00F64F0A">
              <w:t>81.8%</w:t>
            </w:r>
          </w:p>
        </w:tc>
        <w:tc>
          <w:tcPr>
            <w:tcW w:w="0" w:type="auto"/>
            <w:shd w:val="clear" w:color="auto" w:fill="auto"/>
            <w:vAlign w:val="center"/>
          </w:tcPr>
          <w:p w14:paraId="55194C53" w14:textId="77777777" w:rsidR="00BA5A6A" w:rsidRPr="00F64F0A" w:rsidRDefault="00BA5A6A" w:rsidP="00BA5A6A">
            <w:pPr>
              <w:pStyle w:val="TblTextCenter"/>
            </w:pPr>
            <w:r w:rsidRPr="00F64F0A">
              <w:t>48.3%</w:t>
            </w:r>
          </w:p>
        </w:tc>
        <w:tc>
          <w:tcPr>
            <w:tcW w:w="0" w:type="auto"/>
            <w:shd w:val="clear" w:color="auto" w:fill="auto"/>
            <w:vAlign w:val="center"/>
          </w:tcPr>
          <w:p w14:paraId="4691DE80" w14:textId="77777777" w:rsidR="00BA5A6A" w:rsidRPr="00F64F0A" w:rsidRDefault="00BA5A6A" w:rsidP="00BA5A6A">
            <w:pPr>
              <w:pStyle w:val="TblTextCenter"/>
            </w:pPr>
            <w:r w:rsidRPr="00F64F0A">
              <w:t>80.8%</w:t>
            </w:r>
          </w:p>
        </w:tc>
        <w:tc>
          <w:tcPr>
            <w:tcW w:w="0" w:type="auto"/>
            <w:shd w:val="clear" w:color="auto" w:fill="auto"/>
            <w:vAlign w:val="center"/>
          </w:tcPr>
          <w:p w14:paraId="65119FE0" w14:textId="77777777" w:rsidR="00BA5A6A" w:rsidRPr="00F64F0A" w:rsidRDefault="00BA5A6A" w:rsidP="00BA5A6A">
            <w:pPr>
              <w:pStyle w:val="TblTextCenter"/>
            </w:pPr>
            <w:r w:rsidRPr="00F64F0A">
              <w:t>35.8%</w:t>
            </w:r>
          </w:p>
        </w:tc>
      </w:tr>
      <w:tr w:rsidR="00BA5A6A" w:rsidRPr="00F64F0A" w14:paraId="2F877CB2" w14:textId="77777777" w:rsidTr="00BA5A6A">
        <w:trPr>
          <w:cantSplit/>
          <w:trHeight w:val="512"/>
          <w:jc w:val="center"/>
        </w:trPr>
        <w:tc>
          <w:tcPr>
            <w:tcW w:w="0" w:type="auto"/>
            <w:shd w:val="clear" w:color="auto" w:fill="auto"/>
          </w:tcPr>
          <w:p w14:paraId="613FD548" w14:textId="77777777" w:rsidR="00BA5A6A" w:rsidRPr="00F64F0A" w:rsidRDefault="00BA5A6A" w:rsidP="00BA5A6A">
            <w:pPr>
              <w:pStyle w:val="TblTextCenter"/>
              <w:jc w:val="both"/>
            </w:pPr>
            <w:r w:rsidRPr="00F64F0A">
              <w:t>POEM, LS mean change from baseline (+/- SE)</w:t>
            </w:r>
          </w:p>
        </w:tc>
        <w:tc>
          <w:tcPr>
            <w:tcW w:w="0" w:type="auto"/>
            <w:shd w:val="clear" w:color="auto" w:fill="auto"/>
            <w:vAlign w:val="center"/>
          </w:tcPr>
          <w:p w14:paraId="68E6242A" w14:textId="77777777" w:rsidR="00BA5A6A" w:rsidRPr="00F64F0A" w:rsidRDefault="00BA5A6A" w:rsidP="00BA5A6A">
            <w:pPr>
              <w:pStyle w:val="TblTextCenter"/>
            </w:pPr>
            <w:r w:rsidRPr="00F64F0A">
              <w:t>-14.0</w:t>
            </w:r>
          </w:p>
          <w:p w14:paraId="60064682" w14:textId="77777777" w:rsidR="00BA5A6A" w:rsidRPr="00F64F0A" w:rsidRDefault="00BA5A6A" w:rsidP="00BA5A6A">
            <w:pPr>
              <w:pStyle w:val="TblTextCenter"/>
            </w:pPr>
            <w:r w:rsidRPr="00F64F0A">
              <w:t>(0.95)</w:t>
            </w:r>
          </w:p>
        </w:tc>
        <w:tc>
          <w:tcPr>
            <w:tcW w:w="0" w:type="auto"/>
            <w:shd w:val="clear" w:color="auto" w:fill="auto"/>
            <w:vAlign w:val="center"/>
          </w:tcPr>
          <w:p w14:paraId="6BCBCE9A" w14:textId="77777777" w:rsidR="00BA5A6A" w:rsidRPr="00F64F0A" w:rsidRDefault="00BA5A6A" w:rsidP="00BA5A6A">
            <w:pPr>
              <w:pStyle w:val="TblTextCenter"/>
            </w:pPr>
            <w:r w:rsidRPr="00F64F0A">
              <w:t>-5.9</w:t>
            </w:r>
          </w:p>
          <w:p w14:paraId="04C1E0EF" w14:textId="77777777" w:rsidR="00BA5A6A" w:rsidRPr="00F64F0A" w:rsidRDefault="00BA5A6A" w:rsidP="00BA5A6A">
            <w:pPr>
              <w:pStyle w:val="TblTextCenter"/>
            </w:pPr>
            <w:r w:rsidRPr="00F64F0A">
              <w:t>(1.04)</w:t>
            </w:r>
          </w:p>
        </w:tc>
        <w:tc>
          <w:tcPr>
            <w:tcW w:w="0" w:type="auto"/>
            <w:shd w:val="clear" w:color="auto" w:fill="auto"/>
            <w:vAlign w:val="center"/>
          </w:tcPr>
          <w:p w14:paraId="1CDEF563" w14:textId="77777777" w:rsidR="00BA5A6A" w:rsidRPr="00F64F0A" w:rsidRDefault="00BA5A6A" w:rsidP="00BA5A6A">
            <w:pPr>
              <w:pStyle w:val="TblTextCenter"/>
            </w:pPr>
            <w:r w:rsidRPr="00F64F0A">
              <w:t>-13.6</w:t>
            </w:r>
          </w:p>
          <w:p w14:paraId="30789229" w14:textId="77777777" w:rsidR="00BA5A6A" w:rsidRPr="00F64F0A" w:rsidRDefault="00BA5A6A" w:rsidP="00BA5A6A">
            <w:pPr>
              <w:pStyle w:val="TblTextCenter"/>
            </w:pPr>
            <w:r w:rsidRPr="00F64F0A">
              <w:t>(0.90)</w:t>
            </w:r>
          </w:p>
        </w:tc>
        <w:tc>
          <w:tcPr>
            <w:tcW w:w="0" w:type="auto"/>
            <w:shd w:val="clear" w:color="auto" w:fill="auto"/>
            <w:vAlign w:val="center"/>
          </w:tcPr>
          <w:p w14:paraId="1C8BF568" w14:textId="77777777" w:rsidR="00BA5A6A" w:rsidRPr="00F64F0A" w:rsidRDefault="00BA5A6A" w:rsidP="00BA5A6A">
            <w:pPr>
              <w:pStyle w:val="TblTextCenter"/>
            </w:pPr>
            <w:r w:rsidRPr="00F64F0A">
              <w:t>-4.7</w:t>
            </w:r>
          </w:p>
          <w:p w14:paraId="40524756" w14:textId="77777777" w:rsidR="00BA5A6A" w:rsidRPr="00F64F0A" w:rsidRDefault="00BA5A6A" w:rsidP="00BA5A6A">
            <w:pPr>
              <w:pStyle w:val="TblTextCenter"/>
            </w:pPr>
            <w:r w:rsidRPr="00F64F0A">
              <w:t>(0.91)</w:t>
            </w:r>
          </w:p>
        </w:tc>
      </w:tr>
      <w:tr w:rsidR="00BA5A6A" w:rsidRPr="00F64F0A" w14:paraId="4C839B05" w14:textId="77777777" w:rsidTr="00BA5A6A">
        <w:trPr>
          <w:cantSplit/>
          <w:trHeight w:val="530"/>
          <w:jc w:val="center"/>
        </w:trPr>
        <w:tc>
          <w:tcPr>
            <w:tcW w:w="0" w:type="auto"/>
            <w:tcBorders>
              <w:bottom w:val="single" w:sz="12" w:space="0" w:color="auto"/>
            </w:tcBorders>
            <w:shd w:val="clear" w:color="auto" w:fill="auto"/>
          </w:tcPr>
          <w:p w14:paraId="7BC772F4" w14:textId="77777777" w:rsidR="00BA5A6A" w:rsidRPr="00F64F0A" w:rsidRDefault="00BA5A6A" w:rsidP="00BA5A6A">
            <w:pPr>
              <w:pStyle w:val="TblTextCenter"/>
              <w:jc w:val="both"/>
            </w:pPr>
            <w:r w:rsidRPr="00F64F0A">
              <w:t>POEM, (≥6-point improvement), % responders</w:t>
            </w:r>
          </w:p>
        </w:tc>
        <w:tc>
          <w:tcPr>
            <w:tcW w:w="0" w:type="auto"/>
            <w:tcBorders>
              <w:bottom w:val="single" w:sz="12" w:space="0" w:color="auto"/>
            </w:tcBorders>
            <w:shd w:val="clear" w:color="auto" w:fill="auto"/>
            <w:vAlign w:val="center"/>
          </w:tcPr>
          <w:p w14:paraId="2D9206FC" w14:textId="77777777" w:rsidR="00BA5A6A" w:rsidRPr="00F64F0A" w:rsidRDefault="00BA5A6A" w:rsidP="00BA5A6A">
            <w:pPr>
              <w:pStyle w:val="TblTextCenter"/>
            </w:pPr>
            <w:r w:rsidRPr="00F64F0A">
              <w:t>81.4%</w:t>
            </w:r>
          </w:p>
        </w:tc>
        <w:tc>
          <w:tcPr>
            <w:tcW w:w="0" w:type="auto"/>
            <w:tcBorders>
              <w:bottom w:val="single" w:sz="12" w:space="0" w:color="auto"/>
            </w:tcBorders>
            <w:shd w:val="clear" w:color="auto" w:fill="auto"/>
            <w:vAlign w:val="center"/>
          </w:tcPr>
          <w:p w14:paraId="5622AD44" w14:textId="77777777" w:rsidR="00BA5A6A" w:rsidRPr="00F64F0A" w:rsidRDefault="00BA5A6A" w:rsidP="00BA5A6A">
            <w:pPr>
              <w:pStyle w:val="TblTextCenter"/>
            </w:pPr>
            <w:r w:rsidRPr="00F64F0A">
              <w:t>32.8%</w:t>
            </w:r>
          </w:p>
        </w:tc>
        <w:tc>
          <w:tcPr>
            <w:tcW w:w="0" w:type="auto"/>
            <w:tcBorders>
              <w:bottom w:val="single" w:sz="12" w:space="0" w:color="auto"/>
            </w:tcBorders>
            <w:shd w:val="clear" w:color="auto" w:fill="auto"/>
            <w:vAlign w:val="center"/>
          </w:tcPr>
          <w:p w14:paraId="0B5DDAA1" w14:textId="77777777" w:rsidR="00BA5A6A" w:rsidRPr="00F64F0A" w:rsidRDefault="00BA5A6A" w:rsidP="00BA5A6A">
            <w:pPr>
              <w:pStyle w:val="TblTextCenter"/>
            </w:pPr>
            <w:r w:rsidRPr="00F64F0A">
              <w:t>79.3%</w:t>
            </w:r>
          </w:p>
        </w:tc>
        <w:tc>
          <w:tcPr>
            <w:tcW w:w="0" w:type="auto"/>
            <w:tcBorders>
              <w:bottom w:val="single" w:sz="12" w:space="0" w:color="auto"/>
            </w:tcBorders>
            <w:shd w:val="clear" w:color="auto" w:fill="auto"/>
            <w:vAlign w:val="center"/>
          </w:tcPr>
          <w:p w14:paraId="2A990C8F" w14:textId="77777777" w:rsidR="00BA5A6A" w:rsidRPr="00F64F0A" w:rsidRDefault="00BA5A6A" w:rsidP="00BA5A6A">
            <w:pPr>
              <w:pStyle w:val="TblTextCenter"/>
            </w:pPr>
            <w:r w:rsidRPr="00F64F0A">
              <w:t>31.1%</w:t>
            </w:r>
          </w:p>
        </w:tc>
      </w:tr>
      <w:tr w:rsidR="00BA5A6A" w:rsidRPr="00BA5A6A" w14:paraId="1C9114F1" w14:textId="77777777" w:rsidTr="00BA5A6A">
        <w:trPr>
          <w:cantSplit/>
          <w:trHeight w:val="530"/>
          <w:jc w:val="center"/>
        </w:trPr>
        <w:tc>
          <w:tcPr>
            <w:tcW w:w="0" w:type="auto"/>
            <w:gridSpan w:val="5"/>
            <w:tcBorders>
              <w:top w:val="single" w:sz="12" w:space="0" w:color="auto"/>
            </w:tcBorders>
            <w:shd w:val="clear" w:color="auto" w:fill="auto"/>
          </w:tcPr>
          <w:p w14:paraId="766E1756" w14:textId="069BF9D8" w:rsidR="00BA5A6A" w:rsidRPr="00F64F0A" w:rsidRDefault="00BA5A6A" w:rsidP="00BA5A6A">
            <w:pPr>
              <w:pStyle w:val="TblFigFootnote"/>
            </w:pPr>
            <w:proofErr w:type="spellStart"/>
            <w:r w:rsidRPr="00F64F0A">
              <w:rPr>
                <w:vertAlign w:val="superscript"/>
              </w:rPr>
              <w:t>a</w:t>
            </w:r>
            <w:r w:rsidRPr="00F64F0A">
              <w:t>Full</w:t>
            </w:r>
            <w:proofErr w:type="spellEnd"/>
            <w:r w:rsidRPr="00F64F0A">
              <w:t xml:space="preserve"> Analysis Set (FAS) includes all patients </w:t>
            </w:r>
            <w:proofErr w:type="spellStart"/>
            <w:r w:rsidRPr="00F64F0A">
              <w:t>randomi</w:t>
            </w:r>
            <w:r w:rsidR="00E54EBF" w:rsidRPr="00F64F0A">
              <w:t>s</w:t>
            </w:r>
            <w:r w:rsidRPr="00F64F0A">
              <w:t>ed</w:t>
            </w:r>
            <w:proofErr w:type="spellEnd"/>
            <w:r w:rsidRPr="00F64F0A">
              <w:t>.</w:t>
            </w:r>
          </w:p>
          <w:p w14:paraId="78823FDD" w14:textId="77777777" w:rsidR="00BA5A6A" w:rsidRPr="00F64F0A" w:rsidRDefault="00BA5A6A" w:rsidP="00BA5A6A">
            <w:pPr>
              <w:pStyle w:val="TblFigFootnote"/>
            </w:pPr>
            <w:proofErr w:type="spellStart"/>
            <w:r w:rsidRPr="00F64F0A">
              <w:rPr>
                <w:vertAlign w:val="superscript"/>
              </w:rPr>
              <w:t>b</w:t>
            </w:r>
            <w:r w:rsidRPr="00F64F0A">
              <w:t>Responder</w:t>
            </w:r>
            <w:proofErr w:type="spellEnd"/>
            <w:r w:rsidRPr="00F64F0A">
              <w:t xml:space="preserve"> was defined as a patient with an IGA 0 or 1 (“clear” or “almost clear”).</w:t>
            </w:r>
          </w:p>
          <w:p w14:paraId="37D90AC8" w14:textId="77777777" w:rsidR="00BA5A6A" w:rsidRPr="00F64F0A" w:rsidRDefault="00BA5A6A" w:rsidP="00BA5A6A">
            <w:pPr>
              <w:pStyle w:val="TblFigFootnote"/>
            </w:pPr>
            <w:proofErr w:type="spellStart"/>
            <w:r w:rsidRPr="00F64F0A">
              <w:rPr>
                <w:vertAlign w:val="superscript"/>
              </w:rPr>
              <w:t>c</w:t>
            </w:r>
            <w:r w:rsidRPr="00F64F0A">
              <w:t>Patients</w:t>
            </w:r>
            <w:proofErr w:type="spellEnd"/>
            <w:r w:rsidRPr="00F64F0A">
              <w:t xml:space="preserve"> who received rescue treatment or with missing data were considered as non-responders.</w:t>
            </w:r>
          </w:p>
          <w:p w14:paraId="1C7F5A1F" w14:textId="77777777" w:rsidR="00BA5A6A" w:rsidRPr="00F64F0A" w:rsidRDefault="00BA5A6A" w:rsidP="00BA5A6A">
            <w:pPr>
              <w:pStyle w:val="TblFigFootnote"/>
            </w:pPr>
            <w:r w:rsidRPr="00F64F0A">
              <w:t xml:space="preserve"> </w:t>
            </w:r>
            <w:proofErr w:type="spellStart"/>
            <w:r w:rsidRPr="00F64F0A">
              <w:rPr>
                <w:vertAlign w:val="superscript"/>
              </w:rPr>
              <w:t>d</w:t>
            </w:r>
            <w:r w:rsidRPr="00F64F0A">
              <w:t>At</w:t>
            </w:r>
            <w:proofErr w:type="spellEnd"/>
            <w:r w:rsidRPr="00F64F0A">
              <w:t xml:space="preserve"> Day 1, patients received 600 mg of dupilumab.</w:t>
            </w:r>
          </w:p>
          <w:p w14:paraId="72615F47" w14:textId="5CB12B54" w:rsidR="00BA5A6A" w:rsidRPr="00BA5A6A" w:rsidRDefault="00BA5A6A" w:rsidP="00BA5A6A">
            <w:pPr>
              <w:pStyle w:val="TblFigFootnote"/>
              <w:rPr>
                <w:color w:val="0000FF"/>
                <w:u w:val="double"/>
              </w:rPr>
            </w:pPr>
            <w:proofErr w:type="spellStart"/>
            <w:r w:rsidRPr="00F64F0A">
              <w:rPr>
                <w:vertAlign w:val="superscript"/>
              </w:rPr>
              <w:t>e</w:t>
            </w:r>
            <w:r w:rsidRPr="00F64F0A">
              <w:t>At</w:t>
            </w:r>
            <w:proofErr w:type="spellEnd"/>
            <w:r w:rsidRPr="00F64F0A">
              <w:t xml:space="preserve"> Day 1, patients received 200 mg (baseline weight &lt;30 kg) or 400 mg (baseline weight ≥30 kg) of dupilumab.</w:t>
            </w:r>
          </w:p>
        </w:tc>
      </w:tr>
    </w:tbl>
    <w:bookmarkEnd w:id="27"/>
    <w:p w14:paraId="58A3E344" w14:textId="682FF396" w:rsidR="00BA5A6A" w:rsidRDefault="00BA5A6A" w:rsidP="00BA5A6A">
      <w:r w:rsidRPr="00F64F0A">
        <w:rPr>
          <w:color w:val="auto"/>
        </w:rPr>
        <w:t xml:space="preserve">A greater proportion of patients </w:t>
      </w:r>
      <w:proofErr w:type="spellStart"/>
      <w:r w:rsidRPr="00F64F0A">
        <w:rPr>
          <w:color w:val="auto"/>
        </w:rPr>
        <w:t>randomi</w:t>
      </w:r>
      <w:r w:rsidR="00E54EBF" w:rsidRPr="00F64F0A">
        <w:rPr>
          <w:color w:val="auto"/>
        </w:rPr>
        <w:t>s</w:t>
      </w:r>
      <w:r w:rsidRPr="00F64F0A">
        <w:rPr>
          <w:color w:val="auto"/>
        </w:rPr>
        <w:t>ed</w:t>
      </w:r>
      <w:proofErr w:type="spellEnd"/>
      <w:r w:rsidRPr="00F64F0A">
        <w:rPr>
          <w:color w:val="auto"/>
        </w:rPr>
        <w:t xml:space="preserve"> to Dupixent + TCS achieved an improvement in the peak pruritus NRS compared to placebo + TCS (defined as ≥4-point improvement at week 4).  See </w:t>
      </w:r>
      <w:r w:rsidRPr="00F64F0A">
        <w:rPr>
          <w:color w:val="0000FF"/>
        </w:rPr>
        <w:fldChar w:fldCharType="begin"/>
      </w:r>
      <w:r w:rsidRPr="00F64F0A">
        <w:rPr>
          <w:color w:val="0000FF"/>
        </w:rPr>
        <w:instrText xml:space="preserve"> REF _Ref41521405 \h  \* MERGEFORMAT </w:instrText>
      </w:r>
      <w:r w:rsidRPr="00F64F0A">
        <w:rPr>
          <w:color w:val="0000FF"/>
        </w:rPr>
      </w:r>
      <w:r w:rsidRPr="00F64F0A">
        <w:rPr>
          <w:color w:val="0000FF"/>
        </w:rPr>
        <w:fldChar w:fldCharType="separate"/>
      </w:r>
      <w:r w:rsidR="00E123A5" w:rsidRPr="00E123A5">
        <w:rPr>
          <w:color w:val="0000FF"/>
        </w:rPr>
        <w:t>Figure 6</w:t>
      </w:r>
      <w:r w:rsidRPr="00F64F0A">
        <w:rPr>
          <w:color w:val="0000FF"/>
        </w:rPr>
        <w:fldChar w:fldCharType="end"/>
      </w:r>
      <w:r w:rsidRPr="00F64F0A">
        <w:rPr>
          <w:color w:val="0000FF"/>
        </w:rPr>
        <w:t>.</w:t>
      </w:r>
    </w:p>
    <w:p w14:paraId="14019402" w14:textId="7E5F68B4" w:rsidR="00BA5A6A" w:rsidRPr="00F64F0A" w:rsidRDefault="00BA5A6A" w:rsidP="00BA5A6A">
      <w:pPr>
        <w:pStyle w:val="Caption"/>
        <w:rPr>
          <w:lang w:val="en-AU"/>
        </w:rPr>
      </w:pPr>
      <w:r w:rsidRPr="00F64F0A">
        <w:lastRenderedPageBreak/>
        <w:t xml:space="preserve"> </w:t>
      </w:r>
      <w:bookmarkStart w:id="28" w:name="_Ref41521405"/>
      <w:r w:rsidRPr="00F64F0A">
        <w:t>Figure </w:t>
      </w:r>
      <w:r w:rsidRPr="00F64F0A">
        <w:fldChar w:fldCharType="begin"/>
      </w:r>
      <w:r w:rsidRPr="00F64F0A">
        <w:instrText xml:space="preserve"> SEQ Figure \* ARABIC </w:instrText>
      </w:r>
      <w:r w:rsidRPr="00F64F0A">
        <w:fldChar w:fldCharType="separate"/>
      </w:r>
      <w:r w:rsidR="00E123A5">
        <w:rPr>
          <w:noProof/>
        </w:rPr>
        <w:t>6</w:t>
      </w:r>
      <w:r w:rsidRPr="00F64F0A">
        <w:fldChar w:fldCharType="end"/>
      </w:r>
      <w:bookmarkEnd w:id="28"/>
      <w:r w:rsidRPr="00F64F0A">
        <w:t xml:space="preserve"> ­ </w:t>
      </w:r>
      <w:r w:rsidRPr="00F64F0A">
        <w:rPr>
          <w:lang w:val="en-AU"/>
        </w:rPr>
        <w:t>Proportion of Paediatric Subjects with ≥4-point Improvement on the Peak Pruritus NRS in AD-1652</w:t>
      </w:r>
      <w:r w:rsidRPr="00F64F0A">
        <w:rPr>
          <w:vertAlign w:val="superscript"/>
          <w:lang w:val="en-AU"/>
        </w:rPr>
        <w:t>a</w:t>
      </w:r>
      <w:r w:rsidRPr="00F64F0A">
        <w:rPr>
          <w:lang w:val="en-AU"/>
        </w:rPr>
        <w:t xml:space="preserve"> (FAS)</w:t>
      </w:r>
    </w:p>
    <w:p w14:paraId="160FC15F" w14:textId="41360F00" w:rsidR="00BA5A6A" w:rsidRDefault="00BA5A6A" w:rsidP="00BA5A6A">
      <w:pPr>
        <w:spacing w:before="0"/>
        <w:jc w:val="center"/>
      </w:pPr>
      <w:r w:rsidRPr="003408D0">
        <w:rPr>
          <w:noProof/>
          <w:u w:val="double"/>
        </w:rPr>
        <w:drawing>
          <wp:inline distT="0" distB="0" distL="0" distR="0" wp14:anchorId="757A0724" wp14:editId="4BAEA128">
            <wp:extent cx="3735070" cy="3129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070" cy="3129915"/>
                    </a:xfrm>
                    <a:prstGeom prst="rect">
                      <a:avLst/>
                    </a:prstGeom>
                    <a:noFill/>
                    <a:ln>
                      <a:noFill/>
                    </a:ln>
                  </pic:spPr>
                </pic:pic>
              </a:graphicData>
            </a:graphic>
          </wp:inline>
        </w:drawing>
      </w:r>
    </w:p>
    <w:p w14:paraId="51EA553B" w14:textId="77777777" w:rsidR="003408D0" w:rsidRDefault="003408D0" w:rsidP="00BA5A6A">
      <w:pPr>
        <w:spacing w:before="0"/>
        <w:jc w:val="center"/>
      </w:pPr>
    </w:p>
    <w:p w14:paraId="32708BAB" w14:textId="77777777" w:rsidR="00204DA1" w:rsidRPr="00F64F0A" w:rsidRDefault="00204DA1" w:rsidP="00204DA1">
      <w:pPr>
        <w:pStyle w:val="C-Footnote"/>
        <w:ind w:left="864" w:hanging="144"/>
        <w:rPr>
          <w:rFonts w:ascii="Arial Narrow" w:hAnsi="Arial Narrow" w:cs="Times New Roman"/>
        </w:rPr>
      </w:pPr>
      <w:proofErr w:type="spellStart"/>
      <w:r w:rsidRPr="00F64F0A">
        <w:rPr>
          <w:rFonts w:ascii="Arial Narrow" w:eastAsia="MS Mincho" w:hAnsi="Arial Narrow"/>
          <w:vertAlign w:val="superscript"/>
        </w:rPr>
        <w:t>a</w:t>
      </w:r>
      <w:r w:rsidRPr="00F64F0A">
        <w:rPr>
          <w:rFonts w:ascii="Arial Narrow" w:hAnsi="Arial Narrow" w:cs="Times New Roman"/>
        </w:rPr>
        <w:t>In</w:t>
      </w:r>
      <w:proofErr w:type="spellEnd"/>
      <w:r w:rsidRPr="00F64F0A">
        <w:rPr>
          <w:rFonts w:ascii="Arial Narrow" w:hAnsi="Arial Narrow" w:cs="Times New Roman"/>
        </w:rPr>
        <w:t xml:space="preserve"> the primary analyses of the efficacy endpoints, patients who received rescue treatment or with missing data were considered non</w:t>
      </w:r>
      <w:r w:rsidRPr="00F64F0A">
        <w:rPr>
          <w:rFonts w:ascii="Arial Narrow" w:hAnsi="Arial Narrow" w:cs="Times New Roman"/>
        </w:rPr>
        <w:noBreakHyphen/>
        <w:t>responders.</w:t>
      </w:r>
    </w:p>
    <w:p w14:paraId="0599A722" w14:textId="79D2EC3B" w:rsidR="00BA5A6A" w:rsidRPr="00F64F0A" w:rsidRDefault="00204DA1" w:rsidP="00204DA1">
      <w:pPr>
        <w:pStyle w:val="C-Footnote"/>
        <w:ind w:left="864" w:hanging="144"/>
        <w:rPr>
          <w:rFonts w:ascii="Arial Narrow" w:hAnsi="Arial Narrow" w:cs="Times New Roman"/>
        </w:rPr>
      </w:pPr>
      <w:proofErr w:type="spellStart"/>
      <w:r w:rsidRPr="00F64F0A">
        <w:rPr>
          <w:rFonts w:ascii="Arial Narrow" w:eastAsia="MS Mincho" w:hAnsi="Arial Narrow"/>
          <w:vertAlign w:val="superscript"/>
        </w:rPr>
        <w:t>b</w:t>
      </w:r>
      <w:r w:rsidRPr="00F64F0A">
        <w:rPr>
          <w:rFonts w:ascii="Arial Narrow" w:hAnsi="Arial Narrow" w:cs="Times New Roman"/>
        </w:rPr>
        <w:t>Full</w:t>
      </w:r>
      <w:proofErr w:type="spellEnd"/>
      <w:r w:rsidRPr="00F64F0A">
        <w:rPr>
          <w:rFonts w:ascii="Arial Narrow" w:hAnsi="Arial Narrow" w:cs="Times New Roman"/>
        </w:rPr>
        <w:t xml:space="preserve"> Analysis Set (FAS) includes all patients </w:t>
      </w:r>
      <w:proofErr w:type="spellStart"/>
      <w:r w:rsidRPr="00F64F0A">
        <w:rPr>
          <w:rFonts w:ascii="Arial Narrow" w:hAnsi="Arial Narrow" w:cs="Times New Roman"/>
        </w:rPr>
        <w:t>randomi</w:t>
      </w:r>
      <w:r w:rsidR="00E54EBF" w:rsidRPr="00F64F0A">
        <w:rPr>
          <w:rFonts w:ascii="Arial Narrow" w:hAnsi="Arial Narrow" w:cs="Times New Roman"/>
        </w:rPr>
        <w:t>s</w:t>
      </w:r>
      <w:r w:rsidRPr="00F64F0A">
        <w:rPr>
          <w:rFonts w:ascii="Arial Narrow" w:hAnsi="Arial Narrow" w:cs="Times New Roman"/>
        </w:rPr>
        <w:t>ed</w:t>
      </w:r>
      <w:proofErr w:type="spellEnd"/>
    </w:p>
    <w:p w14:paraId="2BBD9B94" w14:textId="77777777" w:rsidR="008266FA" w:rsidRDefault="008266FA" w:rsidP="00204DA1">
      <w:pPr>
        <w:pStyle w:val="C-Footnote"/>
        <w:ind w:left="864" w:hanging="144"/>
        <w:rPr>
          <w:rFonts w:ascii="Arial Narrow" w:hAnsi="Arial Narrow" w:cs="Times New Roman"/>
          <w:color w:val="0000FF"/>
          <w:u w:val="double"/>
        </w:rPr>
      </w:pPr>
    </w:p>
    <w:p w14:paraId="49533410" w14:textId="3C3993D4" w:rsidR="00204DA1" w:rsidRPr="00F64F0A" w:rsidRDefault="00204DA1" w:rsidP="00204DA1">
      <w:pPr>
        <w:rPr>
          <w:color w:val="auto"/>
        </w:rPr>
      </w:pPr>
      <w:r w:rsidRPr="00F64F0A">
        <w:rPr>
          <w:color w:val="auto"/>
        </w:rPr>
        <w:t xml:space="preserve">The Dupixent groups significantly improved patient-reported symptoms, the impact of AD on sleep and health-related quality of life as measured by POEM, SCORAD, and CDLQI scores at 16 weeks compared to placebo. </w:t>
      </w:r>
    </w:p>
    <w:p w14:paraId="69E85A35" w14:textId="52D51D33" w:rsidR="00204DA1" w:rsidRPr="00F64F0A" w:rsidRDefault="00204DA1" w:rsidP="00204DA1">
      <w:pPr>
        <w:rPr>
          <w:color w:val="auto"/>
        </w:rPr>
      </w:pPr>
      <w:r w:rsidRPr="00F64F0A">
        <w:rPr>
          <w:color w:val="auto"/>
        </w:rPr>
        <w:t>The long-term efficacy of Dupixent + TCS in p</w:t>
      </w:r>
      <w:r w:rsidR="00E54EBF" w:rsidRPr="00F64F0A">
        <w:rPr>
          <w:color w:val="auto"/>
        </w:rPr>
        <w:t>a</w:t>
      </w:r>
      <w:r w:rsidRPr="00F64F0A">
        <w:rPr>
          <w:color w:val="auto"/>
        </w:rPr>
        <w:t>ediatric patients with atopic dermatitis who had participated in the previous clinical trials of Dupixent + TCS was assessed in an open-label extension study (AD-1434). Efficacy data from this trial suggests that clinical benefit provided at Week 16 was sustained through Week 52.</w:t>
      </w:r>
    </w:p>
    <w:p w14:paraId="4D3DE4C5" w14:textId="77777777" w:rsidR="000774B1" w:rsidRPr="00E26ADF" w:rsidRDefault="000774B1" w:rsidP="006D2947">
      <w:pPr>
        <w:pStyle w:val="Heading4"/>
        <w:numPr>
          <w:ilvl w:val="0"/>
          <w:numId w:val="0"/>
        </w:numPr>
        <w:ind w:left="862" w:hanging="862"/>
        <w:rPr>
          <w:lang w:val="en-AU"/>
        </w:rPr>
      </w:pPr>
      <w:r w:rsidRPr="00E26ADF">
        <w:rPr>
          <w:lang w:val="en-AU"/>
        </w:rPr>
        <w:t>Asthma</w:t>
      </w:r>
    </w:p>
    <w:p w14:paraId="5A7E435D" w14:textId="1EA0E575" w:rsidR="000774B1" w:rsidRPr="00E26ADF" w:rsidRDefault="000774B1" w:rsidP="00CE00B3">
      <w:r w:rsidRPr="00E26ADF">
        <w:t xml:space="preserve">The asthma development program included three </w:t>
      </w:r>
      <w:proofErr w:type="spellStart"/>
      <w:r w:rsidRPr="00E26ADF">
        <w:t>randomi</w:t>
      </w:r>
      <w:r w:rsidR="002B505B" w:rsidRPr="00F64F0A">
        <w:t>s</w:t>
      </w:r>
      <w:r w:rsidRPr="00E26ADF">
        <w:t>ed</w:t>
      </w:r>
      <w:proofErr w:type="spellEnd"/>
      <w:r w:rsidRPr="00E26ADF">
        <w:t>, double-blind, placebo-controlled, parallel-group, multi-</w:t>
      </w:r>
      <w:proofErr w:type="spellStart"/>
      <w:r w:rsidRPr="00E26ADF">
        <w:t>centr</w:t>
      </w:r>
      <w:r w:rsidR="004A3827" w:rsidRPr="00F64F0A">
        <w:t>e</w:t>
      </w:r>
      <w:proofErr w:type="spellEnd"/>
      <w:r w:rsidRPr="00E26ADF">
        <w:t xml:space="preserve"> studies (DRI12544, Quest, and Venture) of 24 to 52 weeks in treatment duration which enrolled a total of 2888 patients (12 years of age and older).</w:t>
      </w:r>
    </w:p>
    <w:p w14:paraId="2E296A6C" w14:textId="72206305" w:rsidR="00FA046D" w:rsidRPr="00E26ADF" w:rsidRDefault="000774B1" w:rsidP="00CE00B3">
      <w:r w:rsidRPr="00E26ADF">
        <w:t xml:space="preserve">Patients enrolled in DRI12544 and Quest studies were required to have a history of 1 or more asthma exacerbations that required treatment with systemic corticosteroids or emergency department visit or hospitalization for the treatment of asthma in the year prior to study entry. Patients enrolled in Venture study required dependence on daily oral corticosteroids in addition to regular use of high-dose inhaled corticosteroids plus an additional controller(s). </w:t>
      </w:r>
    </w:p>
    <w:p w14:paraId="42C75B13" w14:textId="407EF70A" w:rsidR="004E33F4" w:rsidRPr="00E26ADF" w:rsidRDefault="00FB7DD3" w:rsidP="00CE00B3">
      <w:r w:rsidRPr="00E26ADF">
        <w:lastRenderedPageBreak/>
        <w:t>The effects of Dupixent treatment discontinuation on severe exacerbations and FEV1 were assessed in the DRI12544 study during the 16-week follow-up period. Patients in both the overall and the baseline blood eosinophil count of ≥ 300 cells/</w:t>
      </w:r>
      <w:proofErr w:type="spellStart"/>
      <w:r w:rsidRPr="00E26ADF">
        <w:t>mcL</w:t>
      </w:r>
      <w:proofErr w:type="spellEnd"/>
      <w:r w:rsidRPr="00E26ADF">
        <w:t xml:space="preserve"> populations experienced a gradual return to baseline asthma status, with no evidence of rebound effect</w:t>
      </w:r>
      <w:r w:rsidR="006971FE" w:rsidRPr="00E26ADF">
        <w:t>.</w:t>
      </w:r>
    </w:p>
    <w:p w14:paraId="0D9C4FB9" w14:textId="5409196C" w:rsidR="000774B1" w:rsidRPr="00E26ADF" w:rsidRDefault="000774B1" w:rsidP="00CE00B3">
      <w:r w:rsidRPr="00E26ADF">
        <w:t>In all 3 studies, patients were enrolled without requiring a minimum baseline blood eosinophil or other Type 2 biomarker (</w:t>
      </w:r>
      <w:proofErr w:type="gramStart"/>
      <w:r w:rsidRPr="00E26ADF">
        <w:t>e.g.</w:t>
      </w:r>
      <w:proofErr w:type="gramEnd"/>
      <w:r w:rsidR="00FC2300" w:rsidRPr="00E26ADF">
        <w:t xml:space="preserve"> </w:t>
      </w:r>
      <w:proofErr w:type="spellStart"/>
      <w:r w:rsidRPr="00E26ADF">
        <w:t>FeNO</w:t>
      </w:r>
      <w:proofErr w:type="spellEnd"/>
      <w:r w:rsidRPr="00E26ADF">
        <w:t xml:space="preserve"> or </w:t>
      </w:r>
      <w:proofErr w:type="spellStart"/>
      <w:r w:rsidRPr="00E26ADF">
        <w:t>IgE</w:t>
      </w:r>
      <w:proofErr w:type="spellEnd"/>
      <w:r w:rsidRPr="00E26ADF">
        <w:t>) level.</w:t>
      </w:r>
    </w:p>
    <w:p w14:paraId="523210E0" w14:textId="2530A5B3" w:rsidR="000774B1" w:rsidRPr="00E26ADF" w:rsidRDefault="000774B1" w:rsidP="00CE00B3">
      <w:r w:rsidRPr="00E26ADF">
        <w:t xml:space="preserve">In </w:t>
      </w:r>
      <w:r w:rsidR="00FB7DD3" w:rsidRPr="00E26ADF">
        <w:t xml:space="preserve">the </w:t>
      </w:r>
      <w:r w:rsidRPr="00E26ADF">
        <w:t>Quest and Venture studies, patients with baseline blood eosinophil level of &gt;1500 c</w:t>
      </w:r>
      <w:r w:rsidR="00CE00B3" w:rsidRPr="00E26ADF">
        <w:t>ells/</w:t>
      </w:r>
      <w:proofErr w:type="spellStart"/>
      <w:r w:rsidR="00CE00B3" w:rsidRPr="00E26ADF">
        <w:t>mcL</w:t>
      </w:r>
      <w:proofErr w:type="spellEnd"/>
      <w:r w:rsidR="00CE00B3" w:rsidRPr="00E26ADF">
        <w:t xml:space="preserve"> (&lt;1.3%) were excluded.</w:t>
      </w:r>
    </w:p>
    <w:p w14:paraId="6BE6AE62" w14:textId="12CC0EB7" w:rsidR="004367AF" w:rsidRPr="00E26ADF" w:rsidRDefault="000774B1" w:rsidP="00CE00B3">
      <w:r w:rsidRPr="00E26ADF">
        <w:t xml:space="preserve">Dupixent was administered as add-on </w:t>
      </w:r>
      <w:r w:rsidR="00CE00B3" w:rsidRPr="00E26ADF">
        <w:t>to background asthma treatment.</w:t>
      </w:r>
    </w:p>
    <w:p w14:paraId="7C75897B" w14:textId="469B78CF" w:rsidR="000774B1" w:rsidRPr="00E26ADF" w:rsidRDefault="000774B1" w:rsidP="00CE00B3">
      <w:r w:rsidRPr="00E26ADF">
        <w:t xml:space="preserve">Patients continued background asthma therapy throughout the duration of the studies except in Venture study in which OCS dose </w:t>
      </w:r>
      <w:r w:rsidR="00CE00B3" w:rsidRPr="00E26ADF">
        <w:t>was tapered as described below.</w:t>
      </w:r>
    </w:p>
    <w:p w14:paraId="2F771978" w14:textId="77777777" w:rsidR="000774B1" w:rsidRPr="00E26ADF" w:rsidRDefault="000774B1" w:rsidP="00CE00B3">
      <w:pPr>
        <w:pStyle w:val="Heading5"/>
        <w:numPr>
          <w:ilvl w:val="0"/>
          <w:numId w:val="0"/>
        </w:numPr>
        <w:ind w:left="1009" w:hanging="1009"/>
        <w:rPr>
          <w:lang w:val="en-AU"/>
        </w:rPr>
      </w:pPr>
      <w:r w:rsidRPr="00E26ADF">
        <w:rPr>
          <w:lang w:val="en-AU"/>
        </w:rPr>
        <w:t>DRI12544 study</w:t>
      </w:r>
    </w:p>
    <w:p w14:paraId="0718D382" w14:textId="77777777" w:rsidR="000774B1" w:rsidRPr="00E26ADF" w:rsidRDefault="000774B1" w:rsidP="00CE00B3">
      <w:r w:rsidRPr="00E26ADF">
        <w:t xml:space="preserve">DRI12544 was a 24- week dose-ranging study which included 776 patients (18 years of age and older). Dupixent compared with placebo was evaluated in adult patients with moderate to severe asthma on a medium- or-high dose inhaled corticosteroid and a </w:t>
      </w:r>
      <w:proofErr w:type="gramStart"/>
      <w:r w:rsidRPr="00E26ADF">
        <w:t>long acting</w:t>
      </w:r>
      <w:proofErr w:type="gramEnd"/>
      <w:r w:rsidRPr="00E26ADF">
        <w:t xml:space="preserve"> beta agonist. </w:t>
      </w:r>
    </w:p>
    <w:p w14:paraId="37CC8879" w14:textId="1D8F79F2" w:rsidR="000774B1" w:rsidRPr="00E26ADF" w:rsidRDefault="000774B1" w:rsidP="00CE00B3">
      <w:r w:rsidRPr="00E26ADF">
        <w:t xml:space="preserve">Patients were </w:t>
      </w:r>
      <w:proofErr w:type="spellStart"/>
      <w:r w:rsidRPr="00E26ADF">
        <w:t>randomi</w:t>
      </w:r>
      <w:r w:rsidR="002B505B" w:rsidRPr="00F64F0A">
        <w:t>s</w:t>
      </w:r>
      <w:r w:rsidRPr="00E26ADF">
        <w:t>ed</w:t>
      </w:r>
      <w:proofErr w:type="spellEnd"/>
      <w:r w:rsidRPr="00E26ADF">
        <w:t xml:space="preserve"> to receive either 200 mg (N= 150) or 300 mg (N= 157) Dupixent every other week or 200 mg (N= 154) or 300 mg (N= 157) Dupixent every 4 weeks following an initial dose of 400 mg, 600 </w:t>
      </w:r>
      <w:proofErr w:type="gramStart"/>
      <w:r w:rsidRPr="00E26ADF">
        <w:t>mg</w:t>
      </w:r>
      <w:proofErr w:type="gramEnd"/>
      <w:r w:rsidRPr="00E26ADF">
        <w:t xml:space="preserve"> or placebo (N= 158), respectively. </w:t>
      </w:r>
    </w:p>
    <w:p w14:paraId="3AB272F9" w14:textId="2445F47C" w:rsidR="000774B1" w:rsidRPr="00E26ADF" w:rsidRDefault="000774B1" w:rsidP="00CE00B3">
      <w:r w:rsidRPr="00E26ADF">
        <w:t xml:space="preserve">The primary endpoint was change from baseline to Week 12 in FEV1 (L). Other endpoints included percent change from baseline in FEV1 and </w:t>
      </w:r>
      <w:proofErr w:type="spellStart"/>
      <w:r w:rsidRPr="00E26ADF">
        <w:t>annuali</w:t>
      </w:r>
      <w:r w:rsidR="002B505B" w:rsidRPr="00F64F0A">
        <w:t>s</w:t>
      </w:r>
      <w:r w:rsidRPr="00E26ADF">
        <w:t>ed</w:t>
      </w:r>
      <w:proofErr w:type="spellEnd"/>
      <w:r w:rsidRPr="00E26ADF">
        <w:t xml:space="preserve"> rate of severe asthma exacerbation events during the 24-week </w:t>
      </w:r>
      <w:proofErr w:type="gramStart"/>
      <w:r w:rsidRPr="00E26ADF">
        <w:t>placebo controlled</w:t>
      </w:r>
      <w:proofErr w:type="gramEnd"/>
      <w:r w:rsidRPr="00E26ADF">
        <w:t xml:space="preserve"> treatment period. </w:t>
      </w:r>
    </w:p>
    <w:p w14:paraId="738FB9BF" w14:textId="77777777" w:rsidR="000774B1" w:rsidRPr="00E26ADF" w:rsidRDefault="000774B1" w:rsidP="00CE00B3">
      <w:r w:rsidRPr="00E26ADF">
        <w:t>Results were evaluated in the overall population and subgroups based on baseline blood eosinophil count (≥ 300 cells/</w:t>
      </w:r>
      <w:proofErr w:type="spellStart"/>
      <w:r w:rsidRPr="00E26ADF">
        <w:t>mcL</w:t>
      </w:r>
      <w:proofErr w:type="spellEnd"/>
      <w:r w:rsidRPr="00E26ADF">
        <w:t xml:space="preserve"> and &lt; 300 cells/</w:t>
      </w:r>
      <w:proofErr w:type="spellStart"/>
      <w:r w:rsidRPr="00E26ADF">
        <w:t>mcL</w:t>
      </w:r>
      <w:proofErr w:type="spellEnd"/>
      <w:r w:rsidRPr="00E26ADF">
        <w:t xml:space="preserve">). </w:t>
      </w:r>
    </w:p>
    <w:p w14:paraId="0AED0A53" w14:textId="2AC0FC09" w:rsidR="000774B1" w:rsidRPr="00E26ADF" w:rsidRDefault="000774B1" w:rsidP="00CE00B3">
      <w:r w:rsidRPr="00E26ADF">
        <w:t xml:space="preserve">Additional secondary endpoints included mean change from baseline and responder rates in the patient reported Asthma Control Questionnaire (ACQ-5) and Asthma Quality of Life Questionnaire, </w:t>
      </w:r>
      <w:proofErr w:type="spellStart"/>
      <w:r w:rsidRPr="00E26ADF">
        <w:t>Standardi</w:t>
      </w:r>
      <w:r w:rsidR="002B505B" w:rsidRPr="00F64F0A">
        <w:t>s</w:t>
      </w:r>
      <w:r w:rsidRPr="00E26ADF">
        <w:t>ed</w:t>
      </w:r>
      <w:proofErr w:type="spellEnd"/>
      <w:r w:rsidRPr="00E26ADF">
        <w:t xml:space="preserve"> Version (AQLQ(S)) scores.</w:t>
      </w:r>
    </w:p>
    <w:p w14:paraId="5DA1D891" w14:textId="4F3741F5" w:rsidR="000774B1" w:rsidRPr="00E26ADF" w:rsidRDefault="00A70DB9" w:rsidP="00CE00B3">
      <w:pPr>
        <w:pStyle w:val="Heading5"/>
        <w:numPr>
          <w:ilvl w:val="0"/>
          <w:numId w:val="0"/>
        </w:numPr>
        <w:ind w:left="1009" w:hanging="1009"/>
        <w:rPr>
          <w:lang w:val="en-AU"/>
        </w:rPr>
      </w:pPr>
      <w:r w:rsidRPr="00E26ADF">
        <w:rPr>
          <w:lang w:val="en-AU"/>
        </w:rPr>
        <w:t>EFC13579 (</w:t>
      </w:r>
      <w:r w:rsidR="000774B1" w:rsidRPr="00E26ADF">
        <w:rPr>
          <w:lang w:val="en-AU"/>
        </w:rPr>
        <w:t>Quest</w:t>
      </w:r>
      <w:r w:rsidRPr="00E26ADF">
        <w:rPr>
          <w:lang w:val="en-AU"/>
        </w:rPr>
        <w:t>)</w:t>
      </w:r>
      <w:r w:rsidR="000774B1" w:rsidRPr="00E26ADF">
        <w:rPr>
          <w:lang w:val="en-AU"/>
        </w:rPr>
        <w:t xml:space="preserve"> study </w:t>
      </w:r>
    </w:p>
    <w:p w14:paraId="24FE2970" w14:textId="77777777" w:rsidR="000774B1" w:rsidRPr="00E26ADF" w:rsidRDefault="000774B1" w:rsidP="00CE00B3">
      <w:r w:rsidRPr="00E26ADF">
        <w:t>Quest was a 52-week study which included 1902 patients (12 years of age and older). Dupixent compared with placebo was evaluated in 107 adolescent and 1795 adult patients with moderate-to-severe asthma on a medium- or high- dose inhaled corticosteroid (ICS) and a minimum of one and up to two controller medications.</w:t>
      </w:r>
    </w:p>
    <w:p w14:paraId="5DA75D18" w14:textId="16D6CF74" w:rsidR="000774B1" w:rsidRPr="00E26ADF" w:rsidRDefault="000774B1" w:rsidP="00CE00B3">
      <w:r w:rsidRPr="00E26ADF">
        <w:t xml:space="preserve">Patients requiring a third controller </w:t>
      </w:r>
      <w:proofErr w:type="gramStart"/>
      <w:r w:rsidRPr="00E26ADF">
        <w:t>were allowed to</w:t>
      </w:r>
      <w:proofErr w:type="gramEnd"/>
      <w:r w:rsidRPr="00E26ADF">
        <w:t xml:space="preserve"> participate in this study. Patients were </w:t>
      </w:r>
      <w:proofErr w:type="spellStart"/>
      <w:r w:rsidRPr="00E26ADF">
        <w:t>randomi</w:t>
      </w:r>
      <w:r w:rsidR="002B505B" w:rsidRPr="00F64F0A">
        <w:t>s</w:t>
      </w:r>
      <w:r w:rsidRPr="00E26ADF">
        <w:t>ed</w:t>
      </w:r>
      <w:proofErr w:type="spellEnd"/>
      <w:r w:rsidRPr="00E26ADF">
        <w:t xml:space="preserve"> to receive either 200 mg (N=631) or 300 mg (N=633) Dupixent every other week (or matching placebo for either 200 mg [N = 317] or 300 mg [N= 321] every other week) following an initial dose of 400 mg, 600 </w:t>
      </w:r>
      <w:proofErr w:type="gramStart"/>
      <w:r w:rsidRPr="00E26ADF">
        <w:t>mg</w:t>
      </w:r>
      <w:proofErr w:type="gramEnd"/>
      <w:r w:rsidRPr="00E26ADF">
        <w:t xml:space="preserve"> or placebo respectively. </w:t>
      </w:r>
    </w:p>
    <w:p w14:paraId="0D7E84E0" w14:textId="49E16431" w:rsidR="004367AF" w:rsidRPr="00E26ADF" w:rsidRDefault="000774B1" w:rsidP="00CE00B3">
      <w:r w:rsidRPr="00E26ADF">
        <w:lastRenderedPageBreak/>
        <w:t xml:space="preserve">The primary endpoints were the </w:t>
      </w:r>
      <w:proofErr w:type="spellStart"/>
      <w:r w:rsidRPr="00E26ADF">
        <w:t>annuali</w:t>
      </w:r>
      <w:r w:rsidR="002B505B" w:rsidRPr="00F64F0A">
        <w:t>s</w:t>
      </w:r>
      <w:r w:rsidRPr="00E26ADF">
        <w:t>ed</w:t>
      </w:r>
      <w:proofErr w:type="spellEnd"/>
      <w:r w:rsidRPr="00E26ADF">
        <w:t xml:space="preserve"> rate of severe exacerbation events during the 52-week </w:t>
      </w:r>
      <w:proofErr w:type="gramStart"/>
      <w:r w:rsidRPr="00E26ADF">
        <w:t>placebo controlled</w:t>
      </w:r>
      <w:proofErr w:type="gramEnd"/>
      <w:r w:rsidRPr="00E26ADF">
        <w:t xml:space="preserve"> period and change from baseline in pre-bronchodilator FEV1 at Week 12 in overall population (unrestricted by minimum baseline eosinophils or other Type 2 biomarkers). </w:t>
      </w:r>
    </w:p>
    <w:p w14:paraId="3153EC0B" w14:textId="77777777" w:rsidR="000774B1" w:rsidRPr="00E26ADF" w:rsidRDefault="000774B1" w:rsidP="00CE00B3">
      <w:r w:rsidRPr="00E26ADF">
        <w:t xml:space="preserve">Additional secondary endpoints included exacerbation rates and FEV1 in patients with different baseline levels of eosinophils as well as mean change from baseline and responder rates in the ACQ-5 and AQLQ(S) scores. </w:t>
      </w:r>
    </w:p>
    <w:p w14:paraId="6EE3FC45" w14:textId="0A717F0B" w:rsidR="000774B1" w:rsidRPr="00E26ADF" w:rsidRDefault="00A70DB9" w:rsidP="00CE00B3">
      <w:pPr>
        <w:pStyle w:val="Heading5"/>
        <w:numPr>
          <w:ilvl w:val="0"/>
          <w:numId w:val="0"/>
        </w:numPr>
        <w:ind w:left="1009" w:hanging="1009"/>
        <w:rPr>
          <w:lang w:val="en-AU"/>
        </w:rPr>
      </w:pPr>
      <w:r w:rsidRPr="00E26ADF">
        <w:rPr>
          <w:lang w:val="en-AU"/>
        </w:rPr>
        <w:t>EFC13691 (</w:t>
      </w:r>
      <w:r w:rsidR="000774B1" w:rsidRPr="00E26ADF">
        <w:rPr>
          <w:lang w:val="en-AU"/>
        </w:rPr>
        <w:t>Venture</w:t>
      </w:r>
      <w:r w:rsidRPr="00E26ADF">
        <w:rPr>
          <w:lang w:val="en-AU"/>
        </w:rPr>
        <w:t>)</w:t>
      </w:r>
      <w:r w:rsidR="000774B1" w:rsidRPr="00E26ADF">
        <w:rPr>
          <w:lang w:val="en-AU"/>
        </w:rPr>
        <w:t xml:space="preserve"> study</w:t>
      </w:r>
    </w:p>
    <w:p w14:paraId="3B51D82E" w14:textId="77777777" w:rsidR="000774B1" w:rsidRPr="00E26ADF" w:rsidRDefault="000774B1" w:rsidP="00CE00B3">
      <w:r w:rsidRPr="00E26ADF">
        <w:t xml:space="preserve">Venture was a 24-week oral corticosteroid-reduction study in 210 patients with asthma who required daily oral corticosteroids in addition to regular use of high dose inhaled corticosteroids plus an additional controller. </w:t>
      </w:r>
    </w:p>
    <w:p w14:paraId="2EBA7608" w14:textId="3A3509AA" w:rsidR="000774B1" w:rsidRPr="00E26ADF" w:rsidRDefault="000774B1" w:rsidP="00CE00B3">
      <w:r w:rsidRPr="00E26ADF">
        <w:t>After optimizing the OCS dose during the screening period, pa</w:t>
      </w:r>
      <w:r w:rsidR="00CE00B3" w:rsidRPr="00E26ADF">
        <w:t>tients received 300 mg Dupixent</w:t>
      </w:r>
      <w:r w:rsidRPr="00E26ADF">
        <w:t xml:space="preserve"> (N=103) or placebo (N=107) once every other week for 24 weeks following an initial dose of 600 mg or placebo. </w:t>
      </w:r>
    </w:p>
    <w:p w14:paraId="2A1858B5" w14:textId="520ACE1C" w:rsidR="000774B1" w:rsidRPr="00E26ADF" w:rsidRDefault="000774B1" w:rsidP="00CE00B3">
      <w:r w:rsidRPr="00E26ADF">
        <w:t xml:space="preserve">Patients continued to receive their existing asthma medicine during the study; </w:t>
      </w:r>
      <w:proofErr w:type="gramStart"/>
      <w:r w:rsidRPr="00E26ADF">
        <w:t>however</w:t>
      </w:r>
      <w:proofErr w:type="gramEnd"/>
      <w:r w:rsidRPr="00E26ADF">
        <w:t xml:space="preserve"> their OCS dose which was reduced every 4 weeks during the OCS reduction phase (Week 4-20), as long as asthma control was maintained. </w:t>
      </w:r>
      <w:r w:rsidR="00AE559F" w:rsidRPr="00E26ADF">
        <w:t>The OCS reduction was performed according to algorithm specified in the protocol.</w:t>
      </w:r>
    </w:p>
    <w:p w14:paraId="5886E4E3" w14:textId="1FC0808C" w:rsidR="000774B1" w:rsidRPr="00E26ADF" w:rsidRDefault="000774B1" w:rsidP="00CE00B3">
      <w:r w:rsidRPr="00E26ADF">
        <w:t>The primary endpoint was the percent reduction of oral corticosteroid dose at Week 24 compared with the baseline dose, while maintaining asthma control in the overall population (unrestricted by minimum baseline eosinophils or other Type 2 biomarkers).</w:t>
      </w:r>
      <w:r w:rsidR="00D73AAC" w:rsidRPr="00E26ADF">
        <w:t xml:space="preserve"> The key secondary endpoints were the proportion of patients achieving a reduction of 50% or greater in their OCS dose compared with baseline </w:t>
      </w:r>
      <w:r w:rsidR="000D7274" w:rsidRPr="00E26ADF">
        <w:t>and</w:t>
      </w:r>
      <w:r w:rsidR="00D73AAC" w:rsidRPr="00E26ADF">
        <w:t xml:space="preserve"> proportion of patients achieving a reduction of OCS dose to &lt;5 mg/day at Week 24 while maintaining asthma control.</w:t>
      </w:r>
    </w:p>
    <w:p w14:paraId="30E07515" w14:textId="4891A795" w:rsidR="000774B1" w:rsidRPr="00E26ADF" w:rsidRDefault="000774B1" w:rsidP="00CE00B3">
      <w:r w:rsidRPr="00E26ADF">
        <w:t xml:space="preserve">Additional secondary endpoints included the </w:t>
      </w:r>
      <w:proofErr w:type="spellStart"/>
      <w:r w:rsidRPr="00E26ADF">
        <w:t>annuali</w:t>
      </w:r>
      <w:r w:rsidR="002B505B" w:rsidRPr="00F64F0A">
        <w:t>s</w:t>
      </w:r>
      <w:r w:rsidRPr="00E26ADF">
        <w:t>ed</w:t>
      </w:r>
      <w:proofErr w:type="spellEnd"/>
      <w:r w:rsidRPr="00E26ADF">
        <w:t xml:space="preserve"> rate of severe exacerbation events during treatment period and mean change from baseline and responder rate in</w:t>
      </w:r>
      <w:r w:rsidR="00CE00B3" w:rsidRPr="00E26ADF">
        <w:t xml:space="preserve"> the ACQ-5 and AQLQ(S) scores. </w:t>
      </w:r>
    </w:p>
    <w:p w14:paraId="029A83E3" w14:textId="446920ED" w:rsidR="007D3739" w:rsidRPr="00E26ADF" w:rsidRDefault="000774B1" w:rsidP="00CE00B3">
      <w:r w:rsidRPr="00E26ADF">
        <w:t>The demographics and baseline characteristics of these 3</w:t>
      </w:r>
      <w:r w:rsidR="007D3739" w:rsidRPr="00E26ADF">
        <w:t xml:space="preserve"> studies are provided in </w:t>
      </w:r>
      <w:r w:rsidR="00C8795E" w:rsidRPr="00C8795E">
        <w:rPr>
          <w:color w:val="0000FF"/>
        </w:rPr>
        <w:fldChar w:fldCharType="begin"/>
      </w:r>
      <w:r w:rsidR="00C8795E" w:rsidRPr="00C8795E">
        <w:rPr>
          <w:color w:val="0000FF"/>
        </w:rPr>
        <w:instrText xml:space="preserve"> REF _Ref22570150 \h  \* MERGEFORMAT </w:instrText>
      </w:r>
      <w:r w:rsidR="00C8795E" w:rsidRPr="00C8795E">
        <w:rPr>
          <w:color w:val="0000FF"/>
        </w:rPr>
      </w:r>
      <w:r w:rsidR="00C8795E" w:rsidRPr="00C8795E">
        <w:rPr>
          <w:color w:val="0000FF"/>
        </w:rPr>
        <w:fldChar w:fldCharType="separate"/>
      </w:r>
      <w:r w:rsidR="00E123A5" w:rsidRPr="00E123A5">
        <w:rPr>
          <w:color w:val="0000FF"/>
        </w:rPr>
        <w:t>Table 13</w:t>
      </w:r>
      <w:r w:rsidR="00C8795E" w:rsidRPr="00C8795E">
        <w:rPr>
          <w:color w:val="0000FF"/>
        </w:rPr>
        <w:fldChar w:fldCharType="end"/>
      </w:r>
      <w:r w:rsidRPr="00E26ADF">
        <w:t xml:space="preserve"> below.</w:t>
      </w:r>
    </w:p>
    <w:p w14:paraId="7CC25BC0" w14:textId="32029051" w:rsidR="007D3739" w:rsidRPr="00E26ADF" w:rsidRDefault="007D3739" w:rsidP="007D3739">
      <w:pPr>
        <w:pStyle w:val="Caption"/>
        <w:rPr>
          <w:lang w:val="en-AU"/>
        </w:rPr>
      </w:pPr>
      <w:r w:rsidRPr="00E26ADF">
        <w:rPr>
          <w:rFonts w:ascii="Times New Roman" w:eastAsia="MS Mincho" w:hAnsi="Times New Roman"/>
          <w:sz w:val="24"/>
          <w:szCs w:val="24"/>
          <w:lang w:val="en-AU"/>
        </w:rPr>
        <w:t xml:space="preserve"> </w:t>
      </w:r>
      <w:bookmarkStart w:id="29" w:name="_Ref22570150"/>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13</w:t>
      </w:r>
      <w:r w:rsidRPr="00E26ADF">
        <w:rPr>
          <w:lang w:val="en-AU"/>
        </w:rPr>
        <w:fldChar w:fldCharType="end"/>
      </w:r>
      <w:bookmarkEnd w:id="29"/>
      <w:r w:rsidRPr="00E26ADF">
        <w:rPr>
          <w:lang w:val="en-AU"/>
        </w:rPr>
        <w:t xml:space="preserve"> ­ Demographics and Baseline Characteristics of Asthma Trials</w:t>
      </w:r>
    </w:p>
    <w:tbl>
      <w:tblPr>
        <w:tblW w:w="0" w:type="auto"/>
        <w:jc w:val="center"/>
        <w:tblBorders>
          <w:top w:val="single" w:sz="2" w:space="0" w:color="000000"/>
        </w:tblBorders>
        <w:tblLook w:val="0000" w:firstRow="0" w:lastRow="0" w:firstColumn="0" w:lastColumn="0" w:noHBand="0" w:noVBand="0"/>
      </w:tblPr>
      <w:tblGrid>
        <w:gridCol w:w="3959"/>
        <w:gridCol w:w="1782"/>
        <w:gridCol w:w="1622"/>
        <w:gridCol w:w="1663"/>
      </w:tblGrid>
      <w:tr w:rsidR="00FC2300" w:rsidRPr="00E26ADF" w14:paraId="1C64668C" w14:textId="77777777" w:rsidTr="00FC2300">
        <w:trPr>
          <w:cantSplit/>
          <w:trHeight w:val="235"/>
          <w:tblHeader/>
          <w:jc w:val="center"/>
        </w:trPr>
        <w:tc>
          <w:tcPr>
            <w:tcW w:w="0" w:type="auto"/>
            <w:tcBorders>
              <w:top w:val="single" w:sz="4" w:space="0" w:color="000000"/>
              <w:bottom w:val="single" w:sz="4" w:space="0" w:color="000000"/>
            </w:tcBorders>
            <w:shd w:val="clear" w:color="auto" w:fill="auto"/>
          </w:tcPr>
          <w:p w14:paraId="2D23CEDC" w14:textId="77777777" w:rsidR="007D3739" w:rsidRPr="00E26ADF" w:rsidRDefault="007D3739" w:rsidP="00FC2300">
            <w:pPr>
              <w:pStyle w:val="TblHeadingCenter"/>
              <w:rPr>
                <w:lang w:val="en-AU"/>
              </w:rPr>
            </w:pPr>
            <w:r w:rsidRPr="00E26ADF">
              <w:rPr>
                <w:lang w:val="en-AU"/>
              </w:rPr>
              <w:t xml:space="preserve">Parameter </w:t>
            </w:r>
          </w:p>
        </w:tc>
        <w:tc>
          <w:tcPr>
            <w:tcW w:w="0" w:type="auto"/>
            <w:tcBorders>
              <w:top w:val="single" w:sz="4" w:space="0" w:color="000000"/>
              <w:bottom w:val="single" w:sz="4" w:space="0" w:color="000000"/>
            </w:tcBorders>
            <w:shd w:val="clear" w:color="auto" w:fill="auto"/>
          </w:tcPr>
          <w:p w14:paraId="51C38EA9" w14:textId="77777777" w:rsidR="007D3739" w:rsidRPr="00E26ADF" w:rsidRDefault="007D3739" w:rsidP="00FC2300">
            <w:pPr>
              <w:pStyle w:val="TblHeadingCenter"/>
              <w:rPr>
                <w:lang w:val="en-AU"/>
              </w:rPr>
            </w:pPr>
            <w:r w:rsidRPr="00E26ADF">
              <w:rPr>
                <w:lang w:val="en-AU"/>
              </w:rPr>
              <w:t xml:space="preserve">DRI12544 </w:t>
            </w:r>
          </w:p>
          <w:p w14:paraId="5644C0D6" w14:textId="77777777" w:rsidR="007D3739" w:rsidRPr="00E26ADF" w:rsidRDefault="007D3739" w:rsidP="00FC2300">
            <w:pPr>
              <w:pStyle w:val="TblHeadingCenter"/>
              <w:rPr>
                <w:lang w:val="en-AU"/>
              </w:rPr>
            </w:pPr>
            <w:r w:rsidRPr="00E26ADF">
              <w:rPr>
                <w:lang w:val="en-AU"/>
              </w:rPr>
              <w:t xml:space="preserve">(n = 776) </w:t>
            </w:r>
          </w:p>
        </w:tc>
        <w:tc>
          <w:tcPr>
            <w:tcW w:w="0" w:type="auto"/>
            <w:tcBorders>
              <w:top w:val="single" w:sz="4" w:space="0" w:color="000000"/>
              <w:bottom w:val="single" w:sz="4" w:space="0" w:color="000000"/>
            </w:tcBorders>
            <w:shd w:val="clear" w:color="auto" w:fill="auto"/>
          </w:tcPr>
          <w:p w14:paraId="26A6AA9C" w14:textId="77777777" w:rsidR="007D3739" w:rsidRPr="00E26ADF" w:rsidRDefault="007D3739" w:rsidP="00FC2300">
            <w:pPr>
              <w:pStyle w:val="TblHeadingCenter"/>
              <w:rPr>
                <w:lang w:val="en-AU"/>
              </w:rPr>
            </w:pPr>
            <w:r w:rsidRPr="00E26ADF">
              <w:rPr>
                <w:lang w:val="en-AU"/>
              </w:rPr>
              <w:t xml:space="preserve">Quest </w:t>
            </w:r>
          </w:p>
          <w:p w14:paraId="62EBE67B" w14:textId="77777777" w:rsidR="007D3739" w:rsidRPr="00E26ADF" w:rsidRDefault="007D3739" w:rsidP="00FC2300">
            <w:pPr>
              <w:pStyle w:val="TblHeadingCenter"/>
              <w:rPr>
                <w:lang w:val="en-AU"/>
              </w:rPr>
            </w:pPr>
            <w:r w:rsidRPr="00E26ADF">
              <w:rPr>
                <w:lang w:val="en-AU"/>
              </w:rPr>
              <w:t xml:space="preserve">(n = 1902) </w:t>
            </w:r>
          </w:p>
        </w:tc>
        <w:tc>
          <w:tcPr>
            <w:tcW w:w="0" w:type="auto"/>
            <w:tcBorders>
              <w:top w:val="single" w:sz="4" w:space="0" w:color="000000"/>
              <w:bottom w:val="single" w:sz="4" w:space="0" w:color="000000"/>
            </w:tcBorders>
            <w:shd w:val="clear" w:color="auto" w:fill="auto"/>
          </w:tcPr>
          <w:p w14:paraId="0EF5E549" w14:textId="77777777" w:rsidR="007D3739" w:rsidRPr="00E26ADF" w:rsidRDefault="007D3739" w:rsidP="00FC2300">
            <w:pPr>
              <w:pStyle w:val="TblHeadingCenter"/>
              <w:rPr>
                <w:lang w:val="en-AU"/>
              </w:rPr>
            </w:pPr>
            <w:r w:rsidRPr="00E26ADF">
              <w:rPr>
                <w:lang w:val="en-AU"/>
              </w:rPr>
              <w:t xml:space="preserve">Venture </w:t>
            </w:r>
          </w:p>
          <w:p w14:paraId="0A69EAE1" w14:textId="77777777" w:rsidR="007D3739" w:rsidRPr="00E26ADF" w:rsidRDefault="007D3739" w:rsidP="00FC2300">
            <w:pPr>
              <w:pStyle w:val="TblHeadingCenter"/>
              <w:rPr>
                <w:lang w:val="en-AU"/>
              </w:rPr>
            </w:pPr>
            <w:r w:rsidRPr="00E26ADF">
              <w:rPr>
                <w:lang w:val="en-AU"/>
              </w:rPr>
              <w:t xml:space="preserve">(n=210) </w:t>
            </w:r>
          </w:p>
        </w:tc>
      </w:tr>
      <w:tr w:rsidR="00FC2300" w:rsidRPr="00E26ADF" w14:paraId="6D61121E" w14:textId="77777777" w:rsidTr="00FC2300">
        <w:trPr>
          <w:cantSplit/>
          <w:trHeight w:val="120"/>
          <w:jc w:val="center"/>
        </w:trPr>
        <w:tc>
          <w:tcPr>
            <w:tcW w:w="0" w:type="auto"/>
            <w:tcBorders>
              <w:top w:val="single" w:sz="4" w:space="0" w:color="000000"/>
            </w:tcBorders>
            <w:shd w:val="clear" w:color="auto" w:fill="auto"/>
          </w:tcPr>
          <w:p w14:paraId="52BED429" w14:textId="77777777" w:rsidR="007D3739" w:rsidRPr="00E26ADF" w:rsidRDefault="007D3739" w:rsidP="007A7D95">
            <w:pPr>
              <w:pStyle w:val="TblTextCenter"/>
              <w:jc w:val="left"/>
              <w:rPr>
                <w:lang w:val="en-AU"/>
              </w:rPr>
            </w:pPr>
            <w:r w:rsidRPr="00E26ADF">
              <w:rPr>
                <w:lang w:val="en-AU"/>
              </w:rPr>
              <w:t xml:space="preserve">Mean age (years) (SD) </w:t>
            </w:r>
          </w:p>
        </w:tc>
        <w:tc>
          <w:tcPr>
            <w:tcW w:w="0" w:type="auto"/>
            <w:tcBorders>
              <w:top w:val="single" w:sz="4" w:space="0" w:color="000000"/>
            </w:tcBorders>
            <w:shd w:val="clear" w:color="auto" w:fill="auto"/>
          </w:tcPr>
          <w:p w14:paraId="7DDE17C9" w14:textId="77777777" w:rsidR="007D3739" w:rsidRPr="00E26ADF" w:rsidRDefault="007D3739" w:rsidP="00FC2300">
            <w:pPr>
              <w:pStyle w:val="TblTextCenter"/>
              <w:rPr>
                <w:lang w:val="en-AU"/>
              </w:rPr>
            </w:pPr>
            <w:r w:rsidRPr="00E26ADF">
              <w:rPr>
                <w:lang w:val="en-AU"/>
              </w:rPr>
              <w:t xml:space="preserve">48.6 (13.0) </w:t>
            </w:r>
          </w:p>
        </w:tc>
        <w:tc>
          <w:tcPr>
            <w:tcW w:w="0" w:type="auto"/>
            <w:tcBorders>
              <w:top w:val="single" w:sz="4" w:space="0" w:color="000000"/>
            </w:tcBorders>
            <w:shd w:val="clear" w:color="auto" w:fill="auto"/>
          </w:tcPr>
          <w:p w14:paraId="4C4373A1" w14:textId="77777777" w:rsidR="007D3739" w:rsidRPr="00E26ADF" w:rsidRDefault="007D3739" w:rsidP="00FC2300">
            <w:pPr>
              <w:pStyle w:val="TblTextCenter"/>
              <w:rPr>
                <w:lang w:val="en-AU"/>
              </w:rPr>
            </w:pPr>
            <w:r w:rsidRPr="00E26ADF">
              <w:rPr>
                <w:lang w:val="en-AU"/>
              </w:rPr>
              <w:t xml:space="preserve">47.9 (15.3) </w:t>
            </w:r>
          </w:p>
        </w:tc>
        <w:tc>
          <w:tcPr>
            <w:tcW w:w="0" w:type="auto"/>
            <w:tcBorders>
              <w:top w:val="single" w:sz="4" w:space="0" w:color="000000"/>
            </w:tcBorders>
            <w:shd w:val="clear" w:color="auto" w:fill="auto"/>
          </w:tcPr>
          <w:p w14:paraId="52B7B9D5" w14:textId="77777777" w:rsidR="007D3739" w:rsidRPr="00E26ADF" w:rsidRDefault="007D3739" w:rsidP="00FC2300">
            <w:pPr>
              <w:pStyle w:val="TblTextCenter"/>
              <w:rPr>
                <w:lang w:val="en-AU"/>
              </w:rPr>
            </w:pPr>
            <w:r w:rsidRPr="00E26ADF">
              <w:rPr>
                <w:lang w:val="en-AU"/>
              </w:rPr>
              <w:t xml:space="preserve">51.3 (12.6) </w:t>
            </w:r>
          </w:p>
        </w:tc>
      </w:tr>
      <w:tr w:rsidR="00FC2300" w:rsidRPr="00E26ADF" w14:paraId="5CAE75B5" w14:textId="77777777" w:rsidTr="00FC2300">
        <w:trPr>
          <w:cantSplit/>
          <w:trHeight w:val="120"/>
          <w:jc w:val="center"/>
        </w:trPr>
        <w:tc>
          <w:tcPr>
            <w:tcW w:w="0" w:type="auto"/>
            <w:shd w:val="clear" w:color="auto" w:fill="auto"/>
          </w:tcPr>
          <w:p w14:paraId="4000FEC3" w14:textId="77777777" w:rsidR="007D3739" w:rsidRPr="00E26ADF" w:rsidRDefault="007D3739" w:rsidP="007A7D95">
            <w:pPr>
              <w:pStyle w:val="TblTextCenter"/>
              <w:jc w:val="left"/>
              <w:rPr>
                <w:lang w:val="en-AU"/>
              </w:rPr>
            </w:pPr>
            <w:r w:rsidRPr="00E26ADF">
              <w:rPr>
                <w:lang w:val="en-AU"/>
              </w:rPr>
              <w:t xml:space="preserve">% Female </w:t>
            </w:r>
          </w:p>
        </w:tc>
        <w:tc>
          <w:tcPr>
            <w:tcW w:w="0" w:type="auto"/>
            <w:shd w:val="clear" w:color="auto" w:fill="auto"/>
          </w:tcPr>
          <w:p w14:paraId="013A4E0B" w14:textId="77777777" w:rsidR="007D3739" w:rsidRPr="00E26ADF" w:rsidRDefault="007D3739" w:rsidP="00FC2300">
            <w:pPr>
              <w:pStyle w:val="TblTextCenter"/>
              <w:rPr>
                <w:lang w:val="en-AU"/>
              </w:rPr>
            </w:pPr>
            <w:r w:rsidRPr="00E26ADF">
              <w:rPr>
                <w:lang w:val="en-AU"/>
              </w:rPr>
              <w:t xml:space="preserve">63.1 </w:t>
            </w:r>
          </w:p>
        </w:tc>
        <w:tc>
          <w:tcPr>
            <w:tcW w:w="0" w:type="auto"/>
            <w:shd w:val="clear" w:color="auto" w:fill="auto"/>
          </w:tcPr>
          <w:p w14:paraId="34D0AF40" w14:textId="77777777" w:rsidR="007D3739" w:rsidRPr="00E26ADF" w:rsidRDefault="007D3739" w:rsidP="00FC2300">
            <w:pPr>
              <w:pStyle w:val="TblTextCenter"/>
              <w:rPr>
                <w:lang w:val="en-AU"/>
              </w:rPr>
            </w:pPr>
            <w:r w:rsidRPr="00E26ADF">
              <w:rPr>
                <w:lang w:val="en-AU"/>
              </w:rPr>
              <w:t xml:space="preserve">62.9 </w:t>
            </w:r>
          </w:p>
        </w:tc>
        <w:tc>
          <w:tcPr>
            <w:tcW w:w="0" w:type="auto"/>
            <w:shd w:val="clear" w:color="auto" w:fill="auto"/>
          </w:tcPr>
          <w:p w14:paraId="44DFE705" w14:textId="77777777" w:rsidR="007D3739" w:rsidRPr="00E26ADF" w:rsidRDefault="007D3739" w:rsidP="00FC2300">
            <w:pPr>
              <w:pStyle w:val="TblTextCenter"/>
              <w:rPr>
                <w:lang w:val="en-AU"/>
              </w:rPr>
            </w:pPr>
            <w:r w:rsidRPr="00E26ADF">
              <w:rPr>
                <w:lang w:val="en-AU"/>
              </w:rPr>
              <w:t xml:space="preserve">60.5 </w:t>
            </w:r>
          </w:p>
        </w:tc>
      </w:tr>
      <w:tr w:rsidR="00FC2300" w:rsidRPr="00E26ADF" w14:paraId="37869504" w14:textId="77777777" w:rsidTr="00FC2300">
        <w:trPr>
          <w:cantSplit/>
          <w:trHeight w:val="120"/>
          <w:jc w:val="center"/>
        </w:trPr>
        <w:tc>
          <w:tcPr>
            <w:tcW w:w="0" w:type="auto"/>
            <w:shd w:val="clear" w:color="auto" w:fill="auto"/>
          </w:tcPr>
          <w:p w14:paraId="2BE67C78" w14:textId="77777777" w:rsidR="007D3739" w:rsidRPr="00E26ADF" w:rsidRDefault="007D3739" w:rsidP="007A7D95">
            <w:pPr>
              <w:pStyle w:val="TblTextCenter"/>
              <w:jc w:val="left"/>
              <w:rPr>
                <w:lang w:val="en-AU"/>
              </w:rPr>
            </w:pPr>
            <w:r w:rsidRPr="00E26ADF">
              <w:rPr>
                <w:lang w:val="en-AU"/>
              </w:rPr>
              <w:t xml:space="preserve">% White </w:t>
            </w:r>
          </w:p>
        </w:tc>
        <w:tc>
          <w:tcPr>
            <w:tcW w:w="0" w:type="auto"/>
            <w:shd w:val="clear" w:color="auto" w:fill="auto"/>
          </w:tcPr>
          <w:p w14:paraId="4441C7A8" w14:textId="77777777" w:rsidR="007D3739" w:rsidRPr="00E26ADF" w:rsidRDefault="007D3739" w:rsidP="00FC2300">
            <w:pPr>
              <w:pStyle w:val="TblTextCenter"/>
              <w:rPr>
                <w:lang w:val="en-AU"/>
              </w:rPr>
            </w:pPr>
            <w:r w:rsidRPr="00E26ADF">
              <w:rPr>
                <w:lang w:val="en-AU"/>
              </w:rPr>
              <w:t xml:space="preserve">78.2 </w:t>
            </w:r>
          </w:p>
        </w:tc>
        <w:tc>
          <w:tcPr>
            <w:tcW w:w="0" w:type="auto"/>
            <w:shd w:val="clear" w:color="auto" w:fill="auto"/>
          </w:tcPr>
          <w:p w14:paraId="2A955D7C" w14:textId="77777777" w:rsidR="007D3739" w:rsidRPr="00E26ADF" w:rsidRDefault="007D3739" w:rsidP="00FC2300">
            <w:pPr>
              <w:pStyle w:val="TblTextCenter"/>
              <w:rPr>
                <w:lang w:val="en-AU"/>
              </w:rPr>
            </w:pPr>
            <w:r w:rsidRPr="00E26ADF">
              <w:rPr>
                <w:lang w:val="en-AU"/>
              </w:rPr>
              <w:t xml:space="preserve">82.9 </w:t>
            </w:r>
          </w:p>
        </w:tc>
        <w:tc>
          <w:tcPr>
            <w:tcW w:w="0" w:type="auto"/>
            <w:shd w:val="clear" w:color="auto" w:fill="auto"/>
          </w:tcPr>
          <w:p w14:paraId="3F3035A3" w14:textId="77777777" w:rsidR="007D3739" w:rsidRPr="00E26ADF" w:rsidRDefault="007D3739" w:rsidP="00FC2300">
            <w:pPr>
              <w:pStyle w:val="TblTextCenter"/>
              <w:rPr>
                <w:lang w:val="en-AU"/>
              </w:rPr>
            </w:pPr>
            <w:r w:rsidRPr="00E26ADF">
              <w:rPr>
                <w:lang w:val="en-AU"/>
              </w:rPr>
              <w:t xml:space="preserve">93.8 </w:t>
            </w:r>
          </w:p>
        </w:tc>
      </w:tr>
      <w:tr w:rsidR="00FC2300" w:rsidRPr="00E26ADF" w14:paraId="057168C9" w14:textId="77777777" w:rsidTr="00FC2300">
        <w:trPr>
          <w:cantSplit/>
          <w:trHeight w:val="120"/>
          <w:jc w:val="center"/>
        </w:trPr>
        <w:tc>
          <w:tcPr>
            <w:tcW w:w="0" w:type="auto"/>
            <w:shd w:val="clear" w:color="auto" w:fill="auto"/>
          </w:tcPr>
          <w:p w14:paraId="410F9C62" w14:textId="77777777" w:rsidR="007D3739" w:rsidRPr="00E26ADF" w:rsidRDefault="007D3739" w:rsidP="007A7D95">
            <w:pPr>
              <w:pStyle w:val="TblTextCenter"/>
              <w:jc w:val="left"/>
              <w:rPr>
                <w:lang w:val="en-AU"/>
              </w:rPr>
            </w:pPr>
            <w:r w:rsidRPr="00E26ADF">
              <w:rPr>
                <w:lang w:val="en-AU"/>
              </w:rPr>
              <w:t xml:space="preserve">Body Mass Index ≥30 kg/ m2 (%) </w:t>
            </w:r>
          </w:p>
        </w:tc>
        <w:tc>
          <w:tcPr>
            <w:tcW w:w="0" w:type="auto"/>
            <w:shd w:val="clear" w:color="auto" w:fill="auto"/>
          </w:tcPr>
          <w:p w14:paraId="0EEF44F4" w14:textId="77777777" w:rsidR="007D3739" w:rsidRPr="00E26ADF" w:rsidRDefault="007D3739" w:rsidP="00FC2300">
            <w:pPr>
              <w:pStyle w:val="TblTextCenter"/>
              <w:rPr>
                <w:lang w:val="en-AU"/>
              </w:rPr>
            </w:pPr>
            <w:r w:rsidRPr="00E26ADF">
              <w:rPr>
                <w:lang w:val="en-AU"/>
              </w:rPr>
              <w:t xml:space="preserve">40.2 </w:t>
            </w:r>
          </w:p>
        </w:tc>
        <w:tc>
          <w:tcPr>
            <w:tcW w:w="0" w:type="auto"/>
            <w:shd w:val="clear" w:color="auto" w:fill="auto"/>
          </w:tcPr>
          <w:p w14:paraId="0C3506F5" w14:textId="77777777" w:rsidR="007D3739" w:rsidRPr="00E26ADF" w:rsidRDefault="007D3739" w:rsidP="00FC2300">
            <w:pPr>
              <w:pStyle w:val="TblTextCenter"/>
              <w:rPr>
                <w:lang w:val="en-AU"/>
              </w:rPr>
            </w:pPr>
            <w:r w:rsidRPr="00E26ADF">
              <w:rPr>
                <w:lang w:val="en-AU"/>
              </w:rPr>
              <w:t xml:space="preserve">39.5 </w:t>
            </w:r>
          </w:p>
        </w:tc>
        <w:tc>
          <w:tcPr>
            <w:tcW w:w="0" w:type="auto"/>
            <w:shd w:val="clear" w:color="auto" w:fill="auto"/>
          </w:tcPr>
          <w:p w14:paraId="69588EF6" w14:textId="77777777" w:rsidR="007D3739" w:rsidRPr="00E26ADF" w:rsidRDefault="007D3739" w:rsidP="00FC2300">
            <w:pPr>
              <w:pStyle w:val="TblTextCenter"/>
              <w:rPr>
                <w:lang w:val="en-AU"/>
              </w:rPr>
            </w:pPr>
            <w:r w:rsidRPr="00E26ADF">
              <w:rPr>
                <w:lang w:val="en-AU"/>
              </w:rPr>
              <w:t xml:space="preserve">41.4 </w:t>
            </w:r>
          </w:p>
        </w:tc>
      </w:tr>
      <w:tr w:rsidR="00FC2300" w:rsidRPr="00E26ADF" w14:paraId="0C3FF289" w14:textId="77777777" w:rsidTr="00FC2300">
        <w:trPr>
          <w:cantSplit/>
          <w:trHeight w:val="120"/>
          <w:jc w:val="center"/>
        </w:trPr>
        <w:tc>
          <w:tcPr>
            <w:tcW w:w="0" w:type="auto"/>
            <w:shd w:val="clear" w:color="auto" w:fill="auto"/>
          </w:tcPr>
          <w:p w14:paraId="6ACD8C55" w14:textId="77777777" w:rsidR="007D3739" w:rsidRPr="00E26ADF" w:rsidRDefault="007D3739" w:rsidP="007A7D95">
            <w:pPr>
              <w:pStyle w:val="TblTextCenter"/>
              <w:jc w:val="left"/>
              <w:rPr>
                <w:lang w:val="en-AU"/>
              </w:rPr>
            </w:pPr>
            <w:r w:rsidRPr="00E26ADF">
              <w:rPr>
                <w:lang w:val="en-AU"/>
              </w:rPr>
              <w:t xml:space="preserve">Duration of Asthma (years), mean (± SD) </w:t>
            </w:r>
          </w:p>
        </w:tc>
        <w:tc>
          <w:tcPr>
            <w:tcW w:w="0" w:type="auto"/>
            <w:shd w:val="clear" w:color="auto" w:fill="auto"/>
          </w:tcPr>
          <w:p w14:paraId="6A8D8440" w14:textId="77777777" w:rsidR="007D3739" w:rsidRPr="00E26ADF" w:rsidRDefault="007D3739" w:rsidP="00FC2300">
            <w:pPr>
              <w:pStyle w:val="TblTextCenter"/>
              <w:rPr>
                <w:lang w:val="en-AU"/>
              </w:rPr>
            </w:pPr>
            <w:r w:rsidRPr="00E26ADF">
              <w:rPr>
                <w:lang w:val="en-AU"/>
              </w:rPr>
              <w:t xml:space="preserve">22.03 (15.42) </w:t>
            </w:r>
          </w:p>
        </w:tc>
        <w:tc>
          <w:tcPr>
            <w:tcW w:w="0" w:type="auto"/>
            <w:shd w:val="clear" w:color="auto" w:fill="auto"/>
          </w:tcPr>
          <w:p w14:paraId="52177054" w14:textId="77777777" w:rsidR="007D3739" w:rsidRPr="00E26ADF" w:rsidRDefault="007D3739" w:rsidP="00FC2300">
            <w:pPr>
              <w:pStyle w:val="TblTextCenter"/>
              <w:rPr>
                <w:lang w:val="en-AU"/>
              </w:rPr>
            </w:pPr>
            <w:r w:rsidRPr="00E26ADF">
              <w:rPr>
                <w:lang w:val="en-AU"/>
              </w:rPr>
              <w:t xml:space="preserve">20.94 (15.36) </w:t>
            </w:r>
          </w:p>
        </w:tc>
        <w:tc>
          <w:tcPr>
            <w:tcW w:w="0" w:type="auto"/>
            <w:shd w:val="clear" w:color="auto" w:fill="auto"/>
          </w:tcPr>
          <w:p w14:paraId="683D21A0" w14:textId="77777777" w:rsidR="007D3739" w:rsidRPr="00E26ADF" w:rsidRDefault="007D3739" w:rsidP="00FC2300">
            <w:pPr>
              <w:pStyle w:val="TblTextCenter"/>
              <w:rPr>
                <w:lang w:val="en-AU"/>
              </w:rPr>
            </w:pPr>
            <w:r w:rsidRPr="00E26ADF">
              <w:rPr>
                <w:lang w:val="en-AU"/>
              </w:rPr>
              <w:t xml:space="preserve">19.95 (13.90) </w:t>
            </w:r>
          </w:p>
        </w:tc>
      </w:tr>
      <w:tr w:rsidR="00FC2300" w:rsidRPr="00E26ADF" w14:paraId="03BCE3C3" w14:textId="77777777" w:rsidTr="00FC2300">
        <w:trPr>
          <w:cantSplit/>
          <w:trHeight w:val="119"/>
          <w:jc w:val="center"/>
        </w:trPr>
        <w:tc>
          <w:tcPr>
            <w:tcW w:w="0" w:type="auto"/>
            <w:shd w:val="clear" w:color="auto" w:fill="auto"/>
          </w:tcPr>
          <w:p w14:paraId="0C482B78" w14:textId="77777777" w:rsidR="007D3739" w:rsidRPr="00E26ADF" w:rsidRDefault="007D3739" w:rsidP="007A7D95">
            <w:pPr>
              <w:pStyle w:val="TblTextCenter"/>
              <w:jc w:val="left"/>
              <w:rPr>
                <w:lang w:val="en-AU"/>
              </w:rPr>
            </w:pPr>
            <w:r w:rsidRPr="00E26ADF">
              <w:rPr>
                <w:lang w:val="en-AU"/>
              </w:rPr>
              <w:lastRenderedPageBreak/>
              <w:t xml:space="preserve">Never smoked, (%) </w:t>
            </w:r>
          </w:p>
        </w:tc>
        <w:tc>
          <w:tcPr>
            <w:tcW w:w="0" w:type="auto"/>
            <w:shd w:val="clear" w:color="auto" w:fill="auto"/>
          </w:tcPr>
          <w:p w14:paraId="47B848D3" w14:textId="77777777" w:rsidR="007D3739" w:rsidRPr="00E26ADF" w:rsidRDefault="007D3739" w:rsidP="00FC2300">
            <w:pPr>
              <w:pStyle w:val="TblTextCenter"/>
              <w:rPr>
                <w:lang w:val="en-AU"/>
              </w:rPr>
            </w:pPr>
            <w:r w:rsidRPr="00E26ADF">
              <w:rPr>
                <w:lang w:val="en-AU"/>
              </w:rPr>
              <w:t xml:space="preserve">77.4 </w:t>
            </w:r>
          </w:p>
        </w:tc>
        <w:tc>
          <w:tcPr>
            <w:tcW w:w="0" w:type="auto"/>
            <w:shd w:val="clear" w:color="auto" w:fill="auto"/>
          </w:tcPr>
          <w:p w14:paraId="03CEA345" w14:textId="77777777" w:rsidR="007D3739" w:rsidRPr="00E26ADF" w:rsidRDefault="007D3739" w:rsidP="00FC2300">
            <w:pPr>
              <w:pStyle w:val="TblTextCenter"/>
              <w:rPr>
                <w:lang w:val="en-AU"/>
              </w:rPr>
            </w:pPr>
            <w:r w:rsidRPr="00E26ADF">
              <w:rPr>
                <w:lang w:val="en-AU"/>
              </w:rPr>
              <w:t xml:space="preserve">80.7 </w:t>
            </w:r>
          </w:p>
        </w:tc>
        <w:tc>
          <w:tcPr>
            <w:tcW w:w="0" w:type="auto"/>
            <w:shd w:val="clear" w:color="auto" w:fill="auto"/>
          </w:tcPr>
          <w:p w14:paraId="295A2EA9" w14:textId="77777777" w:rsidR="007D3739" w:rsidRPr="00E26ADF" w:rsidRDefault="007D3739" w:rsidP="00FC2300">
            <w:pPr>
              <w:pStyle w:val="TblTextCenter"/>
              <w:rPr>
                <w:lang w:val="en-AU"/>
              </w:rPr>
            </w:pPr>
            <w:r w:rsidRPr="00E26ADF">
              <w:rPr>
                <w:lang w:val="en-AU"/>
              </w:rPr>
              <w:t xml:space="preserve">80.5 </w:t>
            </w:r>
          </w:p>
        </w:tc>
      </w:tr>
      <w:tr w:rsidR="00FC2300" w:rsidRPr="00E26ADF" w14:paraId="356BC3DA" w14:textId="77777777" w:rsidTr="00FC2300">
        <w:trPr>
          <w:cantSplit/>
          <w:trHeight w:val="119"/>
          <w:jc w:val="center"/>
        </w:trPr>
        <w:tc>
          <w:tcPr>
            <w:tcW w:w="0" w:type="auto"/>
            <w:shd w:val="clear" w:color="auto" w:fill="auto"/>
          </w:tcPr>
          <w:p w14:paraId="007A6591" w14:textId="77777777" w:rsidR="007D3739" w:rsidRPr="00E26ADF" w:rsidRDefault="007D3739" w:rsidP="007A7D95">
            <w:pPr>
              <w:pStyle w:val="TblTextCenter"/>
              <w:jc w:val="left"/>
              <w:rPr>
                <w:lang w:val="en-AU"/>
              </w:rPr>
            </w:pPr>
            <w:r w:rsidRPr="00E26ADF">
              <w:rPr>
                <w:lang w:val="en-AU"/>
              </w:rPr>
              <w:t xml:space="preserve">Mean exacerbations in previous year (± SD) </w:t>
            </w:r>
          </w:p>
        </w:tc>
        <w:tc>
          <w:tcPr>
            <w:tcW w:w="0" w:type="auto"/>
            <w:shd w:val="clear" w:color="auto" w:fill="auto"/>
          </w:tcPr>
          <w:p w14:paraId="72972837" w14:textId="77777777" w:rsidR="007D3739" w:rsidRPr="00E26ADF" w:rsidRDefault="007D3739" w:rsidP="00FC2300">
            <w:pPr>
              <w:pStyle w:val="TblTextCenter"/>
              <w:rPr>
                <w:lang w:val="en-AU"/>
              </w:rPr>
            </w:pPr>
            <w:r w:rsidRPr="00E26ADF">
              <w:rPr>
                <w:lang w:val="en-AU"/>
              </w:rPr>
              <w:t xml:space="preserve">2.17 (2.14) </w:t>
            </w:r>
          </w:p>
        </w:tc>
        <w:tc>
          <w:tcPr>
            <w:tcW w:w="0" w:type="auto"/>
            <w:shd w:val="clear" w:color="auto" w:fill="auto"/>
          </w:tcPr>
          <w:p w14:paraId="2BEEBD32" w14:textId="77777777" w:rsidR="007D3739" w:rsidRPr="00E26ADF" w:rsidRDefault="007D3739" w:rsidP="00FC2300">
            <w:pPr>
              <w:pStyle w:val="TblTextCenter"/>
              <w:rPr>
                <w:lang w:val="en-AU"/>
              </w:rPr>
            </w:pPr>
            <w:r w:rsidRPr="00E26ADF">
              <w:rPr>
                <w:lang w:val="en-AU"/>
              </w:rPr>
              <w:t xml:space="preserve">2.09 (2.15) </w:t>
            </w:r>
          </w:p>
        </w:tc>
        <w:tc>
          <w:tcPr>
            <w:tcW w:w="0" w:type="auto"/>
            <w:shd w:val="clear" w:color="auto" w:fill="auto"/>
          </w:tcPr>
          <w:p w14:paraId="00DCE5E2" w14:textId="77777777" w:rsidR="007D3739" w:rsidRPr="00E26ADF" w:rsidRDefault="007D3739" w:rsidP="00FC2300">
            <w:pPr>
              <w:pStyle w:val="TblTextCenter"/>
              <w:rPr>
                <w:lang w:val="en-AU"/>
              </w:rPr>
            </w:pPr>
            <w:r w:rsidRPr="00E26ADF">
              <w:rPr>
                <w:lang w:val="en-AU"/>
              </w:rPr>
              <w:t xml:space="preserve">2.09 (2.16) </w:t>
            </w:r>
          </w:p>
        </w:tc>
      </w:tr>
      <w:tr w:rsidR="00FC2300" w:rsidRPr="00E26ADF" w14:paraId="1474A0C1" w14:textId="77777777" w:rsidTr="00FC2300">
        <w:trPr>
          <w:cantSplit/>
          <w:trHeight w:val="119"/>
          <w:jc w:val="center"/>
        </w:trPr>
        <w:tc>
          <w:tcPr>
            <w:tcW w:w="0" w:type="auto"/>
            <w:shd w:val="clear" w:color="auto" w:fill="auto"/>
          </w:tcPr>
          <w:p w14:paraId="0245573F" w14:textId="6096C3DB" w:rsidR="007D3739" w:rsidRPr="00E26ADF" w:rsidRDefault="007D3739" w:rsidP="007A7D95">
            <w:pPr>
              <w:pStyle w:val="TblTextCenter"/>
              <w:jc w:val="left"/>
              <w:rPr>
                <w:lang w:val="en-AU"/>
              </w:rPr>
            </w:pPr>
            <w:r w:rsidRPr="00E26ADF">
              <w:rPr>
                <w:lang w:val="en-AU"/>
              </w:rPr>
              <w:t>High dose ICS use</w:t>
            </w:r>
            <w:r w:rsidR="00396DBA" w:rsidRPr="00E26ADF">
              <w:rPr>
                <w:lang w:val="en-AU"/>
              </w:rPr>
              <w:t>*</w:t>
            </w:r>
            <w:r w:rsidRPr="00E26ADF">
              <w:rPr>
                <w:lang w:val="en-AU"/>
              </w:rPr>
              <w:t xml:space="preserve"> (%) </w:t>
            </w:r>
          </w:p>
        </w:tc>
        <w:tc>
          <w:tcPr>
            <w:tcW w:w="0" w:type="auto"/>
            <w:shd w:val="clear" w:color="auto" w:fill="auto"/>
          </w:tcPr>
          <w:p w14:paraId="3930AAAF" w14:textId="77777777" w:rsidR="007D3739" w:rsidRPr="00E26ADF" w:rsidRDefault="007D3739" w:rsidP="00FC2300">
            <w:pPr>
              <w:pStyle w:val="TblTextCenter"/>
              <w:rPr>
                <w:lang w:val="en-AU"/>
              </w:rPr>
            </w:pPr>
            <w:r w:rsidRPr="00E26ADF">
              <w:rPr>
                <w:lang w:val="en-AU"/>
              </w:rPr>
              <w:t xml:space="preserve">49.5 </w:t>
            </w:r>
          </w:p>
        </w:tc>
        <w:tc>
          <w:tcPr>
            <w:tcW w:w="0" w:type="auto"/>
            <w:shd w:val="clear" w:color="auto" w:fill="auto"/>
          </w:tcPr>
          <w:p w14:paraId="1B10C828" w14:textId="77777777" w:rsidR="007D3739" w:rsidRPr="00E26ADF" w:rsidRDefault="007D3739" w:rsidP="00FC2300">
            <w:pPr>
              <w:pStyle w:val="TblTextCenter"/>
              <w:rPr>
                <w:lang w:val="en-AU"/>
              </w:rPr>
            </w:pPr>
            <w:r w:rsidRPr="00E26ADF">
              <w:rPr>
                <w:lang w:val="en-AU"/>
              </w:rPr>
              <w:t xml:space="preserve">51.5 </w:t>
            </w:r>
          </w:p>
        </w:tc>
        <w:tc>
          <w:tcPr>
            <w:tcW w:w="0" w:type="auto"/>
            <w:shd w:val="clear" w:color="auto" w:fill="auto"/>
          </w:tcPr>
          <w:p w14:paraId="6DDB6312" w14:textId="77777777" w:rsidR="007D3739" w:rsidRPr="00E26ADF" w:rsidRDefault="007D3739" w:rsidP="00FC2300">
            <w:pPr>
              <w:pStyle w:val="TblTextCenter"/>
              <w:rPr>
                <w:lang w:val="en-AU"/>
              </w:rPr>
            </w:pPr>
            <w:r w:rsidRPr="00E26ADF">
              <w:rPr>
                <w:lang w:val="en-AU"/>
              </w:rPr>
              <w:t xml:space="preserve">88.6 </w:t>
            </w:r>
          </w:p>
        </w:tc>
      </w:tr>
      <w:tr w:rsidR="00FC2300" w:rsidRPr="00E26ADF" w14:paraId="2DDA1C80" w14:textId="77777777" w:rsidTr="00FC2300">
        <w:trPr>
          <w:cantSplit/>
          <w:trHeight w:val="122"/>
          <w:jc w:val="center"/>
        </w:trPr>
        <w:tc>
          <w:tcPr>
            <w:tcW w:w="0" w:type="auto"/>
            <w:shd w:val="clear" w:color="auto" w:fill="auto"/>
          </w:tcPr>
          <w:p w14:paraId="5947BF4A" w14:textId="77777777" w:rsidR="007D3739" w:rsidRPr="00E26ADF" w:rsidRDefault="007D3739" w:rsidP="007A7D95">
            <w:pPr>
              <w:pStyle w:val="TblTextCenter"/>
              <w:jc w:val="left"/>
              <w:rPr>
                <w:lang w:val="en-AU"/>
              </w:rPr>
            </w:pPr>
            <w:r w:rsidRPr="00E26ADF">
              <w:rPr>
                <w:lang w:val="en-AU"/>
              </w:rPr>
              <w:t xml:space="preserve">Pre-dose FEV1 (L) at baseline (± SD) </w:t>
            </w:r>
          </w:p>
        </w:tc>
        <w:tc>
          <w:tcPr>
            <w:tcW w:w="0" w:type="auto"/>
            <w:shd w:val="clear" w:color="auto" w:fill="auto"/>
          </w:tcPr>
          <w:p w14:paraId="3082560C" w14:textId="77777777" w:rsidR="007D3739" w:rsidRPr="00E26ADF" w:rsidRDefault="007D3739" w:rsidP="00FC2300">
            <w:pPr>
              <w:pStyle w:val="TblTextCenter"/>
              <w:rPr>
                <w:lang w:val="en-AU"/>
              </w:rPr>
            </w:pPr>
            <w:r w:rsidRPr="00E26ADF">
              <w:rPr>
                <w:lang w:val="en-AU"/>
              </w:rPr>
              <w:t xml:space="preserve">1.84 (0.54) </w:t>
            </w:r>
          </w:p>
        </w:tc>
        <w:tc>
          <w:tcPr>
            <w:tcW w:w="0" w:type="auto"/>
            <w:shd w:val="clear" w:color="auto" w:fill="auto"/>
          </w:tcPr>
          <w:p w14:paraId="132BCDDF" w14:textId="77777777" w:rsidR="007D3739" w:rsidRPr="00E26ADF" w:rsidRDefault="007D3739" w:rsidP="00FC2300">
            <w:pPr>
              <w:pStyle w:val="TblTextCenter"/>
              <w:rPr>
                <w:lang w:val="en-AU"/>
              </w:rPr>
            </w:pPr>
            <w:r w:rsidRPr="00E26ADF">
              <w:rPr>
                <w:lang w:val="en-AU"/>
              </w:rPr>
              <w:t xml:space="preserve">1.78 (0.60) </w:t>
            </w:r>
          </w:p>
        </w:tc>
        <w:tc>
          <w:tcPr>
            <w:tcW w:w="0" w:type="auto"/>
            <w:shd w:val="clear" w:color="auto" w:fill="auto"/>
          </w:tcPr>
          <w:p w14:paraId="1285B0BE" w14:textId="77777777" w:rsidR="007D3739" w:rsidRPr="00E26ADF" w:rsidRDefault="007D3739" w:rsidP="00FC2300">
            <w:pPr>
              <w:pStyle w:val="TblTextCenter"/>
              <w:rPr>
                <w:lang w:val="en-AU"/>
              </w:rPr>
            </w:pPr>
            <w:r w:rsidRPr="00E26ADF">
              <w:rPr>
                <w:lang w:val="en-AU"/>
              </w:rPr>
              <w:t xml:space="preserve">1.58 (0.57) </w:t>
            </w:r>
          </w:p>
        </w:tc>
      </w:tr>
      <w:tr w:rsidR="00FC2300" w:rsidRPr="00E26ADF" w14:paraId="5C365781" w14:textId="77777777" w:rsidTr="00FC2300">
        <w:trPr>
          <w:cantSplit/>
          <w:trHeight w:val="234"/>
          <w:jc w:val="center"/>
        </w:trPr>
        <w:tc>
          <w:tcPr>
            <w:tcW w:w="0" w:type="auto"/>
            <w:shd w:val="clear" w:color="auto" w:fill="auto"/>
          </w:tcPr>
          <w:p w14:paraId="23842C2D" w14:textId="77777777" w:rsidR="007D3739" w:rsidRPr="00E26ADF" w:rsidRDefault="007D3739" w:rsidP="007A7D95">
            <w:pPr>
              <w:pStyle w:val="TblTextCenter"/>
              <w:jc w:val="left"/>
              <w:rPr>
                <w:lang w:val="en-AU"/>
              </w:rPr>
            </w:pPr>
            <w:r w:rsidRPr="00E26ADF">
              <w:rPr>
                <w:lang w:val="en-AU"/>
              </w:rPr>
              <w:t xml:space="preserve">Mean percent predicted FEV1 at baseline (%) (±SD) </w:t>
            </w:r>
          </w:p>
        </w:tc>
        <w:tc>
          <w:tcPr>
            <w:tcW w:w="0" w:type="auto"/>
            <w:shd w:val="clear" w:color="auto" w:fill="auto"/>
          </w:tcPr>
          <w:p w14:paraId="209F6D60" w14:textId="77777777" w:rsidR="007D3739" w:rsidRPr="00E26ADF" w:rsidRDefault="007D3739" w:rsidP="00FC2300">
            <w:pPr>
              <w:pStyle w:val="TblTextCenter"/>
              <w:rPr>
                <w:lang w:val="en-AU"/>
              </w:rPr>
            </w:pPr>
            <w:r w:rsidRPr="00E26ADF">
              <w:rPr>
                <w:lang w:val="en-AU"/>
              </w:rPr>
              <w:t xml:space="preserve">60.77 (10.72) </w:t>
            </w:r>
          </w:p>
        </w:tc>
        <w:tc>
          <w:tcPr>
            <w:tcW w:w="0" w:type="auto"/>
            <w:shd w:val="clear" w:color="auto" w:fill="auto"/>
          </w:tcPr>
          <w:p w14:paraId="1F33CA1A" w14:textId="77777777" w:rsidR="007D3739" w:rsidRPr="00E26ADF" w:rsidRDefault="007D3739" w:rsidP="00FC2300">
            <w:pPr>
              <w:pStyle w:val="TblTextCenter"/>
              <w:rPr>
                <w:lang w:val="en-AU"/>
              </w:rPr>
            </w:pPr>
            <w:r w:rsidRPr="00E26ADF">
              <w:rPr>
                <w:lang w:val="en-AU"/>
              </w:rPr>
              <w:t xml:space="preserve">58.43 (13.52) </w:t>
            </w:r>
          </w:p>
        </w:tc>
        <w:tc>
          <w:tcPr>
            <w:tcW w:w="0" w:type="auto"/>
            <w:shd w:val="clear" w:color="auto" w:fill="auto"/>
          </w:tcPr>
          <w:p w14:paraId="20DD1333" w14:textId="77777777" w:rsidR="007D3739" w:rsidRPr="00E26ADF" w:rsidRDefault="007D3739" w:rsidP="00FC2300">
            <w:pPr>
              <w:pStyle w:val="TblTextCenter"/>
              <w:rPr>
                <w:lang w:val="en-AU"/>
              </w:rPr>
            </w:pPr>
            <w:r w:rsidRPr="00E26ADF">
              <w:rPr>
                <w:lang w:val="en-AU"/>
              </w:rPr>
              <w:t xml:space="preserve">52.18 (15.18) </w:t>
            </w:r>
          </w:p>
        </w:tc>
      </w:tr>
      <w:tr w:rsidR="00FC2300" w:rsidRPr="00E26ADF" w14:paraId="20267B57" w14:textId="77777777" w:rsidTr="00FC2300">
        <w:trPr>
          <w:cantSplit/>
          <w:trHeight w:val="118"/>
          <w:jc w:val="center"/>
        </w:trPr>
        <w:tc>
          <w:tcPr>
            <w:tcW w:w="0" w:type="auto"/>
            <w:shd w:val="clear" w:color="auto" w:fill="auto"/>
          </w:tcPr>
          <w:p w14:paraId="2BC7D0BF" w14:textId="77777777" w:rsidR="007D3739" w:rsidRPr="00E26ADF" w:rsidRDefault="007D3739" w:rsidP="007A7D95">
            <w:pPr>
              <w:pStyle w:val="TblTextCenter"/>
              <w:jc w:val="left"/>
              <w:rPr>
                <w:lang w:val="en-AU"/>
              </w:rPr>
            </w:pPr>
            <w:r w:rsidRPr="00E26ADF">
              <w:rPr>
                <w:lang w:val="en-AU"/>
              </w:rPr>
              <w:t xml:space="preserve">% Reversibility (± SD) </w:t>
            </w:r>
          </w:p>
        </w:tc>
        <w:tc>
          <w:tcPr>
            <w:tcW w:w="0" w:type="auto"/>
            <w:shd w:val="clear" w:color="auto" w:fill="auto"/>
          </w:tcPr>
          <w:p w14:paraId="2BA003E8" w14:textId="77777777" w:rsidR="007D3739" w:rsidRPr="00E26ADF" w:rsidRDefault="007D3739" w:rsidP="00FC2300">
            <w:pPr>
              <w:pStyle w:val="TblTextCenter"/>
              <w:rPr>
                <w:lang w:val="en-AU"/>
              </w:rPr>
            </w:pPr>
            <w:r w:rsidRPr="00E26ADF">
              <w:rPr>
                <w:lang w:val="en-AU"/>
              </w:rPr>
              <w:t xml:space="preserve">26.85 (15.43) </w:t>
            </w:r>
          </w:p>
        </w:tc>
        <w:tc>
          <w:tcPr>
            <w:tcW w:w="0" w:type="auto"/>
            <w:shd w:val="clear" w:color="auto" w:fill="auto"/>
          </w:tcPr>
          <w:p w14:paraId="34C2B0ED" w14:textId="77777777" w:rsidR="007D3739" w:rsidRPr="00E26ADF" w:rsidRDefault="007D3739" w:rsidP="00FC2300">
            <w:pPr>
              <w:pStyle w:val="TblTextCenter"/>
              <w:rPr>
                <w:lang w:val="en-AU"/>
              </w:rPr>
            </w:pPr>
            <w:r w:rsidRPr="00E26ADF">
              <w:rPr>
                <w:lang w:val="en-AU"/>
              </w:rPr>
              <w:t xml:space="preserve">26.29 (21.73) </w:t>
            </w:r>
          </w:p>
        </w:tc>
        <w:tc>
          <w:tcPr>
            <w:tcW w:w="0" w:type="auto"/>
            <w:shd w:val="clear" w:color="auto" w:fill="auto"/>
          </w:tcPr>
          <w:p w14:paraId="2C0A3F2D" w14:textId="77777777" w:rsidR="007D3739" w:rsidRPr="00E26ADF" w:rsidRDefault="007D3739" w:rsidP="00FC2300">
            <w:pPr>
              <w:pStyle w:val="TblTextCenter"/>
              <w:rPr>
                <w:lang w:val="en-AU"/>
              </w:rPr>
            </w:pPr>
            <w:r w:rsidRPr="00E26ADF">
              <w:rPr>
                <w:lang w:val="en-AU"/>
              </w:rPr>
              <w:t xml:space="preserve">19.47 (23.25) </w:t>
            </w:r>
          </w:p>
        </w:tc>
      </w:tr>
      <w:tr w:rsidR="00FC2300" w:rsidRPr="00E26ADF" w14:paraId="4D263025" w14:textId="77777777" w:rsidTr="00FC2300">
        <w:trPr>
          <w:cantSplit/>
          <w:trHeight w:val="120"/>
          <w:jc w:val="center"/>
        </w:trPr>
        <w:tc>
          <w:tcPr>
            <w:tcW w:w="0" w:type="auto"/>
            <w:shd w:val="clear" w:color="auto" w:fill="auto"/>
          </w:tcPr>
          <w:p w14:paraId="7F5671D9" w14:textId="77777777" w:rsidR="007D3739" w:rsidRPr="00E26ADF" w:rsidRDefault="007D3739" w:rsidP="007A7D95">
            <w:pPr>
              <w:pStyle w:val="TblTextCenter"/>
              <w:jc w:val="left"/>
              <w:rPr>
                <w:lang w:val="en-AU"/>
              </w:rPr>
            </w:pPr>
            <w:r w:rsidRPr="00E26ADF">
              <w:rPr>
                <w:lang w:val="en-AU"/>
              </w:rPr>
              <w:t xml:space="preserve">Mean ACQ-5 score (± SD) </w:t>
            </w:r>
          </w:p>
        </w:tc>
        <w:tc>
          <w:tcPr>
            <w:tcW w:w="0" w:type="auto"/>
            <w:shd w:val="clear" w:color="auto" w:fill="auto"/>
          </w:tcPr>
          <w:p w14:paraId="325A8958" w14:textId="77777777" w:rsidR="007D3739" w:rsidRPr="00E26ADF" w:rsidRDefault="007D3739" w:rsidP="00FC2300">
            <w:pPr>
              <w:pStyle w:val="TblTextCenter"/>
              <w:rPr>
                <w:lang w:val="en-AU"/>
              </w:rPr>
            </w:pPr>
            <w:r w:rsidRPr="00E26ADF">
              <w:rPr>
                <w:lang w:val="en-AU"/>
              </w:rPr>
              <w:t xml:space="preserve">2.74 (0.81) </w:t>
            </w:r>
          </w:p>
        </w:tc>
        <w:tc>
          <w:tcPr>
            <w:tcW w:w="0" w:type="auto"/>
            <w:shd w:val="clear" w:color="auto" w:fill="auto"/>
          </w:tcPr>
          <w:p w14:paraId="5653C404" w14:textId="77777777" w:rsidR="007D3739" w:rsidRPr="00E26ADF" w:rsidRDefault="007D3739" w:rsidP="00FC2300">
            <w:pPr>
              <w:pStyle w:val="TblTextCenter"/>
              <w:rPr>
                <w:lang w:val="en-AU"/>
              </w:rPr>
            </w:pPr>
            <w:r w:rsidRPr="00E26ADF">
              <w:rPr>
                <w:lang w:val="en-AU"/>
              </w:rPr>
              <w:t xml:space="preserve">2.76 (0.77) </w:t>
            </w:r>
          </w:p>
        </w:tc>
        <w:tc>
          <w:tcPr>
            <w:tcW w:w="0" w:type="auto"/>
            <w:shd w:val="clear" w:color="auto" w:fill="auto"/>
          </w:tcPr>
          <w:p w14:paraId="6693BF7E" w14:textId="77777777" w:rsidR="007D3739" w:rsidRPr="00E26ADF" w:rsidRDefault="007D3739" w:rsidP="00FC2300">
            <w:pPr>
              <w:pStyle w:val="TblTextCenter"/>
              <w:rPr>
                <w:lang w:val="en-AU"/>
              </w:rPr>
            </w:pPr>
            <w:r w:rsidRPr="00E26ADF">
              <w:rPr>
                <w:lang w:val="en-AU"/>
              </w:rPr>
              <w:t xml:space="preserve">2.50 (1.16) </w:t>
            </w:r>
          </w:p>
        </w:tc>
      </w:tr>
      <w:tr w:rsidR="00FC2300" w:rsidRPr="00E26ADF" w14:paraId="2150C076" w14:textId="77777777" w:rsidTr="00FC2300">
        <w:trPr>
          <w:cantSplit/>
          <w:trHeight w:val="150"/>
          <w:jc w:val="center"/>
        </w:trPr>
        <w:tc>
          <w:tcPr>
            <w:tcW w:w="0" w:type="auto"/>
            <w:shd w:val="clear" w:color="auto" w:fill="auto"/>
          </w:tcPr>
          <w:p w14:paraId="4D11E072" w14:textId="77777777" w:rsidR="007D3739" w:rsidRPr="00E26ADF" w:rsidRDefault="007D3739" w:rsidP="007A7D95">
            <w:pPr>
              <w:pStyle w:val="TblTextCenter"/>
              <w:jc w:val="left"/>
              <w:rPr>
                <w:lang w:val="en-AU"/>
              </w:rPr>
            </w:pPr>
            <w:r w:rsidRPr="00E26ADF">
              <w:rPr>
                <w:lang w:val="en-AU"/>
              </w:rPr>
              <w:t xml:space="preserve">Mean AQLQ score (± SD) </w:t>
            </w:r>
          </w:p>
        </w:tc>
        <w:tc>
          <w:tcPr>
            <w:tcW w:w="0" w:type="auto"/>
            <w:shd w:val="clear" w:color="auto" w:fill="auto"/>
          </w:tcPr>
          <w:p w14:paraId="41DC498F" w14:textId="77777777" w:rsidR="007D3739" w:rsidRPr="00E26ADF" w:rsidRDefault="007D3739" w:rsidP="00FC2300">
            <w:pPr>
              <w:pStyle w:val="TblTextCenter"/>
              <w:rPr>
                <w:lang w:val="en-AU"/>
              </w:rPr>
            </w:pPr>
            <w:r w:rsidRPr="00E26ADF">
              <w:rPr>
                <w:lang w:val="en-AU"/>
              </w:rPr>
              <w:t xml:space="preserve">4.02 (1.09) </w:t>
            </w:r>
          </w:p>
        </w:tc>
        <w:tc>
          <w:tcPr>
            <w:tcW w:w="0" w:type="auto"/>
            <w:shd w:val="clear" w:color="auto" w:fill="auto"/>
          </w:tcPr>
          <w:p w14:paraId="3AFECC1D" w14:textId="77777777" w:rsidR="007D3739" w:rsidRPr="00E26ADF" w:rsidRDefault="007D3739" w:rsidP="00FC2300">
            <w:pPr>
              <w:pStyle w:val="TblTextCenter"/>
              <w:rPr>
                <w:lang w:val="en-AU"/>
              </w:rPr>
            </w:pPr>
            <w:r w:rsidRPr="00E26ADF">
              <w:rPr>
                <w:lang w:val="en-AU"/>
              </w:rPr>
              <w:t xml:space="preserve">4.29 (1.05) </w:t>
            </w:r>
          </w:p>
        </w:tc>
        <w:tc>
          <w:tcPr>
            <w:tcW w:w="0" w:type="auto"/>
            <w:shd w:val="clear" w:color="auto" w:fill="auto"/>
          </w:tcPr>
          <w:p w14:paraId="5BE95438" w14:textId="77777777" w:rsidR="007D3739" w:rsidRPr="00E26ADF" w:rsidRDefault="007D3739" w:rsidP="00FC2300">
            <w:pPr>
              <w:pStyle w:val="TblTextCenter"/>
              <w:rPr>
                <w:lang w:val="en-AU"/>
              </w:rPr>
            </w:pPr>
            <w:r w:rsidRPr="00E26ADF">
              <w:rPr>
                <w:lang w:val="en-AU"/>
              </w:rPr>
              <w:t xml:space="preserve">4.35 (1.17) </w:t>
            </w:r>
          </w:p>
        </w:tc>
      </w:tr>
      <w:tr w:rsidR="00FC2300" w:rsidRPr="00E26ADF" w14:paraId="4C08B407" w14:textId="77777777" w:rsidTr="00FC2300">
        <w:trPr>
          <w:cantSplit/>
          <w:trHeight w:val="235"/>
          <w:jc w:val="center"/>
        </w:trPr>
        <w:tc>
          <w:tcPr>
            <w:tcW w:w="0" w:type="auto"/>
            <w:shd w:val="clear" w:color="auto" w:fill="auto"/>
          </w:tcPr>
          <w:p w14:paraId="31F439B9" w14:textId="77777777" w:rsidR="007D3739" w:rsidRPr="00E26ADF" w:rsidRDefault="007D3739" w:rsidP="007A7D95">
            <w:pPr>
              <w:pStyle w:val="TblTextCenter"/>
              <w:jc w:val="left"/>
              <w:rPr>
                <w:lang w:val="en-AU"/>
              </w:rPr>
            </w:pPr>
            <w:r w:rsidRPr="00E26ADF">
              <w:rPr>
                <w:lang w:val="en-AU"/>
              </w:rPr>
              <w:t xml:space="preserve">Atopic Medical History % Overall </w:t>
            </w:r>
          </w:p>
          <w:p w14:paraId="0157334C" w14:textId="77777777" w:rsidR="007D3739" w:rsidRPr="00E26ADF" w:rsidRDefault="007D3739" w:rsidP="007A7D95">
            <w:pPr>
              <w:pStyle w:val="TblTextCenter"/>
              <w:jc w:val="left"/>
              <w:rPr>
                <w:lang w:val="en-AU"/>
              </w:rPr>
            </w:pPr>
            <w:r w:rsidRPr="00E26ADF">
              <w:rPr>
                <w:lang w:val="en-AU"/>
              </w:rPr>
              <w:t xml:space="preserve">(AD %, NP %, AR %) </w:t>
            </w:r>
          </w:p>
        </w:tc>
        <w:tc>
          <w:tcPr>
            <w:tcW w:w="0" w:type="auto"/>
            <w:shd w:val="clear" w:color="auto" w:fill="auto"/>
          </w:tcPr>
          <w:p w14:paraId="095789DC" w14:textId="77777777" w:rsidR="007D3739" w:rsidRPr="00E26ADF" w:rsidRDefault="007D3739" w:rsidP="00FC2300">
            <w:pPr>
              <w:pStyle w:val="TblTextCenter"/>
              <w:rPr>
                <w:lang w:val="en-AU"/>
              </w:rPr>
            </w:pPr>
            <w:r w:rsidRPr="00E26ADF">
              <w:rPr>
                <w:lang w:val="en-AU"/>
              </w:rPr>
              <w:t xml:space="preserve">72.9 </w:t>
            </w:r>
          </w:p>
          <w:p w14:paraId="7E506694" w14:textId="77777777" w:rsidR="007D3739" w:rsidRPr="00E26ADF" w:rsidRDefault="007D3739" w:rsidP="00FC2300">
            <w:pPr>
              <w:pStyle w:val="TblTextCenter"/>
              <w:rPr>
                <w:lang w:val="en-AU"/>
              </w:rPr>
            </w:pPr>
            <w:r w:rsidRPr="00E26ADF">
              <w:rPr>
                <w:lang w:val="en-AU"/>
              </w:rPr>
              <w:t xml:space="preserve">(8.0, 10.6, 61.7) </w:t>
            </w:r>
          </w:p>
        </w:tc>
        <w:tc>
          <w:tcPr>
            <w:tcW w:w="0" w:type="auto"/>
            <w:shd w:val="clear" w:color="auto" w:fill="auto"/>
          </w:tcPr>
          <w:p w14:paraId="6D7C472B" w14:textId="77777777" w:rsidR="007D3739" w:rsidRPr="00E26ADF" w:rsidRDefault="007D3739" w:rsidP="00FC2300">
            <w:pPr>
              <w:pStyle w:val="TblTextCenter"/>
              <w:rPr>
                <w:lang w:val="en-AU"/>
              </w:rPr>
            </w:pPr>
            <w:r w:rsidRPr="00E26ADF">
              <w:rPr>
                <w:lang w:val="en-AU"/>
              </w:rPr>
              <w:t xml:space="preserve">77.7 </w:t>
            </w:r>
          </w:p>
          <w:p w14:paraId="53C3278B" w14:textId="77777777" w:rsidR="007D3739" w:rsidRPr="00E26ADF" w:rsidRDefault="007D3739" w:rsidP="00FC2300">
            <w:pPr>
              <w:pStyle w:val="TblTextCenter"/>
              <w:rPr>
                <w:lang w:val="en-AU"/>
              </w:rPr>
            </w:pPr>
            <w:r w:rsidRPr="00E26ADF">
              <w:rPr>
                <w:lang w:val="en-AU"/>
              </w:rPr>
              <w:t xml:space="preserve">(10.3, 12.7, 68.6) </w:t>
            </w:r>
          </w:p>
        </w:tc>
        <w:tc>
          <w:tcPr>
            <w:tcW w:w="0" w:type="auto"/>
            <w:shd w:val="clear" w:color="auto" w:fill="auto"/>
          </w:tcPr>
          <w:p w14:paraId="00D0E122" w14:textId="77777777" w:rsidR="007D3739" w:rsidRPr="00E26ADF" w:rsidRDefault="007D3739" w:rsidP="00FC2300">
            <w:pPr>
              <w:pStyle w:val="TblTextCenter"/>
              <w:rPr>
                <w:lang w:val="en-AU"/>
              </w:rPr>
            </w:pPr>
            <w:r w:rsidRPr="00E26ADF">
              <w:rPr>
                <w:lang w:val="en-AU"/>
              </w:rPr>
              <w:t xml:space="preserve">72.4 </w:t>
            </w:r>
          </w:p>
          <w:p w14:paraId="68597C76" w14:textId="77777777" w:rsidR="007D3739" w:rsidRPr="00E26ADF" w:rsidRDefault="007D3739" w:rsidP="00FC2300">
            <w:pPr>
              <w:pStyle w:val="TblTextCenter"/>
              <w:rPr>
                <w:lang w:val="en-AU"/>
              </w:rPr>
            </w:pPr>
            <w:r w:rsidRPr="00E26ADF">
              <w:rPr>
                <w:lang w:val="en-AU"/>
              </w:rPr>
              <w:t xml:space="preserve">(7.6, 21.0, 55.7) </w:t>
            </w:r>
          </w:p>
        </w:tc>
      </w:tr>
      <w:tr w:rsidR="00FC2300" w:rsidRPr="00E26ADF" w14:paraId="43A562CA" w14:textId="77777777" w:rsidTr="00FC2300">
        <w:trPr>
          <w:cantSplit/>
          <w:trHeight w:val="120"/>
          <w:jc w:val="center"/>
        </w:trPr>
        <w:tc>
          <w:tcPr>
            <w:tcW w:w="0" w:type="auto"/>
            <w:shd w:val="clear" w:color="auto" w:fill="auto"/>
          </w:tcPr>
          <w:p w14:paraId="04EF4AD6" w14:textId="77777777" w:rsidR="007D3739" w:rsidRPr="00E26ADF" w:rsidRDefault="007D3739" w:rsidP="007A7D95">
            <w:pPr>
              <w:pStyle w:val="TblTextCenter"/>
              <w:jc w:val="left"/>
              <w:rPr>
                <w:lang w:val="en-AU"/>
              </w:rPr>
            </w:pPr>
            <w:r w:rsidRPr="00E26ADF">
              <w:rPr>
                <w:lang w:val="en-AU"/>
              </w:rPr>
              <w:t xml:space="preserve">Mean </w:t>
            </w:r>
            <w:proofErr w:type="spellStart"/>
            <w:r w:rsidRPr="00E26ADF">
              <w:rPr>
                <w:lang w:val="en-AU"/>
              </w:rPr>
              <w:t>FeNO</w:t>
            </w:r>
            <w:proofErr w:type="spellEnd"/>
            <w:r w:rsidRPr="00E26ADF">
              <w:rPr>
                <w:lang w:val="en-AU"/>
              </w:rPr>
              <w:t xml:space="preserve"> ppb (± SD) </w:t>
            </w:r>
          </w:p>
        </w:tc>
        <w:tc>
          <w:tcPr>
            <w:tcW w:w="0" w:type="auto"/>
            <w:shd w:val="clear" w:color="auto" w:fill="auto"/>
          </w:tcPr>
          <w:p w14:paraId="6B16A27F" w14:textId="77777777" w:rsidR="007D3739" w:rsidRPr="00E26ADF" w:rsidRDefault="007D3739" w:rsidP="00FC2300">
            <w:pPr>
              <w:pStyle w:val="TblTextCenter"/>
              <w:rPr>
                <w:lang w:val="en-AU"/>
              </w:rPr>
            </w:pPr>
            <w:r w:rsidRPr="00E26ADF">
              <w:rPr>
                <w:lang w:val="en-AU"/>
              </w:rPr>
              <w:t xml:space="preserve">39.10 (35.09) </w:t>
            </w:r>
          </w:p>
        </w:tc>
        <w:tc>
          <w:tcPr>
            <w:tcW w:w="0" w:type="auto"/>
            <w:shd w:val="clear" w:color="auto" w:fill="auto"/>
          </w:tcPr>
          <w:p w14:paraId="5E64C929" w14:textId="77777777" w:rsidR="007D3739" w:rsidRPr="00E26ADF" w:rsidRDefault="007D3739" w:rsidP="00FC2300">
            <w:pPr>
              <w:pStyle w:val="TblTextCenter"/>
              <w:rPr>
                <w:lang w:val="en-AU"/>
              </w:rPr>
            </w:pPr>
            <w:r w:rsidRPr="00E26ADF">
              <w:rPr>
                <w:lang w:val="en-AU"/>
              </w:rPr>
              <w:t xml:space="preserve">34.97 (32.85) </w:t>
            </w:r>
          </w:p>
        </w:tc>
        <w:tc>
          <w:tcPr>
            <w:tcW w:w="0" w:type="auto"/>
            <w:shd w:val="clear" w:color="auto" w:fill="auto"/>
          </w:tcPr>
          <w:p w14:paraId="5B8620CE" w14:textId="77777777" w:rsidR="007D3739" w:rsidRPr="00E26ADF" w:rsidRDefault="007D3739" w:rsidP="00FC2300">
            <w:pPr>
              <w:pStyle w:val="TblTextCenter"/>
              <w:rPr>
                <w:lang w:val="en-AU"/>
              </w:rPr>
            </w:pPr>
            <w:r w:rsidRPr="00E26ADF">
              <w:rPr>
                <w:lang w:val="en-AU"/>
              </w:rPr>
              <w:t xml:space="preserve">37.61 (31.38) </w:t>
            </w:r>
          </w:p>
        </w:tc>
      </w:tr>
      <w:tr w:rsidR="00FC2300" w:rsidRPr="00E26ADF" w14:paraId="7AB33A83" w14:textId="77777777" w:rsidTr="00FC2300">
        <w:trPr>
          <w:cantSplit/>
          <w:trHeight w:val="349"/>
          <w:jc w:val="center"/>
        </w:trPr>
        <w:tc>
          <w:tcPr>
            <w:tcW w:w="0" w:type="auto"/>
            <w:shd w:val="clear" w:color="auto" w:fill="auto"/>
          </w:tcPr>
          <w:p w14:paraId="3ACBC510" w14:textId="77777777" w:rsidR="007D3739" w:rsidRPr="00E26ADF" w:rsidRDefault="007D3739" w:rsidP="007A7D95">
            <w:pPr>
              <w:pStyle w:val="TblTextCenter"/>
              <w:jc w:val="left"/>
              <w:rPr>
                <w:lang w:val="en-AU"/>
              </w:rPr>
            </w:pPr>
            <w:r w:rsidRPr="00E26ADF">
              <w:rPr>
                <w:lang w:val="en-AU"/>
              </w:rPr>
              <w:t xml:space="preserve">% patients with </w:t>
            </w:r>
            <w:proofErr w:type="spellStart"/>
            <w:r w:rsidRPr="00E26ADF">
              <w:rPr>
                <w:lang w:val="en-AU"/>
              </w:rPr>
              <w:t>FeNO</w:t>
            </w:r>
            <w:proofErr w:type="spellEnd"/>
            <w:r w:rsidRPr="00E26ADF">
              <w:rPr>
                <w:lang w:val="en-AU"/>
              </w:rPr>
              <w:t xml:space="preserve"> ppb </w:t>
            </w:r>
          </w:p>
          <w:p w14:paraId="3653BCF2" w14:textId="77777777" w:rsidR="007D3739" w:rsidRPr="00E26ADF" w:rsidRDefault="007D3739" w:rsidP="007A7D95">
            <w:pPr>
              <w:pStyle w:val="TblTextCenter"/>
              <w:ind w:left="720"/>
              <w:jc w:val="left"/>
              <w:rPr>
                <w:lang w:val="en-AU"/>
              </w:rPr>
            </w:pPr>
            <w:r w:rsidRPr="00E26ADF">
              <w:rPr>
                <w:lang w:val="en-AU"/>
              </w:rPr>
              <w:t xml:space="preserve">≥25 </w:t>
            </w:r>
          </w:p>
          <w:p w14:paraId="45846A5A" w14:textId="77777777" w:rsidR="007D3739" w:rsidRPr="00E26ADF" w:rsidRDefault="007D3739" w:rsidP="007A7D95">
            <w:pPr>
              <w:pStyle w:val="TblTextCenter"/>
              <w:ind w:left="720"/>
              <w:jc w:val="left"/>
              <w:rPr>
                <w:lang w:val="en-AU"/>
              </w:rPr>
            </w:pPr>
            <w:r w:rsidRPr="00E26ADF">
              <w:rPr>
                <w:lang w:val="en-AU"/>
              </w:rPr>
              <w:t xml:space="preserve">≥50 </w:t>
            </w:r>
          </w:p>
        </w:tc>
        <w:tc>
          <w:tcPr>
            <w:tcW w:w="0" w:type="auto"/>
            <w:shd w:val="clear" w:color="auto" w:fill="auto"/>
          </w:tcPr>
          <w:p w14:paraId="7C211EF8" w14:textId="77777777" w:rsidR="00FC2300" w:rsidRPr="00E26ADF" w:rsidRDefault="00FC2300" w:rsidP="00FC2300">
            <w:pPr>
              <w:pStyle w:val="TblTextCenter"/>
              <w:rPr>
                <w:lang w:val="en-AU"/>
              </w:rPr>
            </w:pPr>
          </w:p>
          <w:p w14:paraId="03F0E1C1" w14:textId="77777777" w:rsidR="007D3739" w:rsidRPr="00E26ADF" w:rsidRDefault="007D3739" w:rsidP="00FC2300">
            <w:pPr>
              <w:pStyle w:val="TblTextCenter"/>
              <w:rPr>
                <w:lang w:val="en-AU"/>
              </w:rPr>
            </w:pPr>
            <w:r w:rsidRPr="00E26ADF">
              <w:rPr>
                <w:lang w:val="en-AU"/>
              </w:rPr>
              <w:t xml:space="preserve">49.9 </w:t>
            </w:r>
          </w:p>
          <w:p w14:paraId="4B116189" w14:textId="77777777" w:rsidR="007D3739" w:rsidRPr="00E26ADF" w:rsidRDefault="007D3739" w:rsidP="00FC2300">
            <w:pPr>
              <w:pStyle w:val="TblTextCenter"/>
              <w:rPr>
                <w:lang w:val="en-AU"/>
              </w:rPr>
            </w:pPr>
            <w:r w:rsidRPr="00E26ADF">
              <w:rPr>
                <w:lang w:val="en-AU"/>
              </w:rPr>
              <w:t xml:space="preserve">21.6 </w:t>
            </w:r>
          </w:p>
        </w:tc>
        <w:tc>
          <w:tcPr>
            <w:tcW w:w="0" w:type="auto"/>
            <w:shd w:val="clear" w:color="auto" w:fill="auto"/>
          </w:tcPr>
          <w:p w14:paraId="1DAE0F06" w14:textId="77777777" w:rsidR="00FC2300" w:rsidRPr="00E26ADF" w:rsidRDefault="00FC2300" w:rsidP="00FC2300">
            <w:pPr>
              <w:pStyle w:val="TblTextCenter"/>
              <w:rPr>
                <w:lang w:val="en-AU"/>
              </w:rPr>
            </w:pPr>
          </w:p>
          <w:p w14:paraId="74D795FD" w14:textId="77777777" w:rsidR="007D3739" w:rsidRPr="00E26ADF" w:rsidRDefault="007D3739" w:rsidP="00FC2300">
            <w:pPr>
              <w:pStyle w:val="TblTextCenter"/>
              <w:rPr>
                <w:lang w:val="en-AU"/>
              </w:rPr>
            </w:pPr>
            <w:r w:rsidRPr="00E26ADF">
              <w:rPr>
                <w:lang w:val="en-AU"/>
              </w:rPr>
              <w:t xml:space="preserve">49.6 </w:t>
            </w:r>
          </w:p>
          <w:p w14:paraId="0DA20738" w14:textId="77777777" w:rsidR="007D3739" w:rsidRPr="00E26ADF" w:rsidRDefault="007D3739" w:rsidP="00FC2300">
            <w:pPr>
              <w:pStyle w:val="TblTextCenter"/>
              <w:rPr>
                <w:lang w:val="en-AU"/>
              </w:rPr>
            </w:pPr>
            <w:r w:rsidRPr="00E26ADF">
              <w:rPr>
                <w:lang w:val="en-AU"/>
              </w:rPr>
              <w:t xml:space="preserve">20.5 </w:t>
            </w:r>
          </w:p>
        </w:tc>
        <w:tc>
          <w:tcPr>
            <w:tcW w:w="0" w:type="auto"/>
            <w:shd w:val="clear" w:color="auto" w:fill="auto"/>
          </w:tcPr>
          <w:p w14:paraId="398327A1" w14:textId="77777777" w:rsidR="00FC2300" w:rsidRPr="00E26ADF" w:rsidRDefault="00FC2300" w:rsidP="00FC2300">
            <w:pPr>
              <w:pStyle w:val="TblTextCenter"/>
              <w:rPr>
                <w:lang w:val="en-AU"/>
              </w:rPr>
            </w:pPr>
          </w:p>
          <w:p w14:paraId="1BFBB002" w14:textId="77777777" w:rsidR="007D3739" w:rsidRPr="00E26ADF" w:rsidRDefault="007D3739" w:rsidP="00FC2300">
            <w:pPr>
              <w:pStyle w:val="TblTextCenter"/>
              <w:rPr>
                <w:lang w:val="en-AU"/>
              </w:rPr>
            </w:pPr>
            <w:r w:rsidRPr="00E26ADF">
              <w:rPr>
                <w:lang w:val="en-AU"/>
              </w:rPr>
              <w:t xml:space="preserve">54.3 </w:t>
            </w:r>
          </w:p>
          <w:p w14:paraId="219C0D34" w14:textId="77777777" w:rsidR="007D3739" w:rsidRPr="00E26ADF" w:rsidRDefault="007D3739" w:rsidP="00FC2300">
            <w:pPr>
              <w:pStyle w:val="TblTextCenter"/>
              <w:rPr>
                <w:lang w:val="en-AU"/>
              </w:rPr>
            </w:pPr>
            <w:r w:rsidRPr="00E26ADF">
              <w:rPr>
                <w:lang w:val="en-AU"/>
              </w:rPr>
              <w:t xml:space="preserve">25.2 </w:t>
            </w:r>
          </w:p>
        </w:tc>
      </w:tr>
      <w:tr w:rsidR="00FC2300" w:rsidRPr="00E26ADF" w14:paraId="729A3919" w14:textId="77777777" w:rsidTr="00FC2300">
        <w:trPr>
          <w:cantSplit/>
          <w:trHeight w:val="118"/>
          <w:jc w:val="center"/>
        </w:trPr>
        <w:tc>
          <w:tcPr>
            <w:tcW w:w="0" w:type="auto"/>
            <w:shd w:val="clear" w:color="auto" w:fill="auto"/>
          </w:tcPr>
          <w:p w14:paraId="48D89D63" w14:textId="77777777" w:rsidR="007D3739" w:rsidRPr="00E26ADF" w:rsidRDefault="007D3739" w:rsidP="007A7D95">
            <w:pPr>
              <w:pStyle w:val="TblTextCenter"/>
              <w:jc w:val="left"/>
              <w:rPr>
                <w:lang w:val="en-AU"/>
              </w:rPr>
            </w:pPr>
            <w:r w:rsidRPr="00E26ADF">
              <w:rPr>
                <w:lang w:val="en-AU"/>
              </w:rPr>
              <w:t xml:space="preserve">Mean total </w:t>
            </w:r>
            <w:proofErr w:type="spellStart"/>
            <w:r w:rsidRPr="00E26ADF">
              <w:rPr>
                <w:lang w:val="en-AU"/>
              </w:rPr>
              <w:t>IgE</w:t>
            </w:r>
            <w:proofErr w:type="spellEnd"/>
            <w:r w:rsidRPr="00E26ADF">
              <w:rPr>
                <w:lang w:val="en-AU"/>
              </w:rPr>
              <w:t xml:space="preserve"> IU/mL (± SD) </w:t>
            </w:r>
          </w:p>
        </w:tc>
        <w:tc>
          <w:tcPr>
            <w:tcW w:w="0" w:type="auto"/>
            <w:shd w:val="clear" w:color="auto" w:fill="auto"/>
          </w:tcPr>
          <w:p w14:paraId="391ACB16" w14:textId="77777777" w:rsidR="007D3739" w:rsidRPr="00E26ADF" w:rsidRDefault="007D3739" w:rsidP="00FC2300">
            <w:pPr>
              <w:pStyle w:val="TblTextCenter"/>
              <w:rPr>
                <w:lang w:val="en-AU"/>
              </w:rPr>
            </w:pPr>
            <w:r w:rsidRPr="00E26ADF">
              <w:rPr>
                <w:lang w:val="en-AU"/>
              </w:rPr>
              <w:t xml:space="preserve">435.05 (753.88) </w:t>
            </w:r>
          </w:p>
        </w:tc>
        <w:tc>
          <w:tcPr>
            <w:tcW w:w="0" w:type="auto"/>
            <w:shd w:val="clear" w:color="auto" w:fill="auto"/>
          </w:tcPr>
          <w:p w14:paraId="53EDE8F4" w14:textId="77777777" w:rsidR="007D3739" w:rsidRPr="00E26ADF" w:rsidRDefault="007D3739" w:rsidP="00FC2300">
            <w:pPr>
              <w:pStyle w:val="TblTextCenter"/>
              <w:rPr>
                <w:lang w:val="en-AU"/>
              </w:rPr>
            </w:pPr>
            <w:r w:rsidRPr="00E26ADF">
              <w:rPr>
                <w:lang w:val="en-AU"/>
              </w:rPr>
              <w:t xml:space="preserve">432.40 (746.66) </w:t>
            </w:r>
          </w:p>
        </w:tc>
        <w:tc>
          <w:tcPr>
            <w:tcW w:w="0" w:type="auto"/>
            <w:shd w:val="clear" w:color="auto" w:fill="auto"/>
          </w:tcPr>
          <w:p w14:paraId="690EA9F0" w14:textId="77777777" w:rsidR="007D3739" w:rsidRPr="00E26ADF" w:rsidRDefault="007D3739" w:rsidP="00FC2300">
            <w:pPr>
              <w:pStyle w:val="TblTextCenter"/>
              <w:rPr>
                <w:lang w:val="en-AU"/>
              </w:rPr>
            </w:pPr>
            <w:r w:rsidRPr="00E26ADF">
              <w:rPr>
                <w:lang w:val="en-AU"/>
              </w:rPr>
              <w:t xml:space="preserve">430.58 (775.96) </w:t>
            </w:r>
          </w:p>
        </w:tc>
      </w:tr>
      <w:tr w:rsidR="00FC2300" w:rsidRPr="00E26ADF" w14:paraId="513C24ED" w14:textId="77777777" w:rsidTr="00FC2300">
        <w:trPr>
          <w:cantSplit/>
          <w:trHeight w:val="234"/>
          <w:jc w:val="center"/>
        </w:trPr>
        <w:tc>
          <w:tcPr>
            <w:tcW w:w="0" w:type="auto"/>
            <w:shd w:val="clear" w:color="auto" w:fill="auto"/>
          </w:tcPr>
          <w:p w14:paraId="218D56EA" w14:textId="77777777" w:rsidR="007D3739" w:rsidRPr="00E26ADF" w:rsidRDefault="007D3739" w:rsidP="007A7D95">
            <w:pPr>
              <w:pStyle w:val="TblTextCenter"/>
              <w:jc w:val="left"/>
              <w:rPr>
                <w:lang w:val="en-AU"/>
              </w:rPr>
            </w:pPr>
            <w:r w:rsidRPr="00E26ADF">
              <w:rPr>
                <w:lang w:val="en-AU"/>
              </w:rPr>
              <w:t>Mean baseline Eosinophil count (± SD) cells/</w:t>
            </w:r>
            <w:proofErr w:type="spellStart"/>
            <w:r w:rsidRPr="00E26ADF">
              <w:rPr>
                <w:lang w:val="en-AU"/>
              </w:rPr>
              <w:t>mcL</w:t>
            </w:r>
            <w:proofErr w:type="spellEnd"/>
            <w:r w:rsidRPr="00E26ADF">
              <w:rPr>
                <w:lang w:val="en-AU"/>
              </w:rPr>
              <w:t xml:space="preserve"> </w:t>
            </w:r>
          </w:p>
        </w:tc>
        <w:tc>
          <w:tcPr>
            <w:tcW w:w="0" w:type="auto"/>
            <w:shd w:val="clear" w:color="auto" w:fill="auto"/>
          </w:tcPr>
          <w:p w14:paraId="464C18F6" w14:textId="77777777" w:rsidR="007D3739" w:rsidRPr="00E26ADF" w:rsidRDefault="007D3739" w:rsidP="00FC2300">
            <w:pPr>
              <w:pStyle w:val="TblTextCenter"/>
              <w:rPr>
                <w:lang w:val="en-AU"/>
              </w:rPr>
            </w:pPr>
            <w:r w:rsidRPr="00E26ADF">
              <w:rPr>
                <w:lang w:val="en-AU"/>
              </w:rPr>
              <w:t xml:space="preserve">350 (430) </w:t>
            </w:r>
          </w:p>
        </w:tc>
        <w:tc>
          <w:tcPr>
            <w:tcW w:w="0" w:type="auto"/>
            <w:shd w:val="clear" w:color="auto" w:fill="auto"/>
          </w:tcPr>
          <w:p w14:paraId="706679EB" w14:textId="77777777" w:rsidR="007D3739" w:rsidRPr="00E26ADF" w:rsidRDefault="007D3739" w:rsidP="00FC2300">
            <w:pPr>
              <w:pStyle w:val="TblTextCenter"/>
              <w:rPr>
                <w:lang w:val="en-AU"/>
              </w:rPr>
            </w:pPr>
            <w:r w:rsidRPr="00E26ADF">
              <w:rPr>
                <w:lang w:val="en-AU"/>
              </w:rPr>
              <w:t xml:space="preserve">360 (370) </w:t>
            </w:r>
          </w:p>
        </w:tc>
        <w:tc>
          <w:tcPr>
            <w:tcW w:w="0" w:type="auto"/>
            <w:shd w:val="clear" w:color="auto" w:fill="auto"/>
          </w:tcPr>
          <w:p w14:paraId="2660236F" w14:textId="77777777" w:rsidR="007D3739" w:rsidRPr="00E26ADF" w:rsidRDefault="007D3739" w:rsidP="00FC2300">
            <w:pPr>
              <w:pStyle w:val="TblTextCenter"/>
              <w:rPr>
                <w:lang w:val="en-AU"/>
              </w:rPr>
            </w:pPr>
            <w:r w:rsidRPr="00E26ADF">
              <w:rPr>
                <w:lang w:val="en-AU"/>
              </w:rPr>
              <w:t xml:space="preserve">350 (310) </w:t>
            </w:r>
          </w:p>
        </w:tc>
      </w:tr>
      <w:tr w:rsidR="00FC2300" w:rsidRPr="00E26ADF" w14:paraId="2505661A" w14:textId="77777777" w:rsidTr="00FC2300">
        <w:trPr>
          <w:cantSplit/>
          <w:trHeight w:val="349"/>
          <w:jc w:val="center"/>
        </w:trPr>
        <w:tc>
          <w:tcPr>
            <w:tcW w:w="0" w:type="auto"/>
            <w:tcBorders>
              <w:bottom w:val="single" w:sz="12" w:space="0" w:color="auto"/>
            </w:tcBorders>
            <w:shd w:val="clear" w:color="auto" w:fill="auto"/>
          </w:tcPr>
          <w:p w14:paraId="0B617C81" w14:textId="77777777" w:rsidR="007D3739" w:rsidRPr="00E26ADF" w:rsidRDefault="007D3739" w:rsidP="007A7D95">
            <w:pPr>
              <w:pStyle w:val="TblTextCenter"/>
              <w:jc w:val="left"/>
              <w:rPr>
                <w:lang w:val="en-AU"/>
              </w:rPr>
            </w:pPr>
            <w:r w:rsidRPr="00E26ADF">
              <w:rPr>
                <w:lang w:val="en-AU"/>
              </w:rPr>
              <w:t xml:space="preserve">% patients with EOS </w:t>
            </w:r>
          </w:p>
          <w:p w14:paraId="35F223A0" w14:textId="77777777" w:rsidR="007D3739" w:rsidRPr="00E26ADF" w:rsidRDefault="007D3739" w:rsidP="007A7D95">
            <w:pPr>
              <w:pStyle w:val="TblTextCenter"/>
              <w:ind w:left="720"/>
              <w:jc w:val="left"/>
              <w:rPr>
                <w:lang w:val="en-AU"/>
              </w:rPr>
            </w:pPr>
            <w:r w:rsidRPr="00E26ADF">
              <w:rPr>
                <w:lang w:val="en-AU"/>
              </w:rPr>
              <w:t>≥ 150 cells/</w:t>
            </w:r>
            <w:proofErr w:type="spellStart"/>
            <w:r w:rsidRPr="00E26ADF">
              <w:rPr>
                <w:lang w:val="en-AU"/>
              </w:rPr>
              <w:t>mcL</w:t>
            </w:r>
            <w:proofErr w:type="spellEnd"/>
            <w:r w:rsidRPr="00E26ADF">
              <w:rPr>
                <w:lang w:val="en-AU"/>
              </w:rPr>
              <w:t xml:space="preserve"> </w:t>
            </w:r>
          </w:p>
          <w:p w14:paraId="254D84E6" w14:textId="77777777" w:rsidR="007D3739" w:rsidRPr="00E26ADF" w:rsidRDefault="007D3739" w:rsidP="007A7D95">
            <w:pPr>
              <w:pStyle w:val="TblTextCenter"/>
              <w:ind w:left="720"/>
              <w:jc w:val="left"/>
              <w:rPr>
                <w:lang w:val="en-AU"/>
              </w:rPr>
            </w:pPr>
            <w:r w:rsidRPr="00E26ADF">
              <w:rPr>
                <w:lang w:val="en-AU"/>
              </w:rPr>
              <w:t>≥ 300 cells/</w:t>
            </w:r>
            <w:proofErr w:type="spellStart"/>
            <w:r w:rsidRPr="00E26ADF">
              <w:rPr>
                <w:lang w:val="en-AU"/>
              </w:rPr>
              <w:t>mcL</w:t>
            </w:r>
            <w:proofErr w:type="spellEnd"/>
            <w:r w:rsidRPr="00E26ADF">
              <w:rPr>
                <w:lang w:val="en-AU"/>
              </w:rPr>
              <w:t xml:space="preserve"> </w:t>
            </w:r>
          </w:p>
        </w:tc>
        <w:tc>
          <w:tcPr>
            <w:tcW w:w="0" w:type="auto"/>
            <w:tcBorders>
              <w:bottom w:val="single" w:sz="12" w:space="0" w:color="auto"/>
            </w:tcBorders>
            <w:shd w:val="clear" w:color="auto" w:fill="auto"/>
          </w:tcPr>
          <w:p w14:paraId="47D6774D" w14:textId="77777777" w:rsidR="007A7D95" w:rsidRDefault="007A7D95" w:rsidP="00FC2300">
            <w:pPr>
              <w:pStyle w:val="TblTextCenter"/>
              <w:rPr>
                <w:lang w:val="en-AU"/>
              </w:rPr>
            </w:pPr>
          </w:p>
          <w:p w14:paraId="29F021E1" w14:textId="095CCAA3" w:rsidR="007D3739" w:rsidRPr="00E26ADF" w:rsidRDefault="007D3739" w:rsidP="00FC2300">
            <w:pPr>
              <w:pStyle w:val="TblTextCenter"/>
              <w:rPr>
                <w:lang w:val="en-AU"/>
              </w:rPr>
            </w:pPr>
            <w:r w:rsidRPr="00E26ADF">
              <w:rPr>
                <w:lang w:val="en-AU"/>
              </w:rPr>
              <w:t xml:space="preserve">77.8 </w:t>
            </w:r>
          </w:p>
          <w:p w14:paraId="7C5082A9" w14:textId="77777777" w:rsidR="007D3739" w:rsidRPr="00E26ADF" w:rsidRDefault="007D3739" w:rsidP="00FC2300">
            <w:pPr>
              <w:pStyle w:val="TblTextCenter"/>
              <w:rPr>
                <w:lang w:val="en-AU"/>
              </w:rPr>
            </w:pPr>
            <w:r w:rsidRPr="00E26ADF">
              <w:rPr>
                <w:lang w:val="en-AU"/>
              </w:rPr>
              <w:t xml:space="preserve">41.9 </w:t>
            </w:r>
          </w:p>
        </w:tc>
        <w:tc>
          <w:tcPr>
            <w:tcW w:w="0" w:type="auto"/>
            <w:tcBorders>
              <w:bottom w:val="single" w:sz="12" w:space="0" w:color="auto"/>
            </w:tcBorders>
            <w:shd w:val="clear" w:color="auto" w:fill="auto"/>
          </w:tcPr>
          <w:p w14:paraId="18FDF778" w14:textId="77777777" w:rsidR="007A7D95" w:rsidRDefault="007A7D95" w:rsidP="00FC2300">
            <w:pPr>
              <w:pStyle w:val="TblTextCenter"/>
              <w:rPr>
                <w:lang w:val="en-AU"/>
              </w:rPr>
            </w:pPr>
          </w:p>
          <w:p w14:paraId="37B18A00" w14:textId="09ABA5A2" w:rsidR="007D3739" w:rsidRPr="00E26ADF" w:rsidRDefault="007D3739" w:rsidP="00FC2300">
            <w:pPr>
              <w:pStyle w:val="TblTextCenter"/>
              <w:rPr>
                <w:lang w:val="en-AU"/>
              </w:rPr>
            </w:pPr>
            <w:r w:rsidRPr="00E26ADF">
              <w:rPr>
                <w:lang w:val="en-AU"/>
              </w:rPr>
              <w:t xml:space="preserve">71.4 </w:t>
            </w:r>
          </w:p>
          <w:p w14:paraId="3107FE8A" w14:textId="77777777" w:rsidR="007D3739" w:rsidRPr="00E26ADF" w:rsidRDefault="007D3739" w:rsidP="00FC2300">
            <w:pPr>
              <w:pStyle w:val="TblTextCenter"/>
              <w:rPr>
                <w:lang w:val="en-AU"/>
              </w:rPr>
            </w:pPr>
            <w:r w:rsidRPr="00E26ADF">
              <w:rPr>
                <w:lang w:val="en-AU"/>
              </w:rPr>
              <w:t xml:space="preserve">43.7 </w:t>
            </w:r>
          </w:p>
        </w:tc>
        <w:tc>
          <w:tcPr>
            <w:tcW w:w="0" w:type="auto"/>
            <w:tcBorders>
              <w:bottom w:val="single" w:sz="12" w:space="0" w:color="auto"/>
            </w:tcBorders>
            <w:shd w:val="clear" w:color="auto" w:fill="auto"/>
          </w:tcPr>
          <w:p w14:paraId="6C2A581D" w14:textId="77777777" w:rsidR="007A7D95" w:rsidRDefault="007A7D95" w:rsidP="00FC2300">
            <w:pPr>
              <w:pStyle w:val="TblTextCenter"/>
              <w:rPr>
                <w:lang w:val="en-AU"/>
              </w:rPr>
            </w:pPr>
          </w:p>
          <w:p w14:paraId="1ABCB420" w14:textId="620B723C" w:rsidR="007D3739" w:rsidRPr="00E26ADF" w:rsidRDefault="007D3739" w:rsidP="00FC2300">
            <w:pPr>
              <w:pStyle w:val="TblTextCenter"/>
              <w:rPr>
                <w:lang w:val="en-AU"/>
              </w:rPr>
            </w:pPr>
            <w:r w:rsidRPr="00E26ADF">
              <w:rPr>
                <w:lang w:val="en-AU"/>
              </w:rPr>
              <w:t xml:space="preserve">71.4 </w:t>
            </w:r>
          </w:p>
          <w:p w14:paraId="5456E7BF" w14:textId="77777777" w:rsidR="007D3739" w:rsidRPr="00E26ADF" w:rsidRDefault="007D3739" w:rsidP="00FC2300">
            <w:pPr>
              <w:pStyle w:val="TblTextCenter"/>
              <w:rPr>
                <w:lang w:val="en-AU"/>
              </w:rPr>
            </w:pPr>
            <w:r w:rsidRPr="00E26ADF">
              <w:rPr>
                <w:lang w:val="en-AU"/>
              </w:rPr>
              <w:t xml:space="preserve">42.4 </w:t>
            </w:r>
          </w:p>
        </w:tc>
      </w:tr>
      <w:tr w:rsidR="007D3739" w:rsidRPr="00E26ADF" w14:paraId="103567AF" w14:textId="77777777" w:rsidTr="00FC2300">
        <w:trPr>
          <w:cantSplit/>
          <w:trHeight w:val="349"/>
          <w:jc w:val="center"/>
        </w:trPr>
        <w:tc>
          <w:tcPr>
            <w:tcW w:w="0" w:type="auto"/>
            <w:gridSpan w:val="4"/>
            <w:tcBorders>
              <w:top w:val="single" w:sz="12" w:space="0" w:color="auto"/>
            </w:tcBorders>
            <w:shd w:val="clear" w:color="auto" w:fill="auto"/>
          </w:tcPr>
          <w:p w14:paraId="12E494FC" w14:textId="66CD777A" w:rsidR="007D3739" w:rsidRPr="00E26ADF" w:rsidRDefault="007D3739" w:rsidP="00721C58">
            <w:pPr>
              <w:pStyle w:val="TblFigFootnote"/>
              <w:rPr>
                <w:lang w:val="en-AU"/>
              </w:rPr>
            </w:pPr>
            <w:r w:rsidRPr="00E26ADF">
              <w:rPr>
                <w:lang w:val="en-AU"/>
              </w:rPr>
              <w:t>ICS = inhaled corticosteroid; LABA = Long-acting beta2-agonist; FEV1 = Forced expiratory volume in 1 second; ACQ-5 = Asthma Control Questionnaire-5; AQLQs = Asthma Quality of Life Questionnaire, Standardi</w:t>
            </w:r>
            <w:r w:rsidR="002B505B" w:rsidRPr="00F64F0A">
              <w:rPr>
                <w:lang w:val="en-AU"/>
              </w:rPr>
              <w:t>s</w:t>
            </w:r>
            <w:r w:rsidRPr="00E26ADF">
              <w:rPr>
                <w:lang w:val="en-AU"/>
              </w:rPr>
              <w:t xml:space="preserve">ed Version; AD = atopic dermatitis; NP = nasal polyposis; AR = allergic rhinitis; </w:t>
            </w:r>
            <w:proofErr w:type="spellStart"/>
            <w:r w:rsidRPr="00E26ADF">
              <w:rPr>
                <w:lang w:val="en-AU"/>
              </w:rPr>
              <w:t>FeNO</w:t>
            </w:r>
            <w:proofErr w:type="spellEnd"/>
            <w:r w:rsidRPr="00E26ADF">
              <w:rPr>
                <w:lang w:val="en-AU"/>
              </w:rPr>
              <w:t xml:space="preserve"> = fraction of exhaled nitric oxide; EOS = blood eosinophil</w:t>
            </w:r>
          </w:p>
          <w:p w14:paraId="5B2AB382" w14:textId="71E86528" w:rsidR="00396DBA" w:rsidRPr="00E26ADF" w:rsidRDefault="00396DBA" w:rsidP="00101C90">
            <w:pPr>
              <w:spacing w:before="0"/>
              <w:rPr>
                <w:rFonts w:ascii="Arial Narrow" w:eastAsia="MS Gothic" w:hAnsi="Arial Narrow"/>
                <w:color w:val="auto"/>
                <w:sz w:val="18"/>
                <w:szCs w:val="20"/>
              </w:rPr>
            </w:pPr>
            <w:r w:rsidRPr="00E26ADF">
              <w:rPr>
                <w:rFonts w:ascii="Arial Narrow" w:eastAsia="MS Gothic" w:hAnsi="Arial Narrow"/>
                <w:color w:val="auto"/>
                <w:sz w:val="18"/>
                <w:szCs w:val="20"/>
              </w:rPr>
              <w:t xml:space="preserve">* High dose ICS was defined as &gt; 500 mcg </w:t>
            </w:r>
            <w:r w:rsidR="00CE00B3" w:rsidRPr="00E26ADF">
              <w:rPr>
                <w:rFonts w:ascii="Arial Narrow" w:eastAsia="MS Gothic" w:hAnsi="Arial Narrow"/>
                <w:color w:val="auto"/>
                <w:sz w:val="18"/>
                <w:szCs w:val="20"/>
              </w:rPr>
              <w:t>fluticasone equivalent per day.</w:t>
            </w:r>
          </w:p>
        </w:tc>
      </w:tr>
    </w:tbl>
    <w:p w14:paraId="43B37F7A" w14:textId="77777777" w:rsidR="007D3739" w:rsidRPr="00E26ADF" w:rsidRDefault="007D3739" w:rsidP="00B15694">
      <w:pPr>
        <w:pStyle w:val="Heading5"/>
        <w:numPr>
          <w:ilvl w:val="0"/>
          <w:numId w:val="0"/>
        </w:numPr>
        <w:ind w:left="1009" w:hanging="1009"/>
      </w:pPr>
      <w:r w:rsidRPr="00E26ADF">
        <w:t>Exacerbations</w:t>
      </w:r>
    </w:p>
    <w:p w14:paraId="0FBC6F8B" w14:textId="395EECD0" w:rsidR="007D3739" w:rsidRPr="002549AD" w:rsidRDefault="00204DA1" w:rsidP="007D3739">
      <w:pPr>
        <w:rPr>
          <w:i/>
          <w:color w:val="auto"/>
        </w:rPr>
      </w:pPr>
      <w:r w:rsidRPr="00F64F0A">
        <w:rPr>
          <w:color w:val="auto"/>
        </w:rPr>
        <w:t xml:space="preserve">The </w:t>
      </w:r>
      <w:r w:rsidR="007D3739" w:rsidRPr="00E26ADF">
        <w:rPr>
          <w:color w:val="auto"/>
        </w:rPr>
        <w:t>DRI12544, Quest, and Venture studies evaluated the frequency of severe asthma exacerbations</w:t>
      </w:r>
      <w:r w:rsidR="00FB15C5" w:rsidRPr="00E26ADF">
        <w:rPr>
          <w:color w:val="auto"/>
        </w:rPr>
        <w:t>.</w:t>
      </w:r>
      <w:r w:rsidR="007D3739" w:rsidRPr="00E26ADF">
        <w:rPr>
          <w:color w:val="auto"/>
        </w:rPr>
        <w:t xml:space="preserve"> </w:t>
      </w:r>
      <w:r w:rsidR="002549AD">
        <w:rPr>
          <w:i/>
          <w:color w:val="auto"/>
        </w:rPr>
        <w:t xml:space="preserve"> </w:t>
      </w:r>
      <w:r w:rsidR="007D3739" w:rsidRPr="00E26ADF">
        <w:rPr>
          <w:color w:val="auto"/>
        </w:rPr>
        <w:t>Exacerbations were defined as deterioration of asthma requiring the use of systemic corticosteroids for at least 3 days or hospitalization or emergency room visit due to asthma that required systemic corticosteroids.</w:t>
      </w:r>
      <w:r w:rsidR="002549AD">
        <w:rPr>
          <w:i/>
          <w:color w:val="auto"/>
        </w:rPr>
        <w:t xml:space="preserve">  </w:t>
      </w:r>
      <w:r w:rsidR="007D3739" w:rsidRPr="00E26ADF">
        <w:rPr>
          <w:color w:val="auto"/>
        </w:rPr>
        <w:t>For patients on maintenance corticosteroids, an asthma exacerbation was defined as a temporary increase in oral corticosteroid dose for at least 3 days.</w:t>
      </w:r>
    </w:p>
    <w:p w14:paraId="0761066F" w14:textId="6CE1D8C1" w:rsidR="004367AF" w:rsidRPr="00E26ADF" w:rsidRDefault="007D3739" w:rsidP="00E22710">
      <w:pPr>
        <w:rPr>
          <w:color w:val="auto"/>
        </w:rPr>
      </w:pPr>
      <w:r w:rsidRPr="00E26ADF">
        <w:rPr>
          <w:color w:val="auto"/>
        </w:rPr>
        <w:t>In the overall population, pati</w:t>
      </w:r>
      <w:r w:rsidR="00CE00B3" w:rsidRPr="00E26ADF">
        <w:rPr>
          <w:color w:val="auto"/>
        </w:rPr>
        <w:t xml:space="preserve">ents receiving either Dupixent </w:t>
      </w:r>
      <w:r w:rsidRPr="00E26ADF">
        <w:rPr>
          <w:color w:val="auto"/>
        </w:rPr>
        <w:t>200 mg or 300 mg every other week had significant reductions in the rate of severe asthma exacerbations c</w:t>
      </w:r>
      <w:r w:rsidR="003E2D91" w:rsidRPr="00E26ADF">
        <w:rPr>
          <w:color w:val="auto"/>
        </w:rPr>
        <w:t xml:space="preserve">ompared to placebo (see </w:t>
      </w:r>
      <w:r w:rsidR="00C8795E" w:rsidRPr="00C8795E">
        <w:rPr>
          <w:color w:val="0000FF"/>
          <w:u w:val="double"/>
        </w:rPr>
        <w:fldChar w:fldCharType="begin"/>
      </w:r>
      <w:r w:rsidR="00C8795E" w:rsidRPr="00C8795E">
        <w:rPr>
          <w:strike/>
          <w:color w:val="0000FF"/>
          <w:u w:val="double"/>
        </w:rPr>
        <w:instrText xml:space="preserve"> REF _Ref10724173 \h  \* MERGEFORMAT </w:instrText>
      </w:r>
      <w:r w:rsidR="00C8795E" w:rsidRPr="00C8795E">
        <w:rPr>
          <w:color w:val="0000FF"/>
          <w:u w:val="double"/>
        </w:rPr>
      </w:r>
      <w:r w:rsidR="00C8795E" w:rsidRPr="00C8795E">
        <w:rPr>
          <w:color w:val="0000FF"/>
          <w:u w:val="double"/>
        </w:rPr>
        <w:fldChar w:fldCharType="separate"/>
      </w:r>
      <w:r w:rsidR="00E123A5" w:rsidRPr="00E123A5">
        <w:rPr>
          <w:color w:val="0000FF"/>
        </w:rPr>
        <w:t>Table 14</w:t>
      </w:r>
      <w:r w:rsidR="00C8795E" w:rsidRPr="00C8795E">
        <w:rPr>
          <w:color w:val="0000FF"/>
          <w:u w:val="double"/>
        </w:rPr>
        <w:fldChar w:fldCharType="end"/>
      </w:r>
      <w:r w:rsidR="00E22710" w:rsidRPr="00E26ADF">
        <w:rPr>
          <w:color w:val="auto"/>
        </w:rPr>
        <w:t>).</w:t>
      </w:r>
    </w:p>
    <w:p w14:paraId="07222099" w14:textId="1673A787" w:rsidR="00A5103D" w:rsidRPr="00E26ADF" w:rsidRDefault="007D3739" w:rsidP="007D3739">
      <w:pPr>
        <w:rPr>
          <w:color w:val="auto"/>
        </w:rPr>
      </w:pPr>
      <w:r w:rsidRPr="00E26ADF">
        <w:rPr>
          <w:color w:val="auto"/>
        </w:rPr>
        <w:t xml:space="preserve">In the pooled analysis of </w:t>
      </w:r>
      <w:r w:rsidR="00BD7833" w:rsidRPr="00E26ADF">
        <w:rPr>
          <w:color w:val="auto"/>
        </w:rPr>
        <w:t xml:space="preserve">the </w:t>
      </w:r>
      <w:r w:rsidRPr="00E26ADF">
        <w:rPr>
          <w:color w:val="auto"/>
        </w:rPr>
        <w:t>DRI12544 and Quest studies, the rate of severe exacerbations leading to hospitalizations and/or emergency room visits was reduced by 25.5% and 46.9% with Dupixent 200 mg or 300 mg every other week, respectively.</w:t>
      </w:r>
    </w:p>
    <w:p w14:paraId="37BD1D74" w14:textId="4EFF711F" w:rsidR="007D3739" w:rsidRPr="00E26ADF" w:rsidRDefault="007D3739" w:rsidP="007D3739">
      <w:pPr>
        <w:pStyle w:val="Caption"/>
        <w:rPr>
          <w:lang w:val="en-AU"/>
        </w:rPr>
      </w:pPr>
      <w:bookmarkStart w:id="30" w:name="_Ref10724173"/>
      <w:r w:rsidRPr="00E26ADF">
        <w:rPr>
          <w:lang w:val="en-AU"/>
        </w:rPr>
        <w:lastRenderedPageBreak/>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14</w:t>
      </w:r>
      <w:r w:rsidRPr="00E26ADF">
        <w:rPr>
          <w:lang w:val="en-AU"/>
        </w:rPr>
        <w:fldChar w:fldCharType="end"/>
      </w:r>
      <w:bookmarkEnd w:id="30"/>
      <w:r w:rsidRPr="00E26ADF">
        <w:rPr>
          <w:lang w:val="en-AU"/>
        </w:rPr>
        <w:t xml:space="preserve"> ­ Rate of Severe Exacerbations in DRI12544, Quest, and Venture (Overall </w:t>
      </w:r>
      <w:proofErr w:type="spellStart"/>
      <w:r w:rsidRPr="00E26ADF">
        <w:rPr>
          <w:lang w:val="en-AU"/>
        </w:rPr>
        <w:t>Population</w:t>
      </w:r>
      <w:r w:rsidRPr="00E26ADF">
        <w:rPr>
          <w:vertAlign w:val="superscript"/>
          <w:lang w:val="en-AU"/>
        </w:rPr>
        <w:t>a</w:t>
      </w:r>
      <w:proofErr w:type="spellEnd"/>
      <w:r w:rsidRPr="00E26ADF">
        <w:rPr>
          <w:lang w:val="en-AU"/>
        </w:rPr>
        <w:t>)</w:t>
      </w:r>
    </w:p>
    <w:tbl>
      <w:tblPr>
        <w:tblW w:w="0" w:type="auto"/>
        <w:jc w:val="center"/>
        <w:tblBorders>
          <w:top w:val="single" w:sz="2" w:space="0" w:color="000000"/>
        </w:tblBorders>
        <w:tblLayout w:type="fixed"/>
        <w:tblLook w:val="0000" w:firstRow="0" w:lastRow="0" w:firstColumn="0" w:lastColumn="0" w:noHBand="0" w:noVBand="0"/>
      </w:tblPr>
      <w:tblGrid>
        <w:gridCol w:w="1560"/>
        <w:gridCol w:w="2126"/>
        <w:gridCol w:w="1581"/>
        <w:gridCol w:w="1638"/>
        <w:gridCol w:w="1983"/>
      </w:tblGrid>
      <w:tr w:rsidR="007D3739" w:rsidRPr="00E26ADF" w14:paraId="61A3686E" w14:textId="77777777" w:rsidTr="000B6591">
        <w:trPr>
          <w:cantSplit/>
          <w:trHeight w:hRule="exact" w:val="583"/>
          <w:tblHeader/>
          <w:jc w:val="center"/>
        </w:trPr>
        <w:tc>
          <w:tcPr>
            <w:tcW w:w="1560" w:type="dxa"/>
            <w:vMerge w:val="restart"/>
            <w:tcBorders>
              <w:top w:val="single" w:sz="4" w:space="0" w:color="000000"/>
              <w:bottom w:val="single" w:sz="4" w:space="0" w:color="000000"/>
            </w:tcBorders>
            <w:shd w:val="clear" w:color="auto" w:fill="auto"/>
          </w:tcPr>
          <w:p w14:paraId="46A22DD9" w14:textId="77777777" w:rsidR="007D3739" w:rsidRPr="00E26ADF" w:rsidRDefault="007D3739" w:rsidP="00FC2300">
            <w:pPr>
              <w:pStyle w:val="TblHeadingCenter"/>
              <w:rPr>
                <w:lang w:val="en-AU"/>
              </w:rPr>
            </w:pPr>
            <w:r w:rsidRPr="00E26ADF">
              <w:rPr>
                <w:lang w:val="en-AU"/>
              </w:rPr>
              <w:t>Study</w:t>
            </w:r>
          </w:p>
        </w:tc>
        <w:tc>
          <w:tcPr>
            <w:tcW w:w="2126" w:type="dxa"/>
            <w:vMerge w:val="restart"/>
            <w:tcBorders>
              <w:top w:val="single" w:sz="4" w:space="0" w:color="000000"/>
              <w:bottom w:val="single" w:sz="4" w:space="0" w:color="000000"/>
            </w:tcBorders>
            <w:shd w:val="clear" w:color="auto" w:fill="auto"/>
          </w:tcPr>
          <w:p w14:paraId="56C5C5D5" w14:textId="77777777" w:rsidR="007D3739" w:rsidRPr="00E26ADF" w:rsidRDefault="007D3739" w:rsidP="00FC2300">
            <w:pPr>
              <w:pStyle w:val="TblHeadingCenter"/>
              <w:rPr>
                <w:lang w:val="en-AU"/>
              </w:rPr>
            </w:pPr>
            <w:bookmarkStart w:id="31" w:name="bookmark0"/>
            <w:bookmarkEnd w:id="31"/>
            <w:r w:rsidRPr="00E26ADF">
              <w:rPr>
                <w:spacing w:val="-1"/>
                <w:lang w:val="en-AU"/>
              </w:rPr>
              <w:t>T</w:t>
            </w:r>
            <w:r w:rsidRPr="00E26ADF">
              <w:rPr>
                <w:lang w:val="en-AU"/>
              </w:rPr>
              <w:t>re</w:t>
            </w:r>
            <w:r w:rsidRPr="00E26ADF">
              <w:rPr>
                <w:spacing w:val="1"/>
                <w:lang w:val="en-AU"/>
              </w:rPr>
              <w:t>a</w:t>
            </w:r>
            <w:r w:rsidRPr="00E26ADF">
              <w:rPr>
                <w:spacing w:val="3"/>
                <w:lang w:val="en-AU"/>
              </w:rPr>
              <w:t>t</w:t>
            </w:r>
            <w:r w:rsidRPr="00E26ADF">
              <w:rPr>
                <w:spacing w:val="-7"/>
                <w:lang w:val="en-AU"/>
              </w:rPr>
              <w:t>m</w:t>
            </w:r>
            <w:r w:rsidRPr="00E26ADF">
              <w:rPr>
                <w:spacing w:val="2"/>
                <w:lang w:val="en-AU"/>
              </w:rPr>
              <w:t>e</w:t>
            </w:r>
            <w:r w:rsidRPr="00E26ADF">
              <w:rPr>
                <w:lang w:val="en-AU"/>
              </w:rPr>
              <w:t>nt</w:t>
            </w:r>
            <w:r w:rsidRPr="00E26ADF">
              <w:rPr>
                <w:w w:val="99"/>
                <w:lang w:val="en-AU"/>
              </w:rPr>
              <w:t xml:space="preserve"> </w:t>
            </w:r>
            <w:r w:rsidRPr="00E26ADF">
              <w:rPr>
                <w:lang w:val="en-AU"/>
              </w:rPr>
              <w:t>(N)</w:t>
            </w:r>
          </w:p>
        </w:tc>
        <w:tc>
          <w:tcPr>
            <w:tcW w:w="3219" w:type="dxa"/>
            <w:gridSpan w:val="2"/>
            <w:tcBorders>
              <w:top w:val="single" w:sz="4" w:space="0" w:color="000000"/>
              <w:bottom w:val="single" w:sz="4" w:space="0" w:color="000000"/>
            </w:tcBorders>
            <w:shd w:val="clear" w:color="auto" w:fill="auto"/>
          </w:tcPr>
          <w:p w14:paraId="7C435AB6" w14:textId="77777777" w:rsidR="007D3739" w:rsidRPr="00E26ADF" w:rsidRDefault="007D3739" w:rsidP="00FC2300">
            <w:pPr>
              <w:pStyle w:val="TblHeadingCenter"/>
              <w:rPr>
                <w:lang w:val="en-AU"/>
              </w:rPr>
            </w:pPr>
            <w:r w:rsidRPr="00E26ADF">
              <w:rPr>
                <w:spacing w:val="-1"/>
                <w:lang w:val="en-AU"/>
              </w:rPr>
              <w:t>E</w:t>
            </w:r>
            <w:r w:rsidRPr="00E26ADF">
              <w:rPr>
                <w:spacing w:val="-2"/>
                <w:lang w:val="en-AU"/>
              </w:rPr>
              <w:t>x</w:t>
            </w:r>
            <w:r w:rsidRPr="00E26ADF">
              <w:rPr>
                <w:spacing w:val="1"/>
                <w:lang w:val="en-AU"/>
              </w:rPr>
              <w:t>a</w:t>
            </w:r>
            <w:r w:rsidRPr="00E26ADF">
              <w:rPr>
                <w:lang w:val="en-AU"/>
              </w:rPr>
              <w:t>ce</w:t>
            </w:r>
            <w:bookmarkStart w:id="32" w:name="bookmark1"/>
            <w:bookmarkEnd w:id="32"/>
            <w:r w:rsidRPr="00E26ADF">
              <w:rPr>
                <w:lang w:val="en-AU"/>
              </w:rPr>
              <w:t>rb</w:t>
            </w:r>
            <w:r w:rsidRPr="00E26ADF">
              <w:rPr>
                <w:spacing w:val="1"/>
                <w:lang w:val="en-AU"/>
              </w:rPr>
              <w:t>a</w:t>
            </w:r>
            <w:r w:rsidRPr="00E26ADF">
              <w:rPr>
                <w:lang w:val="en-AU"/>
              </w:rPr>
              <w:t>tions</w:t>
            </w:r>
            <w:r w:rsidRPr="00E26ADF">
              <w:rPr>
                <w:spacing w:val="-11"/>
                <w:lang w:val="en-AU"/>
              </w:rPr>
              <w:t xml:space="preserve"> </w:t>
            </w:r>
            <w:r w:rsidRPr="00E26ADF">
              <w:rPr>
                <w:lang w:val="en-AU"/>
              </w:rPr>
              <w:t>per</w:t>
            </w:r>
            <w:r w:rsidRPr="00E26ADF">
              <w:rPr>
                <w:spacing w:val="-10"/>
                <w:lang w:val="en-AU"/>
              </w:rPr>
              <w:t xml:space="preserve"> </w:t>
            </w:r>
            <w:r w:rsidRPr="00E26ADF">
              <w:rPr>
                <w:lang w:val="en-AU"/>
              </w:rPr>
              <w:t>Ye</w:t>
            </w:r>
            <w:r w:rsidRPr="00E26ADF">
              <w:rPr>
                <w:spacing w:val="1"/>
                <w:lang w:val="en-AU"/>
              </w:rPr>
              <w:t>a</w:t>
            </w:r>
            <w:r w:rsidRPr="00E26ADF">
              <w:rPr>
                <w:lang w:val="en-AU"/>
              </w:rPr>
              <w:t>r</w:t>
            </w:r>
          </w:p>
        </w:tc>
        <w:tc>
          <w:tcPr>
            <w:tcW w:w="1983" w:type="dxa"/>
            <w:tcBorders>
              <w:top w:val="single" w:sz="4" w:space="0" w:color="000000"/>
              <w:bottom w:val="single" w:sz="4" w:space="0" w:color="000000"/>
            </w:tcBorders>
            <w:shd w:val="clear" w:color="auto" w:fill="auto"/>
          </w:tcPr>
          <w:p w14:paraId="3EFBEC42" w14:textId="77777777" w:rsidR="007D3739" w:rsidRPr="00E26ADF" w:rsidRDefault="007D3739" w:rsidP="00FC2300">
            <w:pPr>
              <w:pStyle w:val="TblHeadingCenter"/>
              <w:rPr>
                <w:lang w:val="en-AU"/>
              </w:rPr>
            </w:pPr>
            <w:r w:rsidRPr="00E26ADF">
              <w:rPr>
                <w:lang w:val="en-AU"/>
              </w:rPr>
              <w:t>Percent Reduction</w:t>
            </w:r>
          </w:p>
        </w:tc>
      </w:tr>
      <w:tr w:rsidR="007D3739" w:rsidRPr="00E26ADF" w14:paraId="528A99D2" w14:textId="77777777" w:rsidTr="000B6591">
        <w:trPr>
          <w:cantSplit/>
          <w:trHeight w:hRule="exact" w:val="480"/>
          <w:tblHeader/>
          <w:jc w:val="center"/>
        </w:trPr>
        <w:tc>
          <w:tcPr>
            <w:tcW w:w="1560" w:type="dxa"/>
            <w:vMerge/>
            <w:tcBorders>
              <w:top w:val="single" w:sz="4" w:space="0" w:color="auto"/>
              <w:bottom w:val="single" w:sz="4" w:space="0" w:color="000000"/>
            </w:tcBorders>
            <w:shd w:val="clear" w:color="auto" w:fill="auto"/>
          </w:tcPr>
          <w:p w14:paraId="54EA369A" w14:textId="77777777" w:rsidR="007D3739" w:rsidRPr="00E26ADF" w:rsidRDefault="007D3739" w:rsidP="00721C58">
            <w:pPr>
              <w:pStyle w:val="TableParagraph"/>
              <w:kinsoku w:val="0"/>
              <w:overflowPunct w:val="0"/>
              <w:spacing w:before="13"/>
              <w:ind w:left="1271"/>
              <w:rPr>
                <w:b/>
              </w:rPr>
            </w:pPr>
          </w:p>
        </w:tc>
        <w:tc>
          <w:tcPr>
            <w:tcW w:w="2126" w:type="dxa"/>
            <w:vMerge/>
            <w:tcBorders>
              <w:top w:val="single" w:sz="4" w:space="0" w:color="auto"/>
              <w:bottom w:val="single" w:sz="4" w:space="0" w:color="000000"/>
            </w:tcBorders>
            <w:shd w:val="clear" w:color="auto" w:fill="auto"/>
          </w:tcPr>
          <w:p w14:paraId="383D8857" w14:textId="77777777" w:rsidR="007D3739" w:rsidRPr="00E26ADF" w:rsidRDefault="007D3739" w:rsidP="00721C58">
            <w:pPr>
              <w:pStyle w:val="TableParagraph"/>
              <w:kinsoku w:val="0"/>
              <w:overflowPunct w:val="0"/>
              <w:spacing w:before="13"/>
              <w:ind w:left="1271"/>
              <w:rPr>
                <w:b/>
              </w:rPr>
            </w:pPr>
          </w:p>
        </w:tc>
        <w:tc>
          <w:tcPr>
            <w:tcW w:w="1581" w:type="dxa"/>
            <w:tcBorders>
              <w:top w:val="single" w:sz="4" w:space="0" w:color="000000"/>
            </w:tcBorders>
            <w:shd w:val="clear" w:color="auto" w:fill="auto"/>
          </w:tcPr>
          <w:p w14:paraId="2BA435A4" w14:textId="77777777" w:rsidR="007D3739" w:rsidRPr="00E26ADF" w:rsidRDefault="007D3739" w:rsidP="00FC2300">
            <w:pPr>
              <w:pStyle w:val="TblTextCenter"/>
              <w:rPr>
                <w:lang w:val="en-AU"/>
              </w:rPr>
            </w:pPr>
            <w:r w:rsidRPr="00E26ADF">
              <w:rPr>
                <w:lang w:val="en-AU"/>
              </w:rPr>
              <w:t>Rate (95% CI)</w:t>
            </w:r>
          </w:p>
        </w:tc>
        <w:tc>
          <w:tcPr>
            <w:tcW w:w="1638" w:type="dxa"/>
            <w:tcBorders>
              <w:top w:val="single" w:sz="4" w:space="0" w:color="000000"/>
            </w:tcBorders>
            <w:shd w:val="clear" w:color="auto" w:fill="auto"/>
          </w:tcPr>
          <w:p w14:paraId="55AAABB8" w14:textId="77777777" w:rsidR="007D3739" w:rsidRPr="00E26ADF" w:rsidRDefault="007D3739" w:rsidP="00FC2300">
            <w:pPr>
              <w:pStyle w:val="TblTextCenter"/>
              <w:rPr>
                <w:lang w:val="en-AU"/>
              </w:rPr>
            </w:pPr>
            <w:r w:rsidRPr="00E26ADF">
              <w:rPr>
                <w:lang w:val="en-AU"/>
              </w:rPr>
              <w:t>Rate Ratio (95%CI)</w:t>
            </w:r>
          </w:p>
        </w:tc>
        <w:tc>
          <w:tcPr>
            <w:tcW w:w="1983" w:type="dxa"/>
            <w:tcBorders>
              <w:top w:val="single" w:sz="4" w:space="0" w:color="000000"/>
            </w:tcBorders>
            <w:shd w:val="clear" w:color="auto" w:fill="auto"/>
          </w:tcPr>
          <w:p w14:paraId="0F8A9534" w14:textId="77777777" w:rsidR="007D3739" w:rsidRPr="00E26ADF" w:rsidRDefault="007D3739" w:rsidP="00FC2300">
            <w:pPr>
              <w:pStyle w:val="TblTextCenter"/>
              <w:rPr>
                <w:lang w:val="en-AU"/>
              </w:rPr>
            </w:pPr>
          </w:p>
        </w:tc>
      </w:tr>
      <w:tr w:rsidR="007D3739" w:rsidRPr="00E26ADF" w14:paraId="0DCE996F" w14:textId="77777777" w:rsidTr="00B351F3">
        <w:trPr>
          <w:cantSplit/>
          <w:trHeight w:hRule="exact" w:val="430"/>
          <w:jc w:val="center"/>
        </w:trPr>
        <w:tc>
          <w:tcPr>
            <w:tcW w:w="6905" w:type="dxa"/>
            <w:gridSpan w:val="4"/>
            <w:shd w:val="clear" w:color="auto" w:fill="auto"/>
          </w:tcPr>
          <w:p w14:paraId="2A3BF464" w14:textId="77777777" w:rsidR="007D3739" w:rsidRPr="00E26ADF" w:rsidRDefault="007D3739" w:rsidP="00FC2300">
            <w:pPr>
              <w:pStyle w:val="TblTextCenter"/>
              <w:jc w:val="left"/>
              <w:rPr>
                <w:lang w:val="en-AU"/>
              </w:rPr>
            </w:pPr>
            <w:r w:rsidRPr="00E26ADF">
              <w:rPr>
                <w:lang w:val="en-AU"/>
              </w:rPr>
              <w:t>All Severe Exacerbations</w:t>
            </w:r>
          </w:p>
        </w:tc>
        <w:tc>
          <w:tcPr>
            <w:tcW w:w="1983" w:type="dxa"/>
            <w:shd w:val="clear" w:color="auto" w:fill="auto"/>
          </w:tcPr>
          <w:p w14:paraId="591B77C5" w14:textId="77777777" w:rsidR="007D3739" w:rsidRPr="00E26ADF" w:rsidRDefault="007D3739" w:rsidP="00FC2300">
            <w:pPr>
              <w:pStyle w:val="TblTextCenter"/>
              <w:rPr>
                <w:lang w:val="en-AU"/>
              </w:rPr>
            </w:pPr>
          </w:p>
        </w:tc>
      </w:tr>
      <w:tr w:rsidR="000B6591" w:rsidRPr="00E26ADF" w14:paraId="077D7457" w14:textId="77777777" w:rsidTr="00B351F3">
        <w:trPr>
          <w:cantSplit/>
          <w:trHeight w:hRule="exact" w:val="430"/>
          <w:jc w:val="center"/>
        </w:trPr>
        <w:tc>
          <w:tcPr>
            <w:tcW w:w="6905" w:type="dxa"/>
            <w:gridSpan w:val="4"/>
            <w:shd w:val="clear" w:color="auto" w:fill="auto"/>
          </w:tcPr>
          <w:p w14:paraId="5ADBBE95" w14:textId="77777777" w:rsidR="000B6591" w:rsidRPr="00E26ADF" w:rsidRDefault="000B6591" w:rsidP="00FC2300">
            <w:pPr>
              <w:pStyle w:val="TblTextCenter"/>
              <w:jc w:val="left"/>
              <w:rPr>
                <w:lang w:val="en-AU"/>
              </w:rPr>
            </w:pPr>
          </w:p>
        </w:tc>
        <w:tc>
          <w:tcPr>
            <w:tcW w:w="1983" w:type="dxa"/>
            <w:shd w:val="clear" w:color="auto" w:fill="auto"/>
          </w:tcPr>
          <w:p w14:paraId="3B2B4EDE" w14:textId="77777777" w:rsidR="000B6591" w:rsidRPr="00E26ADF" w:rsidRDefault="000B6591" w:rsidP="00FC2300">
            <w:pPr>
              <w:pStyle w:val="TblTextCenter"/>
              <w:rPr>
                <w:lang w:val="en-AU"/>
              </w:rPr>
            </w:pPr>
          </w:p>
        </w:tc>
      </w:tr>
      <w:tr w:rsidR="007D3739" w:rsidRPr="00E26ADF" w14:paraId="264CDB97" w14:textId="77777777" w:rsidTr="000B6591">
        <w:trPr>
          <w:cantSplit/>
          <w:trHeight w:hRule="exact" w:val="698"/>
          <w:jc w:val="center"/>
        </w:trPr>
        <w:tc>
          <w:tcPr>
            <w:tcW w:w="1560" w:type="dxa"/>
            <w:vMerge w:val="restart"/>
            <w:shd w:val="clear" w:color="auto" w:fill="auto"/>
          </w:tcPr>
          <w:p w14:paraId="49E0FB22" w14:textId="77777777" w:rsidR="007D3739" w:rsidRPr="00CE7FDE" w:rsidRDefault="007D3739" w:rsidP="00FC2300">
            <w:pPr>
              <w:pStyle w:val="TblTextCenter"/>
              <w:rPr>
                <w:b/>
                <w:lang w:val="en-AU"/>
              </w:rPr>
            </w:pPr>
            <w:r w:rsidRPr="00CE7FDE">
              <w:rPr>
                <w:b/>
                <w:lang w:val="en-AU"/>
              </w:rPr>
              <w:t>DRI12544</w:t>
            </w:r>
          </w:p>
        </w:tc>
        <w:tc>
          <w:tcPr>
            <w:tcW w:w="2126" w:type="dxa"/>
            <w:shd w:val="clear" w:color="auto" w:fill="auto"/>
          </w:tcPr>
          <w:p w14:paraId="570F2FF3" w14:textId="77777777" w:rsidR="007D3739" w:rsidRPr="00E26ADF" w:rsidRDefault="007D3739" w:rsidP="00A15F24">
            <w:pPr>
              <w:pStyle w:val="TblTextCenter"/>
              <w:jc w:val="left"/>
              <w:rPr>
                <w:lang w:val="en-AU"/>
              </w:rPr>
            </w:pPr>
            <w:r w:rsidRPr="00E26ADF">
              <w:rPr>
                <w:lang w:val="en-AU"/>
              </w:rPr>
              <w:t>Dupixent</w:t>
            </w:r>
          </w:p>
          <w:p w14:paraId="7CAF6CFE" w14:textId="77777777" w:rsidR="007D3739" w:rsidRPr="00E26ADF" w:rsidRDefault="007D3739" w:rsidP="00A15F24">
            <w:pPr>
              <w:pStyle w:val="TblTextCenter"/>
              <w:jc w:val="left"/>
              <w:rPr>
                <w:lang w:val="en-AU"/>
              </w:rPr>
            </w:pPr>
            <w:r w:rsidRPr="00E26ADF">
              <w:rPr>
                <w:lang w:val="en-AU"/>
              </w:rPr>
              <w:t>200 mg Q2W (n= 150)</w:t>
            </w:r>
          </w:p>
        </w:tc>
        <w:tc>
          <w:tcPr>
            <w:tcW w:w="1581" w:type="dxa"/>
            <w:shd w:val="clear" w:color="auto" w:fill="auto"/>
          </w:tcPr>
          <w:p w14:paraId="70F545CE" w14:textId="77777777" w:rsidR="007D3739" w:rsidRPr="00E26ADF" w:rsidRDefault="007D3739" w:rsidP="00FC2300">
            <w:pPr>
              <w:pStyle w:val="TblTextCenter"/>
              <w:rPr>
                <w:lang w:val="en-AU"/>
              </w:rPr>
            </w:pPr>
            <w:r w:rsidRPr="00E26ADF">
              <w:rPr>
                <w:lang w:val="en-AU"/>
              </w:rPr>
              <w:t>0.27 (0.16, 0.46)</w:t>
            </w:r>
          </w:p>
        </w:tc>
        <w:tc>
          <w:tcPr>
            <w:tcW w:w="1638" w:type="dxa"/>
            <w:shd w:val="clear" w:color="auto" w:fill="auto"/>
          </w:tcPr>
          <w:p w14:paraId="0C83E1A8" w14:textId="77777777" w:rsidR="007D3739" w:rsidRPr="00E26ADF" w:rsidRDefault="007D3739" w:rsidP="00FC2300">
            <w:pPr>
              <w:pStyle w:val="TblTextCenter"/>
              <w:rPr>
                <w:lang w:val="en-AU"/>
              </w:rPr>
            </w:pPr>
            <w:r w:rsidRPr="00E26ADF">
              <w:rPr>
                <w:lang w:val="en-AU"/>
              </w:rPr>
              <w:t>0.30 (0.16, 0.57)</w:t>
            </w:r>
          </w:p>
        </w:tc>
        <w:tc>
          <w:tcPr>
            <w:tcW w:w="1983" w:type="dxa"/>
            <w:shd w:val="clear" w:color="auto" w:fill="auto"/>
          </w:tcPr>
          <w:p w14:paraId="3A749A36" w14:textId="77777777" w:rsidR="007D3739" w:rsidRPr="00E26ADF" w:rsidRDefault="007D3739" w:rsidP="00FC2300">
            <w:pPr>
              <w:pStyle w:val="TblTextCenter"/>
              <w:rPr>
                <w:lang w:val="en-AU"/>
              </w:rPr>
            </w:pPr>
            <w:r w:rsidRPr="00E26ADF">
              <w:rPr>
                <w:lang w:val="en-AU"/>
              </w:rPr>
              <w:t>70%</w:t>
            </w:r>
          </w:p>
        </w:tc>
      </w:tr>
      <w:tr w:rsidR="007D3739" w:rsidRPr="00E26ADF" w14:paraId="69CE5447" w14:textId="77777777" w:rsidTr="000B6591">
        <w:trPr>
          <w:cantSplit/>
          <w:trHeight w:hRule="exact" w:val="701"/>
          <w:jc w:val="center"/>
        </w:trPr>
        <w:tc>
          <w:tcPr>
            <w:tcW w:w="1560" w:type="dxa"/>
            <w:vMerge/>
            <w:shd w:val="clear" w:color="auto" w:fill="auto"/>
          </w:tcPr>
          <w:p w14:paraId="6D90FEC1" w14:textId="77777777" w:rsidR="007D3739" w:rsidRPr="00E26ADF" w:rsidRDefault="007D3739" w:rsidP="00721C58">
            <w:pPr>
              <w:pStyle w:val="TableParagraph"/>
              <w:kinsoku w:val="0"/>
              <w:overflowPunct w:val="0"/>
              <w:spacing w:before="8"/>
              <w:ind w:left="740" w:right="589" w:firstLine="293"/>
              <w:rPr>
                <w:b/>
              </w:rPr>
            </w:pPr>
          </w:p>
        </w:tc>
        <w:tc>
          <w:tcPr>
            <w:tcW w:w="2126" w:type="dxa"/>
            <w:shd w:val="clear" w:color="auto" w:fill="auto"/>
          </w:tcPr>
          <w:p w14:paraId="6E8A1637" w14:textId="77777777" w:rsidR="007D3739" w:rsidRPr="00E26ADF" w:rsidRDefault="007D3739" w:rsidP="00A15F24">
            <w:pPr>
              <w:pStyle w:val="TblTextCenter"/>
              <w:jc w:val="left"/>
              <w:rPr>
                <w:lang w:val="en-AU"/>
              </w:rPr>
            </w:pPr>
            <w:r w:rsidRPr="00E26ADF">
              <w:rPr>
                <w:lang w:val="en-AU"/>
              </w:rPr>
              <w:t>Dupixent</w:t>
            </w:r>
          </w:p>
          <w:p w14:paraId="42832F98" w14:textId="77777777" w:rsidR="007D3739" w:rsidRPr="00E26ADF" w:rsidRDefault="007D3739" w:rsidP="00A15F24">
            <w:pPr>
              <w:pStyle w:val="TblTextCenter"/>
              <w:jc w:val="left"/>
              <w:rPr>
                <w:lang w:val="en-AU"/>
              </w:rPr>
            </w:pPr>
            <w:r w:rsidRPr="00E26ADF">
              <w:rPr>
                <w:lang w:val="en-AU"/>
              </w:rPr>
              <w:t>300 mg Q2W (n = 157)</w:t>
            </w:r>
          </w:p>
        </w:tc>
        <w:tc>
          <w:tcPr>
            <w:tcW w:w="1581" w:type="dxa"/>
            <w:shd w:val="clear" w:color="auto" w:fill="auto"/>
          </w:tcPr>
          <w:p w14:paraId="3DC5BE8C" w14:textId="77777777" w:rsidR="007D3739" w:rsidRPr="00E26ADF" w:rsidRDefault="007D3739" w:rsidP="00FC2300">
            <w:pPr>
              <w:pStyle w:val="TblTextCenter"/>
              <w:rPr>
                <w:lang w:val="en-AU"/>
              </w:rPr>
            </w:pPr>
            <w:r w:rsidRPr="00E26ADF">
              <w:rPr>
                <w:lang w:val="en-AU"/>
              </w:rPr>
              <w:t>0.27 (0.16, 0.45)</w:t>
            </w:r>
          </w:p>
        </w:tc>
        <w:tc>
          <w:tcPr>
            <w:tcW w:w="1638" w:type="dxa"/>
            <w:shd w:val="clear" w:color="auto" w:fill="auto"/>
          </w:tcPr>
          <w:p w14:paraId="662BE303" w14:textId="77777777" w:rsidR="007D3739" w:rsidRPr="00E26ADF" w:rsidRDefault="007D3739" w:rsidP="00FC2300">
            <w:pPr>
              <w:pStyle w:val="TblTextCenter"/>
              <w:rPr>
                <w:lang w:val="en-AU"/>
              </w:rPr>
            </w:pPr>
            <w:r w:rsidRPr="00E26ADF">
              <w:rPr>
                <w:lang w:val="en-AU"/>
              </w:rPr>
              <w:t>0.30 (0.16, 0.55)</w:t>
            </w:r>
          </w:p>
        </w:tc>
        <w:tc>
          <w:tcPr>
            <w:tcW w:w="1983" w:type="dxa"/>
            <w:shd w:val="clear" w:color="auto" w:fill="auto"/>
          </w:tcPr>
          <w:p w14:paraId="3CB0E858" w14:textId="77777777" w:rsidR="007D3739" w:rsidRPr="00E26ADF" w:rsidRDefault="007D3739" w:rsidP="00FC2300">
            <w:pPr>
              <w:pStyle w:val="TblTextCenter"/>
              <w:rPr>
                <w:lang w:val="en-AU"/>
              </w:rPr>
            </w:pPr>
            <w:r w:rsidRPr="00E26ADF">
              <w:rPr>
                <w:lang w:val="en-AU"/>
              </w:rPr>
              <w:t>70%</w:t>
            </w:r>
          </w:p>
        </w:tc>
      </w:tr>
      <w:tr w:rsidR="007D3739" w:rsidRPr="00E26ADF" w14:paraId="75A8FA8E" w14:textId="77777777" w:rsidTr="000B6591">
        <w:trPr>
          <w:cantSplit/>
          <w:trHeight w:hRule="exact" w:val="468"/>
          <w:jc w:val="center"/>
        </w:trPr>
        <w:tc>
          <w:tcPr>
            <w:tcW w:w="1560" w:type="dxa"/>
            <w:vMerge/>
            <w:shd w:val="clear" w:color="auto" w:fill="auto"/>
          </w:tcPr>
          <w:p w14:paraId="2B841F9B" w14:textId="77777777" w:rsidR="007D3739" w:rsidRPr="00E26ADF" w:rsidRDefault="007D3739" w:rsidP="00721C58">
            <w:pPr>
              <w:pStyle w:val="TableParagraph"/>
              <w:kinsoku w:val="0"/>
              <w:overflowPunct w:val="0"/>
              <w:spacing w:before="8"/>
              <w:ind w:left="740" w:right="589" w:firstLine="293"/>
              <w:rPr>
                <w:b/>
              </w:rPr>
            </w:pPr>
          </w:p>
        </w:tc>
        <w:tc>
          <w:tcPr>
            <w:tcW w:w="2126" w:type="dxa"/>
            <w:shd w:val="clear" w:color="auto" w:fill="auto"/>
          </w:tcPr>
          <w:p w14:paraId="06BD41CC" w14:textId="77777777" w:rsidR="007D3739" w:rsidRPr="00E26ADF" w:rsidRDefault="007D3739" w:rsidP="00A15F24">
            <w:pPr>
              <w:pStyle w:val="TblTextCenter"/>
              <w:jc w:val="left"/>
              <w:rPr>
                <w:lang w:val="en-AU"/>
              </w:rPr>
            </w:pPr>
            <w:r w:rsidRPr="00E26ADF">
              <w:rPr>
                <w:lang w:val="en-AU"/>
              </w:rPr>
              <w:t>Placebo (n = 158)</w:t>
            </w:r>
          </w:p>
        </w:tc>
        <w:tc>
          <w:tcPr>
            <w:tcW w:w="1581" w:type="dxa"/>
            <w:shd w:val="clear" w:color="auto" w:fill="auto"/>
          </w:tcPr>
          <w:p w14:paraId="2591E356" w14:textId="77777777" w:rsidR="007D3739" w:rsidRPr="00E26ADF" w:rsidRDefault="007D3739" w:rsidP="00FC2300">
            <w:pPr>
              <w:pStyle w:val="TblTextCenter"/>
              <w:rPr>
                <w:lang w:val="en-AU"/>
              </w:rPr>
            </w:pPr>
            <w:r w:rsidRPr="00E26ADF">
              <w:rPr>
                <w:lang w:val="en-AU"/>
              </w:rPr>
              <w:t>0.90 (0.62, 1.30)</w:t>
            </w:r>
          </w:p>
        </w:tc>
        <w:tc>
          <w:tcPr>
            <w:tcW w:w="1638" w:type="dxa"/>
            <w:shd w:val="clear" w:color="auto" w:fill="auto"/>
          </w:tcPr>
          <w:p w14:paraId="68CB24DE" w14:textId="77777777" w:rsidR="007D3739" w:rsidRPr="00E26ADF" w:rsidRDefault="007D3739" w:rsidP="00FC2300">
            <w:pPr>
              <w:pStyle w:val="TblTextCenter"/>
              <w:rPr>
                <w:lang w:val="en-AU"/>
              </w:rPr>
            </w:pPr>
          </w:p>
        </w:tc>
        <w:tc>
          <w:tcPr>
            <w:tcW w:w="1983" w:type="dxa"/>
            <w:shd w:val="clear" w:color="auto" w:fill="auto"/>
          </w:tcPr>
          <w:p w14:paraId="5452558E" w14:textId="77777777" w:rsidR="007D3739" w:rsidRPr="00E26ADF" w:rsidRDefault="007D3739" w:rsidP="00FC2300">
            <w:pPr>
              <w:pStyle w:val="TblTextCenter"/>
              <w:rPr>
                <w:lang w:val="en-AU"/>
              </w:rPr>
            </w:pPr>
          </w:p>
        </w:tc>
      </w:tr>
      <w:tr w:rsidR="007D3739" w:rsidRPr="00E26ADF" w14:paraId="59A630D8" w14:textId="77777777" w:rsidTr="000B6591">
        <w:trPr>
          <w:cantSplit/>
          <w:trHeight w:hRule="exact" w:val="701"/>
          <w:jc w:val="center"/>
        </w:trPr>
        <w:tc>
          <w:tcPr>
            <w:tcW w:w="1560" w:type="dxa"/>
            <w:shd w:val="clear" w:color="auto" w:fill="auto"/>
          </w:tcPr>
          <w:p w14:paraId="6EA10ED9" w14:textId="77777777" w:rsidR="007D3739" w:rsidRPr="00CE7FDE" w:rsidRDefault="007D3739" w:rsidP="00FC2300">
            <w:pPr>
              <w:pStyle w:val="TblTextCenter"/>
              <w:rPr>
                <w:b/>
                <w:lang w:val="en-AU"/>
              </w:rPr>
            </w:pPr>
            <w:r w:rsidRPr="00CE7FDE">
              <w:rPr>
                <w:b/>
                <w:lang w:val="en-AU"/>
              </w:rPr>
              <w:t>Quest</w:t>
            </w:r>
          </w:p>
        </w:tc>
        <w:tc>
          <w:tcPr>
            <w:tcW w:w="2126" w:type="dxa"/>
            <w:shd w:val="clear" w:color="auto" w:fill="auto"/>
          </w:tcPr>
          <w:p w14:paraId="33C37F03" w14:textId="77777777" w:rsidR="007D3739" w:rsidRPr="00E26ADF" w:rsidRDefault="007D3739" w:rsidP="00A15F24">
            <w:pPr>
              <w:pStyle w:val="TblTextCenter"/>
              <w:jc w:val="left"/>
              <w:rPr>
                <w:lang w:val="en-AU"/>
              </w:rPr>
            </w:pPr>
            <w:r w:rsidRPr="00E26ADF">
              <w:rPr>
                <w:lang w:val="en-AU"/>
              </w:rPr>
              <w:t>Dupixent</w:t>
            </w:r>
          </w:p>
          <w:p w14:paraId="6DEC6A62" w14:textId="77777777" w:rsidR="007D3739" w:rsidRPr="00E26ADF" w:rsidRDefault="007D3739" w:rsidP="00A15F24">
            <w:pPr>
              <w:pStyle w:val="TblTextCenter"/>
              <w:jc w:val="left"/>
              <w:rPr>
                <w:lang w:val="en-AU"/>
              </w:rPr>
            </w:pPr>
            <w:r w:rsidRPr="00E26ADF">
              <w:rPr>
                <w:lang w:val="en-AU"/>
              </w:rPr>
              <w:t>200 mg Q2W (n= 631)</w:t>
            </w:r>
          </w:p>
        </w:tc>
        <w:tc>
          <w:tcPr>
            <w:tcW w:w="1581" w:type="dxa"/>
            <w:shd w:val="clear" w:color="auto" w:fill="auto"/>
          </w:tcPr>
          <w:p w14:paraId="21BA18B4" w14:textId="77777777" w:rsidR="007D3739" w:rsidRPr="00E26ADF" w:rsidRDefault="007D3739" w:rsidP="00FC2300">
            <w:pPr>
              <w:pStyle w:val="TblTextCenter"/>
              <w:rPr>
                <w:lang w:val="en-AU"/>
              </w:rPr>
            </w:pPr>
            <w:r w:rsidRPr="00E26ADF">
              <w:rPr>
                <w:lang w:val="en-AU"/>
              </w:rPr>
              <w:t>0.46 (0.39, 0.53)</w:t>
            </w:r>
          </w:p>
        </w:tc>
        <w:tc>
          <w:tcPr>
            <w:tcW w:w="1638" w:type="dxa"/>
            <w:shd w:val="clear" w:color="auto" w:fill="auto"/>
          </w:tcPr>
          <w:p w14:paraId="7B5288D4" w14:textId="77777777" w:rsidR="007D3739" w:rsidRPr="00E26ADF" w:rsidRDefault="007D3739" w:rsidP="00FC2300">
            <w:pPr>
              <w:pStyle w:val="TblTextCenter"/>
              <w:rPr>
                <w:lang w:val="en-AU"/>
              </w:rPr>
            </w:pPr>
            <w:r w:rsidRPr="00E26ADF">
              <w:rPr>
                <w:lang w:val="en-AU"/>
              </w:rPr>
              <w:t>0.52 (0.41, 0.66)</w:t>
            </w:r>
          </w:p>
        </w:tc>
        <w:tc>
          <w:tcPr>
            <w:tcW w:w="1983" w:type="dxa"/>
            <w:shd w:val="clear" w:color="auto" w:fill="auto"/>
          </w:tcPr>
          <w:p w14:paraId="28582C3F" w14:textId="77777777" w:rsidR="007D3739" w:rsidRPr="00E26ADF" w:rsidRDefault="007D3739" w:rsidP="00FC2300">
            <w:pPr>
              <w:pStyle w:val="TblTextCenter"/>
              <w:rPr>
                <w:lang w:val="en-AU"/>
              </w:rPr>
            </w:pPr>
            <w:r w:rsidRPr="00E26ADF">
              <w:rPr>
                <w:lang w:val="en-AU"/>
              </w:rPr>
              <w:t>48%</w:t>
            </w:r>
          </w:p>
        </w:tc>
      </w:tr>
      <w:tr w:rsidR="007D3739" w:rsidRPr="00E26ADF" w14:paraId="197DE350" w14:textId="77777777" w:rsidTr="000B6591">
        <w:trPr>
          <w:cantSplit/>
          <w:trHeight w:hRule="exact" w:val="468"/>
          <w:jc w:val="center"/>
        </w:trPr>
        <w:tc>
          <w:tcPr>
            <w:tcW w:w="1560" w:type="dxa"/>
            <w:shd w:val="clear" w:color="auto" w:fill="auto"/>
          </w:tcPr>
          <w:p w14:paraId="57ACC501" w14:textId="77777777" w:rsidR="007D3739" w:rsidRPr="00E26ADF" w:rsidRDefault="007D3739" w:rsidP="00FC2300">
            <w:pPr>
              <w:pStyle w:val="TblTextCenter"/>
              <w:rPr>
                <w:lang w:val="en-AU"/>
              </w:rPr>
            </w:pPr>
          </w:p>
        </w:tc>
        <w:tc>
          <w:tcPr>
            <w:tcW w:w="2126" w:type="dxa"/>
            <w:shd w:val="clear" w:color="auto" w:fill="auto"/>
          </w:tcPr>
          <w:p w14:paraId="1A0E9ED8" w14:textId="77777777" w:rsidR="007D3739" w:rsidRPr="00E26ADF" w:rsidRDefault="007D3739" w:rsidP="00A15F24">
            <w:pPr>
              <w:pStyle w:val="TblTextCenter"/>
              <w:jc w:val="left"/>
              <w:rPr>
                <w:lang w:val="en-AU"/>
              </w:rPr>
            </w:pPr>
            <w:r w:rsidRPr="00E26ADF">
              <w:rPr>
                <w:lang w:val="en-AU"/>
              </w:rPr>
              <w:t>Placebo (n = 317)</w:t>
            </w:r>
          </w:p>
        </w:tc>
        <w:tc>
          <w:tcPr>
            <w:tcW w:w="1581" w:type="dxa"/>
            <w:shd w:val="clear" w:color="auto" w:fill="auto"/>
          </w:tcPr>
          <w:p w14:paraId="3DF07207" w14:textId="77777777" w:rsidR="007D3739" w:rsidRPr="00E26ADF" w:rsidRDefault="007D3739" w:rsidP="00FC2300">
            <w:pPr>
              <w:pStyle w:val="TblTextCenter"/>
              <w:rPr>
                <w:lang w:val="en-AU"/>
              </w:rPr>
            </w:pPr>
            <w:r w:rsidRPr="00E26ADF">
              <w:rPr>
                <w:lang w:val="en-AU"/>
              </w:rPr>
              <w:t>0.87 (0.72, 1.05)</w:t>
            </w:r>
          </w:p>
        </w:tc>
        <w:tc>
          <w:tcPr>
            <w:tcW w:w="1638" w:type="dxa"/>
            <w:shd w:val="clear" w:color="auto" w:fill="auto"/>
          </w:tcPr>
          <w:p w14:paraId="4C533ACD" w14:textId="77777777" w:rsidR="007D3739" w:rsidRPr="00E26ADF" w:rsidRDefault="007D3739" w:rsidP="00FC2300">
            <w:pPr>
              <w:pStyle w:val="TblTextCenter"/>
              <w:rPr>
                <w:lang w:val="en-AU"/>
              </w:rPr>
            </w:pPr>
          </w:p>
        </w:tc>
        <w:tc>
          <w:tcPr>
            <w:tcW w:w="1983" w:type="dxa"/>
            <w:shd w:val="clear" w:color="auto" w:fill="auto"/>
          </w:tcPr>
          <w:p w14:paraId="3003B685" w14:textId="77777777" w:rsidR="007D3739" w:rsidRPr="00E26ADF" w:rsidRDefault="007D3739" w:rsidP="00FC2300">
            <w:pPr>
              <w:pStyle w:val="TblTextCenter"/>
              <w:rPr>
                <w:lang w:val="en-AU"/>
              </w:rPr>
            </w:pPr>
          </w:p>
        </w:tc>
      </w:tr>
      <w:tr w:rsidR="007D3739" w:rsidRPr="00E26ADF" w14:paraId="7BC9D5FF" w14:textId="77777777" w:rsidTr="000B6591">
        <w:trPr>
          <w:cantSplit/>
          <w:trHeight w:hRule="exact" w:val="701"/>
          <w:jc w:val="center"/>
        </w:trPr>
        <w:tc>
          <w:tcPr>
            <w:tcW w:w="1560" w:type="dxa"/>
            <w:shd w:val="clear" w:color="auto" w:fill="auto"/>
          </w:tcPr>
          <w:p w14:paraId="0D86231F" w14:textId="77777777" w:rsidR="007D3739" w:rsidRPr="00E26ADF" w:rsidRDefault="007D3739" w:rsidP="00FC2300">
            <w:pPr>
              <w:pStyle w:val="TblTextCenter"/>
              <w:rPr>
                <w:lang w:val="en-AU"/>
              </w:rPr>
            </w:pPr>
          </w:p>
        </w:tc>
        <w:tc>
          <w:tcPr>
            <w:tcW w:w="2126" w:type="dxa"/>
            <w:shd w:val="clear" w:color="auto" w:fill="auto"/>
          </w:tcPr>
          <w:p w14:paraId="6DFE126F" w14:textId="77777777" w:rsidR="007D3739" w:rsidRPr="00E26ADF" w:rsidRDefault="007D3739" w:rsidP="00A15F24">
            <w:pPr>
              <w:pStyle w:val="TblTextCenter"/>
              <w:jc w:val="left"/>
              <w:rPr>
                <w:lang w:val="en-AU"/>
              </w:rPr>
            </w:pPr>
            <w:r w:rsidRPr="00E26ADF">
              <w:rPr>
                <w:lang w:val="en-AU"/>
              </w:rPr>
              <w:t>Dupixent</w:t>
            </w:r>
          </w:p>
          <w:p w14:paraId="34D7557C" w14:textId="6961F3C9" w:rsidR="007D3739" w:rsidRPr="00E26ADF" w:rsidRDefault="007D3739" w:rsidP="00A15F24">
            <w:pPr>
              <w:pStyle w:val="TblTextCenter"/>
              <w:jc w:val="left"/>
              <w:rPr>
                <w:lang w:val="en-AU"/>
              </w:rPr>
            </w:pPr>
            <w:r w:rsidRPr="00E26ADF">
              <w:rPr>
                <w:lang w:val="en-AU"/>
              </w:rPr>
              <w:t>300 mg Q2W</w:t>
            </w:r>
            <w:r w:rsidR="00B351F3">
              <w:rPr>
                <w:lang w:val="en-AU"/>
              </w:rPr>
              <w:t xml:space="preserve"> </w:t>
            </w:r>
            <w:r w:rsidRPr="00E26ADF">
              <w:rPr>
                <w:lang w:val="en-AU"/>
              </w:rPr>
              <w:t>(n =633)</w:t>
            </w:r>
          </w:p>
        </w:tc>
        <w:tc>
          <w:tcPr>
            <w:tcW w:w="1581" w:type="dxa"/>
            <w:shd w:val="clear" w:color="auto" w:fill="auto"/>
          </w:tcPr>
          <w:p w14:paraId="43F73955" w14:textId="77777777" w:rsidR="007D3739" w:rsidRPr="00E26ADF" w:rsidRDefault="007D3739" w:rsidP="00FC2300">
            <w:pPr>
              <w:pStyle w:val="TblTextCenter"/>
              <w:rPr>
                <w:lang w:val="en-AU"/>
              </w:rPr>
            </w:pPr>
            <w:r w:rsidRPr="00E26ADF">
              <w:rPr>
                <w:lang w:val="en-AU"/>
              </w:rPr>
              <w:t>0.52 (0.45, 0.61)</w:t>
            </w:r>
          </w:p>
        </w:tc>
        <w:tc>
          <w:tcPr>
            <w:tcW w:w="1638" w:type="dxa"/>
            <w:shd w:val="clear" w:color="auto" w:fill="auto"/>
          </w:tcPr>
          <w:p w14:paraId="7E5F500F" w14:textId="77777777" w:rsidR="007D3739" w:rsidRPr="00E26ADF" w:rsidRDefault="007D3739" w:rsidP="00FC2300">
            <w:pPr>
              <w:pStyle w:val="TblTextCenter"/>
              <w:rPr>
                <w:lang w:val="en-AU"/>
              </w:rPr>
            </w:pPr>
            <w:r w:rsidRPr="00E26ADF">
              <w:rPr>
                <w:lang w:val="en-AU"/>
              </w:rPr>
              <w:t>0.54 (0.43, 0.68)</w:t>
            </w:r>
          </w:p>
        </w:tc>
        <w:tc>
          <w:tcPr>
            <w:tcW w:w="1983" w:type="dxa"/>
            <w:shd w:val="clear" w:color="auto" w:fill="auto"/>
          </w:tcPr>
          <w:p w14:paraId="298F5C04" w14:textId="77777777" w:rsidR="007D3739" w:rsidRPr="00E26ADF" w:rsidRDefault="007D3739" w:rsidP="00FC2300">
            <w:pPr>
              <w:pStyle w:val="TblTextCenter"/>
              <w:rPr>
                <w:lang w:val="en-AU"/>
              </w:rPr>
            </w:pPr>
            <w:r w:rsidRPr="00E26ADF">
              <w:rPr>
                <w:lang w:val="en-AU"/>
              </w:rPr>
              <w:t>46%</w:t>
            </w:r>
          </w:p>
        </w:tc>
      </w:tr>
      <w:tr w:rsidR="007D3739" w:rsidRPr="00E26ADF" w14:paraId="7D254206" w14:textId="77777777" w:rsidTr="000B6591">
        <w:trPr>
          <w:cantSplit/>
          <w:trHeight w:hRule="exact" w:val="470"/>
          <w:jc w:val="center"/>
        </w:trPr>
        <w:tc>
          <w:tcPr>
            <w:tcW w:w="1560" w:type="dxa"/>
            <w:shd w:val="clear" w:color="auto" w:fill="auto"/>
          </w:tcPr>
          <w:p w14:paraId="0923A1F5" w14:textId="77777777" w:rsidR="007D3739" w:rsidRPr="00E26ADF" w:rsidRDefault="007D3739" w:rsidP="00FC2300">
            <w:pPr>
              <w:pStyle w:val="TblTextCenter"/>
              <w:rPr>
                <w:lang w:val="en-AU"/>
              </w:rPr>
            </w:pPr>
          </w:p>
        </w:tc>
        <w:tc>
          <w:tcPr>
            <w:tcW w:w="2126" w:type="dxa"/>
            <w:shd w:val="clear" w:color="auto" w:fill="auto"/>
          </w:tcPr>
          <w:p w14:paraId="3708F378" w14:textId="77777777" w:rsidR="007D3739" w:rsidRPr="00E26ADF" w:rsidRDefault="007D3739" w:rsidP="00A15F24">
            <w:pPr>
              <w:pStyle w:val="TblTextCenter"/>
              <w:jc w:val="left"/>
              <w:rPr>
                <w:lang w:val="en-AU"/>
              </w:rPr>
            </w:pPr>
            <w:r w:rsidRPr="00E26ADF">
              <w:rPr>
                <w:lang w:val="en-AU"/>
              </w:rPr>
              <w:t>Placebo (n = 321)</w:t>
            </w:r>
          </w:p>
        </w:tc>
        <w:tc>
          <w:tcPr>
            <w:tcW w:w="1581" w:type="dxa"/>
            <w:shd w:val="clear" w:color="auto" w:fill="auto"/>
          </w:tcPr>
          <w:p w14:paraId="6D7116A9" w14:textId="77777777" w:rsidR="007D3739" w:rsidRPr="00E26ADF" w:rsidRDefault="007D3739" w:rsidP="00FC2300">
            <w:pPr>
              <w:pStyle w:val="TblTextCenter"/>
              <w:rPr>
                <w:lang w:val="en-AU"/>
              </w:rPr>
            </w:pPr>
            <w:r w:rsidRPr="00E26ADF">
              <w:rPr>
                <w:lang w:val="en-AU"/>
              </w:rPr>
              <w:t>0.97 (0.81, 1.16)</w:t>
            </w:r>
          </w:p>
        </w:tc>
        <w:tc>
          <w:tcPr>
            <w:tcW w:w="1638" w:type="dxa"/>
            <w:shd w:val="clear" w:color="auto" w:fill="auto"/>
          </w:tcPr>
          <w:p w14:paraId="267F49F5" w14:textId="77777777" w:rsidR="007D3739" w:rsidRPr="00E26ADF" w:rsidRDefault="007D3739" w:rsidP="00FC2300">
            <w:pPr>
              <w:pStyle w:val="TblTextCenter"/>
              <w:rPr>
                <w:lang w:val="en-AU"/>
              </w:rPr>
            </w:pPr>
          </w:p>
        </w:tc>
        <w:tc>
          <w:tcPr>
            <w:tcW w:w="1983" w:type="dxa"/>
            <w:shd w:val="clear" w:color="auto" w:fill="auto"/>
          </w:tcPr>
          <w:p w14:paraId="7C44F984" w14:textId="77777777" w:rsidR="007D3739" w:rsidRPr="00E26ADF" w:rsidRDefault="007D3739" w:rsidP="00FC2300">
            <w:pPr>
              <w:pStyle w:val="TblTextCenter"/>
              <w:rPr>
                <w:lang w:val="en-AU"/>
              </w:rPr>
            </w:pPr>
          </w:p>
        </w:tc>
      </w:tr>
      <w:tr w:rsidR="007D3739" w:rsidRPr="00E26ADF" w14:paraId="641DBEE4" w14:textId="77777777" w:rsidTr="000B6591">
        <w:trPr>
          <w:cantSplit/>
          <w:trHeight w:hRule="exact" w:val="699"/>
          <w:jc w:val="center"/>
        </w:trPr>
        <w:tc>
          <w:tcPr>
            <w:tcW w:w="1560" w:type="dxa"/>
            <w:vMerge w:val="restart"/>
            <w:shd w:val="clear" w:color="auto" w:fill="auto"/>
          </w:tcPr>
          <w:p w14:paraId="1962D0CD" w14:textId="77777777" w:rsidR="007D3739" w:rsidRPr="00CE7FDE" w:rsidRDefault="007D3739" w:rsidP="00FC2300">
            <w:pPr>
              <w:pStyle w:val="TblTextCenter"/>
              <w:rPr>
                <w:b/>
                <w:lang w:val="en-AU"/>
              </w:rPr>
            </w:pPr>
            <w:proofErr w:type="spellStart"/>
            <w:r w:rsidRPr="00CE7FDE">
              <w:rPr>
                <w:b/>
                <w:lang w:val="en-AU"/>
              </w:rPr>
              <w:t>Venture</w:t>
            </w:r>
            <w:r w:rsidRPr="00CE7FDE">
              <w:rPr>
                <w:b/>
                <w:vertAlign w:val="superscript"/>
                <w:lang w:val="en-AU"/>
              </w:rPr>
              <w:t>b</w:t>
            </w:r>
            <w:proofErr w:type="spellEnd"/>
          </w:p>
        </w:tc>
        <w:tc>
          <w:tcPr>
            <w:tcW w:w="2126" w:type="dxa"/>
            <w:shd w:val="clear" w:color="auto" w:fill="auto"/>
          </w:tcPr>
          <w:p w14:paraId="7EF0FC3F" w14:textId="77777777" w:rsidR="007D3739" w:rsidRPr="00E26ADF" w:rsidRDefault="007D3739" w:rsidP="00A15F24">
            <w:pPr>
              <w:pStyle w:val="TblTextCenter"/>
              <w:jc w:val="left"/>
              <w:rPr>
                <w:lang w:val="en-AU"/>
              </w:rPr>
            </w:pPr>
            <w:r w:rsidRPr="00E26ADF">
              <w:rPr>
                <w:lang w:val="en-AU"/>
              </w:rPr>
              <w:t>Dupixent</w:t>
            </w:r>
          </w:p>
          <w:p w14:paraId="7E09EA6E" w14:textId="77777777" w:rsidR="007D3739" w:rsidRPr="00E26ADF" w:rsidRDefault="007D3739" w:rsidP="00A15F24">
            <w:pPr>
              <w:pStyle w:val="TblTextCenter"/>
              <w:jc w:val="left"/>
              <w:rPr>
                <w:lang w:val="en-AU"/>
              </w:rPr>
            </w:pPr>
            <w:r w:rsidRPr="00E26ADF">
              <w:rPr>
                <w:lang w:val="en-AU"/>
              </w:rPr>
              <w:t>300 mg Q2W (n = 103)</w:t>
            </w:r>
          </w:p>
        </w:tc>
        <w:tc>
          <w:tcPr>
            <w:tcW w:w="1581" w:type="dxa"/>
            <w:shd w:val="clear" w:color="auto" w:fill="auto"/>
          </w:tcPr>
          <w:p w14:paraId="5D736D61" w14:textId="77777777" w:rsidR="007D3739" w:rsidRPr="00E26ADF" w:rsidRDefault="007D3739" w:rsidP="00FC2300">
            <w:pPr>
              <w:pStyle w:val="TblTextCenter"/>
              <w:rPr>
                <w:lang w:val="en-AU"/>
              </w:rPr>
            </w:pPr>
            <w:r w:rsidRPr="00E26ADF">
              <w:rPr>
                <w:lang w:val="en-AU"/>
              </w:rPr>
              <w:t>0.65 (0.44, 0.96)</w:t>
            </w:r>
          </w:p>
        </w:tc>
        <w:tc>
          <w:tcPr>
            <w:tcW w:w="1638" w:type="dxa"/>
            <w:shd w:val="clear" w:color="auto" w:fill="auto"/>
          </w:tcPr>
          <w:p w14:paraId="3037FFFA" w14:textId="77777777" w:rsidR="007D3739" w:rsidRPr="00E26ADF" w:rsidRDefault="007D3739" w:rsidP="00FC2300">
            <w:pPr>
              <w:pStyle w:val="TblTextCenter"/>
              <w:rPr>
                <w:lang w:val="en-AU"/>
              </w:rPr>
            </w:pPr>
            <w:r w:rsidRPr="00E26ADF">
              <w:rPr>
                <w:lang w:val="en-AU"/>
              </w:rPr>
              <w:t>0.41 (0.26, 0.63)</w:t>
            </w:r>
          </w:p>
        </w:tc>
        <w:tc>
          <w:tcPr>
            <w:tcW w:w="1983" w:type="dxa"/>
            <w:shd w:val="clear" w:color="auto" w:fill="auto"/>
          </w:tcPr>
          <w:p w14:paraId="6F63D636" w14:textId="77777777" w:rsidR="007D3739" w:rsidRPr="00E26ADF" w:rsidRDefault="007D3739" w:rsidP="00FC2300">
            <w:pPr>
              <w:pStyle w:val="TblTextCenter"/>
              <w:rPr>
                <w:lang w:val="en-AU"/>
              </w:rPr>
            </w:pPr>
            <w:r w:rsidRPr="00E26ADF">
              <w:rPr>
                <w:lang w:val="en-AU"/>
              </w:rPr>
              <w:t>59%</w:t>
            </w:r>
          </w:p>
        </w:tc>
      </w:tr>
      <w:tr w:rsidR="007D3739" w:rsidRPr="00E26ADF" w14:paraId="482A1D65" w14:textId="77777777" w:rsidTr="000B6591">
        <w:trPr>
          <w:cantSplit/>
          <w:trHeight w:hRule="exact" w:val="470"/>
          <w:jc w:val="center"/>
        </w:trPr>
        <w:tc>
          <w:tcPr>
            <w:tcW w:w="1560" w:type="dxa"/>
            <w:vMerge/>
            <w:shd w:val="clear" w:color="auto" w:fill="auto"/>
          </w:tcPr>
          <w:p w14:paraId="6431129C" w14:textId="77777777" w:rsidR="007D3739" w:rsidRPr="00E26ADF" w:rsidRDefault="007D3739" w:rsidP="00721C58">
            <w:pPr>
              <w:pStyle w:val="TableParagraph"/>
              <w:kinsoku w:val="0"/>
              <w:overflowPunct w:val="0"/>
              <w:spacing w:before="13" w:line="228" w:lineRule="exact"/>
              <w:ind w:left="740" w:right="589" w:firstLine="293"/>
            </w:pPr>
          </w:p>
        </w:tc>
        <w:tc>
          <w:tcPr>
            <w:tcW w:w="2126" w:type="dxa"/>
            <w:shd w:val="clear" w:color="auto" w:fill="auto"/>
          </w:tcPr>
          <w:p w14:paraId="49A3C616" w14:textId="77777777" w:rsidR="007D3739" w:rsidRPr="00E26ADF" w:rsidRDefault="007D3739" w:rsidP="00A15F24">
            <w:pPr>
              <w:pStyle w:val="TblTextCenter"/>
              <w:jc w:val="left"/>
              <w:rPr>
                <w:lang w:val="en-AU"/>
              </w:rPr>
            </w:pPr>
            <w:r w:rsidRPr="00E26ADF">
              <w:rPr>
                <w:lang w:val="en-AU"/>
              </w:rPr>
              <w:t>Placebo (n = 107)</w:t>
            </w:r>
          </w:p>
        </w:tc>
        <w:tc>
          <w:tcPr>
            <w:tcW w:w="1581" w:type="dxa"/>
            <w:shd w:val="clear" w:color="auto" w:fill="auto"/>
          </w:tcPr>
          <w:p w14:paraId="2AF3048C" w14:textId="77777777" w:rsidR="007D3739" w:rsidRPr="00E26ADF" w:rsidRDefault="007D3739" w:rsidP="00FC2300">
            <w:pPr>
              <w:pStyle w:val="TblTextCenter"/>
              <w:rPr>
                <w:lang w:val="en-AU"/>
              </w:rPr>
            </w:pPr>
            <w:r w:rsidRPr="00E26ADF">
              <w:rPr>
                <w:lang w:val="en-AU"/>
              </w:rPr>
              <w:t>1.60 (1.25, 2.04)</w:t>
            </w:r>
          </w:p>
        </w:tc>
        <w:tc>
          <w:tcPr>
            <w:tcW w:w="1638" w:type="dxa"/>
            <w:shd w:val="clear" w:color="auto" w:fill="auto"/>
          </w:tcPr>
          <w:p w14:paraId="48023E6F" w14:textId="77777777" w:rsidR="007D3739" w:rsidRPr="00E26ADF" w:rsidRDefault="007D3739" w:rsidP="00FC2300">
            <w:pPr>
              <w:pStyle w:val="TblTextCenter"/>
              <w:rPr>
                <w:lang w:val="en-AU"/>
              </w:rPr>
            </w:pPr>
          </w:p>
        </w:tc>
        <w:tc>
          <w:tcPr>
            <w:tcW w:w="1983" w:type="dxa"/>
            <w:shd w:val="clear" w:color="auto" w:fill="auto"/>
          </w:tcPr>
          <w:p w14:paraId="1921FE6B" w14:textId="77777777" w:rsidR="007D3739" w:rsidRPr="00E26ADF" w:rsidRDefault="007D3739" w:rsidP="00FC2300">
            <w:pPr>
              <w:pStyle w:val="TblTextCenter"/>
              <w:rPr>
                <w:lang w:val="en-AU"/>
              </w:rPr>
            </w:pPr>
          </w:p>
        </w:tc>
      </w:tr>
      <w:tr w:rsidR="00FC2300" w:rsidRPr="00E26ADF" w14:paraId="593E8CBE" w14:textId="77777777" w:rsidTr="00B351F3">
        <w:trPr>
          <w:cantSplit/>
          <w:trHeight w:hRule="exact" w:val="604"/>
          <w:jc w:val="center"/>
        </w:trPr>
        <w:tc>
          <w:tcPr>
            <w:tcW w:w="8888" w:type="dxa"/>
            <w:gridSpan w:val="5"/>
            <w:tcBorders>
              <w:top w:val="single" w:sz="12" w:space="0" w:color="auto"/>
            </w:tcBorders>
            <w:shd w:val="clear" w:color="auto" w:fill="auto"/>
          </w:tcPr>
          <w:p w14:paraId="4BBD922D" w14:textId="00E81956" w:rsidR="00FC2300" w:rsidRPr="00E26ADF" w:rsidRDefault="007A7D95" w:rsidP="00FC2300">
            <w:pPr>
              <w:pStyle w:val="TblTextCenter"/>
              <w:jc w:val="left"/>
              <w:rPr>
                <w:sz w:val="18"/>
                <w:szCs w:val="18"/>
                <w:lang w:val="en-AU"/>
              </w:rPr>
            </w:pPr>
            <w:proofErr w:type="spellStart"/>
            <w:proofErr w:type="gramStart"/>
            <w:r>
              <w:rPr>
                <w:sz w:val="18"/>
                <w:szCs w:val="18"/>
                <w:lang w:val="en-AU"/>
              </w:rPr>
              <w:t>a</w:t>
            </w:r>
            <w:proofErr w:type="spellEnd"/>
            <w:proofErr w:type="gramEnd"/>
            <w:r>
              <w:rPr>
                <w:sz w:val="18"/>
                <w:szCs w:val="18"/>
                <w:lang w:val="en-AU"/>
              </w:rPr>
              <w:t xml:space="preserve"> </w:t>
            </w:r>
            <w:r w:rsidR="00FC2300" w:rsidRPr="00E26ADF">
              <w:rPr>
                <w:sz w:val="18"/>
                <w:szCs w:val="18"/>
                <w:lang w:val="en-AU"/>
              </w:rPr>
              <w:t>Overall population is unrestricted by minimum baseline eosinophils or other Type 2 biomarkers</w:t>
            </w:r>
          </w:p>
          <w:p w14:paraId="79D4FF94" w14:textId="632098D6" w:rsidR="00FC2300" w:rsidRPr="00E26ADF" w:rsidRDefault="00FC2300" w:rsidP="00FC2300">
            <w:pPr>
              <w:pStyle w:val="TblTextCenter"/>
              <w:jc w:val="left"/>
              <w:rPr>
                <w:sz w:val="18"/>
                <w:szCs w:val="18"/>
                <w:lang w:val="en-AU"/>
              </w:rPr>
            </w:pPr>
            <w:r w:rsidRPr="00E26ADF">
              <w:rPr>
                <w:sz w:val="18"/>
                <w:szCs w:val="18"/>
                <w:lang w:val="en-AU"/>
              </w:rPr>
              <w:t>b</w:t>
            </w:r>
            <w:r w:rsidR="007A7D95">
              <w:rPr>
                <w:sz w:val="18"/>
                <w:szCs w:val="18"/>
                <w:lang w:val="en-AU"/>
              </w:rPr>
              <w:t xml:space="preserve"> </w:t>
            </w:r>
            <w:r w:rsidRPr="00E26ADF">
              <w:rPr>
                <w:sz w:val="18"/>
                <w:szCs w:val="18"/>
                <w:lang w:val="en-AU"/>
              </w:rPr>
              <w:t>OCS withdrawal study</w:t>
            </w:r>
          </w:p>
          <w:p w14:paraId="499AF890" w14:textId="77777777" w:rsidR="00FC2300" w:rsidRPr="00E26ADF" w:rsidRDefault="00FC2300" w:rsidP="00FC2300">
            <w:pPr>
              <w:pStyle w:val="TblFigFootnote"/>
              <w:rPr>
                <w:vertAlign w:val="superscript"/>
                <w:lang w:val="en-AU"/>
              </w:rPr>
            </w:pPr>
          </w:p>
        </w:tc>
      </w:tr>
    </w:tbl>
    <w:p w14:paraId="27852EBE" w14:textId="4ECB9670" w:rsidR="007D3739" w:rsidRPr="00E26ADF" w:rsidRDefault="007D3739" w:rsidP="007D3739">
      <w:pPr>
        <w:rPr>
          <w:color w:val="auto"/>
        </w:rPr>
      </w:pPr>
      <w:r w:rsidRPr="00E26ADF">
        <w:rPr>
          <w:color w:val="auto"/>
        </w:rPr>
        <w:t xml:space="preserve">Prespecified subgroup analyses of DRI12544, Quest, and Venture studies demonstrated that there were greater reductions in severe exacerbations in patients with higher baseline levels of markers for Type 2 </w:t>
      </w:r>
      <w:r w:rsidR="00374CD4" w:rsidRPr="00E26ADF">
        <w:rPr>
          <w:color w:val="auto"/>
        </w:rPr>
        <w:t xml:space="preserve">inflammation </w:t>
      </w:r>
      <w:r w:rsidRPr="00E26ADF">
        <w:rPr>
          <w:color w:val="auto"/>
        </w:rPr>
        <w:t xml:space="preserve">such as eosinophil level and </w:t>
      </w:r>
      <w:proofErr w:type="spellStart"/>
      <w:r w:rsidRPr="00E26ADF">
        <w:rPr>
          <w:color w:val="auto"/>
        </w:rPr>
        <w:t>FeNO</w:t>
      </w:r>
      <w:proofErr w:type="spellEnd"/>
      <w:r w:rsidRPr="00E26ADF">
        <w:rPr>
          <w:color w:val="auto"/>
        </w:rPr>
        <w:t xml:space="preserve">. </w:t>
      </w:r>
    </w:p>
    <w:p w14:paraId="0629CD75" w14:textId="31F19245" w:rsidR="007D3739" w:rsidRPr="00E26ADF" w:rsidRDefault="00210065" w:rsidP="00CE00B3">
      <w:r w:rsidRPr="00E26ADF">
        <w:t>Prespecified subgroup analyses of AS Trials 1 and 2 demonstrated that there were greater reductions in severe exacerbations in subjects with higher baseline blood eosinophil levels. In AS Trial 2, reductions in exacerbations were significant in the subgroup of subjects with baseline blood eosinophils ≥ 150 cells/</w:t>
      </w:r>
      <w:proofErr w:type="spellStart"/>
      <w:r w:rsidRPr="00E26ADF">
        <w:t>mcL</w:t>
      </w:r>
      <w:proofErr w:type="spellEnd"/>
      <w:r w:rsidRPr="00E26ADF">
        <w:t>. In subjects with baseline blood eosinophil count &lt; 150 cells/</w:t>
      </w:r>
      <w:proofErr w:type="spellStart"/>
      <w:r w:rsidRPr="00E26ADF">
        <w:t>mcL</w:t>
      </w:r>
      <w:proofErr w:type="spellEnd"/>
      <w:r w:rsidRPr="00E26ADF">
        <w:t>, similar severe exacerbation rates were observed between DUPIXENT and placebo.</w:t>
      </w:r>
    </w:p>
    <w:p w14:paraId="732B86A4" w14:textId="3E81791F" w:rsidR="007F7013" w:rsidRPr="00E26ADF" w:rsidRDefault="00FB15C5" w:rsidP="00CE00B3">
      <w:r w:rsidRPr="00E26ADF">
        <w:t>I</w:t>
      </w:r>
      <w:r w:rsidR="007D3739" w:rsidRPr="00E26ADF">
        <w:t xml:space="preserve">n all studies, when compared to placebo greater reductions in severe exacerbations were also seen in patients with baseline </w:t>
      </w:r>
      <w:proofErr w:type="spellStart"/>
      <w:r w:rsidR="007D3739" w:rsidRPr="00E26ADF">
        <w:t>FeNO</w:t>
      </w:r>
      <w:proofErr w:type="spellEnd"/>
      <w:r w:rsidR="007D3739" w:rsidRPr="00E26ADF">
        <w:t xml:space="preserve"> ≥25 ppb. </w:t>
      </w:r>
    </w:p>
    <w:p w14:paraId="7B052016" w14:textId="5CE9F94E" w:rsidR="004367AF" w:rsidRPr="00E26ADF" w:rsidRDefault="007D3739" w:rsidP="00CE00B3">
      <w:r w:rsidRPr="00E26ADF">
        <w:t xml:space="preserve">In </w:t>
      </w:r>
      <w:r w:rsidR="00BD7833" w:rsidRPr="00E26ADF">
        <w:t xml:space="preserve">the </w:t>
      </w:r>
      <w:r w:rsidRPr="00E26ADF">
        <w:t>Quest study, patients receiving medium dose ICS showed a similar reduction in rate of severe asthma exacerbations compared to pa</w:t>
      </w:r>
      <w:r w:rsidR="00CE00B3" w:rsidRPr="00E26ADF">
        <w:t>tients receiving high dose ICS.</w:t>
      </w:r>
    </w:p>
    <w:p w14:paraId="2358539F" w14:textId="40ED13CE" w:rsidR="007D3739" w:rsidRDefault="007D3739" w:rsidP="007D3739">
      <w:pPr>
        <w:pStyle w:val="Caption"/>
        <w:rPr>
          <w:lang w:val="en-AU"/>
        </w:rPr>
      </w:pPr>
      <w:r w:rsidRPr="00E26ADF">
        <w:rPr>
          <w:lang w:val="en-AU"/>
        </w:rPr>
        <w:lastRenderedPageBreak/>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15</w:t>
      </w:r>
      <w:r w:rsidRPr="00E26ADF">
        <w:rPr>
          <w:lang w:val="en-AU"/>
        </w:rPr>
        <w:fldChar w:fldCharType="end"/>
      </w:r>
      <w:r w:rsidRPr="00E26ADF">
        <w:rPr>
          <w:lang w:val="en-AU"/>
        </w:rPr>
        <w:t xml:space="preserve"> ­ Rate of Severe Exacerbations in DRI12544, Quest, and Venture by Subgroups</w:t>
      </w:r>
    </w:p>
    <w:tbl>
      <w:tblPr>
        <w:tblW w:w="10065" w:type="dxa"/>
        <w:jc w:val="center"/>
        <w:tblBorders>
          <w:top w:val="single" w:sz="2" w:space="0" w:color="000000"/>
        </w:tblBorders>
        <w:tblLayout w:type="fixed"/>
        <w:tblLook w:val="04A0" w:firstRow="1" w:lastRow="0" w:firstColumn="1" w:lastColumn="0" w:noHBand="0" w:noVBand="1"/>
      </w:tblPr>
      <w:tblGrid>
        <w:gridCol w:w="955"/>
        <w:gridCol w:w="1183"/>
        <w:gridCol w:w="490"/>
        <w:gridCol w:w="1341"/>
        <w:gridCol w:w="1134"/>
        <w:gridCol w:w="993"/>
        <w:gridCol w:w="567"/>
        <w:gridCol w:w="1275"/>
        <w:gridCol w:w="1134"/>
        <w:gridCol w:w="993"/>
      </w:tblGrid>
      <w:tr w:rsidR="00FA6B33" w:rsidRPr="00E26ADF" w14:paraId="76C2165F" w14:textId="77777777" w:rsidTr="00FA6B33">
        <w:trPr>
          <w:cantSplit/>
          <w:trHeight w:val="335"/>
          <w:tblHeader/>
          <w:jc w:val="center"/>
        </w:trPr>
        <w:tc>
          <w:tcPr>
            <w:tcW w:w="955" w:type="dxa"/>
            <w:vMerge w:val="restart"/>
            <w:tcBorders>
              <w:top w:val="single" w:sz="4" w:space="0" w:color="000000"/>
              <w:bottom w:val="single" w:sz="4" w:space="0" w:color="000000"/>
            </w:tcBorders>
            <w:shd w:val="clear" w:color="auto" w:fill="auto"/>
            <w:hideMark/>
          </w:tcPr>
          <w:p w14:paraId="719D98BD" w14:textId="77777777" w:rsidR="00FA6B33" w:rsidRPr="00E26ADF" w:rsidRDefault="00FA6B33" w:rsidP="00FA6B33">
            <w:pPr>
              <w:pStyle w:val="TblHeadingCenter"/>
              <w:rPr>
                <w:lang w:val="en-AU"/>
              </w:rPr>
            </w:pPr>
            <w:r w:rsidRPr="00E26ADF">
              <w:rPr>
                <w:lang w:val="en-AU"/>
              </w:rPr>
              <w:t>Study</w:t>
            </w:r>
          </w:p>
        </w:tc>
        <w:tc>
          <w:tcPr>
            <w:tcW w:w="1183" w:type="dxa"/>
            <w:vMerge w:val="restart"/>
            <w:tcBorders>
              <w:top w:val="single" w:sz="4" w:space="0" w:color="000000"/>
              <w:bottom w:val="single" w:sz="4" w:space="0" w:color="000000"/>
            </w:tcBorders>
            <w:shd w:val="clear" w:color="auto" w:fill="auto"/>
            <w:hideMark/>
          </w:tcPr>
          <w:p w14:paraId="45F96EB0" w14:textId="77777777" w:rsidR="00FA6B33" w:rsidRPr="00E26ADF" w:rsidRDefault="00FA6B33" w:rsidP="00FA6B33">
            <w:pPr>
              <w:pStyle w:val="TblHeadingCenter"/>
              <w:rPr>
                <w:lang w:val="en-AU"/>
              </w:rPr>
            </w:pPr>
            <w:r w:rsidRPr="00E26ADF">
              <w:rPr>
                <w:lang w:val="en-AU"/>
              </w:rPr>
              <w:t>Treatment</w:t>
            </w:r>
          </w:p>
        </w:tc>
        <w:tc>
          <w:tcPr>
            <w:tcW w:w="7927" w:type="dxa"/>
            <w:gridSpan w:val="8"/>
            <w:tcBorders>
              <w:top w:val="single" w:sz="4" w:space="0" w:color="000000"/>
              <w:bottom w:val="single" w:sz="4" w:space="0" w:color="000000"/>
              <w:right w:val="nil"/>
            </w:tcBorders>
            <w:shd w:val="clear" w:color="auto" w:fill="auto"/>
            <w:hideMark/>
          </w:tcPr>
          <w:p w14:paraId="0D1842A9" w14:textId="77777777" w:rsidR="00FA6B33" w:rsidRPr="00E26ADF" w:rsidRDefault="00FA6B33" w:rsidP="00FA6B33">
            <w:pPr>
              <w:pStyle w:val="TblHeadingCenter"/>
              <w:rPr>
                <w:lang w:val="en-AU"/>
              </w:rPr>
            </w:pPr>
            <w:r w:rsidRPr="00E26ADF">
              <w:rPr>
                <w:lang w:val="en-AU"/>
              </w:rPr>
              <w:t>Baseline Blood EOS</w:t>
            </w:r>
          </w:p>
        </w:tc>
      </w:tr>
      <w:tr w:rsidR="00FA6B33" w:rsidRPr="00E26ADF" w14:paraId="2C1DD9CF" w14:textId="77777777" w:rsidTr="00FA6B33">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0EE13792"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711D95A8" w14:textId="77777777" w:rsidR="00FA6B33" w:rsidRPr="00E26ADF" w:rsidRDefault="00FA6B33" w:rsidP="00FA6B33">
            <w:pPr>
              <w:rPr>
                <w:rFonts w:ascii="Cambria" w:hAnsi="Cambria"/>
                <w:b/>
                <w:color w:val="auto"/>
                <w:sz w:val="18"/>
                <w:szCs w:val="18"/>
              </w:rPr>
            </w:pPr>
          </w:p>
        </w:tc>
        <w:tc>
          <w:tcPr>
            <w:tcW w:w="3958" w:type="dxa"/>
            <w:gridSpan w:val="4"/>
            <w:tcBorders>
              <w:top w:val="single" w:sz="4" w:space="0" w:color="000000"/>
            </w:tcBorders>
            <w:shd w:val="clear" w:color="auto" w:fill="auto"/>
            <w:hideMark/>
          </w:tcPr>
          <w:p w14:paraId="17034206" w14:textId="77777777" w:rsidR="00FA6B33" w:rsidRPr="00E26ADF" w:rsidRDefault="00FA6B33" w:rsidP="00FA6B33">
            <w:pPr>
              <w:pStyle w:val="TblTextCenter"/>
              <w:rPr>
                <w:lang w:val="en-AU"/>
              </w:rPr>
            </w:pPr>
            <w:r w:rsidRPr="00E26ADF">
              <w:rPr>
                <w:lang w:val="en-AU"/>
              </w:rPr>
              <w:t>≥150 cells/</w:t>
            </w:r>
            <w:proofErr w:type="spellStart"/>
            <w:r w:rsidRPr="00E26ADF">
              <w:rPr>
                <w:lang w:val="en-AU"/>
              </w:rPr>
              <w:t>mcL</w:t>
            </w:r>
            <w:proofErr w:type="spellEnd"/>
          </w:p>
        </w:tc>
        <w:tc>
          <w:tcPr>
            <w:tcW w:w="3969" w:type="dxa"/>
            <w:gridSpan w:val="4"/>
            <w:tcBorders>
              <w:top w:val="single" w:sz="4" w:space="0" w:color="000000"/>
              <w:right w:val="nil"/>
            </w:tcBorders>
            <w:shd w:val="clear" w:color="auto" w:fill="auto"/>
            <w:hideMark/>
          </w:tcPr>
          <w:p w14:paraId="73089A8C" w14:textId="77777777" w:rsidR="00FA6B33" w:rsidRPr="00E26ADF" w:rsidRDefault="00FA6B33" w:rsidP="00FA6B33">
            <w:pPr>
              <w:pStyle w:val="TblTextCenter"/>
              <w:rPr>
                <w:lang w:val="en-AU"/>
              </w:rPr>
            </w:pPr>
            <w:r w:rsidRPr="00E26ADF">
              <w:rPr>
                <w:lang w:val="en-AU"/>
              </w:rPr>
              <w:t>≥300 cells/</w:t>
            </w:r>
            <w:proofErr w:type="spellStart"/>
            <w:r w:rsidRPr="00E26ADF">
              <w:rPr>
                <w:lang w:val="en-AU"/>
              </w:rPr>
              <w:t>mcL</w:t>
            </w:r>
            <w:proofErr w:type="spellEnd"/>
          </w:p>
        </w:tc>
      </w:tr>
      <w:tr w:rsidR="00FA6B33" w:rsidRPr="00E26ADF" w14:paraId="67F976CA" w14:textId="77777777" w:rsidTr="00FA6B33">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103991E0"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0B9DF048" w14:textId="77777777" w:rsidR="00FA6B33" w:rsidRPr="00E26ADF" w:rsidRDefault="00FA6B33" w:rsidP="00FA6B33">
            <w:pPr>
              <w:rPr>
                <w:rFonts w:ascii="Cambria" w:hAnsi="Cambria"/>
                <w:b/>
                <w:color w:val="auto"/>
                <w:sz w:val="18"/>
                <w:szCs w:val="18"/>
              </w:rPr>
            </w:pPr>
          </w:p>
        </w:tc>
        <w:tc>
          <w:tcPr>
            <w:tcW w:w="2965" w:type="dxa"/>
            <w:gridSpan w:val="3"/>
            <w:shd w:val="clear" w:color="auto" w:fill="auto"/>
            <w:hideMark/>
          </w:tcPr>
          <w:p w14:paraId="4517AC95" w14:textId="77777777" w:rsidR="00FA6B33" w:rsidRPr="00E26ADF" w:rsidRDefault="00FA6B33" w:rsidP="00FA6B33">
            <w:pPr>
              <w:pStyle w:val="TblTextCenter"/>
              <w:rPr>
                <w:lang w:val="en-AU"/>
              </w:rPr>
            </w:pPr>
            <w:r w:rsidRPr="00E26ADF">
              <w:rPr>
                <w:lang w:val="en-AU"/>
              </w:rPr>
              <w:t xml:space="preserve">Exacerbations per Year </w:t>
            </w:r>
          </w:p>
        </w:tc>
        <w:tc>
          <w:tcPr>
            <w:tcW w:w="993" w:type="dxa"/>
            <w:shd w:val="clear" w:color="auto" w:fill="auto"/>
            <w:hideMark/>
          </w:tcPr>
          <w:p w14:paraId="3844B356" w14:textId="77777777" w:rsidR="00FA6B33" w:rsidRPr="00E26ADF" w:rsidRDefault="00FA6B33" w:rsidP="00FA6B33">
            <w:pPr>
              <w:pStyle w:val="TblTextCenter"/>
              <w:rPr>
                <w:lang w:val="en-AU"/>
              </w:rPr>
            </w:pPr>
            <w:r w:rsidRPr="00E26ADF">
              <w:rPr>
                <w:lang w:val="en-AU"/>
              </w:rPr>
              <w:t>Percent Reduction</w:t>
            </w:r>
          </w:p>
        </w:tc>
        <w:tc>
          <w:tcPr>
            <w:tcW w:w="2976" w:type="dxa"/>
            <w:gridSpan w:val="3"/>
            <w:shd w:val="clear" w:color="auto" w:fill="auto"/>
            <w:hideMark/>
          </w:tcPr>
          <w:p w14:paraId="3EA0B09A" w14:textId="77777777" w:rsidR="00FA6B33" w:rsidRPr="00E26ADF" w:rsidRDefault="00FA6B33" w:rsidP="00FA6B33">
            <w:pPr>
              <w:pStyle w:val="TblTextCenter"/>
              <w:rPr>
                <w:lang w:val="en-AU"/>
              </w:rPr>
            </w:pPr>
            <w:r w:rsidRPr="00E26ADF">
              <w:rPr>
                <w:lang w:val="en-AU"/>
              </w:rPr>
              <w:t>Exacerbations per Year</w:t>
            </w:r>
          </w:p>
        </w:tc>
        <w:tc>
          <w:tcPr>
            <w:tcW w:w="993" w:type="dxa"/>
            <w:tcBorders>
              <w:right w:val="nil"/>
            </w:tcBorders>
            <w:shd w:val="clear" w:color="auto" w:fill="auto"/>
            <w:hideMark/>
          </w:tcPr>
          <w:p w14:paraId="35A3CCED" w14:textId="77777777" w:rsidR="00FA6B33" w:rsidRPr="00E26ADF" w:rsidRDefault="00FA6B33" w:rsidP="00FA6B33">
            <w:pPr>
              <w:pStyle w:val="TblTextCenter"/>
              <w:rPr>
                <w:lang w:val="en-AU"/>
              </w:rPr>
            </w:pPr>
            <w:r w:rsidRPr="00E26ADF">
              <w:rPr>
                <w:lang w:val="en-AU"/>
              </w:rPr>
              <w:t>Percent Reduction</w:t>
            </w:r>
          </w:p>
        </w:tc>
      </w:tr>
      <w:tr w:rsidR="00FA6B33" w:rsidRPr="00E26ADF" w14:paraId="59C84856" w14:textId="77777777" w:rsidTr="00FA6B33">
        <w:trPr>
          <w:cantSplit/>
          <w:trHeight w:val="335"/>
          <w:tblHeader/>
          <w:jc w:val="center"/>
        </w:trPr>
        <w:tc>
          <w:tcPr>
            <w:tcW w:w="955" w:type="dxa"/>
            <w:vMerge/>
            <w:tcBorders>
              <w:top w:val="single" w:sz="4" w:space="0" w:color="auto"/>
              <w:bottom w:val="single" w:sz="4" w:space="0" w:color="000000"/>
            </w:tcBorders>
            <w:shd w:val="clear" w:color="auto" w:fill="auto"/>
            <w:vAlign w:val="center"/>
            <w:hideMark/>
          </w:tcPr>
          <w:p w14:paraId="684F034A" w14:textId="77777777" w:rsidR="00FA6B33" w:rsidRPr="00E26ADF" w:rsidRDefault="00FA6B33" w:rsidP="00FA6B33">
            <w:pPr>
              <w:rPr>
                <w:b/>
                <w:color w:val="auto"/>
                <w:sz w:val="18"/>
                <w:szCs w:val="18"/>
              </w:rPr>
            </w:pPr>
          </w:p>
        </w:tc>
        <w:tc>
          <w:tcPr>
            <w:tcW w:w="1183" w:type="dxa"/>
            <w:vMerge/>
            <w:tcBorders>
              <w:top w:val="single" w:sz="4" w:space="0" w:color="auto"/>
              <w:bottom w:val="single" w:sz="4" w:space="0" w:color="000000"/>
            </w:tcBorders>
            <w:shd w:val="clear" w:color="auto" w:fill="auto"/>
            <w:vAlign w:val="center"/>
            <w:hideMark/>
          </w:tcPr>
          <w:p w14:paraId="3A3E1AE7" w14:textId="77777777" w:rsidR="00FA6B33" w:rsidRPr="00E26ADF" w:rsidRDefault="00FA6B33" w:rsidP="00FA6B33">
            <w:pPr>
              <w:rPr>
                <w:rFonts w:ascii="Cambria" w:hAnsi="Cambria"/>
                <w:b/>
                <w:color w:val="auto"/>
                <w:sz w:val="18"/>
                <w:szCs w:val="18"/>
              </w:rPr>
            </w:pPr>
          </w:p>
        </w:tc>
        <w:tc>
          <w:tcPr>
            <w:tcW w:w="490" w:type="dxa"/>
            <w:shd w:val="clear" w:color="auto" w:fill="auto"/>
            <w:hideMark/>
          </w:tcPr>
          <w:p w14:paraId="7B9AF4C5" w14:textId="77777777" w:rsidR="00FA6B33" w:rsidRPr="00E26ADF" w:rsidRDefault="00FA6B33" w:rsidP="00FA6B33">
            <w:pPr>
              <w:pStyle w:val="TblTextCenter"/>
              <w:rPr>
                <w:lang w:val="en-AU"/>
              </w:rPr>
            </w:pPr>
            <w:r w:rsidRPr="00E26ADF">
              <w:rPr>
                <w:lang w:val="en-AU"/>
              </w:rPr>
              <w:t>N</w:t>
            </w:r>
          </w:p>
        </w:tc>
        <w:tc>
          <w:tcPr>
            <w:tcW w:w="1341" w:type="dxa"/>
            <w:shd w:val="clear" w:color="auto" w:fill="auto"/>
            <w:hideMark/>
          </w:tcPr>
          <w:p w14:paraId="02AD1624" w14:textId="77777777" w:rsidR="00FA6B33" w:rsidRPr="00E26ADF" w:rsidRDefault="00FA6B33" w:rsidP="00FA6B33">
            <w:pPr>
              <w:pStyle w:val="TblTextCenter"/>
              <w:rPr>
                <w:lang w:val="en-AU"/>
              </w:rPr>
            </w:pPr>
            <w:r w:rsidRPr="00E26ADF">
              <w:rPr>
                <w:lang w:val="en-AU"/>
              </w:rPr>
              <w:t>Rate</w:t>
            </w:r>
          </w:p>
          <w:p w14:paraId="45371E32" w14:textId="77777777" w:rsidR="00FA6B33" w:rsidRPr="00E26ADF" w:rsidRDefault="00FA6B33" w:rsidP="00FA6B33">
            <w:pPr>
              <w:pStyle w:val="TblTextCenter"/>
              <w:rPr>
                <w:lang w:val="en-AU"/>
              </w:rPr>
            </w:pPr>
            <w:r w:rsidRPr="00E26ADF">
              <w:rPr>
                <w:lang w:val="en-AU"/>
              </w:rPr>
              <w:t>(95% CI)</w:t>
            </w:r>
          </w:p>
        </w:tc>
        <w:tc>
          <w:tcPr>
            <w:tcW w:w="1134" w:type="dxa"/>
            <w:shd w:val="clear" w:color="auto" w:fill="auto"/>
            <w:hideMark/>
          </w:tcPr>
          <w:p w14:paraId="6E8E4A11" w14:textId="77777777" w:rsidR="00FA6B33" w:rsidRPr="00E26ADF" w:rsidRDefault="00FA6B33" w:rsidP="00FA6B33">
            <w:pPr>
              <w:pStyle w:val="TblTextCenter"/>
              <w:rPr>
                <w:lang w:val="en-AU"/>
              </w:rPr>
            </w:pPr>
            <w:r w:rsidRPr="00E26ADF">
              <w:rPr>
                <w:lang w:val="en-AU"/>
              </w:rPr>
              <w:t>Rate Ratio (95%CI)</w:t>
            </w:r>
          </w:p>
        </w:tc>
        <w:tc>
          <w:tcPr>
            <w:tcW w:w="993" w:type="dxa"/>
            <w:shd w:val="clear" w:color="auto" w:fill="auto"/>
            <w:vAlign w:val="center"/>
            <w:hideMark/>
          </w:tcPr>
          <w:p w14:paraId="63BC6037" w14:textId="77777777" w:rsidR="00FA6B33" w:rsidRPr="00E26ADF" w:rsidRDefault="00FA6B33" w:rsidP="00FA6B33">
            <w:pPr>
              <w:pStyle w:val="TblTextCenter"/>
              <w:rPr>
                <w:lang w:val="en-AU"/>
              </w:rPr>
            </w:pPr>
          </w:p>
        </w:tc>
        <w:tc>
          <w:tcPr>
            <w:tcW w:w="567" w:type="dxa"/>
            <w:shd w:val="clear" w:color="auto" w:fill="auto"/>
            <w:hideMark/>
          </w:tcPr>
          <w:p w14:paraId="4CC40981" w14:textId="77777777" w:rsidR="00FA6B33" w:rsidRPr="00E26ADF" w:rsidRDefault="00FA6B33" w:rsidP="00FA6B33">
            <w:pPr>
              <w:pStyle w:val="TblTextCenter"/>
              <w:rPr>
                <w:lang w:val="en-AU"/>
              </w:rPr>
            </w:pPr>
            <w:r w:rsidRPr="00E26ADF">
              <w:rPr>
                <w:lang w:val="en-AU"/>
              </w:rPr>
              <w:t>N</w:t>
            </w:r>
          </w:p>
        </w:tc>
        <w:tc>
          <w:tcPr>
            <w:tcW w:w="1275" w:type="dxa"/>
            <w:shd w:val="clear" w:color="auto" w:fill="auto"/>
            <w:hideMark/>
          </w:tcPr>
          <w:p w14:paraId="17AD6671" w14:textId="77777777" w:rsidR="00FA6B33" w:rsidRPr="00E26ADF" w:rsidRDefault="00FA6B33" w:rsidP="00FA6B33">
            <w:pPr>
              <w:pStyle w:val="TblTextCenter"/>
              <w:rPr>
                <w:lang w:val="en-AU"/>
              </w:rPr>
            </w:pPr>
            <w:r w:rsidRPr="00E26ADF">
              <w:rPr>
                <w:lang w:val="en-AU"/>
              </w:rPr>
              <w:t>Rate</w:t>
            </w:r>
          </w:p>
          <w:p w14:paraId="723FC8F3" w14:textId="77777777" w:rsidR="00FA6B33" w:rsidRPr="00E26ADF" w:rsidRDefault="00FA6B33" w:rsidP="00FA6B33">
            <w:pPr>
              <w:pStyle w:val="TblTextCenter"/>
              <w:rPr>
                <w:lang w:val="en-AU"/>
              </w:rPr>
            </w:pPr>
            <w:r w:rsidRPr="00E26ADF">
              <w:rPr>
                <w:lang w:val="en-AU"/>
              </w:rPr>
              <w:t>(95% CI)</w:t>
            </w:r>
          </w:p>
        </w:tc>
        <w:tc>
          <w:tcPr>
            <w:tcW w:w="1134" w:type="dxa"/>
            <w:shd w:val="clear" w:color="auto" w:fill="auto"/>
            <w:hideMark/>
          </w:tcPr>
          <w:p w14:paraId="140D128F" w14:textId="77777777" w:rsidR="00FA6B33" w:rsidRPr="00E26ADF" w:rsidRDefault="00FA6B33" w:rsidP="00FA6B33">
            <w:pPr>
              <w:pStyle w:val="TblTextCenter"/>
              <w:rPr>
                <w:lang w:val="en-AU"/>
              </w:rPr>
            </w:pPr>
            <w:r w:rsidRPr="00E26ADF">
              <w:rPr>
                <w:lang w:val="en-AU"/>
              </w:rPr>
              <w:t>Rate Ratio (95%CI)</w:t>
            </w:r>
          </w:p>
        </w:tc>
        <w:tc>
          <w:tcPr>
            <w:tcW w:w="993" w:type="dxa"/>
            <w:tcBorders>
              <w:right w:val="nil"/>
            </w:tcBorders>
            <w:shd w:val="clear" w:color="auto" w:fill="auto"/>
            <w:vAlign w:val="center"/>
            <w:hideMark/>
          </w:tcPr>
          <w:p w14:paraId="548DAA3A" w14:textId="77777777" w:rsidR="00FA6B33" w:rsidRPr="00E26ADF" w:rsidRDefault="00FA6B33" w:rsidP="00FA6B33">
            <w:pPr>
              <w:pStyle w:val="TblTextCenter"/>
              <w:rPr>
                <w:lang w:val="en-AU"/>
              </w:rPr>
            </w:pPr>
          </w:p>
        </w:tc>
      </w:tr>
      <w:tr w:rsidR="00FA6B33" w:rsidRPr="00E26ADF" w14:paraId="5CF0B97C" w14:textId="77777777" w:rsidTr="00FA6B33">
        <w:trPr>
          <w:cantSplit/>
          <w:trHeight w:val="277"/>
          <w:jc w:val="center"/>
        </w:trPr>
        <w:tc>
          <w:tcPr>
            <w:tcW w:w="10065" w:type="dxa"/>
            <w:gridSpan w:val="10"/>
            <w:tcBorders>
              <w:right w:val="nil"/>
            </w:tcBorders>
            <w:shd w:val="clear" w:color="auto" w:fill="auto"/>
            <w:hideMark/>
          </w:tcPr>
          <w:p w14:paraId="738C0034" w14:textId="77777777" w:rsidR="00FA6B33" w:rsidRPr="00204DA1" w:rsidRDefault="00FA6B33" w:rsidP="00FA6B33">
            <w:pPr>
              <w:pStyle w:val="TblTextCenter"/>
              <w:jc w:val="left"/>
              <w:rPr>
                <w:b/>
                <w:bCs/>
                <w:lang w:val="en-AU"/>
              </w:rPr>
            </w:pPr>
            <w:r w:rsidRPr="00204DA1">
              <w:rPr>
                <w:b/>
                <w:bCs/>
                <w:lang w:val="en-AU"/>
              </w:rPr>
              <w:t>All Severe Exacerbations</w:t>
            </w:r>
          </w:p>
        </w:tc>
      </w:tr>
      <w:tr w:rsidR="00FA6B33" w:rsidRPr="00E26ADF" w14:paraId="7AAF3E31" w14:textId="77777777" w:rsidTr="00FA6B33">
        <w:trPr>
          <w:cantSplit/>
          <w:trHeight w:val="1017"/>
          <w:jc w:val="center"/>
        </w:trPr>
        <w:tc>
          <w:tcPr>
            <w:tcW w:w="955" w:type="dxa"/>
            <w:vMerge w:val="restart"/>
            <w:shd w:val="clear" w:color="auto" w:fill="auto"/>
            <w:hideMark/>
          </w:tcPr>
          <w:p w14:paraId="1A08A7C9" w14:textId="77777777" w:rsidR="00FA6B33" w:rsidRPr="00DB1270" w:rsidRDefault="00FA6B33" w:rsidP="00FA6B33">
            <w:pPr>
              <w:pStyle w:val="TblTextCenter"/>
              <w:rPr>
                <w:b/>
                <w:lang w:val="en-AU"/>
              </w:rPr>
            </w:pPr>
            <w:r w:rsidRPr="00DB1270">
              <w:rPr>
                <w:b/>
                <w:lang w:val="en-AU"/>
              </w:rPr>
              <w:t>DRI12544</w:t>
            </w:r>
          </w:p>
        </w:tc>
        <w:tc>
          <w:tcPr>
            <w:tcW w:w="1183" w:type="dxa"/>
            <w:shd w:val="clear" w:color="auto" w:fill="auto"/>
          </w:tcPr>
          <w:p w14:paraId="59198669" w14:textId="77777777" w:rsidR="00FA6B33" w:rsidRPr="00E26ADF" w:rsidRDefault="00FA6B33" w:rsidP="00A15F24">
            <w:pPr>
              <w:pStyle w:val="TblTextCenter"/>
              <w:jc w:val="left"/>
              <w:rPr>
                <w:lang w:val="en-AU"/>
              </w:rPr>
            </w:pPr>
            <w:r w:rsidRPr="00E26ADF">
              <w:rPr>
                <w:lang w:val="en-AU"/>
              </w:rPr>
              <w:t>Dupixent</w:t>
            </w:r>
          </w:p>
          <w:p w14:paraId="4346536B" w14:textId="77777777" w:rsidR="00FA6B33" w:rsidRPr="00E26ADF" w:rsidRDefault="00FA6B33" w:rsidP="00A15F24">
            <w:pPr>
              <w:pStyle w:val="TblTextCenter"/>
              <w:jc w:val="left"/>
              <w:rPr>
                <w:lang w:val="en-AU"/>
              </w:rPr>
            </w:pPr>
            <w:r w:rsidRPr="00E26ADF">
              <w:rPr>
                <w:lang w:val="en-AU"/>
              </w:rPr>
              <w:t xml:space="preserve">200 mg Q2W </w:t>
            </w:r>
          </w:p>
          <w:p w14:paraId="7BFB1193" w14:textId="77777777" w:rsidR="00FA6B33" w:rsidRPr="00E26ADF" w:rsidRDefault="00FA6B33" w:rsidP="00A15F24">
            <w:pPr>
              <w:pStyle w:val="TblTextCenter"/>
              <w:jc w:val="left"/>
              <w:rPr>
                <w:lang w:val="en-AU"/>
              </w:rPr>
            </w:pPr>
          </w:p>
        </w:tc>
        <w:tc>
          <w:tcPr>
            <w:tcW w:w="490" w:type="dxa"/>
            <w:shd w:val="clear" w:color="auto" w:fill="auto"/>
            <w:hideMark/>
          </w:tcPr>
          <w:p w14:paraId="69DE2F35" w14:textId="77777777" w:rsidR="00FA6B33" w:rsidRPr="00E26ADF" w:rsidRDefault="00FA6B33" w:rsidP="00FA6B33">
            <w:pPr>
              <w:pStyle w:val="TblTextCenter"/>
              <w:rPr>
                <w:lang w:val="en-AU"/>
              </w:rPr>
            </w:pPr>
            <w:r w:rsidRPr="00E26ADF">
              <w:rPr>
                <w:lang w:val="en-AU"/>
              </w:rPr>
              <w:t>120</w:t>
            </w:r>
          </w:p>
        </w:tc>
        <w:tc>
          <w:tcPr>
            <w:tcW w:w="1341" w:type="dxa"/>
            <w:shd w:val="clear" w:color="auto" w:fill="auto"/>
            <w:hideMark/>
          </w:tcPr>
          <w:p w14:paraId="0BC5F95F" w14:textId="77777777" w:rsidR="00FA6B33" w:rsidRPr="00E26ADF" w:rsidRDefault="00FA6B33" w:rsidP="00FA6B33">
            <w:pPr>
              <w:pStyle w:val="TblTextCenter"/>
              <w:rPr>
                <w:lang w:val="en-AU"/>
              </w:rPr>
            </w:pPr>
            <w:r w:rsidRPr="00E26ADF">
              <w:rPr>
                <w:lang w:val="en-AU"/>
              </w:rPr>
              <w:t>0.29</w:t>
            </w:r>
          </w:p>
          <w:p w14:paraId="44FC6151" w14:textId="77777777" w:rsidR="00FA6B33" w:rsidRPr="00E26ADF" w:rsidRDefault="00FA6B33" w:rsidP="00FA6B33">
            <w:pPr>
              <w:pStyle w:val="TblTextCenter"/>
              <w:rPr>
                <w:lang w:val="en-AU"/>
              </w:rPr>
            </w:pPr>
            <w:r w:rsidRPr="00E26ADF">
              <w:rPr>
                <w:lang w:val="en-AU"/>
              </w:rPr>
              <w:t>(0.16, 0.53)</w:t>
            </w:r>
          </w:p>
        </w:tc>
        <w:tc>
          <w:tcPr>
            <w:tcW w:w="1134" w:type="dxa"/>
            <w:shd w:val="clear" w:color="auto" w:fill="auto"/>
            <w:hideMark/>
          </w:tcPr>
          <w:p w14:paraId="212E35EC" w14:textId="77777777" w:rsidR="00FA6B33" w:rsidRPr="00E26ADF" w:rsidRDefault="00FA6B33" w:rsidP="00FA6B33">
            <w:pPr>
              <w:pStyle w:val="TblTextCenter"/>
              <w:rPr>
                <w:lang w:val="en-AU"/>
              </w:rPr>
            </w:pPr>
            <w:r w:rsidRPr="00E26ADF">
              <w:rPr>
                <w:lang w:val="en-AU"/>
              </w:rPr>
              <w:t>0.28</w:t>
            </w:r>
          </w:p>
          <w:p w14:paraId="04D75BE1" w14:textId="77777777" w:rsidR="00FA6B33" w:rsidRPr="00E26ADF" w:rsidRDefault="00FA6B33" w:rsidP="00FA6B33">
            <w:pPr>
              <w:pStyle w:val="TblTextCenter"/>
              <w:rPr>
                <w:lang w:val="en-AU"/>
              </w:rPr>
            </w:pPr>
            <w:r w:rsidRPr="00E26ADF">
              <w:rPr>
                <w:lang w:val="en-AU"/>
              </w:rPr>
              <w:t>(0.14, 0.55)</w:t>
            </w:r>
          </w:p>
        </w:tc>
        <w:tc>
          <w:tcPr>
            <w:tcW w:w="993" w:type="dxa"/>
            <w:shd w:val="clear" w:color="auto" w:fill="auto"/>
            <w:hideMark/>
          </w:tcPr>
          <w:p w14:paraId="54EC829B" w14:textId="77777777" w:rsidR="00FA6B33" w:rsidRPr="00E26ADF" w:rsidRDefault="00FA6B33" w:rsidP="00FA6B33">
            <w:pPr>
              <w:pStyle w:val="TblTextCenter"/>
              <w:rPr>
                <w:lang w:val="en-AU"/>
              </w:rPr>
            </w:pPr>
            <w:r w:rsidRPr="00E26ADF">
              <w:rPr>
                <w:lang w:val="en-AU"/>
              </w:rPr>
              <w:t>72%</w:t>
            </w:r>
          </w:p>
        </w:tc>
        <w:tc>
          <w:tcPr>
            <w:tcW w:w="567" w:type="dxa"/>
            <w:shd w:val="clear" w:color="auto" w:fill="auto"/>
            <w:hideMark/>
          </w:tcPr>
          <w:p w14:paraId="105B532C" w14:textId="77777777" w:rsidR="00FA6B33" w:rsidRPr="00E26ADF" w:rsidRDefault="00FA6B33" w:rsidP="00FA6B33">
            <w:pPr>
              <w:pStyle w:val="TblTextCenter"/>
              <w:rPr>
                <w:lang w:val="en-AU"/>
              </w:rPr>
            </w:pPr>
            <w:r w:rsidRPr="00E26ADF">
              <w:rPr>
                <w:lang w:val="en-AU"/>
              </w:rPr>
              <w:t>65</w:t>
            </w:r>
          </w:p>
        </w:tc>
        <w:tc>
          <w:tcPr>
            <w:tcW w:w="1275" w:type="dxa"/>
            <w:shd w:val="clear" w:color="auto" w:fill="auto"/>
            <w:hideMark/>
          </w:tcPr>
          <w:p w14:paraId="1A9270D0" w14:textId="77777777" w:rsidR="00FA6B33" w:rsidRPr="00E26ADF" w:rsidRDefault="00FA6B33" w:rsidP="00FA6B33">
            <w:pPr>
              <w:pStyle w:val="TblTextCenter"/>
              <w:rPr>
                <w:lang w:val="en-AU"/>
              </w:rPr>
            </w:pPr>
            <w:r w:rsidRPr="00E26ADF">
              <w:rPr>
                <w:lang w:val="en-AU"/>
              </w:rPr>
              <w:t>0.30</w:t>
            </w:r>
          </w:p>
          <w:p w14:paraId="7EFEAD61" w14:textId="77777777" w:rsidR="00FA6B33" w:rsidRPr="00E26ADF" w:rsidRDefault="00FA6B33" w:rsidP="00FA6B33">
            <w:pPr>
              <w:pStyle w:val="TblTextCenter"/>
              <w:rPr>
                <w:lang w:val="en-AU"/>
              </w:rPr>
            </w:pPr>
            <w:r w:rsidRPr="00E26ADF">
              <w:rPr>
                <w:lang w:val="en-AU"/>
              </w:rPr>
              <w:t>(0.13, 0.68)</w:t>
            </w:r>
          </w:p>
        </w:tc>
        <w:tc>
          <w:tcPr>
            <w:tcW w:w="1134" w:type="dxa"/>
            <w:shd w:val="clear" w:color="auto" w:fill="auto"/>
            <w:hideMark/>
          </w:tcPr>
          <w:p w14:paraId="0B4E6FEE" w14:textId="77777777" w:rsidR="00FA6B33" w:rsidRPr="00E26ADF" w:rsidRDefault="00FA6B33" w:rsidP="00FA6B33">
            <w:pPr>
              <w:pStyle w:val="TblTextCenter"/>
              <w:rPr>
                <w:lang w:val="en-AU"/>
              </w:rPr>
            </w:pPr>
            <w:r w:rsidRPr="00E26ADF">
              <w:rPr>
                <w:lang w:val="en-AU"/>
              </w:rPr>
              <w:t>0.29</w:t>
            </w:r>
          </w:p>
          <w:p w14:paraId="5B28C384" w14:textId="77777777" w:rsidR="00FA6B33" w:rsidRPr="00E26ADF" w:rsidRDefault="00FA6B33" w:rsidP="00FA6B33">
            <w:pPr>
              <w:pStyle w:val="TblTextCenter"/>
              <w:rPr>
                <w:lang w:val="en-AU"/>
              </w:rPr>
            </w:pPr>
            <w:r w:rsidRPr="00E26ADF">
              <w:rPr>
                <w:lang w:val="en-AU"/>
              </w:rPr>
              <w:t>(0.11, 0.76)</w:t>
            </w:r>
          </w:p>
        </w:tc>
        <w:tc>
          <w:tcPr>
            <w:tcW w:w="993" w:type="dxa"/>
            <w:tcBorders>
              <w:right w:val="nil"/>
            </w:tcBorders>
            <w:shd w:val="clear" w:color="auto" w:fill="auto"/>
            <w:hideMark/>
          </w:tcPr>
          <w:p w14:paraId="45E198C9" w14:textId="77777777" w:rsidR="00FA6B33" w:rsidRPr="00E26ADF" w:rsidRDefault="00FA6B33" w:rsidP="00FA6B33">
            <w:pPr>
              <w:pStyle w:val="TblTextCenter"/>
              <w:rPr>
                <w:lang w:val="en-AU"/>
              </w:rPr>
            </w:pPr>
            <w:r w:rsidRPr="00E26ADF">
              <w:rPr>
                <w:lang w:val="en-AU"/>
              </w:rPr>
              <w:t>71%</w:t>
            </w:r>
          </w:p>
        </w:tc>
      </w:tr>
      <w:tr w:rsidR="00FA6B33" w:rsidRPr="00E26ADF" w14:paraId="396EBDFC" w14:textId="77777777" w:rsidTr="00FA6B33">
        <w:trPr>
          <w:cantSplit/>
          <w:trHeight w:val="1017"/>
          <w:jc w:val="center"/>
        </w:trPr>
        <w:tc>
          <w:tcPr>
            <w:tcW w:w="955" w:type="dxa"/>
            <w:vMerge/>
            <w:shd w:val="clear" w:color="auto" w:fill="auto"/>
            <w:vAlign w:val="center"/>
            <w:hideMark/>
          </w:tcPr>
          <w:p w14:paraId="2FF1E293" w14:textId="77777777" w:rsidR="00FA6B33" w:rsidRPr="00E26ADF" w:rsidRDefault="00FA6B33" w:rsidP="00FA6B33">
            <w:pPr>
              <w:rPr>
                <w:color w:val="auto"/>
                <w:sz w:val="18"/>
                <w:szCs w:val="18"/>
              </w:rPr>
            </w:pPr>
          </w:p>
        </w:tc>
        <w:tc>
          <w:tcPr>
            <w:tcW w:w="1183" w:type="dxa"/>
            <w:shd w:val="clear" w:color="auto" w:fill="auto"/>
            <w:hideMark/>
          </w:tcPr>
          <w:p w14:paraId="6D8DF625" w14:textId="77777777" w:rsidR="00FA6B33" w:rsidRPr="00E26ADF" w:rsidRDefault="00FA6B33" w:rsidP="00A15F24">
            <w:pPr>
              <w:pStyle w:val="TblTextCenter"/>
              <w:jc w:val="left"/>
              <w:rPr>
                <w:lang w:val="en-AU"/>
              </w:rPr>
            </w:pPr>
            <w:r w:rsidRPr="00E26ADF">
              <w:rPr>
                <w:lang w:val="en-AU"/>
              </w:rPr>
              <w:t>Dupixent 300 mg Q2W</w:t>
            </w:r>
          </w:p>
        </w:tc>
        <w:tc>
          <w:tcPr>
            <w:tcW w:w="490" w:type="dxa"/>
            <w:shd w:val="clear" w:color="auto" w:fill="auto"/>
            <w:hideMark/>
          </w:tcPr>
          <w:p w14:paraId="7A28D3FC" w14:textId="77777777" w:rsidR="00FA6B33" w:rsidRPr="00E26ADF" w:rsidRDefault="00FA6B33" w:rsidP="00FA6B33">
            <w:pPr>
              <w:pStyle w:val="TblTextCenter"/>
              <w:rPr>
                <w:lang w:val="en-AU"/>
              </w:rPr>
            </w:pPr>
            <w:r w:rsidRPr="00E26ADF">
              <w:rPr>
                <w:lang w:val="en-AU"/>
              </w:rPr>
              <w:t>129</w:t>
            </w:r>
          </w:p>
        </w:tc>
        <w:tc>
          <w:tcPr>
            <w:tcW w:w="1341" w:type="dxa"/>
            <w:shd w:val="clear" w:color="auto" w:fill="auto"/>
            <w:hideMark/>
          </w:tcPr>
          <w:p w14:paraId="0B597624" w14:textId="77777777" w:rsidR="00FA6B33" w:rsidRPr="00E26ADF" w:rsidRDefault="00FA6B33" w:rsidP="00FA6B33">
            <w:pPr>
              <w:pStyle w:val="TblTextCenter"/>
              <w:rPr>
                <w:lang w:val="en-AU"/>
              </w:rPr>
            </w:pPr>
            <w:r w:rsidRPr="00E26ADF">
              <w:rPr>
                <w:lang w:val="en-AU"/>
              </w:rPr>
              <w:t>0.28</w:t>
            </w:r>
          </w:p>
          <w:p w14:paraId="021605D8" w14:textId="77777777" w:rsidR="00FA6B33" w:rsidRPr="00E26ADF" w:rsidRDefault="00FA6B33" w:rsidP="00FA6B33">
            <w:pPr>
              <w:pStyle w:val="TblTextCenter"/>
              <w:rPr>
                <w:lang w:val="en-AU"/>
              </w:rPr>
            </w:pPr>
            <w:r w:rsidRPr="00E26ADF">
              <w:rPr>
                <w:lang w:val="en-AU"/>
              </w:rPr>
              <w:t>(0.158, 0.496)</w:t>
            </w:r>
          </w:p>
        </w:tc>
        <w:tc>
          <w:tcPr>
            <w:tcW w:w="1134" w:type="dxa"/>
            <w:shd w:val="clear" w:color="auto" w:fill="auto"/>
            <w:hideMark/>
          </w:tcPr>
          <w:p w14:paraId="21EADCE1" w14:textId="77777777" w:rsidR="00FA6B33" w:rsidRPr="00E26ADF" w:rsidRDefault="00FA6B33" w:rsidP="00FA6B33">
            <w:pPr>
              <w:pStyle w:val="TblTextCenter"/>
              <w:rPr>
                <w:lang w:val="en-AU"/>
              </w:rPr>
            </w:pPr>
            <w:r w:rsidRPr="00E26ADF">
              <w:rPr>
                <w:lang w:val="en-AU"/>
              </w:rPr>
              <w:t>0.27</w:t>
            </w:r>
          </w:p>
          <w:p w14:paraId="4A285A10" w14:textId="77777777" w:rsidR="00FA6B33" w:rsidRPr="00E26ADF" w:rsidRDefault="00FA6B33" w:rsidP="00FA6B33">
            <w:pPr>
              <w:pStyle w:val="TblTextCenter"/>
              <w:rPr>
                <w:lang w:val="en-AU"/>
              </w:rPr>
            </w:pPr>
            <w:r w:rsidRPr="00E26ADF">
              <w:rPr>
                <w:lang w:val="en-AU"/>
              </w:rPr>
              <w:t>(0.14, 0.52)</w:t>
            </w:r>
          </w:p>
        </w:tc>
        <w:tc>
          <w:tcPr>
            <w:tcW w:w="993" w:type="dxa"/>
            <w:shd w:val="clear" w:color="auto" w:fill="auto"/>
            <w:hideMark/>
          </w:tcPr>
          <w:p w14:paraId="0913FCBF" w14:textId="77777777" w:rsidR="00FA6B33" w:rsidRPr="00E26ADF" w:rsidRDefault="00FA6B33" w:rsidP="00FA6B33">
            <w:pPr>
              <w:pStyle w:val="TblTextCenter"/>
              <w:rPr>
                <w:lang w:val="en-AU"/>
              </w:rPr>
            </w:pPr>
            <w:r w:rsidRPr="00E26ADF">
              <w:rPr>
                <w:lang w:val="en-AU"/>
              </w:rPr>
              <w:t>73%</w:t>
            </w:r>
          </w:p>
        </w:tc>
        <w:tc>
          <w:tcPr>
            <w:tcW w:w="567" w:type="dxa"/>
            <w:shd w:val="clear" w:color="auto" w:fill="auto"/>
            <w:hideMark/>
          </w:tcPr>
          <w:p w14:paraId="5ED3D233" w14:textId="77777777" w:rsidR="00FA6B33" w:rsidRPr="00E26ADF" w:rsidRDefault="00FA6B33" w:rsidP="00FA6B33">
            <w:pPr>
              <w:pStyle w:val="TblTextCenter"/>
              <w:rPr>
                <w:lang w:val="en-AU"/>
              </w:rPr>
            </w:pPr>
            <w:r w:rsidRPr="00E26ADF">
              <w:rPr>
                <w:lang w:val="en-AU"/>
              </w:rPr>
              <w:t>64</w:t>
            </w:r>
          </w:p>
        </w:tc>
        <w:tc>
          <w:tcPr>
            <w:tcW w:w="1275" w:type="dxa"/>
            <w:shd w:val="clear" w:color="auto" w:fill="auto"/>
            <w:hideMark/>
          </w:tcPr>
          <w:p w14:paraId="7F33CBCF" w14:textId="77777777" w:rsidR="00FA6B33" w:rsidRPr="00E26ADF" w:rsidRDefault="00FA6B33" w:rsidP="00FA6B33">
            <w:pPr>
              <w:pStyle w:val="TblTextCenter"/>
              <w:rPr>
                <w:lang w:val="en-AU"/>
              </w:rPr>
            </w:pPr>
            <w:r w:rsidRPr="00E26ADF">
              <w:rPr>
                <w:lang w:val="en-AU"/>
              </w:rPr>
              <w:t>0.20</w:t>
            </w:r>
          </w:p>
          <w:p w14:paraId="011EC9E0" w14:textId="77777777" w:rsidR="00FA6B33" w:rsidRPr="00E26ADF" w:rsidRDefault="00FA6B33" w:rsidP="00FA6B33">
            <w:pPr>
              <w:pStyle w:val="TblTextCenter"/>
              <w:rPr>
                <w:lang w:val="en-AU"/>
              </w:rPr>
            </w:pPr>
            <w:r w:rsidRPr="00E26ADF">
              <w:rPr>
                <w:lang w:val="en-AU"/>
              </w:rPr>
              <w:t>(0.08, 0.52)</w:t>
            </w:r>
          </w:p>
        </w:tc>
        <w:tc>
          <w:tcPr>
            <w:tcW w:w="1134" w:type="dxa"/>
            <w:shd w:val="clear" w:color="auto" w:fill="auto"/>
            <w:hideMark/>
          </w:tcPr>
          <w:p w14:paraId="15334BA7" w14:textId="77777777" w:rsidR="00FA6B33" w:rsidRPr="00E26ADF" w:rsidRDefault="00FA6B33" w:rsidP="00FA6B33">
            <w:pPr>
              <w:pStyle w:val="TblTextCenter"/>
              <w:rPr>
                <w:lang w:val="en-AU"/>
              </w:rPr>
            </w:pPr>
            <w:r w:rsidRPr="00E26ADF">
              <w:rPr>
                <w:lang w:val="en-AU"/>
              </w:rPr>
              <w:t>0.19</w:t>
            </w:r>
          </w:p>
          <w:p w14:paraId="6BE9FEC3" w14:textId="77777777" w:rsidR="00FA6B33" w:rsidRPr="00E26ADF" w:rsidRDefault="00FA6B33" w:rsidP="00FA6B33">
            <w:pPr>
              <w:pStyle w:val="TblTextCenter"/>
              <w:rPr>
                <w:lang w:val="en-AU"/>
              </w:rPr>
            </w:pPr>
            <w:r w:rsidRPr="00E26ADF">
              <w:rPr>
                <w:lang w:val="en-AU"/>
              </w:rPr>
              <w:t>(0.07, 0.56)</w:t>
            </w:r>
          </w:p>
        </w:tc>
        <w:tc>
          <w:tcPr>
            <w:tcW w:w="993" w:type="dxa"/>
            <w:tcBorders>
              <w:right w:val="nil"/>
            </w:tcBorders>
            <w:shd w:val="clear" w:color="auto" w:fill="auto"/>
            <w:hideMark/>
          </w:tcPr>
          <w:p w14:paraId="0ADF73EB" w14:textId="77777777" w:rsidR="00FA6B33" w:rsidRPr="00E26ADF" w:rsidRDefault="00FA6B33" w:rsidP="00FA6B33">
            <w:pPr>
              <w:pStyle w:val="TblTextCenter"/>
              <w:rPr>
                <w:lang w:val="en-AU"/>
              </w:rPr>
            </w:pPr>
            <w:r w:rsidRPr="00E26ADF">
              <w:rPr>
                <w:lang w:val="en-AU"/>
              </w:rPr>
              <w:t>81%</w:t>
            </w:r>
          </w:p>
        </w:tc>
      </w:tr>
      <w:tr w:rsidR="00FA6B33" w:rsidRPr="00E26ADF" w14:paraId="4ED59EF6" w14:textId="77777777" w:rsidTr="00FA6B33">
        <w:trPr>
          <w:cantSplit/>
          <w:trHeight w:val="1017"/>
          <w:jc w:val="center"/>
        </w:trPr>
        <w:tc>
          <w:tcPr>
            <w:tcW w:w="955" w:type="dxa"/>
            <w:vMerge/>
            <w:shd w:val="clear" w:color="auto" w:fill="auto"/>
            <w:vAlign w:val="center"/>
            <w:hideMark/>
          </w:tcPr>
          <w:p w14:paraId="687B4E8D" w14:textId="77777777" w:rsidR="00FA6B33" w:rsidRPr="00E26ADF" w:rsidRDefault="00FA6B33" w:rsidP="00FA6B33">
            <w:pPr>
              <w:rPr>
                <w:color w:val="auto"/>
                <w:sz w:val="18"/>
                <w:szCs w:val="18"/>
              </w:rPr>
            </w:pPr>
          </w:p>
        </w:tc>
        <w:tc>
          <w:tcPr>
            <w:tcW w:w="1183" w:type="dxa"/>
            <w:shd w:val="clear" w:color="auto" w:fill="auto"/>
          </w:tcPr>
          <w:p w14:paraId="5D81678A" w14:textId="77777777" w:rsidR="00FA6B33" w:rsidRPr="00E26ADF" w:rsidRDefault="00FA6B33" w:rsidP="00A15F24">
            <w:pPr>
              <w:pStyle w:val="TblTextCenter"/>
              <w:jc w:val="left"/>
              <w:rPr>
                <w:lang w:val="en-AU"/>
              </w:rPr>
            </w:pPr>
            <w:r w:rsidRPr="00E26ADF">
              <w:rPr>
                <w:lang w:val="en-AU"/>
              </w:rPr>
              <w:t xml:space="preserve">Placebo </w:t>
            </w:r>
          </w:p>
          <w:p w14:paraId="486DFDB0" w14:textId="77777777" w:rsidR="00FA6B33" w:rsidRPr="00E26ADF" w:rsidRDefault="00FA6B33" w:rsidP="00A15F24">
            <w:pPr>
              <w:pStyle w:val="TblTextCenter"/>
              <w:jc w:val="left"/>
              <w:rPr>
                <w:lang w:val="en-AU"/>
              </w:rPr>
            </w:pPr>
          </w:p>
        </w:tc>
        <w:tc>
          <w:tcPr>
            <w:tcW w:w="490" w:type="dxa"/>
            <w:shd w:val="clear" w:color="auto" w:fill="auto"/>
            <w:hideMark/>
          </w:tcPr>
          <w:p w14:paraId="3EAA19A3" w14:textId="77777777" w:rsidR="00FA6B33" w:rsidRPr="00E26ADF" w:rsidRDefault="00FA6B33" w:rsidP="00FA6B33">
            <w:pPr>
              <w:pStyle w:val="TblTextCenter"/>
              <w:rPr>
                <w:lang w:val="en-AU"/>
              </w:rPr>
            </w:pPr>
            <w:r w:rsidRPr="00E26ADF">
              <w:rPr>
                <w:lang w:val="en-AU"/>
              </w:rPr>
              <w:t>127</w:t>
            </w:r>
          </w:p>
        </w:tc>
        <w:tc>
          <w:tcPr>
            <w:tcW w:w="1341" w:type="dxa"/>
            <w:shd w:val="clear" w:color="auto" w:fill="auto"/>
            <w:hideMark/>
          </w:tcPr>
          <w:p w14:paraId="1EA64DBF" w14:textId="77777777" w:rsidR="00FA6B33" w:rsidRPr="00E26ADF" w:rsidRDefault="00FA6B33" w:rsidP="00FA6B33">
            <w:pPr>
              <w:pStyle w:val="TblTextCenter"/>
              <w:rPr>
                <w:lang w:val="en-AU"/>
              </w:rPr>
            </w:pPr>
            <w:r w:rsidRPr="00E26ADF">
              <w:rPr>
                <w:lang w:val="en-AU"/>
              </w:rPr>
              <w:t>1.05</w:t>
            </w:r>
          </w:p>
          <w:p w14:paraId="6D014F75" w14:textId="77777777" w:rsidR="00FA6B33" w:rsidRPr="00E26ADF" w:rsidRDefault="00FA6B33" w:rsidP="00FA6B33">
            <w:pPr>
              <w:pStyle w:val="TblTextCenter"/>
              <w:rPr>
                <w:lang w:val="en-AU"/>
              </w:rPr>
            </w:pPr>
            <w:r w:rsidRPr="00E26ADF">
              <w:rPr>
                <w:lang w:val="en-AU"/>
              </w:rPr>
              <w:t>(0.69, 1.60)</w:t>
            </w:r>
          </w:p>
        </w:tc>
        <w:tc>
          <w:tcPr>
            <w:tcW w:w="1134" w:type="dxa"/>
            <w:shd w:val="clear" w:color="auto" w:fill="auto"/>
          </w:tcPr>
          <w:p w14:paraId="665228BF" w14:textId="77777777" w:rsidR="00FA6B33" w:rsidRPr="00E26ADF" w:rsidRDefault="00FA6B33" w:rsidP="00FA6B33">
            <w:pPr>
              <w:pStyle w:val="TblTextCenter"/>
              <w:rPr>
                <w:lang w:val="en-AU"/>
              </w:rPr>
            </w:pPr>
          </w:p>
        </w:tc>
        <w:tc>
          <w:tcPr>
            <w:tcW w:w="993" w:type="dxa"/>
            <w:shd w:val="clear" w:color="auto" w:fill="auto"/>
          </w:tcPr>
          <w:p w14:paraId="78F2214B" w14:textId="77777777" w:rsidR="00FA6B33" w:rsidRPr="00E26ADF" w:rsidRDefault="00FA6B33" w:rsidP="00FA6B33">
            <w:pPr>
              <w:pStyle w:val="TblTextCenter"/>
              <w:rPr>
                <w:lang w:val="en-AU"/>
              </w:rPr>
            </w:pPr>
          </w:p>
        </w:tc>
        <w:tc>
          <w:tcPr>
            <w:tcW w:w="567" w:type="dxa"/>
            <w:shd w:val="clear" w:color="auto" w:fill="auto"/>
            <w:hideMark/>
          </w:tcPr>
          <w:p w14:paraId="7BF42863" w14:textId="77777777" w:rsidR="00FA6B33" w:rsidRPr="00E26ADF" w:rsidRDefault="00FA6B33" w:rsidP="00FA6B33">
            <w:pPr>
              <w:pStyle w:val="TblTextCenter"/>
              <w:rPr>
                <w:lang w:val="en-AU"/>
              </w:rPr>
            </w:pPr>
            <w:r w:rsidRPr="00E26ADF">
              <w:rPr>
                <w:lang w:val="en-AU"/>
              </w:rPr>
              <w:t>68</w:t>
            </w:r>
          </w:p>
        </w:tc>
        <w:tc>
          <w:tcPr>
            <w:tcW w:w="1275" w:type="dxa"/>
            <w:shd w:val="clear" w:color="auto" w:fill="auto"/>
            <w:hideMark/>
          </w:tcPr>
          <w:p w14:paraId="60BE5EC4" w14:textId="77777777" w:rsidR="00FA6B33" w:rsidRPr="00E26ADF" w:rsidRDefault="00FA6B33" w:rsidP="00FA6B33">
            <w:pPr>
              <w:pStyle w:val="TblTextCenter"/>
              <w:rPr>
                <w:lang w:val="en-AU"/>
              </w:rPr>
            </w:pPr>
            <w:r w:rsidRPr="00E26ADF">
              <w:rPr>
                <w:lang w:val="en-AU"/>
              </w:rPr>
              <w:t>1.04</w:t>
            </w:r>
          </w:p>
          <w:p w14:paraId="02466856" w14:textId="77777777" w:rsidR="00FA6B33" w:rsidRPr="00E26ADF" w:rsidRDefault="00FA6B33" w:rsidP="00FA6B33">
            <w:pPr>
              <w:pStyle w:val="TblTextCenter"/>
              <w:rPr>
                <w:lang w:val="en-AU"/>
              </w:rPr>
            </w:pPr>
            <w:r w:rsidRPr="00E26ADF">
              <w:rPr>
                <w:lang w:val="en-AU"/>
              </w:rPr>
              <w:t>(0.57, 1.90)</w:t>
            </w:r>
          </w:p>
        </w:tc>
        <w:tc>
          <w:tcPr>
            <w:tcW w:w="1134" w:type="dxa"/>
            <w:shd w:val="clear" w:color="auto" w:fill="auto"/>
          </w:tcPr>
          <w:p w14:paraId="621D6AA1" w14:textId="77777777" w:rsidR="00FA6B33" w:rsidRPr="00E26ADF" w:rsidRDefault="00FA6B33" w:rsidP="00FA6B33">
            <w:pPr>
              <w:pStyle w:val="TblTextCenter"/>
              <w:rPr>
                <w:lang w:val="en-AU"/>
              </w:rPr>
            </w:pPr>
          </w:p>
        </w:tc>
        <w:tc>
          <w:tcPr>
            <w:tcW w:w="993" w:type="dxa"/>
            <w:tcBorders>
              <w:right w:val="nil"/>
            </w:tcBorders>
            <w:shd w:val="clear" w:color="auto" w:fill="auto"/>
          </w:tcPr>
          <w:p w14:paraId="1D9095F5" w14:textId="77777777" w:rsidR="00FA6B33" w:rsidRPr="00E26ADF" w:rsidRDefault="00FA6B33" w:rsidP="00FA6B33">
            <w:pPr>
              <w:pStyle w:val="TblTextCenter"/>
              <w:rPr>
                <w:lang w:val="en-AU"/>
              </w:rPr>
            </w:pPr>
          </w:p>
        </w:tc>
      </w:tr>
      <w:tr w:rsidR="00FA6B33" w:rsidRPr="00E26ADF" w14:paraId="0DFAE3E9" w14:textId="77777777" w:rsidTr="00FA6B33">
        <w:trPr>
          <w:cantSplit/>
          <w:trHeight w:val="474"/>
          <w:jc w:val="center"/>
        </w:trPr>
        <w:tc>
          <w:tcPr>
            <w:tcW w:w="955" w:type="dxa"/>
            <w:vMerge w:val="restart"/>
            <w:shd w:val="clear" w:color="auto" w:fill="auto"/>
            <w:hideMark/>
          </w:tcPr>
          <w:p w14:paraId="74401DBA" w14:textId="77777777" w:rsidR="00FA6B33" w:rsidRPr="00DB1270" w:rsidRDefault="00FA6B33" w:rsidP="00FA6B33">
            <w:pPr>
              <w:pStyle w:val="TblTextCenter"/>
              <w:rPr>
                <w:b/>
                <w:lang w:val="en-AU"/>
              </w:rPr>
            </w:pPr>
            <w:r w:rsidRPr="00DB1270">
              <w:rPr>
                <w:b/>
                <w:lang w:val="en-AU"/>
              </w:rPr>
              <w:t>Quest</w:t>
            </w:r>
          </w:p>
        </w:tc>
        <w:tc>
          <w:tcPr>
            <w:tcW w:w="1183" w:type="dxa"/>
            <w:shd w:val="clear" w:color="auto" w:fill="auto"/>
            <w:hideMark/>
          </w:tcPr>
          <w:p w14:paraId="5AC16B05" w14:textId="77777777" w:rsidR="00FA6B33" w:rsidRPr="00E26ADF" w:rsidRDefault="00FA6B33" w:rsidP="00A15F24">
            <w:pPr>
              <w:pStyle w:val="TblTextCenter"/>
              <w:jc w:val="left"/>
              <w:rPr>
                <w:lang w:val="en-AU"/>
              </w:rPr>
            </w:pPr>
            <w:r w:rsidRPr="00E26ADF">
              <w:rPr>
                <w:lang w:val="en-AU"/>
              </w:rPr>
              <w:t>Dupixent 200 mg Q2W</w:t>
            </w:r>
          </w:p>
        </w:tc>
        <w:tc>
          <w:tcPr>
            <w:tcW w:w="490" w:type="dxa"/>
            <w:shd w:val="clear" w:color="auto" w:fill="auto"/>
            <w:hideMark/>
          </w:tcPr>
          <w:p w14:paraId="493381CC" w14:textId="77777777" w:rsidR="00FA6B33" w:rsidRPr="00E26ADF" w:rsidRDefault="00FA6B33" w:rsidP="00FA6B33">
            <w:pPr>
              <w:pStyle w:val="TblTextCenter"/>
              <w:rPr>
                <w:lang w:val="en-AU"/>
              </w:rPr>
            </w:pPr>
            <w:r w:rsidRPr="00E26ADF">
              <w:rPr>
                <w:lang w:val="en-AU"/>
              </w:rPr>
              <w:t>437</w:t>
            </w:r>
          </w:p>
        </w:tc>
        <w:tc>
          <w:tcPr>
            <w:tcW w:w="1341" w:type="dxa"/>
            <w:shd w:val="clear" w:color="auto" w:fill="auto"/>
            <w:hideMark/>
          </w:tcPr>
          <w:p w14:paraId="580746ED" w14:textId="77777777" w:rsidR="00FA6B33" w:rsidRPr="00E26ADF" w:rsidRDefault="00FA6B33" w:rsidP="00FA6B33">
            <w:pPr>
              <w:pStyle w:val="TblTextCenter"/>
              <w:rPr>
                <w:lang w:val="en-AU"/>
              </w:rPr>
            </w:pPr>
            <w:r w:rsidRPr="00E26ADF">
              <w:rPr>
                <w:lang w:val="en-AU"/>
              </w:rPr>
              <w:t>0.45</w:t>
            </w:r>
          </w:p>
          <w:p w14:paraId="2A38C771" w14:textId="77777777" w:rsidR="00FA6B33" w:rsidRPr="00E26ADF" w:rsidRDefault="00FA6B33" w:rsidP="00FA6B33">
            <w:pPr>
              <w:pStyle w:val="TblTextCenter"/>
              <w:rPr>
                <w:lang w:val="en-AU"/>
              </w:rPr>
            </w:pPr>
            <w:r w:rsidRPr="00E26ADF">
              <w:rPr>
                <w:lang w:val="en-AU"/>
              </w:rPr>
              <w:t>(0.37, 0.54)</w:t>
            </w:r>
          </w:p>
        </w:tc>
        <w:tc>
          <w:tcPr>
            <w:tcW w:w="1134" w:type="dxa"/>
            <w:shd w:val="clear" w:color="auto" w:fill="auto"/>
            <w:hideMark/>
          </w:tcPr>
          <w:p w14:paraId="5F480F9E" w14:textId="77777777" w:rsidR="00FA6B33" w:rsidRPr="00E26ADF" w:rsidRDefault="00FA6B33" w:rsidP="00FA6B33">
            <w:pPr>
              <w:pStyle w:val="TblTextCenter"/>
              <w:rPr>
                <w:lang w:val="en-AU"/>
              </w:rPr>
            </w:pPr>
            <w:r w:rsidRPr="00E26ADF">
              <w:rPr>
                <w:lang w:val="en-AU"/>
              </w:rPr>
              <w:t>0.44</w:t>
            </w:r>
          </w:p>
          <w:p w14:paraId="6A8C0ADF" w14:textId="77777777" w:rsidR="00FA6B33" w:rsidRPr="00E26ADF" w:rsidRDefault="00FA6B33" w:rsidP="00FA6B33">
            <w:pPr>
              <w:pStyle w:val="TblTextCenter"/>
              <w:rPr>
                <w:lang w:val="en-AU"/>
              </w:rPr>
            </w:pPr>
            <w:r w:rsidRPr="00E26ADF">
              <w:rPr>
                <w:lang w:val="en-AU"/>
              </w:rPr>
              <w:t>(0.34,0.58)</w:t>
            </w:r>
          </w:p>
        </w:tc>
        <w:tc>
          <w:tcPr>
            <w:tcW w:w="993" w:type="dxa"/>
            <w:shd w:val="clear" w:color="auto" w:fill="auto"/>
            <w:hideMark/>
          </w:tcPr>
          <w:p w14:paraId="1989EB20" w14:textId="77777777" w:rsidR="00FA6B33" w:rsidRPr="00E26ADF" w:rsidRDefault="00FA6B33" w:rsidP="00FA6B33">
            <w:pPr>
              <w:pStyle w:val="TblTextCenter"/>
              <w:rPr>
                <w:lang w:val="en-AU"/>
              </w:rPr>
            </w:pPr>
            <w:r w:rsidRPr="00E26ADF">
              <w:rPr>
                <w:lang w:val="en-AU"/>
              </w:rPr>
              <w:t>56%</w:t>
            </w:r>
          </w:p>
        </w:tc>
        <w:tc>
          <w:tcPr>
            <w:tcW w:w="567" w:type="dxa"/>
            <w:shd w:val="clear" w:color="auto" w:fill="auto"/>
            <w:hideMark/>
          </w:tcPr>
          <w:p w14:paraId="5B0DE37F" w14:textId="77777777" w:rsidR="00FA6B33" w:rsidRPr="00E26ADF" w:rsidRDefault="00FA6B33" w:rsidP="00FA6B33">
            <w:pPr>
              <w:pStyle w:val="TblTextCenter"/>
              <w:rPr>
                <w:lang w:val="en-AU"/>
              </w:rPr>
            </w:pPr>
            <w:r w:rsidRPr="00E26ADF">
              <w:rPr>
                <w:lang w:val="en-AU"/>
              </w:rPr>
              <w:t>264</w:t>
            </w:r>
          </w:p>
        </w:tc>
        <w:tc>
          <w:tcPr>
            <w:tcW w:w="1275" w:type="dxa"/>
            <w:shd w:val="clear" w:color="auto" w:fill="auto"/>
            <w:hideMark/>
          </w:tcPr>
          <w:p w14:paraId="3EDD53CE" w14:textId="77777777" w:rsidR="00FA6B33" w:rsidRPr="00E26ADF" w:rsidRDefault="00FA6B33" w:rsidP="00FA6B33">
            <w:pPr>
              <w:pStyle w:val="TblTextCenter"/>
              <w:rPr>
                <w:lang w:val="en-AU"/>
              </w:rPr>
            </w:pPr>
            <w:r w:rsidRPr="00E26ADF">
              <w:rPr>
                <w:lang w:val="en-AU"/>
              </w:rPr>
              <w:t>0.37</w:t>
            </w:r>
          </w:p>
          <w:p w14:paraId="4BE4E96A" w14:textId="77777777" w:rsidR="00FA6B33" w:rsidRPr="00E26ADF" w:rsidRDefault="00FA6B33" w:rsidP="00FA6B33">
            <w:pPr>
              <w:pStyle w:val="TblTextCenter"/>
              <w:rPr>
                <w:lang w:val="en-AU"/>
              </w:rPr>
            </w:pPr>
            <w:r w:rsidRPr="00E26ADF">
              <w:rPr>
                <w:lang w:val="en-AU"/>
              </w:rPr>
              <w:t>(0.29, 0.48)</w:t>
            </w:r>
          </w:p>
        </w:tc>
        <w:tc>
          <w:tcPr>
            <w:tcW w:w="1134" w:type="dxa"/>
            <w:shd w:val="clear" w:color="auto" w:fill="auto"/>
            <w:hideMark/>
          </w:tcPr>
          <w:p w14:paraId="27DB70B5" w14:textId="77777777" w:rsidR="00FA6B33" w:rsidRPr="00E26ADF" w:rsidRDefault="00FA6B33" w:rsidP="00FA6B33">
            <w:pPr>
              <w:pStyle w:val="TblTextCenter"/>
              <w:rPr>
                <w:lang w:val="en-AU"/>
              </w:rPr>
            </w:pPr>
            <w:r w:rsidRPr="00E26ADF">
              <w:rPr>
                <w:lang w:val="en-AU"/>
              </w:rPr>
              <w:t>0.34</w:t>
            </w:r>
          </w:p>
          <w:p w14:paraId="287FAA7E" w14:textId="77777777" w:rsidR="00FA6B33" w:rsidRPr="00E26ADF" w:rsidRDefault="00FA6B33" w:rsidP="00FA6B33">
            <w:pPr>
              <w:pStyle w:val="TblTextCenter"/>
              <w:rPr>
                <w:lang w:val="en-AU"/>
              </w:rPr>
            </w:pPr>
            <w:r w:rsidRPr="00E26ADF">
              <w:rPr>
                <w:lang w:val="en-AU"/>
              </w:rPr>
              <w:t>(0.24,0.48)</w:t>
            </w:r>
          </w:p>
        </w:tc>
        <w:tc>
          <w:tcPr>
            <w:tcW w:w="993" w:type="dxa"/>
            <w:tcBorders>
              <w:right w:val="nil"/>
            </w:tcBorders>
            <w:shd w:val="clear" w:color="auto" w:fill="auto"/>
            <w:hideMark/>
          </w:tcPr>
          <w:p w14:paraId="44BC7C57" w14:textId="77777777" w:rsidR="00FA6B33" w:rsidRPr="00E26ADF" w:rsidRDefault="00FA6B33" w:rsidP="00FA6B33">
            <w:pPr>
              <w:pStyle w:val="TblTextCenter"/>
              <w:rPr>
                <w:lang w:val="en-AU"/>
              </w:rPr>
            </w:pPr>
            <w:r w:rsidRPr="00E26ADF">
              <w:rPr>
                <w:lang w:val="en-AU"/>
              </w:rPr>
              <w:t>66%</w:t>
            </w:r>
          </w:p>
        </w:tc>
      </w:tr>
      <w:tr w:rsidR="00FA6B33" w:rsidRPr="00E26ADF" w14:paraId="1A1FE4E0" w14:textId="77777777" w:rsidTr="00FA6B33">
        <w:trPr>
          <w:cantSplit/>
          <w:trHeight w:val="474"/>
          <w:jc w:val="center"/>
        </w:trPr>
        <w:tc>
          <w:tcPr>
            <w:tcW w:w="955" w:type="dxa"/>
            <w:vMerge/>
            <w:shd w:val="clear" w:color="auto" w:fill="auto"/>
            <w:vAlign w:val="center"/>
            <w:hideMark/>
          </w:tcPr>
          <w:p w14:paraId="6D060E00" w14:textId="77777777" w:rsidR="00FA6B33" w:rsidRPr="00E26ADF" w:rsidRDefault="00FA6B33" w:rsidP="00FA6B33">
            <w:pPr>
              <w:rPr>
                <w:color w:val="auto"/>
                <w:sz w:val="18"/>
                <w:szCs w:val="18"/>
              </w:rPr>
            </w:pPr>
          </w:p>
        </w:tc>
        <w:tc>
          <w:tcPr>
            <w:tcW w:w="1183" w:type="dxa"/>
            <w:shd w:val="clear" w:color="auto" w:fill="auto"/>
          </w:tcPr>
          <w:p w14:paraId="1C540439" w14:textId="77777777" w:rsidR="00FA6B33" w:rsidRPr="00E26ADF" w:rsidRDefault="00FA6B33" w:rsidP="00A15F24">
            <w:pPr>
              <w:pStyle w:val="TblTextCenter"/>
              <w:jc w:val="left"/>
              <w:rPr>
                <w:lang w:val="en-AU"/>
              </w:rPr>
            </w:pPr>
            <w:r w:rsidRPr="00E26ADF">
              <w:rPr>
                <w:lang w:val="en-AU"/>
              </w:rPr>
              <w:t xml:space="preserve">Placebo </w:t>
            </w:r>
          </w:p>
          <w:p w14:paraId="5E32B9AD" w14:textId="77777777" w:rsidR="00FA6B33" w:rsidRPr="00E26ADF" w:rsidRDefault="00FA6B33" w:rsidP="00A15F24">
            <w:pPr>
              <w:pStyle w:val="TblTextCenter"/>
              <w:jc w:val="left"/>
              <w:rPr>
                <w:lang w:val="en-AU"/>
              </w:rPr>
            </w:pPr>
          </w:p>
        </w:tc>
        <w:tc>
          <w:tcPr>
            <w:tcW w:w="490" w:type="dxa"/>
            <w:shd w:val="clear" w:color="auto" w:fill="auto"/>
            <w:hideMark/>
          </w:tcPr>
          <w:p w14:paraId="5B09F9D0" w14:textId="77777777" w:rsidR="00FA6B33" w:rsidRPr="00E26ADF" w:rsidRDefault="00FA6B33" w:rsidP="00FA6B33">
            <w:pPr>
              <w:pStyle w:val="TblTextCenter"/>
              <w:rPr>
                <w:lang w:val="en-AU"/>
              </w:rPr>
            </w:pPr>
            <w:r w:rsidRPr="00E26ADF">
              <w:rPr>
                <w:lang w:val="en-AU"/>
              </w:rPr>
              <w:t>232</w:t>
            </w:r>
          </w:p>
        </w:tc>
        <w:tc>
          <w:tcPr>
            <w:tcW w:w="1341" w:type="dxa"/>
            <w:shd w:val="clear" w:color="auto" w:fill="auto"/>
            <w:hideMark/>
          </w:tcPr>
          <w:p w14:paraId="28C183D8" w14:textId="77777777" w:rsidR="00FA6B33" w:rsidRPr="00E26ADF" w:rsidRDefault="00FA6B33" w:rsidP="00FA6B33">
            <w:pPr>
              <w:pStyle w:val="TblTextCenter"/>
              <w:rPr>
                <w:lang w:val="en-AU"/>
              </w:rPr>
            </w:pPr>
            <w:r w:rsidRPr="00E26ADF">
              <w:rPr>
                <w:lang w:val="en-AU"/>
              </w:rPr>
              <w:t>1.01</w:t>
            </w:r>
          </w:p>
          <w:p w14:paraId="22EBC2CC" w14:textId="77777777" w:rsidR="00FA6B33" w:rsidRPr="00E26ADF" w:rsidRDefault="00FA6B33" w:rsidP="00FA6B33">
            <w:pPr>
              <w:pStyle w:val="TblTextCenter"/>
              <w:rPr>
                <w:lang w:val="en-AU"/>
              </w:rPr>
            </w:pPr>
            <w:r w:rsidRPr="00E26ADF">
              <w:rPr>
                <w:lang w:val="en-AU"/>
              </w:rPr>
              <w:t>(0.81, 1.25)</w:t>
            </w:r>
          </w:p>
        </w:tc>
        <w:tc>
          <w:tcPr>
            <w:tcW w:w="1134" w:type="dxa"/>
            <w:shd w:val="clear" w:color="auto" w:fill="auto"/>
          </w:tcPr>
          <w:p w14:paraId="499CD0F8" w14:textId="77777777" w:rsidR="00FA6B33" w:rsidRPr="00E26ADF" w:rsidRDefault="00FA6B33" w:rsidP="00FA6B33">
            <w:pPr>
              <w:pStyle w:val="TblTextCenter"/>
              <w:rPr>
                <w:lang w:val="en-AU"/>
              </w:rPr>
            </w:pPr>
          </w:p>
        </w:tc>
        <w:tc>
          <w:tcPr>
            <w:tcW w:w="993" w:type="dxa"/>
            <w:shd w:val="clear" w:color="auto" w:fill="auto"/>
          </w:tcPr>
          <w:p w14:paraId="2009912A" w14:textId="77777777" w:rsidR="00FA6B33" w:rsidRPr="00E26ADF" w:rsidRDefault="00FA6B33" w:rsidP="00FA6B33">
            <w:pPr>
              <w:pStyle w:val="TblTextCenter"/>
              <w:rPr>
                <w:lang w:val="en-AU"/>
              </w:rPr>
            </w:pPr>
          </w:p>
        </w:tc>
        <w:tc>
          <w:tcPr>
            <w:tcW w:w="567" w:type="dxa"/>
            <w:shd w:val="clear" w:color="auto" w:fill="auto"/>
            <w:hideMark/>
          </w:tcPr>
          <w:p w14:paraId="2A12AE48" w14:textId="77777777" w:rsidR="00FA6B33" w:rsidRPr="00E26ADF" w:rsidRDefault="00FA6B33" w:rsidP="00FA6B33">
            <w:pPr>
              <w:pStyle w:val="TblTextCenter"/>
              <w:rPr>
                <w:lang w:val="en-AU"/>
              </w:rPr>
            </w:pPr>
            <w:r w:rsidRPr="00E26ADF">
              <w:rPr>
                <w:lang w:val="en-AU"/>
              </w:rPr>
              <w:t>148</w:t>
            </w:r>
          </w:p>
        </w:tc>
        <w:tc>
          <w:tcPr>
            <w:tcW w:w="1275" w:type="dxa"/>
            <w:shd w:val="clear" w:color="auto" w:fill="auto"/>
            <w:hideMark/>
          </w:tcPr>
          <w:p w14:paraId="29B4D893" w14:textId="77777777" w:rsidR="00FA6B33" w:rsidRPr="00E26ADF" w:rsidRDefault="00FA6B33" w:rsidP="00FA6B33">
            <w:pPr>
              <w:pStyle w:val="TblTextCenter"/>
              <w:rPr>
                <w:lang w:val="en-AU"/>
              </w:rPr>
            </w:pPr>
            <w:r w:rsidRPr="00E26ADF">
              <w:rPr>
                <w:lang w:val="en-AU"/>
              </w:rPr>
              <w:t>1.081</w:t>
            </w:r>
          </w:p>
          <w:p w14:paraId="19E53FC5" w14:textId="77777777" w:rsidR="00FA6B33" w:rsidRPr="00E26ADF" w:rsidRDefault="00FA6B33" w:rsidP="00FA6B33">
            <w:pPr>
              <w:pStyle w:val="TblTextCenter"/>
              <w:rPr>
                <w:lang w:val="en-AU"/>
              </w:rPr>
            </w:pPr>
            <w:r w:rsidRPr="00E26ADF">
              <w:rPr>
                <w:lang w:val="en-AU"/>
              </w:rPr>
              <w:t>(0.846, 1.382)</w:t>
            </w:r>
          </w:p>
        </w:tc>
        <w:tc>
          <w:tcPr>
            <w:tcW w:w="1134" w:type="dxa"/>
            <w:shd w:val="clear" w:color="auto" w:fill="auto"/>
          </w:tcPr>
          <w:p w14:paraId="0ACC1D2B" w14:textId="77777777" w:rsidR="00FA6B33" w:rsidRPr="00E26ADF" w:rsidRDefault="00FA6B33" w:rsidP="00FA6B33">
            <w:pPr>
              <w:pStyle w:val="TblTextCenter"/>
              <w:rPr>
                <w:lang w:val="en-AU"/>
              </w:rPr>
            </w:pPr>
          </w:p>
        </w:tc>
        <w:tc>
          <w:tcPr>
            <w:tcW w:w="993" w:type="dxa"/>
            <w:tcBorders>
              <w:right w:val="nil"/>
            </w:tcBorders>
            <w:shd w:val="clear" w:color="auto" w:fill="auto"/>
          </w:tcPr>
          <w:p w14:paraId="5387C1BA" w14:textId="77777777" w:rsidR="00FA6B33" w:rsidRPr="00E26ADF" w:rsidRDefault="00FA6B33" w:rsidP="00FA6B33">
            <w:pPr>
              <w:pStyle w:val="TblTextCenter"/>
              <w:rPr>
                <w:lang w:val="en-AU"/>
              </w:rPr>
            </w:pPr>
          </w:p>
        </w:tc>
      </w:tr>
      <w:tr w:rsidR="00FA6B33" w:rsidRPr="00E26ADF" w14:paraId="4674BDF8" w14:textId="77777777" w:rsidTr="00FA6B33">
        <w:trPr>
          <w:cantSplit/>
          <w:trHeight w:val="474"/>
          <w:jc w:val="center"/>
        </w:trPr>
        <w:tc>
          <w:tcPr>
            <w:tcW w:w="955" w:type="dxa"/>
            <w:vMerge/>
            <w:shd w:val="clear" w:color="auto" w:fill="auto"/>
            <w:vAlign w:val="center"/>
            <w:hideMark/>
          </w:tcPr>
          <w:p w14:paraId="549C12DB" w14:textId="77777777" w:rsidR="00FA6B33" w:rsidRPr="00E26ADF" w:rsidRDefault="00FA6B33" w:rsidP="00FA6B33">
            <w:pPr>
              <w:rPr>
                <w:color w:val="auto"/>
                <w:sz w:val="18"/>
                <w:szCs w:val="18"/>
              </w:rPr>
            </w:pPr>
          </w:p>
        </w:tc>
        <w:tc>
          <w:tcPr>
            <w:tcW w:w="1183" w:type="dxa"/>
            <w:shd w:val="clear" w:color="auto" w:fill="auto"/>
            <w:hideMark/>
          </w:tcPr>
          <w:p w14:paraId="028C3F38" w14:textId="77777777" w:rsidR="00FA6B33" w:rsidRPr="00E26ADF" w:rsidRDefault="00FA6B33" w:rsidP="00A15F24">
            <w:pPr>
              <w:pStyle w:val="TblTextCenter"/>
              <w:jc w:val="left"/>
              <w:rPr>
                <w:lang w:val="en-AU"/>
              </w:rPr>
            </w:pPr>
            <w:r w:rsidRPr="00E26ADF">
              <w:rPr>
                <w:lang w:val="en-AU"/>
              </w:rPr>
              <w:t>Dupixent 300 mg Q2W</w:t>
            </w:r>
          </w:p>
        </w:tc>
        <w:tc>
          <w:tcPr>
            <w:tcW w:w="490" w:type="dxa"/>
            <w:shd w:val="clear" w:color="auto" w:fill="auto"/>
            <w:hideMark/>
          </w:tcPr>
          <w:p w14:paraId="5961EAC9" w14:textId="77777777" w:rsidR="00FA6B33" w:rsidRPr="00E26ADF" w:rsidRDefault="00FA6B33" w:rsidP="00FA6B33">
            <w:pPr>
              <w:pStyle w:val="TblTextCenter"/>
              <w:rPr>
                <w:lang w:val="en-AU"/>
              </w:rPr>
            </w:pPr>
            <w:r w:rsidRPr="00E26ADF">
              <w:rPr>
                <w:lang w:val="en-AU"/>
              </w:rPr>
              <w:t>452</w:t>
            </w:r>
          </w:p>
        </w:tc>
        <w:tc>
          <w:tcPr>
            <w:tcW w:w="1341" w:type="dxa"/>
            <w:shd w:val="clear" w:color="auto" w:fill="auto"/>
            <w:hideMark/>
          </w:tcPr>
          <w:p w14:paraId="1C78F7A4" w14:textId="77777777" w:rsidR="00FA6B33" w:rsidRPr="00E26ADF" w:rsidRDefault="00FA6B33" w:rsidP="00FA6B33">
            <w:pPr>
              <w:pStyle w:val="TblTextCenter"/>
              <w:rPr>
                <w:lang w:val="en-AU"/>
              </w:rPr>
            </w:pPr>
            <w:r w:rsidRPr="00E26ADF">
              <w:rPr>
                <w:lang w:val="en-AU"/>
              </w:rPr>
              <w:t>0.43</w:t>
            </w:r>
          </w:p>
          <w:p w14:paraId="67C11828" w14:textId="77777777" w:rsidR="00FA6B33" w:rsidRPr="00E26ADF" w:rsidRDefault="00FA6B33" w:rsidP="00FA6B33">
            <w:pPr>
              <w:pStyle w:val="TblTextCenter"/>
              <w:rPr>
                <w:lang w:val="en-AU"/>
              </w:rPr>
            </w:pPr>
            <w:r w:rsidRPr="00E26ADF">
              <w:rPr>
                <w:lang w:val="en-AU"/>
              </w:rPr>
              <w:t>(0.36, 0.53)</w:t>
            </w:r>
          </w:p>
        </w:tc>
        <w:tc>
          <w:tcPr>
            <w:tcW w:w="1134" w:type="dxa"/>
            <w:shd w:val="clear" w:color="auto" w:fill="auto"/>
            <w:hideMark/>
          </w:tcPr>
          <w:p w14:paraId="75C89E9B" w14:textId="77777777" w:rsidR="00FA6B33" w:rsidRPr="00E26ADF" w:rsidRDefault="00FA6B33" w:rsidP="00FA6B33">
            <w:pPr>
              <w:pStyle w:val="TblTextCenter"/>
              <w:rPr>
                <w:lang w:val="en-AU"/>
              </w:rPr>
            </w:pPr>
            <w:r w:rsidRPr="00E26ADF">
              <w:rPr>
                <w:lang w:val="en-AU"/>
              </w:rPr>
              <w:t>0.40</w:t>
            </w:r>
          </w:p>
          <w:p w14:paraId="2C79859D" w14:textId="77777777" w:rsidR="00FA6B33" w:rsidRPr="00E26ADF" w:rsidRDefault="00FA6B33" w:rsidP="00FA6B33">
            <w:pPr>
              <w:pStyle w:val="TblTextCenter"/>
              <w:rPr>
                <w:lang w:val="en-AU"/>
              </w:rPr>
            </w:pPr>
            <w:r w:rsidRPr="00E26ADF">
              <w:rPr>
                <w:lang w:val="en-AU"/>
              </w:rPr>
              <w:t>(0.31,0.53)</w:t>
            </w:r>
          </w:p>
        </w:tc>
        <w:tc>
          <w:tcPr>
            <w:tcW w:w="993" w:type="dxa"/>
            <w:shd w:val="clear" w:color="auto" w:fill="auto"/>
            <w:hideMark/>
          </w:tcPr>
          <w:p w14:paraId="4D07A1B0" w14:textId="77777777" w:rsidR="00FA6B33" w:rsidRPr="00E26ADF" w:rsidRDefault="00FA6B33" w:rsidP="00FA6B33">
            <w:pPr>
              <w:pStyle w:val="TblTextCenter"/>
              <w:rPr>
                <w:lang w:val="en-AU"/>
              </w:rPr>
            </w:pPr>
            <w:r w:rsidRPr="00E26ADF">
              <w:rPr>
                <w:lang w:val="en-AU"/>
              </w:rPr>
              <w:t>60%</w:t>
            </w:r>
          </w:p>
        </w:tc>
        <w:tc>
          <w:tcPr>
            <w:tcW w:w="567" w:type="dxa"/>
            <w:shd w:val="clear" w:color="auto" w:fill="auto"/>
            <w:hideMark/>
          </w:tcPr>
          <w:p w14:paraId="38D2CBFB" w14:textId="77777777" w:rsidR="00FA6B33" w:rsidRPr="00E26ADF" w:rsidRDefault="00FA6B33" w:rsidP="00FA6B33">
            <w:pPr>
              <w:pStyle w:val="TblTextCenter"/>
              <w:rPr>
                <w:lang w:val="en-AU"/>
              </w:rPr>
            </w:pPr>
            <w:r w:rsidRPr="00E26ADF">
              <w:rPr>
                <w:lang w:val="en-AU"/>
              </w:rPr>
              <w:t>277</w:t>
            </w:r>
          </w:p>
        </w:tc>
        <w:tc>
          <w:tcPr>
            <w:tcW w:w="1275" w:type="dxa"/>
            <w:shd w:val="clear" w:color="auto" w:fill="auto"/>
            <w:hideMark/>
          </w:tcPr>
          <w:p w14:paraId="09E83D5F" w14:textId="77777777" w:rsidR="00FA6B33" w:rsidRPr="00E26ADF" w:rsidRDefault="00FA6B33" w:rsidP="00FA6B33">
            <w:pPr>
              <w:pStyle w:val="TblTextCenter"/>
              <w:rPr>
                <w:lang w:val="en-AU"/>
              </w:rPr>
            </w:pPr>
            <w:r w:rsidRPr="00E26ADF">
              <w:rPr>
                <w:lang w:val="en-AU"/>
              </w:rPr>
              <w:t>0.40</w:t>
            </w:r>
          </w:p>
          <w:p w14:paraId="2D87092E" w14:textId="77777777" w:rsidR="00FA6B33" w:rsidRPr="00E26ADF" w:rsidRDefault="00FA6B33" w:rsidP="00FA6B33">
            <w:pPr>
              <w:pStyle w:val="TblTextCenter"/>
              <w:rPr>
                <w:lang w:val="en-AU"/>
              </w:rPr>
            </w:pPr>
            <w:r w:rsidRPr="00E26ADF">
              <w:rPr>
                <w:lang w:val="en-AU"/>
              </w:rPr>
              <w:t>(0.32, 0.51)</w:t>
            </w:r>
          </w:p>
        </w:tc>
        <w:tc>
          <w:tcPr>
            <w:tcW w:w="1134" w:type="dxa"/>
            <w:shd w:val="clear" w:color="auto" w:fill="auto"/>
          </w:tcPr>
          <w:p w14:paraId="3077EEDF" w14:textId="77777777" w:rsidR="00FA6B33" w:rsidRPr="00E26ADF" w:rsidRDefault="00FA6B33" w:rsidP="00FA6B33">
            <w:pPr>
              <w:pStyle w:val="TblTextCenter"/>
              <w:rPr>
                <w:lang w:val="en-AU"/>
              </w:rPr>
            </w:pPr>
            <w:r w:rsidRPr="00E26ADF">
              <w:rPr>
                <w:lang w:val="en-AU"/>
              </w:rPr>
              <w:t>0.33</w:t>
            </w:r>
          </w:p>
          <w:p w14:paraId="0413AD98" w14:textId="77777777" w:rsidR="00FA6B33" w:rsidRPr="00E26ADF" w:rsidRDefault="00FA6B33" w:rsidP="00FA6B33">
            <w:pPr>
              <w:pStyle w:val="TblTextCenter"/>
              <w:rPr>
                <w:lang w:val="en-AU"/>
              </w:rPr>
            </w:pPr>
            <w:r w:rsidRPr="00E26ADF">
              <w:rPr>
                <w:lang w:val="en-AU"/>
              </w:rPr>
              <w:t>(0.23,0.45)</w:t>
            </w:r>
          </w:p>
          <w:p w14:paraId="01F745C3" w14:textId="77777777" w:rsidR="00FA6B33" w:rsidRPr="00E26ADF" w:rsidRDefault="00FA6B33" w:rsidP="00FA6B33">
            <w:pPr>
              <w:pStyle w:val="TblTextCenter"/>
              <w:rPr>
                <w:lang w:val="en-AU"/>
              </w:rPr>
            </w:pPr>
          </w:p>
        </w:tc>
        <w:tc>
          <w:tcPr>
            <w:tcW w:w="993" w:type="dxa"/>
            <w:tcBorders>
              <w:right w:val="nil"/>
            </w:tcBorders>
            <w:shd w:val="clear" w:color="auto" w:fill="auto"/>
            <w:hideMark/>
          </w:tcPr>
          <w:p w14:paraId="063BFD65" w14:textId="77777777" w:rsidR="00FA6B33" w:rsidRPr="00E26ADF" w:rsidRDefault="00FA6B33" w:rsidP="00FA6B33">
            <w:pPr>
              <w:pStyle w:val="TblTextCenter"/>
              <w:rPr>
                <w:lang w:val="en-AU"/>
              </w:rPr>
            </w:pPr>
            <w:r w:rsidRPr="00E26ADF">
              <w:rPr>
                <w:lang w:val="en-AU"/>
              </w:rPr>
              <w:t>67%</w:t>
            </w:r>
          </w:p>
        </w:tc>
      </w:tr>
      <w:tr w:rsidR="00FA6B33" w:rsidRPr="00E26ADF" w14:paraId="5633D3E0" w14:textId="77777777" w:rsidTr="00FA6B33">
        <w:trPr>
          <w:cantSplit/>
          <w:trHeight w:val="909"/>
          <w:jc w:val="center"/>
        </w:trPr>
        <w:tc>
          <w:tcPr>
            <w:tcW w:w="955" w:type="dxa"/>
            <w:vMerge/>
            <w:shd w:val="clear" w:color="auto" w:fill="auto"/>
            <w:vAlign w:val="center"/>
            <w:hideMark/>
          </w:tcPr>
          <w:p w14:paraId="07A8BF5C" w14:textId="77777777" w:rsidR="00FA6B33" w:rsidRPr="00E26ADF" w:rsidRDefault="00FA6B33" w:rsidP="00FA6B33">
            <w:pPr>
              <w:rPr>
                <w:color w:val="auto"/>
                <w:sz w:val="18"/>
                <w:szCs w:val="18"/>
              </w:rPr>
            </w:pPr>
          </w:p>
        </w:tc>
        <w:tc>
          <w:tcPr>
            <w:tcW w:w="1183" w:type="dxa"/>
            <w:shd w:val="clear" w:color="auto" w:fill="auto"/>
          </w:tcPr>
          <w:p w14:paraId="6FC1E2AB" w14:textId="77777777" w:rsidR="00FA6B33" w:rsidRPr="00E26ADF" w:rsidRDefault="00FA6B33" w:rsidP="00A15F24">
            <w:pPr>
              <w:pStyle w:val="TblTextCenter"/>
              <w:jc w:val="left"/>
              <w:rPr>
                <w:lang w:val="en-AU"/>
              </w:rPr>
            </w:pPr>
            <w:r w:rsidRPr="00E26ADF">
              <w:rPr>
                <w:lang w:val="en-AU"/>
              </w:rPr>
              <w:t xml:space="preserve">Placebo </w:t>
            </w:r>
          </w:p>
          <w:p w14:paraId="7C21A770" w14:textId="77777777" w:rsidR="00FA6B33" w:rsidRPr="00E26ADF" w:rsidRDefault="00FA6B33" w:rsidP="00A15F24">
            <w:pPr>
              <w:pStyle w:val="TblTextCenter"/>
              <w:jc w:val="left"/>
              <w:rPr>
                <w:lang w:val="en-AU"/>
              </w:rPr>
            </w:pPr>
          </w:p>
        </w:tc>
        <w:tc>
          <w:tcPr>
            <w:tcW w:w="490" w:type="dxa"/>
            <w:shd w:val="clear" w:color="auto" w:fill="auto"/>
            <w:hideMark/>
          </w:tcPr>
          <w:p w14:paraId="3221747E" w14:textId="77777777" w:rsidR="00FA6B33" w:rsidRPr="00E26ADF" w:rsidRDefault="00FA6B33" w:rsidP="00FA6B33">
            <w:pPr>
              <w:pStyle w:val="TblTextCenter"/>
              <w:rPr>
                <w:lang w:val="en-AU"/>
              </w:rPr>
            </w:pPr>
            <w:r w:rsidRPr="00E26ADF">
              <w:rPr>
                <w:lang w:val="en-AU"/>
              </w:rPr>
              <w:t>237</w:t>
            </w:r>
          </w:p>
        </w:tc>
        <w:tc>
          <w:tcPr>
            <w:tcW w:w="1341" w:type="dxa"/>
            <w:shd w:val="clear" w:color="auto" w:fill="auto"/>
            <w:hideMark/>
          </w:tcPr>
          <w:p w14:paraId="487EC28A" w14:textId="77777777" w:rsidR="00FA6B33" w:rsidRPr="00E26ADF" w:rsidRDefault="00FA6B33" w:rsidP="00FA6B33">
            <w:pPr>
              <w:pStyle w:val="TblTextCenter"/>
              <w:rPr>
                <w:lang w:val="en-AU"/>
              </w:rPr>
            </w:pPr>
            <w:r w:rsidRPr="00E26ADF">
              <w:rPr>
                <w:lang w:val="en-AU"/>
              </w:rPr>
              <w:t>1.08</w:t>
            </w:r>
          </w:p>
          <w:p w14:paraId="41FA0DE3" w14:textId="77777777" w:rsidR="00FA6B33" w:rsidRPr="00E26ADF" w:rsidRDefault="00FA6B33" w:rsidP="00FA6B33">
            <w:pPr>
              <w:pStyle w:val="TblTextCenter"/>
              <w:rPr>
                <w:lang w:val="en-AU"/>
              </w:rPr>
            </w:pPr>
            <w:r w:rsidRPr="00E26ADF">
              <w:rPr>
                <w:lang w:val="en-AU"/>
              </w:rPr>
              <w:t>(0.88, 1.33)</w:t>
            </w:r>
          </w:p>
        </w:tc>
        <w:tc>
          <w:tcPr>
            <w:tcW w:w="1134" w:type="dxa"/>
            <w:shd w:val="clear" w:color="auto" w:fill="auto"/>
          </w:tcPr>
          <w:p w14:paraId="30F38A91" w14:textId="77777777" w:rsidR="00FA6B33" w:rsidRPr="00E26ADF" w:rsidRDefault="00FA6B33" w:rsidP="00FA6B33">
            <w:pPr>
              <w:pStyle w:val="TblTextCenter"/>
              <w:rPr>
                <w:lang w:val="en-AU"/>
              </w:rPr>
            </w:pPr>
          </w:p>
        </w:tc>
        <w:tc>
          <w:tcPr>
            <w:tcW w:w="993" w:type="dxa"/>
            <w:shd w:val="clear" w:color="auto" w:fill="auto"/>
          </w:tcPr>
          <w:p w14:paraId="0A17B2FF" w14:textId="77777777" w:rsidR="00FA6B33" w:rsidRPr="00E26ADF" w:rsidRDefault="00FA6B33" w:rsidP="00FA6B33">
            <w:pPr>
              <w:pStyle w:val="TblTextCenter"/>
              <w:rPr>
                <w:lang w:val="en-AU"/>
              </w:rPr>
            </w:pPr>
          </w:p>
        </w:tc>
        <w:tc>
          <w:tcPr>
            <w:tcW w:w="567" w:type="dxa"/>
            <w:shd w:val="clear" w:color="auto" w:fill="auto"/>
            <w:hideMark/>
          </w:tcPr>
          <w:p w14:paraId="4A3A9DB4" w14:textId="77777777" w:rsidR="00FA6B33" w:rsidRPr="00E26ADF" w:rsidRDefault="00FA6B33" w:rsidP="00FA6B33">
            <w:pPr>
              <w:pStyle w:val="TblTextCenter"/>
              <w:rPr>
                <w:lang w:val="en-AU"/>
              </w:rPr>
            </w:pPr>
            <w:r w:rsidRPr="00E26ADF">
              <w:rPr>
                <w:lang w:val="en-AU"/>
              </w:rPr>
              <w:t>142</w:t>
            </w:r>
          </w:p>
        </w:tc>
        <w:tc>
          <w:tcPr>
            <w:tcW w:w="1275" w:type="dxa"/>
            <w:shd w:val="clear" w:color="auto" w:fill="auto"/>
            <w:hideMark/>
          </w:tcPr>
          <w:p w14:paraId="45C0DDA7" w14:textId="77777777" w:rsidR="00FA6B33" w:rsidRPr="00E26ADF" w:rsidRDefault="00FA6B33" w:rsidP="00FA6B33">
            <w:pPr>
              <w:pStyle w:val="TblTextCenter"/>
              <w:rPr>
                <w:lang w:val="en-AU"/>
              </w:rPr>
            </w:pPr>
            <w:r w:rsidRPr="00E26ADF">
              <w:rPr>
                <w:lang w:val="en-AU"/>
              </w:rPr>
              <w:t>1.24</w:t>
            </w:r>
          </w:p>
          <w:p w14:paraId="130432A7" w14:textId="77777777" w:rsidR="00FA6B33" w:rsidRPr="00E26ADF" w:rsidRDefault="00FA6B33" w:rsidP="00FA6B33">
            <w:pPr>
              <w:pStyle w:val="TblTextCenter"/>
              <w:rPr>
                <w:lang w:val="en-AU"/>
              </w:rPr>
            </w:pPr>
            <w:r w:rsidRPr="00E26ADF">
              <w:rPr>
                <w:lang w:val="en-AU"/>
              </w:rPr>
              <w:t>(0.97, 1.57)</w:t>
            </w:r>
          </w:p>
        </w:tc>
        <w:tc>
          <w:tcPr>
            <w:tcW w:w="1134" w:type="dxa"/>
            <w:shd w:val="clear" w:color="auto" w:fill="auto"/>
          </w:tcPr>
          <w:p w14:paraId="2317E21F" w14:textId="77777777" w:rsidR="00FA6B33" w:rsidRPr="00E26ADF" w:rsidRDefault="00FA6B33" w:rsidP="00FA6B33">
            <w:pPr>
              <w:pStyle w:val="TblTextCenter"/>
              <w:rPr>
                <w:lang w:val="en-AU"/>
              </w:rPr>
            </w:pPr>
          </w:p>
        </w:tc>
        <w:tc>
          <w:tcPr>
            <w:tcW w:w="993" w:type="dxa"/>
            <w:tcBorders>
              <w:right w:val="nil"/>
            </w:tcBorders>
            <w:shd w:val="clear" w:color="auto" w:fill="auto"/>
          </w:tcPr>
          <w:p w14:paraId="664A949A" w14:textId="77777777" w:rsidR="00FA6B33" w:rsidRPr="00E26ADF" w:rsidRDefault="00FA6B33" w:rsidP="00FA6B33">
            <w:pPr>
              <w:pStyle w:val="TblTextCenter"/>
              <w:rPr>
                <w:lang w:val="en-AU"/>
              </w:rPr>
            </w:pPr>
          </w:p>
        </w:tc>
      </w:tr>
      <w:tr w:rsidR="00FA6B33" w:rsidRPr="00E26ADF" w14:paraId="2CCCFC42" w14:textId="77777777" w:rsidTr="00FA6B33">
        <w:trPr>
          <w:cantSplit/>
          <w:trHeight w:val="338"/>
          <w:jc w:val="center"/>
        </w:trPr>
        <w:tc>
          <w:tcPr>
            <w:tcW w:w="955" w:type="dxa"/>
            <w:vMerge w:val="restart"/>
            <w:shd w:val="clear" w:color="auto" w:fill="auto"/>
            <w:hideMark/>
          </w:tcPr>
          <w:p w14:paraId="1D5422DA" w14:textId="77777777" w:rsidR="00FA6B33" w:rsidRPr="00DB1270" w:rsidRDefault="00FA6B33" w:rsidP="00FA6B33">
            <w:pPr>
              <w:pStyle w:val="TblTextCenter"/>
              <w:rPr>
                <w:b/>
                <w:lang w:val="en-AU"/>
              </w:rPr>
            </w:pPr>
            <w:proofErr w:type="spellStart"/>
            <w:r w:rsidRPr="00DB1270">
              <w:rPr>
                <w:b/>
                <w:lang w:val="en-AU"/>
              </w:rPr>
              <w:t>Venture</w:t>
            </w:r>
            <w:r w:rsidRPr="00DB1270">
              <w:rPr>
                <w:b/>
                <w:vertAlign w:val="superscript"/>
                <w:lang w:val="en-AU"/>
              </w:rPr>
              <w:t>a</w:t>
            </w:r>
            <w:proofErr w:type="spellEnd"/>
          </w:p>
        </w:tc>
        <w:tc>
          <w:tcPr>
            <w:tcW w:w="1183" w:type="dxa"/>
            <w:shd w:val="clear" w:color="auto" w:fill="auto"/>
            <w:hideMark/>
          </w:tcPr>
          <w:p w14:paraId="3FC9BCF1" w14:textId="77777777" w:rsidR="00FA6B33" w:rsidRPr="00E26ADF" w:rsidRDefault="00FA6B33" w:rsidP="00A15F24">
            <w:pPr>
              <w:pStyle w:val="TblTextCenter"/>
              <w:jc w:val="left"/>
              <w:rPr>
                <w:lang w:val="en-AU"/>
              </w:rPr>
            </w:pPr>
            <w:proofErr w:type="spellStart"/>
            <w:r w:rsidRPr="00E26ADF">
              <w:rPr>
                <w:lang w:val="en-AU"/>
              </w:rPr>
              <w:t>Duixent</w:t>
            </w:r>
            <w:proofErr w:type="spellEnd"/>
            <w:r w:rsidRPr="00E26ADF">
              <w:rPr>
                <w:lang w:val="en-AU"/>
              </w:rPr>
              <w:t xml:space="preserve"> 300 mg Q2W</w:t>
            </w:r>
          </w:p>
        </w:tc>
        <w:tc>
          <w:tcPr>
            <w:tcW w:w="490" w:type="dxa"/>
            <w:shd w:val="clear" w:color="auto" w:fill="auto"/>
            <w:hideMark/>
          </w:tcPr>
          <w:p w14:paraId="396248C9" w14:textId="77777777" w:rsidR="00FA6B33" w:rsidRPr="00E26ADF" w:rsidRDefault="00FA6B33" w:rsidP="00FA6B33">
            <w:pPr>
              <w:pStyle w:val="TblTextCenter"/>
              <w:rPr>
                <w:lang w:val="en-AU"/>
              </w:rPr>
            </w:pPr>
            <w:r w:rsidRPr="00E26ADF">
              <w:rPr>
                <w:lang w:val="en-AU"/>
              </w:rPr>
              <w:t>69</w:t>
            </w:r>
          </w:p>
        </w:tc>
        <w:tc>
          <w:tcPr>
            <w:tcW w:w="1341" w:type="dxa"/>
            <w:shd w:val="clear" w:color="auto" w:fill="auto"/>
            <w:hideMark/>
          </w:tcPr>
          <w:p w14:paraId="0A8F1BB1" w14:textId="77777777" w:rsidR="00FA6B33" w:rsidRPr="00E26ADF" w:rsidRDefault="00FA6B33" w:rsidP="00FA6B33">
            <w:pPr>
              <w:pStyle w:val="TblTextCenter"/>
              <w:rPr>
                <w:lang w:val="en-AU"/>
              </w:rPr>
            </w:pPr>
            <w:r w:rsidRPr="00E26ADF">
              <w:rPr>
                <w:lang w:val="en-AU"/>
              </w:rPr>
              <w:t>0.64</w:t>
            </w:r>
          </w:p>
          <w:p w14:paraId="2F261285" w14:textId="77777777" w:rsidR="00FA6B33" w:rsidRPr="00E26ADF" w:rsidRDefault="00FA6B33" w:rsidP="00FA6B33">
            <w:pPr>
              <w:pStyle w:val="TblTextCenter"/>
              <w:rPr>
                <w:lang w:val="en-AU"/>
              </w:rPr>
            </w:pPr>
            <w:r w:rsidRPr="00E26ADF">
              <w:rPr>
                <w:lang w:val="en-AU"/>
              </w:rPr>
              <w:t>(0.43, 0.97)</w:t>
            </w:r>
          </w:p>
        </w:tc>
        <w:tc>
          <w:tcPr>
            <w:tcW w:w="1134" w:type="dxa"/>
            <w:shd w:val="clear" w:color="auto" w:fill="auto"/>
            <w:hideMark/>
          </w:tcPr>
          <w:p w14:paraId="62A13B27" w14:textId="77777777" w:rsidR="00FA6B33" w:rsidRPr="00E26ADF" w:rsidRDefault="00FA6B33" w:rsidP="00FA6B33">
            <w:pPr>
              <w:pStyle w:val="TblTextCenter"/>
              <w:rPr>
                <w:lang w:val="en-AU"/>
              </w:rPr>
            </w:pPr>
            <w:r w:rsidRPr="00E26ADF">
              <w:rPr>
                <w:lang w:val="en-AU"/>
              </w:rPr>
              <w:t>0.42</w:t>
            </w:r>
          </w:p>
          <w:p w14:paraId="5E6721E8" w14:textId="77777777" w:rsidR="00FA6B33" w:rsidRPr="00E26ADF" w:rsidRDefault="00FA6B33" w:rsidP="00FA6B33">
            <w:pPr>
              <w:pStyle w:val="TblTextCenter"/>
              <w:rPr>
                <w:lang w:val="en-AU"/>
              </w:rPr>
            </w:pPr>
            <w:r w:rsidRPr="00E26ADF">
              <w:rPr>
                <w:lang w:val="en-AU"/>
              </w:rPr>
              <w:t>(0.25, 0.69)</w:t>
            </w:r>
          </w:p>
        </w:tc>
        <w:tc>
          <w:tcPr>
            <w:tcW w:w="993" w:type="dxa"/>
            <w:shd w:val="clear" w:color="auto" w:fill="auto"/>
            <w:hideMark/>
          </w:tcPr>
          <w:p w14:paraId="358C99D9" w14:textId="77777777" w:rsidR="00FA6B33" w:rsidRPr="00E26ADF" w:rsidRDefault="00FA6B33" w:rsidP="00FA6B33">
            <w:pPr>
              <w:pStyle w:val="TblTextCenter"/>
              <w:rPr>
                <w:lang w:val="en-AU"/>
              </w:rPr>
            </w:pPr>
            <w:r w:rsidRPr="00E26ADF">
              <w:rPr>
                <w:lang w:val="en-AU"/>
              </w:rPr>
              <w:t>58%</w:t>
            </w:r>
          </w:p>
        </w:tc>
        <w:tc>
          <w:tcPr>
            <w:tcW w:w="567" w:type="dxa"/>
            <w:shd w:val="clear" w:color="auto" w:fill="auto"/>
            <w:hideMark/>
          </w:tcPr>
          <w:p w14:paraId="6DF6E821" w14:textId="77777777" w:rsidR="00FA6B33" w:rsidRPr="00E26ADF" w:rsidRDefault="00FA6B33" w:rsidP="00FA6B33">
            <w:pPr>
              <w:pStyle w:val="TblTextCenter"/>
              <w:rPr>
                <w:lang w:val="en-AU"/>
              </w:rPr>
            </w:pPr>
            <w:r w:rsidRPr="00E26ADF">
              <w:rPr>
                <w:lang w:val="en-AU"/>
              </w:rPr>
              <w:t>48</w:t>
            </w:r>
          </w:p>
        </w:tc>
        <w:tc>
          <w:tcPr>
            <w:tcW w:w="1275" w:type="dxa"/>
            <w:shd w:val="clear" w:color="auto" w:fill="auto"/>
            <w:hideMark/>
          </w:tcPr>
          <w:p w14:paraId="34343313" w14:textId="77777777" w:rsidR="00FA6B33" w:rsidRPr="00E26ADF" w:rsidRDefault="00FA6B33" w:rsidP="00FA6B33">
            <w:pPr>
              <w:pStyle w:val="TblTextCenter"/>
              <w:rPr>
                <w:lang w:val="en-AU"/>
              </w:rPr>
            </w:pPr>
            <w:r w:rsidRPr="00E26ADF">
              <w:rPr>
                <w:lang w:val="en-AU"/>
              </w:rPr>
              <w:t>0.50</w:t>
            </w:r>
          </w:p>
          <w:p w14:paraId="519827C2" w14:textId="77777777" w:rsidR="00FA6B33" w:rsidRPr="00E26ADF" w:rsidRDefault="00FA6B33" w:rsidP="00FA6B33">
            <w:pPr>
              <w:pStyle w:val="TblTextCenter"/>
              <w:rPr>
                <w:lang w:val="en-AU"/>
              </w:rPr>
            </w:pPr>
            <w:r w:rsidRPr="00E26ADF">
              <w:rPr>
                <w:lang w:val="en-AU"/>
              </w:rPr>
              <w:t>(0.26, 0.98)</w:t>
            </w:r>
          </w:p>
        </w:tc>
        <w:tc>
          <w:tcPr>
            <w:tcW w:w="1134" w:type="dxa"/>
            <w:shd w:val="clear" w:color="auto" w:fill="auto"/>
            <w:hideMark/>
          </w:tcPr>
          <w:p w14:paraId="553A1EBC" w14:textId="77777777" w:rsidR="00FA6B33" w:rsidRPr="00E26ADF" w:rsidRDefault="00FA6B33" w:rsidP="00FA6B33">
            <w:pPr>
              <w:pStyle w:val="TblTextCenter"/>
              <w:rPr>
                <w:lang w:val="en-AU"/>
              </w:rPr>
            </w:pPr>
            <w:r w:rsidRPr="00E26ADF">
              <w:rPr>
                <w:lang w:val="en-AU"/>
              </w:rPr>
              <w:t>0.29</w:t>
            </w:r>
          </w:p>
          <w:p w14:paraId="31B9E34C" w14:textId="77777777" w:rsidR="00FA6B33" w:rsidRPr="00E26ADF" w:rsidRDefault="00FA6B33" w:rsidP="00FA6B33">
            <w:pPr>
              <w:pStyle w:val="TblTextCenter"/>
              <w:rPr>
                <w:lang w:val="en-AU"/>
              </w:rPr>
            </w:pPr>
            <w:r w:rsidRPr="00E26ADF">
              <w:rPr>
                <w:lang w:val="en-AU"/>
              </w:rPr>
              <w:t>(0.14,0.60)</w:t>
            </w:r>
          </w:p>
        </w:tc>
        <w:tc>
          <w:tcPr>
            <w:tcW w:w="993" w:type="dxa"/>
            <w:tcBorders>
              <w:right w:val="nil"/>
            </w:tcBorders>
            <w:shd w:val="clear" w:color="auto" w:fill="auto"/>
            <w:hideMark/>
          </w:tcPr>
          <w:p w14:paraId="43519BA6" w14:textId="77777777" w:rsidR="00FA6B33" w:rsidRPr="00E26ADF" w:rsidRDefault="00FA6B33" w:rsidP="00FA6B33">
            <w:pPr>
              <w:pStyle w:val="TblTextCenter"/>
              <w:rPr>
                <w:lang w:val="en-AU"/>
              </w:rPr>
            </w:pPr>
            <w:r w:rsidRPr="00E26ADF">
              <w:rPr>
                <w:lang w:val="en-AU"/>
              </w:rPr>
              <w:t>71%</w:t>
            </w:r>
          </w:p>
        </w:tc>
      </w:tr>
      <w:tr w:rsidR="00FA6B33" w:rsidRPr="00E26ADF" w14:paraId="0FBED11A" w14:textId="77777777" w:rsidTr="00FA6B33">
        <w:trPr>
          <w:cantSplit/>
          <w:trHeight w:val="338"/>
          <w:jc w:val="center"/>
        </w:trPr>
        <w:tc>
          <w:tcPr>
            <w:tcW w:w="955" w:type="dxa"/>
            <w:vMerge/>
            <w:tcBorders>
              <w:bottom w:val="single" w:sz="12" w:space="0" w:color="auto"/>
            </w:tcBorders>
            <w:shd w:val="clear" w:color="auto" w:fill="auto"/>
            <w:vAlign w:val="center"/>
            <w:hideMark/>
          </w:tcPr>
          <w:p w14:paraId="4EF6385B" w14:textId="77777777" w:rsidR="00FA6B33" w:rsidRPr="00E26ADF" w:rsidRDefault="00FA6B33" w:rsidP="00FA6B33">
            <w:pPr>
              <w:rPr>
                <w:color w:val="auto"/>
                <w:sz w:val="18"/>
                <w:szCs w:val="18"/>
                <w:vertAlign w:val="superscript"/>
              </w:rPr>
            </w:pPr>
          </w:p>
        </w:tc>
        <w:tc>
          <w:tcPr>
            <w:tcW w:w="1183" w:type="dxa"/>
            <w:tcBorders>
              <w:bottom w:val="single" w:sz="12" w:space="0" w:color="auto"/>
            </w:tcBorders>
            <w:shd w:val="clear" w:color="auto" w:fill="auto"/>
          </w:tcPr>
          <w:p w14:paraId="56DCE6BB" w14:textId="77777777" w:rsidR="00FA6B33" w:rsidRPr="00E26ADF" w:rsidRDefault="00FA6B33" w:rsidP="00A15F24">
            <w:pPr>
              <w:pStyle w:val="TblTextCenter"/>
              <w:jc w:val="left"/>
              <w:rPr>
                <w:lang w:val="en-AU"/>
              </w:rPr>
            </w:pPr>
            <w:r w:rsidRPr="00E26ADF">
              <w:rPr>
                <w:lang w:val="en-AU"/>
              </w:rPr>
              <w:t>Placebo</w:t>
            </w:r>
          </w:p>
          <w:p w14:paraId="738C6E72" w14:textId="77777777" w:rsidR="00FA6B33" w:rsidRPr="00E26ADF" w:rsidRDefault="00FA6B33" w:rsidP="00A15F24">
            <w:pPr>
              <w:pStyle w:val="TblTextCenter"/>
              <w:jc w:val="left"/>
              <w:rPr>
                <w:lang w:val="en-AU"/>
              </w:rPr>
            </w:pPr>
          </w:p>
        </w:tc>
        <w:tc>
          <w:tcPr>
            <w:tcW w:w="490" w:type="dxa"/>
            <w:tcBorders>
              <w:bottom w:val="single" w:sz="12" w:space="0" w:color="auto"/>
            </w:tcBorders>
            <w:shd w:val="clear" w:color="auto" w:fill="auto"/>
            <w:hideMark/>
          </w:tcPr>
          <w:p w14:paraId="6D75F56F" w14:textId="77777777" w:rsidR="00FA6B33" w:rsidRPr="00E26ADF" w:rsidRDefault="00FA6B33" w:rsidP="00FA6B33">
            <w:pPr>
              <w:pStyle w:val="TblTextCenter"/>
              <w:rPr>
                <w:lang w:val="en-AU"/>
              </w:rPr>
            </w:pPr>
            <w:r w:rsidRPr="00E26ADF">
              <w:rPr>
                <w:lang w:val="en-AU"/>
              </w:rPr>
              <w:t>81</w:t>
            </w:r>
          </w:p>
        </w:tc>
        <w:tc>
          <w:tcPr>
            <w:tcW w:w="1341" w:type="dxa"/>
            <w:tcBorders>
              <w:bottom w:val="single" w:sz="12" w:space="0" w:color="auto"/>
            </w:tcBorders>
            <w:shd w:val="clear" w:color="auto" w:fill="auto"/>
            <w:hideMark/>
          </w:tcPr>
          <w:p w14:paraId="6155A46D" w14:textId="77777777" w:rsidR="00FA6B33" w:rsidRPr="00E26ADF" w:rsidRDefault="00FA6B33" w:rsidP="00FA6B33">
            <w:pPr>
              <w:pStyle w:val="TblTextCenter"/>
              <w:rPr>
                <w:lang w:val="en-AU"/>
              </w:rPr>
            </w:pPr>
            <w:r w:rsidRPr="00E26ADF">
              <w:rPr>
                <w:lang w:val="en-AU"/>
              </w:rPr>
              <w:t>1.54</w:t>
            </w:r>
          </w:p>
          <w:p w14:paraId="2D91C23D" w14:textId="77777777" w:rsidR="00FA6B33" w:rsidRPr="00E26ADF" w:rsidRDefault="00FA6B33" w:rsidP="00FA6B33">
            <w:pPr>
              <w:pStyle w:val="TblTextCenter"/>
              <w:rPr>
                <w:lang w:val="en-AU"/>
              </w:rPr>
            </w:pPr>
            <w:r w:rsidRPr="00E26ADF">
              <w:rPr>
                <w:lang w:val="en-AU"/>
              </w:rPr>
              <w:t>(1.14. 2.07)</w:t>
            </w:r>
          </w:p>
        </w:tc>
        <w:tc>
          <w:tcPr>
            <w:tcW w:w="1134" w:type="dxa"/>
            <w:tcBorders>
              <w:bottom w:val="single" w:sz="12" w:space="0" w:color="auto"/>
            </w:tcBorders>
            <w:shd w:val="clear" w:color="auto" w:fill="auto"/>
          </w:tcPr>
          <w:p w14:paraId="4BD5736E" w14:textId="77777777" w:rsidR="00FA6B33" w:rsidRPr="00E26ADF" w:rsidRDefault="00FA6B33" w:rsidP="00FA6B33">
            <w:pPr>
              <w:pStyle w:val="TblTextCenter"/>
              <w:rPr>
                <w:lang w:val="en-AU"/>
              </w:rPr>
            </w:pPr>
          </w:p>
        </w:tc>
        <w:tc>
          <w:tcPr>
            <w:tcW w:w="993" w:type="dxa"/>
            <w:tcBorders>
              <w:bottom w:val="single" w:sz="12" w:space="0" w:color="auto"/>
            </w:tcBorders>
            <w:shd w:val="clear" w:color="auto" w:fill="auto"/>
          </w:tcPr>
          <w:p w14:paraId="56BA118F" w14:textId="77777777" w:rsidR="00FA6B33" w:rsidRPr="00E26ADF" w:rsidRDefault="00FA6B33" w:rsidP="00FA6B33">
            <w:pPr>
              <w:pStyle w:val="TblTextCenter"/>
              <w:rPr>
                <w:lang w:val="en-AU"/>
              </w:rPr>
            </w:pPr>
          </w:p>
        </w:tc>
        <w:tc>
          <w:tcPr>
            <w:tcW w:w="567" w:type="dxa"/>
            <w:tcBorders>
              <w:bottom w:val="single" w:sz="12" w:space="0" w:color="auto"/>
            </w:tcBorders>
            <w:shd w:val="clear" w:color="auto" w:fill="auto"/>
            <w:hideMark/>
          </w:tcPr>
          <w:p w14:paraId="3B40898B" w14:textId="77777777" w:rsidR="00FA6B33" w:rsidRPr="00E26ADF" w:rsidRDefault="00FA6B33" w:rsidP="00FA6B33">
            <w:pPr>
              <w:pStyle w:val="TblTextCenter"/>
              <w:rPr>
                <w:lang w:val="en-AU"/>
              </w:rPr>
            </w:pPr>
            <w:r w:rsidRPr="00E26ADF">
              <w:rPr>
                <w:lang w:val="en-AU"/>
              </w:rPr>
              <w:t>41</w:t>
            </w:r>
          </w:p>
        </w:tc>
        <w:tc>
          <w:tcPr>
            <w:tcW w:w="1275" w:type="dxa"/>
            <w:tcBorders>
              <w:bottom w:val="single" w:sz="12" w:space="0" w:color="auto"/>
            </w:tcBorders>
            <w:shd w:val="clear" w:color="auto" w:fill="auto"/>
            <w:hideMark/>
          </w:tcPr>
          <w:p w14:paraId="35E9773B" w14:textId="77777777" w:rsidR="00FA6B33" w:rsidRPr="00E26ADF" w:rsidRDefault="00FA6B33" w:rsidP="00FA6B33">
            <w:pPr>
              <w:pStyle w:val="TblTextCenter"/>
              <w:rPr>
                <w:lang w:val="en-AU"/>
              </w:rPr>
            </w:pPr>
            <w:r w:rsidRPr="00E26ADF">
              <w:rPr>
                <w:lang w:val="en-AU"/>
              </w:rPr>
              <w:t>1.74</w:t>
            </w:r>
          </w:p>
          <w:p w14:paraId="588FF530" w14:textId="77777777" w:rsidR="00FA6B33" w:rsidRPr="00E26ADF" w:rsidRDefault="00FA6B33" w:rsidP="00FA6B33">
            <w:pPr>
              <w:pStyle w:val="TblTextCenter"/>
              <w:rPr>
                <w:lang w:val="en-AU"/>
              </w:rPr>
            </w:pPr>
            <w:r w:rsidRPr="00E26ADF">
              <w:rPr>
                <w:lang w:val="en-AU"/>
              </w:rPr>
              <w:t>(1.20, 2.53)</w:t>
            </w:r>
          </w:p>
        </w:tc>
        <w:tc>
          <w:tcPr>
            <w:tcW w:w="1134" w:type="dxa"/>
            <w:tcBorders>
              <w:bottom w:val="single" w:sz="12" w:space="0" w:color="auto"/>
            </w:tcBorders>
            <w:shd w:val="clear" w:color="auto" w:fill="auto"/>
          </w:tcPr>
          <w:p w14:paraId="25BE1BB7" w14:textId="77777777" w:rsidR="00FA6B33" w:rsidRPr="00E26ADF" w:rsidRDefault="00FA6B33" w:rsidP="00FA6B33">
            <w:pPr>
              <w:pStyle w:val="TblTextCenter"/>
              <w:rPr>
                <w:lang w:val="en-AU"/>
              </w:rPr>
            </w:pPr>
          </w:p>
        </w:tc>
        <w:tc>
          <w:tcPr>
            <w:tcW w:w="993" w:type="dxa"/>
            <w:tcBorders>
              <w:bottom w:val="single" w:sz="12" w:space="0" w:color="auto"/>
              <w:right w:val="nil"/>
            </w:tcBorders>
            <w:shd w:val="clear" w:color="auto" w:fill="auto"/>
          </w:tcPr>
          <w:p w14:paraId="0939F6D4" w14:textId="77777777" w:rsidR="00FA6B33" w:rsidRPr="00E26ADF" w:rsidRDefault="00FA6B33" w:rsidP="00FA6B33">
            <w:pPr>
              <w:pStyle w:val="TblTextCenter"/>
              <w:rPr>
                <w:lang w:val="en-AU"/>
              </w:rPr>
            </w:pPr>
          </w:p>
        </w:tc>
      </w:tr>
      <w:tr w:rsidR="00FA6B33" w:rsidRPr="00E26ADF" w14:paraId="113A33AE" w14:textId="77777777" w:rsidTr="00FA6B33">
        <w:trPr>
          <w:cantSplit/>
          <w:trHeight w:val="338"/>
          <w:jc w:val="center"/>
        </w:trPr>
        <w:tc>
          <w:tcPr>
            <w:tcW w:w="10065" w:type="dxa"/>
            <w:gridSpan w:val="10"/>
            <w:tcBorders>
              <w:top w:val="single" w:sz="12" w:space="0" w:color="auto"/>
              <w:right w:val="nil"/>
            </w:tcBorders>
            <w:shd w:val="clear" w:color="auto" w:fill="auto"/>
            <w:vAlign w:val="center"/>
          </w:tcPr>
          <w:p w14:paraId="26687AC2" w14:textId="77777777" w:rsidR="00FA6B33" w:rsidRPr="00E26ADF" w:rsidRDefault="00FA6B33" w:rsidP="00FA6B33">
            <w:pPr>
              <w:pStyle w:val="TblFigFootnote"/>
              <w:rPr>
                <w:rFonts w:eastAsia="MS Mincho"/>
                <w:szCs w:val="18"/>
                <w:lang w:val="en-AU"/>
              </w:rPr>
            </w:pPr>
            <w:proofErr w:type="gramStart"/>
            <w:r>
              <w:rPr>
                <w:rFonts w:eastAsia="MS Mincho"/>
                <w:szCs w:val="18"/>
                <w:lang w:val="en-AU"/>
              </w:rPr>
              <w:t>a</w:t>
            </w:r>
            <w:proofErr w:type="gramEnd"/>
            <w:r>
              <w:rPr>
                <w:rFonts w:eastAsia="MS Mincho"/>
                <w:szCs w:val="18"/>
                <w:lang w:val="en-AU"/>
              </w:rPr>
              <w:t xml:space="preserve"> </w:t>
            </w:r>
            <w:r w:rsidRPr="00E26ADF">
              <w:rPr>
                <w:rFonts w:eastAsia="MS Mincho"/>
                <w:szCs w:val="18"/>
                <w:lang w:val="en-AU"/>
              </w:rPr>
              <w:t>OCS withdrawal trial</w:t>
            </w:r>
          </w:p>
        </w:tc>
      </w:tr>
    </w:tbl>
    <w:p w14:paraId="44448904" w14:textId="016E3E65" w:rsidR="00FA6B33" w:rsidRDefault="00FA6B33" w:rsidP="00FA6B33">
      <w:pPr>
        <w:spacing w:before="0"/>
        <w:jc w:val="center"/>
      </w:pPr>
    </w:p>
    <w:p w14:paraId="7D5C5AE4" w14:textId="3BCCAD1C" w:rsidR="00FA6B33" w:rsidRPr="00FA6B33" w:rsidRDefault="00FA6B33" w:rsidP="00FA6B33"/>
    <w:p w14:paraId="2DFD4260" w14:textId="797047A7" w:rsidR="00C06231" w:rsidRPr="00E26ADF" w:rsidRDefault="00C06231" w:rsidP="00C06231">
      <w:pPr>
        <w:pStyle w:val="Caption"/>
        <w:rPr>
          <w:lang w:val="en-AU"/>
        </w:rPr>
      </w:pPr>
      <w:r w:rsidRPr="00E26ADF">
        <w:rPr>
          <w:noProof/>
          <w:lang w:val="en-AU" w:eastAsia="en-AU"/>
        </w:rPr>
        <w:lastRenderedPageBreak/>
        <w:drawing>
          <wp:anchor distT="0" distB="0" distL="114300" distR="114300" simplePos="0" relativeHeight="251659264" behindDoc="1" locked="0" layoutInCell="1" allowOverlap="1" wp14:anchorId="3D78FFB5" wp14:editId="0FF8BFD6">
            <wp:simplePos x="0" y="0"/>
            <wp:positionH relativeFrom="margin">
              <wp:align>left</wp:align>
            </wp:positionH>
            <wp:positionV relativeFrom="paragraph">
              <wp:posOffset>541829</wp:posOffset>
            </wp:positionV>
            <wp:extent cx="5849620" cy="3066415"/>
            <wp:effectExtent l="0" t="0" r="0" b="635"/>
            <wp:wrapTight wrapText="bothSides">
              <wp:wrapPolygon edited="0">
                <wp:start x="0" y="0"/>
                <wp:lineTo x="0" y="21470"/>
                <wp:lineTo x="21525" y="21470"/>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62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ADF">
        <w:rPr>
          <w:lang w:val="en-AU"/>
        </w:rPr>
        <w:t xml:space="preserve"> 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7</w:t>
      </w:r>
      <w:r w:rsidRPr="00E26ADF">
        <w:rPr>
          <w:lang w:val="en-AU"/>
        </w:rPr>
        <w:fldChar w:fldCharType="end"/>
      </w:r>
      <w:r w:rsidRPr="00E26ADF">
        <w:rPr>
          <w:lang w:val="en-AU"/>
        </w:rPr>
        <w:t xml:space="preserve"> ­ Relative Risk in Annuali</w:t>
      </w:r>
      <w:r w:rsidR="002B505B" w:rsidRPr="00F64F0A">
        <w:rPr>
          <w:lang w:val="en-AU"/>
        </w:rPr>
        <w:t>s</w:t>
      </w:r>
      <w:r w:rsidRPr="00E26ADF">
        <w:rPr>
          <w:lang w:val="en-AU"/>
        </w:rPr>
        <w:t>ed Event Rate of Severe Exacerbations across Baseline Blood Eosinophil Count (cells/</w:t>
      </w:r>
      <w:proofErr w:type="spellStart"/>
      <w:r w:rsidRPr="00E26ADF">
        <w:rPr>
          <w:lang w:val="en-AU"/>
        </w:rPr>
        <w:t>mcL</w:t>
      </w:r>
      <w:proofErr w:type="spellEnd"/>
      <w:r w:rsidRPr="00E26ADF">
        <w:rPr>
          <w:lang w:val="en-AU"/>
        </w:rPr>
        <w:t>) in Quest</w:t>
      </w:r>
    </w:p>
    <w:p w14:paraId="04C2CE50" w14:textId="14EF5021" w:rsidR="004367AF" w:rsidRPr="00E26ADF" w:rsidRDefault="00BB6EB9" w:rsidP="00CE00B3">
      <w:r w:rsidRPr="00E26ADF">
        <w:t>The cumulative mean number of severe exacerbation events in DRI12544, Quest, and Venture studies (Overall Population and Baseline Eosinophils ≥300 cells/</w:t>
      </w:r>
      <w:proofErr w:type="spellStart"/>
      <w:r w:rsidRPr="00E26ADF">
        <w:t>mcL</w:t>
      </w:r>
      <w:proofErr w:type="spellEnd"/>
      <w:r w:rsidRPr="00E26ADF">
        <w:t>) during the 24- or 52-week treatment period is shown in</w:t>
      </w:r>
      <w:r w:rsidR="003F089D">
        <w:t xml:space="preserve"> </w:t>
      </w:r>
      <w:r w:rsidR="003F089D" w:rsidRPr="003F089D">
        <w:rPr>
          <w:color w:val="0000FF"/>
        </w:rPr>
        <w:fldChar w:fldCharType="begin"/>
      </w:r>
      <w:r w:rsidR="003F089D" w:rsidRPr="003F089D">
        <w:rPr>
          <w:color w:val="0000FF"/>
        </w:rPr>
        <w:instrText xml:space="preserve"> REF _Ref22592815 \h  \* MERGEFORMAT </w:instrText>
      </w:r>
      <w:r w:rsidR="003F089D" w:rsidRPr="003F089D">
        <w:rPr>
          <w:color w:val="0000FF"/>
        </w:rPr>
      </w:r>
      <w:r w:rsidR="003F089D" w:rsidRPr="003F089D">
        <w:rPr>
          <w:color w:val="0000FF"/>
        </w:rPr>
        <w:fldChar w:fldCharType="separate"/>
      </w:r>
      <w:r w:rsidR="00E123A5" w:rsidRPr="00E123A5">
        <w:rPr>
          <w:color w:val="0000FF"/>
          <w:lang w:val="en-AU"/>
        </w:rPr>
        <w:t>Figure 8</w:t>
      </w:r>
      <w:r w:rsidR="003F089D" w:rsidRPr="003F089D">
        <w:rPr>
          <w:color w:val="0000FF"/>
        </w:rPr>
        <w:fldChar w:fldCharType="end"/>
      </w:r>
      <w:r w:rsidRPr="00E26ADF">
        <w:t>.</w:t>
      </w:r>
    </w:p>
    <w:p w14:paraId="117CAC66" w14:textId="3A21FD56" w:rsidR="00CE00B3" w:rsidRPr="00E26ADF" w:rsidRDefault="00CE00B3" w:rsidP="00CE00B3">
      <w:pPr>
        <w:pStyle w:val="Caption"/>
        <w:rPr>
          <w:lang w:val="en-AU"/>
        </w:rPr>
      </w:pPr>
      <w:bookmarkStart w:id="33" w:name="_Ref22592815"/>
      <w:r w:rsidRPr="00E26ADF">
        <w:rPr>
          <w:lang w:val="en-AU"/>
        </w:rPr>
        <w:lastRenderedPageBreak/>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8</w:t>
      </w:r>
      <w:r w:rsidRPr="00E26ADF">
        <w:rPr>
          <w:lang w:val="en-AU"/>
        </w:rPr>
        <w:fldChar w:fldCharType="end"/>
      </w:r>
      <w:bookmarkEnd w:id="33"/>
      <w:r w:rsidRPr="00E26ADF">
        <w:rPr>
          <w:lang w:val="en-AU"/>
        </w:rPr>
        <w:t xml:space="preserve"> ­ Cumulative Mean Function for the Number of Severe</w:t>
      </w:r>
      <w:r w:rsidR="005977C2" w:rsidRPr="00E26ADF">
        <w:rPr>
          <w:lang w:val="en-AU"/>
        </w:rPr>
        <w:t xml:space="preserve"> Exacerbation Events During 24-</w:t>
      </w:r>
      <w:r w:rsidRPr="00E26ADF">
        <w:rPr>
          <w:lang w:val="en-AU"/>
        </w:rPr>
        <w:t xml:space="preserve">or 52-week Treatment Period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Eosinophils ≥ 300 cells/</w:t>
      </w:r>
      <w:proofErr w:type="spellStart"/>
      <w:r w:rsidRPr="00E26ADF">
        <w:rPr>
          <w:lang w:val="en-AU"/>
        </w:rPr>
        <w:t>mcL</w:t>
      </w:r>
      <w:proofErr w:type="spellEnd"/>
      <w:r w:rsidRPr="00E26ADF">
        <w:rPr>
          <w:lang w:val="en-AU"/>
        </w:rPr>
        <w:t>)</w:t>
      </w:r>
    </w:p>
    <w:p w14:paraId="4F32CA94" w14:textId="37CB5285" w:rsidR="00BB6EB9" w:rsidRPr="00E26ADF" w:rsidRDefault="00BB6EB9" w:rsidP="005977C2">
      <w:pPr>
        <w:spacing w:before="0"/>
        <w:rPr>
          <w:rFonts w:ascii="Arial Narrow" w:eastAsia="MS Gothic" w:hAnsi="Arial Narrow"/>
          <w:color w:val="auto"/>
          <w:sz w:val="18"/>
          <w:szCs w:val="20"/>
        </w:rPr>
      </w:pPr>
      <w:r w:rsidRPr="00E26ADF">
        <w:rPr>
          <w:noProof/>
          <w:color w:val="auto"/>
          <w:lang w:eastAsia="en-AU"/>
        </w:rPr>
        <w:drawing>
          <wp:inline distT="0" distB="0" distL="0" distR="0" wp14:anchorId="0518A181" wp14:editId="1B8BB6EE">
            <wp:extent cx="5731510" cy="5254464"/>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254464"/>
                    </a:xfrm>
                    <a:prstGeom prst="rect">
                      <a:avLst/>
                    </a:prstGeom>
                    <a:noFill/>
                    <a:ln>
                      <a:noFill/>
                    </a:ln>
                  </pic:spPr>
                </pic:pic>
              </a:graphicData>
            </a:graphic>
          </wp:inline>
        </w:drawing>
      </w:r>
      <w:proofErr w:type="spellStart"/>
      <w:proofErr w:type="gramStart"/>
      <w:r w:rsidRPr="00C456D9">
        <w:rPr>
          <w:rFonts w:ascii="Arial Narrow" w:eastAsia="MS Gothic" w:hAnsi="Arial Narrow"/>
          <w:color w:val="auto"/>
          <w:sz w:val="18"/>
          <w:szCs w:val="20"/>
          <w:vertAlign w:val="superscript"/>
        </w:rPr>
        <w:t>a</w:t>
      </w:r>
      <w:proofErr w:type="spellEnd"/>
      <w:proofErr w:type="gramEnd"/>
      <w:r w:rsidR="00EF4174" w:rsidRPr="00C456D9">
        <w:rPr>
          <w:rFonts w:ascii="Arial Narrow" w:eastAsia="MS Gothic" w:hAnsi="Arial Narrow"/>
          <w:color w:val="auto"/>
          <w:sz w:val="18"/>
          <w:szCs w:val="20"/>
        </w:rPr>
        <w:t xml:space="preserve"> </w:t>
      </w:r>
      <w:r w:rsidRPr="00E26ADF">
        <w:rPr>
          <w:rFonts w:ascii="Arial Narrow" w:eastAsia="MS Gothic" w:hAnsi="Arial Narrow"/>
          <w:color w:val="auto"/>
          <w:sz w:val="18"/>
          <w:szCs w:val="20"/>
        </w:rPr>
        <w:t>Overall population is unrestricted by minimum baseline eosinophils or other Type 2 biomarkers</w:t>
      </w:r>
    </w:p>
    <w:p w14:paraId="3B3B855E" w14:textId="0E2976CF" w:rsidR="00BB6EB9" w:rsidRPr="00E26ADF" w:rsidRDefault="00BB6EB9" w:rsidP="00CE00B3">
      <w:r w:rsidRPr="00E26ADF">
        <w:t>Over the course of the studies, patients in both Dupixent dose groups had lower cumulative number of events compared with patients in their respective placebo groups.</w:t>
      </w:r>
    </w:p>
    <w:p w14:paraId="38167B2A" w14:textId="77777777" w:rsidR="00721C58" w:rsidRPr="00E26ADF" w:rsidRDefault="00721C58" w:rsidP="00B15694">
      <w:pPr>
        <w:pStyle w:val="Heading5"/>
        <w:numPr>
          <w:ilvl w:val="0"/>
          <w:numId w:val="0"/>
        </w:numPr>
        <w:ind w:left="1009" w:hanging="1009"/>
      </w:pPr>
      <w:r w:rsidRPr="00E26ADF">
        <w:t>Lung Function</w:t>
      </w:r>
    </w:p>
    <w:p w14:paraId="61DBAAAD" w14:textId="732840A3" w:rsidR="00DD01EC" w:rsidRPr="00E26ADF" w:rsidRDefault="00DD01EC" w:rsidP="00CE00B3">
      <w:r w:rsidRPr="00E26ADF">
        <w:t>Significant increases in pre-bronchodilator FEV1 were observed at week 12 for DRI12544 and Quest trials in the primary analysis populations (subjects with baseline blood eosinophil count of ≥ 300 cells/</w:t>
      </w:r>
      <w:proofErr w:type="spellStart"/>
      <w:r w:rsidRPr="00E26ADF">
        <w:t>mcL</w:t>
      </w:r>
      <w:proofErr w:type="spellEnd"/>
      <w:r w:rsidRPr="00E26ADF">
        <w:t xml:space="preserve"> in DRI12544 and the overall population in the Quest trial.</w:t>
      </w:r>
    </w:p>
    <w:p w14:paraId="29A8C070" w14:textId="44A8667D" w:rsidR="00D9294A" w:rsidRPr="00E26ADF" w:rsidRDefault="00721C58" w:rsidP="00CE00B3">
      <w:r w:rsidRPr="00E26ADF">
        <w:t>Subgroup analysis of DRI12544, Quest, and Venture studies demonstrated that patients with baseline blood eosinophil count of ≥150 and ≥300 cells/</w:t>
      </w:r>
      <w:proofErr w:type="spellStart"/>
      <w:r w:rsidRPr="00E26ADF">
        <w:t>mcL</w:t>
      </w:r>
      <w:proofErr w:type="spellEnd"/>
      <w:r w:rsidRPr="00E26ADF">
        <w:t xml:space="preserve"> showed greater improvement in FEV1 compared with </w:t>
      </w:r>
      <w:r w:rsidR="003E2D91" w:rsidRPr="00E26ADF">
        <w:t>the overall population (</w:t>
      </w:r>
      <w:r w:rsidR="00C8795E" w:rsidRPr="00C8795E">
        <w:rPr>
          <w:color w:val="0000FF"/>
        </w:rPr>
        <w:fldChar w:fldCharType="begin"/>
      </w:r>
      <w:r w:rsidR="00C8795E" w:rsidRPr="00C8795E">
        <w:rPr>
          <w:color w:val="0000FF"/>
        </w:rPr>
        <w:instrText xml:space="preserve"> REF _Ref22592668 \h  \* MERGEFORMAT </w:instrText>
      </w:r>
      <w:r w:rsidR="00C8795E" w:rsidRPr="00C8795E">
        <w:rPr>
          <w:color w:val="0000FF"/>
        </w:rPr>
      </w:r>
      <w:r w:rsidR="00C8795E" w:rsidRPr="00C8795E">
        <w:rPr>
          <w:color w:val="0000FF"/>
        </w:rPr>
        <w:fldChar w:fldCharType="separate"/>
      </w:r>
      <w:r w:rsidR="00E123A5" w:rsidRPr="00E123A5">
        <w:rPr>
          <w:color w:val="0000FF"/>
        </w:rPr>
        <w:t>Table 16</w:t>
      </w:r>
      <w:r w:rsidR="00C8795E" w:rsidRPr="00C8795E">
        <w:rPr>
          <w:color w:val="0000FF"/>
        </w:rPr>
        <w:fldChar w:fldCharType="end"/>
      </w:r>
      <w:r w:rsidRPr="00E26ADF">
        <w:t>).</w:t>
      </w:r>
    </w:p>
    <w:p w14:paraId="30F8FCC5" w14:textId="77777777" w:rsidR="00721C58" w:rsidRPr="00E26ADF" w:rsidRDefault="00721C58" w:rsidP="00CE00B3">
      <w:r w:rsidRPr="00E26ADF">
        <w:t>Clinically meaningful improvements in FEV1 were observed in patients with baseline eosinophils &lt;300 cell/</w:t>
      </w:r>
      <w:proofErr w:type="spellStart"/>
      <w:r w:rsidRPr="00E26ADF">
        <w:t>mcL</w:t>
      </w:r>
      <w:proofErr w:type="spellEnd"/>
      <w:r w:rsidRPr="00E26ADF">
        <w:t xml:space="preserve">, although less than in the population with baseline blood </w:t>
      </w:r>
      <w:r w:rsidRPr="00E26ADF">
        <w:lastRenderedPageBreak/>
        <w:t>eosinophil count ≥300 cells/</w:t>
      </w:r>
      <w:proofErr w:type="spellStart"/>
      <w:r w:rsidRPr="00E26ADF">
        <w:t>mcL</w:t>
      </w:r>
      <w:proofErr w:type="spellEnd"/>
      <w:r w:rsidRPr="00E26ADF">
        <w:t xml:space="preserve">. Magnitude of effect was directly correlated with baseline eosinophil counts at all baseline eosinophil levels studied.  </w:t>
      </w:r>
    </w:p>
    <w:p w14:paraId="1681DC67" w14:textId="1CE4AA68" w:rsidR="00721C58" w:rsidRPr="00E26ADF" w:rsidRDefault="00721C58" w:rsidP="00CE00B3">
      <w:r w:rsidRPr="00E26ADF">
        <w:t xml:space="preserve">In </w:t>
      </w:r>
      <w:r w:rsidR="00BD7833" w:rsidRPr="00E26ADF">
        <w:t xml:space="preserve">the </w:t>
      </w:r>
      <w:r w:rsidRPr="00E26ADF">
        <w:t>Quest</w:t>
      </w:r>
      <w:r w:rsidR="00A106E1" w:rsidRPr="00E26ADF">
        <w:t xml:space="preserve"> study</w:t>
      </w:r>
      <w:r w:rsidRPr="00E26ADF">
        <w:t>, compared to placebo, greater improvements in FEV1 were also seen in patients</w:t>
      </w:r>
      <w:r w:rsidR="00CE00B3" w:rsidRPr="00E26ADF">
        <w:t xml:space="preserve"> with </w:t>
      </w:r>
      <w:proofErr w:type="spellStart"/>
      <w:r w:rsidR="00CE00B3" w:rsidRPr="00E26ADF">
        <w:t>FeNO</w:t>
      </w:r>
      <w:proofErr w:type="spellEnd"/>
      <w:r w:rsidR="00CE00B3" w:rsidRPr="00E26ADF">
        <w:t xml:space="preserve"> ≥25</w:t>
      </w:r>
      <w:r w:rsidR="00A106E1" w:rsidRPr="00E26ADF">
        <w:t xml:space="preserve"> and ≥ 50 </w:t>
      </w:r>
      <w:r w:rsidRPr="00E26ADF">
        <w:t>ppb.</w:t>
      </w:r>
    </w:p>
    <w:p w14:paraId="77493E20" w14:textId="6DFF4ADF" w:rsidR="00721C58" w:rsidRPr="00E26ADF" w:rsidRDefault="00721C58" w:rsidP="00CE00B3">
      <w:r w:rsidRPr="00E26ADF">
        <w:t>Improvement in FEV1 was similar whether patients were receiving medium dose ICS, high dose ICS, or OCS.</w:t>
      </w:r>
    </w:p>
    <w:p w14:paraId="1AD5047E" w14:textId="541FA2BB" w:rsidR="00FA6B33" w:rsidRPr="003F089D" w:rsidRDefault="00721C58" w:rsidP="003F089D">
      <w:pPr>
        <w:pStyle w:val="Caption"/>
        <w:rPr>
          <w:lang w:val="en-AU"/>
        </w:rPr>
      </w:pPr>
      <w:bookmarkStart w:id="34" w:name="_Ref22592668"/>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16</w:t>
      </w:r>
      <w:r w:rsidRPr="00E26ADF">
        <w:rPr>
          <w:lang w:val="en-AU"/>
        </w:rPr>
        <w:fldChar w:fldCharType="end"/>
      </w:r>
      <w:bookmarkEnd w:id="34"/>
      <w:r w:rsidRPr="00E26ADF">
        <w:rPr>
          <w:lang w:val="en-AU"/>
        </w:rPr>
        <w:t xml:space="preserve"> ­ Mean Change from Baseline in Pre-Bronchodilator FEV1 at Week 12 in DRI12544 and Quest and Week 24 in Venture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Blood Eosinophil Levels ≥150 and ≥300 cells/</w:t>
      </w:r>
      <w:proofErr w:type="spellStart"/>
      <w:r w:rsidRPr="00E26ADF">
        <w:rPr>
          <w:lang w:val="en-AU"/>
        </w:rPr>
        <w:t>mcL</w:t>
      </w:r>
      <w:proofErr w:type="spellEnd"/>
      <w:r w:rsidRPr="00E26ADF">
        <w:rPr>
          <w:lang w:val="en-AU"/>
        </w:rPr>
        <w:t>)</w:t>
      </w:r>
    </w:p>
    <w:tbl>
      <w:tblPr>
        <w:tblW w:w="9639" w:type="dxa"/>
        <w:jc w:val="center"/>
        <w:tblBorders>
          <w:top w:val="single" w:sz="2" w:space="0" w:color="000000"/>
        </w:tblBorders>
        <w:tblLayout w:type="fixed"/>
        <w:tblLook w:val="04A0" w:firstRow="1" w:lastRow="0" w:firstColumn="1" w:lastColumn="0" w:noHBand="0" w:noVBand="1"/>
      </w:tblPr>
      <w:tblGrid>
        <w:gridCol w:w="955"/>
        <w:gridCol w:w="1186"/>
        <w:gridCol w:w="490"/>
        <w:gridCol w:w="832"/>
        <w:gridCol w:w="1073"/>
        <w:gridCol w:w="426"/>
        <w:gridCol w:w="992"/>
        <w:gridCol w:w="1134"/>
        <w:gridCol w:w="567"/>
        <w:gridCol w:w="850"/>
        <w:gridCol w:w="1134"/>
      </w:tblGrid>
      <w:tr w:rsidR="00FA6B33" w:rsidRPr="00E26ADF" w14:paraId="28846FC5" w14:textId="77777777" w:rsidTr="00FA6B33">
        <w:trPr>
          <w:cantSplit/>
          <w:trHeight w:val="413"/>
          <w:tblHeader/>
          <w:jc w:val="center"/>
        </w:trPr>
        <w:tc>
          <w:tcPr>
            <w:tcW w:w="955" w:type="dxa"/>
            <w:vMerge w:val="restart"/>
            <w:tcBorders>
              <w:top w:val="single" w:sz="4" w:space="0" w:color="000000"/>
              <w:bottom w:val="single" w:sz="4" w:space="0" w:color="auto"/>
            </w:tcBorders>
            <w:shd w:val="clear" w:color="auto" w:fill="auto"/>
            <w:hideMark/>
          </w:tcPr>
          <w:p w14:paraId="791A268B" w14:textId="77777777" w:rsidR="00FA6B33" w:rsidRPr="00E26ADF" w:rsidRDefault="00FA6B33" w:rsidP="00FA6B33">
            <w:pPr>
              <w:pStyle w:val="TblHeadingCenter"/>
              <w:rPr>
                <w:rFonts w:eastAsia="Times New Roman"/>
                <w:lang w:val="en-AU"/>
              </w:rPr>
            </w:pPr>
            <w:r w:rsidRPr="00E26ADF">
              <w:rPr>
                <w:lang w:val="en-AU"/>
              </w:rPr>
              <w:t>Study</w:t>
            </w:r>
          </w:p>
        </w:tc>
        <w:tc>
          <w:tcPr>
            <w:tcW w:w="1186" w:type="dxa"/>
            <w:vMerge w:val="restart"/>
            <w:tcBorders>
              <w:top w:val="single" w:sz="4" w:space="0" w:color="000000"/>
              <w:bottom w:val="single" w:sz="4" w:space="0" w:color="auto"/>
            </w:tcBorders>
            <w:shd w:val="clear" w:color="auto" w:fill="auto"/>
          </w:tcPr>
          <w:p w14:paraId="7B459B5A" w14:textId="77777777" w:rsidR="00FA6B33" w:rsidRPr="00E26ADF" w:rsidRDefault="00FA6B33" w:rsidP="00FA6B33">
            <w:pPr>
              <w:pStyle w:val="TblHeadingCenter"/>
              <w:rPr>
                <w:lang w:val="en-AU"/>
              </w:rPr>
            </w:pPr>
            <w:r w:rsidRPr="00E26ADF">
              <w:rPr>
                <w:lang w:val="en-AU"/>
              </w:rPr>
              <w:t>Treatment</w:t>
            </w:r>
          </w:p>
          <w:p w14:paraId="3865CB73" w14:textId="77777777" w:rsidR="00FA6B33" w:rsidRPr="00E26ADF" w:rsidRDefault="00FA6B33" w:rsidP="00FA6B33">
            <w:pPr>
              <w:pStyle w:val="TblHeadingCenter"/>
              <w:rPr>
                <w:lang w:val="en-AU"/>
              </w:rPr>
            </w:pPr>
          </w:p>
        </w:tc>
        <w:tc>
          <w:tcPr>
            <w:tcW w:w="2395" w:type="dxa"/>
            <w:gridSpan w:val="3"/>
            <w:vMerge w:val="restart"/>
            <w:tcBorders>
              <w:top w:val="single" w:sz="4" w:space="0" w:color="000000"/>
              <w:bottom w:val="single" w:sz="4" w:space="0" w:color="auto"/>
            </w:tcBorders>
            <w:shd w:val="clear" w:color="auto" w:fill="auto"/>
            <w:hideMark/>
          </w:tcPr>
          <w:p w14:paraId="343AC914" w14:textId="77777777" w:rsidR="00FA6B33" w:rsidRPr="00E26ADF" w:rsidRDefault="00FA6B33" w:rsidP="00FA6B33">
            <w:pPr>
              <w:pStyle w:val="TblHeadingCenter"/>
              <w:rPr>
                <w:vertAlign w:val="superscript"/>
                <w:lang w:val="en-AU"/>
              </w:rPr>
            </w:pPr>
            <w:r w:rsidRPr="00E26ADF">
              <w:rPr>
                <w:lang w:val="en-AU"/>
              </w:rPr>
              <w:t>Overall Population</w:t>
            </w:r>
            <w:r w:rsidRPr="00E26ADF">
              <w:rPr>
                <w:vertAlign w:val="superscript"/>
                <w:lang w:val="en-AU"/>
              </w:rPr>
              <w:t>a</w:t>
            </w:r>
          </w:p>
        </w:tc>
        <w:tc>
          <w:tcPr>
            <w:tcW w:w="5103" w:type="dxa"/>
            <w:gridSpan w:val="6"/>
            <w:tcBorders>
              <w:top w:val="single" w:sz="4" w:space="0" w:color="000000"/>
              <w:bottom w:val="single" w:sz="4" w:space="0" w:color="auto"/>
              <w:right w:val="nil"/>
            </w:tcBorders>
            <w:shd w:val="clear" w:color="auto" w:fill="auto"/>
            <w:hideMark/>
          </w:tcPr>
          <w:p w14:paraId="4E40D6FC" w14:textId="77777777" w:rsidR="00FA6B33" w:rsidRPr="00E26ADF" w:rsidRDefault="00FA6B33" w:rsidP="00FA6B33">
            <w:pPr>
              <w:pStyle w:val="TblHeadingCenter"/>
              <w:rPr>
                <w:lang w:val="en-AU"/>
              </w:rPr>
            </w:pPr>
            <w:r w:rsidRPr="00E26ADF">
              <w:rPr>
                <w:lang w:val="en-AU"/>
              </w:rPr>
              <w:t>Baseline Blood EOS</w:t>
            </w:r>
          </w:p>
        </w:tc>
      </w:tr>
      <w:tr w:rsidR="00FA6B33" w:rsidRPr="00E26ADF" w14:paraId="52C7DF21" w14:textId="77777777" w:rsidTr="00FA6B33">
        <w:trPr>
          <w:cantSplit/>
          <w:tblHeader/>
          <w:jc w:val="center"/>
        </w:trPr>
        <w:tc>
          <w:tcPr>
            <w:tcW w:w="955" w:type="dxa"/>
            <w:vMerge/>
            <w:tcBorders>
              <w:top w:val="single" w:sz="4" w:space="0" w:color="auto"/>
              <w:bottom w:val="single" w:sz="4" w:space="0" w:color="auto"/>
            </w:tcBorders>
            <w:shd w:val="clear" w:color="auto" w:fill="auto"/>
            <w:vAlign w:val="center"/>
            <w:hideMark/>
          </w:tcPr>
          <w:p w14:paraId="7BC09375" w14:textId="77777777" w:rsidR="00FA6B33" w:rsidRPr="00E26ADF" w:rsidRDefault="00FA6B33" w:rsidP="00FA6B33">
            <w:pPr>
              <w:rPr>
                <w:rFonts w:eastAsia="Times New Roman"/>
                <w:b/>
                <w:color w:val="auto"/>
                <w:sz w:val="20"/>
              </w:rPr>
            </w:pPr>
          </w:p>
        </w:tc>
        <w:tc>
          <w:tcPr>
            <w:tcW w:w="1186" w:type="dxa"/>
            <w:vMerge/>
            <w:tcBorders>
              <w:top w:val="single" w:sz="4" w:space="0" w:color="auto"/>
              <w:bottom w:val="single" w:sz="4" w:space="0" w:color="auto"/>
            </w:tcBorders>
            <w:shd w:val="clear" w:color="auto" w:fill="auto"/>
            <w:vAlign w:val="center"/>
            <w:hideMark/>
          </w:tcPr>
          <w:p w14:paraId="25E5E6DE" w14:textId="77777777" w:rsidR="00FA6B33" w:rsidRPr="00E26ADF" w:rsidRDefault="00FA6B33" w:rsidP="00FA6B33">
            <w:pPr>
              <w:rPr>
                <w:rFonts w:eastAsia="Times New Roman"/>
                <w:b/>
                <w:color w:val="auto"/>
                <w:sz w:val="20"/>
              </w:rPr>
            </w:pPr>
          </w:p>
        </w:tc>
        <w:tc>
          <w:tcPr>
            <w:tcW w:w="2395" w:type="dxa"/>
            <w:gridSpan w:val="3"/>
            <w:vMerge/>
            <w:tcBorders>
              <w:top w:val="single" w:sz="4" w:space="0" w:color="auto"/>
              <w:bottom w:val="single" w:sz="4" w:space="0" w:color="auto"/>
            </w:tcBorders>
            <w:shd w:val="clear" w:color="auto" w:fill="auto"/>
            <w:vAlign w:val="center"/>
            <w:hideMark/>
          </w:tcPr>
          <w:p w14:paraId="7FD693C2" w14:textId="77777777" w:rsidR="00FA6B33" w:rsidRPr="00E26ADF" w:rsidRDefault="00FA6B33" w:rsidP="00FA6B33">
            <w:pPr>
              <w:rPr>
                <w:rFonts w:eastAsia="Times New Roman"/>
                <w:b/>
                <w:color w:val="auto"/>
                <w:sz w:val="20"/>
                <w:vertAlign w:val="superscript"/>
              </w:rPr>
            </w:pPr>
          </w:p>
        </w:tc>
        <w:tc>
          <w:tcPr>
            <w:tcW w:w="2552" w:type="dxa"/>
            <w:gridSpan w:val="3"/>
            <w:tcBorders>
              <w:top w:val="single" w:sz="4" w:space="0" w:color="auto"/>
              <w:bottom w:val="single" w:sz="4" w:space="0" w:color="auto"/>
            </w:tcBorders>
            <w:shd w:val="clear" w:color="auto" w:fill="auto"/>
            <w:hideMark/>
          </w:tcPr>
          <w:p w14:paraId="65EF73C2" w14:textId="77777777" w:rsidR="00FA6B33" w:rsidRPr="00E26ADF" w:rsidRDefault="00FA6B33" w:rsidP="00FA6B33">
            <w:pPr>
              <w:pStyle w:val="TblTextCenter"/>
              <w:rPr>
                <w:lang w:val="en-AU"/>
              </w:rPr>
            </w:pPr>
            <w:r w:rsidRPr="00E26ADF">
              <w:rPr>
                <w:lang w:val="en-AU"/>
              </w:rPr>
              <w:t>≥150 cells/</w:t>
            </w:r>
            <w:proofErr w:type="spellStart"/>
            <w:r w:rsidRPr="00E26ADF">
              <w:rPr>
                <w:lang w:val="en-AU"/>
              </w:rPr>
              <w:t>mcL</w:t>
            </w:r>
            <w:proofErr w:type="spellEnd"/>
          </w:p>
        </w:tc>
        <w:tc>
          <w:tcPr>
            <w:tcW w:w="2551" w:type="dxa"/>
            <w:gridSpan w:val="3"/>
            <w:tcBorders>
              <w:top w:val="single" w:sz="4" w:space="0" w:color="auto"/>
              <w:bottom w:val="single" w:sz="4" w:space="0" w:color="auto"/>
              <w:right w:val="nil"/>
            </w:tcBorders>
            <w:shd w:val="clear" w:color="auto" w:fill="auto"/>
            <w:hideMark/>
          </w:tcPr>
          <w:p w14:paraId="2E38C41A" w14:textId="77777777" w:rsidR="00FA6B33" w:rsidRPr="00E26ADF" w:rsidRDefault="00FA6B33" w:rsidP="00FA6B33">
            <w:pPr>
              <w:pStyle w:val="TblTextCenter"/>
              <w:rPr>
                <w:lang w:val="en-AU"/>
              </w:rPr>
            </w:pPr>
            <w:r w:rsidRPr="00E26ADF">
              <w:rPr>
                <w:lang w:val="en-AU"/>
              </w:rPr>
              <w:t>≥300 cells/</w:t>
            </w:r>
            <w:proofErr w:type="spellStart"/>
            <w:r w:rsidRPr="00E26ADF">
              <w:rPr>
                <w:lang w:val="en-AU"/>
              </w:rPr>
              <w:t>mcL</w:t>
            </w:r>
            <w:proofErr w:type="spellEnd"/>
          </w:p>
        </w:tc>
      </w:tr>
      <w:tr w:rsidR="00FA6B33" w:rsidRPr="00E26ADF" w14:paraId="6847E0C6" w14:textId="77777777" w:rsidTr="00FA6B33">
        <w:trPr>
          <w:cantSplit/>
          <w:tblHeader/>
          <w:jc w:val="center"/>
        </w:trPr>
        <w:tc>
          <w:tcPr>
            <w:tcW w:w="955" w:type="dxa"/>
            <w:vMerge/>
            <w:tcBorders>
              <w:top w:val="single" w:sz="4" w:space="0" w:color="auto"/>
              <w:bottom w:val="single" w:sz="4" w:space="0" w:color="auto"/>
            </w:tcBorders>
            <w:shd w:val="clear" w:color="auto" w:fill="auto"/>
            <w:vAlign w:val="center"/>
            <w:hideMark/>
          </w:tcPr>
          <w:p w14:paraId="58C7CBFB" w14:textId="77777777" w:rsidR="00FA6B33" w:rsidRPr="00E26ADF" w:rsidRDefault="00FA6B33" w:rsidP="00FA6B33">
            <w:pPr>
              <w:rPr>
                <w:rFonts w:eastAsia="Times New Roman"/>
                <w:b/>
                <w:color w:val="auto"/>
                <w:sz w:val="20"/>
              </w:rPr>
            </w:pPr>
          </w:p>
        </w:tc>
        <w:tc>
          <w:tcPr>
            <w:tcW w:w="1186" w:type="dxa"/>
            <w:vMerge/>
            <w:tcBorders>
              <w:top w:val="single" w:sz="4" w:space="0" w:color="auto"/>
              <w:bottom w:val="single" w:sz="4" w:space="0" w:color="auto"/>
            </w:tcBorders>
            <w:shd w:val="clear" w:color="auto" w:fill="auto"/>
            <w:vAlign w:val="center"/>
            <w:hideMark/>
          </w:tcPr>
          <w:p w14:paraId="03E9319B" w14:textId="77777777" w:rsidR="00FA6B33" w:rsidRPr="00E26ADF" w:rsidRDefault="00FA6B33" w:rsidP="00FA6B33">
            <w:pPr>
              <w:rPr>
                <w:rFonts w:eastAsia="Times New Roman"/>
                <w:b/>
                <w:color w:val="auto"/>
                <w:sz w:val="20"/>
              </w:rPr>
            </w:pPr>
          </w:p>
        </w:tc>
        <w:tc>
          <w:tcPr>
            <w:tcW w:w="490" w:type="dxa"/>
            <w:tcBorders>
              <w:top w:val="single" w:sz="4" w:space="0" w:color="auto"/>
              <w:bottom w:val="single" w:sz="4" w:space="0" w:color="auto"/>
            </w:tcBorders>
            <w:shd w:val="clear" w:color="auto" w:fill="auto"/>
            <w:hideMark/>
          </w:tcPr>
          <w:p w14:paraId="2420BD7C" w14:textId="77777777" w:rsidR="00FA6B33" w:rsidRPr="00E26ADF" w:rsidRDefault="00FA6B33" w:rsidP="00FA6B33">
            <w:pPr>
              <w:pStyle w:val="TblTextCenter"/>
              <w:rPr>
                <w:lang w:val="en-AU"/>
              </w:rPr>
            </w:pPr>
            <w:r w:rsidRPr="00E26ADF">
              <w:rPr>
                <w:lang w:val="en-AU"/>
              </w:rPr>
              <w:t>N</w:t>
            </w:r>
          </w:p>
        </w:tc>
        <w:tc>
          <w:tcPr>
            <w:tcW w:w="832" w:type="dxa"/>
            <w:tcBorders>
              <w:top w:val="single" w:sz="4" w:space="0" w:color="auto"/>
              <w:bottom w:val="single" w:sz="4" w:space="0" w:color="auto"/>
            </w:tcBorders>
            <w:shd w:val="clear" w:color="auto" w:fill="auto"/>
            <w:hideMark/>
          </w:tcPr>
          <w:p w14:paraId="1711FE0A"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w:t>
            </w:r>
          </w:p>
          <w:p w14:paraId="284B7DC2" w14:textId="77777777" w:rsidR="00FA6B33" w:rsidRPr="00E26ADF" w:rsidRDefault="00FA6B33" w:rsidP="00FA6B33">
            <w:pPr>
              <w:pStyle w:val="TblTextCenter"/>
              <w:rPr>
                <w:lang w:val="en-AU"/>
              </w:rPr>
            </w:pPr>
            <w:r w:rsidRPr="00E26ADF">
              <w:rPr>
                <w:lang w:val="en-AU"/>
              </w:rPr>
              <w:t>L (%)</w:t>
            </w:r>
          </w:p>
        </w:tc>
        <w:tc>
          <w:tcPr>
            <w:tcW w:w="1073" w:type="dxa"/>
            <w:tcBorders>
              <w:top w:val="single" w:sz="4" w:space="0" w:color="auto"/>
              <w:bottom w:val="single" w:sz="4" w:space="0" w:color="auto"/>
            </w:tcBorders>
            <w:shd w:val="clear" w:color="auto" w:fill="auto"/>
            <w:hideMark/>
          </w:tcPr>
          <w:p w14:paraId="732430D3" w14:textId="77777777" w:rsidR="00FA6B33" w:rsidRPr="00E26ADF" w:rsidRDefault="00FA6B33" w:rsidP="00FA6B33">
            <w:pPr>
              <w:pStyle w:val="TblTextCenter"/>
              <w:rPr>
                <w:lang w:val="en-AU"/>
              </w:rPr>
            </w:pPr>
            <w:r w:rsidRPr="00E26ADF">
              <w:rPr>
                <w:lang w:val="en-AU"/>
              </w:rPr>
              <w:t>LS Mean Difference vs. placebo</w:t>
            </w:r>
          </w:p>
          <w:p w14:paraId="4E71F514" w14:textId="77777777" w:rsidR="00FA6B33" w:rsidRPr="00E26ADF" w:rsidRDefault="00FA6B33" w:rsidP="00FA6B33">
            <w:pPr>
              <w:pStyle w:val="TblTextCenter"/>
              <w:rPr>
                <w:lang w:val="en-AU"/>
              </w:rPr>
            </w:pPr>
            <w:r w:rsidRPr="00E26ADF">
              <w:rPr>
                <w:lang w:val="en-AU"/>
              </w:rPr>
              <w:t>(95% CI)</w:t>
            </w:r>
          </w:p>
        </w:tc>
        <w:tc>
          <w:tcPr>
            <w:tcW w:w="426" w:type="dxa"/>
            <w:tcBorders>
              <w:top w:val="single" w:sz="4" w:space="0" w:color="auto"/>
              <w:bottom w:val="single" w:sz="4" w:space="0" w:color="auto"/>
            </w:tcBorders>
            <w:shd w:val="clear" w:color="auto" w:fill="auto"/>
            <w:hideMark/>
          </w:tcPr>
          <w:p w14:paraId="04D3E5CC" w14:textId="77777777" w:rsidR="00FA6B33" w:rsidRPr="00E26ADF" w:rsidRDefault="00FA6B33" w:rsidP="00FA6B33">
            <w:pPr>
              <w:pStyle w:val="TblTextCenter"/>
              <w:rPr>
                <w:lang w:val="en-AU"/>
              </w:rPr>
            </w:pPr>
            <w:r w:rsidRPr="00E26ADF">
              <w:rPr>
                <w:lang w:val="en-AU"/>
              </w:rPr>
              <w:t>N</w:t>
            </w:r>
          </w:p>
        </w:tc>
        <w:tc>
          <w:tcPr>
            <w:tcW w:w="992" w:type="dxa"/>
            <w:tcBorders>
              <w:top w:val="single" w:sz="4" w:space="0" w:color="auto"/>
              <w:bottom w:val="single" w:sz="4" w:space="0" w:color="auto"/>
            </w:tcBorders>
            <w:shd w:val="clear" w:color="auto" w:fill="auto"/>
            <w:hideMark/>
          </w:tcPr>
          <w:p w14:paraId="50237B4E"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w:t>
            </w:r>
          </w:p>
          <w:p w14:paraId="7C3E4203" w14:textId="77777777" w:rsidR="00FA6B33" w:rsidRPr="00E26ADF" w:rsidRDefault="00FA6B33" w:rsidP="00FA6B33">
            <w:pPr>
              <w:pStyle w:val="TblTextCenter"/>
              <w:rPr>
                <w:lang w:val="en-AU"/>
              </w:rPr>
            </w:pPr>
            <w:r w:rsidRPr="00E26ADF">
              <w:rPr>
                <w:lang w:val="en-AU"/>
              </w:rPr>
              <w:t>L (%)</w:t>
            </w:r>
          </w:p>
        </w:tc>
        <w:tc>
          <w:tcPr>
            <w:tcW w:w="1134" w:type="dxa"/>
            <w:tcBorders>
              <w:top w:val="single" w:sz="4" w:space="0" w:color="auto"/>
              <w:bottom w:val="single" w:sz="4" w:space="0" w:color="auto"/>
            </w:tcBorders>
            <w:shd w:val="clear" w:color="auto" w:fill="auto"/>
            <w:hideMark/>
          </w:tcPr>
          <w:p w14:paraId="7B7775C1" w14:textId="77777777" w:rsidR="00FA6B33" w:rsidRPr="00E26ADF" w:rsidRDefault="00FA6B33" w:rsidP="00FA6B33">
            <w:pPr>
              <w:pStyle w:val="TblTextCenter"/>
              <w:rPr>
                <w:lang w:val="en-AU"/>
              </w:rPr>
            </w:pPr>
            <w:r w:rsidRPr="00E26ADF">
              <w:rPr>
                <w:lang w:val="en-AU"/>
              </w:rPr>
              <w:t xml:space="preserve">LS Mean </w:t>
            </w:r>
          </w:p>
          <w:p w14:paraId="30ED794E" w14:textId="77777777" w:rsidR="00FA6B33" w:rsidRPr="00E26ADF" w:rsidRDefault="00FA6B33" w:rsidP="00FA6B33">
            <w:pPr>
              <w:pStyle w:val="TblTextCenter"/>
              <w:rPr>
                <w:lang w:val="en-AU"/>
              </w:rPr>
            </w:pPr>
            <w:r w:rsidRPr="00E26ADF">
              <w:rPr>
                <w:lang w:val="en-AU"/>
              </w:rPr>
              <w:t>Difference vs. placebo (95% CI)</w:t>
            </w:r>
          </w:p>
        </w:tc>
        <w:tc>
          <w:tcPr>
            <w:tcW w:w="567" w:type="dxa"/>
            <w:tcBorders>
              <w:top w:val="single" w:sz="4" w:space="0" w:color="auto"/>
              <w:bottom w:val="single" w:sz="4" w:space="0" w:color="auto"/>
            </w:tcBorders>
            <w:shd w:val="clear" w:color="auto" w:fill="auto"/>
            <w:hideMark/>
          </w:tcPr>
          <w:p w14:paraId="2153797C" w14:textId="77777777" w:rsidR="00FA6B33" w:rsidRPr="00E26ADF" w:rsidRDefault="00FA6B33" w:rsidP="00FA6B33">
            <w:pPr>
              <w:pStyle w:val="TblTextCenter"/>
              <w:rPr>
                <w:lang w:val="en-AU"/>
              </w:rPr>
            </w:pPr>
            <w:r w:rsidRPr="00E26ADF">
              <w:rPr>
                <w:lang w:val="en-AU"/>
              </w:rPr>
              <w:t>N</w:t>
            </w:r>
          </w:p>
        </w:tc>
        <w:tc>
          <w:tcPr>
            <w:tcW w:w="850" w:type="dxa"/>
            <w:tcBorders>
              <w:top w:val="single" w:sz="4" w:space="0" w:color="auto"/>
              <w:bottom w:val="single" w:sz="4" w:space="0" w:color="auto"/>
            </w:tcBorders>
            <w:shd w:val="clear" w:color="auto" w:fill="auto"/>
            <w:hideMark/>
          </w:tcPr>
          <w:p w14:paraId="1A683CDA" w14:textId="77777777" w:rsidR="00FA6B33" w:rsidRPr="00E26ADF" w:rsidRDefault="00FA6B33" w:rsidP="00FA6B33">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w:t>
            </w:r>
          </w:p>
          <w:p w14:paraId="2BF33084" w14:textId="77777777" w:rsidR="00FA6B33" w:rsidRPr="00E26ADF" w:rsidRDefault="00FA6B33" w:rsidP="00FA6B33">
            <w:pPr>
              <w:pStyle w:val="TblTextCenter"/>
              <w:rPr>
                <w:lang w:val="en-AU"/>
              </w:rPr>
            </w:pPr>
            <w:r w:rsidRPr="00E26ADF">
              <w:rPr>
                <w:lang w:val="en-AU"/>
              </w:rPr>
              <w:t>L (%)</w:t>
            </w:r>
          </w:p>
        </w:tc>
        <w:tc>
          <w:tcPr>
            <w:tcW w:w="1134" w:type="dxa"/>
            <w:tcBorders>
              <w:top w:val="single" w:sz="4" w:space="0" w:color="auto"/>
              <w:bottom w:val="single" w:sz="4" w:space="0" w:color="auto"/>
              <w:right w:val="nil"/>
            </w:tcBorders>
            <w:shd w:val="clear" w:color="auto" w:fill="auto"/>
            <w:hideMark/>
          </w:tcPr>
          <w:p w14:paraId="2B991012" w14:textId="77777777" w:rsidR="00FA6B33" w:rsidRPr="00E26ADF" w:rsidRDefault="00FA6B33" w:rsidP="00FA6B33">
            <w:pPr>
              <w:pStyle w:val="TblTextCenter"/>
              <w:rPr>
                <w:lang w:val="en-AU"/>
              </w:rPr>
            </w:pPr>
            <w:r w:rsidRPr="00E26ADF">
              <w:rPr>
                <w:lang w:val="en-AU"/>
              </w:rPr>
              <w:t xml:space="preserve">LS Mean </w:t>
            </w:r>
          </w:p>
          <w:p w14:paraId="2A0A4D65" w14:textId="77777777" w:rsidR="00FA6B33" w:rsidRPr="00E26ADF" w:rsidRDefault="00FA6B33" w:rsidP="00FA6B33">
            <w:pPr>
              <w:pStyle w:val="TblTextCenter"/>
              <w:rPr>
                <w:lang w:val="en-AU"/>
              </w:rPr>
            </w:pPr>
            <w:r w:rsidRPr="00E26ADF">
              <w:rPr>
                <w:lang w:val="en-AU"/>
              </w:rPr>
              <w:t>Difference vs. placebo (95% CI)</w:t>
            </w:r>
          </w:p>
        </w:tc>
      </w:tr>
      <w:tr w:rsidR="00FA6B33" w:rsidRPr="00E26ADF" w14:paraId="659EBE7A" w14:textId="77777777" w:rsidTr="00F207C2">
        <w:trPr>
          <w:cantSplit/>
          <w:jc w:val="center"/>
        </w:trPr>
        <w:tc>
          <w:tcPr>
            <w:tcW w:w="955" w:type="dxa"/>
            <w:vMerge w:val="restart"/>
            <w:tcBorders>
              <w:top w:val="single" w:sz="4" w:space="0" w:color="auto"/>
              <w:bottom w:val="single" w:sz="4" w:space="0" w:color="auto"/>
            </w:tcBorders>
            <w:shd w:val="clear" w:color="auto" w:fill="auto"/>
            <w:hideMark/>
          </w:tcPr>
          <w:p w14:paraId="2886F7E7" w14:textId="77777777" w:rsidR="00FA6B33" w:rsidRPr="00E26ADF" w:rsidRDefault="00FA6B33" w:rsidP="00FA6B33">
            <w:pPr>
              <w:pStyle w:val="TblTextCenter"/>
              <w:rPr>
                <w:b/>
                <w:lang w:val="en-AU"/>
              </w:rPr>
            </w:pPr>
            <w:r w:rsidRPr="00E26ADF">
              <w:rPr>
                <w:b/>
                <w:lang w:val="en-AU"/>
              </w:rPr>
              <w:t>DRI12544</w:t>
            </w:r>
          </w:p>
        </w:tc>
        <w:tc>
          <w:tcPr>
            <w:tcW w:w="1186" w:type="dxa"/>
            <w:tcBorders>
              <w:top w:val="single" w:sz="4" w:space="0" w:color="auto"/>
              <w:bottom w:val="nil"/>
            </w:tcBorders>
            <w:shd w:val="clear" w:color="auto" w:fill="auto"/>
            <w:hideMark/>
          </w:tcPr>
          <w:p w14:paraId="5CE128F1" w14:textId="77777777" w:rsidR="00FA6B33" w:rsidRPr="00E26ADF" w:rsidRDefault="00FA6B33" w:rsidP="00FA6B33">
            <w:pPr>
              <w:pStyle w:val="TblTextCenter"/>
              <w:jc w:val="left"/>
              <w:rPr>
                <w:lang w:val="en-AU" w:eastAsia="ja-JP"/>
              </w:rPr>
            </w:pPr>
            <w:r w:rsidRPr="00E26ADF">
              <w:rPr>
                <w:lang w:val="en-AU"/>
              </w:rPr>
              <w:t>Dupixent 200 mg Q2W</w:t>
            </w:r>
          </w:p>
        </w:tc>
        <w:tc>
          <w:tcPr>
            <w:tcW w:w="490" w:type="dxa"/>
            <w:tcBorders>
              <w:top w:val="single" w:sz="4" w:space="0" w:color="auto"/>
              <w:bottom w:val="nil"/>
            </w:tcBorders>
            <w:shd w:val="clear" w:color="auto" w:fill="auto"/>
            <w:hideMark/>
          </w:tcPr>
          <w:p w14:paraId="44EC7F17" w14:textId="77777777" w:rsidR="00FA6B33" w:rsidRPr="00E26ADF" w:rsidRDefault="00FA6B33" w:rsidP="00FA6B33">
            <w:pPr>
              <w:pStyle w:val="TblTextCenter"/>
              <w:rPr>
                <w:lang w:val="en-AU"/>
              </w:rPr>
            </w:pPr>
            <w:r w:rsidRPr="00E26ADF">
              <w:rPr>
                <w:lang w:val="en-AU"/>
              </w:rPr>
              <w:t>150</w:t>
            </w:r>
          </w:p>
        </w:tc>
        <w:tc>
          <w:tcPr>
            <w:tcW w:w="832" w:type="dxa"/>
            <w:tcBorders>
              <w:top w:val="single" w:sz="4" w:space="0" w:color="auto"/>
              <w:bottom w:val="nil"/>
            </w:tcBorders>
            <w:shd w:val="clear" w:color="auto" w:fill="auto"/>
            <w:hideMark/>
          </w:tcPr>
          <w:p w14:paraId="3FD47185" w14:textId="77777777" w:rsidR="00FA6B33" w:rsidRPr="00E26ADF" w:rsidRDefault="00FA6B33" w:rsidP="00FA6B33">
            <w:pPr>
              <w:pStyle w:val="TblTextCenter"/>
              <w:rPr>
                <w:lang w:val="en-AU"/>
              </w:rPr>
            </w:pPr>
            <w:r w:rsidRPr="00E26ADF">
              <w:rPr>
                <w:lang w:val="en-AU"/>
              </w:rPr>
              <w:t xml:space="preserve">0.31 (18.0) </w:t>
            </w:r>
          </w:p>
        </w:tc>
        <w:tc>
          <w:tcPr>
            <w:tcW w:w="1073" w:type="dxa"/>
            <w:tcBorders>
              <w:top w:val="single" w:sz="4" w:space="0" w:color="auto"/>
              <w:bottom w:val="nil"/>
            </w:tcBorders>
            <w:shd w:val="clear" w:color="auto" w:fill="auto"/>
            <w:hideMark/>
          </w:tcPr>
          <w:p w14:paraId="5413BED3" w14:textId="77777777" w:rsidR="00FA6B33" w:rsidRPr="00E26ADF" w:rsidRDefault="00FA6B33" w:rsidP="00FA6B33">
            <w:pPr>
              <w:pStyle w:val="TblTextCenter"/>
              <w:rPr>
                <w:lang w:val="en-AU"/>
              </w:rPr>
            </w:pPr>
            <w:r w:rsidRPr="00E26ADF">
              <w:rPr>
                <w:lang w:val="en-AU"/>
              </w:rPr>
              <w:t>0.20</w:t>
            </w:r>
          </w:p>
          <w:p w14:paraId="148C97BF" w14:textId="77777777" w:rsidR="00FA6B33" w:rsidRPr="00E26ADF" w:rsidRDefault="00FA6B33" w:rsidP="00FA6B33">
            <w:pPr>
              <w:pStyle w:val="TblTextCenter"/>
              <w:rPr>
                <w:lang w:val="en-AU"/>
              </w:rPr>
            </w:pPr>
            <w:r w:rsidRPr="00E26ADF">
              <w:rPr>
                <w:lang w:val="en-AU"/>
              </w:rPr>
              <w:t>(0.11, 0.28)</w:t>
            </w:r>
          </w:p>
        </w:tc>
        <w:tc>
          <w:tcPr>
            <w:tcW w:w="426" w:type="dxa"/>
            <w:tcBorders>
              <w:top w:val="single" w:sz="4" w:space="0" w:color="auto"/>
              <w:bottom w:val="nil"/>
            </w:tcBorders>
            <w:shd w:val="clear" w:color="auto" w:fill="auto"/>
            <w:hideMark/>
          </w:tcPr>
          <w:p w14:paraId="70A62DDC" w14:textId="77777777" w:rsidR="00FA6B33" w:rsidRPr="00E26ADF" w:rsidRDefault="00FA6B33" w:rsidP="00FA6B33">
            <w:pPr>
              <w:pStyle w:val="TblTextCenter"/>
              <w:rPr>
                <w:lang w:val="en-AU"/>
              </w:rPr>
            </w:pPr>
            <w:r w:rsidRPr="00E26ADF">
              <w:rPr>
                <w:lang w:val="en-AU"/>
              </w:rPr>
              <w:t>108</w:t>
            </w:r>
          </w:p>
        </w:tc>
        <w:tc>
          <w:tcPr>
            <w:tcW w:w="992" w:type="dxa"/>
            <w:tcBorders>
              <w:top w:val="single" w:sz="4" w:space="0" w:color="auto"/>
              <w:bottom w:val="nil"/>
            </w:tcBorders>
            <w:shd w:val="clear" w:color="auto" w:fill="auto"/>
            <w:hideMark/>
          </w:tcPr>
          <w:p w14:paraId="323A48F5" w14:textId="77777777" w:rsidR="00FA6B33" w:rsidRPr="00E26ADF" w:rsidRDefault="00FA6B33" w:rsidP="00FA6B33">
            <w:pPr>
              <w:pStyle w:val="TblTextCenter"/>
              <w:rPr>
                <w:lang w:val="en-AU"/>
              </w:rPr>
            </w:pPr>
            <w:r w:rsidRPr="00E26ADF">
              <w:rPr>
                <w:lang w:val="en-AU"/>
              </w:rPr>
              <w:t>0.32 (18.25)</w:t>
            </w:r>
          </w:p>
        </w:tc>
        <w:tc>
          <w:tcPr>
            <w:tcW w:w="1134" w:type="dxa"/>
            <w:tcBorders>
              <w:top w:val="single" w:sz="4" w:space="0" w:color="auto"/>
              <w:bottom w:val="nil"/>
            </w:tcBorders>
            <w:shd w:val="clear" w:color="auto" w:fill="auto"/>
            <w:hideMark/>
          </w:tcPr>
          <w:p w14:paraId="010DB88C" w14:textId="77777777" w:rsidR="00FA6B33" w:rsidRPr="00E26ADF" w:rsidRDefault="00FA6B33" w:rsidP="00FA6B33">
            <w:pPr>
              <w:pStyle w:val="TblTextCenter"/>
              <w:rPr>
                <w:lang w:val="en-AU"/>
              </w:rPr>
            </w:pPr>
            <w:r w:rsidRPr="00E26ADF">
              <w:rPr>
                <w:lang w:val="en-AU"/>
              </w:rPr>
              <w:t>0.23</w:t>
            </w:r>
          </w:p>
          <w:p w14:paraId="066D88A9" w14:textId="77777777" w:rsidR="00FA6B33" w:rsidRPr="00E26ADF" w:rsidRDefault="00FA6B33" w:rsidP="00FA6B33">
            <w:pPr>
              <w:pStyle w:val="TblTextCenter"/>
              <w:rPr>
                <w:lang w:val="en-AU"/>
              </w:rPr>
            </w:pPr>
            <w:r w:rsidRPr="00E26ADF">
              <w:rPr>
                <w:lang w:val="en-AU"/>
              </w:rPr>
              <w:t>(0.13, 0.33)</w:t>
            </w:r>
          </w:p>
        </w:tc>
        <w:tc>
          <w:tcPr>
            <w:tcW w:w="567" w:type="dxa"/>
            <w:tcBorders>
              <w:top w:val="single" w:sz="4" w:space="0" w:color="auto"/>
              <w:bottom w:val="nil"/>
            </w:tcBorders>
            <w:shd w:val="clear" w:color="auto" w:fill="auto"/>
            <w:hideMark/>
          </w:tcPr>
          <w:p w14:paraId="33207EE8" w14:textId="77777777" w:rsidR="00FA6B33" w:rsidRPr="00E26ADF" w:rsidRDefault="00FA6B33" w:rsidP="00FA6B33">
            <w:pPr>
              <w:pStyle w:val="TblTextCenter"/>
              <w:rPr>
                <w:lang w:val="en-AU"/>
              </w:rPr>
            </w:pPr>
            <w:r w:rsidRPr="00E26ADF">
              <w:rPr>
                <w:lang w:val="en-AU"/>
              </w:rPr>
              <w:t>65</w:t>
            </w:r>
          </w:p>
        </w:tc>
        <w:tc>
          <w:tcPr>
            <w:tcW w:w="850" w:type="dxa"/>
            <w:tcBorders>
              <w:top w:val="single" w:sz="4" w:space="0" w:color="auto"/>
              <w:bottom w:val="nil"/>
            </w:tcBorders>
            <w:shd w:val="clear" w:color="auto" w:fill="auto"/>
            <w:hideMark/>
          </w:tcPr>
          <w:p w14:paraId="00B16282" w14:textId="77777777" w:rsidR="00FA6B33" w:rsidRPr="00E26ADF" w:rsidRDefault="00FA6B33" w:rsidP="00FA6B33">
            <w:pPr>
              <w:pStyle w:val="TblTextCenter"/>
              <w:rPr>
                <w:lang w:val="en-AU"/>
              </w:rPr>
            </w:pPr>
            <w:r w:rsidRPr="00E26ADF">
              <w:rPr>
                <w:lang w:val="en-AU"/>
              </w:rPr>
              <w:t>0.43 (25.9)</w:t>
            </w:r>
          </w:p>
        </w:tc>
        <w:tc>
          <w:tcPr>
            <w:tcW w:w="1134" w:type="dxa"/>
            <w:tcBorders>
              <w:top w:val="single" w:sz="4" w:space="0" w:color="auto"/>
              <w:bottom w:val="nil"/>
              <w:right w:val="nil"/>
            </w:tcBorders>
            <w:shd w:val="clear" w:color="auto" w:fill="auto"/>
            <w:hideMark/>
          </w:tcPr>
          <w:p w14:paraId="301CCFB6" w14:textId="77777777" w:rsidR="00FA6B33" w:rsidRPr="00E26ADF" w:rsidRDefault="00FA6B33" w:rsidP="00FA6B33">
            <w:pPr>
              <w:pStyle w:val="TblTextCenter"/>
              <w:rPr>
                <w:lang w:val="en-AU"/>
              </w:rPr>
            </w:pPr>
            <w:r w:rsidRPr="00E26ADF">
              <w:rPr>
                <w:lang w:val="en-AU"/>
              </w:rPr>
              <w:t>0.26</w:t>
            </w:r>
          </w:p>
          <w:p w14:paraId="5C5936F8" w14:textId="77777777" w:rsidR="00FA6B33" w:rsidRPr="00E26ADF" w:rsidRDefault="00FA6B33" w:rsidP="00FA6B33">
            <w:pPr>
              <w:pStyle w:val="TblTextCenter"/>
              <w:rPr>
                <w:lang w:val="en-AU"/>
              </w:rPr>
            </w:pPr>
            <w:r w:rsidRPr="00E26ADF">
              <w:rPr>
                <w:lang w:val="en-AU"/>
              </w:rPr>
              <w:t>(0.11, 0.40)</w:t>
            </w:r>
          </w:p>
        </w:tc>
      </w:tr>
      <w:tr w:rsidR="00FA6B33" w:rsidRPr="00E26ADF" w14:paraId="1F06C5A7" w14:textId="77777777" w:rsidTr="00F207C2">
        <w:trPr>
          <w:cantSplit/>
          <w:jc w:val="center"/>
        </w:trPr>
        <w:tc>
          <w:tcPr>
            <w:tcW w:w="955" w:type="dxa"/>
            <w:vMerge/>
            <w:tcBorders>
              <w:top w:val="single" w:sz="4" w:space="0" w:color="auto"/>
              <w:bottom w:val="single" w:sz="4" w:space="0" w:color="auto"/>
            </w:tcBorders>
            <w:shd w:val="clear" w:color="auto" w:fill="auto"/>
            <w:vAlign w:val="center"/>
            <w:hideMark/>
          </w:tcPr>
          <w:p w14:paraId="15FE4E3A" w14:textId="77777777" w:rsidR="00FA6B33" w:rsidRPr="00E26ADF" w:rsidRDefault="00FA6B33" w:rsidP="00FA6B33">
            <w:pPr>
              <w:rPr>
                <w:rFonts w:eastAsia="Times New Roman"/>
                <w:b/>
                <w:color w:val="auto"/>
                <w:sz w:val="20"/>
              </w:rPr>
            </w:pPr>
          </w:p>
        </w:tc>
        <w:tc>
          <w:tcPr>
            <w:tcW w:w="1186" w:type="dxa"/>
            <w:tcBorders>
              <w:top w:val="nil"/>
              <w:bottom w:val="nil"/>
            </w:tcBorders>
            <w:shd w:val="clear" w:color="auto" w:fill="auto"/>
            <w:hideMark/>
          </w:tcPr>
          <w:p w14:paraId="580BBCDE" w14:textId="77777777" w:rsidR="00FA6B33" w:rsidRPr="00E26ADF" w:rsidRDefault="00FA6B33" w:rsidP="00FA6B33">
            <w:pPr>
              <w:pStyle w:val="TblTextCenter"/>
              <w:jc w:val="left"/>
              <w:rPr>
                <w:lang w:val="en-AU" w:eastAsia="ja-JP"/>
              </w:rPr>
            </w:pPr>
            <w:r w:rsidRPr="00E26ADF">
              <w:rPr>
                <w:lang w:val="en-AU"/>
              </w:rPr>
              <w:t>Dupixent 300 mg Q2W</w:t>
            </w:r>
          </w:p>
        </w:tc>
        <w:tc>
          <w:tcPr>
            <w:tcW w:w="490" w:type="dxa"/>
            <w:tcBorders>
              <w:top w:val="nil"/>
              <w:bottom w:val="nil"/>
            </w:tcBorders>
            <w:shd w:val="clear" w:color="auto" w:fill="auto"/>
            <w:hideMark/>
          </w:tcPr>
          <w:p w14:paraId="55597A85" w14:textId="77777777" w:rsidR="00FA6B33" w:rsidRPr="00E26ADF" w:rsidRDefault="00FA6B33" w:rsidP="00FA6B33">
            <w:pPr>
              <w:pStyle w:val="TblTextCenter"/>
              <w:rPr>
                <w:lang w:val="en-AU"/>
              </w:rPr>
            </w:pPr>
            <w:r w:rsidRPr="00E26ADF">
              <w:rPr>
                <w:lang w:val="en-AU"/>
              </w:rPr>
              <w:t>157</w:t>
            </w:r>
          </w:p>
        </w:tc>
        <w:tc>
          <w:tcPr>
            <w:tcW w:w="832" w:type="dxa"/>
            <w:tcBorders>
              <w:top w:val="nil"/>
              <w:bottom w:val="nil"/>
            </w:tcBorders>
            <w:shd w:val="clear" w:color="auto" w:fill="auto"/>
            <w:hideMark/>
          </w:tcPr>
          <w:p w14:paraId="64BE3368" w14:textId="77777777" w:rsidR="00FA6B33" w:rsidRPr="00E26ADF" w:rsidRDefault="00FA6B33" w:rsidP="00FA6B33">
            <w:pPr>
              <w:pStyle w:val="TblTextCenter"/>
              <w:rPr>
                <w:lang w:val="en-AU"/>
              </w:rPr>
            </w:pPr>
            <w:r w:rsidRPr="00E26ADF">
              <w:rPr>
                <w:lang w:val="en-AU"/>
              </w:rPr>
              <w:t xml:space="preserve">0.28 (17.8) </w:t>
            </w:r>
          </w:p>
        </w:tc>
        <w:tc>
          <w:tcPr>
            <w:tcW w:w="1073" w:type="dxa"/>
            <w:tcBorders>
              <w:top w:val="nil"/>
              <w:bottom w:val="nil"/>
            </w:tcBorders>
            <w:shd w:val="clear" w:color="auto" w:fill="auto"/>
            <w:hideMark/>
          </w:tcPr>
          <w:p w14:paraId="6FC6F69E" w14:textId="77777777" w:rsidR="00FA6B33" w:rsidRPr="00E26ADF" w:rsidRDefault="00FA6B33" w:rsidP="00FA6B33">
            <w:pPr>
              <w:pStyle w:val="TblTextCenter"/>
              <w:rPr>
                <w:lang w:val="en-AU"/>
              </w:rPr>
            </w:pPr>
            <w:r w:rsidRPr="00E26ADF">
              <w:rPr>
                <w:lang w:val="en-AU"/>
              </w:rPr>
              <w:t>0.16</w:t>
            </w:r>
          </w:p>
          <w:p w14:paraId="3EF0036F" w14:textId="77777777" w:rsidR="00FA6B33" w:rsidRPr="00E26ADF" w:rsidRDefault="00FA6B33" w:rsidP="00FA6B33">
            <w:pPr>
              <w:pStyle w:val="TblTextCenter"/>
              <w:rPr>
                <w:lang w:val="en-AU"/>
              </w:rPr>
            </w:pPr>
            <w:r w:rsidRPr="00E26ADF">
              <w:rPr>
                <w:lang w:val="en-AU"/>
              </w:rPr>
              <w:t>(0.08, 0.25)</w:t>
            </w:r>
          </w:p>
        </w:tc>
        <w:tc>
          <w:tcPr>
            <w:tcW w:w="426" w:type="dxa"/>
            <w:tcBorders>
              <w:top w:val="nil"/>
              <w:bottom w:val="nil"/>
            </w:tcBorders>
            <w:shd w:val="clear" w:color="auto" w:fill="auto"/>
            <w:hideMark/>
          </w:tcPr>
          <w:p w14:paraId="18C092DE" w14:textId="77777777" w:rsidR="00FA6B33" w:rsidRPr="00E26ADF" w:rsidRDefault="00FA6B33" w:rsidP="00FA6B33">
            <w:pPr>
              <w:pStyle w:val="TblTextCenter"/>
              <w:rPr>
                <w:highlight w:val="yellow"/>
                <w:lang w:val="en-AU"/>
              </w:rPr>
            </w:pPr>
            <w:r w:rsidRPr="00E26ADF">
              <w:rPr>
                <w:lang w:val="en-AU"/>
              </w:rPr>
              <w:t>120</w:t>
            </w:r>
          </w:p>
        </w:tc>
        <w:tc>
          <w:tcPr>
            <w:tcW w:w="992" w:type="dxa"/>
            <w:tcBorders>
              <w:top w:val="nil"/>
              <w:bottom w:val="nil"/>
            </w:tcBorders>
            <w:shd w:val="clear" w:color="auto" w:fill="auto"/>
            <w:hideMark/>
          </w:tcPr>
          <w:p w14:paraId="2ECF0473" w14:textId="77777777" w:rsidR="00FA6B33" w:rsidRPr="00E26ADF" w:rsidRDefault="00FA6B33" w:rsidP="00FA6B33">
            <w:pPr>
              <w:pStyle w:val="TblTextCenter"/>
              <w:rPr>
                <w:lang w:val="en-AU"/>
              </w:rPr>
            </w:pPr>
            <w:r w:rsidRPr="00E26ADF">
              <w:rPr>
                <w:lang w:val="en-AU"/>
              </w:rPr>
              <w:t>0.26 (17.1)</w:t>
            </w:r>
          </w:p>
        </w:tc>
        <w:tc>
          <w:tcPr>
            <w:tcW w:w="1134" w:type="dxa"/>
            <w:tcBorders>
              <w:top w:val="nil"/>
              <w:bottom w:val="nil"/>
            </w:tcBorders>
            <w:shd w:val="clear" w:color="auto" w:fill="auto"/>
            <w:hideMark/>
          </w:tcPr>
          <w:p w14:paraId="56EA7349" w14:textId="77777777" w:rsidR="00FA6B33" w:rsidRPr="00E26ADF" w:rsidRDefault="00FA6B33" w:rsidP="00FA6B33">
            <w:pPr>
              <w:pStyle w:val="TblTextCenter"/>
              <w:rPr>
                <w:lang w:val="en-AU"/>
              </w:rPr>
            </w:pPr>
            <w:r w:rsidRPr="00E26ADF">
              <w:rPr>
                <w:lang w:val="en-AU"/>
              </w:rPr>
              <w:t>0.18</w:t>
            </w:r>
          </w:p>
          <w:p w14:paraId="7B55AA9B" w14:textId="77777777" w:rsidR="00FA6B33" w:rsidRPr="00E26ADF" w:rsidRDefault="00FA6B33" w:rsidP="00FA6B33">
            <w:pPr>
              <w:pStyle w:val="TblTextCenter"/>
              <w:rPr>
                <w:lang w:val="en-AU"/>
              </w:rPr>
            </w:pPr>
            <w:r w:rsidRPr="00E26ADF">
              <w:rPr>
                <w:lang w:val="en-AU"/>
              </w:rPr>
              <w:t>(0.08, 0.27</w:t>
            </w:r>
            <w:r>
              <w:rPr>
                <w:lang w:val="en-AU"/>
              </w:rPr>
              <w:t>)</w:t>
            </w:r>
          </w:p>
        </w:tc>
        <w:tc>
          <w:tcPr>
            <w:tcW w:w="567" w:type="dxa"/>
            <w:tcBorders>
              <w:top w:val="nil"/>
              <w:bottom w:val="nil"/>
            </w:tcBorders>
            <w:shd w:val="clear" w:color="auto" w:fill="auto"/>
            <w:hideMark/>
          </w:tcPr>
          <w:p w14:paraId="207EFC83" w14:textId="77777777" w:rsidR="00FA6B33" w:rsidRPr="00E26ADF" w:rsidRDefault="00FA6B33" w:rsidP="00FA6B33">
            <w:pPr>
              <w:pStyle w:val="TblTextCenter"/>
              <w:rPr>
                <w:lang w:val="en-AU"/>
              </w:rPr>
            </w:pPr>
            <w:r w:rsidRPr="00E26ADF">
              <w:rPr>
                <w:lang w:val="en-AU"/>
              </w:rPr>
              <w:t>64</w:t>
            </w:r>
          </w:p>
        </w:tc>
        <w:tc>
          <w:tcPr>
            <w:tcW w:w="850" w:type="dxa"/>
            <w:tcBorders>
              <w:top w:val="nil"/>
              <w:bottom w:val="nil"/>
            </w:tcBorders>
            <w:shd w:val="clear" w:color="auto" w:fill="auto"/>
            <w:hideMark/>
          </w:tcPr>
          <w:p w14:paraId="42A9FF56" w14:textId="77777777" w:rsidR="00FA6B33" w:rsidRPr="00E26ADF" w:rsidRDefault="00FA6B33" w:rsidP="00FA6B33">
            <w:pPr>
              <w:pStyle w:val="TblTextCenter"/>
              <w:rPr>
                <w:lang w:val="en-AU"/>
              </w:rPr>
            </w:pPr>
            <w:r w:rsidRPr="00E26ADF">
              <w:rPr>
                <w:lang w:val="en-AU"/>
              </w:rPr>
              <w:t>0.39 (25.8)</w:t>
            </w:r>
          </w:p>
          <w:p w14:paraId="0EB5669A" w14:textId="77777777" w:rsidR="00FA6B33" w:rsidRPr="00E26ADF" w:rsidRDefault="00FA6B33" w:rsidP="00FA6B33">
            <w:pPr>
              <w:pStyle w:val="TblTextCenter"/>
              <w:rPr>
                <w:lang w:val="en-AU"/>
              </w:rPr>
            </w:pPr>
            <w:r w:rsidRPr="00E26ADF">
              <w:rPr>
                <w:lang w:val="en-AU"/>
              </w:rPr>
              <w:t xml:space="preserve"> </w:t>
            </w:r>
          </w:p>
        </w:tc>
        <w:tc>
          <w:tcPr>
            <w:tcW w:w="1134" w:type="dxa"/>
            <w:tcBorders>
              <w:top w:val="nil"/>
              <w:bottom w:val="nil"/>
              <w:right w:val="nil"/>
            </w:tcBorders>
            <w:shd w:val="clear" w:color="auto" w:fill="auto"/>
            <w:hideMark/>
          </w:tcPr>
          <w:p w14:paraId="602DEC0C" w14:textId="77777777" w:rsidR="00FA6B33" w:rsidRPr="00E26ADF" w:rsidRDefault="00FA6B33" w:rsidP="00FA6B33">
            <w:pPr>
              <w:pStyle w:val="TblTextCenter"/>
              <w:rPr>
                <w:lang w:val="en-AU"/>
              </w:rPr>
            </w:pPr>
            <w:r w:rsidRPr="00E26ADF">
              <w:rPr>
                <w:lang w:val="en-AU"/>
              </w:rPr>
              <w:t>0.21</w:t>
            </w:r>
          </w:p>
          <w:p w14:paraId="5CC57AD9" w14:textId="77777777" w:rsidR="00FA6B33" w:rsidRPr="00E26ADF" w:rsidRDefault="00FA6B33" w:rsidP="00FA6B33">
            <w:pPr>
              <w:pStyle w:val="TblTextCenter"/>
              <w:rPr>
                <w:lang w:val="en-AU"/>
              </w:rPr>
            </w:pPr>
            <w:r w:rsidRPr="00E26ADF">
              <w:rPr>
                <w:lang w:val="en-AU"/>
              </w:rPr>
              <w:t>(0.06, 0.36)</w:t>
            </w:r>
          </w:p>
        </w:tc>
      </w:tr>
      <w:tr w:rsidR="00FA6B33" w:rsidRPr="00E26ADF" w14:paraId="3CCA1C97" w14:textId="77777777" w:rsidTr="00F207C2">
        <w:trPr>
          <w:cantSplit/>
          <w:jc w:val="center"/>
        </w:trPr>
        <w:tc>
          <w:tcPr>
            <w:tcW w:w="955" w:type="dxa"/>
            <w:vMerge/>
            <w:tcBorders>
              <w:top w:val="single" w:sz="4" w:space="0" w:color="auto"/>
              <w:bottom w:val="single" w:sz="4" w:space="0" w:color="auto"/>
            </w:tcBorders>
            <w:shd w:val="clear" w:color="auto" w:fill="auto"/>
            <w:vAlign w:val="center"/>
            <w:hideMark/>
          </w:tcPr>
          <w:p w14:paraId="61D963F1" w14:textId="77777777" w:rsidR="00FA6B33" w:rsidRPr="00E26ADF" w:rsidRDefault="00FA6B33" w:rsidP="00FA6B33">
            <w:pPr>
              <w:rPr>
                <w:rFonts w:eastAsia="Times New Roman"/>
                <w:b/>
                <w:color w:val="auto"/>
                <w:sz w:val="20"/>
              </w:rPr>
            </w:pPr>
          </w:p>
        </w:tc>
        <w:tc>
          <w:tcPr>
            <w:tcW w:w="1186" w:type="dxa"/>
            <w:tcBorders>
              <w:top w:val="nil"/>
              <w:bottom w:val="single" w:sz="4" w:space="0" w:color="auto"/>
            </w:tcBorders>
            <w:shd w:val="clear" w:color="auto" w:fill="auto"/>
            <w:hideMark/>
          </w:tcPr>
          <w:p w14:paraId="6BDC114E" w14:textId="77777777" w:rsidR="00FA6B33" w:rsidRPr="00E26ADF" w:rsidRDefault="00FA6B33" w:rsidP="00FA6B33">
            <w:pPr>
              <w:pStyle w:val="TblTextCenter"/>
              <w:jc w:val="left"/>
              <w:rPr>
                <w:lang w:val="en-AU" w:eastAsia="ja-JP"/>
              </w:rPr>
            </w:pPr>
            <w:r w:rsidRPr="00E26ADF">
              <w:rPr>
                <w:lang w:val="en-AU"/>
              </w:rPr>
              <w:t xml:space="preserve">Placebo </w:t>
            </w:r>
          </w:p>
        </w:tc>
        <w:tc>
          <w:tcPr>
            <w:tcW w:w="490" w:type="dxa"/>
            <w:tcBorders>
              <w:top w:val="nil"/>
              <w:bottom w:val="single" w:sz="4" w:space="0" w:color="auto"/>
            </w:tcBorders>
            <w:shd w:val="clear" w:color="auto" w:fill="auto"/>
            <w:hideMark/>
          </w:tcPr>
          <w:p w14:paraId="7490C7BB" w14:textId="77777777" w:rsidR="00FA6B33" w:rsidRPr="00E26ADF" w:rsidRDefault="00FA6B33" w:rsidP="00FA6B33">
            <w:pPr>
              <w:pStyle w:val="TblTextCenter"/>
              <w:rPr>
                <w:lang w:val="en-AU"/>
              </w:rPr>
            </w:pPr>
            <w:r w:rsidRPr="00E26ADF">
              <w:rPr>
                <w:lang w:val="en-AU"/>
              </w:rPr>
              <w:t>158</w:t>
            </w:r>
          </w:p>
        </w:tc>
        <w:tc>
          <w:tcPr>
            <w:tcW w:w="832" w:type="dxa"/>
            <w:tcBorders>
              <w:top w:val="nil"/>
              <w:bottom w:val="single" w:sz="4" w:space="0" w:color="auto"/>
            </w:tcBorders>
            <w:shd w:val="clear" w:color="auto" w:fill="auto"/>
            <w:hideMark/>
          </w:tcPr>
          <w:p w14:paraId="714B4E70" w14:textId="77777777" w:rsidR="00FA6B33" w:rsidRPr="00E26ADF" w:rsidRDefault="00FA6B33" w:rsidP="00FA6B33">
            <w:pPr>
              <w:pStyle w:val="TblTextCenter"/>
              <w:rPr>
                <w:lang w:val="en-AU"/>
              </w:rPr>
            </w:pPr>
            <w:r w:rsidRPr="00E26ADF">
              <w:rPr>
                <w:lang w:val="en-AU"/>
              </w:rPr>
              <w:t>0.12 (6.1)</w:t>
            </w:r>
          </w:p>
        </w:tc>
        <w:tc>
          <w:tcPr>
            <w:tcW w:w="1073" w:type="dxa"/>
            <w:tcBorders>
              <w:top w:val="nil"/>
              <w:bottom w:val="single" w:sz="4" w:space="0" w:color="auto"/>
            </w:tcBorders>
            <w:shd w:val="clear" w:color="auto" w:fill="auto"/>
          </w:tcPr>
          <w:p w14:paraId="710D021D" w14:textId="77777777" w:rsidR="00FA6B33" w:rsidRPr="00E26ADF" w:rsidRDefault="00FA6B33" w:rsidP="00FA6B33">
            <w:pPr>
              <w:pStyle w:val="TblTextCenter"/>
              <w:rPr>
                <w:lang w:val="en-AU"/>
              </w:rPr>
            </w:pPr>
          </w:p>
        </w:tc>
        <w:tc>
          <w:tcPr>
            <w:tcW w:w="426" w:type="dxa"/>
            <w:tcBorders>
              <w:top w:val="nil"/>
              <w:bottom w:val="single" w:sz="4" w:space="0" w:color="auto"/>
            </w:tcBorders>
            <w:shd w:val="clear" w:color="auto" w:fill="auto"/>
            <w:hideMark/>
          </w:tcPr>
          <w:p w14:paraId="1B17143D" w14:textId="77777777" w:rsidR="00FA6B33" w:rsidRPr="00E26ADF" w:rsidRDefault="00FA6B33" w:rsidP="00FA6B33">
            <w:pPr>
              <w:pStyle w:val="TblTextCenter"/>
              <w:rPr>
                <w:lang w:val="en-AU"/>
              </w:rPr>
            </w:pPr>
            <w:r w:rsidRPr="00E26ADF">
              <w:rPr>
                <w:lang w:val="en-AU"/>
              </w:rPr>
              <w:t>102</w:t>
            </w:r>
          </w:p>
        </w:tc>
        <w:tc>
          <w:tcPr>
            <w:tcW w:w="992" w:type="dxa"/>
            <w:tcBorders>
              <w:top w:val="nil"/>
              <w:bottom w:val="single" w:sz="4" w:space="0" w:color="auto"/>
            </w:tcBorders>
            <w:shd w:val="clear" w:color="auto" w:fill="auto"/>
            <w:hideMark/>
          </w:tcPr>
          <w:p w14:paraId="5F702BD2" w14:textId="77777777" w:rsidR="00FA6B33" w:rsidRPr="00E26ADF" w:rsidRDefault="00FA6B33" w:rsidP="00FA6B33">
            <w:pPr>
              <w:pStyle w:val="TblTextCenter"/>
              <w:rPr>
                <w:lang w:val="en-AU"/>
              </w:rPr>
            </w:pPr>
            <w:r w:rsidRPr="00E26ADF">
              <w:rPr>
                <w:lang w:val="en-AU"/>
              </w:rPr>
              <w:t>0.09 (4.36)</w:t>
            </w:r>
          </w:p>
        </w:tc>
        <w:tc>
          <w:tcPr>
            <w:tcW w:w="1134" w:type="dxa"/>
            <w:tcBorders>
              <w:top w:val="nil"/>
              <w:bottom w:val="single" w:sz="4" w:space="0" w:color="auto"/>
            </w:tcBorders>
            <w:shd w:val="clear" w:color="auto" w:fill="auto"/>
          </w:tcPr>
          <w:p w14:paraId="6D4DF1F3" w14:textId="77777777" w:rsidR="00FA6B33" w:rsidRPr="00E26ADF" w:rsidRDefault="00FA6B33" w:rsidP="00FA6B33">
            <w:pPr>
              <w:pStyle w:val="TblTextCenter"/>
              <w:rPr>
                <w:lang w:val="en-AU"/>
              </w:rPr>
            </w:pPr>
          </w:p>
        </w:tc>
        <w:tc>
          <w:tcPr>
            <w:tcW w:w="567" w:type="dxa"/>
            <w:tcBorders>
              <w:top w:val="nil"/>
              <w:bottom w:val="single" w:sz="4" w:space="0" w:color="auto"/>
            </w:tcBorders>
            <w:shd w:val="clear" w:color="auto" w:fill="auto"/>
            <w:hideMark/>
          </w:tcPr>
          <w:p w14:paraId="6247EF3C" w14:textId="77777777" w:rsidR="00FA6B33" w:rsidRPr="00E26ADF" w:rsidRDefault="00FA6B33" w:rsidP="00FA6B33">
            <w:pPr>
              <w:pStyle w:val="TblTextCenter"/>
              <w:rPr>
                <w:lang w:val="en-AU"/>
              </w:rPr>
            </w:pPr>
            <w:r w:rsidRPr="00E26ADF">
              <w:rPr>
                <w:lang w:val="en-AU"/>
              </w:rPr>
              <w:t>68</w:t>
            </w:r>
          </w:p>
        </w:tc>
        <w:tc>
          <w:tcPr>
            <w:tcW w:w="850" w:type="dxa"/>
            <w:tcBorders>
              <w:top w:val="nil"/>
              <w:bottom w:val="single" w:sz="4" w:space="0" w:color="auto"/>
            </w:tcBorders>
            <w:shd w:val="clear" w:color="auto" w:fill="auto"/>
            <w:hideMark/>
          </w:tcPr>
          <w:p w14:paraId="7CB1C9A7" w14:textId="77777777" w:rsidR="00FA6B33" w:rsidRPr="00E26ADF" w:rsidRDefault="00FA6B33" w:rsidP="00FA6B33">
            <w:pPr>
              <w:pStyle w:val="TblTextCenter"/>
              <w:rPr>
                <w:lang w:val="en-AU"/>
              </w:rPr>
            </w:pPr>
            <w:r w:rsidRPr="00E26ADF">
              <w:rPr>
                <w:lang w:val="en-AU"/>
              </w:rPr>
              <w:t>0.18 (10.2)</w:t>
            </w:r>
          </w:p>
        </w:tc>
        <w:tc>
          <w:tcPr>
            <w:tcW w:w="1134" w:type="dxa"/>
            <w:tcBorders>
              <w:top w:val="nil"/>
              <w:bottom w:val="single" w:sz="4" w:space="0" w:color="auto"/>
              <w:right w:val="nil"/>
            </w:tcBorders>
            <w:shd w:val="clear" w:color="auto" w:fill="auto"/>
          </w:tcPr>
          <w:p w14:paraId="4B920B58" w14:textId="77777777" w:rsidR="00FA6B33" w:rsidRPr="00E26ADF" w:rsidRDefault="00FA6B33" w:rsidP="00FA6B33">
            <w:pPr>
              <w:pStyle w:val="TblTextCenter"/>
              <w:rPr>
                <w:lang w:val="en-AU"/>
              </w:rPr>
            </w:pPr>
          </w:p>
        </w:tc>
      </w:tr>
      <w:tr w:rsidR="00FA6B33" w:rsidRPr="00E26ADF" w14:paraId="3AC101DC" w14:textId="77777777" w:rsidTr="00F207C2">
        <w:trPr>
          <w:cantSplit/>
          <w:jc w:val="center"/>
        </w:trPr>
        <w:tc>
          <w:tcPr>
            <w:tcW w:w="955" w:type="dxa"/>
            <w:vMerge w:val="restart"/>
            <w:tcBorders>
              <w:top w:val="single" w:sz="4" w:space="0" w:color="auto"/>
              <w:bottom w:val="single" w:sz="4" w:space="0" w:color="auto"/>
            </w:tcBorders>
            <w:shd w:val="clear" w:color="auto" w:fill="auto"/>
            <w:hideMark/>
          </w:tcPr>
          <w:p w14:paraId="30B79CBB" w14:textId="77777777" w:rsidR="00FA6B33" w:rsidRPr="00E26ADF" w:rsidRDefault="00FA6B33" w:rsidP="00FA6B33">
            <w:pPr>
              <w:pStyle w:val="TblTextCenter"/>
              <w:rPr>
                <w:b/>
                <w:lang w:val="en-AU"/>
              </w:rPr>
            </w:pPr>
            <w:r w:rsidRPr="00E26ADF">
              <w:rPr>
                <w:b/>
                <w:lang w:val="en-AU"/>
              </w:rPr>
              <w:t>Quest</w:t>
            </w:r>
          </w:p>
        </w:tc>
        <w:tc>
          <w:tcPr>
            <w:tcW w:w="1186" w:type="dxa"/>
            <w:tcBorders>
              <w:top w:val="single" w:sz="4" w:space="0" w:color="auto"/>
              <w:bottom w:val="nil"/>
            </w:tcBorders>
            <w:shd w:val="clear" w:color="auto" w:fill="auto"/>
            <w:hideMark/>
          </w:tcPr>
          <w:p w14:paraId="0F047D8A" w14:textId="77777777" w:rsidR="00FA6B33" w:rsidRPr="00E26ADF" w:rsidRDefault="00FA6B33" w:rsidP="00FA6B33">
            <w:pPr>
              <w:pStyle w:val="TblTextCenter"/>
              <w:jc w:val="left"/>
              <w:rPr>
                <w:lang w:val="en-AU"/>
              </w:rPr>
            </w:pPr>
            <w:r w:rsidRPr="00E26ADF">
              <w:rPr>
                <w:lang w:val="en-AU"/>
              </w:rPr>
              <w:t>Dupixent 200 mg Q2W</w:t>
            </w:r>
          </w:p>
        </w:tc>
        <w:tc>
          <w:tcPr>
            <w:tcW w:w="490" w:type="dxa"/>
            <w:tcBorders>
              <w:top w:val="single" w:sz="4" w:space="0" w:color="auto"/>
              <w:bottom w:val="nil"/>
            </w:tcBorders>
            <w:shd w:val="clear" w:color="auto" w:fill="auto"/>
            <w:hideMark/>
          </w:tcPr>
          <w:p w14:paraId="3A50D52D" w14:textId="77777777" w:rsidR="00FA6B33" w:rsidRPr="00E26ADF" w:rsidRDefault="00FA6B33" w:rsidP="00FA6B33">
            <w:pPr>
              <w:pStyle w:val="TblTextCenter"/>
              <w:rPr>
                <w:lang w:val="en-AU"/>
              </w:rPr>
            </w:pPr>
            <w:r w:rsidRPr="00E26ADF">
              <w:rPr>
                <w:lang w:val="en-AU"/>
              </w:rPr>
              <w:t>631</w:t>
            </w:r>
          </w:p>
        </w:tc>
        <w:tc>
          <w:tcPr>
            <w:tcW w:w="832" w:type="dxa"/>
            <w:tcBorders>
              <w:top w:val="single" w:sz="4" w:space="0" w:color="auto"/>
              <w:bottom w:val="nil"/>
            </w:tcBorders>
            <w:shd w:val="clear" w:color="auto" w:fill="auto"/>
            <w:hideMark/>
          </w:tcPr>
          <w:p w14:paraId="4A0EE21C" w14:textId="77777777" w:rsidR="00FA6B33" w:rsidRPr="00E26ADF" w:rsidRDefault="00FA6B33" w:rsidP="00FA6B33">
            <w:pPr>
              <w:pStyle w:val="TblTextCenter"/>
              <w:rPr>
                <w:lang w:val="en-AU"/>
              </w:rPr>
            </w:pPr>
            <w:r w:rsidRPr="00E26ADF">
              <w:rPr>
                <w:lang w:val="en-AU"/>
              </w:rPr>
              <w:t>0.32 (21.3)</w:t>
            </w:r>
          </w:p>
        </w:tc>
        <w:tc>
          <w:tcPr>
            <w:tcW w:w="1073" w:type="dxa"/>
            <w:tcBorders>
              <w:top w:val="single" w:sz="4" w:space="0" w:color="auto"/>
              <w:bottom w:val="nil"/>
            </w:tcBorders>
            <w:shd w:val="clear" w:color="auto" w:fill="auto"/>
            <w:hideMark/>
          </w:tcPr>
          <w:p w14:paraId="38051FF1" w14:textId="77777777" w:rsidR="00FA6B33" w:rsidRPr="00E26ADF" w:rsidRDefault="00FA6B33" w:rsidP="00FA6B33">
            <w:pPr>
              <w:pStyle w:val="TblTextCenter"/>
              <w:rPr>
                <w:lang w:val="en-AU"/>
              </w:rPr>
            </w:pPr>
            <w:r w:rsidRPr="00E26ADF">
              <w:rPr>
                <w:lang w:val="en-AU"/>
              </w:rPr>
              <w:t>0.14</w:t>
            </w:r>
          </w:p>
          <w:p w14:paraId="37A73D3D" w14:textId="77777777" w:rsidR="00FA6B33" w:rsidRPr="00E26ADF" w:rsidRDefault="00FA6B33" w:rsidP="00FA6B33">
            <w:pPr>
              <w:pStyle w:val="TblTextCenter"/>
              <w:rPr>
                <w:lang w:val="en-AU"/>
              </w:rPr>
            </w:pPr>
            <w:r w:rsidRPr="00E26ADF">
              <w:rPr>
                <w:lang w:val="en-AU"/>
              </w:rPr>
              <w:t>(0.08, 0.19)</w:t>
            </w:r>
          </w:p>
        </w:tc>
        <w:tc>
          <w:tcPr>
            <w:tcW w:w="426" w:type="dxa"/>
            <w:tcBorders>
              <w:top w:val="single" w:sz="4" w:space="0" w:color="auto"/>
              <w:bottom w:val="nil"/>
            </w:tcBorders>
            <w:shd w:val="clear" w:color="auto" w:fill="auto"/>
            <w:hideMark/>
          </w:tcPr>
          <w:p w14:paraId="25E51B16" w14:textId="77777777" w:rsidR="00FA6B33" w:rsidRPr="00E26ADF" w:rsidRDefault="00FA6B33" w:rsidP="00FA6B33">
            <w:pPr>
              <w:pStyle w:val="TblTextCenter"/>
              <w:rPr>
                <w:lang w:val="en-AU"/>
              </w:rPr>
            </w:pPr>
            <w:r w:rsidRPr="00E26ADF">
              <w:rPr>
                <w:lang w:val="en-AU"/>
              </w:rPr>
              <w:t>425</w:t>
            </w:r>
          </w:p>
        </w:tc>
        <w:tc>
          <w:tcPr>
            <w:tcW w:w="992" w:type="dxa"/>
            <w:tcBorders>
              <w:top w:val="single" w:sz="4" w:space="0" w:color="auto"/>
              <w:bottom w:val="nil"/>
            </w:tcBorders>
            <w:shd w:val="clear" w:color="auto" w:fill="auto"/>
            <w:hideMark/>
          </w:tcPr>
          <w:p w14:paraId="614CF13C" w14:textId="77777777" w:rsidR="00FA6B33" w:rsidRPr="00E26ADF" w:rsidRDefault="00FA6B33" w:rsidP="00FA6B33">
            <w:pPr>
              <w:pStyle w:val="TblTextCenter"/>
              <w:rPr>
                <w:lang w:val="en-AU"/>
              </w:rPr>
            </w:pPr>
            <w:r w:rsidRPr="00E26ADF">
              <w:rPr>
                <w:lang w:val="en-AU"/>
              </w:rPr>
              <w:t>0.36 (23.6)</w:t>
            </w:r>
          </w:p>
        </w:tc>
        <w:tc>
          <w:tcPr>
            <w:tcW w:w="1134" w:type="dxa"/>
            <w:tcBorders>
              <w:top w:val="single" w:sz="4" w:space="0" w:color="auto"/>
              <w:bottom w:val="nil"/>
            </w:tcBorders>
            <w:shd w:val="clear" w:color="auto" w:fill="auto"/>
          </w:tcPr>
          <w:p w14:paraId="5FCF6742" w14:textId="77777777" w:rsidR="00FA6B33" w:rsidRPr="00E26ADF" w:rsidRDefault="00FA6B33" w:rsidP="00FA6B33">
            <w:pPr>
              <w:pStyle w:val="TblTextCenter"/>
              <w:rPr>
                <w:lang w:val="en-AU"/>
              </w:rPr>
            </w:pPr>
            <w:r w:rsidRPr="00E26ADF">
              <w:rPr>
                <w:lang w:val="en-AU"/>
              </w:rPr>
              <w:t>0.17</w:t>
            </w:r>
          </w:p>
          <w:p w14:paraId="32B92E5D" w14:textId="77777777" w:rsidR="00FA6B33" w:rsidRPr="00E26ADF" w:rsidRDefault="00FA6B33" w:rsidP="00FA6B33">
            <w:pPr>
              <w:pStyle w:val="TblTextCenter"/>
              <w:rPr>
                <w:lang w:val="en-AU"/>
              </w:rPr>
            </w:pPr>
            <w:r w:rsidRPr="00E26ADF">
              <w:rPr>
                <w:lang w:val="en-AU"/>
              </w:rPr>
              <w:t>(0.11, 0.23)</w:t>
            </w:r>
          </w:p>
          <w:p w14:paraId="05346208" w14:textId="77777777" w:rsidR="00FA6B33" w:rsidRPr="00E26ADF" w:rsidRDefault="00FA6B33" w:rsidP="00FA6B33">
            <w:pPr>
              <w:pStyle w:val="TblTextCenter"/>
              <w:rPr>
                <w:lang w:val="en-AU"/>
              </w:rPr>
            </w:pPr>
          </w:p>
        </w:tc>
        <w:tc>
          <w:tcPr>
            <w:tcW w:w="567" w:type="dxa"/>
            <w:tcBorders>
              <w:top w:val="single" w:sz="4" w:space="0" w:color="auto"/>
              <w:bottom w:val="nil"/>
            </w:tcBorders>
            <w:shd w:val="clear" w:color="auto" w:fill="auto"/>
            <w:hideMark/>
          </w:tcPr>
          <w:p w14:paraId="45A181E1" w14:textId="77777777" w:rsidR="00FA6B33" w:rsidRPr="00E26ADF" w:rsidRDefault="00FA6B33" w:rsidP="00FA6B33">
            <w:pPr>
              <w:pStyle w:val="TblTextCenter"/>
              <w:rPr>
                <w:lang w:val="en-AU"/>
              </w:rPr>
            </w:pPr>
            <w:r w:rsidRPr="00E26ADF">
              <w:rPr>
                <w:lang w:val="en-AU"/>
              </w:rPr>
              <w:t>264</w:t>
            </w:r>
          </w:p>
        </w:tc>
        <w:tc>
          <w:tcPr>
            <w:tcW w:w="850" w:type="dxa"/>
            <w:tcBorders>
              <w:top w:val="single" w:sz="4" w:space="0" w:color="auto"/>
              <w:bottom w:val="nil"/>
            </w:tcBorders>
            <w:shd w:val="clear" w:color="auto" w:fill="auto"/>
          </w:tcPr>
          <w:p w14:paraId="60007EAF" w14:textId="77777777" w:rsidR="00FA6B33" w:rsidRPr="00E26ADF" w:rsidRDefault="00FA6B33" w:rsidP="00FA6B33">
            <w:pPr>
              <w:pStyle w:val="TblTextCenter"/>
              <w:rPr>
                <w:lang w:val="en-AU"/>
              </w:rPr>
            </w:pPr>
            <w:r w:rsidRPr="00E26ADF">
              <w:rPr>
                <w:lang w:val="en-AU"/>
              </w:rPr>
              <w:t>0.43 (29.0)</w:t>
            </w:r>
          </w:p>
          <w:p w14:paraId="0E08F9A3" w14:textId="77777777" w:rsidR="00FA6B33" w:rsidRPr="00E26ADF" w:rsidRDefault="00FA6B33" w:rsidP="00FA6B33">
            <w:pPr>
              <w:pStyle w:val="TblTextCenter"/>
              <w:rPr>
                <w:lang w:val="en-AU"/>
              </w:rPr>
            </w:pPr>
          </w:p>
        </w:tc>
        <w:tc>
          <w:tcPr>
            <w:tcW w:w="1134" w:type="dxa"/>
            <w:tcBorders>
              <w:top w:val="single" w:sz="4" w:space="0" w:color="auto"/>
              <w:bottom w:val="nil"/>
              <w:right w:val="nil"/>
            </w:tcBorders>
            <w:shd w:val="clear" w:color="auto" w:fill="auto"/>
            <w:hideMark/>
          </w:tcPr>
          <w:p w14:paraId="095D9193" w14:textId="77777777" w:rsidR="00FA6B33" w:rsidRPr="00E26ADF" w:rsidRDefault="00FA6B33" w:rsidP="00FA6B33">
            <w:pPr>
              <w:pStyle w:val="TblTextCenter"/>
              <w:rPr>
                <w:lang w:val="en-AU"/>
              </w:rPr>
            </w:pPr>
            <w:r w:rsidRPr="00E26ADF">
              <w:rPr>
                <w:lang w:val="en-AU"/>
              </w:rPr>
              <w:t>0.21</w:t>
            </w:r>
          </w:p>
          <w:p w14:paraId="65A66015" w14:textId="77777777" w:rsidR="00FA6B33" w:rsidRPr="00E26ADF" w:rsidRDefault="00FA6B33" w:rsidP="00FA6B33">
            <w:pPr>
              <w:pStyle w:val="TblTextCenter"/>
              <w:rPr>
                <w:lang w:val="en-AU"/>
              </w:rPr>
            </w:pPr>
            <w:r w:rsidRPr="00E26ADF">
              <w:rPr>
                <w:lang w:val="en-AU"/>
              </w:rPr>
              <w:t>(0.13, 0.29)</w:t>
            </w:r>
          </w:p>
        </w:tc>
      </w:tr>
      <w:tr w:rsidR="00FA6B33" w:rsidRPr="00E26ADF" w14:paraId="4C92FE7C" w14:textId="77777777" w:rsidTr="00F207C2">
        <w:trPr>
          <w:cantSplit/>
          <w:jc w:val="center"/>
        </w:trPr>
        <w:tc>
          <w:tcPr>
            <w:tcW w:w="955" w:type="dxa"/>
            <w:vMerge/>
            <w:tcBorders>
              <w:top w:val="single" w:sz="4" w:space="0" w:color="auto"/>
              <w:bottom w:val="single" w:sz="4" w:space="0" w:color="auto"/>
            </w:tcBorders>
            <w:shd w:val="clear" w:color="auto" w:fill="auto"/>
            <w:vAlign w:val="center"/>
            <w:hideMark/>
          </w:tcPr>
          <w:p w14:paraId="197134E8" w14:textId="77777777" w:rsidR="00FA6B33" w:rsidRPr="00E26ADF" w:rsidRDefault="00FA6B33" w:rsidP="00FA6B33">
            <w:pPr>
              <w:rPr>
                <w:rFonts w:eastAsia="Times New Roman"/>
                <w:b/>
                <w:color w:val="auto"/>
                <w:sz w:val="20"/>
                <w:vertAlign w:val="superscript"/>
              </w:rPr>
            </w:pPr>
          </w:p>
        </w:tc>
        <w:tc>
          <w:tcPr>
            <w:tcW w:w="1186" w:type="dxa"/>
            <w:tcBorders>
              <w:top w:val="nil"/>
              <w:bottom w:val="nil"/>
            </w:tcBorders>
            <w:shd w:val="clear" w:color="auto" w:fill="auto"/>
            <w:hideMark/>
          </w:tcPr>
          <w:p w14:paraId="270775E9" w14:textId="77777777" w:rsidR="00FA6B33" w:rsidRPr="00E26ADF" w:rsidRDefault="00FA6B33" w:rsidP="00FA6B33">
            <w:pPr>
              <w:pStyle w:val="TblTextCenter"/>
              <w:jc w:val="left"/>
              <w:rPr>
                <w:lang w:val="en-AU"/>
              </w:rPr>
            </w:pPr>
            <w:r w:rsidRPr="00E26ADF">
              <w:rPr>
                <w:lang w:val="en-AU"/>
              </w:rPr>
              <w:t xml:space="preserve">Placebo </w:t>
            </w:r>
          </w:p>
        </w:tc>
        <w:tc>
          <w:tcPr>
            <w:tcW w:w="490" w:type="dxa"/>
            <w:tcBorders>
              <w:top w:val="nil"/>
              <w:bottom w:val="nil"/>
            </w:tcBorders>
            <w:shd w:val="clear" w:color="auto" w:fill="auto"/>
            <w:hideMark/>
          </w:tcPr>
          <w:p w14:paraId="64432603" w14:textId="77777777" w:rsidR="00FA6B33" w:rsidRPr="00E26ADF" w:rsidRDefault="00FA6B33" w:rsidP="00FA6B33">
            <w:pPr>
              <w:pStyle w:val="TblTextCenter"/>
              <w:rPr>
                <w:lang w:val="en-AU"/>
              </w:rPr>
            </w:pPr>
            <w:r w:rsidRPr="00E26ADF">
              <w:rPr>
                <w:lang w:val="en-AU"/>
              </w:rPr>
              <w:t>317</w:t>
            </w:r>
          </w:p>
        </w:tc>
        <w:tc>
          <w:tcPr>
            <w:tcW w:w="832" w:type="dxa"/>
            <w:tcBorders>
              <w:top w:val="nil"/>
              <w:bottom w:val="nil"/>
            </w:tcBorders>
            <w:shd w:val="clear" w:color="auto" w:fill="auto"/>
            <w:hideMark/>
          </w:tcPr>
          <w:p w14:paraId="7F162E08" w14:textId="77777777" w:rsidR="00FA6B33" w:rsidRPr="00E26ADF" w:rsidRDefault="00FA6B33" w:rsidP="00FA6B33">
            <w:pPr>
              <w:pStyle w:val="TblTextCenter"/>
              <w:rPr>
                <w:lang w:val="en-AU"/>
              </w:rPr>
            </w:pPr>
            <w:r w:rsidRPr="00E26ADF">
              <w:rPr>
                <w:lang w:val="en-AU"/>
              </w:rPr>
              <w:t>0.18 (12.1)</w:t>
            </w:r>
          </w:p>
        </w:tc>
        <w:tc>
          <w:tcPr>
            <w:tcW w:w="1073" w:type="dxa"/>
            <w:tcBorders>
              <w:top w:val="nil"/>
              <w:bottom w:val="nil"/>
            </w:tcBorders>
            <w:shd w:val="clear" w:color="auto" w:fill="auto"/>
          </w:tcPr>
          <w:p w14:paraId="10F0ED28" w14:textId="77777777" w:rsidR="00FA6B33" w:rsidRPr="00E26ADF" w:rsidRDefault="00FA6B33" w:rsidP="00FA6B33">
            <w:pPr>
              <w:pStyle w:val="TblTextCenter"/>
              <w:rPr>
                <w:lang w:val="en-AU"/>
              </w:rPr>
            </w:pPr>
          </w:p>
        </w:tc>
        <w:tc>
          <w:tcPr>
            <w:tcW w:w="426" w:type="dxa"/>
            <w:tcBorders>
              <w:top w:val="nil"/>
              <w:bottom w:val="nil"/>
            </w:tcBorders>
            <w:shd w:val="clear" w:color="auto" w:fill="auto"/>
            <w:hideMark/>
          </w:tcPr>
          <w:p w14:paraId="05C6E1F0" w14:textId="77777777" w:rsidR="00FA6B33" w:rsidRPr="00E26ADF" w:rsidRDefault="00FA6B33" w:rsidP="00FA6B33">
            <w:pPr>
              <w:pStyle w:val="TblTextCenter"/>
              <w:rPr>
                <w:lang w:val="en-AU"/>
              </w:rPr>
            </w:pPr>
            <w:r w:rsidRPr="00E26ADF">
              <w:rPr>
                <w:lang w:val="en-AU"/>
              </w:rPr>
              <w:t>224</w:t>
            </w:r>
          </w:p>
        </w:tc>
        <w:tc>
          <w:tcPr>
            <w:tcW w:w="992" w:type="dxa"/>
            <w:tcBorders>
              <w:top w:val="nil"/>
              <w:bottom w:val="nil"/>
            </w:tcBorders>
            <w:shd w:val="clear" w:color="auto" w:fill="auto"/>
            <w:hideMark/>
          </w:tcPr>
          <w:p w14:paraId="39D675D3" w14:textId="77777777" w:rsidR="00FA6B33" w:rsidRPr="00E26ADF" w:rsidRDefault="00FA6B33" w:rsidP="00FA6B33">
            <w:pPr>
              <w:pStyle w:val="TblTextCenter"/>
              <w:rPr>
                <w:lang w:val="en-AU"/>
              </w:rPr>
            </w:pPr>
            <w:r w:rsidRPr="00E26ADF">
              <w:rPr>
                <w:lang w:val="en-AU"/>
              </w:rPr>
              <w:t>0.18 (12.4)</w:t>
            </w:r>
          </w:p>
        </w:tc>
        <w:tc>
          <w:tcPr>
            <w:tcW w:w="1134" w:type="dxa"/>
            <w:tcBorders>
              <w:top w:val="nil"/>
              <w:bottom w:val="nil"/>
            </w:tcBorders>
            <w:shd w:val="clear" w:color="auto" w:fill="auto"/>
          </w:tcPr>
          <w:p w14:paraId="7372FDFC" w14:textId="77777777" w:rsidR="00FA6B33" w:rsidRPr="00E26ADF" w:rsidRDefault="00FA6B33" w:rsidP="00FA6B33">
            <w:pPr>
              <w:pStyle w:val="TblTextCenter"/>
              <w:rPr>
                <w:lang w:val="en-AU"/>
              </w:rPr>
            </w:pPr>
          </w:p>
        </w:tc>
        <w:tc>
          <w:tcPr>
            <w:tcW w:w="567" w:type="dxa"/>
            <w:tcBorders>
              <w:top w:val="nil"/>
              <w:bottom w:val="nil"/>
            </w:tcBorders>
            <w:shd w:val="clear" w:color="auto" w:fill="auto"/>
            <w:hideMark/>
          </w:tcPr>
          <w:p w14:paraId="1D86A0B0" w14:textId="77777777" w:rsidR="00FA6B33" w:rsidRPr="00E26ADF" w:rsidRDefault="00FA6B33" w:rsidP="00FA6B33">
            <w:pPr>
              <w:pStyle w:val="TblTextCenter"/>
              <w:rPr>
                <w:lang w:val="en-AU"/>
              </w:rPr>
            </w:pPr>
            <w:r w:rsidRPr="00E26ADF">
              <w:rPr>
                <w:lang w:val="en-AU"/>
              </w:rPr>
              <w:t>148</w:t>
            </w:r>
          </w:p>
        </w:tc>
        <w:tc>
          <w:tcPr>
            <w:tcW w:w="850" w:type="dxa"/>
            <w:tcBorders>
              <w:top w:val="nil"/>
              <w:bottom w:val="nil"/>
            </w:tcBorders>
            <w:shd w:val="clear" w:color="auto" w:fill="auto"/>
            <w:hideMark/>
          </w:tcPr>
          <w:p w14:paraId="50CF4864" w14:textId="77777777" w:rsidR="00FA6B33" w:rsidRPr="00E26ADF" w:rsidRDefault="00FA6B33" w:rsidP="00FA6B33">
            <w:pPr>
              <w:pStyle w:val="TblTextCenter"/>
              <w:rPr>
                <w:lang w:val="en-AU"/>
              </w:rPr>
            </w:pPr>
            <w:r w:rsidRPr="00E26ADF">
              <w:rPr>
                <w:lang w:val="en-AU"/>
              </w:rPr>
              <w:t>0.21 (15.6)</w:t>
            </w:r>
          </w:p>
        </w:tc>
        <w:tc>
          <w:tcPr>
            <w:tcW w:w="1134" w:type="dxa"/>
            <w:tcBorders>
              <w:top w:val="nil"/>
              <w:bottom w:val="nil"/>
              <w:right w:val="nil"/>
            </w:tcBorders>
            <w:shd w:val="clear" w:color="auto" w:fill="auto"/>
          </w:tcPr>
          <w:p w14:paraId="3B1916F8" w14:textId="77777777" w:rsidR="00FA6B33" w:rsidRPr="00E26ADF" w:rsidRDefault="00FA6B33" w:rsidP="00FA6B33">
            <w:pPr>
              <w:pStyle w:val="TblTextCenter"/>
              <w:rPr>
                <w:lang w:val="en-AU"/>
              </w:rPr>
            </w:pPr>
          </w:p>
        </w:tc>
      </w:tr>
      <w:tr w:rsidR="00FA6B33" w:rsidRPr="00E26ADF" w14:paraId="4EE60085" w14:textId="77777777" w:rsidTr="00F207C2">
        <w:trPr>
          <w:cantSplit/>
          <w:jc w:val="center"/>
        </w:trPr>
        <w:tc>
          <w:tcPr>
            <w:tcW w:w="955" w:type="dxa"/>
            <w:vMerge/>
            <w:tcBorders>
              <w:top w:val="single" w:sz="4" w:space="0" w:color="auto"/>
              <w:bottom w:val="single" w:sz="4" w:space="0" w:color="auto"/>
            </w:tcBorders>
            <w:shd w:val="clear" w:color="auto" w:fill="auto"/>
            <w:vAlign w:val="center"/>
            <w:hideMark/>
          </w:tcPr>
          <w:p w14:paraId="3E39C572" w14:textId="77777777" w:rsidR="00FA6B33" w:rsidRPr="00E26ADF" w:rsidRDefault="00FA6B33" w:rsidP="00FA6B33">
            <w:pPr>
              <w:rPr>
                <w:rFonts w:eastAsia="Times New Roman"/>
                <w:b/>
                <w:color w:val="auto"/>
                <w:sz w:val="20"/>
                <w:vertAlign w:val="superscript"/>
              </w:rPr>
            </w:pPr>
          </w:p>
        </w:tc>
        <w:tc>
          <w:tcPr>
            <w:tcW w:w="1186" w:type="dxa"/>
            <w:tcBorders>
              <w:top w:val="nil"/>
              <w:bottom w:val="nil"/>
            </w:tcBorders>
            <w:shd w:val="clear" w:color="auto" w:fill="auto"/>
            <w:hideMark/>
          </w:tcPr>
          <w:p w14:paraId="49587D8E" w14:textId="77777777" w:rsidR="00FA6B33" w:rsidRPr="00E26ADF" w:rsidRDefault="00FA6B33" w:rsidP="00FA6B33">
            <w:pPr>
              <w:pStyle w:val="TblTextCenter"/>
              <w:jc w:val="left"/>
              <w:rPr>
                <w:lang w:val="en-AU"/>
              </w:rPr>
            </w:pPr>
            <w:r w:rsidRPr="00E26ADF">
              <w:rPr>
                <w:lang w:val="en-AU"/>
              </w:rPr>
              <w:t>Dupixent 300 mg Q2W</w:t>
            </w:r>
          </w:p>
        </w:tc>
        <w:tc>
          <w:tcPr>
            <w:tcW w:w="490" w:type="dxa"/>
            <w:tcBorders>
              <w:top w:val="nil"/>
              <w:bottom w:val="nil"/>
            </w:tcBorders>
            <w:shd w:val="clear" w:color="auto" w:fill="auto"/>
            <w:hideMark/>
          </w:tcPr>
          <w:p w14:paraId="62D593F0" w14:textId="77777777" w:rsidR="00FA6B33" w:rsidRPr="00E26ADF" w:rsidRDefault="00FA6B33" w:rsidP="00FA6B33">
            <w:pPr>
              <w:pStyle w:val="TblTextCenter"/>
              <w:rPr>
                <w:lang w:val="en-AU"/>
              </w:rPr>
            </w:pPr>
            <w:r w:rsidRPr="00E26ADF">
              <w:rPr>
                <w:lang w:val="en-AU"/>
              </w:rPr>
              <w:t>633</w:t>
            </w:r>
          </w:p>
        </w:tc>
        <w:tc>
          <w:tcPr>
            <w:tcW w:w="832" w:type="dxa"/>
            <w:tcBorders>
              <w:top w:val="nil"/>
              <w:bottom w:val="nil"/>
            </w:tcBorders>
            <w:shd w:val="clear" w:color="auto" w:fill="auto"/>
            <w:hideMark/>
          </w:tcPr>
          <w:p w14:paraId="369958D9" w14:textId="77777777" w:rsidR="00FA6B33" w:rsidRPr="00E26ADF" w:rsidRDefault="00FA6B33" w:rsidP="00FA6B33">
            <w:pPr>
              <w:pStyle w:val="TblTextCenter"/>
              <w:rPr>
                <w:lang w:val="en-AU"/>
              </w:rPr>
            </w:pPr>
            <w:r w:rsidRPr="00E26ADF">
              <w:rPr>
                <w:lang w:val="en-AU"/>
              </w:rPr>
              <w:t>0.34 (23.1)</w:t>
            </w:r>
          </w:p>
        </w:tc>
        <w:tc>
          <w:tcPr>
            <w:tcW w:w="1073" w:type="dxa"/>
            <w:tcBorders>
              <w:top w:val="nil"/>
              <w:bottom w:val="nil"/>
            </w:tcBorders>
            <w:shd w:val="clear" w:color="auto" w:fill="auto"/>
            <w:hideMark/>
          </w:tcPr>
          <w:p w14:paraId="33F23D92" w14:textId="77777777" w:rsidR="00FA6B33" w:rsidRPr="00E26ADF" w:rsidRDefault="00FA6B33" w:rsidP="00FA6B33">
            <w:pPr>
              <w:pStyle w:val="TblTextCenter"/>
              <w:rPr>
                <w:lang w:val="en-AU"/>
              </w:rPr>
            </w:pPr>
            <w:r w:rsidRPr="00E26ADF">
              <w:rPr>
                <w:lang w:val="en-AU"/>
              </w:rPr>
              <w:t>0.13</w:t>
            </w:r>
          </w:p>
          <w:p w14:paraId="6F30E17A" w14:textId="77777777" w:rsidR="00FA6B33" w:rsidRPr="00E26ADF" w:rsidRDefault="00FA6B33" w:rsidP="00FA6B33">
            <w:pPr>
              <w:pStyle w:val="TblTextCenter"/>
              <w:rPr>
                <w:lang w:val="en-AU"/>
              </w:rPr>
            </w:pPr>
            <w:r w:rsidRPr="00E26ADF">
              <w:rPr>
                <w:lang w:val="en-AU"/>
              </w:rPr>
              <w:t>(0.08, 0.18)</w:t>
            </w:r>
          </w:p>
        </w:tc>
        <w:tc>
          <w:tcPr>
            <w:tcW w:w="426" w:type="dxa"/>
            <w:tcBorders>
              <w:top w:val="nil"/>
              <w:bottom w:val="nil"/>
            </w:tcBorders>
            <w:shd w:val="clear" w:color="auto" w:fill="auto"/>
            <w:hideMark/>
          </w:tcPr>
          <w:p w14:paraId="4147048C" w14:textId="77777777" w:rsidR="00FA6B33" w:rsidRPr="00E26ADF" w:rsidRDefault="00FA6B33" w:rsidP="00FA6B33">
            <w:pPr>
              <w:pStyle w:val="TblTextCenter"/>
              <w:rPr>
                <w:lang w:val="en-AU"/>
              </w:rPr>
            </w:pPr>
            <w:r w:rsidRPr="00E26ADF">
              <w:rPr>
                <w:lang w:val="en-AU"/>
              </w:rPr>
              <w:t>434</w:t>
            </w:r>
          </w:p>
        </w:tc>
        <w:tc>
          <w:tcPr>
            <w:tcW w:w="992" w:type="dxa"/>
            <w:tcBorders>
              <w:top w:val="nil"/>
              <w:bottom w:val="nil"/>
            </w:tcBorders>
            <w:shd w:val="clear" w:color="auto" w:fill="auto"/>
            <w:hideMark/>
          </w:tcPr>
          <w:p w14:paraId="5C86592E" w14:textId="77777777" w:rsidR="00FA6B33" w:rsidRPr="00E26ADF" w:rsidRDefault="00FA6B33" w:rsidP="00FA6B33">
            <w:pPr>
              <w:pStyle w:val="TblTextCenter"/>
              <w:rPr>
                <w:lang w:val="en-AU"/>
              </w:rPr>
            </w:pPr>
            <w:r w:rsidRPr="00E26ADF">
              <w:rPr>
                <w:lang w:val="en-AU"/>
              </w:rPr>
              <w:t>0.37 (25.3)</w:t>
            </w:r>
          </w:p>
        </w:tc>
        <w:tc>
          <w:tcPr>
            <w:tcW w:w="1134" w:type="dxa"/>
            <w:tcBorders>
              <w:top w:val="nil"/>
              <w:bottom w:val="nil"/>
            </w:tcBorders>
            <w:shd w:val="clear" w:color="auto" w:fill="auto"/>
            <w:hideMark/>
          </w:tcPr>
          <w:p w14:paraId="29183040" w14:textId="77777777" w:rsidR="00FA6B33" w:rsidRPr="00E26ADF" w:rsidRDefault="00FA6B33" w:rsidP="00FA6B33">
            <w:pPr>
              <w:pStyle w:val="TblTextCenter"/>
              <w:rPr>
                <w:lang w:val="en-AU"/>
              </w:rPr>
            </w:pPr>
            <w:r w:rsidRPr="00E26ADF">
              <w:rPr>
                <w:lang w:val="en-AU"/>
              </w:rPr>
              <w:t>0.15</w:t>
            </w:r>
          </w:p>
          <w:p w14:paraId="1FFFC85D" w14:textId="77777777" w:rsidR="00FA6B33" w:rsidRPr="00E26ADF" w:rsidRDefault="00FA6B33" w:rsidP="00FA6B33">
            <w:pPr>
              <w:pStyle w:val="TblTextCenter"/>
              <w:rPr>
                <w:lang w:val="en-AU"/>
              </w:rPr>
            </w:pPr>
            <w:r w:rsidRPr="00E26ADF">
              <w:rPr>
                <w:lang w:val="en-AU"/>
              </w:rPr>
              <w:t>(0.09, 0.21)</w:t>
            </w:r>
          </w:p>
        </w:tc>
        <w:tc>
          <w:tcPr>
            <w:tcW w:w="567" w:type="dxa"/>
            <w:tcBorders>
              <w:top w:val="nil"/>
              <w:bottom w:val="nil"/>
            </w:tcBorders>
            <w:shd w:val="clear" w:color="auto" w:fill="auto"/>
            <w:hideMark/>
          </w:tcPr>
          <w:p w14:paraId="32B66BB5" w14:textId="77777777" w:rsidR="00FA6B33" w:rsidRPr="00E26ADF" w:rsidRDefault="00FA6B33" w:rsidP="00FA6B33">
            <w:pPr>
              <w:pStyle w:val="TblTextCenter"/>
              <w:rPr>
                <w:lang w:val="en-AU"/>
              </w:rPr>
            </w:pPr>
            <w:r w:rsidRPr="00E26ADF">
              <w:rPr>
                <w:lang w:val="en-AU"/>
              </w:rPr>
              <w:t>277</w:t>
            </w:r>
          </w:p>
        </w:tc>
        <w:tc>
          <w:tcPr>
            <w:tcW w:w="850" w:type="dxa"/>
            <w:tcBorders>
              <w:top w:val="nil"/>
              <w:bottom w:val="nil"/>
            </w:tcBorders>
            <w:shd w:val="clear" w:color="auto" w:fill="auto"/>
          </w:tcPr>
          <w:p w14:paraId="1B4EC304" w14:textId="77777777" w:rsidR="00FA6B33" w:rsidRPr="00E26ADF" w:rsidRDefault="00FA6B33" w:rsidP="00FA6B33">
            <w:pPr>
              <w:pStyle w:val="TblTextCenter"/>
              <w:rPr>
                <w:lang w:val="en-AU"/>
              </w:rPr>
            </w:pPr>
            <w:r w:rsidRPr="00E26ADF">
              <w:rPr>
                <w:lang w:val="en-AU"/>
              </w:rPr>
              <w:t xml:space="preserve">0.47 (32.5) </w:t>
            </w:r>
          </w:p>
          <w:p w14:paraId="379C3623" w14:textId="77777777" w:rsidR="00FA6B33" w:rsidRPr="00E26ADF" w:rsidRDefault="00FA6B33" w:rsidP="00FA6B33">
            <w:pPr>
              <w:pStyle w:val="TblTextCenter"/>
              <w:rPr>
                <w:lang w:val="en-AU"/>
              </w:rPr>
            </w:pPr>
          </w:p>
        </w:tc>
        <w:tc>
          <w:tcPr>
            <w:tcW w:w="1134" w:type="dxa"/>
            <w:tcBorders>
              <w:top w:val="nil"/>
              <w:bottom w:val="nil"/>
              <w:right w:val="nil"/>
            </w:tcBorders>
            <w:shd w:val="clear" w:color="auto" w:fill="auto"/>
            <w:hideMark/>
          </w:tcPr>
          <w:p w14:paraId="7ED5B3B4" w14:textId="77777777" w:rsidR="00FA6B33" w:rsidRPr="00E26ADF" w:rsidRDefault="00FA6B33" w:rsidP="00FA6B33">
            <w:pPr>
              <w:pStyle w:val="TblTextCenter"/>
              <w:rPr>
                <w:lang w:val="en-AU"/>
              </w:rPr>
            </w:pPr>
            <w:r w:rsidRPr="00E26ADF">
              <w:rPr>
                <w:lang w:val="en-AU"/>
              </w:rPr>
              <w:t>0.24</w:t>
            </w:r>
          </w:p>
          <w:p w14:paraId="675BFC2C" w14:textId="77777777" w:rsidR="00FA6B33" w:rsidRPr="00E26ADF" w:rsidRDefault="00FA6B33" w:rsidP="00FA6B33">
            <w:pPr>
              <w:pStyle w:val="TblTextCenter"/>
              <w:rPr>
                <w:lang w:val="en-AU"/>
              </w:rPr>
            </w:pPr>
            <w:r w:rsidRPr="00E26ADF">
              <w:rPr>
                <w:lang w:val="en-AU"/>
              </w:rPr>
              <w:t>(0.16, 0.32)</w:t>
            </w:r>
          </w:p>
        </w:tc>
      </w:tr>
      <w:tr w:rsidR="00FA6B33" w:rsidRPr="00E26ADF" w14:paraId="5399856C" w14:textId="77777777" w:rsidTr="00F207C2">
        <w:trPr>
          <w:cantSplit/>
          <w:trHeight w:val="287"/>
          <w:jc w:val="center"/>
        </w:trPr>
        <w:tc>
          <w:tcPr>
            <w:tcW w:w="955" w:type="dxa"/>
            <w:vMerge/>
            <w:tcBorders>
              <w:top w:val="single" w:sz="4" w:space="0" w:color="auto"/>
              <w:bottom w:val="single" w:sz="4" w:space="0" w:color="auto"/>
            </w:tcBorders>
            <w:shd w:val="clear" w:color="auto" w:fill="auto"/>
            <w:vAlign w:val="center"/>
            <w:hideMark/>
          </w:tcPr>
          <w:p w14:paraId="68AED4AB" w14:textId="77777777" w:rsidR="00FA6B33" w:rsidRPr="00E26ADF" w:rsidRDefault="00FA6B33" w:rsidP="00FA6B33">
            <w:pPr>
              <w:rPr>
                <w:rFonts w:eastAsia="Times New Roman"/>
                <w:b/>
                <w:color w:val="auto"/>
                <w:sz w:val="20"/>
                <w:vertAlign w:val="superscript"/>
              </w:rPr>
            </w:pPr>
          </w:p>
        </w:tc>
        <w:tc>
          <w:tcPr>
            <w:tcW w:w="1186" w:type="dxa"/>
            <w:tcBorders>
              <w:top w:val="nil"/>
              <w:bottom w:val="single" w:sz="4" w:space="0" w:color="auto"/>
            </w:tcBorders>
            <w:shd w:val="clear" w:color="auto" w:fill="auto"/>
            <w:hideMark/>
          </w:tcPr>
          <w:p w14:paraId="1621829C" w14:textId="77777777" w:rsidR="00FA6B33" w:rsidRPr="00E26ADF" w:rsidRDefault="00FA6B33" w:rsidP="00FA6B33">
            <w:pPr>
              <w:pStyle w:val="TblTextCenter"/>
              <w:jc w:val="left"/>
              <w:rPr>
                <w:lang w:val="en-AU"/>
              </w:rPr>
            </w:pPr>
            <w:r w:rsidRPr="00E26ADF">
              <w:rPr>
                <w:lang w:val="en-AU"/>
              </w:rPr>
              <w:t>Placebo</w:t>
            </w:r>
          </w:p>
        </w:tc>
        <w:tc>
          <w:tcPr>
            <w:tcW w:w="490" w:type="dxa"/>
            <w:tcBorders>
              <w:top w:val="nil"/>
              <w:bottom w:val="single" w:sz="4" w:space="0" w:color="auto"/>
            </w:tcBorders>
            <w:shd w:val="clear" w:color="auto" w:fill="auto"/>
            <w:hideMark/>
          </w:tcPr>
          <w:p w14:paraId="1E9C5006" w14:textId="77777777" w:rsidR="00FA6B33" w:rsidRPr="00E26ADF" w:rsidRDefault="00FA6B33" w:rsidP="00FA6B33">
            <w:pPr>
              <w:pStyle w:val="TblTextCenter"/>
              <w:rPr>
                <w:lang w:val="en-AU"/>
              </w:rPr>
            </w:pPr>
            <w:r w:rsidRPr="00E26ADF">
              <w:rPr>
                <w:lang w:val="en-AU"/>
              </w:rPr>
              <w:t>321</w:t>
            </w:r>
          </w:p>
        </w:tc>
        <w:tc>
          <w:tcPr>
            <w:tcW w:w="832" w:type="dxa"/>
            <w:tcBorders>
              <w:top w:val="nil"/>
              <w:bottom w:val="single" w:sz="4" w:space="0" w:color="auto"/>
            </w:tcBorders>
            <w:shd w:val="clear" w:color="auto" w:fill="auto"/>
            <w:hideMark/>
          </w:tcPr>
          <w:p w14:paraId="6DB6B63E" w14:textId="77777777" w:rsidR="00FA6B33" w:rsidRPr="00E26ADF" w:rsidRDefault="00FA6B33" w:rsidP="00FA6B33">
            <w:pPr>
              <w:pStyle w:val="TblTextCenter"/>
              <w:rPr>
                <w:lang w:val="en-AU"/>
              </w:rPr>
            </w:pPr>
            <w:r w:rsidRPr="00E26ADF">
              <w:rPr>
                <w:lang w:val="en-AU"/>
              </w:rPr>
              <w:t>0.21 (13.7)</w:t>
            </w:r>
          </w:p>
        </w:tc>
        <w:tc>
          <w:tcPr>
            <w:tcW w:w="1073" w:type="dxa"/>
            <w:tcBorders>
              <w:top w:val="nil"/>
              <w:bottom w:val="single" w:sz="4" w:space="0" w:color="auto"/>
            </w:tcBorders>
            <w:shd w:val="clear" w:color="auto" w:fill="auto"/>
          </w:tcPr>
          <w:p w14:paraId="157A4DFB" w14:textId="77777777" w:rsidR="00FA6B33" w:rsidRPr="00E26ADF" w:rsidRDefault="00FA6B33" w:rsidP="00FA6B33">
            <w:pPr>
              <w:pStyle w:val="TblTextCenter"/>
              <w:rPr>
                <w:lang w:val="en-AU"/>
              </w:rPr>
            </w:pPr>
          </w:p>
        </w:tc>
        <w:tc>
          <w:tcPr>
            <w:tcW w:w="426" w:type="dxa"/>
            <w:tcBorders>
              <w:top w:val="nil"/>
              <w:bottom w:val="single" w:sz="4" w:space="0" w:color="auto"/>
            </w:tcBorders>
            <w:shd w:val="clear" w:color="auto" w:fill="auto"/>
            <w:hideMark/>
          </w:tcPr>
          <w:p w14:paraId="100E4791" w14:textId="77777777" w:rsidR="00FA6B33" w:rsidRPr="00E26ADF" w:rsidRDefault="00FA6B33" w:rsidP="00FA6B33">
            <w:pPr>
              <w:pStyle w:val="TblTextCenter"/>
              <w:rPr>
                <w:lang w:val="en-AU"/>
              </w:rPr>
            </w:pPr>
            <w:r w:rsidRPr="00E26ADF">
              <w:rPr>
                <w:lang w:val="en-AU"/>
              </w:rPr>
              <w:t>229</w:t>
            </w:r>
          </w:p>
        </w:tc>
        <w:tc>
          <w:tcPr>
            <w:tcW w:w="992" w:type="dxa"/>
            <w:tcBorders>
              <w:top w:val="nil"/>
              <w:bottom w:val="single" w:sz="4" w:space="0" w:color="auto"/>
            </w:tcBorders>
            <w:shd w:val="clear" w:color="auto" w:fill="auto"/>
            <w:hideMark/>
          </w:tcPr>
          <w:p w14:paraId="0EDC2DB1" w14:textId="77777777" w:rsidR="00FA6B33" w:rsidRPr="00E26ADF" w:rsidRDefault="00FA6B33" w:rsidP="00FA6B33">
            <w:pPr>
              <w:pStyle w:val="TblTextCenter"/>
              <w:rPr>
                <w:lang w:val="en-AU"/>
              </w:rPr>
            </w:pPr>
            <w:r w:rsidRPr="00E26ADF">
              <w:rPr>
                <w:lang w:val="en-AU"/>
              </w:rPr>
              <w:t>0.22 (14.2)</w:t>
            </w:r>
          </w:p>
        </w:tc>
        <w:tc>
          <w:tcPr>
            <w:tcW w:w="1134" w:type="dxa"/>
            <w:tcBorders>
              <w:top w:val="nil"/>
              <w:bottom w:val="single" w:sz="4" w:space="0" w:color="auto"/>
            </w:tcBorders>
            <w:shd w:val="clear" w:color="auto" w:fill="auto"/>
          </w:tcPr>
          <w:p w14:paraId="2FD192A1" w14:textId="77777777" w:rsidR="00FA6B33" w:rsidRPr="00E26ADF" w:rsidRDefault="00FA6B33" w:rsidP="00FA6B33">
            <w:pPr>
              <w:pStyle w:val="TblTextCenter"/>
              <w:rPr>
                <w:lang w:val="en-AU"/>
              </w:rPr>
            </w:pPr>
          </w:p>
        </w:tc>
        <w:tc>
          <w:tcPr>
            <w:tcW w:w="567" w:type="dxa"/>
            <w:tcBorders>
              <w:top w:val="nil"/>
              <w:bottom w:val="single" w:sz="4" w:space="0" w:color="auto"/>
            </w:tcBorders>
            <w:shd w:val="clear" w:color="auto" w:fill="auto"/>
            <w:hideMark/>
          </w:tcPr>
          <w:p w14:paraId="15F2EE3A" w14:textId="77777777" w:rsidR="00FA6B33" w:rsidRPr="00E26ADF" w:rsidRDefault="00FA6B33" w:rsidP="00FA6B33">
            <w:pPr>
              <w:pStyle w:val="TblTextCenter"/>
              <w:rPr>
                <w:lang w:val="en-AU"/>
              </w:rPr>
            </w:pPr>
            <w:r w:rsidRPr="00E26ADF">
              <w:rPr>
                <w:lang w:val="en-AU"/>
              </w:rPr>
              <w:t>142</w:t>
            </w:r>
          </w:p>
        </w:tc>
        <w:tc>
          <w:tcPr>
            <w:tcW w:w="850" w:type="dxa"/>
            <w:tcBorders>
              <w:top w:val="nil"/>
              <w:bottom w:val="single" w:sz="4" w:space="0" w:color="auto"/>
            </w:tcBorders>
            <w:shd w:val="clear" w:color="auto" w:fill="auto"/>
            <w:hideMark/>
          </w:tcPr>
          <w:p w14:paraId="23A9E257" w14:textId="77777777" w:rsidR="00FA6B33" w:rsidRPr="00E26ADF" w:rsidRDefault="00FA6B33" w:rsidP="00FA6B33">
            <w:pPr>
              <w:pStyle w:val="TblTextCenter"/>
              <w:rPr>
                <w:lang w:val="en-AU"/>
              </w:rPr>
            </w:pPr>
            <w:r w:rsidRPr="00E26ADF">
              <w:rPr>
                <w:lang w:val="en-AU"/>
              </w:rPr>
              <w:t>0.22 (14.4)</w:t>
            </w:r>
          </w:p>
        </w:tc>
        <w:tc>
          <w:tcPr>
            <w:tcW w:w="1134" w:type="dxa"/>
            <w:tcBorders>
              <w:top w:val="nil"/>
              <w:bottom w:val="single" w:sz="4" w:space="0" w:color="auto"/>
              <w:right w:val="nil"/>
            </w:tcBorders>
            <w:shd w:val="clear" w:color="auto" w:fill="auto"/>
          </w:tcPr>
          <w:p w14:paraId="475CF115" w14:textId="77777777" w:rsidR="00FA6B33" w:rsidRPr="00E26ADF" w:rsidRDefault="00FA6B33" w:rsidP="00FA6B33">
            <w:pPr>
              <w:pStyle w:val="TblTextCenter"/>
              <w:rPr>
                <w:lang w:val="en-AU"/>
              </w:rPr>
            </w:pPr>
          </w:p>
        </w:tc>
      </w:tr>
      <w:tr w:rsidR="00FA6B33" w:rsidRPr="00E26ADF" w14:paraId="471F191D" w14:textId="77777777" w:rsidTr="00F207C2">
        <w:trPr>
          <w:cantSplit/>
          <w:jc w:val="center"/>
        </w:trPr>
        <w:tc>
          <w:tcPr>
            <w:tcW w:w="955" w:type="dxa"/>
            <w:vMerge w:val="restart"/>
            <w:tcBorders>
              <w:top w:val="single" w:sz="4" w:space="0" w:color="auto"/>
              <w:bottom w:val="single" w:sz="4" w:space="0" w:color="auto"/>
            </w:tcBorders>
            <w:shd w:val="clear" w:color="auto" w:fill="auto"/>
            <w:hideMark/>
          </w:tcPr>
          <w:p w14:paraId="43A0756C" w14:textId="77777777" w:rsidR="00FA6B33" w:rsidRPr="00E26ADF" w:rsidRDefault="00FA6B33" w:rsidP="00FA6B33">
            <w:pPr>
              <w:pStyle w:val="TblTextCenter"/>
              <w:rPr>
                <w:b/>
                <w:lang w:val="en-AU"/>
              </w:rPr>
            </w:pPr>
            <w:proofErr w:type="spellStart"/>
            <w:r w:rsidRPr="00E26ADF">
              <w:rPr>
                <w:b/>
                <w:lang w:val="en-AU"/>
              </w:rPr>
              <w:t>Venture</w:t>
            </w:r>
            <w:r w:rsidRPr="00E26ADF">
              <w:rPr>
                <w:b/>
                <w:vertAlign w:val="superscript"/>
                <w:lang w:val="en-AU"/>
              </w:rPr>
              <w:t>b</w:t>
            </w:r>
            <w:proofErr w:type="spellEnd"/>
            <w:r w:rsidRPr="00E26ADF">
              <w:rPr>
                <w:b/>
                <w:lang w:val="en-AU"/>
              </w:rPr>
              <w:t xml:space="preserve"> </w:t>
            </w:r>
          </w:p>
        </w:tc>
        <w:tc>
          <w:tcPr>
            <w:tcW w:w="1186" w:type="dxa"/>
            <w:tcBorders>
              <w:top w:val="single" w:sz="4" w:space="0" w:color="auto"/>
              <w:bottom w:val="nil"/>
            </w:tcBorders>
            <w:shd w:val="clear" w:color="auto" w:fill="auto"/>
            <w:hideMark/>
          </w:tcPr>
          <w:p w14:paraId="7DC58D5E" w14:textId="77777777" w:rsidR="00FA6B33" w:rsidRPr="00E26ADF" w:rsidRDefault="00FA6B33" w:rsidP="00FA6B33">
            <w:pPr>
              <w:pStyle w:val="TblTextCenter"/>
              <w:jc w:val="left"/>
              <w:rPr>
                <w:lang w:val="en-AU" w:eastAsia="ja-JP"/>
              </w:rPr>
            </w:pPr>
            <w:r w:rsidRPr="00E26ADF">
              <w:rPr>
                <w:lang w:val="en-AU"/>
              </w:rPr>
              <w:t>Dupixent 300 mg Q2W</w:t>
            </w:r>
          </w:p>
        </w:tc>
        <w:tc>
          <w:tcPr>
            <w:tcW w:w="490" w:type="dxa"/>
            <w:tcBorders>
              <w:top w:val="single" w:sz="4" w:space="0" w:color="auto"/>
              <w:bottom w:val="nil"/>
            </w:tcBorders>
            <w:shd w:val="clear" w:color="auto" w:fill="auto"/>
            <w:hideMark/>
          </w:tcPr>
          <w:p w14:paraId="1ECD46E3" w14:textId="77777777" w:rsidR="00FA6B33" w:rsidRPr="00E26ADF" w:rsidRDefault="00FA6B33" w:rsidP="00FA6B33">
            <w:pPr>
              <w:pStyle w:val="TblTextCenter"/>
              <w:rPr>
                <w:lang w:val="en-AU"/>
              </w:rPr>
            </w:pPr>
            <w:r w:rsidRPr="00E26ADF">
              <w:rPr>
                <w:lang w:val="en-AU"/>
              </w:rPr>
              <w:t>103</w:t>
            </w:r>
          </w:p>
        </w:tc>
        <w:tc>
          <w:tcPr>
            <w:tcW w:w="832" w:type="dxa"/>
            <w:tcBorders>
              <w:top w:val="single" w:sz="4" w:space="0" w:color="auto"/>
              <w:bottom w:val="nil"/>
            </w:tcBorders>
            <w:shd w:val="clear" w:color="auto" w:fill="auto"/>
            <w:hideMark/>
          </w:tcPr>
          <w:p w14:paraId="44253022" w14:textId="77777777" w:rsidR="00FA6B33" w:rsidRPr="00E26ADF" w:rsidRDefault="00FA6B33" w:rsidP="00FA6B33">
            <w:pPr>
              <w:pStyle w:val="TblTextCenter"/>
              <w:rPr>
                <w:lang w:val="en-AU"/>
              </w:rPr>
            </w:pPr>
            <w:r w:rsidRPr="00E26ADF">
              <w:rPr>
                <w:lang w:val="en-AU"/>
              </w:rPr>
              <w:t>0.22 (19.9)</w:t>
            </w:r>
          </w:p>
        </w:tc>
        <w:tc>
          <w:tcPr>
            <w:tcW w:w="1073" w:type="dxa"/>
            <w:tcBorders>
              <w:top w:val="single" w:sz="4" w:space="0" w:color="auto"/>
              <w:bottom w:val="nil"/>
            </w:tcBorders>
            <w:shd w:val="clear" w:color="auto" w:fill="auto"/>
            <w:hideMark/>
          </w:tcPr>
          <w:p w14:paraId="61B44EA2" w14:textId="77777777" w:rsidR="00FA6B33" w:rsidRPr="00E26ADF" w:rsidRDefault="00FA6B33" w:rsidP="00FA6B33">
            <w:pPr>
              <w:pStyle w:val="TblTextCenter"/>
              <w:rPr>
                <w:lang w:val="en-AU"/>
              </w:rPr>
            </w:pPr>
            <w:r w:rsidRPr="00E26ADF">
              <w:rPr>
                <w:lang w:val="en-AU"/>
              </w:rPr>
              <w:t>0.22</w:t>
            </w:r>
          </w:p>
          <w:p w14:paraId="5D39853A" w14:textId="77777777" w:rsidR="00FA6B33" w:rsidRPr="00E26ADF" w:rsidRDefault="00FA6B33" w:rsidP="00FA6B33">
            <w:pPr>
              <w:pStyle w:val="TblTextCenter"/>
              <w:rPr>
                <w:lang w:val="en-AU"/>
              </w:rPr>
            </w:pPr>
            <w:r w:rsidRPr="00E26ADF">
              <w:rPr>
                <w:lang w:val="en-AU"/>
              </w:rPr>
              <w:t>(0.09, 0.34)</w:t>
            </w:r>
          </w:p>
        </w:tc>
        <w:tc>
          <w:tcPr>
            <w:tcW w:w="426" w:type="dxa"/>
            <w:tcBorders>
              <w:top w:val="single" w:sz="4" w:space="0" w:color="auto"/>
              <w:bottom w:val="nil"/>
            </w:tcBorders>
            <w:shd w:val="clear" w:color="auto" w:fill="auto"/>
            <w:hideMark/>
          </w:tcPr>
          <w:p w14:paraId="02B8DCE3" w14:textId="77777777" w:rsidR="00FA6B33" w:rsidRPr="00E26ADF" w:rsidRDefault="00FA6B33" w:rsidP="00FA6B33">
            <w:pPr>
              <w:pStyle w:val="TblTextCenter"/>
              <w:rPr>
                <w:lang w:val="en-AU"/>
              </w:rPr>
            </w:pPr>
            <w:r w:rsidRPr="00E26ADF">
              <w:rPr>
                <w:lang w:val="en-AU"/>
              </w:rPr>
              <w:t>76</w:t>
            </w:r>
          </w:p>
        </w:tc>
        <w:tc>
          <w:tcPr>
            <w:tcW w:w="992" w:type="dxa"/>
            <w:tcBorders>
              <w:top w:val="single" w:sz="4" w:space="0" w:color="auto"/>
              <w:bottom w:val="nil"/>
            </w:tcBorders>
            <w:shd w:val="clear" w:color="auto" w:fill="auto"/>
            <w:hideMark/>
          </w:tcPr>
          <w:p w14:paraId="08FEA9A4" w14:textId="77777777" w:rsidR="00FA6B33" w:rsidRPr="00E26ADF" w:rsidRDefault="00FA6B33" w:rsidP="00FA6B33">
            <w:pPr>
              <w:pStyle w:val="TblTextCenter"/>
              <w:rPr>
                <w:lang w:val="en-AU"/>
              </w:rPr>
            </w:pPr>
            <w:r w:rsidRPr="00E26ADF">
              <w:rPr>
                <w:lang w:val="en-AU"/>
              </w:rPr>
              <w:t>0.32 (26.0)</w:t>
            </w:r>
          </w:p>
        </w:tc>
        <w:tc>
          <w:tcPr>
            <w:tcW w:w="1134" w:type="dxa"/>
            <w:tcBorders>
              <w:top w:val="single" w:sz="4" w:space="0" w:color="auto"/>
              <w:bottom w:val="nil"/>
            </w:tcBorders>
            <w:shd w:val="clear" w:color="auto" w:fill="auto"/>
            <w:hideMark/>
          </w:tcPr>
          <w:p w14:paraId="2CBE9C66" w14:textId="77777777" w:rsidR="00FA6B33" w:rsidRPr="00E26ADF" w:rsidRDefault="00FA6B33" w:rsidP="00FA6B33">
            <w:pPr>
              <w:pStyle w:val="TblTextCenter"/>
              <w:rPr>
                <w:lang w:val="en-AU"/>
              </w:rPr>
            </w:pPr>
            <w:r w:rsidRPr="00E26ADF">
              <w:rPr>
                <w:lang w:val="en-AU"/>
              </w:rPr>
              <w:t>0.22</w:t>
            </w:r>
          </w:p>
          <w:p w14:paraId="2782B8C8" w14:textId="77777777" w:rsidR="00FA6B33" w:rsidRPr="00E26ADF" w:rsidRDefault="00FA6B33" w:rsidP="00FA6B33">
            <w:pPr>
              <w:pStyle w:val="TblTextCenter"/>
              <w:rPr>
                <w:lang w:val="en-AU"/>
              </w:rPr>
            </w:pPr>
            <w:r w:rsidRPr="00E26ADF">
              <w:rPr>
                <w:lang w:val="en-AU"/>
              </w:rPr>
              <w:t>(0.06, 0.38)</w:t>
            </w:r>
          </w:p>
        </w:tc>
        <w:tc>
          <w:tcPr>
            <w:tcW w:w="567" w:type="dxa"/>
            <w:tcBorders>
              <w:top w:val="single" w:sz="4" w:space="0" w:color="auto"/>
              <w:bottom w:val="nil"/>
            </w:tcBorders>
            <w:shd w:val="clear" w:color="auto" w:fill="auto"/>
            <w:hideMark/>
          </w:tcPr>
          <w:p w14:paraId="5CF7A30A" w14:textId="77777777" w:rsidR="00FA6B33" w:rsidRPr="00E26ADF" w:rsidRDefault="00FA6B33" w:rsidP="00FA6B33">
            <w:pPr>
              <w:pStyle w:val="TblTextCenter"/>
              <w:rPr>
                <w:lang w:val="en-AU"/>
              </w:rPr>
            </w:pPr>
            <w:r w:rsidRPr="00E26ADF">
              <w:rPr>
                <w:lang w:val="en-AU"/>
              </w:rPr>
              <w:t>48</w:t>
            </w:r>
          </w:p>
        </w:tc>
        <w:tc>
          <w:tcPr>
            <w:tcW w:w="850" w:type="dxa"/>
            <w:tcBorders>
              <w:top w:val="single" w:sz="4" w:space="0" w:color="auto"/>
              <w:bottom w:val="nil"/>
            </w:tcBorders>
            <w:shd w:val="clear" w:color="auto" w:fill="auto"/>
            <w:hideMark/>
          </w:tcPr>
          <w:p w14:paraId="233698AE" w14:textId="77777777" w:rsidR="00FA6B33" w:rsidRPr="00E26ADF" w:rsidRDefault="00FA6B33" w:rsidP="00FA6B33">
            <w:pPr>
              <w:pStyle w:val="TblTextCenter"/>
              <w:rPr>
                <w:lang w:val="en-AU"/>
              </w:rPr>
            </w:pPr>
            <w:r w:rsidRPr="00E26ADF">
              <w:rPr>
                <w:lang w:val="en-AU"/>
              </w:rPr>
              <w:t>0.44 (35.1)</w:t>
            </w:r>
          </w:p>
        </w:tc>
        <w:tc>
          <w:tcPr>
            <w:tcW w:w="1134" w:type="dxa"/>
            <w:tcBorders>
              <w:top w:val="single" w:sz="4" w:space="0" w:color="auto"/>
              <w:bottom w:val="nil"/>
              <w:right w:val="nil"/>
            </w:tcBorders>
            <w:shd w:val="clear" w:color="auto" w:fill="auto"/>
            <w:hideMark/>
          </w:tcPr>
          <w:p w14:paraId="008C0582" w14:textId="77777777" w:rsidR="00FA6B33" w:rsidRPr="00E26ADF" w:rsidRDefault="00FA6B33" w:rsidP="00FA6B33">
            <w:pPr>
              <w:pStyle w:val="TblTextCenter"/>
              <w:rPr>
                <w:lang w:val="en-AU"/>
              </w:rPr>
            </w:pPr>
            <w:r w:rsidRPr="00E26ADF">
              <w:rPr>
                <w:lang w:val="en-AU"/>
              </w:rPr>
              <w:t>0.32</w:t>
            </w:r>
          </w:p>
          <w:p w14:paraId="16BC0BD8" w14:textId="77777777" w:rsidR="00FA6B33" w:rsidRPr="00E26ADF" w:rsidRDefault="00FA6B33" w:rsidP="00FA6B33">
            <w:pPr>
              <w:pStyle w:val="TblTextCenter"/>
              <w:rPr>
                <w:lang w:val="en-AU"/>
              </w:rPr>
            </w:pPr>
            <w:r w:rsidRPr="00E26ADF">
              <w:rPr>
                <w:lang w:val="en-AU"/>
              </w:rPr>
              <w:t>(0.10, 0.54)</w:t>
            </w:r>
          </w:p>
        </w:tc>
      </w:tr>
      <w:tr w:rsidR="00FA6B33" w:rsidRPr="00E26ADF" w14:paraId="6410E2C6" w14:textId="77777777" w:rsidTr="00F207C2">
        <w:trPr>
          <w:cantSplit/>
          <w:trHeight w:val="70"/>
          <w:jc w:val="center"/>
        </w:trPr>
        <w:tc>
          <w:tcPr>
            <w:tcW w:w="955" w:type="dxa"/>
            <w:vMerge/>
            <w:tcBorders>
              <w:top w:val="single" w:sz="4" w:space="0" w:color="auto"/>
              <w:bottom w:val="single" w:sz="12" w:space="0" w:color="auto"/>
            </w:tcBorders>
            <w:shd w:val="clear" w:color="auto" w:fill="auto"/>
            <w:vAlign w:val="center"/>
            <w:hideMark/>
          </w:tcPr>
          <w:p w14:paraId="0F1342FF" w14:textId="77777777" w:rsidR="00FA6B33" w:rsidRPr="00E26ADF" w:rsidRDefault="00FA6B33" w:rsidP="00FA6B33">
            <w:pPr>
              <w:rPr>
                <w:rFonts w:eastAsia="Times New Roman"/>
                <w:color w:val="auto"/>
                <w:sz w:val="20"/>
                <w:vertAlign w:val="superscript"/>
              </w:rPr>
            </w:pPr>
          </w:p>
        </w:tc>
        <w:tc>
          <w:tcPr>
            <w:tcW w:w="1186" w:type="dxa"/>
            <w:tcBorders>
              <w:top w:val="nil"/>
              <w:bottom w:val="nil"/>
            </w:tcBorders>
            <w:shd w:val="clear" w:color="auto" w:fill="auto"/>
            <w:hideMark/>
          </w:tcPr>
          <w:p w14:paraId="70FDD726" w14:textId="77777777" w:rsidR="00FA6B33" w:rsidRPr="00E26ADF" w:rsidRDefault="00FA6B33" w:rsidP="00FA6B33">
            <w:pPr>
              <w:pStyle w:val="TblTextCenter"/>
              <w:jc w:val="left"/>
              <w:rPr>
                <w:lang w:val="en-AU" w:eastAsia="ja-JP"/>
              </w:rPr>
            </w:pPr>
            <w:r w:rsidRPr="00E26ADF">
              <w:rPr>
                <w:lang w:val="en-AU"/>
              </w:rPr>
              <w:t>Placebo</w:t>
            </w:r>
          </w:p>
        </w:tc>
        <w:tc>
          <w:tcPr>
            <w:tcW w:w="490" w:type="dxa"/>
            <w:tcBorders>
              <w:top w:val="nil"/>
              <w:bottom w:val="nil"/>
            </w:tcBorders>
            <w:shd w:val="clear" w:color="auto" w:fill="auto"/>
            <w:hideMark/>
          </w:tcPr>
          <w:p w14:paraId="5533B494" w14:textId="77777777" w:rsidR="00FA6B33" w:rsidRPr="00E26ADF" w:rsidRDefault="00FA6B33" w:rsidP="00FA6B33">
            <w:pPr>
              <w:pStyle w:val="TblTextCenter"/>
              <w:rPr>
                <w:lang w:val="en-AU"/>
              </w:rPr>
            </w:pPr>
            <w:r w:rsidRPr="00E26ADF">
              <w:rPr>
                <w:lang w:val="en-AU"/>
              </w:rPr>
              <w:t>107</w:t>
            </w:r>
          </w:p>
        </w:tc>
        <w:tc>
          <w:tcPr>
            <w:tcW w:w="832" w:type="dxa"/>
            <w:tcBorders>
              <w:top w:val="nil"/>
              <w:bottom w:val="nil"/>
            </w:tcBorders>
            <w:shd w:val="clear" w:color="auto" w:fill="auto"/>
            <w:hideMark/>
          </w:tcPr>
          <w:p w14:paraId="3BA381A2" w14:textId="77777777" w:rsidR="00FA6B33" w:rsidRPr="00E26ADF" w:rsidRDefault="00FA6B33" w:rsidP="00FA6B33">
            <w:pPr>
              <w:pStyle w:val="TblTextCenter"/>
              <w:rPr>
                <w:lang w:val="en-AU"/>
              </w:rPr>
            </w:pPr>
            <w:r w:rsidRPr="00E26ADF">
              <w:rPr>
                <w:lang w:val="en-AU"/>
              </w:rPr>
              <w:t>0.01 (4.8)</w:t>
            </w:r>
          </w:p>
        </w:tc>
        <w:tc>
          <w:tcPr>
            <w:tcW w:w="1073" w:type="dxa"/>
            <w:tcBorders>
              <w:top w:val="nil"/>
              <w:bottom w:val="nil"/>
            </w:tcBorders>
            <w:shd w:val="clear" w:color="auto" w:fill="auto"/>
          </w:tcPr>
          <w:p w14:paraId="0AB104F6" w14:textId="77777777" w:rsidR="00FA6B33" w:rsidRPr="00E26ADF" w:rsidRDefault="00FA6B33" w:rsidP="00FA6B33">
            <w:pPr>
              <w:pStyle w:val="TblTextCenter"/>
              <w:rPr>
                <w:lang w:val="en-AU"/>
              </w:rPr>
            </w:pPr>
          </w:p>
        </w:tc>
        <w:tc>
          <w:tcPr>
            <w:tcW w:w="426" w:type="dxa"/>
            <w:tcBorders>
              <w:top w:val="nil"/>
              <w:bottom w:val="nil"/>
            </w:tcBorders>
            <w:shd w:val="clear" w:color="auto" w:fill="auto"/>
            <w:hideMark/>
          </w:tcPr>
          <w:p w14:paraId="4418146E" w14:textId="77777777" w:rsidR="00FA6B33" w:rsidRPr="00E26ADF" w:rsidRDefault="00FA6B33" w:rsidP="00FA6B33">
            <w:pPr>
              <w:pStyle w:val="TblTextCenter"/>
              <w:rPr>
                <w:lang w:val="en-AU"/>
              </w:rPr>
            </w:pPr>
            <w:r w:rsidRPr="00E26ADF">
              <w:rPr>
                <w:lang w:val="en-AU"/>
              </w:rPr>
              <w:t>66</w:t>
            </w:r>
          </w:p>
        </w:tc>
        <w:tc>
          <w:tcPr>
            <w:tcW w:w="992" w:type="dxa"/>
            <w:tcBorders>
              <w:top w:val="nil"/>
              <w:bottom w:val="nil"/>
            </w:tcBorders>
            <w:shd w:val="clear" w:color="auto" w:fill="auto"/>
            <w:hideMark/>
          </w:tcPr>
          <w:p w14:paraId="6AD4893D" w14:textId="77777777" w:rsidR="00FA6B33" w:rsidRDefault="00FA6B33" w:rsidP="00FA6B33">
            <w:pPr>
              <w:pStyle w:val="TblTextCenter"/>
              <w:rPr>
                <w:lang w:val="en-AU"/>
              </w:rPr>
            </w:pPr>
            <w:r w:rsidRPr="00E26ADF">
              <w:rPr>
                <w:lang w:val="en-AU"/>
              </w:rPr>
              <w:t xml:space="preserve">0.06 </w:t>
            </w:r>
          </w:p>
          <w:p w14:paraId="76A1DBB9" w14:textId="77777777" w:rsidR="00FA6B33" w:rsidRPr="00E26ADF" w:rsidRDefault="00FA6B33" w:rsidP="00FA6B33">
            <w:pPr>
              <w:pStyle w:val="TblTextCenter"/>
              <w:rPr>
                <w:lang w:val="en-AU"/>
              </w:rPr>
            </w:pPr>
            <w:r w:rsidRPr="00E26ADF">
              <w:rPr>
                <w:lang w:val="en-AU"/>
              </w:rPr>
              <w:t>(9.1)</w:t>
            </w:r>
          </w:p>
        </w:tc>
        <w:tc>
          <w:tcPr>
            <w:tcW w:w="1134" w:type="dxa"/>
            <w:tcBorders>
              <w:top w:val="nil"/>
              <w:bottom w:val="nil"/>
            </w:tcBorders>
            <w:shd w:val="clear" w:color="auto" w:fill="auto"/>
          </w:tcPr>
          <w:p w14:paraId="3A773E12" w14:textId="77777777" w:rsidR="00FA6B33" w:rsidRPr="00E26ADF" w:rsidRDefault="00FA6B33" w:rsidP="00FA6B33">
            <w:pPr>
              <w:pStyle w:val="TblTextCenter"/>
              <w:rPr>
                <w:lang w:val="en-AU"/>
              </w:rPr>
            </w:pPr>
          </w:p>
        </w:tc>
        <w:tc>
          <w:tcPr>
            <w:tcW w:w="567" w:type="dxa"/>
            <w:tcBorders>
              <w:top w:val="nil"/>
              <w:bottom w:val="nil"/>
            </w:tcBorders>
            <w:shd w:val="clear" w:color="auto" w:fill="auto"/>
            <w:hideMark/>
          </w:tcPr>
          <w:p w14:paraId="0B9507BE" w14:textId="77777777" w:rsidR="00FA6B33" w:rsidRPr="00E26ADF" w:rsidRDefault="00FA6B33" w:rsidP="00FA6B33">
            <w:pPr>
              <w:pStyle w:val="TblTextCenter"/>
              <w:rPr>
                <w:lang w:val="en-AU"/>
              </w:rPr>
            </w:pPr>
            <w:r w:rsidRPr="00E26ADF">
              <w:rPr>
                <w:lang w:val="en-AU"/>
              </w:rPr>
              <w:t>41</w:t>
            </w:r>
          </w:p>
        </w:tc>
        <w:tc>
          <w:tcPr>
            <w:tcW w:w="850" w:type="dxa"/>
            <w:tcBorders>
              <w:top w:val="nil"/>
              <w:bottom w:val="nil"/>
            </w:tcBorders>
            <w:shd w:val="clear" w:color="auto" w:fill="auto"/>
            <w:hideMark/>
          </w:tcPr>
          <w:p w14:paraId="6F56B746" w14:textId="77777777" w:rsidR="00FA6B33" w:rsidRPr="00E26ADF" w:rsidRDefault="00FA6B33" w:rsidP="00FA6B33">
            <w:pPr>
              <w:pStyle w:val="TblTextCenter"/>
              <w:rPr>
                <w:lang w:val="en-AU"/>
              </w:rPr>
            </w:pPr>
            <w:r w:rsidRPr="00E26ADF">
              <w:rPr>
                <w:lang w:val="en-AU"/>
              </w:rPr>
              <w:t>0.12 (10.5)</w:t>
            </w:r>
          </w:p>
        </w:tc>
        <w:tc>
          <w:tcPr>
            <w:tcW w:w="1134" w:type="dxa"/>
            <w:tcBorders>
              <w:top w:val="nil"/>
              <w:bottom w:val="nil"/>
              <w:right w:val="nil"/>
            </w:tcBorders>
            <w:shd w:val="clear" w:color="auto" w:fill="auto"/>
          </w:tcPr>
          <w:p w14:paraId="6CC1DB8F" w14:textId="77777777" w:rsidR="00FA6B33" w:rsidRPr="00E26ADF" w:rsidRDefault="00FA6B33" w:rsidP="00FA6B33">
            <w:pPr>
              <w:pStyle w:val="TblTextCenter"/>
              <w:rPr>
                <w:lang w:val="en-AU"/>
              </w:rPr>
            </w:pPr>
          </w:p>
        </w:tc>
      </w:tr>
      <w:tr w:rsidR="00FA6B33" w:rsidRPr="00E26ADF" w14:paraId="70C5C807" w14:textId="77777777" w:rsidTr="00FA6B33">
        <w:trPr>
          <w:cantSplit/>
          <w:trHeight w:val="70"/>
          <w:jc w:val="center"/>
        </w:trPr>
        <w:tc>
          <w:tcPr>
            <w:tcW w:w="9639" w:type="dxa"/>
            <w:gridSpan w:val="11"/>
            <w:tcBorders>
              <w:top w:val="single" w:sz="12" w:space="0" w:color="auto"/>
              <w:right w:val="nil"/>
            </w:tcBorders>
            <w:shd w:val="clear" w:color="auto" w:fill="auto"/>
            <w:vAlign w:val="center"/>
          </w:tcPr>
          <w:p w14:paraId="76D8C06F" w14:textId="77777777" w:rsidR="00FA6B33" w:rsidRPr="00E26ADF" w:rsidRDefault="00FA6B33" w:rsidP="00FA6B33">
            <w:pPr>
              <w:pStyle w:val="TblFigFootnote"/>
              <w:rPr>
                <w:lang w:val="en-AU"/>
              </w:rPr>
            </w:pPr>
            <w:proofErr w:type="spellStart"/>
            <w:proofErr w:type="gramStart"/>
            <w:r w:rsidRPr="00E26ADF">
              <w:rPr>
                <w:vertAlign w:val="superscript"/>
                <w:lang w:val="en-AU"/>
              </w:rPr>
              <w:t>a</w:t>
            </w:r>
            <w:proofErr w:type="spellEnd"/>
            <w:proofErr w:type="gramEnd"/>
            <w:r>
              <w:rPr>
                <w:vertAlign w:val="superscript"/>
                <w:lang w:val="en-AU"/>
              </w:rPr>
              <w:t xml:space="preserve"> </w:t>
            </w:r>
            <w:r w:rsidRPr="00E26ADF">
              <w:rPr>
                <w:lang w:val="en-AU"/>
              </w:rPr>
              <w:t>Overall population is unrestricted by minimum baseline eosinophils or other Type 2 biomarkers</w:t>
            </w:r>
          </w:p>
          <w:p w14:paraId="745B61D9" w14:textId="77777777" w:rsidR="00FA6B33" w:rsidRPr="00E26ADF" w:rsidRDefault="00FA6B33" w:rsidP="00FA6B33">
            <w:pPr>
              <w:pStyle w:val="TblFigFootnote"/>
              <w:rPr>
                <w:lang w:val="en-AU"/>
              </w:rPr>
            </w:pPr>
            <w:r w:rsidRPr="00E26ADF">
              <w:rPr>
                <w:vertAlign w:val="superscript"/>
                <w:lang w:val="en-AU"/>
              </w:rPr>
              <w:t>b</w:t>
            </w:r>
            <w:r>
              <w:rPr>
                <w:vertAlign w:val="superscript"/>
                <w:lang w:val="en-AU"/>
              </w:rPr>
              <w:t xml:space="preserve"> </w:t>
            </w:r>
            <w:r w:rsidRPr="00E26ADF">
              <w:rPr>
                <w:lang w:val="en-AU"/>
              </w:rPr>
              <w:t>For Venture, the OCS withdrawal study, change from baseline in pre-</w:t>
            </w:r>
            <w:proofErr w:type="spellStart"/>
            <w:r w:rsidRPr="00E26ADF">
              <w:rPr>
                <w:lang w:val="en-AU"/>
              </w:rPr>
              <w:t>brochodilator</w:t>
            </w:r>
            <w:proofErr w:type="spellEnd"/>
            <w:r w:rsidRPr="00E26ADF">
              <w:rPr>
                <w:lang w:val="en-AU"/>
              </w:rPr>
              <w:t xml:space="preserve"> FEV1 at week 24 was reported to allow time for OCS reduction to reach optimization</w:t>
            </w:r>
          </w:p>
        </w:tc>
      </w:tr>
    </w:tbl>
    <w:p w14:paraId="36E0126F" w14:textId="592E67D5" w:rsidR="007F7013" w:rsidRDefault="007F7013" w:rsidP="00FA6B33">
      <w:pPr>
        <w:spacing w:before="0"/>
        <w:jc w:val="center"/>
      </w:pPr>
    </w:p>
    <w:p w14:paraId="64523E87" w14:textId="2046C1F6" w:rsidR="00FA6B33" w:rsidRPr="00FA6B33" w:rsidRDefault="00FA6B33" w:rsidP="00FA6B33"/>
    <w:p w14:paraId="4D300A0F" w14:textId="32734083" w:rsidR="007F7013" w:rsidRPr="00E26ADF" w:rsidRDefault="007F7013" w:rsidP="007F7013">
      <w:pPr>
        <w:pStyle w:val="Caption"/>
        <w:rPr>
          <w:lang w:val="en-AU"/>
        </w:rPr>
      </w:pPr>
      <w:r w:rsidRPr="00E26ADF">
        <w:rPr>
          <w:i/>
          <w:lang w:val="en-AU"/>
        </w:rPr>
        <w:lastRenderedPageBreak/>
        <w:t xml:space="preserve"> </w:t>
      </w:r>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17</w:t>
      </w:r>
      <w:r w:rsidRPr="00E26ADF">
        <w:rPr>
          <w:lang w:val="en-AU"/>
        </w:rPr>
        <w:fldChar w:fldCharType="end"/>
      </w:r>
      <w:r w:rsidRPr="00E26ADF">
        <w:rPr>
          <w:lang w:val="en-AU"/>
        </w:rPr>
        <w:t xml:space="preserve"> </w:t>
      </w:r>
      <w:proofErr w:type="gramStart"/>
      <w:r w:rsidRPr="00E26ADF">
        <w:rPr>
          <w:lang w:val="en-AU"/>
        </w:rPr>
        <w:t>­  Mean</w:t>
      </w:r>
      <w:proofErr w:type="gramEnd"/>
      <w:r w:rsidRPr="00E26ADF">
        <w:rPr>
          <w:lang w:val="en-AU"/>
        </w:rPr>
        <w:t xml:space="preserve"> Change from Baseline in Pre-Bronchodilator FEV1 at Week 12 and Week 52 in QUEST by Baseline </w:t>
      </w:r>
      <w:proofErr w:type="spellStart"/>
      <w:r w:rsidRPr="00E26ADF">
        <w:rPr>
          <w:lang w:val="en-AU"/>
        </w:rPr>
        <w:t>FeNO</w:t>
      </w:r>
      <w:proofErr w:type="spellEnd"/>
      <w:r w:rsidRPr="00E26ADF">
        <w:rPr>
          <w:lang w:val="en-AU"/>
        </w:rPr>
        <w:t xml:space="preserve"> Subgroups</w:t>
      </w:r>
    </w:p>
    <w:tbl>
      <w:tblPr>
        <w:tblW w:w="0" w:type="auto"/>
        <w:jc w:val="center"/>
        <w:tblBorders>
          <w:top w:val="single" w:sz="2" w:space="0" w:color="000000"/>
        </w:tblBorders>
        <w:tblLook w:val="04A0" w:firstRow="1" w:lastRow="0" w:firstColumn="1" w:lastColumn="0" w:noHBand="0" w:noVBand="1"/>
      </w:tblPr>
      <w:tblGrid>
        <w:gridCol w:w="1538"/>
        <w:gridCol w:w="490"/>
        <w:gridCol w:w="1565"/>
        <w:gridCol w:w="1934"/>
        <w:gridCol w:w="1565"/>
        <w:gridCol w:w="1934"/>
      </w:tblGrid>
      <w:tr w:rsidR="007F7013" w:rsidRPr="00E26ADF" w14:paraId="5DAFC681" w14:textId="77777777" w:rsidTr="00A15F24">
        <w:trPr>
          <w:cantSplit/>
          <w:tblHeader/>
          <w:jc w:val="center"/>
        </w:trPr>
        <w:tc>
          <w:tcPr>
            <w:tcW w:w="0" w:type="auto"/>
            <w:vMerge w:val="restart"/>
            <w:tcBorders>
              <w:top w:val="single" w:sz="4" w:space="0" w:color="000000"/>
              <w:bottom w:val="single" w:sz="4" w:space="0" w:color="000000"/>
            </w:tcBorders>
            <w:shd w:val="clear" w:color="auto" w:fill="auto"/>
          </w:tcPr>
          <w:p w14:paraId="1C79A74B" w14:textId="77777777" w:rsidR="007F7013" w:rsidRPr="00E26ADF" w:rsidRDefault="007F7013" w:rsidP="005977C2">
            <w:pPr>
              <w:pStyle w:val="TblHeadingCenter"/>
              <w:rPr>
                <w:lang w:val="en-AU"/>
              </w:rPr>
            </w:pPr>
            <w:r w:rsidRPr="00E26ADF">
              <w:rPr>
                <w:lang w:val="en-AU"/>
              </w:rPr>
              <w:t>Treatment</w:t>
            </w:r>
          </w:p>
        </w:tc>
        <w:tc>
          <w:tcPr>
            <w:tcW w:w="0" w:type="auto"/>
            <w:tcBorders>
              <w:top w:val="single" w:sz="4" w:space="0" w:color="000000"/>
              <w:bottom w:val="single" w:sz="4" w:space="0" w:color="000000"/>
            </w:tcBorders>
            <w:shd w:val="clear" w:color="auto" w:fill="auto"/>
          </w:tcPr>
          <w:p w14:paraId="0213B3DA" w14:textId="77777777" w:rsidR="007F7013" w:rsidRPr="00E26ADF" w:rsidRDefault="007F7013" w:rsidP="005977C2">
            <w:pPr>
              <w:pStyle w:val="TblHeadingCenter"/>
              <w:rPr>
                <w:lang w:val="en-AU"/>
              </w:rPr>
            </w:pPr>
          </w:p>
        </w:tc>
        <w:tc>
          <w:tcPr>
            <w:tcW w:w="0" w:type="auto"/>
            <w:gridSpan w:val="2"/>
            <w:tcBorders>
              <w:top w:val="single" w:sz="4" w:space="0" w:color="000000"/>
              <w:bottom w:val="single" w:sz="4" w:space="0" w:color="000000"/>
            </w:tcBorders>
            <w:shd w:val="clear" w:color="auto" w:fill="auto"/>
          </w:tcPr>
          <w:p w14:paraId="48E7703C" w14:textId="77777777" w:rsidR="007F7013" w:rsidRPr="00E26ADF" w:rsidRDefault="007F7013" w:rsidP="005977C2">
            <w:pPr>
              <w:pStyle w:val="TblHeadingCenter"/>
              <w:rPr>
                <w:lang w:val="en-AU"/>
              </w:rPr>
            </w:pPr>
            <w:r w:rsidRPr="00E26ADF">
              <w:rPr>
                <w:lang w:val="en-AU"/>
              </w:rPr>
              <w:t>At Week 12</w:t>
            </w:r>
          </w:p>
        </w:tc>
        <w:tc>
          <w:tcPr>
            <w:tcW w:w="0" w:type="auto"/>
            <w:gridSpan w:val="2"/>
            <w:tcBorders>
              <w:top w:val="single" w:sz="4" w:space="0" w:color="000000"/>
              <w:bottom w:val="single" w:sz="4" w:space="0" w:color="000000"/>
            </w:tcBorders>
            <w:shd w:val="clear" w:color="auto" w:fill="auto"/>
          </w:tcPr>
          <w:p w14:paraId="71C996EC" w14:textId="77777777" w:rsidR="007F7013" w:rsidRPr="00E26ADF" w:rsidRDefault="007F7013" w:rsidP="005977C2">
            <w:pPr>
              <w:pStyle w:val="TblHeadingCenter"/>
              <w:rPr>
                <w:lang w:val="en-AU"/>
              </w:rPr>
            </w:pPr>
            <w:r w:rsidRPr="00E26ADF">
              <w:rPr>
                <w:lang w:val="en-AU"/>
              </w:rPr>
              <w:t>At Week 52</w:t>
            </w:r>
          </w:p>
        </w:tc>
      </w:tr>
      <w:tr w:rsidR="005977C2" w:rsidRPr="00E26ADF" w14:paraId="55D0B81C" w14:textId="77777777" w:rsidTr="00F207C2">
        <w:trPr>
          <w:cantSplit/>
          <w:tblHeader/>
          <w:jc w:val="center"/>
        </w:trPr>
        <w:tc>
          <w:tcPr>
            <w:tcW w:w="0" w:type="auto"/>
            <w:vMerge/>
            <w:tcBorders>
              <w:top w:val="single" w:sz="4" w:space="0" w:color="auto"/>
              <w:bottom w:val="single" w:sz="4" w:space="0" w:color="auto"/>
            </w:tcBorders>
            <w:shd w:val="clear" w:color="auto" w:fill="auto"/>
          </w:tcPr>
          <w:p w14:paraId="3B5F3CEC" w14:textId="77777777" w:rsidR="007F7013" w:rsidRPr="00E26ADF" w:rsidRDefault="007F7013" w:rsidP="00A46040">
            <w:pPr>
              <w:rPr>
                <w:b/>
                <w:color w:val="auto"/>
                <w:sz w:val="20"/>
              </w:rPr>
            </w:pPr>
          </w:p>
        </w:tc>
        <w:tc>
          <w:tcPr>
            <w:tcW w:w="0" w:type="auto"/>
            <w:tcBorders>
              <w:top w:val="single" w:sz="4" w:space="0" w:color="000000"/>
              <w:bottom w:val="single" w:sz="4" w:space="0" w:color="auto"/>
            </w:tcBorders>
            <w:shd w:val="clear" w:color="auto" w:fill="auto"/>
          </w:tcPr>
          <w:p w14:paraId="4FB0FF74" w14:textId="77777777" w:rsidR="007F7013" w:rsidRPr="00E26ADF" w:rsidRDefault="007F7013" w:rsidP="005977C2">
            <w:pPr>
              <w:pStyle w:val="TblTextCenter"/>
              <w:rPr>
                <w:lang w:val="en-AU"/>
              </w:rPr>
            </w:pPr>
            <w:r w:rsidRPr="00E26ADF">
              <w:rPr>
                <w:lang w:val="en-AU"/>
              </w:rPr>
              <w:t>N</w:t>
            </w:r>
          </w:p>
        </w:tc>
        <w:tc>
          <w:tcPr>
            <w:tcW w:w="0" w:type="auto"/>
            <w:tcBorders>
              <w:top w:val="single" w:sz="4" w:space="0" w:color="000000"/>
              <w:bottom w:val="single" w:sz="4" w:space="0" w:color="auto"/>
            </w:tcBorders>
            <w:shd w:val="clear" w:color="auto" w:fill="auto"/>
          </w:tcPr>
          <w:p w14:paraId="5444D730" w14:textId="77777777" w:rsidR="007F7013" w:rsidRPr="00E26ADF" w:rsidRDefault="007F7013" w:rsidP="005977C2">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L (%)</w:t>
            </w:r>
          </w:p>
        </w:tc>
        <w:tc>
          <w:tcPr>
            <w:tcW w:w="0" w:type="auto"/>
            <w:tcBorders>
              <w:top w:val="single" w:sz="4" w:space="0" w:color="000000"/>
              <w:bottom w:val="single" w:sz="4" w:space="0" w:color="auto"/>
            </w:tcBorders>
            <w:shd w:val="clear" w:color="auto" w:fill="auto"/>
          </w:tcPr>
          <w:p w14:paraId="7000224D" w14:textId="77777777" w:rsidR="007F7013" w:rsidRPr="00E26ADF" w:rsidRDefault="007F7013" w:rsidP="005977C2">
            <w:pPr>
              <w:pStyle w:val="TblTextCenter"/>
              <w:rPr>
                <w:lang w:val="en-AU"/>
              </w:rPr>
            </w:pPr>
            <w:r w:rsidRPr="00E26ADF">
              <w:rPr>
                <w:lang w:val="en-AU"/>
              </w:rPr>
              <w:t>LS Mean Difference vs. placebo (95% CI)</w:t>
            </w:r>
          </w:p>
        </w:tc>
        <w:tc>
          <w:tcPr>
            <w:tcW w:w="0" w:type="auto"/>
            <w:tcBorders>
              <w:top w:val="single" w:sz="4" w:space="0" w:color="000000"/>
              <w:bottom w:val="single" w:sz="4" w:space="0" w:color="auto"/>
            </w:tcBorders>
            <w:shd w:val="clear" w:color="auto" w:fill="auto"/>
          </w:tcPr>
          <w:p w14:paraId="5030EA52" w14:textId="77777777" w:rsidR="007F7013" w:rsidRPr="00E26ADF" w:rsidRDefault="007F7013" w:rsidP="005977C2">
            <w:pPr>
              <w:pStyle w:val="TblTextCenter"/>
              <w:rPr>
                <w:lang w:val="en-AU"/>
              </w:rPr>
            </w:pPr>
            <w:r w:rsidRPr="00E26ADF">
              <w:rPr>
                <w:lang w:val="en-AU"/>
              </w:rPr>
              <w:t xml:space="preserve">LS Mean Δ </w:t>
            </w:r>
            <w:proofErr w:type="gramStart"/>
            <w:r w:rsidRPr="00E26ADF">
              <w:rPr>
                <w:lang w:val="en-AU"/>
              </w:rPr>
              <w:t>From</w:t>
            </w:r>
            <w:proofErr w:type="gramEnd"/>
            <w:r w:rsidRPr="00E26ADF">
              <w:rPr>
                <w:lang w:val="en-AU"/>
              </w:rPr>
              <w:t xml:space="preserve"> baseline L (%)</w:t>
            </w:r>
          </w:p>
        </w:tc>
        <w:tc>
          <w:tcPr>
            <w:tcW w:w="0" w:type="auto"/>
            <w:tcBorders>
              <w:top w:val="single" w:sz="4" w:space="0" w:color="000000"/>
              <w:bottom w:val="single" w:sz="4" w:space="0" w:color="auto"/>
            </w:tcBorders>
            <w:shd w:val="clear" w:color="auto" w:fill="auto"/>
          </w:tcPr>
          <w:p w14:paraId="7F9A197C" w14:textId="77777777" w:rsidR="007F7013" w:rsidRPr="00E26ADF" w:rsidRDefault="007F7013" w:rsidP="005977C2">
            <w:pPr>
              <w:pStyle w:val="TblTextCenter"/>
              <w:rPr>
                <w:lang w:val="en-AU"/>
              </w:rPr>
            </w:pPr>
            <w:r w:rsidRPr="00E26ADF">
              <w:rPr>
                <w:lang w:val="en-AU"/>
              </w:rPr>
              <w:t>LS Mean Difference vs. placebo (95% CI)</w:t>
            </w:r>
          </w:p>
        </w:tc>
      </w:tr>
      <w:tr w:rsidR="007F7013" w:rsidRPr="00E26ADF" w14:paraId="3AFDFEE6" w14:textId="77777777" w:rsidTr="00F207C2">
        <w:trPr>
          <w:cantSplit/>
          <w:jc w:val="center"/>
        </w:trPr>
        <w:tc>
          <w:tcPr>
            <w:tcW w:w="0" w:type="auto"/>
            <w:gridSpan w:val="6"/>
            <w:tcBorders>
              <w:top w:val="single" w:sz="4" w:space="0" w:color="auto"/>
              <w:bottom w:val="nil"/>
            </w:tcBorders>
            <w:shd w:val="clear" w:color="auto" w:fill="auto"/>
          </w:tcPr>
          <w:p w14:paraId="4333F2FF" w14:textId="77777777" w:rsidR="007F7013" w:rsidRPr="00A15F24" w:rsidRDefault="007F7013" w:rsidP="00F207C2">
            <w:pPr>
              <w:pStyle w:val="TblTextCenter"/>
              <w:jc w:val="left"/>
              <w:rPr>
                <w:b/>
                <w:bCs/>
                <w:lang w:val="en-AU"/>
              </w:rPr>
            </w:pPr>
            <w:proofErr w:type="spellStart"/>
            <w:r w:rsidRPr="00A15F24">
              <w:rPr>
                <w:b/>
                <w:bCs/>
                <w:lang w:val="en-AU"/>
              </w:rPr>
              <w:t>FeNO</w:t>
            </w:r>
            <w:proofErr w:type="spellEnd"/>
            <w:r w:rsidRPr="00A15F24">
              <w:rPr>
                <w:b/>
                <w:bCs/>
                <w:lang w:val="en-AU"/>
              </w:rPr>
              <w:t xml:space="preserve"> ≥ 25 ppb</w:t>
            </w:r>
          </w:p>
        </w:tc>
      </w:tr>
      <w:tr w:rsidR="007F7013" w:rsidRPr="00E26ADF" w14:paraId="24B119C0" w14:textId="77777777" w:rsidTr="00F207C2">
        <w:trPr>
          <w:cantSplit/>
          <w:jc w:val="center"/>
        </w:trPr>
        <w:tc>
          <w:tcPr>
            <w:tcW w:w="0" w:type="auto"/>
            <w:tcBorders>
              <w:top w:val="nil"/>
            </w:tcBorders>
            <w:shd w:val="clear" w:color="auto" w:fill="auto"/>
          </w:tcPr>
          <w:p w14:paraId="3D28845D" w14:textId="77777777" w:rsidR="007F7013" w:rsidRPr="00E26ADF" w:rsidRDefault="007F7013" w:rsidP="005977C2">
            <w:pPr>
              <w:pStyle w:val="TblTextCenter"/>
              <w:rPr>
                <w:lang w:val="en-AU"/>
              </w:rPr>
            </w:pPr>
            <w:r w:rsidRPr="00E26ADF">
              <w:rPr>
                <w:lang w:val="en-AU"/>
              </w:rPr>
              <w:t>Dupilumab 200 mg Q2W</w:t>
            </w:r>
          </w:p>
        </w:tc>
        <w:tc>
          <w:tcPr>
            <w:tcW w:w="0" w:type="auto"/>
            <w:tcBorders>
              <w:top w:val="nil"/>
            </w:tcBorders>
            <w:shd w:val="clear" w:color="auto" w:fill="auto"/>
          </w:tcPr>
          <w:p w14:paraId="566AB036" w14:textId="77777777" w:rsidR="007F7013" w:rsidRPr="00E26ADF" w:rsidRDefault="007F7013" w:rsidP="005977C2">
            <w:pPr>
              <w:pStyle w:val="TblTextCenter"/>
              <w:rPr>
                <w:lang w:val="en-AU"/>
              </w:rPr>
            </w:pPr>
            <w:r w:rsidRPr="00E26ADF">
              <w:rPr>
                <w:lang w:val="en-AU"/>
              </w:rPr>
              <w:t>288</w:t>
            </w:r>
          </w:p>
        </w:tc>
        <w:tc>
          <w:tcPr>
            <w:tcW w:w="0" w:type="auto"/>
            <w:tcBorders>
              <w:top w:val="nil"/>
            </w:tcBorders>
            <w:shd w:val="clear" w:color="auto" w:fill="auto"/>
          </w:tcPr>
          <w:p w14:paraId="55F6EBF2" w14:textId="77777777" w:rsidR="007F7013" w:rsidRPr="00E26ADF" w:rsidRDefault="007F7013" w:rsidP="005977C2">
            <w:pPr>
              <w:pStyle w:val="TblTextCenter"/>
              <w:rPr>
                <w:lang w:val="en-AU"/>
              </w:rPr>
            </w:pPr>
            <w:r w:rsidRPr="00E26ADF">
              <w:rPr>
                <w:lang w:val="en-AU"/>
              </w:rPr>
              <w:t>0.44 (29.0%)</w:t>
            </w:r>
          </w:p>
        </w:tc>
        <w:tc>
          <w:tcPr>
            <w:tcW w:w="0" w:type="auto"/>
            <w:tcBorders>
              <w:top w:val="nil"/>
            </w:tcBorders>
            <w:shd w:val="clear" w:color="auto" w:fill="auto"/>
          </w:tcPr>
          <w:p w14:paraId="7CC68511" w14:textId="77777777" w:rsidR="007F7013" w:rsidRPr="00E26ADF" w:rsidRDefault="007F7013" w:rsidP="005977C2">
            <w:pPr>
              <w:pStyle w:val="TblTextCenter"/>
              <w:rPr>
                <w:lang w:val="en-AU"/>
              </w:rPr>
            </w:pPr>
            <w:r w:rsidRPr="00E26ADF">
              <w:rPr>
                <w:lang w:val="en-AU"/>
              </w:rPr>
              <w:t xml:space="preserve">0.23 (0.15, </w:t>
            </w:r>
            <w:proofErr w:type="gramStart"/>
            <w:r w:rsidRPr="00E26ADF">
              <w:rPr>
                <w:lang w:val="en-AU"/>
              </w:rPr>
              <w:t>0.31)</w:t>
            </w:r>
            <w:r w:rsidRPr="00A25D22">
              <w:rPr>
                <w:vertAlign w:val="superscript"/>
                <w:lang w:val="en-AU"/>
              </w:rPr>
              <w:t>a</w:t>
            </w:r>
            <w:proofErr w:type="gramEnd"/>
          </w:p>
        </w:tc>
        <w:tc>
          <w:tcPr>
            <w:tcW w:w="0" w:type="auto"/>
            <w:tcBorders>
              <w:top w:val="nil"/>
            </w:tcBorders>
            <w:shd w:val="clear" w:color="auto" w:fill="auto"/>
          </w:tcPr>
          <w:p w14:paraId="66EBDB6E" w14:textId="77777777" w:rsidR="007F7013" w:rsidRPr="00E26ADF" w:rsidRDefault="007F7013" w:rsidP="005977C2">
            <w:pPr>
              <w:pStyle w:val="TblTextCenter"/>
              <w:rPr>
                <w:lang w:val="en-AU"/>
              </w:rPr>
            </w:pPr>
            <w:r w:rsidRPr="00E26ADF">
              <w:rPr>
                <w:lang w:val="en-AU"/>
              </w:rPr>
              <w:t>0.49 (31.6%)</w:t>
            </w:r>
          </w:p>
        </w:tc>
        <w:tc>
          <w:tcPr>
            <w:tcW w:w="0" w:type="auto"/>
            <w:tcBorders>
              <w:top w:val="nil"/>
            </w:tcBorders>
            <w:shd w:val="clear" w:color="auto" w:fill="auto"/>
          </w:tcPr>
          <w:p w14:paraId="014DE75A" w14:textId="77777777" w:rsidR="007F7013" w:rsidRPr="00E26ADF" w:rsidRDefault="007F7013" w:rsidP="005977C2">
            <w:pPr>
              <w:pStyle w:val="TblTextCenter"/>
              <w:rPr>
                <w:lang w:val="en-AU"/>
              </w:rPr>
            </w:pPr>
            <w:r w:rsidRPr="00E26ADF">
              <w:rPr>
                <w:lang w:val="en-AU"/>
              </w:rPr>
              <w:t xml:space="preserve">0.30 (0.22, </w:t>
            </w:r>
            <w:proofErr w:type="gramStart"/>
            <w:r w:rsidRPr="00E26ADF">
              <w:rPr>
                <w:lang w:val="en-AU"/>
              </w:rPr>
              <w:t>0.39)</w:t>
            </w:r>
            <w:r w:rsidRPr="00A25D22">
              <w:rPr>
                <w:vertAlign w:val="superscript"/>
                <w:lang w:val="en-AU"/>
              </w:rPr>
              <w:t>a</w:t>
            </w:r>
            <w:proofErr w:type="gramEnd"/>
          </w:p>
        </w:tc>
      </w:tr>
      <w:tr w:rsidR="007F7013" w:rsidRPr="00E26ADF" w14:paraId="79B0D8ED" w14:textId="77777777" w:rsidTr="005977C2">
        <w:trPr>
          <w:cantSplit/>
          <w:jc w:val="center"/>
        </w:trPr>
        <w:tc>
          <w:tcPr>
            <w:tcW w:w="0" w:type="auto"/>
            <w:shd w:val="clear" w:color="auto" w:fill="auto"/>
          </w:tcPr>
          <w:p w14:paraId="39359B1E" w14:textId="77777777" w:rsidR="007F7013" w:rsidRPr="00E26ADF" w:rsidRDefault="007F7013" w:rsidP="005977C2">
            <w:pPr>
              <w:pStyle w:val="TblTextCenter"/>
              <w:rPr>
                <w:lang w:val="en-AU"/>
              </w:rPr>
            </w:pPr>
            <w:r w:rsidRPr="00E26ADF">
              <w:rPr>
                <w:lang w:val="en-AU"/>
              </w:rPr>
              <w:t xml:space="preserve">Placebo </w:t>
            </w:r>
          </w:p>
        </w:tc>
        <w:tc>
          <w:tcPr>
            <w:tcW w:w="0" w:type="auto"/>
            <w:shd w:val="clear" w:color="auto" w:fill="auto"/>
          </w:tcPr>
          <w:p w14:paraId="588C8E00" w14:textId="77777777" w:rsidR="007F7013" w:rsidRPr="00E26ADF" w:rsidRDefault="007F7013" w:rsidP="005977C2">
            <w:pPr>
              <w:pStyle w:val="TblTextCenter"/>
              <w:rPr>
                <w:lang w:val="en-AU"/>
              </w:rPr>
            </w:pPr>
            <w:r w:rsidRPr="00E26ADF">
              <w:rPr>
                <w:lang w:val="en-AU"/>
              </w:rPr>
              <w:t>157</w:t>
            </w:r>
          </w:p>
        </w:tc>
        <w:tc>
          <w:tcPr>
            <w:tcW w:w="0" w:type="auto"/>
            <w:shd w:val="clear" w:color="auto" w:fill="auto"/>
          </w:tcPr>
          <w:p w14:paraId="23306BB8" w14:textId="77777777" w:rsidR="007F7013" w:rsidRPr="00E26ADF" w:rsidRDefault="007F7013" w:rsidP="005977C2">
            <w:pPr>
              <w:pStyle w:val="TblTextCenter"/>
              <w:rPr>
                <w:lang w:val="en-AU"/>
              </w:rPr>
            </w:pPr>
            <w:r w:rsidRPr="00E26ADF">
              <w:rPr>
                <w:lang w:val="en-AU"/>
              </w:rPr>
              <w:t>0.21 (14.1%)</w:t>
            </w:r>
          </w:p>
        </w:tc>
        <w:tc>
          <w:tcPr>
            <w:tcW w:w="0" w:type="auto"/>
            <w:shd w:val="clear" w:color="auto" w:fill="auto"/>
          </w:tcPr>
          <w:p w14:paraId="13A143E5" w14:textId="77777777" w:rsidR="007F7013" w:rsidRPr="00E26ADF" w:rsidRDefault="007F7013" w:rsidP="005977C2">
            <w:pPr>
              <w:pStyle w:val="TblTextCenter"/>
              <w:rPr>
                <w:lang w:val="en-AU"/>
              </w:rPr>
            </w:pPr>
          </w:p>
        </w:tc>
        <w:tc>
          <w:tcPr>
            <w:tcW w:w="0" w:type="auto"/>
            <w:shd w:val="clear" w:color="auto" w:fill="auto"/>
          </w:tcPr>
          <w:p w14:paraId="2CB657B3" w14:textId="77777777" w:rsidR="007F7013" w:rsidRPr="00E26ADF" w:rsidRDefault="007F7013" w:rsidP="005977C2">
            <w:pPr>
              <w:pStyle w:val="TblTextCenter"/>
              <w:rPr>
                <w:lang w:val="en-AU"/>
              </w:rPr>
            </w:pPr>
            <w:r w:rsidRPr="00E26ADF">
              <w:rPr>
                <w:lang w:val="en-AU"/>
              </w:rPr>
              <w:t>0.18 (13.2%)</w:t>
            </w:r>
          </w:p>
        </w:tc>
        <w:tc>
          <w:tcPr>
            <w:tcW w:w="0" w:type="auto"/>
            <w:shd w:val="clear" w:color="auto" w:fill="auto"/>
          </w:tcPr>
          <w:p w14:paraId="6A4F27A5" w14:textId="77777777" w:rsidR="007F7013" w:rsidRPr="00E26ADF" w:rsidRDefault="007F7013" w:rsidP="005977C2">
            <w:pPr>
              <w:pStyle w:val="TblTextCenter"/>
              <w:rPr>
                <w:lang w:val="en-AU"/>
              </w:rPr>
            </w:pPr>
          </w:p>
        </w:tc>
      </w:tr>
      <w:tr w:rsidR="007F7013" w:rsidRPr="00E26ADF" w14:paraId="6FAD2D5C" w14:textId="77777777" w:rsidTr="00A15F24">
        <w:trPr>
          <w:cantSplit/>
          <w:jc w:val="center"/>
        </w:trPr>
        <w:tc>
          <w:tcPr>
            <w:tcW w:w="0" w:type="auto"/>
            <w:tcBorders>
              <w:bottom w:val="nil"/>
            </w:tcBorders>
            <w:shd w:val="clear" w:color="auto" w:fill="auto"/>
          </w:tcPr>
          <w:p w14:paraId="107F0332" w14:textId="77777777" w:rsidR="007F7013" w:rsidRPr="00E26ADF" w:rsidRDefault="007F7013" w:rsidP="005977C2">
            <w:pPr>
              <w:pStyle w:val="TblTextCenter"/>
              <w:rPr>
                <w:lang w:val="en-AU"/>
              </w:rPr>
            </w:pPr>
            <w:r w:rsidRPr="00E26ADF">
              <w:rPr>
                <w:lang w:val="en-AU"/>
              </w:rPr>
              <w:t>Dupilumab 300 mg Q2W</w:t>
            </w:r>
          </w:p>
        </w:tc>
        <w:tc>
          <w:tcPr>
            <w:tcW w:w="0" w:type="auto"/>
            <w:tcBorders>
              <w:bottom w:val="nil"/>
            </w:tcBorders>
            <w:shd w:val="clear" w:color="auto" w:fill="auto"/>
          </w:tcPr>
          <w:p w14:paraId="73AA5BD2" w14:textId="77777777" w:rsidR="007F7013" w:rsidRPr="00E26ADF" w:rsidRDefault="007F7013" w:rsidP="005977C2">
            <w:pPr>
              <w:pStyle w:val="TblTextCenter"/>
              <w:rPr>
                <w:lang w:val="en-AU"/>
              </w:rPr>
            </w:pPr>
            <w:r w:rsidRPr="00E26ADF">
              <w:rPr>
                <w:lang w:val="en-AU"/>
              </w:rPr>
              <w:t>295</w:t>
            </w:r>
          </w:p>
        </w:tc>
        <w:tc>
          <w:tcPr>
            <w:tcW w:w="0" w:type="auto"/>
            <w:tcBorders>
              <w:bottom w:val="nil"/>
            </w:tcBorders>
            <w:shd w:val="clear" w:color="auto" w:fill="auto"/>
          </w:tcPr>
          <w:p w14:paraId="69916C24" w14:textId="77777777" w:rsidR="007F7013" w:rsidRPr="00E26ADF" w:rsidRDefault="007F7013" w:rsidP="005977C2">
            <w:pPr>
              <w:pStyle w:val="TblTextCenter"/>
              <w:rPr>
                <w:lang w:val="en-AU"/>
              </w:rPr>
            </w:pPr>
            <w:r w:rsidRPr="00E26ADF">
              <w:rPr>
                <w:lang w:val="en-AU"/>
              </w:rPr>
              <w:t>0.45 (29.8%)</w:t>
            </w:r>
          </w:p>
        </w:tc>
        <w:tc>
          <w:tcPr>
            <w:tcW w:w="0" w:type="auto"/>
            <w:tcBorders>
              <w:bottom w:val="nil"/>
            </w:tcBorders>
            <w:shd w:val="clear" w:color="auto" w:fill="auto"/>
          </w:tcPr>
          <w:p w14:paraId="0AEE8DCD" w14:textId="77777777" w:rsidR="007F7013" w:rsidRPr="00E26ADF" w:rsidRDefault="007F7013" w:rsidP="005977C2">
            <w:pPr>
              <w:pStyle w:val="TblTextCenter"/>
              <w:rPr>
                <w:lang w:val="en-AU"/>
              </w:rPr>
            </w:pPr>
            <w:r w:rsidRPr="00E26ADF">
              <w:rPr>
                <w:lang w:val="en-AU"/>
              </w:rPr>
              <w:t xml:space="preserve">0.24 (0.16, </w:t>
            </w:r>
            <w:proofErr w:type="gramStart"/>
            <w:r w:rsidRPr="00E26ADF">
              <w:rPr>
                <w:lang w:val="en-AU"/>
              </w:rPr>
              <w:t>0.31)</w:t>
            </w:r>
            <w:r w:rsidRPr="00A25D22">
              <w:rPr>
                <w:vertAlign w:val="superscript"/>
                <w:lang w:val="en-AU"/>
              </w:rPr>
              <w:t>a</w:t>
            </w:r>
            <w:proofErr w:type="gramEnd"/>
          </w:p>
        </w:tc>
        <w:tc>
          <w:tcPr>
            <w:tcW w:w="0" w:type="auto"/>
            <w:tcBorders>
              <w:bottom w:val="nil"/>
            </w:tcBorders>
            <w:shd w:val="clear" w:color="auto" w:fill="auto"/>
          </w:tcPr>
          <w:p w14:paraId="7CC2BA73" w14:textId="77777777" w:rsidR="007F7013" w:rsidRPr="00E26ADF" w:rsidRDefault="007F7013" w:rsidP="005977C2">
            <w:pPr>
              <w:pStyle w:val="TblTextCenter"/>
              <w:rPr>
                <w:lang w:val="en-AU"/>
              </w:rPr>
            </w:pPr>
            <w:r w:rsidRPr="00E26ADF">
              <w:rPr>
                <w:lang w:val="en-AU"/>
              </w:rPr>
              <w:t>0.45 (30.5%)</w:t>
            </w:r>
          </w:p>
        </w:tc>
        <w:tc>
          <w:tcPr>
            <w:tcW w:w="0" w:type="auto"/>
            <w:tcBorders>
              <w:bottom w:val="nil"/>
            </w:tcBorders>
            <w:shd w:val="clear" w:color="auto" w:fill="auto"/>
          </w:tcPr>
          <w:p w14:paraId="5577CAD5" w14:textId="77777777" w:rsidR="007F7013" w:rsidRPr="00E26ADF" w:rsidRDefault="007F7013" w:rsidP="005977C2">
            <w:pPr>
              <w:pStyle w:val="TblTextCenter"/>
              <w:rPr>
                <w:lang w:val="en-AU"/>
              </w:rPr>
            </w:pPr>
            <w:r w:rsidRPr="00E26ADF">
              <w:rPr>
                <w:lang w:val="en-AU"/>
              </w:rPr>
              <w:t xml:space="preserve">0.23 (0.15, </w:t>
            </w:r>
            <w:proofErr w:type="gramStart"/>
            <w:r w:rsidRPr="00E26ADF">
              <w:rPr>
                <w:lang w:val="en-AU"/>
              </w:rPr>
              <w:t>0.31)</w:t>
            </w:r>
            <w:r w:rsidRPr="00A25D22">
              <w:rPr>
                <w:vertAlign w:val="superscript"/>
                <w:lang w:val="en-AU"/>
              </w:rPr>
              <w:t>a</w:t>
            </w:r>
            <w:proofErr w:type="gramEnd"/>
          </w:p>
        </w:tc>
      </w:tr>
      <w:tr w:rsidR="007F7013" w:rsidRPr="00E26ADF" w14:paraId="114410C6" w14:textId="77777777" w:rsidTr="00F207C2">
        <w:trPr>
          <w:cantSplit/>
          <w:trHeight w:val="287"/>
          <w:jc w:val="center"/>
        </w:trPr>
        <w:tc>
          <w:tcPr>
            <w:tcW w:w="0" w:type="auto"/>
            <w:tcBorders>
              <w:top w:val="nil"/>
              <w:bottom w:val="single" w:sz="4" w:space="0" w:color="auto"/>
            </w:tcBorders>
            <w:shd w:val="clear" w:color="auto" w:fill="auto"/>
          </w:tcPr>
          <w:p w14:paraId="61B21669" w14:textId="77777777" w:rsidR="007F7013" w:rsidRPr="00E26ADF" w:rsidRDefault="007F7013" w:rsidP="005977C2">
            <w:pPr>
              <w:pStyle w:val="TblTextCenter"/>
              <w:rPr>
                <w:lang w:val="en-AU"/>
              </w:rPr>
            </w:pPr>
            <w:r w:rsidRPr="00E26ADF">
              <w:rPr>
                <w:lang w:val="en-AU"/>
              </w:rPr>
              <w:t>Placebo</w:t>
            </w:r>
          </w:p>
        </w:tc>
        <w:tc>
          <w:tcPr>
            <w:tcW w:w="0" w:type="auto"/>
            <w:tcBorders>
              <w:top w:val="nil"/>
              <w:bottom w:val="single" w:sz="4" w:space="0" w:color="auto"/>
            </w:tcBorders>
            <w:shd w:val="clear" w:color="auto" w:fill="auto"/>
          </w:tcPr>
          <w:p w14:paraId="08129AE1" w14:textId="77777777" w:rsidR="007F7013" w:rsidRPr="00E26ADF" w:rsidRDefault="007F7013" w:rsidP="005977C2">
            <w:pPr>
              <w:pStyle w:val="TblTextCenter"/>
              <w:rPr>
                <w:lang w:val="en-AU"/>
              </w:rPr>
            </w:pPr>
            <w:r w:rsidRPr="00E26ADF">
              <w:rPr>
                <w:lang w:val="en-AU"/>
              </w:rPr>
              <w:t>167</w:t>
            </w:r>
          </w:p>
        </w:tc>
        <w:tc>
          <w:tcPr>
            <w:tcW w:w="0" w:type="auto"/>
            <w:tcBorders>
              <w:top w:val="nil"/>
              <w:bottom w:val="single" w:sz="4" w:space="0" w:color="auto"/>
            </w:tcBorders>
            <w:shd w:val="clear" w:color="auto" w:fill="auto"/>
          </w:tcPr>
          <w:p w14:paraId="4CCC7052" w14:textId="77777777" w:rsidR="007F7013" w:rsidRPr="00E26ADF" w:rsidRDefault="007F7013" w:rsidP="005977C2">
            <w:pPr>
              <w:pStyle w:val="TblTextCenter"/>
              <w:rPr>
                <w:lang w:val="en-AU"/>
              </w:rPr>
            </w:pPr>
            <w:r w:rsidRPr="00E26ADF">
              <w:rPr>
                <w:lang w:val="en-AU"/>
              </w:rPr>
              <w:t>0.21 (13.7%)</w:t>
            </w:r>
          </w:p>
        </w:tc>
        <w:tc>
          <w:tcPr>
            <w:tcW w:w="0" w:type="auto"/>
            <w:tcBorders>
              <w:top w:val="nil"/>
              <w:bottom w:val="single" w:sz="4" w:space="0" w:color="auto"/>
            </w:tcBorders>
            <w:shd w:val="clear" w:color="auto" w:fill="auto"/>
          </w:tcPr>
          <w:p w14:paraId="59FDD7AC" w14:textId="77777777" w:rsidR="007F7013" w:rsidRPr="00E26ADF" w:rsidRDefault="007F7013" w:rsidP="005977C2">
            <w:pPr>
              <w:pStyle w:val="TblTextCenter"/>
              <w:rPr>
                <w:lang w:val="en-AU"/>
              </w:rPr>
            </w:pPr>
          </w:p>
        </w:tc>
        <w:tc>
          <w:tcPr>
            <w:tcW w:w="0" w:type="auto"/>
            <w:tcBorders>
              <w:top w:val="nil"/>
              <w:bottom w:val="single" w:sz="4" w:space="0" w:color="auto"/>
            </w:tcBorders>
            <w:shd w:val="clear" w:color="auto" w:fill="auto"/>
          </w:tcPr>
          <w:p w14:paraId="7A47D22C" w14:textId="77777777" w:rsidR="007F7013" w:rsidRPr="00E26ADF" w:rsidRDefault="007F7013" w:rsidP="005977C2">
            <w:pPr>
              <w:pStyle w:val="TblTextCenter"/>
              <w:rPr>
                <w:lang w:val="en-AU"/>
              </w:rPr>
            </w:pPr>
            <w:r w:rsidRPr="00E26ADF">
              <w:rPr>
                <w:lang w:val="en-AU"/>
              </w:rPr>
              <w:t>0.22 (13.6%)</w:t>
            </w:r>
          </w:p>
        </w:tc>
        <w:tc>
          <w:tcPr>
            <w:tcW w:w="0" w:type="auto"/>
            <w:tcBorders>
              <w:top w:val="nil"/>
              <w:bottom w:val="single" w:sz="4" w:space="0" w:color="auto"/>
            </w:tcBorders>
            <w:shd w:val="clear" w:color="auto" w:fill="auto"/>
          </w:tcPr>
          <w:p w14:paraId="3056E962" w14:textId="77777777" w:rsidR="007F7013" w:rsidRPr="00E26ADF" w:rsidRDefault="007F7013" w:rsidP="005977C2">
            <w:pPr>
              <w:pStyle w:val="TblTextCenter"/>
              <w:rPr>
                <w:lang w:val="en-AU"/>
              </w:rPr>
            </w:pPr>
          </w:p>
        </w:tc>
      </w:tr>
      <w:tr w:rsidR="007F7013" w:rsidRPr="00E26ADF" w14:paraId="0109A3E6" w14:textId="77777777" w:rsidTr="00F207C2">
        <w:trPr>
          <w:cantSplit/>
          <w:trHeight w:val="287"/>
          <w:jc w:val="center"/>
        </w:trPr>
        <w:tc>
          <w:tcPr>
            <w:tcW w:w="0" w:type="auto"/>
            <w:gridSpan w:val="6"/>
            <w:tcBorders>
              <w:top w:val="single" w:sz="4" w:space="0" w:color="auto"/>
              <w:bottom w:val="nil"/>
            </w:tcBorders>
            <w:shd w:val="clear" w:color="auto" w:fill="auto"/>
          </w:tcPr>
          <w:p w14:paraId="7B4429EF" w14:textId="77777777" w:rsidR="007F7013" w:rsidRPr="00A15F24" w:rsidRDefault="007F7013" w:rsidP="00F207C2">
            <w:pPr>
              <w:pStyle w:val="TblTextCenter"/>
              <w:jc w:val="left"/>
              <w:rPr>
                <w:b/>
                <w:bCs/>
                <w:lang w:val="en-AU"/>
              </w:rPr>
            </w:pPr>
            <w:proofErr w:type="spellStart"/>
            <w:r w:rsidRPr="00A15F24">
              <w:rPr>
                <w:b/>
                <w:bCs/>
                <w:lang w:val="en-AU"/>
              </w:rPr>
              <w:t>FeNO</w:t>
            </w:r>
            <w:proofErr w:type="spellEnd"/>
            <w:r w:rsidRPr="00A15F24">
              <w:rPr>
                <w:b/>
                <w:bCs/>
                <w:lang w:val="en-AU"/>
              </w:rPr>
              <w:t xml:space="preserve"> ≥ 50 ppb</w:t>
            </w:r>
          </w:p>
        </w:tc>
      </w:tr>
      <w:tr w:rsidR="007F7013" w:rsidRPr="00E26ADF" w14:paraId="0DCC4547" w14:textId="77777777" w:rsidTr="00F207C2">
        <w:trPr>
          <w:cantSplit/>
          <w:jc w:val="center"/>
        </w:trPr>
        <w:tc>
          <w:tcPr>
            <w:tcW w:w="0" w:type="auto"/>
            <w:tcBorders>
              <w:top w:val="nil"/>
            </w:tcBorders>
            <w:shd w:val="clear" w:color="auto" w:fill="auto"/>
          </w:tcPr>
          <w:p w14:paraId="69E15B96" w14:textId="77777777" w:rsidR="007F7013" w:rsidRPr="00E26ADF" w:rsidRDefault="007F7013" w:rsidP="005977C2">
            <w:pPr>
              <w:pStyle w:val="TblTextCenter"/>
              <w:rPr>
                <w:lang w:val="en-AU"/>
              </w:rPr>
            </w:pPr>
            <w:r w:rsidRPr="00E26ADF">
              <w:rPr>
                <w:lang w:val="en-AU"/>
              </w:rPr>
              <w:t>Dupilumab 200 mg Q2W</w:t>
            </w:r>
          </w:p>
        </w:tc>
        <w:tc>
          <w:tcPr>
            <w:tcW w:w="0" w:type="auto"/>
            <w:tcBorders>
              <w:top w:val="nil"/>
            </w:tcBorders>
            <w:shd w:val="clear" w:color="auto" w:fill="auto"/>
          </w:tcPr>
          <w:p w14:paraId="058369B5" w14:textId="77777777" w:rsidR="007F7013" w:rsidRPr="00E26ADF" w:rsidRDefault="007F7013" w:rsidP="005977C2">
            <w:pPr>
              <w:pStyle w:val="TblTextCenter"/>
              <w:rPr>
                <w:lang w:val="en-AU"/>
              </w:rPr>
            </w:pPr>
            <w:r w:rsidRPr="00E26ADF">
              <w:rPr>
                <w:lang w:val="en-AU"/>
              </w:rPr>
              <w:t>114</w:t>
            </w:r>
          </w:p>
        </w:tc>
        <w:tc>
          <w:tcPr>
            <w:tcW w:w="0" w:type="auto"/>
            <w:tcBorders>
              <w:top w:val="nil"/>
            </w:tcBorders>
            <w:shd w:val="clear" w:color="auto" w:fill="auto"/>
          </w:tcPr>
          <w:p w14:paraId="1D7AE606" w14:textId="77777777" w:rsidR="007F7013" w:rsidRPr="00E26ADF" w:rsidRDefault="007F7013" w:rsidP="005977C2">
            <w:pPr>
              <w:pStyle w:val="TblTextCenter"/>
              <w:rPr>
                <w:lang w:val="en-AU"/>
              </w:rPr>
            </w:pPr>
            <w:r w:rsidRPr="00E26ADF">
              <w:rPr>
                <w:lang w:val="en-AU"/>
              </w:rPr>
              <w:t>0.53 (33.5%)</w:t>
            </w:r>
          </w:p>
        </w:tc>
        <w:tc>
          <w:tcPr>
            <w:tcW w:w="0" w:type="auto"/>
            <w:tcBorders>
              <w:top w:val="nil"/>
            </w:tcBorders>
            <w:shd w:val="clear" w:color="auto" w:fill="auto"/>
          </w:tcPr>
          <w:p w14:paraId="0ED74089" w14:textId="77777777" w:rsidR="007F7013" w:rsidRPr="00E26ADF" w:rsidRDefault="007F7013" w:rsidP="005977C2">
            <w:pPr>
              <w:pStyle w:val="TblTextCenter"/>
              <w:rPr>
                <w:lang w:val="en-AU"/>
              </w:rPr>
            </w:pPr>
            <w:r w:rsidRPr="00E26ADF">
              <w:rPr>
                <w:lang w:val="en-AU"/>
              </w:rPr>
              <w:t xml:space="preserve">0.30 (0.17, </w:t>
            </w:r>
            <w:proofErr w:type="gramStart"/>
            <w:r w:rsidRPr="00E26ADF">
              <w:rPr>
                <w:lang w:val="en-AU"/>
              </w:rPr>
              <w:t>0.44)</w:t>
            </w:r>
            <w:r w:rsidRPr="00A25D22">
              <w:rPr>
                <w:vertAlign w:val="superscript"/>
                <w:lang w:val="en-AU"/>
              </w:rPr>
              <w:t>a</w:t>
            </w:r>
            <w:proofErr w:type="gramEnd"/>
          </w:p>
        </w:tc>
        <w:tc>
          <w:tcPr>
            <w:tcW w:w="0" w:type="auto"/>
            <w:tcBorders>
              <w:top w:val="nil"/>
            </w:tcBorders>
            <w:shd w:val="clear" w:color="auto" w:fill="auto"/>
          </w:tcPr>
          <w:p w14:paraId="72D37EC4" w14:textId="77777777" w:rsidR="007F7013" w:rsidRPr="00E26ADF" w:rsidRDefault="007F7013" w:rsidP="005977C2">
            <w:pPr>
              <w:pStyle w:val="TblTextCenter"/>
              <w:rPr>
                <w:lang w:val="en-AU"/>
              </w:rPr>
            </w:pPr>
            <w:r w:rsidRPr="00E26ADF">
              <w:rPr>
                <w:lang w:val="en-AU"/>
              </w:rPr>
              <w:t>0.59 (36.4%)</w:t>
            </w:r>
          </w:p>
        </w:tc>
        <w:tc>
          <w:tcPr>
            <w:tcW w:w="0" w:type="auto"/>
            <w:tcBorders>
              <w:top w:val="nil"/>
            </w:tcBorders>
            <w:shd w:val="clear" w:color="auto" w:fill="auto"/>
          </w:tcPr>
          <w:p w14:paraId="36B30B7B" w14:textId="77777777" w:rsidR="007F7013" w:rsidRPr="00E26ADF" w:rsidRDefault="007F7013" w:rsidP="005977C2">
            <w:pPr>
              <w:pStyle w:val="TblTextCenter"/>
              <w:rPr>
                <w:lang w:val="en-AU"/>
              </w:rPr>
            </w:pPr>
            <w:r w:rsidRPr="00E26ADF">
              <w:rPr>
                <w:lang w:val="en-AU"/>
              </w:rPr>
              <w:t xml:space="preserve">0.38 (0.24, </w:t>
            </w:r>
            <w:proofErr w:type="gramStart"/>
            <w:r w:rsidRPr="00E26ADF">
              <w:rPr>
                <w:lang w:val="en-AU"/>
              </w:rPr>
              <w:t>0.53)</w:t>
            </w:r>
            <w:r w:rsidRPr="00A25D22">
              <w:rPr>
                <w:vertAlign w:val="superscript"/>
                <w:lang w:val="en-AU"/>
              </w:rPr>
              <w:t>a</w:t>
            </w:r>
            <w:proofErr w:type="gramEnd"/>
          </w:p>
        </w:tc>
      </w:tr>
      <w:tr w:rsidR="007F7013" w:rsidRPr="00E26ADF" w14:paraId="798EF912" w14:textId="77777777" w:rsidTr="005977C2">
        <w:trPr>
          <w:cantSplit/>
          <w:trHeight w:val="70"/>
          <w:jc w:val="center"/>
        </w:trPr>
        <w:tc>
          <w:tcPr>
            <w:tcW w:w="0" w:type="auto"/>
            <w:shd w:val="clear" w:color="auto" w:fill="auto"/>
          </w:tcPr>
          <w:p w14:paraId="708A753B" w14:textId="77777777" w:rsidR="007F7013" w:rsidRPr="00E26ADF" w:rsidRDefault="007F7013" w:rsidP="005977C2">
            <w:pPr>
              <w:pStyle w:val="TblTextCenter"/>
              <w:rPr>
                <w:lang w:val="en-AU"/>
              </w:rPr>
            </w:pPr>
            <w:r w:rsidRPr="00E26ADF">
              <w:rPr>
                <w:lang w:val="en-AU"/>
              </w:rPr>
              <w:t xml:space="preserve">Placebo </w:t>
            </w:r>
          </w:p>
        </w:tc>
        <w:tc>
          <w:tcPr>
            <w:tcW w:w="0" w:type="auto"/>
            <w:shd w:val="clear" w:color="auto" w:fill="auto"/>
          </w:tcPr>
          <w:p w14:paraId="0AC03A5E" w14:textId="77777777" w:rsidR="007F7013" w:rsidRPr="00E26ADF" w:rsidRDefault="007F7013" w:rsidP="005977C2">
            <w:pPr>
              <w:pStyle w:val="TblTextCenter"/>
              <w:rPr>
                <w:lang w:val="en-AU"/>
              </w:rPr>
            </w:pPr>
            <w:r w:rsidRPr="00E26ADF">
              <w:rPr>
                <w:lang w:val="en-AU"/>
              </w:rPr>
              <w:t>69</w:t>
            </w:r>
          </w:p>
        </w:tc>
        <w:tc>
          <w:tcPr>
            <w:tcW w:w="0" w:type="auto"/>
            <w:shd w:val="clear" w:color="auto" w:fill="auto"/>
          </w:tcPr>
          <w:p w14:paraId="0B8BEB36" w14:textId="77777777" w:rsidR="007F7013" w:rsidRPr="00E26ADF" w:rsidRDefault="007F7013" w:rsidP="005977C2">
            <w:pPr>
              <w:pStyle w:val="TblTextCenter"/>
              <w:rPr>
                <w:lang w:val="en-AU"/>
              </w:rPr>
            </w:pPr>
            <w:r w:rsidRPr="00E26ADF">
              <w:rPr>
                <w:lang w:val="en-AU"/>
              </w:rPr>
              <w:t>0.23 (14.9%)</w:t>
            </w:r>
          </w:p>
        </w:tc>
        <w:tc>
          <w:tcPr>
            <w:tcW w:w="0" w:type="auto"/>
            <w:shd w:val="clear" w:color="auto" w:fill="auto"/>
          </w:tcPr>
          <w:p w14:paraId="11CB3FE6" w14:textId="77777777" w:rsidR="007F7013" w:rsidRPr="00E26ADF" w:rsidRDefault="007F7013" w:rsidP="005977C2">
            <w:pPr>
              <w:pStyle w:val="TblTextCenter"/>
              <w:rPr>
                <w:lang w:val="en-AU"/>
              </w:rPr>
            </w:pPr>
          </w:p>
        </w:tc>
        <w:tc>
          <w:tcPr>
            <w:tcW w:w="0" w:type="auto"/>
            <w:shd w:val="clear" w:color="auto" w:fill="auto"/>
          </w:tcPr>
          <w:p w14:paraId="3D5F26C2" w14:textId="77777777" w:rsidR="007F7013" w:rsidRPr="00E26ADF" w:rsidRDefault="007F7013" w:rsidP="005977C2">
            <w:pPr>
              <w:pStyle w:val="TblTextCenter"/>
              <w:rPr>
                <w:lang w:val="en-AU"/>
              </w:rPr>
            </w:pPr>
            <w:r w:rsidRPr="00E26ADF">
              <w:rPr>
                <w:lang w:val="en-AU"/>
              </w:rPr>
              <w:t>0.21 (14.6%)</w:t>
            </w:r>
          </w:p>
        </w:tc>
        <w:tc>
          <w:tcPr>
            <w:tcW w:w="0" w:type="auto"/>
            <w:shd w:val="clear" w:color="auto" w:fill="auto"/>
          </w:tcPr>
          <w:p w14:paraId="065EAFE8" w14:textId="77777777" w:rsidR="007F7013" w:rsidRPr="00E26ADF" w:rsidRDefault="007F7013" w:rsidP="005977C2">
            <w:pPr>
              <w:pStyle w:val="TblTextCenter"/>
              <w:rPr>
                <w:lang w:val="en-AU"/>
              </w:rPr>
            </w:pPr>
          </w:p>
        </w:tc>
      </w:tr>
      <w:tr w:rsidR="007F7013" w:rsidRPr="00E26ADF" w14:paraId="4EF7E0A6" w14:textId="77777777" w:rsidTr="005977C2">
        <w:trPr>
          <w:cantSplit/>
          <w:trHeight w:val="359"/>
          <w:jc w:val="center"/>
        </w:trPr>
        <w:tc>
          <w:tcPr>
            <w:tcW w:w="0" w:type="auto"/>
            <w:shd w:val="clear" w:color="auto" w:fill="auto"/>
          </w:tcPr>
          <w:p w14:paraId="7CF624AA" w14:textId="77777777" w:rsidR="007F7013" w:rsidRPr="00E26ADF" w:rsidRDefault="007F7013" w:rsidP="005977C2">
            <w:pPr>
              <w:pStyle w:val="TblTextCenter"/>
              <w:rPr>
                <w:lang w:val="en-AU"/>
              </w:rPr>
            </w:pPr>
            <w:r w:rsidRPr="00E26ADF">
              <w:rPr>
                <w:lang w:val="en-AU"/>
              </w:rPr>
              <w:t>Dupilumab 300 mg Q2W</w:t>
            </w:r>
          </w:p>
        </w:tc>
        <w:tc>
          <w:tcPr>
            <w:tcW w:w="0" w:type="auto"/>
            <w:shd w:val="clear" w:color="auto" w:fill="auto"/>
          </w:tcPr>
          <w:p w14:paraId="09E99B27" w14:textId="77777777" w:rsidR="007F7013" w:rsidRPr="00E26ADF" w:rsidRDefault="007F7013" w:rsidP="005977C2">
            <w:pPr>
              <w:pStyle w:val="TblTextCenter"/>
              <w:rPr>
                <w:lang w:val="en-AU"/>
              </w:rPr>
            </w:pPr>
            <w:r w:rsidRPr="00E26ADF">
              <w:rPr>
                <w:lang w:val="en-AU"/>
              </w:rPr>
              <w:t>113</w:t>
            </w:r>
          </w:p>
        </w:tc>
        <w:tc>
          <w:tcPr>
            <w:tcW w:w="0" w:type="auto"/>
            <w:shd w:val="clear" w:color="auto" w:fill="auto"/>
          </w:tcPr>
          <w:p w14:paraId="61F1D15A" w14:textId="77777777" w:rsidR="007F7013" w:rsidRPr="00E26ADF" w:rsidRDefault="007F7013" w:rsidP="005977C2">
            <w:pPr>
              <w:pStyle w:val="TblTextCenter"/>
              <w:rPr>
                <w:lang w:val="en-AU"/>
              </w:rPr>
            </w:pPr>
            <w:r w:rsidRPr="00E26ADF">
              <w:rPr>
                <w:lang w:val="en-AU"/>
              </w:rPr>
              <w:t>0.59 (37.6%)</w:t>
            </w:r>
          </w:p>
        </w:tc>
        <w:tc>
          <w:tcPr>
            <w:tcW w:w="0" w:type="auto"/>
            <w:shd w:val="clear" w:color="auto" w:fill="auto"/>
          </w:tcPr>
          <w:p w14:paraId="14F94DA7" w14:textId="77777777" w:rsidR="007F7013" w:rsidRPr="00E26ADF" w:rsidRDefault="007F7013" w:rsidP="005977C2">
            <w:pPr>
              <w:pStyle w:val="TblTextCenter"/>
              <w:rPr>
                <w:lang w:val="en-AU"/>
              </w:rPr>
            </w:pPr>
            <w:r w:rsidRPr="00E26ADF">
              <w:rPr>
                <w:lang w:val="en-AU"/>
              </w:rPr>
              <w:t xml:space="preserve">0.39 (0.26, </w:t>
            </w:r>
            <w:proofErr w:type="gramStart"/>
            <w:r w:rsidRPr="00E26ADF">
              <w:rPr>
                <w:lang w:val="en-AU"/>
              </w:rPr>
              <w:t>0.52)</w:t>
            </w:r>
            <w:r w:rsidRPr="00A25D22">
              <w:rPr>
                <w:vertAlign w:val="superscript"/>
                <w:lang w:val="en-AU"/>
              </w:rPr>
              <w:t>a</w:t>
            </w:r>
            <w:proofErr w:type="gramEnd"/>
          </w:p>
        </w:tc>
        <w:tc>
          <w:tcPr>
            <w:tcW w:w="0" w:type="auto"/>
            <w:shd w:val="clear" w:color="auto" w:fill="auto"/>
          </w:tcPr>
          <w:p w14:paraId="3B24BEFC" w14:textId="77777777" w:rsidR="007F7013" w:rsidRPr="00E26ADF" w:rsidRDefault="007F7013" w:rsidP="005977C2">
            <w:pPr>
              <w:pStyle w:val="TblTextCenter"/>
              <w:rPr>
                <w:lang w:val="en-AU"/>
              </w:rPr>
            </w:pPr>
            <w:r w:rsidRPr="00E26ADF">
              <w:rPr>
                <w:lang w:val="en-AU"/>
              </w:rPr>
              <w:t>0.55 (35.8%)</w:t>
            </w:r>
          </w:p>
        </w:tc>
        <w:tc>
          <w:tcPr>
            <w:tcW w:w="0" w:type="auto"/>
            <w:shd w:val="clear" w:color="auto" w:fill="auto"/>
          </w:tcPr>
          <w:p w14:paraId="0BBF8FAF" w14:textId="77777777" w:rsidR="007F7013" w:rsidRPr="00E26ADF" w:rsidRDefault="007F7013" w:rsidP="005977C2">
            <w:pPr>
              <w:pStyle w:val="TblTextCenter"/>
              <w:rPr>
                <w:lang w:val="en-AU"/>
              </w:rPr>
            </w:pPr>
            <w:r w:rsidRPr="00E26ADF">
              <w:rPr>
                <w:lang w:val="en-AU"/>
              </w:rPr>
              <w:t xml:space="preserve">0.30 (0.16, </w:t>
            </w:r>
            <w:proofErr w:type="gramStart"/>
            <w:r w:rsidRPr="00E26ADF">
              <w:rPr>
                <w:lang w:val="en-AU"/>
              </w:rPr>
              <w:t>0.44)</w:t>
            </w:r>
            <w:r w:rsidRPr="00A25D22">
              <w:rPr>
                <w:vertAlign w:val="superscript"/>
                <w:lang w:val="en-AU"/>
              </w:rPr>
              <w:t>a</w:t>
            </w:r>
            <w:proofErr w:type="gramEnd"/>
          </w:p>
        </w:tc>
      </w:tr>
      <w:tr w:rsidR="005977C2" w:rsidRPr="00E26ADF" w14:paraId="4666F8DB" w14:textId="77777777" w:rsidTr="005977C2">
        <w:trPr>
          <w:cantSplit/>
          <w:trHeight w:val="70"/>
          <w:jc w:val="center"/>
        </w:trPr>
        <w:tc>
          <w:tcPr>
            <w:tcW w:w="0" w:type="auto"/>
            <w:tcBorders>
              <w:bottom w:val="single" w:sz="12" w:space="0" w:color="auto"/>
            </w:tcBorders>
            <w:shd w:val="clear" w:color="auto" w:fill="auto"/>
          </w:tcPr>
          <w:p w14:paraId="1672235D" w14:textId="77777777" w:rsidR="007F7013" w:rsidRPr="00E26ADF" w:rsidRDefault="007F7013" w:rsidP="005977C2">
            <w:pPr>
              <w:pStyle w:val="TblTextCenter"/>
              <w:rPr>
                <w:lang w:val="en-AU"/>
              </w:rPr>
            </w:pPr>
            <w:r w:rsidRPr="00E26ADF">
              <w:rPr>
                <w:lang w:val="en-AU"/>
              </w:rPr>
              <w:t>Placebo</w:t>
            </w:r>
          </w:p>
        </w:tc>
        <w:tc>
          <w:tcPr>
            <w:tcW w:w="0" w:type="auto"/>
            <w:tcBorders>
              <w:bottom w:val="single" w:sz="12" w:space="0" w:color="auto"/>
            </w:tcBorders>
            <w:shd w:val="clear" w:color="auto" w:fill="auto"/>
          </w:tcPr>
          <w:p w14:paraId="33C35F35" w14:textId="77777777" w:rsidR="007F7013" w:rsidRPr="00E26ADF" w:rsidRDefault="007F7013" w:rsidP="005977C2">
            <w:pPr>
              <w:pStyle w:val="TblTextCenter"/>
              <w:rPr>
                <w:lang w:val="en-AU"/>
              </w:rPr>
            </w:pPr>
            <w:r w:rsidRPr="00E26ADF">
              <w:rPr>
                <w:lang w:val="en-AU"/>
              </w:rPr>
              <w:t>73</w:t>
            </w:r>
          </w:p>
        </w:tc>
        <w:tc>
          <w:tcPr>
            <w:tcW w:w="0" w:type="auto"/>
            <w:tcBorders>
              <w:bottom w:val="single" w:sz="12" w:space="0" w:color="auto"/>
            </w:tcBorders>
            <w:shd w:val="clear" w:color="auto" w:fill="auto"/>
          </w:tcPr>
          <w:p w14:paraId="69284579" w14:textId="77777777" w:rsidR="007F7013" w:rsidRPr="00E26ADF" w:rsidRDefault="007F7013" w:rsidP="005977C2">
            <w:pPr>
              <w:pStyle w:val="TblTextCenter"/>
              <w:rPr>
                <w:lang w:val="en-AU"/>
              </w:rPr>
            </w:pPr>
            <w:r w:rsidRPr="00E26ADF">
              <w:rPr>
                <w:lang w:val="en-AU"/>
              </w:rPr>
              <w:t>0.19 (13.0%)</w:t>
            </w:r>
          </w:p>
        </w:tc>
        <w:tc>
          <w:tcPr>
            <w:tcW w:w="0" w:type="auto"/>
            <w:tcBorders>
              <w:bottom w:val="single" w:sz="12" w:space="0" w:color="auto"/>
            </w:tcBorders>
            <w:shd w:val="clear" w:color="auto" w:fill="auto"/>
          </w:tcPr>
          <w:p w14:paraId="48FE2F43" w14:textId="77777777" w:rsidR="007F7013" w:rsidRPr="00E26ADF" w:rsidRDefault="007F7013" w:rsidP="005977C2">
            <w:pPr>
              <w:pStyle w:val="TblTextCenter"/>
              <w:rPr>
                <w:lang w:val="en-AU"/>
              </w:rPr>
            </w:pPr>
          </w:p>
        </w:tc>
        <w:tc>
          <w:tcPr>
            <w:tcW w:w="0" w:type="auto"/>
            <w:tcBorders>
              <w:bottom w:val="single" w:sz="12" w:space="0" w:color="auto"/>
            </w:tcBorders>
            <w:shd w:val="clear" w:color="auto" w:fill="auto"/>
          </w:tcPr>
          <w:p w14:paraId="5A68044A" w14:textId="77777777" w:rsidR="007F7013" w:rsidRPr="00E26ADF" w:rsidRDefault="007F7013" w:rsidP="005977C2">
            <w:pPr>
              <w:pStyle w:val="TblTextCenter"/>
              <w:rPr>
                <w:lang w:val="en-AU"/>
              </w:rPr>
            </w:pPr>
            <w:r w:rsidRPr="00E26ADF">
              <w:rPr>
                <w:lang w:val="en-AU"/>
              </w:rPr>
              <w:t>0.25 (13.6%)</w:t>
            </w:r>
          </w:p>
        </w:tc>
        <w:tc>
          <w:tcPr>
            <w:tcW w:w="0" w:type="auto"/>
            <w:tcBorders>
              <w:bottom w:val="single" w:sz="12" w:space="0" w:color="auto"/>
            </w:tcBorders>
            <w:shd w:val="clear" w:color="auto" w:fill="auto"/>
          </w:tcPr>
          <w:p w14:paraId="63797AC0" w14:textId="77777777" w:rsidR="007F7013" w:rsidRPr="00E26ADF" w:rsidRDefault="007F7013" w:rsidP="005977C2">
            <w:pPr>
              <w:pStyle w:val="TblTextCenter"/>
              <w:rPr>
                <w:lang w:val="en-AU"/>
              </w:rPr>
            </w:pPr>
          </w:p>
        </w:tc>
      </w:tr>
      <w:tr w:rsidR="005977C2" w:rsidRPr="00E26ADF" w14:paraId="2DEEA300" w14:textId="77777777" w:rsidTr="005977C2">
        <w:trPr>
          <w:cantSplit/>
          <w:trHeight w:val="70"/>
          <w:jc w:val="center"/>
        </w:trPr>
        <w:tc>
          <w:tcPr>
            <w:tcW w:w="0" w:type="auto"/>
            <w:gridSpan w:val="6"/>
            <w:tcBorders>
              <w:top w:val="single" w:sz="12" w:space="0" w:color="auto"/>
            </w:tcBorders>
            <w:shd w:val="clear" w:color="auto" w:fill="auto"/>
          </w:tcPr>
          <w:p w14:paraId="290E2F3F" w14:textId="25626484" w:rsidR="00F300E0" w:rsidRPr="006D571E" w:rsidRDefault="00F300E0" w:rsidP="00F300E0">
            <w:pPr>
              <w:rPr>
                <w:sz w:val="20"/>
              </w:rPr>
            </w:pPr>
            <w:r>
              <w:rPr>
                <w:sz w:val="20"/>
                <w:vertAlign w:val="superscript"/>
              </w:rPr>
              <w:t xml:space="preserve">a </w:t>
            </w:r>
            <w:r w:rsidRPr="00A25D22">
              <w:rPr>
                <w:rFonts w:ascii="Arial Narrow" w:hAnsi="Arial Narrow"/>
                <w:sz w:val="20"/>
              </w:rPr>
              <w:t>p-value &lt; 0.0001</w:t>
            </w:r>
          </w:p>
          <w:p w14:paraId="24821865" w14:textId="77777777" w:rsidR="005977C2" w:rsidRPr="00E26ADF" w:rsidRDefault="005977C2" w:rsidP="005977C2">
            <w:pPr>
              <w:pStyle w:val="TblFigFootnote"/>
              <w:rPr>
                <w:lang w:val="en-AU"/>
              </w:rPr>
            </w:pPr>
          </w:p>
        </w:tc>
      </w:tr>
    </w:tbl>
    <w:p w14:paraId="3EE3CECE" w14:textId="5AFEAF7A" w:rsidR="005977C2" w:rsidRPr="00E26ADF" w:rsidRDefault="005977C2" w:rsidP="005977C2">
      <w:pPr>
        <w:pStyle w:val="Caption"/>
        <w:rPr>
          <w:rFonts w:eastAsia="MS Mincho"/>
          <w:lang w:val="en-AU"/>
        </w:rPr>
      </w:pPr>
      <w:bookmarkStart w:id="35" w:name="_Ref525399883"/>
      <w:r w:rsidRPr="00E26ADF">
        <w:rPr>
          <w:rFonts w:eastAsia="MS Mincho"/>
          <w:lang w:val="en-AU"/>
        </w:rPr>
        <w:t xml:space="preserve"> </w:t>
      </w:r>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9</w:t>
      </w:r>
      <w:r w:rsidRPr="00E26ADF">
        <w:rPr>
          <w:lang w:val="en-AU"/>
        </w:rPr>
        <w:fldChar w:fldCharType="end"/>
      </w:r>
      <w:r w:rsidRPr="00E26ADF">
        <w:rPr>
          <w:lang w:val="en-AU"/>
        </w:rPr>
        <w:t xml:space="preserve"> ­ </w:t>
      </w:r>
      <w:r w:rsidRPr="00E26ADF">
        <w:rPr>
          <w:rFonts w:eastAsia="MS Mincho"/>
          <w:lang w:val="en-AU"/>
        </w:rPr>
        <w:t xml:space="preserve">LS </w:t>
      </w:r>
      <w:r w:rsidRPr="00E26ADF">
        <w:rPr>
          <w:lang w:val="en-AU"/>
        </w:rPr>
        <w:t>Mean Difference in Change from Baseline vs Placebo to Week 12 in Pre-Bronchodilator FEV</w:t>
      </w:r>
      <w:r w:rsidRPr="00E26ADF">
        <w:rPr>
          <w:vertAlign w:val="subscript"/>
          <w:lang w:val="en-AU"/>
        </w:rPr>
        <w:t>1</w:t>
      </w:r>
      <w:r w:rsidRPr="00E26ADF">
        <w:rPr>
          <w:lang w:val="en-AU"/>
        </w:rPr>
        <w:t xml:space="preserve"> across Baseline Blood Eosinophil Counts (cells/</w:t>
      </w:r>
      <w:proofErr w:type="spellStart"/>
      <w:r w:rsidRPr="00E26ADF">
        <w:rPr>
          <w:lang w:val="en-AU"/>
        </w:rPr>
        <w:t>mcL</w:t>
      </w:r>
      <w:proofErr w:type="spellEnd"/>
      <w:r w:rsidRPr="00E26ADF">
        <w:rPr>
          <w:lang w:val="en-AU"/>
        </w:rPr>
        <w:t>) in Quest</w:t>
      </w:r>
    </w:p>
    <w:bookmarkEnd w:id="35"/>
    <w:p w14:paraId="4721F222" w14:textId="094FF27D" w:rsidR="00D05A1C" w:rsidRPr="00E26ADF" w:rsidRDefault="00D05A1C" w:rsidP="00D05A1C">
      <w:pPr>
        <w:pStyle w:val="C-BodyText"/>
        <w:rPr>
          <w:lang w:val="en-AU"/>
        </w:rPr>
      </w:pPr>
      <w:r w:rsidRPr="00E26ADF">
        <w:rPr>
          <w:noProof/>
          <w:lang w:val="en-AU" w:eastAsia="en-AU"/>
        </w:rPr>
        <w:drawing>
          <wp:inline distT="0" distB="0" distL="0" distR="0" wp14:anchorId="7C52E913" wp14:editId="13C47F3B">
            <wp:extent cx="5943600" cy="306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069590"/>
                    </a:xfrm>
                    <a:prstGeom prst="rect">
                      <a:avLst/>
                    </a:prstGeom>
                  </pic:spPr>
                </pic:pic>
              </a:graphicData>
            </a:graphic>
          </wp:inline>
        </w:drawing>
      </w:r>
    </w:p>
    <w:p w14:paraId="3B44394B" w14:textId="77777777" w:rsidR="009D4DB8" w:rsidRDefault="009D4DB8" w:rsidP="00CE00B3"/>
    <w:p w14:paraId="7DB556E7" w14:textId="6FBDDE3E" w:rsidR="009D4DB8" w:rsidRPr="009D4DB8" w:rsidRDefault="009D4DB8" w:rsidP="00CE00B3">
      <w:pPr>
        <w:rPr>
          <w:i/>
          <w:iCs/>
          <w:color w:val="008000"/>
        </w:rPr>
      </w:pPr>
    </w:p>
    <w:p w14:paraId="31DC8563" w14:textId="1426E60A" w:rsidR="00721C58" w:rsidRPr="00E26ADF" w:rsidRDefault="00721C58" w:rsidP="00CE00B3">
      <w:r w:rsidRPr="00E26ADF">
        <w:t>Significant improvements in FEV1 were observed as early as Week 2 (DRI12544, Quest, and Venture) following the first dose of Dupixent for both the 200 mg and 300 mg dose strengths and were maintained through Week 24 (DRI12544 and Venture) and Week 52 (Quest) (</w:t>
      </w:r>
      <w:r w:rsidR="00063A1E" w:rsidRPr="00063A1E">
        <w:rPr>
          <w:color w:val="0000FF"/>
        </w:rPr>
        <w:fldChar w:fldCharType="begin"/>
      </w:r>
      <w:r w:rsidR="00063A1E" w:rsidRPr="00063A1E">
        <w:rPr>
          <w:color w:val="0000FF"/>
        </w:rPr>
        <w:instrText xml:space="preserve"> REF _Ref22592838 \h  \* MERGEFORMAT </w:instrText>
      </w:r>
      <w:r w:rsidR="00063A1E" w:rsidRPr="00063A1E">
        <w:rPr>
          <w:color w:val="0000FF"/>
        </w:rPr>
      </w:r>
      <w:r w:rsidR="00063A1E" w:rsidRPr="00063A1E">
        <w:rPr>
          <w:color w:val="0000FF"/>
        </w:rPr>
        <w:fldChar w:fldCharType="separate"/>
      </w:r>
      <w:r w:rsidR="00E123A5" w:rsidRPr="00E123A5">
        <w:rPr>
          <w:color w:val="0000FF"/>
        </w:rPr>
        <w:t>Figure 10</w:t>
      </w:r>
      <w:r w:rsidR="00063A1E" w:rsidRPr="00063A1E">
        <w:rPr>
          <w:color w:val="0000FF"/>
        </w:rPr>
        <w:fldChar w:fldCharType="end"/>
      </w:r>
      <w:r w:rsidRPr="00E26ADF">
        <w:t>).</w:t>
      </w:r>
    </w:p>
    <w:p w14:paraId="735A4FBB" w14:textId="6A0BB9D7" w:rsidR="005977C2" w:rsidRPr="00E26ADF" w:rsidRDefault="005977C2" w:rsidP="005977C2">
      <w:pPr>
        <w:pStyle w:val="Caption"/>
        <w:rPr>
          <w:lang w:val="en-AU"/>
        </w:rPr>
      </w:pPr>
      <w:bookmarkStart w:id="36" w:name="_Ref22592838"/>
      <w:r w:rsidRPr="00E26ADF">
        <w:rPr>
          <w:lang w:val="en-AU"/>
        </w:rPr>
        <w:t>Figure </w:t>
      </w:r>
      <w:r w:rsidRPr="00E26ADF">
        <w:rPr>
          <w:lang w:val="en-AU"/>
        </w:rPr>
        <w:fldChar w:fldCharType="begin"/>
      </w:r>
      <w:r w:rsidRPr="00E26ADF">
        <w:rPr>
          <w:lang w:val="en-AU"/>
        </w:rPr>
        <w:instrText xml:space="preserve"> SEQ Figure \* ARABIC </w:instrText>
      </w:r>
      <w:r w:rsidRPr="00E26ADF">
        <w:rPr>
          <w:lang w:val="en-AU"/>
        </w:rPr>
        <w:fldChar w:fldCharType="separate"/>
      </w:r>
      <w:r w:rsidR="00E123A5">
        <w:rPr>
          <w:noProof/>
          <w:lang w:val="en-AU"/>
        </w:rPr>
        <w:t>10</w:t>
      </w:r>
      <w:r w:rsidRPr="00E26ADF">
        <w:rPr>
          <w:lang w:val="en-AU"/>
        </w:rPr>
        <w:fldChar w:fldCharType="end"/>
      </w:r>
      <w:bookmarkEnd w:id="36"/>
      <w:r w:rsidRPr="00E26ADF">
        <w:rPr>
          <w:lang w:val="en-AU"/>
        </w:rPr>
        <w:t xml:space="preserve"> ­ Mean Change from Baseline in Pre-Bronchodilator FEV1 (L) Over Time (Overall </w:t>
      </w:r>
      <w:proofErr w:type="spellStart"/>
      <w:r w:rsidRPr="00E26ADF">
        <w:rPr>
          <w:lang w:val="en-AU"/>
        </w:rPr>
        <w:t>Population</w:t>
      </w:r>
      <w:r w:rsidRPr="00E26ADF">
        <w:rPr>
          <w:vertAlign w:val="superscript"/>
          <w:lang w:val="en-AU"/>
        </w:rPr>
        <w:t>a</w:t>
      </w:r>
      <w:proofErr w:type="spellEnd"/>
      <w:r w:rsidRPr="00E26ADF">
        <w:rPr>
          <w:lang w:val="en-AU"/>
        </w:rPr>
        <w:t xml:space="preserve"> and Baseline Eosinophils ≥ 300 cells/</w:t>
      </w:r>
      <w:proofErr w:type="spellStart"/>
      <w:r w:rsidRPr="00E26ADF">
        <w:rPr>
          <w:lang w:val="en-AU"/>
        </w:rPr>
        <w:t>mcL</w:t>
      </w:r>
      <w:proofErr w:type="spellEnd"/>
    </w:p>
    <w:p w14:paraId="6F49462C" w14:textId="4BC1D8C6" w:rsidR="00721C58" w:rsidRPr="00E26ADF" w:rsidRDefault="00721C58" w:rsidP="00721C58">
      <w:pPr>
        <w:spacing w:before="0"/>
        <w:jc w:val="center"/>
      </w:pPr>
      <w:r w:rsidRPr="00E26ADF">
        <w:rPr>
          <w:noProof/>
          <w:lang w:eastAsia="en-AU"/>
        </w:rPr>
        <w:drawing>
          <wp:inline distT="0" distB="0" distL="0" distR="0" wp14:anchorId="0B70205C" wp14:editId="04EE79C3">
            <wp:extent cx="5731510" cy="5881102"/>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881102"/>
                    </a:xfrm>
                    <a:prstGeom prst="rect">
                      <a:avLst/>
                    </a:prstGeom>
                    <a:noFill/>
                    <a:ln>
                      <a:noFill/>
                    </a:ln>
                  </pic:spPr>
                </pic:pic>
              </a:graphicData>
            </a:graphic>
          </wp:inline>
        </w:drawing>
      </w:r>
    </w:p>
    <w:p w14:paraId="66A600D7" w14:textId="1ACAF2CE" w:rsidR="00721C58" w:rsidRPr="00E26ADF" w:rsidRDefault="00BD7833" w:rsidP="00721C58">
      <w:pPr>
        <w:rPr>
          <w:rFonts w:ascii="Arial Narrow" w:eastAsia="MS Gothic" w:hAnsi="Arial Narrow"/>
          <w:color w:val="auto"/>
          <w:sz w:val="18"/>
          <w:szCs w:val="20"/>
        </w:rPr>
      </w:pPr>
      <w:proofErr w:type="spellStart"/>
      <w:proofErr w:type="gramStart"/>
      <w:r w:rsidRPr="00E26ADF">
        <w:rPr>
          <w:rFonts w:ascii="Arial Narrow" w:eastAsia="MS Gothic" w:hAnsi="Arial Narrow"/>
          <w:color w:val="auto"/>
          <w:sz w:val="18"/>
          <w:szCs w:val="20"/>
        </w:rPr>
        <w:t>a</w:t>
      </w:r>
      <w:proofErr w:type="spellEnd"/>
      <w:proofErr w:type="gramEnd"/>
      <w:r w:rsidRPr="00E26ADF">
        <w:rPr>
          <w:rFonts w:ascii="Arial Narrow" w:eastAsia="MS Gothic" w:hAnsi="Arial Narrow"/>
          <w:color w:val="auto"/>
          <w:sz w:val="18"/>
          <w:szCs w:val="20"/>
        </w:rPr>
        <w:t xml:space="preserve"> </w:t>
      </w:r>
      <w:r w:rsidR="00721C58" w:rsidRPr="00E26ADF">
        <w:rPr>
          <w:rFonts w:ascii="Arial Narrow" w:eastAsia="MS Gothic" w:hAnsi="Arial Narrow"/>
          <w:color w:val="auto"/>
          <w:sz w:val="18"/>
          <w:szCs w:val="20"/>
        </w:rPr>
        <w:t>Overall population is unrestricted by minimum baseline eosinophils or other Type 2 biomarkers.</w:t>
      </w:r>
    </w:p>
    <w:p w14:paraId="780E7F30" w14:textId="77777777" w:rsidR="00721C58" w:rsidRPr="00E26ADF" w:rsidRDefault="00721C58" w:rsidP="00E9483F">
      <w:pPr>
        <w:pStyle w:val="Heading5"/>
        <w:numPr>
          <w:ilvl w:val="0"/>
          <w:numId w:val="0"/>
        </w:numPr>
        <w:ind w:left="1009" w:hanging="1009"/>
        <w:rPr>
          <w:lang w:val="en-AU"/>
        </w:rPr>
      </w:pPr>
      <w:r w:rsidRPr="00E26ADF">
        <w:rPr>
          <w:lang w:val="en-AU"/>
        </w:rPr>
        <w:lastRenderedPageBreak/>
        <w:t>Additional Secondary Endpoints</w:t>
      </w:r>
    </w:p>
    <w:p w14:paraId="5F325683" w14:textId="77777777" w:rsidR="00721C58" w:rsidRPr="00E26ADF" w:rsidRDefault="00721C58" w:rsidP="00CE00B3">
      <w:r w:rsidRPr="00E26ADF">
        <w:t xml:space="preserve">ACQ-5 and AQLQ(S) were </w:t>
      </w:r>
      <w:proofErr w:type="spellStart"/>
      <w:r w:rsidRPr="00E26ADF">
        <w:t>analysed</w:t>
      </w:r>
      <w:proofErr w:type="spellEnd"/>
      <w:r w:rsidRPr="00E26ADF">
        <w:t xml:space="preserve"> at both a cohort level (mean change from baseline) and an individual-level (responder analyses) at 24 weeks (DRI12544) and at 52 weeks (Quest).</w:t>
      </w:r>
    </w:p>
    <w:p w14:paraId="315A6737" w14:textId="201F95EF" w:rsidR="00D9294A" w:rsidRPr="00E26ADF" w:rsidRDefault="00721C58" w:rsidP="00CE00B3">
      <w:r w:rsidRPr="00E26ADF">
        <w:t>The responder rate was defined as an improvement in score of 0.5 or more (scale range 0-6 for ACQ-5 and 1-7 for AQLQ(S)). Improvements in ACQ-5 and AQLQ(S) were observed as early as Week 2 and maintained for 24 weeks in DRI12544 study and 52 weeks in Quest study.</w:t>
      </w:r>
    </w:p>
    <w:p w14:paraId="4BB7DF9E" w14:textId="38FE68FE" w:rsidR="00D9294A" w:rsidRPr="00E26ADF" w:rsidRDefault="00721C58" w:rsidP="00CE00B3">
      <w:r w:rsidRPr="00E26ADF">
        <w:t xml:space="preserve">Similar results were observed in </w:t>
      </w:r>
      <w:r w:rsidR="003B7364" w:rsidRPr="00E26ADF">
        <w:t xml:space="preserve">the </w:t>
      </w:r>
      <w:r w:rsidRPr="00E26ADF">
        <w:t>Venture study. In asthma patients with comorbid upper airway disease Dupixent treatment also reduced upper airway symptoms.</w:t>
      </w:r>
      <w:r w:rsidR="00BD7833" w:rsidRPr="00E26ADF">
        <w:t xml:space="preserve"> </w:t>
      </w:r>
    </w:p>
    <w:p w14:paraId="1C6D0BDC" w14:textId="736D6EB1" w:rsidR="00721C58" w:rsidRPr="00E26ADF" w:rsidRDefault="00721C58" w:rsidP="00CE00B3">
      <w:r w:rsidRPr="00E26ADF">
        <w:t xml:space="preserve">Patients with asthma and comorbid chronic rhinosinusitis (CRS) with or without nasal polyposis, and/or comorbid allergic rhinitis (AR), reported their health-related quality of life on disease-specific questionnaires; the 22-Item Sino Nasal Outcome Test (SNOT-22) for CRS patients and </w:t>
      </w:r>
      <w:proofErr w:type="spellStart"/>
      <w:r w:rsidRPr="00E26ADF">
        <w:t>Standardi</w:t>
      </w:r>
      <w:r w:rsidR="002B505B" w:rsidRPr="00C456D9">
        <w:t>s</w:t>
      </w:r>
      <w:r w:rsidRPr="00E26ADF">
        <w:t>ed</w:t>
      </w:r>
      <w:proofErr w:type="spellEnd"/>
      <w:r w:rsidRPr="00E26ADF">
        <w:t xml:space="preserve"> </w:t>
      </w:r>
      <w:proofErr w:type="spellStart"/>
      <w:r w:rsidRPr="00E26ADF">
        <w:t>Rhinoconjunctivitis</w:t>
      </w:r>
      <w:proofErr w:type="spellEnd"/>
      <w:r w:rsidRPr="00E26ADF">
        <w:t xml:space="preserve"> Quality of Life Questionnaire (RQLQ (S)+ 12) for AR patients. Mean change from baseline in total scores on SNOT-22 and RQLQ(S)+12 were pre-specified endpoints in these subpopulations. Improvements in SNOT-22 and RQLQ(S)+12 total score were observed with Dupixent compared to placebo as early as week 12 and sustained over 52 weeks.</w:t>
      </w:r>
    </w:p>
    <w:p w14:paraId="4EE7E822" w14:textId="77777777" w:rsidR="00721C58" w:rsidRPr="00E26ADF" w:rsidRDefault="00721C58" w:rsidP="00B15694">
      <w:pPr>
        <w:pStyle w:val="Heading5"/>
        <w:numPr>
          <w:ilvl w:val="0"/>
          <w:numId w:val="0"/>
        </w:numPr>
        <w:ind w:left="1009" w:hanging="1009"/>
      </w:pPr>
      <w:r w:rsidRPr="00E26ADF">
        <w:t>Oral Corticosteroid Reduction (Venture)</w:t>
      </w:r>
    </w:p>
    <w:p w14:paraId="5F5F0B43" w14:textId="646E04F5" w:rsidR="00D9294A" w:rsidRPr="00E26ADF" w:rsidRDefault="00C76190" w:rsidP="00E9483F">
      <w:r w:rsidRPr="00E26ADF">
        <w:t xml:space="preserve">The </w:t>
      </w:r>
      <w:r w:rsidR="00721C58" w:rsidRPr="00E26ADF">
        <w:t>Venture study evaluated the effect of Dupixent on reducing the use of maintenance oral corticosteroids. The baseline mean oral corticosteroid use was 11.75 mg in the placebo group and 10.75 mg in the group receiving Dupixent.</w:t>
      </w:r>
    </w:p>
    <w:p w14:paraId="0DB15E91" w14:textId="075E5543" w:rsidR="00104ABB" w:rsidRPr="00E26ADF" w:rsidRDefault="00C76190" w:rsidP="00E9483F">
      <w:r w:rsidRPr="00E26ADF">
        <w:t xml:space="preserve">Compared with placebo, </w:t>
      </w:r>
      <w:r w:rsidR="00721C58" w:rsidRPr="00E26ADF">
        <w:t>patients receiving Dupixent achieved greater reductions in daily maintenance oral corticosteroid dose, while maintaining asthma control.</w:t>
      </w:r>
    </w:p>
    <w:p w14:paraId="31B4AC17" w14:textId="1D29BCC0" w:rsidR="00721C58" w:rsidRPr="00E26ADF" w:rsidRDefault="00721C58" w:rsidP="00E9483F">
      <w:r w:rsidRPr="00E26ADF">
        <w:t>The results for primary and secondary endpoints of the Ventu</w:t>
      </w:r>
      <w:r w:rsidR="003E2D91" w:rsidRPr="00E26ADF">
        <w:t xml:space="preserve">re </w:t>
      </w:r>
      <w:r w:rsidR="00C76190" w:rsidRPr="00E26ADF">
        <w:t xml:space="preserve">study </w:t>
      </w:r>
      <w:r w:rsidR="003E2D91" w:rsidRPr="00E26ADF">
        <w:t xml:space="preserve">are presented in the </w:t>
      </w:r>
      <w:r w:rsidR="00C8795E" w:rsidRPr="00C8795E">
        <w:rPr>
          <w:color w:val="0000FF"/>
        </w:rPr>
        <w:fldChar w:fldCharType="begin"/>
      </w:r>
      <w:r w:rsidR="00C8795E" w:rsidRPr="00C8795E">
        <w:rPr>
          <w:color w:val="0000FF"/>
        </w:rPr>
        <w:instrText xml:space="preserve"> REF _Ref22592693 \h  \* MERGEFORMAT </w:instrText>
      </w:r>
      <w:r w:rsidR="00C8795E" w:rsidRPr="00C8795E">
        <w:rPr>
          <w:color w:val="0000FF"/>
        </w:rPr>
      </w:r>
      <w:r w:rsidR="00C8795E" w:rsidRPr="00C8795E">
        <w:rPr>
          <w:color w:val="0000FF"/>
        </w:rPr>
        <w:fldChar w:fldCharType="separate"/>
      </w:r>
      <w:r w:rsidR="00E123A5" w:rsidRPr="00E123A5">
        <w:rPr>
          <w:color w:val="0000FF"/>
        </w:rPr>
        <w:t>Table 18</w:t>
      </w:r>
      <w:r w:rsidR="00C8795E" w:rsidRPr="00C8795E">
        <w:rPr>
          <w:color w:val="0000FF"/>
        </w:rPr>
        <w:fldChar w:fldCharType="end"/>
      </w:r>
      <w:r w:rsidRPr="00E26ADF">
        <w:t>.</w:t>
      </w:r>
    </w:p>
    <w:p w14:paraId="0A5A4C35" w14:textId="68EA4FF6" w:rsidR="00721C58" w:rsidRPr="00E26ADF" w:rsidRDefault="00721C58" w:rsidP="00721C58">
      <w:pPr>
        <w:pStyle w:val="Caption"/>
        <w:rPr>
          <w:lang w:val="en-AU"/>
        </w:rPr>
      </w:pPr>
      <w:r w:rsidRPr="00E26ADF">
        <w:rPr>
          <w:lang w:val="en-AU"/>
        </w:rPr>
        <w:t xml:space="preserve"> </w:t>
      </w:r>
      <w:bookmarkStart w:id="37" w:name="_Ref22592693"/>
      <w:r w:rsidRPr="00E26ADF">
        <w:rPr>
          <w:lang w:val="en-AU"/>
        </w:rPr>
        <w:t>Table </w:t>
      </w:r>
      <w:r w:rsidRPr="00E26ADF">
        <w:rPr>
          <w:lang w:val="en-AU"/>
        </w:rPr>
        <w:fldChar w:fldCharType="begin"/>
      </w:r>
      <w:r w:rsidRPr="00E26ADF">
        <w:rPr>
          <w:lang w:val="en-AU"/>
        </w:rPr>
        <w:instrText xml:space="preserve"> SEQ Table \* ARABIC </w:instrText>
      </w:r>
      <w:r w:rsidRPr="00E26ADF">
        <w:rPr>
          <w:lang w:val="en-AU"/>
        </w:rPr>
        <w:fldChar w:fldCharType="separate"/>
      </w:r>
      <w:r w:rsidR="00E123A5">
        <w:rPr>
          <w:noProof/>
          <w:lang w:val="en-AU"/>
        </w:rPr>
        <w:t>18</w:t>
      </w:r>
      <w:r w:rsidRPr="00E26ADF">
        <w:rPr>
          <w:lang w:val="en-AU"/>
        </w:rPr>
        <w:fldChar w:fldCharType="end"/>
      </w:r>
      <w:bookmarkEnd w:id="37"/>
      <w:r w:rsidRPr="00E26ADF">
        <w:rPr>
          <w:lang w:val="en-AU"/>
        </w:rPr>
        <w:t xml:space="preserve"> ­ Results of the Primary and Secondary Endpoints</w:t>
      </w:r>
      <w:r w:rsidR="00F1511E" w:rsidRPr="00E26ADF">
        <w:rPr>
          <w:lang w:val="en-AU"/>
        </w:rPr>
        <w:t xml:space="preserve"> in Venture (Overall Population</w:t>
      </w:r>
      <w:r w:rsidRPr="00E26ADF">
        <w:rPr>
          <w:lang w:val="en-AU"/>
        </w:rPr>
        <w:t>)</w:t>
      </w:r>
    </w:p>
    <w:tbl>
      <w:tblPr>
        <w:tblW w:w="0" w:type="auto"/>
        <w:jc w:val="center"/>
        <w:tblBorders>
          <w:top w:val="single" w:sz="2" w:space="0" w:color="000000"/>
        </w:tblBorders>
        <w:tblLook w:val="04A0" w:firstRow="1" w:lastRow="0" w:firstColumn="1" w:lastColumn="0" w:noHBand="0" w:noVBand="1"/>
      </w:tblPr>
      <w:tblGrid>
        <w:gridCol w:w="5245"/>
        <w:gridCol w:w="1559"/>
        <w:gridCol w:w="1240"/>
      </w:tblGrid>
      <w:tr w:rsidR="00B870F9" w:rsidRPr="00E26ADF" w14:paraId="6D3ECACD" w14:textId="77777777" w:rsidTr="003408D0">
        <w:trPr>
          <w:cantSplit/>
          <w:tblHeader/>
          <w:jc w:val="center"/>
        </w:trPr>
        <w:tc>
          <w:tcPr>
            <w:tcW w:w="5245" w:type="dxa"/>
            <w:tcBorders>
              <w:top w:val="single" w:sz="4" w:space="0" w:color="000000"/>
              <w:bottom w:val="single" w:sz="4" w:space="0" w:color="000000"/>
            </w:tcBorders>
            <w:shd w:val="clear" w:color="auto" w:fill="auto"/>
          </w:tcPr>
          <w:p w14:paraId="7AB57CA6" w14:textId="77777777" w:rsidR="00721C58" w:rsidRPr="00E26ADF" w:rsidRDefault="00721C58" w:rsidP="005977C2">
            <w:pPr>
              <w:pStyle w:val="TblHeadingCenter"/>
              <w:rPr>
                <w:lang w:val="en-AU"/>
              </w:rPr>
            </w:pPr>
          </w:p>
        </w:tc>
        <w:tc>
          <w:tcPr>
            <w:tcW w:w="2799" w:type="dxa"/>
            <w:gridSpan w:val="2"/>
            <w:tcBorders>
              <w:top w:val="single" w:sz="4" w:space="0" w:color="000000"/>
              <w:bottom w:val="single" w:sz="4" w:space="0" w:color="000000"/>
            </w:tcBorders>
            <w:shd w:val="clear" w:color="auto" w:fill="auto"/>
            <w:hideMark/>
          </w:tcPr>
          <w:p w14:paraId="1F7BD8F4" w14:textId="77777777" w:rsidR="00721C58" w:rsidRPr="00E26ADF" w:rsidRDefault="00721C58" w:rsidP="005977C2">
            <w:pPr>
              <w:pStyle w:val="TblHeadingCenter"/>
              <w:rPr>
                <w:lang w:val="en-AU"/>
              </w:rPr>
            </w:pPr>
            <w:r w:rsidRPr="00E26ADF">
              <w:rPr>
                <w:lang w:val="en-AU"/>
              </w:rPr>
              <w:t>Overall population</w:t>
            </w:r>
          </w:p>
        </w:tc>
      </w:tr>
      <w:tr w:rsidR="00721C58" w:rsidRPr="00E26ADF" w14:paraId="3C89740F" w14:textId="77777777" w:rsidTr="003408D0">
        <w:trPr>
          <w:cantSplit/>
          <w:jc w:val="center"/>
        </w:trPr>
        <w:tc>
          <w:tcPr>
            <w:tcW w:w="5245" w:type="dxa"/>
            <w:tcBorders>
              <w:top w:val="single" w:sz="4" w:space="0" w:color="000000"/>
            </w:tcBorders>
            <w:shd w:val="clear" w:color="auto" w:fill="auto"/>
          </w:tcPr>
          <w:p w14:paraId="1CF7033A" w14:textId="77777777" w:rsidR="00721C58" w:rsidRPr="00E26ADF" w:rsidRDefault="00721C58" w:rsidP="005977C2">
            <w:pPr>
              <w:pStyle w:val="TblTextCenter"/>
              <w:rPr>
                <w:lang w:val="en-AU"/>
              </w:rPr>
            </w:pPr>
          </w:p>
        </w:tc>
        <w:tc>
          <w:tcPr>
            <w:tcW w:w="1559" w:type="dxa"/>
            <w:tcBorders>
              <w:top w:val="single" w:sz="4" w:space="0" w:color="000000"/>
              <w:bottom w:val="single" w:sz="4" w:space="0" w:color="auto"/>
            </w:tcBorders>
            <w:shd w:val="clear" w:color="auto" w:fill="auto"/>
            <w:hideMark/>
          </w:tcPr>
          <w:p w14:paraId="4B437926" w14:textId="77777777" w:rsidR="00721C58" w:rsidRPr="00B70363" w:rsidRDefault="00721C58" w:rsidP="005977C2">
            <w:pPr>
              <w:pStyle w:val="TblTextCenter"/>
              <w:rPr>
                <w:b/>
                <w:bCs/>
                <w:lang w:val="en-AU"/>
              </w:rPr>
            </w:pPr>
            <w:r w:rsidRPr="00B70363">
              <w:rPr>
                <w:b/>
                <w:bCs/>
                <w:lang w:val="en-AU"/>
              </w:rPr>
              <w:t>Dupixent 300 mg</w:t>
            </w:r>
          </w:p>
          <w:p w14:paraId="768B7FAB" w14:textId="77777777" w:rsidR="00721C58" w:rsidRPr="00E26ADF" w:rsidRDefault="00721C58" w:rsidP="005977C2">
            <w:pPr>
              <w:pStyle w:val="TblTextCenter"/>
              <w:rPr>
                <w:lang w:val="en-AU"/>
              </w:rPr>
            </w:pPr>
            <w:r w:rsidRPr="00E26ADF">
              <w:rPr>
                <w:lang w:val="en-AU"/>
              </w:rPr>
              <w:t>N=103</w:t>
            </w:r>
          </w:p>
        </w:tc>
        <w:tc>
          <w:tcPr>
            <w:tcW w:w="1240" w:type="dxa"/>
            <w:tcBorders>
              <w:top w:val="single" w:sz="4" w:space="0" w:color="000000"/>
              <w:bottom w:val="single" w:sz="4" w:space="0" w:color="auto"/>
            </w:tcBorders>
            <w:shd w:val="clear" w:color="auto" w:fill="auto"/>
            <w:hideMark/>
          </w:tcPr>
          <w:p w14:paraId="60ADAD4B" w14:textId="77777777" w:rsidR="00721C58" w:rsidRPr="00B70363" w:rsidRDefault="00721C58" w:rsidP="005977C2">
            <w:pPr>
              <w:pStyle w:val="TblTextCenter"/>
              <w:rPr>
                <w:b/>
                <w:bCs/>
                <w:lang w:val="en-AU"/>
              </w:rPr>
            </w:pPr>
            <w:r w:rsidRPr="00B70363">
              <w:rPr>
                <w:b/>
                <w:bCs/>
                <w:lang w:val="en-AU"/>
              </w:rPr>
              <w:t>Placebo</w:t>
            </w:r>
          </w:p>
          <w:p w14:paraId="01DDFEED" w14:textId="77777777" w:rsidR="00721C58" w:rsidRPr="00E26ADF" w:rsidRDefault="00721C58" w:rsidP="005977C2">
            <w:pPr>
              <w:pStyle w:val="TblTextCenter"/>
              <w:rPr>
                <w:lang w:val="en-AU"/>
              </w:rPr>
            </w:pPr>
            <w:r w:rsidRPr="00E26ADF">
              <w:rPr>
                <w:lang w:val="en-AU"/>
              </w:rPr>
              <w:t>N=107</w:t>
            </w:r>
          </w:p>
        </w:tc>
      </w:tr>
      <w:tr w:rsidR="00721C58" w:rsidRPr="00E26ADF" w14:paraId="3A3C3B2E" w14:textId="77777777" w:rsidTr="005977C2">
        <w:trPr>
          <w:cantSplit/>
          <w:jc w:val="center"/>
        </w:trPr>
        <w:tc>
          <w:tcPr>
            <w:tcW w:w="0" w:type="auto"/>
            <w:gridSpan w:val="3"/>
            <w:shd w:val="clear" w:color="auto" w:fill="auto"/>
            <w:hideMark/>
          </w:tcPr>
          <w:p w14:paraId="00363281" w14:textId="77777777" w:rsidR="00721C58" w:rsidRPr="00B70363" w:rsidRDefault="00721C58" w:rsidP="005977C2">
            <w:pPr>
              <w:pStyle w:val="TblTextCenter"/>
              <w:jc w:val="left"/>
              <w:rPr>
                <w:b/>
                <w:bCs/>
                <w:lang w:val="en-AU"/>
              </w:rPr>
            </w:pPr>
            <w:r w:rsidRPr="00B70363">
              <w:rPr>
                <w:b/>
                <w:bCs/>
                <w:lang w:val="en-AU"/>
              </w:rPr>
              <w:t>Primary endpoint (week 24)</w:t>
            </w:r>
          </w:p>
        </w:tc>
      </w:tr>
      <w:tr w:rsidR="00721C58" w:rsidRPr="00E26ADF" w14:paraId="16A02BAB" w14:textId="77777777" w:rsidTr="005977C2">
        <w:trPr>
          <w:cantSplit/>
          <w:jc w:val="center"/>
        </w:trPr>
        <w:tc>
          <w:tcPr>
            <w:tcW w:w="0" w:type="auto"/>
            <w:gridSpan w:val="3"/>
            <w:shd w:val="clear" w:color="auto" w:fill="auto"/>
            <w:hideMark/>
          </w:tcPr>
          <w:p w14:paraId="33B73605" w14:textId="77777777" w:rsidR="00721C58" w:rsidRPr="00E26ADF" w:rsidRDefault="00721C58" w:rsidP="005977C2">
            <w:pPr>
              <w:pStyle w:val="TblTextCenter"/>
              <w:jc w:val="left"/>
              <w:rPr>
                <w:lang w:val="en-AU"/>
              </w:rPr>
            </w:pPr>
            <w:r w:rsidRPr="00E26ADF">
              <w:rPr>
                <w:lang w:val="en-AU"/>
              </w:rPr>
              <w:t xml:space="preserve">Percent reduction in OCS from baseline </w:t>
            </w:r>
          </w:p>
        </w:tc>
      </w:tr>
      <w:tr w:rsidR="00721C58" w:rsidRPr="00E26ADF" w14:paraId="46A85826" w14:textId="77777777" w:rsidTr="005977C2">
        <w:trPr>
          <w:cantSplit/>
          <w:trHeight w:val="1061"/>
          <w:jc w:val="center"/>
        </w:trPr>
        <w:tc>
          <w:tcPr>
            <w:tcW w:w="5245" w:type="dxa"/>
            <w:shd w:val="clear" w:color="auto" w:fill="auto"/>
            <w:hideMark/>
          </w:tcPr>
          <w:p w14:paraId="19B80E66" w14:textId="77777777" w:rsidR="00721C58" w:rsidRPr="00E26ADF" w:rsidRDefault="00721C58" w:rsidP="005977C2">
            <w:pPr>
              <w:pStyle w:val="TblTextCenter"/>
              <w:rPr>
                <w:lang w:val="en-AU"/>
              </w:rPr>
            </w:pPr>
            <w:r w:rsidRPr="00E26ADF">
              <w:rPr>
                <w:lang w:val="en-AU"/>
              </w:rPr>
              <w:t>Mean overall percent reduction from baseline (%)</w:t>
            </w:r>
          </w:p>
          <w:p w14:paraId="02F9338C" w14:textId="77777777" w:rsidR="00E9483F" w:rsidRPr="00E26ADF" w:rsidRDefault="00E9483F" w:rsidP="005977C2">
            <w:pPr>
              <w:pStyle w:val="TblTextCenter"/>
              <w:rPr>
                <w:lang w:val="en-AU"/>
              </w:rPr>
            </w:pPr>
          </w:p>
          <w:p w14:paraId="450D1946" w14:textId="77777777" w:rsidR="00721C58" w:rsidRPr="00E26ADF" w:rsidRDefault="00721C58" w:rsidP="005977C2">
            <w:pPr>
              <w:pStyle w:val="TblTextCenter"/>
              <w:rPr>
                <w:lang w:val="en-AU"/>
              </w:rPr>
            </w:pPr>
            <w:r w:rsidRPr="00E26ADF">
              <w:rPr>
                <w:lang w:val="en-AU"/>
              </w:rPr>
              <w:t>Difference (% [95 % CI</w:t>
            </w:r>
            <w:proofErr w:type="gramStart"/>
            <w:r w:rsidRPr="00E26ADF">
              <w:rPr>
                <w:lang w:val="en-AU"/>
              </w:rPr>
              <w:t>])(</w:t>
            </w:r>
            <w:proofErr w:type="gramEnd"/>
            <w:r w:rsidRPr="00E26ADF">
              <w:rPr>
                <w:lang w:val="en-AU"/>
              </w:rPr>
              <w:t>Dupixent vs. placebo)</w:t>
            </w:r>
          </w:p>
        </w:tc>
        <w:tc>
          <w:tcPr>
            <w:tcW w:w="1559" w:type="dxa"/>
            <w:shd w:val="clear" w:color="auto" w:fill="auto"/>
          </w:tcPr>
          <w:p w14:paraId="228F7171" w14:textId="77777777" w:rsidR="00721C58" w:rsidRPr="00E26ADF" w:rsidRDefault="00721C58" w:rsidP="005977C2">
            <w:pPr>
              <w:pStyle w:val="TblTextCenter"/>
              <w:rPr>
                <w:lang w:val="en-AU"/>
              </w:rPr>
            </w:pPr>
            <w:r w:rsidRPr="00E26ADF">
              <w:rPr>
                <w:lang w:val="en-AU"/>
              </w:rPr>
              <w:t>70.1</w:t>
            </w:r>
          </w:p>
          <w:p w14:paraId="73FFBBD0" w14:textId="77777777" w:rsidR="00721C58" w:rsidRPr="00E26ADF" w:rsidRDefault="00721C58" w:rsidP="005977C2">
            <w:pPr>
              <w:pStyle w:val="TblTextCenter"/>
              <w:rPr>
                <w:lang w:val="en-AU"/>
              </w:rPr>
            </w:pPr>
          </w:p>
          <w:p w14:paraId="34D50A82" w14:textId="77777777" w:rsidR="00721C58" w:rsidRPr="00E26ADF" w:rsidRDefault="00721C58" w:rsidP="005977C2">
            <w:pPr>
              <w:pStyle w:val="TblTextCenter"/>
              <w:rPr>
                <w:lang w:val="en-AU"/>
              </w:rPr>
            </w:pPr>
            <w:r w:rsidRPr="00E26ADF">
              <w:rPr>
                <w:lang w:val="en-AU"/>
              </w:rPr>
              <w:t>28.2</w:t>
            </w:r>
          </w:p>
          <w:p w14:paraId="6C00DF16" w14:textId="77777777" w:rsidR="00721C58" w:rsidRPr="00E26ADF" w:rsidRDefault="00721C58" w:rsidP="005977C2">
            <w:pPr>
              <w:pStyle w:val="TblTextCenter"/>
              <w:rPr>
                <w:lang w:val="en-AU"/>
              </w:rPr>
            </w:pPr>
            <w:r w:rsidRPr="00E26ADF">
              <w:rPr>
                <w:lang w:val="en-AU"/>
              </w:rPr>
              <w:t>(15.81, 40.67)</w:t>
            </w:r>
          </w:p>
          <w:p w14:paraId="787B423B" w14:textId="77777777" w:rsidR="00721C58" w:rsidRPr="00E26ADF" w:rsidRDefault="00721C58" w:rsidP="005977C2">
            <w:pPr>
              <w:pStyle w:val="TblTextCenter"/>
              <w:rPr>
                <w:lang w:val="en-AU"/>
              </w:rPr>
            </w:pPr>
          </w:p>
        </w:tc>
        <w:tc>
          <w:tcPr>
            <w:tcW w:w="1240" w:type="dxa"/>
            <w:shd w:val="clear" w:color="auto" w:fill="auto"/>
          </w:tcPr>
          <w:p w14:paraId="2BA8B95C" w14:textId="77777777" w:rsidR="00721C58" w:rsidRPr="00E26ADF" w:rsidRDefault="00721C58" w:rsidP="005977C2">
            <w:pPr>
              <w:pStyle w:val="TblTextCenter"/>
              <w:rPr>
                <w:lang w:val="en-AU"/>
              </w:rPr>
            </w:pPr>
            <w:r w:rsidRPr="00E26ADF">
              <w:rPr>
                <w:lang w:val="en-AU"/>
              </w:rPr>
              <w:t>41.9</w:t>
            </w:r>
          </w:p>
          <w:p w14:paraId="02DBD5DE" w14:textId="77777777" w:rsidR="00721C58" w:rsidRPr="00E26ADF" w:rsidRDefault="00721C58" w:rsidP="005977C2">
            <w:pPr>
              <w:pStyle w:val="TblTextCenter"/>
              <w:rPr>
                <w:lang w:val="en-AU"/>
              </w:rPr>
            </w:pPr>
          </w:p>
        </w:tc>
      </w:tr>
      <w:tr w:rsidR="00721C58" w:rsidRPr="00E26ADF" w14:paraId="1F42766E" w14:textId="77777777" w:rsidTr="005977C2">
        <w:trPr>
          <w:cantSplit/>
          <w:jc w:val="center"/>
        </w:trPr>
        <w:tc>
          <w:tcPr>
            <w:tcW w:w="0" w:type="auto"/>
            <w:gridSpan w:val="3"/>
            <w:shd w:val="clear" w:color="auto" w:fill="auto"/>
            <w:hideMark/>
          </w:tcPr>
          <w:p w14:paraId="0760950B" w14:textId="0A3C5BF6" w:rsidR="00410E7E" w:rsidRPr="00B70363" w:rsidRDefault="00721C58" w:rsidP="005977C2">
            <w:pPr>
              <w:pStyle w:val="TblTextCenter"/>
              <w:jc w:val="left"/>
              <w:rPr>
                <w:b/>
                <w:bCs/>
                <w:lang w:val="en-AU"/>
              </w:rPr>
            </w:pPr>
            <w:r w:rsidRPr="00B70363">
              <w:rPr>
                <w:b/>
                <w:bCs/>
                <w:lang w:val="en-AU"/>
              </w:rPr>
              <w:t>Secondary endpoint (week 24)</w:t>
            </w:r>
          </w:p>
        </w:tc>
      </w:tr>
      <w:tr w:rsidR="00B870F9" w:rsidRPr="00E26ADF" w14:paraId="3B266E4F" w14:textId="77777777" w:rsidTr="005977C2">
        <w:trPr>
          <w:cantSplit/>
          <w:jc w:val="center"/>
        </w:trPr>
        <w:tc>
          <w:tcPr>
            <w:tcW w:w="5245" w:type="dxa"/>
            <w:shd w:val="clear" w:color="auto" w:fill="auto"/>
          </w:tcPr>
          <w:p w14:paraId="62BA2348" w14:textId="7046A620" w:rsidR="00410E7E" w:rsidRPr="00E26ADF" w:rsidRDefault="00410E7E" w:rsidP="005977C2">
            <w:pPr>
              <w:pStyle w:val="TblTextCenter"/>
              <w:rPr>
                <w:lang w:val="en-AU"/>
              </w:rPr>
            </w:pPr>
            <w:r w:rsidRPr="00E26ADF">
              <w:rPr>
                <w:lang w:val="en-AU"/>
              </w:rPr>
              <w:lastRenderedPageBreak/>
              <w:t>Proportion of patients achieving a reduction ≥ 50% OCS dose from base line</w:t>
            </w:r>
          </w:p>
        </w:tc>
        <w:tc>
          <w:tcPr>
            <w:tcW w:w="1559" w:type="dxa"/>
            <w:shd w:val="clear" w:color="auto" w:fill="auto"/>
          </w:tcPr>
          <w:p w14:paraId="19E85AD9" w14:textId="337AEAC2" w:rsidR="00410E7E" w:rsidRPr="00E26ADF" w:rsidRDefault="00410E7E" w:rsidP="005977C2">
            <w:pPr>
              <w:pStyle w:val="TblTextCenter"/>
              <w:rPr>
                <w:lang w:val="en-AU"/>
              </w:rPr>
            </w:pPr>
            <w:r w:rsidRPr="00E26ADF">
              <w:rPr>
                <w:lang w:val="en-AU"/>
              </w:rPr>
              <w:t>79.6</w:t>
            </w:r>
          </w:p>
        </w:tc>
        <w:tc>
          <w:tcPr>
            <w:tcW w:w="1240" w:type="dxa"/>
            <w:shd w:val="clear" w:color="auto" w:fill="auto"/>
          </w:tcPr>
          <w:p w14:paraId="01F1FA92" w14:textId="0D8CDEA9" w:rsidR="00410E7E" w:rsidRPr="00E26ADF" w:rsidRDefault="00410E7E" w:rsidP="005977C2">
            <w:pPr>
              <w:pStyle w:val="TblTextCenter"/>
              <w:rPr>
                <w:lang w:val="en-AU"/>
              </w:rPr>
            </w:pPr>
            <w:r w:rsidRPr="00E26ADF">
              <w:rPr>
                <w:lang w:val="en-AU"/>
              </w:rPr>
              <w:t>53.3</w:t>
            </w:r>
          </w:p>
        </w:tc>
      </w:tr>
      <w:tr w:rsidR="00B870F9" w:rsidRPr="00E26ADF" w14:paraId="62938CB5" w14:textId="77777777" w:rsidTr="005977C2">
        <w:trPr>
          <w:cantSplit/>
          <w:jc w:val="center"/>
        </w:trPr>
        <w:tc>
          <w:tcPr>
            <w:tcW w:w="5245" w:type="dxa"/>
            <w:shd w:val="clear" w:color="auto" w:fill="auto"/>
            <w:hideMark/>
          </w:tcPr>
          <w:p w14:paraId="53C60C9D" w14:textId="77777777" w:rsidR="00721C58" w:rsidRPr="00E26ADF" w:rsidRDefault="00721C58" w:rsidP="005977C2">
            <w:pPr>
              <w:pStyle w:val="TblTextCenter"/>
              <w:rPr>
                <w:lang w:val="en-AU"/>
              </w:rPr>
            </w:pPr>
            <w:r w:rsidRPr="00E26ADF">
              <w:rPr>
                <w:lang w:val="en-AU"/>
              </w:rPr>
              <w:t>Proportion of patients achieving a reduction of OCS dose to &lt;5 mg/day</w:t>
            </w:r>
          </w:p>
        </w:tc>
        <w:tc>
          <w:tcPr>
            <w:tcW w:w="1559" w:type="dxa"/>
            <w:shd w:val="clear" w:color="auto" w:fill="auto"/>
            <w:hideMark/>
          </w:tcPr>
          <w:p w14:paraId="6FDEB4C8" w14:textId="77777777" w:rsidR="00721C58" w:rsidRPr="00E26ADF" w:rsidRDefault="00721C58" w:rsidP="005977C2">
            <w:pPr>
              <w:pStyle w:val="TblTextCenter"/>
              <w:rPr>
                <w:lang w:val="en-AU"/>
              </w:rPr>
            </w:pPr>
            <w:r w:rsidRPr="00E26ADF">
              <w:rPr>
                <w:lang w:val="en-AU"/>
              </w:rPr>
              <w:t>69</w:t>
            </w:r>
          </w:p>
        </w:tc>
        <w:tc>
          <w:tcPr>
            <w:tcW w:w="1240" w:type="dxa"/>
            <w:shd w:val="clear" w:color="auto" w:fill="auto"/>
            <w:hideMark/>
          </w:tcPr>
          <w:p w14:paraId="4DCA3D03" w14:textId="77777777" w:rsidR="00721C58" w:rsidRPr="00E26ADF" w:rsidRDefault="00721C58" w:rsidP="005977C2">
            <w:pPr>
              <w:pStyle w:val="TblTextCenter"/>
              <w:rPr>
                <w:lang w:val="en-AU"/>
              </w:rPr>
            </w:pPr>
            <w:r w:rsidRPr="00E26ADF">
              <w:rPr>
                <w:lang w:val="en-AU"/>
              </w:rPr>
              <w:t>33</w:t>
            </w:r>
          </w:p>
        </w:tc>
      </w:tr>
      <w:tr w:rsidR="00B870F9" w:rsidRPr="00E26ADF" w14:paraId="79AE5DE5" w14:textId="77777777" w:rsidTr="005977C2">
        <w:trPr>
          <w:cantSplit/>
          <w:jc w:val="center"/>
        </w:trPr>
        <w:tc>
          <w:tcPr>
            <w:tcW w:w="5245" w:type="dxa"/>
            <w:tcBorders>
              <w:bottom w:val="single" w:sz="12" w:space="0" w:color="auto"/>
            </w:tcBorders>
            <w:shd w:val="clear" w:color="auto" w:fill="auto"/>
            <w:hideMark/>
          </w:tcPr>
          <w:p w14:paraId="5189D5D1" w14:textId="77777777" w:rsidR="00721C58" w:rsidRPr="00E26ADF" w:rsidRDefault="00721C58" w:rsidP="005977C2">
            <w:pPr>
              <w:pStyle w:val="TblTextCenter"/>
              <w:rPr>
                <w:lang w:val="en-AU"/>
              </w:rPr>
            </w:pPr>
            <w:r w:rsidRPr="00E26ADF">
              <w:rPr>
                <w:lang w:val="en-AU"/>
              </w:rPr>
              <w:t>Odds ratio (95% CI)</w:t>
            </w:r>
          </w:p>
        </w:tc>
        <w:tc>
          <w:tcPr>
            <w:tcW w:w="1559" w:type="dxa"/>
            <w:tcBorders>
              <w:bottom w:val="single" w:sz="12" w:space="0" w:color="auto"/>
            </w:tcBorders>
            <w:shd w:val="clear" w:color="auto" w:fill="auto"/>
            <w:hideMark/>
          </w:tcPr>
          <w:p w14:paraId="2FDC9981" w14:textId="77777777" w:rsidR="00721C58" w:rsidRPr="00E26ADF" w:rsidRDefault="00721C58" w:rsidP="005977C2">
            <w:pPr>
              <w:pStyle w:val="TblTextCenter"/>
              <w:rPr>
                <w:lang w:val="en-AU"/>
              </w:rPr>
            </w:pPr>
            <w:r w:rsidRPr="00E26ADF">
              <w:rPr>
                <w:lang w:val="en-AU"/>
              </w:rPr>
              <w:t>4.48</w:t>
            </w:r>
          </w:p>
          <w:p w14:paraId="3CF9B6E4" w14:textId="77777777" w:rsidR="00721C58" w:rsidRPr="00E26ADF" w:rsidRDefault="00721C58" w:rsidP="005977C2">
            <w:pPr>
              <w:pStyle w:val="TblTextCenter"/>
              <w:rPr>
                <w:lang w:val="en-AU"/>
              </w:rPr>
            </w:pPr>
            <w:r w:rsidRPr="00E26ADF">
              <w:rPr>
                <w:lang w:val="en-AU"/>
              </w:rPr>
              <w:t>(2.39, 8.39)</w:t>
            </w:r>
          </w:p>
        </w:tc>
        <w:tc>
          <w:tcPr>
            <w:tcW w:w="1240" w:type="dxa"/>
            <w:tcBorders>
              <w:bottom w:val="single" w:sz="12" w:space="0" w:color="auto"/>
            </w:tcBorders>
            <w:shd w:val="clear" w:color="auto" w:fill="auto"/>
          </w:tcPr>
          <w:p w14:paraId="52EA182D" w14:textId="77777777" w:rsidR="00721C58" w:rsidRPr="00E26ADF" w:rsidRDefault="00721C58" w:rsidP="005977C2">
            <w:pPr>
              <w:pStyle w:val="TblTextCenter"/>
              <w:rPr>
                <w:lang w:val="en-AU"/>
              </w:rPr>
            </w:pPr>
          </w:p>
        </w:tc>
      </w:tr>
    </w:tbl>
    <w:p w14:paraId="12638B79" w14:textId="77777777" w:rsidR="00D336DB" w:rsidRPr="00C456D9" w:rsidRDefault="00D336DB" w:rsidP="00FA1CD4">
      <w:pPr>
        <w:pStyle w:val="Heading4"/>
        <w:numPr>
          <w:ilvl w:val="0"/>
          <w:numId w:val="0"/>
        </w:numPr>
        <w:ind w:left="862" w:hanging="862"/>
      </w:pPr>
      <w:bookmarkStart w:id="38" w:name="_Ref10723528"/>
      <w:r w:rsidRPr="00C456D9">
        <w:t xml:space="preserve">Long-term extension trial (TRAVERSE) </w:t>
      </w:r>
    </w:p>
    <w:p w14:paraId="421022E0" w14:textId="35FA2813" w:rsidR="00E07E99" w:rsidRPr="00C456D9" w:rsidRDefault="00E07E99" w:rsidP="00E07E99">
      <w:pPr>
        <w:rPr>
          <w:color w:val="auto"/>
        </w:rPr>
      </w:pPr>
      <w:r w:rsidRPr="00C456D9">
        <w:rPr>
          <w:color w:val="auto"/>
        </w:rPr>
        <w:t xml:space="preserve">The long-term efficacy of </w:t>
      </w:r>
      <w:r w:rsidR="00D336DB" w:rsidRPr="00C456D9">
        <w:rPr>
          <w:color w:val="auto"/>
        </w:rPr>
        <w:t xml:space="preserve">Dupixent </w:t>
      </w:r>
      <w:r w:rsidRPr="00C456D9">
        <w:rPr>
          <w:color w:val="auto"/>
        </w:rPr>
        <w:t xml:space="preserve">in 2282 adults and adolescents with moderate-to-severe asthma, and adults with oral corticosteroid-dependent asthma, who had participated in previous clinical trials of </w:t>
      </w:r>
      <w:r w:rsidR="00D336DB" w:rsidRPr="00C456D9">
        <w:rPr>
          <w:color w:val="auto"/>
        </w:rPr>
        <w:t>Dupixent</w:t>
      </w:r>
      <w:r w:rsidRPr="00C456D9">
        <w:rPr>
          <w:color w:val="auto"/>
        </w:rPr>
        <w:t xml:space="preserve">, was assessed in the open-label extension study (TRAVERSE). In this study, the clinical benefit of </w:t>
      </w:r>
      <w:r w:rsidR="00D336DB" w:rsidRPr="00C456D9">
        <w:rPr>
          <w:color w:val="auto"/>
        </w:rPr>
        <w:t>Dupixent</w:t>
      </w:r>
      <w:r w:rsidRPr="00C456D9">
        <w:rPr>
          <w:color w:val="auto"/>
        </w:rPr>
        <w:t>, including reduction in exacerbations and improvement in lung function, was sustained up to 96 weeks</w:t>
      </w:r>
      <w:r w:rsidR="00E0259B" w:rsidRPr="00C456D9">
        <w:rPr>
          <w:color w:val="auto"/>
        </w:rPr>
        <w:t xml:space="preserve"> in patients with moderate to severe asthma with type 2 inflammation (see Table 19 and Table 20)</w:t>
      </w:r>
      <w:r w:rsidRPr="00C456D9">
        <w:rPr>
          <w:color w:val="auto"/>
        </w:rPr>
        <w:t>. In the population with oral-corticosteroid-dependent asthma, there was sustained reduction in exacerbations and maintained improvement in lung function, despite continued decrease or discontinuation of oral corticosteroid dose up to 96 weeks</w:t>
      </w:r>
      <w:r w:rsidR="00E0259B" w:rsidRPr="00C456D9">
        <w:rPr>
          <w:color w:val="auto"/>
        </w:rPr>
        <w:t xml:space="preserve"> (see Table 20)</w:t>
      </w:r>
      <w:r w:rsidRPr="00C456D9">
        <w:rPr>
          <w:color w:val="auto"/>
        </w:rPr>
        <w:t xml:space="preserve">. Similar maintenance of effect was also observed for ACQ-5 and AQLQ(S) at week 48 (see </w:t>
      </w:r>
      <w:r w:rsidR="002E200C" w:rsidRPr="00C456D9">
        <w:rPr>
          <w:color w:val="0000FF"/>
        </w:rPr>
        <w:fldChar w:fldCharType="begin"/>
      </w:r>
      <w:r w:rsidR="002E200C" w:rsidRPr="00C456D9">
        <w:rPr>
          <w:color w:val="0000FF"/>
        </w:rPr>
        <w:instrText xml:space="preserve"> REF _Ref41511678 \h  \* MERGEFORMAT </w:instrText>
      </w:r>
      <w:r w:rsidR="002E200C" w:rsidRPr="00C456D9">
        <w:rPr>
          <w:color w:val="0000FF"/>
        </w:rPr>
      </w:r>
      <w:r w:rsidR="002E200C" w:rsidRPr="00C456D9">
        <w:rPr>
          <w:color w:val="0000FF"/>
        </w:rPr>
        <w:fldChar w:fldCharType="separate"/>
      </w:r>
      <w:r w:rsidR="00E123A5" w:rsidRPr="00E123A5">
        <w:rPr>
          <w:color w:val="0000FF"/>
        </w:rPr>
        <w:t>Table 19</w:t>
      </w:r>
      <w:r w:rsidR="002E200C" w:rsidRPr="00C456D9">
        <w:rPr>
          <w:color w:val="0000FF"/>
        </w:rPr>
        <w:fldChar w:fldCharType="end"/>
      </w:r>
      <w:r w:rsidRPr="00C456D9">
        <w:rPr>
          <w:color w:val="auto"/>
        </w:rPr>
        <w:t>). Consistent results were also observed in the subgroup of patients on high dose ICS.</w:t>
      </w:r>
    </w:p>
    <w:p w14:paraId="048489E6" w14:textId="6EFA93BF" w:rsidR="00D336DB" w:rsidRPr="00C456D9" w:rsidRDefault="00D336DB" w:rsidP="00D336DB">
      <w:pPr>
        <w:pStyle w:val="Caption"/>
      </w:pPr>
      <w:bookmarkStart w:id="39" w:name="_Ref41511678"/>
      <w:r w:rsidRPr="00C456D9">
        <w:t>Table </w:t>
      </w:r>
      <w:r w:rsidRPr="00C456D9">
        <w:fldChar w:fldCharType="begin"/>
      </w:r>
      <w:r w:rsidRPr="00C456D9">
        <w:instrText xml:space="preserve"> SEQ Table \* ARABIC </w:instrText>
      </w:r>
      <w:r w:rsidRPr="00C456D9">
        <w:fldChar w:fldCharType="separate"/>
      </w:r>
      <w:r w:rsidR="00E123A5">
        <w:rPr>
          <w:noProof/>
        </w:rPr>
        <w:t>19</w:t>
      </w:r>
      <w:r w:rsidRPr="00C456D9">
        <w:fldChar w:fldCharType="end"/>
      </w:r>
      <w:bookmarkEnd w:id="39"/>
      <w:r w:rsidRPr="00C456D9">
        <w:t xml:space="preserve"> ­ Rate of Severe Exacerbations, Mean Change from Baseline in FEV1, ACQ-5 and AQLQ(s) Responder Rates in </w:t>
      </w:r>
      <w:proofErr w:type="spellStart"/>
      <w:r w:rsidRPr="00C456D9">
        <w:t>TRAVERSE</w:t>
      </w:r>
      <w:r w:rsidRPr="00C456D9">
        <w:rPr>
          <w:vertAlign w:val="superscript"/>
        </w:rPr>
        <w:t>a</w:t>
      </w:r>
      <w:proofErr w:type="spellEnd"/>
      <w:r w:rsidRPr="00C456D9">
        <w:t xml:space="preserve"> (Baseline Blood Eosinophil Levels ≥ 150 and ≥ 300 cells/</w:t>
      </w:r>
      <w:proofErr w:type="spellStart"/>
      <w:r w:rsidRPr="00C456D9">
        <w:t>mcL</w:t>
      </w:r>
      <w:proofErr w:type="spellEnd"/>
      <w:r w:rsidRPr="00C456D9">
        <w:t xml:space="preserve"> and </w:t>
      </w:r>
      <w:proofErr w:type="spellStart"/>
      <w:r w:rsidRPr="00C456D9">
        <w:t>FeNO</w:t>
      </w:r>
      <w:proofErr w:type="spellEnd"/>
      <w:r w:rsidRPr="00C456D9">
        <w:t xml:space="preserve"> ≥ 25 ppb</w:t>
      </w:r>
      <w:r w:rsidR="00163F90" w:rsidRPr="00C456D9">
        <w:t>)</w:t>
      </w:r>
      <w:r w:rsidR="00C35EC9" w:rsidRPr="00C456D9">
        <w:t xml:space="preserve"> </w:t>
      </w:r>
    </w:p>
    <w:tbl>
      <w:tblPr>
        <w:tblW w:w="9923" w:type="dxa"/>
        <w:jc w:val="center"/>
        <w:tblBorders>
          <w:top w:val="single" w:sz="2" w:space="0" w:color="000000"/>
        </w:tblBorders>
        <w:tblLayout w:type="fixed"/>
        <w:tblLook w:val="04A0" w:firstRow="1" w:lastRow="0" w:firstColumn="1" w:lastColumn="0" w:noHBand="0" w:noVBand="1"/>
      </w:tblPr>
      <w:tblGrid>
        <w:gridCol w:w="2155"/>
        <w:gridCol w:w="752"/>
        <w:gridCol w:w="1913"/>
        <w:gridCol w:w="411"/>
        <w:gridCol w:w="490"/>
        <w:gridCol w:w="1792"/>
        <w:gridCol w:w="122"/>
        <w:gridCol w:w="1012"/>
        <w:gridCol w:w="1276"/>
      </w:tblGrid>
      <w:tr w:rsidR="00FF4723" w:rsidRPr="00C456D9" w14:paraId="6E3BAB45" w14:textId="77777777" w:rsidTr="002E200C">
        <w:trPr>
          <w:gridAfter w:val="3"/>
          <w:wAfter w:w="2410" w:type="dxa"/>
          <w:cantSplit/>
          <w:trHeight w:val="143"/>
          <w:tblHeader/>
          <w:jc w:val="center"/>
        </w:trPr>
        <w:tc>
          <w:tcPr>
            <w:tcW w:w="7513" w:type="dxa"/>
            <w:gridSpan w:val="6"/>
            <w:tcBorders>
              <w:top w:val="nil"/>
              <w:bottom w:val="single" w:sz="4" w:space="0" w:color="auto"/>
            </w:tcBorders>
            <w:shd w:val="clear" w:color="auto" w:fill="auto"/>
          </w:tcPr>
          <w:p w14:paraId="7FEE262E" w14:textId="09755AC5" w:rsidR="00FF4723" w:rsidRPr="00C456D9" w:rsidRDefault="00FF4723" w:rsidP="00FF4723">
            <w:pPr>
              <w:pStyle w:val="TblHeadingCenter"/>
              <w:rPr>
                <w:vertAlign w:val="superscript"/>
                <w:lang w:eastAsia="ja-JP"/>
              </w:rPr>
            </w:pPr>
          </w:p>
        </w:tc>
      </w:tr>
      <w:tr w:rsidR="00FF4723" w:rsidRPr="00C456D9" w14:paraId="127C0BB0" w14:textId="77777777" w:rsidTr="002E200C">
        <w:trPr>
          <w:cantSplit/>
          <w:trHeight w:val="276"/>
          <w:jc w:val="center"/>
        </w:trPr>
        <w:tc>
          <w:tcPr>
            <w:tcW w:w="2155" w:type="dxa"/>
            <w:tcBorders>
              <w:top w:val="single" w:sz="4" w:space="0" w:color="auto"/>
              <w:bottom w:val="single" w:sz="4" w:space="0" w:color="auto"/>
            </w:tcBorders>
            <w:shd w:val="clear" w:color="auto" w:fill="auto"/>
            <w:hideMark/>
          </w:tcPr>
          <w:p w14:paraId="022659F3" w14:textId="77777777" w:rsidR="00FF4723" w:rsidRPr="00C456D9" w:rsidRDefault="00FF4723" w:rsidP="002E200C">
            <w:pPr>
              <w:pStyle w:val="TblTextCenter"/>
              <w:jc w:val="left"/>
              <w:rPr>
                <w:b/>
                <w:bCs/>
              </w:rPr>
            </w:pPr>
            <w:r w:rsidRPr="00C456D9">
              <w:rPr>
                <w:b/>
                <w:bCs/>
              </w:rPr>
              <w:t xml:space="preserve">Treatment </w:t>
            </w:r>
          </w:p>
        </w:tc>
        <w:tc>
          <w:tcPr>
            <w:tcW w:w="2665" w:type="dxa"/>
            <w:gridSpan w:val="2"/>
            <w:tcBorders>
              <w:top w:val="single" w:sz="4" w:space="0" w:color="auto"/>
              <w:bottom w:val="single" w:sz="4" w:space="0" w:color="auto"/>
            </w:tcBorders>
            <w:shd w:val="clear" w:color="auto" w:fill="auto"/>
          </w:tcPr>
          <w:p w14:paraId="145577B4" w14:textId="77777777" w:rsidR="00FF4723" w:rsidRPr="00C456D9" w:rsidRDefault="00FF4723" w:rsidP="00FF4723">
            <w:pPr>
              <w:pStyle w:val="TblTextCenter"/>
              <w:rPr>
                <w:b/>
                <w:bCs/>
              </w:rPr>
            </w:pPr>
            <w:r w:rsidRPr="00C456D9">
              <w:rPr>
                <w:b/>
                <w:bCs/>
              </w:rPr>
              <w:t>EOS</w:t>
            </w:r>
          </w:p>
          <w:p w14:paraId="2DDDDF41" w14:textId="77777777" w:rsidR="00FF4723" w:rsidRPr="00C456D9" w:rsidRDefault="00FF4723" w:rsidP="00FF4723">
            <w:pPr>
              <w:pStyle w:val="TblTextCenter"/>
              <w:rPr>
                <w:b/>
                <w:bCs/>
              </w:rPr>
            </w:pPr>
            <w:r w:rsidRPr="00C456D9">
              <w:rPr>
                <w:b/>
                <w:bCs/>
              </w:rPr>
              <w:t>≥ 150 cells/</w:t>
            </w:r>
            <w:proofErr w:type="spellStart"/>
            <w:r w:rsidRPr="00C456D9">
              <w:rPr>
                <w:b/>
                <w:bCs/>
              </w:rPr>
              <w:t>mcL</w:t>
            </w:r>
            <w:proofErr w:type="spellEnd"/>
          </w:p>
          <w:p w14:paraId="33CA8732" w14:textId="77777777" w:rsidR="00FF4723" w:rsidRPr="00C456D9" w:rsidRDefault="00FF4723" w:rsidP="00FF4723">
            <w:pPr>
              <w:pStyle w:val="TblTextCenter"/>
              <w:rPr>
                <w:b/>
                <w:bCs/>
              </w:rPr>
            </w:pPr>
          </w:p>
        </w:tc>
        <w:tc>
          <w:tcPr>
            <w:tcW w:w="2693" w:type="dxa"/>
            <w:gridSpan w:val="3"/>
            <w:tcBorders>
              <w:top w:val="single" w:sz="4" w:space="0" w:color="auto"/>
              <w:bottom w:val="single" w:sz="4" w:space="0" w:color="auto"/>
            </w:tcBorders>
            <w:shd w:val="clear" w:color="auto" w:fill="auto"/>
          </w:tcPr>
          <w:p w14:paraId="7BB1670C" w14:textId="77777777" w:rsidR="00FF4723" w:rsidRPr="00C456D9" w:rsidRDefault="00FF4723" w:rsidP="00FF4723">
            <w:pPr>
              <w:pStyle w:val="TblTextCenter"/>
              <w:rPr>
                <w:b/>
                <w:bCs/>
              </w:rPr>
            </w:pPr>
            <w:r w:rsidRPr="00C456D9">
              <w:rPr>
                <w:b/>
                <w:bCs/>
              </w:rPr>
              <w:t>EOS</w:t>
            </w:r>
          </w:p>
          <w:p w14:paraId="5FCB280D" w14:textId="77777777" w:rsidR="00FF4723" w:rsidRPr="00C456D9" w:rsidRDefault="00FF4723" w:rsidP="00FF4723">
            <w:pPr>
              <w:pStyle w:val="TblTextCenter"/>
              <w:rPr>
                <w:b/>
                <w:bCs/>
              </w:rPr>
            </w:pPr>
            <w:r w:rsidRPr="00C456D9">
              <w:rPr>
                <w:b/>
                <w:bCs/>
              </w:rPr>
              <w:t>≥ 300 cells/</w:t>
            </w:r>
            <w:proofErr w:type="spellStart"/>
            <w:r w:rsidRPr="00C456D9">
              <w:rPr>
                <w:b/>
                <w:bCs/>
              </w:rPr>
              <w:t>mcL</w:t>
            </w:r>
            <w:proofErr w:type="spellEnd"/>
          </w:p>
          <w:p w14:paraId="0FCC5BC2" w14:textId="77777777" w:rsidR="00FF4723" w:rsidRPr="00C456D9" w:rsidRDefault="00FF4723" w:rsidP="00FF4723">
            <w:pPr>
              <w:pStyle w:val="TblTextCenter"/>
              <w:rPr>
                <w:b/>
                <w:bCs/>
              </w:rPr>
            </w:pPr>
          </w:p>
        </w:tc>
        <w:tc>
          <w:tcPr>
            <w:tcW w:w="2410" w:type="dxa"/>
            <w:gridSpan w:val="3"/>
            <w:tcBorders>
              <w:top w:val="single" w:sz="4" w:space="0" w:color="auto"/>
              <w:bottom w:val="single" w:sz="4" w:space="0" w:color="auto"/>
              <w:right w:val="nil"/>
            </w:tcBorders>
            <w:shd w:val="clear" w:color="auto" w:fill="auto"/>
          </w:tcPr>
          <w:p w14:paraId="2DE8DD92" w14:textId="77777777" w:rsidR="00FF4723" w:rsidRPr="00C456D9" w:rsidRDefault="00FF4723" w:rsidP="00FF4723">
            <w:pPr>
              <w:pStyle w:val="TblTextCenter"/>
              <w:rPr>
                <w:b/>
                <w:bCs/>
              </w:rPr>
            </w:pPr>
            <w:proofErr w:type="spellStart"/>
            <w:r w:rsidRPr="00C456D9">
              <w:rPr>
                <w:b/>
                <w:bCs/>
              </w:rPr>
              <w:t>FeNO</w:t>
            </w:r>
            <w:proofErr w:type="spellEnd"/>
          </w:p>
          <w:p w14:paraId="5988F770" w14:textId="77777777" w:rsidR="00FF4723" w:rsidRPr="00C456D9" w:rsidRDefault="00FF4723" w:rsidP="00FF4723">
            <w:pPr>
              <w:pStyle w:val="TblTextCenter"/>
              <w:rPr>
                <w:b/>
                <w:bCs/>
              </w:rPr>
            </w:pPr>
            <w:r w:rsidRPr="00C456D9">
              <w:rPr>
                <w:b/>
                <w:bCs/>
              </w:rPr>
              <w:t>≥ 25 ppb</w:t>
            </w:r>
          </w:p>
          <w:p w14:paraId="768975E0" w14:textId="77777777" w:rsidR="00FF4723" w:rsidRPr="00C456D9" w:rsidRDefault="00FF4723" w:rsidP="00FF4723">
            <w:pPr>
              <w:pStyle w:val="TblTextCenter"/>
              <w:rPr>
                <w:b/>
                <w:bCs/>
              </w:rPr>
            </w:pPr>
          </w:p>
        </w:tc>
      </w:tr>
      <w:tr w:rsidR="00FF4723" w:rsidRPr="00C456D9" w14:paraId="12173902" w14:textId="77777777" w:rsidTr="002E200C">
        <w:trPr>
          <w:gridAfter w:val="3"/>
          <w:wAfter w:w="2410" w:type="dxa"/>
          <w:cantSplit/>
          <w:jc w:val="center"/>
        </w:trPr>
        <w:tc>
          <w:tcPr>
            <w:tcW w:w="7513" w:type="dxa"/>
            <w:gridSpan w:val="6"/>
            <w:tcBorders>
              <w:top w:val="nil"/>
            </w:tcBorders>
            <w:shd w:val="clear" w:color="auto" w:fill="auto"/>
          </w:tcPr>
          <w:p w14:paraId="3BD91569" w14:textId="77777777" w:rsidR="00FF4723" w:rsidRPr="00C456D9" w:rsidRDefault="00FF4723" w:rsidP="00FF4723">
            <w:pPr>
              <w:pStyle w:val="TblTextCenter"/>
              <w:jc w:val="left"/>
              <w:rPr>
                <w:b/>
                <w:bCs/>
              </w:rPr>
            </w:pPr>
            <w:r w:rsidRPr="00C456D9">
              <w:rPr>
                <w:b/>
                <w:bCs/>
              </w:rPr>
              <w:t>Unadjusted severe exacerbations rate over week 96</w:t>
            </w:r>
          </w:p>
        </w:tc>
      </w:tr>
      <w:tr w:rsidR="00FF4723" w:rsidRPr="00C456D9" w14:paraId="4D68AEC3" w14:textId="77777777" w:rsidTr="002E200C">
        <w:trPr>
          <w:cantSplit/>
          <w:jc w:val="center"/>
        </w:trPr>
        <w:tc>
          <w:tcPr>
            <w:tcW w:w="2155" w:type="dxa"/>
            <w:tcBorders>
              <w:top w:val="nil"/>
            </w:tcBorders>
            <w:shd w:val="clear" w:color="auto" w:fill="auto"/>
          </w:tcPr>
          <w:p w14:paraId="1FF2CFBB" w14:textId="77777777" w:rsidR="00FF4723" w:rsidRPr="00C456D9" w:rsidRDefault="00FF4723" w:rsidP="00FF4723">
            <w:pPr>
              <w:pStyle w:val="TblTextCenter"/>
            </w:pPr>
          </w:p>
        </w:tc>
        <w:tc>
          <w:tcPr>
            <w:tcW w:w="752" w:type="dxa"/>
            <w:tcBorders>
              <w:top w:val="nil"/>
            </w:tcBorders>
            <w:shd w:val="clear" w:color="auto" w:fill="auto"/>
          </w:tcPr>
          <w:p w14:paraId="4117EFC8" w14:textId="77777777" w:rsidR="00FF4723" w:rsidRPr="00C456D9" w:rsidRDefault="00FF4723" w:rsidP="00FF4723">
            <w:pPr>
              <w:pStyle w:val="TblTextCenter"/>
              <w:rPr>
                <w:b/>
                <w:bCs/>
              </w:rPr>
            </w:pPr>
            <w:r w:rsidRPr="00C456D9">
              <w:rPr>
                <w:b/>
                <w:bCs/>
              </w:rPr>
              <w:t>N</w:t>
            </w:r>
          </w:p>
        </w:tc>
        <w:tc>
          <w:tcPr>
            <w:tcW w:w="2324" w:type="dxa"/>
            <w:gridSpan w:val="2"/>
            <w:tcBorders>
              <w:top w:val="nil"/>
            </w:tcBorders>
            <w:shd w:val="clear" w:color="auto" w:fill="auto"/>
          </w:tcPr>
          <w:p w14:paraId="4E56A3FF" w14:textId="77777777" w:rsidR="00FF4723" w:rsidRPr="00C456D9" w:rsidRDefault="00FF4723" w:rsidP="00FF4723">
            <w:pPr>
              <w:pStyle w:val="TblTextCenter"/>
              <w:rPr>
                <w:b/>
                <w:bCs/>
              </w:rPr>
            </w:pPr>
            <w:r w:rsidRPr="00C456D9">
              <w:rPr>
                <w:b/>
                <w:bCs/>
              </w:rPr>
              <w:t>Rate</w:t>
            </w:r>
          </w:p>
          <w:p w14:paraId="6CDE4D65" w14:textId="77777777" w:rsidR="00FF4723" w:rsidRPr="00C456D9" w:rsidRDefault="00FF4723" w:rsidP="00FF4723">
            <w:pPr>
              <w:pStyle w:val="TblTextCenter"/>
              <w:rPr>
                <w:b/>
                <w:bCs/>
              </w:rPr>
            </w:pPr>
          </w:p>
        </w:tc>
        <w:tc>
          <w:tcPr>
            <w:tcW w:w="490" w:type="dxa"/>
            <w:tcBorders>
              <w:top w:val="nil"/>
            </w:tcBorders>
            <w:shd w:val="clear" w:color="auto" w:fill="auto"/>
          </w:tcPr>
          <w:p w14:paraId="274BFAC7" w14:textId="77777777" w:rsidR="00FF4723" w:rsidRPr="00C456D9" w:rsidRDefault="00FF4723" w:rsidP="00FF4723">
            <w:pPr>
              <w:pStyle w:val="TblTextCenter"/>
              <w:rPr>
                <w:b/>
                <w:bCs/>
              </w:rPr>
            </w:pPr>
            <w:r w:rsidRPr="00C456D9">
              <w:rPr>
                <w:b/>
                <w:bCs/>
              </w:rPr>
              <w:t>N</w:t>
            </w:r>
          </w:p>
        </w:tc>
        <w:tc>
          <w:tcPr>
            <w:tcW w:w="1914" w:type="dxa"/>
            <w:gridSpan w:val="2"/>
            <w:tcBorders>
              <w:top w:val="nil"/>
              <w:right w:val="nil"/>
            </w:tcBorders>
            <w:shd w:val="clear" w:color="auto" w:fill="auto"/>
          </w:tcPr>
          <w:p w14:paraId="28E06B1A" w14:textId="77777777" w:rsidR="00FF4723" w:rsidRPr="00C456D9" w:rsidRDefault="00FF4723" w:rsidP="00FF4723">
            <w:pPr>
              <w:pStyle w:val="TblTextCenter"/>
              <w:rPr>
                <w:b/>
                <w:bCs/>
              </w:rPr>
            </w:pPr>
            <w:r w:rsidRPr="00C456D9">
              <w:rPr>
                <w:b/>
                <w:bCs/>
              </w:rPr>
              <w:t>Rate</w:t>
            </w:r>
          </w:p>
        </w:tc>
        <w:tc>
          <w:tcPr>
            <w:tcW w:w="1012" w:type="dxa"/>
            <w:tcBorders>
              <w:top w:val="nil"/>
              <w:left w:val="nil"/>
              <w:right w:val="nil"/>
            </w:tcBorders>
            <w:shd w:val="clear" w:color="auto" w:fill="auto"/>
          </w:tcPr>
          <w:p w14:paraId="447990DF" w14:textId="77777777" w:rsidR="00FF4723" w:rsidRPr="00C456D9" w:rsidRDefault="00FF4723" w:rsidP="00FF4723">
            <w:pPr>
              <w:pStyle w:val="TblTextCenter"/>
              <w:rPr>
                <w:b/>
                <w:bCs/>
              </w:rPr>
            </w:pPr>
            <w:r w:rsidRPr="00C456D9">
              <w:rPr>
                <w:b/>
                <w:bCs/>
              </w:rPr>
              <w:t>N</w:t>
            </w:r>
          </w:p>
        </w:tc>
        <w:tc>
          <w:tcPr>
            <w:tcW w:w="1276" w:type="dxa"/>
            <w:tcBorders>
              <w:top w:val="nil"/>
              <w:left w:val="nil"/>
            </w:tcBorders>
            <w:shd w:val="clear" w:color="auto" w:fill="auto"/>
          </w:tcPr>
          <w:p w14:paraId="06B79F58" w14:textId="77777777" w:rsidR="00FF4723" w:rsidRPr="00C456D9" w:rsidRDefault="00FF4723" w:rsidP="00FF4723">
            <w:pPr>
              <w:pStyle w:val="TblTextCenter"/>
              <w:rPr>
                <w:b/>
                <w:bCs/>
              </w:rPr>
            </w:pPr>
            <w:r w:rsidRPr="00C456D9">
              <w:rPr>
                <w:b/>
                <w:bCs/>
              </w:rPr>
              <w:t>Rate</w:t>
            </w:r>
          </w:p>
        </w:tc>
      </w:tr>
      <w:tr w:rsidR="00FF4723" w:rsidRPr="00C456D9" w14:paraId="07C1D2FC" w14:textId="77777777" w:rsidTr="002E200C">
        <w:trPr>
          <w:cantSplit/>
          <w:jc w:val="center"/>
        </w:trPr>
        <w:tc>
          <w:tcPr>
            <w:tcW w:w="2155" w:type="dxa"/>
            <w:tcBorders>
              <w:top w:val="nil"/>
            </w:tcBorders>
            <w:shd w:val="clear" w:color="auto" w:fill="auto"/>
          </w:tcPr>
          <w:p w14:paraId="1977503F" w14:textId="0EA07780" w:rsidR="00FF4723" w:rsidRPr="00C456D9" w:rsidRDefault="00FF4723" w:rsidP="00FF4723">
            <w:pPr>
              <w:pStyle w:val="TblTextCenter"/>
              <w:jc w:val="left"/>
            </w:pPr>
            <w:r w:rsidRPr="00C456D9">
              <w:t>Dupixent 300 mg Q2W</w:t>
            </w:r>
          </w:p>
        </w:tc>
        <w:tc>
          <w:tcPr>
            <w:tcW w:w="752" w:type="dxa"/>
            <w:tcBorders>
              <w:top w:val="nil"/>
            </w:tcBorders>
            <w:shd w:val="clear" w:color="auto" w:fill="auto"/>
          </w:tcPr>
          <w:p w14:paraId="114E5256" w14:textId="77777777" w:rsidR="00FF4723" w:rsidRPr="00C456D9" w:rsidRDefault="00FF4723" w:rsidP="00FF4723">
            <w:pPr>
              <w:pStyle w:val="TblTextCenter"/>
            </w:pPr>
            <w:r w:rsidRPr="00C456D9">
              <w:t>1496</w:t>
            </w:r>
          </w:p>
        </w:tc>
        <w:tc>
          <w:tcPr>
            <w:tcW w:w="2324" w:type="dxa"/>
            <w:gridSpan w:val="2"/>
            <w:tcBorders>
              <w:top w:val="nil"/>
            </w:tcBorders>
            <w:shd w:val="clear" w:color="auto" w:fill="auto"/>
          </w:tcPr>
          <w:p w14:paraId="04B971BB" w14:textId="77777777" w:rsidR="00FF4723" w:rsidRPr="00C456D9" w:rsidRDefault="00FF4723" w:rsidP="00FF4723">
            <w:pPr>
              <w:pStyle w:val="TblTextCenter"/>
            </w:pPr>
            <w:r w:rsidRPr="00C456D9">
              <w:t>0.30</w:t>
            </w:r>
          </w:p>
        </w:tc>
        <w:tc>
          <w:tcPr>
            <w:tcW w:w="490" w:type="dxa"/>
            <w:tcBorders>
              <w:top w:val="nil"/>
            </w:tcBorders>
            <w:shd w:val="clear" w:color="auto" w:fill="auto"/>
          </w:tcPr>
          <w:p w14:paraId="594CC728" w14:textId="77777777" w:rsidR="00FF4723" w:rsidRPr="00C456D9" w:rsidRDefault="00FF4723" w:rsidP="00FF4723">
            <w:pPr>
              <w:pStyle w:val="TblTextCenter"/>
            </w:pPr>
            <w:r w:rsidRPr="00C456D9">
              <w:t>905</w:t>
            </w:r>
          </w:p>
        </w:tc>
        <w:tc>
          <w:tcPr>
            <w:tcW w:w="1914" w:type="dxa"/>
            <w:gridSpan w:val="2"/>
            <w:tcBorders>
              <w:top w:val="nil"/>
              <w:right w:val="nil"/>
            </w:tcBorders>
            <w:shd w:val="clear" w:color="auto" w:fill="auto"/>
          </w:tcPr>
          <w:p w14:paraId="71813A85" w14:textId="77777777" w:rsidR="00FF4723" w:rsidRPr="00C456D9" w:rsidRDefault="00FF4723" w:rsidP="00FF4723">
            <w:pPr>
              <w:pStyle w:val="TblTextCenter"/>
            </w:pPr>
            <w:r w:rsidRPr="00C456D9">
              <w:t>0.27</w:t>
            </w:r>
          </w:p>
        </w:tc>
        <w:tc>
          <w:tcPr>
            <w:tcW w:w="1012" w:type="dxa"/>
            <w:tcBorders>
              <w:top w:val="nil"/>
              <w:left w:val="nil"/>
              <w:right w:val="nil"/>
            </w:tcBorders>
            <w:shd w:val="clear" w:color="auto" w:fill="auto"/>
          </w:tcPr>
          <w:p w14:paraId="05AEFD3A" w14:textId="77777777" w:rsidR="00FF4723" w:rsidRPr="00C456D9" w:rsidRDefault="00FF4723" w:rsidP="00FF4723">
            <w:pPr>
              <w:pStyle w:val="TblTextCenter"/>
            </w:pPr>
            <w:r w:rsidRPr="00C456D9">
              <w:t>1050</w:t>
            </w:r>
          </w:p>
        </w:tc>
        <w:tc>
          <w:tcPr>
            <w:tcW w:w="1276" w:type="dxa"/>
            <w:tcBorders>
              <w:top w:val="nil"/>
              <w:left w:val="nil"/>
            </w:tcBorders>
            <w:shd w:val="clear" w:color="auto" w:fill="auto"/>
          </w:tcPr>
          <w:p w14:paraId="0481A24E" w14:textId="77777777" w:rsidR="00FF4723" w:rsidRPr="00C456D9" w:rsidRDefault="00FF4723" w:rsidP="00FF4723">
            <w:pPr>
              <w:pStyle w:val="TblTextCenter"/>
            </w:pPr>
            <w:r w:rsidRPr="00C456D9">
              <w:t>0.26</w:t>
            </w:r>
          </w:p>
          <w:p w14:paraId="253545C1" w14:textId="3DA1D553" w:rsidR="00FF4723" w:rsidRPr="00C456D9" w:rsidRDefault="00FF4723" w:rsidP="00FF4723">
            <w:pPr>
              <w:pStyle w:val="TblTextCenter"/>
            </w:pPr>
          </w:p>
        </w:tc>
      </w:tr>
      <w:tr w:rsidR="00FF4723" w:rsidRPr="00C456D9" w14:paraId="58308A3F" w14:textId="77777777" w:rsidTr="00FF4723">
        <w:trPr>
          <w:gridAfter w:val="1"/>
          <w:wAfter w:w="1276" w:type="dxa"/>
          <w:cantSplit/>
          <w:jc w:val="center"/>
        </w:trPr>
        <w:tc>
          <w:tcPr>
            <w:tcW w:w="8647" w:type="dxa"/>
            <w:gridSpan w:val="8"/>
            <w:tcBorders>
              <w:top w:val="nil"/>
              <w:left w:val="nil"/>
              <w:right w:val="nil"/>
            </w:tcBorders>
            <w:shd w:val="clear" w:color="auto" w:fill="auto"/>
          </w:tcPr>
          <w:p w14:paraId="31C7C72B" w14:textId="77777777" w:rsidR="00FF4723" w:rsidRPr="00C456D9" w:rsidRDefault="00FF4723" w:rsidP="00FF4723">
            <w:pPr>
              <w:pStyle w:val="TblTextCenter"/>
              <w:jc w:val="left"/>
              <w:rPr>
                <w:b/>
                <w:bCs/>
              </w:rPr>
            </w:pPr>
            <w:r w:rsidRPr="00C456D9">
              <w:rPr>
                <w:b/>
                <w:bCs/>
              </w:rPr>
              <w:t>Mean Change from Baseline in FEV1 at week 96</w:t>
            </w:r>
          </w:p>
        </w:tc>
      </w:tr>
      <w:tr w:rsidR="00FF4723" w:rsidRPr="00C456D9" w14:paraId="57CCAACD" w14:textId="77777777" w:rsidTr="002E200C">
        <w:trPr>
          <w:cantSplit/>
          <w:trHeight w:val="800"/>
          <w:jc w:val="center"/>
        </w:trPr>
        <w:tc>
          <w:tcPr>
            <w:tcW w:w="2155" w:type="dxa"/>
            <w:tcBorders>
              <w:top w:val="nil"/>
            </w:tcBorders>
            <w:shd w:val="clear" w:color="auto" w:fill="auto"/>
          </w:tcPr>
          <w:p w14:paraId="5934739E" w14:textId="77777777" w:rsidR="00FF4723" w:rsidRPr="00C456D9" w:rsidRDefault="00FF4723" w:rsidP="00FF4723">
            <w:pPr>
              <w:pStyle w:val="TblTextCenter"/>
            </w:pPr>
          </w:p>
        </w:tc>
        <w:tc>
          <w:tcPr>
            <w:tcW w:w="752" w:type="dxa"/>
            <w:tcBorders>
              <w:top w:val="nil"/>
            </w:tcBorders>
            <w:shd w:val="clear" w:color="auto" w:fill="auto"/>
          </w:tcPr>
          <w:p w14:paraId="4C446158" w14:textId="77777777" w:rsidR="00FF4723" w:rsidRPr="00C456D9" w:rsidRDefault="00FF4723" w:rsidP="00FF4723">
            <w:pPr>
              <w:pStyle w:val="TblTextCenter"/>
              <w:rPr>
                <w:b/>
                <w:bCs/>
              </w:rPr>
            </w:pPr>
            <w:r w:rsidRPr="00C456D9">
              <w:rPr>
                <w:b/>
                <w:bCs/>
              </w:rPr>
              <w:t>N</w:t>
            </w:r>
          </w:p>
        </w:tc>
        <w:tc>
          <w:tcPr>
            <w:tcW w:w="2324" w:type="dxa"/>
            <w:gridSpan w:val="2"/>
            <w:tcBorders>
              <w:top w:val="nil"/>
            </w:tcBorders>
            <w:shd w:val="clear" w:color="auto" w:fill="auto"/>
          </w:tcPr>
          <w:p w14:paraId="76574ADA"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 (%)</w:t>
            </w:r>
          </w:p>
        </w:tc>
        <w:tc>
          <w:tcPr>
            <w:tcW w:w="490" w:type="dxa"/>
            <w:tcBorders>
              <w:top w:val="nil"/>
            </w:tcBorders>
            <w:shd w:val="clear" w:color="auto" w:fill="auto"/>
          </w:tcPr>
          <w:p w14:paraId="0DDF7DE4" w14:textId="77777777" w:rsidR="00FF4723" w:rsidRPr="00C456D9" w:rsidRDefault="00FF4723" w:rsidP="00FF4723">
            <w:pPr>
              <w:pStyle w:val="TblTextCenter"/>
              <w:rPr>
                <w:b/>
                <w:bCs/>
              </w:rPr>
            </w:pPr>
            <w:r w:rsidRPr="00C456D9">
              <w:rPr>
                <w:b/>
                <w:bCs/>
              </w:rPr>
              <w:t>N</w:t>
            </w:r>
          </w:p>
        </w:tc>
        <w:tc>
          <w:tcPr>
            <w:tcW w:w="1914" w:type="dxa"/>
            <w:gridSpan w:val="2"/>
            <w:tcBorders>
              <w:top w:val="nil"/>
              <w:right w:val="nil"/>
            </w:tcBorders>
            <w:shd w:val="clear" w:color="auto" w:fill="auto"/>
          </w:tcPr>
          <w:p w14:paraId="51ED4E7F"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w:t>
            </w:r>
          </w:p>
          <w:p w14:paraId="17E94098" w14:textId="77777777" w:rsidR="00FF4723" w:rsidRPr="00C456D9" w:rsidRDefault="00FF4723" w:rsidP="00FF4723">
            <w:pPr>
              <w:pStyle w:val="TblTextCenter"/>
              <w:rPr>
                <w:b/>
                <w:bCs/>
              </w:rPr>
            </w:pPr>
            <w:r w:rsidRPr="00C456D9">
              <w:rPr>
                <w:b/>
                <w:bCs/>
              </w:rPr>
              <w:t>L (%)</w:t>
            </w:r>
          </w:p>
        </w:tc>
        <w:tc>
          <w:tcPr>
            <w:tcW w:w="1012" w:type="dxa"/>
            <w:tcBorders>
              <w:top w:val="nil"/>
              <w:left w:val="nil"/>
              <w:right w:val="nil"/>
            </w:tcBorders>
            <w:shd w:val="clear" w:color="auto" w:fill="auto"/>
          </w:tcPr>
          <w:p w14:paraId="6A5FD49E" w14:textId="77777777" w:rsidR="00FF4723" w:rsidRPr="00C456D9" w:rsidRDefault="00FF4723" w:rsidP="00FF4723">
            <w:pPr>
              <w:pStyle w:val="TblTextCenter"/>
              <w:rPr>
                <w:b/>
                <w:bCs/>
              </w:rPr>
            </w:pPr>
            <w:r w:rsidRPr="00C456D9">
              <w:rPr>
                <w:b/>
                <w:bCs/>
              </w:rPr>
              <w:t>N</w:t>
            </w:r>
          </w:p>
        </w:tc>
        <w:tc>
          <w:tcPr>
            <w:tcW w:w="1276" w:type="dxa"/>
            <w:tcBorders>
              <w:top w:val="nil"/>
              <w:left w:val="nil"/>
            </w:tcBorders>
            <w:shd w:val="clear" w:color="auto" w:fill="auto"/>
          </w:tcPr>
          <w:p w14:paraId="796CA396" w14:textId="77777777" w:rsidR="00FF4723" w:rsidRPr="00C456D9" w:rsidRDefault="00FF4723" w:rsidP="00FF4723">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 (%)</w:t>
            </w:r>
          </w:p>
        </w:tc>
      </w:tr>
      <w:tr w:rsidR="00FF4723" w:rsidRPr="00C456D9" w14:paraId="32A5066F" w14:textId="77777777" w:rsidTr="002E200C">
        <w:trPr>
          <w:cantSplit/>
          <w:jc w:val="center"/>
        </w:trPr>
        <w:tc>
          <w:tcPr>
            <w:tcW w:w="2155" w:type="dxa"/>
            <w:tcBorders>
              <w:top w:val="nil"/>
            </w:tcBorders>
            <w:shd w:val="clear" w:color="auto" w:fill="auto"/>
          </w:tcPr>
          <w:p w14:paraId="513F4D90" w14:textId="1F9DA82E" w:rsidR="00FF4723" w:rsidRPr="00C456D9" w:rsidRDefault="00FF4723" w:rsidP="00FF4723">
            <w:pPr>
              <w:pStyle w:val="TblTextCenter"/>
              <w:jc w:val="left"/>
            </w:pPr>
            <w:r w:rsidRPr="00C456D9">
              <w:t>Dupixent 300 mg Q2W</w:t>
            </w:r>
          </w:p>
        </w:tc>
        <w:tc>
          <w:tcPr>
            <w:tcW w:w="752" w:type="dxa"/>
            <w:tcBorders>
              <w:top w:val="nil"/>
            </w:tcBorders>
            <w:shd w:val="clear" w:color="auto" w:fill="auto"/>
          </w:tcPr>
          <w:p w14:paraId="048F5B51" w14:textId="77777777" w:rsidR="00FF4723" w:rsidRPr="00C456D9" w:rsidRDefault="00FF4723" w:rsidP="00FF4723">
            <w:pPr>
              <w:pStyle w:val="TblTextCenter"/>
            </w:pPr>
            <w:r w:rsidRPr="00C456D9">
              <w:t>865</w:t>
            </w:r>
          </w:p>
        </w:tc>
        <w:tc>
          <w:tcPr>
            <w:tcW w:w="2324" w:type="dxa"/>
            <w:gridSpan w:val="2"/>
            <w:tcBorders>
              <w:top w:val="nil"/>
            </w:tcBorders>
            <w:shd w:val="clear" w:color="auto" w:fill="auto"/>
          </w:tcPr>
          <w:p w14:paraId="0AAEE947" w14:textId="77777777" w:rsidR="00FF4723" w:rsidRPr="00C456D9" w:rsidRDefault="00FF4723" w:rsidP="00FF4723">
            <w:pPr>
              <w:pStyle w:val="TblTextCenter"/>
            </w:pPr>
            <w:r w:rsidRPr="00C456D9">
              <w:t>0.33 (21.1)</w:t>
            </w:r>
          </w:p>
        </w:tc>
        <w:tc>
          <w:tcPr>
            <w:tcW w:w="490" w:type="dxa"/>
            <w:tcBorders>
              <w:top w:val="nil"/>
            </w:tcBorders>
            <w:shd w:val="clear" w:color="auto" w:fill="auto"/>
          </w:tcPr>
          <w:p w14:paraId="7337FAC4" w14:textId="77777777" w:rsidR="00FF4723" w:rsidRPr="00C456D9" w:rsidRDefault="00FF4723" w:rsidP="00FF4723">
            <w:pPr>
              <w:pStyle w:val="TblTextCenter"/>
            </w:pPr>
            <w:r w:rsidRPr="00C456D9">
              <w:t>511</w:t>
            </w:r>
          </w:p>
        </w:tc>
        <w:tc>
          <w:tcPr>
            <w:tcW w:w="1914" w:type="dxa"/>
            <w:gridSpan w:val="2"/>
            <w:tcBorders>
              <w:top w:val="nil"/>
              <w:right w:val="nil"/>
            </w:tcBorders>
            <w:shd w:val="clear" w:color="auto" w:fill="auto"/>
          </w:tcPr>
          <w:p w14:paraId="459C3753" w14:textId="77777777" w:rsidR="00FF4723" w:rsidRPr="00C456D9" w:rsidRDefault="00FF4723" w:rsidP="00FF4723">
            <w:pPr>
              <w:pStyle w:val="TblTextCenter"/>
            </w:pPr>
            <w:r w:rsidRPr="00C456D9">
              <w:t>0.42 (27.3)</w:t>
            </w:r>
          </w:p>
        </w:tc>
        <w:tc>
          <w:tcPr>
            <w:tcW w:w="1012" w:type="dxa"/>
            <w:tcBorders>
              <w:top w:val="nil"/>
              <w:left w:val="nil"/>
              <w:right w:val="nil"/>
            </w:tcBorders>
            <w:shd w:val="clear" w:color="auto" w:fill="auto"/>
          </w:tcPr>
          <w:p w14:paraId="15034A64" w14:textId="77777777" w:rsidR="00FF4723" w:rsidRPr="00C456D9" w:rsidRDefault="00FF4723" w:rsidP="00FF4723">
            <w:pPr>
              <w:pStyle w:val="TblTextCenter"/>
            </w:pPr>
            <w:r w:rsidRPr="00C456D9">
              <w:t>596</w:t>
            </w:r>
          </w:p>
        </w:tc>
        <w:tc>
          <w:tcPr>
            <w:tcW w:w="1276" w:type="dxa"/>
            <w:tcBorders>
              <w:top w:val="nil"/>
              <w:left w:val="nil"/>
            </w:tcBorders>
            <w:shd w:val="clear" w:color="auto" w:fill="auto"/>
          </w:tcPr>
          <w:p w14:paraId="3A498CA2" w14:textId="77777777" w:rsidR="00FF4723" w:rsidRPr="00C456D9" w:rsidRDefault="00FF4723" w:rsidP="00FF4723">
            <w:pPr>
              <w:pStyle w:val="TblTextCenter"/>
            </w:pPr>
            <w:r w:rsidRPr="00C456D9">
              <w:t>0.39 (24.6)</w:t>
            </w:r>
          </w:p>
        </w:tc>
      </w:tr>
      <w:tr w:rsidR="00FF4723" w:rsidRPr="00C456D9" w14:paraId="64BE66A1" w14:textId="77777777" w:rsidTr="00FF4723">
        <w:trPr>
          <w:gridAfter w:val="1"/>
          <w:wAfter w:w="1276" w:type="dxa"/>
          <w:cantSplit/>
          <w:jc w:val="center"/>
        </w:trPr>
        <w:tc>
          <w:tcPr>
            <w:tcW w:w="8647" w:type="dxa"/>
            <w:gridSpan w:val="8"/>
            <w:tcBorders>
              <w:top w:val="nil"/>
              <w:left w:val="nil"/>
              <w:right w:val="nil"/>
            </w:tcBorders>
            <w:shd w:val="clear" w:color="auto" w:fill="auto"/>
          </w:tcPr>
          <w:p w14:paraId="6A6219CC" w14:textId="77777777" w:rsidR="00FF4723" w:rsidRPr="00C456D9" w:rsidRDefault="00FF4723" w:rsidP="00FF4723">
            <w:pPr>
              <w:pStyle w:val="TblTextCenter"/>
              <w:jc w:val="left"/>
              <w:rPr>
                <w:b/>
                <w:bCs/>
              </w:rPr>
            </w:pPr>
          </w:p>
          <w:p w14:paraId="7FF49328" w14:textId="7E49A594" w:rsidR="00FF4723" w:rsidRPr="00C456D9" w:rsidRDefault="00FF4723" w:rsidP="00FF4723">
            <w:pPr>
              <w:pStyle w:val="TblTextCenter"/>
              <w:jc w:val="left"/>
              <w:rPr>
                <w:b/>
                <w:bCs/>
              </w:rPr>
            </w:pPr>
            <w:r w:rsidRPr="00C456D9">
              <w:rPr>
                <w:b/>
                <w:bCs/>
              </w:rPr>
              <w:t>ACQ-5 at week 48</w:t>
            </w:r>
            <w:r w:rsidRPr="00C456D9">
              <w:rPr>
                <w:b/>
                <w:bCs/>
                <w:vertAlign w:val="superscript"/>
              </w:rPr>
              <w:t>b</w:t>
            </w:r>
          </w:p>
        </w:tc>
      </w:tr>
      <w:tr w:rsidR="00FF4723" w:rsidRPr="00C456D9" w14:paraId="15A4D06B" w14:textId="77777777" w:rsidTr="002E200C">
        <w:trPr>
          <w:cantSplit/>
          <w:jc w:val="center"/>
        </w:trPr>
        <w:tc>
          <w:tcPr>
            <w:tcW w:w="2155" w:type="dxa"/>
            <w:tcBorders>
              <w:top w:val="nil"/>
            </w:tcBorders>
            <w:shd w:val="clear" w:color="auto" w:fill="auto"/>
          </w:tcPr>
          <w:p w14:paraId="77742D7D" w14:textId="77777777" w:rsidR="00FF4723" w:rsidRPr="00C456D9" w:rsidRDefault="00FF4723" w:rsidP="00FF4723">
            <w:pPr>
              <w:pStyle w:val="TblTextCenter"/>
            </w:pPr>
          </w:p>
        </w:tc>
        <w:tc>
          <w:tcPr>
            <w:tcW w:w="752" w:type="dxa"/>
            <w:tcBorders>
              <w:top w:val="nil"/>
            </w:tcBorders>
            <w:shd w:val="clear" w:color="auto" w:fill="auto"/>
          </w:tcPr>
          <w:p w14:paraId="3F02100B" w14:textId="77777777" w:rsidR="00FF4723" w:rsidRPr="00C456D9" w:rsidRDefault="00FF4723" w:rsidP="00FF4723">
            <w:pPr>
              <w:pStyle w:val="TblTextCenter"/>
              <w:rPr>
                <w:b/>
                <w:bCs/>
              </w:rPr>
            </w:pPr>
            <w:r w:rsidRPr="00C456D9">
              <w:rPr>
                <w:b/>
                <w:bCs/>
              </w:rPr>
              <w:t>N</w:t>
            </w:r>
          </w:p>
        </w:tc>
        <w:tc>
          <w:tcPr>
            <w:tcW w:w="2324" w:type="dxa"/>
            <w:gridSpan w:val="2"/>
            <w:tcBorders>
              <w:top w:val="nil"/>
            </w:tcBorders>
            <w:shd w:val="clear" w:color="auto" w:fill="auto"/>
          </w:tcPr>
          <w:p w14:paraId="4D2E44BF" w14:textId="77777777" w:rsidR="00FF4723" w:rsidRPr="00C456D9" w:rsidRDefault="00FF4723" w:rsidP="00FF4723">
            <w:pPr>
              <w:pStyle w:val="TblTextCenter"/>
              <w:rPr>
                <w:b/>
                <w:bCs/>
              </w:rPr>
            </w:pPr>
            <w:r w:rsidRPr="00C456D9">
              <w:rPr>
                <w:b/>
                <w:bCs/>
              </w:rPr>
              <w:t>Responder rate %</w:t>
            </w:r>
          </w:p>
        </w:tc>
        <w:tc>
          <w:tcPr>
            <w:tcW w:w="490" w:type="dxa"/>
            <w:tcBorders>
              <w:top w:val="nil"/>
            </w:tcBorders>
            <w:shd w:val="clear" w:color="auto" w:fill="auto"/>
          </w:tcPr>
          <w:p w14:paraId="0310298F" w14:textId="77777777" w:rsidR="00FF4723" w:rsidRPr="00C456D9" w:rsidRDefault="00FF4723" w:rsidP="00FF4723">
            <w:pPr>
              <w:pStyle w:val="TblTextCenter"/>
              <w:rPr>
                <w:b/>
                <w:bCs/>
              </w:rPr>
            </w:pPr>
            <w:r w:rsidRPr="00C456D9">
              <w:rPr>
                <w:b/>
                <w:bCs/>
              </w:rPr>
              <w:t>N</w:t>
            </w:r>
          </w:p>
        </w:tc>
        <w:tc>
          <w:tcPr>
            <w:tcW w:w="1914" w:type="dxa"/>
            <w:gridSpan w:val="2"/>
            <w:tcBorders>
              <w:top w:val="nil"/>
              <w:right w:val="nil"/>
            </w:tcBorders>
            <w:shd w:val="clear" w:color="auto" w:fill="auto"/>
          </w:tcPr>
          <w:p w14:paraId="1E170215" w14:textId="77777777" w:rsidR="00FF4723" w:rsidRPr="00C456D9" w:rsidRDefault="00FF4723" w:rsidP="00FF4723">
            <w:pPr>
              <w:pStyle w:val="TblTextCenter"/>
              <w:rPr>
                <w:b/>
                <w:bCs/>
              </w:rPr>
            </w:pPr>
            <w:r w:rsidRPr="00C456D9">
              <w:rPr>
                <w:b/>
                <w:bCs/>
              </w:rPr>
              <w:t>Responder rate %</w:t>
            </w:r>
          </w:p>
        </w:tc>
        <w:tc>
          <w:tcPr>
            <w:tcW w:w="1012" w:type="dxa"/>
            <w:tcBorders>
              <w:top w:val="nil"/>
              <w:left w:val="nil"/>
              <w:right w:val="nil"/>
            </w:tcBorders>
            <w:shd w:val="clear" w:color="auto" w:fill="auto"/>
          </w:tcPr>
          <w:p w14:paraId="73B79CC5" w14:textId="77777777" w:rsidR="00FF4723" w:rsidRPr="00C456D9" w:rsidRDefault="00FF4723" w:rsidP="00FF4723">
            <w:pPr>
              <w:pStyle w:val="TblTextCenter"/>
              <w:rPr>
                <w:b/>
                <w:bCs/>
              </w:rPr>
            </w:pPr>
            <w:r w:rsidRPr="00C456D9">
              <w:rPr>
                <w:b/>
                <w:bCs/>
              </w:rPr>
              <w:t>N</w:t>
            </w:r>
          </w:p>
        </w:tc>
        <w:tc>
          <w:tcPr>
            <w:tcW w:w="1276" w:type="dxa"/>
            <w:tcBorders>
              <w:top w:val="nil"/>
              <w:left w:val="nil"/>
            </w:tcBorders>
            <w:shd w:val="clear" w:color="auto" w:fill="auto"/>
          </w:tcPr>
          <w:p w14:paraId="66062ACC" w14:textId="77777777" w:rsidR="00FF4723" w:rsidRPr="00C456D9" w:rsidRDefault="00FF4723" w:rsidP="00FF4723">
            <w:pPr>
              <w:pStyle w:val="TblTextCenter"/>
              <w:rPr>
                <w:b/>
                <w:bCs/>
              </w:rPr>
            </w:pPr>
            <w:r w:rsidRPr="00C456D9">
              <w:rPr>
                <w:b/>
                <w:bCs/>
              </w:rPr>
              <w:t>Responder rate %</w:t>
            </w:r>
          </w:p>
        </w:tc>
      </w:tr>
      <w:tr w:rsidR="00FF4723" w:rsidRPr="00C456D9" w14:paraId="7ED5075F" w14:textId="77777777" w:rsidTr="002E200C">
        <w:trPr>
          <w:cantSplit/>
          <w:jc w:val="center"/>
        </w:trPr>
        <w:tc>
          <w:tcPr>
            <w:tcW w:w="2155" w:type="dxa"/>
            <w:tcBorders>
              <w:top w:val="nil"/>
            </w:tcBorders>
            <w:shd w:val="clear" w:color="auto" w:fill="auto"/>
          </w:tcPr>
          <w:p w14:paraId="1660CD60" w14:textId="3D3D0CB2" w:rsidR="00FF4723" w:rsidRPr="00C456D9" w:rsidRDefault="00FF4723" w:rsidP="00FF4723">
            <w:pPr>
              <w:pStyle w:val="TblTextCenter"/>
              <w:jc w:val="left"/>
            </w:pPr>
            <w:r w:rsidRPr="00C456D9">
              <w:t>Dupixent 300 mg Q2W</w:t>
            </w:r>
          </w:p>
        </w:tc>
        <w:tc>
          <w:tcPr>
            <w:tcW w:w="752" w:type="dxa"/>
            <w:tcBorders>
              <w:top w:val="nil"/>
            </w:tcBorders>
            <w:shd w:val="clear" w:color="auto" w:fill="auto"/>
          </w:tcPr>
          <w:p w14:paraId="1AB396B2" w14:textId="77777777" w:rsidR="00FF4723" w:rsidRPr="00C456D9" w:rsidRDefault="00FF4723" w:rsidP="00FF4723">
            <w:pPr>
              <w:pStyle w:val="TblTextCenter"/>
            </w:pPr>
            <w:r w:rsidRPr="00C456D9">
              <w:t>1412</w:t>
            </w:r>
          </w:p>
        </w:tc>
        <w:tc>
          <w:tcPr>
            <w:tcW w:w="2324" w:type="dxa"/>
            <w:gridSpan w:val="2"/>
            <w:tcBorders>
              <w:top w:val="nil"/>
            </w:tcBorders>
            <w:shd w:val="clear" w:color="auto" w:fill="auto"/>
          </w:tcPr>
          <w:p w14:paraId="76A8F4B1" w14:textId="77777777" w:rsidR="00FF4723" w:rsidRPr="00C456D9" w:rsidRDefault="00FF4723" w:rsidP="00FF4723">
            <w:pPr>
              <w:pStyle w:val="TblTextCenter"/>
            </w:pPr>
            <w:r w:rsidRPr="00C456D9">
              <w:t>87.3</w:t>
            </w:r>
          </w:p>
        </w:tc>
        <w:tc>
          <w:tcPr>
            <w:tcW w:w="490" w:type="dxa"/>
            <w:tcBorders>
              <w:top w:val="nil"/>
            </w:tcBorders>
            <w:shd w:val="clear" w:color="auto" w:fill="auto"/>
          </w:tcPr>
          <w:p w14:paraId="4AC015D3" w14:textId="77777777" w:rsidR="00FF4723" w:rsidRPr="00C456D9" w:rsidRDefault="00FF4723" w:rsidP="00FF4723">
            <w:pPr>
              <w:pStyle w:val="TblTextCenter"/>
            </w:pPr>
            <w:r w:rsidRPr="00C456D9">
              <w:t>855</w:t>
            </w:r>
          </w:p>
        </w:tc>
        <w:tc>
          <w:tcPr>
            <w:tcW w:w="1914" w:type="dxa"/>
            <w:gridSpan w:val="2"/>
            <w:tcBorders>
              <w:top w:val="nil"/>
              <w:right w:val="nil"/>
            </w:tcBorders>
            <w:shd w:val="clear" w:color="auto" w:fill="auto"/>
          </w:tcPr>
          <w:p w14:paraId="46120C4E" w14:textId="77777777" w:rsidR="00FF4723" w:rsidRPr="00C456D9" w:rsidRDefault="00FF4723" w:rsidP="00FF4723">
            <w:pPr>
              <w:pStyle w:val="TblTextCenter"/>
            </w:pPr>
            <w:r w:rsidRPr="00C456D9">
              <w:t>88.8</w:t>
            </w:r>
          </w:p>
        </w:tc>
        <w:tc>
          <w:tcPr>
            <w:tcW w:w="1012" w:type="dxa"/>
            <w:tcBorders>
              <w:top w:val="nil"/>
              <w:left w:val="nil"/>
              <w:right w:val="nil"/>
            </w:tcBorders>
            <w:shd w:val="clear" w:color="auto" w:fill="auto"/>
          </w:tcPr>
          <w:p w14:paraId="3D6EDF35" w14:textId="77777777" w:rsidR="00FF4723" w:rsidRPr="00C456D9" w:rsidRDefault="00FF4723" w:rsidP="00FF4723">
            <w:pPr>
              <w:pStyle w:val="TblTextCenter"/>
            </w:pPr>
            <w:r w:rsidRPr="00C456D9">
              <w:t>998</w:t>
            </w:r>
          </w:p>
        </w:tc>
        <w:tc>
          <w:tcPr>
            <w:tcW w:w="1276" w:type="dxa"/>
            <w:tcBorders>
              <w:top w:val="nil"/>
              <w:left w:val="nil"/>
            </w:tcBorders>
            <w:shd w:val="clear" w:color="auto" w:fill="auto"/>
          </w:tcPr>
          <w:p w14:paraId="6175CA0C" w14:textId="77777777" w:rsidR="00FF4723" w:rsidRPr="00C456D9" w:rsidRDefault="00FF4723" w:rsidP="00FF4723">
            <w:pPr>
              <w:pStyle w:val="TblTextCenter"/>
            </w:pPr>
            <w:r w:rsidRPr="00C456D9">
              <w:t>88.7</w:t>
            </w:r>
          </w:p>
        </w:tc>
      </w:tr>
      <w:tr w:rsidR="00FF4723" w:rsidRPr="00C456D9" w14:paraId="122C1733" w14:textId="77777777" w:rsidTr="00FF4723">
        <w:trPr>
          <w:gridAfter w:val="1"/>
          <w:wAfter w:w="1276" w:type="dxa"/>
          <w:cantSplit/>
          <w:jc w:val="center"/>
        </w:trPr>
        <w:tc>
          <w:tcPr>
            <w:tcW w:w="8647" w:type="dxa"/>
            <w:gridSpan w:val="8"/>
            <w:tcBorders>
              <w:top w:val="nil"/>
              <w:left w:val="nil"/>
              <w:right w:val="nil"/>
            </w:tcBorders>
            <w:shd w:val="clear" w:color="auto" w:fill="auto"/>
          </w:tcPr>
          <w:p w14:paraId="773266CA" w14:textId="77777777" w:rsidR="00FF4723" w:rsidRPr="00C456D9" w:rsidRDefault="00FF4723" w:rsidP="00FF4723">
            <w:pPr>
              <w:pStyle w:val="TblTextCenter"/>
              <w:jc w:val="left"/>
              <w:rPr>
                <w:b/>
                <w:bCs/>
              </w:rPr>
            </w:pPr>
          </w:p>
          <w:p w14:paraId="4D88BF9F" w14:textId="4D23F31C" w:rsidR="00FF4723" w:rsidRPr="00C456D9" w:rsidRDefault="00FF4723" w:rsidP="00FF4723">
            <w:pPr>
              <w:pStyle w:val="TblTextCenter"/>
              <w:jc w:val="left"/>
              <w:rPr>
                <w:b/>
                <w:bCs/>
              </w:rPr>
            </w:pPr>
            <w:r w:rsidRPr="00C456D9">
              <w:rPr>
                <w:b/>
                <w:bCs/>
              </w:rPr>
              <w:t>AQLQ(S) at week 48</w:t>
            </w:r>
            <w:r w:rsidRPr="00C456D9">
              <w:rPr>
                <w:b/>
                <w:bCs/>
                <w:vertAlign w:val="superscript"/>
              </w:rPr>
              <w:t>b</w:t>
            </w:r>
          </w:p>
        </w:tc>
      </w:tr>
      <w:tr w:rsidR="00FF4723" w:rsidRPr="00C456D9" w14:paraId="553C237C" w14:textId="77777777" w:rsidTr="002E200C">
        <w:trPr>
          <w:cantSplit/>
          <w:jc w:val="center"/>
        </w:trPr>
        <w:tc>
          <w:tcPr>
            <w:tcW w:w="2155" w:type="dxa"/>
            <w:tcBorders>
              <w:top w:val="nil"/>
            </w:tcBorders>
            <w:shd w:val="clear" w:color="auto" w:fill="auto"/>
          </w:tcPr>
          <w:p w14:paraId="4082AA3D" w14:textId="77777777" w:rsidR="00FF4723" w:rsidRPr="00C456D9" w:rsidRDefault="00FF4723" w:rsidP="00FF4723">
            <w:pPr>
              <w:pStyle w:val="TblTextCenter"/>
            </w:pPr>
          </w:p>
        </w:tc>
        <w:tc>
          <w:tcPr>
            <w:tcW w:w="752" w:type="dxa"/>
            <w:tcBorders>
              <w:top w:val="nil"/>
            </w:tcBorders>
            <w:shd w:val="clear" w:color="auto" w:fill="auto"/>
          </w:tcPr>
          <w:p w14:paraId="6FC9AE2A" w14:textId="77777777" w:rsidR="00FF4723" w:rsidRPr="00C456D9" w:rsidRDefault="00FF4723" w:rsidP="00FF4723">
            <w:pPr>
              <w:pStyle w:val="TblTextCenter"/>
              <w:rPr>
                <w:b/>
                <w:bCs/>
              </w:rPr>
            </w:pPr>
            <w:r w:rsidRPr="00C456D9">
              <w:rPr>
                <w:b/>
                <w:bCs/>
              </w:rPr>
              <w:t>N</w:t>
            </w:r>
          </w:p>
        </w:tc>
        <w:tc>
          <w:tcPr>
            <w:tcW w:w="2324" w:type="dxa"/>
            <w:gridSpan w:val="2"/>
            <w:tcBorders>
              <w:top w:val="nil"/>
            </w:tcBorders>
            <w:shd w:val="clear" w:color="auto" w:fill="auto"/>
          </w:tcPr>
          <w:p w14:paraId="272B7074" w14:textId="77777777" w:rsidR="00FF4723" w:rsidRPr="00C456D9" w:rsidRDefault="00FF4723" w:rsidP="00FF4723">
            <w:pPr>
              <w:pStyle w:val="TblTextCenter"/>
              <w:rPr>
                <w:b/>
                <w:bCs/>
              </w:rPr>
            </w:pPr>
            <w:r w:rsidRPr="00C456D9">
              <w:rPr>
                <w:b/>
                <w:bCs/>
              </w:rPr>
              <w:t>Responder rate %</w:t>
            </w:r>
          </w:p>
        </w:tc>
        <w:tc>
          <w:tcPr>
            <w:tcW w:w="490" w:type="dxa"/>
            <w:tcBorders>
              <w:top w:val="nil"/>
            </w:tcBorders>
            <w:shd w:val="clear" w:color="auto" w:fill="auto"/>
          </w:tcPr>
          <w:p w14:paraId="4885DAE5" w14:textId="77777777" w:rsidR="00FF4723" w:rsidRPr="00C456D9" w:rsidRDefault="00FF4723" w:rsidP="00FF4723">
            <w:pPr>
              <w:pStyle w:val="TblTextCenter"/>
              <w:rPr>
                <w:b/>
                <w:bCs/>
              </w:rPr>
            </w:pPr>
            <w:r w:rsidRPr="00C456D9">
              <w:rPr>
                <w:b/>
                <w:bCs/>
              </w:rPr>
              <w:t>N</w:t>
            </w:r>
          </w:p>
        </w:tc>
        <w:tc>
          <w:tcPr>
            <w:tcW w:w="1914" w:type="dxa"/>
            <w:gridSpan w:val="2"/>
            <w:tcBorders>
              <w:top w:val="nil"/>
              <w:right w:val="nil"/>
            </w:tcBorders>
            <w:shd w:val="clear" w:color="auto" w:fill="auto"/>
          </w:tcPr>
          <w:p w14:paraId="522B6B57" w14:textId="77777777" w:rsidR="00FF4723" w:rsidRPr="00C456D9" w:rsidRDefault="00FF4723" w:rsidP="00FF4723">
            <w:pPr>
              <w:pStyle w:val="TblTextCenter"/>
              <w:rPr>
                <w:b/>
                <w:bCs/>
              </w:rPr>
            </w:pPr>
            <w:r w:rsidRPr="00C456D9">
              <w:rPr>
                <w:b/>
                <w:bCs/>
              </w:rPr>
              <w:t>Responder rate %</w:t>
            </w:r>
          </w:p>
        </w:tc>
        <w:tc>
          <w:tcPr>
            <w:tcW w:w="1012" w:type="dxa"/>
            <w:tcBorders>
              <w:top w:val="nil"/>
              <w:left w:val="nil"/>
              <w:right w:val="nil"/>
            </w:tcBorders>
            <w:shd w:val="clear" w:color="auto" w:fill="auto"/>
          </w:tcPr>
          <w:p w14:paraId="66C1D4E0" w14:textId="77777777" w:rsidR="00FF4723" w:rsidRPr="00C456D9" w:rsidRDefault="00FF4723" w:rsidP="00FF4723">
            <w:pPr>
              <w:pStyle w:val="TblTextCenter"/>
              <w:rPr>
                <w:b/>
                <w:bCs/>
              </w:rPr>
            </w:pPr>
            <w:r w:rsidRPr="00C456D9">
              <w:rPr>
                <w:b/>
                <w:bCs/>
              </w:rPr>
              <w:t>N</w:t>
            </w:r>
          </w:p>
        </w:tc>
        <w:tc>
          <w:tcPr>
            <w:tcW w:w="1276" w:type="dxa"/>
            <w:tcBorders>
              <w:top w:val="nil"/>
              <w:left w:val="nil"/>
            </w:tcBorders>
            <w:shd w:val="clear" w:color="auto" w:fill="auto"/>
          </w:tcPr>
          <w:p w14:paraId="35108146" w14:textId="77777777" w:rsidR="00FF4723" w:rsidRPr="00C456D9" w:rsidRDefault="00FF4723" w:rsidP="00FF4723">
            <w:pPr>
              <w:pStyle w:val="TblTextCenter"/>
              <w:rPr>
                <w:b/>
                <w:bCs/>
              </w:rPr>
            </w:pPr>
            <w:r w:rsidRPr="00C456D9">
              <w:rPr>
                <w:b/>
                <w:bCs/>
              </w:rPr>
              <w:t>Responder rate %</w:t>
            </w:r>
          </w:p>
        </w:tc>
      </w:tr>
      <w:tr w:rsidR="00FF4723" w:rsidRPr="00C456D9" w14:paraId="7605A807" w14:textId="77777777" w:rsidTr="002E200C">
        <w:trPr>
          <w:cantSplit/>
          <w:jc w:val="center"/>
        </w:trPr>
        <w:tc>
          <w:tcPr>
            <w:tcW w:w="2155" w:type="dxa"/>
            <w:tcBorders>
              <w:top w:val="nil"/>
              <w:bottom w:val="single" w:sz="4" w:space="0" w:color="auto"/>
            </w:tcBorders>
            <w:shd w:val="clear" w:color="auto" w:fill="auto"/>
          </w:tcPr>
          <w:p w14:paraId="0F8EE08B" w14:textId="6A1CD4A4" w:rsidR="00FF4723" w:rsidRPr="00C456D9" w:rsidRDefault="00FF4723" w:rsidP="00FF4723">
            <w:pPr>
              <w:pStyle w:val="TblTextCenter"/>
              <w:jc w:val="left"/>
            </w:pPr>
            <w:proofErr w:type="spellStart"/>
            <w:r w:rsidRPr="00C456D9">
              <w:t>Dupixient</w:t>
            </w:r>
            <w:proofErr w:type="spellEnd"/>
            <w:r w:rsidRPr="00C456D9">
              <w:t xml:space="preserve"> 300 mg Q2W</w:t>
            </w:r>
          </w:p>
        </w:tc>
        <w:tc>
          <w:tcPr>
            <w:tcW w:w="752" w:type="dxa"/>
            <w:tcBorders>
              <w:top w:val="nil"/>
              <w:bottom w:val="single" w:sz="4" w:space="0" w:color="auto"/>
            </w:tcBorders>
            <w:shd w:val="clear" w:color="auto" w:fill="auto"/>
          </w:tcPr>
          <w:p w14:paraId="7748FB9A" w14:textId="77777777" w:rsidR="00FF4723" w:rsidRPr="00C456D9" w:rsidRDefault="00FF4723" w:rsidP="00FF4723">
            <w:pPr>
              <w:pStyle w:val="TblTextCenter"/>
            </w:pPr>
            <w:r w:rsidRPr="00C456D9">
              <w:t>1366</w:t>
            </w:r>
          </w:p>
        </w:tc>
        <w:tc>
          <w:tcPr>
            <w:tcW w:w="2324" w:type="dxa"/>
            <w:gridSpan w:val="2"/>
            <w:tcBorders>
              <w:top w:val="nil"/>
              <w:bottom w:val="single" w:sz="4" w:space="0" w:color="auto"/>
            </w:tcBorders>
            <w:shd w:val="clear" w:color="auto" w:fill="auto"/>
          </w:tcPr>
          <w:p w14:paraId="45E92B3F" w14:textId="77777777" w:rsidR="00FF4723" w:rsidRPr="00C456D9" w:rsidRDefault="00FF4723" w:rsidP="00FF4723">
            <w:pPr>
              <w:pStyle w:val="TblTextCenter"/>
            </w:pPr>
            <w:r w:rsidRPr="00C456D9">
              <w:t>77.8</w:t>
            </w:r>
          </w:p>
        </w:tc>
        <w:tc>
          <w:tcPr>
            <w:tcW w:w="490" w:type="dxa"/>
            <w:tcBorders>
              <w:top w:val="nil"/>
              <w:bottom w:val="single" w:sz="4" w:space="0" w:color="auto"/>
            </w:tcBorders>
            <w:shd w:val="clear" w:color="auto" w:fill="auto"/>
          </w:tcPr>
          <w:p w14:paraId="1D2CE3BC" w14:textId="77777777" w:rsidR="00FF4723" w:rsidRPr="00C456D9" w:rsidRDefault="00FF4723" w:rsidP="00FF4723">
            <w:pPr>
              <w:pStyle w:val="TblTextCenter"/>
            </w:pPr>
            <w:r w:rsidRPr="00C456D9">
              <w:t>829</w:t>
            </w:r>
          </w:p>
        </w:tc>
        <w:tc>
          <w:tcPr>
            <w:tcW w:w="1914" w:type="dxa"/>
            <w:gridSpan w:val="2"/>
            <w:tcBorders>
              <w:top w:val="nil"/>
              <w:bottom w:val="single" w:sz="4" w:space="0" w:color="auto"/>
              <w:right w:val="nil"/>
            </w:tcBorders>
            <w:shd w:val="clear" w:color="auto" w:fill="auto"/>
          </w:tcPr>
          <w:p w14:paraId="5E296096" w14:textId="77777777" w:rsidR="00FF4723" w:rsidRPr="00C456D9" w:rsidRDefault="00FF4723" w:rsidP="00FF4723">
            <w:pPr>
              <w:pStyle w:val="TblTextCenter"/>
            </w:pPr>
            <w:r w:rsidRPr="00C456D9">
              <w:t>81.7</w:t>
            </w:r>
          </w:p>
        </w:tc>
        <w:tc>
          <w:tcPr>
            <w:tcW w:w="1012" w:type="dxa"/>
            <w:tcBorders>
              <w:top w:val="nil"/>
              <w:left w:val="nil"/>
              <w:bottom w:val="single" w:sz="4" w:space="0" w:color="auto"/>
              <w:right w:val="nil"/>
            </w:tcBorders>
            <w:shd w:val="clear" w:color="auto" w:fill="auto"/>
          </w:tcPr>
          <w:p w14:paraId="746B4AA8" w14:textId="77777777" w:rsidR="00FF4723" w:rsidRPr="00C456D9" w:rsidRDefault="00FF4723" w:rsidP="00FF4723">
            <w:pPr>
              <w:pStyle w:val="TblTextCenter"/>
            </w:pPr>
            <w:r w:rsidRPr="00C456D9">
              <w:t>967</w:t>
            </w:r>
          </w:p>
        </w:tc>
        <w:tc>
          <w:tcPr>
            <w:tcW w:w="1276" w:type="dxa"/>
            <w:tcBorders>
              <w:top w:val="nil"/>
              <w:left w:val="nil"/>
              <w:bottom w:val="single" w:sz="4" w:space="0" w:color="auto"/>
            </w:tcBorders>
            <w:shd w:val="clear" w:color="auto" w:fill="auto"/>
          </w:tcPr>
          <w:p w14:paraId="531C0C03" w14:textId="77777777" w:rsidR="00FF4723" w:rsidRPr="00C456D9" w:rsidRDefault="00FF4723" w:rsidP="00FF4723">
            <w:pPr>
              <w:pStyle w:val="TblTextCenter"/>
            </w:pPr>
            <w:r w:rsidRPr="00C456D9">
              <w:t>79.1</w:t>
            </w:r>
          </w:p>
        </w:tc>
      </w:tr>
      <w:tr w:rsidR="00FF4723" w:rsidRPr="00C456D9" w14:paraId="529D5CD1" w14:textId="77777777" w:rsidTr="002E200C">
        <w:trPr>
          <w:gridAfter w:val="3"/>
          <w:wAfter w:w="2410" w:type="dxa"/>
          <w:cantSplit/>
          <w:jc w:val="center"/>
        </w:trPr>
        <w:tc>
          <w:tcPr>
            <w:tcW w:w="7513" w:type="dxa"/>
            <w:gridSpan w:val="6"/>
            <w:tcBorders>
              <w:top w:val="nil"/>
            </w:tcBorders>
            <w:shd w:val="clear" w:color="auto" w:fill="auto"/>
          </w:tcPr>
          <w:p w14:paraId="5D4300EE" w14:textId="77777777" w:rsidR="003F089D" w:rsidRPr="00C456D9" w:rsidRDefault="003F089D" w:rsidP="003F089D">
            <w:pPr>
              <w:autoSpaceDE w:val="0"/>
              <w:autoSpaceDN w:val="0"/>
              <w:adjustRightInd w:val="0"/>
              <w:spacing w:before="0"/>
              <w:rPr>
                <w:rFonts w:ascii="Arial Narrow" w:eastAsiaTheme="minorHAnsi" w:hAnsi="Arial Narrow"/>
                <w:color w:val="auto"/>
                <w:sz w:val="20"/>
                <w:szCs w:val="20"/>
              </w:rPr>
            </w:pPr>
            <w:proofErr w:type="spellStart"/>
            <w:r w:rsidRPr="00C456D9">
              <w:rPr>
                <w:rFonts w:ascii="Arial Narrow" w:eastAsiaTheme="minorHAnsi" w:hAnsi="Arial Narrow"/>
                <w:color w:val="auto"/>
                <w:sz w:val="13"/>
                <w:szCs w:val="13"/>
              </w:rPr>
              <w:t>a</w:t>
            </w:r>
            <w:proofErr w:type="spellEnd"/>
            <w:r w:rsidRPr="00C456D9">
              <w:rPr>
                <w:rFonts w:ascii="Arial Narrow" w:eastAsiaTheme="minorHAnsi" w:hAnsi="Arial Narrow"/>
                <w:color w:val="auto"/>
                <w:sz w:val="13"/>
                <w:szCs w:val="13"/>
              </w:rPr>
              <w:t xml:space="preserve"> </w:t>
            </w:r>
            <w:r w:rsidRPr="00C456D9">
              <w:rPr>
                <w:rFonts w:ascii="Arial Narrow" w:eastAsiaTheme="minorHAnsi" w:hAnsi="Arial Narrow"/>
                <w:color w:val="auto"/>
                <w:sz w:val="20"/>
                <w:szCs w:val="20"/>
              </w:rPr>
              <w:t xml:space="preserve">In TRAVERSE study patients rolled over from DRI12544 and QUEST pivotal asthma studies. </w:t>
            </w:r>
          </w:p>
          <w:p w14:paraId="6E8795D5" w14:textId="77777777" w:rsidR="003F089D" w:rsidRPr="00C456D9" w:rsidRDefault="003F089D" w:rsidP="003F089D">
            <w:pPr>
              <w:spacing w:before="0"/>
              <w:rPr>
                <w:rFonts w:ascii="Arial Narrow" w:eastAsiaTheme="minorHAnsi" w:hAnsi="Arial Narrow"/>
                <w:color w:val="auto"/>
                <w:sz w:val="20"/>
                <w:szCs w:val="20"/>
              </w:rPr>
            </w:pPr>
            <w:r w:rsidRPr="00C456D9">
              <w:rPr>
                <w:rFonts w:ascii="Arial Narrow" w:eastAsiaTheme="minorHAnsi" w:hAnsi="Arial Narrow"/>
                <w:color w:val="auto"/>
                <w:sz w:val="13"/>
                <w:szCs w:val="13"/>
              </w:rPr>
              <w:t xml:space="preserve">b </w:t>
            </w:r>
            <w:r w:rsidRPr="00C456D9">
              <w:rPr>
                <w:rFonts w:ascii="Arial Narrow" w:eastAsiaTheme="minorHAnsi" w:hAnsi="Arial Narrow"/>
                <w:color w:val="auto"/>
                <w:sz w:val="20"/>
                <w:szCs w:val="20"/>
              </w:rPr>
              <w:t>ACQ-5 and AQLQ(S) were not collected after week 48.</w:t>
            </w:r>
          </w:p>
          <w:p w14:paraId="5AA3A27C" w14:textId="77777777" w:rsidR="00FF4723" w:rsidRPr="00C456D9" w:rsidRDefault="00FF4723" w:rsidP="00FF4723">
            <w:pPr>
              <w:pStyle w:val="TblFigFootnote"/>
            </w:pPr>
          </w:p>
        </w:tc>
      </w:tr>
    </w:tbl>
    <w:p w14:paraId="44A504B3" w14:textId="77777777" w:rsidR="00E0259B" w:rsidRDefault="00E0259B" w:rsidP="002E200C">
      <w:pPr>
        <w:spacing w:before="0"/>
        <w:rPr>
          <w:rFonts w:ascii="Arial Narrow" w:eastAsiaTheme="minorHAnsi" w:hAnsi="Arial Narrow"/>
          <w:color w:val="0000FF"/>
          <w:sz w:val="20"/>
          <w:szCs w:val="20"/>
          <w:u w:val="double"/>
        </w:rPr>
      </w:pPr>
    </w:p>
    <w:p w14:paraId="13F4538A" w14:textId="27A2231A" w:rsidR="00E0259B" w:rsidRPr="00C456D9" w:rsidRDefault="00E0259B" w:rsidP="00E0259B">
      <w:pPr>
        <w:pStyle w:val="Caption"/>
      </w:pPr>
      <w:r w:rsidRPr="00C456D9">
        <w:t>Table </w:t>
      </w:r>
      <w:r w:rsidRPr="00C456D9">
        <w:fldChar w:fldCharType="begin"/>
      </w:r>
      <w:r w:rsidRPr="00C456D9">
        <w:instrText xml:space="preserve"> SEQ Table \* ARABIC </w:instrText>
      </w:r>
      <w:r w:rsidRPr="00C456D9">
        <w:fldChar w:fldCharType="separate"/>
      </w:r>
      <w:r w:rsidR="00E123A5">
        <w:rPr>
          <w:noProof/>
        </w:rPr>
        <w:t>20</w:t>
      </w:r>
      <w:r w:rsidRPr="00C456D9">
        <w:fldChar w:fldCharType="end"/>
      </w:r>
      <w:r w:rsidRPr="00C456D9">
        <w:t xml:space="preserve"> ­ Rate of Unadjusted Severe Exacerbations and Mean Change from Baseline in Pre-Bronchodilator FEV1 over week 96 in TRAVERSE– patients rolled over from DRI12544, QUEST, and VENTURE studies</w:t>
      </w:r>
    </w:p>
    <w:tbl>
      <w:tblPr>
        <w:tblW w:w="0" w:type="auto"/>
        <w:jc w:val="center"/>
        <w:tblBorders>
          <w:top w:val="single" w:sz="2" w:space="0" w:color="000000"/>
        </w:tblBorders>
        <w:tblLook w:val="04A0" w:firstRow="1" w:lastRow="0" w:firstColumn="1" w:lastColumn="0" w:noHBand="0" w:noVBand="1"/>
      </w:tblPr>
      <w:tblGrid>
        <w:gridCol w:w="1866"/>
        <w:gridCol w:w="1217"/>
        <w:gridCol w:w="1834"/>
        <w:gridCol w:w="644"/>
        <w:gridCol w:w="694"/>
        <w:gridCol w:w="1405"/>
        <w:gridCol w:w="1366"/>
      </w:tblGrid>
      <w:tr w:rsidR="00E0259B" w:rsidRPr="00C456D9" w14:paraId="7E1FB6A9" w14:textId="77777777" w:rsidTr="004D10D1">
        <w:trPr>
          <w:cantSplit/>
          <w:trHeight w:val="470"/>
          <w:jc w:val="center"/>
        </w:trPr>
        <w:tc>
          <w:tcPr>
            <w:tcW w:w="0" w:type="auto"/>
            <w:vMerge w:val="restart"/>
            <w:tcBorders>
              <w:top w:val="single" w:sz="4" w:space="0" w:color="000000"/>
              <w:bottom w:val="single" w:sz="4" w:space="0" w:color="auto"/>
            </w:tcBorders>
            <w:shd w:val="clear" w:color="auto" w:fill="auto"/>
          </w:tcPr>
          <w:p w14:paraId="0B7E971F" w14:textId="77777777" w:rsidR="00E0259B" w:rsidRPr="00C456D9" w:rsidRDefault="00E0259B" w:rsidP="00FF5408">
            <w:pPr>
              <w:pStyle w:val="TblTextCenter"/>
              <w:rPr>
                <w:b/>
                <w:bCs/>
              </w:rPr>
            </w:pPr>
            <w:r w:rsidRPr="00C456D9">
              <w:rPr>
                <w:b/>
                <w:bCs/>
              </w:rPr>
              <w:t>Populations</w:t>
            </w:r>
          </w:p>
          <w:p w14:paraId="1278426D" w14:textId="77777777" w:rsidR="00E0259B" w:rsidRPr="00C456D9" w:rsidRDefault="00E0259B" w:rsidP="00FF5408">
            <w:pPr>
              <w:pStyle w:val="TblTextCenter"/>
              <w:rPr>
                <w:b/>
                <w:bCs/>
              </w:rPr>
            </w:pPr>
          </w:p>
        </w:tc>
        <w:tc>
          <w:tcPr>
            <w:tcW w:w="0" w:type="auto"/>
            <w:vMerge w:val="restart"/>
            <w:tcBorders>
              <w:top w:val="single" w:sz="4" w:space="0" w:color="000000"/>
              <w:bottom w:val="single" w:sz="4" w:space="0" w:color="auto"/>
            </w:tcBorders>
            <w:shd w:val="clear" w:color="auto" w:fill="auto"/>
          </w:tcPr>
          <w:p w14:paraId="2A9911FC" w14:textId="77777777" w:rsidR="00E0259B" w:rsidRPr="00C456D9" w:rsidRDefault="00E0259B" w:rsidP="00FF5408">
            <w:pPr>
              <w:pStyle w:val="TblTextCenter"/>
              <w:rPr>
                <w:b/>
                <w:bCs/>
              </w:rPr>
            </w:pPr>
            <w:r w:rsidRPr="00C456D9">
              <w:rPr>
                <w:b/>
                <w:bCs/>
              </w:rPr>
              <w:t>Parent Study</w:t>
            </w:r>
          </w:p>
          <w:p w14:paraId="4D53C7D6" w14:textId="77777777" w:rsidR="00E0259B" w:rsidRPr="00C456D9" w:rsidRDefault="00E0259B" w:rsidP="00FF5408">
            <w:pPr>
              <w:pStyle w:val="TblTextCenter"/>
              <w:rPr>
                <w:b/>
                <w:bCs/>
              </w:rPr>
            </w:pPr>
          </w:p>
        </w:tc>
        <w:tc>
          <w:tcPr>
            <w:tcW w:w="0" w:type="auto"/>
            <w:vMerge w:val="restart"/>
            <w:tcBorders>
              <w:top w:val="single" w:sz="4" w:space="0" w:color="auto"/>
              <w:bottom w:val="single" w:sz="4" w:space="0" w:color="auto"/>
            </w:tcBorders>
            <w:shd w:val="clear" w:color="auto" w:fill="auto"/>
          </w:tcPr>
          <w:p w14:paraId="22264E09" w14:textId="77777777" w:rsidR="00E0259B" w:rsidRPr="00C456D9" w:rsidRDefault="00E0259B" w:rsidP="00FF5408">
            <w:pPr>
              <w:pStyle w:val="TblTextCenter"/>
              <w:rPr>
                <w:b/>
                <w:bCs/>
              </w:rPr>
            </w:pPr>
            <w:r w:rsidRPr="00C456D9">
              <w:rPr>
                <w:b/>
                <w:bCs/>
              </w:rPr>
              <w:t>Treatment</w:t>
            </w:r>
          </w:p>
          <w:p w14:paraId="328C7B53" w14:textId="77777777" w:rsidR="00E0259B" w:rsidRPr="00C456D9" w:rsidRDefault="00E0259B" w:rsidP="00FF5408">
            <w:pPr>
              <w:pStyle w:val="TblTextCenter"/>
              <w:rPr>
                <w:b/>
                <w:bCs/>
              </w:rPr>
            </w:pPr>
          </w:p>
          <w:p w14:paraId="5263E0A4" w14:textId="77777777" w:rsidR="00E0259B" w:rsidRPr="00C456D9" w:rsidRDefault="00E0259B" w:rsidP="00FF5408">
            <w:pPr>
              <w:pStyle w:val="TblTextCenter"/>
              <w:rPr>
                <w:b/>
                <w:bCs/>
              </w:rPr>
            </w:pPr>
          </w:p>
        </w:tc>
        <w:tc>
          <w:tcPr>
            <w:tcW w:w="0" w:type="auto"/>
            <w:gridSpan w:val="2"/>
            <w:tcBorders>
              <w:top w:val="single" w:sz="4" w:space="0" w:color="auto"/>
              <w:bottom w:val="single" w:sz="4" w:space="0" w:color="auto"/>
              <w:right w:val="nil"/>
            </w:tcBorders>
            <w:shd w:val="clear" w:color="auto" w:fill="auto"/>
          </w:tcPr>
          <w:p w14:paraId="5CADC3FA" w14:textId="77777777" w:rsidR="00E0259B" w:rsidRPr="00C456D9" w:rsidRDefault="00E0259B" w:rsidP="00FF5408">
            <w:pPr>
              <w:pStyle w:val="TblTextCenter"/>
              <w:rPr>
                <w:b/>
                <w:bCs/>
              </w:rPr>
            </w:pPr>
            <w:r w:rsidRPr="00C456D9">
              <w:rPr>
                <w:b/>
                <w:bCs/>
              </w:rPr>
              <w:t xml:space="preserve">Exacerbations </w:t>
            </w:r>
          </w:p>
        </w:tc>
        <w:tc>
          <w:tcPr>
            <w:tcW w:w="0" w:type="auto"/>
            <w:gridSpan w:val="2"/>
            <w:tcBorders>
              <w:top w:val="single" w:sz="4" w:space="0" w:color="auto"/>
              <w:left w:val="nil"/>
              <w:bottom w:val="single" w:sz="4" w:space="0" w:color="auto"/>
              <w:right w:val="nil"/>
            </w:tcBorders>
            <w:shd w:val="clear" w:color="auto" w:fill="auto"/>
          </w:tcPr>
          <w:p w14:paraId="114423D7" w14:textId="77777777" w:rsidR="00E0259B" w:rsidRPr="00C456D9" w:rsidRDefault="00E0259B" w:rsidP="00FF5408">
            <w:pPr>
              <w:pStyle w:val="TblTextCenter"/>
              <w:rPr>
                <w:b/>
                <w:bCs/>
              </w:rPr>
            </w:pPr>
            <w:r w:rsidRPr="00C456D9">
              <w:rPr>
                <w:b/>
                <w:bCs/>
              </w:rPr>
              <w:t>FEV1</w:t>
            </w:r>
          </w:p>
        </w:tc>
      </w:tr>
      <w:tr w:rsidR="00E0259B" w:rsidRPr="00C456D9" w14:paraId="7CA11E75" w14:textId="77777777" w:rsidTr="004D10D1">
        <w:trPr>
          <w:cantSplit/>
          <w:jc w:val="center"/>
        </w:trPr>
        <w:tc>
          <w:tcPr>
            <w:tcW w:w="0" w:type="auto"/>
            <w:vMerge/>
            <w:tcBorders>
              <w:top w:val="nil"/>
              <w:bottom w:val="single" w:sz="4" w:space="0" w:color="auto"/>
            </w:tcBorders>
            <w:shd w:val="clear" w:color="auto" w:fill="auto"/>
          </w:tcPr>
          <w:p w14:paraId="21AF5D25" w14:textId="77777777" w:rsidR="00E0259B" w:rsidRPr="00C456D9" w:rsidRDefault="00E0259B" w:rsidP="00FF5408">
            <w:pPr>
              <w:rPr>
                <w:b/>
                <w:color w:val="auto"/>
                <w:sz w:val="20"/>
                <w:szCs w:val="20"/>
              </w:rPr>
            </w:pPr>
          </w:p>
        </w:tc>
        <w:tc>
          <w:tcPr>
            <w:tcW w:w="0" w:type="auto"/>
            <w:vMerge/>
            <w:tcBorders>
              <w:top w:val="nil"/>
              <w:bottom w:val="single" w:sz="4" w:space="0" w:color="auto"/>
            </w:tcBorders>
            <w:shd w:val="clear" w:color="auto" w:fill="auto"/>
          </w:tcPr>
          <w:p w14:paraId="5F950FB5" w14:textId="77777777" w:rsidR="00E0259B" w:rsidRPr="00C456D9" w:rsidRDefault="00E0259B" w:rsidP="00FF5408">
            <w:pPr>
              <w:rPr>
                <w:bCs/>
                <w:color w:val="auto"/>
                <w:sz w:val="20"/>
                <w:szCs w:val="20"/>
              </w:rPr>
            </w:pPr>
          </w:p>
        </w:tc>
        <w:tc>
          <w:tcPr>
            <w:tcW w:w="0" w:type="auto"/>
            <w:vMerge/>
            <w:tcBorders>
              <w:top w:val="nil"/>
              <w:bottom w:val="single" w:sz="4" w:space="0" w:color="auto"/>
            </w:tcBorders>
            <w:shd w:val="clear" w:color="auto" w:fill="auto"/>
          </w:tcPr>
          <w:p w14:paraId="74888697" w14:textId="77777777" w:rsidR="00E0259B" w:rsidRPr="00C456D9" w:rsidRDefault="00E0259B" w:rsidP="00FF5408">
            <w:pPr>
              <w:rPr>
                <w:color w:val="auto"/>
                <w:sz w:val="20"/>
                <w:szCs w:val="20"/>
                <w:lang w:eastAsia="ja-JP"/>
              </w:rPr>
            </w:pPr>
          </w:p>
        </w:tc>
        <w:tc>
          <w:tcPr>
            <w:tcW w:w="0" w:type="auto"/>
            <w:tcBorders>
              <w:top w:val="single" w:sz="4" w:space="0" w:color="auto"/>
              <w:bottom w:val="single" w:sz="4" w:space="0" w:color="auto"/>
              <w:right w:val="nil"/>
            </w:tcBorders>
            <w:shd w:val="clear" w:color="auto" w:fill="auto"/>
          </w:tcPr>
          <w:p w14:paraId="34A04804" w14:textId="77777777" w:rsidR="00E0259B" w:rsidRPr="00C456D9" w:rsidRDefault="00E0259B" w:rsidP="00FF5408">
            <w:pPr>
              <w:pStyle w:val="TblTextCenter"/>
              <w:rPr>
                <w:b/>
                <w:bCs/>
              </w:rPr>
            </w:pPr>
            <w:r w:rsidRPr="00C456D9">
              <w:rPr>
                <w:b/>
                <w:bCs/>
              </w:rPr>
              <w:t>N</w:t>
            </w:r>
          </w:p>
        </w:tc>
        <w:tc>
          <w:tcPr>
            <w:tcW w:w="0" w:type="auto"/>
            <w:tcBorders>
              <w:top w:val="single" w:sz="4" w:space="0" w:color="auto"/>
              <w:left w:val="nil"/>
              <w:bottom w:val="single" w:sz="4" w:space="0" w:color="auto"/>
              <w:right w:val="nil"/>
            </w:tcBorders>
            <w:shd w:val="clear" w:color="auto" w:fill="auto"/>
          </w:tcPr>
          <w:p w14:paraId="03F7905B" w14:textId="77777777" w:rsidR="00E0259B" w:rsidRPr="00C456D9" w:rsidRDefault="00E0259B" w:rsidP="00FF5408">
            <w:pPr>
              <w:pStyle w:val="TblTextCenter"/>
              <w:rPr>
                <w:b/>
                <w:bCs/>
              </w:rPr>
            </w:pPr>
            <w:r w:rsidRPr="00C456D9">
              <w:rPr>
                <w:b/>
                <w:bCs/>
              </w:rPr>
              <w:t>Rate</w:t>
            </w:r>
          </w:p>
        </w:tc>
        <w:tc>
          <w:tcPr>
            <w:tcW w:w="1405" w:type="dxa"/>
            <w:tcBorders>
              <w:top w:val="single" w:sz="4" w:space="0" w:color="auto"/>
              <w:left w:val="nil"/>
              <w:bottom w:val="single" w:sz="4" w:space="0" w:color="auto"/>
              <w:right w:val="nil"/>
            </w:tcBorders>
            <w:shd w:val="clear" w:color="auto" w:fill="auto"/>
          </w:tcPr>
          <w:p w14:paraId="4B69B0CD" w14:textId="77777777" w:rsidR="00E0259B" w:rsidRPr="00C456D9" w:rsidRDefault="00E0259B" w:rsidP="004D10D1">
            <w:pPr>
              <w:pStyle w:val="TblTextCenter"/>
              <w:jc w:val="right"/>
              <w:rPr>
                <w:b/>
                <w:bCs/>
              </w:rPr>
            </w:pPr>
            <w:r w:rsidRPr="00C456D9">
              <w:rPr>
                <w:b/>
                <w:bCs/>
              </w:rPr>
              <w:t>N</w:t>
            </w:r>
          </w:p>
        </w:tc>
        <w:tc>
          <w:tcPr>
            <w:tcW w:w="1366" w:type="dxa"/>
            <w:tcBorders>
              <w:top w:val="single" w:sz="4" w:space="0" w:color="auto"/>
              <w:left w:val="nil"/>
              <w:bottom w:val="single" w:sz="4" w:space="0" w:color="auto"/>
            </w:tcBorders>
            <w:shd w:val="clear" w:color="auto" w:fill="auto"/>
          </w:tcPr>
          <w:p w14:paraId="30B075BA" w14:textId="77777777" w:rsidR="00E0259B" w:rsidRPr="00C456D9" w:rsidRDefault="00E0259B" w:rsidP="00FF5408">
            <w:pPr>
              <w:pStyle w:val="TblTextCenter"/>
              <w:rPr>
                <w:b/>
                <w:bCs/>
              </w:rPr>
            </w:pPr>
            <w:r w:rsidRPr="00C456D9">
              <w:rPr>
                <w:b/>
                <w:bCs/>
              </w:rPr>
              <w:t xml:space="preserve">Mean Δ </w:t>
            </w:r>
            <w:proofErr w:type="gramStart"/>
            <w:r w:rsidRPr="00C456D9">
              <w:rPr>
                <w:b/>
                <w:bCs/>
              </w:rPr>
              <w:t>From</w:t>
            </w:r>
            <w:proofErr w:type="gramEnd"/>
            <w:r w:rsidRPr="00C456D9">
              <w:rPr>
                <w:b/>
                <w:bCs/>
              </w:rPr>
              <w:t xml:space="preserve"> baseline L</w:t>
            </w:r>
          </w:p>
        </w:tc>
      </w:tr>
      <w:tr w:rsidR="00E0259B" w:rsidRPr="00C456D9" w14:paraId="192613EC" w14:textId="77777777" w:rsidTr="004D10D1">
        <w:trPr>
          <w:cantSplit/>
          <w:jc w:val="center"/>
        </w:trPr>
        <w:tc>
          <w:tcPr>
            <w:tcW w:w="0" w:type="auto"/>
            <w:tcBorders>
              <w:top w:val="single" w:sz="4" w:space="0" w:color="auto"/>
            </w:tcBorders>
            <w:shd w:val="clear" w:color="auto" w:fill="auto"/>
          </w:tcPr>
          <w:p w14:paraId="4C1A700E" w14:textId="77777777" w:rsidR="00E0259B" w:rsidRPr="00C456D9" w:rsidRDefault="00E0259B" w:rsidP="00FF5408">
            <w:pPr>
              <w:pStyle w:val="TblTextCenter"/>
            </w:pPr>
            <w:r w:rsidRPr="00C456D9">
              <w:t>EOS</w:t>
            </w:r>
          </w:p>
          <w:p w14:paraId="2D49A52D" w14:textId="77777777" w:rsidR="00E0259B" w:rsidRPr="00C456D9" w:rsidRDefault="00E0259B" w:rsidP="00FF5408">
            <w:pPr>
              <w:pStyle w:val="TblTextCenter"/>
            </w:pPr>
            <w:r w:rsidRPr="00C456D9">
              <w:t>≥ 150 cells/</w:t>
            </w:r>
            <w:proofErr w:type="spellStart"/>
            <w:r w:rsidRPr="00C456D9">
              <w:t>mcL</w:t>
            </w:r>
            <w:proofErr w:type="spellEnd"/>
            <w:r w:rsidRPr="00C456D9">
              <w:t xml:space="preserve">/ </w:t>
            </w:r>
            <w:proofErr w:type="spellStart"/>
            <w:r w:rsidRPr="00C456D9">
              <w:t>FeNO</w:t>
            </w:r>
            <w:proofErr w:type="spellEnd"/>
          </w:p>
          <w:p w14:paraId="7D526BE3" w14:textId="77777777" w:rsidR="00E0259B" w:rsidRPr="00C456D9" w:rsidRDefault="00E0259B" w:rsidP="00FF5408">
            <w:pPr>
              <w:pStyle w:val="TblTextCenter"/>
            </w:pPr>
            <w:r w:rsidRPr="00C456D9">
              <w:t>≥ 25 ppb</w:t>
            </w:r>
          </w:p>
          <w:p w14:paraId="5E01DAAD" w14:textId="77777777" w:rsidR="00E0259B" w:rsidRPr="00C456D9" w:rsidRDefault="00E0259B" w:rsidP="00FF5408">
            <w:pPr>
              <w:pStyle w:val="TblTextCenter"/>
            </w:pPr>
          </w:p>
        </w:tc>
        <w:tc>
          <w:tcPr>
            <w:tcW w:w="0" w:type="auto"/>
            <w:tcBorders>
              <w:top w:val="single" w:sz="4" w:space="0" w:color="auto"/>
            </w:tcBorders>
            <w:shd w:val="clear" w:color="auto" w:fill="auto"/>
          </w:tcPr>
          <w:p w14:paraId="082EF864" w14:textId="77777777" w:rsidR="00E0259B" w:rsidRPr="00C456D9" w:rsidRDefault="00E0259B" w:rsidP="00FF5408">
            <w:pPr>
              <w:pStyle w:val="TblTextCenter"/>
            </w:pPr>
            <w:r w:rsidRPr="00C456D9">
              <w:t>DRI12544</w:t>
            </w:r>
          </w:p>
          <w:p w14:paraId="0CFBCA21" w14:textId="77777777" w:rsidR="00E0259B" w:rsidRPr="00C456D9" w:rsidRDefault="00E0259B" w:rsidP="00FF5408">
            <w:pPr>
              <w:pStyle w:val="TblTextCenter"/>
            </w:pPr>
            <w:r w:rsidRPr="00C456D9">
              <w:t>QUEST</w:t>
            </w:r>
          </w:p>
        </w:tc>
        <w:tc>
          <w:tcPr>
            <w:tcW w:w="0" w:type="auto"/>
            <w:tcBorders>
              <w:top w:val="single" w:sz="4" w:space="0" w:color="auto"/>
            </w:tcBorders>
            <w:shd w:val="clear" w:color="auto" w:fill="auto"/>
          </w:tcPr>
          <w:p w14:paraId="32861780" w14:textId="77777777" w:rsidR="00E0259B" w:rsidRPr="00C456D9" w:rsidRDefault="00E0259B" w:rsidP="00FF5408">
            <w:pPr>
              <w:pStyle w:val="TblTextCenter"/>
            </w:pPr>
            <w:r w:rsidRPr="00C456D9">
              <w:t>Dupixent 300 mg Q2W</w:t>
            </w:r>
          </w:p>
          <w:p w14:paraId="5D40563A" w14:textId="77777777" w:rsidR="00E0259B" w:rsidRPr="00C456D9" w:rsidRDefault="00E0259B" w:rsidP="00FF5408">
            <w:pPr>
              <w:pStyle w:val="TblTextCenter"/>
            </w:pPr>
          </w:p>
        </w:tc>
        <w:tc>
          <w:tcPr>
            <w:tcW w:w="0" w:type="auto"/>
            <w:tcBorders>
              <w:top w:val="single" w:sz="4" w:space="0" w:color="auto"/>
              <w:bottom w:val="nil"/>
              <w:right w:val="nil"/>
            </w:tcBorders>
            <w:shd w:val="clear" w:color="auto" w:fill="auto"/>
          </w:tcPr>
          <w:p w14:paraId="0838C8EA" w14:textId="77777777" w:rsidR="00E0259B" w:rsidRPr="00C456D9" w:rsidRDefault="00E0259B" w:rsidP="00FF5408">
            <w:pPr>
              <w:pStyle w:val="TblTextCenter"/>
            </w:pPr>
            <w:r w:rsidRPr="00C456D9">
              <w:t>1679</w:t>
            </w:r>
          </w:p>
        </w:tc>
        <w:tc>
          <w:tcPr>
            <w:tcW w:w="0" w:type="auto"/>
            <w:tcBorders>
              <w:top w:val="single" w:sz="4" w:space="0" w:color="auto"/>
              <w:left w:val="nil"/>
              <w:bottom w:val="nil"/>
              <w:right w:val="nil"/>
            </w:tcBorders>
            <w:shd w:val="clear" w:color="auto" w:fill="auto"/>
          </w:tcPr>
          <w:p w14:paraId="05806452" w14:textId="77777777" w:rsidR="00E0259B" w:rsidRPr="00C456D9" w:rsidRDefault="00E0259B" w:rsidP="00FF5408">
            <w:pPr>
              <w:pStyle w:val="TblTextCenter"/>
            </w:pPr>
            <w:r w:rsidRPr="00C456D9">
              <w:t>0.305</w:t>
            </w:r>
          </w:p>
        </w:tc>
        <w:tc>
          <w:tcPr>
            <w:tcW w:w="1405" w:type="dxa"/>
            <w:tcBorders>
              <w:top w:val="single" w:sz="4" w:space="0" w:color="auto"/>
              <w:left w:val="nil"/>
              <w:bottom w:val="nil"/>
              <w:right w:val="nil"/>
            </w:tcBorders>
            <w:shd w:val="clear" w:color="auto" w:fill="auto"/>
          </w:tcPr>
          <w:p w14:paraId="299550D1" w14:textId="77777777" w:rsidR="00E0259B" w:rsidRPr="00C456D9" w:rsidRDefault="00E0259B" w:rsidP="004D10D1">
            <w:pPr>
              <w:pStyle w:val="TblTextCenter"/>
              <w:jc w:val="right"/>
            </w:pPr>
            <w:r w:rsidRPr="00C456D9">
              <w:t>958</w:t>
            </w:r>
          </w:p>
        </w:tc>
        <w:tc>
          <w:tcPr>
            <w:tcW w:w="1366" w:type="dxa"/>
            <w:tcBorders>
              <w:top w:val="single" w:sz="4" w:space="0" w:color="auto"/>
              <w:left w:val="nil"/>
            </w:tcBorders>
            <w:shd w:val="clear" w:color="auto" w:fill="auto"/>
          </w:tcPr>
          <w:p w14:paraId="604A3026" w14:textId="77777777" w:rsidR="00E0259B" w:rsidRPr="00C456D9" w:rsidRDefault="00E0259B" w:rsidP="00FF5408">
            <w:pPr>
              <w:pStyle w:val="TblTextCenter"/>
            </w:pPr>
            <w:r w:rsidRPr="00C456D9">
              <w:t>0.32</w:t>
            </w:r>
          </w:p>
        </w:tc>
      </w:tr>
      <w:tr w:rsidR="00E0259B" w:rsidRPr="00C456D9" w14:paraId="2E19F647" w14:textId="77777777" w:rsidTr="004D10D1">
        <w:trPr>
          <w:cantSplit/>
          <w:trHeight w:val="368"/>
          <w:jc w:val="center"/>
        </w:trPr>
        <w:tc>
          <w:tcPr>
            <w:tcW w:w="0" w:type="auto"/>
            <w:tcBorders>
              <w:bottom w:val="single" w:sz="12" w:space="0" w:color="auto"/>
            </w:tcBorders>
            <w:shd w:val="clear" w:color="auto" w:fill="auto"/>
          </w:tcPr>
          <w:p w14:paraId="64D710B6" w14:textId="77777777" w:rsidR="00E0259B" w:rsidRPr="00C456D9" w:rsidRDefault="00E0259B" w:rsidP="00FF5408">
            <w:pPr>
              <w:pStyle w:val="TblTextCenter"/>
            </w:pPr>
            <w:r w:rsidRPr="00C456D9">
              <w:t>OCS dependent</w:t>
            </w:r>
          </w:p>
        </w:tc>
        <w:tc>
          <w:tcPr>
            <w:tcW w:w="0" w:type="auto"/>
            <w:tcBorders>
              <w:bottom w:val="single" w:sz="12" w:space="0" w:color="auto"/>
            </w:tcBorders>
            <w:shd w:val="clear" w:color="auto" w:fill="auto"/>
          </w:tcPr>
          <w:p w14:paraId="29A8F700" w14:textId="77777777" w:rsidR="00E0259B" w:rsidRPr="00C456D9" w:rsidRDefault="00E0259B" w:rsidP="00FF5408">
            <w:pPr>
              <w:pStyle w:val="TblTextCenter"/>
            </w:pPr>
            <w:r w:rsidRPr="00C456D9">
              <w:t>VENTURE</w:t>
            </w:r>
          </w:p>
        </w:tc>
        <w:tc>
          <w:tcPr>
            <w:tcW w:w="0" w:type="auto"/>
            <w:tcBorders>
              <w:bottom w:val="single" w:sz="12" w:space="0" w:color="auto"/>
            </w:tcBorders>
            <w:shd w:val="clear" w:color="auto" w:fill="auto"/>
          </w:tcPr>
          <w:p w14:paraId="52188F85" w14:textId="77777777" w:rsidR="00E0259B" w:rsidRPr="00C456D9" w:rsidRDefault="00E0259B" w:rsidP="00FF5408">
            <w:pPr>
              <w:pStyle w:val="TblTextCenter"/>
            </w:pPr>
            <w:r w:rsidRPr="00C456D9">
              <w:t>Dupixent 300 mg Q2W</w:t>
            </w:r>
          </w:p>
          <w:p w14:paraId="1346B6F6" w14:textId="77777777" w:rsidR="00E0259B" w:rsidRPr="00C456D9" w:rsidRDefault="00E0259B" w:rsidP="00FF5408">
            <w:pPr>
              <w:pStyle w:val="TblTextCenter"/>
            </w:pPr>
          </w:p>
        </w:tc>
        <w:tc>
          <w:tcPr>
            <w:tcW w:w="0" w:type="auto"/>
            <w:tcBorders>
              <w:top w:val="nil"/>
              <w:bottom w:val="nil"/>
              <w:right w:val="nil"/>
            </w:tcBorders>
            <w:shd w:val="clear" w:color="auto" w:fill="auto"/>
          </w:tcPr>
          <w:p w14:paraId="1AE5C673" w14:textId="77777777" w:rsidR="00E0259B" w:rsidRPr="00C456D9" w:rsidRDefault="00E0259B" w:rsidP="00FF5408">
            <w:pPr>
              <w:pStyle w:val="TblTextCenter"/>
            </w:pPr>
            <w:r w:rsidRPr="00C456D9">
              <w:t>187</w:t>
            </w:r>
          </w:p>
        </w:tc>
        <w:tc>
          <w:tcPr>
            <w:tcW w:w="0" w:type="auto"/>
            <w:tcBorders>
              <w:top w:val="nil"/>
              <w:left w:val="nil"/>
              <w:bottom w:val="nil"/>
              <w:right w:val="nil"/>
            </w:tcBorders>
            <w:shd w:val="clear" w:color="auto" w:fill="auto"/>
          </w:tcPr>
          <w:p w14:paraId="7BFADD66" w14:textId="77777777" w:rsidR="00E0259B" w:rsidRPr="00C456D9" w:rsidRDefault="00E0259B" w:rsidP="00FF5408">
            <w:pPr>
              <w:pStyle w:val="TblTextCenter"/>
            </w:pPr>
            <w:r w:rsidRPr="00C456D9">
              <w:t>0.345</w:t>
            </w:r>
          </w:p>
        </w:tc>
        <w:tc>
          <w:tcPr>
            <w:tcW w:w="1405" w:type="dxa"/>
            <w:tcBorders>
              <w:top w:val="nil"/>
              <w:left w:val="nil"/>
              <w:bottom w:val="nil"/>
              <w:right w:val="nil"/>
            </w:tcBorders>
            <w:shd w:val="clear" w:color="auto" w:fill="auto"/>
          </w:tcPr>
          <w:p w14:paraId="620C9806" w14:textId="77777777" w:rsidR="00E0259B" w:rsidRPr="00C456D9" w:rsidRDefault="00E0259B" w:rsidP="004D10D1">
            <w:pPr>
              <w:pStyle w:val="TblTextCenter"/>
              <w:jc w:val="right"/>
            </w:pPr>
            <w:r w:rsidRPr="00C456D9">
              <w:t>60</w:t>
            </w:r>
          </w:p>
        </w:tc>
        <w:tc>
          <w:tcPr>
            <w:tcW w:w="1366" w:type="dxa"/>
            <w:tcBorders>
              <w:left w:val="nil"/>
              <w:bottom w:val="single" w:sz="12" w:space="0" w:color="auto"/>
            </w:tcBorders>
            <w:shd w:val="clear" w:color="auto" w:fill="auto"/>
          </w:tcPr>
          <w:p w14:paraId="183115B1" w14:textId="77777777" w:rsidR="00E0259B" w:rsidRPr="00C456D9" w:rsidRDefault="00E0259B" w:rsidP="00FF5408">
            <w:pPr>
              <w:pStyle w:val="TblTextCenter"/>
            </w:pPr>
            <w:r w:rsidRPr="00C456D9">
              <w:t>0.31</w:t>
            </w:r>
          </w:p>
        </w:tc>
      </w:tr>
      <w:tr w:rsidR="00E0259B" w:rsidRPr="00B821AC" w14:paraId="53110BFE" w14:textId="77777777" w:rsidTr="00FF5408">
        <w:trPr>
          <w:cantSplit/>
          <w:trHeight w:val="368"/>
          <w:jc w:val="center"/>
        </w:trPr>
        <w:tc>
          <w:tcPr>
            <w:tcW w:w="0" w:type="auto"/>
            <w:gridSpan w:val="7"/>
            <w:tcBorders>
              <w:top w:val="single" w:sz="12" w:space="0" w:color="auto"/>
            </w:tcBorders>
            <w:shd w:val="clear" w:color="auto" w:fill="auto"/>
          </w:tcPr>
          <w:p w14:paraId="3509C681" w14:textId="77777777" w:rsidR="00E0259B" w:rsidRPr="00387B0A" w:rsidRDefault="00E0259B" w:rsidP="00FF5408">
            <w:pPr>
              <w:pStyle w:val="TblFigFootnote"/>
            </w:pPr>
          </w:p>
        </w:tc>
      </w:tr>
    </w:tbl>
    <w:p w14:paraId="7344D0EE" w14:textId="1766BBC8" w:rsidR="002E200C" w:rsidRPr="00C456D9" w:rsidRDefault="00FA1CD4" w:rsidP="00AD3071">
      <w:pPr>
        <w:pStyle w:val="Heading3"/>
        <w:numPr>
          <w:ilvl w:val="0"/>
          <w:numId w:val="0"/>
        </w:numPr>
        <w:ind w:left="680" w:hanging="680"/>
      </w:pPr>
      <w:r w:rsidRPr="00C456D9">
        <w:t>Chronic Rhinosinusitis with Nasal Polyposis</w:t>
      </w:r>
    </w:p>
    <w:p w14:paraId="731AC728" w14:textId="1FE7A488" w:rsidR="00AD3071" w:rsidRPr="00C456D9" w:rsidRDefault="00AD3071" w:rsidP="00AD3071">
      <w:pPr>
        <w:rPr>
          <w:color w:val="auto"/>
        </w:rPr>
      </w:pPr>
      <w:r w:rsidRPr="00C456D9">
        <w:rPr>
          <w:color w:val="auto"/>
        </w:rPr>
        <w:t xml:space="preserve">The chronic rhinosinusitis with nasal polyposis (CRSwNP) development program included two </w:t>
      </w:r>
      <w:proofErr w:type="spellStart"/>
      <w:r w:rsidRPr="00C456D9">
        <w:rPr>
          <w:color w:val="auto"/>
        </w:rPr>
        <w:t>randomi</w:t>
      </w:r>
      <w:r w:rsidR="00E54EBF" w:rsidRPr="00C456D9">
        <w:rPr>
          <w:color w:val="auto"/>
        </w:rPr>
        <w:t>s</w:t>
      </w:r>
      <w:r w:rsidRPr="00C456D9">
        <w:rPr>
          <w:color w:val="auto"/>
        </w:rPr>
        <w:t>ed</w:t>
      </w:r>
      <w:proofErr w:type="spellEnd"/>
      <w:r w:rsidRPr="00C456D9">
        <w:rPr>
          <w:color w:val="auto"/>
        </w:rPr>
        <w:t xml:space="preserve">, double-blind, parallel group, </w:t>
      </w:r>
      <w:proofErr w:type="spellStart"/>
      <w:r w:rsidRPr="00C456D9">
        <w:rPr>
          <w:color w:val="auto"/>
        </w:rPr>
        <w:t>multicent</w:t>
      </w:r>
      <w:r w:rsidR="004A3827" w:rsidRPr="00C456D9">
        <w:rPr>
          <w:color w:val="auto"/>
        </w:rPr>
        <w:t>re</w:t>
      </w:r>
      <w:proofErr w:type="spellEnd"/>
      <w:r w:rsidRPr="00C456D9">
        <w:rPr>
          <w:color w:val="auto"/>
        </w:rPr>
        <w:t xml:space="preserve">, placebo-controlled studies (SINUS-24 and SINUS-52) in 724 patients aged 18 years and older on background intranasal corticosteroids (INCS). These studies included patients with severe </w:t>
      </w:r>
      <w:proofErr w:type="spellStart"/>
      <w:r w:rsidRPr="00C456D9">
        <w:rPr>
          <w:color w:val="auto"/>
        </w:rPr>
        <w:t>CRSwNP</w:t>
      </w:r>
      <w:proofErr w:type="spellEnd"/>
      <w:r w:rsidRPr="00C456D9">
        <w:rPr>
          <w:color w:val="auto"/>
        </w:rPr>
        <w:t xml:space="preserve"> despite prior </w:t>
      </w:r>
      <w:proofErr w:type="spellStart"/>
      <w:r w:rsidRPr="00C456D9">
        <w:rPr>
          <w:color w:val="auto"/>
        </w:rPr>
        <w:t>sino</w:t>
      </w:r>
      <w:proofErr w:type="spellEnd"/>
      <w:r w:rsidRPr="00C456D9">
        <w:rPr>
          <w:color w:val="auto"/>
        </w:rPr>
        <w:t xml:space="preserve">-nasal surgery or treatment with, or who were ineligible to receive, systemic corticosteroids in the past 2 years.  Rescue with systemic corticosteroids or surgery was allowed during the studies at the investigator’s discretion.  </w:t>
      </w:r>
    </w:p>
    <w:p w14:paraId="20536E44" w14:textId="3165EACB" w:rsidR="00AD3071" w:rsidRPr="00C456D9" w:rsidRDefault="00AD3071" w:rsidP="00AD3071">
      <w:pPr>
        <w:rPr>
          <w:color w:val="auto"/>
        </w:rPr>
      </w:pPr>
      <w:r w:rsidRPr="00C456D9">
        <w:rPr>
          <w:color w:val="auto"/>
        </w:rPr>
        <w:t xml:space="preserve">In SINUS-24, a total of 276 patients were </w:t>
      </w:r>
      <w:proofErr w:type="spellStart"/>
      <w:r w:rsidRPr="00C456D9">
        <w:rPr>
          <w:color w:val="auto"/>
        </w:rPr>
        <w:t>randomi</w:t>
      </w:r>
      <w:r w:rsidR="00E54EBF" w:rsidRPr="00C456D9">
        <w:rPr>
          <w:color w:val="auto"/>
        </w:rPr>
        <w:t>s</w:t>
      </w:r>
      <w:r w:rsidRPr="00C456D9">
        <w:rPr>
          <w:color w:val="auto"/>
        </w:rPr>
        <w:t>ed</w:t>
      </w:r>
      <w:proofErr w:type="spellEnd"/>
      <w:r w:rsidRPr="00C456D9">
        <w:rPr>
          <w:color w:val="auto"/>
        </w:rPr>
        <w:t xml:space="preserve"> to receive either 300 mg Dupixent (N=143) or placebo (N=133) every other week for 24 weeks. </w:t>
      </w:r>
    </w:p>
    <w:p w14:paraId="60EC7593" w14:textId="42A996F7" w:rsidR="00AD3071" w:rsidRPr="00C456D9" w:rsidRDefault="00AD3071" w:rsidP="00AD3071">
      <w:pPr>
        <w:jc w:val="both"/>
        <w:rPr>
          <w:color w:val="auto"/>
        </w:rPr>
      </w:pPr>
      <w:r w:rsidRPr="00C456D9">
        <w:rPr>
          <w:color w:val="auto"/>
        </w:rPr>
        <w:t xml:space="preserve">In SINUS-52, 448 patients were </w:t>
      </w:r>
      <w:proofErr w:type="spellStart"/>
      <w:r w:rsidRPr="00C456D9">
        <w:rPr>
          <w:color w:val="auto"/>
        </w:rPr>
        <w:t>randomi</w:t>
      </w:r>
      <w:r w:rsidR="00E54EBF" w:rsidRPr="00C456D9">
        <w:rPr>
          <w:color w:val="auto"/>
        </w:rPr>
        <w:t>s</w:t>
      </w:r>
      <w:r w:rsidRPr="00C456D9">
        <w:rPr>
          <w:color w:val="auto"/>
        </w:rPr>
        <w:t>ed</w:t>
      </w:r>
      <w:proofErr w:type="spellEnd"/>
      <w:r w:rsidRPr="00C456D9">
        <w:rPr>
          <w:color w:val="auto"/>
        </w:rPr>
        <w:t xml:space="preserve"> to receive either 300 mg Dupixent (N=150) every other week for 52 weeks, 300 mg Dupixent (N=145) every other week until week 24 followed by 300 mg Dupixent every 4 weeks until week 52, or placebo (N=153).  </w:t>
      </w:r>
    </w:p>
    <w:p w14:paraId="5B3EA1CD" w14:textId="38434F01" w:rsidR="00AD3071" w:rsidRPr="00C456D9" w:rsidRDefault="00AD3071" w:rsidP="00AD3071">
      <w:pPr>
        <w:jc w:val="both"/>
        <w:rPr>
          <w:color w:val="auto"/>
        </w:rPr>
      </w:pPr>
      <w:r w:rsidRPr="00C456D9">
        <w:rPr>
          <w:color w:val="auto"/>
        </w:rPr>
        <w:t xml:space="preserve">All patients had evidence of sinus opacification on the Lund MacKay (LMK) sinus CT scan and 73% to 90% of patients had opacification of all sinuses.  Patients were stratified based on </w:t>
      </w:r>
      <w:r w:rsidRPr="00C456D9">
        <w:rPr>
          <w:color w:val="auto"/>
        </w:rPr>
        <w:lastRenderedPageBreak/>
        <w:t>their histories of prior surgery and co-morbid asthma/nonsteroidal anti-inflammatory drug exacerbated respiratory disease (NSAID-ERD). A total of 63% of patients reported previous sinus surgery, with a mean number of 2.0 prior surgeries, 74% used systemic corticosteroids in the previous 2 years with a mean number of 1.6 systemic corticosteroid courses in the previous 2 years, 59% had co-morbid asthma, and 28% had NSAID-ERD.</w:t>
      </w:r>
    </w:p>
    <w:p w14:paraId="3E532449" w14:textId="4012AC11" w:rsidR="00AD3071" w:rsidRPr="00C456D9" w:rsidRDefault="00AD3071" w:rsidP="00AD3071">
      <w:pPr>
        <w:jc w:val="both"/>
        <w:rPr>
          <w:color w:val="auto"/>
        </w:rPr>
      </w:pPr>
      <w:r w:rsidRPr="00C456D9">
        <w:rPr>
          <w:color w:val="auto"/>
        </w:rPr>
        <w:t>The co-primary efficacy endpoints were change from baseline to week 24 in bilateral endoscopic nasal polyps score (NPS; 0-8 scale) as graded by central blinded readers</w:t>
      </w:r>
      <w:r w:rsidR="008D5DBF">
        <w:rPr>
          <w:color w:val="auto"/>
        </w:rPr>
        <w:t xml:space="preserve"> </w:t>
      </w:r>
      <w:r w:rsidRPr="00C456D9">
        <w:rPr>
          <w:color w:val="auto"/>
        </w:rPr>
        <w:t>and change from baseline to week 24 in nasal congestion/obstruction score averaged over 28 days (NC; 0-3 scale), as determined by patients using a daily diary.</w:t>
      </w:r>
      <w:r w:rsidR="009D4DB8" w:rsidRPr="00C456D9">
        <w:rPr>
          <w:color w:val="auto"/>
        </w:rPr>
        <w:t xml:space="preserve"> </w:t>
      </w:r>
      <w:r w:rsidRPr="00C456D9">
        <w:rPr>
          <w:color w:val="auto"/>
        </w:rPr>
        <w:t xml:space="preserve"> For NPS, polyps on each side of the nose were graded on a categorical scale (0=no polyps; 1=small polyps in the middle meatus not reaching below the inferior border of the middle turbinate; 2=polyps reaching below the lower border of the middle turbinate; 3=large polyps reaching the lower border of the inferior turbinate or polyps medial to the middle turbinate; 4=large polyps causing complete obstruction of the inferior nasal cavity).  The total score was the sum of the right and left scores. Nasal congestion was rated daily by the subjects on a 0 to 3 categorical severity scale (0=no symptoms; 1=mild symptoms; 2=moderate symptoms; 3=severe symptoms).</w:t>
      </w:r>
    </w:p>
    <w:p w14:paraId="4FE5DCEF" w14:textId="22355EBC" w:rsidR="00AD3071" w:rsidRPr="00C456D9" w:rsidRDefault="00AD3071" w:rsidP="00AD3071">
      <w:pPr>
        <w:jc w:val="both"/>
        <w:rPr>
          <w:color w:val="auto"/>
        </w:rPr>
      </w:pPr>
      <w:r w:rsidRPr="00C456D9">
        <w:rPr>
          <w:color w:val="auto"/>
        </w:rPr>
        <w:t xml:space="preserve">In both studies, key secondary </w:t>
      </w:r>
      <w:r w:rsidR="008D5DBF" w:rsidRPr="00C456D9">
        <w:rPr>
          <w:color w:val="auto"/>
        </w:rPr>
        <w:t>endpoints</w:t>
      </w:r>
      <w:r w:rsidRPr="00C456D9">
        <w:rPr>
          <w:color w:val="auto"/>
        </w:rPr>
        <w:t xml:space="preserve"> at week 24 included change from baseline in: LMK sinus CT scan score, total symptoms score (TSS), University of Pennsylvania smell identification test (UPSIT), daily loss of smell, and 22-item </w:t>
      </w:r>
      <w:proofErr w:type="spellStart"/>
      <w:r w:rsidRPr="00C456D9">
        <w:rPr>
          <w:color w:val="auto"/>
        </w:rPr>
        <w:t>sinal</w:t>
      </w:r>
      <w:proofErr w:type="spellEnd"/>
      <w:r w:rsidRPr="00C456D9">
        <w:rPr>
          <w:color w:val="auto"/>
        </w:rPr>
        <w:t xml:space="preserve">-nasal outcome test (SNOT-22).  The LMK sinus CT scan score evaluated the opacification of each sinus using a 0 to 2 scale (0=normal; 1=partial opacification; 2=total opacification) deriving a maximum score of 12 per side and a total maximum score of 24 (higher scores indicate more opacification). Olfactory function was assessed by UPSIT which is a 40-odorant test (score range 0-40) used to distinguish patients (mild [score of 31 34], moderate [score of 26 30], severe </w:t>
      </w:r>
      <w:proofErr w:type="spellStart"/>
      <w:r w:rsidRPr="00C456D9">
        <w:rPr>
          <w:color w:val="auto"/>
        </w:rPr>
        <w:t>microsmia</w:t>
      </w:r>
      <w:proofErr w:type="spellEnd"/>
      <w:r w:rsidRPr="00C456D9">
        <w:rPr>
          <w:color w:val="auto"/>
        </w:rPr>
        <w:t xml:space="preserve"> [score of 19 25]) or anosmia [score of 0 18]). In the pool of the two studies, the reduction in the proportion of patients rescued with systemic corticosteroid and/or </w:t>
      </w:r>
      <w:proofErr w:type="spellStart"/>
      <w:r w:rsidRPr="00C456D9">
        <w:rPr>
          <w:color w:val="auto"/>
        </w:rPr>
        <w:t>sino</w:t>
      </w:r>
      <w:proofErr w:type="spellEnd"/>
      <w:r w:rsidRPr="00C456D9">
        <w:rPr>
          <w:color w:val="auto"/>
        </w:rPr>
        <w:t>-nasal surgery as well as the improvement in FEV1 in the asthma subgroup were evaluated.  Additional secondary endpoints included 6-item Asthma Control Questionnaire (ACQ-6) in the co-morbid asthma subgroup.</w:t>
      </w:r>
    </w:p>
    <w:p w14:paraId="09439BED" w14:textId="52A8293D" w:rsidR="00AD3071" w:rsidRPr="00C456D9" w:rsidRDefault="00AD3071" w:rsidP="00AD3071">
      <w:pPr>
        <w:jc w:val="both"/>
        <w:rPr>
          <w:color w:val="0000FF"/>
        </w:rPr>
      </w:pPr>
      <w:r w:rsidRPr="00C456D9">
        <w:rPr>
          <w:color w:val="auto"/>
        </w:rPr>
        <w:t xml:space="preserve">The demographics and baseline characteristics of these 2 studies are provided in </w:t>
      </w:r>
      <w:r w:rsidR="00831A55" w:rsidRPr="00C456D9">
        <w:rPr>
          <w:color w:val="0000FF"/>
        </w:rPr>
        <w:fldChar w:fldCharType="begin"/>
      </w:r>
      <w:r w:rsidR="00831A55" w:rsidRPr="00C456D9">
        <w:rPr>
          <w:color w:val="0000FF"/>
        </w:rPr>
        <w:instrText xml:space="preserve"> REF _Ref72402324 \h  \* MERGEFORMAT </w:instrText>
      </w:r>
      <w:r w:rsidR="00831A55" w:rsidRPr="00C456D9">
        <w:rPr>
          <w:color w:val="0000FF"/>
        </w:rPr>
      </w:r>
      <w:r w:rsidR="00831A55" w:rsidRPr="00C456D9">
        <w:rPr>
          <w:color w:val="0000FF"/>
        </w:rPr>
        <w:fldChar w:fldCharType="separate"/>
      </w:r>
      <w:r w:rsidR="00E123A5" w:rsidRPr="00E123A5">
        <w:rPr>
          <w:color w:val="0000FF"/>
        </w:rPr>
        <w:t>Table 21</w:t>
      </w:r>
      <w:r w:rsidR="00831A55" w:rsidRPr="00C456D9">
        <w:rPr>
          <w:color w:val="0000FF"/>
        </w:rPr>
        <w:fldChar w:fldCharType="end"/>
      </w:r>
      <w:r w:rsidR="00831A55" w:rsidRPr="00C456D9">
        <w:rPr>
          <w:color w:val="0000FF"/>
        </w:rPr>
        <w:t xml:space="preserve"> </w:t>
      </w:r>
      <w:r w:rsidRPr="00C456D9">
        <w:rPr>
          <w:color w:val="auto"/>
        </w:rPr>
        <w:t>below:</w:t>
      </w:r>
    </w:p>
    <w:p w14:paraId="60133156" w14:textId="7355FB72" w:rsidR="00AD3071" w:rsidRPr="00C456D9" w:rsidRDefault="00AD3071" w:rsidP="003F089D">
      <w:pPr>
        <w:pStyle w:val="Caption"/>
        <w:spacing w:before="240"/>
      </w:pPr>
      <w:r w:rsidRPr="003F089D">
        <w:rPr>
          <w:color w:val="0000FF"/>
        </w:rPr>
        <w:t xml:space="preserve"> </w:t>
      </w:r>
      <w:bookmarkStart w:id="40" w:name="_Ref72402324"/>
      <w:r w:rsidRPr="00C456D9">
        <w:t>Table </w:t>
      </w:r>
      <w:r w:rsidRPr="00C456D9">
        <w:fldChar w:fldCharType="begin"/>
      </w:r>
      <w:r w:rsidRPr="00C456D9">
        <w:instrText xml:space="preserve"> SEQ Table \* ARABIC </w:instrText>
      </w:r>
      <w:r w:rsidRPr="00C456D9">
        <w:fldChar w:fldCharType="separate"/>
      </w:r>
      <w:r w:rsidR="00E123A5">
        <w:rPr>
          <w:noProof/>
        </w:rPr>
        <w:t>21</w:t>
      </w:r>
      <w:r w:rsidRPr="00C456D9">
        <w:fldChar w:fldCharType="end"/>
      </w:r>
      <w:bookmarkEnd w:id="40"/>
      <w:r w:rsidRPr="00C456D9">
        <w:t xml:space="preserve"> ­ Demographics and Baseline Characteristics of CRSwNP Studies</w:t>
      </w:r>
    </w:p>
    <w:tbl>
      <w:tblPr>
        <w:tblW w:w="9493" w:type="dxa"/>
        <w:jc w:val="center"/>
        <w:tblLook w:val="04A0" w:firstRow="1" w:lastRow="0" w:firstColumn="1" w:lastColumn="0" w:noHBand="0" w:noVBand="1"/>
      </w:tblPr>
      <w:tblGrid>
        <w:gridCol w:w="5872"/>
        <w:gridCol w:w="1375"/>
        <w:gridCol w:w="2246"/>
      </w:tblGrid>
      <w:tr w:rsidR="00826E56" w:rsidRPr="00C456D9" w14:paraId="5ED292FA" w14:textId="77777777" w:rsidTr="00AD3071">
        <w:trPr>
          <w:cantSplit/>
          <w:trHeight w:val="160"/>
          <w:tblHeader/>
          <w:jc w:val="center"/>
        </w:trPr>
        <w:tc>
          <w:tcPr>
            <w:tcW w:w="5872" w:type="dxa"/>
            <w:tcBorders>
              <w:top w:val="single" w:sz="4" w:space="0" w:color="auto"/>
              <w:bottom w:val="single" w:sz="4" w:space="0" w:color="auto"/>
            </w:tcBorders>
            <w:shd w:val="clear" w:color="auto" w:fill="auto"/>
          </w:tcPr>
          <w:p w14:paraId="45A61A4E" w14:textId="77777777" w:rsidR="00AD3071" w:rsidRPr="00C456D9" w:rsidRDefault="00AD3071" w:rsidP="00AD3071">
            <w:pPr>
              <w:pStyle w:val="TblHeadingCenter"/>
              <w:rPr>
                <w:lang w:eastAsia="ja-JP"/>
              </w:rPr>
            </w:pPr>
            <w:r w:rsidRPr="00C456D9">
              <w:rPr>
                <w:lang w:eastAsia="ja-JP"/>
              </w:rPr>
              <w:t>Parameter</w:t>
            </w:r>
          </w:p>
        </w:tc>
        <w:tc>
          <w:tcPr>
            <w:tcW w:w="0" w:type="auto"/>
            <w:tcBorders>
              <w:top w:val="single" w:sz="4" w:space="0" w:color="auto"/>
              <w:bottom w:val="single" w:sz="4" w:space="0" w:color="auto"/>
            </w:tcBorders>
            <w:shd w:val="clear" w:color="auto" w:fill="auto"/>
          </w:tcPr>
          <w:p w14:paraId="104BF0B7" w14:textId="77777777" w:rsidR="00AD3071" w:rsidRPr="00C456D9" w:rsidRDefault="00AD3071" w:rsidP="00AD3071">
            <w:pPr>
              <w:pStyle w:val="TblHeadingCenter"/>
              <w:rPr>
                <w:lang w:eastAsia="ja-JP"/>
              </w:rPr>
            </w:pPr>
            <w:r w:rsidRPr="00C456D9">
              <w:rPr>
                <w:lang w:eastAsia="ja-JP"/>
              </w:rPr>
              <w:t>SINUS-24</w:t>
            </w:r>
          </w:p>
          <w:p w14:paraId="4C5E4FCE" w14:textId="77777777" w:rsidR="00AD3071" w:rsidRPr="00C456D9" w:rsidRDefault="00AD3071" w:rsidP="00AD3071">
            <w:pPr>
              <w:pStyle w:val="TblHeadingCenter"/>
              <w:rPr>
                <w:lang w:eastAsia="ja-JP"/>
              </w:rPr>
            </w:pPr>
            <w:r w:rsidRPr="00C456D9">
              <w:rPr>
                <w:lang w:eastAsia="ja-JP"/>
              </w:rPr>
              <w:t>(N=276)</w:t>
            </w:r>
          </w:p>
        </w:tc>
        <w:tc>
          <w:tcPr>
            <w:tcW w:w="2246" w:type="dxa"/>
            <w:tcBorders>
              <w:top w:val="single" w:sz="4" w:space="0" w:color="auto"/>
              <w:bottom w:val="single" w:sz="4" w:space="0" w:color="auto"/>
            </w:tcBorders>
            <w:shd w:val="clear" w:color="auto" w:fill="auto"/>
          </w:tcPr>
          <w:p w14:paraId="59287BEF" w14:textId="77777777" w:rsidR="00AD3071" w:rsidRPr="00C456D9" w:rsidRDefault="00AD3071" w:rsidP="00AD3071">
            <w:pPr>
              <w:pStyle w:val="TblHeadingCenter"/>
              <w:rPr>
                <w:lang w:eastAsia="ja-JP"/>
              </w:rPr>
            </w:pPr>
            <w:r w:rsidRPr="00C456D9">
              <w:rPr>
                <w:lang w:eastAsia="ja-JP"/>
              </w:rPr>
              <w:t>SINUS-52</w:t>
            </w:r>
          </w:p>
          <w:p w14:paraId="01276176" w14:textId="77777777" w:rsidR="00AD3071" w:rsidRPr="00C456D9" w:rsidRDefault="00AD3071" w:rsidP="00AD3071">
            <w:pPr>
              <w:pStyle w:val="TblHeadingCenter"/>
              <w:rPr>
                <w:lang w:eastAsia="ja-JP"/>
              </w:rPr>
            </w:pPr>
            <w:r w:rsidRPr="00C456D9">
              <w:rPr>
                <w:lang w:eastAsia="ja-JP"/>
              </w:rPr>
              <w:t>(N=448)</w:t>
            </w:r>
          </w:p>
        </w:tc>
      </w:tr>
      <w:tr w:rsidR="00826E56" w:rsidRPr="00C456D9" w14:paraId="41CF46EE" w14:textId="77777777" w:rsidTr="00AD3071">
        <w:trPr>
          <w:cantSplit/>
          <w:trHeight w:val="305"/>
          <w:jc w:val="center"/>
        </w:trPr>
        <w:tc>
          <w:tcPr>
            <w:tcW w:w="5872" w:type="dxa"/>
            <w:tcBorders>
              <w:top w:val="single" w:sz="4" w:space="0" w:color="auto"/>
            </w:tcBorders>
            <w:shd w:val="clear" w:color="auto" w:fill="auto"/>
          </w:tcPr>
          <w:p w14:paraId="4F5D79FB" w14:textId="77777777" w:rsidR="00AD3071" w:rsidRPr="00C456D9" w:rsidRDefault="00AD3071" w:rsidP="00AD3071">
            <w:pPr>
              <w:pStyle w:val="TblTextCenter"/>
              <w:jc w:val="left"/>
            </w:pPr>
            <w:r w:rsidRPr="00C456D9">
              <w:t>Mean age (years) (SD)</w:t>
            </w:r>
          </w:p>
        </w:tc>
        <w:tc>
          <w:tcPr>
            <w:tcW w:w="0" w:type="auto"/>
            <w:tcBorders>
              <w:top w:val="single" w:sz="4" w:space="0" w:color="auto"/>
            </w:tcBorders>
            <w:shd w:val="clear" w:color="auto" w:fill="auto"/>
          </w:tcPr>
          <w:p w14:paraId="501D6C79" w14:textId="77777777" w:rsidR="00AD3071" w:rsidRPr="00C456D9" w:rsidRDefault="00AD3071" w:rsidP="00AD3071">
            <w:pPr>
              <w:pStyle w:val="TblTextCenter"/>
            </w:pPr>
            <w:r w:rsidRPr="00C456D9">
              <w:t>50.49 (13.39)</w:t>
            </w:r>
          </w:p>
        </w:tc>
        <w:tc>
          <w:tcPr>
            <w:tcW w:w="2246" w:type="dxa"/>
            <w:tcBorders>
              <w:top w:val="single" w:sz="4" w:space="0" w:color="auto"/>
            </w:tcBorders>
            <w:shd w:val="clear" w:color="auto" w:fill="auto"/>
          </w:tcPr>
          <w:p w14:paraId="13D73314" w14:textId="77777777" w:rsidR="00AD3071" w:rsidRPr="00C456D9" w:rsidRDefault="00AD3071" w:rsidP="00AD3071">
            <w:pPr>
              <w:pStyle w:val="TblTextCenter"/>
            </w:pPr>
            <w:r w:rsidRPr="00C456D9">
              <w:t>51.95 (12.45)</w:t>
            </w:r>
          </w:p>
        </w:tc>
      </w:tr>
      <w:tr w:rsidR="00826E56" w:rsidRPr="00C456D9" w14:paraId="3011F5C2" w14:textId="77777777" w:rsidTr="00AD3071">
        <w:trPr>
          <w:cantSplit/>
          <w:trHeight w:val="260"/>
          <w:jc w:val="center"/>
        </w:trPr>
        <w:tc>
          <w:tcPr>
            <w:tcW w:w="5872" w:type="dxa"/>
            <w:shd w:val="clear" w:color="auto" w:fill="auto"/>
          </w:tcPr>
          <w:p w14:paraId="47E0E8EF" w14:textId="77777777" w:rsidR="00AD3071" w:rsidRPr="00C456D9" w:rsidRDefault="00AD3071" w:rsidP="00AD3071">
            <w:pPr>
              <w:pStyle w:val="TblTextCenter"/>
              <w:jc w:val="left"/>
            </w:pPr>
            <w:r w:rsidRPr="00C456D9">
              <w:t>% Male</w:t>
            </w:r>
          </w:p>
        </w:tc>
        <w:tc>
          <w:tcPr>
            <w:tcW w:w="0" w:type="auto"/>
            <w:shd w:val="clear" w:color="auto" w:fill="auto"/>
          </w:tcPr>
          <w:p w14:paraId="1A54F5D0" w14:textId="77777777" w:rsidR="00AD3071" w:rsidRPr="00C456D9" w:rsidRDefault="00AD3071" w:rsidP="00AD3071">
            <w:pPr>
              <w:pStyle w:val="TblTextCenter"/>
            </w:pPr>
            <w:r w:rsidRPr="00C456D9">
              <w:t>57.2</w:t>
            </w:r>
          </w:p>
        </w:tc>
        <w:tc>
          <w:tcPr>
            <w:tcW w:w="2246" w:type="dxa"/>
            <w:shd w:val="clear" w:color="auto" w:fill="auto"/>
          </w:tcPr>
          <w:p w14:paraId="4866EFFF" w14:textId="77777777" w:rsidR="00AD3071" w:rsidRPr="00C456D9" w:rsidRDefault="00AD3071" w:rsidP="00AD3071">
            <w:pPr>
              <w:pStyle w:val="TblTextCenter"/>
            </w:pPr>
            <w:r w:rsidRPr="00C456D9">
              <w:t>62.3</w:t>
            </w:r>
          </w:p>
        </w:tc>
      </w:tr>
      <w:tr w:rsidR="00826E56" w:rsidRPr="00C456D9" w14:paraId="7F026155" w14:textId="77777777" w:rsidTr="00AD3071">
        <w:trPr>
          <w:cantSplit/>
          <w:trHeight w:val="251"/>
          <w:jc w:val="center"/>
        </w:trPr>
        <w:tc>
          <w:tcPr>
            <w:tcW w:w="5872" w:type="dxa"/>
            <w:shd w:val="clear" w:color="auto" w:fill="auto"/>
          </w:tcPr>
          <w:p w14:paraId="3C0DF170" w14:textId="77777777" w:rsidR="00AD3071" w:rsidRPr="00C456D9" w:rsidRDefault="00AD3071" w:rsidP="00AD3071">
            <w:pPr>
              <w:pStyle w:val="TblTextCenter"/>
              <w:jc w:val="left"/>
            </w:pPr>
            <w:r w:rsidRPr="00C456D9">
              <w:t>Mean CRSwNP duration (years)(SD)</w:t>
            </w:r>
          </w:p>
        </w:tc>
        <w:tc>
          <w:tcPr>
            <w:tcW w:w="0" w:type="auto"/>
            <w:shd w:val="clear" w:color="auto" w:fill="auto"/>
          </w:tcPr>
          <w:p w14:paraId="7DF426FB" w14:textId="77777777" w:rsidR="00AD3071" w:rsidRPr="00C456D9" w:rsidRDefault="00AD3071" w:rsidP="00AD3071">
            <w:pPr>
              <w:pStyle w:val="TblTextCenter"/>
            </w:pPr>
            <w:r w:rsidRPr="00C456D9">
              <w:t>11.11 (9.16)</w:t>
            </w:r>
          </w:p>
        </w:tc>
        <w:tc>
          <w:tcPr>
            <w:tcW w:w="2246" w:type="dxa"/>
            <w:shd w:val="clear" w:color="auto" w:fill="auto"/>
          </w:tcPr>
          <w:p w14:paraId="1A886E76" w14:textId="77777777" w:rsidR="00AD3071" w:rsidRPr="00C456D9" w:rsidRDefault="00AD3071" w:rsidP="00AD3071">
            <w:pPr>
              <w:pStyle w:val="TblTextCenter"/>
            </w:pPr>
            <w:r w:rsidRPr="00C456D9">
              <w:t>10.94 (9.63)</w:t>
            </w:r>
          </w:p>
        </w:tc>
      </w:tr>
      <w:tr w:rsidR="00826E56" w:rsidRPr="00C456D9" w14:paraId="31BB9E9B" w14:textId="77777777" w:rsidTr="00AD3071">
        <w:trPr>
          <w:cantSplit/>
          <w:trHeight w:val="260"/>
          <w:jc w:val="center"/>
        </w:trPr>
        <w:tc>
          <w:tcPr>
            <w:tcW w:w="5872" w:type="dxa"/>
            <w:shd w:val="clear" w:color="auto" w:fill="auto"/>
          </w:tcPr>
          <w:p w14:paraId="195CEA20" w14:textId="77777777" w:rsidR="00AD3071" w:rsidRPr="00C456D9" w:rsidRDefault="00AD3071" w:rsidP="00AD3071">
            <w:pPr>
              <w:pStyle w:val="TblTextCenter"/>
              <w:jc w:val="left"/>
            </w:pPr>
            <w:r w:rsidRPr="00C456D9">
              <w:t>Patients with ≥ 1 prior surgery (%)</w:t>
            </w:r>
          </w:p>
        </w:tc>
        <w:tc>
          <w:tcPr>
            <w:tcW w:w="0" w:type="auto"/>
            <w:shd w:val="clear" w:color="auto" w:fill="auto"/>
          </w:tcPr>
          <w:p w14:paraId="1C8E8500" w14:textId="77777777" w:rsidR="00AD3071" w:rsidRPr="00C456D9" w:rsidRDefault="00AD3071" w:rsidP="00AD3071">
            <w:pPr>
              <w:pStyle w:val="TblTextCenter"/>
            </w:pPr>
            <w:r w:rsidRPr="00C456D9">
              <w:t>71.7</w:t>
            </w:r>
          </w:p>
        </w:tc>
        <w:tc>
          <w:tcPr>
            <w:tcW w:w="2246" w:type="dxa"/>
            <w:shd w:val="clear" w:color="auto" w:fill="auto"/>
          </w:tcPr>
          <w:p w14:paraId="22910D65" w14:textId="77777777" w:rsidR="00AD3071" w:rsidRPr="00C456D9" w:rsidRDefault="00AD3071" w:rsidP="00AD3071">
            <w:pPr>
              <w:pStyle w:val="TblTextCenter"/>
            </w:pPr>
            <w:r w:rsidRPr="00C456D9">
              <w:t>58.3</w:t>
            </w:r>
          </w:p>
        </w:tc>
      </w:tr>
      <w:tr w:rsidR="00826E56" w:rsidRPr="00C456D9" w14:paraId="095BCBD2" w14:textId="77777777" w:rsidTr="00AD3071">
        <w:trPr>
          <w:cantSplit/>
          <w:trHeight w:val="269"/>
          <w:jc w:val="center"/>
        </w:trPr>
        <w:tc>
          <w:tcPr>
            <w:tcW w:w="5872" w:type="dxa"/>
            <w:shd w:val="clear" w:color="auto" w:fill="auto"/>
          </w:tcPr>
          <w:p w14:paraId="05C05BA8" w14:textId="77777777" w:rsidR="00AD3071" w:rsidRPr="00C456D9" w:rsidRDefault="00AD3071" w:rsidP="00AD3071">
            <w:pPr>
              <w:pStyle w:val="TblTextCenter"/>
              <w:jc w:val="left"/>
            </w:pPr>
            <w:r w:rsidRPr="00C456D9">
              <w:t>Patients with systemic corticosteroid use in the previous 2 years (%)</w:t>
            </w:r>
          </w:p>
        </w:tc>
        <w:tc>
          <w:tcPr>
            <w:tcW w:w="0" w:type="auto"/>
            <w:shd w:val="clear" w:color="auto" w:fill="auto"/>
          </w:tcPr>
          <w:p w14:paraId="3F88EA1D" w14:textId="77777777" w:rsidR="00AD3071" w:rsidRPr="00C456D9" w:rsidRDefault="00AD3071" w:rsidP="00AD3071">
            <w:pPr>
              <w:pStyle w:val="TblTextCenter"/>
            </w:pPr>
            <w:r w:rsidRPr="00C456D9">
              <w:t>64.9</w:t>
            </w:r>
          </w:p>
        </w:tc>
        <w:tc>
          <w:tcPr>
            <w:tcW w:w="2246" w:type="dxa"/>
            <w:shd w:val="clear" w:color="auto" w:fill="auto"/>
          </w:tcPr>
          <w:p w14:paraId="028A2937" w14:textId="77777777" w:rsidR="00AD3071" w:rsidRPr="00C456D9" w:rsidRDefault="00AD3071" w:rsidP="00AD3071">
            <w:pPr>
              <w:pStyle w:val="TblTextCenter"/>
            </w:pPr>
            <w:r w:rsidRPr="00C456D9">
              <w:t>80.1</w:t>
            </w:r>
          </w:p>
        </w:tc>
      </w:tr>
      <w:tr w:rsidR="00826E56" w:rsidRPr="00C456D9" w14:paraId="3C288C00" w14:textId="77777777" w:rsidTr="00AD3071">
        <w:trPr>
          <w:cantSplit/>
          <w:trHeight w:val="260"/>
          <w:jc w:val="center"/>
        </w:trPr>
        <w:tc>
          <w:tcPr>
            <w:tcW w:w="5872" w:type="dxa"/>
            <w:shd w:val="clear" w:color="auto" w:fill="auto"/>
          </w:tcPr>
          <w:p w14:paraId="21A6EA8B" w14:textId="77777777" w:rsidR="00AD3071" w:rsidRPr="00C456D9" w:rsidRDefault="00AD3071" w:rsidP="00AD3071">
            <w:pPr>
              <w:pStyle w:val="TblTextCenter"/>
              <w:jc w:val="left"/>
            </w:pPr>
            <w:r w:rsidRPr="00C456D9">
              <w:t xml:space="preserve">Mean Bilateral endoscopic </w:t>
            </w:r>
            <w:proofErr w:type="spellStart"/>
            <w:r w:rsidRPr="00C456D9">
              <w:t>NPS</w:t>
            </w:r>
            <w:r w:rsidRPr="00C456D9">
              <w:rPr>
                <w:vertAlign w:val="superscript"/>
              </w:rPr>
              <w:t>a</w:t>
            </w:r>
            <w:proofErr w:type="spellEnd"/>
            <w:r w:rsidRPr="00C456D9">
              <w:rPr>
                <w:vertAlign w:val="superscript"/>
              </w:rPr>
              <w:t xml:space="preserve"> </w:t>
            </w:r>
            <w:r w:rsidRPr="00C456D9">
              <w:t>(SD), range 0–8</w:t>
            </w:r>
          </w:p>
        </w:tc>
        <w:tc>
          <w:tcPr>
            <w:tcW w:w="0" w:type="auto"/>
            <w:shd w:val="clear" w:color="auto" w:fill="auto"/>
          </w:tcPr>
          <w:p w14:paraId="1B80AA42" w14:textId="77777777" w:rsidR="00AD3071" w:rsidRPr="00C456D9" w:rsidRDefault="00AD3071" w:rsidP="00AD3071">
            <w:pPr>
              <w:pStyle w:val="TblTextCenter"/>
            </w:pPr>
            <w:r w:rsidRPr="00C456D9">
              <w:t>5.75 (1.28)</w:t>
            </w:r>
          </w:p>
        </w:tc>
        <w:tc>
          <w:tcPr>
            <w:tcW w:w="2246" w:type="dxa"/>
            <w:shd w:val="clear" w:color="auto" w:fill="auto"/>
          </w:tcPr>
          <w:p w14:paraId="3210736B" w14:textId="77777777" w:rsidR="00AD3071" w:rsidRPr="00C456D9" w:rsidRDefault="00AD3071" w:rsidP="00AD3071">
            <w:pPr>
              <w:pStyle w:val="TblTextCenter"/>
            </w:pPr>
            <w:r w:rsidRPr="00C456D9">
              <w:t>6.10 (1.21)</w:t>
            </w:r>
          </w:p>
        </w:tc>
      </w:tr>
      <w:tr w:rsidR="00826E56" w:rsidRPr="00C456D9" w14:paraId="404E4F9B" w14:textId="77777777" w:rsidTr="00AD3071">
        <w:trPr>
          <w:cantSplit/>
          <w:trHeight w:val="251"/>
          <w:jc w:val="center"/>
        </w:trPr>
        <w:tc>
          <w:tcPr>
            <w:tcW w:w="5872" w:type="dxa"/>
            <w:shd w:val="clear" w:color="auto" w:fill="auto"/>
          </w:tcPr>
          <w:p w14:paraId="7A8FC010" w14:textId="77777777" w:rsidR="00AD3071" w:rsidRPr="00C456D9" w:rsidRDefault="00AD3071" w:rsidP="00AD3071">
            <w:pPr>
              <w:pStyle w:val="TblTextCenter"/>
              <w:jc w:val="left"/>
            </w:pPr>
            <w:r w:rsidRPr="00C456D9">
              <w:t xml:space="preserve">Mean Nasal congestion (NC) </w:t>
            </w:r>
            <w:proofErr w:type="spellStart"/>
            <w:r w:rsidRPr="00C456D9">
              <w:t>score</w:t>
            </w:r>
            <w:r w:rsidRPr="00C456D9">
              <w:rPr>
                <w:vertAlign w:val="superscript"/>
              </w:rPr>
              <w:t>a</w:t>
            </w:r>
            <w:proofErr w:type="spellEnd"/>
            <w:r w:rsidRPr="00C456D9">
              <w:t xml:space="preserve"> (SD) range 0–3</w:t>
            </w:r>
          </w:p>
        </w:tc>
        <w:tc>
          <w:tcPr>
            <w:tcW w:w="0" w:type="auto"/>
            <w:shd w:val="clear" w:color="auto" w:fill="auto"/>
          </w:tcPr>
          <w:p w14:paraId="77C82915" w14:textId="77777777" w:rsidR="00AD3071" w:rsidRPr="00C456D9" w:rsidRDefault="00AD3071" w:rsidP="00AD3071">
            <w:pPr>
              <w:pStyle w:val="TblTextCenter"/>
            </w:pPr>
            <w:r w:rsidRPr="00C456D9">
              <w:t>2.35 (0.57)</w:t>
            </w:r>
          </w:p>
        </w:tc>
        <w:tc>
          <w:tcPr>
            <w:tcW w:w="2246" w:type="dxa"/>
            <w:shd w:val="clear" w:color="auto" w:fill="auto"/>
          </w:tcPr>
          <w:p w14:paraId="54DD13D2" w14:textId="77777777" w:rsidR="00AD3071" w:rsidRPr="00C456D9" w:rsidRDefault="00AD3071" w:rsidP="00AD3071">
            <w:pPr>
              <w:pStyle w:val="TblTextCenter"/>
            </w:pPr>
            <w:r w:rsidRPr="00C456D9">
              <w:t>2.43 (0.59)</w:t>
            </w:r>
          </w:p>
        </w:tc>
      </w:tr>
      <w:tr w:rsidR="00826E56" w:rsidRPr="00C456D9" w14:paraId="2A499C57" w14:textId="77777777" w:rsidTr="00AD3071">
        <w:trPr>
          <w:cantSplit/>
          <w:trHeight w:val="251"/>
          <w:jc w:val="center"/>
        </w:trPr>
        <w:tc>
          <w:tcPr>
            <w:tcW w:w="5872" w:type="dxa"/>
            <w:shd w:val="clear" w:color="auto" w:fill="auto"/>
          </w:tcPr>
          <w:p w14:paraId="1750D1DD" w14:textId="54DE3F2B" w:rsidR="00AD3071" w:rsidRPr="00C456D9" w:rsidRDefault="00AD3071" w:rsidP="00AD3071">
            <w:pPr>
              <w:pStyle w:val="TblTextCenter"/>
              <w:jc w:val="left"/>
            </w:pPr>
            <w:r w:rsidRPr="00C456D9">
              <w:t xml:space="preserve">Mean LMK sinus CT total </w:t>
            </w:r>
            <w:proofErr w:type="spellStart"/>
            <w:r w:rsidRPr="00C456D9">
              <w:t>score</w:t>
            </w:r>
            <w:r w:rsidRPr="00C456D9">
              <w:rPr>
                <w:sz w:val="22"/>
                <w:szCs w:val="22"/>
                <w:vertAlign w:val="superscript"/>
              </w:rPr>
              <w:t>a</w:t>
            </w:r>
            <w:proofErr w:type="spellEnd"/>
            <w:r w:rsidR="00826F31" w:rsidRPr="00C456D9">
              <w:rPr>
                <w:sz w:val="22"/>
                <w:szCs w:val="22"/>
                <w:vertAlign w:val="superscript"/>
              </w:rPr>
              <w:t xml:space="preserve"> </w:t>
            </w:r>
            <w:r w:rsidRPr="00C456D9">
              <w:t xml:space="preserve">(SD), range 0–24 </w:t>
            </w:r>
          </w:p>
        </w:tc>
        <w:tc>
          <w:tcPr>
            <w:tcW w:w="0" w:type="auto"/>
            <w:shd w:val="clear" w:color="auto" w:fill="auto"/>
          </w:tcPr>
          <w:p w14:paraId="128FDBFC" w14:textId="77777777" w:rsidR="00AD3071" w:rsidRPr="00C456D9" w:rsidRDefault="00AD3071" w:rsidP="00AD3071">
            <w:pPr>
              <w:pStyle w:val="TblTextCenter"/>
            </w:pPr>
            <w:r w:rsidRPr="00C456D9">
              <w:t>19.03 (4.44)</w:t>
            </w:r>
          </w:p>
        </w:tc>
        <w:tc>
          <w:tcPr>
            <w:tcW w:w="2246" w:type="dxa"/>
            <w:shd w:val="clear" w:color="auto" w:fill="auto"/>
          </w:tcPr>
          <w:p w14:paraId="33F71E13" w14:textId="77777777" w:rsidR="00AD3071" w:rsidRPr="00C456D9" w:rsidRDefault="00AD3071" w:rsidP="00AD3071">
            <w:pPr>
              <w:pStyle w:val="TblTextCenter"/>
            </w:pPr>
            <w:r w:rsidRPr="00C456D9">
              <w:t>17.96 (3.76)</w:t>
            </w:r>
          </w:p>
        </w:tc>
      </w:tr>
      <w:tr w:rsidR="00826E56" w:rsidRPr="00C456D9" w14:paraId="47C6D587" w14:textId="77777777" w:rsidTr="00AD3071">
        <w:trPr>
          <w:cantSplit/>
          <w:trHeight w:val="269"/>
          <w:jc w:val="center"/>
        </w:trPr>
        <w:tc>
          <w:tcPr>
            <w:tcW w:w="5872" w:type="dxa"/>
            <w:shd w:val="clear" w:color="auto" w:fill="auto"/>
          </w:tcPr>
          <w:p w14:paraId="64FF7C7C" w14:textId="77777777" w:rsidR="00AD3071" w:rsidRPr="00C456D9" w:rsidRDefault="00AD3071" w:rsidP="00AD3071">
            <w:pPr>
              <w:pStyle w:val="TblTextCenter"/>
              <w:jc w:val="left"/>
            </w:pPr>
            <w:r w:rsidRPr="00C456D9">
              <w:lastRenderedPageBreak/>
              <w:t xml:space="preserve">Mean Smell test (UPSIT) </w:t>
            </w:r>
            <w:proofErr w:type="spellStart"/>
            <w:r w:rsidRPr="00C456D9">
              <w:t>score</w:t>
            </w:r>
            <w:r w:rsidRPr="00C456D9">
              <w:rPr>
                <w:vertAlign w:val="superscript"/>
              </w:rPr>
              <w:t>a</w:t>
            </w:r>
            <w:proofErr w:type="spellEnd"/>
            <w:r w:rsidRPr="00C456D9">
              <w:t xml:space="preserve"> (SD), range 0–40</w:t>
            </w:r>
          </w:p>
        </w:tc>
        <w:tc>
          <w:tcPr>
            <w:tcW w:w="0" w:type="auto"/>
            <w:shd w:val="clear" w:color="auto" w:fill="auto"/>
          </w:tcPr>
          <w:p w14:paraId="38579ACE" w14:textId="77777777" w:rsidR="00AD3071" w:rsidRPr="00C456D9" w:rsidRDefault="00AD3071" w:rsidP="00AD3071">
            <w:pPr>
              <w:pStyle w:val="TblTextCenter"/>
            </w:pPr>
            <w:r w:rsidRPr="00C456D9">
              <w:t>14.56 (8.48)</w:t>
            </w:r>
          </w:p>
        </w:tc>
        <w:tc>
          <w:tcPr>
            <w:tcW w:w="2246" w:type="dxa"/>
            <w:shd w:val="clear" w:color="auto" w:fill="auto"/>
          </w:tcPr>
          <w:p w14:paraId="13DAB10C" w14:textId="77777777" w:rsidR="00AD3071" w:rsidRPr="00C456D9" w:rsidRDefault="00AD3071" w:rsidP="00AD3071">
            <w:pPr>
              <w:pStyle w:val="TblTextCenter"/>
            </w:pPr>
            <w:r w:rsidRPr="00C456D9">
              <w:t>13.61 (8.02)</w:t>
            </w:r>
          </w:p>
        </w:tc>
      </w:tr>
      <w:tr w:rsidR="00826E56" w:rsidRPr="00C456D9" w14:paraId="4CAD3A36" w14:textId="77777777" w:rsidTr="00AD3071">
        <w:trPr>
          <w:cantSplit/>
          <w:trHeight w:val="260"/>
          <w:jc w:val="center"/>
        </w:trPr>
        <w:tc>
          <w:tcPr>
            <w:tcW w:w="5872" w:type="dxa"/>
            <w:shd w:val="clear" w:color="auto" w:fill="auto"/>
          </w:tcPr>
          <w:p w14:paraId="31FA706A" w14:textId="77777777" w:rsidR="00AD3071" w:rsidRPr="00C456D9" w:rsidRDefault="00AD3071" w:rsidP="00AD3071">
            <w:pPr>
              <w:pStyle w:val="TblTextCenter"/>
              <w:jc w:val="left"/>
            </w:pPr>
            <w:r w:rsidRPr="00C456D9">
              <w:t xml:space="preserve">Mean Sense of smell loss </w:t>
            </w:r>
            <w:proofErr w:type="spellStart"/>
            <w:r w:rsidRPr="00C456D9">
              <w:t>score</w:t>
            </w:r>
            <w:r w:rsidRPr="00C456D9">
              <w:rPr>
                <w:vertAlign w:val="superscript"/>
              </w:rPr>
              <w:t>a</w:t>
            </w:r>
            <w:proofErr w:type="spellEnd"/>
            <w:r w:rsidRPr="00C456D9">
              <w:t xml:space="preserve"> (AM), (SD) range 0–3</w:t>
            </w:r>
          </w:p>
        </w:tc>
        <w:tc>
          <w:tcPr>
            <w:tcW w:w="0" w:type="auto"/>
            <w:shd w:val="clear" w:color="auto" w:fill="auto"/>
          </w:tcPr>
          <w:p w14:paraId="6FB75A36" w14:textId="77777777" w:rsidR="00AD3071" w:rsidRPr="00C456D9" w:rsidRDefault="00AD3071" w:rsidP="00AD3071">
            <w:pPr>
              <w:pStyle w:val="TblTextCenter"/>
            </w:pPr>
            <w:r w:rsidRPr="00C456D9">
              <w:t>2.71 (0.54)</w:t>
            </w:r>
          </w:p>
        </w:tc>
        <w:tc>
          <w:tcPr>
            <w:tcW w:w="2246" w:type="dxa"/>
            <w:shd w:val="clear" w:color="auto" w:fill="auto"/>
          </w:tcPr>
          <w:p w14:paraId="680CC34C" w14:textId="77777777" w:rsidR="00AD3071" w:rsidRPr="00C456D9" w:rsidRDefault="00AD3071" w:rsidP="00AD3071">
            <w:pPr>
              <w:pStyle w:val="TblTextCenter"/>
            </w:pPr>
            <w:r w:rsidRPr="00C456D9">
              <w:t>2.75 (0.52)</w:t>
            </w:r>
          </w:p>
        </w:tc>
      </w:tr>
      <w:tr w:rsidR="00826E56" w:rsidRPr="00C456D9" w14:paraId="7964478E" w14:textId="77777777" w:rsidTr="00AD3071">
        <w:trPr>
          <w:cantSplit/>
          <w:trHeight w:val="287"/>
          <w:jc w:val="center"/>
        </w:trPr>
        <w:tc>
          <w:tcPr>
            <w:tcW w:w="5872" w:type="dxa"/>
            <w:shd w:val="clear" w:color="auto" w:fill="auto"/>
          </w:tcPr>
          <w:p w14:paraId="2C9F1045" w14:textId="77777777" w:rsidR="00AD3071" w:rsidRPr="00C456D9" w:rsidRDefault="00AD3071" w:rsidP="00AD3071">
            <w:pPr>
              <w:pStyle w:val="TblTextCenter"/>
              <w:jc w:val="left"/>
            </w:pPr>
            <w:r w:rsidRPr="00C456D9">
              <w:t xml:space="preserve">Mean SNOT-22 total </w:t>
            </w:r>
            <w:proofErr w:type="spellStart"/>
            <w:r w:rsidRPr="00C456D9">
              <w:t>score</w:t>
            </w:r>
            <w:r w:rsidRPr="00C456D9">
              <w:rPr>
                <w:vertAlign w:val="superscript"/>
              </w:rPr>
              <w:t>a</w:t>
            </w:r>
            <w:proofErr w:type="spellEnd"/>
            <w:r w:rsidRPr="00C456D9">
              <w:t xml:space="preserve"> (SD), range 0–110</w:t>
            </w:r>
          </w:p>
        </w:tc>
        <w:tc>
          <w:tcPr>
            <w:tcW w:w="0" w:type="auto"/>
            <w:shd w:val="clear" w:color="auto" w:fill="auto"/>
          </w:tcPr>
          <w:p w14:paraId="6D3FFB0F" w14:textId="77777777" w:rsidR="00AD3071" w:rsidRPr="00C456D9" w:rsidRDefault="00AD3071" w:rsidP="00AD3071">
            <w:pPr>
              <w:pStyle w:val="TblTextCenter"/>
            </w:pPr>
            <w:r w:rsidRPr="00C456D9">
              <w:t>49.40 (20.20)</w:t>
            </w:r>
          </w:p>
        </w:tc>
        <w:tc>
          <w:tcPr>
            <w:tcW w:w="2246" w:type="dxa"/>
            <w:shd w:val="clear" w:color="auto" w:fill="auto"/>
          </w:tcPr>
          <w:p w14:paraId="4A8F600A" w14:textId="77777777" w:rsidR="00AD3071" w:rsidRPr="00C456D9" w:rsidRDefault="00AD3071" w:rsidP="00AD3071">
            <w:pPr>
              <w:pStyle w:val="TblTextCenter"/>
            </w:pPr>
            <w:r w:rsidRPr="00C456D9">
              <w:t>51.86 (20.90)</w:t>
            </w:r>
          </w:p>
        </w:tc>
      </w:tr>
      <w:tr w:rsidR="00826E56" w:rsidRPr="00C456D9" w14:paraId="0C91E6A4" w14:textId="77777777" w:rsidTr="00AD3071">
        <w:trPr>
          <w:cantSplit/>
          <w:trHeight w:val="287"/>
          <w:jc w:val="center"/>
        </w:trPr>
        <w:tc>
          <w:tcPr>
            <w:tcW w:w="5872" w:type="dxa"/>
            <w:shd w:val="clear" w:color="auto" w:fill="auto"/>
          </w:tcPr>
          <w:p w14:paraId="171A1052" w14:textId="77777777" w:rsidR="00AD3071" w:rsidRPr="00C456D9" w:rsidRDefault="00AD3071" w:rsidP="00AD3071">
            <w:pPr>
              <w:pStyle w:val="TblTextCenter"/>
              <w:jc w:val="left"/>
            </w:pPr>
            <w:r w:rsidRPr="00C456D9">
              <w:t xml:space="preserve">Mean Rhinosinusitis severity </w:t>
            </w:r>
            <w:proofErr w:type="spellStart"/>
            <w:r w:rsidRPr="00C456D9">
              <w:t>scale</w:t>
            </w:r>
            <w:r w:rsidRPr="00C456D9">
              <w:rPr>
                <w:vertAlign w:val="superscript"/>
              </w:rPr>
              <w:t>a</w:t>
            </w:r>
            <w:proofErr w:type="spellEnd"/>
            <w:r w:rsidRPr="00C456D9">
              <w:t xml:space="preserve"> (VAS), (SD) 0–10 cm</w:t>
            </w:r>
          </w:p>
        </w:tc>
        <w:tc>
          <w:tcPr>
            <w:tcW w:w="0" w:type="auto"/>
            <w:shd w:val="clear" w:color="auto" w:fill="auto"/>
          </w:tcPr>
          <w:p w14:paraId="5DF0C579" w14:textId="77777777" w:rsidR="00AD3071" w:rsidRPr="00C456D9" w:rsidRDefault="00AD3071" w:rsidP="00AD3071">
            <w:pPr>
              <w:pStyle w:val="TblTextCenter"/>
            </w:pPr>
            <w:r w:rsidRPr="00C456D9">
              <w:t>7.68 (2.05)</w:t>
            </w:r>
          </w:p>
        </w:tc>
        <w:tc>
          <w:tcPr>
            <w:tcW w:w="2246" w:type="dxa"/>
            <w:shd w:val="clear" w:color="auto" w:fill="auto"/>
          </w:tcPr>
          <w:p w14:paraId="78D488D2" w14:textId="77777777" w:rsidR="00AD3071" w:rsidRPr="00C456D9" w:rsidRDefault="00AD3071" w:rsidP="00AD3071">
            <w:pPr>
              <w:pStyle w:val="TblTextCenter"/>
            </w:pPr>
            <w:r w:rsidRPr="00C456D9">
              <w:t>8.00 (2.08)</w:t>
            </w:r>
          </w:p>
        </w:tc>
      </w:tr>
      <w:tr w:rsidR="00826E56" w:rsidRPr="00C456D9" w14:paraId="56509406" w14:textId="77777777" w:rsidTr="00AD3071">
        <w:trPr>
          <w:cantSplit/>
          <w:trHeight w:val="296"/>
          <w:jc w:val="center"/>
        </w:trPr>
        <w:tc>
          <w:tcPr>
            <w:tcW w:w="5872" w:type="dxa"/>
            <w:shd w:val="clear" w:color="auto" w:fill="auto"/>
          </w:tcPr>
          <w:p w14:paraId="5449C8EA" w14:textId="77777777" w:rsidR="00AD3071" w:rsidRPr="00C456D9" w:rsidRDefault="00AD3071" w:rsidP="00AD3071">
            <w:pPr>
              <w:pStyle w:val="TblTextCenter"/>
              <w:jc w:val="left"/>
            </w:pPr>
            <w:r w:rsidRPr="00C456D9">
              <w:t>Mean blood eosinophils (cells/</w:t>
            </w:r>
            <w:proofErr w:type="spellStart"/>
            <w:proofErr w:type="gramStart"/>
            <w:r w:rsidRPr="00C456D9">
              <w:t>mcL</w:t>
            </w:r>
            <w:proofErr w:type="spellEnd"/>
            <w:r w:rsidRPr="00C456D9">
              <w:t>)(</w:t>
            </w:r>
            <w:proofErr w:type="gramEnd"/>
            <w:r w:rsidRPr="00C456D9">
              <w:t>SD)</w:t>
            </w:r>
          </w:p>
        </w:tc>
        <w:tc>
          <w:tcPr>
            <w:tcW w:w="0" w:type="auto"/>
            <w:shd w:val="clear" w:color="auto" w:fill="auto"/>
          </w:tcPr>
          <w:p w14:paraId="2DADA0B6" w14:textId="77777777" w:rsidR="00AD3071" w:rsidRPr="00C456D9" w:rsidRDefault="00AD3071" w:rsidP="00AD3071">
            <w:pPr>
              <w:pStyle w:val="TblTextCenter"/>
            </w:pPr>
            <w:r w:rsidRPr="00C456D9">
              <w:t>437 (333)</w:t>
            </w:r>
          </w:p>
        </w:tc>
        <w:tc>
          <w:tcPr>
            <w:tcW w:w="2246" w:type="dxa"/>
            <w:shd w:val="clear" w:color="auto" w:fill="auto"/>
          </w:tcPr>
          <w:p w14:paraId="78FB2893" w14:textId="77777777" w:rsidR="00AD3071" w:rsidRPr="00C456D9" w:rsidRDefault="00AD3071" w:rsidP="00AD3071">
            <w:pPr>
              <w:pStyle w:val="TblTextCenter"/>
            </w:pPr>
            <w:r w:rsidRPr="00C456D9">
              <w:t>431 (353)</w:t>
            </w:r>
          </w:p>
        </w:tc>
      </w:tr>
      <w:tr w:rsidR="00826E56" w:rsidRPr="00C456D9" w14:paraId="7F20A97F" w14:textId="77777777" w:rsidTr="00AD3071">
        <w:trPr>
          <w:cantSplit/>
          <w:trHeight w:val="296"/>
          <w:jc w:val="center"/>
        </w:trPr>
        <w:tc>
          <w:tcPr>
            <w:tcW w:w="5872" w:type="dxa"/>
            <w:shd w:val="clear" w:color="auto" w:fill="auto"/>
          </w:tcPr>
          <w:p w14:paraId="6C4B977F" w14:textId="77777777" w:rsidR="00AD3071" w:rsidRPr="00C456D9" w:rsidRDefault="00AD3071" w:rsidP="00AD3071">
            <w:pPr>
              <w:pStyle w:val="TblTextCenter"/>
              <w:jc w:val="left"/>
            </w:pPr>
            <w:r w:rsidRPr="00C456D9">
              <w:t xml:space="preserve">Mean total </w:t>
            </w:r>
            <w:proofErr w:type="spellStart"/>
            <w:r w:rsidRPr="00C456D9">
              <w:t>IgE</w:t>
            </w:r>
            <w:proofErr w:type="spellEnd"/>
            <w:r w:rsidRPr="00C456D9">
              <w:t xml:space="preserve"> IU/mL (SD)</w:t>
            </w:r>
          </w:p>
        </w:tc>
        <w:tc>
          <w:tcPr>
            <w:tcW w:w="0" w:type="auto"/>
            <w:shd w:val="clear" w:color="auto" w:fill="auto"/>
          </w:tcPr>
          <w:p w14:paraId="2AFFE3DD" w14:textId="77777777" w:rsidR="00AD3071" w:rsidRPr="00C456D9" w:rsidRDefault="00AD3071" w:rsidP="00AD3071">
            <w:pPr>
              <w:pStyle w:val="TblTextCenter"/>
            </w:pPr>
            <w:r w:rsidRPr="00C456D9">
              <w:t>211.97 (275.73)</w:t>
            </w:r>
          </w:p>
        </w:tc>
        <w:tc>
          <w:tcPr>
            <w:tcW w:w="2246" w:type="dxa"/>
            <w:shd w:val="clear" w:color="auto" w:fill="auto"/>
          </w:tcPr>
          <w:p w14:paraId="5870EC28" w14:textId="66EEE7B8" w:rsidR="00AD3071" w:rsidRPr="00C456D9" w:rsidRDefault="00AD3071" w:rsidP="00AD3071">
            <w:pPr>
              <w:pStyle w:val="TblTextCenter"/>
            </w:pPr>
            <w:r w:rsidRPr="00C456D9">
              <w:t>239.84 (341.53)</w:t>
            </w:r>
          </w:p>
        </w:tc>
      </w:tr>
      <w:tr w:rsidR="00826E56" w:rsidRPr="00C456D9" w14:paraId="6B2A2683" w14:textId="77777777" w:rsidTr="00AD3071">
        <w:trPr>
          <w:cantSplit/>
          <w:trHeight w:val="473"/>
          <w:jc w:val="center"/>
        </w:trPr>
        <w:tc>
          <w:tcPr>
            <w:tcW w:w="5872" w:type="dxa"/>
            <w:shd w:val="clear" w:color="auto" w:fill="auto"/>
          </w:tcPr>
          <w:p w14:paraId="3B64D3A2" w14:textId="74800FA9" w:rsidR="00AD3071" w:rsidRPr="00C456D9" w:rsidRDefault="00AD3071" w:rsidP="00AD3071">
            <w:pPr>
              <w:pStyle w:val="TblTextCenter"/>
              <w:jc w:val="left"/>
            </w:pPr>
            <w:r w:rsidRPr="00C456D9">
              <w:t>Atopic (type 2 inflammatory disease) Medical History % Overall</w:t>
            </w:r>
          </w:p>
        </w:tc>
        <w:tc>
          <w:tcPr>
            <w:tcW w:w="0" w:type="auto"/>
            <w:shd w:val="clear" w:color="auto" w:fill="auto"/>
          </w:tcPr>
          <w:p w14:paraId="762CE74F" w14:textId="77777777" w:rsidR="00AD3071" w:rsidRPr="00C456D9" w:rsidRDefault="00AD3071" w:rsidP="00AD3071">
            <w:pPr>
              <w:pStyle w:val="TblTextCenter"/>
            </w:pPr>
            <w:r w:rsidRPr="00C456D9">
              <w:t>75.4%</w:t>
            </w:r>
          </w:p>
        </w:tc>
        <w:tc>
          <w:tcPr>
            <w:tcW w:w="2246" w:type="dxa"/>
            <w:shd w:val="clear" w:color="auto" w:fill="auto"/>
          </w:tcPr>
          <w:p w14:paraId="6CC56114" w14:textId="77777777" w:rsidR="00AD3071" w:rsidRPr="00C456D9" w:rsidRDefault="00AD3071" w:rsidP="00AD3071">
            <w:pPr>
              <w:pStyle w:val="TblTextCenter"/>
            </w:pPr>
            <w:r w:rsidRPr="00C456D9">
              <w:t>82.4%</w:t>
            </w:r>
          </w:p>
        </w:tc>
      </w:tr>
      <w:tr w:rsidR="00826E56" w:rsidRPr="00C456D9" w14:paraId="05EC7FDA" w14:textId="77777777" w:rsidTr="00AD3071">
        <w:trPr>
          <w:cantSplit/>
          <w:trHeight w:val="269"/>
          <w:jc w:val="center"/>
        </w:trPr>
        <w:tc>
          <w:tcPr>
            <w:tcW w:w="5872" w:type="dxa"/>
            <w:shd w:val="clear" w:color="auto" w:fill="auto"/>
          </w:tcPr>
          <w:p w14:paraId="4B145F4F" w14:textId="77777777" w:rsidR="00AD3071" w:rsidRPr="00C456D9" w:rsidRDefault="00AD3071" w:rsidP="00AD3071">
            <w:pPr>
              <w:pStyle w:val="TblTextCenter"/>
              <w:jc w:val="left"/>
            </w:pPr>
            <w:r w:rsidRPr="00C456D9">
              <w:t>Asthma (%)</w:t>
            </w:r>
          </w:p>
        </w:tc>
        <w:tc>
          <w:tcPr>
            <w:tcW w:w="0" w:type="auto"/>
            <w:shd w:val="clear" w:color="auto" w:fill="auto"/>
          </w:tcPr>
          <w:p w14:paraId="67992CF1" w14:textId="77777777" w:rsidR="00AD3071" w:rsidRPr="00C456D9" w:rsidRDefault="00AD3071" w:rsidP="00AD3071">
            <w:pPr>
              <w:pStyle w:val="TblTextCenter"/>
            </w:pPr>
            <w:r w:rsidRPr="00C456D9">
              <w:t>58.3</w:t>
            </w:r>
          </w:p>
        </w:tc>
        <w:tc>
          <w:tcPr>
            <w:tcW w:w="2246" w:type="dxa"/>
            <w:shd w:val="clear" w:color="auto" w:fill="auto"/>
          </w:tcPr>
          <w:p w14:paraId="7A5E122F" w14:textId="77777777" w:rsidR="00AD3071" w:rsidRPr="00C456D9" w:rsidRDefault="00AD3071" w:rsidP="00AD3071">
            <w:pPr>
              <w:pStyle w:val="TblTextCenter"/>
            </w:pPr>
            <w:r w:rsidRPr="00C456D9">
              <w:t>59.6</w:t>
            </w:r>
          </w:p>
        </w:tc>
      </w:tr>
      <w:tr w:rsidR="00826E56" w:rsidRPr="00C456D9" w14:paraId="36857355" w14:textId="77777777" w:rsidTr="00AD3071">
        <w:trPr>
          <w:cantSplit/>
          <w:trHeight w:val="269"/>
          <w:jc w:val="center"/>
        </w:trPr>
        <w:tc>
          <w:tcPr>
            <w:tcW w:w="5872" w:type="dxa"/>
            <w:shd w:val="clear" w:color="auto" w:fill="auto"/>
          </w:tcPr>
          <w:p w14:paraId="5CF17B87" w14:textId="77777777" w:rsidR="00AD3071" w:rsidRPr="00C456D9" w:rsidRDefault="00AD3071" w:rsidP="00AD3071">
            <w:pPr>
              <w:pStyle w:val="TblTextCenter"/>
              <w:jc w:val="left"/>
            </w:pPr>
            <w:r w:rsidRPr="00C456D9">
              <w:t>Mean FEV1 (L)(SD)</w:t>
            </w:r>
          </w:p>
        </w:tc>
        <w:tc>
          <w:tcPr>
            <w:tcW w:w="0" w:type="auto"/>
            <w:shd w:val="clear" w:color="auto" w:fill="auto"/>
          </w:tcPr>
          <w:p w14:paraId="371CBFC3" w14:textId="77777777" w:rsidR="00AD3071" w:rsidRPr="00C456D9" w:rsidRDefault="00AD3071" w:rsidP="00AD3071">
            <w:pPr>
              <w:pStyle w:val="TblTextCenter"/>
            </w:pPr>
            <w:r w:rsidRPr="00C456D9">
              <w:t>2.69 (0.96)</w:t>
            </w:r>
          </w:p>
        </w:tc>
        <w:tc>
          <w:tcPr>
            <w:tcW w:w="2246" w:type="dxa"/>
            <w:shd w:val="clear" w:color="auto" w:fill="auto"/>
          </w:tcPr>
          <w:p w14:paraId="64F56DE2" w14:textId="77777777" w:rsidR="00AD3071" w:rsidRPr="00C456D9" w:rsidRDefault="00AD3071" w:rsidP="00AD3071">
            <w:pPr>
              <w:pStyle w:val="TblTextCenter"/>
            </w:pPr>
            <w:r w:rsidRPr="00C456D9">
              <w:t>2.57 (0.83)</w:t>
            </w:r>
          </w:p>
        </w:tc>
      </w:tr>
      <w:tr w:rsidR="00826E56" w:rsidRPr="00C456D9" w14:paraId="57BE80D2" w14:textId="77777777" w:rsidTr="00AD3071">
        <w:trPr>
          <w:cantSplit/>
          <w:trHeight w:val="269"/>
          <w:jc w:val="center"/>
        </w:trPr>
        <w:tc>
          <w:tcPr>
            <w:tcW w:w="5872" w:type="dxa"/>
            <w:shd w:val="clear" w:color="auto" w:fill="auto"/>
          </w:tcPr>
          <w:p w14:paraId="38A663DD" w14:textId="77777777" w:rsidR="00AD3071" w:rsidRPr="00C456D9" w:rsidRDefault="00AD3071" w:rsidP="00AD3071">
            <w:pPr>
              <w:pStyle w:val="TblTextCenter"/>
              <w:jc w:val="left"/>
            </w:pPr>
            <w:r w:rsidRPr="00C456D9">
              <w:t>Mean FEV1 percent predicted (%) (SD)</w:t>
            </w:r>
          </w:p>
        </w:tc>
        <w:tc>
          <w:tcPr>
            <w:tcW w:w="0" w:type="auto"/>
            <w:shd w:val="clear" w:color="auto" w:fill="auto"/>
          </w:tcPr>
          <w:p w14:paraId="6251E2E9" w14:textId="77777777" w:rsidR="00AD3071" w:rsidRPr="00C456D9" w:rsidRDefault="00AD3071" w:rsidP="00AD3071">
            <w:pPr>
              <w:pStyle w:val="TblTextCenter"/>
            </w:pPr>
            <w:r w:rsidRPr="00C456D9">
              <w:t>85.30 (20.23)</w:t>
            </w:r>
          </w:p>
        </w:tc>
        <w:tc>
          <w:tcPr>
            <w:tcW w:w="2246" w:type="dxa"/>
            <w:shd w:val="clear" w:color="auto" w:fill="auto"/>
          </w:tcPr>
          <w:p w14:paraId="7A7AE560" w14:textId="77777777" w:rsidR="00AD3071" w:rsidRPr="00C456D9" w:rsidRDefault="00AD3071" w:rsidP="00AD3071">
            <w:pPr>
              <w:pStyle w:val="TblTextCenter"/>
            </w:pPr>
            <w:r w:rsidRPr="00C456D9">
              <w:t>83.39 (17.72)</w:t>
            </w:r>
          </w:p>
        </w:tc>
      </w:tr>
      <w:tr w:rsidR="00826E56" w:rsidRPr="00C456D9" w14:paraId="3C1FA99A" w14:textId="77777777" w:rsidTr="00826E56">
        <w:trPr>
          <w:cantSplit/>
          <w:trHeight w:val="269"/>
          <w:jc w:val="center"/>
        </w:trPr>
        <w:tc>
          <w:tcPr>
            <w:tcW w:w="5872" w:type="dxa"/>
            <w:shd w:val="clear" w:color="auto" w:fill="auto"/>
          </w:tcPr>
          <w:p w14:paraId="4260D653" w14:textId="77777777" w:rsidR="00AD3071" w:rsidRPr="00C456D9" w:rsidRDefault="00AD3071" w:rsidP="00AD3071">
            <w:pPr>
              <w:pStyle w:val="TblTextCenter"/>
              <w:jc w:val="left"/>
            </w:pPr>
            <w:r w:rsidRPr="00C456D9">
              <w:t xml:space="preserve">Mean ACQ-6 </w:t>
            </w:r>
            <w:proofErr w:type="spellStart"/>
            <w:r w:rsidRPr="00C456D9">
              <w:t>score</w:t>
            </w:r>
            <w:r w:rsidRPr="00C456D9">
              <w:rPr>
                <w:vertAlign w:val="superscript"/>
              </w:rPr>
              <w:t>a</w:t>
            </w:r>
            <w:proofErr w:type="spellEnd"/>
            <w:r w:rsidRPr="00C456D9">
              <w:t xml:space="preserve"> (SD)</w:t>
            </w:r>
          </w:p>
        </w:tc>
        <w:tc>
          <w:tcPr>
            <w:tcW w:w="0" w:type="auto"/>
            <w:shd w:val="clear" w:color="auto" w:fill="auto"/>
          </w:tcPr>
          <w:p w14:paraId="180B066C" w14:textId="77777777" w:rsidR="00AD3071" w:rsidRPr="00C456D9" w:rsidRDefault="00AD3071" w:rsidP="00AD3071">
            <w:pPr>
              <w:pStyle w:val="TblTextCenter"/>
            </w:pPr>
            <w:r w:rsidRPr="00C456D9">
              <w:t>1.62 (1.14)</w:t>
            </w:r>
          </w:p>
        </w:tc>
        <w:tc>
          <w:tcPr>
            <w:tcW w:w="2246" w:type="dxa"/>
            <w:shd w:val="clear" w:color="auto" w:fill="auto"/>
          </w:tcPr>
          <w:p w14:paraId="7A020FA8" w14:textId="77777777" w:rsidR="00AD3071" w:rsidRPr="00C456D9" w:rsidRDefault="00AD3071" w:rsidP="00AD3071">
            <w:pPr>
              <w:pStyle w:val="TblTextCenter"/>
            </w:pPr>
            <w:r w:rsidRPr="00C456D9">
              <w:t>1.58 (1.09)</w:t>
            </w:r>
          </w:p>
        </w:tc>
      </w:tr>
      <w:tr w:rsidR="00826E56" w:rsidRPr="00C456D9" w14:paraId="71A76CE1" w14:textId="77777777" w:rsidTr="00826E56">
        <w:trPr>
          <w:cantSplit/>
          <w:trHeight w:val="269"/>
          <w:jc w:val="center"/>
        </w:trPr>
        <w:tc>
          <w:tcPr>
            <w:tcW w:w="5872" w:type="dxa"/>
            <w:tcBorders>
              <w:bottom w:val="single" w:sz="4" w:space="0" w:color="auto"/>
            </w:tcBorders>
            <w:shd w:val="clear" w:color="auto" w:fill="auto"/>
          </w:tcPr>
          <w:p w14:paraId="25BA3F4E" w14:textId="77777777" w:rsidR="00AD3071" w:rsidRPr="00C456D9" w:rsidRDefault="00AD3071" w:rsidP="00AD3071">
            <w:pPr>
              <w:pStyle w:val="TblTextCenter"/>
              <w:jc w:val="left"/>
            </w:pPr>
            <w:r w:rsidRPr="00C456D9">
              <w:t>NSAID-ERD (%)</w:t>
            </w:r>
          </w:p>
        </w:tc>
        <w:tc>
          <w:tcPr>
            <w:tcW w:w="0" w:type="auto"/>
            <w:tcBorders>
              <w:bottom w:val="single" w:sz="4" w:space="0" w:color="auto"/>
            </w:tcBorders>
            <w:shd w:val="clear" w:color="auto" w:fill="auto"/>
          </w:tcPr>
          <w:p w14:paraId="751B5C50" w14:textId="77777777" w:rsidR="00AD3071" w:rsidRPr="00C456D9" w:rsidRDefault="00AD3071" w:rsidP="00AD3071">
            <w:pPr>
              <w:pStyle w:val="TblTextCenter"/>
            </w:pPr>
            <w:r w:rsidRPr="00C456D9">
              <w:t>30.4</w:t>
            </w:r>
          </w:p>
        </w:tc>
        <w:tc>
          <w:tcPr>
            <w:tcW w:w="2246" w:type="dxa"/>
            <w:tcBorders>
              <w:bottom w:val="single" w:sz="4" w:space="0" w:color="auto"/>
            </w:tcBorders>
            <w:shd w:val="clear" w:color="auto" w:fill="auto"/>
          </w:tcPr>
          <w:p w14:paraId="35B1661E" w14:textId="77777777" w:rsidR="00AD3071" w:rsidRPr="00C456D9" w:rsidRDefault="00AD3071" w:rsidP="00AD3071">
            <w:pPr>
              <w:pStyle w:val="TblTextCenter"/>
            </w:pPr>
            <w:r w:rsidRPr="00C456D9">
              <w:t>26.8</w:t>
            </w:r>
          </w:p>
        </w:tc>
      </w:tr>
      <w:tr w:rsidR="00826E56" w:rsidRPr="00C456D9" w14:paraId="4FE69F40" w14:textId="77777777" w:rsidTr="00826E56">
        <w:trPr>
          <w:cantSplit/>
          <w:trHeight w:val="269"/>
          <w:jc w:val="center"/>
        </w:trPr>
        <w:tc>
          <w:tcPr>
            <w:tcW w:w="9493" w:type="dxa"/>
            <w:gridSpan w:val="3"/>
            <w:tcBorders>
              <w:top w:val="single" w:sz="4" w:space="0" w:color="auto"/>
            </w:tcBorders>
            <w:shd w:val="clear" w:color="auto" w:fill="auto"/>
          </w:tcPr>
          <w:p w14:paraId="0AC8AECD" w14:textId="77777777" w:rsidR="00AD3071" w:rsidRPr="00C456D9" w:rsidRDefault="00AD3071" w:rsidP="00AD3071">
            <w:pPr>
              <w:pStyle w:val="TblFigFootnote"/>
              <w:rPr>
                <w:lang w:eastAsia="ja-JP"/>
              </w:rPr>
            </w:pPr>
          </w:p>
        </w:tc>
      </w:tr>
    </w:tbl>
    <w:p w14:paraId="0A127C4E" w14:textId="0D586471" w:rsidR="00826E56" w:rsidRPr="00C456D9" w:rsidRDefault="00826E56" w:rsidP="00826E56">
      <w:pPr>
        <w:spacing w:before="0"/>
        <w:rPr>
          <w:rFonts w:ascii="Arial Narrow" w:eastAsia="MS Gothic" w:hAnsi="Arial Narrow"/>
          <w:color w:val="auto"/>
          <w:sz w:val="18"/>
          <w:szCs w:val="18"/>
        </w:rPr>
      </w:pPr>
      <w:r w:rsidRPr="00C456D9">
        <w:rPr>
          <w:rFonts w:ascii="Arial Narrow" w:eastAsia="MS Gothic" w:hAnsi="Arial Narrow"/>
          <w:color w:val="auto"/>
          <w:sz w:val="18"/>
          <w:szCs w:val="18"/>
          <w:vertAlign w:val="superscript"/>
        </w:rPr>
        <w:t>a</w:t>
      </w:r>
      <w:r w:rsidRPr="00C456D9">
        <w:rPr>
          <w:rFonts w:ascii="Arial Narrow" w:eastAsia="MS Gothic" w:hAnsi="Arial Narrow"/>
          <w:color w:val="auto"/>
          <w:sz w:val="18"/>
          <w:szCs w:val="18"/>
        </w:rPr>
        <w:t xml:space="preserve"> </w:t>
      </w:r>
      <w:r w:rsidR="008D5DBF" w:rsidRPr="00C456D9">
        <w:rPr>
          <w:rFonts w:ascii="Arial Narrow" w:eastAsia="MS Gothic" w:hAnsi="Arial Narrow"/>
          <w:color w:val="auto"/>
          <w:sz w:val="18"/>
          <w:szCs w:val="18"/>
        </w:rPr>
        <w:t>Higher score</w:t>
      </w:r>
      <w:r w:rsidRPr="00C456D9">
        <w:rPr>
          <w:rFonts w:ascii="Arial Narrow" w:eastAsia="MS Gothic" w:hAnsi="Arial Narrow"/>
          <w:color w:val="auto"/>
          <w:sz w:val="18"/>
          <w:szCs w:val="18"/>
        </w:rPr>
        <w:t xml:space="preserve"> indicate greater disease severity except UPSIT where higher scores indicate lower disease severity; SD=standard deviation; AM = morning;</w:t>
      </w:r>
      <w:r w:rsidR="008E0E33" w:rsidRPr="00C456D9">
        <w:rPr>
          <w:rFonts w:ascii="Arial Narrow" w:eastAsia="MS Gothic" w:hAnsi="Arial Narrow"/>
          <w:color w:val="auto"/>
          <w:sz w:val="18"/>
          <w:szCs w:val="18"/>
        </w:rPr>
        <w:t xml:space="preserve"> </w:t>
      </w:r>
      <w:r w:rsidRPr="00C456D9">
        <w:rPr>
          <w:rFonts w:ascii="Arial Narrow" w:eastAsia="MS Gothic" w:hAnsi="Arial Narrow"/>
          <w:color w:val="auto"/>
          <w:sz w:val="18"/>
          <w:szCs w:val="18"/>
        </w:rPr>
        <w:t xml:space="preserve">NPS = nasal </w:t>
      </w:r>
      <w:proofErr w:type="gramStart"/>
      <w:r w:rsidRPr="00C456D9">
        <w:rPr>
          <w:rFonts w:ascii="Arial Narrow" w:eastAsia="MS Gothic" w:hAnsi="Arial Narrow"/>
          <w:color w:val="auto"/>
          <w:sz w:val="18"/>
          <w:szCs w:val="18"/>
        </w:rPr>
        <w:t>polyps</w:t>
      </w:r>
      <w:proofErr w:type="gramEnd"/>
      <w:r w:rsidRPr="00C456D9">
        <w:rPr>
          <w:rFonts w:ascii="Arial Narrow" w:eastAsia="MS Gothic" w:hAnsi="Arial Narrow"/>
          <w:color w:val="auto"/>
          <w:sz w:val="18"/>
          <w:szCs w:val="18"/>
        </w:rPr>
        <w:t xml:space="preserve"> score; UPSIT = University of Pennsylvania smell identification test; </w:t>
      </w:r>
    </w:p>
    <w:p w14:paraId="663F6859" w14:textId="000C7E9A" w:rsidR="00AD3071" w:rsidRPr="00C456D9" w:rsidRDefault="00826E56" w:rsidP="00826E56">
      <w:pPr>
        <w:spacing w:before="0"/>
        <w:rPr>
          <w:rFonts w:ascii="Arial Narrow" w:eastAsia="MS Gothic" w:hAnsi="Arial Narrow"/>
          <w:color w:val="auto"/>
          <w:sz w:val="18"/>
          <w:szCs w:val="18"/>
        </w:rPr>
      </w:pPr>
      <w:r w:rsidRPr="00C456D9">
        <w:rPr>
          <w:rFonts w:ascii="Arial Narrow" w:eastAsia="MS Gothic" w:hAnsi="Arial Narrow"/>
          <w:color w:val="auto"/>
          <w:sz w:val="18"/>
          <w:szCs w:val="18"/>
        </w:rPr>
        <w:t xml:space="preserve">SNOT-22 = 22-item </w:t>
      </w:r>
      <w:proofErr w:type="spellStart"/>
      <w:r w:rsidRPr="00C456D9">
        <w:rPr>
          <w:rFonts w:ascii="Arial Narrow" w:eastAsia="MS Gothic" w:hAnsi="Arial Narrow"/>
          <w:color w:val="auto"/>
          <w:sz w:val="18"/>
          <w:szCs w:val="18"/>
        </w:rPr>
        <w:t>sino</w:t>
      </w:r>
      <w:proofErr w:type="spellEnd"/>
      <w:r w:rsidRPr="00C456D9">
        <w:rPr>
          <w:rFonts w:ascii="Arial Narrow" w:eastAsia="MS Gothic" w:hAnsi="Arial Narrow"/>
          <w:color w:val="auto"/>
          <w:sz w:val="18"/>
          <w:szCs w:val="18"/>
        </w:rPr>
        <w:t>-nasal outcome test;</w:t>
      </w:r>
      <w:r w:rsidR="008E0E33" w:rsidRPr="00C456D9">
        <w:rPr>
          <w:rFonts w:ascii="Arial Narrow" w:eastAsia="MS Gothic" w:hAnsi="Arial Narrow"/>
          <w:color w:val="auto"/>
          <w:sz w:val="18"/>
          <w:szCs w:val="18"/>
        </w:rPr>
        <w:t xml:space="preserve"> </w:t>
      </w:r>
      <w:r w:rsidRPr="00C456D9">
        <w:rPr>
          <w:rFonts w:ascii="Arial Narrow" w:eastAsia="MS Gothic" w:hAnsi="Arial Narrow"/>
          <w:color w:val="auto"/>
          <w:sz w:val="18"/>
          <w:szCs w:val="18"/>
        </w:rPr>
        <w:t>VAS = visual analogue scale;</w:t>
      </w:r>
      <w:r w:rsidR="008E0E33" w:rsidRPr="00C456D9">
        <w:rPr>
          <w:rFonts w:ascii="Arial Narrow" w:eastAsia="MS Gothic" w:hAnsi="Arial Narrow"/>
          <w:color w:val="auto"/>
          <w:sz w:val="18"/>
          <w:szCs w:val="18"/>
        </w:rPr>
        <w:t xml:space="preserve"> </w:t>
      </w:r>
      <w:r w:rsidRPr="00C456D9">
        <w:rPr>
          <w:rFonts w:ascii="Arial Narrow" w:eastAsia="MS Gothic" w:hAnsi="Arial Narrow"/>
          <w:color w:val="auto"/>
          <w:sz w:val="18"/>
          <w:szCs w:val="18"/>
        </w:rPr>
        <w:t>FEV1 = Forced expiratory volume in 1 second;</w:t>
      </w:r>
      <w:r w:rsidR="008D5DBF">
        <w:rPr>
          <w:rFonts w:ascii="Arial Narrow" w:eastAsia="MS Gothic" w:hAnsi="Arial Narrow"/>
          <w:color w:val="auto"/>
          <w:sz w:val="18"/>
          <w:szCs w:val="18"/>
        </w:rPr>
        <w:t xml:space="preserve"> </w:t>
      </w:r>
      <w:r w:rsidRPr="00C456D9">
        <w:rPr>
          <w:rFonts w:ascii="Arial Narrow" w:eastAsia="MS Gothic" w:hAnsi="Arial Narrow"/>
          <w:color w:val="auto"/>
          <w:sz w:val="18"/>
          <w:szCs w:val="18"/>
        </w:rPr>
        <w:t>ACQ-6 = Asthma Control Questionnaire-6;</w:t>
      </w:r>
      <w:r w:rsidR="008E0E33" w:rsidRPr="00C456D9">
        <w:rPr>
          <w:rFonts w:ascii="Arial Narrow" w:eastAsia="MS Gothic" w:hAnsi="Arial Narrow"/>
          <w:color w:val="auto"/>
          <w:sz w:val="18"/>
          <w:szCs w:val="18"/>
        </w:rPr>
        <w:t xml:space="preserve"> </w:t>
      </w:r>
      <w:r w:rsidRPr="00C456D9">
        <w:rPr>
          <w:rFonts w:ascii="Arial Narrow" w:eastAsia="MS Gothic" w:hAnsi="Arial Narrow"/>
          <w:color w:val="auto"/>
          <w:sz w:val="18"/>
          <w:szCs w:val="18"/>
        </w:rPr>
        <w:t>NSAID-ERD= asthma/nonsteroidal anti-inflammatory drug exacerbated respiratory disease</w:t>
      </w:r>
    </w:p>
    <w:p w14:paraId="51FA3641" w14:textId="1626CCA1" w:rsidR="00AD3071" w:rsidRPr="00C456D9" w:rsidRDefault="00826E56" w:rsidP="00826E56">
      <w:pPr>
        <w:pStyle w:val="Heading5"/>
        <w:numPr>
          <w:ilvl w:val="0"/>
          <w:numId w:val="0"/>
        </w:numPr>
        <w:ind w:left="1009" w:hanging="1009"/>
      </w:pPr>
      <w:r w:rsidRPr="00C456D9">
        <w:t>Clinical Response (SINUS-24 and SINUS-52)</w:t>
      </w:r>
    </w:p>
    <w:p w14:paraId="15C7A9DB" w14:textId="67E23894" w:rsidR="00826E56" w:rsidRDefault="00826E56" w:rsidP="00826E56">
      <w:pPr>
        <w:rPr>
          <w:color w:val="0000FF"/>
          <w:u w:val="double"/>
        </w:rPr>
      </w:pPr>
      <w:r w:rsidRPr="00C456D9">
        <w:rPr>
          <w:color w:val="auto"/>
        </w:rPr>
        <w:t>The results for primary and secondary endpoints in CRSwNP studies are presented in the</w:t>
      </w:r>
      <w:r w:rsidRPr="00C456D9">
        <w:rPr>
          <w:color w:val="auto"/>
          <w:u w:val="double"/>
        </w:rPr>
        <w:t xml:space="preserve"> </w:t>
      </w:r>
      <w:r w:rsidR="00831A55" w:rsidRPr="00C456D9">
        <w:rPr>
          <w:color w:val="0000FF"/>
        </w:rPr>
        <w:fldChar w:fldCharType="begin"/>
      </w:r>
      <w:r w:rsidR="00831A55" w:rsidRPr="00C456D9">
        <w:rPr>
          <w:color w:val="0000FF"/>
        </w:rPr>
        <w:instrText xml:space="preserve"> REF _Ref72402378 \h  \* MERGEFORMAT </w:instrText>
      </w:r>
      <w:r w:rsidR="00831A55" w:rsidRPr="00C456D9">
        <w:rPr>
          <w:color w:val="0000FF"/>
        </w:rPr>
      </w:r>
      <w:r w:rsidR="00831A55" w:rsidRPr="00C456D9">
        <w:rPr>
          <w:color w:val="0000FF"/>
        </w:rPr>
        <w:fldChar w:fldCharType="separate"/>
      </w:r>
      <w:r w:rsidR="00E123A5" w:rsidRPr="00E123A5">
        <w:rPr>
          <w:color w:val="0000FF"/>
        </w:rPr>
        <w:t>Table 22</w:t>
      </w:r>
      <w:r w:rsidR="00831A55" w:rsidRPr="00C456D9">
        <w:rPr>
          <w:color w:val="0000FF"/>
        </w:rPr>
        <w:fldChar w:fldCharType="end"/>
      </w:r>
      <w:r w:rsidRPr="00C456D9">
        <w:rPr>
          <w:color w:val="0000FF"/>
        </w:rPr>
        <w:t>.</w:t>
      </w:r>
    </w:p>
    <w:p w14:paraId="33B1C5EF" w14:textId="687D9E73" w:rsidR="00826E56" w:rsidRPr="00C456D9" w:rsidRDefault="00826E56" w:rsidP="003F089D">
      <w:pPr>
        <w:pStyle w:val="Caption"/>
        <w:spacing w:before="240"/>
      </w:pPr>
      <w:bookmarkStart w:id="41" w:name="_Ref72402378"/>
      <w:r w:rsidRPr="00C456D9">
        <w:t>Table </w:t>
      </w:r>
      <w:r w:rsidRPr="00C456D9">
        <w:fldChar w:fldCharType="begin"/>
      </w:r>
      <w:r w:rsidRPr="00C456D9">
        <w:instrText xml:space="preserve"> SEQ Table \* ARABIC </w:instrText>
      </w:r>
      <w:r w:rsidRPr="00C456D9">
        <w:fldChar w:fldCharType="separate"/>
      </w:r>
      <w:r w:rsidR="00E123A5">
        <w:rPr>
          <w:noProof/>
        </w:rPr>
        <w:t>22</w:t>
      </w:r>
      <w:r w:rsidRPr="00C456D9">
        <w:fldChar w:fldCharType="end"/>
      </w:r>
      <w:bookmarkEnd w:id="41"/>
      <w:r w:rsidRPr="00C456D9">
        <w:t xml:space="preserve"> ­ Results of the Primary and Secondary Endpoints in CRSwNP trials</w:t>
      </w:r>
    </w:p>
    <w:tbl>
      <w:tblPr>
        <w:tblpPr w:leftFromText="180" w:rightFromText="180" w:vertAnchor="text" w:horzAnchor="page" w:tblpXSpec="center" w:tblpY="864"/>
        <w:tblW w:w="11307" w:type="dxa"/>
        <w:jc w:val="center"/>
        <w:tblLook w:val="04A0" w:firstRow="1" w:lastRow="0" w:firstColumn="1" w:lastColumn="0" w:noHBand="0" w:noVBand="1"/>
      </w:tblPr>
      <w:tblGrid>
        <w:gridCol w:w="822"/>
        <w:gridCol w:w="86"/>
        <w:gridCol w:w="934"/>
        <w:gridCol w:w="833"/>
        <w:gridCol w:w="856"/>
        <w:gridCol w:w="999"/>
        <w:gridCol w:w="1419"/>
        <w:gridCol w:w="425"/>
        <w:gridCol w:w="1219"/>
        <w:gridCol w:w="773"/>
        <w:gridCol w:w="746"/>
        <w:gridCol w:w="1008"/>
        <w:gridCol w:w="1187"/>
      </w:tblGrid>
      <w:tr w:rsidR="008E0E33" w:rsidRPr="00C456D9" w14:paraId="4BE7BD91" w14:textId="77777777" w:rsidTr="008E0E33">
        <w:trPr>
          <w:cantSplit/>
          <w:trHeight w:val="269"/>
          <w:tblHeader/>
          <w:jc w:val="center"/>
        </w:trPr>
        <w:tc>
          <w:tcPr>
            <w:tcW w:w="908" w:type="dxa"/>
            <w:gridSpan w:val="2"/>
            <w:tcBorders>
              <w:top w:val="single" w:sz="4" w:space="0" w:color="auto"/>
            </w:tcBorders>
            <w:shd w:val="clear" w:color="auto" w:fill="auto"/>
            <w:tcMar>
              <w:left w:w="58" w:type="dxa"/>
              <w:right w:w="58" w:type="dxa"/>
            </w:tcMar>
          </w:tcPr>
          <w:p w14:paraId="77CBC448" w14:textId="77777777" w:rsidR="008E0E33" w:rsidRPr="00C456D9" w:rsidRDefault="008E0E33" w:rsidP="00826E56">
            <w:pPr>
              <w:pStyle w:val="TblHeadingCenter"/>
            </w:pPr>
          </w:p>
        </w:tc>
        <w:tc>
          <w:tcPr>
            <w:tcW w:w="5041" w:type="dxa"/>
            <w:gridSpan w:val="5"/>
            <w:tcBorders>
              <w:top w:val="single" w:sz="4" w:space="0" w:color="auto"/>
            </w:tcBorders>
            <w:shd w:val="clear" w:color="auto" w:fill="auto"/>
            <w:tcMar>
              <w:left w:w="58" w:type="dxa"/>
              <w:right w:w="58" w:type="dxa"/>
            </w:tcMar>
          </w:tcPr>
          <w:p w14:paraId="5F35F19F" w14:textId="77777777" w:rsidR="008E0E33" w:rsidRPr="00C456D9" w:rsidRDefault="008E0E33" w:rsidP="00826E56">
            <w:pPr>
              <w:pStyle w:val="TblHeadingCenter"/>
            </w:pPr>
            <w:r w:rsidRPr="00C456D9">
              <w:t>SINUS -24</w:t>
            </w:r>
          </w:p>
        </w:tc>
        <w:tc>
          <w:tcPr>
            <w:tcW w:w="425" w:type="dxa"/>
            <w:tcBorders>
              <w:top w:val="single" w:sz="4" w:space="0" w:color="auto"/>
            </w:tcBorders>
          </w:tcPr>
          <w:p w14:paraId="599C8DD4" w14:textId="77777777" w:rsidR="008E0E33" w:rsidRPr="00C456D9" w:rsidRDefault="008E0E33" w:rsidP="00826E56">
            <w:pPr>
              <w:pStyle w:val="TblHeadingCenter"/>
            </w:pPr>
          </w:p>
        </w:tc>
        <w:tc>
          <w:tcPr>
            <w:tcW w:w="4933" w:type="dxa"/>
            <w:gridSpan w:val="5"/>
            <w:tcBorders>
              <w:top w:val="single" w:sz="4" w:space="0" w:color="auto"/>
            </w:tcBorders>
            <w:shd w:val="clear" w:color="auto" w:fill="auto"/>
            <w:tcMar>
              <w:left w:w="58" w:type="dxa"/>
              <w:right w:w="58" w:type="dxa"/>
            </w:tcMar>
          </w:tcPr>
          <w:p w14:paraId="33833728" w14:textId="78CC8879" w:rsidR="008E0E33" w:rsidRPr="00C456D9" w:rsidRDefault="008E0E33" w:rsidP="00826E56">
            <w:pPr>
              <w:pStyle w:val="TblHeadingCenter"/>
            </w:pPr>
            <w:r w:rsidRPr="00C456D9">
              <w:t>SINUS -52</w:t>
            </w:r>
          </w:p>
        </w:tc>
      </w:tr>
      <w:tr w:rsidR="008E0E33" w:rsidRPr="00C456D9" w14:paraId="227BC697" w14:textId="77777777" w:rsidTr="00816F90">
        <w:trPr>
          <w:cantSplit/>
          <w:trHeight w:val="865"/>
          <w:jc w:val="center"/>
        </w:trPr>
        <w:tc>
          <w:tcPr>
            <w:tcW w:w="908" w:type="dxa"/>
            <w:gridSpan w:val="2"/>
            <w:tcBorders>
              <w:bottom w:val="single" w:sz="4" w:space="0" w:color="auto"/>
            </w:tcBorders>
            <w:shd w:val="clear" w:color="auto" w:fill="auto"/>
            <w:tcMar>
              <w:left w:w="58" w:type="dxa"/>
              <w:right w:w="58" w:type="dxa"/>
            </w:tcMar>
          </w:tcPr>
          <w:p w14:paraId="14603AD2" w14:textId="77777777" w:rsidR="008E0E33" w:rsidRPr="00C456D9" w:rsidRDefault="008E0E33" w:rsidP="00826E56">
            <w:pPr>
              <w:pStyle w:val="TblTextCenter"/>
            </w:pPr>
          </w:p>
        </w:tc>
        <w:tc>
          <w:tcPr>
            <w:tcW w:w="1767" w:type="dxa"/>
            <w:gridSpan w:val="2"/>
            <w:tcBorders>
              <w:bottom w:val="single" w:sz="4" w:space="0" w:color="auto"/>
            </w:tcBorders>
            <w:shd w:val="clear" w:color="auto" w:fill="auto"/>
            <w:tcMar>
              <w:left w:w="58" w:type="dxa"/>
              <w:right w:w="58" w:type="dxa"/>
            </w:tcMar>
          </w:tcPr>
          <w:p w14:paraId="4ABD4748" w14:textId="77777777" w:rsidR="008E0E33" w:rsidRPr="00C456D9" w:rsidRDefault="008E0E33" w:rsidP="00826E56">
            <w:pPr>
              <w:pStyle w:val="TblTextCenter"/>
            </w:pPr>
            <w:r w:rsidRPr="00C456D9">
              <w:t>Placebo</w:t>
            </w:r>
          </w:p>
          <w:p w14:paraId="5A646973" w14:textId="77777777" w:rsidR="008E0E33" w:rsidRPr="00C456D9" w:rsidRDefault="008E0E33" w:rsidP="00826E56">
            <w:pPr>
              <w:pStyle w:val="TblTextCenter"/>
            </w:pPr>
            <w:r w:rsidRPr="00C456D9">
              <w:t>(n=133)</w:t>
            </w:r>
          </w:p>
        </w:tc>
        <w:tc>
          <w:tcPr>
            <w:tcW w:w="1855" w:type="dxa"/>
            <w:gridSpan w:val="2"/>
            <w:tcBorders>
              <w:bottom w:val="single" w:sz="4" w:space="0" w:color="auto"/>
            </w:tcBorders>
            <w:shd w:val="clear" w:color="auto" w:fill="auto"/>
            <w:tcMar>
              <w:left w:w="58" w:type="dxa"/>
              <w:right w:w="58" w:type="dxa"/>
            </w:tcMar>
          </w:tcPr>
          <w:p w14:paraId="592E47E1" w14:textId="7D88D965" w:rsidR="008E0E33" w:rsidRPr="00C456D9" w:rsidRDefault="008E0E33" w:rsidP="00826E56">
            <w:pPr>
              <w:pStyle w:val="TblTextCenter"/>
            </w:pPr>
            <w:r w:rsidRPr="00C456D9">
              <w:t>Dupixent</w:t>
            </w:r>
          </w:p>
          <w:p w14:paraId="5F885A2E" w14:textId="77777777" w:rsidR="008E0E33" w:rsidRPr="00C456D9" w:rsidRDefault="008E0E33" w:rsidP="00826E56">
            <w:pPr>
              <w:pStyle w:val="TblTextCenter"/>
            </w:pPr>
            <w:r w:rsidRPr="00C456D9">
              <w:t xml:space="preserve"> 300mg Q2W</w:t>
            </w:r>
          </w:p>
          <w:p w14:paraId="0CF86F94" w14:textId="77777777" w:rsidR="008E0E33" w:rsidRPr="00C456D9" w:rsidRDefault="008E0E33" w:rsidP="00826E56">
            <w:pPr>
              <w:pStyle w:val="TblTextCenter"/>
            </w:pPr>
            <w:r w:rsidRPr="00C456D9">
              <w:t>(n=143)</w:t>
            </w:r>
          </w:p>
        </w:tc>
        <w:tc>
          <w:tcPr>
            <w:tcW w:w="1419" w:type="dxa"/>
            <w:tcBorders>
              <w:bottom w:val="single" w:sz="4" w:space="0" w:color="auto"/>
            </w:tcBorders>
            <w:shd w:val="clear" w:color="auto" w:fill="auto"/>
            <w:tcMar>
              <w:left w:w="58" w:type="dxa"/>
              <w:right w:w="58" w:type="dxa"/>
            </w:tcMar>
          </w:tcPr>
          <w:p w14:paraId="31DD4494" w14:textId="77777777" w:rsidR="008E0E33" w:rsidRPr="00C456D9" w:rsidRDefault="008E0E33" w:rsidP="00826E56">
            <w:pPr>
              <w:pStyle w:val="TblTextCenter"/>
            </w:pPr>
            <w:r w:rsidRPr="00C456D9">
              <w:t>LS mean</w:t>
            </w:r>
          </w:p>
          <w:p w14:paraId="109CA401" w14:textId="77777777" w:rsidR="008E0E33" w:rsidRPr="00C456D9" w:rsidRDefault="008E0E33" w:rsidP="00826E56">
            <w:pPr>
              <w:pStyle w:val="TblTextCenter"/>
            </w:pPr>
            <w:r w:rsidRPr="00C456D9">
              <w:t>difference vs. Placebo (95%CI)</w:t>
            </w:r>
          </w:p>
        </w:tc>
        <w:tc>
          <w:tcPr>
            <w:tcW w:w="425" w:type="dxa"/>
            <w:tcBorders>
              <w:bottom w:val="single" w:sz="4" w:space="0" w:color="auto"/>
            </w:tcBorders>
          </w:tcPr>
          <w:p w14:paraId="40CE90B5" w14:textId="77777777" w:rsidR="008E0E33" w:rsidRPr="00C456D9" w:rsidRDefault="008E0E33" w:rsidP="00826E56">
            <w:pPr>
              <w:pStyle w:val="TblTextCenter"/>
            </w:pPr>
          </w:p>
        </w:tc>
        <w:tc>
          <w:tcPr>
            <w:tcW w:w="1992" w:type="dxa"/>
            <w:gridSpan w:val="2"/>
            <w:tcBorders>
              <w:bottom w:val="single" w:sz="4" w:space="0" w:color="auto"/>
            </w:tcBorders>
            <w:shd w:val="clear" w:color="auto" w:fill="auto"/>
            <w:tcMar>
              <w:left w:w="58" w:type="dxa"/>
              <w:right w:w="58" w:type="dxa"/>
            </w:tcMar>
          </w:tcPr>
          <w:p w14:paraId="644C83B7" w14:textId="65F9F23A" w:rsidR="008E0E33" w:rsidRPr="00C456D9" w:rsidRDefault="008E0E33" w:rsidP="00826E56">
            <w:pPr>
              <w:pStyle w:val="TblTextCenter"/>
            </w:pPr>
            <w:r w:rsidRPr="00C456D9">
              <w:t>Placebo</w:t>
            </w:r>
          </w:p>
          <w:p w14:paraId="6665FD03" w14:textId="77777777" w:rsidR="008E0E33" w:rsidRPr="00C456D9" w:rsidRDefault="008E0E33" w:rsidP="00826E56">
            <w:pPr>
              <w:pStyle w:val="TblTextCenter"/>
            </w:pPr>
            <w:r w:rsidRPr="00C456D9">
              <w:t>(n=153)</w:t>
            </w:r>
          </w:p>
        </w:tc>
        <w:tc>
          <w:tcPr>
            <w:tcW w:w="1754" w:type="dxa"/>
            <w:gridSpan w:val="2"/>
            <w:tcBorders>
              <w:bottom w:val="single" w:sz="4" w:space="0" w:color="auto"/>
            </w:tcBorders>
            <w:shd w:val="clear" w:color="auto" w:fill="auto"/>
            <w:tcMar>
              <w:left w:w="58" w:type="dxa"/>
              <w:right w:w="58" w:type="dxa"/>
            </w:tcMar>
          </w:tcPr>
          <w:p w14:paraId="71A84DC1" w14:textId="43AF10E3" w:rsidR="008E0E33" w:rsidRPr="00C456D9" w:rsidRDefault="008E0E33" w:rsidP="00826E56">
            <w:pPr>
              <w:pStyle w:val="TblTextCenter"/>
            </w:pPr>
            <w:r w:rsidRPr="00C456D9">
              <w:t xml:space="preserve">Dupixent </w:t>
            </w:r>
          </w:p>
          <w:p w14:paraId="60BBD401" w14:textId="77777777" w:rsidR="008E0E33" w:rsidRPr="00C456D9" w:rsidRDefault="008E0E33" w:rsidP="00826E56">
            <w:pPr>
              <w:pStyle w:val="TblTextCenter"/>
            </w:pPr>
            <w:r w:rsidRPr="00C456D9">
              <w:t>300mg Q2W</w:t>
            </w:r>
          </w:p>
          <w:p w14:paraId="20C123F9" w14:textId="77777777" w:rsidR="008E0E33" w:rsidRPr="00C456D9" w:rsidRDefault="008E0E33" w:rsidP="00826E56">
            <w:pPr>
              <w:pStyle w:val="TblTextCenter"/>
            </w:pPr>
            <w:r w:rsidRPr="00C456D9">
              <w:t>(n=295)</w:t>
            </w:r>
          </w:p>
        </w:tc>
        <w:tc>
          <w:tcPr>
            <w:tcW w:w="1187" w:type="dxa"/>
            <w:tcBorders>
              <w:bottom w:val="single" w:sz="4" w:space="0" w:color="auto"/>
            </w:tcBorders>
            <w:shd w:val="clear" w:color="auto" w:fill="auto"/>
            <w:tcMar>
              <w:left w:w="58" w:type="dxa"/>
              <w:right w:w="58" w:type="dxa"/>
            </w:tcMar>
          </w:tcPr>
          <w:p w14:paraId="2C8DD9BB" w14:textId="77777777" w:rsidR="008E0E33" w:rsidRPr="00C456D9" w:rsidRDefault="008E0E33" w:rsidP="00826E56">
            <w:pPr>
              <w:pStyle w:val="TblTextCenter"/>
            </w:pPr>
            <w:r w:rsidRPr="00C456D9">
              <w:t>LS mean</w:t>
            </w:r>
          </w:p>
          <w:p w14:paraId="58E69F58" w14:textId="77777777" w:rsidR="008E0E33" w:rsidRPr="00C456D9" w:rsidRDefault="008E0E33" w:rsidP="00826E56">
            <w:pPr>
              <w:pStyle w:val="TblTextCenter"/>
            </w:pPr>
            <w:r w:rsidRPr="00C456D9">
              <w:t>difference vs. Placebo (95%CI)</w:t>
            </w:r>
          </w:p>
        </w:tc>
      </w:tr>
      <w:tr w:rsidR="008E0E33" w:rsidRPr="00C456D9" w14:paraId="67D9D979" w14:textId="77777777" w:rsidTr="008E0E33">
        <w:trPr>
          <w:cantSplit/>
          <w:trHeight w:val="170"/>
          <w:jc w:val="center"/>
        </w:trPr>
        <w:tc>
          <w:tcPr>
            <w:tcW w:w="822" w:type="dxa"/>
            <w:tcBorders>
              <w:top w:val="single" w:sz="4" w:space="0" w:color="auto"/>
            </w:tcBorders>
          </w:tcPr>
          <w:p w14:paraId="3B20D240" w14:textId="77777777" w:rsidR="008E0E33" w:rsidRPr="00C456D9" w:rsidRDefault="008E0E33" w:rsidP="00826E56">
            <w:pPr>
              <w:pStyle w:val="TblTextCenter"/>
              <w:jc w:val="left"/>
              <w:rPr>
                <w:b/>
                <w:bCs/>
              </w:rPr>
            </w:pPr>
          </w:p>
        </w:tc>
        <w:tc>
          <w:tcPr>
            <w:tcW w:w="10485" w:type="dxa"/>
            <w:gridSpan w:val="12"/>
            <w:tcBorders>
              <w:top w:val="single" w:sz="4" w:space="0" w:color="auto"/>
            </w:tcBorders>
            <w:shd w:val="clear" w:color="auto" w:fill="auto"/>
            <w:tcMar>
              <w:left w:w="58" w:type="dxa"/>
              <w:right w:w="58" w:type="dxa"/>
            </w:tcMar>
          </w:tcPr>
          <w:p w14:paraId="017E5D9C" w14:textId="4F925056" w:rsidR="008E0E33" w:rsidRPr="00C456D9" w:rsidRDefault="008E0E33" w:rsidP="008E0E33">
            <w:pPr>
              <w:pStyle w:val="TblTextCenter"/>
              <w:rPr>
                <w:b/>
                <w:bCs/>
              </w:rPr>
            </w:pPr>
            <w:r w:rsidRPr="00C456D9">
              <w:rPr>
                <w:b/>
                <w:bCs/>
              </w:rPr>
              <w:t>Primary Endpoints at Week 24</w:t>
            </w:r>
          </w:p>
        </w:tc>
      </w:tr>
      <w:tr w:rsidR="008E0E33" w:rsidRPr="00C456D9" w14:paraId="5F346BB5" w14:textId="77777777" w:rsidTr="00816F90">
        <w:trPr>
          <w:cantSplit/>
          <w:trHeight w:val="305"/>
          <w:jc w:val="center"/>
        </w:trPr>
        <w:tc>
          <w:tcPr>
            <w:tcW w:w="908" w:type="dxa"/>
            <w:gridSpan w:val="2"/>
            <w:tcBorders>
              <w:bottom w:val="single" w:sz="4" w:space="0" w:color="auto"/>
            </w:tcBorders>
            <w:shd w:val="clear" w:color="auto" w:fill="auto"/>
            <w:tcMar>
              <w:left w:w="58" w:type="dxa"/>
              <w:right w:w="58" w:type="dxa"/>
            </w:tcMar>
          </w:tcPr>
          <w:p w14:paraId="2B78F2D1" w14:textId="77777777" w:rsidR="008E0E33" w:rsidRPr="00C456D9" w:rsidRDefault="008E0E33" w:rsidP="00826E56">
            <w:pPr>
              <w:pStyle w:val="TblTextCenter"/>
              <w:jc w:val="left"/>
            </w:pPr>
          </w:p>
          <w:p w14:paraId="5A080488" w14:textId="77777777" w:rsidR="008E0E33" w:rsidRPr="00C456D9" w:rsidRDefault="008E0E33" w:rsidP="00826E56">
            <w:pPr>
              <w:pStyle w:val="TblTextCenter"/>
              <w:jc w:val="left"/>
            </w:pPr>
            <w:r w:rsidRPr="00C456D9">
              <w:t>Scores</w:t>
            </w:r>
          </w:p>
        </w:tc>
        <w:tc>
          <w:tcPr>
            <w:tcW w:w="934" w:type="dxa"/>
            <w:tcBorders>
              <w:bottom w:val="single" w:sz="4" w:space="0" w:color="auto"/>
            </w:tcBorders>
            <w:shd w:val="clear" w:color="auto" w:fill="auto"/>
            <w:tcMar>
              <w:left w:w="58" w:type="dxa"/>
              <w:right w:w="58" w:type="dxa"/>
            </w:tcMar>
          </w:tcPr>
          <w:p w14:paraId="00A2AFA0" w14:textId="77777777" w:rsidR="008E0E33" w:rsidRPr="00C456D9" w:rsidRDefault="008E0E33" w:rsidP="00826E56">
            <w:pPr>
              <w:pStyle w:val="TblTextCenter"/>
            </w:pPr>
            <w:r w:rsidRPr="00C456D9">
              <w:t>Baseline</w:t>
            </w:r>
          </w:p>
          <w:p w14:paraId="7C3834E9" w14:textId="77777777" w:rsidR="008E0E33" w:rsidRPr="00C456D9" w:rsidRDefault="008E0E33" w:rsidP="00826E56">
            <w:pPr>
              <w:pStyle w:val="TblTextCenter"/>
            </w:pPr>
            <w:r w:rsidRPr="00C456D9">
              <w:t>mean</w:t>
            </w:r>
          </w:p>
        </w:tc>
        <w:tc>
          <w:tcPr>
            <w:tcW w:w="833" w:type="dxa"/>
            <w:tcBorders>
              <w:bottom w:val="single" w:sz="4" w:space="0" w:color="auto"/>
            </w:tcBorders>
            <w:shd w:val="clear" w:color="auto" w:fill="auto"/>
            <w:tcMar>
              <w:left w:w="58" w:type="dxa"/>
              <w:right w:w="58" w:type="dxa"/>
            </w:tcMar>
          </w:tcPr>
          <w:p w14:paraId="1352B9CC" w14:textId="77777777" w:rsidR="008E0E33" w:rsidRPr="00C456D9" w:rsidRDefault="008E0E33" w:rsidP="00826E56">
            <w:pPr>
              <w:pStyle w:val="TblTextCenter"/>
            </w:pPr>
            <w:r w:rsidRPr="00C456D9">
              <w:t>LS mean change</w:t>
            </w:r>
          </w:p>
        </w:tc>
        <w:tc>
          <w:tcPr>
            <w:tcW w:w="856" w:type="dxa"/>
            <w:tcBorders>
              <w:bottom w:val="single" w:sz="4" w:space="0" w:color="auto"/>
            </w:tcBorders>
            <w:shd w:val="clear" w:color="auto" w:fill="auto"/>
            <w:tcMar>
              <w:left w:w="58" w:type="dxa"/>
              <w:right w:w="58" w:type="dxa"/>
            </w:tcMar>
          </w:tcPr>
          <w:p w14:paraId="67AE7C62" w14:textId="77777777" w:rsidR="008E0E33" w:rsidRPr="00C456D9" w:rsidRDefault="008E0E33" w:rsidP="00826E56">
            <w:pPr>
              <w:pStyle w:val="TblTextCenter"/>
            </w:pPr>
            <w:r w:rsidRPr="00C456D9">
              <w:t>Baseline</w:t>
            </w:r>
          </w:p>
          <w:p w14:paraId="2BE69B10" w14:textId="77777777" w:rsidR="008E0E33" w:rsidRPr="00C456D9" w:rsidRDefault="008E0E33" w:rsidP="00826E56">
            <w:pPr>
              <w:pStyle w:val="TblTextCenter"/>
            </w:pPr>
            <w:r w:rsidRPr="00C456D9">
              <w:t>mean</w:t>
            </w:r>
          </w:p>
        </w:tc>
        <w:tc>
          <w:tcPr>
            <w:tcW w:w="999" w:type="dxa"/>
            <w:tcBorders>
              <w:bottom w:val="single" w:sz="4" w:space="0" w:color="auto"/>
            </w:tcBorders>
            <w:shd w:val="clear" w:color="auto" w:fill="auto"/>
            <w:tcMar>
              <w:left w:w="58" w:type="dxa"/>
              <w:right w:w="58" w:type="dxa"/>
            </w:tcMar>
            <w:vAlign w:val="center"/>
          </w:tcPr>
          <w:p w14:paraId="48D77806" w14:textId="77777777" w:rsidR="008E0E33" w:rsidRPr="00C456D9" w:rsidRDefault="008E0E33" w:rsidP="00826E56">
            <w:pPr>
              <w:pStyle w:val="TblTextCenter"/>
            </w:pPr>
            <w:r w:rsidRPr="00C456D9">
              <w:t>LS mean</w:t>
            </w:r>
          </w:p>
          <w:p w14:paraId="0D245566" w14:textId="77777777" w:rsidR="008E0E33" w:rsidRPr="00C456D9" w:rsidRDefault="008E0E33" w:rsidP="00826E56">
            <w:pPr>
              <w:pStyle w:val="TblTextCenter"/>
            </w:pPr>
            <w:r w:rsidRPr="00C456D9">
              <w:t>change</w:t>
            </w:r>
          </w:p>
        </w:tc>
        <w:tc>
          <w:tcPr>
            <w:tcW w:w="1419" w:type="dxa"/>
            <w:tcBorders>
              <w:bottom w:val="single" w:sz="4" w:space="0" w:color="auto"/>
            </w:tcBorders>
            <w:shd w:val="clear" w:color="auto" w:fill="auto"/>
            <w:tcMar>
              <w:left w:w="58" w:type="dxa"/>
              <w:right w:w="58" w:type="dxa"/>
            </w:tcMar>
            <w:vAlign w:val="center"/>
          </w:tcPr>
          <w:p w14:paraId="45ECEE04" w14:textId="77777777" w:rsidR="008E0E33" w:rsidRPr="00C456D9" w:rsidRDefault="008E0E33" w:rsidP="00826E56">
            <w:pPr>
              <w:pStyle w:val="TblTextCenter"/>
            </w:pPr>
          </w:p>
        </w:tc>
        <w:tc>
          <w:tcPr>
            <w:tcW w:w="425" w:type="dxa"/>
            <w:tcBorders>
              <w:bottom w:val="single" w:sz="4" w:space="0" w:color="auto"/>
            </w:tcBorders>
          </w:tcPr>
          <w:p w14:paraId="1EA39DD2" w14:textId="77777777" w:rsidR="008E0E33" w:rsidRPr="00C456D9" w:rsidRDefault="008E0E33" w:rsidP="00826E56">
            <w:pPr>
              <w:pStyle w:val="TblTextCenter"/>
            </w:pPr>
          </w:p>
        </w:tc>
        <w:tc>
          <w:tcPr>
            <w:tcW w:w="1219" w:type="dxa"/>
            <w:tcBorders>
              <w:bottom w:val="single" w:sz="4" w:space="0" w:color="auto"/>
            </w:tcBorders>
            <w:shd w:val="clear" w:color="auto" w:fill="auto"/>
            <w:tcMar>
              <w:left w:w="58" w:type="dxa"/>
              <w:right w:w="58" w:type="dxa"/>
            </w:tcMar>
            <w:vAlign w:val="center"/>
          </w:tcPr>
          <w:p w14:paraId="2D73DFA1" w14:textId="752EC760" w:rsidR="008E0E33" w:rsidRPr="00C456D9" w:rsidRDefault="008E0E33" w:rsidP="00826E56">
            <w:pPr>
              <w:pStyle w:val="TblTextCenter"/>
            </w:pPr>
            <w:r w:rsidRPr="00C456D9">
              <w:t>Baseline</w:t>
            </w:r>
          </w:p>
          <w:p w14:paraId="5156E49A" w14:textId="77777777" w:rsidR="008E0E33" w:rsidRPr="00C456D9" w:rsidRDefault="008E0E33" w:rsidP="00826E56">
            <w:pPr>
              <w:pStyle w:val="TblTextCenter"/>
            </w:pPr>
            <w:r w:rsidRPr="00C456D9">
              <w:t>mean</w:t>
            </w:r>
          </w:p>
        </w:tc>
        <w:tc>
          <w:tcPr>
            <w:tcW w:w="0" w:type="auto"/>
            <w:tcBorders>
              <w:bottom w:val="single" w:sz="4" w:space="0" w:color="auto"/>
            </w:tcBorders>
            <w:shd w:val="clear" w:color="auto" w:fill="auto"/>
            <w:tcMar>
              <w:left w:w="58" w:type="dxa"/>
              <w:right w:w="58" w:type="dxa"/>
            </w:tcMar>
            <w:vAlign w:val="center"/>
          </w:tcPr>
          <w:p w14:paraId="0D8CBBDE" w14:textId="77777777" w:rsidR="008E0E33" w:rsidRPr="00C456D9" w:rsidRDefault="008E0E33" w:rsidP="00826E56">
            <w:pPr>
              <w:pStyle w:val="TblTextCenter"/>
            </w:pPr>
            <w:r w:rsidRPr="00C456D9">
              <w:t>LS mean</w:t>
            </w:r>
          </w:p>
          <w:p w14:paraId="6B0FF7E8" w14:textId="77777777" w:rsidR="008E0E33" w:rsidRPr="00C456D9" w:rsidRDefault="008E0E33" w:rsidP="00826E56">
            <w:pPr>
              <w:pStyle w:val="TblTextCenter"/>
            </w:pPr>
            <w:r w:rsidRPr="00C456D9">
              <w:t>change</w:t>
            </w:r>
          </w:p>
        </w:tc>
        <w:tc>
          <w:tcPr>
            <w:tcW w:w="0" w:type="auto"/>
            <w:tcBorders>
              <w:bottom w:val="single" w:sz="4" w:space="0" w:color="auto"/>
            </w:tcBorders>
            <w:shd w:val="clear" w:color="auto" w:fill="auto"/>
            <w:tcMar>
              <w:left w:w="58" w:type="dxa"/>
              <w:right w:w="58" w:type="dxa"/>
            </w:tcMar>
            <w:vAlign w:val="center"/>
          </w:tcPr>
          <w:p w14:paraId="5EA66B54" w14:textId="77777777" w:rsidR="008E0E33" w:rsidRPr="00C456D9" w:rsidRDefault="008E0E33" w:rsidP="00826E56">
            <w:pPr>
              <w:pStyle w:val="TblTextCenter"/>
            </w:pPr>
            <w:r w:rsidRPr="00C456D9">
              <w:t>Baseline</w:t>
            </w:r>
          </w:p>
          <w:p w14:paraId="31704CA9" w14:textId="77777777" w:rsidR="008E0E33" w:rsidRPr="00C456D9" w:rsidRDefault="008E0E33" w:rsidP="00826E56">
            <w:pPr>
              <w:pStyle w:val="TblTextCenter"/>
            </w:pPr>
            <w:r w:rsidRPr="00C456D9">
              <w:t>mean</w:t>
            </w:r>
          </w:p>
        </w:tc>
        <w:tc>
          <w:tcPr>
            <w:tcW w:w="1008" w:type="dxa"/>
            <w:tcBorders>
              <w:bottom w:val="single" w:sz="4" w:space="0" w:color="auto"/>
            </w:tcBorders>
            <w:shd w:val="clear" w:color="auto" w:fill="auto"/>
            <w:tcMar>
              <w:left w:w="58" w:type="dxa"/>
              <w:right w:w="58" w:type="dxa"/>
            </w:tcMar>
            <w:vAlign w:val="center"/>
          </w:tcPr>
          <w:p w14:paraId="3C39AC63" w14:textId="77777777" w:rsidR="008E0E33" w:rsidRPr="00C456D9" w:rsidRDefault="008E0E33" w:rsidP="00826E56">
            <w:pPr>
              <w:pStyle w:val="TblTextCenter"/>
            </w:pPr>
            <w:r w:rsidRPr="00C456D9">
              <w:t>LS mean</w:t>
            </w:r>
          </w:p>
          <w:p w14:paraId="0B972643" w14:textId="77777777" w:rsidR="008E0E33" w:rsidRPr="00C456D9" w:rsidRDefault="008E0E33" w:rsidP="00826E56">
            <w:pPr>
              <w:pStyle w:val="TblTextCenter"/>
            </w:pPr>
            <w:r w:rsidRPr="00C456D9">
              <w:t>change</w:t>
            </w:r>
          </w:p>
        </w:tc>
        <w:tc>
          <w:tcPr>
            <w:tcW w:w="1187" w:type="dxa"/>
            <w:tcBorders>
              <w:bottom w:val="single" w:sz="4" w:space="0" w:color="auto"/>
            </w:tcBorders>
            <w:shd w:val="clear" w:color="auto" w:fill="auto"/>
            <w:tcMar>
              <w:left w:w="58" w:type="dxa"/>
              <w:right w:w="58" w:type="dxa"/>
            </w:tcMar>
            <w:vAlign w:val="center"/>
          </w:tcPr>
          <w:p w14:paraId="40A39914" w14:textId="77777777" w:rsidR="008E0E33" w:rsidRPr="00C456D9" w:rsidRDefault="008E0E33" w:rsidP="00826E56">
            <w:pPr>
              <w:pStyle w:val="TblTextCenter"/>
            </w:pPr>
          </w:p>
        </w:tc>
      </w:tr>
      <w:tr w:rsidR="008E0E33" w:rsidRPr="00C456D9" w14:paraId="3073355C" w14:textId="77777777" w:rsidTr="00816F90">
        <w:trPr>
          <w:cantSplit/>
          <w:trHeight w:val="558"/>
          <w:jc w:val="center"/>
        </w:trPr>
        <w:tc>
          <w:tcPr>
            <w:tcW w:w="908" w:type="dxa"/>
            <w:gridSpan w:val="2"/>
            <w:tcBorders>
              <w:top w:val="single" w:sz="4" w:space="0" w:color="auto"/>
            </w:tcBorders>
            <w:shd w:val="clear" w:color="auto" w:fill="auto"/>
            <w:tcMar>
              <w:left w:w="58" w:type="dxa"/>
              <w:right w:w="58" w:type="dxa"/>
            </w:tcMar>
            <w:vAlign w:val="center"/>
          </w:tcPr>
          <w:p w14:paraId="7914D79E" w14:textId="77777777" w:rsidR="008E0E33" w:rsidRPr="00C456D9" w:rsidRDefault="008E0E33" w:rsidP="00826E56">
            <w:pPr>
              <w:pStyle w:val="TblTextCenter"/>
              <w:jc w:val="left"/>
            </w:pPr>
            <w:r w:rsidRPr="00C456D9">
              <w:t>NPS</w:t>
            </w:r>
          </w:p>
        </w:tc>
        <w:tc>
          <w:tcPr>
            <w:tcW w:w="934" w:type="dxa"/>
            <w:tcBorders>
              <w:top w:val="single" w:sz="4" w:space="0" w:color="auto"/>
            </w:tcBorders>
            <w:shd w:val="clear" w:color="auto" w:fill="auto"/>
            <w:tcMar>
              <w:left w:w="58" w:type="dxa"/>
              <w:right w:w="58" w:type="dxa"/>
            </w:tcMar>
            <w:vAlign w:val="center"/>
          </w:tcPr>
          <w:p w14:paraId="2FA0B293" w14:textId="77777777" w:rsidR="008E0E33" w:rsidRPr="00C456D9" w:rsidRDefault="008E0E33" w:rsidP="00826E56">
            <w:pPr>
              <w:pStyle w:val="TblTextCenter"/>
            </w:pPr>
            <w:r w:rsidRPr="00C456D9">
              <w:t>5.86</w:t>
            </w:r>
          </w:p>
        </w:tc>
        <w:tc>
          <w:tcPr>
            <w:tcW w:w="833" w:type="dxa"/>
            <w:tcBorders>
              <w:top w:val="single" w:sz="4" w:space="0" w:color="auto"/>
            </w:tcBorders>
            <w:shd w:val="clear" w:color="auto" w:fill="auto"/>
            <w:tcMar>
              <w:left w:w="58" w:type="dxa"/>
              <w:right w:w="58" w:type="dxa"/>
            </w:tcMar>
            <w:vAlign w:val="center"/>
          </w:tcPr>
          <w:p w14:paraId="42EF73B7" w14:textId="77777777" w:rsidR="008E0E33" w:rsidRPr="00C456D9" w:rsidRDefault="008E0E33" w:rsidP="00826E56">
            <w:pPr>
              <w:pStyle w:val="TblTextCenter"/>
            </w:pPr>
            <w:r w:rsidRPr="00C456D9">
              <w:t>0.17</w:t>
            </w:r>
          </w:p>
        </w:tc>
        <w:tc>
          <w:tcPr>
            <w:tcW w:w="856" w:type="dxa"/>
            <w:tcBorders>
              <w:top w:val="single" w:sz="4" w:space="0" w:color="auto"/>
            </w:tcBorders>
            <w:shd w:val="clear" w:color="auto" w:fill="auto"/>
            <w:tcMar>
              <w:left w:w="58" w:type="dxa"/>
              <w:right w:w="58" w:type="dxa"/>
            </w:tcMar>
            <w:vAlign w:val="center"/>
          </w:tcPr>
          <w:p w14:paraId="773703CD" w14:textId="77777777" w:rsidR="008E0E33" w:rsidRPr="00C456D9" w:rsidRDefault="008E0E33" w:rsidP="00826E56">
            <w:pPr>
              <w:pStyle w:val="TblTextCenter"/>
            </w:pPr>
            <w:r w:rsidRPr="00C456D9">
              <w:t>5.64</w:t>
            </w:r>
          </w:p>
        </w:tc>
        <w:tc>
          <w:tcPr>
            <w:tcW w:w="999" w:type="dxa"/>
            <w:tcBorders>
              <w:top w:val="single" w:sz="4" w:space="0" w:color="auto"/>
            </w:tcBorders>
            <w:shd w:val="clear" w:color="auto" w:fill="auto"/>
            <w:tcMar>
              <w:left w:w="58" w:type="dxa"/>
              <w:right w:w="58" w:type="dxa"/>
            </w:tcMar>
            <w:vAlign w:val="center"/>
          </w:tcPr>
          <w:p w14:paraId="1499C4E3" w14:textId="77777777" w:rsidR="008E0E33" w:rsidRPr="00C456D9" w:rsidRDefault="008E0E33" w:rsidP="00826E56">
            <w:pPr>
              <w:pStyle w:val="TblTextCenter"/>
            </w:pPr>
            <w:r w:rsidRPr="00C456D9">
              <w:t>-1.89</w:t>
            </w:r>
          </w:p>
        </w:tc>
        <w:tc>
          <w:tcPr>
            <w:tcW w:w="1419" w:type="dxa"/>
            <w:tcBorders>
              <w:top w:val="single" w:sz="4" w:space="0" w:color="auto"/>
            </w:tcBorders>
            <w:shd w:val="clear" w:color="auto" w:fill="auto"/>
            <w:tcMar>
              <w:left w:w="58" w:type="dxa"/>
              <w:right w:w="58" w:type="dxa"/>
            </w:tcMar>
            <w:vAlign w:val="center"/>
          </w:tcPr>
          <w:p w14:paraId="6A230437" w14:textId="77777777" w:rsidR="008E0E33" w:rsidRPr="00C456D9" w:rsidRDefault="008E0E33" w:rsidP="00826E56">
            <w:pPr>
              <w:pStyle w:val="TblTextCenter"/>
            </w:pPr>
            <w:r w:rsidRPr="00C456D9">
              <w:t>-2.06</w:t>
            </w:r>
          </w:p>
          <w:p w14:paraId="5C65A452" w14:textId="77777777" w:rsidR="008E0E33" w:rsidRPr="00C456D9" w:rsidRDefault="008E0E33" w:rsidP="00826E56">
            <w:pPr>
              <w:pStyle w:val="TblTextCenter"/>
            </w:pPr>
            <w:r w:rsidRPr="00C456D9">
              <w:t>(-2.43, -1.69)</w:t>
            </w:r>
          </w:p>
        </w:tc>
        <w:tc>
          <w:tcPr>
            <w:tcW w:w="425" w:type="dxa"/>
            <w:tcBorders>
              <w:top w:val="single" w:sz="4" w:space="0" w:color="auto"/>
            </w:tcBorders>
          </w:tcPr>
          <w:p w14:paraId="071EFC0C" w14:textId="77777777" w:rsidR="008E0E33" w:rsidRPr="00C456D9" w:rsidRDefault="008E0E33" w:rsidP="00826E56">
            <w:pPr>
              <w:pStyle w:val="TblTextCenter"/>
            </w:pPr>
          </w:p>
        </w:tc>
        <w:tc>
          <w:tcPr>
            <w:tcW w:w="1219" w:type="dxa"/>
            <w:tcBorders>
              <w:top w:val="single" w:sz="4" w:space="0" w:color="auto"/>
            </w:tcBorders>
            <w:shd w:val="clear" w:color="auto" w:fill="auto"/>
            <w:tcMar>
              <w:left w:w="58" w:type="dxa"/>
              <w:right w:w="58" w:type="dxa"/>
            </w:tcMar>
            <w:vAlign w:val="center"/>
          </w:tcPr>
          <w:p w14:paraId="425DBEAC" w14:textId="05EA4328" w:rsidR="008E0E33" w:rsidRPr="00C456D9" w:rsidRDefault="008E0E33" w:rsidP="00826E56">
            <w:pPr>
              <w:pStyle w:val="TblTextCenter"/>
            </w:pPr>
            <w:r w:rsidRPr="00C456D9">
              <w:t>5.96</w:t>
            </w:r>
          </w:p>
        </w:tc>
        <w:tc>
          <w:tcPr>
            <w:tcW w:w="0" w:type="auto"/>
            <w:tcBorders>
              <w:top w:val="single" w:sz="4" w:space="0" w:color="auto"/>
            </w:tcBorders>
            <w:shd w:val="clear" w:color="auto" w:fill="auto"/>
            <w:tcMar>
              <w:left w:w="58" w:type="dxa"/>
              <w:right w:w="58" w:type="dxa"/>
            </w:tcMar>
            <w:vAlign w:val="center"/>
          </w:tcPr>
          <w:p w14:paraId="2168A101" w14:textId="77777777" w:rsidR="008E0E33" w:rsidRPr="00C456D9" w:rsidRDefault="008E0E33" w:rsidP="00826E56">
            <w:pPr>
              <w:pStyle w:val="TblTextCenter"/>
            </w:pPr>
            <w:r w:rsidRPr="00C456D9">
              <w:t>0.10</w:t>
            </w:r>
          </w:p>
        </w:tc>
        <w:tc>
          <w:tcPr>
            <w:tcW w:w="0" w:type="auto"/>
            <w:tcBorders>
              <w:top w:val="single" w:sz="4" w:space="0" w:color="auto"/>
            </w:tcBorders>
            <w:shd w:val="clear" w:color="auto" w:fill="auto"/>
            <w:tcMar>
              <w:left w:w="58" w:type="dxa"/>
              <w:right w:w="58" w:type="dxa"/>
            </w:tcMar>
            <w:vAlign w:val="center"/>
          </w:tcPr>
          <w:p w14:paraId="45F57902" w14:textId="77777777" w:rsidR="008E0E33" w:rsidRPr="00C456D9" w:rsidRDefault="008E0E33" w:rsidP="00826E56">
            <w:pPr>
              <w:pStyle w:val="TblTextCenter"/>
            </w:pPr>
            <w:r w:rsidRPr="00C456D9">
              <w:t>6.18</w:t>
            </w:r>
          </w:p>
        </w:tc>
        <w:tc>
          <w:tcPr>
            <w:tcW w:w="1008" w:type="dxa"/>
            <w:tcBorders>
              <w:top w:val="single" w:sz="4" w:space="0" w:color="auto"/>
            </w:tcBorders>
            <w:shd w:val="clear" w:color="auto" w:fill="auto"/>
            <w:tcMar>
              <w:left w:w="58" w:type="dxa"/>
              <w:right w:w="58" w:type="dxa"/>
            </w:tcMar>
            <w:vAlign w:val="center"/>
          </w:tcPr>
          <w:p w14:paraId="75300CCD" w14:textId="77777777" w:rsidR="008E0E33" w:rsidRPr="00C456D9" w:rsidRDefault="008E0E33" w:rsidP="00826E56">
            <w:pPr>
              <w:pStyle w:val="TblTextCenter"/>
            </w:pPr>
            <w:r w:rsidRPr="00C456D9">
              <w:t>-1.71</w:t>
            </w:r>
          </w:p>
        </w:tc>
        <w:tc>
          <w:tcPr>
            <w:tcW w:w="1187" w:type="dxa"/>
            <w:tcBorders>
              <w:top w:val="single" w:sz="4" w:space="0" w:color="auto"/>
            </w:tcBorders>
            <w:shd w:val="clear" w:color="auto" w:fill="auto"/>
            <w:tcMar>
              <w:left w:w="58" w:type="dxa"/>
              <w:right w:w="58" w:type="dxa"/>
            </w:tcMar>
            <w:vAlign w:val="center"/>
          </w:tcPr>
          <w:p w14:paraId="4F6814D3" w14:textId="77777777" w:rsidR="008E0E33" w:rsidRPr="00C456D9" w:rsidRDefault="008E0E33" w:rsidP="00826E56">
            <w:pPr>
              <w:pStyle w:val="TblTextCenter"/>
            </w:pPr>
            <w:r w:rsidRPr="00C456D9">
              <w:t>-1.80</w:t>
            </w:r>
          </w:p>
          <w:p w14:paraId="66F3C255" w14:textId="77777777" w:rsidR="008E0E33" w:rsidRPr="00C456D9" w:rsidRDefault="008E0E33" w:rsidP="00826E56">
            <w:pPr>
              <w:pStyle w:val="TblTextCenter"/>
            </w:pPr>
            <w:r w:rsidRPr="00C456D9">
              <w:t>(-2.10, -1.51)</w:t>
            </w:r>
          </w:p>
        </w:tc>
      </w:tr>
      <w:tr w:rsidR="008E0E33" w:rsidRPr="00C456D9" w14:paraId="1C3A0F15" w14:textId="77777777" w:rsidTr="008E0E33">
        <w:trPr>
          <w:cantSplit/>
          <w:trHeight w:val="359"/>
          <w:jc w:val="center"/>
        </w:trPr>
        <w:tc>
          <w:tcPr>
            <w:tcW w:w="908" w:type="dxa"/>
            <w:gridSpan w:val="2"/>
            <w:shd w:val="clear" w:color="auto" w:fill="auto"/>
            <w:tcMar>
              <w:left w:w="58" w:type="dxa"/>
              <w:right w:w="58" w:type="dxa"/>
            </w:tcMar>
            <w:vAlign w:val="center"/>
          </w:tcPr>
          <w:p w14:paraId="4ED2D546" w14:textId="77777777" w:rsidR="008E0E33" w:rsidRPr="00C456D9" w:rsidRDefault="008E0E33" w:rsidP="00826E56">
            <w:pPr>
              <w:pStyle w:val="TblTextCenter"/>
              <w:jc w:val="left"/>
            </w:pPr>
            <w:r w:rsidRPr="00C456D9">
              <w:t>NC</w:t>
            </w:r>
          </w:p>
        </w:tc>
        <w:tc>
          <w:tcPr>
            <w:tcW w:w="934" w:type="dxa"/>
            <w:shd w:val="clear" w:color="auto" w:fill="auto"/>
            <w:tcMar>
              <w:left w:w="58" w:type="dxa"/>
              <w:right w:w="58" w:type="dxa"/>
            </w:tcMar>
            <w:vAlign w:val="center"/>
          </w:tcPr>
          <w:p w14:paraId="094CC9E1" w14:textId="77777777" w:rsidR="008E0E33" w:rsidRPr="00C456D9" w:rsidRDefault="008E0E33" w:rsidP="00826E56">
            <w:pPr>
              <w:pStyle w:val="TblTextCenter"/>
            </w:pPr>
            <w:r w:rsidRPr="00C456D9">
              <w:t>2.45</w:t>
            </w:r>
          </w:p>
        </w:tc>
        <w:tc>
          <w:tcPr>
            <w:tcW w:w="833" w:type="dxa"/>
            <w:shd w:val="clear" w:color="auto" w:fill="auto"/>
            <w:tcMar>
              <w:left w:w="58" w:type="dxa"/>
              <w:right w:w="58" w:type="dxa"/>
            </w:tcMar>
            <w:vAlign w:val="center"/>
          </w:tcPr>
          <w:p w14:paraId="61E98258" w14:textId="77777777" w:rsidR="008E0E33" w:rsidRPr="00C456D9" w:rsidRDefault="008E0E33" w:rsidP="00826E56">
            <w:pPr>
              <w:pStyle w:val="TblTextCenter"/>
            </w:pPr>
            <w:r w:rsidRPr="00C456D9">
              <w:t>-0.45</w:t>
            </w:r>
          </w:p>
        </w:tc>
        <w:tc>
          <w:tcPr>
            <w:tcW w:w="856" w:type="dxa"/>
            <w:shd w:val="clear" w:color="auto" w:fill="auto"/>
            <w:tcMar>
              <w:left w:w="58" w:type="dxa"/>
              <w:right w:w="58" w:type="dxa"/>
            </w:tcMar>
            <w:vAlign w:val="center"/>
          </w:tcPr>
          <w:p w14:paraId="563A605B" w14:textId="77777777" w:rsidR="008E0E33" w:rsidRPr="00C456D9" w:rsidRDefault="008E0E33" w:rsidP="00826E56">
            <w:pPr>
              <w:pStyle w:val="TblTextCenter"/>
            </w:pPr>
            <w:r w:rsidRPr="00C456D9">
              <w:t>2.26</w:t>
            </w:r>
          </w:p>
        </w:tc>
        <w:tc>
          <w:tcPr>
            <w:tcW w:w="999" w:type="dxa"/>
            <w:shd w:val="clear" w:color="auto" w:fill="auto"/>
            <w:tcMar>
              <w:left w:w="58" w:type="dxa"/>
              <w:right w:w="58" w:type="dxa"/>
            </w:tcMar>
            <w:vAlign w:val="center"/>
          </w:tcPr>
          <w:p w14:paraId="188F5C9A" w14:textId="77777777" w:rsidR="008E0E33" w:rsidRPr="00C456D9" w:rsidRDefault="008E0E33" w:rsidP="00826E56">
            <w:pPr>
              <w:pStyle w:val="TblTextCenter"/>
            </w:pPr>
            <w:r w:rsidRPr="00C456D9">
              <w:t>-1.34</w:t>
            </w:r>
          </w:p>
        </w:tc>
        <w:tc>
          <w:tcPr>
            <w:tcW w:w="1419" w:type="dxa"/>
            <w:shd w:val="clear" w:color="auto" w:fill="auto"/>
            <w:tcMar>
              <w:left w:w="58" w:type="dxa"/>
              <w:right w:w="58" w:type="dxa"/>
            </w:tcMar>
            <w:vAlign w:val="center"/>
          </w:tcPr>
          <w:p w14:paraId="4EE035BE" w14:textId="77777777" w:rsidR="008E0E33" w:rsidRPr="00C456D9" w:rsidRDefault="008E0E33" w:rsidP="00826E56">
            <w:pPr>
              <w:pStyle w:val="TblTextCenter"/>
            </w:pPr>
            <w:r w:rsidRPr="00C456D9">
              <w:t>-0.89</w:t>
            </w:r>
          </w:p>
          <w:p w14:paraId="0A7AA3E7" w14:textId="77777777" w:rsidR="008E0E33" w:rsidRPr="00C456D9" w:rsidRDefault="008E0E33" w:rsidP="00826E56">
            <w:pPr>
              <w:pStyle w:val="TblTextCenter"/>
            </w:pPr>
            <w:r w:rsidRPr="00C456D9">
              <w:t>(-1.07, -0.71)</w:t>
            </w:r>
          </w:p>
        </w:tc>
        <w:tc>
          <w:tcPr>
            <w:tcW w:w="425" w:type="dxa"/>
          </w:tcPr>
          <w:p w14:paraId="13C18A5D" w14:textId="77777777" w:rsidR="008E0E33" w:rsidRPr="00C456D9" w:rsidRDefault="008E0E33" w:rsidP="00826E56">
            <w:pPr>
              <w:pStyle w:val="TblTextCenter"/>
            </w:pPr>
          </w:p>
        </w:tc>
        <w:tc>
          <w:tcPr>
            <w:tcW w:w="1219" w:type="dxa"/>
            <w:shd w:val="clear" w:color="auto" w:fill="auto"/>
            <w:tcMar>
              <w:left w:w="58" w:type="dxa"/>
              <w:right w:w="58" w:type="dxa"/>
            </w:tcMar>
            <w:vAlign w:val="center"/>
          </w:tcPr>
          <w:p w14:paraId="1DEE7B49" w14:textId="4AB819C5" w:rsidR="008E0E33" w:rsidRPr="00C456D9" w:rsidRDefault="008E0E33" w:rsidP="00826E56">
            <w:pPr>
              <w:pStyle w:val="TblTextCenter"/>
            </w:pPr>
            <w:r w:rsidRPr="00C456D9">
              <w:t>2.38</w:t>
            </w:r>
          </w:p>
        </w:tc>
        <w:tc>
          <w:tcPr>
            <w:tcW w:w="0" w:type="auto"/>
            <w:shd w:val="clear" w:color="auto" w:fill="auto"/>
            <w:tcMar>
              <w:left w:w="58" w:type="dxa"/>
              <w:right w:w="58" w:type="dxa"/>
            </w:tcMar>
            <w:vAlign w:val="center"/>
          </w:tcPr>
          <w:p w14:paraId="60FC52FE" w14:textId="77777777" w:rsidR="008E0E33" w:rsidRPr="00C456D9" w:rsidRDefault="008E0E33" w:rsidP="00826E56">
            <w:pPr>
              <w:pStyle w:val="TblTextCenter"/>
            </w:pPr>
            <w:r w:rsidRPr="00C456D9">
              <w:t>-0.38</w:t>
            </w:r>
          </w:p>
        </w:tc>
        <w:tc>
          <w:tcPr>
            <w:tcW w:w="0" w:type="auto"/>
            <w:shd w:val="clear" w:color="auto" w:fill="auto"/>
            <w:tcMar>
              <w:left w:w="58" w:type="dxa"/>
              <w:right w:w="58" w:type="dxa"/>
            </w:tcMar>
            <w:vAlign w:val="center"/>
          </w:tcPr>
          <w:p w14:paraId="4B08D24F" w14:textId="77777777" w:rsidR="008E0E33" w:rsidRPr="00C456D9" w:rsidRDefault="008E0E33" w:rsidP="00826E56">
            <w:pPr>
              <w:pStyle w:val="TblTextCenter"/>
            </w:pPr>
            <w:r w:rsidRPr="00C456D9">
              <w:t>2.46</w:t>
            </w:r>
          </w:p>
        </w:tc>
        <w:tc>
          <w:tcPr>
            <w:tcW w:w="1008" w:type="dxa"/>
            <w:shd w:val="clear" w:color="auto" w:fill="auto"/>
            <w:tcMar>
              <w:left w:w="58" w:type="dxa"/>
              <w:right w:w="58" w:type="dxa"/>
            </w:tcMar>
            <w:vAlign w:val="center"/>
          </w:tcPr>
          <w:p w14:paraId="2C78FA17" w14:textId="77777777" w:rsidR="008E0E33" w:rsidRPr="00C456D9" w:rsidRDefault="008E0E33" w:rsidP="00826E56">
            <w:pPr>
              <w:pStyle w:val="TblTextCenter"/>
            </w:pPr>
            <w:r w:rsidRPr="00C456D9">
              <w:t>-1.25</w:t>
            </w:r>
          </w:p>
        </w:tc>
        <w:tc>
          <w:tcPr>
            <w:tcW w:w="1187" w:type="dxa"/>
            <w:shd w:val="clear" w:color="auto" w:fill="auto"/>
            <w:tcMar>
              <w:left w:w="58" w:type="dxa"/>
              <w:right w:w="58" w:type="dxa"/>
            </w:tcMar>
            <w:vAlign w:val="center"/>
          </w:tcPr>
          <w:p w14:paraId="381F1295" w14:textId="77777777" w:rsidR="008E0E33" w:rsidRPr="00C456D9" w:rsidRDefault="008E0E33" w:rsidP="00826E56">
            <w:pPr>
              <w:pStyle w:val="TblTextCenter"/>
            </w:pPr>
            <w:r w:rsidRPr="00C456D9">
              <w:t>-0.87</w:t>
            </w:r>
          </w:p>
          <w:p w14:paraId="1B18A9E2" w14:textId="77777777" w:rsidR="008E0E33" w:rsidRPr="00C456D9" w:rsidRDefault="008E0E33" w:rsidP="00826E56">
            <w:pPr>
              <w:pStyle w:val="TblTextCenter"/>
            </w:pPr>
            <w:r w:rsidRPr="00C456D9">
              <w:t>(-1.03, -0.71)</w:t>
            </w:r>
          </w:p>
        </w:tc>
      </w:tr>
      <w:tr w:rsidR="008E0E33" w:rsidRPr="00C456D9" w14:paraId="02BFAD54" w14:textId="77777777" w:rsidTr="00816F90">
        <w:trPr>
          <w:cantSplit/>
          <w:trHeight w:val="314"/>
          <w:jc w:val="center"/>
        </w:trPr>
        <w:tc>
          <w:tcPr>
            <w:tcW w:w="822" w:type="dxa"/>
          </w:tcPr>
          <w:p w14:paraId="43D8EC7F" w14:textId="77777777" w:rsidR="008E0E33" w:rsidRPr="00C456D9" w:rsidRDefault="008E0E33" w:rsidP="00826E56">
            <w:pPr>
              <w:pStyle w:val="TblTextCenter"/>
              <w:jc w:val="left"/>
              <w:rPr>
                <w:b/>
                <w:bCs/>
              </w:rPr>
            </w:pPr>
          </w:p>
        </w:tc>
        <w:tc>
          <w:tcPr>
            <w:tcW w:w="10485" w:type="dxa"/>
            <w:gridSpan w:val="12"/>
            <w:tcBorders>
              <w:top w:val="single" w:sz="4" w:space="0" w:color="auto"/>
            </w:tcBorders>
            <w:shd w:val="clear" w:color="auto" w:fill="auto"/>
            <w:tcMar>
              <w:left w:w="58" w:type="dxa"/>
              <w:right w:w="58" w:type="dxa"/>
            </w:tcMar>
          </w:tcPr>
          <w:p w14:paraId="7A615325" w14:textId="02E5C591" w:rsidR="008E0E33" w:rsidRPr="00C456D9" w:rsidRDefault="008E0E33" w:rsidP="008E0E33">
            <w:pPr>
              <w:pStyle w:val="TblTextCenter"/>
              <w:rPr>
                <w:b/>
                <w:bCs/>
              </w:rPr>
            </w:pPr>
            <w:r w:rsidRPr="00C456D9">
              <w:rPr>
                <w:b/>
                <w:bCs/>
              </w:rPr>
              <w:t>Key Secondary Endpoints at Week 24</w:t>
            </w:r>
          </w:p>
        </w:tc>
      </w:tr>
      <w:tr w:rsidR="008E0E33" w:rsidRPr="00C456D9" w14:paraId="3762925F" w14:textId="77777777" w:rsidTr="00816F90">
        <w:trPr>
          <w:cantSplit/>
          <w:trHeight w:val="278"/>
          <w:jc w:val="center"/>
        </w:trPr>
        <w:tc>
          <w:tcPr>
            <w:tcW w:w="908" w:type="dxa"/>
            <w:gridSpan w:val="2"/>
            <w:tcBorders>
              <w:bottom w:val="single" w:sz="4" w:space="0" w:color="auto"/>
            </w:tcBorders>
            <w:shd w:val="clear" w:color="auto" w:fill="auto"/>
            <w:tcMar>
              <w:left w:w="58" w:type="dxa"/>
              <w:right w:w="58" w:type="dxa"/>
            </w:tcMar>
          </w:tcPr>
          <w:p w14:paraId="0E691ECC" w14:textId="77777777" w:rsidR="008E0E33" w:rsidRPr="00C456D9" w:rsidRDefault="008E0E33" w:rsidP="00826E56">
            <w:pPr>
              <w:pStyle w:val="TblTextCenter"/>
              <w:jc w:val="left"/>
            </w:pPr>
          </w:p>
          <w:p w14:paraId="71CF4330" w14:textId="77777777" w:rsidR="008E0E33" w:rsidRPr="00C456D9" w:rsidRDefault="008E0E33" w:rsidP="00826E56">
            <w:pPr>
              <w:pStyle w:val="TblTextCenter"/>
              <w:jc w:val="left"/>
            </w:pPr>
            <w:r w:rsidRPr="00C456D9">
              <w:t>Scores</w:t>
            </w:r>
          </w:p>
        </w:tc>
        <w:tc>
          <w:tcPr>
            <w:tcW w:w="934" w:type="dxa"/>
            <w:tcBorders>
              <w:bottom w:val="single" w:sz="4" w:space="0" w:color="auto"/>
            </w:tcBorders>
            <w:shd w:val="clear" w:color="auto" w:fill="auto"/>
            <w:tcMar>
              <w:left w:w="58" w:type="dxa"/>
              <w:right w:w="58" w:type="dxa"/>
            </w:tcMar>
            <w:vAlign w:val="center"/>
          </w:tcPr>
          <w:p w14:paraId="3751796E" w14:textId="77777777" w:rsidR="008E0E33" w:rsidRPr="00C456D9" w:rsidRDefault="008E0E33" w:rsidP="00826E56">
            <w:pPr>
              <w:pStyle w:val="TblTextCenter"/>
            </w:pPr>
            <w:r w:rsidRPr="00C456D9">
              <w:t>Baseline</w:t>
            </w:r>
          </w:p>
          <w:p w14:paraId="4BAC4781" w14:textId="77777777" w:rsidR="008E0E33" w:rsidRPr="00C456D9" w:rsidRDefault="008E0E33" w:rsidP="00826E56">
            <w:pPr>
              <w:pStyle w:val="TblTextCenter"/>
            </w:pPr>
            <w:r w:rsidRPr="00C456D9">
              <w:t>mean</w:t>
            </w:r>
          </w:p>
        </w:tc>
        <w:tc>
          <w:tcPr>
            <w:tcW w:w="833" w:type="dxa"/>
            <w:tcBorders>
              <w:bottom w:val="single" w:sz="4" w:space="0" w:color="auto"/>
            </w:tcBorders>
            <w:shd w:val="clear" w:color="auto" w:fill="auto"/>
            <w:tcMar>
              <w:left w:w="58" w:type="dxa"/>
              <w:right w:w="58" w:type="dxa"/>
            </w:tcMar>
            <w:vAlign w:val="center"/>
          </w:tcPr>
          <w:p w14:paraId="2B3FF1D6" w14:textId="77777777" w:rsidR="008E0E33" w:rsidRPr="00C456D9" w:rsidRDefault="008E0E33" w:rsidP="00826E56">
            <w:pPr>
              <w:pStyle w:val="TblTextCenter"/>
            </w:pPr>
            <w:r w:rsidRPr="00C456D9">
              <w:t>LS mean change</w:t>
            </w:r>
          </w:p>
        </w:tc>
        <w:tc>
          <w:tcPr>
            <w:tcW w:w="856" w:type="dxa"/>
            <w:tcBorders>
              <w:bottom w:val="single" w:sz="4" w:space="0" w:color="auto"/>
            </w:tcBorders>
            <w:shd w:val="clear" w:color="auto" w:fill="auto"/>
            <w:tcMar>
              <w:left w:w="58" w:type="dxa"/>
              <w:right w:w="58" w:type="dxa"/>
            </w:tcMar>
            <w:vAlign w:val="center"/>
          </w:tcPr>
          <w:p w14:paraId="4F2D6DA4" w14:textId="77777777" w:rsidR="008E0E33" w:rsidRPr="00C456D9" w:rsidRDefault="008E0E33" w:rsidP="00826E56">
            <w:pPr>
              <w:pStyle w:val="TblTextCenter"/>
            </w:pPr>
            <w:r w:rsidRPr="00C456D9">
              <w:t>Baseline</w:t>
            </w:r>
          </w:p>
          <w:p w14:paraId="1CD410AF" w14:textId="77777777" w:rsidR="008E0E33" w:rsidRPr="00C456D9" w:rsidRDefault="008E0E33" w:rsidP="00826E56">
            <w:pPr>
              <w:pStyle w:val="TblTextCenter"/>
            </w:pPr>
            <w:r w:rsidRPr="00C456D9">
              <w:t>mean</w:t>
            </w:r>
          </w:p>
        </w:tc>
        <w:tc>
          <w:tcPr>
            <w:tcW w:w="999" w:type="dxa"/>
            <w:tcBorders>
              <w:bottom w:val="single" w:sz="4" w:space="0" w:color="auto"/>
            </w:tcBorders>
            <w:shd w:val="clear" w:color="auto" w:fill="auto"/>
            <w:tcMar>
              <w:left w:w="58" w:type="dxa"/>
              <w:right w:w="58" w:type="dxa"/>
            </w:tcMar>
            <w:vAlign w:val="center"/>
          </w:tcPr>
          <w:p w14:paraId="0E90D6D4" w14:textId="77777777" w:rsidR="008E0E33" w:rsidRPr="00C456D9" w:rsidRDefault="008E0E33" w:rsidP="00826E56">
            <w:pPr>
              <w:pStyle w:val="TblTextCenter"/>
            </w:pPr>
            <w:r w:rsidRPr="00C456D9">
              <w:t>LS mean change</w:t>
            </w:r>
          </w:p>
        </w:tc>
        <w:tc>
          <w:tcPr>
            <w:tcW w:w="1419" w:type="dxa"/>
            <w:tcBorders>
              <w:bottom w:val="single" w:sz="4" w:space="0" w:color="auto"/>
            </w:tcBorders>
            <w:shd w:val="clear" w:color="auto" w:fill="auto"/>
            <w:tcMar>
              <w:left w:w="58" w:type="dxa"/>
              <w:right w:w="58" w:type="dxa"/>
            </w:tcMar>
            <w:vAlign w:val="center"/>
          </w:tcPr>
          <w:p w14:paraId="658E40E8" w14:textId="77777777" w:rsidR="008E0E33" w:rsidRPr="00C456D9" w:rsidRDefault="008E0E33" w:rsidP="00826E56">
            <w:pPr>
              <w:pStyle w:val="TblTextCenter"/>
            </w:pPr>
          </w:p>
        </w:tc>
        <w:tc>
          <w:tcPr>
            <w:tcW w:w="425" w:type="dxa"/>
            <w:tcBorders>
              <w:bottom w:val="single" w:sz="4" w:space="0" w:color="auto"/>
            </w:tcBorders>
          </w:tcPr>
          <w:p w14:paraId="2E30C5B9" w14:textId="77777777" w:rsidR="008E0E33" w:rsidRPr="00C456D9" w:rsidRDefault="008E0E33" w:rsidP="00826E56">
            <w:pPr>
              <w:pStyle w:val="TblTextCenter"/>
            </w:pPr>
          </w:p>
        </w:tc>
        <w:tc>
          <w:tcPr>
            <w:tcW w:w="1219" w:type="dxa"/>
            <w:tcBorders>
              <w:bottom w:val="single" w:sz="4" w:space="0" w:color="auto"/>
            </w:tcBorders>
            <w:shd w:val="clear" w:color="auto" w:fill="auto"/>
            <w:tcMar>
              <w:left w:w="58" w:type="dxa"/>
              <w:right w:w="58" w:type="dxa"/>
            </w:tcMar>
            <w:vAlign w:val="center"/>
          </w:tcPr>
          <w:p w14:paraId="1D5CDF79" w14:textId="73F58D0B" w:rsidR="008E0E33" w:rsidRPr="00C456D9" w:rsidRDefault="008E0E33" w:rsidP="00826E56">
            <w:pPr>
              <w:pStyle w:val="TblTextCenter"/>
            </w:pPr>
            <w:r w:rsidRPr="00C456D9">
              <w:t>Baseline</w:t>
            </w:r>
          </w:p>
          <w:p w14:paraId="0EF5DA9C" w14:textId="77777777" w:rsidR="008E0E33" w:rsidRPr="00C456D9" w:rsidRDefault="008E0E33" w:rsidP="00826E56">
            <w:pPr>
              <w:pStyle w:val="TblTextCenter"/>
            </w:pPr>
            <w:r w:rsidRPr="00C456D9">
              <w:t>mean</w:t>
            </w:r>
          </w:p>
        </w:tc>
        <w:tc>
          <w:tcPr>
            <w:tcW w:w="0" w:type="auto"/>
            <w:tcBorders>
              <w:bottom w:val="single" w:sz="4" w:space="0" w:color="auto"/>
            </w:tcBorders>
            <w:shd w:val="clear" w:color="auto" w:fill="auto"/>
            <w:tcMar>
              <w:left w:w="58" w:type="dxa"/>
              <w:right w:w="58" w:type="dxa"/>
            </w:tcMar>
            <w:vAlign w:val="center"/>
          </w:tcPr>
          <w:p w14:paraId="08D04840" w14:textId="77777777" w:rsidR="008E0E33" w:rsidRPr="00C456D9" w:rsidRDefault="008E0E33" w:rsidP="00826E56">
            <w:pPr>
              <w:pStyle w:val="TblTextCenter"/>
            </w:pPr>
            <w:r w:rsidRPr="00C456D9">
              <w:t>LS mean</w:t>
            </w:r>
          </w:p>
          <w:p w14:paraId="39706DDB" w14:textId="77777777" w:rsidR="008E0E33" w:rsidRPr="00C456D9" w:rsidRDefault="008E0E33" w:rsidP="00826E56">
            <w:pPr>
              <w:pStyle w:val="TblTextCenter"/>
            </w:pPr>
            <w:r w:rsidRPr="00C456D9">
              <w:t>change</w:t>
            </w:r>
          </w:p>
        </w:tc>
        <w:tc>
          <w:tcPr>
            <w:tcW w:w="0" w:type="auto"/>
            <w:tcBorders>
              <w:bottom w:val="single" w:sz="4" w:space="0" w:color="auto"/>
            </w:tcBorders>
            <w:shd w:val="clear" w:color="auto" w:fill="auto"/>
            <w:tcMar>
              <w:left w:w="58" w:type="dxa"/>
              <w:right w:w="58" w:type="dxa"/>
            </w:tcMar>
            <w:vAlign w:val="center"/>
          </w:tcPr>
          <w:p w14:paraId="293343A6" w14:textId="77777777" w:rsidR="008E0E33" w:rsidRPr="00C456D9" w:rsidRDefault="008E0E33" w:rsidP="00826E56">
            <w:pPr>
              <w:pStyle w:val="TblTextCenter"/>
            </w:pPr>
            <w:r w:rsidRPr="00C456D9">
              <w:t>Baseline</w:t>
            </w:r>
          </w:p>
          <w:p w14:paraId="2EB71005" w14:textId="77777777" w:rsidR="008E0E33" w:rsidRPr="00C456D9" w:rsidRDefault="008E0E33" w:rsidP="00826E56">
            <w:pPr>
              <w:pStyle w:val="TblTextCenter"/>
            </w:pPr>
            <w:r w:rsidRPr="00C456D9">
              <w:t>mean</w:t>
            </w:r>
          </w:p>
        </w:tc>
        <w:tc>
          <w:tcPr>
            <w:tcW w:w="1008" w:type="dxa"/>
            <w:tcBorders>
              <w:bottom w:val="single" w:sz="4" w:space="0" w:color="auto"/>
            </w:tcBorders>
            <w:shd w:val="clear" w:color="auto" w:fill="auto"/>
            <w:tcMar>
              <w:left w:w="58" w:type="dxa"/>
              <w:right w:w="58" w:type="dxa"/>
            </w:tcMar>
            <w:vAlign w:val="center"/>
          </w:tcPr>
          <w:p w14:paraId="3FEE6C0E" w14:textId="77777777" w:rsidR="008E0E33" w:rsidRPr="00C456D9" w:rsidRDefault="008E0E33" w:rsidP="00826E56">
            <w:pPr>
              <w:pStyle w:val="TblTextCenter"/>
            </w:pPr>
            <w:r w:rsidRPr="00C456D9">
              <w:t>LS mean</w:t>
            </w:r>
          </w:p>
          <w:p w14:paraId="38B41F91" w14:textId="77777777" w:rsidR="008E0E33" w:rsidRPr="00C456D9" w:rsidRDefault="008E0E33" w:rsidP="00826E56">
            <w:pPr>
              <w:pStyle w:val="TblTextCenter"/>
            </w:pPr>
            <w:r w:rsidRPr="00C456D9">
              <w:t>change</w:t>
            </w:r>
          </w:p>
        </w:tc>
        <w:tc>
          <w:tcPr>
            <w:tcW w:w="1187" w:type="dxa"/>
            <w:tcBorders>
              <w:bottom w:val="single" w:sz="4" w:space="0" w:color="auto"/>
            </w:tcBorders>
            <w:shd w:val="clear" w:color="auto" w:fill="auto"/>
            <w:tcMar>
              <w:left w:w="58" w:type="dxa"/>
              <w:right w:w="58" w:type="dxa"/>
            </w:tcMar>
            <w:vAlign w:val="center"/>
          </w:tcPr>
          <w:p w14:paraId="712BC647" w14:textId="77777777" w:rsidR="008E0E33" w:rsidRPr="00C456D9" w:rsidRDefault="008E0E33" w:rsidP="00826E56">
            <w:pPr>
              <w:pStyle w:val="TblTextCenter"/>
            </w:pPr>
          </w:p>
        </w:tc>
      </w:tr>
      <w:tr w:rsidR="008E0E33" w:rsidRPr="00C456D9" w14:paraId="753BF861" w14:textId="77777777" w:rsidTr="00816F90">
        <w:trPr>
          <w:cantSplit/>
          <w:trHeight w:val="522"/>
          <w:jc w:val="center"/>
        </w:trPr>
        <w:tc>
          <w:tcPr>
            <w:tcW w:w="908" w:type="dxa"/>
            <w:gridSpan w:val="2"/>
            <w:tcBorders>
              <w:top w:val="single" w:sz="4" w:space="0" w:color="auto"/>
            </w:tcBorders>
            <w:shd w:val="clear" w:color="auto" w:fill="auto"/>
            <w:tcMar>
              <w:left w:w="58" w:type="dxa"/>
              <w:right w:w="58" w:type="dxa"/>
            </w:tcMar>
            <w:vAlign w:val="center"/>
          </w:tcPr>
          <w:p w14:paraId="5B9614A9" w14:textId="77777777" w:rsidR="008E0E33" w:rsidRPr="00C456D9" w:rsidRDefault="008E0E33" w:rsidP="00826E56">
            <w:pPr>
              <w:pStyle w:val="TblTextCenter"/>
              <w:jc w:val="left"/>
            </w:pPr>
            <w:r w:rsidRPr="00C456D9">
              <w:t>LMK sinus CT scan score</w:t>
            </w:r>
          </w:p>
        </w:tc>
        <w:tc>
          <w:tcPr>
            <w:tcW w:w="934" w:type="dxa"/>
            <w:tcBorders>
              <w:top w:val="single" w:sz="4" w:space="0" w:color="auto"/>
            </w:tcBorders>
            <w:shd w:val="clear" w:color="auto" w:fill="auto"/>
            <w:tcMar>
              <w:left w:w="58" w:type="dxa"/>
              <w:right w:w="58" w:type="dxa"/>
            </w:tcMar>
            <w:vAlign w:val="center"/>
          </w:tcPr>
          <w:p w14:paraId="27A3828B" w14:textId="77777777" w:rsidR="008E0E33" w:rsidRPr="00C456D9" w:rsidRDefault="008E0E33" w:rsidP="00826E56">
            <w:pPr>
              <w:pStyle w:val="TblTextCenter"/>
            </w:pPr>
            <w:r w:rsidRPr="00C456D9">
              <w:t>19.55</w:t>
            </w:r>
          </w:p>
        </w:tc>
        <w:tc>
          <w:tcPr>
            <w:tcW w:w="833" w:type="dxa"/>
            <w:tcBorders>
              <w:top w:val="single" w:sz="4" w:space="0" w:color="auto"/>
            </w:tcBorders>
            <w:shd w:val="clear" w:color="auto" w:fill="auto"/>
            <w:tcMar>
              <w:left w:w="58" w:type="dxa"/>
              <w:right w:w="58" w:type="dxa"/>
            </w:tcMar>
            <w:vAlign w:val="center"/>
          </w:tcPr>
          <w:p w14:paraId="46D3DE98" w14:textId="77777777" w:rsidR="008E0E33" w:rsidRPr="00C456D9" w:rsidRDefault="008E0E33" w:rsidP="00826E56">
            <w:pPr>
              <w:pStyle w:val="TblTextCenter"/>
            </w:pPr>
            <w:r w:rsidRPr="00C456D9">
              <w:t>-0.74</w:t>
            </w:r>
          </w:p>
        </w:tc>
        <w:tc>
          <w:tcPr>
            <w:tcW w:w="856" w:type="dxa"/>
            <w:tcBorders>
              <w:top w:val="single" w:sz="4" w:space="0" w:color="auto"/>
            </w:tcBorders>
            <w:shd w:val="clear" w:color="auto" w:fill="auto"/>
            <w:tcMar>
              <w:left w:w="58" w:type="dxa"/>
              <w:right w:w="58" w:type="dxa"/>
            </w:tcMar>
            <w:vAlign w:val="center"/>
          </w:tcPr>
          <w:p w14:paraId="490F4DBA" w14:textId="77777777" w:rsidR="008E0E33" w:rsidRPr="00C456D9" w:rsidRDefault="008E0E33" w:rsidP="00826E56">
            <w:pPr>
              <w:pStyle w:val="TblTextCenter"/>
            </w:pPr>
            <w:r w:rsidRPr="00C456D9">
              <w:t>18.55</w:t>
            </w:r>
          </w:p>
        </w:tc>
        <w:tc>
          <w:tcPr>
            <w:tcW w:w="999" w:type="dxa"/>
            <w:tcBorders>
              <w:top w:val="single" w:sz="4" w:space="0" w:color="auto"/>
            </w:tcBorders>
            <w:shd w:val="clear" w:color="auto" w:fill="auto"/>
            <w:tcMar>
              <w:left w:w="58" w:type="dxa"/>
              <w:right w:w="58" w:type="dxa"/>
            </w:tcMar>
            <w:vAlign w:val="center"/>
          </w:tcPr>
          <w:p w14:paraId="6B25B09C" w14:textId="77777777" w:rsidR="008E0E33" w:rsidRPr="00C456D9" w:rsidRDefault="008E0E33" w:rsidP="00826E56">
            <w:pPr>
              <w:pStyle w:val="TblTextCenter"/>
            </w:pPr>
            <w:r w:rsidRPr="00C456D9">
              <w:t>-8.18</w:t>
            </w:r>
          </w:p>
        </w:tc>
        <w:tc>
          <w:tcPr>
            <w:tcW w:w="1419" w:type="dxa"/>
            <w:tcBorders>
              <w:top w:val="single" w:sz="4" w:space="0" w:color="auto"/>
            </w:tcBorders>
            <w:shd w:val="clear" w:color="auto" w:fill="auto"/>
            <w:tcMar>
              <w:left w:w="58" w:type="dxa"/>
              <w:right w:w="58" w:type="dxa"/>
            </w:tcMar>
            <w:vAlign w:val="center"/>
          </w:tcPr>
          <w:p w14:paraId="1FF53AEC" w14:textId="77777777" w:rsidR="008E0E33" w:rsidRPr="00C456D9" w:rsidRDefault="008E0E33" w:rsidP="00826E56">
            <w:pPr>
              <w:pStyle w:val="TblTextCenter"/>
            </w:pPr>
            <w:r w:rsidRPr="00C456D9">
              <w:t>-7.44</w:t>
            </w:r>
          </w:p>
          <w:p w14:paraId="1DE23917" w14:textId="77777777" w:rsidR="008E0E33" w:rsidRPr="00C456D9" w:rsidRDefault="008E0E33" w:rsidP="00826E56">
            <w:pPr>
              <w:pStyle w:val="TblTextCenter"/>
            </w:pPr>
            <w:r w:rsidRPr="00C456D9">
              <w:t>(-8.35, -6.53)</w:t>
            </w:r>
          </w:p>
        </w:tc>
        <w:tc>
          <w:tcPr>
            <w:tcW w:w="425" w:type="dxa"/>
            <w:tcBorders>
              <w:top w:val="single" w:sz="4" w:space="0" w:color="auto"/>
            </w:tcBorders>
          </w:tcPr>
          <w:p w14:paraId="3F87AFF6" w14:textId="77777777" w:rsidR="008E0E33" w:rsidRPr="00C456D9" w:rsidRDefault="008E0E33" w:rsidP="00826E56">
            <w:pPr>
              <w:pStyle w:val="TblTextCenter"/>
            </w:pPr>
          </w:p>
        </w:tc>
        <w:tc>
          <w:tcPr>
            <w:tcW w:w="1219" w:type="dxa"/>
            <w:tcBorders>
              <w:top w:val="single" w:sz="4" w:space="0" w:color="auto"/>
            </w:tcBorders>
            <w:shd w:val="clear" w:color="auto" w:fill="auto"/>
            <w:tcMar>
              <w:left w:w="58" w:type="dxa"/>
              <w:right w:w="58" w:type="dxa"/>
            </w:tcMar>
            <w:vAlign w:val="center"/>
          </w:tcPr>
          <w:p w14:paraId="0AB4FA88" w14:textId="201E253F" w:rsidR="008E0E33" w:rsidRPr="00C456D9" w:rsidRDefault="008E0E33" w:rsidP="00826E56">
            <w:pPr>
              <w:pStyle w:val="TblTextCenter"/>
            </w:pPr>
            <w:r w:rsidRPr="00C456D9">
              <w:t>17.65</w:t>
            </w:r>
          </w:p>
        </w:tc>
        <w:tc>
          <w:tcPr>
            <w:tcW w:w="0" w:type="auto"/>
            <w:tcBorders>
              <w:top w:val="single" w:sz="4" w:space="0" w:color="auto"/>
            </w:tcBorders>
            <w:shd w:val="clear" w:color="auto" w:fill="auto"/>
            <w:tcMar>
              <w:left w:w="58" w:type="dxa"/>
              <w:right w:w="58" w:type="dxa"/>
            </w:tcMar>
            <w:vAlign w:val="center"/>
          </w:tcPr>
          <w:p w14:paraId="5BFBD858" w14:textId="77777777" w:rsidR="008E0E33" w:rsidRPr="00C456D9" w:rsidRDefault="008E0E33" w:rsidP="00826E56">
            <w:pPr>
              <w:pStyle w:val="TblTextCenter"/>
            </w:pPr>
            <w:r w:rsidRPr="00C456D9">
              <w:t>-0.09</w:t>
            </w:r>
          </w:p>
        </w:tc>
        <w:tc>
          <w:tcPr>
            <w:tcW w:w="0" w:type="auto"/>
            <w:tcBorders>
              <w:top w:val="single" w:sz="4" w:space="0" w:color="auto"/>
            </w:tcBorders>
            <w:shd w:val="clear" w:color="auto" w:fill="auto"/>
            <w:tcMar>
              <w:left w:w="58" w:type="dxa"/>
              <w:right w:w="58" w:type="dxa"/>
            </w:tcMar>
            <w:vAlign w:val="center"/>
          </w:tcPr>
          <w:p w14:paraId="67A796DC" w14:textId="77777777" w:rsidR="008E0E33" w:rsidRPr="00C456D9" w:rsidRDefault="008E0E33" w:rsidP="00826E56">
            <w:pPr>
              <w:pStyle w:val="TblTextCenter"/>
            </w:pPr>
            <w:r w:rsidRPr="00C456D9">
              <w:t>18.12</w:t>
            </w:r>
          </w:p>
        </w:tc>
        <w:tc>
          <w:tcPr>
            <w:tcW w:w="1008" w:type="dxa"/>
            <w:tcBorders>
              <w:top w:val="single" w:sz="4" w:space="0" w:color="auto"/>
            </w:tcBorders>
            <w:shd w:val="clear" w:color="auto" w:fill="auto"/>
            <w:tcMar>
              <w:left w:w="58" w:type="dxa"/>
              <w:right w:w="58" w:type="dxa"/>
            </w:tcMar>
            <w:vAlign w:val="center"/>
          </w:tcPr>
          <w:p w14:paraId="23536F88" w14:textId="77777777" w:rsidR="008E0E33" w:rsidRPr="00C456D9" w:rsidRDefault="008E0E33" w:rsidP="00826E56">
            <w:pPr>
              <w:pStyle w:val="TblTextCenter"/>
            </w:pPr>
            <w:r w:rsidRPr="00C456D9">
              <w:t>-5.21</w:t>
            </w:r>
          </w:p>
        </w:tc>
        <w:tc>
          <w:tcPr>
            <w:tcW w:w="1187" w:type="dxa"/>
            <w:tcBorders>
              <w:top w:val="single" w:sz="4" w:space="0" w:color="auto"/>
            </w:tcBorders>
            <w:shd w:val="clear" w:color="auto" w:fill="auto"/>
            <w:tcMar>
              <w:left w:w="58" w:type="dxa"/>
              <w:right w:w="58" w:type="dxa"/>
            </w:tcMar>
            <w:vAlign w:val="center"/>
          </w:tcPr>
          <w:p w14:paraId="52EA86AD" w14:textId="77777777" w:rsidR="008E0E33" w:rsidRPr="00C456D9" w:rsidRDefault="008E0E33" w:rsidP="00826E56">
            <w:pPr>
              <w:pStyle w:val="TblTextCenter"/>
            </w:pPr>
            <w:r w:rsidRPr="00C456D9">
              <w:t>-5.13</w:t>
            </w:r>
          </w:p>
          <w:p w14:paraId="0A3D85A0" w14:textId="77777777" w:rsidR="008E0E33" w:rsidRPr="00C456D9" w:rsidRDefault="008E0E33" w:rsidP="00826E56">
            <w:pPr>
              <w:pStyle w:val="TblTextCenter"/>
            </w:pPr>
            <w:r w:rsidRPr="00C456D9">
              <w:t>(-5.80, -4.46)</w:t>
            </w:r>
          </w:p>
        </w:tc>
      </w:tr>
      <w:tr w:rsidR="008E0E33" w:rsidRPr="00C456D9" w14:paraId="38D5A94D" w14:textId="77777777" w:rsidTr="008E0E33">
        <w:trPr>
          <w:cantSplit/>
          <w:trHeight w:val="594"/>
          <w:jc w:val="center"/>
        </w:trPr>
        <w:tc>
          <w:tcPr>
            <w:tcW w:w="908" w:type="dxa"/>
            <w:gridSpan w:val="2"/>
            <w:shd w:val="clear" w:color="auto" w:fill="auto"/>
            <w:tcMar>
              <w:left w:w="58" w:type="dxa"/>
              <w:right w:w="58" w:type="dxa"/>
            </w:tcMar>
            <w:vAlign w:val="center"/>
          </w:tcPr>
          <w:p w14:paraId="18B4965B" w14:textId="77777777" w:rsidR="008E0E33" w:rsidRPr="00C456D9" w:rsidRDefault="008E0E33" w:rsidP="00826E56">
            <w:pPr>
              <w:pStyle w:val="TblTextCenter"/>
              <w:jc w:val="left"/>
            </w:pPr>
            <w:r w:rsidRPr="00C456D9">
              <w:t>Total symptom score</w:t>
            </w:r>
          </w:p>
        </w:tc>
        <w:tc>
          <w:tcPr>
            <w:tcW w:w="934" w:type="dxa"/>
            <w:shd w:val="clear" w:color="auto" w:fill="auto"/>
            <w:tcMar>
              <w:left w:w="58" w:type="dxa"/>
              <w:right w:w="58" w:type="dxa"/>
            </w:tcMar>
            <w:vAlign w:val="center"/>
          </w:tcPr>
          <w:p w14:paraId="62F8D0F0" w14:textId="77777777" w:rsidR="008E0E33" w:rsidRPr="00C456D9" w:rsidRDefault="008E0E33" w:rsidP="00826E56">
            <w:pPr>
              <w:pStyle w:val="TblTextCenter"/>
            </w:pPr>
            <w:r w:rsidRPr="00C456D9">
              <w:t>7.28</w:t>
            </w:r>
          </w:p>
        </w:tc>
        <w:tc>
          <w:tcPr>
            <w:tcW w:w="833" w:type="dxa"/>
            <w:shd w:val="clear" w:color="auto" w:fill="auto"/>
            <w:tcMar>
              <w:left w:w="58" w:type="dxa"/>
              <w:right w:w="58" w:type="dxa"/>
            </w:tcMar>
            <w:vAlign w:val="center"/>
          </w:tcPr>
          <w:p w14:paraId="7E7463A5" w14:textId="77777777" w:rsidR="008E0E33" w:rsidRPr="00C456D9" w:rsidRDefault="008E0E33" w:rsidP="00826E56">
            <w:pPr>
              <w:pStyle w:val="TblTextCenter"/>
            </w:pPr>
            <w:r w:rsidRPr="00C456D9">
              <w:t>-1.17</w:t>
            </w:r>
          </w:p>
        </w:tc>
        <w:tc>
          <w:tcPr>
            <w:tcW w:w="856" w:type="dxa"/>
            <w:shd w:val="clear" w:color="auto" w:fill="auto"/>
            <w:tcMar>
              <w:left w:w="58" w:type="dxa"/>
              <w:right w:w="58" w:type="dxa"/>
            </w:tcMar>
            <w:vAlign w:val="center"/>
          </w:tcPr>
          <w:p w14:paraId="521FB6B0" w14:textId="77777777" w:rsidR="008E0E33" w:rsidRPr="00C456D9" w:rsidRDefault="008E0E33" w:rsidP="00826E56">
            <w:pPr>
              <w:pStyle w:val="TblTextCenter"/>
            </w:pPr>
            <w:r w:rsidRPr="00C456D9">
              <w:t>6.82</w:t>
            </w:r>
          </w:p>
        </w:tc>
        <w:tc>
          <w:tcPr>
            <w:tcW w:w="999" w:type="dxa"/>
            <w:shd w:val="clear" w:color="auto" w:fill="auto"/>
            <w:tcMar>
              <w:left w:w="58" w:type="dxa"/>
              <w:right w:w="58" w:type="dxa"/>
            </w:tcMar>
            <w:vAlign w:val="center"/>
          </w:tcPr>
          <w:p w14:paraId="25B0609F" w14:textId="77777777" w:rsidR="008E0E33" w:rsidRPr="00C456D9" w:rsidRDefault="008E0E33" w:rsidP="00826E56">
            <w:pPr>
              <w:pStyle w:val="TblTextCenter"/>
            </w:pPr>
            <w:r w:rsidRPr="00C456D9">
              <w:t>-3.77</w:t>
            </w:r>
          </w:p>
        </w:tc>
        <w:tc>
          <w:tcPr>
            <w:tcW w:w="1419" w:type="dxa"/>
            <w:shd w:val="clear" w:color="auto" w:fill="auto"/>
            <w:tcMar>
              <w:left w:w="58" w:type="dxa"/>
              <w:right w:w="58" w:type="dxa"/>
            </w:tcMar>
            <w:vAlign w:val="center"/>
          </w:tcPr>
          <w:p w14:paraId="7A776FB3" w14:textId="77777777" w:rsidR="008E0E33" w:rsidRPr="00C456D9" w:rsidRDefault="008E0E33" w:rsidP="00826E56">
            <w:pPr>
              <w:pStyle w:val="TblTextCenter"/>
            </w:pPr>
            <w:r w:rsidRPr="00C456D9">
              <w:t>-2.61</w:t>
            </w:r>
          </w:p>
          <w:p w14:paraId="53053238" w14:textId="77777777" w:rsidR="008E0E33" w:rsidRPr="00C456D9" w:rsidRDefault="008E0E33" w:rsidP="00826E56">
            <w:pPr>
              <w:pStyle w:val="TblTextCenter"/>
            </w:pPr>
            <w:r w:rsidRPr="00C456D9">
              <w:t>(-3.04, -2.17)</w:t>
            </w:r>
          </w:p>
        </w:tc>
        <w:tc>
          <w:tcPr>
            <w:tcW w:w="425" w:type="dxa"/>
          </w:tcPr>
          <w:p w14:paraId="7D965313" w14:textId="77777777" w:rsidR="008E0E33" w:rsidRPr="00C456D9" w:rsidRDefault="008E0E33" w:rsidP="00826E56">
            <w:pPr>
              <w:pStyle w:val="TblTextCenter"/>
            </w:pPr>
          </w:p>
        </w:tc>
        <w:tc>
          <w:tcPr>
            <w:tcW w:w="1219" w:type="dxa"/>
            <w:shd w:val="clear" w:color="auto" w:fill="auto"/>
            <w:tcMar>
              <w:left w:w="58" w:type="dxa"/>
              <w:right w:w="58" w:type="dxa"/>
            </w:tcMar>
            <w:vAlign w:val="center"/>
          </w:tcPr>
          <w:p w14:paraId="0964627E" w14:textId="5376548C" w:rsidR="008E0E33" w:rsidRPr="00C456D9" w:rsidRDefault="008E0E33" w:rsidP="00826E56">
            <w:pPr>
              <w:pStyle w:val="TblTextCenter"/>
            </w:pPr>
            <w:r w:rsidRPr="00C456D9">
              <w:t>7.08</w:t>
            </w:r>
          </w:p>
        </w:tc>
        <w:tc>
          <w:tcPr>
            <w:tcW w:w="0" w:type="auto"/>
            <w:shd w:val="clear" w:color="auto" w:fill="auto"/>
            <w:tcMar>
              <w:left w:w="58" w:type="dxa"/>
              <w:right w:w="58" w:type="dxa"/>
            </w:tcMar>
            <w:vAlign w:val="center"/>
          </w:tcPr>
          <w:p w14:paraId="6B232E93" w14:textId="77777777" w:rsidR="008E0E33" w:rsidRPr="00C456D9" w:rsidRDefault="008E0E33" w:rsidP="00826E56">
            <w:pPr>
              <w:pStyle w:val="TblTextCenter"/>
            </w:pPr>
            <w:r w:rsidRPr="00C456D9">
              <w:t>-1.00</w:t>
            </w:r>
          </w:p>
        </w:tc>
        <w:tc>
          <w:tcPr>
            <w:tcW w:w="0" w:type="auto"/>
            <w:shd w:val="clear" w:color="auto" w:fill="auto"/>
            <w:tcMar>
              <w:left w:w="58" w:type="dxa"/>
              <w:right w:w="58" w:type="dxa"/>
            </w:tcMar>
            <w:vAlign w:val="center"/>
          </w:tcPr>
          <w:p w14:paraId="3FBE9D16" w14:textId="77777777" w:rsidR="008E0E33" w:rsidRPr="00C456D9" w:rsidRDefault="008E0E33" w:rsidP="00826E56">
            <w:pPr>
              <w:pStyle w:val="TblTextCenter"/>
            </w:pPr>
            <w:r w:rsidRPr="00C456D9">
              <w:t>7.30</w:t>
            </w:r>
          </w:p>
        </w:tc>
        <w:tc>
          <w:tcPr>
            <w:tcW w:w="1008" w:type="dxa"/>
            <w:shd w:val="clear" w:color="auto" w:fill="auto"/>
            <w:tcMar>
              <w:left w:w="58" w:type="dxa"/>
              <w:right w:w="58" w:type="dxa"/>
            </w:tcMar>
            <w:vAlign w:val="center"/>
          </w:tcPr>
          <w:p w14:paraId="0E9D2D30" w14:textId="77777777" w:rsidR="008E0E33" w:rsidRPr="00C456D9" w:rsidRDefault="008E0E33" w:rsidP="00826E56">
            <w:pPr>
              <w:pStyle w:val="TblTextCenter"/>
            </w:pPr>
            <w:r w:rsidRPr="00C456D9">
              <w:t>-3.45</w:t>
            </w:r>
          </w:p>
        </w:tc>
        <w:tc>
          <w:tcPr>
            <w:tcW w:w="1187" w:type="dxa"/>
            <w:shd w:val="clear" w:color="auto" w:fill="auto"/>
            <w:tcMar>
              <w:left w:w="58" w:type="dxa"/>
              <w:right w:w="58" w:type="dxa"/>
            </w:tcMar>
            <w:vAlign w:val="center"/>
          </w:tcPr>
          <w:p w14:paraId="3EDB35E5" w14:textId="77777777" w:rsidR="008E0E33" w:rsidRPr="00C456D9" w:rsidRDefault="008E0E33" w:rsidP="00826E56">
            <w:pPr>
              <w:pStyle w:val="TblTextCenter"/>
            </w:pPr>
            <w:r w:rsidRPr="00C456D9">
              <w:t>-2.44</w:t>
            </w:r>
          </w:p>
          <w:p w14:paraId="7AAF7984" w14:textId="77777777" w:rsidR="008E0E33" w:rsidRPr="00C456D9" w:rsidRDefault="008E0E33" w:rsidP="00826E56">
            <w:pPr>
              <w:pStyle w:val="TblTextCenter"/>
            </w:pPr>
            <w:r w:rsidRPr="00C456D9">
              <w:t>(-2.87, -2.02)</w:t>
            </w:r>
          </w:p>
        </w:tc>
      </w:tr>
      <w:tr w:rsidR="008E0E33" w:rsidRPr="00C456D9" w14:paraId="366EA97D" w14:textId="77777777" w:rsidTr="008E0E33">
        <w:trPr>
          <w:cantSplit/>
          <w:trHeight w:val="468"/>
          <w:jc w:val="center"/>
        </w:trPr>
        <w:tc>
          <w:tcPr>
            <w:tcW w:w="908" w:type="dxa"/>
            <w:gridSpan w:val="2"/>
            <w:shd w:val="clear" w:color="auto" w:fill="auto"/>
            <w:tcMar>
              <w:left w:w="58" w:type="dxa"/>
              <w:right w:w="58" w:type="dxa"/>
            </w:tcMar>
            <w:vAlign w:val="center"/>
          </w:tcPr>
          <w:p w14:paraId="77CCBB9F" w14:textId="77777777" w:rsidR="008E0E33" w:rsidRPr="00C456D9" w:rsidRDefault="008E0E33" w:rsidP="00826E56">
            <w:pPr>
              <w:pStyle w:val="TblTextCenter"/>
              <w:jc w:val="left"/>
            </w:pPr>
            <w:r w:rsidRPr="00C456D9">
              <w:t>UPSIT</w:t>
            </w:r>
          </w:p>
        </w:tc>
        <w:tc>
          <w:tcPr>
            <w:tcW w:w="934" w:type="dxa"/>
            <w:shd w:val="clear" w:color="auto" w:fill="auto"/>
            <w:tcMar>
              <w:left w:w="58" w:type="dxa"/>
              <w:right w:w="58" w:type="dxa"/>
            </w:tcMar>
            <w:vAlign w:val="center"/>
          </w:tcPr>
          <w:p w14:paraId="0446BC00" w14:textId="77777777" w:rsidR="008E0E33" w:rsidRPr="00C456D9" w:rsidRDefault="008E0E33" w:rsidP="00826E56">
            <w:pPr>
              <w:pStyle w:val="TblTextCenter"/>
            </w:pPr>
            <w:r w:rsidRPr="00C456D9">
              <w:t>14.44</w:t>
            </w:r>
          </w:p>
        </w:tc>
        <w:tc>
          <w:tcPr>
            <w:tcW w:w="833" w:type="dxa"/>
            <w:shd w:val="clear" w:color="auto" w:fill="auto"/>
            <w:tcMar>
              <w:left w:w="58" w:type="dxa"/>
              <w:right w:w="58" w:type="dxa"/>
            </w:tcMar>
            <w:vAlign w:val="center"/>
          </w:tcPr>
          <w:p w14:paraId="28A6FB95" w14:textId="77777777" w:rsidR="008E0E33" w:rsidRPr="00C456D9" w:rsidRDefault="008E0E33" w:rsidP="00826E56">
            <w:pPr>
              <w:pStyle w:val="TblTextCenter"/>
            </w:pPr>
            <w:r w:rsidRPr="00C456D9">
              <w:t>0.70</w:t>
            </w:r>
          </w:p>
        </w:tc>
        <w:tc>
          <w:tcPr>
            <w:tcW w:w="856" w:type="dxa"/>
            <w:shd w:val="clear" w:color="auto" w:fill="auto"/>
            <w:tcMar>
              <w:left w:w="58" w:type="dxa"/>
              <w:right w:w="58" w:type="dxa"/>
            </w:tcMar>
            <w:vAlign w:val="center"/>
          </w:tcPr>
          <w:p w14:paraId="290E43B8" w14:textId="77777777" w:rsidR="008E0E33" w:rsidRPr="00C456D9" w:rsidRDefault="008E0E33" w:rsidP="00826E56">
            <w:pPr>
              <w:pStyle w:val="TblTextCenter"/>
            </w:pPr>
            <w:r w:rsidRPr="00C456D9">
              <w:t>14.68</w:t>
            </w:r>
          </w:p>
        </w:tc>
        <w:tc>
          <w:tcPr>
            <w:tcW w:w="999" w:type="dxa"/>
            <w:shd w:val="clear" w:color="auto" w:fill="auto"/>
            <w:tcMar>
              <w:left w:w="58" w:type="dxa"/>
              <w:right w:w="58" w:type="dxa"/>
            </w:tcMar>
            <w:vAlign w:val="center"/>
          </w:tcPr>
          <w:p w14:paraId="2348B35A" w14:textId="77777777" w:rsidR="008E0E33" w:rsidRPr="00C456D9" w:rsidRDefault="008E0E33" w:rsidP="00826E56">
            <w:pPr>
              <w:pStyle w:val="TblTextCenter"/>
            </w:pPr>
            <w:r w:rsidRPr="00C456D9">
              <w:t>11.26</w:t>
            </w:r>
          </w:p>
        </w:tc>
        <w:tc>
          <w:tcPr>
            <w:tcW w:w="1419" w:type="dxa"/>
            <w:shd w:val="clear" w:color="auto" w:fill="auto"/>
            <w:tcMar>
              <w:left w:w="58" w:type="dxa"/>
              <w:right w:w="58" w:type="dxa"/>
            </w:tcMar>
            <w:vAlign w:val="center"/>
          </w:tcPr>
          <w:p w14:paraId="37153E71" w14:textId="77777777" w:rsidR="008E0E33" w:rsidRPr="00C456D9" w:rsidRDefault="008E0E33" w:rsidP="00826E56">
            <w:pPr>
              <w:pStyle w:val="TblTextCenter"/>
            </w:pPr>
            <w:r w:rsidRPr="00C456D9">
              <w:t>10.56</w:t>
            </w:r>
          </w:p>
          <w:p w14:paraId="4509381D" w14:textId="77777777" w:rsidR="008E0E33" w:rsidRPr="00C456D9" w:rsidRDefault="008E0E33" w:rsidP="00826E56">
            <w:pPr>
              <w:pStyle w:val="TblTextCenter"/>
            </w:pPr>
            <w:r w:rsidRPr="00C456D9">
              <w:t>(8.79, 12.34)</w:t>
            </w:r>
          </w:p>
        </w:tc>
        <w:tc>
          <w:tcPr>
            <w:tcW w:w="425" w:type="dxa"/>
          </w:tcPr>
          <w:p w14:paraId="4E4852B1" w14:textId="77777777" w:rsidR="008E0E33" w:rsidRPr="00C456D9" w:rsidRDefault="008E0E33" w:rsidP="00826E56">
            <w:pPr>
              <w:pStyle w:val="TblTextCenter"/>
            </w:pPr>
          </w:p>
        </w:tc>
        <w:tc>
          <w:tcPr>
            <w:tcW w:w="1219" w:type="dxa"/>
            <w:shd w:val="clear" w:color="auto" w:fill="auto"/>
            <w:tcMar>
              <w:left w:w="58" w:type="dxa"/>
              <w:right w:w="58" w:type="dxa"/>
            </w:tcMar>
            <w:vAlign w:val="center"/>
          </w:tcPr>
          <w:p w14:paraId="0DBA79D2" w14:textId="0AFE0667" w:rsidR="008E0E33" w:rsidRPr="00C456D9" w:rsidRDefault="008E0E33" w:rsidP="00826E56">
            <w:pPr>
              <w:pStyle w:val="TblTextCenter"/>
            </w:pPr>
            <w:r w:rsidRPr="00C456D9">
              <w:t>13.78</w:t>
            </w:r>
          </w:p>
        </w:tc>
        <w:tc>
          <w:tcPr>
            <w:tcW w:w="0" w:type="auto"/>
            <w:shd w:val="clear" w:color="auto" w:fill="auto"/>
            <w:tcMar>
              <w:left w:w="58" w:type="dxa"/>
              <w:right w:w="58" w:type="dxa"/>
            </w:tcMar>
            <w:vAlign w:val="center"/>
          </w:tcPr>
          <w:p w14:paraId="45E01321" w14:textId="77777777" w:rsidR="008E0E33" w:rsidRPr="00C456D9" w:rsidRDefault="008E0E33" w:rsidP="00826E56">
            <w:pPr>
              <w:pStyle w:val="TblTextCenter"/>
            </w:pPr>
            <w:r w:rsidRPr="00C456D9">
              <w:t>-0.81</w:t>
            </w:r>
          </w:p>
        </w:tc>
        <w:tc>
          <w:tcPr>
            <w:tcW w:w="0" w:type="auto"/>
            <w:shd w:val="clear" w:color="auto" w:fill="auto"/>
            <w:tcMar>
              <w:left w:w="58" w:type="dxa"/>
              <w:right w:w="58" w:type="dxa"/>
            </w:tcMar>
            <w:vAlign w:val="center"/>
          </w:tcPr>
          <w:p w14:paraId="404AA86A" w14:textId="77777777" w:rsidR="008E0E33" w:rsidRPr="00C456D9" w:rsidRDefault="008E0E33" w:rsidP="00826E56">
            <w:pPr>
              <w:pStyle w:val="TblTextCenter"/>
            </w:pPr>
            <w:r w:rsidRPr="00C456D9">
              <w:t>13.53</w:t>
            </w:r>
          </w:p>
        </w:tc>
        <w:tc>
          <w:tcPr>
            <w:tcW w:w="1008" w:type="dxa"/>
            <w:shd w:val="clear" w:color="auto" w:fill="auto"/>
            <w:tcMar>
              <w:left w:w="58" w:type="dxa"/>
              <w:right w:w="58" w:type="dxa"/>
            </w:tcMar>
            <w:vAlign w:val="center"/>
          </w:tcPr>
          <w:p w14:paraId="0B2BB2AB" w14:textId="77777777" w:rsidR="008E0E33" w:rsidRPr="00C456D9" w:rsidRDefault="008E0E33" w:rsidP="00826E56">
            <w:pPr>
              <w:pStyle w:val="TblTextCenter"/>
            </w:pPr>
            <w:r w:rsidRPr="00C456D9">
              <w:t>9.71</w:t>
            </w:r>
          </w:p>
        </w:tc>
        <w:tc>
          <w:tcPr>
            <w:tcW w:w="1187" w:type="dxa"/>
            <w:shd w:val="clear" w:color="auto" w:fill="auto"/>
            <w:tcMar>
              <w:left w:w="58" w:type="dxa"/>
              <w:right w:w="58" w:type="dxa"/>
            </w:tcMar>
            <w:vAlign w:val="center"/>
          </w:tcPr>
          <w:p w14:paraId="2671FA87" w14:textId="77777777" w:rsidR="008E0E33" w:rsidRPr="00C456D9" w:rsidRDefault="008E0E33" w:rsidP="00826E56">
            <w:pPr>
              <w:pStyle w:val="TblTextCenter"/>
            </w:pPr>
            <w:r w:rsidRPr="00C456D9">
              <w:t>10.52</w:t>
            </w:r>
          </w:p>
          <w:p w14:paraId="7DA4CD8E" w14:textId="77777777" w:rsidR="008E0E33" w:rsidRPr="00C456D9" w:rsidRDefault="008E0E33" w:rsidP="00826E56">
            <w:pPr>
              <w:pStyle w:val="TblTextCenter"/>
            </w:pPr>
            <w:r w:rsidRPr="00C456D9">
              <w:t>(8.98, 12.07)</w:t>
            </w:r>
          </w:p>
        </w:tc>
      </w:tr>
      <w:tr w:rsidR="008E0E33" w:rsidRPr="00C456D9" w14:paraId="2E6621DD" w14:textId="77777777" w:rsidTr="008E0E33">
        <w:trPr>
          <w:cantSplit/>
          <w:trHeight w:val="522"/>
          <w:jc w:val="center"/>
        </w:trPr>
        <w:tc>
          <w:tcPr>
            <w:tcW w:w="908" w:type="dxa"/>
            <w:gridSpan w:val="2"/>
            <w:shd w:val="clear" w:color="auto" w:fill="auto"/>
            <w:tcMar>
              <w:left w:w="58" w:type="dxa"/>
              <w:right w:w="58" w:type="dxa"/>
            </w:tcMar>
            <w:vAlign w:val="center"/>
          </w:tcPr>
          <w:p w14:paraId="4E68DF46" w14:textId="77777777" w:rsidR="008E0E33" w:rsidRPr="00C456D9" w:rsidRDefault="008E0E33" w:rsidP="00826E56">
            <w:pPr>
              <w:pStyle w:val="TblTextCenter"/>
              <w:jc w:val="left"/>
            </w:pPr>
            <w:r w:rsidRPr="00C456D9">
              <w:t>Loss of smell</w:t>
            </w:r>
          </w:p>
        </w:tc>
        <w:tc>
          <w:tcPr>
            <w:tcW w:w="934" w:type="dxa"/>
            <w:shd w:val="clear" w:color="auto" w:fill="auto"/>
            <w:tcMar>
              <w:left w:w="58" w:type="dxa"/>
              <w:right w:w="58" w:type="dxa"/>
            </w:tcMar>
            <w:vAlign w:val="center"/>
          </w:tcPr>
          <w:p w14:paraId="284A697B" w14:textId="77777777" w:rsidR="008E0E33" w:rsidRPr="00C456D9" w:rsidRDefault="008E0E33" w:rsidP="00826E56">
            <w:pPr>
              <w:pStyle w:val="TblTextCenter"/>
            </w:pPr>
            <w:r w:rsidRPr="00C456D9">
              <w:t>2.73</w:t>
            </w:r>
          </w:p>
        </w:tc>
        <w:tc>
          <w:tcPr>
            <w:tcW w:w="833" w:type="dxa"/>
            <w:shd w:val="clear" w:color="auto" w:fill="auto"/>
            <w:tcMar>
              <w:left w:w="58" w:type="dxa"/>
              <w:right w:w="58" w:type="dxa"/>
            </w:tcMar>
            <w:vAlign w:val="center"/>
          </w:tcPr>
          <w:p w14:paraId="49BD607C" w14:textId="77777777" w:rsidR="008E0E33" w:rsidRPr="00C456D9" w:rsidRDefault="008E0E33" w:rsidP="00826E56">
            <w:pPr>
              <w:pStyle w:val="TblTextCenter"/>
            </w:pPr>
            <w:r w:rsidRPr="00C456D9">
              <w:t>-0.29</w:t>
            </w:r>
          </w:p>
        </w:tc>
        <w:tc>
          <w:tcPr>
            <w:tcW w:w="856" w:type="dxa"/>
            <w:shd w:val="clear" w:color="auto" w:fill="auto"/>
            <w:tcMar>
              <w:left w:w="58" w:type="dxa"/>
              <w:right w:w="58" w:type="dxa"/>
            </w:tcMar>
            <w:vAlign w:val="center"/>
          </w:tcPr>
          <w:p w14:paraId="012B55DC" w14:textId="77777777" w:rsidR="008E0E33" w:rsidRPr="00C456D9" w:rsidRDefault="008E0E33" w:rsidP="00826E56">
            <w:pPr>
              <w:pStyle w:val="TblTextCenter"/>
            </w:pPr>
            <w:r w:rsidRPr="00C456D9">
              <w:t>2.70</w:t>
            </w:r>
          </w:p>
        </w:tc>
        <w:tc>
          <w:tcPr>
            <w:tcW w:w="999" w:type="dxa"/>
            <w:shd w:val="clear" w:color="auto" w:fill="auto"/>
            <w:tcMar>
              <w:left w:w="58" w:type="dxa"/>
              <w:right w:w="58" w:type="dxa"/>
            </w:tcMar>
            <w:vAlign w:val="center"/>
          </w:tcPr>
          <w:p w14:paraId="7689801B" w14:textId="77777777" w:rsidR="008E0E33" w:rsidRPr="00C456D9" w:rsidRDefault="008E0E33" w:rsidP="00826E56">
            <w:pPr>
              <w:pStyle w:val="TblTextCenter"/>
            </w:pPr>
            <w:r w:rsidRPr="00C456D9">
              <w:t>-1.41</w:t>
            </w:r>
          </w:p>
        </w:tc>
        <w:tc>
          <w:tcPr>
            <w:tcW w:w="1419" w:type="dxa"/>
            <w:shd w:val="clear" w:color="auto" w:fill="auto"/>
            <w:tcMar>
              <w:left w:w="58" w:type="dxa"/>
              <w:right w:w="58" w:type="dxa"/>
            </w:tcMar>
            <w:vAlign w:val="center"/>
          </w:tcPr>
          <w:p w14:paraId="14048BF1" w14:textId="77777777" w:rsidR="008E0E33" w:rsidRPr="00C456D9" w:rsidRDefault="008E0E33" w:rsidP="00826E56">
            <w:pPr>
              <w:pStyle w:val="TblTextCenter"/>
            </w:pPr>
            <w:r w:rsidRPr="00C456D9">
              <w:t>-1.12</w:t>
            </w:r>
          </w:p>
          <w:p w14:paraId="0D794C6F" w14:textId="77777777" w:rsidR="008E0E33" w:rsidRPr="00C456D9" w:rsidRDefault="008E0E33" w:rsidP="00826E56">
            <w:pPr>
              <w:pStyle w:val="TblTextCenter"/>
            </w:pPr>
            <w:r w:rsidRPr="00C456D9">
              <w:t>(-1.31, -0.93)</w:t>
            </w:r>
          </w:p>
        </w:tc>
        <w:tc>
          <w:tcPr>
            <w:tcW w:w="425" w:type="dxa"/>
          </w:tcPr>
          <w:p w14:paraId="5ACA0F0D" w14:textId="77777777" w:rsidR="008E0E33" w:rsidRPr="00C456D9" w:rsidRDefault="008E0E33" w:rsidP="00826E56">
            <w:pPr>
              <w:pStyle w:val="TblTextCenter"/>
            </w:pPr>
          </w:p>
        </w:tc>
        <w:tc>
          <w:tcPr>
            <w:tcW w:w="1219" w:type="dxa"/>
            <w:shd w:val="clear" w:color="auto" w:fill="auto"/>
            <w:tcMar>
              <w:left w:w="58" w:type="dxa"/>
              <w:right w:w="58" w:type="dxa"/>
            </w:tcMar>
            <w:vAlign w:val="center"/>
          </w:tcPr>
          <w:p w14:paraId="0175F46D" w14:textId="47992FC2" w:rsidR="008E0E33" w:rsidRPr="00C456D9" w:rsidRDefault="008E0E33" w:rsidP="00826E56">
            <w:pPr>
              <w:pStyle w:val="TblTextCenter"/>
            </w:pPr>
            <w:r w:rsidRPr="00C456D9">
              <w:t>2.72</w:t>
            </w:r>
          </w:p>
        </w:tc>
        <w:tc>
          <w:tcPr>
            <w:tcW w:w="0" w:type="auto"/>
            <w:shd w:val="clear" w:color="auto" w:fill="auto"/>
            <w:tcMar>
              <w:left w:w="58" w:type="dxa"/>
              <w:right w:w="58" w:type="dxa"/>
            </w:tcMar>
            <w:vAlign w:val="center"/>
          </w:tcPr>
          <w:p w14:paraId="252EB29F" w14:textId="77777777" w:rsidR="008E0E33" w:rsidRPr="00C456D9" w:rsidRDefault="008E0E33" w:rsidP="00826E56">
            <w:pPr>
              <w:pStyle w:val="TblTextCenter"/>
            </w:pPr>
            <w:r w:rsidRPr="00C456D9">
              <w:t>-0.23</w:t>
            </w:r>
          </w:p>
        </w:tc>
        <w:tc>
          <w:tcPr>
            <w:tcW w:w="0" w:type="auto"/>
            <w:shd w:val="clear" w:color="auto" w:fill="auto"/>
            <w:tcMar>
              <w:left w:w="58" w:type="dxa"/>
              <w:right w:w="58" w:type="dxa"/>
            </w:tcMar>
            <w:vAlign w:val="center"/>
          </w:tcPr>
          <w:p w14:paraId="0B873A02" w14:textId="77777777" w:rsidR="008E0E33" w:rsidRPr="00C456D9" w:rsidRDefault="008E0E33" w:rsidP="00826E56">
            <w:pPr>
              <w:pStyle w:val="TblTextCenter"/>
            </w:pPr>
            <w:r w:rsidRPr="00C456D9">
              <w:t>2.77</w:t>
            </w:r>
          </w:p>
        </w:tc>
        <w:tc>
          <w:tcPr>
            <w:tcW w:w="1008" w:type="dxa"/>
            <w:shd w:val="clear" w:color="auto" w:fill="auto"/>
            <w:tcMar>
              <w:left w:w="58" w:type="dxa"/>
              <w:right w:w="58" w:type="dxa"/>
            </w:tcMar>
            <w:vAlign w:val="center"/>
          </w:tcPr>
          <w:p w14:paraId="5DC91F33" w14:textId="77777777" w:rsidR="008E0E33" w:rsidRPr="00C456D9" w:rsidRDefault="008E0E33" w:rsidP="00826E56">
            <w:pPr>
              <w:pStyle w:val="TblTextCenter"/>
            </w:pPr>
            <w:r w:rsidRPr="00C456D9">
              <w:t>-1.21</w:t>
            </w:r>
          </w:p>
        </w:tc>
        <w:tc>
          <w:tcPr>
            <w:tcW w:w="1187" w:type="dxa"/>
            <w:shd w:val="clear" w:color="auto" w:fill="auto"/>
            <w:tcMar>
              <w:left w:w="58" w:type="dxa"/>
              <w:right w:w="58" w:type="dxa"/>
            </w:tcMar>
            <w:vAlign w:val="center"/>
          </w:tcPr>
          <w:p w14:paraId="07BEE021" w14:textId="77777777" w:rsidR="008E0E33" w:rsidRPr="00C456D9" w:rsidRDefault="008E0E33" w:rsidP="00826E56">
            <w:pPr>
              <w:pStyle w:val="TblTextCenter"/>
            </w:pPr>
            <w:r w:rsidRPr="00C456D9">
              <w:t>-0.98</w:t>
            </w:r>
          </w:p>
          <w:p w14:paraId="40A8FFB2" w14:textId="77777777" w:rsidR="008E0E33" w:rsidRPr="00C456D9" w:rsidRDefault="008E0E33" w:rsidP="00826E56">
            <w:pPr>
              <w:pStyle w:val="TblTextCenter"/>
            </w:pPr>
            <w:r w:rsidRPr="00C456D9">
              <w:t>(-1.15, -0.81)</w:t>
            </w:r>
          </w:p>
        </w:tc>
      </w:tr>
      <w:tr w:rsidR="008E0E33" w:rsidRPr="00C456D9" w14:paraId="70C54FD3" w14:textId="77777777" w:rsidTr="008E0E33">
        <w:trPr>
          <w:cantSplit/>
          <w:trHeight w:val="585"/>
          <w:jc w:val="center"/>
        </w:trPr>
        <w:tc>
          <w:tcPr>
            <w:tcW w:w="908" w:type="dxa"/>
            <w:gridSpan w:val="2"/>
            <w:shd w:val="clear" w:color="auto" w:fill="auto"/>
            <w:tcMar>
              <w:left w:w="58" w:type="dxa"/>
              <w:right w:w="58" w:type="dxa"/>
            </w:tcMar>
            <w:vAlign w:val="center"/>
          </w:tcPr>
          <w:p w14:paraId="1F2DD8BB" w14:textId="77777777" w:rsidR="008E0E33" w:rsidRPr="00C456D9" w:rsidRDefault="008E0E33" w:rsidP="00826E56">
            <w:pPr>
              <w:pStyle w:val="TblTextCenter"/>
              <w:jc w:val="left"/>
            </w:pPr>
            <w:r w:rsidRPr="00C456D9">
              <w:t>SNOT-22</w:t>
            </w:r>
          </w:p>
        </w:tc>
        <w:tc>
          <w:tcPr>
            <w:tcW w:w="934" w:type="dxa"/>
            <w:shd w:val="clear" w:color="auto" w:fill="auto"/>
            <w:tcMar>
              <w:left w:w="58" w:type="dxa"/>
              <w:right w:w="58" w:type="dxa"/>
            </w:tcMar>
            <w:vAlign w:val="center"/>
          </w:tcPr>
          <w:p w14:paraId="3CE02F50" w14:textId="77777777" w:rsidR="008E0E33" w:rsidRPr="00C456D9" w:rsidRDefault="008E0E33" w:rsidP="00826E56">
            <w:pPr>
              <w:pStyle w:val="TblTextCenter"/>
            </w:pPr>
            <w:r w:rsidRPr="00C456D9">
              <w:t>50.87</w:t>
            </w:r>
          </w:p>
        </w:tc>
        <w:tc>
          <w:tcPr>
            <w:tcW w:w="833" w:type="dxa"/>
            <w:shd w:val="clear" w:color="auto" w:fill="auto"/>
            <w:tcMar>
              <w:left w:w="58" w:type="dxa"/>
              <w:right w:w="58" w:type="dxa"/>
            </w:tcMar>
            <w:vAlign w:val="center"/>
          </w:tcPr>
          <w:p w14:paraId="7F83DE6F" w14:textId="77777777" w:rsidR="008E0E33" w:rsidRPr="00C456D9" w:rsidRDefault="008E0E33" w:rsidP="00826E56">
            <w:pPr>
              <w:pStyle w:val="TblTextCenter"/>
            </w:pPr>
            <w:r w:rsidRPr="00C456D9">
              <w:t>-9.31</w:t>
            </w:r>
          </w:p>
        </w:tc>
        <w:tc>
          <w:tcPr>
            <w:tcW w:w="856" w:type="dxa"/>
            <w:shd w:val="clear" w:color="auto" w:fill="auto"/>
            <w:tcMar>
              <w:left w:w="58" w:type="dxa"/>
              <w:right w:w="58" w:type="dxa"/>
            </w:tcMar>
            <w:vAlign w:val="center"/>
          </w:tcPr>
          <w:p w14:paraId="00F94861" w14:textId="77777777" w:rsidR="008E0E33" w:rsidRPr="00C456D9" w:rsidRDefault="008E0E33" w:rsidP="00826E56">
            <w:pPr>
              <w:pStyle w:val="TblTextCenter"/>
            </w:pPr>
            <w:r w:rsidRPr="00C456D9">
              <w:t>48.0</w:t>
            </w:r>
          </w:p>
        </w:tc>
        <w:tc>
          <w:tcPr>
            <w:tcW w:w="999" w:type="dxa"/>
            <w:shd w:val="clear" w:color="auto" w:fill="auto"/>
            <w:tcMar>
              <w:left w:w="58" w:type="dxa"/>
              <w:right w:w="58" w:type="dxa"/>
            </w:tcMar>
            <w:vAlign w:val="center"/>
          </w:tcPr>
          <w:p w14:paraId="765A750C" w14:textId="77777777" w:rsidR="008E0E33" w:rsidRPr="00C456D9" w:rsidRDefault="008E0E33" w:rsidP="00826E56">
            <w:pPr>
              <w:pStyle w:val="TblTextCenter"/>
            </w:pPr>
            <w:r w:rsidRPr="00C456D9">
              <w:t>-30.43</w:t>
            </w:r>
          </w:p>
        </w:tc>
        <w:tc>
          <w:tcPr>
            <w:tcW w:w="1419" w:type="dxa"/>
            <w:shd w:val="clear" w:color="auto" w:fill="auto"/>
            <w:tcMar>
              <w:left w:w="58" w:type="dxa"/>
              <w:right w:w="58" w:type="dxa"/>
            </w:tcMar>
            <w:vAlign w:val="center"/>
          </w:tcPr>
          <w:p w14:paraId="074935F7" w14:textId="77777777" w:rsidR="008E0E33" w:rsidRPr="00C456D9" w:rsidRDefault="008E0E33" w:rsidP="00826E56">
            <w:pPr>
              <w:pStyle w:val="TblTextCenter"/>
            </w:pPr>
            <w:r w:rsidRPr="00C456D9">
              <w:t>-21.12</w:t>
            </w:r>
          </w:p>
          <w:p w14:paraId="1EA7F343" w14:textId="77777777" w:rsidR="008E0E33" w:rsidRPr="00C456D9" w:rsidRDefault="008E0E33" w:rsidP="00826E56">
            <w:pPr>
              <w:pStyle w:val="TblTextCenter"/>
            </w:pPr>
            <w:r w:rsidRPr="00C456D9">
              <w:t>(-25.17, -17.06)</w:t>
            </w:r>
          </w:p>
        </w:tc>
        <w:tc>
          <w:tcPr>
            <w:tcW w:w="425" w:type="dxa"/>
          </w:tcPr>
          <w:p w14:paraId="481EAD83" w14:textId="77777777" w:rsidR="008E0E33" w:rsidRPr="00C456D9" w:rsidRDefault="008E0E33" w:rsidP="00826E56">
            <w:pPr>
              <w:pStyle w:val="TblTextCenter"/>
            </w:pPr>
          </w:p>
        </w:tc>
        <w:tc>
          <w:tcPr>
            <w:tcW w:w="1219" w:type="dxa"/>
            <w:shd w:val="clear" w:color="auto" w:fill="auto"/>
            <w:tcMar>
              <w:left w:w="58" w:type="dxa"/>
              <w:right w:w="58" w:type="dxa"/>
            </w:tcMar>
            <w:vAlign w:val="center"/>
          </w:tcPr>
          <w:p w14:paraId="2C2C2376" w14:textId="14B03CF1" w:rsidR="008E0E33" w:rsidRPr="00C456D9" w:rsidRDefault="008E0E33" w:rsidP="00826E56">
            <w:pPr>
              <w:pStyle w:val="TblTextCenter"/>
            </w:pPr>
            <w:r w:rsidRPr="00C456D9">
              <w:t>53.48</w:t>
            </w:r>
          </w:p>
        </w:tc>
        <w:tc>
          <w:tcPr>
            <w:tcW w:w="0" w:type="auto"/>
            <w:shd w:val="clear" w:color="auto" w:fill="auto"/>
            <w:tcMar>
              <w:left w:w="58" w:type="dxa"/>
              <w:right w:w="58" w:type="dxa"/>
            </w:tcMar>
            <w:vAlign w:val="center"/>
          </w:tcPr>
          <w:p w14:paraId="345942B4" w14:textId="77777777" w:rsidR="008E0E33" w:rsidRPr="00C456D9" w:rsidRDefault="008E0E33" w:rsidP="00826E56">
            <w:pPr>
              <w:pStyle w:val="TblTextCenter"/>
            </w:pPr>
            <w:r w:rsidRPr="00C456D9">
              <w:t>-10.40</w:t>
            </w:r>
          </w:p>
        </w:tc>
        <w:tc>
          <w:tcPr>
            <w:tcW w:w="0" w:type="auto"/>
            <w:shd w:val="clear" w:color="auto" w:fill="auto"/>
            <w:tcMar>
              <w:left w:w="58" w:type="dxa"/>
              <w:right w:w="58" w:type="dxa"/>
            </w:tcMar>
            <w:vAlign w:val="center"/>
          </w:tcPr>
          <w:p w14:paraId="5F60CF40" w14:textId="77777777" w:rsidR="008E0E33" w:rsidRPr="00C456D9" w:rsidRDefault="008E0E33" w:rsidP="00826E56">
            <w:pPr>
              <w:pStyle w:val="TblTextCenter"/>
            </w:pPr>
            <w:r w:rsidRPr="00C456D9">
              <w:t>51.02</w:t>
            </w:r>
          </w:p>
        </w:tc>
        <w:tc>
          <w:tcPr>
            <w:tcW w:w="1008" w:type="dxa"/>
            <w:shd w:val="clear" w:color="auto" w:fill="auto"/>
            <w:tcMar>
              <w:left w:w="58" w:type="dxa"/>
              <w:right w:w="58" w:type="dxa"/>
            </w:tcMar>
            <w:vAlign w:val="center"/>
          </w:tcPr>
          <w:p w14:paraId="1FFBBE9E" w14:textId="77777777" w:rsidR="008E0E33" w:rsidRPr="00C456D9" w:rsidRDefault="008E0E33" w:rsidP="00826E56">
            <w:pPr>
              <w:pStyle w:val="TblTextCenter"/>
            </w:pPr>
            <w:r w:rsidRPr="00C456D9">
              <w:t>-27.77</w:t>
            </w:r>
          </w:p>
        </w:tc>
        <w:tc>
          <w:tcPr>
            <w:tcW w:w="1187" w:type="dxa"/>
            <w:shd w:val="clear" w:color="auto" w:fill="auto"/>
            <w:tcMar>
              <w:left w:w="58" w:type="dxa"/>
              <w:right w:w="58" w:type="dxa"/>
            </w:tcMar>
            <w:vAlign w:val="center"/>
          </w:tcPr>
          <w:p w14:paraId="17CC6A40" w14:textId="77777777" w:rsidR="008E0E33" w:rsidRPr="00C456D9" w:rsidRDefault="008E0E33" w:rsidP="00826E56">
            <w:pPr>
              <w:pStyle w:val="TblTextCenter"/>
            </w:pPr>
            <w:r w:rsidRPr="00C456D9">
              <w:t>-17.36</w:t>
            </w:r>
          </w:p>
          <w:p w14:paraId="1814CB3B" w14:textId="77777777" w:rsidR="008E0E33" w:rsidRPr="00C456D9" w:rsidRDefault="008E0E33" w:rsidP="00826E56">
            <w:pPr>
              <w:pStyle w:val="TblTextCenter"/>
            </w:pPr>
            <w:r w:rsidRPr="00C456D9">
              <w:t>(-20.87, -13.85)</w:t>
            </w:r>
          </w:p>
        </w:tc>
      </w:tr>
      <w:tr w:rsidR="008E0E33" w:rsidRPr="00C456D9" w14:paraId="6F4BCE53" w14:textId="77777777" w:rsidTr="008E0E33">
        <w:trPr>
          <w:cantSplit/>
          <w:trHeight w:val="585"/>
          <w:jc w:val="center"/>
        </w:trPr>
        <w:tc>
          <w:tcPr>
            <w:tcW w:w="908" w:type="dxa"/>
            <w:gridSpan w:val="2"/>
            <w:tcBorders>
              <w:bottom w:val="single" w:sz="4" w:space="0" w:color="auto"/>
            </w:tcBorders>
            <w:shd w:val="clear" w:color="auto" w:fill="auto"/>
            <w:tcMar>
              <w:left w:w="58" w:type="dxa"/>
              <w:right w:w="58" w:type="dxa"/>
            </w:tcMar>
            <w:vAlign w:val="center"/>
          </w:tcPr>
          <w:p w14:paraId="5C945719" w14:textId="77777777" w:rsidR="008E0E33" w:rsidRPr="00C456D9" w:rsidRDefault="008E0E33" w:rsidP="00826E56">
            <w:pPr>
              <w:pStyle w:val="TblTextCenter"/>
              <w:jc w:val="left"/>
            </w:pPr>
            <w:r w:rsidRPr="00C456D9">
              <w:t>VAS</w:t>
            </w:r>
          </w:p>
        </w:tc>
        <w:tc>
          <w:tcPr>
            <w:tcW w:w="934" w:type="dxa"/>
            <w:tcBorders>
              <w:bottom w:val="single" w:sz="4" w:space="0" w:color="auto"/>
            </w:tcBorders>
            <w:shd w:val="clear" w:color="auto" w:fill="auto"/>
            <w:tcMar>
              <w:left w:w="58" w:type="dxa"/>
              <w:right w:w="58" w:type="dxa"/>
            </w:tcMar>
            <w:vAlign w:val="center"/>
          </w:tcPr>
          <w:p w14:paraId="41DE4741" w14:textId="77777777" w:rsidR="008E0E33" w:rsidRPr="00C456D9" w:rsidRDefault="008E0E33" w:rsidP="00826E56">
            <w:pPr>
              <w:pStyle w:val="TblTextCenter"/>
            </w:pPr>
            <w:r w:rsidRPr="00C456D9">
              <w:t>7.96</w:t>
            </w:r>
          </w:p>
        </w:tc>
        <w:tc>
          <w:tcPr>
            <w:tcW w:w="833" w:type="dxa"/>
            <w:tcBorders>
              <w:bottom w:val="single" w:sz="4" w:space="0" w:color="auto"/>
            </w:tcBorders>
            <w:shd w:val="clear" w:color="auto" w:fill="auto"/>
            <w:tcMar>
              <w:left w:w="58" w:type="dxa"/>
              <w:right w:w="58" w:type="dxa"/>
            </w:tcMar>
            <w:vAlign w:val="center"/>
          </w:tcPr>
          <w:p w14:paraId="0760550B" w14:textId="77777777" w:rsidR="008E0E33" w:rsidRPr="00C456D9" w:rsidRDefault="008E0E33" w:rsidP="00826E56">
            <w:pPr>
              <w:pStyle w:val="TblTextCenter"/>
            </w:pPr>
            <w:r w:rsidRPr="00C456D9">
              <w:t>-1.34</w:t>
            </w:r>
          </w:p>
        </w:tc>
        <w:tc>
          <w:tcPr>
            <w:tcW w:w="856" w:type="dxa"/>
            <w:tcBorders>
              <w:bottom w:val="single" w:sz="4" w:space="0" w:color="auto"/>
            </w:tcBorders>
            <w:shd w:val="clear" w:color="auto" w:fill="auto"/>
            <w:tcMar>
              <w:left w:w="58" w:type="dxa"/>
              <w:right w:w="58" w:type="dxa"/>
            </w:tcMar>
            <w:vAlign w:val="center"/>
          </w:tcPr>
          <w:p w14:paraId="15AB44F7" w14:textId="77777777" w:rsidR="008E0E33" w:rsidRPr="00C456D9" w:rsidRDefault="008E0E33" w:rsidP="00826E56">
            <w:pPr>
              <w:pStyle w:val="TblTextCenter"/>
            </w:pPr>
            <w:r w:rsidRPr="00C456D9">
              <w:t>7.42</w:t>
            </w:r>
          </w:p>
        </w:tc>
        <w:tc>
          <w:tcPr>
            <w:tcW w:w="999" w:type="dxa"/>
            <w:tcBorders>
              <w:bottom w:val="single" w:sz="4" w:space="0" w:color="auto"/>
            </w:tcBorders>
            <w:shd w:val="clear" w:color="auto" w:fill="auto"/>
            <w:tcMar>
              <w:left w:w="58" w:type="dxa"/>
              <w:right w:w="58" w:type="dxa"/>
            </w:tcMar>
            <w:vAlign w:val="center"/>
          </w:tcPr>
          <w:p w14:paraId="66817385" w14:textId="77777777" w:rsidR="008E0E33" w:rsidRPr="00C456D9" w:rsidRDefault="008E0E33" w:rsidP="00826E56">
            <w:pPr>
              <w:pStyle w:val="TblTextCenter"/>
            </w:pPr>
            <w:r w:rsidRPr="00C456D9">
              <w:t>-4.54</w:t>
            </w:r>
          </w:p>
        </w:tc>
        <w:tc>
          <w:tcPr>
            <w:tcW w:w="1419" w:type="dxa"/>
            <w:tcBorders>
              <w:bottom w:val="single" w:sz="4" w:space="0" w:color="auto"/>
            </w:tcBorders>
            <w:shd w:val="clear" w:color="auto" w:fill="auto"/>
            <w:tcMar>
              <w:left w:w="58" w:type="dxa"/>
              <w:right w:w="58" w:type="dxa"/>
            </w:tcMar>
            <w:vAlign w:val="center"/>
          </w:tcPr>
          <w:p w14:paraId="0F39B393" w14:textId="77777777" w:rsidR="008E0E33" w:rsidRPr="00C456D9" w:rsidRDefault="008E0E33" w:rsidP="00826E56">
            <w:pPr>
              <w:pStyle w:val="TblTextCenter"/>
            </w:pPr>
            <w:r w:rsidRPr="00C456D9">
              <w:t>-3.20</w:t>
            </w:r>
          </w:p>
          <w:p w14:paraId="33AAC45A" w14:textId="77777777" w:rsidR="008E0E33" w:rsidRPr="00C456D9" w:rsidRDefault="008E0E33" w:rsidP="00826E56">
            <w:pPr>
              <w:pStyle w:val="TblTextCenter"/>
            </w:pPr>
            <w:r w:rsidRPr="00C456D9">
              <w:t>(-3.79, -2.60)</w:t>
            </w:r>
          </w:p>
        </w:tc>
        <w:tc>
          <w:tcPr>
            <w:tcW w:w="425" w:type="dxa"/>
            <w:tcBorders>
              <w:bottom w:val="single" w:sz="4" w:space="0" w:color="auto"/>
            </w:tcBorders>
          </w:tcPr>
          <w:p w14:paraId="1F880251" w14:textId="77777777" w:rsidR="008E0E33" w:rsidRPr="00C456D9" w:rsidRDefault="008E0E33" w:rsidP="00826E56">
            <w:pPr>
              <w:pStyle w:val="TblTextCenter"/>
            </w:pPr>
          </w:p>
        </w:tc>
        <w:tc>
          <w:tcPr>
            <w:tcW w:w="1219" w:type="dxa"/>
            <w:tcBorders>
              <w:bottom w:val="single" w:sz="4" w:space="0" w:color="auto"/>
            </w:tcBorders>
            <w:shd w:val="clear" w:color="auto" w:fill="auto"/>
            <w:tcMar>
              <w:left w:w="58" w:type="dxa"/>
              <w:right w:w="58" w:type="dxa"/>
            </w:tcMar>
            <w:vAlign w:val="center"/>
          </w:tcPr>
          <w:p w14:paraId="393B8225" w14:textId="5BF34AC3" w:rsidR="008E0E33" w:rsidRPr="00C456D9" w:rsidRDefault="008E0E33" w:rsidP="00826E56">
            <w:pPr>
              <w:pStyle w:val="TblTextCenter"/>
            </w:pPr>
            <w:r w:rsidRPr="00C456D9">
              <w:t>7.98</w:t>
            </w:r>
          </w:p>
        </w:tc>
        <w:tc>
          <w:tcPr>
            <w:tcW w:w="0" w:type="auto"/>
            <w:tcBorders>
              <w:bottom w:val="single" w:sz="4" w:space="0" w:color="auto"/>
            </w:tcBorders>
            <w:shd w:val="clear" w:color="auto" w:fill="auto"/>
            <w:tcMar>
              <w:left w:w="58" w:type="dxa"/>
              <w:right w:w="58" w:type="dxa"/>
            </w:tcMar>
            <w:vAlign w:val="center"/>
          </w:tcPr>
          <w:p w14:paraId="3AFC89ED" w14:textId="77777777" w:rsidR="008E0E33" w:rsidRPr="00C456D9" w:rsidRDefault="008E0E33" w:rsidP="00826E56">
            <w:pPr>
              <w:pStyle w:val="TblTextCenter"/>
            </w:pPr>
            <w:r w:rsidRPr="00C456D9">
              <w:t>-1.39</w:t>
            </w:r>
          </w:p>
        </w:tc>
        <w:tc>
          <w:tcPr>
            <w:tcW w:w="0" w:type="auto"/>
            <w:tcBorders>
              <w:bottom w:val="single" w:sz="4" w:space="0" w:color="auto"/>
            </w:tcBorders>
            <w:shd w:val="clear" w:color="auto" w:fill="auto"/>
            <w:tcMar>
              <w:left w:w="58" w:type="dxa"/>
              <w:right w:w="58" w:type="dxa"/>
            </w:tcMar>
            <w:vAlign w:val="center"/>
          </w:tcPr>
          <w:p w14:paraId="054423B1" w14:textId="77777777" w:rsidR="008E0E33" w:rsidRPr="00C456D9" w:rsidRDefault="008E0E33" w:rsidP="00826E56">
            <w:pPr>
              <w:pStyle w:val="TblTextCenter"/>
            </w:pPr>
            <w:r w:rsidRPr="00C456D9">
              <w:t>8.01</w:t>
            </w:r>
          </w:p>
        </w:tc>
        <w:tc>
          <w:tcPr>
            <w:tcW w:w="1008" w:type="dxa"/>
            <w:tcBorders>
              <w:bottom w:val="single" w:sz="4" w:space="0" w:color="auto"/>
            </w:tcBorders>
            <w:shd w:val="clear" w:color="auto" w:fill="auto"/>
            <w:tcMar>
              <w:left w:w="58" w:type="dxa"/>
              <w:right w:w="58" w:type="dxa"/>
            </w:tcMar>
            <w:vAlign w:val="center"/>
          </w:tcPr>
          <w:p w14:paraId="2219E191" w14:textId="77777777" w:rsidR="008E0E33" w:rsidRPr="00C456D9" w:rsidRDefault="008E0E33" w:rsidP="00826E56">
            <w:pPr>
              <w:pStyle w:val="TblTextCenter"/>
            </w:pPr>
            <w:r w:rsidRPr="00C456D9">
              <w:t>-4.32</w:t>
            </w:r>
          </w:p>
        </w:tc>
        <w:tc>
          <w:tcPr>
            <w:tcW w:w="1187" w:type="dxa"/>
            <w:tcBorders>
              <w:bottom w:val="single" w:sz="4" w:space="0" w:color="auto"/>
            </w:tcBorders>
            <w:shd w:val="clear" w:color="auto" w:fill="auto"/>
            <w:tcMar>
              <w:left w:w="58" w:type="dxa"/>
              <w:right w:w="58" w:type="dxa"/>
            </w:tcMar>
            <w:vAlign w:val="center"/>
          </w:tcPr>
          <w:p w14:paraId="55EF4E38" w14:textId="77777777" w:rsidR="008E0E33" w:rsidRPr="00C456D9" w:rsidRDefault="008E0E33" w:rsidP="00826E56">
            <w:pPr>
              <w:pStyle w:val="TblTextCenter"/>
            </w:pPr>
            <w:r w:rsidRPr="00C456D9">
              <w:t>-2.93</w:t>
            </w:r>
          </w:p>
          <w:p w14:paraId="58988C50" w14:textId="77777777" w:rsidR="008E0E33" w:rsidRPr="00C456D9" w:rsidRDefault="008E0E33" w:rsidP="00826E56">
            <w:pPr>
              <w:pStyle w:val="TblTextCenter"/>
            </w:pPr>
            <w:r w:rsidRPr="00C456D9">
              <w:t>(-3.45, -2.40)</w:t>
            </w:r>
          </w:p>
        </w:tc>
      </w:tr>
    </w:tbl>
    <w:p w14:paraId="1A80F4A0" w14:textId="77777777" w:rsidR="00597B44" w:rsidRDefault="00597B44" w:rsidP="008E0E33">
      <w:pPr>
        <w:spacing w:before="0"/>
        <w:rPr>
          <w:rFonts w:ascii="Arial Narrow" w:hAnsi="Arial Narrow"/>
          <w:color w:val="0000FF"/>
          <w:sz w:val="18"/>
          <w:szCs w:val="18"/>
          <w:u w:val="double"/>
        </w:rPr>
      </w:pPr>
    </w:p>
    <w:p w14:paraId="103E486B" w14:textId="641F2951" w:rsidR="008E0E33" w:rsidRPr="00C456D9" w:rsidRDefault="008E0E33" w:rsidP="008E0E33">
      <w:pPr>
        <w:spacing w:before="0"/>
        <w:rPr>
          <w:rFonts w:ascii="Arial Narrow" w:hAnsi="Arial Narrow"/>
          <w:color w:val="auto"/>
          <w:sz w:val="18"/>
          <w:szCs w:val="18"/>
        </w:rPr>
      </w:pPr>
      <w:r w:rsidRPr="00C456D9">
        <w:rPr>
          <w:rFonts w:ascii="Arial Narrow" w:hAnsi="Arial Narrow"/>
          <w:color w:val="auto"/>
          <w:sz w:val="18"/>
          <w:szCs w:val="18"/>
        </w:rPr>
        <w:t>A reduction in score indicates improvement, except UPSIT where an increase indicates improvement.</w:t>
      </w:r>
    </w:p>
    <w:p w14:paraId="24C96478" w14:textId="09B56DB4" w:rsidR="008E0E33" w:rsidRPr="00C456D9" w:rsidRDefault="008E0E33" w:rsidP="008E0E33">
      <w:pPr>
        <w:spacing w:before="0"/>
        <w:rPr>
          <w:rFonts w:ascii="Arial Narrow" w:hAnsi="Arial Narrow"/>
          <w:color w:val="auto"/>
          <w:sz w:val="18"/>
          <w:szCs w:val="18"/>
        </w:rPr>
      </w:pPr>
      <w:r w:rsidRPr="00C456D9">
        <w:rPr>
          <w:rFonts w:ascii="Arial Narrow" w:hAnsi="Arial Narrow"/>
          <w:color w:val="auto"/>
          <w:sz w:val="18"/>
          <w:szCs w:val="18"/>
        </w:rPr>
        <w:t xml:space="preserve">NC = nasal congestion, NPS = nasal polyposis score; LMK = Lund-MacKay total CT score; UPSIT = University of Pennsylvania smell identification test; SNOT-22 = 22-item </w:t>
      </w:r>
      <w:proofErr w:type="spellStart"/>
      <w:r w:rsidRPr="00C456D9">
        <w:rPr>
          <w:rFonts w:ascii="Arial Narrow" w:hAnsi="Arial Narrow"/>
          <w:color w:val="auto"/>
          <w:sz w:val="18"/>
          <w:szCs w:val="18"/>
        </w:rPr>
        <w:t>sino</w:t>
      </w:r>
      <w:proofErr w:type="spellEnd"/>
      <w:r w:rsidRPr="00C456D9">
        <w:rPr>
          <w:rFonts w:ascii="Arial Narrow" w:hAnsi="Arial Narrow"/>
          <w:color w:val="auto"/>
          <w:sz w:val="18"/>
          <w:szCs w:val="18"/>
        </w:rPr>
        <w:t>-nasal outcome test; TSS = total symptom score; VAS = visual analogue scale for rhinosinusitis</w:t>
      </w:r>
    </w:p>
    <w:p w14:paraId="32D75C0B" w14:textId="7DFA37D8" w:rsidR="008E0E33" w:rsidRPr="00C456D9" w:rsidRDefault="008E0E33" w:rsidP="008E0E33">
      <w:pPr>
        <w:spacing w:before="0"/>
        <w:rPr>
          <w:rFonts w:ascii="Arial Narrow" w:hAnsi="Arial Narrow"/>
          <w:color w:val="auto"/>
          <w:sz w:val="18"/>
          <w:szCs w:val="18"/>
        </w:rPr>
      </w:pPr>
      <w:r w:rsidRPr="00C456D9">
        <w:rPr>
          <w:rFonts w:ascii="Arial Narrow" w:hAnsi="Arial Narrow"/>
          <w:color w:val="auto"/>
          <w:sz w:val="18"/>
          <w:szCs w:val="18"/>
        </w:rPr>
        <w:t>(all p values &lt;0.0001, nominal for VAS)</w:t>
      </w:r>
    </w:p>
    <w:p w14:paraId="2D73AF33" w14:textId="5F60DAAB" w:rsidR="008E0E33" w:rsidRPr="00C456D9" w:rsidRDefault="008E0E33" w:rsidP="008E0E33">
      <w:r w:rsidRPr="00C456D9">
        <w:rPr>
          <w:color w:val="auto"/>
        </w:rPr>
        <w:t>The results of SINUS-52 study at week 52 are presented in</w:t>
      </w:r>
      <w:r w:rsidR="00831A55" w:rsidRPr="00C456D9">
        <w:rPr>
          <w:color w:val="auto"/>
        </w:rPr>
        <w:t xml:space="preserve"> </w:t>
      </w:r>
      <w:r w:rsidR="00831A55" w:rsidRPr="00C456D9">
        <w:rPr>
          <w:color w:val="0000FF"/>
        </w:rPr>
        <w:fldChar w:fldCharType="begin"/>
      </w:r>
      <w:r w:rsidR="00831A55" w:rsidRPr="00C456D9">
        <w:rPr>
          <w:color w:val="0000FF"/>
        </w:rPr>
        <w:instrText xml:space="preserve"> REF _Ref72402424 \h  \* MERGEFORMAT </w:instrText>
      </w:r>
      <w:r w:rsidR="00831A55" w:rsidRPr="00C456D9">
        <w:rPr>
          <w:color w:val="0000FF"/>
        </w:rPr>
      </w:r>
      <w:r w:rsidR="00831A55" w:rsidRPr="00C456D9">
        <w:rPr>
          <w:color w:val="0000FF"/>
        </w:rPr>
        <w:fldChar w:fldCharType="separate"/>
      </w:r>
      <w:r w:rsidR="00E123A5" w:rsidRPr="00E123A5">
        <w:rPr>
          <w:color w:val="0000FF"/>
        </w:rPr>
        <w:t>Table 23</w:t>
      </w:r>
      <w:r w:rsidR="00831A55" w:rsidRPr="00C456D9">
        <w:rPr>
          <w:color w:val="0000FF"/>
        </w:rPr>
        <w:fldChar w:fldCharType="end"/>
      </w:r>
      <w:r w:rsidRPr="00C456D9">
        <w:t>.</w:t>
      </w:r>
    </w:p>
    <w:p w14:paraId="4293404D" w14:textId="077D300C" w:rsidR="008E0E33" w:rsidRPr="00C456D9" w:rsidRDefault="008E0E33" w:rsidP="008E0E33">
      <w:pPr>
        <w:pStyle w:val="Caption"/>
        <w:rPr>
          <w:lang w:val="en-AU"/>
        </w:rPr>
      </w:pPr>
      <w:bookmarkStart w:id="42" w:name="_Ref72402424"/>
      <w:r w:rsidRPr="00C456D9">
        <w:t>Table </w:t>
      </w:r>
      <w:r w:rsidRPr="00C456D9">
        <w:fldChar w:fldCharType="begin"/>
      </w:r>
      <w:r w:rsidRPr="00C456D9">
        <w:instrText xml:space="preserve"> SEQ Table \* ARABIC </w:instrText>
      </w:r>
      <w:r w:rsidRPr="00C456D9">
        <w:fldChar w:fldCharType="separate"/>
      </w:r>
      <w:r w:rsidR="00E123A5">
        <w:rPr>
          <w:noProof/>
        </w:rPr>
        <w:t>23</w:t>
      </w:r>
      <w:r w:rsidRPr="00C456D9">
        <w:fldChar w:fldCharType="end"/>
      </w:r>
      <w:bookmarkEnd w:id="42"/>
      <w:r w:rsidRPr="00C456D9">
        <w:t xml:space="preserve"> ­ </w:t>
      </w:r>
      <w:r w:rsidRPr="00C456D9">
        <w:rPr>
          <w:lang w:val="en-AU"/>
        </w:rPr>
        <w:t>Results of the efficacy at week 52 in SINUS-52 study</w:t>
      </w:r>
    </w:p>
    <w:tbl>
      <w:tblPr>
        <w:tblpPr w:leftFromText="180" w:rightFromText="180" w:vertAnchor="text" w:horzAnchor="page" w:tblpXSpec="center" w:tblpY="388"/>
        <w:tblW w:w="9290" w:type="dxa"/>
        <w:tblBorders>
          <w:top w:val="single" w:sz="2" w:space="0" w:color="000000"/>
        </w:tblBorders>
        <w:tblLayout w:type="fixed"/>
        <w:tblLook w:val="04A0" w:firstRow="1" w:lastRow="0" w:firstColumn="1" w:lastColumn="0" w:noHBand="0" w:noVBand="1"/>
      </w:tblPr>
      <w:tblGrid>
        <w:gridCol w:w="1084"/>
        <w:gridCol w:w="746"/>
        <w:gridCol w:w="883"/>
        <w:gridCol w:w="746"/>
        <w:gridCol w:w="678"/>
        <w:gridCol w:w="1455"/>
        <w:gridCol w:w="250"/>
        <w:gridCol w:w="236"/>
        <w:gridCol w:w="14"/>
        <w:gridCol w:w="848"/>
        <w:gridCol w:w="795"/>
        <w:gridCol w:w="1555"/>
      </w:tblGrid>
      <w:tr w:rsidR="00816F90" w:rsidRPr="00C456D9" w14:paraId="50BA53F1" w14:textId="77777777" w:rsidTr="00816F90">
        <w:trPr>
          <w:cantSplit/>
          <w:trHeight w:val="278"/>
          <w:tblHeader/>
        </w:trPr>
        <w:tc>
          <w:tcPr>
            <w:tcW w:w="1084" w:type="dxa"/>
            <w:vMerge w:val="restart"/>
            <w:tcBorders>
              <w:top w:val="single" w:sz="4" w:space="0" w:color="000000"/>
              <w:bottom w:val="single" w:sz="4" w:space="0" w:color="000000"/>
            </w:tcBorders>
            <w:shd w:val="clear" w:color="auto" w:fill="auto"/>
            <w:tcMar>
              <w:left w:w="58" w:type="dxa"/>
              <w:right w:w="58" w:type="dxa"/>
            </w:tcMar>
          </w:tcPr>
          <w:p w14:paraId="2B6DFB32" w14:textId="77777777" w:rsidR="00816F90" w:rsidRPr="00C456D9" w:rsidRDefault="00816F90" w:rsidP="00816F90">
            <w:pPr>
              <w:pStyle w:val="TblHeadingCenter"/>
            </w:pPr>
          </w:p>
          <w:p w14:paraId="354A68E2" w14:textId="77777777" w:rsidR="00816F90" w:rsidRPr="00C456D9" w:rsidRDefault="00816F90" w:rsidP="00816F90">
            <w:pPr>
              <w:pStyle w:val="TblHeadingCenter"/>
            </w:pPr>
          </w:p>
        </w:tc>
        <w:tc>
          <w:tcPr>
            <w:tcW w:w="1629" w:type="dxa"/>
            <w:gridSpan w:val="2"/>
            <w:tcBorders>
              <w:top w:val="single" w:sz="4" w:space="0" w:color="000000"/>
              <w:bottom w:val="single" w:sz="4" w:space="0" w:color="auto"/>
            </w:tcBorders>
            <w:shd w:val="clear" w:color="auto" w:fill="auto"/>
            <w:tcMar>
              <w:left w:w="58" w:type="dxa"/>
              <w:right w:w="58" w:type="dxa"/>
            </w:tcMar>
          </w:tcPr>
          <w:p w14:paraId="02A67707" w14:textId="77777777" w:rsidR="00816F90" w:rsidRPr="00C456D9" w:rsidRDefault="00816F90" w:rsidP="00816F90">
            <w:pPr>
              <w:pStyle w:val="TblHeadingCenter"/>
            </w:pPr>
            <w:r w:rsidRPr="00C456D9">
              <w:t>Placebo</w:t>
            </w:r>
          </w:p>
          <w:p w14:paraId="4731019D" w14:textId="77777777" w:rsidR="00816F90" w:rsidRPr="00C456D9" w:rsidRDefault="00816F90" w:rsidP="00816F90">
            <w:pPr>
              <w:pStyle w:val="TblHeadingCenter"/>
            </w:pPr>
            <w:r w:rsidRPr="00C456D9">
              <w:t>(n=153)</w:t>
            </w:r>
          </w:p>
        </w:tc>
        <w:tc>
          <w:tcPr>
            <w:tcW w:w="1424" w:type="dxa"/>
            <w:gridSpan w:val="2"/>
            <w:tcBorders>
              <w:top w:val="single" w:sz="4" w:space="0" w:color="000000"/>
              <w:bottom w:val="single" w:sz="4" w:space="0" w:color="auto"/>
            </w:tcBorders>
            <w:shd w:val="clear" w:color="auto" w:fill="auto"/>
            <w:tcMar>
              <w:left w:w="58" w:type="dxa"/>
              <w:right w:w="58" w:type="dxa"/>
            </w:tcMar>
          </w:tcPr>
          <w:p w14:paraId="3E17B51C" w14:textId="731C9FC6" w:rsidR="00816F90" w:rsidRPr="00C456D9" w:rsidRDefault="00816F90" w:rsidP="00816F90">
            <w:pPr>
              <w:pStyle w:val="TblHeadingCenter"/>
            </w:pPr>
            <w:r w:rsidRPr="00C456D9">
              <w:t xml:space="preserve"> Dupixent </w:t>
            </w:r>
          </w:p>
          <w:p w14:paraId="2E8BD22F" w14:textId="77777777" w:rsidR="00816F90" w:rsidRPr="00C456D9" w:rsidRDefault="00816F90" w:rsidP="00816F90">
            <w:pPr>
              <w:pStyle w:val="TblHeadingCenter"/>
            </w:pPr>
            <w:r w:rsidRPr="00C456D9">
              <w:t>300mg Q2W</w:t>
            </w:r>
          </w:p>
          <w:p w14:paraId="450B14D7" w14:textId="77777777" w:rsidR="00816F90" w:rsidRPr="00C456D9" w:rsidRDefault="00816F90" w:rsidP="00816F90">
            <w:pPr>
              <w:pStyle w:val="TblHeadingCenter"/>
            </w:pPr>
            <w:r w:rsidRPr="00C456D9">
              <w:t>(n=150)</w:t>
            </w:r>
          </w:p>
        </w:tc>
        <w:tc>
          <w:tcPr>
            <w:tcW w:w="1455" w:type="dxa"/>
            <w:tcBorders>
              <w:top w:val="single" w:sz="4" w:space="0" w:color="000000"/>
              <w:bottom w:val="single" w:sz="4" w:space="0" w:color="auto"/>
            </w:tcBorders>
            <w:shd w:val="clear" w:color="auto" w:fill="auto"/>
            <w:tcMar>
              <w:left w:w="58" w:type="dxa"/>
              <w:right w:w="58" w:type="dxa"/>
            </w:tcMar>
          </w:tcPr>
          <w:p w14:paraId="552B45AF" w14:textId="77777777" w:rsidR="00816F90" w:rsidRPr="00C456D9" w:rsidRDefault="00816F90" w:rsidP="00816F90">
            <w:pPr>
              <w:pStyle w:val="TblHeadingCenter"/>
            </w:pPr>
            <w:r w:rsidRPr="00C456D9">
              <w:t>LS mean</w:t>
            </w:r>
          </w:p>
          <w:p w14:paraId="781D32A6" w14:textId="77777777" w:rsidR="00816F90" w:rsidRPr="00C456D9" w:rsidRDefault="00816F90" w:rsidP="00816F90">
            <w:pPr>
              <w:pStyle w:val="TblHeadingCenter"/>
            </w:pPr>
            <w:r w:rsidRPr="00C456D9">
              <w:t>difference vs. Placebo (95%CI)</w:t>
            </w:r>
          </w:p>
        </w:tc>
        <w:tc>
          <w:tcPr>
            <w:tcW w:w="250" w:type="dxa"/>
            <w:tcBorders>
              <w:top w:val="single" w:sz="4" w:space="0" w:color="000000"/>
              <w:bottom w:val="single" w:sz="4" w:space="0" w:color="auto"/>
            </w:tcBorders>
          </w:tcPr>
          <w:p w14:paraId="15AB8051" w14:textId="77777777" w:rsidR="00816F90" w:rsidRPr="00C456D9" w:rsidRDefault="00816F90" w:rsidP="00816F90">
            <w:pPr>
              <w:pStyle w:val="TblHeadingCenter"/>
            </w:pPr>
          </w:p>
        </w:tc>
        <w:tc>
          <w:tcPr>
            <w:tcW w:w="236" w:type="dxa"/>
            <w:tcBorders>
              <w:top w:val="single" w:sz="4" w:space="0" w:color="000000"/>
              <w:bottom w:val="single" w:sz="4" w:space="0" w:color="auto"/>
            </w:tcBorders>
          </w:tcPr>
          <w:p w14:paraId="59636307" w14:textId="04A6FFAF" w:rsidR="00816F90" w:rsidRPr="00C456D9" w:rsidRDefault="00816F90" w:rsidP="00816F90">
            <w:pPr>
              <w:pStyle w:val="TblHeadingCenter"/>
            </w:pPr>
          </w:p>
        </w:tc>
        <w:tc>
          <w:tcPr>
            <w:tcW w:w="1657" w:type="dxa"/>
            <w:gridSpan w:val="3"/>
            <w:tcBorders>
              <w:top w:val="single" w:sz="4" w:space="0" w:color="000000"/>
              <w:bottom w:val="single" w:sz="4" w:space="0" w:color="auto"/>
            </w:tcBorders>
            <w:shd w:val="clear" w:color="auto" w:fill="auto"/>
          </w:tcPr>
          <w:p w14:paraId="132CEF9C" w14:textId="2ECF14F2" w:rsidR="00816F90" w:rsidRPr="00C456D9" w:rsidRDefault="00816F90" w:rsidP="00816F90">
            <w:pPr>
              <w:pStyle w:val="TblHeadingCenter"/>
            </w:pPr>
            <w:r w:rsidRPr="00C456D9">
              <w:t>Dupixent</w:t>
            </w:r>
          </w:p>
          <w:p w14:paraId="3DF0FD54" w14:textId="77777777" w:rsidR="00816F90" w:rsidRPr="00C456D9" w:rsidRDefault="00816F90" w:rsidP="00816F90">
            <w:pPr>
              <w:pStyle w:val="TblHeadingCenter"/>
            </w:pPr>
            <w:r w:rsidRPr="00C456D9">
              <w:t>300mg Q2W-Q4W</w:t>
            </w:r>
          </w:p>
          <w:p w14:paraId="61334832" w14:textId="77777777" w:rsidR="00816F90" w:rsidRPr="00C456D9" w:rsidRDefault="00816F90" w:rsidP="00816F90">
            <w:pPr>
              <w:pStyle w:val="TblHeadingCenter"/>
            </w:pPr>
            <w:r w:rsidRPr="00C456D9">
              <w:t>(n=145)</w:t>
            </w:r>
          </w:p>
        </w:tc>
        <w:tc>
          <w:tcPr>
            <w:tcW w:w="1555" w:type="dxa"/>
            <w:tcBorders>
              <w:top w:val="single" w:sz="4" w:space="0" w:color="000000"/>
              <w:bottom w:val="single" w:sz="4" w:space="0" w:color="auto"/>
            </w:tcBorders>
            <w:shd w:val="clear" w:color="auto" w:fill="auto"/>
          </w:tcPr>
          <w:p w14:paraId="0765875A" w14:textId="77777777" w:rsidR="00816F90" w:rsidRPr="00C456D9" w:rsidRDefault="00816F90" w:rsidP="00816F90">
            <w:pPr>
              <w:pStyle w:val="TblHeadingCenter"/>
            </w:pPr>
            <w:r w:rsidRPr="00C456D9">
              <w:t>LS mean</w:t>
            </w:r>
          </w:p>
          <w:p w14:paraId="5D062B5C" w14:textId="77777777" w:rsidR="00816F90" w:rsidRPr="00C456D9" w:rsidRDefault="00816F90" w:rsidP="00816F90">
            <w:pPr>
              <w:pStyle w:val="TblHeadingCenter"/>
            </w:pPr>
            <w:r w:rsidRPr="00C456D9">
              <w:t>difference vs. Placebo (95%CI)</w:t>
            </w:r>
          </w:p>
        </w:tc>
      </w:tr>
      <w:tr w:rsidR="00816F90" w:rsidRPr="00C456D9" w14:paraId="024866F1" w14:textId="77777777" w:rsidTr="00816F90">
        <w:trPr>
          <w:cantSplit/>
          <w:trHeight w:val="179"/>
          <w:tblHeader/>
        </w:trPr>
        <w:tc>
          <w:tcPr>
            <w:tcW w:w="1084" w:type="dxa"/>
            <w:vMerge/>
            <w:tcBorders>
              <w:top w:val="single" w:sz="4" w:space="0" w:color="auto"/>
              <w:bottom w:val="single" w:sz="4" w:space="0" w:color="000000"/>
            </w:tcBorders>
            <w:shd w:val="clear" w:color="auto" w:fill="auto"/>
            <w:tcMar>
              <w:left w:w="58" w:type="dxa"/>
              <w:right w:w="58" w:type="dxa"/>
            </w:tcMar>
          </w:tcPr>
          <w:p w14:paraId="1733377E" w14:textId="77777777" w:rsidR="00816F90" w:rsidRPr="00C456D9" w:rsidRDefault="00816F90" w:rsidP="00816F90">
            <w:pPr>
              <w:rPr>
                <w:rFonts w:eastAsia="Calibri"/>
                <w:color w:val="auto"/>
                <w:sz w:val="20"/>
                <w:szCs w:val="20"/>
              </w:rPr>
            </w:pPr>
          </w:p>
        </w:tc>
        <w:tc>
          <w:tcPr>
            <w:tcW w:w="746" w:type="dxa"/>
            <w:tcBorders>
              <w:top w:val="single" w:sz="4" w:space="0" w:color="auto"/>
              <w:bottom w:val="single" w:sz="4" w:space="0" w:color="auto"/>
            </w:tcBorders>
            <w:shd w:val="clear" w:color="auto" w:fill="auto"/>
            <w:tcMar>
              <w:left w:w="58" w:type="dxa"/>
              <w:right w:w="58" w:type="dxa"/>
            </w:tcMar>
            <w:vAlign w:val="center"/>
          </w:tcPr>
          <w:p w14:paraId="22E4A8AE" w14:textId="77777777" w:rsidR="00816F90" w:rsidRPr="00C456D9" w:rsidRDefault="00816F90" w:rsidP="00816F90">
            <w:pPr>
              <w:pStyle w:val="TblTextCenter"/>
            </w:pPr>
            <w:r w:rsidRPr="00C456D9">
              <w:t>Baseline</w:t>
            </w:r>
          </w:p>
          <w:p w14:paraId="3927CEC3" w14:textId="77777777" w:rsidR="00816F90" w:rsidRPr="00C456D9" w:rsidRDefault="00816F90" w:rsidP="00816F90">
            <w:pPr>
              <w:pStyle w:val="TblTextCenter"/>
            </w:pPr>
            <w:r w:rsidRPr="00C456D9">
              <w:t>mean</w:t>
            </w:r>
          </w:p>
        </w:tc>
        <w:tc>
          <w:tcPr>
            <w:tcW w:w="883" w:type="dxa"/>
            <w:tcBorders>
              <w:top w:val="single" w:sz="4" w:space="0" w:color="auto"/>
              <w:bottom w:val="single" w:sz="4" w:space="0" w:color="auto"/>
            </w:tcBorders>
            <w:shd w:val="clear" w:color="auto" w:fill="auto"/>
            <w:tcMar>
              <w:left w:w="58" w:type="dxa"/>
              <w:right w:w="58" w:type="dxa"/>
            </w:tcMar>
            <w:vAlign w:val="center"/>
          </w:tcPr>
          <w:p w14:paraId="4733E77B" w14:textId="77777777" w:rsidR="00816F90" w:rsidRPr="00C456D9" w:rsidRDefault="00816F90" w:rsidP="00816F90">
            <w:pPr>
              <w:pStyle w:val="TblTextCenter"/>
            </w:pPr>
            <w:r w:rsidRPr="00C456D9">
              <w:t>LS mean</w:t>
            </w:r>
          </w:p>
          <w:p w14:paraId="2D442EF4" w14:textId="77777777" w:rsidR="00816F90" w:rsidRPr="00C456D9" w:rsidRDefault="00816F90" w:rsidP="00816F90">
            <w:pPr>
              <w:pStyle w:val="TblTextCenter"/>
            </w:pPr>
            <w:r w:rsidRPr="00C456D9">
              <w:t>change</w:t>
            </w:r>
          </w:p>
        </w:tc>
        <w:tc>
          <w:tcPr>
            <w:tcW w:w="746" w:type="dxa"/>
            <w:tcBorders>
              <w:top w:val="single" w:sz="4" w:space="0" w:color="auto"/>
              <w:bottom w:val="single" w:sz="4" w:space="0" w:color="auto"/>
            </w:tcBorders>
            <w:shd w:val="clear" w:color="auto" w:fill="auto"/>
            <w:tcMar>
              <w:left w:w="58" w:type="dxa"/>
              <w:right w:w="58" w:type="dxa"/>
            </w:tcMar>
            <w:vAlign w:val="center"/>
          </w:tcPr>
          <w:p w14:paraId="2BCA153E" w14:textId="77777777" w:rsidR="00816F90" w:rsidRPr="00C456D9" w:rsidRDefault="00816F90" w:rsidP="00816F90">
            <w:pPr>
              <w:pStyle w:val="TblTextCenter"/>
            </w:pPr>
            <w:r w:rsidRPr="00C456D9">
              <w:t>Baseline</w:t>
            </w:r>
          </w:p>
          <w:p w14:paraId="029DB3C2" w14:textId="77777777" w:rsidR="00816F90" w:rsidRPr="00C456D9" w:rsidRDefault="00816F90" w:rsidP="00816F90">
            <w:pPr>
              <w:pStyle w:val="TblTextCenter"/>
            </w:pPr>
            <w:r w:rsidRPr="00C456D9">
              <w:t>mean</w:t>
            </w:r>
          </w:p>
        </w:tc>
        <w:tc>
          <w:tcPr>
            <w:tcW w:w="678" w:type="dxa"/>
            <w:tcBorders>
              <w:top w:val="single" w:sz="4" w:space="0" w:color="auto"/>
              <w:bottom w:val="single" w:sz="4" w:space="0" w:color="auto"/>
            </w:tcBorders>
            <w:shd w:val="clear" w:color="auto" w:fill="auto"/>
            <w:tcMar>
              <w:left w:w="58" w:type="dxa"/>
              <w:right w:w="58" w:type="dxa"/>
            </w:tcMar>
            <w:vAlign w:val="center"/>
          </w:tcPr>
          <w:p w14:paraId="7705D0D8" w14:textId="77777777" w:rsidR="00816F90" w:rsidRPr="00C456D9" w:rsidRDefault="00816F90" w:rsidP="00816F90">
            <w:pPr>
              <w:pStyle w:val="TblTextCenter"/>
            </w:pPr>
            <w:r w:rsidRPr="00C456D9">
              <w:t>LS mean</w:t>
            </w:r>
          </w:p>
          <w:p w14:paraId="3529F797" w14:textId="77777777" w:rsidR="00816F90" w:rsidRPr="00C456D9" w:rsidRDefault="00816F90" w:rsidP="00816F90">
            <w:pPr>
              <w:pStyle w:val="TblTextCenter"/>
            </w:pPr>
            <w:r w:rsidRPr="00C456D9">
              <w:t>change</w:t>
            </w:r>
          </w:p>
        </w:tc>
        <w:tc>
          <w:tcPr>
            <w:tcW w:w="1455" w:type="dxa"/>
            <w:tcBorders>
              <w:top w:val="single" w:sz="4" w:space="0" w:color="auto"/>
              <w:bottom w:val="single" w:sz="4" w:space="0" w:color="auto"/>
            </w:tcBorders>
            <w:shd w:val="clear" w:color="auto" w:fill="auto"/>
            <w:tcMar>
              <w:left w:w="58" w:type="dxa"/>
              <w:right w:w="58" w:type="dxa"/>
            </w:tcMar>
            <w:vAlign w:val="center"/>
          </w:tcPr>
          <w:p w14:paraId="260C35D9" w14:textId="77777777" w:rsidR="00816F90" w:rsidRPr="00C456D9" w:rsidRDefault="00816F90" w:rsidP="00816F90">
            <w:pPr>
              <w:pStyle w:val="TblTextCenter"/>
            </w:pPr>
          </w:p>
        </w:tc>
        <w:tc>
          <w:tcPr>
            <w:tcW w:w="250" w:type="dxa"/>
            <w:tcBorders>
              <w:top w:val="single" w:sz="4" w:space="0" w:color="auto"/>
              <w:bottom w:val="single" w:sz="4" w:space="0" w:color="auto"/>
            </w:tcBorders>
          </w:tcPr>
          <w:p w14:paraId="47D2630B" w14:textId="77777777" w:rsidR="00816F90" w:rsidRPr="00C456D9" w:rsidRDefault="00816F90" w:rsidP="00816F90">
            <w:pPr>
              <w:pStyle w:val="TblTextCenter"/>
            </w:pPr>
          </w:p>
        </w:tc>
        <w:tc>
          <w:tcPr>
            <w:tcW w:w="250" w:type="dxa"/>
            <w:gridSpan w:val="2"/>
            <w:tcBorders>
              <w:top w:val="single" w:sz="4" w:space="0" w:color="auto"/>
              <w:bottom w:val="single" w:sz="4" w:space="0" w:color="auto"/>
            </w:tcBorders>
          </w:tcPr>
          <w:p w14:paraId="6AB3D28C" w14:textId="6F666F8D" w:rsidR="00816F90" w:rsidRPr="00C456D9" w:rsidRDefault="00816F90" w:rsidP="00816F90">
            <w:pPr>
              <w:pStyle w:val="TblTextCenter"/>
            </w:pPr>
          </w:p>
        </w:tc>
        <w:tc>
          <w:tcPr>
            <w:tcW w:w="848" w:type="dxa"/>
            <w:tcBorders>
              <w:top w:val="single" w:sz="4" w:space="0" w:color="auto"/>
              <w:bottom w:val="single" w:sz="4" w:space="0" w:color="auto"/>
            </w:tcBorders>
            <w:shd w:val="clear" w:color="auto" w:fill="auto"/>
          </w:tcPr>
          <w:p w14:paraId="3D7A7F14" w14:textId="54DAD896" w:rsidR="00816F90" w:rsidRPr="00C456D9" w:rsidRDefault="00816F90" w:rsidP="00816F90">
            <w:pPr>
              <w:pStyle w:val="TblTextCenter"/>
            </w:pPr>
            <w:r w:rsidRPr="00C456D9">
              <w:t>Baseline</w:t>
            </w:r>
          </w:p>
          <w:p w14:paraId="1F69F36A" w14:textId="77777777" w:rsidR="00816F90" w:rsidRPr="00C456D9" w:rsidRDefault="00816F90" w:rsidP="00816F90">
            <w:pPr>
              <w:pStyle w:val="TblTextCenter"/>
            </w:pPr>
            <w:r w:rsidRPr="00C456D9">
              <w:t>mean</w:t>
            </w:r>
          </w:p>
        </w:tc>
        <w:tc>
          <w:tcPr>
            <w:tcW w:w="795" w:type="dxa"/>
            <w:tcBorders>
              <w:top w:val="single" w:sz="4" w:space="0" w:color="auto"/>
              <w:bottom w:val="single" w:sz="4" w:space="0" w:color="auto"/>
            </w:tcBorders>
            <w:shd w:val="clear" w:color="auto" w:fill="auto"/>
          </w:tcPr>
          <w:p w14:paraId="3EABF87C" w14:textId="77777777" w:rsidR="00816F90" w:rsidRPr="00C456D9" w:rsidRDefault="00816F90" w:rsidP="00816F90">
            <w:pPr>
              <w:pStyle w:val="TblTextCenter"/>
            </w:pPr>
            <w:r w:rsidRPr="00C456D9">
              <w:t>LS mean</w:t>
            </w:r>
          </w:p>
          <w:p w14:paraId="666871C1" w14:textId="77777777" w:rsidR="00816F90" w:rsidRPr="00C456D9" w:rsidRDefault="00816F90" w:rsidP="00816F90">
            <w:pPr>
              <w:pStyle w:val="TblTextCenter"/>
            </w:pPr>
            <w:r w:rsidRPr="00C456D9">
              <w:t>change</w:t>
            </w:r>
          </w:p>
        </w:tc>
        <w:tc>
          <w:tcPr>
            <w:tcW w:w="1555" w:type="dxa"/>
            <w:tcBorders>
              <w:top w:val="single" w:sz="4" w:space="0" w:color="auto"/>
              <w:bottom w:val="single" w:sz="4" w:space="0" w:color="auto"/>
            </w:tcBorders>
            <w:shd w:val="clear" w:color="auto" w:fill="auto"/>
          </w:tcPr>
          <w:p w14:paraId="4FE0E89B" w14:textId="77777777" w:rsidR="00816F90" w:rsidRPr="00C456D9" w:rsidRDefault="00816F90" w:rsidP="00816F90">
            <w:pPr>
              <w:pStyle w:val="TblTextCenter"/>
            </w:pPr>
          </w:p>
        </w:tc>
      </w:tr>
      <w:tr w:rsidR="00816F90" w:rsidRPr="00C456D9" w14:paraId="5DA96C12" w14:textId="77777777" w:rsidTr="00816F90">
        <w:trPr>
          <w:cantSplit/>
          <w:trHeight w:val="242"/>
        </w:trPr>
        <w:tc>
          <w:tcPr>
            <w:tcW w:w="1084" w:type="dxa"/>
            <w:tcBorders>
              <w:top w:val="single" w:sz="4" w:space="0" w:color="000000"/>
            </w:tcBorders>
            <w:shd w:val="clear" w:color="auto" w:fill="auto"/>
            <w:tcMar>
              <w:left w:w="58" w:type="dxa"/>
              <w:right w:w="58" w:type="dxa"/>
            </w:tcMar>
            <w:vAlign w:val="center"/>
          </w:tcPr>
          <w:p w14:paraId="2EA1DCDB" w14:textId="77777777" w:rsidR="00816F90" w:rsidRPr="00C456D9" w:rsidRDefault="00816F90" w:rsidP="00816F90">
            <w:pPr>
              <w:pStyle w:val="TblTextCenter"/>
            </w:pPr>
            <w:r w:rsidRPr="00C456D9">
              <w:t>NPS</w:t>
            </w:r>
          </w:p>
        </w:tc>
        <w:tc>
          <w:tcPr>
            <w:tcW w:w="746" w:type="dxa"/>
            <w:tcBorders>
              <w:top w:val="single" w:sz="4" w:space="0" w:color="auto"/>
            </w:tcBorders>
            <w:shd w:val="clear" w:color="auto" w:fill="auto"/>
            <w:tcMar>
              <w:left w:w="58" w:type="dxa"/>
              <w:right w:w="58" w:type="dxa"/>
            </w:tcMar>
            <w:vAlign w:val="center"/>
          </w:tcPr>
          <w:p w14:paraId="12A284F8" w14:textId="77777777" w:rsidR="00816F90" w:rsidRPr="00C456D9" w:rsidRDefault="00816F90" w:rsidP="00816F90">
            <w:pPr>
              <w:pStyle w:val="TblTextCenter"/>
            </w:pPr>
            <w:r w:rsidRPr="00C456D9">
              <w:t>5.96</w:t>
            </w:r>
          </w:p>
        </w:tc>
        <w:tc>
          <w:tcPr>
            <w:tcW w:w="883" w:type="dxa"/>
            <w:tcBorders>
              <w:top w:val="single" w:sz="4" w:space="0" w:color="auto"/>
            </w:tcBorders>
            <w:shd w:val="clear" w:color="auto" w:fill="auto"/>
            <w:tcMar>
              <w:left w:w="58" w:type="dxa"/>
              <w:right w:w="58" w:type="dxa"/>
            </w:tcMar>
            <w:vAlign w:val="center"/>
          </w:tcPr>
          <w:p w14:paraId="7FD3EC8A" w14:textId="77777777" w:rsidR="00816F90" w:rsidRPr="00C456D9" w:rsidRDefault="00816F90" w:rsidP="00816F90">
            <w:pPr>
              <w:pStyle w:val="TblTextCenter"/>
            </w:pPr>
            <w:r w:rsidRPr="00C456D9">
              <w:t>0.15</w:t>
            </w:r>
          </w:p>
        </w:tc>
        <w:tc>
          <w:tcPr>
            <w:tcW w:w="746" w:type="dxa"/>
            <w:tcBorders>
              <w:top w:val="single" w:sz="4" w:space="0" w:color="auto"/>
            </w:tcBorders>
            <w:shd w:val="clear" w:color="auto" w:fill="auto"/>
            <w:tcMar>
              <w:left w:w="58" w:type="dxa"/>
              <w:right w:w="58" w:type="dxa"/>
            </w:tcMar>
            <w:vAlign w:val="center"/>
          </w:tcPr>
          <w:p w14:paraId="00267128" w14:textId="77777777" w:rsidR="00816F90" w:rsidRPr="00C456D9" w:rsidRDefault="00816F90" w:rsidP="00816F90">
            <w:pPr>
              <w:pStyle w:val="TblTextCenter"/>
            </w:pPr>
            <w:r w:rsidRPr="00C456D9">
              <w:t>6.07</w:t>
            </w:r>
          </w:p>
        </w:tc>
        <w:tc>
          <w:tcPr>
            <w:tcW w:w="678" w:type="dxa"/>
            <w:tcBorders>
              <w:top w:val="single" w:sz="4" w:space="0" w:color="auto"/>
            </w:tcBorders>
            <w:shd w:val="clear" w:color="auto" w:fill="auto"/>
            <w:tcMar>
              <w:left w:w="58" w:type="dxa"/>
              <w:right w:w="58" w:type="dxa"/>
            </w:tcMar>
            <w:vAlign w:val="center"/>
          </w:tcPr>
          <w:p w14:paraId="5DCFCB4B" w14:textId="77777777" w:rsidR="00816F90" w:rsidRPr="00C456D9" w:rsidRDefault="00816F90" w:rsidP="00816F90">
            <w:pPr>
              <w:pStyle w:val="TblTextCenter"/>
            </w:pPr>
            <w:r w:rsidRPr="00C456D9">
              <w:t>-2.24</w:t>
            </w:r>
          </w:p>
        </w:tc>
        <w:tc>
          <w:tcPr>
            <w:tcW w:w="1455" w:type="dxa"/>
            <w:tcBorders>
              <w:top w:val="single" w:sz="4" w:space="0" w:color="auto"/>
            </w:tcBorders>
            <w:shd w:val="clear" w:color="auto" w:fill="auto"/>
            <w:tcMar>
              <w:left w:w="58" w:type="dxa"/>
              <w:right w:w="58" w:type="dxa"/>
            </w:tcMar>
            <w:vAlign w:val="center"/>
          </w:tcPr>
          <w:p w14:paraId="07B6EC32" w14:textId="77777777" w:rsidR="00816F90" w:rsidRPr="00C456D9" w:rsidRDefault="00816F90" w:rsidP="00816F90">
            <w:pPr>
              <w:pStyle w:val="TblTextCenter"/>
            </w:pPr>
            <w:r w:rsidRPr="00C456D9">
              <w:t>-2.40</w:t>
            </w:r>
          </w:p>
          <w:p w14:paraId="0F8FE3E7" w14:textId="77777777" w:rsidR="00816F90" w:rsidRPr="00C456D9" w:rsidRDefault="00816F90" w:rsidP="00816F90">
            <w:pPr>
              <w:pStyle w:val="TblTextCenter"/>
            </w:pPr>
            <w:r w:rsidRPr="00C456D9">
              <w:t>(-2.77, -2.02)</w:t>
            </w:r>
          </w:p>
        </w:tc>
        <w:tc>
          <w:tcPr>
            <w:tcW w:w="250" w:type="dxa"/>
            <w:tcBorders>
              <w:top w:val="single" w:sz="4" w:space="0" w:color="auto"/>
            </w:tcBorders>
          </w:tcPr>
          <w:p w14:paraId="288C58B2" w14:textId="77777777" w:rsidR="00816F90" w:rsidRPr="00C456D9" w:rsidRDefault="00816F90" w:rsidP="00816F90">
            <w:pPr>
              <w:pStyle w:val="TblTextCenter"/>
            </w:pPr>
          </w:p>
        </w:tc>
        <w:tc>
          <w:tcPr>
            <w:tcW w:w="236" w:type="dxa"/>
            <w:tcBorders>
              <w:top w:val="single" w:sz="4" w:space="0" w:color="auto"/>
            </w:tcBorders>
          </w:tcPr>
          <w:p w14:paraId="381A118A" w14:textId="6D2E6958" w:rsidR="00816F90" w:rsidRPr="00C456D9" w:rsidRDefault="00816F90" w:rsidP="00816F90">
            <w:pPr>
              <w:pStyle w:val="TblTextCenter"/>
            </w:pPr>
          </w:p>
        </w:tc>
        <w:tc>
          <w:tcPr>
            <w:tcW w:w="862" w:type="dxa"/>
            <w:gridSpan w:val="2"/>
            <w:tcBorders>
              <w:top w:val="single" w:sz="4" w:space="0" w:color="auto"/>
            </w:tcBorders>
            <w:shd w:val="clear" w:color="auto" w:fill="auto"/>
          </w:tcPr>
          <w:p w14:paraId="1E26CF11" w14:textId="0FA13FD2" w:rsidR="00816F90" w:rsidRPr="00C456D9" w:rsidRDefault="00816F90" w:rsidP="00816F90">
            <w:pPr>
              <w:pStyle w:val="TblTextCenter"/>
            </w:pPr>
            <w:r w:rsidRPr="00C456D9">
              <w:t>6.29</w:t>
            </w:r>
          </w:p>
        </w:tc>
        <w:tc>
          <w:tcPr>
            <w:tcW w:w="795" w:type="dxa"/>
            <w:tcBorders>
              <w:top w:val="single" w:sz="4" w:space="0" w:color="auto"/>
            </w:tcBorders>
            <w:shd w:val="clear" w:color="auto" w:fill="auto"/>
          </w:tcPr>
          <w:p w14:paraId="51E270DA" w14:textId="77777777" w:rsidR="00816F90" w:rsidRPr="00C456D9" w:rsidRDefault="00816F90" w:rsidP="00816F90">
            <w:pPr>
              <w:pStyle w:val="TblTextCenter"/>
            </w:pPr>
            <w:r w:rsidRPr="00C456D9">
              <w:t>-2.06</w:t>
            </w:r>
          </w:p>
        </w:tc>
        <w:tc>
          <w:tcPr>
            <w:tcW w:w="1555" w:type="dxa"/>
            <w:tcBorders>
              <w:top w:val="single" w:sz="4" w:space="0" w:color="auto"/>
            </w:tcBorders>
            <w:shd w:val="clear" w:color="auto" w:fill="auto"/>
          </w:tcPr>
          <w:p w14:paraId="77104571" w14:textId="77777777" w:rsidR="00816F90" w:rsidRPr="00C456D9" w:rsidRDefault="00816F90" w:rsidP="00816F90">
            <w:pPr>
              <w:pStyle w:val="TblTextCenter"/>
            </w:pPr>
            <w:r w:rsidRPr="00C456D9">
              <w:t>-2.21</w:t>
            </w:r>
          </w:p>
          <w:p w14:paraId="4644EF9E" w14:textId="77777777" w:rsidR="00816F90" w:rsidRPr="00C456D9" w:rsidRDefault="00816F90" w:rsidP="00816F90">
            <w:pPr>
              <w:pStyle w:val="TblTextCenter"/>
            </w:pPr>
            <w:r w:rsidRPr="00C456D9">
              <w:t>(-2.59, -1.83)</w:t>
            </w:r>
          </w:p>
        </w:tc>
      </w:tr>
      <w:tr w:rsidR="00816F90" w:rsidRPr="00C456D9" w14:paraId="0CB0B082" w14:textId="77777777" w:rsidTr="00816F90">
        <w:trPr>
          <w:cantSplit/>
          <w:trHeight w:val="396"/>
        </w:trPr>
        <w:tc>
          <w:tcPr>
            <w:tcW w:w="1084" w:type="dxa"/>
            <w:shd w:val="clear" w:color="auto" w:fill="auto"/>
            <w:tcMar>
              <w:left w:w="58" w:type="dxa"/>
              <w:right w:w="58" w:type="dxa"/>
            </w:tcMar>
            <w:vAlign w:val="center"/>
          </w:tcPr>
          <w:p w14:paraId="47A3C90D" w14:textId="77777777" w:rsidR="00816F90" w:rsidRPr="00C456D9" w:rsidRDefault="00816F90" w:rsidP="00816F90">
            <w:pPr>
              <w:pStyle w:val="TblTextCenter"/>
            </w:pPr>
            <w:r w:rsidRPr="00C456D9">
              <w:t>NC</w:t>
            </w:r>
          </w:p>
        </w:tc>
        <w:tc>
          <w:tcPr>
            <w:tcW w:w="746" w:type="dxa"/>
            <w:shd w:val="clear" w:color="auto" w:fill="auto"/>
            <w:tcMar>
              <w:left w:w="58" w:type="dxa"/>
              <w:right w:w="58" w:type="dxa"/>
            </w:tcMar>
            <w:vAlign w:val="center"/>
          </w:tcPr>
          <w:p w14:paraId="7164E1BE" w14:textId="77777777" w:rsidR="00816F90" w:rsidRPr="00C456D9" w:rsidRDefault="00816F90" w:rsidP="00816F90">
            <w:pPr>
              <w:pStyle w:val="TblTextCenter"/>
            </w:pPr>
            <w:r w:rsidRPr="00C456D9">
              <w:t>2.38</w:t>
            </w:r>
          </w:p>
        </w:tc>
        <w:tc>
          <w:tcPr>
            <w:tcW w:w="883" w:type="dxa"/>
            <w:shd w:val="clear" w:color="auto" w:fill="auto"/>
            <w:tcMar>
              <w:left w:w="58" w:type="dxa"/>
              <w:right w:w="58" w:type="dxa"/>
            </w:tcMar>
            <w:vAlign w:val="center"/>
          </w:tcPr>
          <w:p w14:paraId="4635370D" w14:textId="77777777" w:rsidR="00816F90" w:rsidRPr="00C456D9" w:rsidRDefault="00816F90" w:rsidP="00816F90">
            <w:pPr>
              <w:pStyle w:val="TblTextCenter"/>
            </w:pPr>
            <w:r w:rsidRPr="00C456D9">
              <w:t>-0.37</w:t>
            </w:r>
          </w:p>
        </w:tc>
        <w:tc>
          <w:tcPr>
            <w:tcW w:w="746" w:type="dxa"/>
            <w:shd w:val="clear" w:color="auto" w:fill="auto"/>
            <w:tcMar>
              <w:left w:w="58" w:type="dxa"/>
              <w:right w:w="58" w:type="dxa"/>
            </w:tcMar>
            <w:vAlign w:val="center"/>
          </w:tcPr>
          <w:p w14:paraId="028DBF79" w14:textId="77777777" w:rsidR="00816F90" w:rsidRPr="00C456D9" w:rsidRDefault="00816F90" w:rsidP="00816F90">
            <w:pPr>
              <w:pStyle w:val="TblTextCenter"/>
            </w:pPr>
            <w:r w:rsidRPr="00C456D9">
              <w:t>2.48</w:t>
            </w:r>
          </w:p>
        </w:tc>
        <w:tc>
          <w:tcPr>
            <w:tcW w:w="678" w:type="dxa"/>
            <w:shd w:val="clear" w:color="auto" w:fill="auto"/>
            <w:tcMar>
              <w:left w:w="58" w:type="dxa"/>
              <w:right w:w="58" w:type="dxa"/>
            </w:tcMar>
            <w:vAlign w:val="center"/>
          </w:tcPr>
          <w:p w14:paraId="12F73EF4" w14:textId="77777777" w:rsidR="00816F90" w:rsidRPr="00C456D9" w:rsidRDefault="00816F90" w:rsidP="00816F90">
            <w:pPr>
              <w:pStyle w:val="TblTextCenter"/>
            </w:pPr>
            <w:r w:rsidRPr="00C456D9">
              <w:t>-1.35</w:t>
            </w:r>
          </w:p>
        </w:tc>
        <w:tc>
          <w:tcPr>
            <w:tcW w:w="1455" w:type="dxa"/>
            <w:shd w:val="clear" w:color="auto" w:fill="auto"/>
            <w:tcMar>
              <w:left w:w="58" w:type="dxa"/>
              <w:right w:w="58" w:type="dxa"/>
            </w:tcMar>
            <w:vAlign w:val="center"/>
          </w:tcPr>
          <w:p w14:paraId="3236E0C0" w14:textId="77777777" w:rsidR="00816F90" w:rsidRPr="00C456D9" w:rsidRDefault="00816F90" w:rsidP="00816F90">
            <w:pPr>
              <w:pStyle w:val="TblTextCenter"/>
            </w:pPr>
            <w:r w:rsidRPr="00C456D9">
              <w:t>-0.98</w:t>
            </w:r>
          </w:p>
          <w:p w14:paraId="7E58E283" w14:textId="77777777" w:rsidR="00816F90" w:rsidRPr="00C456D9" w:rsidRDefault="00816F90" w:rsidP="00816F90">
            <w:pPr>
              <w:pStyle w:val="TblTextCenter"/>
            </w:pPr>
            <w:r w:rsidRPr="00C456D9">
              <w:t>(-1.17, -0.79)</w:t>
            </w:r>
          </w:p>
        </w:tc>
        <w:tc>
          <w:tcPr>
            <w:tcW w:w="250" w:type="dxa"/>
          </w:tcPr>
          <w:p w14:paraId="6DAC1905" w14:textId="77777777" w:rsidR="00816F90" w:rsidRPr="00C456D9" w:rsidRDefault="00816F90" w:rsidP="00816F90">
            <w:pPr>
              <w:pStyle w:val="TblTextCenter"/>
            </w:pPr>
          </w:p>
        </w:tc>
        <w:tc>
          <w:tcPr>
            <w:tcW w:w="236" w:type="dxa"/>
          </w:tcPr>
          <w:p w14:paraId="679A26B8" w14:textId="2B3364BB" w:rsidR="00816F90" w:rsidRPr="00C456D9" w:rsidRDefault="00816F90" w:rsidP="00816F90">
            <w:pPr>
              <w:pStyle w:val="TblTextCenter"/>
            </w:pPr>
          </w:p>
        </w:tc>
        <w:tc>
          <w:tcPr>
            <w:tcW w:w="862" w:type="dxa"/>
            <w:gridSpan w:val="2"/>
            <w:shd w:val="clear" w:color="auto" w:fill="auto"/>
          </w:tcPr>
          <w:p w14:paraId="32F6C7B5" w14:textId="5B1FA217" w:rsidR="00816F90" w:rsidRPr="00C456D9" w:rsidRDefault="00816F90" w:rsidP="00816F90">
            <w:pPr>
              <w:pStyle w:val="TblTextCenter"/>
            </w:pPr>
            <w:r w:rsidRPr="00C456D9">
              <w:t>2.44</w:t>
            </w:r>
          </w:p>
        </w:tc>
        <w:tc>
          <w:tcPr>
            <w:tcW w:w="795" w:type="dxa"/>
            <w:shd w:val="clear" w:color="auto" w:fill="auto"/>
          </w:tcPr>
          <w:p w14:paraId="40583801" w14:textId="77777777" w:rsidR="00816F90" w:rsidRPr="00C456D9" w:rsidRDefault="00816F90" w:rsidP="00816F90">
            <w:pPr>
              <w:pStyle w:val="TblTextCenter"/>
            </w:pPr>
            <w:r w:rsidRPr="00C456D9">
              <w:t>-1.48</w:t>
            </w:r>
          </w:p>
        </w:tc>
        <w:tc>
          <w:tcPr>
            <w:tcW w:w="1555" w:type="dxa"/>
            <w:shd w:val="clear" w:color="auto" w:fill="auto"/>
          </w:tcPr>
          <w:p w14:paraId="1369629F" w14:textId="77777777" w:rsidR="00816F90" w:rsidRPr="00C456D9" w:rsidRDefault="00816F90" w:rsidP="00816F90">
            <w:pPr>
              <w:pStyle w:val="TblTextCenter"/>
            </w:pPr>
            <w:r w:rsidRPr="00C456D9">
              <w:t xml:space="preserve">-1.10 </w:t>
            </w:r>
          </w:p>
          <w:p w14:paraId="4CF92296" w14:textId="77777777" w:rsidR="00816F90" w:rsidRPr="00C456D9" w:rsidRDefault="00816F90" w:rsidP="00816F90">
            <w:pPr>
              <w:pStyle w:val="TblTextCenter"/>
            </w:pPr>
            <w:r w:rsidRPr="00C456D9">
              <w:t>(-1.29, -0.91)</w:t>
            </w:r>
          </w:p>
        </w:tc>
      </w:tr>
      <w:tr w:rsidR="00816F90" w:rsidRPr="00C456D9" w14:paraId="16EA05E8" w14:textId="77777777" w:rsidTr="00816F90">
        <w:trPr>
          <w:cantSplit/>
          <w:trHeight w:val="242"/>
        </w:trPr>
        <w:tc>
          <w:tcPr>
            <w:tcW w:w="1084" w:type="dxa"/>
            <w:shd w:val="clear" w:color="auto" w:fill="auto"/>
            <w:tcMar>
              <w:left w:w="58" w:type="dxa"/>
              <w:right w:w="58" w:type="dxa"/>
            </w:tcMar>
            <w:vAlign w:val="center"/>
          </w:tcPr>
          <w:p w14:paraId="717020CC" w14:textId="77777777" w:rsidR="00816F90" w:rsidRPr="00C456D9" w:rsidRDefault="00816F90" w:rsidP="00816F90">
            <w:pPr>
              <w:pStyle w:val="TblTextCenter"/>
            </w:pPr>
            <w:r w:rsidRPr="00C456D9">
              <w:t>LMK sinus CT scan score</w:t>
            </w:r>
          </w:p>
        </w:tc>
        <w:tc>
          <w:tcPr>
            <w:tcW w:w="746" w:type="dxa"/>
            <w:shd w:val="clear" w:color="auto" w:fill="auto"/>
            <w:tcMar>
              <w:left w:w="58" w:type="dxa"/>
              <w:right w:w="58" w:type="dxa"/>
            </w:tcMar>
            <w:vAlign w:val="center"/>
          </w:tcPr>
          <w:p w14:paraId="75A72D70" w14:textId="77777777" w:rsidR="00816F90" w:rsidRPr="00C456D9" w:rsidRDefault="00816F90" w:rsidP="00816F90">
            <w:pPr>
              <w:pStyle w:val="TblTextCenter"/>
            </w:pPr>
            <w:r w:rsidRPr="00C456D9">
              <w:t>17.65</w:t>
            </w:r>
          </w:p>
        </w:tc>
        <w:tc>
          <w:tcPr>
            <w:tcW w:w="883" w:type="dxa"/>
            <w:shd w:val="clear" w:color="auto" w:fill="auto"/>
            <w:tcMar>
              <w:left w:w="58" w:type="dxa"/>
              <w:right w:w="58" w:type="dxa"/>
            </w:tcMar>
            <w:vAlign w:val="center"/>
          </w:tcPr>
          <w:p w14:paraId="2987214B" w14:textId="77777777" w:rsidR="00816F90" w:rsidRPr="00C456D9" w:rsidRDefault="00816F90" w:rsidP="00816F90">
            <w:pPr>
              <w:pStyle w:val="TblTextCenter"/>
            </w:pPr>
            <w:r w:rsidRPr="00C456D9">
              <w:t>0.11</w:t>
            </w:r>
          </w:p>
        </w:tc>
        <w:tc>
          <w:tcPr>
            <w:tcW w:w="746" w:type="dxa"/>
            <w:shd w:val="clear" w:color="auto" w:fill="auto"/>
            <w:tcMar>
              <w:left w:w="58" w:type="dxa"/>
              <w:right w:w="58" w:type="dxa"/>
            </w:tcMar>
            <w:vAlign w:val="center"/>
          </w:tcPr>
          <w:p w14:paraId="4014FA9C" w14:textId="77777777" w:rsidR="00816F90" w:rsidRPr="00C456D9" w:rsidRDefault="00816F90" w:rsidP="00816F90">
            <w:pPr>
              <w:pStyle w:val="TblTextCenter"/>
            </w:pPr>
            <w:r w:rsidRPr="00C456D9">
              <w:t>18.42</w:t>
            </w:r>
          </w:p>
        </w:tc>
        <w:tc>
          <w:tcPr>
            <w:tcW w:w="678" w:type="dxa"/>
            <w:shd w:val="clear" w:color="auto" w:fill="auto"/>
            <w:tcMar>
              <w:left w:w="58" w:type="dxa"/>
              <w:right w:w="58" w:type="dxa"/>
            </w:tcMar>
            <w:vAlign w:val="center"/>
          </w:tcPr>
          <w:p w14:paraId="7FDF0DA2" w14:textId="77777777" w:rsidR="00816F90" w:rsidRPr="00C456D9" w:rsidRDefault="00816F90" w:rsidP="00816F90">
            <w:pPr>
              <w:pStyle w:val="TblTextCenter"/>
            </w:pPr>
            <w:r w:rsidRPr="00C456D9">
              <w:t>-6.83</w:t>
            </w:r>
          </w:p>
        </w:tc>
        <w:tc>
          <w:tcPr>
            <w:tcW w:w="1455" w:type="dxa"/>
            <w:shd w:val="clear" w:color="auto" w:fill="auto"/>
            <w:tcMar>
              <w:left w:w="58" w:type="dxa"/>
              <w:right w:w="58" w:type="dxa"/>
            </w:tcMar>
            <w:vAlign w:val="center"/>
          </w:tcPr>
          <w:p w14:paraId="2B1AED53" w14:textId="77777777" w:rsidR="00816F90" w:rsidRPr="00C456D9" w:rsidRDefault="00816F90" w:rsidP="00816F90">
            <w:pPr>
              <w:pStyle w:val="TblTextCenter"/>
            </w:pPr>
            <w:r w:rsidRPr="00C456D9">
              <w:t xml:space="preserve">-6.94 </w:t>
            </w:r>
          </w:p>
          <w:p w14:paraId="430F4B2A" w14:textId="77777777" w:rsidR="00816F90" w:rsidRPr="00C456D9" w:rsidRDefault="00816F90" w:rsidP="00816F90">
            <w:pPr>
              <w:pStyle w:val="TblTextCenter"/>
            </w:pPr>
            <w:r w:rsidRPr="00C456D9">
              <w:t>(-7.87, -6.01)</w:t>
            </w:r>
          </w:p>
        </w:tc>
        <w:tc>
          <w:tcPr>
            <w:tcW w:w="250" w:type="dxa"/>
          </w:tcPr>
          <w:p w14:paraId="4ACAB671" w14:textId="77777777" w:rsidR="00816F90" w:rsidRPr="00C456D9" w:rsidRDefault="00816F90" w:rsidP="00816F90">
            <w:pPr>
              <w:pStyle w:val="TblTextCenter"/>
            </w:pPr>
          </w:p>
        </w:tc>
        <w:tc>
          <w:tcPr>
            <w:tcW w:w="236" w:type="dxa"/>
          </w:tcPr>
          <w:p w14:paraId="794A595D" w14:textId="7E48D2C4" w:rsidR="00816F90" w:rsidRPr="00C456D9" w:rsidRDefault="00816F90" w:rsidP="00816F90">
            <w:pPr>
              <w:pStyle w:val="TblTextCenter"/>
            </w:pPr>
          </w:p>
        </w:tc>
        <w:tc>
          <w:tcPr>
            <w:tcW w:w="862" w:type="dxa"/>
            <w:gridSpan w:val="2"/>
            <w:shd w:val="clear" w:color="auto" w:fill="auto"/>
          </w:tcPr>
          <w:p w14:paraId="3CC36512" w14:textId="1FCC3CEF" w:rsidR="00816F90" w:rsidRPr="00C456D9" w:rsidRDefault="00816F90" w:rsidP="00816F90">
            <w:pPr>
              <w:pStyle w:val="TblTextCenter"/>
            </w:pPr>
            <w:r w:rsidRPr="00C456D9">
              <w:t>17.81</w:t>
            </w:r>
          </w:p>
        </w:tc>
        <w:tc>
          <w:tcPr>
            <w:tcW w:w="795" w:type="dxa"/>
            <w:shd w:val="clear" w:color="auto" w:fill="auto"/>
          </w:tcPr>
          <w:p w14:paraId="2F094313" w14:textId="77777777" w:rsidR="00816F90" w:rsidRPr="00C456D9" w:rsidRDefault="00816F90" w:rsidP="00816F90">
            <w:pPr>
              <w:pStyle w:val="TblTextCenter"/>
            </w:pPr>
            <w:r w:rsidRPr="00C456D9">
              <w:t>-5.60</w:t>
            </w:r>
          </w:p>
        </w:tc>
        <w:tc>
          <w:tcPr>
            <w:tcW w:w="1555" w:type="dxa"/>
            <w:shd w:val="clear" w:color="auto" w:fill="auto"/>
          </w:tcPr>
          <w:p w14:paraId="115EFA16" w14:textId="77777777" w:rsidR="00816F90" w:rsidRPr="00C456D9" w:rsidRDefault="00816F90" w:rsidP="00816F90">
            <w:pPr>
              <w:pStyle w:val="TblTextCenter"/>
            </w:pPr>
            <w:r w:rsidRPr="00C456D9">
              <w:t xml:space="preserve">-5.71 </w:t>
            </w:r>
          </w:p>
          <w:p w14:paraId="03ACCABA" w14:textId="77777777" w:rsidR="00816F90" w:rsidRPr="00C456D9" w:rsidRDefault="00816F90" w:rsidP="00816F90">
            <w:pPr>
              <w:pStyle w:val="TblTextCenter"/>
            </w:pPr>
            <w:r w:rsidRPr="00C456D9">
              <w:t>(-6.64, -4.77)</w:t>
            </w:r>
          </w:p>
        </w:tc>
      </w:tr>
      <w:tr w:rsidR="00816F90" w:rsidRPr="00C456D9" w14:paraId="4DE757FE" w14:textId="77777777" w:rsidTr="00816F90">
        <w:trPr>
          <w:cantSplit/>
          <w:trHeight w:val="242"/>
        </w:trPr>
        <w:tc>
          <w:tcPr>
            <w:tcW w:w="1084" w:type="dxa"/>
            <w:shd w:val="clear" w:color="auto" w:fill="auto"/>
            <w:tcMar>
              <w:left w:w="58" w:type="dxa"/>
              <w:right w:w="58" w:type="dxa"/>
            </w:tcMar>
            <w:vAlign w:val="center"/>
          </w:tcPr>
          <w:p w14:paraId="2AF161EF" w14:textId="77777777" w:rsidR="00816F90" w:rsidRPr="00C456D9" w:rsidRDefault="00816F90" w:rsidP="00816F90">
            <w:pPr>
              <w:pStyle w:val="TblTextCenter"/>
            </w:pPr>
            <w:r w:rsidRPr="00C456D9">
              <w:t>Total symptoms score</w:t>
            </w:r>
          </w:p>
        </w:tc>
        <w:tc>
          <w:tcPr>
            <w:tcW w:w="746" w:type="dxa"/>
            <w:shd w:val="clear" w:color="auto" w:fill="auto"/>
            <w:tcMar>
              <w:left w:w="58" w:type="dxa"/>
              <w:right w:w="58" w:type="dxa"/>
            </w:tcMar>
            <w:vAlign w:val="center"/>
          </w:tcPr>
          <w:p w14:paraId="0946E0B3" w14:textId="77777777" w:rsidR="00816F90" w:rsidRPr="00C456D9" w:rsidRDefault="00816F90" w:rsidP="00816F90">
            <w:pPr>
              <w:pStyle w:val="TblTextCenter"/>
            </w:pPr>
            <w:r w:rsidRPr="00C456D9">
              <w:t>7.08</w:t>
            </w:r>
          </w:p>
        </w:tc>
        <w:tc>
          <w:tcPr>
            <w:tcW w:w="883" w:type="dxa"/>
            <w:shd w:val="clear" w:color="auto" w:fill="auto"/>
            <w:tcMar>
              <w:left w:w="58" w:type="dxa"/>
              <w:right w:w="58" w:type="dxa"/>
            </w:tcMar>
            <w:vAlign w:val="center"/>
          </w:tcPr>
          <w:p w14:paraId="7F26E274" w14:textId="77777777" w:rsidR="00816F90" w:rsidRPr="00C456D9" w:rsidRDefault="00816F90" w:rsidP="00816F90">
            <w:pPr>
              <w:pStyle w:val="TblTextCenter"/>
            </w:pPr>
            <w:r w:rsidRPr="00C456D9">
              <w:t>-0.94</w:t>
            </w:r>
          </w:p>
        </w:tc>
        <w:tc>
          <w:tcPr>
            <w:tcW w:w="746" w:type="dxa"/>
            <w:shd w:val="clear" w:color="auto" w:fill="auto"/>
            <w:tcMar>
              <w:left w:w="58" w:type="dxa"/>
              <w:right w:w="58" w:type="dxa"/>
            </w:tcMar>
            <w:vAlign w:val="center"/>
          </w:tcPr>
          <w:p w14:paraId="11CA7B86" w14:textId="77777777" w:rsidR="00816F90" w:rsidRPr="00C456D9" w:rsidRDefault="00816F90" w:rsidP="00816F90">
            <w:pPr>
              <w:pStyle w:val="TblTextCenter"/>
            </w:pPr>
            <w:r w:rsidRPr="00C456D9">
              <w:t>7.31</w:t>
            </w:r>
          </w:p>
        </w:tc>
        <w:tc>
          <w:tcPr>
            <w:tcW w:w="678" w:type="dxa"/>
            <w:shd w:val="clear" w:color="auto" w:fill="auto"/>
            <w:tcMar>
              <w:left w:w="58" w:type="dxa"/>
              <w:right w:w="58" w:type="dxa"/>
            </w:tcMar>
            <w:vAlign w:val="center"/>
          </w:tcPr>
          <w:p w14:paraId="1FF16F11" w14:textId="77777777" w:rsidR="00816F90" w:rsidRPr="00C456D9" w:rsidRDefault="00816F90" w:rsidP="00816F90">
            <w:pPr>
              <w:pStyle w:val="TblTextCenter"/>
            </w:pPr>
            <w:r w:rsidRPr="00C456D9">
              <w:t>-3.79</w:t>
            </w:r>
          </w:p>
        </w:tc>
        <w:tc>
          <w:tcPr>
            <w:tcW w:w="1455" w:type="dxa"/>
            <w:shd w:val="clear" w:color="auto" w:fill="auto"/>
            <w:tcMar>
              <w:left w:w="58" w:type="dxa"/>
              <w:right w:w="58" w:type="dxa"/>
            </w:tcMar>
            <w:vAlign w:val="center"/>
          </w:tcPr>
          <w:p w14:paraId="0C3E992C" w14:textId="77777777" w:rsidR="00816F90" w:rsidRPr="00C456D9" w:rsidRDefault="00816F90" w:rsidP="00816F90">
            <w:pPr>
              <w:pStyle w:val="TblTextCenter"/>
            </w:pPr>
            <w:r w:rsidRPr="00C456D9">
              <w:t>-2.85</w:t>
            </w:r>
          </w:p>
          <w:p w14:paraId="5886F716" w14:textId="77777777" w:rsidR="00816F90" w:rsidRPr="00C456D9" w:rsidRDefault="00816F90" w:rsidP="00816F90">
            <w:pPr>
              <w:pStyle w:val="TblTextCenter"/>
            </w:pPr>
            <w:r w:rsidRPr="00C456D9">
              <w:t>(-3.35, -2.35)</w:t>
            </w:r>
          </w:p>
        </w:tc>
        <w:tc>
          <w:tcPr>
            <w:tcW w:w="250" w:type="dxa"/>
          </w:tcPr>
          <w:p w14:paraId="0E7C3061" w14:textId="77777777" w:rsidR="00816F90" w:rsidRPr="00C456D9" w:rsidRDefault="00816F90" w:rsidP="00816F90">
            <w:pPr>
              <w:pStyle w:val="TblTextCenter"/>
            </w:pPr>
          </w:p>
        </w:tc>
        <w:tc>
          <w:tcPr>
            <w:tcW w:w="236" w:type="dxa"/>
          </w:tcPr>
          <w:p w14:paraId="78317F2C" w14:textId="5DC5F606" w:rsidR="00816F90" w:rsidRPr="00C456D9" w:rsidRDefault="00816F90" w:rsidP="00816F90">
            <w:pPr>
              <w:pStyle w:val="TblTextCenter"/>
            </w:pPr>
          </w:p>
        </w:tc>
        <w:tc>
          <w:tcPr>
            <w:tcW w:w="862" w:type="dxa"/>
            <w:gridSpan w:val="2"/>
            <w:shd w:val="clear" w:color="auto" w:fill="auto"/>
          </w:tcPr>
          <w:p w14:paraId="4CC1F97B" w14:textId="34533BFF" w:rsidR="00816F90" w:rsidRPr="00C456D9" w:rsidRDefault="00816F90" w:rsidP="00816F90">
            <w:pPr>
              <w:pStyle w:val="TblTextCenter"/>
            </w:pPr>
            <w:r w:rsidRPr="00C456D9">
              <w:t>7.28</w:t>
            </w:r>
          </w:p>
        </w:tc>
        <w:tc>
          <w:tcPr>
            <w:tcW w:w="795" w:type="dxa"/>
            <w:shd w:val="clear" w:color="auto" w:fill="auto"/>
          </w:tcPr>
          <w:p w14:paraId="488CD281" w14:textId="77777777" w:rsidR="00816F90" w:rsidRPr="00C456D9" w:rsidRDefault="00816F90" w:rsidP="00816F90">
            <w:pPr>
              <w:pStyle w:val="TblTextCenter"/>
            </w:pPr>
            <w:r w:rsidRPr="00C456D9">
              <w:t>-4.16</w:t>
            </w:r>
          </w:p>
        </w:tc>
        <w:tc>
          <w:tcPr>
            <w:tcW w:w="1555" w:type="dxa"/>
            <w:shd w:val="clear" w:color="auto" w:fill="auto"/>
          </w:tcPr>
          <w:p w14:paraId="5D746B24" w14:textId="77777777" w:rsidR="00816F90" w:rsidRPr="00C456D9" w:rsidRDefault="00816F90" w:rsidP="00816F90">
            <w:pPr>
              <w:pStyle w:val="TblTextCenter"/>
            </w:pPr>
            <w:r w:rsidRPr="00C456D9">
              <w:t>-3.22</w:t>
            </w:r>
          </w:p>
          <w:p w14:paraId="563F1A78" w14:textId="77777777" w:rsidR="00816F90" w:rsidRPr="00C456D9" w:rsidRDefault="00816F90" w:rsidP="00816F90">
            <w:pPr>
              <w:pStyle w:val="TblTextCenter"/>
            </w:pPr>
            <w:r w:rsidRPr="00C456D9">
              <w:t>(-3.73, -2.72)</w:t>
            </w:r>
          </w:p>
        </w:tc>
      </w:tr>
      <w:tr w:rsidR="00816F90" w:rsidRPr="00C456D9" w14:paraId="1846265F" w14:textId="77777777" w:rsidTr="00816F90">
        <w:trPr>
          <w:cantSplit/>
          <w:trHeight w:val="242"/>
        </w:trPr>
        <w:tc>
          <w:tcPr>
            <w:tcW w:w="1084" w:type="dxa"/>
            <w:shd w:val="clear" w:color="auto" w:fill="auto"/>
            <w:tcMar>
              <w:left w:w="58" w:type="dxa"/>
              <w:right w:w="58" w:type="dxa"/>
            </w:tcMar>
            <w:vAlign w:val="center"/>
          </w:tcPr>
          <w:p w14:paraId="3F27826A" w14:textId="77777777" w:rsidR="00816F90" w:rsidRPr="00C456D9" w:rsidRDefault="00816F90" w:rsidP="00816F90">
            <w:pPr>
              <w:pStyle w:val="TblTextCenter"/>
            </w:pPr>
            <w:r w:rsidRPr="00C456D9">
              <w:t>UPSIT</w:t>
            </w:r>
          </w:p>
        </w:tc>
        <w:tc>
          <w:tcPr>
            <w:tcW w:w="746" w:type="dxa"/>
            <w:shd w:val="clear" w:color="auto" w:fill="auto"/>
            <w:tcMar>
              <w:left w:w="58" w:type="dxa"/>
              <w:right w:w="58" w:type="dxa"/>
            </w:tcMar>
            <w:vAlign w:val="center"/>
          </w:tcPr>
          <w:p w14:paraId="69C2FFDC" w14:textId="77777777" w:rsidR="00816F90" w:rsidRPr="00C456D9" w:rsidRDefault="00816F90" w:rsidP="00816F90">
            <w:pPr>
              <w:pStyle w:val="TblTextCenter"/>
            </w:pPr>
            <w:r w:rsidRPr="00C456D9">
              <w:t>13.78</w:t>
            </w:r>
          </w:p>
        </w:tc>
        <w:tc>
          <w:tcPr>
            <w:tcW w:w="883" w:type="dxa"/>
            <w:shd w:val="clear" w:color="auto" w:fill="auto"/>
            <w:tcMar>
              <w:left w:w="58" w:type="dxa"/>
              <w:right w:w="58" w:type="dxa"/>
            </w:tcMar>
            <w:vAlign w:val="center"/>
          </w:tcPr>
          <w:p w14:paraId="78DE9594" w14:textId="77777777" w:rsidR="00816F90" w:rsidRPr="00C456D9" w:rsidRDefault="00816F90" w:rsidP="00816F90">
            <w:pPr>
              <w:pStyle w:val="TblTextCenter"/>
            </w:pPr>
            <w:r w:rsidRPr="00C456D9">
              <w:t>-0.77</w:t>
            </w:r>
          </w:p>
        </w:tc>
        <w:tc>
          <w:tcPr>
            <w:tcW w:w="746" w:type="dxa"/>
            <w:shd w:val="clear" w:color="auto" w:fill="auto"/>
            <w:tcMar>
              <w:left w:w="58" w:type="dxa"/>
              <w:right w:w="58" w:type="dxa"/>
            </w:tcMar>
            <w:vAlign w:val="center"/>
          </w:tcPr>
          <w:p w14:paraId="0E1D35DF" w14:textId="77777777" w:rsidR="00816F90" w:rsidRPr="00C456D9" w:rsidRDefault="00816F90" w:rsidP="00816F90">
            <w:pPr>
              <w:pStyle w:val="TblTextCenter"/>
            </w:pPr>
            <w:r w:rsidRPr="00C456D9">
              <w:t>13.46</w:t>
            </w:r>
          </w:p>
        </w:tc>
        <w:tc>
          <w:tcPr>
            <w:tcW w:w="678" w:type="dxa"/>
            <w:shd w:val="clear" w:color="auto" w:fill="auto"/>
            <w:tcMar>
              <w:left w:w="58" w:type="dxa"/>
              <w:right w:w="58" w:type="dxa"/>
            </w:tcMar>
            <w:vAlign w:val="center"/>
          </w:tcPr>
          <w:p w14:paraId="11A85D18" w14:textId="77777777" w:rsidR="00816F90" w:rsidRPr="00C456D9" w:rsidRDefault="00816F90" w:rsidP="00816F90">
            <w:pPr>
              <w:pStyle w:val="TblTextCenter"/>
            </w:pPr>
            <w:r w:rsidRPr="00C456D9">
              <w:t>9.53</w:t>
            </w:r>
          </w:p>
        </w:tc>
        <w:tc>
          <w:tcPr>
            <w:tcW w:w="1455" w:type="dxa"/>
            <w:shd w:val="clear" w:color="auto" w:fill="auto"/>
            <w:tcMar>
              <w:left w:w="58" w:type="dxa"/>
              <w:right w:w="58" w:type="dxa"/>
            </w:tcMar>
            <w:vAlign w:val="center"/>
          </w:tcPr>
          <w:p w14:paraId="03081439" w14:textId="77777777" w:rsidR="00816F90" w:rsidRPr="00C456D9" w:rsidRDefault="00816F90" w:rsidP="00816F90">
            <w:pPr>
              <w:pStyle w:val="TblTextCenter"/>
            </w:pPr>
            <w:r w:rsidRPr="00C456D9">
              <w:t>10.30</w:t>
            </w:r>
          </w:p>
          <w:p w14:paraId="67FC9284" w14:textId="77777777" w:rsidR="00816F90" w:rsidRPr="00C456D9" w:rsidRDefault="00816F90" w:rsidP="00816F90">
            <w:pPr>
              <w:pStyle w:val="TblTextCenter"/>
            </w:pPr>
            <w:r w:rsidRPr="00C456D9">
              <w:t>(8.50, 12.10)</w:t>
            </w:r>
          </w:p>
        </w:tc>
        <w:tc>
          <w:tcPr>
            <w:tcW w:w="250" w:type="dxa"/>
          </w:tcPr>
          <w:p w14:paraId="5F902703" w14:textId="77777777" w:rsidR="00816F90" w:rsidRPr="00C456D9" w:rsidRDefault="00816F90" w:rsidP="00816F90">
            <w:pPr>
              <w:pStyle w:val="TblTextCenter"/>
            </w:pPr>
          </w:p>
        </w:tc>
        <w:tc>
          <w:tcPr>
            <w:tcW w:w="236" w:type="dxa"/>
          </w:tcPr>
          <w:p w14:paraId="04BB0E41" w14:textId="4D58B7CE" w:rsidR="00816F90" w:rsidRPr="00C456D9" w:rsidRDefault="00816F90" w:rsidP="00816F90">
            <w:pPr>
              <w:pStyle w:val="TblTextCenter"/>
            </w:pPr>
          </w:p>
        </w:tc>
        <w:tc>
          <w:tcPr>
            <w:tcW w:w="862" w:type="dxa"/>
            <w:gridSpan w:val="2"/>
            <w:shd w:val="clear" w:color="auto" w:fill="auto"/>
          </w:tcPr>
          <w:p w14:paraId="5F8DBA8E" w14:textId="1DE8BD83" w:rsidR="00816F90" w:rsidRPr="00C456D9" w:rsidRDefault="00816F90" w:rsidP="00816F90">
            <w:pPr>
              <w:pStyle w:val="TblTextCenter"/>
            </w:pPr>
            <w:r w:rsidRPr="00C456D9">
              <w:t>13.60</w:t>
            </w:r>
          </w:p>
        </w:tc>
        <w:tc>
          <w:tcPr>
            <w:tcW w:w="795" w:type="dxa"/>
            <w:shd w:val="clear" w:color="auto" w:fill="auto"/>
          </w:tcPr>
          <w:p w14:paraId="5B3AB9F1" w14:textId="77777777" w:rsidR="00816F90" w:rsidRPr="00C456D9" w:rsidRDefault="00816F90" w:rsidP="00816F90">
            <w:pPr>
              <w:pStyle w:val="TblTextCenter"/>
            </w:pPr>
            <w:r w:rsidRPr="00C456D9">
              <w:t>9.99</w:t>
            </w:r>
          </w:p>
        </w:tc>
        <w:tc>
          <w:tcPr>
            <w:tcW w:w="1555" w:type="dxa"/>
            <w:shd w:val="clear" w:color="auto" w:fill="auto"/>
          </w:tcPr>
          <w:p w14:paraId="76FC4304" w14:textId="77777777" w:rsidR="00816F90" w:rsidRPr="00C456D9" w:rsidRDefault="00816F90" w:rsidP="00816F90">
            <w:pPr>
              <w:pStyle w:val="TblTextCenter"/>
            </w:pPr>
            <w:r w:rsidRPr="00C456D9">
              <w:t>10.76</w:t>
            </w:r>
          </w:p>
          <w:p w14:paraId="46A3E2F2" w14:textId="77777777" w:rsidR="00816F90" w:rsidRPr="00C456D9" w:rsidRDefault="00816F90" w:rsidP="00816F90">
            <w:pPr>
              <w:pStyle w:val="TblTextCenter"/>
            </w:pPr>
            <w:r w:rsidRPr="00C456D9">
              <w:t>(8.95, 12.57)</w:t>
            </w:r>
          </w:p>
        </w:tc>
      </w:tr>
      <w:tr w:rsidR="00816F90" w:rsidRPr="00C456D9" w14:paraId="209723EF" w14:textId="77777777" w:rsidTr="00816F90">
        <w:trPr>
          <w:cantSplit/>
          <w:trHeight w:val="242"/>
        </w:trPr>
        <w:tc>
          <w:tcPr>
            <w:tcW w:w="1084" w:type="dxa"/>
            <w:shd w:val="clear" w:color="auto" w:fill="auto"/>
            <w:tcMar>
              <w:left w:w="58" w:type="dxa"/>
              <w:right w:w="58" w:type="dxa"/>
            </w:tcMar>
            <w:vAlign w:val="center"/>
          </w:tcPr>
          <w:p w14:paraId="563AD6CA" w14:textId="77777777" w:rsidR="00816F90" w:rsidRPr="00C456D9" w:rsidRDefault="00816F90" w:rsidP="00816F90">
            <w:pPr>
              <w:pStyle w:val="TblTextCenter"/>
            </w:pPr>
            <w:r w:rsidRPr="00C456D9">
              <w:lastRenderedPageBreak/>
              <w:t>Loss of Smell</w:t>
            </w:r>
          </w:p>
        </w:tc>
        <w:tc>
          <w:tcPr>
            <w:tcW w:w="746" w:type="dxa"/>
            <w:shd w:val="clear" w:color="auto" w:fill="auto"/>
            <w:tcMar>
              <w:left w:w="58" w:type="dxa"/>
              <w:right w:w="58" w:type="dxa"/>
            </w:tcMar>
          </w:tcPr>
          <w:p w14:paraId="2A4ED9C7" w14:textId="77777777" w:rsidR="00816F90" w:rsidRPr="00C456D9" w:rsidRDefault="00816F90" w:rsidP="00816F90">
            <w:pPr>
              <w:pStyle w:val="TblTextCenter"/>
            </w:pPr>
            <w:r w:rsidRPr="00C456D9">
              <w:t>2.72</w:t>
            </w:r>
          </w:p>
        </w:tc>
        <w:tc>
          <w:tcPr>
            <w:tcW w:w="883" w:type="dxa"/>
            <w:shd w:val="clear" w:color="auto" w:fill="auto"/>
            <w:tcMar>
              <w:left w:w="58" w:type="dxa"/>
              <w:right w:w="58" w:type="dxa"/>
            </w:tcMar>
          </w:tcPr>
          <w:p w14:paraId="2E056B54" w14:textId="77777777" w:rsidR="00816F90" w:rsidRPr="00C456D9" w:rsidRDefault="00816F90" w:rsidP="00816F90">
            <w:pPr>
              <w:pStyle w:val="TblTextCenter"/>
            </w:pPr>
            <w:r w:rsidRPr="00C456D9">
              <w:t>-0.19</w:t>
            </w:r>
          </w:p>
        </w:tc>
        <w:tc>
          <w:tcPr>
            <w:tcW w:w="746" w:type="dxa"/>
            <w:shd w:val="clear" w:color="auto" w:fill="auto"/>
            <w:tcMar>
              <w:left w:w="58" w:type="dxa"/>
              <w:right w:w="58" w:type="dxa"/>
            </w:tcMar>
          </w:tcPr>
          <w:p w14:paraId="20F34CA9" w14:textId="77777777" w:rsidR="00816F90" w:rsidRPr="00C456D9" w:rsidRDefault="00816F90" w:rsidP="00816F90">
            <w:pPr>
              <w:pStyle w:val="TblTextCenter"/>
            </w:pPr>
            <w:r w:rsidRPr="00C456D9">
              <w:t>2.81</w:t>
            </w:r>
          </w:p>
        </w:tc>
        <w:tc>
          <w:tcPr>
            <w:tcW w:w="678" w:type="dxa"/>
            <w:shd w:val="clear" w:color="auto" w:fill="auto"/>
            <w:tcMar>
              <w:left w:w="58" w:type="dxa"/>
              <w:right w:w="58" w:type="dxa"/>
            </w:tcMar>
          </w:tcPr>
          <w:p w14:paraId="30D0AC63" w14:textId="77777777" w:rsidR="00816F90" w:rsidRPr="00C456D9" w:rsidRDefault="00816F90" w:rsidP="00816F90">
            <w:pPr>
              <w:pStyle w:val="TblTextCenter"/>
            </w:pPr>
            <w:r w:rsidRPr="00C456D9">
              <w:t>-1.29</w:t>
            </w:r>
          </w:p>
        </w:tc>
        <w:tc>
          <w:tcPr>
            <w:tcW w:w="1455" w:type="dxa"/>
            <w:shd w:val="clear" w:color="auto" w:fill="auto"/>
            <w:tcMar>
              <w:left w:w="58" w:type="dxa"/>
              <w:right w:w="58" w:type="dxa"/>
            </w:tcMar>
          </w:tcPr>
          <w:p w14:paraId="50722642" w14:textId="77777777" w:rsidR="00816F90" w:rsidRPr="00C456D9" w:rsidRDefault="00816F90" w:rsidP="00816F90">
            <w:pPr>
              <w:pStyle w:val="TblTextCenter"/>
            </w:pPr>
            <w:r w:rsidRPr="00C456D9">
              <w:t>-1.10</w:t>
            </w:r>
          </w:p>
          <w:p w14:paraId="46329914" w14:textId="77777777" w:rsidR="00816F90" w:rsidRPr="00C456D9" w:rsidRDefault="00816F90" w:rsidP="00816F90">
            <w:pPr>
              <w:pStyle w:val="TblTextCenter"/>
            </w:pPr>
            <w:r w:rsidRPr="00C456D9">
              <w:t>(-1.31, -0.89)</w:t>
            </w:r>
          </w:p>
        </w:tc>
        <w:tc>
          <w:tcPr>
            <w:tcW w:w="250" w:type="dxa"/>
          </w:tcPr>
          <w:p w14:paraId="76CAF12E" w14:textId="77777777" w:rsidR="00816F90" w:rsidRPr="00C456D9" w:rsidRDefault="00816F90" w:rsidP="00816F90">
            <w:pPr>
              <w:pStyle w:val="TblTextCenter"/>
            </w:pPr>
          </w:p>
        </w:tc>
        <w:tc>
          <w:tcPr>
            <w:tcW w:w="236" w:type="dxa"/>
          </w:tcPr>
          <w:p w14:paraId="0950ED9C" w14:textId="38357B60" w:rsidR="00816F90" w:rsidRPr="00C456D9" w:rsidRDefault="00816F90" w:rsidP="00816F90">
            <w:pPr>
              <w:pStyle w:val="TblTextCenter"/>
            </w:pPr>
          </w:p>
        </w:tc>
        <w:tc>
          <w:tcPr>
            <w:tcW w:w="862" w:type="dxa"/>
            <w:gridSpan w:val="2"/>
            <w:shd w:val="clear" w:color="auto" w:fill="auto"/>
          </w:tcPr>
          <w:p w14:paraId="1E276BB6" w14:textId="171E87EB" w:rsidR="00816F90" w:rsidRPr="00C456D9" w:rsidRDefault="00816F90" w:rsidP="00816F90">
            <w:pPr>
              <w:pStyle w:val="TblTextCenter"/>
            </w:pPr>
            <w:r w:rsidRPr="00C456D9">
              <w:t>2.73</w:t>
            </w:r>
          </w:p>
        </w:tc>
        <w:tc>
          <w:tcPr>
            <w:tcW w:w="795" w:type="dxa"/>
            <w:shd w:val="clear" w:color="auto" w:fill="auto"/>
          </w:tcPr>
          <w:p w14:paraId="695BD79E" w14:textId="77777777" w:rsidR="00816F90" w:rsidRPr="00C456D9" w:rsidRDefault="00816F90" w:rsidP="00816F90">
            <w:pPr>
              <w:pStyle w:val="TblTextCenter"/>
            </w:pPr>
            <w:r w:rsidRPr="00C456D9">
              <w:t>-1.49</w:t>
            </w:r>
          </w:p>
        </w:tc>
        <w:tc>
          <w:tcPr>
            <w:tcW w:w="1555" w:type="dxa"/>
            <w:shd w:val="clear" w:color="auto" w:fill="auto"/>
          </w:tcPr>
          <w:p w14:paraId="036BB293" w14:textId="77777777" w:rsidR="00816F90" w:rsidRPr="00C456D9" w:rsidRDefault="00816F90" w:rsidP="00816F90">
            <w:pPr>
              <w:pStyle w:val="TblTextCenter"/>
            </w:pPr>
            <w:r w:rsidRPr="00C456D9">
              <w:t>-1.30</w:t>
            </w:r>
          </w:p>
          <w:p w14:paraId="55AE73A3" w14:textId="77777777" w:rsidR="00816F90" w:rsidRPr="00C456D9" w:rsidRDefault="00816F90" w:rsidP="00816F90">
            <w:pPr>
              <w:pStyle w:val="TblTextCenter"/>
            </w:pPr>
            <w:r w:rsidRPr="00C456D9">
              <w:t>(-1.51, -1.09)</w:t>
            </w:r>
          </w:p>
        </w:tc>
      </w:tr>
      <w:tr w:rsidR="00816F90" w:rsidRPr="00C456D9" w14:paraId="1E893E2E" w14:textId="77777777" w:rsidTr="00816F90">
        <w:trPr>
          <w:cantSplit/>
          <w:trHeight w:val="242"/>
        </w:trPr>
        <w:tc>
          <w:tcPr>
            <w:tcW w:w="1084" w:type="dxa"/>
            <w:shd w:val="clear" w:color="auto" w:fill="auto"/>
            <w:tcMar>
              <w:left w:w="58" w:type="dxa"/>
              <w:right w:w="58" w:type="dxa"/>
            </w:tcMar>
            <w:vAlign w:val="center"/>
          </w:tcPr>
          <w:p w14:paraId="614A5AFE" w14:textId="77777777" w:rsidR="00816F90" w:rsidRPr="00C456D9" w:rsidRDefault="00816F90" w:rsidP="00816F90">
            <w:pPr>
              <w:pStyle w:val="TblTextCenter"/>
            </w:pPr>
            <w:r w:rsidRPr="00C456D9">
              <w:t>SNOT-22</w:t>
            </w:r>
          </w:p>
        </w:tc>
        <w:tc>
          <w:tcPr>
            <w:tcW w:w="746" w:type="dxa"/>
            <w:shd w:val="clear" w:color="auto" w:fill="auto"/>
            <w:tcMar>
              <w:left w:w="58" w:type="dxa"/>
              <w:right w:w="58" w:type="dxa"/>
            </w:tcMar>
            <w:vAlign w:val="center"/>
          </w:tcPr>
          <w:p w14:paraId="7C91B3F0" w14:textId="77777777" w:rsidR="00816F90" w:rsidRPr="00C456D9" w:rsidRDefault="00816F90" w:rsidP="00816F90">
            <w:pPr>
              <w:pStyle w:val="TblTextCenter"/>
            </w:pPr>
            <w:r w:rsidRPr="00C456D9">
              <w:t>53.48</w:t>
            </w:r>
          </w:p>
        </w:tc>
        <w:tc>
          <w:tcPr>
            <w:tcW w:w="883" w:type="dxa"/>
            <w:shd w:val="clear" w:color="auto" w:fill="auto"/>
            <w:tcMar>
              <w:left w:w="58" w:type="dxa"/>
              <w:right w:w="58" w:type="dxa"/>
            </w:tcMar>
            <w:vAlign w:val="center"/>
          </w:tcPr>
          <w:p w14:paraId="7CB0ED14" w14:textId="77777777" w:rsidR="00816F90" w:rsidRPr="00C456D9" w:rsidRDefault="00816F90" w:rsidP="00816F90">
            <w:pPr>
              <w:pStyle w:val="TblTextCenter"/>
            </w:pPr>
            <w:r w:rsidRPr="00C456D9">
              <w:t>-8.88</w:t>
            </w:r>
          </w:p>
        </w:tc>
        <w:tc>
          <w:tcPr>
            <w:tcW w:w="746" w:type="dxa"/>
            <w:shd w:val="clear" w:color="auto" w:fill="auto"/>
            <w:tcMar>
              <w:left w:w="58" w:type="dxa"/>
              <w:right w:w="58" w:type="dxa"/>
            </w:tcMar>
            <w:vAlign w:val="center"/>
          </w:tcPr>
          <w:p w14:paraId="2A8411E0" w14:textId="77777777" w:rsidR="00816F90" w:rsidRPr="00C456D9" w:rsidRDefault="00816F90" w:rsidP="00816F90">
            <w:pPr>
              <w:pStyle w:val="TblTextCenter"/>
            </w:pPr>
            <w:r w:rsidRPr="00C456D9">
              <w:t>50.16</w:t>
            </w:r>
          </w:p>
        </w:tc>
        <w:tc>
          <w:tcPr>
            <w:tcW w:w="678" w:type="dxa"/>
            <w:shd w:val="clear" w:color="auto" w:fill="auto"/>
            <w:tcMar>
              <w:left w:w="58" w:type="dxa"/>
              <w:right w:w="58" w:type="dxa"/>
            </w:tcMar>
            <w:vAlign w:val="center"/>
          </w:tcPr>
          <w:p w14:paraId="27AE90B9" w14:textId="77777777" w:rsidR="00816F90" w:rsidRPr="00C456D9" w:rsidRDefault="00816F90" w:rsidP="00816F90">
            <w:pPr>
              <w:pStyle w:val="TblTextCenter"/>
            </w:pPr>
            <w:r w:rsidRPr="00C456D9">
              <w:t>-29.84</w:t>
            </w:r>
          </w:p>
        </w:tc>
        <w:tc>
          <w:tcPr>
            <w:tcW w:w="1455" w:type="dxa"/>
            <w:shd w:val="clear" w:color="auto" w:fill="auto"/>
            <w:tcMar>
              <w:left w:w="58" w:type="dxa"/>
              <w:right w:w="58" w:type="dxa"/>
            </w:tcMar>
            <w:vAlign w:val="center"/>
          </w:tcPr>
          <w:p w14:paraId="6EF2D495" w14:textId="77777777" w:rsidR="00816F90" w:rsidRPr="00C456D9" w:rsidRDefault="00816F90" w:rsidP="00816F90">
            <w:pPr>
              <w:pStyle w:val="TblTextCenter"/>
            </w:pPr>
            <w:r w:rsidRPr="00C456D9">
              <w:t>-20.96</w:t>
            </w:r>
          </w:p>
          <w:p w14:paraId="74D24DFD" w14:textId="77777777" w:rsidR="00816F90" w:rsidRPr="00C456D9" w:rsidRDefault="00816F90" w:rsidP="00816F90">
            <w:pPr>
              <w:pStyle w:val="TblTextCenter"/>
            </w:pPr>
            <w:r w:rsidRPr="00C456D9">
              <w:t>(-25.03, -16.89)</w:t>
            </w:r>
          </w:p>
        </w:tc>
        <w:tc>
          <w:tcPr>
            <w:tcW w:w="250" w:type="dxa"/>
          </w:tcPr>
          <w:p w14:paraId="4DCAECA6" w14:textId="77777777" w:rsidR="00816F90" w:rsidRPr="00C456D9" w:rsidRDefault="00816F90" w:rsidP="00816F90">
            <w:pPr>
              <w:pStyle w:val="TblTextCenter"/>
            </w:pPr>
          </w:p>
        </w:tc>
        <w:tc>
          <w:tcPr>
            <w:tcW w:w="236" w:type="dxa"/>
          </w:tcPr>
          <w:p w14:paraId="338C4948" w14:textId="629373B6" w:rsidR="00816F90" w:rsidRPr="00C456D9" w:rsidRDefault="00816F90" w:rsidP="00816F90">
            <w:pPr>
              <w:pStyle w:val="TblTextCenter"/>
            </w:pPr>
          </w:p>
        </w:tc>
        <w:tc>
          <w:tcPr>
            <w:tcW w:w="862" w:type="dxa"/>
            <w:gridSpan w:val="2"/>
            <w:shd w:val="clear" w:color="auto" w:fill="auto"/>
          </w:tcPr>
          <w:p w14:paraId="4306D879" w14:textId="00B825BC" w:rsidR="00816F90" w:rsidRPr="00C456D9" w:rsidRDefault="00816F90" w:rsidP="00816F90">
            <w:pPr>
              <w:pStyle w:val="TblTextCenter"/>
            </w:pPr>
            <w:r w:rsidRPr="00C456D9">
              <w:t>51.89</w:t>
            </w:r>
          </w:p>
        </w:tc>
        <w:tc>
          <w:tcPr>
            <w:tcW w:w="795" w:type="dxa"/>
            <w:shd w:val="clear" w:color="auto" w:fill="auto"/>
          </w:tcPr>
          <w:p w14:paraId="78AB73A5" w14:textId="77777777" w:rsidR="00816F90" w:rsidRPr="00C456D9" w:rsidRDefault="00816F90" w:rsidP="00816F90">
            <w:pPr>
              <w:pStyle w:val="TblTextCenter"/>
            </w:pPr>
            <w:r w:rsidRPr="00C456D9">
              <w:t>-30.52</w:t>
            </w:r>
          </w:p>
        </w:tc>
        <w:tc>
          <w:tcPr>
            <w:tcW w:w="1555" w:type="dxa"/>
            <w:shd w:val="clear" w:color="auto" w:fill="auto"/>
          </w:tcPr>
          <w:p w14:paraId="64806B0A" w14:textId="77777777" w:rsidR="00816F90" w:rsidRPr="00C456D9" w:rsidRDefault="00816F90" w:rsidP="00816F90">
            <w:pPr>
              <w:pStyle w:val="TblTextCenter"/>
            </w:pPr>
            <w:r w:rsidRPr="00C456D9">
              <w:t>-21.65</w:t>
            </w:r>
          </w:p>
          <w:p w14:paraId="2D974044" w14:textId="77777777" w:rsidR="00816F90" w:rsidRPr="00C456D9" w:rsidRDefault="00816F90" w:rsidP="00816F90">
            <w:pPr>
              <w:pStyle w:val="TblTextCenter"/>
            </w:pPr>
            <w:r w:rsidRPr="00C456D9">
              <w:t>(-25.71, -17.58)</w:t>
            </w:r>
          </w:p>
        </w:tc>
      </w:tr>
      <w:tr w:rsidR="00816F90" w:rsidRPr="00C456D9" w14:paraId="5F6CECB4" w14:textId="77777777" w:rsidTr="00816F90">
        <w:trPr>
          <w:cantSplit/>
          <w:trHeight w:val="242"/>
        </w:trPr>
        <w:tc>
          <w:tcPr>
            <w:tcW w:w="1084" w:type="dxa"/>
            <w:tcBorders>
              <w:bottom w:val="single" w:sz="12" w:space="0" w:color="auto"/>
            </w:tcBorders>
            <w:shd w:val="clear" w:color="auto" w:fill="auto"/>
            <w:tcMar>
              <w:left w:w="58" w:type="dxa"/>
              <w:right w:w="58" w:type="dxa"/>
            </w:tcMar>
            <w:vAlign w:val="center"/>
          </w:tcPr>
          <w:p w14:paraId="12233D83" w14:textId="77777777" w:rsidR="00816F90" w:rsidRPr="00C456D9" w:rsidRDefault="00816F90" w:rsidP="00816F90">
            <w:pPr>
              <w:pStyle w:val="TblTextCenter"/>
            </w:pPr>
            <w:r w:rsidRPr="00C456D9">
              <w:t>VAS</w:t>
            </w:r>
          </w:p>
        </w:tc>
        <w:tc>
          <w:tcPr>
            <w:tcW w:w="746" w:type="dxa"/>
            <w:tcBorders>
              <w:bottom w:val="single" w:sz="12" w:space="0" w:color="auto"/>
            </w:tcBorders>
            <w:shd w:val="clear" w:color="auto" w:fill="auto"/>
            <w:tcMar>
              <w:left w:w="58" w:type="dxa"/>
              <w:right w:w="58" w:type="dxa"/>
            </w:tcMar>
            <w:vAlign w:val="center"/>
          </w:tcPr>
          <w:p w14:paraId="6CFB730C" w14:textId="77777777" w:rsidR="00816F90" w:rsidRPr="00C456D9" w:rsidRDefault="00816F90" w:rsidP="00816F90">
            <w:pPr>
              <w:pStyle w:val="TblTextCenter"/>
            </w:pPr>
            <w:r w:rsidRPr="00C456D9">
              <w:t>7.98</w:t>
            </w:r>
          </w:p>
        </w:tc>
        <w:tc>
          <w:tcPr>
            <w:tcW w:w="883" w:type="dxa"/>
            <w:tcBorders>
              <w:bottom w:val="single" w:sz="12" w:space="0" w:color="auto"/>
            </w:tcBorders>
            <w:shd w:val="clear" w:color="auto" w:fill="auto"/>
            <w:tcMar>
              <w:left w:w="58" w:type="dxa"/>
              <w:right w:w="58" w:type="dxa"/>
            </w:tcMar>
            <w:vAlign w:val="center"/>
          </w:tcPr>
          <w:p w14:paraId="057996DD" w14:textId="77777777" w:rsidR="00816F90" w:rsidRPr="00C456D9" w:rsidRDefault="00816F90" w:rsidP="00816F90">
            <w:pPr>
              <w:pStyle w:val="TblTextCenter"/>
            </w:pPr>
            <w:r w:rsidRPr="00C456D9">
              <w:t>-0.93</w:t>
            </w:r>
          </w:p>
        </w:tc>
        <w:tc>
          <w:tcPr>
            <w:tcW w:w="746" w:type="dxa"/>
            <w:tcBorders>
              <w:bottom w:val="single" w:sz="12" w:space="0" w:color="auto"/>
            </w:tcBorders>
            <w:shd w:val="clear" w:color="auto" w:fill="auto"/>
            <w:tcMar>
              <w:left w:w="58" w:type="dxa"/>
              <w:right w:w="58" w:type="dxa"/>
            </w:tcMar>
            <w:vAlign w:val="center"/>
          </w:tcPr>
          <w:p w14:paraId="249D475F" w14:textId="77777777" w:rsidR="00816F90" w:rsidRPr="00C456D9" w:rsidRDefault="00816F90" w:rsidP="00816F90">
            <w:pPr>
              <w:pStyle w:val="TblTextCenter"/>
            </w:pPr>
            <w:r w:rsidRPr="00C456D9">
              <w:t>8.24</w:t>
            </w:r>
          </w:p>
        </w:tc>
        <w:tc>
          <w:tcPr>
            <w:tcW w:w="678" w:type="dxa"/>
            <w:tcBorders>
              <w:bottom w:val="single" w:sz="12" w:space="0" w:color="auto"/>
            </w:tcBorders>
            <w:shd w:val="clear" w:color="auto" w:fill="auto"/>
            <w:tcMar>
              <w:left w:w="58" w:type="dxa"/>
              <w:right w:w="58" w:type="dxa"/>
            </w:tcMar>
            <w:vAlign w:val="center"/>
          </w:tcPr>
          <w:p w14:paraId="40C7CBFF" w14:textId="77777777" w:rsidR="00816F90" w:rsidRPr="00C456D9" w:rsidRDefault="00816F90" w:rsidP="00816F90">
            <w:pPr>
              <w:pStyle w:val="TblTextCenter"/>
            </w:pPr>
            <w:r w:rsidRPr="00C456D9">
              <w:t>-4.74</w:t>
            </w:r>
          </w:p>
        </w:tc>
        <w:tc>
          <w:tcPr>
            <w:tcW w:w="1455" w:type="dxa"/>
            <w:tcBorders>
              <w:bottom w:val="single" w:sz="12" w:space="0" w:color="auto"/>
            </w:tcBorders>
            <w:shd w:val="clear" w:color="auto" w:fill="auto"/>
            <w:tcMar>
              <w:left w:w="58" w:type="dxa"/>
              <w:right w:w="58" w:type="dxa"/>
            </w:tcMar>
            <w:vAlign w:val="center"/>
          </w:tcPr>
          <w:p w14:paraId="4BE9D03A" w14:textId="77777777" w:rsidR="00816F90" w:rsidRPr="00C456D9" w:rsidRDefault="00816F90" w:rsidP="00816F90">
            <w:pPr>
              <w:pStyle w:val="TblTextCenter"/>
            </w:pPr>
            <w:r w:rsidRPr="00C456D9">
              <w:t>-3.81</w:t>
            </w:r>
          </w:p>
          <w:p w14:paraId="63E60BB2" w14:textId="77777777" w:rsidR="00816F90" w:rsidRPr="00C456D9" w:rsidRDefault="00816F90" w:rsidP="00816F90">
            <w:pPr>
              <w:pStyle w:val="TblTextCenter"/>
            </w:pPr>
            <w:r w:rsidRPr="00C456D9">
              <w:t>(-4.46, -3.17)</w:t>
            </w:r>
          </w:p>
        </w:tc>
        <w:tc>
          <w:tcPr>
            <w:tcW w:w="250" w:type="dxa"/>
            <w:tcBorders>
              <w:bottom w:val="single" w:sz="12" w:space="0" w:color="auto"/>
            </w:tcBorders>
          </w:tcPr>
          <w:p w14:paraId="0D5933EE" w14:textId="77777777" w:rsidR="00816F90" w:rsidRPr="00C456D9" w:rsidRDefault="00816F90" w:rsidP="00816F90">
            <w:pPr>
              <w:pStyle w:val="TblTextCenter"/>
            </w:pPr>
          </w:p>
        </w:tc>
        <w:tc>
          <w:tcPr>
            <w:tcW w:w="236" w:type="dxa"/>
            <w:tcBorders>
              <w:bottom w:val="single" w:sz="12" w:space="0" w:color="auto"/>
            </w:tcBorders>
          </w:tcPr>
          <w:p w14:paraId="74DAD4C4" w14:textId="7CE58CD8" w:rsidR="00816F90" w:rsidRPr="00C456D9" w:rsidRDefault="00816F90" w:rsidP="00816F90">
            <w:pPr>
              <w:pStyle w:val="TblTextCenter"/>
            </w:pPr>
          </w:p>
        </w:tc>
        <w:tc>
          <w:tcPr>
            <w:tcW w:w="862" w:type="dxa"/>
            <w:gridSpan w:val="2"/>
            <w:tcBorders>
              <w:bottom w:val="single" w:sz="12" w:space="0" w:color="auto"/>
            </w:tcBorders>
            <w:shd w:val="clear" w:color="auto" w:fill="auto"/>
          </w:tcPr>
          <w:p w14:paraId="0B5BA893" w14:textId="27E41A89" w:rsidR="00816F90" w:rsidRPr="00C456D9" w:rsidRDefault="00816F90" w:rsidP="00816F90">
            <w:pPr>
              <w:pStyle w:val="TblTextCenter"/>
            </w:pPr>
            <w:r w:rsidRPr="00C456D9">
              <w:t>7.78</w:t>
            </w:r>
          </w:p>
        </w:tc>
        <w:tc>
          <w:tcPr>
            <w:tcW w:w="795" w:type="dxa"/>
            <w:tcBorders>
              <w:bottom w:val="single" w:sz="12" w:space="0" w:color="auto"/>
            </w:tcBorders>
            <w:shd w:val="clear" w:color="auto" w:fill="auto"/>
          </w:tcPr>
          <w:p w14:paraId="565EBB02" w14:textId="77777777" w:rsidR="00816F90" w:rsidRPr="00C456D9" w:rsidRDefault="00816F90" w:rsidP="00816F90">
            <w:pPr>
              <w:pStyle w:val="TblTextCenter"/>
            </w:pPr>
            <w:r w:rsidRPr="00C456D9">
              <w:t>-4.39</w:t>
            </w:r>
          </w:p>
        </w:tc>
        <w:tc>
          <w:tcPr>
            <w:tcW w:w="1555" w:type="dxa"/>
            <w:tcBorders>
              <w:bottom w:val="single" w:sz="12" w:space="0" w:color="auto"/>
            </w:tcBorders>
            <w:shd w:val="clear" w:color="auto" w:fill="auto"/>
          </w:tcPr>
          <w:p w14:paraId="0B3930FE" w14:textId="77777777" w:rsidR="00816F90" w:rsidRPr="00C456D9" w:rsidRDefault="00816F90" w:rsidP="00816F90">
            <w:pPr>
              <w:pStyle w:val="TblTextCenter"/>
            </w:pPr>
            <w:r w:rsidRPr="00C456D9">
              <w:t>-3.46</w:t>
            </w:r>
          </w:p>
          <w:p w14:paraId="2C193E04" w14:textId="77777777" w:rsidR="00816F90" w:rsidRPr="00C456D9" w:rsidRDefault="00816F90" w:rsidP="00816F90">
            <w:pPr>
              <w:pStyle w:val="TblTextCenter"/>
            </w:pPr>
            <w:r w:rsidRPr="00C456D9">
              <w:t>(-4.10, -2.81)</w:t>
            </w:r>
          </w:p>
        </w:tc>
      </w:tr>
      <w:tr w:rsidR="00C456D9" w:rsidRPr="00C456D9" w14:paraId="096EB7E5" w14:textId="77777777" w:rsidTr="002952CE">
        <w:trPr>
          <w:cantSplit/>
          <w:trHeight w:val="242"/>
        </w:trPr>
        <w:tc>
          <w:tcPr>
            <w:tcW w:w="9290" w:type="dxa"/>
            <w:gridSpan w:val="12"/>
            <w:tcBorders>
              <w:top w:val="single" w:sz="12" w:space="0" w:color="auto"/>
            </w:tcBorders>
          </w:tcPr>
          <w:p w14:paraId="47677200" w14:textId="77777777" w:rsidR="00C456D9" w:rsidRPr="00C456D9" w:rsidRDefault="00C456D9" w:rsidP="00C456D9">
            <w:pPr>
              <w:spacing w:before="0"/>
              <w:rPr>
                <w:rFonts w:ascii="Arial Narrow" w:hAnsi="Arial Narrow"/>
                <w:color w:val="auto"/>
                <w:sz w:val="18"/>
                <w:szCs w:val="18"/>
              </w:rPr>
            </w:pPr>
            <w:r w:rsidRPr="00C456D9">
              <w:rPr>
                <w:rFonts w:ascii="Arial Narrow" w:hAnsi="Arial Narrow"/>
                <w:color w:val="auto"/>
                <w:sz w:val="18"/>
                <w:szCs w:val="18"/>
              </w:rPr>
              <w:t>A reduction in score indicates improvement, except UPSIT where an increase indicates improvement.</w:t>
            </w:r>
          </w:p>
          <w:p w14:paraId="668D4902" w14:textId="77777777" w:rsidR="00C456D9" w:rsidRPr="00C456D9" w:rsidRDefault="00C456D9" w:rsidP="00C456D9">
            <w:pPr>
              <w:spacing w:before="0"/>
              <w:rPr>
                <w:rFonts w:ascii="Arial Narrow" w:hAnsi="Arial Narrow"/>
                <w:color w:val="auto"/>
                <w:sz w:val="18"/>
                <w:szCs w:val="18"/>
              </w:rPr>
            </w:pPr>
            <w:r w:rsidRPr="00C456D9">
              <w:rPr>
                <w:rFonts w:ascii="Arial Narrow" w:hAnsi="Arial Narrow"/>
                <w:color w:val="auto"/>
                <w:sz w:val="18"/>
                <w:szCs w:val="18"/>
              </w:rPr>
              <w:t xml:space="preserve">NC = nasal congestion, NPS = nasal polyposis score; LMK = Lund-MacKay total CT score; UPSIT = University of Pennsylvania smell identification test; SNOT-22 = 22-item </w:t>
            </w:r>
            <w:proofErr w:type="spellStart"/>
            <w:r w:rsidRPr="00C456D9">
              <w:rPr>
                <w:rFonts w:ascii="Arial Narrow" w:hAnsi="Arial Narrow"/>
                <w:color w:val="auto"/>
                <w:sz w:val="18"/>
                <w:szCs w:val="18"/>
              </w:rPr>
              <w:t>sino</w:t>
            </w:r>
            <w:proofErr w:type="spellEnd"/>
            <w:r w:rsidRPr="00C456D9">
              <w:rPr>
                <w:rFonts w:ascii="Arial Narrow" w:hAnsi="Arial Narrow"/>
                <w:color w:val="auto"/>
                <w:sz w:val="18"/>
                <w:szCs w:val="18"/>
              </w:rPr>
              <w:t>-nasal outcome test; TSS = total symptom score; VAS = visual analogue scale for rhinosinusitis</w:t>
            </w:r>
          </w:p>
          <w:p w14:paraId="5536B7DA" w14:textId="77777777" w:rsidR="00C456D9" w:rsidRDefault="00C456D9" w:rsidP="00C456D9">
            <w:pPr>
              <w:spacing w:before="0"/>
              <w:rPr>
                <w:rFonts w:ascii="Arial Narrow" w:hAnsi="Arial Narrow"/>
                <w:color w:val="0000FF"/>
                <w:sz w:val="18"/>
                <w:szCs w:val="18"/>
                <w:u w:val="double"/>
              </w:rPr>
            </w:pPr>
            <w:r w:rsidRPr="00C456D9">
              <w:rPr>
                <w:rFonts w:ascii="Arial Narrow" w:hAnsi="Arial Narrow"/>
                <w:color w:val="auto"/>
                <w:sz w:val="18"/>
                <w:szCs w:val="18"/>
              </w:rPr>
              <w:t>(all p values &lt;0.0001)</w:t>
            </w:r>
          </w:p>
          <w:p w14:paraId="6760D8EC" w14:textId="3229F5DF" w:rsidR="00C456D9" w:rsidRPr="00C456D9" w:rsidRDefault="00C456D9" w:rsidP="00816F90">
            <w:pPr>
              <w:pStyle w:val="TblFigFootnote"/>
            </w:pPr>
          </w:p>
        </w:tc>
      </w:tr>
    </w:tbl>
    <w:p w14:paraId="135043A2" w14:textId="77777777" w:rsidR="00C456D9" w:rsidRDefault="00C456D9" w:rsidP="00816F90">
      <w:pPr>
        <w:spacing w:before="0"/>
        <w:rPr>
          <w:rFonts w:ascii="Arial Narrow" w:hAnsi="Arial Narrow"/>
          <w:color w:val="auto"/>
          <w:sz w:val="18"/>
          <w:szCs w:val="18"/>
        </w:rPr>
      </w:pPr>
    </w:p>
    <w:p w14:paraId="34564A11" w14:textId="7069FE38" w:rsidR="006A13B4" w:rsidRDefault="006A13B4" w:rsidP="00816F90">
      <w:pPr>
        <w:spacing w:before="0"/>
        <w:rPr>
          <w:rFonts w:ascii="Arial Narrow" w:hAnsi="Arial Narrow"/>
          <w:color w:val="0000FF"/>
          <w:sz w:val="18"/>
          <w:szCs w:val="18"/>
          <w:u w:val="double"/>
        </w:rPr>
      </w:pPr>
    </w:p>
    <w:p w14:paraId="5DEE8BCE" w14:textId="2A9C7628" w:rsidR="008E0E33" w:rsidRPr="00C456D9" w:rsidRDefault="00816F90" w:rsidP="00816F90">
      <w:pPr>
        <w:jc w:val="both"/>
        <w:rPr>
          <w:color w:val="auto"/>
        </w:rPr>
      </w:pPr>
      <w:r w:rsidRPr="00C456D9">
        <w:rPr>
          <w:color w:val="auto"/>
        </w:rPr>
        <w:t xml:space="preserve">Statistically significant and clinically meaningful efficacy was observed in SINUS-24 </w:t>
      </w:r>
      <w:proofErr w:type="gramStart"/>
      <w:r w:rsidRPr="00C456D9">
        <w:rPr>
          <w:color w:val="auto"/>
        </w:rPr>
        <w:t>with regard to</w:t>
      </w:r>
      <w:proofErr w:type="gramEnd"/>
      <w:r w:rsidRPr="00C456D9">
        <w:rPr>
          <w:color w:val="auto"/>
        </w:rPr>
        <w:t xml:space="preserve"> improvement in bilateral endoscopic NPS score at week 24. In the post-treatment period when patients were off dupilumab, the treatment effect diminished over time (see </w:t>
      </w:r>
      <w:r w:rsidR="00C456D9" w:rsidRPr="00C456D9">
        <w:rPr>
          <w:color w:val="0000FF"/>
        </w:rPr>
        <w:fldChar w:fldCharType="begin"/>
      </w:r>
      <w:r w:rsidR="00C456D9" w:rsidRPr="00C456D9">
        <w:rPr>
          <w:color w:val="0000FF"/>
        </w:rPr>
        <w:instrText xml:space="preserve"> REF _Ref78483016 \h  \* MERGEFORMAT </w:instrText>
      </w:r>
      <w:r w:rsidR="00C456D9" w:rsidRPr="00C456D9">
        <w:rPr>
          <w:color w:val="0000FF"/>
        </w:rPr>
      </w:r>
      <w:r w:rsidR="00C456D9" w:rsidRPr="00C456D9">
        <w:rPr>
          <w:color w:val="0000FF"/>
        </w:rPr>
        <w:fldChar w:fldCharType="separate"/>
      </w:r>
      <w:r w:rsidR="00E123A5" w:rsidRPr="00E123A5">
        <w:rPr>
          <w:color w:val="0000FF"/>
        </w:rPr>
        <w:t>Figure 11</w:t>
      </w:r>
      <w:r w:rsidR="00C456D9" w:rsidRPr="00C456D9">
        <w:rPr>
          <w:color w:val="0000FF"/>
        </w:rPr>
        <w:fldChar w:fldCharType="end"/>
      </w:r>
      <w:r w:rsidR="00C456D9" w:rsidRPr="00C456D9">
        <w:rPr>
          <w:color w:val="auto"/>
        </w:rPr>
        <w:t>)</w:t>
      </w:r>
      <w:r w:rsidRPr="00C456D9">
        <w:rPr>
          <w:color w:val="auto"/>
        </w:rPr>
        <w:t>.</w:t>
      </w:r>
    </w:p>
    <w:p w14:paraId="319C67AE" w14:textId="1D9A96E4" w:rsidR="00816F90" w:rsidRPr="00C456D9" w:rsidRDefault="00816F90" w:rsidP="00816F90">
      <w:pPr>
        <w:pStyle w:val="Caption"/>
      </w:pPr>
      <w:bookmarkStart w:id="43" w:name="_Ref78483016"/>
      <w:r w:rsidRPr="00C456D9">
        <w:t>Figure </w:t>
      </w:r>
      <w:r w:rsidRPr="00C456D9">
        <w:fldChar w:fldCharType="begin"/>
      </w:r>
      <w:r w:rsidRPr="00C456D9">
        <w:instrText xml:space="preserve"> SEQ Figure \* ARABIC </w:instrText>
      </w:r>
      <w:r w:rsidRPr="00C456D9">
        <w:fldChar w:fldCharType="separate"/>
      </w:r>
      <w:r w:rsidR="00E123A5">
        <w:rPr>
          <w:noProof/>
        </w:rPr>
        <w:t>11</w:t>
      </w:r>
      <w:r w:rsidRPr="00C456D9">
        <w:fldChar w:fldCharType="end"/>
      </w:r>
      <w:bookmarkEnd w:id="43"/>
      <w:r w:rsidRPr="00C456D9">
        <w:t xml:space="preserve"> ­ LS mean change from baseline in bilateral nasal polyps score (NPS) up to Week 48 in SINUS-24 - ITT population</w:t>
      </w:r>
    </w:p>
    <w:p w14:paraId="24BB836B" w14:textId="791BB682" w:rsidR="00816F90" w:rsidRDefault="00816F90" w:rsidP="00816F90">
      <w:pPr>
        <w:spacing w:before="0"/>
        <w:jc w:val="center"/>
      </w:pPr>
      <w:r w:rsidRPr="00C456D9">
        <w:rPr>
          <w:noProof/>
        </w:rPr>
        <w:drawing>
          <wp:inline distT="0" distB="0" distL="0" distR="0" wp14:anchorId="48AD55F8" wp14:editId="5A11F2CC">
            <wp:extent cx="3573145" cy="29540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2954020"/>
                    </a:xfrm>
                    <a:prstGeom prst="rect">
                      <a:avLst/>
                    </a:prstGeom>
                    <a:noFill/>
                    <a:ln>
                      <a:noFill/>
                    </a:ln>
                  </pic:spPr>
                </pic:pic>
              </a:graphicData>
            </a:graphic>
          </wp:inline>
        </w:drawing>
      </w:r>
    </w:p>
    <w:p w14:paraId="373596F5" w14:textId="1DED154A" w:rsidR="006A13B4" w:rsidRPr="00ED1615" w:rsidRDefault="006A13B4" w:rsidP="00816F90">
      <w:pPr>
        <w:spacing w:before="0"/>
        <w:jc w:val="center"/>
        <w:rPr>
          <w:i/>
          <w:iCs/>
          <w:color w:val="008000"/>
          <w:sz w:val="22"/>
          <w:szCs w:val="22"/>
          <w:u w:val="single"/>
        </w:rPr>
      </w:pPr>
    </w:p>
    <w:p w14:paraId="3A81A672" w14:textId="7329ED6D" w:rsidR="00816F90" w:rsidRPr="00C456D9" w:rsidRDefault="00816F90" w:rsidP="00816F90">
      <w:pPr>
        <w:rPr>
          <w:color w:val="0000FF"/>
        </w:rPr>
      </w:pPr>
      <w:r w:rsidRPr="00C456D9">
        <w:rPr>
          <w:color w:val="auto"/>
        </w:rPr>
        <w:t xml:space="preserve">Statistically significant and clinically meaningful results were also seen in SINUS-52 at both week 24 and week 52 with a progressive improvement over time (see </w:t>
      </w:r>
      <w:r w:rsidR="00831A55" w:rsidRPr="00C456D9">
        <w:rPr>
          <w:color w:val="0000FF"/>
        </w:rPr>
        <w:fldChar w:fldCharType="begin"/>
      </w:r>
      <w:r w:rsidR="00831A55" w:rsidRPr="00C456D9">
        <w:rPr>
          <w:color w:val="0000FF"/>
        </w:rPr>
        <w:instrText xml:space="preserve"> REF _Ref72402497 \h  \* MERGEFORMAT </w:instrText>
      </w:r>
      <w:r w:rsidR="00831A55" w:rsidRPr="00C456D9">
        <w:rPr>
          <w:color w:val="0000FF"/>
        </w:rPr>
      </w:r>
      <w:r w:rsidR="00831A55" w:rsidRPr="00C456D9">
        <w:rPr>
          <w:color w:val="0000FF"/>
        </w:rPr>
        <w:fldChar w:fldCharType="separate"/>
      </w:r>
      <w:r w:rsidR="00E123A5" w:rsidRPr="00E123A5">
        <w:rPr>
          <w:color w:val="0000FF"/>
        </w:rPr>
        <w:t>Figure 12</w:t>
      </w:r>
      <w:r w:rsidR="00831A55" w:rsidRPr="00C456D9">
        <w:rPr>
          <w:color w:val="0000FF"/>
        </w:rPr>
        <w:fldChar w:fldCharType="end"/>
      </w:r>
      <w:r w:rsidRPr="00C456D9">
        <w:rPr>
          <w:color w:val="auto"/>
        </w:rPr>
        <w:t>).</w:t>
      </w:r>
    </w:p>
    <w:p w14:paraId="1CFE8EDB" w14:textId="5FAFE499" w:rsidR="00816F90" w:rsidRPr="00C456D9" w:rsidRDefault="00816F90" w:rsidP="00816F90">
      <w:pPr>
        <w:pStyle w:val="Caption"/>
        <w:rPr>
          <w:lang w:val="en-AU"/>
        </w:rPr>
      </w:pPr>
      <w:bookmarkStart w:id="44" w:name="_Ref72402497"/>
      <w:r w:rsidRPr="00C456D9">
        <w:t>Figure </w:t>
      </w:r>
      <w:r w:rsidRPr="00C456D9">
        <w:fldChar w:fldCharType="begin"/>
      </w:r>
      <w:r w:rsidRPr="00C456D9">
        <w:instrText xml:space="preserve"> SEQ Figure \* ARABIC </w:instrText>
      </w:r>
      <w:r w:rsidRPr="00C456D9">
        <w:fldChar w:fldCharType="separate"/>
      </w:r>
      <w:r w:rsidR="00E123A5">
        <w:rPr>
          <w:noProof/>
        </w:rPr>
        <w:t>12</w:t>
      </w:r>
      <w:r w:rsidRPr="00C456D9">
        <w:fldChar w:fldCharType="end"/>
      </w:r>
      <w:bookmarkEnd w:id="44"/>
      <w:r w:rsidRPr="00C456D9">
        <w:t xml:space="preserve"> ­ </w:t>
      </w:r>
      <w:r w:rsidRPr="00C456D9">
        <w:rPr>
          <w:lang w:val="en-AU"/>
        </w:rPr>
        <w:t>LS mean change from baseline in bilateral nasal polyps score (NPS) up to Week 52 in SINUS-52 - ITT population</w:t>
      </w:r>
    </w:p>
    <w:p w14:paraId="2DAB7D52" w14:textId="77777777" w:rsidR="003408D0" w:rsidRDefault="003408D0" w:rsidP="008460B9">
      <w:pPr>
        <w:spacing w:before="0"/>
        <w:jc w:val="center"/>
        <w:rPr>
          <w:noProof/>
          <w:u w:val="double"/>
        </w:rPr>
      </w:pPr>
    </w:p>
    <w:p w14:paraId="4B373BAB" w14:textId="2DBC58E8" w:rsidR="008460B9" w:rsidRPr="003408D0" w:rsidRDefault="008460B9" w:rsidP="008460B9">
      <w:pPr>
        <w:spacing w:before="0"/>
        <w:jc w:val="center"/>
        <w:rPr>
          <w:color w:val="0000FF"/>
        </w:rPr>
      </w:pPr>
      <w:r w:rsidRPr="00C456D9">
        <w:rPr>
          <w:noProof/>
        </w:rPr>
        <w:lastRenderedPageBreak/>
        <w:drawing>
          <wp:inline distT="0" distB="0" distL="0" distR="0" wp14:anchorId="28604DE1" wp14:editId="5F6E1F94">
            <wp:extent cx="3573145" cy="290512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3145" cy="2905125"/>
                    </a:xfrm>
                    <a:prstGeom prst="rect">
                      <a:avLst/>
                    </a:prstGeom>
                    <a:noFill/>
                    <a:ln>
                      <a:noFill/>
                    </a:ln>
                  </pic:spPr>
                </pic:pic>
              </a:graphicData>
            </a:graphic>
          </wp:inline>
        </w:drawing>
      </w:r>
    </w:p>
    <w:p w14:paraId="27A8580F" w14:textId="75EE46A4" w:rsidR="008460B9" w:rsidRPr="00C456D9" w:rsidRDefault="008460B9" w:rsidP="008460B9">
      <w:pPr>
        <w:rPr>
          <w:color w:val="0000FF"/>
        </w:rPr>
      </w:pPr>
      <w:r w:rsidRPr="00C456D9">
        <w:rPr>
          <w:color w:val="auto"/>
        </w:rPr>
        <w:t>A significant decrease in LMK sinus CT scan score was also observed in SINUS-52 study at week 24 with further improvement at week 52 (see</w:t>
      </w:r>
      <w:r w:rsidR="00D551D0" w:rsidRPr="00C456D9">
        <w:rPr>
          <w:color w:val="0000FF"/>
        </w:rPr>
        <w:t xml:space="preserve"> </w:t>
      </w:r>
      <w:r w:rsidR="00D551D0" w:rsidRPr="00C456D9">
        <w:rPr>
          <w:color w:val="0000FF"/>
        </w:rPr>
        <w:fldChar w:fldCharType="begin"/>
      </w:r>
      <w:r w:rsidR="00D551D0" w:rsidRPr="00C456D9">
        <w:rPr>
          <w:color w:val="0000FF"/>
        </w:rPr>
        <w:instrText xml:space="preserve"> REF _Ref72402902 \h  \* MERGEFORMAT </w:instrText>
      </w:r>
      <w:r w:rsidR="00D551D0" w:rsidRPr="00C456D9">
        <w:rPr>
          <w:color w:val="0000FF"/>
        </w:rPr>
      </w:r>
      <w:r w:rsidR="00D551D0" w:rsidRPr="00C456D9">
        <w:rPr>
          <w:color w:val="0000FF"/>
        </w:rPr>
        <w:fldChar w:fldCharType="separate"/>
      </w:r>
      <w:r w:rsidR="00E123A5" w:rsidRPr="00E123A5">
        <w:rPr>
          <w:color w:val="0000FF"/>
        </w:rPr>
        <w:t>Figure 13</w:t>
      </w:r>
      <w:r w:rsidR="00D551D0" w:rsidRPr="00C456D9">
        <w:rPr>
          <w:color w:val="0000FF"/>
        </w:rPr>
        <w:fldChar w:fldCharType="end"/>
      </w:r>
      <w:r w:rsidRPr="00C456D9">
        <w:rPr>
          <w:color w:val="auto"/>
        </w:rPr>
        <w:t>). Similar results were seen in SINUS-24 study at week 24.</w:t>
      </w:r>
    </w:p>
    <w:p w14:paraId="46E12FE4" w14:textId="60C505FB" w:rsidR="00ED1615" w:rsidRPr="00C456D9" w:rsidRDefault="00831A55" w:rsidP="00831A55">
      <w:pPr>
        <w:pStyle w:val="Caption"/>
      </w:pPr>
      <w:bookmarkStart w:id="45" w:name="_Ref72402902"/>
      <w:r w:rsidRPr="00C456D9">
        <w:t>Figure </w:t>
      </w:r>
      <w:r w:rsidRPr="00C456D9">
        <w:fldChar w:fldCharType="begin"/>
      </w:r>
      <w:r w:rsidRPr="00C456D9">
        <w:instrText xml:space="preserve"> SEQ Figure \* ARABIC </w:instrText>
      </w:r>
      <w:r w:rsidRPr="00C456D9">
        <w:fldChar w:fldCharType="separate"/>
      </w:r>
      <w:r w:rsidR="00E123A5">
        <w:rPr>
          <w:noProof/>
        </w:rPr>
        <w:t>13</w:t>
      </w:r>
      <w:r w:rsidRPr="00C456D9">
        <w:fldChar w:fldCharType="end"/>
      </w:r>
      <w:bookmarkEnd w:id="45"/>
      <w:r w:rsidRPr="00C456D9">
        <w:t xml:space="preserve"> ­ </w:t>
      </w:r>
      <w:r w:rsidR="00D551D0" w:rsidRPr="00C456D9">
        <w:t>LS mean change from baseline in LMK sinus CT scan score at Week 24 and Week 52 ITT population in SINUS-52</w:t>
      </w:r>
    </w:p>
    <w:p w14:paraId="121A8650" w14:textId="1A7022E6" w:rsidR="008460B9" w:rsidRPr="003408D0" w:rsidRDefault="008460B9" w:rsidP="008460B9">
      <w:pPr>
        <w:spacing w:before="0"/>
        <w:jc w:val="center"/>
        <w:rPr>
          <w:color w:val="0000FF"/>
        </w:rPr>
      </w:pPr>
      <w:r w:rsidRPr="00C456D9">
        <w:rPr>
          <w:noProof/>
          <w:color w:val="0000FF"/>
        </w:rPr>
        <w:drawing>
          <wp:inline distT="0" distB="0" distL="0" distR="0" wp14:anchorId="581BDDF4" wp14:editId="472CD7EF">
            <wp:extent cx="3587115" cy="2799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7115" cy="2799715"/>
                    </a:xfrm>
                    <a:prstGeom prst="rect">
                      <a:avLst/>
                    </a:prstGeom>
                    <a:noFill/>
                    <a:ln>
                      <a:noFill/>
                    </a:ln>
                  </pic:spPr>
                </pic:pic>
              </a:graphicData>
            </a:graphic>
          </wp:inline>
        </w:drawing>
      </w:r>
    </w:p>
    <w:p w14:paraId="0F906D74" w14:textId="473A1027" w:rsidR="008460B9" w:rsidRPr="00C456D9" w:rsidRDefault="008460B9" w:rsidP="008460B9">
      <w:pPr>
        <w:rPr>
          <w:color w:val="auto"/>
        </w:rPr>
      </w:pPr>
      <w:r w:rsidRPr="00C456D9">
        <w:rPr>
          <w:color w:val="auto"/>
        </w:rPr>
        <w:t xml:space="preserve">In both studies, significant improvements in NC and daily loss of smell severity were observed as early as the first assessment at Week 4. The LS mean difference for NC at Week 4 in the Dupixent group versus placebo was ­0.41 (95% CI: ­0.52, ­0.30) in SINUS-24 and -0.37 (95% CI: -0.46, -0.27) in SINUS-52.  The LS mean difference for loss of smell at Week 4 in the Dupixent group versus placebo was ­0.34 (95% CI: -0.44, -0.25) in SINUS-24 and -0.31 (95% CI: -0.41, -0.22) in SINUS-52. </w:t>
      </w:r>
    </w:p>
    <w:p w14:paraId="5AF792D1" w14:textId="3B02F025" w:rsidR="008460B9" w:rsidRPr="004F5EF5" w:rsidRDefault="008460B9" w:rsidP="008460B9">
      <w:pPr>
        <w:rPr>
          <w:color w:val="auto"/>
        </w:rPr>
      </w:pPr>
      <w:r w:rsidRPr="004F5EF5">
        <w:rPr>
          <w:color w:val="auto"/>
        </w:rPr>
        <w:lastRenderedPageBreak/>
        <w:t>Improvement in nasal peak inspiratory flow (NPIF) was observed in SINUS-24 and SINUS-52 at week 24. The LS mean difference in the dupilumab group versus placebo was 40.4 L/min (95% CI: 30.4, 50.4) and 36.6 L/min (95% CI: 28.0, 45.3), respectively.</w:t>
      </w:r>
    </w:p>
    <w:p w14:paraId="0674133C" w14:textId="59A6BB3D" w:rsidR="008460B9" w:rsidRPr="004F5EF5" w:rsidRDefault="008460B9" w:rsidP="008460B9">
      <w:pPr>
        <w:rPr>
          <w:color w:val="auto"/>
        </w:rPr>
      </w:pPr>
      <w:r w:rsidRPr="004F5EF5">
        <w:rPr>
          <w:color w:val="auto"/>
        </w:rPr>
        <w:t>A reduction in the proportion of patients with anosmia from 74% at baseline to 24% at week 24 was observed in the Dupixent arm of SINUS-24 study compared to no change (78% at both time points) in the placebo arm.  A reduction in the proportion of subjects with anosmia from 79% at baseline to 30% at week 24 was observed in the Dupixent arm of SINUS-52 compared to no change (77% at both time points) in the placebo arm.</w:t>
      </w:r>
    </w:p>
    <w:p w14:paraId="2E129F9E" w14:textId="5BC3B73A" w:rsidR="008460B9" w:rsidRPr="004F5EF5" w:rsidRDefault="008460B9" w:rsidP="008460B9">
      <w:pPr>
        <w:rPr>
          <w:color w:val="auto"/>
        </w:rPr>
      </w:pPr>
      <w:r w:rsidRPr="004F5EF5">
        <w:rPr>
          <w:color w:val="auto"/>
        </w:rPr>
        <w:t xml:space="preserve">In SINUS-24, among the patients with rhinosinusitis VAS score &gt;7 at baseline, a higher percentage of patients achieved VAS in a non-severe category (≤7) in the </w:t>
      </w:r>
      <w:r w:rsidR="004F5EF5">
        <w:rPr>
          <w:color w:val="auto"/>
        </w:rPr>
        <w:t>D</w:t>
      </w:r>
      <w:r w:rsidRPr="004F5EF5">
        <w:rPr>
          <w:color w:val="auto"/>
        </w:rPr>
        <w:t xml:space="preserve">upixent group compared with the placebo group (83.3% versus 39.4%) at week 24. In SINUS-52, among the patients with rhinosinusitis VAS score &gt;7 at baseline, at week 24, a higher percentage of patients had a VAS in a non-severe category (≤7) in the </w:t>
      </w:r>
      <w:r w:rsidR="004F5EF5">
        <w:rPr>
          <w:color w:val="auto"/>
        </w:rPr>
        <w:t>D</w:t>
      </w:r>
      <w:r w:rsidRPr="004F5EF5">
        <w:rPr>
          <w:color w:val="auto"/>
        </w:rPr>
        <w:t xml:space="preserve">upixent 300 mg Q2W group compared with the placebo group (75.0% versus 39.3%). </w:t>
      </w:r>
    </w:p>
    <w:p w14:paraId="4C343F8B" w14:textId="4878C82E" w:rsidR="008460B9" w:rsidRPr="004F5EF5" w:rsidRDefault="008460B9" w:rsidP="008460B9">
      <w:pPr>
        <w:rPr>
          <w:color w:val="auto"/>
        </w:rPr>
      </w:pPr>
      <w:r w:rsidRPr="004F5EF5">
        <w:rPr>
          <w:color w:val="auto"/>
        </w:rPr>
        <w:t xml:space="preserve">In the pre-specified multiplicity-adjusted pooled analysis of two studies, treatment with Dupixent resulted in significant reduction of systemic corticosteroid use and need for </w:t>
      </w:r>
      <w:proofErr w:type="spellStart"/>
      <w:r w:rsidRPr="004F5EF5">
        <w:rPr>
          <w:color w:val="auto"/>
        </w:rPr>
        <w:t>sino</w:t>
      </w:r>
      <w:proofErr w:type="spellEnd"/>
      <w:r w:rsidRPr="004F5EF5">
        <w:rPr>
          <w:color w:val="auto"/>
        </w:rPr>
        <w:t xml:space="preserve">-nasal surgery versus placebo (HR of 0.24; 95% CI: 0.17, 0.35) (see </w:t>
      </w:r>
      <w:r w:rsidR="004F5EF5" w:rsidRPr="004F5EF5">
        <w:rPr>
          <w:color w:val="0000FF"/>
        </w:rPr>
        <w:fldChar w:fldCharType="begin"/>
      </w:r>
      <w:r w:rsidR="004F5EF5" w:rsidRPr="004F5EF5">
        <w:rPr>
          <w:color w:val="0000FF"/>
        </w:rPr>
        <w:instrText xml:space="preserve"> REF _Ref72402514 \h  \* MERGEFORMAT </w:instrText>
      </w:r>
      <w:r w:rsidR="004F5EF5" w:rsidRPr="004F5EF5">
        <w:rPr>
          <w:color w:val="0000FF"/>
        </w:rPr>
      </w:r>
      <w:r w:rsidR="004F5EF5" w:rsidRPr="004F5EF5">
        <w:rPr>
          <w:color w:val="0000FF"/>
        </w:rPr>
        <w:fldChar w:fldCharType="separate"/>
      </w:r>
      <w:r w:rsidR="00E123A5" w:rsidRPr="00E123A5">
        <w:rPr>
          <w:color w:val="0000FF"/>
        </w:rPr>
        <w:t>Figure 14</w:t>
      </w:r>
      <w:r w:rsidR="004F5EF5" w:rsidRPr="004F5EF5">
        <w:rPr>
          <w:color w:val="0000FF"/>
        </w:rPr>
        <w:fldChar w:fldCharType="end"/>
      </w:r>
      <w:r w:rsidRPr="004F5EF5">
        <w:rPr>
          <w:color w:val="auto"/>
        </w:rPr>
        <w:t xml:space="preserve">).  The proportion of patients who required systemic corticosteroids was reduced by 74% (HR of 0.26; 95% CI: 0.18, 0.38).  The total number of systemic corticosteroid courses per year was reduced by 75% (RR of 0.25; 95% CI: 0.17, 0.37).  The mean individual </w:t>
      </w:r>
      <w:proofErr w:type="spellStart"/>
      <w:r w:rsidRPr="004F5EF5">
        <w:rPr>
          <w:color w:val="auto"/>
        </w:rPr>
        <w:t>annuali</w:t>
      </w:r>
      <w:r w:rsidR="00E54EBF" w:rsidRPr="004F5EF5">
        <w:rPr>
          <w:color w:val="auto"/>
        </w:rPr>
        <w:t>s</w:t>
      </w:r>
      <w:r w:rsidRPr="004F5EF5">
        <w:rPr>
          <w:color w:val="auto"/>
        </w:rPr>
        <w:t>ed</w:t>
      </w:r>
      <w:proofErr w:type="spellEnd"/>
      <w:r w:rsidRPr="004F5EF5">
        <w:rPr>
          <w:color w:val="auto"/>
        </w:rPr>
        <w:t xml:space="preserve"> prescribed total dose of systemic corticosteroids (in mg) during the treatment period was 71% lower in the pooled dupilumab group compared with the pooled placebo group (60.5 [531.3] mg versus 209.5 [497.2] mg, respectively).  The proportion of patients who required surgery was reduced by 83% (HR of 0.17; 95% CI: 0.07, 0.46).</w:t>
      </w:r>
    </w:p>
    <w:p w14:paraId="0A742C0D" w14:textId="31E3CAFA" w:rsidR="008460B9" w:rsidRPr="004F5EF5" w:rsidRDefault="008460B9" w:rsidP="008460B9">
      <w:pPr>
        <w:pStyle w:val="Caption"/>
      </w:pPr>
      <w:r w:rsidRPr="004F5EF5">
        <w:t xml:space="preserve"> </w:t>
      </w:r>
      <w:bookmarkStart w:id="46" w:name="_Ref72402514"/>
      <w:r w:rsidRPr="004F5EF5">
        <w:t>Figure </w:t>
      </w:r>
      <w:r w:rsidRPr="004F5EF5">
        <w:fldChar w:fldCharType="begin"/>
      </w:r>
      <w:r w:rsidRPr="004F5EF5">
        <w:instrText xml:space="preserve"> SEQ Figure \* ARABIC </w:instrText>
      </w:r>
      <w:r w:rsidRPr="004F5EF5">
        <w:fldChar w:fldCharType="separate"/>
      </w:r>
      <w:r w:rsidR="00E123A5">
        <w:rPr>
          <w:noProof/>
        </w:rPr>
        <w:t>14</w:t>
      </w:r>
      <w:r w:rsidRPr="004F5EF5">
        <w:fldChar w:fldCharType="end"/>
      </w:r>
      <w:bookmarkEnd w:id="46"/>
      <w:r w:rsidRPr="004F5EF5">
        <w:t xml:space="preserve"> ­ Kaplan Meier Curve for time to first systemic corticosteroid </w:t>
      </w:r>
      <w:proofErr w:type="gramStart"/>
      <w:r w:rsidRPr="004F5EF5">
        <w:t>use</w:t>
      </w:r>
      <w:proofErr w:type="gramEnd"/>
      <w:r w:rsidRPr="004F5EF5">
        <w:t xml:space="preserve"> and/or </w:t>
      </w:r>
      <w:proofErr w:type="spellStart"/>
      <w:r w:rsidRPr="004F5EF5">
        <w:t>sino</w:t>
      </w:r>
      <w:proofErr w:type="spellEnd"/>
      <w:r w:rsidRPr="004F5EF5">
        <w:t>-nasal surgery during treatment period - ITT population [SINUS-24 and SINUS-52 pooled]</w:t>
      </w:r>
    </w:p>
    <w:p w14:paraId="5C91735A" w14:textId="4763740F" w:rsidR="008460B9" w:rsidRPr="003408D0" w:rsidRDefault="008460B9" w:rsidP="008460B9">
      <w:pPr>
        <w:spacing w:before="0"/>
        <w:jc w:val="center"/>
        <w:rPr>
          <w:color w:val="0000FF"/>
        </w:rPr>
      </w:pPr>
      <w:r w:rsidRPr="004F5EF5">
        <w:rPr>
          <w:noProof/>
          <w:color w:val="0000FF"/>
        </w:rPr>
        <w:drawing>
          <wp:inline distT="0" distB="0" distL="0" distR="0" wp14:anchorId="0E7B4ECD" wp14:editId="20B6C4A0">
            <wp:extent cx="3699510" cy="2616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9510" cy="2616835"/>
                    </a:xfrm>
                    <a:prstGeom prst="rect">
                      <a:avLst/>
                    </a:prstGeom>
                    <a:noFill/>
                    <a:ln>
                      <a:noFill/>
                    </a:ln>
                  </pic:spPr>
                </pic:pic>
              </a:graphicData>
            </a:graphic>
          </wp:inline>
        </w:drawing>
      </w:r>
    </w:p>
    <w:p w14:paraId="4D68496D" w14:textId="379EEB0C" w:rsidR="008460B9" w:rsidRPr="004F5EF5" w:rsidRDefault="008460B9" w:rsidP="008460B9">
      <w:pPr>
        <w:rPr>
          <w:color w:val="auto"/>
        </w:rPr>
      </w:pPr>
      <w:r w:rsidRPr="004F5EF5">
        <w:rPr>
          <w:color w:val="auto"/>
        </w:rPr>
        <w:t xml:space="preserve">In patients with co-morbid asthma, significant improvement in pre-bronchodilator FEV1 were observed at Week 24 in the pre-specified multiplicity-adjusted pool of the two studies </w:t>
      </w:r>
      <w:r w:rsidRPr="004F5EF5">
        <w:rPr>
          <w:color w:val="auto"/>
        </w:rPr>
        <w:lastRenderedPageBreak/>
        <w:t>irrespective of baseline blood eosinophils levels.  The LS Mean change from baseline in FEV1 at Week 24 for Dupixent 300 mg Q2W was 0.14 vs -0.07 L for placebo, for a difference of 0.21 L (95% CI: 0.13, 0.29)</w:t>
      </w:r>
      <w:r w:rsidR="00D3598A" w:rsidRPr="004F5EF5">
        <w:rPr>
          <w:color w:val="auto"/>
        </w:rPr>
        <w:t>.</w:t>
      </w:r>
    </w:p>
    <w:p w14:paraId="2040F331" w14:textId="5D340A5E" w:rsidR="00152F49" w:rsidRDefault="00D3598A" w:rsidP="00152F49">
      <w:pPr>
        <w:rPr>
          <w:color w:val="0000FF"/>
          <w:u w:val="double"/>
        </w:rPr>
      </w:pPr>
      <w:r w:rsidRPr="004F5EF5">
        <w:rPr>
          <w:color w:val="auto"/>
        </w:rPr>
        <w:t>In addition, improvements in FEV1 were noted from the first post baseline assessment, at in</w:t>
      </w:r>
      <w:r w:rsidRPr="004F5EF5">
        <w:rPr>
          <w:color w:val="auto"/>
          <w:u w:val="double"/>
        </w:rPr>
        <w:t xml:space="preserve"> </w:t>
      </w:r>
      <w:r w:rsidRPr="004F5EF5">
        <w:rPr>
          <w:color w:val="auto"/>
        </w:rPr>
        <w:t xml:space="preserve">Week 8 SINUS-24 and Week 4 in SINUS-52 (see </w:t>
      </w:r>
      <w:r w:rsidR="00152F49" w:rsidRPr="00152F49">
        <w:rPr>
          <w:color w:val="0000FF"/>
        </w:rPr>
        <w:fldChar w:fldCharType="begin"/>
      </w:r>
      <w:r w:rsidR="00152F49" w:rsidRPr="00152F49">
        <w:rPr>
          <w:color w:val="0000FF"/>
        </w:rPr>
        <w:instrText xml:space="preserve"> REF _Ref78484379 \h  \* MERGEFORMAT </w:instrText>
      </w:r>
      <w:r w:rsidR="00152F49" w:rsidRPr="00152F49">
        <w:rPr>
          <w:color w:val="0000FF"/>
        </w:rPr>
      </w:r>
      <w:r w:rsidR="00152F49" w:rsidRPr="00152F49">
        <w:rPr>
          <w:color w:val="0000FF"/>
        </w:rPr>
        <w:fldChar w:fldCharType="separate"/>
      </w:r>
      <w:r w:rsidR="00E123A5" w:rsidRPr="00E123A5">
        <w:rPr>
          <w:color w:val="0000FF"/>
        </w:rPr>
        <w:t>Figure 15</w:t>
      </w:r>
      <w:r w:rsidR="00152F49" w:rsidRPr="00152F49">
        <w:rPr>
          <w:color w:val="0000FF"/>
        </w:rPr>
        <w:fldChar w:fldCharType="end"/>
      </w:r>
    </w:p>
    <w:p w14:paraId="7B45004E" w14:textId="71D5982F" w:rsidR="00D3598A" w:rsidRPr="004F5EF5" w:rsidRDefault="00D3598A" w:rsidP="00D3598A">
      <w:pPr>
        <w:pStyle w:val="Caption"/>
      </w:pPr>
      <w:bookmarkStart w:id="47" w:name="_Ref72402812"/>
      <w:bookmarkStart w:id="48" w:name="_Ref78484379"/>
      <w:r w:rsidRPr="004F5EF5">
        <w:t>Figure </w:t>
      </w:r>
      <w:r w:rsidRPr="004F5EF5">
        <w:fldChar w:fldCharType="begin"/>
      </w:r>
      <w:r w:rsidRPr="004F5EF5">
        <w:instrText xml:space="preserve"> SEQ Figure \* ARABIC </w:instrText>
      </w:r>
      <w:r w:rsidRPr="004F5EF5">
        <w:fldChar w:fldCharType="separate"/>
      </w:r>
      <w:r w:rsidR="00E123A5">
        <w:rPr>
          <w:noProof/>
        </w:rPr>
        <w:t>15</w:t>
      </w:r>
      <w:r w:rsidRPr="004F5EF5">
        <w:fldChar w:fldCharType="end"/>
      </w:r>
      <w:bookmarkEnd w:id="47"/>
      <w:bookmarkEnd w:id="48"/>
      <w:r w:rsidRPr="004F5EF5">
        <w:t xml:space="preserve"> ­ LS mean change from baseline in FEV1 (L) by visit for patients with asthma up to Week 24 - ITT population</w:t>
      </w:r>
    </w:p>
    <w:p w14:paraId="4AD46606" w14:textId="30508EE5" w:rsidR="00D3598A" w:rsidRPr="004F5EF5" w:rsidRDefault="00D3598A" w:rsidP="00D3598A">
      <w:pPr>
        <w:ind w:left="720" w:firstLine="720"/>
        <w:rPr>
          <w:color w:val="auto"/>
        </w:rPr>
      </w:pPr>
      <w:r w:rsidRPr="004F5EF5">
        <w:rPr>
          <w:color w:val="auto"/>
        </w:rPr>
        <w:t>Sinus – 24</w:t>
      </w:r>
      <w:r w:rsidRPr="004F5EF5">
        <w:rPr>
          <w:color w:val="auto"/>
        </w:rPr>
        <w:tab/>
      </w:r>
      <w:r w:rsidRPr="004F5EF5">
        <w:rPr>
          <w:color w:val="auto"/>
        </w:rPr>
        <w:tab/>
      </w:r>
      <w:r w:rsidRPr="004F5EF5">
        <w:rPr>
          <w:color w:val="auto"/>
        </w:rPr>
        <w:tab/>
      </w:r>
      <w:r w:rsidRPr="004F5EF5">
        <w:rPr>
          <w:color w:val="auto"/>
        </w:rPr>
        <w:tab/>
      </w:r>
      <w:r w:rsidRPr="004F5EF5">
        <w:rPr>
          <w:color w:val="auto"/>
        </w:rPr>
        <w:tab/>
      </w:r>
      <w:r w:rsidRPr="004F5EF5">
        <w:rPr>
          <w:color w:val="auto"/>
        </w:rPr>
        <w:tab/>
        <w:t>Sinus-52</w:t>
      </w:r>
    </w:p>
    <w:p w14:paraId="69079722" w14:textId="0D1FE4B0" w:rsidR="00D3598A" w:rsidRPr="003408D0" w:rsidRDefault="00D3598A" w:rsidP="00D3598A">
      <w:pPr>
        <w:spacing w:before="0"/>
        <w:rPr>
          <w:color w:val="0000FF"/>
          <w:u w:val="double"/>
        </w:rPr>
      </w:pPr>
      <w:r w:rsidRPr="004F5EF5">
        <w:rPr>
          <w:noProof/>
          <w:color w:val="0000FF"/>
        </w:rPr>
        <w:drawing>
          <wp:inline distT="0" distB="0" distL="0" distR="0" wp14:anchorId="50D0243B" wp14:editId="7D8709DD">
            <wp:extent cx="2764302" cy="22790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781" cy="2286830"/>
                    </a:xfrm>
                    <a:prstGeom prst="rect">
                      <a:avLst/>
                    </a:prstGeom>
                    <a:noFill/>
                    <a:ln>
                      <a:noFill/>
                    </a:ln>
                  </pic:spPr>
                </pic:pic>
              </a:graphicData>
            </a:graphic>
          </wp:inline>
        </w:drawing>
      </w:r>
      <w:r w:rsidRPr="004F5EF5">
        <w:rPr>
          <w:noProof/>
          <w:color w:val="0000FF"/>
        </w:rPr>
        <w:drawing>
          <wp:inline distT="0" distB="0" distL="0" distR="0" wp14:anchorId="56320106" wp14:editId="28CE1E8B">
            <wp:extent cx="2947035" cy="229298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7035" cy="2292985"/>
                    </a:xfrm>
                    <a:prstGeom prst="rect">
                      <a:avLst/>
                    </a:prstGeom>
                    <a:noFill/>
                    <a:ln>
                      <a:noFill/>
                    </a:ln>
                  </pic:spPr>
                </pic:pic>
              </a:graphicData>
            </a:graphic>
          </wp:inline>
        </w:drawing>
      </w:r>
    </w:p>
    <w:p w14:paraId="1B94DE59" w14:textId="1C8AA398" w:rsidR="00D3598A" w:rsidRPr="004F5EF5" w:rsidRDefault="00D3598A" w:rsidP="00D3598A">
      <w:pPr>
        <w:rPr>
          <w:color w:val="auto"/>
        </w:rPr>
      </w:pPr>
      <w:r w:rsidRPr="004F5EF5">
        <w:rPr>
          <w:color w:val="auto"/>
        </w:rPr>
        <w:t>Improvements in ACQ-6 in patients with co-morbid asthma were observed in both studies. A response was defined as an improvement in score of 0.5 or more.  In SINUS-24, at Week 24, the LS mean difference in the Dupixent group versus placebo was ­0.76 (95% CI: ­1.00 to ­0.51).432 In SINUS-52, at Week 52, the LS mean difference in the Dupixent group versus placebo was ­0.94 (95% CI: ­1.19, ­0.69).</w:t>
      </w:r>
    </w:p>
    <w:p w14:paraId="4B4A86B1" w14:textId="291C866D" w:rsidR="00D3598A" w:rsidRPr="004F5EF5" w:rsidRDefault="00D3598A" w:rsidP="00D3598A">
      <w:pPr>
        <w:rPr>
          <w:color w:val="auto"/>
        </w:rPr>
      </w:pPr>
      <w:r w:rsidRPr="004F5EF5">
        <w:rPr>
          <w:color w:val="auto"/>
        </w:rPr>
        <w:t xml:space="preserve">The ACQ-6 responder rate for Dupixent 300 mg Q2W for SINUS-24 at Week 24 was 56% versus 28% in placebo (odds ratio 3.17; 95% CI: 1.65, 6.09). The ACQ-6 responder rate for Dupixent 300 mg Q2W for SINUS-52 was 46% versus 14% placebo at Week 52 (odds ratio 7.02; 95% CI: 3.10, 15.90). </w:t>
      </w:r>
    </w:p>
    <w:p w14:paraId="46474D84" w14:textId="191B9CAE" w:rsidR="00D3598A" w:rsidRPr="004F5EF5" w:rsidRDefault="00D3598A" w:rsidP="00D3598A">
      <w:pPr>
        <w:rPr>
          <w:color w:val="auto"/>
        </w:rPr>
      </w:pPr>
      <w:r w:rsidRPr="004F5EF5">
        <w:rPr>
          <w:color w:val="auto"/>
        </w:rPr>
        <w:t>In patients with NSAID-ERD, the effects of Dupixent on the primary endpoints of NPS and NC and the key secondary endpoint of LMK sinus CT scan score were consistent with that observed in the overall CRSwNP population.</w:t>
      </w:r>
    </w:p>
    <w:p w14:paraId="1475D2D5" w14:textId="40B651FA" w:rsidR="001A3992" w:rsidRPr="00E26ADF" w:rsidRDefault="001A3992" w:rsidP="00E9483F">
      <w:pPr>
        <w:pStyle w:val="Heading2"/>
        <w:rPr>
          <w:lang w:val="en-AU"/>
        </w:rPr>
      </w:pPr>
      <w:bookmarkStart w:id="49" w:name="_Ref43115398"/>
      <w:r w:rsidRPr="00E26ADF">
        <w:rPr>
          <w:lang w:val="en-AU"/>
        </w:rPr>
        <w:t>Pharmacokinetic properties</w:t>
      </w:r>
      <w:bookmarkEnd w:id="38"/>
      <w:bookmarkEnd w:id="49"/>
      <w:r w:rsidRPr="00E26ADF">
        <w:rPr>
          <w:lang w:val="en-AU"/>
        </w:rPr>
        <w:t xml:space="preserve"> </w:t>
      </w:r>
    </w:p>
    <w:p w14:paraId="491D94A6" w14:textId="6BA75195" w:rsidR="00951E83" w:rsidRDefault="00951E83" w:rsidP="00E9483F">
      <w:r w:rsidRPr="00E26ADF">
        <w:t>The pha</w:t>
      </w:r>
      <w:r w:rsidRPr="004F5EF5">
        <w:rPr>
          <w:color w:val="auto"/>
        </w:rPr>
        <w:t>rmacokinetics of dupilumab is similar in patients with atopic dermatitis</w:t>
      </w:r>
      <w:r w:rsidR="00D3598A" w:rsidRPr="004F5EF5">
        <w:rPr>
          <w:color w:val="auto"/>
        </w:rPr>
        <w:t>,</w:t>
      </w:r>
      <w:r w:rsidRPr="004F5EF5">
        <w:rPr>
          <w:color w:val="auto"/>
        </w:rPr>
        <w:t xml:space="preserve"> asthma</w:t>
      </w:r>
      <w:r w:rsidR="00D3598A" w:rsidRPr="004F5EF5">
        <w:rPr>
          <w:color w:val="auto"/>
        </w:rPr>
        <w:t xml:space="preserve"> and CRSwNP</w:t>
      </w:r>
      <w:r w:rsidRPr="004F5EF5">
        <w:rPr>
          <w:color w:val="auto"/>
        </w:rPr>
        <w:t>.</w:t>
      </w:r>
    </w:p>
    <w:p w14:paraId="0725EB2E" w14:textId="77777777" w:rsidR="0024632F" w:rsidRPr="00E26ADF" w:rsidRDefault="0024632F" w:rsidP="00E9483F">
      <w:pPr>
        <w:pStyle w:val="Heading3"/>
        <w:numPr>
          <w:ilvl w:val="0"/>
          <w:numId w:val="0"/>
        </w:numPr>
        <w:ind w:left="680" w:hanging="680"/>
        <w:rPr>
          <w:lang w:val="en-AU"/>
        </w:rPr>
      </w:pPr>
      <w:r w:rsidRPr="00E26ADF">
        <w:rPr>
          <w:lang w:val="en-AU"/>
        </w:rPr>
        <w:lastRenderedPageBreak/>
        <w:t>Absorption</w:t>
      </w:r>
    </w:p>
    <w:p w14:paraId="16A2C248" w14:textId="0F7DDC71" w:rsidR="00C76190" w:rsidRDefault="00951E83" w:rsidP="00951E83">
      <w:pPr>
        <w:rPr>
          <w:color w:val="auto"/>
        </w:rPr>
      </w:pPr>
      <w:r w:rsidRPr="00E26ADF">
        <w:rPr>
          <w:color w:val="auto"/>
        </w:rPr>
        <w:t>After a single subcutaneous (SC) dose of 75-600 mg dupilumab, median times to maximum concentration in serum (</w:t>
      </w:r>
      <w:proofErr w:type="spellStart"/>
      <w:r w:rsidRPr="00E26ADF">
        <w:rPr>
          <w:color w:val="auto"/>
        </w:rPr>
        <w:t>tmax</w:t>
      </w:r>
      <w:proofErr w:type="spellEnd"/>
      <w:r w:rsidRPr="00E26ADF">
        <w:rPr>
          <w:color w:val="auto"/>
        </w:rPr>
        <w:t>) were 3-7 days. The absolute bioavailability of dupilumab following a SC dose is similar between AD and asthma patients</w:t>
      </w:r>
      <w:r w:rsidR="0019145B">
        <w:rPr>
          <w:color w:val="auto"/>
        </w:rPr>
        <w:t xml:space="preserve"> </w:t>
      </w:r>
      <w:r w:rsidR="0019145B" w:rsidRPr="004F5EF5">
        <w:rPr>
          <w:color w:val="auto"/>
        </w:rPr>
        <w:t>and CRSwNP</w:t>
      </w:r>
      <w:r w:rsidRPr="00E26ADF">
        <w:rPr>
          <w:color w:val="auto"/>
        </w:rPr>
        <w:t xml:space="preserve">, ranging from 61% </w:t>
      </w:r>
      <w:r w:rsidR="00C76190" w:rsidRPr="00E26ADF">
        <w:rPr>
          <w:color w:val="auto"/>
        </w:rPr>
        <w:t xml:space="preserve">to </w:t>
      </w:r>
      <w:r w:rsidRPr="00E26ADF">
        <w:rPr>
          <w:color w:val="auto"/>
        </w:rPr>
        <w:t>64%, as determined by a population pharmacokinetics (PK) analysis.</w:t>
      </w:r>
      <w:r w:rsidR="006C4121" w:rsidRPr="00E26ADF">
        <w:rPr>
          <w:color w:val="auto"/>
        </w:rPr>
        <w:t xml:space="preserve"> </w:t>
      </w:r>
    </w:p>
    <w:p w14:paraId="54FB6AC3" w14:textId="77777777" w:rsidR="00951E83" w:rsidRPr="00E26ADF" w:rsidRDefault="00951E83" w:rsidP="00951E83">
      <w:pPr>
        <w:rPr>
          <w:color w:val="auto"/>
        </w:rPr>
      </w:pPr>
      <w:r w:rsidRPr="00E26ADF">
        <w:rPr>
          <w:color w:val="auto"/>
        </w:rPr>
        <w:t xml:space="preserve">Administration of a single loading dose of 600 mg on Day 1 leads to rapid attainment of clinically effective concentrations within 2 weeks. </w:t>
      </w:r>
    </w:p>
    <w:p w14:paraId="4C3B9E1F" w14:textId="38C44073" w:rsidR="00951E83" w:rsidRPr="00E26ADF" w:rsidRDefault="00951E83" w:rsidP="00951E83">
      <w:pPr>
        <w:rPr>
          <w:color w:val="auto"/>
        </w:rPr>
      </w:pPr>
      <w:r w:rsidRPr="00E26ADF">
        <w:rPr>
          <w:color w:val="auto"/>
        </w:rPr>
        <w:t>For every other week dosing (Q2W) with either 200 mg or 300 mg, starting with a respective loading dose of 400 mg or 600 mg, population PK analysis determined steady state concentrations to be achieved by 16 weeks in a typical patient. Mean steady state trough concentration were 39 mg/L at 200 mg Q2W and 70-74 mg/ at 300 mg Q2W.</w:t>
      </w:r>
    </w:p>
    <w:p w14:paraId="7C16E2DC" w14:textId="55B4B33F" w:rsidR="00951E83" w:rsidRPr="00E26ADF" w:rsidRDefault="00951E83" w:rsidP="00951E83">
      <w:r w:rsidRPr="00E26ADF">
        <w:t>For weekly dosing (QW) with 300 mg, starting with a loading dose of 600 mg, population PK analysis determined steady state concentrations to be achieved after 13 weeks in a typical patient. Mean steady state trough concentration was 189 mg/L.</w:t>
      </w:r>
    </w:p>
    <w:p w14:paraId="54BC0738" w14:textId="77777777" w:rsidR="0024632F" w:rsidRPr="00E26ADF" w:rsidRDefault="0024632F" w:rsidP="00CA73C2">
      <w:pPr>
        <w:pStyle w:val="Heading3"/>
        <w:numPr>
          <w:ilvl w:val="0"/>
          <w:numId w:val="0"/>
        </w:numPr>
        <w:ind w:left="680" w:hanging="680"/>
        <w:rPr>
          <w:lang w:val="en-AU"/>
        </w:rPr>
      </w:pPr>
      <w:r w:rsidRPr="00E26ADF">
        <w:rPr>
          <w:lang w:val="en-AU"/>
        </w:rPr>
        <w:t>Distribution</w:t>
      </w:r>
    </w:p>
    <w:p w14:paraId="2475544E" w14:textId="0984613F" w:rsidR="00951E83" w:rsidRPr="00E26ADF" w:rsidRDefault="00951E83" w:rsidP="00951E83">
      <w:r w:rsidRPr="00E26ADF">
        <w:t>A volume of distribution for dupilumab of approximately 4.6L was estimated by population PK analysis, indicating that dupilumab is distributed primarily in the vascular system.</w:t>
      </w:r>
    </w:p>
    <w:p w14:paraId="4C6DE26F" w14:textId="77777777" w:rsidR="0024632F" w:rsidRPr="00E26ADF" w:rsidRDefault="0024632F" w:rsidP="00CA73C2">
      <w:pPr>
        <w:pStyle w:val="Heading3"/>
        <w:numPr>
          <w:ilvl w:val="0"/>
          <w:numId w:val="0"/>
        </w:numPr>
        <w:ind w:left="680" w:hanging="680"/>
        <w:rPr>
          <w:lang w:val="en-AU"/>
        </w:rPr>
      </w:pPr>
      <w:r w:rsidRPr="00E26ADF">
        <w:rPr>
          <w:lang w:val="en-AU"/>
        </w:rPr>
        <w:t>Metabolism</w:t>
      </w:r>
    </w:p>
    <w:p w14:paraId="4E5306BC" w14:textId="48AFF8A9" w:rsidR="00951E83" w:rsidRPr="00E26ADF" w:rsidRDefault="00951E83" w:rsidP="00951E83">
      <w:r w:rsidRPr="00E26ADF">
        <w:t>Specific metabolism studies were not conducted, because dupilumab is a protein. Dupilumab is expected to degrade to small peptides and individual amino acids.</w:t>
      </w:r>
    </w:p>
    <w:p w14:paraId="2E94962A" w14:textId="77777777" w:rsidR="0024632F" w:rsidRPr="00E26ADF" w:rsidRDefault="0024632F" w:rsidP="00CA73C2">
      <w:pPr>
        <w:pStyle w:val="Heading3"/>
        <w:numPr>
          <w:ilvl w:val="0"/>
          <w:numId w:val="0"/>
        </w:numPr>
        <w:ind w:left="680" w:hanging="680"/>
        <w:rPr>
          <w:lang w:val="en-AU"/>
        </w:rPr>
      </w:pPr>
      <w:r w:rsidRPr="00E26ADF">
        <w:rPr>
          <w:lang w:val="en-AU"/>
        </w:rPr>
        <w:t>Excretion</w:t>
      </w:r>
    </w:p>
    <w:p w14:paraId="7F825D1C" w14:textId="44262228" w:rsidR="00951E83" w:rsidRPr="00E26ADF" w:rsidRDefault="00951E83" w:rsidP="00951E83">
      <w:r w:rsidRPr="00E26ADF">
        <w:t>Dupilumab elimination is mediated by parallel linear and nonlinear pathways. At higher concentrations, dupilumab elimination is primarily through a non-saturable proteolytic pathway, while at lower concentrations, the non-linear saturable IL-4R α target-medi</w:t>
      </w:r>
      <w:r w:rsidR="00E9483F" w:rsidRPr="00E26ADF">
        <w:t>ated elimination predominates.</w:t>
      </w:r>
    </w:p>
    <w:p w14:paraId="05F94196" w14:textId="5E55453A" w:rsidR="00E9483F" w:rsidRPr="00E26ADF" w:rsidRDefault="00951E83" w:rsidP="00FB15C5">
      <w:r w:rsidRPr="00E26ADF">
        <w:rPr>
          <w:color w:val="auto"/>
        </w:rPr>
        <w:t>After the last steady state dose, the median time for dupilumab concentrations to decrease below the lower limit of detection, determined by population PK analysis, was 9 weeks for the 200 mg Q2W</w:t>
      </w:r>
      <w:r w:rsidR="005977C2" w:rsidRPr="00E26ADF">
        <w:rPr>
          <w:color w:val="auto"/>
        </w:rPr>
        <w:t>, 10</w:t>
      </w:r>
      <w:r w:rsidRPr="00E26ADF">
        <w:rPr>
          <w:color w:val="auto"/>
        </w:rPr>
        <w:t>-11 weeks f</w:t>
      </w:r>
      <w:r w:rsidRPr="00E26ADF">
        <w:t>or the 300 mg Q2W regimen and 13 weeks for the 300 mg QW regimen.</w:t>
      </w:r>
    </w:p>
    <w:p w14:paraId="2A47E56D" w14:textId="77777777" w:rsidR="00951E83" w:rsidRPr="00E26ADF" w:rsidRDefault="00951E83" w:rsidP="00E9483F">
      <w:pPr>
        <w:pStyle w:val="Heading3"/>
        <w:numPr>
          <w:ilvl w:val="0"/>
          <w:numId w:val="0"/>
        </w:numPr>
        <w:ind w:left="680" w:hanging="680"/>
        <w:rPr>
          <w:lang w:val="en-AU"/>
        </w:rPr>
      </w:pPr>
      <w:r w:rsidRPr="00E26ADF">
        <w:rPr>
          <w:lang w:val="en-AU"/>
        </w:rPr>
        <w:t>Dose Linearity</w:t>
      </w:r>
    </w:p>
    <w:p w14:paraId="23395B58" w14:textId="77777777" w:rsidR="00951E83" w:rsidRPr="00E26ADF" w:rsidRDefault="00951E83" w:rsidP="00951E83">
      <w:r w:rsidRPr="00E26ADF">
        <w:t>Due to nonlinear clearance, dupilumab exposure, as measured by area under the concentration-time curve, increases with dose in a greater than proportional manner following single SC doses from 75-600 mg.</w:t>
      </w:r>
    </w:p>
    <w:p w14:paraId="6A720327" w14:textId="77777777" w:rsidR="00951E83" w:rsidRPr="00E26ADF" w:rsidRDefault="00951E83" w:rsidP="00E9483F">
      <w:pPr>
        <w:pStyle w:val="Heading3"/>
        <w:numPr>
          <w:ilvl w:val="0"/>
          <w:numId w:val="0"/>
        </w:numPr>
        <w:ind w:left="680" w:hanging="680"/>
        <w:rPr>
          <w:lang w:val="en-AU"/>
        </w:rPr>
      </w:pPr>
      <w:r w:rsidRPr="00E26ADF">
        <w:rPr>
          <w:lang w:val="en-AU"/>
        </w:rPr>
        <w:lastRenderedPageBreak/>
        <w:t>Special Populations</w:t>
      </w:r>
    </w:p>
    <w:p w14:paraId="32EFD43F" w14:textId="77777777" w:rsidR="00951E83" w:rsidRPr="00E26ADF" w:rsidRDefault="00951E83" w:rsidP="00E9483F">
      <w:pPr>
        <w:pStyle w:val="Heading4"/>
        <w:numPr>
          <w:ilvl w:val="0"/>
          <w:numId w:val="0"/>
        </w:numPr>
        <w:ind w:left="862" w:hanging="862"/>
        <w:rPr>
          <w:lang w:val="en-AU"/>
        </w:rPr>
      </w:pPr>
      <w:r w:rsidRPr="00E26ADF">
        <w:rPr>
          <w:lang w:val="en-AU"/>
        </w:rPr>
        <w:t xml:space="preserve">Gender </w:t>
      </w:r>
    </w:p>
    <w:p w14:paraId="35AE5000" w14:textId="49B27542" w:rsidR="00951E83" w:rsidRPr="00E26ADF" w:rsidRDefault="00951E83" w:rsidP="00951E83">
      <w:pPr>
        <w:rPr>
          <w:color w:val="auto"/>
        </w:rPr>
      </w:pPr>
      <w:r w:rsidRPr="00E26ADF">
        <w:rPr>
          <w:color w:val="auto"/>
        </w:rPr>
        <w:t>Gender was not found to be associated with any clinically meaningful impact on the systemic exposure of dupilumab determined by population PK analysis.</w:t>
      </w:r>
    </w:p>
    <w:p w14:paraId="7B3FE50A" w14:textId="7970FFEA" w:rsidR="00951E83" w:rsidRPr="00E26ADF" w:rsidRDefault="00951E83" w:rsidP="00E9483F">
      <w:pPr>
        <w:pStyle w:val="Heading4"/>
        <w:numPr>
          <w:ilvl w:val="0"/>
          <w:numId w:val="0"/>
        </w:numPr>
        <w:ind w:left="862" w:hanging="862"/>
        <w:rPr>
          <w:lang w:val="en-AU"/>
        </w:rPr>
      </w:pPr>
      <w:r w:rsidRPr="00E26ADF">
        <w:rPr>
          <w:lang w:val="en-AU"/>
        </w:rPr>
        <w:t>Elderly</w:t>
      </w:r>
    </w:p>
    <w:p w14:paraId="5D42B70D" w14:textId="77777777" w:rsidR="00951E83" w:rsidRPr="00E26ADF" w:rsidRDefault="00951E83" w:rsidP="00951E83">
      <w:pPr>
        <w:rPr>
          <w:color w:val="auto"/>
        </w:rPr>
      </w:pPr>
      <w:r w:rsidRPr="00E26ADF">
        <w:rPr>
          <w:color w:val="auto"/>
        </w:rPr>
        <w:t>Age was not found to be associated with any clinically meaningful impact on the systemic exposure of Dupixent determined by population PK analysis.</w:t>
      </w:r>
    </w:p>
    <w:p w14:paraId="637568D4" w14:textId="77777777" w:rsidR="00951E83" w:rsidRPr="00E26ADF" w:rsidRDefault="00951E83" w:rsidP="00E9483F">
      <w:pPr>
        <w:pStyle w:val="Heading4"/>
        <w:numPr>
          <w:ilvl w:val="0"/>
          <w:numId w:val="0"/>
        </w:numPr>
        <w:ind w:left="862" w:hanging="862"/>
        <w:rPr>
          <w:lang w:val="en-AU"/>
        </w:rPr>
      </w:pPr>
      <w:r w:rsidRPr="00E26ADF">
        <w:rPr>
          <w:lang w:val="en-AU"/>
        </w:rPr>
        <w:t>Race</w:t>
      </w:r>
    </w:p>
    <w:p w14:paraId="2A437791" w14:textId="23101143" w:rsidR="00951E83" w:rsidRPr="00E26ADF" w:rsidRDefault="00951E83" w:rsidP="00951E83">
      <w:pPr>
        <w:rPr>
          <w:color w:val="auto"/>
        </w:rPr>
      </w:pPr>
      <w:r w:rsidRPr="00E26ADF">
        <w:rPr>
          <w:color w:val="auto"/>
        </w:rPr>
        <w:t>Race was not found to be associated with any clinically meaningful impact on the systemic exposure of dupilumab by population PK analysis.</w:t>
      </w:r>
    </w:p>
    <w:p w14:paraId="794EB463" w14:textId="5F84E2CB" w:rsidR="00951E83" w:rsidRDefault="00951E83" w:rsidP="00E9483F">
      <w:pPr>
        <w:pStyle w:val="Heading4"/>
        <w:numPr>
          <w:ilvl w:val="0"/>
          <w:numId w:val="0"/>
        </w:numPr>
        <w:ind w:left="862" w:hanging="862"/>
        <w:rPr>
          <w:lang w:val="en-AU"/>
        </w:rPr>
      </w:pPr>
      <w:r w:rsidRPr="00E26ADF">
        <w:rPr>
          <w:lang w:val="en-AU"/>
        </w:rPr>
        <w:t>Paediatric Patients</w:t>
      </w:r>
    </w:p>
    <w:p w14:paraId="07FD631C" w14:textId="48A2C170" w:rsidR="00F80E9D" w:rsidRPr="004F5EF5" w:rsidRDefault="00F80E9D" w:rsidP="00F80E9D">
      <w:pPr>
        <w:pStyle w:val="Heading5"/>
        <w:numPr>
          <w:ilvl w:val="0"/>
          <w:numId w:val="0"/>
        </w:numPr>
        <w:ind w:left="1009" w:hanging="1009"/>
      </w:pPr>
      <w:r w:rsidRPr="004F5EF5">
        <w:t>Atopic Dermatitis</w:t>
      </w:r>
    </w:p>
    <w:p w14:paraId="22A0D64E" w14:textId="4FC16AC3" w:rsidR="00920D36" w:rsidRPr="004F5EF5" w:rsidRDefault="00AE0FA6" w:rsidP="00E7557D">
      <w:pPr>
        <w:rPr>
          <w:color w:val="auto"/>
        </w:rPr>
      </w:pPr>
      <w:r w:rsidRPr="004F5EF5">
        <w:rPr>
          <w:color w:val="auto"/>
        </w:rPr>
        <w:t>For adolescents 12 to 17 years of age with atopic dermatitis receiving every other week dosing (Q2W) with either 200 mg (&lt;60 kg) or 300 mg (≥60 kg), mean ±SD steady state trough concentration of dupilumab was 54.5±27.0 mcg/</w:t>
      </w:r>
      <w:proofErr w:type="spellStart"/>
      <w:r w:rsidRPr="004F5EF5">
        <w:rPr>
          <w:color w:val="auto"/>
        </w:rPr>
        <w:t>mL.</w:t>
      </w:r>
      <w:proofErr w:type="spellEnd"/>
    </w:p>
    <w:p w14:paraId="5FD8478B" w14:textId="7E4D3BF4" w:rsidR="00920D36" w:rsidRPr="004F5EF5" w:rsidRDefault="00920D36" w:rsidP="00920D36">
      <w:pPr>
        <w:rPr>
          <w:color w:val="auto"/>
        </w:rPr>
      </w:pPr>
      <w:r w:rsidRPr="004F5EF5">
        <w:rPr>
          <w:color w:val="auto"/>
        </w:rPr>
        <w:t>For children 6 to 11 years of age with atopic dermatitis receiving every other week dosing (Q2W) with 200 mg (</w:t>
      </w:r>
      <w:r w:rsidRPr="004F5EF5">
        <w:rPr>
          <w:rFonts w:hint="eastAsia"/>
          <w:color w:val="auto"/>
        </w:rPr>
        <w:t>≥</w:t>
      </w:r>
      <w:r w:rsidRPr="004F5EF5">
        <w:rPr>
          <w:color w:val="auto"/>
        </w:rPr>
        <w:t xml:space="preserve">30 kg) or every </w:t>
      </w:r>
      <w:proofErr w:type="gramStart"/>
      <w:r w:rsidRPr="004F5EF5">
        <w:rPr>
          <w:color w:val="auto"/>
        </w:rPr>
        <w:t>four week</w:t>
      </w:r>
      <w:proofErr w:type="gramEnd"/>
      <w:r w:rsidRPr="004F5EF5">
        <w:rPr>
          <w:color w:val="auto"/>
        </w:rPr>
        <w:t xml:space="preserve"> dosing (Q4W) with 300 mg (&lt;30 kg), mean ± SD steady state trough concentration was 86.0±34.6 mcg/mL and 98.7±33.2 mcg/mL, respectively.</w:t>
      </w:r>
    </w:p>
    <w:p w14:paraId="3BD43318" w14:textId="47B20C29" w:rsidR="00951E83" w:rsidRPr="004F5EF5" w:rsidRDefault="00951E83" w:rsidP="00951E83">
      <w:pPr>
        <w:rPr>
          <w:color w:val="auto"/>
        </w:rPr>
      </w:pPr>
      <w:r w:rsidRPr="004F5EF5">
        <w:rPr>
          <w:color w:val="auto"/>
        </w:rPr>
        <w:t xml:space="preserve">The pharmacokinetics of dupilumab in </w:t>
      </w:r>
      <w:r w:rsidR="005977C2" w:rsidRPr="004F5EF5">
        <w:rPr>
          <w:color w:val="auto"/>
        </w:rPr>
        <w:t>paediatric</w:t>
      </w:r>
      <w:r w:rsidRPr="004F5EF5">
        <w:rPr>
          <w:color w:val="auto"/>
        </w:rPr>
        <w:t xml:space="preserve"> patients </w:t>
      </w:r>
      <w:r w:rsidR="00AE0FA6" w:rsidRPr="004F5EF5">
        <w:rPr>
          <w:color w:val="auto"/>
        </w:rPr>
        <w:t xml:space="preserve">below </w:t>
      </w:r>
      <w:r w:rsidR="00920D36" w:rsidRPr="004F5EF5">
        <w:rPr>
          <w:color w:val="auto"/>
        </w:rPr>
        <w:t xml:space="preserve">6 </w:t>
      </w:r>
      <w:r w:rsidR="00AE0FA6" w:rsidRPr="004F5EF5">
        <w:rPr>
          <w:color w:val="auto"/>
        </w:rPr>
        <w:t>years of age</w:t>
      </w:r>
      <w:r w:rsidRPr="004F5EF5">
        <w:rPr>
          <w:color w:val="auto"/>
        </w:rPr>
        <w:t xml:space="preserve"> with atopic dermatitis have not been</w:t>
      </w:r>
      <w:r w:rsidR="00AE0FA6" w:rsidRPr="004F5EF5">
        <w:rPr>
          <w:color w:val="auto"/>
        </w:rPr>
        <w:t xml:space="preserve"> fully established</w:t>
      </w:r>
      <w:r w:rsidRPr="004F5EF5">
        <w:rPr>
          <w:color w:val="auto"/>
        </w:rPr>
        <w:t>.</w:t>
      </w:r>
    </w:p>
    <w:p w14:paraId="08B6410C" w14:textId="1E9CC681" w:rsidR="00F80E9D" w:rsidRPr="004F5EF5" w:rsidRDefault="00F80E9D" w:rsidP="00F80E9D">
      <w:pPr>
        <w:pStyle w:val="Heading5"/>
        <w:numPr>
          <w:ilvl w:val="0"/>
          <w:numId w:val="0"/>
        </w:numPr>
        <w:ind w:left="1009" w:hanging="1009"/>
      </w:pPr>
      <w:r w:rsidRPr="004F5EF5">
        <w:t>Asthma</w:t>
      </w:r>
    </w:p>
    <w:p w14:paraId="7017E1B0" w14:textId="77F8D14D" w:rsidR="00104ABB" w:rsidRPr="004F5EF5" w:rsidRDefault="00951E83" w:rsidP="00FB15C5">
      <w:pPr>
        <w:rPr>
          <w:color w:val="auto"/>
        </w:rPr>
      </w:pPr>
      <w:r w:rsidRPr="00E26ADF">
        <w:rPr>
          <w:color w:val="auto"/>
        </w:rPr>
        <w:t xml:space="preserve">A total of 107 </w:t>
      </w:r>
      <w:r w:rsidRPr="004F5EF5">
        <w:rPr>
          <w:color w:val="auto"/>
        </w:rPr>
        <w:t xml:space="preserve">adolescents </w:t>
      </w:r>
      <w:r w:rsidR="00EF3BE1" w:rsidRPr="004F5EF5">
        <w:rPr>
          <w:color w:val="auto"/>
        </w:rPr>
        <w:t>(</w:t>
      </w:r>
      <w:r w:rsidR="00C76190" w:rsidRPr="004F5EF5">
        <w:rPr>
          <w:color w:val="auto"/>
        </w:rPr>
        <w:t xml:space="preserve">range: </w:t>
      </w:r>
      <w:r w:rsidR="00EF3BE1" w:rsidRPr="004F5EF5">
        <w:rPr>
          <w:color w:val="auto"/>
        </w:rPr>
        <w:t xml:space="preserve">30 kg to 122 kg) </w:t>
      </w:r>
      <w:r w:rsidRPr="004F5EF5">
        <w:rPr>
          <w:color w:val="auto"/>
        </w:rPr>
        <w:t xml:space="preserve">aged 12 to 17 years with moderate to severe asthma were enrolled in </w:t>
      </w:r>
      <w:r w:rsidR="00920D36" w:rsidRPr="004F5EF5">
        <w:rPr>
          <w:color w:val="auto"/>
        </w:rPr>
        <w:t xml:space="preserve">the </w:t>
      </w:r>
      <w:r w:rsidRPr="004F5EF5">
        <w:rPr>
          <w:color w:val="auto"/>
        </w:rPr>
        <w:t xml:space="preserve">Quest study and received either 200 mg (N=21) or 300 mg (N=18) Dupixent (or matching placebo either 200 mg [N=34] or 300 mg [N=34]) every other week. </w:t>
      </w:r>
      <w:r w:rsidR="00920D36" w:rsidRPr="004F5EF5">
        <w:rPr>
          <w:color w:val="auto"/>
        </w:rPr>
        <w:t xml:space="preserve"> </w:t>
      </w:r>
      <w:r w:rsidRPr="004F5EF5">
        <w:rPr>
          <w:color w:val="auto"/>
        </w:rPr>
        <w:t xml:space="preserve">Efficacy with respect to asthma exacerbations and lung function was observed in both adolescents and adults. </w:t>
      </w:r>
    </w:p>
    <w:p w14:paraId="66B29878" w14:textId="134A0BEE" w:rsidR="00951E83" w:rsidRPr="004F5EF5" w:rsidRDefault="00951E83" w:rsidP="00951E83">
      <w:pPr>
        <w:rPr>
          <w:color w:val="auto"/>
        </w:rPr>
      </w:pPr>
      <w:r w:rsidRPr="004F5EF5">
        <w:rPr>
          <w:color w:val="auto"/>
        </w:rPr>
        <w:t xml:space="preserve">For both the 200 mg and 300 mg every other week doses, significant improvements in FEV1 (LS mean change from baseline at Week 12) were observed (0.36 L and 0.27 L, respectively). For the 200 mg every other week dose, patients had a reduction in the rate of severe exacerbations that was consistent with adults. </w:t>
      </w:r>
    </w:p>
    <w:p w14:paraId="30C912B8" w14:textId="77777777" w:rsidR="00920D36" w:rsidRPr="004F5EF5" w:rsidRDefault="00920D36" w:rsidP="00920D36">
      <w:pPr>
        <w:rPr>
          <w:color w:val="auto"/>
        </w:rPr>
      </w:pPr>
      <w:r w:rsidRPr="004F5EF5">
        <w:rPr>
          <w:color w:val="auto"/>
        </w:rPr>
        <w:t xml:space="preserve">The mean ±SD steady-state trough concentrations of dupilumab were 46.7±26.9 mcg/mL and 107± 51.6 mcg/mL, respectively, for 200 mg or 300 mg administered every other week. </w:t>
      </w:r>
    </w:p>
    <w:p w14:paraId="3DFB8043" w14:textId="50E4AAA4" w:rsidR="00D70581" w:rsidRPr="00152F49" w:rsidRDefault="00D70581" w:rsidP="00D70581">
      <w:pPr>
        <w:jc w:val="both"/>
        <w:rPr>
          <w:color w:val="auto"/>
        </w:rPr>
      </w:pPr>
      <w:r w:rsidRPr="00152F49">
        <w:rPr>
          <w:color w:val="auto"/>
        </w:rPr>
        <w:lastRenderedPageBreak/>
        <w:t>The long-term safety and efficacy of Dupixent was assessed in 89 adolescent patients who were enrolled in an open-label extension study in moderate-to-severe asthma (TRAVERSE). In this study, patients were followed for up to 96 weeks, resulting in 99 patient-years cumulative exposure to Dupixent.  The safety profile of Dupixent in TRAVERSE was consistent with the safety profile observed in asthma pivotal studies for up to 52 weeks of treatment. No additional adverse reactions were identified. In this study, the clinical benefit of Dupixent, including reduction in exacerbations and improvement in lung function observed in pivotal asthma studies, was sustained up to 96 weeks.</w:t>
      </w:r>
    </w:p>
    <w:p w14:paraId="1AEB533A" w14:textId="688B730B" w:rsidR="00D70581" w:rsidRDefault="00951E83" w:rsidP="00C76190">
      <w:pPr>
        <w:rPr>
          <w:color w:val="auto"/>
        </w:rPr>
      </w:pPr>
      <w:r w:rsidRPr="00E26ADF">
        <w:rPr>
          <w:color w:val="auto"/>
        </w:rPr>
        <w:t>Safety and efficacy in p</w:t>
      </w:r>
      <w:r w:rsidR="00AE5250" w:rsidRPr="00E26ADF">
        <w:rPr>
          <w:color w:val="auto"/>
        </w:rPr>
        <w:t>a</w:t>
      </w:r>
      <w:r w:rsidRPr="00E26ADF">
        <w:rPr>
          <w:color w:val="auto"/>
        </w:rPr>
        <w:t>ediatric patients (&lt;12 years of age) with asthma have not been studied.</w:t>
      </w:r>
    </w:p>
    <w:p w14:paraId="3B0605CC" w14:textId="160FC6CD" w:rsidR="00E9689D" w:rsidRDefault="00951E83" w:rsidP="00C76190">
      <w:pPr>
        <w:rPr>
          <w:color w:val="auto"/>
        </w:rPr>
      </w:pPr>
      <w:r w:rsidRPr="00E26ADF">
        <w:rPr>
          <w:color w:val="auto"/>
        </w:rPr>
        <w:t>The adverse event profile in adolescents was ge</w:t>
      </w:r>
      <w:r w:rsidR="00187A1E" w:rsidRPr="00E26ADF">
        <w:rPr>
          <w:color w:val="auto"/>
        </w:rPr>
        <w:t xml:space="preserve">nerally </w:t>
      </w:r>
      <w:proofErr w:type="gramStart"/>
      <w:r w:rsidR="00187A1E" w:rsidRPr="00E26ADF">
        <w:rPr>
          <w:color w:val="auto"/>
        </w:rPr>
        <w:t>similar to</w:t>
      </w:r>
      <w:proofErr w:type="gramEnd"/>
      <w:r w:rsidR="00187A1E" w:rsidRPr="00E26ADF">
        <w:rPr>
          <w:color w:val="auto"/>
        </w:rPr>
        <w:t xml:space="preserve"> the adults (</w:t>
      </w:r>
      <w:r w:rsidR="005977C2" w:rsidRPr="00E26ADF">
        <w:rPr>
          <w:color w:val="auto"/>
        </w:rPr>
        <w:t>See</w:t>
      </w:r>
      <w:r w:rsidRPr="00E26ADF">
        <w:rPr>
          <w:color w:val="auto"/>
        </w:rPr>
        <w:t xml:space="preserve"> </w:t>
      </w:r>
      <w:r w:rsidR="00187A1E" w:rsidRPr="00E26ADF">
        <w:rPr>
          <w:color w:val="auto"/>
        </w:rPr>
        <w:t xml:space="preserve">Section </w:t>
      </w:r>
      <w:r w:rsidR="00187A1E" w:rsidRPr="00E26ADF">
        <w:rPr>
          <w:color w:val="0000FF"/>
        </w:rPr>
        <w:fldChar w:fldCharType="begin"/>
      </w:r>
      <w:r w:rsidR="00187A1E" w:rsidRPr="00E26ADF">
        <w:rPr>
          <w:color w:val="0000FF"/>
        </w:rPr>
        <w:instrText xml:space="preserve"> REF _Ref10723649 \r \h  \* MERGEFORMAT </w:instrText>
      </w:r>
      <w:r w:rsidR="00187A1E" w:rsidRPr="00E26ADF">
        <w:rPr>
          <w:color w:val="0000FF"/>
        </w:rPr>
      </w:r>
      <w:r w:rsidR="00187A1E" w:rsidRPr="00E26ADF">
        <w:rPr>
          <w:color w:val="0000FF"/>
        </w:rPr>
        <w:fldChar w:fldCharType="separate"/>
      </w:r>
      <w:r w:rsidR="00E123A5">
        <w:rPr>
          <w:color w:val="0000FF"/>
        </w:rPr>
        <w:t>4.8</w:t>
      </w:r>
      <w:r w:rsidR="00187A1E" w:rsidRPr="00E26ADF">
        <w:rPr>
          <w:color w:val="0000FF"/>
        </w:rPr>
        <w:fldChar w:fldCharType="end"/>
      </w:r>
      <w:r w:rsidR="00187A1E" w:rsidRPr="00E26ADF">
        <w:rPr>
          <w:color w:val="0000FF"/>
        </w:rPr>
        <w:t xml:space="preserve"> </w:t>
      </w:r>
      <w:r w:rsidR="00187A1E" w:rsidRPr="00E26ADF">
        <w:rPr>
          <w:color w:val="auto"/>
        </w:rPr>
        <w:t>–</w:t>
      </w:r>
      <w:r w:rsidR="002E7DE1" w:rsidRPr="00E26ADF">
        <w:rPr>
          <w:color w:val="auto"/>
        </w:rPr>
        <w:t xml:space="preserve"> </w:t>
      </w:r>
      <w:r w:rsidR="00187A1E" w:rsidRPr="00E26ADF">
        <w:rPr>
          <w:color w:val="auto"/>
        </w:rPr>
        <w:t>Adverse Effects (Undesirable Effects)).</w:t>
      </w:r>
    </w:p>
    <w:p w14:paraId="6740ABBC" w14:textId="1B2FFFE6" w:rsidR="00F80E9D" w:rsidRPr="004F5EF5" w:rsidRDefault="00F80E9D" w:rsidP="00F80E9D">
      <w:pPr>
        <w:pStyle w:val="Heading5"/>
        <w:numPr>
          <w:ilvl w:val="0"/>
          <w:numId w:val="0"/>
        </w:numPr>
        <w:ind w:left="1009" w:hanging="1009"/>
      </w:pPr>
      <w:r w:rsidRPr="004F5EF5">
        <w:t>CRSwNP</w:t>
      </w:r>
    </w:p>
    <w:p w14:paraId="349C23A8" w14:textId="559C202E" w:rsidR="00F80E9D" w:rsidRPr="004F5EF5" w:rsidRDefault="00F80E9D" w:rsidP="00C76190">
      <w:pPr>
        <w:rPr>
          <w:color w:val="auto"/>
        </w:rPr>
      </w:pPr>
      <w:r w:rsidRPr="004F5EF5">
        <w:rPr>
          <w:color w:val="auto"/>
        </w:rPr>
        <w:t>CRSwNP does not normally occur in children. The pharmacokinetics of dupilumab has not been studied in children (&lt;18 years of age) with CRSwNP.</w:t>
      </w:r>
    </w:p>
    <w:p w14:paraId="6A6B7B9E" w14:textId="77777777" w:rsidR="00951E83" w:rsidRPr="00E26ADF" w:rsidRDefault="00951E83" w:rsidP="00E9483F">
      <w:pPr>
        <w:pStyle w:val="Heading4"/>
        <w:numPr>
          <w:ilvl w:val="0"/>
          <w:numId w:val="0"/>
        </w:numPr>
        <w:ind w:left="862" w:hanging="862"/>
        <w:rPr>
          <w:lang w:val="en-AU"/>
        </w:rPr>
      </w:pPr>
      <w:r w:rsidRPr="00E26ADF">
        <w:rPr>
          <w:lang w:val="en-AU"/>
        </w:rPr>
        <w:t>Hepatic Impairment</w:t>
      </w:r>
    </w:p>
    <w:p w14:paraId="387250EA" w14:textId="77777777" w:rsidR="00951E83" w:rsidRPr="00E26ADF" w:rsidRDefault="00951E83" w:rsidP="00951E83">
      <w:r w:rsidRPr="00E26ADF">
        <w:t>Dupilumab, as a monoclonal antibody, is not expected to undergo significant hepatic elimination. No clinical studies have been conducted to evaluate the effect of hepatic impairment on the pharmacokinetics of dupilumab.</w:t>
      </w:r>
    </w:p>
    <w:p w14:paraId="1496E5CC" w14:textId="77777777" w:rsidR="00951E83" w:rsidRPr="00E26ADF" w:rsidRDefault="00951E83" w:rsidP="00E9483F">
      <w:pPr>
        <w:pStyle w:val="Heading4"/>
        <w:numPr>
          <w:ilvl w:val="0"/>
          <w:numId w:val="0"/>
        </w:numPr>
        <w:ind w:left="862" w:hanging="862"/>
        <w:rPr>
          <w:lang w:val="en-AU"/>
        </w:rPr>
      </w:pPr>
      <w:r w:rsidRPr="00E26ADF">
        <w:rPr>
          <w:lang w:val="en-AU"/>
        </w:rPr>
        <w:t>Renal Impairment</w:t>
      </w:r>
    </w:p>
    <w:p w14:paraId="76F14923" w14:textId="48311FD7" w:rsidR="00951E83" w:rsidRPr="00E26ADF" w:rsidRDefault="00951E83" w:rsidP="00951E83">
      <w:pPr>
        <w:rPr>
          <w:color w:val="auto"/>
        </w:rPr>
      </w:pPr>
      <w:r w:rsidRPr="00E26ADF">
        <w:t xml:space="preserve">Dupilumab, as a monoclonal antibody, is not expected to undergo significant renal elimination.  No clinical studies have been conducted to evaluate the effect of renal impairment on the pharmacokinetics of dupilumab. Population PK analysis did not identify </w:t>
      </w:r>
      <w:r w:rsidRPr="00E26ADF">
        <w:rPr>
          <w:color w:val="auto"/>
        </w:rPr>
        <w:t>mild or moderate renal impairment as having a clinically meaningful influence on the systemic exposure of dupilumab. No data are available in patients with severe renal impairment.</w:t>
      </w:r>
    </w:p>
    <w:p w14:paraId="76B175D9" w14:textId="77777777" w:rsidR="001A3992" w:rsidRPr="00E26ADF" w:rsidRDefault="001A3992" w:rsidP="00E9483F">
      <w:pPr>
        <w:pStyle w:val="Heading2"/>
        <w:rPr>
          <w:lang w:val="en-AU"/>
        </w:rPr>
      </w:pPr>
      <w:r w:rsidRPr="00E26ADF">
        <w:rPr>
          <w:lang w:val="en-AU"/>
        </w:rPr>
        <w:t>Preclinical safety data</w:t>
      </w:r>
    </w:p>
    <w:p w14:paraId="1102FA6C" w14:textId="5ED6E7E7" w:rsidR="001A3992" w:rsidRPr="00E26ADF" w:rsidRDefault="001A3992" w:rsidP="00E9483F">
      <w:pPr>
        <w:pStyle w:val="Heading3"/>
        <w:numPr>
          <w:ilvl w:val="0"/>
          <w:numId w:val="0"/>
        </w:numPr>
        <w:rPr>
          <w:lang w:val="en-AU"/>
        </w:rPr>
      </w:pPr>
      <w:r w:rsidRPr="00E26ADF">
        <w:rPr>
          <w:lang w:val="en-AU"/>
        </w:rPr>
        <w:t>Genotoxicity</w:t>
      </w:r>
    </w:p>
    <w:p w14:paraId="3A4DCCFD" w14:textId="2DF8C70F" w:rsidR="00BC364A" w:rsidRPr="00E26ADF" w:rsidRDefault="00951E83" w:rsidP="00BC364A">
      <w:pPr>
        <w:spacing w:before="120"/>
        <w:rPr>
          <w:color w:val="auto"/>
        </w:rPr>
      </w:pPr>
      <w:r w:rsidRPr="00E26ADF">
        <w:rPr>
          <w:color w:val="auto"/>
        </w:rPr>
        <w:t>No genotoxicity studies were conducted. As a monoclonal antibody, dupilumab is not expected to interact with DNA or other chromosomal material.</w:t>
      </w:r>
    </w:p>
    <w:p w14:paraId="55BDD1E3" w14:textId="77777777" w:rsidR="001A3992" w:rsidRPr="00E26ADF" w:rsidRDefault="001A3992" w:rsidP="00E9483F">
      <w:pPr>
        <w:pStyle w:val="Heading3"/>
        <w:numPr>
          <w:ilvl w:val="0"/>
          <w:numId w:val="0"/>
        </w:numPr>
        <w:rPr>
          <w:lang w:val="en-AU"/>
        </w:rPr>
      </w:pPr>
      <w:r w:rsidRPr="00E26ADF">
        <w:rPr>
          <w:lang w:val="en-AU"/>
        </w:rPr>
        <w:t>Carcinogenicity</w:t>
      </w:r>
    </w:p>
    <w:p w14:paraId="4394B087" w14:textId="0B840DCB" w:rsidR="00951E83" w:rsidRPr="00E26ADF" w:rsidRDefault="00951E83" w:rsidP="00951E83">
      <w:pPr>
        <w:rPr>
          <w:color w:val="auto"/>
        </w:rPr>
      </w:pPr>
      <w:r w:rsidRPr="00E26ADF">
        <w:rPr>
          <w:color w:val="auto"/>
        </w:rPr>
        <w:t>Carcinogenicity studies have not been conducted with dupilumab. An evaluation of the available evidence related to IL-4Rα inhibition and animal toxicology data with surrogate antibodies does not suggest an increased risk of cancer for dupilumab.</w:t>
      </w:r>
    </w:p>
    <w:p w14:paraId="557774DA" w14:textId="77777777" w:rsidR="001A3992" w:rsidRPr="00E26ADF" w:rsidRDefault="001A3992" w:rsidP="00E9483F">
      <w:pPr>
        <w:pStyle w:val="Heading1"/>
        <w:pageBreakBefore w:val="0"/>
        <w:rPr>
          <w:lang w:val="en-AU"/>
        </w:rPr>
      </w:pPr>
      <w:r w:rsidRPr="00E26ADF">
        <w:rPr>
          <w:lang w:val="en-AU"/>
        </w:rPr>
        <w:lastRenderedPageBreak/>
        <w:t>Pharmaceutical particulars</w:t>
      </w:r>
    </w:p>
    <w:p w14:paraId="62CAA4D6" w14:textId="77777777" w:rsidR="001A3992" w:rsidRPr="00E26ADF" w:rsidRDefault="001A3992" w:rsidP="00E9483F">
      <w:pPr>
        <w:pStyle w:val="Heading2"/>
        <w:rPr>
          <w:lang w:val="en-AU"/>
        </w:rPr>
      </w:pPr>
      <w:bookmarkStart w:id="50" w:name="_Ref10723500"/>
      <w:r w:rsidRPr="00E26ADF">
        <w:rPr>
          <w:lang w:val="en-AU"/>
        </w:rPr>
        <w:t>List of excipients</w:t>
      </w:r>
      <w:bookmarkEnd w:id="50"/>
      <w:r w:rsidRPr="00E26ADF">
        <w:rPr>
          <w:lang w:val="en-AU"/>
        </w:rPr>
        <w:t xml:space="preserve"> </w:t>
      </w:r>
    </w:p>
    <w:p w14:paraId="1B793C61" w14:textId="77777777" w:rsidR="00951E83" w:rsidRPr="00E26ADF" w:rsidRDefault="00951E83" w:rsidP="00FA6B33">
      <w:pPr>
        <w:pStyle w:val="Heading3"/>
        <w:numPr>
          <w:ilvl w:val="0"/>
          <w:numId w:val="0"/>
        </w:numPr>
      </w:pPr>
      <w:r w:rsidRPr="00E26ADF">
        <w:t>300 mg Pre-Filled Syringe</w:t>
      </w:r>
    </w:p>
    <w:p w14:paraId="150E1A53" w14:textId="3766D7B0" w:rsidR="00951E83" w:rsidRPr="00E26ADF" w:rsidRDefault="00951E83" w:rsidP="00951E83">
      <w:pPr>
        <w:rPr>
          <w:strike/>
          <w:color w:val="auto"/>
        </w:rPr>
      </w:pPr>
      <w:r w:rsidRPr="00E26ADF">
        <w:rPr>
          <w:color w:val="auto"/>
        </w:rPr>
        <w:t>Arginine hydrochloride (</w:t>
      </w:r>
      <w:r w:rsidR="00D23C17" w:rsidRPr="004F5EF5">
        <w:rPr>
          <w:color w:val="auto"/>
        </w:rPr>
        <w:t>10.5 mg</w:t>
      </w:r>
      <w:r w:rsidRPr="00E26ADF">
        <w:rPr>
          <w:color w:val="auto"/>
        </w:rPr>
        <w:t>), histidine (</w:t>
      </w:r>
      <w:r w:rsidR="00D23C17" w:rsidRPr="004F5EF5">
        <w:rPr>
          <w:color w:val="auto"/>
        </w:rPr>
        <w:t>5.4 mg</w:t>
      </w:r>
      <w:r w:rsidRPr="00E26ADF">
        <w:rPr>
          <w:color w:val="auto"/>
        </w:rPr>
        <w:t xml:space="preserve">), </w:t>
      </w:r>
      <w:r w:rsidR="00D23C17" w:rsidRPr="004F5EF5">
        <w:rPr>
          <w:color w:val="auto"/>
        </w:rPr>
        <w:t>histidine hydrochloride monohydrate (1 mg)</w:t>
      </w:r>
      <w:r w:rsidR="00D23C17">
        <w:rPr>
          <w:color w:val="auto"/>
        </w:rPr>
        <w:t xml:space="preserve">, </w:t>
      </w:r>
      <w:r w:rsidRPr="00E26ADF">
        <w:rPr>
          <w:color w:val="auto"/>
        </w:rPr>
        <w:t>polysorbate 80 (</w:t>
      </w:r>
      <w:r w:rsidR="00D23C17" w:rsidRPr="004F5EF5">
        <w:rPr>
          <w:color w:val="auto"/>
        </w:rPr>
        <w:t>4 mg</w:t>
      </w:r>
      <w:r w:rsidRPr="00E26ADF">
        <w:rPr>
          <w:color w:val="auto"/>
        </w:rPr>
        <w:t xml:space="preserve">), sodium acetate </w:t>
      </w:r>
      <w:r w:rsidR="00E762F0" w:rsidRPr="00E26ADF">
        <w:rPr>
          <w:color w:val="auto"/>
        </w:rPr>
        <w:t xml:space="preserve">trihydrate </w:t>
      </w:r>
      <w:r w:rsidRPr="00E26ADF">
        <w:rPr>
          <w:color w:val="auto"/>
        </w:rPr>
        <w:t>(</w:t>
      </w:r>
      <w:r w:rsidR="00D23C17" w:rsidRPr="004F5EF5">
        <w:rPr>
          <w:color w:val="auto"/>
        </w:rPr>
        <w:t>2.6 mg</w:t>
      </w:r>
      <w:r w:rsidRPr="00E26ADF">
        <w:rPr>
          <w:color w:val="auto"/>
        </w:rPr>
        <w:t>), sucrose (</w:t>
      </w:r>
      <w:r w:rsidR="00D23C17" w:rsidRPr="004F5EF5">
        <w:rPr>
          <w:color w:val="auto"/>
        </w:rPr>
        <w:t>100 mg</w:t>
      </w:r>
      <w:r w:rsidRPr="00E26ADF">
        <w:rPr>
          <w:color w:val="auto"/>
        </w:rPr>
        <w:t xml:space="preserve">), </w:t>
      </w:r>
      <w:r w:rsidR="00D23C17" w:rsidRPr="00E26ADF">
        <w:rPr>
          <w:color w:val="auto"/>
        </w:rPr>
        <w:t>glacial acetic acid</w:t>
      </w:r>
      <w:r w:rsidR="00D23C17">
        <w:rPr>
          <w:color w:val="auto"/>
        </w:rPr>
        <w:t xml:space="preserve"> </w:t>
      </w:r>
      <w:r w:rsidR="00D23C17" w:rsidRPr="004F5EF5">
        <w:rPr>
          <w:color w:val="auto"/>
        </w:rPr>
        <w:t xml:space="preserve">(0.3 mg) </w:t>
      </w:r>
      <w:r w:rsidR="00D23C17" w:rsidRPr="00D23C17">
        <w:rPr>
          <w:color w:val="auto"/>
        </w:rPr>
        <w:t xml:space="preserve">and </w:t>
      </w:r>
      <w:r w:rsidRPr="00E26ADF">
        <w:rPr>
          <w:color w:val="auto"/>
        </w:rPr>
        <w:t>water for injections</w:t>
      </w:r>
      <w:r w:rsidR="00D23C17">
        <w:rPr>
          <w:color w:val="auto"/>
        </w:rPr>
        <w:t>.</w:t>
      </w:r>
    </w:p>
    <w:p w14:paraId="5914A7C2" w14:textId="77777777" w:rsidR="00951E83" w:rsidRPr="00E26ADF" w:rsidRDefault="00951E83" w:rsidP="00FA6B33">
      <w:pPr>
        <w:pStyle w:val="Heading3"/>
        <w:numPr>
          <w:ilvl w:val="0"/>
          <w:numId w:val="0"/>
        </w:numPr>
        <w:ind w:left="680" w:hanging="680"/>
      </w:pPr>
      <w:r w:rsidRPr="00E26ADF">
        <w:t>200 mg Pre-Filled Syringe</w:t>
      </w:r>
    </w:p>
    <w:p w14:paraId="13229730" w14:textId="6496C220" w:rsidR="00466BF1" w:rsidRDefault="00E762F0" w:rsidP="007C4C57">
      <w:pPr>
        <w:rPr>
          <w:color w:val="auto"/>
        </w:rPr>
      </w:pPr>
      <w:r w:rsidRPr="00E26ADF">
        <w:rPr>
          <w:color w:val="auto"/>
        </w:rPr>
        <w:t>A</w:t>
      </w:r>
      <w:r w:rsidR="00951E83" w:rsidRPr="00E26ADF">
        <w:rPr>
          <w:color w:val="auto"/>
        </w:rPr>
        <w:t>rginine hydrochloride (</w:t>
      </w:r>
      <w:r w:rsidR="00D23C17" w:rsidRPr="004F5EF5">
        <w:rPr>
          <w:color w:val="auto"/>
        </w:rPr>
        <w:t>12.01 mg</w:t>
      </w:r>
      <w:r w:rsidR="00951E83" w:rsidRPr="00E26ADF">
        <w:rPr>
          <w:color w:val="auto"/>
        </w:rPr>
        <w:t>),</w:t>
      </w:r>
      <w:r w:rsidR="00602B94">
        <w:rPr>
          <w:color w:val="auto"/>
        </w:rPr>
        <w:t xml:space="preserve"> </w:t>
      </w:r>
      <w:r w:rsidR="00951E83" w:rsidRPr="00E26ADF">
        <w:rPr>
          <w:color w:val="auto"/>
        </w:rPr>
        <w:t>histidine (</w:t>
      </w:r>
      <w:r w:rsidR="00D23C17" w:rsidRPr="004F5EF5">
        <w:rPr>
          <w:color w:val="auto"/>
        </w:rPr>
        <w:t>3.10 mg</w:t>
      </w:r>
      <w:r w:rsidR="00951E83" w:rsidRPr="00E26ADF">
        <w:rPr>
          <w:color w:val="auto"/>
        </w:rPr>
        <w:t>),</w:t>
      </w:r>
      <w:r w:rsidR="00D23C17">
        <w:rPr>
          <w:color w:val="auto"/>
        </w:rPr>
        <w:t xml:space="preserve"> </w:t>
      </w:r>
      <w:r w:rsidR="00D23C17" w:rsidRPr="004F5EF5">
        <w:rPr>
          <w:color w:val="auto"/>
        </w:rPr>
        <w:t>histidine hydrochloride monohydrate (0.6 mg)</w:t>
      </w:r>
      <w:r w:rsidR="00D23C17">
        <w:rPr>
          <w:color w:val="auto"/>
        </w:rPr>
        <w:t xml:space="preserve">, </w:t>
      </w:r>
      <w:r w:rsidR="00951E83" w:rsidRPr="00E26ADF">
        <w:rPr>
          <w:color w:val="auto"/>
        </w:rPr>
        <w:t>polysorbate 80 (</w:t>
      </w:r>
      <w:r w:rsidR="00D23C17" w:rsidRPr="004F5EF5">
        <w:rPr>
          <w:color w:val="auto"/>
        </w:rPr>
        <w:t>2.28 mg</w:t>
      </w:r>
      <w:r w:rsidR="00951E83" w:rsidRPr="00E26ADF">
        <w:rPr>
          <w:color w:val="auto"/>
        </w:rPr>
        <w:t xml:space="preserve">), sodium acetate </w:t>
      </w:r>
      <w:r w:rsidRPr="00E26ADF">
        <w:rPr>
          <w:color w:val="auto"/>
        </w:rPr>
        <w:t>trihydrate (</w:t>
      </w:r>
      <w:r w:rsidR="00D23C17" w:rsidRPr="004F5EF5">
        <w:rPr>
          <w:color w:val="auto"/>
        </w:rPr>
        <w:t>1.5 mg</w:t>
      </w:r>
      <w:r w:rsidRPr="00E26ADF">
        <w:rPr>
          <w:color w:val="auto"/>
        </w:rPr>
        <w:t>), sucrose (</w:t>
      </w:r>
      <w:r w:rsidR="00D23C17" w:rsidRPr="004F5EF5">
        <w:rPr>
          <w:color w:val="auto"/>
        </w:rPr>
        <w:t>57 mg</w:t>
      </w:r>
      <w:r w:rsidRPr="00E26ADF">
        <w:rPr>
          <w:color w:val="auto"/>
        </w:rPr>
        <w:t>)</w:t>
      </w:r>
      <w:r w:rsidR="00D23C17">
        <w:rPr>
          <w:color w:val="auto"/>
        </w:rPr>
        <w:t>,</w:t>
      </w:r>
      <w:r w:rsidR="00951E83" w:rsidRPr="00E26ADF">
        <w:rPr>
          <w:color w:val="auto"/>
        </w:rPr>
        <w:t xml:space="preserve"> </w:t>
      </w:r>
      <w:r w:rsidR="00D23C17" w:rsidRPr="00E26ADF">
        <w:rPr>
          <w:color w:val="auto"/>
        </w:rPr>
        <w:t>glacial acetic acid</w:t>
      </w:r>
      <w:r w:rsidR="00D23C17">
        <w:rPr>
          <w:color w:val="auto"/>
        </w:rPr>
        <w:t xml:space="preserve"> </w:t>
      </w:r>
      <w:r w:rsidR="00D23C17" w:rsidRPr="004F5EF5">
        <w:rPr>
          <w:color w:val="auto"/>
        </w:rPr>
        <w:t>(0.19 mg)</w:t>
      </w:r>
      <w:r w:rsidR="00D23C17" w:rsidRPr="008640D7">
        <w:rPr>
          <w:color w:val="auto"/>
        </w:rPr>
        <w:t xml:space="preserve"> and</w:t>
      </w:r>
      <w:r w:rsidR="00D23C17" w:rsidRPr="004F5EF5">
        <w:rPr>
          <w:color w:val="auto"/>
        </w:rPr>
        <w:t xml:space="preserve"> </w:t>
      </w:r>
      <w:r w:rsidR="00951E83" w:rsidRPr="00E26ADF">
        <w:rPr>
          <w:color w:val="auto"/>
        </w:rPr>
        <w:t xml:space="preserve">water </w:t>
      </w:r>
      <w:r w:rsidRPr="00E26ADF">
        <w:rPr>
          <w:color w:val="auto"/>
        </w:rPr>
        <w:t>for injections</w:t>
      </w:r>
      <w:r w:rsidR="00D23C17">
        <w:rPr>
          <w:color w:val="auto"/>
        </w:rPr>
        <w:t>.</w:t>
      </w:r>
    </w:p>
    <w:p w14:paraId="310EC010" w14:textId="77777777" w:rsidR="001A3992" w:rsidRPr="00E26ADF" w:rsidRDefault="001A3992" w:rsidP="00E9483F">
      <w:pPr>
        <w:pStyle w:val="Heading2"/>
        <w:rPr>
          <w:lang w:val="en-AU"/>
        </w:rPr>
      </w:pPr>
      <w:r w:rsidRPr="00E26ADF">
        <w:rPr>
          <w:lang w:val="en-AU"/>
        </w:rPr>
        <w:t xml:space="preserve">Incompatibilities </w:t>
      </w:r>
    </w:p>
    <w:p w14:paraId="1DEB056C" w14:textId="407F8236" w:rsidR="00194D6E" w:rsidRPr="00E26ADF" w:rsidRDefault="00951E83" w:rsidP="00194D6E">
      <w:r w:rsidRPr="00E26ADF">
        <w:t>Incompatibilities were either not assessed or not identified as part of the registration of this medicine.</w:t>
      </w:r>
    </w:p>
    <w:p w14:paraId="5C3BD161" w14:textId="77777777" w:rsidR="001A3992" w:rsidRPr="00E26ADF" w:rsidRDefault="001A3992" w:rsidP="00E9483F">
      <w:pPr>
        <w:pStyle w:val="Heading2"/>
        <w:rPr>
          <w:lang w:val="en-AU"/>
        </w:rPr>
      </w:pPr>
      <w:r w:rsidRPr="00E26ADF">
        <w:rPr>
          <w:lang w:val="en-AU"/>
        </w:rPr>
        <w:t xml:space="preserve">Shelf life </w:t>
      </w:r>
    </w:p>
    <w:p w14:paraId="0C17D17A" w14:textId="48089AED" w:rsidR="0024632F" w:rsidRPr="00E26ADF" w:rsidRDefault="00951E83" w:rsidP="00194D6E">
      <w:r w:rsidRPr="00E26ADF">
        <w:t>The expiry date can be found on the packaging.</w:t>
      </w:r>
    </w:p>
    <w:p w14:paraId="08CBFE87" w14:textId="77777777" w:rsidR="001A3992" w:rsidRPr="00E26ADF" w:rsidRDefault="001A3992" w:rsidP="00E9483F">
      <w:pPr>
        <w:pStyle w:val="Heading2"/>
        <w:rPr>
          <w:lang w:val="en-AU"/>
        </w:rPr>
      </w:pPr>
      <w:r w:rsidRPr="00E26ADF">
        <w:rPr>
          <w:lang w:val="en-AU"/>
        </w:rPr>
        <w:t xml:space="preserve">Special precautions for storage </w:t>
      </w:r>
    </w:p>
    <w:p w14:paraId="67CFFEA5" w14:textId="77777777" w:rsidR="00951E83" w:rsidRPr="00E26ADF" w:rsidRDefault="00951E83" w:rsidP="00951E83">
      <w:r w:rsidRPr="00E26ADF">
        <w:t xml:space="preserve">Store in the refrigerator at 2°C to 8°C in the original carton to protect from light. Do not freeze. Do not expose to heat. Do not shake. </w:t>
      </w:r>
    </w:p>
    <w:p w14:paraId="05E5D46F" w14:textId="19E4DC7D" w:rsidR="00E259F9" w:rsidRPr="00E26ADF" w:rsidRDefault="00E259F9" w:rsidP="00951E83">
      <w:pPr>
        <w:rPr>
          <w:color w:val="auto"/>
        </w:rPr>
      </w:pPr>
      <w:r w:rsidRPr="00E26ADF">
        <w:rPr>
          <w:color w:val="auto"/>
        </w:rPr>
        <w:t>If necessary, pre-filled syringes may be kept at room temperature up to 25°C for a maximum of 14 days. Do not store above 25°C. After removal from the refrigerator, Dupixent must be used within 14 days or discarded.</w:t>
      </w:r>
    </w:p>
    <w:p w14:paraId="14F04648" w14:textId="3BC168FF" w:rsidR="00D70EC1" w:rsidRPr="00E26ADF" w:rsidRDefault="00951E83" w:rsidP="00951E83">
      <w:pPr>
        <w:rPr>
          <w:color w:val="auto"/>
        </w:rPr>
      </w:pPr>
      <w:r w:rsidRPr="00E26ADF">
        <w:rPr>
          <w:color w:val="auto"/>
        </w:rPr>
        <w:t>Do not use after the expiry date stamped on the carton and container label.</w:t>
      </w:r>
    </w:p>
    <w:p w14:paraId="60C4E556" w14:textId="77777777" w:rsidR="001A3992" w:rsidRPr="00E26ADF" w:rsidRDefault="001A3992" w:rsidP="00E9483F">
      <w:pPr>
        <w:pStyle w:val="Heading2"/>
        <w:rPr>
          <w:lang w:val="en-AU"/>
        </w:rPr>
      </w:pPr>
      <w:r w:rsidRPr="00E26ADF">
        <w:rPr>
          <w:lang w:val="en-AU"/>
        </w:rPr>
        <w:t xml:space="preserve">Nature and contents of container </w:t>
      </w:r>
    </w:p>
    <w:p w14:paraId="71DC3397" w14:textId="3D213085" w:rsidR="00322F88" w:rsidRPr="00E26ADF" w:rsidRDefault="00322F88" w:rsidP="008F5EB4">
      <w:pPr>
        <w:pStyle w:val="Heading3"/>
        <w:numPr>
          <w:ilvl w:val="0"/>
          <w:numId w:val="0"/>
        </w:numPr>
        <w:rPr>
          <w:snapToGrid w:val="0"/>
        </w:rPr>
      </w:pPr>
      <w:r w:rsidRPr="00E26ADF">
        <w:rPr>
          <w:snapToGrid w:val="0"/>
        </w:rPr>
        <w:t>300 mg Pre-Filled Syringe</w:t>
      </w:r>
      <w:r w:rsidR="00E762F0" w:rsidRPr="00E26ADF">
        <w:rPr>
          <w:snapToGrid w:val="0"/>
        </w:rPr>
        <w:t>:</w:t>
      </w:r>
    </w:p>
    <w:p w14:paraId="5490FFF6" w14:textId="3BB05B6B" w:rsidR="00951E83" w:rsidRPr="00E26ADF" w:rsidRDefault="00951E83" w:rsidP="00951E83">
      <w:pPr>
        <w:rPr>
          <w:snapToGrid w:val="0"/>
          <w:color w:val="auto"/>
        </w:rPr>
      </w:pPr>
      <w:r w:rsidRPr="00E26ADF">
        <w:rPr>
          <w:snapToGrid w:val="0"/>
          <w:color w:val="auto"/>
        </w:rPr>
        <w:t>Dupixent</w:t>
      </w:r>
      <w:r w:rsidR="000776AA" w:rsidRPr="00E26ADF">
        <w:rPr>
          <w:snapToGrid w:val="0"/>
          <w:color w:val="auto"/>
        </w:rPr>
        <w:t xml:space="preserve"> 300mg</w:t>
      </w:r>
      <w:r w:rsidRPr="00E26ADF">
        <w:rPr>
          <w:snapToGrid w:val="0"/>
          <w:color w:val="auto"/>
        </w:rPr>
        <w:t xml:space="preserve"> is available in pack sizes of 1* or 2, 3* and 6* per carton in the following presentations.</w:t>
      </w:r>
    </w:p>
    <w:p w14:paraId="59B86140" w14:textId="2AE0D877" w:rsidR="00951E83" w:rsidRPr="00E26ADF" w:rsidRDefault="00951E83" w:rsidP="00E9483F">
      <w:pPr>
        <w:pStyle w:val="ListBulletLevel1"/>
        <w:numPr>
          <w:ilvl w:val="0"/>
          <w:numId w:val="11"/>
        </w:numPr>
        <w:rPr>
          <w:snapToGrid w:val="0"/>
          <w:color w:val="auto"/>
        </w:rPr>
      </w:pPr>
      <w:r w:rsidRPr="00E26ADF">
        <w:rPr>
          <w:snapToGrid w:val="0"/>
          <w:color w:val="auto"/>
        </w:rPr>
        <w:t>Pre-filled Syringe</w:t>
      </w:r>
    </w:p>
    <w:p w14:paraId="1177A8C6" w14:textId="0EDD2400" w:rsidR="00951E83" w:rsidRPr="00E26ADF" w:rsidRDefault="00951E83" w:rsidP="00E9483F">
      <w:pPr>
        <w:pStyle w:val="ListBulletLevel1"/>
        <w:numPr>
          <w:ilvl w:val="0"/>
          <w:numId w:val="11"/>
        </w:numPr>
        <w:rPr>
          <w:snapToGrid w:val="0"/>
          <w:color w:val="auto"/>
        </w:rPr>
      </w:pPr>
      <w:r w:rsidRPr="00E26ADF">
        <w:rPr>
          <w:snapToGrid w:val="0"/>
          <w:color w:val="auto"/>
        </w:rPr>
        <w:lastRenderedPageBreak/>
        <w:t>Pre-Filled Syringe with needle shield - the pre-filled syringe has a needle shield to reduce the risk of accidental needle stick injuries.</w:t>
      </w:r>
    </w:p>
    <w:p w14:paraId="72AE4DB0" w14:textId="0057A352" w:rsidR="00322F88" w:rsidRPr="00E26ADF" w:rsidRDefault="00322F88" w:rsidP="008F5EB4">
      <w:pPr>
        <w:pStyle w:val="Heading3"/>
        <w:numPr>
          <w:ilvl w:val="0"/>
          <w:numId w:val="0"/>
        </w:numPr>
        <w:ind w:left="680" w:hanging="680"/>
        <w:rPr>
          <w:snapToGrid w:val="0"/>
        </w:rPr>
      </w:pPr>
      <w:r w:rsidRPr="00E26ADF">
        <w:rPr>
          <w:snapToGrid w:val="0"/>
        </w:rPr>
        <w:t>200 mg Pre-Filled Syringe</w:t>
      </w:r>
      <w:r w:rsidR="00E762F0" w:rsidRPr="00E26ADF">
        <w:rPr>
          <w:snapToGrid w:val="0"/>
        </w:rPr>
        <w:t>:</w:t>
      </w:r>
    </w:p>
    <w:p w14:paraId="23E73E78" w14:textId="38F5F768" w:rsidR="00322F88" w:rsidRPr="00E26ADF" w:rsidRDefault="00322F88" w:rsidP="00322F88">
      <w:pPr>
        <w:pStyle w:val="ListBulletLevel1"/>
        <w:tabs>
          <w:tab w:val="clear" w:pos="680"/>
        </w:tabs>
        <w:ind w:left="0" w:firstLine="0"/>
        <w:rPr>
          <w:snapToGrid w:val="0"/>
          <w:color w:val="auto"/>
        </w:rPr>
      </w:pPr>
      <w:r w:rsidRPr="00E26ADF">
        <w:rPr>
          <w:snapToGrid w:val="0"/>
          <w:color w:val="auto"/>
        </w:rPr>
        <w:t xml:space="preserve">Dupixent </w:t>
      </w:r>
      <w:r w:rsidR="000776AA" w:rsidRPr="00E26ADF">
        <w:rPr>
          <w:snapToGrid w:val="0"/>
          <w:color w:val="auto"/>
        </w:rPr>
        <w:t xml:space="preserve">200mg </w:t>
      </w:r>
      <w:r w:rsidRPr="00E26ADF">
        <w:rPr>
          <w:snapToGrid w:val="0"/>
          <w:color w:val="auto"/>
        </w:rPr>
        <w:t>is available in pack sizes of 1* or 2, 3* and 6* per carton</w:t>
      </w:r>
    </w:p>
    <w:p w14:paraId="236E3830" w14:textId="63EF193E" w:rsidR="00A70DB9" w:rsidRPr="00E26ADF" w:rsidRDefault="00A70DB9" w:rsidP="00E9483F">
      <w:pPr>
        <w:pStyle w:val="ListBulletLevel1"/>
        <w:numPr>
          <w:ilvl w:val="0"/>
          <w:numId w:val="10"/>
        </w:numPr>
        <w:rPr>
          <w:snapToGrid w:val="0"/>
          <w:color w:val="auto"/>
        </w:rPr>
      </w:pPr>
      <w:r w:rsidRPr="00E26ADF">
        <w:rPr>
          <w:snapToGrid w:val="0"/>
          <w:color w:val="auto"/>
        </w:rPr>
        <w:t>Pre-Filled Syringe with needle shield - the pre-filled syringe has a needle shield to reduce the risk of accidental needle stick injuries.</w:t>
      </w:r>
    </w:p>
    <w:p w14:paraId="7C9F0262" w14:textId="36926336" w:rsidR="007C4C57" w:rsidRPr="00E26ADF" w:rsidRDefault="00951E83" w:rsidP="00951E83">
      <w:pPr>
        <w:rPr>
          <w:snapToGrid w:val="0"/>
        </w:rPr>
      </w:pPr>
      <w:r w:rsidRPr="00E26ADF">
        <w:rPr>
          <w:snapToGrid w:val="0"/>
        </w:rPr>
        <w:t>* Presentations currently not marketed</w:t>
      </w:r>
    </w:p>
    <w:p w14:paraId="7B2B6A40" w14:textId="77777777" w:rsidR="001A3992" w:rsidRPr="00E26ADF" w:rsidRDefault="001A3992" w:rsidP="00E9483F">
      <w:pPr>
        <w:pStyle w:val="Heading2"/>
        <w:rPr>
          <w:lang w:val="en-AU"/>
        </w:rPr>
      </w:pPr>
      <w:r w:rsidRPr="00E26ADF">
        <w:rPr>
          <w:lang w:val="en-AU"/>
        </w:rPr>
        <w:t xml:space="preserve">Special precautions for disposal </w:t>
      </w:r>
    </w:p>
    <w:p w14:paraId="246310E8" w14:textId="3BB1ABC8" w:rsidR="00717E34" w:rsidRPr="00E26ADF" w:rsidRDefault="00951E83" w:rsidP="00717E34">
      <w:r w:rsidRPr="00E26ADF">
        <w:t xml:space="preserve">Any unused medicine should be disposed of by taking to your local pharmacy. The syringe and the needle cap should be disposed of in a </w:t>
      </w:r>
      <w:proofErr w:type="gramStart"/>
      <w:r w:rsidRPr="00E26ADF">
        <w:t>sharps</w:t>
      </w:r>
      <w:proofErr w:type="gramEnd"/>
      <w:r w:rsidRPr="00E26ADF">
        <w:t xml:space="preserve"> container.</w:t>
      </w:r>
    </w:p>
    <w:p w14:paraId="078C679B" w14:textId="77777777" w:rsidR="001A3992" w:rsidRPr="00E26ADF" w:rsidRDefault="001A3992" w:rsidP="00E9483F">
      <w:pPr>
        <w:pStyle w:val="Heading2"/>
        <w:rPr>
          <w:lang w:val="en-AU"/>
        </w:rPr>
      </w:pPr>
      <w:r w:rsidRPr="00E26ADF">
        <w:rPr>
          <w:lang w:val="en-AU"/>
        </w:rPr>
        <w:t>Physicochemical properties</w:t>
      </w:r>
    </w:p>
    <w:p w14:paraId="306F5830" w14:textId="77777777" w:rsidR="0024632F" w:rsidRPr="00E26ADF" w:rsidRDefault="0024632F" w:rsidP="00CA73C2">
      <w:pPr>
        <w:pStyle w:val="Heading3"/>
        <w:numPr>
          <w:ilvl w:val="0"/>
          <w:numId w:val="0"/>
        </w:numPr>
        <w:rPr>
          <w:i/>
          <w:lang w:val="en-AU"/>
        </w:rPr>
      </w:pPr>
      <w:r w:rsidRPr="00E26ADF">
        <w:rPr>
          <w:i/>
          <w:lang w:val="en-AU"/>
        </w:rPr>
        <w:t>Chemical structure</w:t>
      </w:r>
    </w:p>
    <w:p w14:paraId="59181ED3" w14:textId="2D9EB650" w:rsidR="00E762F0" w:rsidRPr="00E26ADF" w:rsidRDefault="00E762F0" w:rsidP="00E762F0">
      <w:pPr>
        <w:spacing w:before="0"/>
        <w:jc w:val="center"/>
      </w:pPr>
      <w:r w:rsidRPr="00E26ADF">
        <w:rPr>
          <w:rFonts w:ascii="Cambria" w:hAnsi="Cambria"/>
          <w:noProof/>
          <w:lang w:eastAsia="en-AU"/>
        </w:rPr>
        <w:drawing>
          <wp:inline distT="0" distB="0" distL="0" distR="0" wp14:anchorId="392F8DCF" wp14:editId="705FFDF6">
            <wp:extent cx="1975485" cy="2182495"/>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5485" cy="2182495"/>
                    </a:xfrm>
                    <a:prstGeom prst="rect">
                      <a:avLst/>
                    </a:prstGeom>
                    <a:noFill/>
                    <a:ln>
                      <a:noFill/>
                    </a:ln>
                  </pic:spPr>
                </pic:pic>
              </a:graphicData>
            </a:graphic>
          </wp:inline>
        </w:drawing>
      </w:r>
    </w:p>
    <w:p w14:paraId="1E50E5AA" w14:textId="06A22935" w:rsidR="00951E83" w:rsidRPr="00E26ADF" w:rsidRDefault="00E762F0" w:rsidP="00E9483F">
      <w:r w:rsidRPr="00E26ADF">
        <w:t>Dupilumab</w:t>
      </w:r>
      <w:r w:rsidR="00951E83" w:rsidRPr="00E26ADF">
        <w:t xml:space="preserve"> is a covalent </w:t>
      </w:r>
      <w:proofErr w:type="spellStart"/>
      <w:r w:rsidR="00951E83" w:rsidRPr="00E26ADF">
        <w:t>heterotetramer</w:t>
      </w:r>
      <w:proofErr w:type="spellEnd"/>
      <w:r w:rsidR="00951E83" w:rsidRPr="00E26ADF">
        <w:t xml:space="preserve"> consisting of two disulfide-linked human heavy chains, each covalently linked through a disulfide bond to a human kappa light chain. There is a single N-linked glycosylation site in each heavy chain, located within the CH2 domain of the Fc constant regio</w:t>
      </w:r>
      <w:r w:rsidRPr="00E26ADF">
        <w:t xml:space="preserve">n of the molecule. The Dupilumab </w:t>
      </w:r>
      <w:r w:rsidR="00951E83" w:rsidRPr="00E26ADF">
        <w:t xml:space="preserve">heavy chain has an immunoglobulin (Ig) G4P isotype constant region. IgG4P is an IgG4 constant region with a single amino acid substitution in the hinge region that recreates the IgG1 hinge sequence </w:t>
      </w:r>
      <w:proofErr w:type="gramStart"/>
      <w:r w:rsidR="00951E83" w:rsidRPr="00E26ADF">
        <w:t>in order to</w:t>
      </w:r>
      <w:proofErr w:type="gramEnd"/>
      <w:r w:rsidR="00951E83" w:rsidRPr="00E26ADF">
        <w:t xml:space="preserve"> </w:t>
      </w:r>
      <w:proofErr w:type="spellStart"/>
      <w:r w:rsidR="00951E83" w:rsidRPr="00E26ADF">
        <w:t>stabili</w:t>
      </w:r>
      <w:r w:rsidR="002C171C" w:rsidRPr="004F5EF5">
        <w:t>s</w:t>
      </w:r>
      <w:r w:rsidR="00951E83" w:rsidRPr="00E26ADF">
        <w:t>e</w:t>
      </w:r>
      <w:proofErr w:type="spellEnd"/>
      <w:r w:rsidR="00951E83" w:rsidRPr="00E26ADF">
        <w:t xml:space="preserve"> IgG4 dimer formation. The variable domains of the heavy and light chains combine to form the IL-4Rα binding site within the antibody. Dupilumab has a molecular weight of approximately 147 </w:t>
      </w:r>
      <w:proofErr w:type="spellStart"/>
      <w:r w:rsidR="00951E83" w:rsidRPr="00E26ADF">
        <w:t>kDa</w:t>
      </w:r>
      <w:proofErr w:type="spellEnd"/>
      <w:r w:rsidR="00951E83" w:rsidRPr="00E26ADF">
        <w:t>.</w:t>
      </w:r>
    </w:p>
    <w:p w14:paraId="3A96E9BA" w14:textId="77777777" w:rsidR="0024632F" w:rsidRPr="00E26ADF" w:rsidRDefault="0024632F" w:rsidP="00CA73C2">
      <w:pPr>
        <w:pStyle w:val="Heading3"/>
        <w:numPr>
          <w:ilvl w:val="0"/>
          <w:numId w:val="0"/>
        </w:numPr>
        <w:ind w:left="680" w:hanging="680"/>
        <w:rPr>
          <w:i/>
          <w:lang w:val="en-AU"/>
        </w:rPr>
      </w:pPr>
      <w:r w:rsidRPr="00E26ADF">
        <w:rPr>
          <w:i/>
          <w:lang w:val="en-AU"/>
        </w:rPr>
        <w:t>CAS number</w:t>
      </w:r>
    </w:p>
    <w:p w14:paraId="353F5B72" w14:textId="6F30046E" w:rsidR="00951E83" w:rsidRPr="00E26ADF" w:rsidRDefault="00951E83" w:rsidP="00951E83">
      <w:r w:rsidRPr="00E26ADF">
        <w:t>1190264-60-8</w:t>
      </w:r>
    </w:p>
    <w:p w14:paraId="44FF7DE7" w14:textId="77777777" w:rsidR="001A3992" w:rsidRPr="00E26ADF" w:rsidRDefault="001A3992" w:rsidP="00E9483F">
      <w:pPr>
        <w:pStyle w:val="Heading1"/>
        <w:pageBreakBefore w:val="0"/>
        <w:rPr>
          <w:lang w:val="en-AU"/>
        </w:rPr>
      </w:pPr>
      <w:r w:rsidRPr="00E26ADF">
        <w:rPr>
          <w:lang w:val="en-AU"/>
        </w:rPr>
        <w:lastRenderedPageBreak/>
        <w:t>Medicine schedule (Poisons Standard)</w:t>
      </w:r>
    </w:p>
    <w:p w14:paraId="188DEED9" w14:textId="60873005" w:rsidR="00024098" w:rsidRPr="00E26ADF" w:rsidRDefault="00951E83" w:rsidP="00024098">
      <w:r w:rsidRPr="00E26ADF">
        <w:t>Schedule 4 (Prescription Only Medicine)</w:t>
      </w:r>
    </w:p>
    <w:p w14:paraId="1810ABD7" w14:textId="77777777" w:rsidR="001A3992" w:rsidRPr="00E26ADF" w:rsidRDefault="001A3992" w:rsidP="00E9483F">
      <w:pPr>
        <w:pStyle w:val="Heading1"/>
        <w:pageBreakBefore w:val="0"/>
        <w:rPr>
          <w:lang w:val="en-AU"/>
        </w:rPr>
      </w:pPr>
      <w:r w:rsidRPr="00E26ADF">
        <w:rPr>
          <w:lang w:val="en-AU"/>
        </w:rPr>
        <w:t>Sponsor</w:t>
      </w:r>
    </w:p>
    <w:p w14:paraId="48C81571" w14:textId="781FB914" w:rsidR="00951E83" w:rsidRPr="00FA6B33" w:rsidRDefault="00951E83" w:rsidP="00E9483F">
      <w:pPr>
        <w:rPr>
          <w:rFonts w:ascii="Arial" w:hAnsi="Arial" w:cs="Arial"/>
          <w:b/>
          <w:sz w:val="22"/>
          <w:szCs w:val="22"/>
        </w:rPr>
      </w:pPr>
      <w:r w:rsidRPr="00FA6B33">
        <w:rPr>
          <w:rFonts w:ascii="Arial" w:hAnsi="Arial" w:cs="Arial"/>
          <w:b/>
          <w:sz w:val="22"/>
          <w:szCs w:val="22"/>
        </w:rPr>
        <w:t>A</w:t>
      </w:r>
      <w:r w:rsidR="005977C2" w:rsidRPr="00FA6B33">
        <w:rPr>
          <w:rFonts w:ascii="Arial" w:hAnsi="Arial" w:cs="Arial"/>
          <w:b/>
          <w:sz w:val="22"/>
          <w:szCs w:val="22"/>
        </w:rPr>
        <w:t>ustralia</w:t>
      </w:r>
    </w:p>
    <w:p w14:paraId="20CC6275" w14:textId="30212B42" w:rsidR="00951E83" w:rsidRPr="00E26ADF" w:rsidRDefault="00951E83" w:rsidP="00FA6B33">
      <w:pPr>
        <w:spacing w:before="0"/>
      </w:pPr>
      <w:proofErr w:type="spellStart"/>
      <w:r w:rsidRPr="00E26ADF">
        <w:t>sanofi-aventis</w:t>
      </w:r>
      <w:proofErr w:type="spellEnd"/>
      <w:r w:rsidRPr="00E26ADF">
        <w:t xml:space="preserve"> </w:t>
      </w:r>
      <w:proofErr w:type="spellStart"/>
      <w:r w:rsidRPr="00E26ADF">
        <w:t>australia</w:t>
      </w:r>
      <w:proofErr w:type="spellEnd"/>
      <w:r w:rsidRPr="00E26ADF">
        <w:t xml:space="preserve"> </w:t>
      </w:r>
      <w:proofErr w:type="spellStart"/>
      <w:r w:rsidRPr="00E26ADF">
        <w:t>pty</w:t>
      </w:r>
      <w:proofErr w:type="spellEnd"/>
      <w:r w:rsidRPr="00E26ADF">
        <w:t xml:space="preserve"> ltd</w:t>
      </w:r>
      <w:r w:rsidR="00E9483F" w:rsidRPr="00E26ADF">
        <w:br/>
      </w:r>
      <w:r w:rsidRPr="00E26ADF">
        <w:t>12-24 Talavera Road</w:t>
      </w:r>
      <w:r w:rsidR="00E9483F" w:rsidRPr="00E26ADF">
        <w:br/>
      </w:r>
      <w:r w:rsidRPr="00E26ADF">
        <w:t>Macquarie Park NSW 2113</w:t>
      </w:r>
      <w:r w:rsidR="00E9483F" w:rsidRPr="00E26ADF">
        <w:br/>
      </w:r>
      <w:r w:rsidR="00E762F0" w:rsidRPr="00E26ADF">
        <w:t>Tel: 1800 818 806</w:t>
      </w:r>
    </w:p>
    <w:p w14:paraId="10E6AF74" w14:textId="4AA59BDD" w:rsidR="00951E83" w:rsidRPr="00FA6B33" w:rsidRDefault="005977C2" w:rsidP="00E9483F">
      <w:pPr>
        <w:rPr>
          <w:rFonts w:ascii="Arial" w:hAnsi="Arial" w:cs="Arial"/>
          <w:b/>
          <w:sz w:val="22"/>
          <w:szCs w:val="22"/>
        </w:rPr>
      </w:pPr>
      <w:r w:rsidRPr="00FA6B33">
        <w:rPr>
          <w:rFonts w:ascii="Arial" w:hAnsi="Arial" w:cs="Arial"/>
          <w:b/>
          <w:sz w:val="22"/>
          <w:szCs w:val="22"/>
        </w:rPr>
        <w:t>New Zealand</w:t>
      </w:r>
    </w:p>
    <w:p w14:paraId="529D02A3" w14:textId="3575FA12" w:rsidR="00024098" w:rsidRPr="00E26ADF" w:rsidRDefault="00951E83" w:rsidP="00FA6B33">
      <w:pPr>
        <w:spacing w:before="0"/>
      </w:pPr>
      <w:proofErr w:type="spellStart"/>
      <w:r w:rsidRPr="00E26ADF">
        <w:t>sanofi-aventis</w:t>
      </w:r>
      <w:proofErr w:type="spellEnd"/>
      <w:r w:rsidRPr="00E26ADF">
        <w:t xml:space="preserve"> new </w:t>
      </w:r>
      <w:proofErr w:type="spellStart"/>
      <w:r w:rsidRPr="00E26ADF">
        <w:t>zealand</w:t>
      </w:r>
      <w:proofErr w:type="spellEnd"/>
      <w:r w:rsidRPr="00E26ADF">
        <w:t xml:space="preserve"> limited</w:t>
      </w:r>
      <w:r w:rsidR="00E9483F" w:rsidRPr="00E26ADF">
        <w:br/>
      </w:r>
      <w:r w:rsidRPr="00E26ADF">
        <w:t>56 Cawley Street, Ellerslie,</w:t>
      </w:r>
      <w:r w:rsidR="00E9483F" w:rsidRPr="00E26ADF">
        <w:br/>
      </w:r>
      <w:r w:rsidRPr="00E26ADF">
        <w:t>Auckland</w:t>
      </w:r>
      <w:r w:rsidR="00E9483F" w:rsidRPr="00E26ADF">
        <w:br/>
      </w:r>
      <w:r w:rsidRPr="00E26ADF">
        <w:t>New Zealand</w:t>
      </w:r>
    </w:p>
    <w:p w14:paraId="6C7B1582" w14:textId="77777777" w:rsidR="001A3992" w:rsidRPr="00E26ADF" w:rsidRDefault="001A3992" w:rsidP="00E9483F">
      <w:pPr>
        <w:pStyle w:val="Heading1"/>
        <w:pageBreakBefore w:val="0"/>
        <w:rPr>
          <w:lang w:val="en-AU"/>
        </w:rPr>
      </w:pPr>
      <w:r w:rsidRPr="00E26ADF">
        <w:rPr>
          <w:lang w:val="en-AU"/>
        </w:rPr>
        <w:t xml:space="preserve">Date of first approval  </w:t>
      </w:r>
    </w:p>
    <w:p w14:paraId="48F50474" w14:textId="3A0664B2" w:rsidR="00477BD3" w:rsidRPr="00E26ADF" w:rsidRDefault="00951E83" w:rsidP="00477BD3">
      <w:r w:rsidRPr="00E26ADF">
        <w:t>24 January 2018</w:t>
      </w:r>
    </w:p>
    <w:p w14:paraId="7AB8A317" w14:textId="574340A6" w:rsidR="001A3992" w:rsidRDefault="001A3992" w:rsidP="00E9483F">
      <w:pPr>
        <w:pStyle w:val="Heading1"/>
        <w:pageBreakBefore w:val="0"/>
        <w:rPr>
          <w:lang w:val="en-AU"/>
        </w:rPr>
      </w:pPr>
      <w:r w:rsidRPr="00E26ADF">
        <w:rPr>
          <w:lang w:val="en-AU"/>
        </w:rPr>
        <w:t xml:space="preserve">Date of revision </w:t>
      </w:r>
    </w:p>
    <w:p w14:paraId="4A13F9C5" w14:textId="0DF909C1" w:rsidR="0047364B" w:rsidRDefault="0047364B" w:rsidP="0047364B">
      <w:pPr>
        <w:rPr>
          <w:lang w:val="en-AU"/>
        </w:rPr>
      </w:pPr>
      <w:r>
        <w:rPr>
          <w:lang w:val="en-AU"/>
        </w:rPr>
        <w:t>17 August 2021</w:t>
      </w:r>
    </w:p>
    <w:p w14:paraId="25F7DCCC" w14:textId="30DE53FA" w:rsidR="00BC25AB" w:rsidRDefault="00BC25AB" w:rsidP="0047364B">
      <w:pPr>
        <w:rPr>
          <w:lang w:val="en-AU"/>
        </w:rPr>
      </w:pPr>
    </w:p>
    <w:p w14:paraId="5C487DCD" w14:textId="6C9DF704" w:rsidR="00BC25AB" w:rsidRDefault="00BC25AB" w:rsidP="0047364B">
      <w:pPr>
        <w:rPr>
          <w:lang w:val="en-AU"/>
        </w:rPr>
      </w:pPr>
    </w:p>
    <w:p w14:paraId="031A4FDD" w14:textId="23768B0F" w:rsidR="00B84D8A" w:rsidRDefault="00B84D8A" w:rsidP="0047364B">
      <w:pPr>
        <w:rPr>
          <w:lang w:val="en-AU"/>
        </w:rPr>
      </w:pPr>
    </w:p>
    <w:p w14:paraId="15C173A7" w14:textId="397E96CC" w:rsidR="00B84D8A" w:rsidRDefault="00B84D8A" w:rsidP="0047364B">
      <w:pPr>
        <w:rPr>
          <w:lang w:val="en-AU"/>
        </w:rPr>
      </w:pPr>
    </w:p>
    <w:p w14:paraId="486BF4BD" w14:textId="7098CE53" w:rsidR="00B84D8A" w:rsidRDefault="00B84D8A" w:rsidP="0047364B">
      <w:pPr>
        <w:rPr>
          <w:lang w:val="en-AU"/>
        </w:rPr>
      </w:pPr>
    </w:p>
    <w:p w14:paraId="313033EC" w14:textId="2144C29F" w:rsidR="00B84D8A" w:rsidRDefault="00B84D8A" w:rsidP="0047364B">
      <w:pPr>
        <w:rPr>
          <w:lang w:val="en-AU"/>
        </w:rPr>
      </w:pPr>
    </w:p>
    <w:p w14:paraId="65EB1817" w14:textId="07080B64" w:rsidR="00B84D8A" w:rsidRDefault="00B84D8A" w:rsidP="0047364B">
      <w:pPr>
        <w:rPr>
          <w:lang w:val="en-AU"/>
        </w:rPr>
      </w:pPr>
    </w:p>
    <w:p w14:paraId="5AA9B76B" w14:textId="3BEE77A3" w:rsidR="00B84D8A" w:rsidRDefault="00B84D8A" w:rsidP="0047364B">
      <w:pPr>
        <w:rPr>
          <w:lang w:val="en-AU"/>
        </w:rPr>
      </w:pPr>
    </w:p>
    <w:p w14:paraId="4670740B" w14:textId="77777777" w:rsidR="00B84D8A" w:rsidRPr="0047364B" w:rsidRDefault="00B84D8A" w:rsidP="0047364B">
      <w:pPr>
        <w:rPr>
          <w:lang w:val="en-AU"/>
        </w:rPr>
      </w:pPr>
    </w:p>
    <w:p w14:paraId="23BC64A4" w14:textId="77777777" w:rsidR="00E9483F" w:rsidRPr="00E26ADF" w:rsidRDefault="00E9483F" w:rsidP="00951E83"/>
    <w:p w14:paraId="1855981A" w14:textId="77777777" w:rsidR="001A3992" w:rsidRPr="00E26ADF" w:rsidRDefault="001A3992" w:rsidP="001A3992">
      <w:pPr>
        <w:pStyle w:val="Heading2"/>
        <w:numPr>
          <w:ilvl w:val="0"/>
          <w:numId w:val="0"/>
        </w:numPr>
        <w:spacing w:before="0" w:after="120"/>
        <w:rPr>
          <w:lang w:val="en-AU"/>
        </w:rPr>
      </w:pPr>
      <w:r w:rsidRPr="00E26ADF">
        <w:rPr>
          <w:lang w:val="en-AU"/>
        </w:rPr>
        <w:lastRenderedPageBreak/>
        <w:t>Summary table of changes</w:t>
      </w:r>
    </w:p>
    <w:tbl>
      <w:tblPr>
        <w:tblStyle w:val="LightGrid"/>
        <w:tblW w:w="0" w:type="auto"/>
        <w:tblCellMar>
          <w:top w:w="57" w:type="dxa"/>
          <w:bottom w:w="57" w:type="dxa"/>
        </w:tblCellMar>
        <w:tblLook w:val="06A0" w:firstRow="1" w:lastRow="0" w:firstColumn="1" w:lastColumn="0" w:noHBand="1" w:noVBand="1"/>
      </w:tblPr>
      <w:tblGrid>
        <w:gridCol w:w="1369"/>
        <w:gridCol w:w="7637"/>
      </w:tblGrid>
      <w:tr w:rsidR="001F0E01" w:rsidRPr="00097D70" w14:paraId="549DC47F" w14:textId="77777777" w:rsidTr="001F0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shd w:val="clear" w:color="auto" w:fill="F2F2F2" w:themeFill="background1" w:themeFillShade="F2"/>
            <w:vAlign w:val="center"/>
          </w:tcPr>
          <w:p w14:paraId="2C5CE3A6" w14:textId="77777777" w:rsidR="001F0E01" w:rsidRPr="00097D70" w:rsidRDefault="001F0E01" w:rsidP="00152F49">
            <w:pPr>
              <w:spacing w:before="120"/>
              <w:rPr>
                <w:color w:val="auto"/>
                <w:sz w:val="22"/>
                <w:szCs w:val="22"/>
              </w:rPr>
            </w:pPr>
            <w:r w:rsidRPr="00097D70">
              <w:rPr>
                <w:color w:val="auto"/>
                <w:sz w:val="22"/>
                <w:szCs w:val="22"/>
              </w:rPr>
              <w:t>Section Changed</w:t>
            </w:r>
          </w:p>
        </w:tc>
        <w:tc>
          <w:tcPr>
            <w:tcW w:w="7637" w:type="dxa"/>
            <w:shd w:val="clear" w:color="auto" w:fill="F2F2F2" w:themeFill="background1" w:themeFillShade="F2"/>
            <w:vAlign w:val="center"/>
          </w:tcPr>
          <w:p w14:paraId="029621DD" w14:textId="77777777" w:rsidR="001F0E01" w:rsidRPr="00097D70" w:rsidRDefault="001F0E01" w:rsidP="00152F49">
            <w:pPr>
              <w:spacing w:before="120"/>
              <w:cnfStyle w:val="100000000000" w:firstRow="1"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Summary of new information</w:t>
            </w:r>
          </w:p>
        </w:tc>
      </w:tr>
      <w:tr w:rsidR="008E3B63" w:rsidRPr="00097D70" w14:paraId="362185DE"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54543CE8" w14:textId="3F196526" w:rsidR="008E3B63" w:rsidRPr="00097D70" w:rsidRDefault="008E3B63" w:rsidP="00152F49">
            <w:pPr>
              <w:spacing w:before="120"/>
              <w:rPr>
                <w:b w:val="0"/>
                <w:bCs w:val="0"/>
                <w:color w:val="auto"/>
                <w:sz w:val="22"/>
                <w:szCs w:val="22"/>
              </w:rPr>
            </w:pPr>
            <w:r w:rsidRPr="00097D70">
              <w:rPr>
                <w:b w:val="0"/>
                <w:bCs w:val="0"/>
                <w:color w:val="auto"/>
                <w:sz w:val="22"/>
                <w:szCs w:val="22"/>
              </w:rPr>
              <w:t>2</w:t>
            </w:r>
          </w:p>
        </w:tc>
        <w:tc>
          <w:tcPr>
            <w:tcW w:w="7637" w:type="dxa"/>
          </w:tcPr>
          <w:p w14:paraId="3EB162A1" w14:textId="5F989643" w:rsidR="008E3B63" w:rsidRPr="00097D70" w:rsidRDefault="008E3B63"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Additional descriptor added to differentiate between presentations</w:t>
            </w:r>
          </w:p>
        </w:tc>
      </w:tr>
      <w:tr w:rsidR="008E3B63" w:rsidRPr="00097D70" w14:paraId="65009C9D"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64B0E32E" w14:textId="6B580402" w:rsidR="008E3B63" w:rsidRPr="00097D70" w:rsidRDefault="008E3B63" w:rsidP="00152F49">
            <w:pPr>
              <w:spacing w:before="120"/>
              <w:rPr>
                <w:b w:val="0"/>
                <w:bCs w:val="0"/>
                <w:color w:val="auto"/>
                <w:sz w:val="22"/>
                <w:szCs w:val="22"/>
              </w:rPr>
            </w:pPr>
            <w:r w:rsidRPr="00097D70">
              <w:rPr>
                <w:b w:val="0"/>
                <w:bCs w:val="0"/>
                <w:color w:val="auto"/>
                <w:sz w:val="22"/>
                <w:szCs w:val="22"/>
              </w:rPr>
              <w:t>4.1</w:t>
            </w:r>
          </w:p>
        </w:tc>
        <w:tc>
          <w:tcPr>
            <w:tcW w:w="7637" w:type="dxa"/>
          </w:tcPr>
          <w:p w14:paraId="1000B5C8" w14:textId="5FDF5982" w:rsidR="008E3B63" w:rsidRPr="00097D70" w:rsidRDefault="008E3B63"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Revision to existing age group for indication for atopic dermatitis (AD)</w:t>
            </w:r>
          </w:p>
          <w:p w14:paraId="71084309" w14:textId="6B7D5592" w:rsidR="008E3B63" w:rsidRPr="00097D70" w:rsidRDefault="008E3B63"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 of indication for chronic rhinosinusitis with nasal polyposis (CRSwNP)</w:t>
            </w:r>
          </w:p>
        </w:tc>
      </w:tr>
      <w:tr w:rsidR="008E3B63" w:rsidRPr="00097D70" w14:paraId="53C75731"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53E0E363" w14:textId="7E36BA28" w:rsidR="008E3B63" w:rsidRPr="00097D70" w:rsidRDefault="008E3B63" w:rsidP="00152F49">
            <w:pPr>
              <w:spacing w:before="120"/>
              <w:rPr>
                <w:b w:val="0"/>
                <w:bCs w:val="0"/>
                <w:color w:val="auto"/>
                <w:sz w:val="22"/>
                <w:szCs w:val="22"/>
              </w:rPr>
            </w:pPr>
            <w:r w:rsidRPr="00097D70">
              <w:rPr>
                <w:b w:val="0"/>
                <w:bCs w:val="0"/>
                <w:color w:val="auto"/>
                <w:sz w:val="22"/>
                <w:szCs w:val="22"/>
              </w:rPr>
              <w:t>4.2</w:t>
            </w:r>
          </w:p>
        </w:tc>
        <w:tc>
          <w:tcPr>
            <w:tcW w:w="7637" w:type="dxa"/>
          </w:tcPr>
          <w:p w14:paraId="0D46CA68" w14:textId="1679A92B" w:rsidR="008E3B63" w:rsidRPr="00097D70" w:rsidRDefault="008E3B63"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 of dose in patients 6-11 years for treatment of (AD)</w:t>
            </w:r>
          </w:p>
          <w:p w14:paraId="7A2A5319" w14:textId="77777777" w:rsidR="008E3B63" w:rsidRPr="00097D70" w:rsidRDefault="008E3B63"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 of dose for adult patients for treatment of CRSwNP</w:t>
            </w:r>
          </w:p>
          <w:p w14:paraId="75803D94" w14:textId="4FC28B49"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Additional guidance for use in asthma patients with co-morbid AD or CRSwNP</w:t>
            </w:r>
          </w:p>
        </w:tc>
      </w:tr>
      <w:tr w:rsidR="001F0E01" w:rsidRPr="00097D70" w14:paraId="425523E9"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416F0237" w14:textId="77777777" w:rsidR="001F0E01" w:rsidRPr="00097D70" w:rsidRDefault="001F0E01" w:rsidP="00152F49">
            <w:pPr>
              <w:spacing w:before="120"/>
              <w:rPr>
                <w:b w:val="0"/>
                <w:color w:val="auto"/>
                <w:sz w:val="22"/>
                <w:szCs w:val="22"/>
              </w:rPr>
            </w:pPr>
            <w:r w:rsidRPr="00097D70">
              <w:rPr>
                <w:b w:val="0"/>
                <w:color w:val="auto"/>
                <w:sz w:val="22"/>
                <w:szCs w:val="22"/>
              </w:rPr>
              <w:t>4.4</w:t>
            </w:r>
          </w:p>
        </w:tc>
        <w:tc>
          <w:tcPr>
            <w:tcW w:w="7637" w:type="dxa"/>
          </w:tcPr>
          <w:p w14:paraId="057AD0C8" w14:textId="39B68D7B"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Addition of guidance of conjunctivitis in patients with CRSwNP</w:t>
            </w:r>
          </w:p>
          <w:p w14:paraId="33BFCB32" w14:textId="60DC6EA3"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 xml:space="preserve">Addition of CRSwNP to recommendation regarding dose adjustment in </w:t>
            </w:r>
            <w:r w:rsidR="00152F49" w:rsidRPr="00097D70">
              <w:rPr>
                <w:color w:val="auto"/>
                <w:sz w:val="22"/>
                <w:szCs w:val="22"/>
              </w:rPr>
              <w:t>patients</w:t>
            </w:r>
            <w:r w:rsidRPr="00097D70">
              <w:rPr>
                <w:color w:val="auto"/>
                <w:sz w:val="22"/>
                <w:szCs w:val="22"/>
              </w:rPr>
              <w:t xml:space="preserve"> with concomitant co-morbid </w:t>
            </w:r>
            <w:r w:rsidR="00152F49" w:rsidRPr="00097D70">
              <w:rPr>
                <w:color w:val="auto"/>
                <w:sz w:val="22"/>
                <w:szCs w:val="22"/>
              </w:rPr>
              <w:t>conditions</w:t>
            </w:r>
            <w:r w:rsidRPr="00097D70">
              <w:rPr>
                <w:color w:val="auto"/>
                <w:sz w:val="22"/>
                <w:szCs w:val="22"/>
              </w:rPr>
              <w:t>.</w:t>
            </w:r>
          </w:p>
          <w:p w14:paraId="64BD0426" w14:textId="74EEA821"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r w:rsidRPr="00097D70">
              <w:rPr>
                <w:color w:val="auto"/>
                <w:sz w:val="22"/>
                <w:szCs w:val="22"/>
              </w:rPr>
              <w:t>Update to text regarding eosinophilic conditions</w:t>
            </w:r>
          </w:p>
        </w:tc>
      </w:tr>
      <w:tr w:rsidR="002A08A5" w:rsidRPr="00097D70" w14:paraId="25B149A2"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30A89D9B" w14:textId="1BDBE6D7" w:rsidR="002A08A5" w:rsidRPr="00097D70" w:rsidRDefault="002A08A5" w:rsidP="00152F49">
            <w:pPr>
              <w:spacing w:before="120"/>
              <w:rPr>
                <w:b w:val="0"/>
                <w:color w:val="auto"/>
                <w:sz w:val="22"/>
                <w:szCs w:val="22"/>
              </w:rPr>
            </w:pPr>
            <w:r w:rsidRPr="00097D70">
              <w:rPr>
                <w:b w:val="0"/>
                <w:color w:val="auto"/>
                <w:sz w:val="22"/>
                <w:szCs w:val="22"/>
              </w:rPr>
              <w:t>4.6</w:t>
            </w:r>
          </w:p>
        </w:tc>
        <w:tc>
          <w:tcPr>
            <w:tcW w:w="7637" w:type="dxa"/>
          </w:tcPr>
          <w:p w14:paraId="71683439" w14:textId="77777777"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use in pts 6-11 years of age for AD</w:t>
            </w:r>
          </w:p>
          <w:p w14:paraId="28CD5D52" w14:textId="77777777"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use in adult patients with CRSwNP</w:t>
            </w:r>
          </w:p>
          <w:p w14:paraId="559EBB5F" w14:textId="77777777"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open-label extension study in asthma patients</w:t>
            </w:r>
          </w:p>
          <w:p w14:paraId="4FB31ECC" w14:textId="43C7DD37" w:rsidR="002A08A5" w:rsidRPr="00097D70" w:rsidRDefault="002A08A5"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Updates to existing text regarding infections</w:t>
            </w:r>
            <w:r w:rsidR="00904D67" w:rsidRPr="00097D70">
              <w:rPr>
                <w:bCs/>
                <w:color w:val="auto"/>
                <w:sz w:val="22"/>
                <w:szCs w:val="22"/>
              </w:rPr>
              <w:t xml:space="preserve"> and </w:t>
            </w:r>
            <w:r w:rsidRPr="00097D70">
              <w:rPr>
                <w:bCs/>
                <w:color w:val="auto"/>
                <w:sz w:val="22"/>
                <w:szCs w:val="22"/>
              </w:rPr>
              <w:t>immunogenicity</w:t>
            </w:r>
          </w:p>
        </w:tc>
      </w:tr>
      <w:tr w:rsidR="00904D67" w:rsidRPr="00097D70" w14:paraId="1935F80F"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3068BC61" w14:textId="3BCB9AD9" w:rsidR="00904D67" w:rsidRPr="00097D70" w:rsidRDefault="00904D67" w:rsidP="00152F49">
            <w:pPr>
              <w:spacing w:before="120"/>
              <w:rPr>
                <w:b w:val="0"/>
                <w:color w:val="auto"/>
                <w:sz w:val="22"/>
                <w:szCs w:val="22"/>
              </w:rPr>
            </w:pPr>
            <w:r w:rsidRPr="00097D70">
              <w:rPr>
                <w:b w:val="0"/>
                <w:color w:val="auto"/>
                <w:sz w:val="22"/>
                <w:szCs w:val="22"/>
              </w:rPr>
              <w:t>5.1</w:t>
            </w:r>
          </w:p>
        </w:tc>
        <w:tc>
          <w:tcPr>
            <w:tcW w:w="7637" w:type="dxa"/>
          </w:tcPr>
          <w:p w14:paraId="4B4FC6E0" w14:textId="2C8FD4A1"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pharmacodynamic effect in CRSwNP</w:t>
            </w:r>
          </w:p>
          <w:p w14:paraId="1EE98D10" w14:textId="5795008A"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trials in patients 6-11 years old for AD</w:t>
            </w:r>
          </w:p>
          <w:p w14:paraId="3ABCD62E" w14:textId="0A42978F"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long term extension study in asthma</w:t>
            </w:r>
          </w:p>
          <w:p w14:paraId="3D0F90E2" w14:textId="0798171F"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retarding trials in CRSwNP in adult patients</w:t>
            </w:r>
          </w:p>
        </w:tc>
      </w:tr>
      <w:tr w:rsidR="00904D67" w:rsidRPr="00097D70" w14:paraId="3915778C" w14:textId="77777777" w:rsidTr="001F0E01">
        <w:tc>
          <w:tcPr>
            <w:cnfStyle w:val="001000000000" w:firstRow="0" w:lastRow="0" w:firstColumn="1" w:lastColumn="0" w:oddVBand="0" w:evenVBand="0" w:oddHBand="0" w:evenHBand="0" w:firstRowFirstColumn="0" w:firstRowLastColumn="0" w:lastRowFirstColumn="0" w:lastRowLastColumn="0"/>
            <w:tcW w:w="1369" w:type="dxa"/>
          </w:tcPr>
          <w:p w14:paraId="7E43D69B" w14:textId="2EDFD175" w:rsidR="00904D67" w:rsidRPr="00097D70" w:rsidRDefault="00904D67" w:rsidP="00152F49">
            <w:pPr>
              <w:spacing w:before="120"/>
              <w:rPr>
                <w:b w:val="0"/>
                <w:color w:val="auto"/>
                <w:sz w:val="22"/>
                <w:szCs w:val="22"/>
              </w:rPr>
            </w:pPr>
            <w:r w:rsidRPr="00097D70">
              <w:rPr>
                <w:b w:val="0"/>
                <w:color w:val="auto"/>
                <w:sz w:val="22"/>
                <w:szCs w:val="22"/>
              </w:rPr>
              <w:t>5.2</w:t>
            </w:r>
          </w:p>
        </w:tc>
        <w:tc>
          <w:tcPr>
            <w:tcW w:w="7637" w:type="dxa"/>
          </w:tcPr>
          <w:p w14:paraId="1F4620A9" w14:textId="77777777"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pharmacokinetics from trials in AD patients ages 6-11</w:t>
            </w:r>
          </w:p>
          <w:p w14:paraId="0B8CF165" w14:textId="0702667B" w:rsidR="00904D67" w:rsidRPr="00097D70" w:rsidRDefault="00904D67" w:rsidP="00152F49">
            <w:pPr>
              <w:spacing w:before="12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097D70">
              <w:rPr>
                <w:bCs/>
                <w:color w:val="auto"/>
                <w:sz w:val="22"/>
                <w:szCs w:val="22"/>
              </w:rPr>
              <w:t>Addition of text regarding exposure from long term extension study in asthma</w:t>
            </w:r>
          </w:p>
        </w:tc>
      </w:tr>
    </w:tbl>
    <w:p w14:paraId="7D06CBAD" w14:textId="70B50C18" w:rsidR="007D364C" w:rsidRPr="007D364C" w:rsidRDefault="007D364C" w:rsidP="00B84D8A">
      <w:pPr>
        <w:tabs>
          <w:tab w:val="left" w:pos="7481"/>
        </w:tabs>
      </w:pPr>
    </w:p>
    <w:sectPr w:rsidR="007D364C" w:rsidRPr="007D364C">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5318E" w14:textId="77777777" w:rsidR="00E123A5" w:rsidRDefault="00E123A5" w:rsidP="001A3992">
      <w:r>
        <w:separator/>
      </w:r>
    </w:p>
  </w:endnote>
  <w:endnote w:type="continuationSeparator" w:id="0">
    <w:p w14:paraId="042C3087" w14:textId="77777777" w:rsidR="00E123A5" w:rsidRDefault="00E123A5" w:rsidP="001A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C87EC" w14:textId="10CF030F" w:rsidR="00E123A5" w:rsidRDefault="00E123A5" w:rsidP="006B49F1">
    <w:pPr>
      <w:pStyle w:val="Footer"/>
    </w:pPr>
    <w:r>
      <w:t>Property of the Sanofi group</w:t>
    </w:r>
  </w:p>
  <w:p w14:paraId="2E0748B8" w14:textId="5D1C500A" w:rsidR="00E123A5" w:rsidRDefault="00E123A5">
    <w:pPr>
      <w:pStyle w:val="Footer"/>
    </w:pPr>
    <w:r w:rsidRPr="00A5103D">
      <w:t>dupi-</w:t>
    </w:r>
    <w:r w:rsidRPr="00FB39D4">
      <w:t>ccdsv7-8-9-10-12-piv</w:t>
    </w:r>
    <w:r>
      <w:t>8</w:t>
    </w:r>
    <w:r w:rsidRPr="00FB39D4">
      <w:t>-</w:t>
    </w:r>
    <w:r>
      <w:t>17aug</w:t>
    </w:r>
    <w:r w:rsidRPr="00FB39D4">
      <w:t>21</w:t>
    </w:r>
    <w:r>
      <w:tab/>
    </w:r>
    <w:sdt>
      <w:sdtPr>
        <w:id w:val="-1619370226"/>
        <w:docPartObj>
          <w:docPartGallery w:val="Page Numbers (Bottom of Page)"/>
          <w:docPartUnique/>
        </w:docPartObj>
      </w:sdtPr>
      <w:sdtEndPr/>
      <w:sdtContent>
        <w:sdt>
          <w:sdtPr>
            <w:id w:val="-170523852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0A7A0" w14:textId="77777777" w:rsidR="00E123A5" w:rsidRDefault="00E123A5" w:rsidP="001A3992">
      <w:r>
        <w:separator/>
      </w:r>
    </w:p>
  </w:footnote>
  <w:footnote w:type="continuationSeparator" w:id="0">
    <w:p w14:paraId="4DEE16A2" w14:textId="77777777" w:rsidR="00E123A5" w:rsidRDefault="00E123A5" w:rsidP="001A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shd w:val="clear" w:color="auto" w:fill="E4F2E0"/>
      <w:tblLook w:val="04A0" w:firstRow="1" w:lastRow="0" w:firstColumn="1" w:lastColumn="0" w:noHBand="0" w:noVBand="1"/>
    </w:tblPr>
    <w:tblGrid>
      <w:gridCol w:w="9016"/>
    </w:tblGrid>
    <w:tr w:rsidR="00B84D8A" w:rsidRPr="000B2145" w14:paraId="33C4BA62" w14:textId="77777777" w:rsidTr="00B84D8A">
      <w:trPr>
        <w:trHeight w:val="1012"/>
        <w:jc w:val="center"/>
      </w:trPr>
      <w:tc>
        <w:tcPr>
          <w:tcW w:w="9039" w:type="dxa"/>
          <w:shd w:val="clear" w:color="auto" w:fill="E4F2E0"/>
        </w:tcPr>
        <w:p w14:paraId="4C034040" w14:textId="77777777" w:rsidR="00B84D8A" w:rsidRPr="000E4791" w:rsidRDefault="00B84D8A" w:rsidP="00B84D8A">
          <w:pPr>
            <w:pStyle w:val="Footer"/>
            <w:rPr>
              <w:b/>
              <w:szCs w:val="18"/>
            </w:rPr>
          </w:pPr>
          <w:bookmarkStart w:id="51" w:name="_Hlk80611440"/>
          <w:r w:rsidRPr="000E4791">
            <w:rPr>
              <w:b/>
              <w:szCs w:val="18"/>
            </w:rPr>
            <w:t>Attachment 1</w:t>
          </w:r>
          <w:r>
            <w:t xml:space="preserve"> </w:t>
          </w:r>
          <w:proofErr w:type="spellStart"/>
          <w:r w:rsidRPr="002415E9">
            <w:rPr>
              <w:b/>
              <w:szCs w:val="18"/>
            </w:rPr>
            <w:t>AusPAR</w:t>
          </w:r>
          <w:proofErr w:type="spellEnd"/>
          <w:r w:rsidRPr="002415E9">
            <w:rPr>
              <w:b/>
              <w:szCs w:val="18"/>
            </w:rPr>
            <w:t xml:space="preserve"> - Dupixent - dupilumab - Sanofi-Aventis Australia Pty Ltd - PM-2020-03043-1-5</w:t>
          </w:r>
          <w:r>
            <w:rPr>
              <w:b/>
              <w:szCs w:val="18"/>
            </w:rPr>
            <w:t xml:space="preserve"> </w:t>
          </w:r>
          <w:r w:rsidRPr="002415E9">
            <w:rPr>
              <w:b/>
              <w:szCs w:val="18"/>
            </w:rPr>
            <w:t>Final 27 April 2022</w:t>
          </w:r>
          <w:r w:rsidRPr="000E4791">
            <w:rPr>
              <w:b/>
            </w:rPr>
            <w:t>.</w:t>
          </w:r>
          <w:r w:rsidRPr="000E4791">
            <w:rPr>
              <w:b/>
              <w:szCs w:val="18"/>
            </w:rPr>
            <w:t xml:space="preserve"> This is the Product Information that was approved with the submission described in this </w:t>
          </w:r>
          <w:proofErr w:type="spellStart"/>
          <w:r w:rsidRPr="000E4791">
            <w:rPr>
              <w:b/>
              <w:szCs w:val="18"/>
            </w:rPr>
            <w:t>AusPAR</w:t>
          </w:r>
          <w:proofErr w:type="spellEnd"/>
          <w:r w:rsidRPr="000E4791">
            <w:rPr>
              <w:b/>
              <w:szCs w:val="18"/>
            </w:rPr>
            <w:t>. It may have been superseded. For the most recent PI, please refer to the TGA website at &lt;</w:t>
          </w:r>
          <w:hyperlink r:id="rId1" w:history="1">
            <w:r w:rsidRPr="000E4791">
              <w:rPr>
                <w:rStyle w:val="Hyperlink"/>
                <w:b/>
                <w:szCs w:val="18"/>
              </w:rPr>
              <w:t>https://www.tga.gov.au/product-information-pi</w:t>
            </w:r>
          </w:hyperlink>
          <w:r w:rsidRPr="000E4791">
            <w:rPr>
              <w:b/>
              <w:szCs w:val="18"/>
              <w:u w:val="single"/>
            </w:rPr>
            <w:t>&gt;</w:t>
          </w:r>
        </w:p>
      </w:tc>
    </w:tr>
    <w:bookmarkEnd w:id="51"/>
  </w:tbl>
  <w:p w14:paraId="5CEAC42D" w14:textId="77777777" w:rsidR="00B84D8A" w:rsidRDefault="00B84D8A" w:rsidP="00B84D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906B9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33F3E"/>
    <w:multiLevelType w:val="hybridMultilevel"/>
    <w:tmpl w:val="5AB64ADE"/>
    <w:lvl w:ilvl="0" w:tplc="E0ACC232">
      <w:start w:val="1"/>
      <w:numFmt w:val="bullet"/>
      <w:lvlText w:val=""/>
      <w:lvlJc w:val="left"/>
      <w:pPr>
        <w:ind w:left="720" w:hanging="360"/>
      </w:pPr>
      <w:rPr>
        <w:rFonts w:ascii="Symbol" w:hAnsi="Symbol" w:hint="default"/>
      </w:rPr>
    </w:lvl>
    <w:lvl w:ilvl="1" w:tplc="7A569048">
      <w:start w:val="1"/>
      <w:numFmt w:val="bullet"/>
      <w:lvlText w:val="o"/>
      <w:lvlJc w:val="left"/>
      <w:pPr>
        <w:ind w:left="1440" w:hanging="360"/>
      </w:pPr>
      <w:rPr>
        <w:rFonts w:ascii="Courier New" w:hAnsi="Courier New" w:cs="Courier New" w:hint="default"/>
      </w:rPr>
    </w:lvl>
    <w:lvl w:ilvl="2" w:tplc="8AFA3B2C" w:tentative="1">
      <w:start w:val="1"/>
      <w:numFmt w:val="bullet"/>
      <w:lvlText w:val=""/>
      <w:lvlJc w:val="left"/>
      <w:pPr>
        <w:ind w:left="2160" w:hanging="360"/>
      </w:pPr>
      <w:rPr>
        <w:rFonts w:ascii="Wingdings" w:hAnsi="Wingdings" w:hint="default"/>
      </w:rPr>
    </w:lvl>
    <w:lvl w:ilvl="3" w:tplc="57B2CA54" w:tentative="1">
      <w:start w:val="1"/>
      <w:numFmt w:val="bullet"/>
      <w:lvlText w:val=""/>
      <w:lvlJc w:val="left"/>
      <w:pPr>
        <w:ind w:left="2880" w:hanging="360"/>
      </w:pPr>
      <w:rPr>
        <w:rFonts w:ascii="Symbol" w:hAnsi="Symbol" w:hint="default"/>
      </w:rPr>
    </w:lvl>
    <w:lvl w:ilvl="4" w:tplc="AD3A174A" w:tentative="1">
      <w:start w:val="1"/>
      <w:numFmt w:val="bullet"/>
      <w:lvlText w:val="o"/>
      <w:lvlJc w:val="left"/>
      <w:pPr>
        <w:ind w:left="3600" w:hanging="360"/>
      </w:pPr>
      <w:rPr>
        <w:rFonts w:ascii="Courier New" w:hAnsi="Courier New" w:cs="Courier New" w:hint="default"/>
      </w:rPr>
    </w:lvl>
    <w:lvl w:ilvl="5" w:tplc="C86EB4E6" w:tentative="1">
      <w:start w:val="1"/>
      <w:numFmt w:val="bullet"/>
      <w:lvlText w:val=""/>
      <w:lvlJc w:val="left"/>
      <w:pPr>
        <w:ind w:left="4320" w:hanging="360"/>
      </w:pPr>
      <w:rPr>
        <w:rFonts w:ascii="Wingdings" w:hAnsi="Wingdings" w:hint="default"/>
      </w:rPr>
    </w:lvl>
    <w:lvl w:ilvl="6" w:tplc="858E4076" w:tentative="1">
      <w:start w:val="1"/>
      <w:numFmt w:val="bullet"/>
      <w:lvlText w:val=""/>
      <w:lvlJc w:val="left"/>
      <w:pPr>
        <w:ind w:left="5040" w:hanging="360"/>
      </w:pPr>
      <w:rPr>
        <w:rFonts w:ascii="Symbol" w:hAnsi="Symbol" w:hint="default"/>
      </w:rPr>
    </w:lvl>
    <w:lvl w:ilvl="7" w:tplc="57D2A374" w:tentative="1">
      <w:start w:val="1"/>
      <w:numFmt w:val="bullet"/>
      <w:lvlText w:val="o"/>
      <w:lvlJc w:val="left"/>
      <w:pPr>
        <w:ind w:left="5760" w:hanging="360"/>
      </w:pPr>
      <w:rPr>
        <w:rFonts w:ascii="Courier New" w:hAnsi="Courier New" w:cs="Courier New" w:hint="default"/>
      </w:rPr>
    </w:lvl>
    <w:lvl w:ilvl="8" w:tplc="48B48F9A" w:tentative="1">
      <w:start w:val="1"/>
      <w:numFmt w:val="bullet"/>
      <w:lvlText w:val=""/>
      <w:lvlJc w:val="left"/>
      <w:pPr>
        <w:ind w:left="6480" w:hanging="360"/>
      </w:pPr>
      <w:rPr>
        <w:rFonts w:ascii="Wingdings" w:hAnsi="Wingdings" w:hint="default"/>
      </w:rPr>
    </w:lvl>
  </w:abstractNum>
  <w:abstractNum w:abstractNumId="2" w15:restartNumberingAfterBreak="0">
    <w:nsid w:val="08085D24"/>
    <w:multiLevelType w:val="multilevel"/>
    <w:tmpl w:val="F3048558"/>
    <w:name w:val="List_Bulleted_level_1"/>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3" w15:restartNumberingAfterBreak="0">
    <w:nsid w:val="0C0268D4"/>
    <w:multiLevelType w:val="multilevel"/>
    <w:tmpl w:val="0C323668"/>
    <w:name w:val="LT_Heading"/>
    <w:lvl w:ilvl="0">
      <w:start w:val="1"/>
      <w:numFmt w:val="decimal"/>
      <w:lvlRestart w:val="0"/>
      <w:pStyle w:val="Heading1"/>
      <w:lvlText w:val="%1"/>
      <w:lvlJc w:val="left"/>
      <w:pPr>
        <w:tabs>
          <w:tab w:val="num" w:pos="680"/>
        </w:tabs>
        <w:ind w:left="680" w:hanging="680"/>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680"/>
        </w:tabs>
        <w:ind w:left="680" w:hanging="680"/>
      </w:pPr>
    </w:lvl>
    <w:lvl w:ilvl="3">
      <w:start w:val="1"/>
      <w:numFmt w:val="decimal"/>
      <w:pStyle w:val="Heading4"/>
      <w:lvlText w:val="%1.%2.%3.%4"/>
      <w:lvlJc w:val="left"/>
      <w:pPr>
        <w:tabs>
          <w:tab w:val="num" w:pos="862"/>
        </w:tabs>
        <w:ind w:left="862" w:hanging="862"/>
      </w:pPr>
    </w:lvl>
    <w:lvl w:ilvl="4">
      <w:start w:val="1"/>
      <w:numFmt w:val="decimal"/>
      <w:pStyle w:val="Heading5"/>
      <w:lvlText w:val="%1.%2.%3.%4.%5"/>
      <w:lvlJc w:val="left"/>
      <w:pPr>
        <w:tabs>
          <w:tab w:val="num" w:pos="1009"/>
        </w:tabs>
        <w:ind w:left="1009" w:hanging="1009"/>
      </w:pPr>
    </w:lvl>
    <w:lvl w:ilvl="5">
      <w:start w:val="1"/>
      <w:numFmt w:val="decimal"/>
      <w:pStyle w:val="Heading6"/>
      <w:lvlText w:val="%1.%2.%3.%4.%5.%6"/>
      <w:lvlJc w:val="left"/>
      <w:pPr>
        <w:tabs>
          <w:tab w:val="num" w:pos="1151"/>
        </w:tabs>
        <w:ind w:left="1151" w:hanging="1151"/>
      </w:pPr>
    </w:lvl>
    <w:lvl w:ilvl="6">
      <w:start w:val="1"/>
      <w:numFmt w:val="decimal"/>
      <w:pStyle w:val="Heading7"/>
      <w:lvlText w:val="%1.%2.%3.%4.%5.%6.%7"/>
      <w:lvlJc w:val="left"/>
      <w:pPr>
        <w:tabs>
          <w:tab w:val="num" w:pos="1298"/>
        </w:tabs>
        <w:ind w:left="1298" w:hanging="1298"/>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2"/>
        </w:tabs>
        <w:ind w:left="1582" w:hanging="1582"/>
      </w:pPr>
    </w:lvl>
  </w:abstractNum>
  <w:abstractNum w:abstractNumId="4" w15:restartNumberingAfterBreak="0">
    <w:nsid w:val="0E563DE3"/>
    <w:multiLevelType w:val="multilevel"/>
    <w:tmpl w:val="EA961A4C"/>
    <w:lvl w:ilvl="0">
      <w:start w:val="1"/>
      <w:numFmt w:val="lowerLetter"/>
      <w:lvlRestart w:val="0"/>
      <w:lvlText w:val="%1)"/>
      <w:lvlJc w:val="left"/>
      <w:pPr>
        <w:tabs>
          <w:tab w:val="num" w:pos="1083"/>
        </w:tabs>
        <w:ind w:left="1083" w:hanging="363"/>
      </w:pPr>
    </w:lvl>
    <w:lvl w:ilvl="1">
      <w:start w:val="1"/>
      <w:numFmt w:val="lowerLetter"/>
      <w:lvlText w:val="%2)"/>
      <w:lvlJc w:val="left"/>
      <w:pPr>
        <w:tabs>
          <w:tab w:val="num" w:pos="1440"/>
        </w:tabs>
        <w:ind w:left="1440" w:hanging="357"/>
      </w:pPr>
    </w:lvl>
    <w:lvl w:ilvl="2">
      <w:start w:val="1"/>
      <w:numFmt w:val="lowerLetter"/>
      <w:lvlText w:val="%3)"/>
      <w:lvlJc w:val="left"/>
      <w:pPr>
        <w:tabs>
          <w:tab w:val="num" w:pos="1803"/>
        </w:tabs>
        <w:ind w:left="1803" w:hanging="363"/>
      </w:pPr>
    </w:lvl>
    <w:lvl w:ilvl="3">
      <w:start w:val="1"/>
      <w:numFmt w:val="lowerLetter"/>
      <w:lvlText w:val="%4)"/>
      <w:lvlJc w:val="left"/>
      <w:pPr>
        <w:tabs>
          <w:tab w:val="num" w:pos="2160"/>
        </w:tabs>
        <w:ind w:left="2160" w:hanging="357"/>
      </w:pPr>
    </w:lvl>
    <w:lvl w:ilvl="4">
      <w:start w:val="1"/>
      <w:numFmt w:val="lowerLetter"/>
      <w:lvlText w:val="%5)"/>
      <w:lvlJc w:val="left"/>
      <w:pPr>
        <w:tabs>
          <w:tab w:val="num" w:pos="2523"/>
        </w:tabs>
        <w:ind w:left="2523" w:hanging="363"/>
      </w:pPr>
    </w:lvl>
    <w:lvl w:ilvl="5">
      <w:start w:val="1"/>
      <w:numFmt w:val="lowerLetter"/>
      <w:lvlText w:val="%6)"/>
      <w:lvlJc w:val="left"/>
      <w:pPr>
        <w:tabs>
          <w:tab w:val="num" w:pos="2880"/>
        </w:tabs>
        <w:ind w:left="2880" w:hanging="357"/>
      </w:pPr>
    </w:lvl>
    <w:lvl w:ilvl="6">
      <w:start w:val="1"/>
      <w:numFmt w:val="lowerLetter"/>
      <w:lvlText w:val="%7)"/>
      <w:lvlJc w:val="left"/>
      <w:pPr>
        <w:tabs>
          <w:tab w:val="num" w:pos="3243"/>
        </w:tabs>
        <w:ind w:left="3243" w:hanging="363"/>
      </w:pPr>
    </w:lvl>
    <w:lvl w:ilvl="7">
      <w:start w:val="1"/>
      <w:numFmt w:val="lowerLetter"/>
      <w:lvlText w:val="%8)"/>
      <w:lvlJc w:val="left"/>
      <w:pPr>
        <w:tabs>
          <w:tab w:val="num" w:pos="3600"/>
        </w:tabs>
        <w:ind w:left="3600" w:hanging="357"/>
      </w:pPr>
    </w:lvl>
    <w:lvl w:ilvl="8">
      <w:start w:val="1"/>
      <w:numFmt w:val="lowerLetter"/>
      <w:lvlText w:val="%9)"/>
      <w:lvlJc w:val="left"/>
      <w:pPr>
        <w:tabs>
          <w:tab w:val="num" w:pos="3957"/>
        </w:tabs>
        <w:ind w:left="3957" w:hanging="357"/>
      </w:pPr>
    </w:lvl>
  </w:abstractNum>
  <w:abstractNum w:abstractNumId="5" w15:restartNumberingAfterBreak="0">
    <w:nsid w:val="13CF1C02"/>
    <w:multiLevelType w:val="multilevel"/>
    <w:tmpl w:val="EC448D7A"/>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DC41614"/>
    <w:multiLevelType w:val="multilevel"/>
    <w:tmpl w:val="56767712"/>
    <w:lvl w:ilvl="0">
      <w:start w:val="1"/>
      <w:numFmt w:val="decimal"/>
      <w:lvlRestart w:val="0"/>
      <w:lvlText w:val="%1."/>
      <w:lvlJc w:val="left"/>
      <w:pPr>
        <w:tabs>
          <w:tab w:val="num" w:pos="720"/>
        </w:tabs>
        <w:ind w:left="720" w:hanging="357"/>
      </w:pPr>
      <w:rPr>
        <w:rFonts w:hint="default"/>
      </w:rPr>
    </w:lvl>
    <w:lvl w:ilvl="1">
      <w:start w:val="1"/>
      <w:numFmt w:val="decimal"/>
      <w:lvlText w:val="%2."/>
      <w:lvlJc w:val="left"/>
      <w:pPr>
        <w:tabs>
          <w:tab w:val="num" w:pos="1083"/>
        </w:tabs>
        <w:ind w:left="1083" w:hanging="363"/>
      </w:pPr>
      <w:rPr>
        <w:rFonts w:hint="default"/>
      </w:rPr>
    </w:lvl>
    <w:lvl w:ilvl="2">
      <w:start w:val="1"/>
      <w:numFmt w:val="decimal"/>
      <w:lvlText w:val="%3."/>
      <w:lvlJc w:val="left"/>
      <w:pPr>
        <w:tabs>
          <w:tab w:val="num" w:pos="1440"/>
        </w:tabs>
        <w:ind w:left="1440" w:hanging="357"/>
      </w:pPr>
      <w:rPr>
        <w:rFonts w:hint="default"/>
      </w:rPr>
    </w:lvl>
    <w:lvl w:ilvl="3">
      <w:start w:val="1"/>
      <w:numFmt w:val="decimal"/>
      <w:lvlText w:val="%4."/>
      <w:lvlJc w:val="left"/>
      <w:pPr>
        <w:tabs>
          <w:tab w:val="num" w:pos="1803"/>
        </w:tabs>
        <w:ind w:left="1803" w:hanging="363"/>
      </w:pPr>
      <w:rPr>
        <w:rFonts w:hint="default"/>
      </w:rPr>
    </w:lvl>
    <w:lvl w:ilvl="4">
      <w:start w:val="1"/>
      <w:numFmt w:val="decimal"/>
      <w:lvlText w:val="%5."/>
      <w:lvlJc w:val="left"/>
      <w:pPr>
        <w:tabs>
          <w:tab w:val="num" w:pos="2160"/>
        </w:tabs>
        <w:ind w:left="2160" w:hanging="357"/>
      </w:pPr>
      <w:rPr>
        <w:rFonts w:hint="default"/>
      </w:rPr>
    </w:lvl>
    <w:lvl w:ilvl="5">
      <w:start w:val="1"/>
      <w:numFmt w:val="decimal"/>
      <w:lvlText w:val="%6."/>
      <w:lvlJc w:val="left"/>
      <w:pPr>
        <w:tabs>
          <w:tab w:val="num" w:pos="2523"/>
        </w:tabs>
        <w:ind w:left="2523" w:hanging="363"/>
      </w:pPr>
      <w:rPr>
        <w:rFonts w:hint="default"/>
      </w:rPr>
    </w:lvl>
    <w:lvl w:ilvl="6">
      <w:start w:val="1"/>
      <w:numFmt w:val="decimal"/>
      <w:lvlText w:val="%7."/>
      <w:lvlJc w:val="left"/>
      <w:pPr>
        <w:tabs>
          <w:tab w:val="num" w:pos="2880"/>
        </w:tabs>
        <w:ind w:left="2880" w:hanging="357"/>
      </w:pPr>
      <w:rPr>
        <w:rFonts w:hint="default"/>
      </w:rPr>
    </w:lvl>
    <w:lvl w:ilvl="7">
      <w:start w:val="1"/>
      <w:numFmt w:val="decimal"/>
      <w:lvlText w:val="%8."/>
      <w:lvlJc w:val="left"/>
      <w:pPr>
        <w:tabs>
          <w:tab w:val="num" w:pos="3243"/>
        </w:tabs>
        <w:ind w:left="3243" w:hanging="363"/>
      </w:pPr>
      <w:rPr>
        <w:rFonts w:hint="default"/>
      </w:rPr>
    </w:lvl>
    <w:lvl w:ilvl="8">
      <w:start w:val="1"/>
      <w:numFmt w:val="decimal"/>
      <w:lvlText w:val="%9."/>
      <w:lvlJc w:val="left"/>
      <w:pPr>
        <w:tabs>
          <w:tab w:val="num" w:pos="3600"/>
        </w:tabs>
        <w:ind w:left="3600" w:hanging="357"/>
      </w:pPr>
      <w:rPr>
        <w:rFonts w:hint="default"/>
      </w:rPr>
    </w:lvl>
  </w:abstractNum>
  <w:abstractNum w:abstractNumId="7" w15:restartNumberingAfterBreak="0">
    <w:nsid w:val="24435439"/>
    <w:multiLevelType w:val="hybridMultilevel"/>
    <w:tmpl w:val="D23AB816"/>
    <w:lvl w:ilvl="0" w:tplc="3E6ACF62">
      <w:start w:val="1"/>
      <w:numFmt w:val="bullet"/>
      <w:pStyle w:val="ListBullet"/>
      <w:lvlText w:val=""/>
      <w:lvlJc w:val="left"/>
      <w:pPr>
        <w:ind w:left="720" w:hanging="360"/>
      </w:pPr>
      <w:rPr>
        <w:rFonts w:ascii="Symbol" w:hAnsi="Symbol" w:hint="default"/>
      </w:rPr>
    </w:lvl>
    <w:lvl w:ilvl="1" w:tplc="8E90C5E2" w:tentative="1">
      <w:start w:val="1"/>
      <w:numFmt w:val="bullet"/>
      <w:lvlText w:val="o"/>
      <w:lvlJc w:val="left"/>
      <w:pPr>
        <w:ind w:left="1440" w:hanging="360"/>
      </w:pPr>
      <w:rPr>
        <w:rFonts w:ascii="Courier New" w:hAnsi="Courier New" w:cs="Courier New" w:hint="default"/>
      </w:rPr>
    </w:lvl>
    <w:lvl w:ilvl="2" w:tplc="0BFE715C" w:tentative="1">
      <w:start w:val="1"/>
      <w:numFmt w:val="bullet"/>
      <w:lvlText w:val=""/>
      <w:lvlJc w:val="left"/>
      <w:pPr>
        <w:ind w:left="2160" w:hanging="360"/>
      </w:pPr>
      <w:rPr>
        <w:rFonts w:ascii="Wingdings" w:hAnsi="Wingdings" w:hint="default"/>
      </w:rPr>
    </w:lvl>
    <w:lvl w:ilvl="3" w:tplc="4C0AA49C" w:tentative="1">
      <w:start w:val="1"/>
      <w:numFmt w:val="bullet"/>
      <w:lvlText w:val=""/>
      <w:lvlJc w:val="left"/>
      <w:pPr>
        <w:ind w:left="2880" w:hanging="360"/>
      </w:pPr>
      <w:rPr>
        <w:rFonts w:ascii="Symbol" w:hAnsi="Symbol" w:hint="default"/>
      </w:rPr>
    </w:lvl>
    <w:lvl w:ilvl="4" w:tplc="8D160B1A" w:tentative="1">
      <w:start w:val="1"/>
      <w:numFmt w:val="bullet"/>
      <w:lvlText w:val="o"/>
      <w:lvlJc w:val="left"/>
      <w:pPr>
        <w:ind w:left="3600" w:hanging="360"/>
      </w:pPr>
      <w:rPr>
        <w:rFonts w:ascii="Courier New" w:hAnsi="Courier New" w:cs="Courier New" w:hint="default"/>
      </w:rPr>
    </w:lvl>
    <w:lvl w:ilvl="5" w:tplc="41E67594" w:tentative="1">
      <w:start w:val="1"/>
      <w:numFmt w:val="bullet"/>
      <w:lvlText w:val=""/>
      <w:lvlJc w:val="left"/>
      <w:pPr>
        <w:ind w:left="4320" w:hanging="360"/>
      </w:pPr>
      <w:rPr>
        <w:rFonts w:ascii="Wingdings" w:hAnsi="Wingdings" w:hint="default"/>
      </w:rPr>
    </w:lvl>
    <w:lvl w:ilvl="6" w:tplc="3FB09BAC" w:tentative="1">
      <w:start w:val="1"/>
      <w:numFmt w:val="bullet"/>
      <w:lvlText w:val=""/>
      <w:lvlJc w:val="left"/>
      <w:pPr>
        <w:ind w:left="5040" w:hanging="360"/>
      </w:pPr>
      <w:rPr>
        <w:rFonts w:ascii="Symbol" w:hAnsi="Symbol" w:hint="default"/>
      </w:rPr>
    </w:lvl>
    <w:lvl w:ilvl="7" w:tplc="AC7CAE62" w:tentative="1">
      <w:start w:val="1"/>
      <w:numFmt w:val="bullet"/>
      <w:lvlText w:val="o"/>
      <w:lvlJc w:val="left"/>
      <w:pPr>
        <w:ind w:left="5760" w:hanging="360"/>
      </w:pPr>
      <w:rPr>
        <w:rFonts w:ascii="Courier New" w:hAnsi="Courier New" w:cs="Courier New" w:hint="default"/>
      </w:rPr>
    </w:lvl>
    <w:lvl w:ilvl="8" w:tplc="99F03322" w:tentative="1">
      <w:start w:val="1"/>
      <w:numFmt w:val="bullet"/>
      <w:lvlText w:val=""/>
      <w:lvlJc w:val="left"/>
      <w:pPr>
        <w:ind w:left="6480" w:hanging="360"/>
      </w:pPr>
      <w:rPr>
        <w:rFonts w:ascii="Wingdings" w:hAnsi="Wingdings" w:hint="default"/>
      </w:rPr>
    </w:lvl>
  </w:abstractNum>
  <w:abstractNum w:abstractNumId="8" w15:restartNumberingAfterBreak="0">
    <w:nsid w:val="29572512"/>
    <w:multiLevelType w:val="hybridMultilevel"/>
    <w:tmpl w:val="A914F3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4D086B"/>
    <w:multiLevelType w:val="multilevel"/>
    <w:tmpl w:val="98FEE14A"/>
    <w:lvl w:ilvl="0">
      <w:start w:val="1"/>
      <w:numFmt w:val="upperLetter"/>
      <w:lvlRestart w:val="0"/>
      <w:lvlText w:val="%1)"/>
      <w:lvlJc w:val="left"/>
      <w:pPr>
        <w:tabs>
          <w:tab w:val="num" w:pos="720"/>
        </w:tabs>
        <w:ind w:left="720" w:hanging="357"/>
      </w:pPr>
    </w:lvl>
    <w:lvl w:ilvl="1">
      <w:start w:val="1"/>
      <w:numFmt w:val="upperLetter"/>
      <w:lvlText w:val="%2)"/>
      <w:lvlJc w:val="left"/>
      <w:pPr>
        <w:tabs>
          <w:tab w:val="num" w:pos="1083"/>
        </w:tabs>
        <w:ind w:left="1083" w:hanging="363"/>
      </w:pPr>
    </w:lvl>
    <w:lvl w:ilvl="2">
      <w:start w:val="1"/>
      <w:numFmt w:val="upperLetter"/>
      <w:lvlText w:val="%3)"/>
      <w:lvlJc w:val="left"/>
      <w:pPr>
        <w:tabs>
          <w:tab w:val="num" w:pos="1440"/>
        </w:tabs>
        <w:ind w:left="1440" w:hanging="357"/>
      </w:pPr>
    </w:lvl>
    <w:lvl w:ilvl="3">
      <w:start w:val="1"/>
      <w:numFmt w:val="upperLetter"/>
      <w:lvlText w:val="%4)"/>
      <w:lvlJc w:val="left"/>
      <w:pPr>
        <w:tabs>
          <w:tab w:val="num" w:pos="1803"/>
        </w:tabs>
        <w:ind w:left="1803" w:hanging="363"/>
      </w:pPr>
    </w:lvl>
    <w:lvl w:ilvl="4">
      <w:start w:val="1"/>
      <w:numFmt w:val="upperLetter"/>
      <w:lvlText w:val="%5)"/>
      <w:lvlJc w:val="left"/>
      <w:pPr>
        <w:tabs>
          <w:tab w:val="num" w:pos="2160"/>
        </w:tabs>
        <w:ind w:left="2160" w:hanging="357"/>
      </w:pPr>
    </w:lvl>
    <w:lvl w:ilvl="5">
      <w:start w:val="1"/>
      <w:numFmt w:val="upperLetter"/>
      <w:lvlText w:val="%6)"/>
      <w:lvlJc w:val="left"/>
      <w:pPr>
        <w:tabs>
          <w:tab w:val="num" w:pos="2523"/>
        </w:tabs>
        <w:ind w:left="2523" w:hanging="363"/>
      </w:pPr>
    </w:lvl>
    <w:lvl w:ilvl="6">
      <w:start w:val="1"/>
      <w:numFmt w:val="upperLetter"/>
      <w:lvlText w:val="%7)"/>
      <w:lvlJc w:val="left"/>
      <w:pPr>
        <w:tabs>
          <w:tab w:val="num" w:pos="2880"/>
        </w:tabs>
        <w:ind w:left="2880" w:hanging="357"/>
      </w:pPr>
    </w:lvl>
    <w:lvl w:ilvl="7">
      <w:start w:val="1"/>
      <w:numFmt w:val="upperLetter"/>
      <w:lvlText w:val="%8)"/>
      <w:lvlJc w:val="left"/>
      <w:pPr>
        <w:tabs>
          <w:tab w:val="num" w:pos="3243"/>
        </w:tabs>
        <w:ind w:left="3243" w:hanging="363"/>
      </w:pPr>
    </w:lvl>
    <w:lvl w:ilvl="8">
      <w:start w:val="1"/>
      <w:numFmt w:val="upperLetter"/>
      <w:lvlText w:val="%8)"/>
      <w:lvlJc w:val="left"/>
      <w:pPr>
        <w:tabs>
          <w:tab w:val="num" w:pos="3600"/>
        </w:tabs>
        <w:ind w:left="3600" w:hanging="357"/>
      </w:pPr>
    </w:lvl>
  </w:abstractNum>
  <w:abstractNum w:abstractNumId="10" w15:restartNumberingAfterBreak="0">
    <w:nsid w:val="35AA7D29"/>
    <w:multiLevelType w:val="multilevel"/>
    <w:tmpl w:val="2E0C0D66"/>
    <w:lvl w:ilvl="0">
      <w:start w:val="1"/>
      <w:numFmt w:val="bullet"/>
      <w:lvlRestart w:val="0"/>
      <w:pStyle w:val="ListBulletLevel2"/>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1" w15:restartNumberingAfterBreak="0">
    <w:nsid w:val="36A76F60"/>
    <w:multiLevelType w:val="multilevel"/>
    <w:tmpl w:val="C71ABB6C"/>
    <w:lvl w:ilvl="0">
      <w:start w:val="1"/>
      <w:numFmt w:val="bullet"/>
      <w:lvlRestart w:val="0"/>
      <w:lvlText w:val="-"/>
      <w:lvlJc w:val="left"/>
      <w:pPr>
        <w:tabs>
          <w:tab w:val="num" w:pos="1083"/>
        </w:tabs>
        <w:ind w:left="1083" w:hanging="363"/>
      </w:pPr>
      <w:rPr>
        <w:rFonts w:ascii="Times New Roman" w:hAnsi="Times New Roman" w:cs="Times New Roman" w:hint="default"/>
      </w:rPr>
    </w:lvl>
    <w:lvl w:ilvl="1">
      <w:start w:val="1"/>
      <w:numFmt w:val="bullet"/>
      <w:lvlText w:val="-"/>
      <w:lvlJc w:val="left"/>
      <w:pPr>
        <w:tabs>
          <w:tab w:val="num" w:pos="1440"/>
        </w:tabs>
        <w:ind w:left="1440" w:hanging="357"/>
      </w:pPr>
      <w:rPr>
        <w:rFonts w:ascii="Times New Roman" w:hAnsi="Times New Roman" w:cs="Times New Roman" w:hint="default"/>
      </w:rPr>
    </w:lvl>
    <w:lvl w:ilvl="2">
      <w:start w:val="1"/>
      <w:numFmt w:val="bullet"/>
      <w:lvlText w:val="-"/>
      <w:lvlJc w:val="left"/>
      <w:pPr>
        <w:tabs>
          <w:tab w:val="num" w:pos="1803"/>
        </w:tabs>
        <w:ind w:left="1803" w:hanging="363"/>
      </w:pPr>
      <w:rPr>
        <w:rFonts w:ascii="Times New Roman" w:hAnsi="Times New Roman" w:cs="Times New Roman" w:hint="default"/>
      </w:rPr>
    </w:lvl>
    <w:lvl w:ilvl="3">
      <w:start w:val="1"/>
      <w:numFmt w:val="bullet"/>
      <w:lvlText w:val="-"/>
      <w:lvlJc w:val="left"/>
      <w:pPr>
        <w:tabs>
          <w:tab w:val="num" w:pos="2160"/>
        </w:tabs>
        <w:ind w:left="2160" w:hanging="357"/>
      </w:pPr>
      <w:rPr>
        <w:rFonts w:ascii="Times New Roman" w:hAnsi="Times New Roman" w:cs="Times New Roman" w:hint="default"/>
      </w:rPr>
    </w:lvl>
    <w:lvl w:ilvl="4">
      <w:start w:val="1"/>
      <w:numFmt w:val="bullet"/>
      <w:lvlText w:val="-"/>
      <w:lvlJc w:val="left"/>
      <w:pPr>
        <w:tabs>
          <w:tab w:val="num" w:pos="2523"/>
        </w:tabs>
        <w:ind w:left="2523" w:hanging="363"/>
      </w:pPr>
      <w:rPr>
        <w:rFonts w:ascii="Times New Roman" w:hAnsi="Times New Roman" w:cs="Times New Roman" w:hint="default"/>
      </w:rPr>
    </w:lvl>
    <w:lvl w:ilvl="5">
      <w:start w:val="1"/>
      <w:numFmt w:val="bullet"/>
      <w:lvlText w:val="-"/>
      <w:lvlJc w:val="left"/>
      <w:pPr>
        <w:tabs>
          <w:tab w:val="num" w:pos="2880"/>
        </w:tabs>
        <w:ind w:left="2880" w:hanging="357"/>
      </w:pPr>
      <w:rPr>
        <w:rFonts w:ascii="Times New Roman" w:hAnsi="Times New Roman" w:cs="Times New Roman" w:hint="default"/>
      </w:rPr>
    </w:lvl>
    <w:lvl w:ilvl="6">
      <w:start w:val="1"/>
      <w:numFmt w:val="bullet"/>
      <w:lvlText w:val="-"/>
      <w:lvlJc w:val="left"/>
      <w:pPr>
        <w:tabs>
          <w:tab w:val="num" w:pos="3243"/>
        </w:tabs>
        <w:ind w:left="3243" w:hanging="363"/>
      </w:pPr>
      <w:rPr>
        <w:rFonts w:ascii="Times New Roman" w:hAnsi="Times New Roman" w:cs="Times New Roman" w:hint="default"/>
      </w:rPr>
    </w:lvl>
    <w:lvl w:ilvl="7">
      <w:start w:val="1"/>
      <w:numFmt w:val="bullet"/>
      <w:lvlText w:val="-"/>
      <w:lvlJc w:val="left"/>
      <w:pPr>
        <w:tabs>
          <w:tab w:val="num" w:pos="3600"/>
        </w:tabs>
        <w:ind w:left="3600" w:hanging="357"/>
      </w:pPr>
      <w:rPr>
        <w:rFonts w:ascii="Times New Roman" w:hAnsi="Times New Roman" w:cs="Times New Roman" w:hint="default"/>
      </w:rPr>
    </w:lvl>
    <w:lvl w:ilvl="8">
      <w:start w:val="1"/>
      <w:numFmt w:val="bullet"/>
      <w:lvlText w:val="-"/>
      <w:lvlJc w:val="left"/>
      <w:pPr>
        <w:tabs>
          <w:tab w:val="num" w:pos="3957"/>
        </w:tabs>
        <w:ind w:left="3957" w:hanging="357"/>
      </w:pPr>
      <w:rPr>
        <w:rFonts w:ascii="Times New Roman" w:hAnsi="Times New Roman" w:cs="Times New Roman" w:hint="default"/>
      </w:rPr>
    </w:lvl>
  </w:abstractNum>
  <w:abstractNum w:abstractNumId="12" w15:restartNumberingAfterBreak="0">
    <w:nsid w:val="398B4D5B"/>
    <w:multiLevelType w:val="hybridMultilevel"/>
    <w:tmpl w:val="AC0E0E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E650E0"/>
    <w:multiLevelType w:val="multilevel"/>
    <w:tmpl w:val="AD0C1E02"/>
    <w:name w:val="List_Bulleted_level_12"/>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4" w15:restartNumberingAfterBreak="0">
    <w:nsid w:val="57507084"/>
    <w:multiLevelType w:val="multilevel"/>
    <w:tmpl w:val="5658FF56"/>
    <w:lvl w:ilvl="0">
      <w:start w:val="1"/>
      <w:numFmt w:val="decimal"/>
      <w:lvlRestart w:val="0"/>
      <w:lvlText w:val="%1."/>
      <w:lvlJc w:val="left"/>
      <w:pPr>
        <w:tabs>
          <w:tab w:val="num" w:pos="720"/>
        </w:tabs>
        <w:ind w:left="720" w:hanging="357"/>
      </w:pPr>
      <w:rPr>
        <w:rFonts w:hint="default"/>
      </w:rPr>
    </w:lvl>
    <w:lvl w:ilvl="1">
      <w:start w:val="1"/>
      <w:numFmt w:val="decimal"/>
      <w:lvlText w:val="%2."/>
      <w:lvlJc w:val="left"/>
      <w:pPr>
        <w:tabs>
          <w:tab w:val="num" w:pos="1083"/>
        </w:tabs>
        <w:ind w:left="1083" w:hanging="363"/>
      </w:pPr>
      <w:rPr>
        <w:rFonts w:hint="default"/>
      </w:rPr>
    </w:lvl>
    <w:lvl w:ilvl="2">
      <w:start w:val="1"/>
      <w:numFmt w:val="decimal"/>
      <w:lvlText w:val="%3."/>
      <w:lvlJc w:val="left"/>
      <w:pPr>
        <w:tabs>
          <w:tab w:val="num" w:pos="1440"/>
        </w:tabs>
        <w:ind w:left="1440" w:hanging="357"/>
      </w:pPr>
      <w:rPr>
        <w:rFonts w:hint="default"/>
      </w:rPr>
    </w:lvl>
    <w:lvl w:ilvl="3">
      <w:start w:val="1"/>
      <w:numFmt w:val="decimal"/>
      <w:lvlText w:val="%4."/>
      <w:lvlJc w:val="left"/>
      <w:pPr>
        <w:tabs>
          <w:tab w:val="num" w:pos="1803"/>
        </w:tabs>
        <w:ind w:left="1803" w:hanging="363"/>
      </w:pPr>
      <w:rPr>
        <w:rFonts w:hint="default"/>
      </w:rPr>
    </w:lvl>
    <w:lvl w:ilvl="4">
      <w:start w:val="1"/>
      <w:numFmt w:val="decimal"/>
      <w:lvlText w:val="%5."/>
      <w:lvlJc w:val="left"/>
      <w:pPr>
        <w:tabs>
          <w:tab w:val="num" w:pos="2160"/>
        </w:tabs>
        <w:ind w:left="2160" w:hanging="357"/>
      </w:pPr>
      <w:rPr>
        <w:rFonts w:hint="default"/>
      </w:rPr>
    </w:lvl>
    <w:lvl w:ilvl="5">
      <w:start w:val="1"/>
      <w:numFmt w:val="decimal"/>
      <w:lvlText w:val="%6."/>
      <w:lvlJc w:val="left"/>
      <w:pPr>
        <w:tabs>
          <w:tab w:val="num" w:pos="2523"/>
        </w:tabs>
        <w:ind w:left="2523" w:hanging="363"/>
      </w:pPr>
      <w:rPr>
        <w:rFonts w:hint="default"/>
      </w:rPr>
    </w:lvl>
    <w:lvl w:ilvl="6">
      <w:start w:val="1"/>
      <w:numFmt w:val="decimal"/>
      <w:lvlText w:val="%7."/>
      <w:lvlJc w:val="left"/>
      <w:pPr>
        <w:tabs>
          <w:tab w:val="num" w:pos="2880"/>
        </w:tabs>
        <w:ind w:left="2880" w:hanging="357"/>
      </w:pPr>
      <w:rPr>
        <w:rFonts w:hint="default"/>
      </w:rPr>
    </w:lvl>
    <w:lvl w:ilvl="7">
      <w:start w:val="1"/>
      <w:numFmt w:val="decimal"/>
      <w:lvlText w:val="%8."/>
      <w:lvlJc w:val="left"/>
      <w:pPr>
        <w:tabs>
          <w:tab w:val="num" w:pos="3243"/>
        </w:tabs>
        <w:ind w:left="3243" w:hanging="363"/>
      </w:pPr>
      <w:rPr>
        <w:rFonts w:hint="default"/>
      </w:rPr>
    </w:lvl>
    <w:lvl w:ilvl="8">
      <w:start w:val="1"/>
      <w:numFmt w:val="decimal"/>
      <w:lvlText w:val="%9."/>
      <w:lvlJc w:val="left"/>
      <w:pPr>
        <w:tabs>
          <w:tab w:val="num" w:pos="3600"/>
        </w:tabs>
        <w:ind w:left="3600" w:hanging="357"/>
      </w:pPr>
      <w:rPr>
        <w:rFonts w:hint="default"/>
      </w:rPr>
    </w:lvl>
  </w:abstractNum>
  <w:abstractNum w:abstractNumId="15" w15:restartNumberingAfterBreak="0">
    <w:nsid w:val="58D81D71"/>
    <w:multiLevelType w:val="multilevel"/>
    <w:tmpl w:val="52CA71CC"/>
    <w:name w:val="List_Bulleted_level_13"/>
    <w:lvl w:ilvl="0">
      <w:start w:val="1"/>
      <w:numFmt w:val="bullet"/>
      <w:lvlRestart w:val="0"/>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6" w15:restartNumberingAfterBreak="0">
    <w:nsid w:val="5C225032"/>
    <w:multiLevelType w:val="hybridMultilevel"/>
    <w:tmpl w:val="87D8CF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331808"/>
    <w:multiLevelType w:val="multilevel"/>
    <w:tmpl w:val="F1BEA42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E2F5110"/>
    <w:multiLevelType w:val="hybridMultilevel"/>
    <w:tmpl w:val="0EB8F43A"/>
    <w:name w:val="LT_Heading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551B0"/>
    <w:multiLevelType w:val="hybridMultilevel"/>
    <w:tmpl w:val="5374F2DC"/>
    <w:lvl w:ilvl="0" w:tplc="18E0A3DA">
      <w:start w:val="300"/>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CE414F"/>
    <w:multiLevelType w:val="hybridMultilevel"/>
    <w:tmpl w:val="99F61858"/>
    <w:lvl w:ilvl="0" w:tplc="ED465E08">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2613446"/>
    <w:multiLevelType w:val="hybridMultilevel"/>
    <w:tmpl w:val="D384F4F4"/>
    <w:lvl w:ilvl="0" w:tplc="ED465E08">
      <w:start w:val="1"/>
      <w:numFmt w:val="bullet"/>
      <w:pStyle w:val="ListNumbered"/>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311220D"/>
    <w:multiLevelType w:val="hybridMultilevel"/>
    <w:tmpl w:val="E814E93A"/>
    <w:lvl w:ilvl="0" w:tplc="0C090001">
      <w:start w:val="1"/>
      <w:numFmt w:val="bullet"/>
      <w:pStyle w:val="ListAlphabeticalLevel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6C59A9"/>
    <w:multiLevelType w:val="multilevel"/>
    <w:tmpl w:val="5B240ADE"/>
    <w:lvl w:ilvl="0">
      <w:start w:val="1"/>
      <w:numFmt w:val="bullet"/>
      <w:lvlRestart w:val="0"/>
      <w:lvlText w:val=""/>
      <w:lvlJc w:val="left"/>
      <w:pPr>
        <w:tabs>
          <w:tab w:val="num" w:pos="720"/>
        </w:tabs>
        <w:ind w:left="720" w:hanging="357"/>
      </w:pPr>
      <w:rPr>
        <w:rFonts w:ascii="Symbol" w:hAnsi="Symbol" w:hint="default"/>
        <w:sz w:val="24"/>
      </w:rPr>
    </w:lvl>
    <w:lvl w:ilvl="1">
      <w:start w:val="1"/>
      <w:numFmt w:val="bullet"/>
      <w:lvlText w:val=""/>
      <w:lvlJc w:val="left"/>
      <w:pPr>
        <w:tabs>
          <w:tab w:val="num" w:pos="1083"/>
        </w:tabs>
        <w:ind w:left="1083" w:hanging="363"/>
      </w:pPr>
      <w:rPr>
        <w:rFonts w:ascii="Symbol" w:hAnsi="Symbol" w:cs="Times New Roman" w:hint="default"/>
        <w:sz w:val="21"/>
      </w:rPr>
    </w:lvl>
    <w:lvl w:ilvl="2">
      <w:start w:val="1"/>
      <w:numFmt w:val="bullet"/>
      <w:lvlText w:val=""/>
      <w:lvlJc w:val="left"/>
      <w:pPr>
        <w:tabs>
          <w:tab w:val="num" w:pos="1440"/>
        </w:tabs>
        <w:ind w:left="1440" w:hanging="357"/>
      </w:pPr>
      <w:rPr>
        <w:rFonts w:ascii="Symbol" w:hAnsi="Symbol" w:cs="Times New Roman" w:hint="default"/>
        <w:sz w:val="21"/>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24" w15:restartNumberingAfterBreak="0">
    <w:nsid w:val="7FB401D6"/>
    <w:multiLevelType w:val="hybridMultilevel"/>
    <w:tmpl w:val="270C463E"/>
    <w:lvl w:ilvl="0" w:tplc="E9ECAE2A">
      <w:start w:val="1"/>
      <w:numFmt w:val="bullet"/>
      <w:pStyle w:val="ListAlphabeticalLevel1"/>
      <w:lvlText w:val=""/>
      <w:lvlJc w:val="left"/>
      <w:pPr>
        <w:ind w:left="720" w:hanging="360"/>
      </w:pPr>
      <w:rPr>
        <w:rFonts w:ascii="Symbol" w:hAnsi="Symbol" w:hint="default"/>
      </w:rPr>
    </w:lvl>
    <w:lvl w:ilvl="1" w:tplc="34AE5738">
      <w:start w:val="1"/>
      <w:numFmt w:val="bullet"/>
      <w:lvlText w:val="o"/>
      <w:lvlJc w:val="left"/>
      <w:pPr>
        <w:ind w:left="1440" w:hanging="360"/>
      </w:pPr>
      <w:rPr>
        <w:rFonts w:ascii="Courier New" w:hAnsi="Courier New" w:cs="Courier New" w:hint="default"/>
      </w:rPr>
    </w:lvl>
    <w:lvl w:ilvl="2" w:tplc="93BE6CA2">
      <w:start w:val="1"/>
      <w:numFmt w:val="bullet"/>
      <w:lvlText w:val=""/>
      <w:lvlJc w:val="left"/>
      <w:pPr>
        <w:ind w:left="2160" w:hanging="360"/>
      </w:pPr>
      <w:rPr>
        <w:rFonts w:ascii="Wingdings" w:hAnsi="Wingdings" w:hint="default"/>
      </w:rPr>
    </w:lvl>
    <w:lvl w:ilvl="3" w:tplc="FE3E4B92" w:tentative="1">
      <w:start w:val="1"/>
      <w:numFmt w:val="bullet"/>
      <w:lvlText w:val=""/>
      <w:lvlJc w:val="left"/>
      <w:pPr>
        <w:ind w:left="2880" w:hanging="360"/>
      </w:pPr>
      <w:rPr>
        <w:rFonts w:ascii="Symbol" w:hAnsi="Symbol" w:hint="default"/>
      </w:rPr>
    </w:lvl>
    <w:lvl w:ilvl="4" w:tplc="7E028866" w:tentative="1">
      <w:start w:val="1"/>
      <w:numFmt w:val="bullet"/>
      <w:lvlText w:val="o"/>
      <w:lvlJc w:val="left"/>
      <w:pPr>
        <w:ind w:left="3600" w:hanging="360"/>
      </w:pPr>
      <w:rPr>
        <w:rFonts w:ascii="Courier New" w:hAnsi="Courier New" w:cs="Courier New" w:hint="default"/>
      </w:rPr>
    </w:lvl>
    <w:lvl w:ilvl="5" w:tplc="2E666BB8" w:tentative="1">
      <w:start w:val="1"/>
      <w:numFmt w:val="bullet"/>
      <w:lvlText w:val=""/>
      <w:lvlJc w:val="left"/>
      <w:pPr>
        <w:ind w:left="4320" w:hanging="360"/>
      </w:pPr>
      <w:rPr>
        <w:rFonts w:ascii="Wingdings" w:hAnsi="Wingdings" w:hint="default"/>
      </w:rPr>
    </w:lvl>
    <w:lvl w:ilvl="6" w:tplc="0A7480DC" w:tentative="1">
      <w:start w:val="1"/>
      <w:numFmt w:val="bullet"/>
      <w:lvlText w:val=""/>
      <w:lvlJc w:val="left"/>
      <w:pPr>
        <w:ind w:left="5040" w:hanging="360"/>
      </w:pPr>
      <w:rPr>
        <w:rFonts w:ascii="Symbol" w:hAnsi="Symbol" w:hint="default"/>
      </w:rPr>
    </w:lvl>
    <w:lvl w:ilvl="7" w:tplc="F6D85872" w:tentative="1">
      <w:start w:val="1"/>
      <w:numFmt w:val="bullet"/>
      <w:lvlText w:val="o"/>
      <w:lvlJc w:val="left"/>
      <w:pPr>
        <w:ind w:left="5760" w:hanging="360"/>
      </w:pPr>
      <w:rPr>
        <w:rFonts w:ascii="Courier New" w:hAnsi="Courier New" w:cs="Courier New" w:hint="default"/>
      </w:rPr>
    </w:lvl>
    <w:lvl w:ilvl="8" w:tplc="9580DEF0"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4"/>
  </w:num>
  <w:num w:numId="4">
    <w:abstractNumId w:val="21"/>
  </w:num>
  <w:num w:numId="5">
    <w:abstractNumId w:val="22"/>
  </w:num>
  <w:num w:numId="6">
    <w:abstractNumId w:val="7"/>
  </w:num>
  <w:num w:numId="7">
    <w:abstractNumId w:val="6"/>
  </w:num>
  <w:num w:numId="8">
    <w:abstractNumId w:val="1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8"/>
  </w:num>
  <w:num w:numId="25">
    <w:abstractNumId w:val="23"/>
  </w:num>
  <w:num w:numId="26">
    <w:abstractNumId w:val="3"/>
  </w:num>
  <w:num w:numId="27">
    <w:abstractNumId w:val="3"/>
  </w:num>
  <w:num w:numId="28">
    <w:abstractNumId w:val="3"/>
  </w:num>
  <w:num w:numId="29">
    <w:abstractNumId w:val="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5"/>
  </w:num>
  <w:num w:numId="40">
    <w:abstractNumId w:val="17"/>
  </w:num>
  <w:num w:numId="41">
    <w:abstractNumId w:val="9"/>
  </w:num>
  <w:num w:numId="42">
    <w:abstractNumId w:val="4"/>
  </w:num>
  <w:num w:numId="43">
    <w:abstractNumId w:val="11"/>
  </w:num>
  <w:num w:numId="44">
    <w:abstractNumId w:val="20"/>
  </w:num>
  <w:num w:numId="45">
    <w:abstractNumId w:val="12"/>
  </w:num>
  <w:num w:numId="46">
    <w:abstractNumId w:val="16"/>
  </w:num>
  <w:num w:numId="47">
    <w:abstractNumId w:val="3"/>
  </w:num>
  <w:num w:numId="4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5"/>
    <w:rsid w:val="00001982"/>
    <w:rsid w:val="00004793"/>
    <w:rsid w:val="00012055"/>
    <w:rsid w:val="00024098"/>
    <w:rsid w:val="000269AD"/>
    <w:rsid w:val="00036273"/>
    <w:rsid w:val="000423D7"/>
    <w:rsid w:val="000524AF"/>
    <w:rsid w:val="00055215"/>
    <w:rsid w:val="00061F2D"/>
    <w:rsid w:val="00063A1E"/>
    <w:rsid w:val="000672A5"/>
    <w:rsid w:val="0007403D"/>
    <w:rsid w:val="000743E0"/>
    <w:rsid w:val="000774B1"/>
    <w:rsid w:val="000776AA"/>
    <w:rsid w:val="00082B42"/>
    <w:rsid w:val="000911AA"/>
    <w:rsid w:val="00091B2B"/>
    <w:rsid w:val="00094215"/>
    <w:rsid w:val="000961C0"/>
    <w:rsid w:val="00097241"/>
    <w:rsid w:val="00097D70"/>
    <w:rsid w:val="000A5E77"/>
    <w:rsid w:val="000A629C"/>
    <w:rsid w:val="000B51CB"/>
    <w:rsid w:val="000B539A"/>
    <w:rsid w:val="000B6591"/>
    <w:rsid w:val="000B6D2E"/>
    <w:rsid w:val="000D16C8"/>
    <w:rsid w:val="000D18F8"/>
    <w:rsid w:val="000D3149"/>
    <w:rsid w:val="000D6F7F"/>
    <w:rsid w:val="000D7274"/>
    <w:rsid w:val="000E0109"/>
    <w:rsid w:val="000E1A58"/>
    <w:rsid w:val="000E5499"/>
    <w:rsid w:val="000F4CA2"/>
    <w:rsid w:val="000F7B9E"/>
    <w:rsid w:val="0010001F"/>
    <w:rsid w:val="001001B2"/>
    <w:rsid w:val="00101C90"/>
    <w:rsid w:val="001037B6"/>
    <w:rsid w:val="00104ABB"/>
    <w:rsid w:val="0011038A"/>
    <w:rsid w:val="00116013"/>
    <w:rsid w:val="00121500"/>
    <w:rsid w:val="0012230A"/>
    <w:rsid w:val="001250DD"/>
    <w:rsid w:val="00132AB9"/>
    <w:rsid w:val="00133384"/>
    <w:rsid w:val="001333D4"/>
    <w:rsid w:val="00134F04"/>
    <w:rsid w:val="00137B45"/>
    <w:rsid w:val="0014188E"/>
    <w:rsid w:val="00144E03"/>
    <w:rsid w:val="00152CCB"/>
    <w:rsid w:val="00152F49"/>
    <w:rsid w:val="00160B67"/>
    <w:rsid w:val="00160FA4"/>
    <w:rsid w:val="00163F90"/>
    <w:rsid w:val="00164ECF"/>
    <w:rsid w:val="00176726"/>
    <w:rsid w:val="00177BD5"/>
    <w:rsid w:val="00180B67"/>
    <w:rsid w:val="00180E1C"/>
    <w:rsid w:val="001814C0"/>
    <w:rsid w:val="00187A1E"/>
    <w:rsid w:val="0019145B"/>
    <w:rsid w:val="00194D6E"/>
    <w:rsid w:val="001A0187"/>
    <w:rsid w:val="001A3992"/>
    <w:rsid w:val="001A3FDC"/>
    <w:rsid w:val="001A613B"/>
    <w:rsid w:val="001A70ED"/>
    <w:rsid w:val="001B0F42"/>
    <w:rsid w:val="001B0F8F"/>
    <w:rsid w:val="001B5F96"/>
    <w:rsid w:val="001C3265"/>
    <w:rsid w:val="001C41C3"/>
    <w:rsid w:val="001C4B3B"/>
    <w:rsid w:val="001C5761"/>
    <w:rsid w:val="001C7628"/>
    <w:rsid w:val="001D2A12"/>
    <w:rsid w:val="001D40D9"/>
    <w:rsid w:val="001D5C45"/>
    <w:rsid w:val="001E3F62"/>
    <w:rsid w:val="001F0E01"/>
    <w:rsid w:val="001F141A"/>
    <w:rsid w:val="001F15A9"/>
    <w:rsid w:val="001F690A"/>
    <w:rsid w:val="00200B68"/>
    <w:rsid w:val="00201369"/>
    <w:rsid w:val="00204DA1"/>
    <w:rsid w:val="00210065"/>
    <w:rsid w:val="0021406A"/>
    <w:rsid w:val="002245D3"/>
    <w:rsid w:val="00225C0B"/>
    <w:rsid w:val="00231604"/>
    <w:rsid w:val="00234110"/>
    <w:rsid w:val="002355E6"/>
    <w:rsid w:val="002359E1"/>
    <w:rsid w:val="002363D8"/>
    <w:rsid w:val="00240A8C"/>
    <w:rsid w:val="00242B0F"/>
    <w:rsid w:val="0024632F"/>
    <w:rsid w:val="002529FB"/>
    <w:rsid w:val="00253388"/>
    <w:rsid w:val="002549AD"/>
    <w:rsid w:val="00256116"/>
    <w:rsid w:val="00257D86"/>
    <w:rsid w:val="00263DB5"/>
    <w:rsid w:val="002703B9"/>
    <w:rsid w:val="00271470"/>
    <w:rsid w:val="00271B4D"/>
    <w:rsid w:val="00273025"/>
    <w:rsid w:val="00282972"/>
    <w:rsid w:val="00292D82"/>
    <w:rsid w:val="002949C1"/>
    <w:rsid w:val="002952CE"/>
    <w:rsid w:val="002A08A5"/>
    <w:rsid w:val="002A1983"/>
    <w:rsid w:val="002A4B3F"/>
    <w:rsid w:val="002B1EBA"/>
    <w:rsid w:val="002B2BA3"/>
    <w:rsid w:val="002B4B84"/>
    <w:rsid w:val="002B505B"/>
    <w:rsid w:val="002C171C"/>
    <w:rsid w:val="002C21E5"/>
    <w:rsid w:val="002C3FCD"/>
    <w:rsid w:val="002C47D8"/>
    <w:rsid w:val="002C6573"/>
    <w:rsid w:val="002C697C"/>
    <w:rsid w:val="002E200C"/>
    <w:rsid w:val="002E277D"/>
    <w:rsid w:val="002E46C0"/>
    <w:rsid w:val="002E7DE1"/>
    <w:rsid w:val="002F0432"/>
    <w:rsid w:val="002F3470"/>
    <w:rsid w:val="002F4DD7"/>
    <w:rsid w:val="003012AD"/>
    <w:rsid w:val="0030219F"/>
    <w:rsid w:val="00307108"/>
    <w:rsid w:val="00317701"/>
    <w:rsid w:val="00320A3C"/>
    <w:rsid w:val="00322143"/>
    <w:rsid w:val="00322F88"/>
    <w:rsid w:val="0033182E"/>
    <w:rsid w:val="003408D0"/>
    <w:rsid w:val="003422E6"/>
    <w:rsid w:val="00347645"/>
    <w:rsid w:val="00347D8E"/>
    <w:rsid w:val="00355D52"/>
    <w:rsid w:val="00362104"/>
    <w:rsid w:val="00364D09"/>
    <w:rsid w:val="00370BFA"/>
    <w:rsid w:val="00374CD4"/>
    <w:rsid w:val="00383D2B"/>
    <w:rsid w:val="003844CC"/>
    <w:rsid w:val="003914ED"/>
    <w:rsid w:val="00396DBA"/>
    <w:rsid w:val="00397450"/>
    <w:rsid w:val="003A6FB9"/>
    <w:rsid w:val="003B7364"/>
    <w:rsid w:val="003C3D90"/>
    <w:rsid w:val="003C3FB2"/>
    <w:rsid w:val="003C7DF4"/>
    <w:rsid w:val="003D0F3A"/>
    <w:rsid w:val="003D39A0"/>
    <w:rsid w:val="003D4DFC"/>
    <w:rsid w:val="003E2D91"/>
    <w:rsid w:val="003E3F40"/>
    <w:rsid w:val="003E620A"/>
    <w:rsid w:val="003F089D"/>
    <w:rsid w:val="003F6EAF"/>
    <w:rsid w:val="00401CC8"/>
    <w:rsid w:val="004032BD"/>
    <w:rsid w:val="00403409"/>
    <w:rsid w:val="004069B4"/>
    <w:rsid w:val="00407FF3"/>
    <w:rsid w:val="00410E7E"/>
    <w:rsid w:val="0042044F"/>
    <w:rsid w:val="0042364E"/>
    <w:rsid w:val="00425F6F"/>
    <w:rsid w:val="00426116"/>
    <w:rsid w:val="00430E99"/>
    <w:rsid w:val="00431ACD"/>
    <w:rsid w:val="004367AF"/>
    <w:rsid w:val="00436CC9"/>
    <w:rsid w:val="00442F4E"/>
    <w:rsid w:val="004453A5"/>
    <w:rsid w:val="00450C26"/>
    <w:rsid w:val="00452BAC"/>
    <w:rsid w:val="00462BE9"/>
    <w:rsid w:val="00462DBD"/>
    <w:rsid w:val="0046355D"/>
    <w:rsid w:val="004662CB"/>
    <w:rsid w:val="00466BF1"/>
    <w:rsid w:val="00467CCE"/>
    <w:rsid w:val="0047364B"/>
    <w:rsid w:val="00474665"/>
    <w:rsid w:val="00477BD3"/>
    <w:rsid w:val="00477C82"/>
    <w:rsid w:val="0048186F"/>
    <w:rsid w:val="00486860"/>
    <w:rsid w:val="004912BA"/>
    <w:rsid w:val="00492C20"/>
    <w:rsid w:val="004949E0"/>
    <w:rsid w:val="00494AB4"/>
    <w:rsid w:val="004A05C7"/>
    <w:rsid w:val="004A27A5"/>
    <w:rsid w:val="004A3827"/>
    <w:rsid w:val="004B293B"/>
    <w:rsid w:val="004B3B7A"/>
    <w:rsid w:val="004B54A6"/>
    <w:rsid w:val="004C0655"/>
    <w:rsid w:val="004C6026"/>
    <w:rsid w:val="004D0206"/>
    <w:rsid w:val="004D0EBB"/>
    <w:rsid w:val="004D0FD8"/>
    <w:rsid w:val="004D10D1"/>
    <w:rsid w:val="004D1F0A"/>
    <w:rsid w:val="004D5034"/>
    <w:rsid w:val="004D7EF9"/>
    <w:rsid w:val="004E33F4"/>
    <w:rsid w:val="004E4EAC"/>
    <w:rsid w:val="004E523C"/>
    <w:rsid w:val="004E695B"/>
    <w:rsid w:val="004E6BA2"/>
    <w:rsid w:val="004E7F56"/>
    <w:rsid w:val="004F0E4A"/>
    <w:rsid w:val="004F5EF5"/>
    <w:rsid w:val="004F6684"/>
    <w:rsid w:val="0050145A"/>
    <w:rsid w:val="0050212A"/>
    <w:rsid w:val="005024C1"/>
    <w:rsid w:val="00503F0A"/>
    <w:rsid w:val="0050512C"/>
    <w:rsid w:val="00505275"/>
    <w:rsid w:val="0050641B"/>
    <w:rsid w:val="00510598"/>
    <w:rsid w:val="00512BA0"/>
    <w:rsid w:val="0051371F"/>
    <w:rsid w:val="00514ED3"/>
    <w:rsid w:val="00516589"/>
    <w:rsid w:val="005208E2"/>
    <w:rsid w:val="005213C4"/>
    <w:rsid w:val="005301C6"/>
    <w:rsid w:val="0053209C"/>
    <w:rsid w:val="00534F7F"/>
    <w:rsid w:val="00543C23"/>
    <w:rsid w:val="00546EA0"/>
    <w:rsid w:val="005478CF"/>
    <w:rsid w:val="0055065C"/>
    <w:rsid w:val="005528DB"/>
    <w:rsid w:val="005536F3"/>
    <w:rsid w:val="00560D82"/>
    <w:rsid w:val="005669B4"/>
    <w:rsid w:val="00570F1B"/>
    <w:rsid w:val="005713B6"/>
    <w:rsid w:val="00571AEF"/>
    <w:rsid w:val="00583AE9"/>
    <w:rsid w:val="00584CD3"/>
    <w:rsid w:val="00584E0F"/>
    <w:rsid w:val="0059578B"/>
    <w:rsid w:val="00597627"/>
    <w:rsid w:val="005977C2"/>
    <w:rsid w:val="00597B44"/>
    <w:rsid w:val="005A019D"/>
    <w:rsid w:val="005B7374"/>
    <w:rsid w:val="005C0B29"/>
    <w:rsid w:val="005C3AF7"/>
    <w:rsid w:val="005C550E"/>
    <w:rsid w:val="005C7CE2"/>
    <w:rsid w:val="005D31DD"/>
    <w:rsid w:val="005D6C1D"/>
    <w:rsid w:val="005E0674"/>
    <w:rsid w:val="005E2145"/>
    <w:rsid w:val="005E45F5"/>
    <w:rsid w:val="005E46B6"/>
    <w:rsid w:val="005E5B7C"/>
    <w:rsid w:val="005F1E6D"/>
    <w:rsid w:val="005F3003"/>
    <w:rsid w:val="005F7C4A"/>
    <w:rsid w:val="006011B9"/>
    <w:rsid w:val="00602B94"/>
    <w:rsid w:val="00604D48"/>
    <w:rsid w:val="00613D62"/>
    <w:rsid w:val="00617A3B"/>
    <w:rsid w:val="00622269"/>
    <w:rsid w:val="0062272E"/>
    <w:rsid w:val="00622D19"/>
    <w:rsid w:val="006237F3"/>
    <w:rsid w:val="0062537C"/>
    <w:rsid w:val="006300D9"/>
    <w:rsid w:val="00630461"/>
    <w:rsid w:val="00635276"/>
    <w:rsid w:val="00635E2E"/>
    <w:rsid w:val="0064720B"/>
    <w:rsid w:val="00655722"/>
    <w:rsid w:val="0067316A"/>
    <w:rsid w:val="006755BB"/>
    <w:rsid w:val="00681452"/>
    <w:rsid w:val="00687172"/>
    <w:rsid w:val="00687745"/>
    <w:rsid w:val="006913CC"/>
    <w:rsid w:val="006936E3"/>
    <w:rsid w:val="00695F2B"/>
    <w:rsid w:val="0069628E"/>
    <w:rsid w:val="006971FE"/>
    <w:rsid w:val="006A0DB9"/>
    <w:rsid w:val="006A13B4"/>
    <w:rsid w:val="006A1D5F"/>
    <w:rsid w:val="006A2CA3"/>
    <w:rsid w:val="006A7654"/>
    <w:rsid w:val="006B2E87"/>
    <w:rsid w:val="006B335D"/>
    <w:rsid w:val="006B49F1"/>
    <w:rsid w:val="006B763A"/>
    <w:rsid w:val="006C3894"/>
    <w:rsid w:val="006C4121"/>
    <w:rsid w:val="006C5023"/>
    <w:rsid w:val="006D0C3B"/>
    <w:rsid w:val="006D2476"/>
    <w:rsid w:val="006D2947"/>
    <w:rsid w:val="006E0183"/>
    <w:rsid w:val="006F27D9"/>
    <w:rsid w:val="006F27FA"/>
    <w:rsid w:val="006F34DC"/>
    <w:rsid w:val="006F37BA"/>
    <w:rsid w:val="006F521F"/>
    <w:rsid w:val="00701D6D"/>
    <w:rsid w:val="00703FA3"/>
    <w:rsid w:val="007041B7"/>
    <w:rsid w:val="007103CF"/>
    <w:rsid w:val="007144CE"/>
    <w:rsid w:val="00717E34"/>
    <w:rsid w:val="00721C58"/>
    <w:rsid w:val="00725590"/>
    <w:rsid w:val="007322BF"/>
    <w:rsid w:val="00734065"/>
    <w:rsid w:val="0073569A"/>
    <w:rsid w:val="00736C81"/>
    <w:rsid w:val="0073720C"/>
    <w:rsid w:val="007408BC"/>
    <w:rsid w:val="00742663"/>
    <w:rsid w:val="00742B1F"/>
    <w:rsid w:val="00744556"/>
    <w:rsid w:val="00752046"/>
    <w:rsid w:val="00752090"/>
    <w:rsid w:val="007522B7"/>
    <w:rsid w:val="00756E8C"/>
    <w:rsid w:val="0076715B"/>
    <w:rsid w:val="007679AE"/>
    <w:rsid w:val="00780900"/>
    <w:rsid w:val="007815C6"/>
    <w:rsid w:val="00782C10"/>
    <w:rsid w:val="007851C4"/>
    <w:rsid w:val="007867C3"/>
    <w:rsid w:val="00790405"/>
    <w:rsid w:val="00792D07"/>
    <w:rsid w:val="00797087"/>
    <w:rsid w:val="007A06FB"/>
    <w:rsid w:val="007A29E6"/>
    <w:rsid w:val="007A7D95"/>
    <w:rsid w:val="007B1D9C"/>
    <w:rsid w:val="007B4F95"/>
    <w:rsid w:val="007B6C63"/>
    <w:rsid w:val="007C2F21"/>
    <w:rsid w:val="007C4C57"/>
    <w:rsid w:val="007C7F1F"/>
    <w:rsid w:val="007D0207"/>
    <w:rsid w:val="007D03C7"/>
    <w:rsid w:val="007D364C"/>
    <w:rsid w:val="007D3739"/>
    <w:rsid w:val="007D441C"/>
    <w:rsid w:val="007E0293"/>
    <w:rsid w:val="007F4E3E"/>
    <w:rsid w:val="007F5866"/>
    <w:rsid w:val="007F7013"/>
    <w:rsid w:val="008012E8"/>
    <w:rsid w:val="00802750"/>
    <w:rsid w:val="00804ACD"/>
    <w:rsid w:val="00804B96"/>
    <w:rsid w:val="0080786C"/>
    <w:rsid w:val="00814DA2"/>
    <w:rsid w:val="00816F90"/>
    <w:rsid w:val="00825113"/>
    <w:rsid w:val="008266FA"/>
    <w:rsid w:val="00826E56"/>
    <w:rsid w:val="00826F31"/>
    <w:rsid w:val="0083085F"/>
    <w:rsid w:val="00831A55"/>
    <w:rsid w:val="008452B5"/>
    <w:rsid w:val="00845FD6"/>
    <w:rsid w:val="008460B9"/>
    <w:rsid w:val="00854A7F"/>
    <w:rsid w:val="00854DEE"/>
    <w:rsid w:val="0086070B"/>
    <w:rsid w:val="0086319E"/>
    <w:rsid w:val="008640D7"/>
    <w:rsid w:val="00864439"/>
    <w:rsid w:val="0086543F"/>
    <w:rsid w:val="00873D0F"/>
    <w:rsid w:val="0087676F"/>
    <w:rsid w:val="00877A68"/>
    <w:rsid w:val="00881A74"/>
    <w:rsid w:val="00882375"/>
    <w:rsid w:val="00882EEE"/>
    <w:rsid w:val="00886C23"/>
    <w:rsid w:val="00891C1C"/>
    <w:rsid w:val="00894C8C"/>
    <w:rsid w:val="008A2070"/>
    <w:rsid w:val="008A3CAC"/>
    <w:rsid w:val="008A5987"/>
    <w:rsid w:val="008B2BC0"/>
    <w:rsid w:val="008C08D5"/>
    <w:rsid w:val="008C3E55"/>
    <w:rsid w:val="008C6F28"/>
    <w:rsid w:val="008D006E"/>
    <w:rsid w:val="008D5DBF"/>
    <w:rsid w:val="008D73C2"/>
    <w:rsid w:val="008E0E33"/>
    <w:rsid w:val="008E3B63"/>
    <w:rsid w:val="008E767F"/>
    <w:rsid w:val="008F0001"/>
    <w:rsid w:val="008F32BD"/>
    <w:rsid w:val="008F5EB4"/>
    <w:rsid w:val="0090397C"/>
    <w:rsid w:val="00904D67"/>
    <w:rsid w:val="00913E6C"/>
    <w:rsid w:val="00914524"/>
    <w:rsid w:val="00914CC9"/>
    <w:rsid w:val="00917479"/>
    <w:rsid w:val="00920D36"/>
    <w:rsid w:val="00921F37"/>
    <w:rsid w:val="0093488E"/>
    <w:rsid w:val="009370F8"/>
    <w:rsid w:val="009425E6"/>
    <w:rsid w:val="00942D5C"/>
    <w:rsid w:val="009466D4"/>
    <w:rsid w:val="00947725"/>
    <w:rsid w:val="00950118"/>
    <w:rsid w:val="00951E83"/>
    <w:rsid w:val="00960AAA"/>
    <w:rsid w:val="00960CD5"/>
    <w:rsid w:val="00966777"/>
    <w:rsid w:val="00972544"/>
    <w:rsid w:val="0098698F"/>
    <w:rsid w:val="0099005F"/>
    <w:rsid w:val="00995CA2"/>
    <w:rsid w:val="009A177F"/>
    <w:rsid w:val="009A4910"/>
    <w:rsid w:val="009B0A5F"/>
    <w:rsid w:val="009B1E52"/>
    <w:rsid w:val="009B319F"/>
    <w:rsid w:val="009B3D76"/>
    <w:rsid w:val="009B5405"/>
    <w:rsid w:val="009B77C6"/>
    <w:rsid w:val="009C7351"/>
    <w:rsid w:val="009D4DB8"/>
    <w:rsid w:val="009E167A"/>
    <w:rsid w:val="009E26B1"/>
    <w:rsid w:val="009E4A3A"/>
    <w:rsid w:val="009E79D0"/>
    <w:rsid w:val="009E79DF"/>
    <w:rsid w:val="00A05E57"/>
    <w:rsid w:val="00A106E1"/>
    <w:rsid w:val="00A12CF3"/>
    <w:rsid w:val="00A12ED2"/>
    <w:rsid w:val="00A1458B"/>
    <w:rsid w:val="00A15F24"/>
    <w:rsid w:val="00A22024"/>
    <w:rsid w:val="00A25D22"/>
    <w:rsid w:val="00A3094F"/>
    <w:rsid w:val="00A35A6D"/>
    <w:rsid w:val="00A41F12"/>
    <w:rsid w:val="00A4345B"/>
    <w:rsid w:val="00A46040"/>
    <w:rsid w:val="00A5103D"/>
    <w:rsid w:val="00A545EE"/>
    <w:rsid w:val="00A55A1A"/>
    <w:rsid w:val="00A62F6D"/>
    <w:rsid w:val="00A67CFF"/>
    <w:rsid w:val="00A70DB9"/>
    <w:rsid w:val="00A71F99"/>
    <w:rsid w:val="00A7268A"/>
    <w:rsid w:val="00A731C5"/>
    <w:rsid w:val="00A76249"/>
    <w:rsid w:val="00A764C9"/>
    <w:rsid w:val="00A80162"/>
    <w:rsid w:val="00A80880"/>
    <w:rsid w:val="00A86635"/>
    <w:rsid w:val="00A90A0B"/>
    <w:rsid w:val="00A92C63"/>
    <w:rsid w:val="00A9312F"/>
    <w:rsid w:val="00AA3D8C"/>
    <w:rsid w:val="00AA4223"/>
    <w:rsid w:val="00AB1085"/>
    <w:rsid w:val="00AB1C87"/>
    <w:rsid w:val="00AC288D"/>
    <w:rsid w:val="00AC2DB2"/>
    <w:rsid w:val="00AD3071"/>
    <w:rsid w:val="00AE0FA6"/>
    <w:rsid w:val="00AE5233"/>
    <w:rsid w:val="00AE5250"/>
    <w:rsid w:val="00AE559F"/>
    <w:rsid w:val="00AE5799"/>
    <w:rsid w:val="00AF56DA"/>
    <w:rsid w:val="00AF7138"/>
    <w:rsid w:val="00B14C17"/>
    <w:rsid w:val="00B15694"/>
    <w:rsid w:val="00B202BE"/>
    <w:rsid w:val="00B256F5"/>
    <w:rsid w:val="00B331B2"/>
    <w:rsid w:val="00B351F3"/>
    <w:rsid w:val="00B35F0E"/>
    <w:rsid w:val="00B43286"/>
    <w:rsid w:val="00B43EB1"/>
    <w:rsid w:val="00B46E3F"/>
    <w:rsid w:val="00B53976"/>
    <w:rsid w:val="00B55174"/>
    <w:rsid w:val="00B55554"/>
    <w:rsid w:val="00B64FBC"/>
    <w:rsid w:val="00B70363"/>
    <w:rsid w:val="00B715DC"/>
    <w:rsid w:val="00B72B0D"/>
    <w:rsid w:val="00B84D8A"/>
    <w:rsid w:val="00B870F9"/>
    <w:rsid w:val="00BA5A6A"/>
    <w:rsid w:val="00BB6E01"/>
    <w:rsid w:val="00BB6EB9"/>
    <w:rsid w:val="00BB77A7"/>
    <w:rsid w:val="00BC15B5"/>
    <w:rsid w:val="00BC25AB"/>
    <w:rsid w:val="00BC364A"/>
    <w:rsid w:val="00BC569E"/>
    <w:rsid w:val="00BD5E45"/>
    <w:rsid w:val="00BD6401"/>
    <w:rsid w:val="00BD7833"/>
    <w:rsid w:val="00BD79E4"/>
    <w:rsid w:val="00BF0A65"/>
    <w:rsid w:val="00BF0CCF"/>
    <w:rsid w:val="00BF26E7"/>
    <w:rsid w:val="00BF29A6"/>
    <w:rsid w:val="00C06231"/>
    <w:rsid w:val="00C06693"/>
    <w:rsid w:val="00C07E98"/>
    <w:rsid w:val="00C117BB"/>
    <w:rsid w:val="00C11DA1"/>
    <w:rsid w:val="00C128D0"/>
    <w:rsid w:val="00C15D97"/>
    <w:rsid w:val="00C17E39"/>
    <w:rsid w:val="00C301BA"/>
    <w:rsid w:val="00C326BF"/>
    <w:rsid w:val="00C329E5"/>
    <w:rsid w:val="00C35EC9"/>
    <w:rsid w:val="00C41EC1"/>
    <w:rsid w:val="00C43229"/>
    <w:rsid w:val="00C454EE"/>
    <w:rsid w:val="00C456D9"/>
    <w:rsid w:val="00C502F0"/>
    <w:rsid w:val="00C50969"/>
    <w:rsid w:val="00C628B2"/>
    <w:rsid w:val="00C6471B"/>
    <w:rsid w:val="00C65E61"/>
    <w:rsid w:val="00C70E35"/>
    <w:rsid w:val="00C716D6"/>
    <w:rsid w:val="00C76190"/>
    <w:rsid w:val="00C77F78"/>
    <w:rsid w:val="00C8795E"/>
    <w:rsid w:val="00C95448"/>
    <w:rsid w:val="00C9609F"/>
    <w:rsid w:val="00C960F5"/>
    <w:rsid w:val="00C971E9"/>
    <w:rsid w:val="00C97339"/>
    <w:rsid w:val="00CA5C63"/>
    <w:rsid w:val="00CA6CCF"/>
    <w:rsid w:val="00CA73C2"/>
    <w:rsid w:val="00CC2628"/>
    <w:rsid w:val="00CC3B4D"/>
    <w:rsid w:val="00CC4EC3"/>
    <w:rsid w:val="00CC5C30"/>
    <w:rsid w:val="00CC6603"/>
    <w:rsid w:val="00CD34FD"/>
    <w:rsid w:val="00CD52E2"/>
    <w:rsid w:val="00CE00B3"/>
    <w:rsid w:val="00CE1E54"/>
    <w:rsid w:val="00CE7FDE"/>
    <w:rsid w:val="00CF7743"/>
    <w:rsid w:val="00D03865"/>
    <w:rsid w:val="00D05A1C"/>
    <w:rsid w:val="00D06C8F"/>
    <w:rsid w:val="00D1125C"/>
    <w:rsid w:val="00D11722"/>
    <w:rsid w:val="00D23C17"/>
    <w:rsid w:val="00D336DB"/>
    <w:rsid w:val="00D3598A"/>
    <w:rsid w:val="00D40C15"/>
    <w:rsid w:val="00D444E7"/>
    <w:rsid w:val="00D44BA0"/>
    <w:rsid w:val="00D4577D"/>
    <w:rsid w:val="00D55037"/>
    <w:rsid w:val="00D551D0"/>
    <w:rsid w:val="00D61FB5"/>
    <w:rsid w:val="00D6464D"/>
    <w:rsid w:val="00D70581"/>
    <w:rsid w:val="00D70EC1"/>
    <w:rsid w:val="00D73AAC"/>
    <w:rsid w:val="00D775BB"/>
    <w:rsid w:val="00D81BA1"/>
    <w:rsid w:val="00D86276"/>
    <w:rsid w:val="00D9294A"/>
    <w:rsid w:val="00D93431"/>
    <w:rsid w:val="00DA036D"/>
    <w:rsid w:val="00DA1FFB"/>
    <w:rsid w:val="00DA2A6B"/>
    <w:rsid w:val="00DA6899"/>
    <w:rsid w:val="00DA79D3"/>
    <w:rsid w:val="00DB08C2"/>
    <w:rsid w:val="00DB2A2C"/>
    <w:rsid w:val="00DB30BF"/>
    <w:rsid w:val="00DC0391"/>
    <w:rsid w:val="00DC2A71"/>
    <w:rsid w:val="00DC4CFC"/>
    <w:rsid w:val="00DC5327"/>
    <w:rsid w:val="00DC5A3B"/>
    <w:rsid w:val="00DD01EC"/>
    <w:rsid w:val="00DD1FB2"/>
    <w:rsid w:val="00DD203E"/>
    <w:rsid w:val="00DD5E3E"/>
    <w:rsid w:val="00DD696E"/>
    <w:rsid w:val="00DE2723"/>
    <w:rsid w:val="00DE4636"/>
    <w:rsid w:val="00DE4B77"/>
    <w:rsid w:val="00DE6486"/>
    <w:rsid w:val="00DF52D2"/>
    <w:rsid w:val="00DF5E99"/>
    <w:rsid w:val="00DF60DE"/>
    <w:rsid w:val="00E0259B"/>
    <w:rsid w:val="00E0332F"/>
    <w:rsid w:val="00E06AEC"/>
    <w:rsid w:val="00E07E99"/>
    <w:rsid w:val="00E107AE"/>
    <w:rsid w:val="00E123A5"/>
    <w:rsid w:val="00E22710"/>
    <w:rsid w:val="00E259F9"/>
    <w:rsid w:val="00E25D6F"/>
    <w:rsid w:val="00E26ADF"/>
    <w:rsid w:val="00E363D2"/>
    <w:rsid w:val="00E42162"/>
    <w:rsid w:val="00E513F5"/>
    <w:rsid w:val="00E53412"/>
    <w:rsid w:val="00E53688"/>
    <w:rsid w:val="00E538A7"/>
    <w:rsid w:val="00E54EBF"/>
    <w:rsid w:val="00E64C6C"/>
    <w:rsid w:val="00E668E6"/>
    <w:rsid w:val="00E71F4B"/>
    <w:rsid w:val="00E74A56"/>
    <w:rsid w:val="00E7557D"/>
    <w:rsid w:val="00E756A5"/>
    <w:rsid w:val="00E762F0"/>
    <w:rsid w:val="00E90CFA"/>
    <w:rsid w:val="00E9483F"/>
    <w:rsid w:val="00E9689D"/>
    <w:rsid w:val="00EA0F95"/>
    <w:rsid w:val="00EA1D25"/>
    <w:rsid w:val="00EA7B71"/>
    <w:rsid w:val="00EB15E8"/>
    <w:rsid w:val="00EB49F8"/>
    <w:rsid w:val="00EC22B9"/>
    <w:rsid w:val="00EC60F3"/>
    <w:rsid w:val="00ED0937"/>
    <w:rsid w:val="00ED1615"/>
    <w:rsid w:val="00ED2051"/>
    <w:rsid w:val="00EE38D4"/>
    <w:rsid w:val="00EF3BE1"/>
    <w:rsid w:val="00EF4174"/>
    <w:rsid w:val="00EF47C9"/>
    <w:rsid w:val="00F0286C"/>
    <w:rsid w:val="00F05C9A"/>
    <w:rsid w:val="00F069C2"/>
    <w:rsid w:val="00F12308"/>
    <w:rsid w:val="00F1511E"/>
    <w:rsid w:val="00F207C2"/>
    <w:rsid w:val="00F21E25"/>
    <w:rsid w:val="00F26948"/>
    <w:rsid w:val="00F300E0"/>
    <w:rsid w:val="00F3039B"/>
    <w:rsid w:val="00F46F84"/>
    <w:rsid w:val="00F5065D"/>
    <w:rsid w:val="00F53476"/>
    <w:rsid w:val="00F542D5"/>
    <w:rsid w:val="00F54781"/>
    <w:rsid w:val="00F54D57"/>
    <w:rsid w:val="00F55F33"/>
    <w:rsid w:val="00F61E8B"/>
    <w:rsid w:val="00F64F0A"/>
    <w:rsid w:val="00F654B3"/>
    <w:rsid w:val="00F77B7A"/>
    <w:rsid w:val="00F80E9D"/>
    <w:rsid w:val="00F86BD7"/>
    <w:rsid w:val="00F9644E"/>
    <w:rsid w:val="00F96E6D"/>
    <w:rsid w:val="00FA046D"/>
    <w:rsid w:val="00FA1CD4"/>
    <w:rsid w:val="00FA2A1F"/>
    <w:rsid w:val="00FA6B33"/>
    <w:rsid w:val="00FB13B9"/>
    <w:rsid w:val="00FB15C5"/>
    <w:rsid w:val="00FB23E5"/>
    <w:rsid w:val="00FB39D4"/>
    <w:rsid w:val="00FB5543"/>
    <w:rsid w:val="00FB7DD3"/>
    <w:rsid w:val="00FC2300"/>
    <w:rsid w:val="00FC2B87"/>
    <w:rsid w:val="00FD05CB"/>
    <w:rsid w:val="00FD16B7"/>
    <w:rsid w:val="00FD300F"/>
    <w:rsid w:val="00FD31E1"/>
    <w:rsid w:val="00FD3E22"/>
    <w:rsid w:val="00FD4643"/>
    <w:rsid w:val="00FE0914"/>
    <w:rsid w:val="00FE43D5"/>
    <w:rsid w:val="00FE5D8E"/>
    <w:rsid w:val="00FE7DD8"/>
    <w:rsid w:val="00FF4723"/>
    <w:rsid w:val="00FF540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CFCB6CE"/>
  <w15:docId w15:val="{2BD652BA-7217-4B3B-B7DF-486FAC7A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363"/>
    <w:pPr>
      <w:spacing w:before="240" w:after="0" w:line="240" w:lineRule="auto"/>
    </w:pPr>
    <w:rPr>
      <w:rFonts w:ascii="Times New Roman" w:eastAsia="MS Mincho" w:hAnsi="Times New Roman" w:cs="Times New Roman"/>
      <w:color w:val="000000"/>
      <w:sz w:val="24"/>
      <w:szCs w:val="24"/>
      <w:lang w:val="en-US"/>
    </w:rPr>
  </w:style>
  <w:style w:type="paragraph" w:styleId="Heading1">
    <w:name w:val="heading 1"/>
    <w:next w:val="Normal"/>
    <w:link w:val="Heading1Char"/>
    <w:qFormat/>
    <w:rsid w:val="00E123A5"/>
    <w:pPr>
      <w:keepNext/>
      <w:pageBreakBefore/>
      <w:numPr>
        <w:numId w:val="9"/>
      </w:numPr>
      <w:spacing w:before="480" w:after="0" w:line="240" w:lineRule="auto"/>
      <w:outlineLvl w:val="0"/>
    </w:pPr>
    <w:rPr>
      <w:rFonts w:ascii="Arial" w:eastAsia="MS Gothic" w:hAnsi="Arial" w:cs="Arial"/>
      <w:b/>
      <w:bCs/>
      <w:caps/>
      <w:kern w:val="32"/>
      <w:sz w:val="28"/>
      <w:szCs w:val="32"/>
      <w:lang w:val="en-US"/>
    </w:rPr>
  </w:style>
  <w:style w:type="paragraph" w:styleId="Heading2">
    <w:name w:val="heading 2"/>
    <w:basedOn w:val="Heading1"/>
    <w:next w:val="Normal"/>
    <w:link w:val="Heading2Char"/>
    <w:qFormat/>
    <w:rsid w:val="00E123A5"/>
    <w:pPr>
      <w:pageBreakBefore w:val="0"/>
      <w:numPr>
        <w:ilvl w:val="1"/>
      </w:numPr>
      <w:outlineLvl w:val="1"/>
    </w:pPr>
    <w:rPr>
      <w:bCs w:val="0"/>
      <w:iCs/>
      <w:sz w:val="22"/>
      <w:szCs w:val="28"/>
    </w:rPr>
  </w:style>
  <w:style w:type="paragraph" w:styleId="Heading3">
    <w:name w:val="heading 3"/>
    <w:basedOn w:val="Heading1"/>
    <w:next w:val="Normal"/>
    <w:link w:val="Heading3Char"/>
    <w:qFormat/>
    <w:rsid w:val="00E123A5"/>
    <w:pPr>
      <w:pageBreakBefore w:val="0"/>
      <w:numPr>
        <w:ilvl w:val="2"/>
      </w:numPr>
      <w:spacing w:before="360"/>
      <w:outlineLvl w:val="2"/>
    </w:pPr>
    <w:rPr>
      <w:bCs w:val="0"/>
      <w:caps w:val="0"/>
      <w:sz w:val="22"/>
      <w:szCs w:val="26"/>
    </w:rPr>
  </w:style>
  <w:style w:type="paragraph" w:styleId="Heading4">
    <w:name w:val="heading 4"/>
    <w:basedOn w:val="Heading1"/>
    <w:next w:val="Normal"/>
    <w:link w:val="Heading4Char"/>
    <w:qFormat/>
    <w:rsid w:val="00E123A5"/>
    <w:pPr>
      <w:pageBreakBefore w:val="0"/>
      <w:numPr>
        <w:ilvl w:val="3"/>
      </w:numPr>
      <w:spacing w:before="360"/>
      <w:outlineLvl w:val="3"/>
    </w:pPr>
    <w:rPr>
      <w:bCs w:val="0"/>
      <w:i/>
      <w:caps w:val="0"/>
      <w:sz w:val="22"/>
      <w:szCs w:val="28"/>
    </w:rPr>
  </w:style>
  <w:style w:type="paragraph" w:styleId="Heading5">
    <w:name w:val="heading 5"/>
    <w:basedOn w:val="Heading1"/>
    <w:next w:val="Normal"/>
    <w:link w:val="Heading5Char"/>
    <w:qFormat/>
    <w:rsid w:val="00E123A5"/>
    <w:pPr>
      <w:pageBreakBefore w:val="0"/>
      <w:numPr>
        <w:ilvl w:val="4"/>
      </w:numPr>
      <w:spacing w:before="360"/>
      <w:outlineLvl w:val="4"/>
    </w:pPr>
    <w:rPr>
      <w:b w:val="0"/>
      <w:bCs w:val="0"/>
      <w:i/>
      <w:iCs/>
      <w:caps w:val="0"/>
      <w:sz w:val="22"/>
      <w:szCs w:val="26"/>
    </w:rPr>
  </w:style>
  <w:style w:type="paragraph" w:styleId="Heading6">
    <w:name w:val="heading 6"/>
    <w:basedOn w:val="Heading1"/>
    <w:next w:val="Normal"/>
    <w:link w:val="Heading6Char"/>
    <w:qFormat/>
    <w:rsid w:val="00E123A5"/>
    <w:pPr>
      <w:pageBreakBefore w:val="0"/>
      <w:numPr>
        <w:ilvl w:val="5"/>
      </w:numPr>
      <w:spacing w:before="360"/>
      <w:outlineLvl w:val="5"/>
    </w:pPr>
    <w:rPr>
      <w:b w:val="0"/>
      <w:bCs w:val="0"/>
      <w:caps w:val="0"/>
      <w:sz w:val="22"/>
      <w:szCs w:val="22"/>
    </w:rPr>
  </w:style>
  <w:style w:type="paragraph" w:styleId="Heading7">
    <w:name w:val="heading 7"/>
    <w:basedOn w:val="Heading6"/>
    <w:next w:val="Normal"/>
    <w:link w:val="Heading7Char"/>
    <w:qFormat/>
    <w:rsid w:val="00E123A5"/>
    <w:pPr>
      <w:numPr>
        <w:ilvl w:val="6"/>
      </w:numPr>
      <w:outlineLvl w:val="6"/>
    </w:pPr>
  </w:style>
  <w:style w:type="paragraph" w:styleId="Heading8">
    <w:name w:val="heading 8"/>
    <w:basedOn w:val="Heading6"/>
    <w:next w:val="Normal"/>
    <w:link w:val="Heading8Char"/>
    <w:qFormat/>
    <w:rsid w:val="00E123A5"/>
    <w:pPr>
      <w:numPr>
        <w:ilvl w:val="7"/>
      </w:numPr>
      <w:outlineLvl w:val="7"/>
    </w:pPr>
    <w:rPr>
      <w:iCs/>
    </w:rPr>
  </w:style>
  <w:style w:type="paragraph" w:styleId="Heading9">
    <w:name w:val="heading 9"/>
    <w:basedOn w:val="Heading6"/>
    <w:next w:val="Normal"/>
    <w:link w:val="Heading9Char"/>
    <w:qFormat/>
    <w:rsid w:val="00E123A5"/>
    <w:pPr>
      <w:numPr>
        <w:ilvl w:val="8"/>
      </w:numPr>
      <w:tabs>
        <w:tab w:val="left" w:pos="1797"/>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992"/>
    <w:rPr>
      <w:rFonts w:ascii="Arial" w:eastAsia="MS Gothic" w:hAnsi="Arial" w:cs="Arial"/>
      <w:b/>
      <w:bCs/>
      <w:caps/>
      <w:kern w:val="32"/>
      <w:sz w:val="28"/>
      <w:szCs w:val="32"/>
      <w:lang w:val="en-US"/>
    </w:rPr>
  </w:style>
  <w:style w:type="character" w:customStyle="1" w:styleId="Heading2Char">
    <w:name w:val="Heading 2 Char"/>
    <w:basedOn w:val="DefaultParagraphFont"/>
    <w:link w:val="Heading2"/>
    <w:rsid w:val="001A3992"/>
    <w:rPr>
      <w:rFonts w:ascii="Arial" w:eastAsia="MS Gothic" w:hAnsi="Arial" w:cs="Arial"/>
      <w:b/>
      <w:iCs/>
      <w:caps/>
      <w:kern w:val="32"/>
      <w:szCs w:val="28"/>
      <w:lang w:val="en-US"/>
    </w:rPr>
  </w:style>
  <w:style w:type="character" w:customStyle="1" w:styleId="Heading3Char">
    <w:name w:val="Heading 3 Char"/>
    <w:basedOn w:val="DefaultParagraphFont"/>
    <w:link w:val="Heading3"/>
    <w:rsid w:val="001A3992"/>
    <w:rPr>
      <w:rFonts w:ascii="Arial" w:eastAsia="MS Gothic" w:hAnsi="Arial" w:cs="Arial"/>
      <w:b/>
      <w:kern w:val="32"/>
      <w:szCs w:val="26"/>
      <w:lang w:val="en-US"/>
    </w:rPr>
  </w:style>
  <w:style w:type="character" w:customStyle="1" w:styleId="Heading4Char">
    <w:name w:val="Heading 4 Char"/>
    <w:basedOn w:val="DefaultParagraphFont"/>
    <w:link w:val="Heading4"/>
    <w:rsid w:val="001A3992"/>
    <w:rPr>
      <w:rFonts w:ascii="Arial" w:eastAsia="MS Gothic" w:hAnsi="Arial" w:cs="Arial"/>
      <w:b/>
      <w:i/>
      <w:kern w:val="32"/>
      <w:szCs w:val="28"/>
      <w:lang w:val="en-US"/>
    </w:rPr>
  </w:style>
  <w:style w:type="character" w:customStyle="1" w:styleId="Heading5Char">
    <w:name w:val="Heading 5 Char"/>
    <w:basedOn w:val="DefaultParagraphFont"/>
    <w:link w:val="Heading5"/>
    <w:rsid w:val="001A3992"/>
    <w:rPr>
      <w:rFonts w:ascii="Arial" w:eastAsia="MS Gothic" w:hAnsi="Arial" w:cs="Arial"/>
      <w:i/>
      <w:iCs/>
      <w:kern w:val="32"/>
      <w:szCs w:val="26"/>
      <w:lang w:val="en-US"/>
    </w:rPr>
  </w:style>
  <w:style w:type="character" w:customStyle="1" w:styleId="Heading6Char">
    <w:name w:val="Heading 6 Char"/>
    <w:basedOn w:val="DefaultParagraphFont"/>
    <w:link w:val="Heading6"/>
    <w:rsid w:val="001A3992"/>
    <w:rPr>
      <w:rFonts w:ascii="Arial" w:eastAsia="MS Gothic" w:hAnsi="Arial" w:cs="Arial"/>
      <w:kern w:val="32"/>
      <w:lang w:val="en-US"/>
    </w:rPr>
  </w:style>
  <w:style w:type="character" w:customStyle="1" w:styleId="Heading7Char">
    <w:name w:val="Heading 7 Char"/>
    <w:basedOn w:val="DefaultParagraphFont"/>
    <w:link w:val="Heading7"/>
    <w:rsid w:val="001A3992"/>
    <w:rPr>
      <w:rFonts w:ascii="Arial" w:eastAsia="MS Gothic" w:hAnsi="Arial" w:cs="Arial"/>
      <w:kern w:val="32"/>
      <w:lang w:val="en-US"/>
    </w:rPr>
  </w:style>
  <w:style w:type="character" w:customStyle="1" w:styleId="Heading8Char">
    <w:name w:val="Heading 8 Char"/>
    <w:basedOn w:val="DefaultParagraphFont"/>
    <w:link w:val="Heading8"/>
    <w:rsid w:val="001A3992"/>
    <w:rPr>
      <w:rFonts w:ascii="Arial" w:eastAsia="MS Gothic" w:hAnsi="Arial" w:cs="Arial"/>
      <w:iCs/>
      <w:kern w:val="32"/>
      <w:lang w:val="en-US"/>
    </w:rPr>
  </w:style>
  <w:style w:type="character" w:customStyle="1" w:styleId="Heading9Char">
    <w:name w:val="Heading 9 Char"/>
    <w:basedOn w:val="DefaultParagraphFont"/>
    <w:link w:val="Heading9"/>
    <w:rsid w:val="001A3992"/>
    <w:rPr>
      <w:rFonts w:ascii="Arial" w:eastAsia="MS Gothic" w:hAnsi="Arial" w:cs="Arial"/>
      <w:kern w:val="32"/>
      <w:lang w:val="en-US"/>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rsid w:val="00B70363"/>
    <w:pPr>
      <w:spacing w:before="20"/>
      <w:ind w:left="113" w:hanging="113"/>
    </w:pPr>
    <w:rPr>
      <w:sz w:val="22"/>
      <w:szCs w:val="20"/>
    </w:rPr>
  </w:style>
  <w:style w:type="character" w:customStyle="1" w:styleId="FootnoteTextChar">
    <w:name w:val="Footnote Text Char"/>
    <w:basedOn w:val="DefaultParagraphFont"/>
    <w:link w:val="FootnoteText"/>
    <w:rsid w:val="001A3992"/>
    <w:rPr>
      <w:rFonts w:ascii="Times New Roman" w:eastAsia="MS Mincho" w:hAnsi="Times New Roman" w:cs="Times New Roman"/>
      <w:color w:val="000000"/>
      <w:szCs w:val="20"/>
      <w:lang w:val="en-US"/>
    </w:rPr>
  </w:style>
  <w:style w:type="character" w:styleId="FootnoteReference">
    <w:name w:val="footnote reference"/>
    <w:rsid w:val="00B70363"/>
    <w:rPr>
      <w:rFonts w:ascii="Times New Roman" w:eastAsia="MS Mincho" w:hAnsi="Times New Roman"/>
      <w:color w:val="0000FF"/>
      <w:sz w:val="18"/>
      <w:vertAlign w:val="superscript"/>
    </w:rPr>
  </w:style>
  <w:style w:type="paragraph" w:styleId="ListBullet">
    <w:name w:val="List Bullet"/>
    <w:basedOn w:val="Normal"/>
    <w:rsid w:val="00B70363"/>
    <w:pPr>
      <w:numPr>
        <w:numId w:val="6"/>
      </w:numPr>
    </w:pPr>
  </w:style>
  <w:style w:type="character" w:styleId="Hyperlink">
    <w:name w:val="Hyperlink"/>
    <w:uiPriority w:val="99"/>
    <w:rsid w:val="00B70363"/>
    <w:rPr>
      <w:color w:val="0000FF"/>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link w:val="FooterChar"/>
    <w:rsid w:val="00B70363"/>
    <w:pPr>
      <w:tabs>
        <w:tab w:val="right" w:pos="9469"/>
      </w:tabs>
      <w:spacing w:after="0" w:line="240" w:lineRule="auto"/>
    </w:pPr>
    <w:rPr>
      <w:rFonts w:ascii="Arial" w:eastAsia="MS Gothic" w:hAnsi="Arial" w:cs="Times New Roman"/>
      <w:sz w:val="18"/>
      <w:szCs w:val="20"/>
      <w:lang w:val="en-US"/>
    </w:rPr>
  </w:style>
  <w:style w:type="character" w:customStyle="1" w:styleId="FooterChar">
    <w:name w:val="Footer Char"/>
    <w:basedOn w:val="DefaultParagraphFont"/>
    <w:link w:val="Footer"/>
    <w:rsid w:val="001A3992"/>
    <w:rPr>
      <w:rFonts w:ascii="Arial" w:eastAsia="MS Gothic" w:hAnsi="Arial" w:cs="Times New Roman"/>
      <w:sz w:val="18"/>
      <w:szCs w:val="20"/>
      <w:lang w:val="en-US"/>
    </w:rPr>
  </w:style>
  <w:style w:type="paragraph" w:styleId="BalloonText">
    <w:name w:val="Balloon Text"/>
    <w:basedOn w:val="Normal"/>
    <w:link w:val="BalloonTextChar"/>
    <w:uiPriority w:val="99"/>
    <w:semiHidden/>
    <w:unhideWhenUsed/>
    <w:rsid w:val="001A3992"/>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link w:val="HeaderChar"/>
    <w:rsid w:val="00B70363"/>
    <w:pPr>
      <w:tabs>
        <w:tab w:val="left" w:pos="4536"/>
        <w:tab w:val="right" w:pos="9480"/>
      </w:tabs>
      <w:spacing w:after="0" w:line="240" w:lineRule="auto"/>
    </w:pPr>
    <w:rPr>
      <w:rFonts w:ascii="Arial" w:eastAsia="MS Gothic" w:hAnsi="Arial" w:cs="Times New Roman"/>
      <w:sz w:val="18"/>
      <w:szCs w:val="20"/>
      <w:lang w:val="en-US"/>
    </w:rPr>
  </w:style>
  <w:style w:type="character" w:customStyle="1" w:styleId="HeaderChar">
    <w:name w:val="Header Char"/>
    <w:basedOn w:val="DefaultParagraphFont"/>
    <w:link w:val="Header"/>
    <w:rsid w:val="00CA6CCF"/>
    <w:rPr>
      <w:rFonts w:ascii="Arial" w:eastAsia="MS Gothic" w:hAnsi="Arial" w:cs="Times New Roman"/>
      <w:sz w:val="18"/>
      <w:szCs w:val="20"/>
      <w:lang w:val="en-US"/>
    </w:rPr>
  </w:style>
  <w:style w:type="paragraph" w:customStyle="1" w:styleId="wcpTableContent">
    <w:name w:val="wcp_TableContent"/>
    <w:basedOn w:val="Normal"/>
    <w:rsid w:val="00C301BA"/>
    <w:pPr>
      <w:spacing w:before="40" w:after="40"/>
    </w:pPr>
    <w:rPr>
      <w:rFonts w:eastAsia="Times New Roman"/>
      <w:szCs w:val="20"/>
    </w:rPr>
  </w:style>
  <w:style w:type="paragraph" w:styleId="BodyTextIndent2">
    <w:name w:val="Body Text Indent 2"/>
    <w:basedOn w:val="Normal"/>
    <w:link w:val="BodyTextIndent2Char"/>
    <w:rsid w:val="000E1A58"/>
    <w:pPr>
      <w:ind w:left="567"/>
      <w:jc w:val="both"/>
    </w:pPr>
    <w:rPr>
      <w:rFonts w:ascii="Arial" w:eastAsia="Times New Roman" w:hAnsi="Arial"/>
      <w:szCs w:val="20"/>
      <w:lang w:val="en-GB"/>
    </w:rPr>
  </w:style>
  <w:style w:type="character" w:customStyle="1" w:styleId="BodyTextIndent2Char">
    <w:name w:val="Body Text Indent 2 Char"/>
    <w:basedOn w:val="DefaultParagraphFont"/>
    <w:link w:val="BodyTextIndent2"/>
    <w:rsid w:val="000E1A58"/>
    <w:rPr>
      <w:rFonts w:ascii="Arial" w:eastAsia="Times New Roman" w:hAnsi="Arial" w:cs="Times New Roman"/>
      <w:sz w:val="24"/>
      <w:szCs w:val="20"/>
      <w:lang w:val="en-GB"/>
    </w:rPr>
  </w:style>
  <w:style w:type="paragraph" w:styleId="BodyText">
    <w:name w:val="Body Text"/>
    <w:basedOn w:val="Normal"/>
    <w:link w:val="BodyTextChar"/>
    <w:uiPriority w:val="99"/>
    <w:semiHidden/>
    <w:unhideWhenUsed/>
    <w:rsid w:val="000E1A58"/>
    <w:pPr>
      <w:spacing w:after="120"/>
    </w:pPr>
  </w:style>
  <w:style w:type="character" w:customStyle="1" w:styleId="BodyTextChar">
    <w:name w:val="Body Text Char"/>
    <w:basedOn w:val="DefaultParagraphFont"/>
    <w:link w:val="BodyText"/>
    <w:uiPriority w:val="99"/>
    <w:semiHidden/>
    <w:rsid w:val="000E1A58"/>
  </w:style>
  <w:style w:type="paragraph" w:styleId="BodyText3">
    <w:name w:val="Body Text 3"/>
    <w:basedOn w:val="Normal"/>
    <w:link w:val="BodyText3Char"/>
    <w:uiPriority w:val="99"/>
    <w:semiHidden/>
    <w:unhideWhenUsed/>
    <w:rsid w:val="00514ED3"/>
    <w:pPr>
      <w:spacing w:after="120"/>
    </w:pPr>
    <w:rPr>
      <w:sz w:val="16"/>
      <w:szCs w:val="16"/>
    </w:rPr>
  </w:style>
  <w:style w:type="character" w:customStyle="1" w:styleId="BodyText3Char">
    <w:name w:val="Body Text 3 Char"/>
    <w:basedOn w:val="DefaultParagraphFont"/>
    <w:link w:val="BodyText3"/>
    <w:uiPriority w:val="99"/>
    <w:semiHidden/>
    <w:rsid w:val="00514ED3"/>
    <w:rPr>
      <w:sz w:val="16"/>
      <w:szCs w:val="16"/>
    </w:rPr>
  </w:style>
  <w:style w:type="paragraph" w:customStyle="1" w:styleId="Heading1NoTOC">
    <w:name w:val="Heading 1 NoTOC"/>
    <w:basedOn w:val="Heading1"/>
    <w:rsid w:val="00B70363"/>
    <w:pPr>
      <w:numPr>
        <w:numId w:val="0"/>
      </w:numPr>
      <w:outlineLvl w:val="9"/>
    </w:pPr>
  </w:style>
  <w:style w:type="paragraph" w:styleId="Title">
    <w:name w:val="Title"/>
    <w:next w:val="Normal"/>
    <w:link w:val="TitleChar"/>
    <w:qFormat/>
    <w:rsid w:val="00B70363"/>
    <w:pPr>
      <w:keepNext/>
      <w:spacing w:before="600" w:after="480" w:line="240" w:lineRule="auto"/>
      <w:jc w:val="center"/>
      <w:outlineLvl w:val="0"/>
    </w:pPr>
    <w:rPr>
      <w:rFonts w:ascii="Arial" w:eastAsia="MS Gothic" w:hAnsi="Arial" w:cs="Arial"/>
      <w:b/>
      <w:bCs/>
      <w:caps/>
      <w:szCs w:val="32"/>
      <w:lang w:val="en-US"/>
    </w:rPr>
  </w:style>
  <w:style w:type="character" w:customStyle="1" w:styleId="TitleChar">
    <w:name w:val="Title Char"/>
    <w:basedOn w:val="DefaultParagraphFont"/>
    <w:link w:val="Title"/>
    <w:rsid w:val="00C971E9"/>
    <w:rPr>
      <w:rFonts w:ascii="Arial" w:eastAsia="MS Gothic" w:hAnsi="Arial" w:cs="Arial"/>
      <w:b/>
      <w:bCs/>
      <w:caps/>
      <w:szCs w:val="32"/>
      <w:lang w:val="en-US"/>
    </w:rPr>
  </w:style>
  <w:style w:type="paragraph" w:customStyle="1" w:styleId="TitleNoToc">
    <w:name w:val="Title NoToc"/>
    <w:basedOn w:val="Title"/>
    <w:next w:val="Normal"/>
    <w:rsid w:val="00B70363"/>
    <w:pPr>
      <w:outlineLvl w:val="9"/>
    </w:pPr>
  </w:style>
  <w:style w:type="character" w:customStyle="1" w:styleId="InstructionsTextChar">
    <w:name w:val="Instructions Text Char"/>
    <w:link w:val="InstructionsText"/>
    <w:rsid w:val="00B70363"/>
    <w:rPr>
      <w:rFonts w:eastAsia="MS Mincho"/>
      <w:color w:val="000000"/>
      <w:sz w:val="24"/>
      <w:szCs w:val="24"/>
      <w:shd w:val="clear" w:color="auto" w:fill="FFCC66"/>
      <w:lang w:val="en-US"/>
    </w:rPr>
  </w:style>
  <w:style w:type="paragraph" w:customStyle="1" w:styleId="ListNumbered">
    <w:name w:val="List Numbered"/>
    <w:basedOn w:val="Normal"/>
    <w:rsid w:val="00B70363"/>
    <w:pPr>
      <w:numPr>
        <w:numId w:val="4"/>
      </w:numPr>
      <w:spacing w:before="120"/>
    </w:pPr>
  </w:style>
  <w:style w:type="paragraph" w:customStyle="1" w:styleId="ListBulletLevel1">
    <w:name w:val="List Bullet Level 1"/>
    <w:basedOn w:val="Normal"/>
    <w:rsid w:val="00B70363"/>
    <w:pPr>
      <w:tabs>
        <w:tab w:val="num" w:pos="680"/>
      </w:tabs>
      <w:spacing w:before="120"/>
      <w:ind w:left="680" w:hanging="680"/>
    </w:pPr>
  </w:style>
  <w:style w:type="paragraph" w:customStyle="1" w:styleId="ListAlphabeticalLevel1">
    <w:name w:val="List Alphabetical Level 1"/>
    <w:basedOn w:val="Normal"/>
    <w:rsid w:val="00B70363"/>
    <w:pPr>
      <w:numPr>
        <w:numId w:val="3"/>
      </w:numPr>
      <w:spacing w:before="120"/>
    </w:pPr>
  </w:style>
  <w:style w:type="paragraph" w:styleId="Bibliography">
    <w:name w:val="Bibliography"/>
    <w:basedOn w:val="Normal"/>
    <w:next w:val="Normal"/>
    <w:rsid w:val="00B70363"/>
    <w:pPr>
      <w:ind w:left="357" w:hanging="357"/>
    </w:pPr>
  </w:style>
  <w:style w:type="paragraph" w:customStyle="1" w:styleId="ListBulletLevel2">
    <w:name w:val="List Bullet Level 2"/>
    <w:basedOn w:val="Normal"/>
    <w:rsid w:val="00B70363"/>
    <w:pPr>
      <w:numPr>
        <w:numId w:val="8"/>
      </w:numPr>
      <w:spacing w:before="120"/>
    </w:pPr>
    <w:rPr>
      <w:szCs w:val="20"/>
    </w:rPr>
  </w:style>
  <w:style w:type="paragraph" w:styleId="Caption">
    <w:name w:val="caption"/>
    <w:next w:val="Normal"/>
    <w:link w:val="CaptionChar"/>
    <w:qFormat/>
    <w:rsid w:val="00B70363"/>
    <w:pPr>
      <w:keepNext/>
      <w:spacing w:before="360" w:after="120" w:line="240" w:lineRule="auto"/>
      <w:jc w:val="center"/>
    </w:pPr>
    <w:rPr>
      <w:rFonts w:ascii="Arial" w:eastAsia="MS Gothic" w:hAnsi="Arial" w:cs="Arial"/>
      <w:b/>
      <w:bCs/>
      <w:sz w:val="20"/>
      <w:szCs w:val="20"/>
      <w:lang w:val="en-US"/>
    </w:rPr>
  </w:style>
  <w:style w:type="paragraph" w:customStyle="1" w:styleId="InstructionsText">
    <w:name w:val="Instructions Text"/>
    <w:basedOn w:val="Normal"/>
    <w:next w:val="Normal"/>
    <w:link w:val="InstructionsTextChar"/>
    <w:rsid w:val="00B70363"/>
    <w:pPr>
      <w:shd w:val="clear" w:color="auto" w:fill="FFCC66"/>
      <w:spacing w:before="40" w:after="40"/>
    </w:pPr>
    <w:rPr>
      <w:rFonts w:asciiTheme="minorHAnsi" w:hAnsiTheme="minorHAnsi" w:cstheme="minorBidi"/>
    </w:rPr>
  </w:style>
  <w:style w:type="paragraph" w:customStyle="1" w:styleId="Heading1NoNumbering">
    <w:name w:val="Heading 1 NoNumbering"/>
    <w:basedOn w:val="Heading1"/>
    <w:next w:val="Normal"/>
    <w:rsid w:val="00B70363"/>
    <w:pPr>
      <w:numPr>
        <w:numId w:val="0"/>
      </w:numPr>
      <w:tabs>
        <w:tab w:val="num" w:pos="680"/>
      </w:tabs>
      <w:ind w:left="680" w:hanging="680"/>
    </w:pPr>
  </w:style>
  <w:style w:type="paragraph" w:customStyle="1" w:styleId="TblTextCenter">
    <w:name w:val="Tbl Text Center"/>
    <w:basedOn w:val="TblTextLeft"/>
    <w:rsid w:val="00B70363"/>
    <w:pPr>
      <w:jc w:val="center"/>
    </w:pPr>
  </w:style>
  <w:style w:type="paragraph" w:customStyle="1" w:styleId="TblTextLeft">
    <w:name w:val="Tbl Text Left"/>
    <w:rsid w:val="00B70363"/>
    <w:pPr>
      <w:spacing w:before="60" w:after="60" w:line="240" w:lineRule="auto"/>
    </w:pPr>
    <w:rPr>
      <w:rFonts w:ascii="Arial Narrow" w:eastAsia="MS Gothic" w:hAnsi="Arial Narrow" w:cs="Times New Roman"/>
      <w:sz w:val="20"/>
      <w:szCs w:val="20"/>
      <w:lang w:val="en-US"/>
    </w:rPr>
  </w:style>
  <w:style w:type="paragraph" w:customStyle="1" w:styleId="TblHeadingLeft">
    <w:name w:val="Tbl Heading Left"/>
    <w:rsid w:val="00B70363"/>
    <w:pPr>
      <w:spacing w:before="60" w:after="60" w:line="240" w:lineRule="auto"/>
    </w:pPr>
    <w:rPr>
      <w:rFonts w:ascii="Arial" w:eastAsia="MS Gothic" w:hAnsi="Arial" w:cs="Arial"/>
      <w:b/>
      <w:noProof/>
      <w:sz w:val="20"/>
      <w:szCs w:val="20"/>
      <w:lang w:val="de-DE"/>
    </w:rPr>
  </w:style>
  <w:style w:type="paragraph" w:customStyle="1" w:styleId="TblFigFootnote">
    <w:name w:val="Tbl Fig Footnote"/>
    <w:rsid w:val="00B70363"/>
    <w:pPr>
      <w:keepLines/>
      <w:adjustRightInd w:val="0"/>
      <w:snapToGrid w:val="0"/>
      <w:spacing w:before="20" w:after="20" w:line="240" w:lineRule="auto"/>
    </w:pPr>
    <w:rPr>
      <w:rFonts w:ascii="Arial Narrow" w:eastAsia="MS Gothic" w:hAnsi="Arial Narrow" w:cs="Times New Roman"/>
      <w:sz w:val="18"/>
      <w:szCs w:val="20"/>
      <w:lang w:val="en-US"/>
    </w:rPr>
  </w:style>
  <w:style w:type="paragraph" w:customStyle="1" w:styleId="TblHeadingCenter">
    <w:name w:val="Tbl Heading Center"/>
    <w:basedOn w:val="TblHeadingLeft"/>
    <w:rsid w:val="00B70363"/>
    <w:pPr>
      <w:jc w:val="center"/>
    </w:pPr>
  </w:style>
  <w:style w:type="paragraph" w:customStyle="1" w:styleId="HeaderLandscape">
    <w:name w:val="Header Landscape"/>
    <w:basedOn w:val="Header"/>
    <w:rsid w:val="00B70363"/>
    <w:pPr>
      <w:tabs>
        <w:tab w:val="clear" w:pos="4536"/>
        <w:tab w:val="clear" w:pos="9480"/>
        <w:tab w:val="left" w:pos="6804"/>
        <w:tab w:val="right" w:pos="14118"/>
      </w:tabs>
    </w:pPr>
  </w:style>
  <w:style w:type="paragraph" w:customStyle="1" w:styleId="FooterLandscape">
    <w:name w:val="Footer Landscape"/>
    <w:basedOn w:val="Footer"/>
    <w:rsid w:val="00B70363"/>
    <w:pPr>
      <w:tabs>
        <w:tab w:val="clear" w:pos="9469"/>
        <w:tab w:val="right" w:pos="14118"/>
      </w:tabs>
    </w:pPr>
  </w:style>
  <w:style w:type="character" w:customStyle="1" w:styleId="TblFigFootnoteReference">
    <w:name w:val="Tbl Fig Footnote Reference"/>
    <w:rsid w:val="00B70363"/>
    <w:rPr>
      <w:rFonts w:ascii="Arial Narrow" w:eastAsia="MS Gothic" w:hAnsi="Arial Narrow"/>
      <w:i/>
      <w:dstrike w:val="0"/>
      <w:noProof w:val="0"/>
      <w:position w:val="6"/>
      <w:sz w:val="18"/>
      <w:vertAlign w:val="baseline"/>
      <w:lang w:val="en-US"/>
    </w:rPr>
  </w:style>
  <w:style w:type="paragraph" w:customStyle="1" w:styleId="xCover">
    <w:name w:val="xCover"/>
    <w:rsid w:val="00B70363"/>
    <w:pPr>
      <w:spacing w:before="120" w:after="0" w:line="240" w:lineRule="auto"/>
    </w:pPr>
    <w:rPr>
      <w:rFonts w:ascii="Arial" w:eastAsia="MS Gothic" w:hAnsi="Arial" w:cs="Times New Roman"/>
      <w:sz w:val="20"/>
      <w:szCs w:val="20"/>
      <w:lang w:val="en-US"/>
    </w:rPr>
  </w:style>
  <w:style w:type="paragraph" w:customStyle="1" w:styleId="xCoverAddress">
    <w:name w:val="xCoverAddress"/>
    <w:basedOn w:val="xCover"/>
    <w:rsid w:val="00B70363"/>
    <w:pPr>
      <w:spacing w:before="0"/>
    </w:pPr>
  </w:style>
  <w:style w:type="paragraph" w:customStyle="1" w:styleId="xCoverDocType">
    <w:name w:val="xCoverDocType"/>
    <w:basedOn w:val="xCover"/>
    <w:rsid w:val="00B70363"/>
    <w:pPr>
      <w:spacing w:before="360"/>
      <w:jc w:val="center"/>
    </w:pPr>
    <w:rPr>
      <w:b/>
      <w:caps/>
      <w:sz w:val="28"/>
    </w:rPr>
  </w:style>
  <w:style w:type="paragraph" w:customStyle="1" w:styleId="xCoverDocTitle">
    <w:name w:val="xCoverDocTitle"/>
    <w:basedOn w:val="xCover"/>
    <w:rsid w:val="00B70363"/>
    <w:pPr>
      <w:spacing w:before="240"/>
      <w:jc w:val="center"/>
    </w:pPr>
    <w:rPr>
      <w:b/>
      <w:sz w:val="24"/>
    </w:rPr>
  </w:style>
  <w:style w:type="paragraph" w:styleId="EndnoteText">
    <w:name w:val="endnote text"/>
    <w:basedOn w:val="Normal"/>
    <w:link w:val="EndnoteTextChar"/>
    <w:rsid w:val="00B70363"/>
    <w:rPr>
      <w:sz w:val="22"/>
      <w:szCs w:val="20"/>
    </w:rPr>
  </w:style>
  <w:style w:type="character" w:customStyle="1" w:styleId="EndnoteTextChar">
    <w:name w:val="Endnote Text Char"/>
    <w:basedOn w:val="DefaultParagraphFont"/>
    <w:link w:val="EndnoteText"/>
    <w:rsid w:val="00C971E9"/>
    <w:rPr>
      <w:rFonts w:ascii="Times New Roman" w:eastAsia="MS Mincho" w:hAnsi="Times New Roman" w:cs="Times New Roman"/>
      <w:color w:val="000000"/>
      <w:szCs w:val="20"/>
      <w:lang w:val="en-US"/>
    </w:rPr>
  </w:style>
  <w:style w:type="character" w:styleId="EndnoteReference">
    <w:name w:val="endnote reference"/>
    <w:rsid w:val="00B70363"/>
    <w:rPr>
      <w:vertAlign w:val="superscript"/>
    </w:rPr>
  </w:style>
  <w:style w:type="paragraph" w:styleId="MacroText">
    <w:name w:val="macro"/>
    <w:link w:val="MacroTextChar"/>
    <w:semiHidden/>
    <w:rsid w:val="00B7036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US"/>
    </w:rPr>
  </w:style>
  <w:style w:type="character" w:customStyle="1" w:styleId="MacroTextChar">
    <w:name w:val="Macro Text Char"/>
    <w:basedOn w:val="DefaultParagraphFont"/>
    <w:link w:val="MacroText"/>
    <w:semiHidden/>
    <w:rsid w:val="00C971E9"/>
    <w:rPr>
      <w:rFonts w:ascii="Courier New" w:eastAsia="Times New Roman" w:hAnsi="Courier New" w:cs="Times New Roman"/>
      <w:sz w:val="20"/>
      <w:szCs w:val="20"/>
      <w:lang w:val="en-US"/>
    </w:rPr>
  </w:style>
  <w:style w:type="paragraph" w:styleId="TableofFigures">
    <w:name w:val="table of figures"/>
    <w:next w:val="Normal"/>
    <w:semiHidden/>
    <w:rsid w:val="00B70363"/>
    <w:pPr>
      <w:tabs>
        <w:tab w:val="right" w:leader="dot" w:pos="9468"/>
      </w:tabs>
      <w:spacing w:before="120" w:after="0" w:line="240" w:lineRule="auto"/>
    </w:pPr>
    <w:rPr>
      <w:rFonts w:ascii="Arial" w:eastAsia="Times New Roman" w:hAnsi="Arial" w:cs="Times New Roman"/>
      <w:sz w:val="20"/>
      <w:szCs w:val="20"/>
      <w:lang w:val="en-US"/>
    </w:rPr>
  </w:style>
  <w:style w:type="paragraph" w:styleId="TableofAuthorities">
    <w:name w:val="table of authorities"/>
    <w:basedOn w:val="Normal"/>
    <w:next w:val="Normal"/>
    <w:semiHidden/>
    <w:rsid w:val="00B70363"/>
    <w:pPr>
      <w:ind w:left="240" w:hanging="240"/>
    </w:pPr>
  </w:style>
  <w:style w:type="character" w:customStyle="1" w:styleId="ReplaceText">
    <w:name w:val="Replace Text"/>
    <w:rsid w:val="00B70363"/>
    <w:rPr>
      <w:color w:val="FF00FF"/>
    </w:rPr>
  </w:style>
  <w:style w:type="paragraph" w:styleId="TOC1">
    <w:name w:val="toc 1"/>
    <w:next w:val="Normal"/>
    <w:uiPriority w:val="39"/>
    <w:rsid w:val="00B70363"/>
    <w:pPr>
      <w:tabs>
        <w:tab w:val="right" w:leader="dot" w:pos="9468"/>
      </w:tabs>
      <w:spacing w:before="240" w:after="0" w:line="240" w:lineRule="auto"/>
      <w:ind w:left="851" w:right="567" w:hanging="851"/>
    </w:pPr>
    <w:rPr>
      <w:rFonts w:ascii="Arial" w:eastAsia="Times New Roman" w:hAnsi="Arial" w:cs="Times New Roman"/>
      <w:b/>
      <w:caps/>
      <w:sz w:val="20"/>
      <w:szCs w:val="20"/>
      <w:lang w:val="en-US"/>
    </w:rPr>
  </w:style>
  <w:style w:type="paragraph" w:customStyle="1" w:styleId="ListAlphabeticalLevel2">
    <w:name w:val="List Alphabetical Level 2"/>
    <w:basedOn w:val="ListNumbered"/>
    <w:rsid w:val="00B70363"/>
    <w:pPr>
      <w:numPr>
        <w:numId w:val="5"/>
      </w:numPr>
    </w:pPr>
  </w:style>
  <w:style w:type="paragraph" w:styleId="Index1">
    <w:name w:val="index 1"/>
    <w:basedOn w:val="Normal"/>
    <w:next w:val="Normal"/>
    <w:semiHidden/>
    <w:rsid w:val="00B70363"/>
    <w:pPr>
      <w:tabs>
        <w:tab w:val="left" w:pos="1701"/>
        <w:tab w:val="left" w:pos="3402"/>
        <w:tab w:val="left" w:pos="5103"/>
      </w:tabs>
      <w:spacing w:before="0"/>
      <w:ind w:left="1701" w:hanging="1701"/>
    </w:pPr>
  </w:style>
  <w:style w:type="paragraph" w:styleId="TOAHeading">
    <w:name w:val="toa heading"/>
    <w:basedOn w:val="Normal"/>
    <w:next w:val="Normal"/>
    <w:semiHidden/>
    <w:rsid w:val="00B70363"/>
    <w:pPr>
      <w:spacing w:before="120"/>
    </w:pPr>
    <w:rPr>
      <w:rFonts w:ascii="Arial" w:hAnsi="Arial" w:cs="Arial"/>
      <w:b/>
      <w:bCs/>
    </w:rPr>
  </w:style>
  <w:style w:type="character" w:customStyle="1" w:styleId="Reference">
    <w:name w:val="Reference"/>
    <w:rsid w:val="00B70363"/>
    <w:rPr>
      <w:color w:val="0000FF"/>
    </w:rPr>
  </w:style>
  <w:style w:type="paragraph" w:customStyle="1" w:styleId="TblTextbulletedlist">
    <w:name w:val="Tbl Text bulleted list"/>
    <w:basedOn w:val="TblTextLeft"/>
    <w:rsid w:val="00B70363"/>
    <w:pPr>
      <w:tabs>
        <w:tab w:val="left" w:pos="216"/>
        <w:tab w:val="num" w:pos="680"/>
      </w:tabs>
      <w:spacing w:before="0" w:after="0"/>
      <w:ind w:left="216" w:hanging="216"/>
    </w:pPr>
  </w:style>
  <w:style w:type="paragraph" w:styleId="TOC2">
    <w:name w:val="toc 2"/>
    <w:basedOn w:val="TOC1"/>
    <w:next w:val="Normal"/>
    <w:semiHidden/>
    <w:rsid w:val="00B70363"/>
    <w:rPr>
      <w:b w:val="0"/>
    </w:rPr>
  </w:style>
  <w:style w:type="character" w:styleId="PageNumber">
    <w:name w:val="page number"/>
    <w:basedOn w:val="DefaultParagraphFont"/>
    <w:rsid w:val="00B70363"/>
  </w:style>
  <w:style w:type="paragraph" w:styleId="TOC3">
    <w:name w:val="toc 3"/>
    <w:basedOn w:val="TOC1"/>
    <w:next w:val="Normal"/>
    <w:semiHidden/>
    <w:rsid w:val="00B70363"/>
    <w:pPr>
      <w:spacing w:before="120"/>
    </w:pPr>
    <w:rPr>
      <w:b w:val="0"/>
      <w:caps w:val="0"/>
    </w:rPr>
  </w:style>
  <w:style w:type="paragraph" w:styleId="TOC4">
    <w:name w:val="toc 4"/>
    <w:basedOn w:val="TOC1"/>
    <w:next w:val="Normal"/>
    <w:semiHidden/>
    <w:rsid w:val="00B70363"/>
    <w:pPr>
      <w:spacing w:before="40"/>
    </w:pPr>
    <w:rPr>
      <w:b w:val="0"/>
      <w:caps w:val="0"/>
      <w:szCs w:val="22"/>
    </w:rPr>
  </w:style>
  <w:style w:type="paragraph" w:styleId="TOC5">
    <w:name w:val="toc 5"/>
    <w:basedOn w:val="TOC1"/>
    <w:next w:val="Normal"/>
    <w:semiHidden/>
    <w:rsid w:val="00B70363"/>
    <w:pPr>
      <w:spacing w:before="0"/>
    </w:pPr>
    <w:rPr>
      <w:b w:val="0"/>
      <w:caps w:val="0"/>
    </w:rPr>
  </w:style>
  <w:style w:type="paragraph" w:styleId="TOC6">
    <w:name w:val="toc 6"/>
    <w:basedOn w:val="TOC1"/>
    <w:next w:val="Normal"/>
    <w:semiHidden/>
    <w:rsid w:val="00B70363"/>
    <w:pPr>
      <w:spacing w:before="0"/>
    </w:pPr>
    <w:rPr>
      <w:b w:val="0"/>
      <w:caps w:val="0"/>
    </w:rPr>
  </w:style>
  <w:style w:type="paragraph" w:styleId="TOC7">
    <w:name w:val="toc 7"/>
    <w:basedOn w:val="TOC6"/>
    <w:next w:val="Normal"/>
    <w:semiHidden/>
    <w:rsid w:val="00B70363"/>
  </w:style>
  <w:style w:type="paragraph" w:styleId="TOC8">
    <w:name w:val="toc 8"/>
    <w:basedOn w:val="TOC6"/>
    <w:next w:val="Normal"/>
    <w:semiHidden/>
    <w:rsid w:val="00B70363"/>
  </w:style>
  <w:style w:type="paragraph" w:styleId="TOC9">
    <w:name w:val="toc 9"/>
    <w:basedOn w:val="TOC6"/>
    <w:next w:val="Normal"/>
    <w:semiHidden/>
    <w:rsid w:val="00B70363"/>
  </w:style>
  <w:style w:type="character" w:customStyle="1" w:styleId="TblFigFootnoteChar">
    <w:name w:val="Tbl Fig Footnote Char"/>
    <w:rsid w:val="00B70363"/>
    <w:rPr>
      <w:rFonts w:ascii="Arial Narrow" w:eastAsia="MS Gothic" w:hAnsi="Arial Narrow"/>
      <w:sz w:val="18"/>
      <w:lang w:val="en-US" w:eastAsia="en-US" w:bidi="ar-SA"/>
    </w:rPr>
  </w:style>
  <w:style w:type="character" w:styleId="FollowedHyperlink">
    <w:name w:val="FollowedHyperlink"/>
    <w:rsid w:val="00B70363"/>
    <w:rPr>
      <w:color w:val="800080"/>
      <w:u w:val="single"/>
    </w:rPr>
  </w:style>
  <w:style w:type="paragraph" w:styleId="BodyText2">
    <w:name w:val="Body Text 2"/>
    <w:basedOn w:val="Normal"/>
    <w:link w:val="BodyText2Char"/>
    <w:uiPriority w:val="99"/>
    <w:unhideWhenUsed/>
    <w:rsid w:val="00BC364A"/>
    <w:pPr>
      <w:spacing w:after="120" w:line="480" w:lineRule="auto"/>
    </w:pPr>
  </w:style>
  <w:style w:type="character" w:customStyle="1" w:styleId="BodyText2Char">
    <w:name w:val="Body Text 2 Char"/>
    <w:basedOn w:val="DefaultParagraphFont"/>
    <w:link w:val="BodyText2"/>
    <w:uiPriority w:val="99"/>
    <w:rsid w:val="00BC364A"/>
    <w:rPr>
      <w:rFonts w:ascii="Times New Roman" w:eastAsia="MS Mincho" w:hAnsi="Times New Roman" w:cs="Times New Roman"/>
      <w:color w:val="000000"/>
      <w:sz w:val="24"/>
      <w:szCs w:val="24"/>
      <w:lang w:val="en-US"/>
    </w:rPr>
  </w:style>
  <w:style w:type="paragraph" w:customStyle="1" w:styleId="wcpTableColHeader">
    <w:name w:val="wcp_TableColHeader"/>
    <w:basedOn w:val="Normal"/>
    <w:rsid w:val="000911AA"/>
    <w:pPr>
      <w:keepNext/>
      <w:spacing w:before="120" w:after="120"/>
      <w:jc w:val="center"/>
    </w:pPr>
    <w:rPr>
      <w:rFonts w:eastAsia="Times New Roman"/>
      <w:b/>
      <w:color w:val="auto"/>
      <w:sz w:val="22"/>
      <w:szCs w:val="20"/>
    </w:rPr>
  </w:style>
  <w:style w:type="character" w:customStyle="1" w:styleId="apple-converted-space">
    <w:name w:val="apple-converted-space"/>
    <w:basedOn w:val="DefaultParagraphFont"/>
    <w:rsid w:val="00CA73C2"/>
  </w:style>
  <w:style w:type="paragraph" w:styleId="CommentSubject">
    <w:name w:val="annotation subject"/>
    <w:basedOn w:val="CommentText"/>
    <w:next w:val="CommentText"/>
    <w:link w:val="CommentSubjectChar"/>
    <w:uiPriority w:val="99"/>
    <w:semiHidden/>
    <w:unhideWhenUsed/>
    <w:rsid w:val="00F12308"/>
    <w:rPr>
      <w:rFonts w:ascii="Times New Roman" w:hAnsi="Times New Roman"/>
      <w:b/>
      <w:bCs/>
    </w:rPr>
  </w:style>
  <w:style w:type="character" w:customStyle="1" w:styleId="CommentSubjectChar">
    <w:name w:val="Comment Subject Char"/>
    <w:basedOn w:val="CommentTextChar"/>
    <w:link w:val="CommentSubject"/>
    <w:uiPriority w:val="99"/>
    <w:semiHidden/>
    <w:rsid w:val="00F12308"/>
    <w:rPr>
      <w:rFonts w:ascii="Times New Roman" w:eastAsia="MS Mincho" w:hAnsi="Times New Roman" w:cs="Times New Roman"/>
      <w:b/>
      <w:bCs/>
      <w:color w:val="000000"/>
      <w:sz w:val="20"/>
      <w:szCs w:val="20"/>
      <w:lang w:val="en-US"/>
    </w:rPr>
  </w:style>
  <w:style w:type="paragraph" w:customStyle="1" w:styleId="C-BodyText">
    <w:name w:val="C-Body Text"/>
    <w:link w:val="C-BodyTextChar"/>
    <w:rsid w:val="00A80162"/>
    <w:pPr>
      <w:spacing w:before="120" w:after="120" w:line="280" w:lineRule="atLeast"/>
    </w:pPr>
    <w:rPr>
      <w:rFonts w:ascii="Times New Roman" w:eastAsia="Times New Roman" w:hAnsi="Times New Roman" w:cs="Times New Roman"/>
      <w:sz w:val="24"/>
      <w:szCs w:val="20"/>
      <w:lang w:val="en-US"/>
    </w:rPr>
  </w:style>
  <w:style w:type="character" w:customStyle="1" w:styleId="C-BodyTextChar">
    <w:name w:val="C-Body Text Char"/>
    <w:link w:val="C-BodyText"/>
    <w:rsid w:val="00A80162"/>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7D3739"/>
    <w:pPr>
      <w:autoSpaceDE w:val="0"/>
      <w:autoSpaceDN w:val="0"/>
      <w:adjustRightInd w:val="0"/>
      <w:spacing w:before="0"/>
    </w:pPr>
    <w:rPr>
      <w:rFonts w:eastAsia="Times New Roman"/>
      <w:color w:val="auto"/>
      <w:lang w:eastAsia="en-AU"/>
    </w:rPr>
  </w:style>
  <w:style w:type="character" w:customStyle="1" w:styleId="C-TableCallout">
    <w:name w:val="C-Table Callout"/>
    <w:rsid w:val="00721C58"/>
    <w:rPr>
      <w:rFonts w:ascii="Times New Roman" w:hAnsi="Times New Roman" w:cs="Times New Roman" w:hint="default"/>
      <w:strike w:val="0"/>
      <w:dstrike w:val="0"/>
      <w:color w:val="auto"/>
      <w:spacing w:val="0"/>
      <w:w w:val="100"/>
      <w:position w:val="-1"/>
      <w:sz w:val="22"/>
      <w:szCs w:val="22"/>
      <w:u w:val="none"/>
      <w:effect w:val="none"/>
      <w:vertAlign w:val="superscript"/>
      <w:em w:val="none"/>
    </w:rPr>
  </w:style>
  <w:style w:type="paragraph" w:customStyle="1" w:styleId="Default">
    <w:name w:val="Default"/>
    <w:rsid w:val="006C5023"/>
    <w:pPr>
      <w:autoSpaceDE w:val="0"/>
      <w:autoSpaceDN w:val="0"/>
      <w:adjustRightInd w:val="0"/>
      <w:spacing w:after="0" w:line="240" w:lineRule="auto"/>
    </w:pPr>
    <w:rPr>
      <w:rFonts w:ascii="Cambria" w:hAnsi="Cambria" w:cs="Cambria"/>
      <w:color w:val="000000"/>
      <w:sz w:val="24"/>
      <w:szCs w:val="24"/>
    </w:rPr>
  </w:style>
  <w:style w:type="character" w:customStyle="1" w:styleId="CaptionChar">
    <w:name w:val="Caption Char"/>
    <w:link w:val="Caption"/>
    <w:rsid w:val="00752046"/>
    <w:rPr>
      <w:rFonts w:ascii="Arial" w:eastAsia="MS Gothic" w:hAnsi="Arial" w:cs="Arial"/>
      <w:b/>
      <w:bCs/>
      <w:sz w:val="20"/>
      <w:szCs w:val="20"/>
      <w:lang w:val="en-US"/>
    </w:rPr>
  </w:style>
  <w:style w:type="paragraph" w:customStyle="1" w:styleId="C-Footnote">
    <w:name w:val="C-Footnote"/>
    <w:basedOn w:val="Normal"/>
    <w:qFormat/>
    <w:rsid w:val="00752046"/>
    <w:pPr>
      <w:tabs>
        <w:tab w:val="left" w:pos="144"/>
      </w:tabs>
      <w:spacing w:before="0"/>
    </w:pPr>
    <w:rPr>
      <w:rFonts w:eastAsia="Times New Roman" w:cs="Arial"/>
      <w:color w:val="auto"/>
      <w:sz w:val="20"/>
      <w:szCs w:val="20"/>
    </w:rPr>
  </w:style>
  <w:style w:type="character" w:customStyle="1" w:styleId="C-Hyperlink">
    <w:name w:val="C-Hyperlink"/>
    <w:rsid w:val="00D05A1C"/>
    <w:rPr>
      <w:color w:val="0000FF"/>
    </w:rPr>
  </w:style>
  <w:style w:type="paragraph" w:styleId="Revision">
    <w:name w:val="Revision"/>
    <w:hidden/>
    <w:uiPriority w:val="99"/>
    <w:semiHidden/>
    <w:rsid w:val="00D1125C"/>
    <w:pPr>
      <w:spacing w:after="0" w:line="240" w:lineRule="auto"/>
    </w:pPr>
    <w:rPr>
      <w:rFonts w:ascii="Times New Roman" w:eastAsia="MS Mincho" w:hAnsi="Times New Roman" w:cs="Times New Roman"/>
      <w:color w:val="000000"/>
      <w:sz w:val="24"/>
      <w:szCs w:val="24"/>
      <w:lang w:val="en-US"/>
    </w:rPr>
  </w:style>
  <w:style w:type="table" w:styleId="TableGrid">
    <w:name w:val="Table Grid"/>
    <w:basedOn w:val="TableNormal"/>
    <w:uiPriority w:val="59"/>
    <w:rsid w:val="00364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E26B1"/>
    <w:rPr>
      <w:color w:val="808080"/>
    </w:rPr>
  </w:style>
  <w:style w:type="character" w:styleId="UnresolvedMention">
    <w:name w:val="Unresolved Mention"/>
    <w:basedOn w:val="DefaultParagraphFont"/>
    <w:uiPriority w:val="99"/>
    <w:semiHidden/>
    <w:unhideWhenUsed/>
    <w:rsid w:val="009B5405"/>
    <w:rPr>
      <w:color w:val="605E5C"/>
      <w:shd w:val="clear" w:color="auto" w:fill="E1DFDD"/>
    </w:rPr>
  </w:style>
  <w:style w:type="paragraph" w:customStyle="1" w:styleId="C-TableText">
    <w:name w:val="C-Table Text"/>
    <w:link w:val="C-TableTextChar"/>
    <w:rsid w:val="00BA5A6A"/>
    <w:pPr>
      <w:spacing w:before="60" w:after="60" w:line="240" w:lineRule="auto"/>
    </w:pPr>
    <w:rPr>
      <w:rFonts w:ascii="Times New Roman" w:eastAsia="Times New Roman" w:hAnsi="Times New Roman" w:cs="Times New Roman"/>
      <w:szCs w:val="20"/>
      <w:lang w:val="en-US"/>
    </w:rPr>
  </w:style>
  <w:style w:type="character" w:customStyle="1" w:styleId="C-TableTextChar">
    <w:name w:val="C-Table Text Char"/>
    <w:link w:val="C-TableText"/>
    <w:rsid w:val="00BA5A6A"/>
    <w:rPr>
      <w:rFonts w:ascii="Times New Roman" w:eastAsia="Times New Roman" w:hAnsi="Times New Roman" w:cs="Times New Roman"/>
      <w:szCs w:val="20"/>
      <w:lang w:val="en-US"/>
    </w:rPr>
  </w:style>
  <w:style w:type="paragraph" w:customStyle="1" w:styleId="C-TableHeader">
    <w:name w:val="C-Table Header"/>
    <w:next w:val="C-TableText"/>
    <w:rsid w:val="00BA5A6A"/>
    <w:pPr>
      <w:keepNext/>
      <w:spacing w:before="60" w:after="60" w:line="240" w:lineRule="auto"/>
    </w:pPr>
    <w:rPr>
      <w:rFonts w:ascii="Times New Roman" w:eastAsia="Times New Roman" w:hAnsi="Times New Roman" w:cs="Times New Roman"/>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2858">
      <w:bodyDiv w:val="1"/>
      <w:marLeft w:val="0"/>
      <w:marRight w:val="0"/>
      <w:marTop w:val="0"/>
      <w:marBottom w:val="0"/>
      <w:divBdr>
        <w:top w:val="none" w:sz="0" w:space="0" w:color="auto"/>
        <w:left w:val="none" w:sz="0" w:space="0" w:color="auto"/>
        <w:bottom w:val="none" w:sz="0" w:space="0" w:color="auto"/>
        <w:right w:val="none" w:sz="0" w:space="0" w:color="auto"/>
      </w:divBdr>
    </w:div>
    <w:div w:id="72774688">
      <w:bodyDiv w:val="1"/>
      <w:marLeft w:val="0"/>
      <w:marRight w:val="0"/>
      <w:marTop w:val="0"/>
      <w:marBottom w:val="0"/>
      <w:divBdr>
        <w:top w:val="none" w:sz="0" w:space="0" w:color="auto"/>
        <w:left w:val="none" w:sz="0" w:space="0" w:color="auto"/>
        <w:bottom w:val="none" w:sz="0" w:space="0" w:color="auto"/>
        <w:right w:val="none" w:sz="0" w:space="0" w:color="auto"/>
      </w:divBdr>
    </w:div>
    <w:div w:id="318658512">
      <w:bodyDiv w:val="1"/>
      <w:marLeft w:val="0"/>
      <w:marRight w:val="0"/>
      <w:marTop w:val="0"/>
      <w:marBottom w:val="0"/>
      <w:divBdr>
        <w:top w:val="none" w:sz="0" w:space="0" w:color="auto"/>
        <w:left w:val="none" w:sz="0" w:space="0" w:color="auto"/>
        <w:bottom w:val="none" w:sz="0" w:space="0" w:color="auto"/>
        <w:right w:val="none" w:sz="0" w:space="0" w:color="auto"/>
      </w:divBdr>
    </w:div>
    <w:div w:id="397673856">
      <w:bodyDiv w:val="1"/>
      <w:marLeft w:val="0"/>
      <w:marRight w:val="0"/>
      <w:marTop w:val="0"/>
      <w:marBottom w:val="0"/>
      <w:divBdr>
        <w:top w:val="none" w:sz="0" w:space="0" w:color="auto"/>
        <w:left w:val="none" w:sz="0" w:space="0" w:color="auto"/>
        <w:bottom w:val="none" w:sz="0" w:space="0" w:color="auto"/>
        <w:right w:val="none" w:sz="0" w:space="0" w:color="auto"/>
      </w:divBdr>
    </w:div>
    <w:div w:id="664405498">
      <w:bodyDiv w:val="1"/>
      <w:marLeft w:val="0"/>
      <w:marRight w:val="0"/>
      <w:marTop w:val="0"/>
      <w:marBottom w:val="0"/>
      <w:divBdr>
        <w:top w:val="none" w:sz="0" w:space="0" w:color="auto"/>
        <w:left w:val="none" w:sz="0" w:space="0" w:color="auto"/>
        <w:bottom w:val="none" w:sz="0" w:space="0" w:color="auto"/>
        <w:right w:val="none" w:sz="0" w:space="0" w:color="auto"/>
      </w:divBdr>
    </w:div>
    <w:div w:id="741147252">
      <w:bodyDiv w:val="1"/>
      <w:marLeft w:val="0"/>
      <w:marRight w:val="0"/>
      <w:marTop w:val="0"/>
      <w:marBottom w:val="0"/>
      <w:divBdr>
        <w:top w:val="none" w:sz="0" w:space="0" w:color="auto"/>
        <w:left w:val="none" w:sz="0" w:space="0" w:color="auto"/>
        <w:bottom w:val="none" w:sz="0" w:space="0" w:color="auto"/>
        <w:right w:val="none" w:sz="0" w:space="0" w:color="auto"/>
      </w:divBdr>
    </w:div>
    <w:div w:id="799030710">
      <w:bodyDiv w:val="1"/>
      <w:marLeft w:val="0"/>
      <w:marRight w:val="0"/>
      <w:marTop w:val="0"/>
      <w:marBottom w:val="0"/>
      <w:divBdr>
        <w:top w:val="none" w:sz="0" w:space="0" w:color="auto"/>
        <w:left w:val="none" w:sz="0" w:space="0" w:color="auto"/>
        <w:bottom w:val="none" w:sz="0" w:space="0" w:color="auto"/>
        <w:right w:val="none" w:sz="0" w:space="0" w:color="auto"/>
      </w:divBdr>
    </w:div>
    <w:div w:id="806749133">
      <w:bodyDiv w:val="1"/>
      <w:marLeft w:val="0"/>
      <w:marRight w:val="0"/>
      <w:marTop w:val="0"/>
      <w:marBottom w:val="0"/>
      <w:divBdr>
        <w:top w:val="none" w:sz="0" w:space="0" w:color="auto"/>
        <w:left w:val="none" w:sz="0" w:space="0" w:color="auto"/>
        <w:bottom w:val="none" w:sz="0" w:space="0" w:color="auto"/>
        <w:right w:val="none" w:sz="0" w:space="0" w:color="auto"/>
      </w:divBdr>
    </w:div>
    <w:div w:id="918438871">
      <w:bodyDiv w:val="1"/>
      <w:marLeft w:val="0"/>
      <w:marRight w:val="0"/>
      <w:marTop w:val="0"/>
      <w:marBottom w:val="0"/>
      <w:divBdr>
        <w:top w:val="none" w:sz="0" w:space="0" w:color="auto"/>
        <w:left w:val="none" w:sz="0" w:space="0" w:color="auto"/>
        <w:bottom w:val="none" w:sz="0" w:space="0" w:color="auto"/>
        <w:right w:val="none" w:sz="0" w:space="0" w:color="auto"/>
      </w:divBdr>
    </w:div>
    <w:div w:id="1427075374">
      <w:bodyDiv w:val="1"/>
      <w:marLeft w:val="0"/>
      <w:marRight w:val="0"/>
      <w:marTop w:val="0"/>
      <w:marBottom w:val="0"/>
      <w:divBdr>
        <w:top w:val="none" w:sz="0" w:space="0" w:color="auto"/>
        <w:left w:val="none" w:sz="0" w:space="0" w:color="auto"/>
        <w:bottom w:val="none" w:sz="0" w:space="0" w:color="auto"/>
        <w:right w:val="none" w:sz="0" w:space="0" w:color="auto"/>
      </w:divBdr>
    </w:div>
    <w:div w:id="1524175329">
      <w:bodyDiv w:val="1"/>
      <w:marLeft w:val="0"/>
      <w:marRight w:val="0"/>
      <w:marTop w:val="0"/>
      <w:marBottom w:val="0"/>
      <w:divBdr>
        <w:top w:val="none" w:sz="0" w:space="0" w:color="auto"/>
        <w:left w:val="none" w:sz="0" w:space="0" w:color="auto"/>
        <w:bottom w:val="none" w:sz="0" w:space="0" w:color="auto"/>
        <w:right w:val="none" w:sz="0" w:space="0" w:color="auto"/>
      </w:divBdr>
    </w:div>
    <w:div w:id="1526482328">
      <w:bodyDiv w:val="1"/>
      <w:marLeft w:val="0"/>
      <w:marRight w:val="0"/>
      <w:marTop w:val="0"/>
      <w:marBottom w:val="0"/>
      <w:divBdr>
        <w:top w:val="none" w:sz="0" w:space="0" w:color="auto"/>
        <w:left w:val="none" w:sz="0" w:space="0" w:color="auto"/>
        <w:bottom w:val="none" w:sz="0" w:space="0" w:color="auto"/>
        <w:right w:val="none" w:sz="0" w:space="0" w:color="auto"/>
      </w:divBdr>
    </w:div>
    <w:div w:id="1966498620">
      <w:bodyDiv w:val="1"/>
      <w:marLeft w:val="0"/>
      <w:marRight w:val="0"/>
      <w:marTop w:val="0"/>
      <w:marBottom w:val="0"/>
      <w:divBdr>
        <w:top w:val="none" w:sz="0" w:space="0" w:color="auto"/>
        <w:left w:val="none" w:sz="0" w:space="0" w:color="auto"/>
        <w:bottom w:val="none" w:sz="0" w:space="0" w:color="auto"/>
        <w:right w:val="none" w:sz="0" w:space="0" w:color="auto"/>
      </w:divBdr>
    </w:div>
    <w:div w:id="21123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reporting-problem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tga.gov.au/reportingproblems"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0403139.PHARMA\OneDrive%20-%20Sanofi\Desktop\templates\domasys\DOMASYS_Stand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6A904-B0DA-49F3-B7EE-8C0EEC94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DOMASYS_Standard.dot</Template>
  <TotalTime>14</TotalTime>
  <Pages>59</Pages>
  <Words>17516</Words>
  <Characters>99842</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Sanofi-Aventis Australia Pty Ltd</Company>
  <LinksUpToDate>false</LinksUpToDate>
  <CharactersWithSpaces>117124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Dupilumab</dc:title>
  <dc:subject>prescription medicines</dc:subject>
  <dc:creator>Sanofi-Aventis Australia Pty Ltd</dc:creator>
  <cp:lastModifiedBy>KOLARIK-OREILLY, Kristy</cp:lastModifiedBy>
  <cp:revision>8</cp:revision>
  <cp:lastPrinted>2018-04-12T02:21:00Z</cp:lastPrinted>
  <dcterms:created xsi:type="dcterms:W3CDTF">2021-08-18T03:03:00Z</dcterms:created>
  <dcterms:modified xsi:type="dcterms:W3CDTF">2022-05-04T05:27:00Z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Type of Document</vt:lpwstr>
  </property>
  <property fmtid="{D5CDD505-2E9C-101B-9397-08002B2CF9AE}" pid="3" name="INN">
    <vt:lpwstr>INN</vt:lpwstr>
  </property>
  <property fmtid="{D5CDD505-2E9C-101B-9397-08002B2CF9AE}" pid="4" name="Date">
    <vt:lpwstr>Date</vt:lpwstr>
  </property>
  <property fmtid="{D5CDD505-2E9C-101B-9397-08002B2CF9AE}" pid="5" name="Product Code">
    <vt:lpwstr>Product Code / Study Number</vt:lpwstr>
  </property>
  <property fmtid="{D5CDD505-2E9C-101B-9397-08002B2CF9AE}" pid="6" name="LastRefNum">
    <vt:i4>0</vt:i4>
  </property>
  <property fmtid="{D5CDD505-2E9C-101B-9397-08002B2CF9AE}" pid="7" name="https">
    <vt:lpwstr>1</vt:lpwstr>
  </property>
  <property fmtid="{D5CDD505-2E9C-101B-9397-08002B2CF9AE}" pid="8" name="_NewReviewCycle">
    <vt:lpwstr/>
  </property>
  <property fmtid="{D5CDD505-2E9C-101B-9397-08002B2CF9AE}" pid="9" name="Custom1">
    <vt:lpwstr/>
  </property>
  <property fmtid="{D5CDD505-2E9C-101B-9397-08002B2CF9AE}" pid="10" name="Custom2">
    <vt:lpwstr/>
  </property>
  <property fmtid="{D5CDD505-2E9C-101B-9397-08002B2CF9AE}" pid="11" name="Custom3">
    <vt:lpwstr/>
  </property>
  <property fmtid="{D5CDD505-2E9C-101B-9397-08002B2CF9AE}" pid="12" name="Custom4">
    <vt:lpwstr/>
  </property>
</Properties>
</file>