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822968" w14:paraId="5DC1AE03" w14:textId="77777777" w:rsidTr="00BF1190">
        <w:trPr>
          <w:trHeight w:val="1863"/>
        </w:trPr>
        <w:tc>
          <w:tcPr>
            <w:tcW w:w="3652" w:type="dxa"/>
            <w:tcBorders>
              <w:top w:val="nil"/>
              <w:left w:val="nil"/>
              <w:bottom w:val="nil"/>
              <w:right w:val="nil"/>
            </w:tcBorders>
          </w:tcPr>
          <w:p w14:paraId="29A944D0" w14:textId="7D72C3F0" w:rsidR="008E7846" w:rsidRPr="00822968" w:rsidRDefault="00EB1ED4" w:rsidP="00096AA7">
            <w:pPr>
              <w:rPr>
                <w:rFonts w:ascii="Arial" w:hAnsi="Arial" w:cs="Arial"/>
                <w:b/>
                <w:color w:val="002C47"/>
                <w:sz w:val="36"/>
                <w:szCs w:val="36"/>
              </w:rPr>
            </w:pPr>
            <w:r>
              <w:rPr>
                <w:rFonts w:ascii="Arial" w:hAnsi="Arial" w:cs="Arial"/>
                <w:b/>
                <w:color w:val="002C47"/>
                <w:sz w:val="36"/>
                <w:szCs w:val="36"/>
              </w:rPr>
              <w:t>April</w:t>
            </w:r>
            <w:r w:rsidRPr="00822968">
              <w:rPr>
                <w:rFonts w:ascii="Arial" w:hAnsi="Arial" w:cs="Arial"/>
                <w:b/>
                <w:color w:val="002C47"/>
                <w:sz w:val="36"/>
                <w:szCs w:val="36"/>
              </w:rPr>
              <w:t xml:space="preserve"> </w:t>
            </w:r>
            <w:r w:rsidR="00716463" w:rsidRPr="00822968">
              <w:rPr>
                <w:rFonts w:ascii="Arial" w:hAnsi="Arial" w:cs="Arial"/>
                <w:b/>
                <w:color w:val="002C47"/>
                <w:sz w:val="36"/>
                <w:szCs w:val="36"/>
              </w:rPr>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822968" w14:paraId="55DA4A5D" w14:textId="77777777" w:rsidTr="0032583B">
        <w:trPr>
          <w:trHeight w:val="868"/>
        </w:trPr>
        <w:tc>
          <w:tcPr>
            <w:tcW w:w="9079" w:type="dxa"/>
          </w:tcPr>
          <w:p w14:paraId="6A3D89BF" w14:textId="7DEE72C4" w:rsidR="0032583B" w:rsidRPr="00822968" w:rsidRDefault="0032583B" w:rsidP="00460036">
            <w:pPr>
              <w:pStyle w:val="Title"/>
              <w:rPr>
                <w:color w:val="FFFFFF" w:themeColor="background1"/>
              </w:rPr>
            </w:pPr>
            <w:r w:rsidRPr="00822968">
              <w:rPr>
                <w:color w:val="FFFFFF" w:themeColor="background1"/>
              </w:rPr>
              <w:t xml:space="preserve">Australian Public Assessment Report for </w:t>
            </w:r>
            <w:r w:rsidR="00555B12" w:rsidRPr="00822968">
              <w:rPr>
                <w:color w:val="FFFFFF" w:themeColor="background1"/>
              </w:rPr>
              <w:t>Dupilumab</w:t>
            </w:r>
          </w:p>
        </w:tc>
      </w:tr>
      <w:tr w:rsidR="0032583B" w:rsidRPr="00822968" w14:paraId="35F53CB4" w14:textId="77777777" w:rsidTr="0032583B">
        <w:tc>
          <w:tcPr>
            <w:tcW w:w="9079" w:type="dxa"/>
          </w:tcPr>
          <w:p w14:paraId="3263B3CB" w14:textId="78997BD4" w:rsidR="0032583B" w:rsidRPr="00822968" w:rsidRDefault="0032583B" w:rsidP="00460036">
            <w:pPr>
              <w:pStyle w:val="Subtitle"/>
              <w:rPr>
                <w:color w:val="FFFFFF" w:themeColor="background1"/>
              </w:rPr>
            </w:pPr>
            <w:r w:rsidRPr="00822968">
              <w:rPr>
                <w:color w:val="FFFFFF" w:themeColor="background1"/>
              </w:rPr>
              <w:t xml:space="preserve">Proprietary Product Name: </w:t>
            </w:r>
            <w:r w:rsidR="00555B12" w:rsidRPr="00822968">
              <w:rPr>
                <w:color w:val="FFFFFF" w:themeColor="background1"/>
              </w:rPr>
              <w:t>Dupixent</w:t>
            </w:r>
          </w:p>
        </w:tc>
      </w:tr>
      <w:tr w:rsidR="0032583B" w:rsidRPr="00822968" w14:paraId="0C92BBD5" w14:textId="77777777" w:rsidTr="0032583B">
        <w:trPr>
          <w:trHeight w:val="486"/>
        </w:trPr>
        <w:tc>
          <w:tcPr>
            <w:tcW w:w="9079" w:type="dxa"/>
          </w:tcPr>
          <w:p w14:paraId="1C268395" w14:textId="65D1DF7C" w:rsidR="0032583B" w:rsidRPr="00822968" w:rsidRDefault="00460036" w:rsidP="0032583B">
            <w:pPr>
              <w:pStyle w:val="Subtitle"/>
              <w:rPr>
                <w:color w:val="FFFFFF" w:themeColor="background1"/>
              </w:rPr>
            </w:pPr>
            <w:r w:rsidRPr="00822968">
              <w:rPr>
                <w:color w:val="FFFFFF" w:themeColor="background1"/>
              </w:rPr>
              <w:t xml:space="preserve">Sponsor: </w:t>
            </w:r>
            <w:r w:rsidR="00944682" w:rsidRPr="00822968">
              <w:rPr>
                <w:color w:val="FFFFFF" w:themeColor="background1"/>
              </w:rPr>
              <w:t>Sanofi-Aventis Australia Pty Ltd</w:t>
            </w:r>
          </w:p>
        </w:tc>
      </w:tr>
    </w:tbl>
    <w:p w14:paraId="743C7F8A" w14:textId="77777777" w:rsidR="008E7846" w:rsidRPr="00822968" w:rsidRDefault="008E7846" w:rsidP="0085156D">
      <w:r w:rsidRPr="00822968">
        <w:br w:type="page"/>
      </w:r>
    </w:p>
    <w:p w14:paraId="4FF5D4EE" w14:textId="77777777" w:rsidR="008E7846" w:rsidRPr="00822968" w:rsidRDefault="008E7846" w:rsidP="008E7846">
      <w:pPr>
        <w:pStyle w:val="NonTOCHeading2"/>
      </w:pPr>
      <w:r w:rsidRPr="00822968">
        <w:lastRenderedPageBreak/>
        <w:t>About the Therapeutic Goods Administration (TGA)</w:t>
      </w:r>
    </w:p>
    <w:p w14:paraId="24F69BC9" w14:textId="77777777" w:rsidR="008E7846" w:rsidRPr="00822968" w:rsidRDefault="008E7846" w:rsidP="008E7846">
      <w:pPr>
        <w:pStyle w:val="ListBullet"/>
        <w:numPr>
          <w:ilvl w:val="0"/>
          <w:numId w:val="3"/>
        </w:numPr>
        <w:ind w:left="357" w:hanging="357"/>
      </w:pPr>
      <w:r w:rsidRPr="00822968">
        <w:t xml:space="preserve">The Therapeutic Goods Administration (TGA) is </w:t>
      </w:r>
      <w:r w:rsidR="00E624A5" w:rsidRPr="00822968">
        <w:t xml:space="preserve">part </w:t>
      </w:r>
      <w:r w:rsidRPr="00822968">
        <w:t>of the Australian Government Department of Health and is responsible for regulating medicines and medical devices.</w:t>
      </w:r>
    </w:p>
    <w:p w14:paraId="23C32206" w14:textId="77777777" w:rsidR="008E7846" w:rsidRPr="00822968" w:rsidRDefault="00C80137" w:rsidP="008E7846">
      <w:pPr>
        <w:pStyle w:val="ListBullet"/>
        <w:numPr>
          <w:ilvl w:val="0"/>
          <w:numId w:val="3"/>
        </w:numPr>
        <w:ind w:left="357" w:hanging="357"/>
      </w:pPr>
      <w:r w:rsidRPr="00822968">
        <w:t xml:space="preserve">The </w:t>
      </w:r>
      <w:r w:rsidR="008E7846" w:rsidRPr="00822968">
        <w:t xml:space="preserve">TGA administers the </w:t>
      </w:r>
      <w:r w:rsidR="008E7846" w:rsidRPr="00822968">
        <w:rPr>
          <w:i/>
        </w:rPr>
        <w:t>Therapeutic Goods Act 1989</w:t>
      </w:r>
      <w:r w:rsidR="00785717" w:rsidRPr="00822968">
        <w:rPr>
          <w:i/>
        </w:rPr>
        <w:t xml:space="preserve"> </w:t>
      </w:r>
      <w:r w:rsidR="00785717" w:rsidRPr="00822968">
        <w:t>(the Act)</w:t>
      </w:r>
      <w:r w:rsidR="008E7846" w:rsidRPr="00822968">
        <w:t>, applying a risk management approach designed to ensure therapeutic goods supplied in Australia meet acceptable standards of quality, safety and efficacy (performance) when necessary.</w:t>
      </w:r>
    </w:p>
    <w:p w14:paraId="0FFCF5E8" w14:textId="77777777" w:rsidR="008E7846" w:rsidRPr="00822968" w:rsidRDefault="008E7846" w:rsidP="008E7846">
      <w:pPr>
        <w:pStyle w:val="ListBullet"/>
        <w:numPr>
          <w:ilvl w:val="0"/>
          <w:numId w:val="3"/>
        </w:numPr>
        <w:ind w:left="357" w:hanging="357"/>
      </w:pPr>
      <w:r w:rsidRPr="00822968">
        <w:t>The work of the TGA is based on applying scientific and clinical expertise to decision-making, to ensure that the benefits to consumers outweigh any risks associated with the use of medicines and medical devices.</w:t>
      </w:r>
    </w:p>
    <w:p w14:paraId="767281D2" w14:textId="77777777" w:rsidR="008E7846" w:rsidRPr="00822968" w:rsidRDefault="008E7846" w:rsidP="008E7846">
      <w:pPr>
        <w:pStyle w:val="ListBullet"/>
        <w:numPr>
          <w:ilvl w:val="0"/>
          <w:numId w:val="3"/>
        </w:numPr>
        <w:ind w:left="357" w:hanging="357"/>
      </w:pPr>
      <w:r w:rsidRPr="00822968">
        <w:t>The TGA relies on the public, healthcare professionals and industry to report problems with medicines or medical devices. TGA investigates reports received by it to determine any necessary regulatory action.</w:t>
      </w:r>
    </w:p>
    <w:p w14:paraId="21EB4C81" w14:textId="7196F5A6" w:rsidR="00441C3F" w:rsidRPr="00822968" w:rsidRDefault="008E7846" w:rsidP="00441C3F">
      <w:pPr>
        <w:pStyle w:val="ListBullet"/>
        <w:numPr>
          <w:ilvl w:val="0"/>
          <w:numId w:val="3"/>
        </w:numPr>
        <w:ind w:left="357" w:hanging="357"/>
      </w:pPr>
      <w:r w:rsidRPr="00822968">
        <w:t xml:space="preserve">To report a problem with a medicine or medical device, please see the information on </w:t>
      </w:r>
      <w:r w:rsidR="00441C3F" w:rsidRPr="00822968">
        <w:t>the TGA website &lt;</w:t>
      </w:r>
      <w:hyperlink r:id="rId8" w:history="1">
        <w:r w:rsidR="00441C3F" w:rsidRPr="00822968">
          <w:rPr>
            <w:rStyle w:val="Hyperlink"/>
          </w:rPr>
          <w:t>https://www.tga.gov.au</w:t>
        </w:r>
      </w:hyperlink>
      <w:r w:rsidR="00441C3F" w:rsidRPr="00822968">
        <w:t>&gt;.</w:t>
      </w:r>
    </w:p>
    <w:p w14:paraId="5AE2A40A" w14:textId="77777777" w:rsidR="008E7846" w:rsidRPr="00822968" w:rsidRDefault="008E7846" w:rsidP="00875A6B">
      <w:pPr>
        <w:pStyle w:val="NonTOCHeading2"/>
      </w:pPr>
      <w:r w:rsidRPr="00822968">
        <w:t xml:space="preserve">About </w:t>
      </w:r>
      <w:proofErr w:type="spellStart"/>
      <w:r w:rsidRPr="00822968">
        <w:t>AusPARs</w:t>
      </w:r>
      <w:proofErr w:type="spellEnd"/>
    </w:p>
    <w:p w14:paraId="43BBEFCB" w14:textId="77777777" w:rsidR="008E7846" w:rsidRPr="00822968" w:rsidRDefault="008E7846" w:rsidP="008E7846">
      <w:pPr>
        <w:pStyle w:val="ListBullet"/>
        <w:numPr>
          <w:ilvl w:val="0"/>
          <w:numId w:val="3"/>
        </w:numPr>
        <w:ind w:left="357" w:hanging="357"/>
      </w:pPr>
      <w:r w:rsidRPr="00822968">
        <w:t>An Australian Public Assessment Re</w:t>
      </w:r>
      <w:r w:rsidR="00133A1B" w:rsidRPr="00822968">
        <w:t>port</w:t>
      </w:r>
      <w:r w:rsidRPr="00822968">
        <w:t xml:space="preserve"> (AusPAR) provides information about the evaluation of a prescription medicine and the considerations that led the TGA to approve or not approve a pr</w:t>
      </w:r>
      <w:r w:rsidR="00441C3F" w:rsidRPr="00822968">
        <w:t>escription medicine submission.</w:t>
      </w:r>
    </w:p>
    <w:p w14:paraId="1BEB289F" w14:textId="77777777" w:rsidR="008E7846" w:rsidRPr="00822968" w:rsidRDefault="008E7846" w:rsidP="008E7846">
      <w:pPr>
        <w:pStyle w:val="ListBullet"/>
        <w:numPr>
          <w:ilvl w:val="0"/>
          <w:numId w:val="3"/>
        </w:numPr>
        <w:ind w:left="357" w:hanging="357"/>
      </w:pPr>
      <w:proofErr w:type="spellStart"/>
      <w:r w:rsidRPr="00822968">
        <w:t>AusPARs</w:t>
      </w:r>
      <w:proofErr w:type="spellEnd"/>
      <w:r w:rsidRPr="00822968">
        <w:t xml:space="preserve"> are prepared and published by the TGA.</w:t>
      </w:r>
    </w:p>
    <w:p w14:paraId="2782287D" w14:textId="77777777" w:rsidR="008E7846" w:rsidRPr="00822968" w:rsidRDefault="008E7846" w:rsidP="008E7846">
      <w:pPr>
        <w:pStyle w:val="ListBullet"/>
        <w:numPr>
          <w:ilvl w:val="0"/>
          <w:numId w:val="3"/>
        </w:numPr>
        <w:ind w:left="357" w:hanging="357"/>
      </w:pPr>
      <w:r w:rsidRPr="00822968">
        <w:t>An AusPAR is prepared for submissions that relate to new chemical entities, generic medicines, major variations and extensions of indications.</w:t>
      </w:r>
    </w:p>
    <w:p w14:paraId="47581D40" w14:textId="77777777" w:rsidR="008E7846" w:rsidRPr="00822968" w:rsidRDefault="008E7846" w:rsidP="008E7846">
      <w:pPr>
        <w:pStyle w:val="ListBullet"/>
        <w:numPr>
          <w:ilvl w:val="0"/>
          <w:numId w:val="3"/>
        </w:numPr>
        <w:ind w:left="357" w:hanging="357"/>
      </w:pPr>
      <w:r w:rsidRPr="00822968">
        <w:t>An AusPAR is a static document</w:t>
      </w:r>
      <w:r w:rsidR="00133A1B" w:rsidRPr="00822968">
        <w:t>;</w:t>
      </w:r>
      <w:r w:rsidRPr="00822968">
        <w:t xml:space="preserve"> it provide</w:t>
      </w:r>
      <w:r w:rsidR="00133A1B" w:rsidRPr="00822968">
        <w:t>s</w:t>
      </w:r>
      <w:r w:rsidRPr="00822968">
        <w:t xml:space="preserve"> information that relates to a submission at a particular point in time.</w:t>
      </w:r>
    </w:p>
    <w:p w14:paraId="1A66F1ED" w14:textId="77777777" w:rsidR="00B452CE" w:rsidRPr="00822968" w:rsidRDefault="008E7846" w:rsidP="00FF5755">
      <w:pPr>
        <w:pStyle w:val="ListBullet"/>
        <w:numPr>
          <w:ilvl w:val="0"/>
          <w:numId w:val="3"/>
        </w:numPr>
        <w:ind w:left="357" w:hanging="357"/>
      </w:pPr>
      <w:r w:rsidRPr="00822968">
        <w:t>A new AusPAR will be developed to reflect changes to indications and/or major variations to a prescription medicine subject to evaluation by the TGA.</w:t>
      </w:r>
    </w:p>
    <w:p w14:paraId="7A5BC41F" w14:textId="77777777" w:rsidR="00924482" w:rsidRPr="00822968" w:rsidRDefault="00924482" w:rsidP="00F54B65">
      <w:pPr>
        <w:pStyle w:val="LegalSubheading"/>
        <w:spacing w:before="3120"/>
      </w:pPr>
      <w:r w:rsidRPr="00822968">
        <w:t>Copyright</w:t>
      </w:r>
    </w:p>
    <w:p w14:paraId="2D7FCDDA" w14:textId="475AD9B7" w:rsidR="00924482" w:rsidRPr="00822968" w:rsidRDefault="00924482" w:rsidP="00924482">
      <w:pPr>
        <w:pStyle w:val="LegalCopy"/>
      </w:pPr>
      <w:r w:rsidRPr="00822968">
        <w:rPr>
          <w:rFonts w:cs="Arial"/>
          <w:lang w:val="en-GB"/>
        </w:rPr>
        <w:t>© Commonwealth of Australia 20</w:t>
      </w:r>
      <w:r w:rsidR="00460036" w:rsidRPr="00822968">
        <w:rPr>
          <w:rFonts w:cs="Arial"/>
          <w:lang w:val="en-GB"/>
        </w:rPr>
        <w:t>2</w:t>
      </w:r>
      <w:r w:rsidR="00716463" w:rsidRPr="00822968">
        <w:rPr>
          <w:rFonts w:cs="Arial"/>
          <w:lang w:val="en-GB"/>
        </w:rPr>
        <w:t>2</w:t>
      </w:r>
      <w:r w:rsidRPr="00822968">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22968">
        <w:rPr>
          <w:rFonts w:cs="Arial"/>
          <w:i/>
          <w:lang w:val="en-GB"/>
        </w:rPr>
        <w:t>Copyright Act 1968</w:t>
      </w:r>
      <w:r w:rsidRPr="00822968">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822968">
        <w:rPr>
          <w:rFonts w:cs="Arial"/>
          <w:lang w:val="en-GB"/>
        </w:rPr>
        <w:t>Woden</w:t>
      </w:r>
      <w:proofErr w:type="spellEnd"/>
      <w:r w:rsidRPr="00822968">
        <w:rPr>
          <w:rFonts w:cs="Arial"/>
          <w:lang w:val="en-GB"/>
        </w:rPr>
        <w:t xml:space="preserve"> ACT 2606 or emailed to &lt;</w:t>
      </w:r>
      <w:hyperlink r:id="rId9" w:history="1">
        <w:r w:rsidRPr="00822968">
          <w:rPr>
            <w:rStyle w:val="Hyperlink"/>
            <w:rFonts w:cs="Arial"/>
            <w:lang w:val="en-GB"/>
          </w:rPr>
          <w:t>tga.copyright@tga.gov.au</w:t>
        </w:r>
      </w:hyperlink>
      <w:r w:rsidRPr="00822968">
        <w:rPr>
          <w:rFonts w:cs="Arial"/>
        </w:rPr>
        <w:t>&gt;.</w:t>
      </w:r>
    </w:p>
    <w:p w14:paraId="1B08EFF3" w14:textId="77777777" w:rsidR="00924482" w:rsidRPr="00822968" w:rsidRDefault="00924482" w:rsidP="00924482">
      <w:pPr>
        <w:pStyle w:val="LegalCopy"/>
        <w:sectPr w:rsidR="00924482" w:rsidRPr="00822968" w:rsidSect="003D1E62">
          <w:headerReference w:type="default" r:id="rId10"/>
          <w:footerReference w:type="default" r:id="rId11"/>
          <w:headerReference w:type="first" r:id="rId12"/>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0EA0941" w14:textId="77777777" w:rsidR="0089635C" w:rsidRPr="00822968" w:rsidRDefault="0089635C" w:rsidP="0010788A">
          <w:pPr>
            <w:pStyle w:val="Contents"/>
          </w:pPr>
          <w:r w:rsidRPr="00822968">
            <w:t>Contents</w:t>
          </w:r>
        </w:p>
        <w:p w14:paraId="2F075067" w14:textId="04A18947" w:rsidR="0078142B" w:rsidRDefault="00C525A2">
          <w:pPr>
            <w:pStyle w:val="TOC1"/>
            <w:rPr>
              <w:rFonts w:asciiTheme="minorHAnsi" w:eastAsiaTheme="minorEastAsia" w:hAnsiTheme="minorHAnsi" w:cstheme="minorBidi"/>
              <w:b w:val="0"/>
              <w:noProof/>
              <w:sz w:val="22"/>
              <w:lang w:eastAsia="en-AU"/>
            </w:rPr>
          </w:pPr>
          <w:r w:rsidRPr="00822968">
            <w:fldChar w:fldCharType="begin"/>
          </w:r>
          <w:r w:rsidRPr="00822968">
            <w:instrText xml:space="preserve"> TOC \h \z \t "Heading 2,1,Heading 3,2" </w:instrText>
          </w:r>
          <w:r w:rsidRPr="00822968">
            <w:fldChar w:fldCharType="separate"/>
          </w:r>
          <w:hyperlink w:anchor="_Toc101954619" w:history="1">
            <w:r w:rsidR="0078142B" w:rsidRPr="00C6723A">
              <w:rPr>
                <w:rStyle w:val="Hyperlink"/>
                <w:noProof/>
              </w:rPr>
              <w:t>List of abbreviations</w:t>
            </w:r>
            <w:r w:rsidR="0078142B">
              <w:rPr>
                <w:noProof/>
                <w:webHidden/>
              </w:rPr>
              <w:tab/>
            </w:r>
            <w:r w:rsidR="0078142B">
              <w:rPr>
                <w:noProof/>
                <w:webHidden/>
              </w:rPr>
              <w:fldChar w:fldCharType="begin"/>
            </w:r>
            <w:r w:rsidR="0078142B">
              <w:rPr>
                <w:noProof/>
                <w:webHidden/>
              </w:rPr>
              <w:instrText xml:space="preserve"> PAGEREF _Toc101954619 \h </w:instrText>
            </w:r>
            <w:r w:rsidR="0078142B">
              <w:rPr>
                <w:noProof/>
                <w:webHidden/>
              </w:rPr>
            </w:r>
            <w:r w:rsidR="0078142B">
              <w:rPr>
                <w:noProof/>
                <w:webHidden/>
              </w:rPr>
              <w:fldChar w:fldCharType="separate"/>
            </w:r>
            <w:r w:rsidR="0078142B">
              <w:rPr>
                <w:noProof/>
                <w:webHidden/>
              </w:rPr>
              <w:t>4</w:t>
            </w:r>
            <w:r w:rsidR="0078142B">
              <w:rPr>
                <w:noProof/>
                <w:webHidden/>
              </w:rPr>
              <w:fldChar w:fldCharType="end"/>
            </w:r>
          </w:hyperlink>
        </w:p>
        <w:p w14:paraId="46A44AB9" w14:textId="558C323E" w:rsidR="0078142B" w:rsidRDefault="00CE371D">
          <w:pPr>
            <w:pStyle w:val="TOC1"/>
            <w:rPr>
              <w:rFonts w:asciiTheme="minorHAnsi" w:eastAsiaTheme="minorEastAsia" w:hAnsiTheme="minorHAnsi" w:cstheme="minorBidi"/>
              <w:b w:val="0"/>
              <w:noProof/>
              <w:sz w:val="22"/>
              <w:lang w:eastAsia="en-AU"/>
            </w:rPr>
          </w:pPr>
          <w:hyperlink w:anchor="_Toc101954620" w:history="1">
            <w:r w:rsidR="0078142B" w:rsidRPr="00C6723A">
              <w:rPr>
                <w:rStyle w:val="Hyperlink"/>
                <w:noProof/>
              </w:rPr>
              <w:t>I. Introduction to product submission</w:t>
            </w:r>
            <w:r w:rsidR="0078142B">
              <w:rPr>
                <w:noProof/>
                <w:webHidden/>
              </w:rPr>
              <w:tab/>
            </w:r>
            <w:r w:rsidR="0078142B">
              <w:rPr>
                <w:noProof/>
                <w:webHidden/>
              </w:rPr>
              <w:fldChar w:fldCharType="begin"/>
            </w:r>
            <w:r w:rsidR="0078142B">
              <w:rPr>
                <w:noProof/>
                <w:webHidden/>
              </w:rPr>
              <w:instrText xml:space="preserve"> PAGEREF _Toc101954620 \h </w:instrText>
            </w:r>
            <w:r w:rsidR="0078142B">
              <w:rPr>
                <w:noProof/>
                <w:webHidden/>
              </w:rPr>
            </w:r>
            <w:r w:rsidR="0078142B">
              <w:rPr>
                <w:noProof/>
                <w:webHidden/>
              </w:rPr>
              <w:fldChar w:fldCharType="separate"/>
            </w:r>
            <w:r w:rsidR="0078142B">
              <w:rPr>
                <w:noProof/>
                <w:webHidden/>
              </w:rPr>
              <w:t>6</w:t>
            </w:r>
            <w:r w:rsidR="0078142B">
              <w:rPr>
                <w:noProof/>
                <w:webHidden/>
              </w:rPr>
              <w:fldChar w:fldCharType="end"/>
            </w:r>
          </w:hyperlink>
        </w:p>
        <w:p w14:paraId="27D363BD" w14:textId="2DC54F1D" w:rsidR="0078142B" w:rsidRDefault="00CE371D">
          <w:pPr>
            <w:pStyle w:val="TOC2"/>
            <w:rPr>
              <w:rFonts w:asciiTheme="minorHAnsi" w:eastAsiaTheme="minorEastAsia" w:hAnsiTheme="minorHAnsi" w:cstheme="minorBidi"/>
              <w:b w:val="0"/>
              <w:noProof/>
              <w:sz w:val="22"/>
              <w:lang w:eastAsia="en-AU"/>
            </w:rPr>
          </w:pPr>
          <w:hyperlink w:anchor="_Toc101954621" w:history="1">
            <w:r w:rsidR="0078142B" w:rsidRPr="00C6723A">
              <w:rPr>
                <w:rStyle w:val="Hyperlink"/>
                <w:noProof/>
                <w:lang w:eastAsia="en-AU"/>
              </w:rPr>
              <w:t>Submission details</w:t>
            </w:r>
            <w:r w:rsidR="0078142B">
              <w:rPr>
                <w:noProof/>
                <w:webHidden/>
              </w:rPr>
              <w:tab/>
            </w:r>
            <w:r w:rsidR="0078142B">
              <w:rPr>
                <w:noProof/>
                <w:webHidden/>
              </w:rPr>
              <w:fldChar w:fldCharType="begin"/>
            </w:r>
            <w:r w:rsidR="0078142B">
              <w:rPr>
                <w:noProof/>
                <w:webHidden/>
              </w:rPr>
              <w:instrText xml:space="preserve"> PAGEREF _Toc101954621 \h </w:instrText>
            </w:r>
            <w:r w:rsidR="0078142B">
              <w:rPr>
                <w:noProof/>
                <w:webHidden/>
              </w:rPr>
            </w:r>
            <w:r w:rsidR="0078142B">
              <w:rPr>
                <w:noProof/>
                <w:webHidden/>
              </w:rPr>
              <w:fldChar w:fldCharType="separate"/>
            </w:r>
            <w:r w:rsidR="0078142B">
              <w:rPr>
                <w:noProof/>
                <w:webHidden/>
              </w:rPr>
              <w:t>6</w:t>
            </w:r>
            <w:r w:rsidR="0078142B">
              <w:rPr>
                <w:noProof/>
                <w:webHidden/>
              </w:rPr>
              <w:fldChar w:fldCharType="end"/>
            </w:r>
          </w:hyperlink>
        </w:p>
        <w:p w14:paraId="73A61CE7" w14:textId="132B9E46" w:rsidR="0078142B" w:rsidRDefault="00CE371D">
          <w:pPr>
            <w:pStyle w:val="TOC2"/>
            <w:rPr>
              <w:rFonts w:asciiTheme="minorHAnsi" w:eastAsiaTheme="minorEastAsia" w:hAnsiTheme="minorHAnsi" w:cstheme="minorBidi"/>
              <w:b w:val="0"/>
              <w:noProof/>
              <w:sz w:val="22"/>
              <w:lang w:eastAsia="en-AU"/>
            </w:rPr>
          </w:pPr>
          <w:hyperlink w:anchor="_Toc101954622" w:history="1">
            <w:r w:rsidR="0078142B" w:rsidRPr="00C6723A">
              <w:rPr>
                <w:rStyle w:val="Hyperlink"/>
                <w:noProof/>
              </w:rPr>
              <w:t>Product background</w:t>
            </w:r>
            <w:r w:rsidR="0078142B">
              <w:rPr>
                <w:noProof/>
                <w:webHidden/>
              </w:rPr>
              <w:tab/>
            </w:r>
            <w:r w:rsidR="0078142B">
              <w:rPr>
                <w:noProof/>
                <w:webHidden/>
              </w:rPr>
              <w:fldChar w:fldCharType="begin"/>
            </w:r>
            <w:r w:rsidR="0078142B">
              <w:rPr>
                <w:noProof/>
                <w:webHidden/>
              </w:rPr>
              <w:instrText xml:space="preserve"> PAGEREF _Toc101954622 \h </w:instrText>
            </w:r>
            <w:r w:rsidR="0078142B">
              <w:rPr>
                <w:noProof/>
                <w:webHidden/>
              </w:rPr>
            </w:r>
            <w:r w:rsidR="0078142B">
              <w:rPr>
                <w:noProof/>
                <w:webHidden/>
              </w:rPr>
              <w:fldChar w:fldCharType="separate"/>
            </w:r>
            <w:r w:rsidR="0078142B">
              <w:rPr>
                <w:noProof/>
                <w:webHidden/>
              </w:rPr>
              <w:t>7</w:t>
            </w:r>
            <w:r w:rsidR="0078142B">
              <w:rPr>
                <w:noProof/>
                <w:webHidden/>
              </w:rPr>
              <w:fldChar w:fldCharType="end"/>
            </w:r>
          </w:hyperlink>
        </w:p>
        <w:p w14:paraId="46AFC28D" w14:textId="30313891" w:rsidR="0078142B" w:rsidRDefault="00CE371D">
          <w:pPr>
            <w:pStyle w:val="TOC2"/>
            <w:rPr>
              <w:rFonts w:asciiTheme="minorHAnsi" w:eastAsiaTheme="minorEastAsia" w:hAnsiTheme="minorHAnsi" w:cstheme="minorBidi"/>
              <w:b w:val="0"/>
              <w:noProof/>
              <w:sz w:val="22"/>
              <w:lang w:eastAsia="en-AU"/>
            </w:rPr>
          </w:pPr>
          <w:hyperlink w:anchor="_Toc101954623" w:history="1">
            <w:r w:rsidR="0078142B" w:rsidRPr="00C6723A">
              <w:rPr>
                <w:rStyle w:val="Hyperlink"/>
                <w:noProof/>
              </w:rPr>
              <w:t>Regulatory status</w:t>
            </w:r>
            <w:r w:rsidR="0078142B">
              <w:rPr>
                <w:noProof/>
                <w:webHidden/>
              </w:rPr>
              <w:tab/>
            </w:r>
            <w:r w:rsidR="0078142B">
              <w:rPr>
                <w:noProof/>
                <w:webHidden/>
              </w:rPr>
              <w:fldChar w:fldCharType="begin"/>
            </w:r>
            <w:r w:rsidR="0078142B">
              <w:rPr>
                <w:noProof/>
                <w:webHidden/>
              </w:rPr>
              <w:instrText xml:space="preserve"> PAGEREF _Toc101954623 \h </w:instrText>
            </w:r>
            <w:r w:rsidR="0078142B">
              <w:rPr>
                <w:noProof/>
                <w:webHidden/>
              </w:rPr>
            </w:r>
            <w:r w:rsidR="0078142B">
              <w:rPr>
                <w:noProof/>
                <w:webHidden/>
              </w:rPr>
              <w:fldChar w:fldCharType="separate"/>
            </w:r>
            <w:r w:rsidR="0078142B">
              <w:rPr>
                <w:noProof/>
                <w:webHidden/>
              </w:rPr>
              <w:t>10</w:t>
            </w:r>
            <w:r w:rsidR="0078142B">
              <w:rPr>
                <w:noProof/>
                <w:webHidden/>
              </w:rPr>
              <w:fldChar w:fldCharType="end"/>
            </w:r>
          </w:hyperlink>
        </w:p>
        <w:p w14:paraId="5FC78625" w14:textId="7B63A78D" w:rsidR="0078142B" w:rsidRDefault="00CE371D">
          <w:pPr>
            <w:pStyle w:val="TOC2"/>
            <w:rPr>
              <w:rFonts w:asciiTheme="minorHAnsi" w:eastAsiaTheme="minorEastAsia" w:hAnsiTheme="minorHAnsi" w:cstheme="minorBidi"/>
              <w:b w:val="0"/>
              <w:noProof/>
              <w:sz w:val="22"/>
              <w:lang w:eastAsia="en-AU"/>
            </w:rPr>
          </w:pPr>
          <w:hyperlink w:anchor="_Toc101954624" w:history="1">
            <w:r w:rsidR="0078142B" w:rsidRPr="00C6723A">
              <w:rPr>
                <w:rStyle w:val="Hyperlink"/>
                <w:noProof/>
              </w:rPr>
              <w:t>Product Information</w:t>
            </w:r>
            <w:r w:rsidR="0078142B">
              <w:rPr>
                <w:noProof/>
                <w:webHidden/>
              </w:rPr>
              <w:tab/>
            </w:r>
            <w:r w:rsidR="0078142B">
              <w:rPr>
                <w:noProof/>
                <w:webHidden/>
              </w:rPr>
              <w:fldChar w:fldCharType="begin"/>
            </w:r>
            <w:r w:rsidR="0078142B">
              <w:rPr>
                <w:noProof/>
                <w:webHidden/>
              </w:rPr>
              <w:instrText xml:space="preserve"> PAGEREF _Toc101954624 \h </w:instrText>
            </w:r>
            <w:r w:rsidR="0078142B">
              <w:rPr>
                <w:noProof/>
                <w:webHidden/>
              </w:rPr>
            </w:r>
            <w:r w:rsidR="0078142B">
              <w:rPr>
                <w:noProof/>
                <w:webHidden/>
              </w:rPr>
              <w:fldChar w:fldCharType="separate"/>
            </w:r>
            <w:r w:rsidR="0078142B">
              <w:rPr>
                <w:noProof/>
                <w:webHidden/>
              </w:rPr>
              <w:t>10</w:t>
            </w:r>
            <w:r w:rsidR="0078142B">
              <w:rPr>
                <w:noProof/>
                <w:webHidden/>
              </w:rPr>
              <w:fldChar w:fldCharType="end"/>
            </w:r>
          </w:hyperlink>
        </w:p>
        <w:p w14:paraId="04721B01" w14:textId="1ED13437" w:rsidR="0078142B" w:rsidRDefault="00CE371D">
          <w:pPr>
            <w:pStyle w:val="TOC1"/>
            <w:rPr>
              <w:rFonts w:asciiTheme="minorHAnsi" w:eastAsiaTheme="minorEastAsia" w:hAnsiTheme="minorHAnsi" w:cstheme="minorBidi"/>
              <w:b w:val="0"/>
              <w:noProof/>
              <w:sz w:val="22"/>
              <w:lang w:eastAsia="en-AU"/>
            </w:rPr>
          </w:pPr>
          <w:hyperlink w:anchor="_Toc101954625" w:history="1">
            <w:r w:rsidR="0078142B" w:rsidRPr="00C6723A">
              <w:rPr>
                <w:rStyle w:val="Hyperlink"/>
                <w:noProof/>
              </w:rPr>
              <w:t>II. Registration timeline</w:t>
            </w:r>
            <w:r w:rsidR="0078142B">
              <w:rPr>
                <w:noProof/>
                <w:webHidden/>
              </w:rPr>
              <w:tab/>
            </w:r>
            <w:r w:rsidR="0078142B">
              <w:rPr>
                <w:noProof/>
                <w:webHidden/>
              </w:rPr>
              <w:fldChar w:fldCharType="begin"/>
            </w:r>
            <w:r w:rsidR="0078142B">
              <w:rPr>
                <w:noProof/>
                <w:webHidden/>
              </w:rPr>
              <w:instrText xml:space="preserve"> PAGEREF _Toc101954625 \h </w:instrText>
            </w:r>
            <w:r w:rsidR="0078142B">
              <w:rPr>
                <w:noProof/>
                <w:webHidden/>
              </w:rPr>
            </w:r>
            <w:r w:rsidR="0078142B">
              <w:rPr>
                <w:noProof/>
                <w:webHidden/>
              </w:rPr>
              <w:fldChar w:fldCharType="separate"/>
            </w:r>
            <w:r w:rsidR="0078142B">
              <w:rPr>
                <w:noProof/>
                <w:webHidden/>
              </w:rPr>
              <w:t>10</w:t>
            </w:r>
            <w:r w:rsidR="0078142B">
              <w:rPr>
                <w:noProof/>
                <w:webHidden/>
              </w:rPr>
              <w:fldChar w:fldCharType="end"/>
            </w:r>
          </w:hyperlink>
        </w:p>
        <w:p w14:paraId="28829582" w14:textId="2364D581" w:rsidR="0078142B" w:rsidRDefault="00CE371D">
          <w:pPr>
            <w:pStyle w:val="TOC1"/>
            <w:rPr>
              <w:rFonts w:asciiTheme="minorHAnsi" w:eastAsiaTheme="minorEastAsia" w:hAnsiTheme="minorHAnsi" w:cstheme="minorBidi"/>
              <w:b w:val="0"/>
              <w:noProof/>
              <w:sz w:val="22"/>
              <w:lang w:eastAsia="en-AU"/>
            </w:rPr>
          </w:pPr>
          <w:hyperlink w:anchor="_Toc101954626" w:history="1">
            <w:r w:rsidR="0078142B" w:rsidRPr="00C6723A">
              <w:rPr>
                <w:rStyle w:val="Hyperlink"/>
                <w:noProof/>
              </w:rPr>
              <w:t>III. Submission overview and risk/benefit assessment</w:t>
            </w:r>
            <w:r w:rsidR="0078142B">
              <w:rPr>
                <w:noProof/>
                <w:webHidden/>
              </w:rPr>
              <w:tab/>
            </w:r>
            <w:r w:rsidR="0078142B">
              <w:rPr>
                <w:noProof/>
                <w:webHidden/>
              </w:rPr>
              <w:fldChar w:fldCharType="begin"/>
            </w:r>
            <w:r w:rsidR="0078142B">
              <w:rPr>
                <w:noProof/>
                <w:webHidden/>
              </w:rPr>
              <w:instrText xml:space="preserve"> PAGEREF _Toc101954626 \h </w:instrText>
            </w:r>
            <w:r w:rsidR="0078142B">
              <w:rPr>
                <w:noProof/>
                <w:webHidden/>
              </w:rPr>
            </w:r>
            <w:r w:rsidR="0078142B">
              <w:rPr>
                <w:noProof/>
                <w:webHidden/>
              </w:rPr>
              <w:fldChar w:fldCharType="separate"/>
            </w:r>
            <w:r w:rsidR="0078142B">
              <w:rPr>
                <w:noProof/>
                <w:webHidden/>
              </w:rPr>
              <w:t>11</w:t>
            </w:r>
            <w:r w:rsidR="0078142B">
              <w:rPr>
                <w:noProof/>
                <w:webHidden/>
              </w:rPr>
              <w:fldChar w:fldCharType="end"/>
            </w:r>
          </w:hyperlink>
        </w:p>
        <w:p w14:paraId="34AE7325" w14:textId="307B7E46" w:rsidR="0078142B" w:rsidRDefault="00CE371D">
          <w:pPr>
            <w:pStyle w:val="TOC2"/>
            <w:rPr>
              <w:rFonts w:asciiTheme="minorHAnsi" w:eastAsiaTheme="minorEastAsia" w:hAnsiTheme="minorHAnsi" w:cstheme="minorBidi"/>
              <w:b w:val="0"/>
              <w:noProof/>
              <w:sz w:val="22"/>
              <w:lang w:eastAsia="en-AU"/>
            </w:rPr>
          </w:pPr>
          <w:hyperlink w:anchor="_Toc101954627" w:history="1">
            <w:r w:rsidR="0078142B" w:rsidRPr="00C6723A">
              <w:rPr>
                <w:rStyle w:val="Hyperlink"/>
                <w:noProof/>
              </w:rPr>
              <w:t>Quality</w:t>
            </w:r>
            <w:r w:rsidR="0078142B">
              <w:rPr>
                <w:noProof/>
                <w:webHidden/>
              </w:rPr>
              <w:tab/>
            </w:r>
            <w:r w:rsidR="0078142B">
              <w:rPr>
                <w:noProof/>
                <w:webHidden/>
              </w:rPr>
              <w:fldChar w:fldCharType="begin"/>
            </w:r>
            <w:r w:rsidR="0078142B">
              <w:rPr>
                <w:noProof/>
                <w:webHidden/>
              </w:rPr>
              <w:instrText xml:space="preserve"> PAGEREF _Toc101954627 \h </w:instrText>
            </w:r>
            <w:r w:rsidR="0078142B">
              <w:rPr>
                <w:noProof/>
                <w:webHidden/>
              </w:rPr>
            </w:r>
            <w:r w:rsidR="0078142B">
              <w:rPr>
                <w:noProof/>
                <w:webHidden/>
              </w:rPr>
              <w:fldChar w:fldCharType="separate"/>
            </w:r>
            <w:r w:rsidR="0078142B">
              <w:rPr>
                <w:noProof/>
                <w:webHidden/>
              </w:rPr>
              <w:t>12</w:t>
            </w:r>
            <w:r w:rsidR="0078142B">
              <w:rPr>
                <w:noProof/>
                <w:webHidden/>
              </w:rPr>
              <w:fldChar w:fldCharType="end"/>
            </w:r>
          </w:hyperlink>
        </w:p>
        <w:p w14:paraId="238420E5" w14:textId="7D2E6078" w:rsidR="0078142B" w:rsidRDefault="00CE371D">
          <w:pPr>
            <w:pStyle w:val="TOC2"/>
            <w:rPr>
              <w:rFonts w:asciiTheme="minorHAnsi" w:eastAsiaTheme="minorEastAsia" w:hAnsiTheme="minorHAnsi" w:cstheme="minorBidi"/>
              <w:b w:val="0"/>
              <w:noProof/>
              <w:sz w:val="22"/>
              <w:lang w:eastAsia="en-AU"/>
            </w:rPr>
          </w:pPr>
          <w:hyperlink w:anchor="_Toc101954628" w:history="1">
            <w:r w:rsidR="0078142B" w:rsidRPr="00C6723A">
              <w:rPr>
                <w:rStyle w:val="Hyperlink"/>
                <w:noProof/>
              </w:rPr>
              <w:t>Nonclinical</w:t>
            </w:r>
            <w:r w:rsidR="0078142B">
              <w:rPr>
                <w:noProof/>
                <w:webHidden/>
              </w:rPr>
              <w:tab/>
            </w:r>
            <w:r w:rsidR="0078142B">
              <w:rPr>
                <w:noProof/>
                <w:webHidden/>
              </w:rPr>
              <w:fldChar w:fldCharType="begin"/>
            </w:r>
            <w:r w:rsidR="0078142B">
              <w:rPr>
                <w:noProof/>
                <w:webHidden/>
              </w:rPr>
              <w:instrText xml:space="preserve"> PAGEREF _Toc101954628 \h </w:instrText>
            </w:r>
            <w:r w:rsidR="0078142B">
              <w:rPr>
                <w:noProof/>
                <w:webHidden/>
              </w:rPr>
            </w:r>
            <w:r w:rsidR="0078142B">
              <w:rPr>
                <w:noProof/>
                <w:webHidden/>
              </w:rPr>
              <w:fldChar w:fldCharType="separate"/>
            </w:r>
            <w:r w:rsidR="0078142B">
              <w:rPr>
                <w:noProof/>
                <w:webHidden/>
              </w:rPr>
              <w:t>12</w:t>
            </w:r>
            <w:r w:rsidR="0078142B">
              <w:rPr>
                <w:noProof/>
                <w:webHidden/>
              </w:rPr>
              <w:fldChar w:fldCharType="end"/>
            </w:r>
          </w:hyperlink>
        </w:p>
        <w:p w14:paraId="1EEEAB7D" w14:textId="455DFC44" w:rsidR="0078142B" w:rsidRDefault="00CE371D">
          <w:pPr>
            <w:pStyle w:val="TOC2"/>
            <w:rPr>
              <w:rFonts w:asciiTheme="minorHAnsi" w:eastAsiaTheme="minorEastAsia" w:hAnsiTheme="minorHAnsi" w:cstheme="minorBidi"/>
              <w:b w:val="0"/>
              <w:noProof/>
              <w:sz w:val="22"/>
              <w:lang w:eastAsia="en-AU"/>
            </w:rPr>
          </w:pPr>
          <w:hyperlink w:anchor="_Toc101954629" w:history="1">
            <w:r w:rsidR="0078142B" w:rsidRPr="00C6723A">
              <w:rPr>
                <w:rStyle w:val="Hyperlink"/>
                <w:noProof/>
              </w:rPr>
              <w:t>Clinical</w:t>
            </w:r>
            <w:r w:rsidR="0078142B">
              <w:rPr>
                <w:noProof/>
                <w:webHidden/>
              </w:rPr>
              <w:tab/>
            </w:r>
            <w:r w:rsidR="0078142B">
              <w:rPr>
                <w:noProof/>
                <w:webHidden/>
              </w:rPr>
              <w:fldChar w:fldCharType="begin"/>
            </w:r>
            <w:r w:rsidR="0078142B">
              <w:rPr>
                <w:noProof/>
                <w:webHidden/>
              </w:rPr>
              <w:instrText xml:space="preserve"> PAGEREF _Toc101954629 \h </w:instrText>
            </w:r>
            <w:r w:rsidR="0078142B">
              <w:rPr>
                <w:noProof/>
                <w:webHidden/>
              </w:rPr>
            </w:r>
            <w:r w:rsidR="0078142B">
              <w:rPr>
                <w:noProof/>
                <w:webHidden/>
              </w:rPr>
              <w:fldChar w:fldCharType="separate"/>
            </w:r>
            <w:r w:rsidR="0078142B">
              <w:rPr>
                <w:noProof/>
                <w:webHidden/>
              </w:rPr>
              <w:t>12</w:t>
            </w:r>
            <w:r w:rsidR="0078142B">
              <w:rPr>
                <w:noProof/>
                <w:webHidden/>
              </w:rPr>
              <w:fldChar w:fldCharType="end"/>
            </w:r>
          </w:hyperlink>
        </w:p>
        <w:p w14:paraId="45359A06" w14:textId="39737BAE" w:rsidR="0078142B" w:rsidRDefault="00CE371D">
          <w:pPr>
            <w:pStyle w:val="TOC2"/>
            <w:rPr>
              <w:rFonts w:asciiTheme="minorHAnsi" w:eastAsiaTheme="minorEastAsia" w:hAnsiTheme="minorHAnsi" w:cstheme="minorBidi"/>
              <w:b w:val="0"/>
              <w:noProof/>
              <w:sz w:val="22"/>
              <w:lang w:eastAsia="en-AU"/>
            </w:rPr>
          </w:pPr>
          <w:hyperlink w:anchor="_Toc101954630" w:history="1">
            <w:r w:rsidR="0078142B" w:rsidRPr="00C6723A">
              <w:rPr>
                <w:rStyle w:val="Hyperlink"/>
                <w:noProof/>
                <w:lang w:eastAsia="en-AU"/>
              </w:rPr>
              <w:t>Risk management plan</w:t>
            </w:r>
            <w:r w:rsidR="0078142B">
              <w:rPr>
                <w:noProof/>
                <w:webHidden/>
              </w:rPr>
              <w:tab/>
            </w:r>
            <w:r w:rsidR="0078142B">
              <w:rPr>
                <w:noProof/>
                <w:webHidden/>
              </w:rPr>
              <w:fldChar w:fldCharType="begin"/>
            </w:r>
            <w:r w:rsidR="0078142B">
              <w:rPr>
                <w:noProof/>
                <w:webHidden/>
              </w:rPr>
              <w:instrText xml:space="preserve"> PAGEREF _Toc101954630 \h </w:instrText>
            </w:r>
            <w:r w:rsidR="0078142B">
              <w:rPr>
                <w:noProof/>
                <w:webHidden/>
              </w:rPr>
            </w:r>
            <w:r w:rsidR="0078142B">
              <w:rPr>
                <w:noProof/>
                <w:webHidden/>
              </w:rPr>
              <w:fldChar w:fldCharType="separate"/>
            </w:r>
            <w:r w:rsidR="0078142B">
              <w:rPr>
                <w:noProof/>
                <w:webHidden/>
              </w:rPr>
              <w:t>22</w:t>
            </w:r>
            <w:r w:rsidR="0078142B">
              <w:rPr>
                <w:noProof/>
                <w:webHidden/>
              </w:rPr>
              <w:fldChar w:fldCharType="end"/>
            </w:r>
          </w:hyperlink>
        </w:p>
        <w:p w14:paraId="3462BA30" w14:textId="1BFC75AE" w:rsidR="0078142B" w:rsidRDefault="00CE371D">
          <w:pPr>
            <w:pStyle w:val="TOC2"/>
            <w:rPr>
              <w:rFonts w:asciiTheme="minorHAnsi" w:eastAsiaTheme="minorEastAsia" w:hAnsiTheme="minorHAnsi" w:cstheme="minorBidi"/>
              <w:b w:val="0"/>
              <w:noProof/>
              <w:sz w:val="22"/>
              <w:lang w:eastAsia="en-AU"/>
            </w:rPr>
          </w:pPr>
          <w:hyperlink w:anchor="_Toc101954631" w:history="1">
            <w:r w:rsidR="0078142B" w:rsidRPr="00C6723A">
              <w:rPr>
                <w:rStyle w:val="Hyperlink"/>
                <w:noProof/>
              </w:rPr>
              <w:t>Risk-benefit analysis</w:t>
            </w:r>
            <w:r w:rsidR="0078142B">
              <w:rPr>
                <w:noProof/>
                <w:webHidden/>
              </w:rPr>
              <w:tab/>
            </w:r>
            <w:r w:rsidR="0078142B">
              <w:rPr>
                <w:noProof/>
                <w:webHidden/>
              </w:rPr>
              <w:fldChar w:fldCharType="begin"/>
            </w:r>
            <w:r w:rsidR="0078142B">
              <w:rPr>
                <w:noProof/>
                <w:webHidden/>
              </w:rPr>
              <w:instrText xml:space="preserve"> PAGEREF _Toc101954631 \h </w:instrText>
            </w:r>
            <w:r w:rsidR="0078142B">
              <w:rPr>
                <w:noProof/>
                <w:webHidden/>
              </w:rPr>
            </w:r>
            <w:r w:rsidR="0078142B">
              <w:rPr>
                <w:noProof/>
                <w:webHidden/>
              </w:rPr>
              <w:fldChar w:fldCharType="separate"/>
            </w:r>
            <w:r w:rsidR="0078142B">
              <w:rPr>
                <w:noProof/>
                <w:webHidden/>
              </w:rPr>
              <w:t>24</w:t>
            </w:r>
            <w:r w:rsidR="0078142B">
              <w:rPr>
                <w:noProof/>
                <w:webHidden/>
              </w:rPr>
              <w:fldChar w:fldCharType="end"/>
            </w:r>
          </w:hyperlink>
        </w:p>
        <w:p w14:paraId="4A8D8D64" w14:textId="139AAEAD" w:rsidR="0078142B" w:rsidRDefault="00CE371D">
          <w:pPr>
            <w:pStyle w:val="TOC2"/>
            <w:rPr>
              <w:rFonts w:asciiTheme="minorHAnsi" w:eastAsiaTheme="minorEastAsia" w:hAnsiTheme="minorHAnsi" w:cstheme="minorBidi"/>
              <w:b w:val="0"/>
              <w:noProof/>
              <w:sz w:val="22"/>
              <w:lang w:eastAsia="en-AU"/>
            </w:rPr>
          </w:pPr>
          <w:hyperlink w:anchor="_Toc101954632" w:history="1">
            <w:r w:rsidR="0078142B" w:rsidRPr="00C6723A">
              <w:rPr>
                <w:rStyle w:val="Hyperlink"/>
                <w:noProof/>
              </w:rPr>
              <w:t>Outcome</w:t>
            </w:r>
            <w:r w:rsidR="0078142B">
              <w:rPr>
                <w:noProof/>
                <w:webHidden/>
              </w:rPr>
              <w:tab/>
            </w:r>
            <w:r w:rsidR="0078142B">
              <w:rPr>
                <w:noProof/>
                <w:webHidden/>
              </w:rPr>
              <w:fldChar w:fldCharType="begin"/>
            </w:r>
            <w:r w:rsidR="0078142B">
              <w:rPr>
                <w:noProof/>
                <w:webHidden/>
              </w:rPr>
              <w:instrText xml:space="preserve"> PAGEREF _Toc101954632 \h </w:instrText>
            </w:r>
            <w:r w:rsidR="0078142B">
              <w:rPr>
                <w:noProof/>
                <w:webHidden/>
              </w:rPr>
            </w:r>
            <w:r w:rsidR="0078142B">
              <w:rPr>
                <w:noProof/>
                <w:webHidden/>
              </w:rPr>
              <w:fldChar w:fldCharType="separate"/>
            </w:r>
            <w:r w:rsidR="0078142B">
              <w:rPr>
                <w:noProof/>
                <w:webHidden/>
              </w:rPr>
              <w:t>30</w:t>
            </w:r>
            <w:r w:rsidR="0078142B">
              <w:rPr>
                <w:noProof/>
                <w:webHidden/>
              </w:rPr>
              <w:fldChar w:fldCharType="end"/>
            </w:r>
          </w:hyperlink>
        </w:p>
        <w:p w14:paraId="337619E2" w14:textId="5E6B5835" w:rsidR="0078142B" w:rsidRDefault="00CE371D">
          <w:pPr>
            <w:pStyle w:val="TOC1"/>
            <w:rPr>
              <w:rFonts w:asciiTheme="minorHAnsi" w:eastAsiaTheme="minorEastAsia" w:hAnsiTheme="minorHAnsi" w:cstheme="minorBidi"/>
              <w:b w:val="0"/>
              <w:noProof/>
              <w:sz w:val="22"/>
              <w:lang w:eastAsia="en-AU"/>
            </w:rPr>
          </w:pPr>
          <w:hyperlink w:anchor="_Toc101954633" w:history="1">
            <w:r w:rsidR="0078142B" w:rsidRPr="00C6723A">
              <w:rPr>
                <w:rStyle w:val="Hyperlink"/>
                <w:noProof/>
              </w:rPr>
              <w:t>Attachment 1. Product Information</w:t>
            </w:r>
            <w:r w:rsidR="0078142B">
              <w:rPr>
                <w:noProof/>
                <w:webHidden/>
              </w:rPr>
              <w:tab/>
            </w:r>
            <w:r w:rsidR="0078142B">
              <w:rPr>
                <w:noProof/>
                <w:webHidden/>
              </w:rPr>
              <w:fldChar w:fldCharType="begin"/>
            </w:r>
            <w:r w:rsidR="0078142B">
              <w:rPr>
                <w:noProof/>
                <w:webHidden/>
              </w:rPr>
              <w:instrText xml:space="preserve"> PAGEREF _Toc101954633 \h </w:instrText>
            </w:r>
            <w:r w:rsidR="0078142B">
              <w:rPr>
                <w:noProof/>
                <w:webHidden/>
              </w:rPr>
            </w:r>
            <w:r w:rsidR="0078142B">
              <w:rPr>
                <w:noProof/>
                <w:webHidden/>
              </w:rPr>
              <w:fldChar w:fldCharType="separate"/>
            </w:r>
            <w:r w:rsidR="0078142B">
              <w:rPr>
                <w:noProof/>
                <w:webHidden/>
              </w:rPr>
              <w:t>31</w:t>
            </w:r>
            <w:r w:rsidR="0078142B">
              <w:rPr>
                <w:noProof/>
                <w:webHidden/>
              </w:rPr>
              <w:fldChar w:fldCharType="end"/>
            </w:r>
          </w:hyperlink>
        </w:p>
        <w:p w14:paraId="08D31671" w14:textId="54CBC3CC" w:rsidR="003A7F6C" w:rsidRPr="00822968" w:rsidRDefault="00C525A2" w:rsidP="00B811C6">
          <w:pPr>
            <w:pStyle w:val="TOC2"/>
          </w:pPr>
          <w:r w:rsidRPr="00822968">
            <w:fldChar w:fldCharType="end"/>
          </w:r>
        </w:p>
      </w:sdtContent>
    </w:sdt>
    <w:bookmarkStart w:id="2" w:name="_Toc314842482" w:displacedByCustomXml="prev"/>
    <w:p w14:paraId="25109151" w14:textId="77777777" w:rsidR="00FD119B" w:rsidRPr="00822968" w:rsidRDefault="00FD119B">
      <w:pPr>
        <w:spacing w:before="0" w:after="200" w:line="0" w:lineRule="auto"/>
      </w:pPr>
      <w:r w:rsidRPr="00822968">
        <w:br w:type="page"/>
      </w:r>
    </w:p>
    <w:p w14:paraId="07A3A6F9" w14:textId="77777777" w:rsidR="00FD119B" w:rsidRPr="00822968" w:rsidRDefault="00324E45" w:rsidP="004F0C4A">
      <w:pPr>
        <w:pStyle w:val="Heading2"/>
      </w:pPr>
      <w:bookmarkStart w:id="3" w:name="_Toc351716269"/>
      <w:bookmarkStart w:id="4" w:name="_Toc351718881"/>
      <w:bookmarkStart w:id="5" w:name="_Toc355338616"/>
      <w:bookmarkStart w:id="6" w:name="_Toc356306144"/>
      <w:bookmarkStart w:id="7" w:name="_Toc101954619"/>
      <w:r w:rsidRPr="00822968">
        <w:lastRenderedPageBreak/>
        <w:t>List of</w:t>
      </w:r>
      <w:r w:rsidR="00FD119B" w:rsidRPr="00822968">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822968" w14:paraId="5D4EA7FA" w14:textId="77777777" w:rsidTr="00F65CE3">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12AB3D14" w14:textId="77777777" w:rsidR="00FD119B" w:rsidRPr="00822968" w:rsidRDefault="00FD119B" w:rsidP="00822968">
            <w:r w:rsidRPr="00822968">
              <w:t>Abbreviation</w:t>
            </w:r>
          </w:p>
        </w:tc>
        <w:tc>
          <w:tcPr>
            <w:tcW w:w="6604" w:type="dxa"/>
            <w:tcBorders>
              <w:top w:val="single" w:sz="4" w:space="0" w:color="auto"/>
              <w:left w:val="single" w:sz="4" w:space="0" w:color="auto"/>
              <w:bottom w:val="single" w:sz="4" w:space="0" w:color="auto"/>
              <w:right w:val="single" w:sz="4" w:space="0" w:color="auto"/>
            </w:tcBorders>
          </w:tcPr>
          <w:p w14:paraId="4E52E602" w14:textId="77777777" w:rsidR="00FD119B" w:rsidRPr="00822968" w:rsidRDefault="00FD119B" w:rsidP="00822968">
            <w:r w:rsidRPr="00822968">
              <w:t>Meaning</w:t>
            </w:r>
          </w:p>
        </w:tc>
      </w:tr>
      <w:tr w:rsidR="00460036" w:rsidRPr="00822968" w14:paraId="1B36685F" w14:textId="77777777" w:rsidTr="00F65CE3">
        <w:tc>
          <w:tcPr>
            <w:tcW w:w="1890" w:type="dxa"/>
            <w:tcBorders>
              <w:top w:val="single" w:sz="4" w:space="0" w:color="auto"/>
            </w:tcBorders>
          </w:tcPr>
          <w:p w14:paraId="2D8F0613" w14:textId="77777777" w:rsidR="00460036" w:rsidRPr="00822968" w:rsidRDefault="00460036" w:rsidP="00822968">
            <w:r w:rsidRPr="00822968">
              <w:t>ACM</w:t>
            </w:r>
          </w:p>
        </w:tc>
        <w:tc>
          <w:tcPr>
            <w:tcW w:w="6604" w:type="dxa"/>
            <w:tcBorders>
              <w:top w:val="single" w:sz="4" w:space="0" w:color="auto"/>
            </w:tcBorders>
          </w:tcPr>
          <w:p w14:paraId="62E8E217" w14:textId="77777777" w:rsidR="00460036" w:rsidRPr="00822968" w:rsidRDefault="00460036" w:rsidP="00822968">
            <w:r w:rsidRPr="00822968">
              <w:t>Advisory Committee on Medicines</w:t>
            </w:r>
          </w:p>
        </w:tc>
      </w:tr>
      <w:tr w:rsidR="00682576" w:rsidRPr="00822968" w14:paraId="1F5F59A2" w14:textId="77777777" w:rsidTr="00F65CE3">
        <w:tc>
          <w:tcPr>
            <w:tcW w:w="1890" w:type="dxa"/>
            <w:tcBorders>
              <w:top w:val="single" w:sz="4" w:space="0" w:color="auto"/>
            </w:tcBorders>
          </w:tcPr>
          <w:p w14:paraId="26038C11" w14:textId="7D754026" w:rsidR="00682576" w:rsidRPr="00822968" w:rsidRDefault="00682576" w:rsidP="00822968">
            <w:r w:rsidRPr="00822968">
              <w:t>ADA</w:t>
            </w:r>
          </w:p>
        </w:tc>
        <w:tc>
          <w:tcPr>
            <w:tcW w:w="6604" w:type="dxa"/>
            <w:tcBorders>
              <w:top w:val="single" w:sz="4" w:space="0" w:color="auto"/>
            </w:tcBorders>
          </w:tcPr>
          <w:p w14:paraId="71212397" w14:textId="3850A183" w:rsidR="00682576" w:rsidRPr="00822968" w:rsidRDefault="00682576" w:rsidP="00822968">
            <w:r w:rsidRPr="00822968">
              <w:t>Anti-drug antibodies</w:t>
            </w:r>
          </w:p>
        </w:tc>
      </w:tr>
      <w:tr w:rsidR="00460036" w:rsidRPr="00822968" w14:paraId="50EF6075" w14:textId="77777777" w:rsidTr="00F65CE3">
        <w:tc>
          <w:tcPr>
            <w:tcW w:w="1890" w:type="dxa"/>
          </w:tcPr>
          <w:p w14:paraId="114EBA17" w14:textId="77777777" w:rsidR="00460036" w:rsidRPr="00822968" w:rsidRDefault="00460036" w:rsidP="00822968">
            <w:r w:rsidRPr="00822968">
              <w:t>ARTG</w:t>
            </w:r>
          </w:p>
        </w:tc>
        <w:tc>
          <w:tcPr>
            <w:tcW w:w="6604" w:type="dxa"/>
          </w:tcPr>
          <w:p w14:paraId="1445B2F7" w14:textId="77777777" w:rsidR="00460036" w:rsidRPr="00822968" w:rsidRDefault="00460036" w:rsidP="00822968">
            <w:r w:rsidRPr="00822968">
              <w:t>Australian Register of Therapeutic Goods</w:t>
            </w:r>
          </w:p>
        </w:tc>
      </w:tr>
      <w:tr w:rsidR="00682576" w:rsidRPr="00822968" w14:paraId="0D3C8E92" w14:textId="77777777" w:rsidTr="00F65CE3">
        <w:tc>
          <w:tcPr>
            <w:tcW w:w="1890" w:type="dxa"/>
          </w:tcPr>
          <w:p w14:paraId="3F77E67B" w14:textId="44584FD6" w:rsidR="00682576" w:rsidRPr="00822968" w:rsidRDefault="00682576" w:rsidP="00822968">
            <w:r w:rsidRPr="00822968">
              <w:t>ASA</w:t>
            </w:r>
          </w:p>
        </w:tc>
        <w:tc>
          <w:tcPr>
            <w:tcW w:w="6604" w:type="dxa"/>
          </w:tcPr>
          <w:p w14:paraId="75D1D09A" w14:textId="34F88888" w:rsidR="00682576" w:rsidRPr="00822968" w:rsidRDefault="00682576" w:rsidP="00822968">
            <w:r w:rsidRPr="00822968">
              <w:t>Australia specific annex</w:t>
            </w:r>
          </w:p>
        </w:tc>
      </w:tr>
      <w:tr w:rsidR="009945B4" w:rsidRPr="00822968" w14:paraId="2B3A8786" w14:textId="77777777" w:rsidTr="00F65CE3">
        <w:tc>
          <w:tcPr>
            <w:tcW w:w="1890" w:type="dxa"/>
          </w:tcPr>
          <w:p w14:paraId="63AF4CDB" w14:textId="23DB8C4E" w:rsidR="009945B4" w:rsidRPr="00822968" w:rsidRDefault="009945B4" w:rsidP="00822968">
            <w:r w:rsidRPr="00822968">
              <w:t>AUC</w:t>
            </w:r>
          </w:p>
        </w:tc>
        <w:tc>
          <w:tcPr>
            <w:tcW w:w="6604" w:type="dxa"/>
          </w:tcPr>
          <w:p w14:paraId="57246B70" w14:textId="4D332283" w:rsidR="009945B4" w:rsidRPr="00822968" w:rsidRDefault="009945B4" w:rsidP="00822968">
            <w:r w:rsidRPr="00822968">
              <w:t>Area under the plasma concentration time curve</w:t>
            </w:r>
          </w:p>
        </w:tc>
      </w:tr>
      <w:tr w:rsidR="00F65CE3" w:rsidRPr="00822968" w14:paraId="6D2C0AF3" w14:textId="77777777" w:rsidTr="00F65CE3">
        <w:tc>
          <w:tcPr>
            <w:tcW w:w="1890" w:type="dxa"/>
          </w:tcPr>
          <w:p w14:paraId="5E64B8ED" w14:textId="4602260A" w:rsidR="00F65CE3" w:rsidRPr="00822968" w:rsidRDefault="00F65CE3" w:rsidP="00822968">
            <w:r w:rsidRPr="00F65CE3">
              <w:t>CHMP</w:t>
            </w:r>
          </w:p>
        </w:tc>
        <w:tc>
          <w:tcPr>
            <w:tcW w:w="6604" w:type="dxa"/>
          </w:tcPr>
          <w:p w14:paraId="591747D8" w14:textId="3DBFDCD9" w:rsidR="00F65CE3" w:rsidRPr="00822968" w:rsidRDefault="00F65CE3" w:rsidP="00822968">
            <w:r w:rsidRPr="00F65CE3">
              <w:t>Committee for Medicinal Products Human Use (</w:t>
            </w:r>
            <w:r>
              <w:t>European</w:t>
            </w:r>
            <w:r w:rsidR="00955C64">
              <w:t> </w:t>
            </w:r>
            <w:r>
              <w:t>Union</w:t>
            </w:r>
            <w:r w:rsidRPr="00F65CE3">
              <w:t>)</w:t>
            </w:r>
          </w:p>
        </w:tc>
      </w:tr>
      <w:tr w:rsidR="009945B4" w:rsidRPr="00822968" w14:paraId="74F96D8E" w14:textId="77777777" w:rsidTr="00F65CE3">
        <w:tc>
          <w:tcPr>
            <w:tcW w:w="1890" w:type="dxa"/>
          </w:tcPr>
          <w:p w14:paraId="7BF279F4" w14:textId="59AEB588" w:rsidR="009945B4" w:rsidRPr="00822968" w:rsidRDefault="009945B4" w:rsidP="00822968">
            <w:r w:rsidRPr="00822968">
              <w:t>C</w:t>
            </w:r>
            <w:r w:rsidRPr="00822968">
              <w:rPr>
                <w:vertAlign w:val="subscript"/>
              </w:rPr>
              <w:t>max</w:t>
            </w:r>
          </w:p>
        </w:tc>
        <w:tc>
          <w:tcPr>
            <w:tcW w:w="6604" w:type="dxa"/>
          </w:tcPr>
          <w:p w14:paraId="203D913C" w14:textId="5963C445" w:rsidR="009945B4" w:rsidRPr="00822968" w:rsidRDefault="009945B4" w:rsidP="00822968">
            <w:r w:rsidRPr="00822968">
              <w:t>Maximum plasma concentration</w:t>
            </w:r>
          </w:p>
        </w:tc>
      </w:tr>
      <w:tr w:rsidR="00DF6D9B" w:rsidRPr="00822968" w14:paraId="45E4FAA2" w14:textId="77777777" w:rsidTr="00F65CE3">
        <w:tc>
          <w:tcPr>
            <w:tcW w:w="1890" w:type="dxa"/>
          </w:tcPr>
          <w:p w14:paraId="5BD0A178" w14:textId="4A772410" w:rsidR="00DF6D9B" w:rsidRPr="00822968" w:rsidRDefault="00DF6D9B" w:rsidP="00822968">
            <w:r w:rsidRPr="00822968">
              <w:t>CMI</w:t>
            </w:r>
          </w:p>
        </w:tc>
        <w:tc>
          <w:tcPr>
            <w:tcW w:w="6604" w:type="dxa"/>
          </w:tcPr>
          <w:p w14:paraId="6DCF5461" w14:textId="17EEF909" w:rsidR="00DF6D9B" w:rsidRPr="00822968" w:rsidRDefault="00DF6D9B" w:rsidP="00822968">
            <w:r w:rsidRPr="00822968">
              <w:t>Consumer Medicines Information</w:t>
            </w:r>
          </w:p>
        </w:tc>
      </w:tr>
      <w:tr w:rsidR="00F65CE3" w:rsidRPr="00822968" w14:paraId="7C0C946A" w14:textId="77777777" w:rsidTr="00F65CE3">
        <w:tc>
          <w:tcPr>
            <w:tcW w:w="1890" w:type="dxa"/>
          </w:tcPr>
          <w:p w14:paraId="002B023A" w14:textId="5031F0A4" w:rsidR="00F65CE3" w:rsidRPr="00822968" w:rsidRDefault="00F65CE3" w:rsidP="00822968">
            <w:r w:rsidRPr="00F65CE3">
              <w:t>CPMP</w:t>
            </w:r>
          </w:p>
        </w:tc>
        <w:tc>
          <w:tcPr>
            <w:tcW w:w="6604" w:type="dxa"/>
          </w:tcPr>
          <w:p w14:paraId="0D010AEB" w14:textId="048841D5" w:rsidR="00F65CE3" w:rsidRPr="00822968" w:rsidRDefault="00F65CE3" w:rsidP="00822968">
            <w:r w:rsidRPr="00F65CE3">
              <w:t>Committee for Proprietary Medicinal Products (</w:t>
            </w:r>
            <w:r>
              <w:t>European</w:t>
            </w:r>
            <w:r w:rsidR="00955C64">
              <w:t> </w:t>
            </w:r>
            <w:r>
              <w:t>Union</w:t>
            </w:r>
            <w:r w:rsidRPr="00F65CE3">
              <w:t>)</w:t>
            </w:r>
          </w:p>
        </w:tc>
      </w:tr>
      <w:tr w:rsidR="00641AF5" w:rsidRPr="00822968" w14:paraId="1B86E226" w14:textId="77777777" w:rsidTr="00F65CE3">
        <w:tc>
          <w:tcPr>
            <w:tcW w:w="1890" w:type="dxa"/>
          </w:tcPr>
          <w:p w14:paraId="202E22B6" w14:textId="04E280A6" w:rsidR="00641AF5" w:rsidRPr="00822968" w:rsidRDefault="00641AF5" w:rsidP="00822968">
            <w:proofErr w:type="spellStart"/>
            <w:r w:rsidRPr="00822968">
              <w:t>CRSsNP</w:t>
            </w:r>
            <w:proofErr w:type="spellEnd"/>
          </w:p>
        </w:tc>
        <w:tc>
          <w:tcPr>
            <w:tcW w:w="6604" w:type="dxa"/>
          </w:tcPr>
          <w:p w14:paraId="24F664D4" w14:textId="098C721F" w:rsidR="00641AF5" w:rsidRPr="00822968" w:rsidRDefault="00641AF5" w:rsidP="00822968">
            <w:r w:rsidRPr="00822968">
              <w:t>Chronic rhinosinusitis without nasal polyps</w:t>
            </w:r>
          </w:p>
        </w:tc>
      </w:tr>
      <w:tr w:rsidR="00FD119B" w:rsidRPr="00822968" w14:paraId="687F679B" w14:textId="77777777" w:rsidTr="00F65CE3">
        <w:tc>
          <w:tcPr>
            <w:tcW w:w="1890" w:type="dxa"/>
          </w:tcPr>
          <w:p w14:paraId="0A544139" w14:textId="108EC19B" w:rsidR="00FD119B" w:rsidRPr="00822968" w:rsidRDefault="00641AF5" w:rsidP="00822968">
            <w:r w:rsidRPr="00822968">
              <w:t>CRSwNP</w:t>
            </w:r>
          </w:p>
        </w:tc>
        <w:tc>
          <w:tcPr>
            <w:tcW w:w="6604" w:type="dxa"/>
          </w:tcPr>
          <w:p w14:paraId="5D56DD94" w14:textId="60B20EE6" w:rsidR="00FD119B" w:rsidRPr="00822968" w:rsidRDefault="00641AF5" w:rsidP="00822968">
            <w:r w:rsidRPr="00822968">
              <w:t>Chronic rhinosinusitis with nasal polyps</w:t>
            </w:r>
          </w:p>
        </w:tc>
      </w:tr>
      <w:tr w:rsidR="003D65CB" w:rsidRPr="00822968" w14:paraId="1EC374A3" w14:textId="77777777" w:rsidTr="00F65CE3">
        <w:tc>
          <w:tcPr>
            <w:tcW w:w="1890" w:type="dxa"/>
          </w:tcPr>
          <w:p w14:paraId="5B6F8BDB" w14:textId="54570C60" w:rsidR="003D65CB" w:rsidRPr="00822968" w:rsidRDefault="003D65CB" w:rsidP="00822968">
            <w:r w:rsidRPr="00822968">
              <w:t>CT</w:t>
            </w:r>
          </w:p>
        </w:tc>
        <w:tc>
          <w:tcPr>
            <w:tcW w:w="6604" w:type="dxa"/>
          </w:tcPr>
          <w:p w14:paraId="615541A0" w14:textId="63D23AA1" w:rsidR="003D65CB" w:rsidRPr="00822968" w:rsidRDefault="003D65CB" w:rsidP="00822968">
            <w:r w:rsidRPr="00822968">
              <w:t>Computerised tomography</w:t>
            </w:r>
          </w:p>
        </w:tc>
      </w:tr>
      <w:tr w:rsidR="003467D1" w:rsidRPr="00822968" w14:paraId="47DDB871" w14:textId="77777777" w:rsidTr="00F65CE3">
        <w:tc>
          <w:tcPr>
            <w:tcW w:w="1890" w:type="dxa"/>
          </w:tcPr>
          <w:p w14:paraId="6CBA3893" w14:textId="5B4AAC0D" w:rsidR="003467D1" w:rsidRPr="00822968" w:rsidRDefault="003467D1" w:rsidP="00822968">
            <w:proofErr w:type="spellStart"/>
            <w:r w:rsidRPr="00822968">
              <w:t>C</w:t>
            </w:r>
            <w:r w:rsidRPr="00822968">
              <w:rPr>
                <w:vertAlign w:val="subscript"/>
              </w:rPr>
              <w:t>trough</w:t>
            </w:r>
            <w:proofErr w:type="spellEnd"/>
          </w:p>
        </w:tc>
        <w:tc>
          <w:tcPr>
            <w:tcW w:w="6604" w:type="dxa"/>
          </w:tcPr>
          <w:p w14:paraId="3F1947A1" w14:textId="4EFFB6D0" w:rsidR="003467D1" w:rsidRPr="00822968" w:rsidRDefault="003467D1" w:rsidP="00822968">
            <w:r w:rsidRPr="00822968">
              <w:t>Trough concentration</w:t>
            </w:r>
          </w:p>
        </w:tc>
      </w:tr>
      <w:tr w:rsidR="00682576" w:rsidRPr="00822968" w14:paraId="3C6920EB" w14:textId="77777777" w:rsidTr="00F65CE3">
        <w:tc>
          <w:tcPr>
            <w:tcW w:w="1890" w:type="dxa"/>
          </w:tcPr>
          <w:p w14:paraId="49DF8C97" w14:textId="21E00E3F" w:rsidR="00682576" w:rsidRPr="00822968" w:rsidRDefault="00682576" w:rsidP="00822968">
            <w:r w:rsidRPr="00822968">
              <w:t>DLP</w:t>
            </w:r>
          </w:p>
        </w:tc>
        <w:tc>
          <w:tcPr>
            <w:tcW w:w="6604" w:type="dxa"/>
          </w:tcPr>
          <w:p w14:paraId="20216695" w14:textId="3030B117" w:rsidR="00682576" w:rsidRPr="00822968" w:rsidRDefault="00682576" w:rsidP="00822968">
            <w:r w:rsidRPr="00822968">
              <w:t>Data lock point</w:t>
            </w:r>
          </w:p>
        </w:tc>
      </w:tr>
      <w:tr w:rsidR="009945B4" w:rsidRPr="00822968" w14:paraId="45C24136" w14:textId="77777777" w:rsidTr="00F65CE3">
        <w:tc>
          <w:tcPr>
            <w:tcW w:w="1890" w:type="dxa"/>
          </w:tcPr>
          <w:p w14:paraId="6571D4F8" w14:textId="723F5C06" w:rsidR="009945B4" w:rsidRPr="00822968" w:rsidRDefault="009945B4" w:rsidP="00822968">
            <w:r w:rsidRPr="00822968">
              <w:t>EASI</w:t>
            </w:r>
          </w:p>
        </w:tc>
        <w:tc>
          <w:tcPr>
            <w:tcW w:w="6604" w:type="dxa"/>
          </w:tcPr>
          <w:p w14:paraId="5B040F0D" w14:textId="7DC4191B" w:rsidR="009945B4" w:rsidRPr="00822968" w:rsidRDefault="009945B4" w:rsidP="00822968">
            <w:r w:rsidRPr="00822968">
              <w:t xml:space="preserve">Eczema </w:t>
            </w:r>
            <w:r w:rsidR="00955C64">
              <w:t>A</w:t>
            </w:r>
            <w:r w:rsidRPr="00822968">
              <w:t xml:space="preserve">rea and </w:t>
            </w:r>
            <w:r w:rsidR="00955C64">
              <w:t>S</w:t>
            </w:r>
            <w:r w:rsidRPr="00822968">
              <w:t xml:space="preserve">everity </w:t>
            </w:r>
            <w:r w:rsidR="00955C64">
              <w:t>I</w:t>
            </w:r>
            <w:r w:rsidRPr="00822968">
              <w:t>ndex</w:t>
            </w:r>
          </w:p>
        </w:tc>
      </w:tr>
      <w:tr w:rsidR="00682576" w:rsidRPr="00822968" w14:paraId="7DBDD521" w14:textId="77777777" w:rsidTr="00F65CE3">
        <w:tc>
          <w:tcPr>
            <w:tcW w:w="1890" w:type="dxa"/>
          </w:tcPr>
          <w:p w14:paraId="0422506B" w14:textId="26D1355F" w:rsidR="00682576" w:rsidRPr="00822968" w:rsidRDefault="00682576" w:rsidP="00822968">
            <w:r w:rsidRPr="00822968">
              <w:t>EASI-75</w:t>
            </w:r>
          </w:p>
        </w:tc>
        <w:tc>
          <w:tcPr>
            <w:tcW w:w="6604" w:type="dxa"/>
          </w:tcPr>
          <w:p w14:paraId="3373D4F7" w14:textId="741D57BD" w:rsidR="00682576" w:rsidRPr="00822968" w:rsidRDefault="00682576" w:rsidP="00822968">
            <w:r w:rsidRPr="00822968">
              <w:t xml:space="preserve">75% improvement from Baseline in </w:t>
            </w:r>
            <w:r w:rsidR="00955C64">
              <w:t>E</w:t>
            </w:r>
            <w:r w:rsidR="00F9258A" w:rsidRPr="00822968">
              <w:t xml:space="preserve">czema </w:t>
            </w:r>
            <w:r w:rsidR="00955C64">
              <w:t>A</w:t>
            </w:r>
            <w:r w:rsidR="00F9258A" w:rsidRPr="00822968">
              <w:t xml:space="preserve">rea and </w:t>
            </w:r>
            <w:r w:rsidR="00955C64">
              <w:t>S</w:t>
            </w:r>
            <w:r w:rsidR="00F9258A" w:rsidRPr="00822968">
              <w:t xml:space="preserve">everity </w:t>
            </w:r>
            <w:r w:rsidR="00955C64">
              <w:t>I</w:t>
            </w:r>
            <w:r w:rsidR="00F9258A" w:rsidRPr="00822968">
              <w:t>ndex</w:t>
            </w:r>
          </w:p>
        </w:tc>
      </w:tr>
      <w:tr w:rsidR="00DF6D9B" w:rsidRPr="00822968" w14:paraId="6675EFAA" w14:textId="77777777" w:rsidTr="00F65CE3">
        <w:tc>
          <w:tcPr>
            <w:tcW w:w="1890" w:type="dxa"/>
          </w:tcPr>
          <w:p w14:paraId="03C079BE" w14:textId="1A257DD4" w:rsidR="00DF6D9B" w:rsidRPr="00822968" w:rsidRDefault="00DF6D9B" w:rsidP="00822968">
            <w:r w:rsidRPr="00822968">
              <w:t>EC</w:t>
            </w:r>
            <w:r w:rsidRPr="00822968">
              <w:rPr>
                <w:vertAlign w:val="subscript"/>
              </w:rPr>
              <w:t>50</w:t>
            </w:r>
          </w:p>
        </w:tc>
        <w:tc>
          <w:tcPr>
            <w:tcW w:w="6604" w:type="dxa"/>
          </w:tcPr>
          <w:p w14:paraId="0A0B16CA" w14:textId="4E28689C" w:rsidR="00DF6D9B" w:rsidRPr="00822968" w:rsidRDefault="00DF6D9B" w:rsidP="00822968">
            <w:r w:rsidRPr="00822968">
              <w:t xml:space="preserve">Half </w:t>
            </w:r>
            <w:r w:rsidR="00955C64">
              <w:t xml:space="preserve">(50%) </w:t>
            </w:r>
            <w:r w:rsidRPr="00822968">
              <w:t>maximal effective concentration</w:t>
            </w:r>
          </w:p>
        </w:tc>
      </w:tr>
      <w:tr w:rsidR="00DF6D9B" w:rsidRPr="00822968" w14:paraId="39112C1F" w14:textId="77777777" w:rsidTr="00F65CE3">
        <w:tc>
          <w:tcPr>
            <w:tcW w:w="1890" w:type="dxa"/>
          </w:tcPr>
          <w:p w14:paraId="093E8670" w14:textId="269F2D6F" w:rsidR="00DF6D9B" w:rsidRPr="00822968" w:rsidRDefault="00DF6D9B" w:rsidP="00822968">
            <w:r w:rsidRPr="00822968">
              <w:t>EC</w:t>
            </w:r>
            <w:r w:rsidRPr="00822968">
              <w:rPr>
                <w:vertAlign w:val="subscript"/>
              </w:rPr>
              <w:t>90</w:t>
            </w:r>
          </w:p>
        </w:tc>
        <w:tc>
          <w:tcPr>
            <w:tcW w:w="6604" w:type="dxa"/>
          </w:tcPr>
          <w:p w14:paraId="3EB82285" w14:textId="56560653" w:rsidR="00DF6D9B" w:rsidRPr="00822968" w:rsidRDefault="00DF6D9B" w:rsidP="00822968">
            <w:r w:rsidRPr="00822968">
              <w:t>90% maximal effective concentration</w:t>
            </w:r>
          </w:p>
        </w:tc>
      </w:tr>
      <w:tr w:rsidR="003D65CB" w:rsidRPr="00822968" w14:paraId="26EFABF1" w14:textId="77777777" w:rsidTr="00F65CE3">
        <w:tc>
          <w:tcPr>
            <w:tcW w:w="1890" w:type="dxa"/>
          </w:tcPr>
          <w:p w14:paraId="53CBBFE3" w14:textId="42A6C118" w:rsidR="003D65CB" w:rsidRPr="00822968" w:rsidRDefault="003D65CB" w:rsidP="00822968">
            <w:r w:rsidRPr="00822968">
              <w:t>EM</w:t>
            </w:r>
            <w:r w:rsidR="00F65CE3">
              <w:t>(E)</w:t>
            </w:r>
            <w:r w:rsidRPr="00822968">
              <w:t>A</w:t>
            </w:r>
          </w:p>
        </w:tc>
        <w:tc>
          <w:tcPr>
            <w:tcW w:w="6604" w:type="dxa"/>
          </w:tcPr>
          <w:p w14:paraId="4A8D39D0" w14:textId="2E218DF8" w:rsidR="003D65CB" w:rsidRPr="00822968" w:rsidRDefault="003D65CB" w:rsidP="00822968">
            <w:r w:rsidRPr="00822968">
              <w:t xml:space="preserve">European Medicines </w:t>
            </w:r>
            <w:r w:rsidR="00F65CE3">
              <w:t>(</w:t>
            </w:r>
            <w:r w:rsidR="00F65CE3" w:rsidRPr="00F65CE3">
              <w:t>Evaluation</w:t>
            </w:r>
            <w:r w:rsidR="00F65CE3">
              <w:t>)</w:t>
            </w:r>
            <w:r w:rsidR="00F65CE3" w:rsidRPr="00F65CE3">
              <w:t xml:space="preserve"> </w:t>
            </w:r>
            <w:r w:rsidRPr="00822968">
              <w:t>Agency (European Union)</w:t>
            </w:r>
          </w:p>
        </w:tc>
      </w:tr>
      <w:tr w:rsidR="00641AF5" w:rsidRPr="00822968" w14:paraId="272F0E15" w14:textId="77777777" w:rsidTr="00F65CE3">
        <w:tc>
          <w:tcPr>
            <w:tcW w:w="1890" w:type="dxa"/>
          </w:tcPr>
          <w:p w14:paraId="46F0D406" w14:textId="5063BF88" w:rsidR="00641AF5" w:rsidRPr="00822968" w:rsidRDefault="00641AF5" w:rsidP="00822968">
            <w:r w:rsidRPr="00822968">
              <w:t>EU</w:t>
            </w:r>
          </w:p>
        </w:tc>
        <w:tc>
          <w:tcPr>
            <w:tcW w:w="6604" w:type="dxa"/>
          </w:tcPr>
          <w:p w14:paraId="2002D195" w14:textId="7740D781" w:rsidR="00641AF5" w:rsidRPr="00822968" w:rsidRDefault="00641AF5" w:rsidP="00822968">
            <w:r w:rsidRPr="00822968">
              <w:t>European Union</w:t>
            </w:r>
          </w:p>
        </w:tc>
      </w:tr>
      <w:tr w:rsidR="00682576" w:rsidRPr="00822968" w14:paraId="56D0320E" w14:textId="77777777" w:rsidTr="00F65CE3">
        <w:tc>
          <w:tcPr>
            <w:tcW w:w="1890" w:type="dxa"/>
          </w:tcPr>
          <w:p w14:paraId="7EE25B52" w14:textId="1C347994" w:rsidR="00682576" w:rsidRPr="00822968" w:rsidRDefault="00682576" w:rsidP="00822968">
            <w:r w:rsidRPr="00822968">
              <w:t>FDA</w:t>
            </w:r>
          </w:p>
        </w:tc>
        <w:tc>
          <w:tcPr>
            <w:tcW w:w="6604" w:type="dxa"/>
          </w:tcPr>
          <w:p w14:paraId="4CD65D90" w14:textId="49EEC7C0" w:rsidR="00682576" w:rsidRPr="00822968" w:rsidRDefault="00682576" w:rsidP="00822968">
            <w:r w:rsidRPr="00822968">
              <w:t>Food and Drug Administration (United States of America)</w:t>
            </w:r>
          </w:p>
        </w:tc>
      </w:tr>
      <w:tr w:rsidR="00F65CE3" w:rsidRPr="00822968" w14:paraId="0CE5BA2E" w14:textId="77777777" w:rsidTr="00F65CE3">
        <w:tc>
          <w:tcPr>
            <w:tcW w:w="1890" w:type="dxa"/>
          </w:tcPr>
          <w:p w14:paraId="1B08A87B" w14:textId="07542F2F" w:rsidR="00F65CE3" w:rsidRPr="00822968" w:rsidRDefault="00F65CE3" w:rsidP="00822968">
            <w:r w:rsidRPr="00F65CE3">
              <w:t>GINA</w:t>
            </w:r>
          </w:p>
        </w:tc>
        <w:tc>
          <w:tcPr>
            <w:tcW w:w="6604" w:type="dxa"/>
          </w:tcPr>
          <w:p w14:paraId="36343BC5" w14:textId="31C95AFD" w:rsidR="00F65CE3" w:rsidRPr="00822968" w:rsidRDefault="00F65CE3" w:rsidP="00822968">
            <w:r w:rsidRPr="00F65CE3">
              <w:t>Global Initiative for Asthma</w:t>
            </w:r>
          </w:p>
        </w:tc>
      </w:tr>
      <w:tr w:rsidR="00DF6D9B" w:rsidRPr="00822968" w14:paraId="3BF1478E" w14:textId="77777777" w:rsidTr="00F65CE3">
        <w:tc>
          <w:tcPr>
            <w:tcW w:w="1890" w:type="dxa"/>
          </w:tcPr>
          <w:p w14:paraId="16CA0E97" w14:textId="60BC0110" w:rsidR="00DF6D9B" w:rsidRPr="00822968" w:rsidRDefault="00DF6D9B" w:rsidP="00822968">
            <w:r w:rsidRPr="00822968">
              <w:t>GVP</w:t>
            </w:r>
          </w:p>
        </w:tc>
        <w:tc>
          <w:tcPr>
            <w:tcW w:w="6604" w:type="dxa"/>
          </w:tcPr>
          <w:p w14:paraId="609E8215" w14:textId="641852BC" w:rsidR="00DF6D9B" w:rsidRPr="00822968" w:rsidRDefault="00DF6D9B" w:rsidP="00822968">
            <w:r w:rsidRPr="00822968">
              <w:t>Good Pharmacovigilance Practice(s)</w:t>
            </w:r>
          </w:p>
        </w:tc>
      </w:tr>
      <w:tr w:rsidR="009945B4" w:rsidRPr="00822968" w14:paraId="641492F4" w14:textId="77777777" w:rsidTr="00F65CE3">
        <w:tc>
          <w:tcPr>
            <w:tcW w:w="1890" w:type="dxa"/>
          </w:tcPr>
          <w:p w14:paraId="4939EE4C" w14:textId="5F74F797" w:rsidR="009945B4" w:rsidRPr="00822968" w:rsidRDefault="009945B4" w:rsidP="00822968">
            <w:r w:rsidRPr="00822968">
              <w:lastRenderedPageBreak/>
              <w:t>IGA</w:t>
            </w:r>
          </w:p>
        </w:tc>
        <w:tc>
          <w:tcPr>
            <w:tcW w:w="6604" w:type="dxa"/>
          </w:tcPr>
          <w:p w14:paraId="4E77C6DB" w14:textId="546DF966" w:rsidR="009945B4" w:rsidRPr="00822968" w:rsidRDefault="009945B4" w:rsidP="00955C64">
            <w:r w:rsidRPr="00822968">
              <w:t xml:space="preserve">Investigator’s </w:t>
            </w:r>
            <w:r w:rsidR="00955C64">
              <w:t>G</w:t>
            </w:r>
            <w:r w:rsidR="00955C64" w:rsidRPr="00822968">
              <w:t xml:space="preserve">lobal </w:t>
            </w:r>
            <w:r w:rsidR="00955C64">
              <w:t>A</w:t>
            </w:r>
            <w:r w:rsidRPr="00822968">
              <w:t>ssessment</w:t>
            </w:r>
          </w:p>
        </w:tc>
      </w:tr>
      <w:tr w:rsidR="00FD119B" w:rsidRPr="00822968" w14:paraId="7FE814E0" w14:textId="77777777" w:rsidTr="00F65CE3">
        <w:tc>
          <w:tcPr>
            <w:tcW w:w="1890" w:type="dxa"/>
          </w:tcPr>
          <w:p w14:paraId="7AB69446" w14:textId="20885327" w:rsidR="00FD119B" w:rsidRPr="00822968" w:rsidRDefault="00641AF5" w:rsidP="00822968">
            <w:r w:rsidRPr="00822968">
              <w:t>IL</w:t>
            </w:r>
          </w:p>
        </w:tc>
        <w:tc>
          <w:tcPr>
            <w:tcW w:w="6604" w:type="dxa"/>
          </w:tcPr>
          <w:p w14:paraId="49634202" w14:textId="6469F751" w:rsidR="00FD119B" w:rsidRPr="00822968" w:rsidRDefault="00641AF5" w:rsidP="00822968">
            <w:bookmarkStart w:id="8" w:name="_Hlk99126458"/>
            <w:r w:rsidRPr="00822968">
              <w:t>Interleukin</w:t>
            </w:r>
            <w:bookmarkEnd w:id="8"/>
          </w:p>
        </w:tc>
      </w:tr>
      <w:tr w:rsidR="009945B4" w:rsidRPr="00822968" w14:paraId="4743844F" w14:textId="77777777" w:rsidTr="00F65CE3">
        <w:tc>
          <w:tcPr>
            <w:tcW w:w="1890" w:type="dxa"/>
          </w:tcPr>
          <w:p w14:paraId="729A4703" w14:textId="2439B70C" w:rsidR="009945B4" w:rsidRPr="00822968" w:rsidRDefault="009945B4" w:rsidP="00822968">
            <w:r w:rsidRPr="00822968">
              <w:t>LS</w:t>
            </w:r>
          </w:p>
        </w:tc>
        <w:tc>
          <w:tcPr>
            <w:tcW w:w="6604" w:type="dxa"/>
          </w:tcPr>
          <w:p w14:paraId="23A33561" w14:textId="1B853340" w:rsidR="009945B4" w:rsidRPr="00822968" w:rsidRDefault="009945B4" w:rsidP="00822968">
            <w:r w:rsidRPr="00822968">
              <w:t>Least squares</w:t>
            </w:r>
          </w:p>
        </w:tc>
      </w:tr>
      <w:tr w:rsidR="00D86966" w:rsidRPr="00822968" w14:paraId="0798AC0F" w14:textId="77777777" w:rsidTr="00F65CE3">
        <w:tc>
          <w:tcPr>
            <w:tcW w:w="1890" w:type="dxa"/>
          </w:tcPr>
          <w:p w14:paraId="266461E2" w14:textId="5C92836A" w:rsidR="00D86966" w:rsidRPr="00822968" w:rsidRDefault="00D86966" w:rsidP="00822968">
            <w:proofErr w:type="spellStart"/>
            <w:r w:rsidRPr="00822968">
              <w:t>mFAS</w:t>
            </w:r>
            <w:proofErr w:type="spellEnd"/>
          </w:p>
        </w:tc>
        <w:tc>
          <w:tcPr>
            <w:tcW w:w="6604" w:type="dxa"/>
          </w:tcPr>
          <w:p w14:paraId="740BE68D" w14:textId="4E2D8B78" w:rsidR="00D86966" w:rsidRPr="00822968" w:rsidRDefault="00D86966" w:rsidP="00822968">
            <w:r>
              <w:t>M</w:t>
            </w:r>
            <w:r w:rsidRPr="00D86966">
              <w:t>odified full analysis set</w:t>
            </w:r>
          </w:p>
        </w:tc>
      </w:tr>
      <w:tr w:rsidR="003D65CB" w:rsidRPr="00822968" w14:paraId="61FBD155" w14:textId="77777777" w:rsidTr="00F65CE3">
        <w:tc>
          <w:tcPr>
            <w:tcW w:w="1890" w:type="dxa"/>
          </w:tcPr>
          <w:p w14:paraId="2AC4FCF6" w14:textId="3A054766" w:rsidR="003D65CB" w:rsidRPr="00822968" w:rsidRDefault="003D65CB" w:rsidP="00822968">
            <w:r w:rsidRPr="00822968">
              <w:t>NPS</w:t>
            </w:r>
          </w:p>
        </w:tc>
        <w:tc>
          <w:tcPr>
            <w:tcW w:w="6604" w:type="dxa"/>
          </w:tcPr>
          <w:p w14:paraId="622935A4" w14:textId="77D08763" w:rsidR="003D65CB" w:rsidRPr="00822968" w:rsidRDefault="003D65CB" w:rsidP="00822968">
            <w:r w:rsidRPr="00822968">
              <w:t>Nasal polyps score</w:t>
            </w:r>
          </w:p>
        </w:tc>
      </w:tr>
      <w:tr w:rsidR="003D65CB" w:rsidRPr="00822968" w14:paraId="7A5FE4FA" w14:textId="77777777" w:rsidTr="00F65CE3">
        <w:tc>
          <w:tcPr>
            <w:tcW w:w="1890" w:type="dxa"/>
          </w:tcPr>
          <w:p w14:paraId="51D2A017" w14:textId="26D2851E" w:rsidR="003D65CB" w:rsidRPr="00822968" w:rsidRDefault="003D65CB" w:rsidP="00822968">
            <w:r w:rsidRPr="00822968">
              <w:t>NSAID-ERD</w:t>
            </w:r>
          </w:p>
        </w:tc>
        <w:tc>
          <w:tcPr>
            <w:tcW w:w="6604" w:type="dxa"/>
          </w:tcPr>
          <w:p w14:paraId="1854702B" w14:textId="48258B26" w:rsidR="003D65CB" w:rsidRPr="00822968" w:rsidRDefault="003D65CB" w:rsidP="00822968">
            <w:r w:rsidRPr="00822968">
              <w:t>Nonsteroidal anti-inflammatory drug exacerbated-respiratory disease</w:t>
            </w:r>
          </w:p>
        </w:tc>
      </w:tr>
      <w:tr w:rsidR="00D86966" w:rsidRPr="00822968" w14:paraId="1A36C79E" w14:textId="77777777" w:rsidTr="00F65CE3">
        <w:tc>
          <w:tcPr>
            <w:tcW w:w="1890" w:type="dxa"/>
          </w:tcPr>
          <w:p w14:paraId="5ED2D82C" w14:textId="325EDE3A" w:rsidR="00D86966" w:rsidRPr="00822968" w:rsidRDefault="00D86966" w:rsidP="00D86966">
            <w:r w:rsidRPr="00822968">
              <w:t>PI</w:t>
            </w:r>
          </w:p>
        </w:tc>
        <w:tc>
          <w:tcPr>
            <w:tcW w:w="6604" w:type="dxa"/>
          </w:tcPr>
          <w:p w14:paraId="59BBF1C4" w14:textId="7C8012A3" w:rsidR="00D86966" w:rsidRPr="00822968" w:rsidRDefault="00D86966" w:rsidP="00D86966">
            <w:r w:rsidRPr="00822968">
              <w:t>Product Information</w:t>
            </w:r>
          </w:p>
        </w:tc>
      </w:tr>
      <w:tr w:rsidR="00D86966" w:rsidRPr="00822968" w14:paraId="72BCFA94" w14:textId="77777777" w:rsidTr="00F65CE3">
        <w:tc>
          <w:tcPr>
            <w:tcW w:w="1890" w:type="dxa"/>
          </w:tcPr>
          <w:p w14:paraId="58E0A205" w14:textId="7D78D2CC" w:rsidR="00D86966" w:rsidRPr="00822968" w:rsidRDefault="00D86966" w:rsidP="00D86966">
            <w:r w:rsidRPr="00822968">
              <w:t>PK</w:t>
            </w:r>
          </w:p>
        </w:tc>
        <w:tc>
          <w:tcPr>
            <w:tcW w:w="6604" w:type="dxa"/>
          </w:tcPr>
          <w:p w14:paraId="3CB47A1A" w14:textId="55FF4295" w:rsidR="00D86966" w:rsidRPr="00822968" w:rsidRDefault="00D86966" w:rsidP="00D86966">
            <w:r w:rsidRPr="00822968">
              <w:t>Pharmacokinetic(s)</w:t>
            </w:r>
          </w:p>
        </w:tc>
      </w:tr>
      <w:tr w:rsidR="00D86966" w:rsidRPr="00822968" w14:paraId="5A7CF691" w14:textId="77777777" w:rsidTr="00F65CE3">
        <w:tc>
          <w:tcPr>
            <w:tcW w:w="1890" w:type="dxa"/>
          </w:tcPr>
          <w:p w14:paraId="093A6B25" w14:textId="7DEB9A43" w:rsidR="00D86966" w:rsidRPr="00822968" w:rsidRDefault="00D86966" w:rsidP="00D86966">
            <w:proofErr w:type="spellStart"/>
            <w:r w:rsidRPr="00822968">
              <w:t>popPK</w:t>
            </w:r>
            <w:proofErr w:type="spellEnd"/>
          </w:p>
        </w:tc>
        <w:tc>
          <w:tcPr>
            <w:tcW w:w="6604" w:type="dxa"/>
          </w:tcPr>
          <w:p w14:paraId="212D1B4C" w14:textId="4804987A" w:rsidR="00D86966" w:rsidRPr="00822968" w:rsidRDefault="00D86966" w:rsidP="00D86966">
            <w:r w:rsidRPr="00822968">
              <w:t>Population pharmacokinetic(s)</w:t>
            </w:r>
          </w:p>
        </w:tc>
      </w:tr>
      <w:tr w:rsidR="00D86966" w:rsidRPr="00822968" w14:paraId="65B6D697" w14:textId="77777777" w:rsidTr="00F65CE3">
        <w:tc>
          <w:tcPr>
            <w:tcW w:w="1890" w:type="dxa"/>
          </w:tcPr>
          <w:p w14:paraId="21703D14" w14:textId="1D6831A9" w:rsidR="00D86966" w:rsidRPr="00822968" w:rsidRDefault="00D86966" w:rsidP="00D86966">
            <w:r w:rsidRPr="00822968">
              <w:t>PSUR</w:t>
            </w:r>
          </w:p>
        </w:tc>
        <w:tc>
          <w:tcPr>
            <w:tcW w:w="6604" w:type="dxa"/>
          </w:tcPr>
          <w:p w14:paraId="69E3DD8A" w14:textId="61EF1036" w:rsidR="00D86966" w:rsidRPr="00822968" w:rsidRDefault="00D86966" w:rsidP="00D86966">
            <w:r w:rsidRPr="00822968">
              <w:t>Periodic safety update report</w:t>
            </w:r>
          </w:p>
        </w:tc>
      </w:tr>
      <w:tr w:rsidR="00D86966" w:rsidRPr="00822968" w14:paraId="4A81AD26" w14:textId="77777777" w:rsidTr="00F65CE3">
        <w:tc>
          <w:tcPr>
            <w:tcW w:w="1890" w:type="dxa"/>
          </w:tcPr>
          <w:p w14:paraId="484C60A4" w14:textId="6896FD24" w:rsidR="00D86966" w:rsidRPr="00822968" w:rsidRDefault="00D86966" w:rsidP="00D86966">
            <w:r w:rsidRPr="00822968">
              <w:t>RMP</w:t>
            </w:r>
          </w:p>
        </w:tc>
        <w:tc>
          <w:tcPr>
            <w:tcW w:w="6604" w:type="dxa"/>
          </w:tcPr>
          <w:p w14:paraId="35243E95" w14:textId="2F027689" w:rsidR="00D86966" w:rsidRPr="00822968" w:rsidRDefault="00D86966" w:rsidP="00D86966">
            <w:r w:rsidRPr="00822968">
              <w:t>Risk management plan</w:t>
            </w:r>
          </w:p>
        </w:tc>
      </w:tr>
      <w:tr w:rsidR="00D86966" w:rsidRPr="00822968" w14:paraId="29D9A86F" w14:textId="77777777" w:rsidTr="00F65CE3">
        <w:tc>
          <w:tcPr>
            <w:tcW w:w="1890" w:type="dxa"/>
          </w:tcPr>
          <w:p w14:paraId="5B743899" w14:textId="49353643" w:rsidR="00D86966" w:rsidRPr="00822968" w:rsidRDefault="00D86966" w:rsidP="00D86966">
            <w:r w:rsidRPr="00822968">
              <w:t>SmPC</w:t>
            </w:r>
          </w:p>
        </w:tc>
        <w:tc>
          <w:tcPr>
            <w:tcW w:w="6604" w:type="dxa"/>
          </w:tcPr>
          <w:p w14:paraId="14AC1CCD" w14:textId="659DC6F8" w:rsidR="00D86966" w:rsidRPr="00822968" w:rsidRDefault="00D86966" w:rsidP="00D86966">
            <w:r w:rsidRPr="00822968">
              <w:t xml:space="preserve">Summary of </w:t>
            </w:r>
            <w:r w:rsidR="00955C64">
              <w:t>P</w:t>
            </w:r>
            <w:r w:rsidRPr="00822968">
              <w:t xml:space="preserve">roduct </w:t>
            </w:r>
            <w:r w:rsidR="00955C64">
              <w:t>C</w:t>
            </w:r>
            <w:r w:rsidRPr="00822968">
              <w:t>haracteristics (European Union)</w:t>
            </w:r>
          </w:p>
        </w:tc>
      </w:tr>
      <w:tr w:rsidR="00D86966" w:rsidRPr="00822968" w14:paraId="2A2270E5" w14:textId="77777777" w:rsidTr="00F65CE3">
        <w:tc>
          <w:tcPr>
            <w:tcW w:w="1890" w:type="dxa"/>
          </w:tcPr>
          <w:p w14:paraId="6C07A57A" w14:textId="3543E814" w:rsidR="00D86966" w:rsidRPr="00822968" w:rsidRDefault="00D86966" w:rsidP="00D86966">
            <w:r w:rsidRPr="00822968">
              <w:t>SNOT-22</w:t>
            </w:r>
          </w:p>
        </w:tc>
        <w:tc>
          <w:tcPr>
            <w:tcW w:w="6604" w:type="dxa"/>
          </w:tcPr>
          <w:p w14:paraId="7C642D15" w14:textId="0172E266" w:rsidR="00D86966" w:rsidRPr="00822968" w:rsidRDefault="00955C64" w:rsidP="00D86966">
            <w:r>
              <w:t>S</w:t>
            </w:r>
            <w:r w:rsidR="00D86966" w:rsidRPr="00822968">
              <w:t>ino-</w:t>
            </w:r>
            <w:r>
              <w:t>N</w:t>
            </w:r>
            <w:r w:rsidR="00D86966" w:rsidRPr="00822968">
              <w:t xml:space="preserve">asal </w:t>
            </w:r>
            <w:r>
              <w:t>O</w:t>
            </w:r>
            <w:r w:rsidR="00D86966" w:rsidRPr="00822968">
              <w:t xml:space="preserve">utcome </w:t>
            </w:r>
            <w:r>
              <w:t>T</w:t>
            </w:r>
            <w:r w:rsidR="00D86966" w:rsidRPr="00822968">
              <w:t>est</w:t>
            </w:r>
            <w:r>
              <w:t xml:space="preserve"> (22 items)</w:t>
            </w:r>
          </w:p>
        </w:tc>
      </w:tr>
      <w:tr w:rsidR="00D86966" w:rsidRPr="00822968" w14:paraId="5D3C551B" w14:textId="77777777" w:rsidTr="00F65CE3">
        <w:tc>
          <w:tcPr>
            <w:tcW w:w="1890" w:type="dxa"/>
          </w:tcPr>
          <w:p w14:paraId="55DA044A" w14:textId="64B11B93" w:rsidR="00D86966" w:rsidRPr="00822968" w:rsidRDefault="00D86966" w:rsidP="00D86966">
            <w:r w:rsidRPr="00822968">
              <w:t>TEAE</w:t>
            </w:r>
          </w:p>
        </w:tc>
        <w:tc>
          <w:tcPr>
            <w:tcW w:w="6604" w:type="dxa"/>
          </w:tcPr>
          <w:p w14:paraId="27E37CED" w14:textId="2F6412B6" w:rsidR="00D86966" w:rsidRPr="00822968" w:rsidRDefault="00D86966" w:rsidP="00D86966">
            <w:r w:rsidRPr="00822968">
              <w:t>Treatment</w:t>
            </w:r>
            <w:r w:rsidR="00955C64">
              <w:noBreakHyphen/>
            </w:r>
            <w:r w:rsidRPr="00822968">
              <w:t>emergent adverse event</w:t>
            </w:r>
          </w:p>
        </w:tc>
      </w:tr>
      <w:tr w:rsidR="00D86966" w:rsidRPr="00822968" w14:paraId="0783E148" w14:textId="77777777" w:rsidTr="00F65CE3">
        <w:tc>
          <w:tcPr>
            <w:tcW w:w="1890" w:type="dxa"/>
          </w:tcPr>
          <w:p w14:paraId="2F78F2B6" w14:textId="5E8C6E22" w:rsidR="00D86966" w:rsidRPr="00822968" w:rsidRDefault="00D86966" w:rsidP="00D86966">
            <w:r w:rsidRPr="00822968">
              <w:t>US(A)</w:t>
            </w:r>
          </w:p>
        </w:tc>
        <w:tc>
          <w:tcPr>
            <w:tcW w:w="6604" w:type="dxa"/>
          </w:tcPr>
          <w:p w14:paraId="4E03EC0F" w14:textId="540DC1BA" w:rsidR="00D86966" w:rsidRPr="00822968" w:rsidRDefault="00D86966" w:rsidP="00D86966">
            <w:r w:rsidRPr="00822968">
              <w:t>United States of (America)</w:t>
            </w:r>
          </w:p>
        </w:tc>
      </w:tr>
    </w:tbl>
    <w:p w14:paraId="1167A4EE" w14:textId="77777777" w:rsidR="00FD119B" w:rsidRPr="00822968" w:rsidRDefault="00FD119B" w:rsidP="00FD119B">
      <w:pPr>
        <w:spacing w:before="0" w:after="200" w:line="0" w:lineRule="auto"/>
        <w:rPr>
          <w:b/>
          <w:i/>
          <w:sz w:val="24"/>
          <w:szCs w:val="24"/>
        </w:rPr>
      </w:pPr>
      <w:r w:rsidRPr="00822968">
        <w:rPr>
          <w:b/>
          <w:i/>
          <w:sz w:val="24"/>
          <w:szCs w:val="24"/>
        </w:rPr>
        <w:br w:type="page"/>
      </w:r>
    </w:p>
    <w:p w14:paraId="371AD24C" w14:textId="77777777" w:rsidR="008E7846" w:rsidRPr="00822968" w:rsidRDefault="00F53C07" w:rsidP="008E7846">
      <w:pPr>
        <w:pStyle w:val="Heading2"/>
      </w:pPr>
      <w:bookmarkStart w:id="9" w:name="_Toc101954620"/>
      <w:r w:rsidRPr="00822968">
        <w:lastRenderedPageBreak/>
        <w:t>I.</w:t>
      </w:r>
      <w:r w:rsidR="008E7846" w:rsidRPr="00822968">
        <w:t xml:space="preserve"> Introduction to product submission</w:t>
      </w:r>
      <w:bookmarkEnd w:id="9"/>
      <w:bookmarkEnd w:id="2"/>
      <w:bookmarkEnd w:id="0"/>
    </w:p>
    <w:p w14:paraId="1B02723F" w14:textId="77777777" w:rsidR="008E7846" w:rsidRPr="00822968" w:rsidRDefault="008E7846" w:rsidP="008E7846">
      <w:pPr>
        <w:pStyle w:val="Heading3"/>
        <w:rPr>
          <w:lang w:eastAsia="en-AU"/>
        </w:rPr>
      </w:pPr>
      <w:bookmarkStart w:id="10" w:name="_Toc247691502"/>
      <w:bookmarkStart w:id="11" w:name="_Toc314842483"/>
      <w:bookmarkStart w:id="12" w:name="_Toc101954621"/>
      <w:r w:rsidRPr="00822968">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6307"/>
      </w:tblGrid>
      <w:tr w:rsidR="008E7846" w:rsidRPr="00822968" w14:paraId="39780F77" w14:textId="77777777" w:rsidTr="003735BC">
        <w:tc>
          <w:tcPr>
            <w:tcW w:w="2907" w:type="dxa"/>
          </w:tcPr>
          <w:p w14:paraId="47E59D0C" w14:textId="77777777" w:rsidR="008E7846" w:rsidRPr="00822968" w:rsidRDefault="001B5C90" w:rsidP="001B5C90">
            <w:pPr>
              <w:rPr>
                <w:i/>
              </w:rPr>
            </w:pPr>
            <w:r w:rsidRPr="00822968">
              <w:rPr>
                <w:i/>
              </w:rPr>
              <w:t>Type of s</w:t>
            </w:r>
            <w:r w:rsidR="008E7846" w:rsidRPr="00822968">
              <w:rPr>
                <w:i/>
              </w:rPr>
              <w:t>ubmission</w:t>
            </w:r>
            <w:r w:rsidRPr="00822968">
              <w:rPr>
                <w:i/>
              </w:rPr>
              <w:t>:</w:t>
            </w:r>
          </w:p>
        </w:tc>
        <w:tc>
          <w:tcPr>
            <w:tcW w:w="6307" w:type="dxa"/>
          </w:tcPr>
          <w:p w14:paraId="4EC6BE1C" w14:textId="3849023E" w:rsidR="008E7846" w:rsidRPr="00822968" w:rsidRDefault="00506C15" w:rsidP="001B5C90">
            <w:r w:rsidRPr="00822968">
              <w:t xml:space="preserve">Extension of indications </w:t>
            </w:r>
            <w:r w:rsidR="00C60F99">
              <w:t>(new indication for a previously approved medication;</w:t>
            </w:r>
            <w:r w:rsidR="00AB4FDA">
              <w:t xml:space="preserve"> and expan</w:t>
            </w:r>
            <w:r w:rsidR="00C60F99">
              <w:t xml:space="preserve">sion of target population for an existing indication); </w:t>
            </w:r>
            <w:r w:rsidRPr="00822968">
              <w:t xml:space="preserve">and </w:t>
            </w:r>
            <w:r w:rsidR="00B62D99">
              <w:t>major variation (</w:t>
            </w:r>
            <w:r w:rsidRPr="00822968">
              <w:t>update</w:t>
            </w:r>
            <w:r w:rsidR="00955C64">
              <w:t> </w:t>
            </w:r>
            <w:r w:rsidRPr="00822968">
              <w:t>to</w:t>
            </w:r>
            <w:r w:rsidR="00955C64">
              <w:t> </w:t>
            </w:r>
            <w:r w:rsidRPr="00822968">
              <w:t>clinical</w:t>
            </w:r>
            <w:r w:rsidR="00955C64">
              <w:t> </w:t>
            </w:r>
            <w:r w:rsidRPr="00822968">
              <w:t>trials section</w:t>
            </w:r>
            <w:r w:rsidR="00C60F99">
              <w:t xml:space="preserve"> of the Product Information</w:t>
            </w:r>
            <w:r w:rsidR="00B62D99">
              <w:t>)</w:t>
            </w:r>
          </w:p>
        </w:tc>
      </w:tr>
      <w:tr w:rsidR="00460036" w:rsidRPr="00822968" w14:paraId="4FEE46C4" w14:textId="77777777" w:rsidTr="003735BC">
        <w:tc>
          <w:tcPr>
            <w:tcW w:w="2907" w:type="dxa"/>
          </w:tcPr>
          <w:p w14:paraId="4DF61329" w14:textId="06C91726" w:rsidR="00460036" w:rsidRPr="00822968" w:rsidRDefault="00460036" w:rsidP="003D1E62">
            <w:pPr>
              <w:rPr>
                <w:i/>
              </w:rPr>
            </w:pPr>
            <w:r w:rsidRPr="00822968">
              <w:rPr>
                <w:i/>
              </w:rPr>
              <w:t>Product name:</w:t>
            </w:r>
          </w:p>
        </w:tc>
        <w:tc>
          <w:tcPr>
            <w:tcW w:w="6307" w:type="dxa"/>
          </w:tcPr>
          <w:p w14:paraId="7449D7F2" w14:textId="7214A101" w:rsidR="00460036" w:rsidRPr="00822968" w:rsidRDefault="00555B12" w:rsidP="001B5C90">
            <w:r w:rsidRPr="00822968">
              <w:t>Dupixent</w:t>
            </w:r>
          </w:p>
        </w:tc>
      </w:tr>
      <w:tr w:rsidR="00460036" w:rsidRPr="00822968" w14:paraId="1A898913" w14:textId="77777777" w:rsidTr="003735BC">
        <w:tc>
          <w:tcPr>
            <w:tcW w:w="2907" w:type="dxa"/>
          </w:tcPr>
          <w:p w14:paraId="031D9DC1" w14:textId="35E52C48" w:rsidR="00460036" w:rsidRPr="00822968" w:rsidRDefault="00460036" w:rsidP="003D1E62">
            <w:pPr>
              <w:rPr>
                <w:i/>
              </w:rPr>
            </w:pPr>
            <w:r w:rsidRPr="00822968">
              <w:rPr>
                <w:i/>
              </w:rPr>
              <w:t>Active ingredient:</w:t>
            </w:r>
          </w:p>
        </w:tc>
        <w:tc>
          <w:tcPr>
            <w:tcW w:w="6307" w:type="dxa"/>
          </w:tcPr>
          <w:p w14:paraId="2239B2B5" w14:textId="24DE10C8" w:rsidR="00460036" w:rsidRPr="00822968" w:rsidRDefault="00555B12" w:rsidP="001B5C90">
            <w:r w:rsidRPr="00822968">
              <w:t>Dupilumab</w:t>
            </w:r>
          </w:p>
        </w:tc>
      </w:tr>
      <w:tr w:rsidR="008E7846" w:rsidRPr="00822968" w14:paraId="07DE423A" w14:textId="77777777" w:rsidTr="003735BC">
        <w:tc>
          <w:tcPr>
            <w:tcW w:w="2907" w:type="dxa"/>
          </w:tcPr>
          <w:p w14:paraId="295C54AD" w14:textId="77777777" w:rsidR="008E7846" w:rsidRPr="00822968" w:rsidRDefault="008E7846" w:rsidP="003D1E62">
            <w:r w:rsidRPr="00822968">
              <w:rPr>
                <w:i/>
              </w:rPr>
              <w:t>Decision</w:t>
            </w:r>
            <w:r w:rsidRPr="00822968">
              <w:t>:</w:t>
            </w:r>
          </w:p>
        </w:tc>
        <w:tc>
          <w:tcPr>
            <w:tcW w:w="6307" w:type="dxa"/>
          </w:tcPr>
          <w:p w14:paraId="56294238" w14:textId="5051AB66" w:rsidR="008E7846" w:rsidRPr="00822968" w:rsidRDefault="00460036" w:rsidP="001B5C90">
            <w:r w:rsidRPr="00822968">
              <w:t>Approved</w:t>
            </w:r>
          </w:p>
        </w:tc>
      </w:tr>
      <w:tr w:rsidR="008E7846" w:rsidRPr="00822968" w14:paraId="561807C3" w14:textId="77777777" w:rsidTr="003735BC">
        <w:tc>
          <w:tcPr>
            <w:tcW w:w="2907" w:type="dxa"/>
          </w:tcPr>
          <w:p w14:paraId="749F636A" w14:textId="77777777" w:rsidR="008E7846" w:rsidRPr="00822968" w:rsidRDefault="008E7846" w:rsidP="001B5C90">
            <w:pPr>
              <w:rPr>
                <w:i/>
              </w:rPr>
            </w:pPr>
            <w:r w:rsidRPr="00822968">
              <w:rPr>
                <w:i/>
              </w:rPr>
              <w:t xml:space="preserve">Date of </w:t>
            </w:r>
            <w:r w:rsidR="001B5C90" w:rsidRPr="00822968">
              <w:rPr>
                <w:i/>
              </w:rPr>
              <w:t>d</w:t>
            </w:r>
            <w:r w:rsidRPr="00822968">
              <w:rPr>
                <w:i/>
              </w:rPr>
              <w:t>ecision:</w:t>
            </w:r>
          </w:p>
        </w:tc>
        <w:tc>
          <w:tcPr>
            <w:tcW w:w="6307" w:type="dxa"/>
          </w:tcPr>
          <w:p w14:paraId="21B5CA21" w14:textId="105384B4" w:rsidR="008E7846" w:rsidRPr="00822968" w:rsidRDefault="00FD4A8E" w:rsidP="001B5C90">
            <w:r w:rsidRPr="00822968">
              <w:t>13 August 2021</w:t>
            </w:r>
          </w:p>
        </w:tc>
      </w:tr>
      <w:tr w:rsidR="00ED2922" w:rsidRPr="00822968" w14:paraId="12C099D0" w14:textId="77777777" w:rsidTr="003735BC">
        <w:tc>
          <w:tcPr>
            <w:tcW w:w="2907" w:type="dxa"/>
          </w:tcPr>
          <w:p w14:paraId="72EEB162" w14:textId="77777777" w:rsidR="00ED2922" w:rsidRPr="00822968" w:rsidRDefault="00ED2922" w:rsidP="001B5C90">
            <w:pPr>
              <w:rPr>
                <w:i/>
              </w:rPr>
            </w:pPr>
            <w:r w:rsidRPr="00822968">
              <w:rPr>
                <w:i/>
              </w:rPr>
              <w:t>Date of entry onto ARTG</w:t>
            </w:r>
            <w:r w:rsidR="00500337" w:rsidRPr="00822968">
              <w:rPr>
                <w:i/>
              </w:rPr>
              <w:t>:</w:t>
            </w:r>
          </w:p>
        </w:tc>
        <w:tc>
          <w:tcPr>
            <w:tcW w:w="6307" w:type="dxa"/>
          </w:tcPr>
          <w:p w14:paraId="4A17EBDF" w14:textId="523BD1DE" w:rsidR="00ED2922" w:rsidRPr="00822968" w:rsidRDefault="00FD4A8E" w:rsidP="00D153D8">
            <w:pPr>
              <w:rPr>
                <w:i/>
              </w:rPr>
            </w:pPr>
            <w:r w:rsidRPr="00822968">
              <w:t>17 August 2021</w:t>
            </w:r>
          </w:p>
        </w:tc>
      </w:tr>
      <w:tr w:rsidR="00500337" w:rsidRPr="00822968" w14:paraId="3EAEC3B1" w14:textId="77777777" w:rsidTr="003735BC">
        <w:tc>
          <w:tcPr>
            <w:tcW w:w="2907" w:type="dxa"/>
          </w:tcPr>
          <w:p w14:paraId="01D98533" w14:textId="53F84116" w:rsidR="00500337" w:rsidRPr="00822968" w:rsidRDefault="00500337" w:rsidP="001B5C90">
            <w:pPr>
              <w:rPr>
                <w:i/>
              </w:rPr>
            </w:pPr>
            <w:r w:rsidRPr="00822968">
              <w:rPr>
                <w:i/>
              </w:rPr>
              <w:t>ARTG numbers:</w:t>
            </w:r>
          </w:p>
        </w:tc>
        <w:tc>
          <w:tcPr>
            <w:tcW w:w="6307" w:type="dxa"/>
          </w:tcPr>
          <w:p w14:paraId="10D7B7B1" w14:textId="551B9FAD" w:rsidR="00500337" w:rsidRPr="00822968" w:rsidRDefault="00FD4A8E" w:rsidP="00EC463D">
            <w:r w:rsidRPr="00822968">
              <w:t>283127</w:t>
            </w:r>
            <w:r w:rsidR="003E62C2">
              <w:t xml:space="preserve"> and</w:t>
            </w:r>
            <w:r w:rsidRPr="00822968">
              <w:t xml:space="preserve"> </w:t>
            </w:r>
            <w:r w:rsidRPr="00822968">
              <w:rPr>
                <w:rFonts w:eastAsiaTheme="minorHAnsi" w:cs="Cambria"/>
              </w:rPr>
              <w:t>302463</w:t>
            </w:r>
          </w:p>
        </w:tc>
      </w:tr>
      <w:tr w:rsidR="003735BC" w:rsidRPr="00822968" w14:paraId="3CEAFAB2" w14:textId="77777777" w:rsidTr="003735BC">
        <w:tc>
          <w:tcPr>
            <w:tcW w:w="2907" w:type="dxa"/>
          </w:tcPr>
          <w:p w14:paraId="5196253B" w14:textId="77777777" w:rsidR="003735BC" w:rsidRPr="00822968" w:rsidRDefault="00FA5069" w:rsidP="001B5C90">
            <w:pPr>
              <w:rPr>
                <w:i/>
              </w:rPr>
            </w:pPr>
            <w:r w:rsidRPr="00822968">
              <w:rPr>
                <w:rFonts w:ascii="Wingdings 3" w:hAnsi="Wingdings 3"/>
                <w:sz w:val="34"/>
                <w:szCs w:val="34"/>
                <w:lang w:eastAsia="en-AU"/>
              </w:rPr>
              <w:t></w:t>
            </w:r>
            <w:r w:rsidR="003735BC" w:rsidRPr="00822968">
              <w:rPr>
                <w:i/>
              </w:rPr>
              <w:t>Black Triangle Scheme</w:t>
            </w:r>
            <w:r w:rsidR="004C4FBE" w:rsidRPr="00822968">
              <w:rPr>
                <w:i/>
              </w:rPr>
              <w:t>:</w:t>
            </w:r>
            <w:r w:rsidR="00460036" w:rsidRPr="00822968">
              <w:rPr>
                <w:rStyle w:val="FootnoteReference"/>
                <w:i/>
              </w:rPr>
              <w:footnoteReference w:id="1"/>
            </w:r>
          </w:p>
        </w:tc>
        <w:tc>
          <w:tcPr>
            <w:tcW w:w="6307" w:type="dxa"/>
          </w:tcPr>
          <w:p w14:paraId="081F30AA" w14:textId="3C07A0F4" w:rsidR="003735BC" w:rsidRPr="00822968" w:rsidRDefault="003735BC" w:rsidP="003735BC">
            <w:r w:rsidRPr="00822968">
              <w:t>Yes</w:t>
            </w:r>
            <w:r w:rsidR="00FD4A8E" w:rsidRPr="00822968">
              <w:t>.</w:t>
            </w:r>
          </w:p>
          <w:p w14:paraId="527DBDE6" w14:textId="58BB7F03" w:rsidR="003735BC" w:rsidRPr="00822968" w:rsidRDefault="003735BC" w:rsidP="00FD4A8E">
            <w:r w:rsidRPr="00822968">
              <w:t>This product will remain in the scheme for 5 years, starting on the date the new indication was approved</w:t>
            </w:r>
            <w:r w:rsidR="00FD4A8E" w:rsidRPr="00822968">
              <w:t>.</w:t>
            </w:r>
          </w:p>
        </w:tc>
      </w:tr>
      <w:tr w:rsidR="008E7846" w:rsidRPr="00822968" w14:paraId="788CBBA1" w14:textId="77777777" w:rsidTr="00BF1190">
        <w:tc>
          <w:tcPr>
            <w:tcW w:w="2907" w:type="dxa"/>
          </w:tcPr>
          <w:p w14:paraId="28A45EBD" w14:textId="77777777" w:rsidR="008E7846" w:rsidRPr="00822968" w:rsidRDefault="008E7846" w:rsidP="001B5C90">
            <w:pPr>
              <w:rPr>
                <w:i/>
              </w:rPr>
            </w:pPr>
            <w:r w:rsidRPr="00822968">
              <w:rPr>
                <w:i/>
              </w:rPr>
              <w:t xml:space="preserve">Sponsor’s </w:t>
            </w:r>
            <w:r w:rsidR="001B5C90" w:rsidRPr="00822968">
              <w:rPr>
                <w:i/>
              </w:rPr>
              <w:t>n</w:t>
            </w:r>
            <w:r w:rsidRPr="00822968">
              <w:rPr>
                <w:i/>
              </w:rPr>
              <w:t xml:space="preserve">ame and </w:t>
            </w:r>
            <w:r w:rsidR="001B5C90" w:rsidRPr="00822968">
              <w:rPr>
                <w:i/>
              </w:rPr>
              <w:t>a</w:t>
            </w:r>
            <w:r w:rsidRPr="00822968">
              <w:rPr>
                <w:i/>
              </w:rPr>
              <w:t>ddress:</w:t>
            </w:r>
          </w:p>
        </w:tc>
        <w:tc>
          <w:tcPr>
            <w:tcW w:w="6307" w:type="dxa"/>
          </w:tcPr>
          <w:p w14:paraId="4D1B12FE" w14:textId="77777777" w:rsidR="008E7846" w:rsidRPr="00822968" w:rsidRDefault="003A44F9" w:rsidP="00E45619">
            <w:r w:rsidRPr="00822968">
              <w:t>Sanofi-Aventis Australia Pty Ltd</w:t>
            </w:r>
          </w:p>
          <w:p w14:paraId="5FA9EA43" w14:textId="77777777" w:rsidR="00DD3296" w:rsidRPr="00822968" w:rsidRDefault="00DD3296" w:rsidP="00DD3296">
            <w:r w:rsidRPr="00822968">
              <w:t>12-24 Talavera Road</w:t>
            </w:r>
          </w:p>
          <w:p w14:paraId="44D34862" w14:textId="148D002F" w:rsidR="00DD3296" w:rsidRPr="00822968" w:rsidRDefault="00DD3296" w:rsidP="00DD3296">
            <w:r w:rsidRPr="00822968">
              <w:t>Macquarie Park NSW 2113</w:t>
            </w:r>
          </w:p>
        </w:tc>
      </w:tr>
      <w:tr w:rsidR="008E7846" w:rsidRPr="00822968" w14:paraId="6840561F" w14:textId="77777777" w:rsidTr="00BF1190">
        <w:tc>
          <w:tcPr>
            <w:tcW w:w="2907" w:type="dxa"/>
          </w:tcPr>
          <w:p w14:paraId="4A06FC22" w14:textId="291C60DD" w:rsidR="008E7846" w:rsidRPr="00822968" w:rsidRDefault="001B5C90" w:rsidP="00E45619">
            <w:pPr>
              <w:rPr>
                <w:i/>
              </w:rPr>
            </w:pPr>
            <w:r w:rsidRPr="00822968">
              <w:rPr>
                <w:i/>
              </w:rPr>
              <w:t>Dose form:</w:t>
            </w:r>
          </w:p>
        </w:tc>
        <w:tc>
          <w:tcPr>
            <w:tcW w:w="6307" w:type="dxa"/>
          </w:tcPr>
          <w:p w14:paraId="09038CE1" w14:textId="537EABE7" w:rsidR="008E7846" w:rsidRPr="00822968" w:rsidRDefault="00FD4A8E" w:rsidP="00E45619">
            <w:r w:rsidRPr="00822968">
              <w:t>Solution for injection</w:t>
            </w:r>
          </w:p>
        </w:tc>
      </w:tr>
      <w:tr w:rsidR="008E7846" w:rsidRPr="00822968" w14:paraId="6DB8F006" w14:textId="77777777" w:rsidTr="00BF1190">
        <w:tc>
          <w:tcPr>
            <w:tcW w:w="2907" w:type="dxa"/>
          </w:tcPr>
          <w:p w14:paraId="0734E0EC" w14:textId="22DEB559" w:rsidR="008E7846" w:rsidRPr="00822968" w:rsidRDefault="00324E45" w:rsidP="00E45619">
            <w:pPr>
              <w:rPr>
                <w:i/>
              </w:rPr>
            </w:pPr>
            <w:r w:rsidRPr="00822968">
              <w:rPr>
                <w:i/>
              </w:rPr>
              <w:t>Strengths:</w:t>
            </w:r>
          </w:p>
        </w:tc>
        <w:tc>
          <w:tcPr>
            <w:tcW w:w="6307" w:type="dxa"/>
          </w:tcPr>
          <w:p w14:paraId="12A5624D" w14:textId="7EABFDCD" w:rsidR="008E7846" w:rsidRPr="00822968" w:rsidRDefault="00DD3296" w:rsidP="00E45619">
            <w:r w:rsidRPr="00822968">
              <w:t>150</w:t>
            </w:r>
            <w:r w:rsidR="00FD4A8E" w:rsidRPr="00822968">
              <w:t xml:space="preserve"> mg/mL</w:t>
            </w:r>
            <w:r w:rsidRPr="00822968">
              <w:t xml:space="preserve"> and 175 mg/mL</w:t>
            </w:r>
          </w:p>
        </w:tc>
      </w:tr>
      <w:tr w:rsidR="008E7846" w:rsidRPr="00822968" w14:paraId="14B0CB2C" w14:textId="77777777" w:rsidTr="00BF1190">
        <w:tc>
          <w:tcPr>
            <w:tcW w:w="2907" w:type="dxa"/>
          </w:tcPr>
          <w:p w14:paraId="6ADCFE07" w14:textId="32943842" w:rsidR="008E7846" w:rsidRPr="00822968" w:rsidRDefault="008E7846" w:rsidP="00E45619">
            <w:pPr>
              <w:rPr>
                <w:i/>
              </w:rPr>
            </w:pPr>
            <w:r w:rsidRPr="00822968">
              <w:rPr>
                <w:i/>
              </w:rPr>
              <w:t>Container:</w:t>
            </w:r>
          </w:p>
        </w:tc>
        <w:tc>
          <w:tcPr>
            <w:tcW w:w="6307" w:type="dxa"/>
          </w:tcPr>
          <w:p w14:paraId="3B0A4974" w14:textId="3DF38319" w:rsidR="008E7846" w:rsidRPr="00822968" w:rsidRDefault="00FD4A8E" w:rsidP="00E45619">
            <w:r w:rsidRPr="00822968">
              <w:t>Pre-filled syringe</w:t>
            </w:r>
            <w:r w:rsidR="003E62C2">
              <w:t xml:space="preserve"> with needle shield</w:t>
            </w:r>
            <w:r w:rsidR="00F65CE3">
              <w:t>;</w:t>
            </w:r>
            <w:r w:rsidR="003E62C2">
              <w:rPr>
                <w:rStyle w:val="FootnoteReference"/>
              </w:rPr>
              <w:footnoteReference w:id="2"/>
            </w:r>
          </w:p>
        </w:tc>
      </w:tr>
      <w:tr w:rsidR="008E7846" w:rsidRPr="00822968" w14:paraId="67D0B414" w14:textId="77777777" w:rsidTr="00BF1190">
        <w:tc>
          <w:tcPr>
            <w:tcW w:w="2907" w:type="dxa"/>
          </w:tcPr>
          <w:p w14:paraId="5D6F1D44" w14:textId="3BB9812E" w:rsidR="008E7846" w:rsidRPr="00822968" w:rsidRDefault="008E7846" w:rsidP="00E45619">
            <w:pPr>
              <w:rPr>
                <w:i/>
              </w:rPr>
            </w:pPr>
            <w:r w:rsidRPr="00822968">
              <w:rPr>
                <w:i/>
              </w:rPr>
              <w:t>Pack sizes:</w:t>
            </w:r>
          </w:p>
        </w:tc>
        <w:tc>
          <w:tcPr>
            <w:tcW w:w="6307" w:type="dxa"/>
          </w:tcPr>
          <w:p w14:paraId="0AC2A215" w14:textId="7F743C85" w:rsidR="008E7846" w:rsidRPr="00822968" w:rsidRDefault="00955C64" w:rsidP="00E45619">
            <w:r>
              <w:t>One</w:t>
            </w:r>
            <w:r w:rsidR="00DD3296" w:rsidRPr="00822968">
              <w:t xml:space="preserve"> (starter pack and trade pack),</w:t>
            </w:r>
            <w:r w:rsidR="0036523A" w:rsidRPr="00822968">
              <w:t xml:space="preserve"> </w:t>
            </w:r>
            <w:r w:rsidR="00DD3296" w:rsidRPr="00822968">
              <w:t xml:space="preserve">2 (starter pack and trade pack), 3 </w:t>
            </w:r>
            <w:r w:rsidR="0036523A" w:rsidRPr="00822968">
              <w:t xml:space="preserve">(trade pack) </w:t>
            </w:r>
            <w:r w:rsidR="00DD3296" w:rsidRPr="00822968">
              <w:t>and 6</w:t>
            </w:r>
            <w:r w:rsidR="0036523A" w:rsidRPr="00822968">
              <w:t xml:space="preserve"> (trade pack)</w:t>
            </w:r>
            <w:r w:rsidR="00691E3B">
              <w:t xml:space="preserve"> syringe(s)</w:t>
            </w:r>
          </w:p>
        </w:tc>
      </w:tr>
      <w:tr w:rsidR="008E7846" w:rsidRPr="00822968" w14:paraId="774EE5C3" w14:textId="77777777" w:rsidTr="00BF1190">
        <w:tc>
          <w:tcPr>
            <w:tcW w:w="2907" w:type="dxa"/>
          </w:tcPr>
          <w:p w14:paraId="4C9942CC" w14:textId="77777777" w:rsidR="008E7846" w:rsidRPr="00822968" w:rsidRDefault="008E7846" w:rsidP="001B5C90">
            <w:pPr>
              <w:rPr>
                <w:i/>
              </w:rPr>
            </w:pPr>
            <w:r w:rsidRPr="00822968">
              <w:rPr>
                <w:i/>
              </w:rPr>
              <w:t xml:space="preserve">Approved </w:t>
            </w:r>
            <w:r w:rsidR="001B5C90" w:rsidRPr="00822968">
              <w:rPr>
                <w:i/>
              </w:rPr>
              <w:t>t</w:t>
            </w:r>
            <w:r w:rsidRPr="00822968">
              <w:rPr>
                <w:i/>
              </w:rPr>
              <w:t>herapeutic use:</w:t>
            </w:r>
          </w:p>
        </w:tc>
        <w:tc>
          <w:tcPr>
            <w:tcW w:w="6307" w:type="dxa"/>
          </w:tcPr>
          <w:p w14:paraId="674729A1" w14:textId="77777777" w:rsidR="003A44F9" w:rsidRPr="00822968" w:rsidRDefault="003A44F9" w:rsidP="003A44F9">
            <w:pPr>
              <w:rPr>
                <w:b/>
                <w:bCs/>
                <w:i/>
                <w:iCs/>
              </w:rPr>
            </w:pPr>
            <w:r w:rsidRPr="00822968">
              <w:rPr>
                <w:b/>
                <w:bCs/>
                <w:i/>
                <w:iCs/>
              </w:rPr>
              <w:t>Atopic dermatitis - children 6 to 11 years of age</w:t>
            </w:r>
          </w:p>
          <w:p w14:paraId="3014E267" w14:textId="77777777" w:rsidR="003A44F9" w:rsidRPr="00822968" w:rsidRDefault="003A44F9" w:rsidP="003A44F9">
            <w:pPr>
              <w:rPr>
                <w:i/>
                <w:iCs/>
              </w:rPr>
            </w:pPr>
            <w:r w:rsidRPr="00822968">
              <w:rPr>
                <w:i/>
                <w:iCs/>
              </w:rPr>
              <w:t>Dupixent is indicated for the treatment of severe atopic dermatitis in patients aged 6 to 11 years old who are candidates for chronic systemic therapy. Dupixent is not intended for episodic use.</w:t>
            </w:r>
          </w:p>
          <w:p w14:paraId="2C3E45E3" w14:textId="6F36DFE4" w:rsidR="003A44F9" w:rsidRPr="00822968" w:rsidRDefault="003A44F9" w:rsidP="003A44F9">
            <w:pPr>
              <w:rPr>
                <w:b/>
                <w:bCs/>
                <w:i/>
                <w:iCs/>
              </w:rPr>
            </w:pPr>
            <w:r w:rsidRPr="00822968">
              <w:rPr>
                <w:b/>
                <w:bCs/>
                <w:i/>
                <w:iCs/>
              </w:rPr>
              <w:t>Chronic rhinosinusitis with nasal polyposis (CRSwNP)</w:t>
            </w:r>
          </w:p>
          <w:p w14:paraId="2EA47CA7" w14:textId="1E84108E" w:rsidR="008E7846" w:rsidRPr="00822968" w:rsidRDefault="003A44F9" w:rsidP="00E45619">
            <w:pPr>
              <w:rPr>
                <w:i/>
                <w:iCs/>
              </w:rPr>
            </w:pPr>
            <w:r w:rsidRPr="00822968">
              <w:rPr>
                <w:i/>
                <w:iCs/>
              </w:rPr>
              <w:lastRenderedPageBreak/>
              <w:t>Dupixent is indicated as an add-on maintenance treatment in adult patients with inadequately controlled chronic rhinosinusitis with nasal polyposis (CRSwNP).</w:t>
            </w:r>
          </w:p>
        </w:tc>
      </w:tr>
      <w:tr w:rsidR="008E7846" w:rsidRPr="00822968" w14:paraId="31CF37E4" w14:textId="77777777" w:rsidTr="00BF1190">
        <w:tc>
          <w:tcPr>
            <w:tcW w:w="2907" w:type="dxa"/>
          </w:tcPr>
          <w:p w14:paraId="28D1548A" w14:textId="23ABB606" w:rsidR="008E7846" w:rsidRPr="00822968" w:rsidRDefault="008E7846" w:rsidP="00E45619">
            <w:pPr>
              <w:rPr>
                <w:i/>
              </w:rPr>
            </w:pPr>
            <w:r w:rsidRPr="00822968">
              <w:rPr>
                <w:i/>
              </w:rPr>
              <w:lastRenderedPageBreak/>
              <w:t>Route of administration:</w:t>
            </w:r>
          </w:p>
        </w:tc>
        <w:tc>
          <w:tcPr>
            <w:tcW w:w="6307" w:type="dxa"/>
          </w:tcPr>
          <w:p w14:paraId="01A4FECA" w14:textId="52F8779A" w:rsidR="008E7846" w:rsidRPr="00822968" w:rsidRDefault="00DD3296" w:rsidP="00E45619">
            <w:r w:rsidRPr="00822968">
              <w:t>Subcutaneous</w:t>
            </w:r>
          </w:p>
        </w:tc>
      </w:tr>
      <w:tr w:rsidR="008E7846" w:rsidRPr="00822968" w14:paraId="4D1CD524" w14:textId="77777777" w:rsidTr="00BF1190">
        <w:tc>
          <w:tcPr>
            <w:tcW w:w="2907" w:type="dxa"/>
          </w:tcPr>
          <w:p w14:paraId="759FFB9F" w14:textId="77777777" w:rsidR="008E7846" w:rsidRPr="00822968" w:rsidRDefault="008E7846" w:rsidP="00E45619">
            <w:pPr>
              <w:rPr>
                <w:i/>
              </w:rPr>
            </w:pPr>
            <w:r w:rsidRPr="00822968">
              <w:rPr>
                <w:i/>
              </w:rPr>
              <w:t>Dosage:</w:t>
            </w:r>
          </w:p>
        </w:tc>
        <w:tc>
          <w:tcPr>
            <w:tcW w:w="6307" w:type="dxa"/>
          </w:tcPr>
          <w:p w14:paraId="2B5D13C8" w14:textId="0EF93F44" w:rsidR="00A420BC" w:rsidRPr="00822968" w:rsidRDefault="00A420BC" w:rsidP="00A420BC">
            <w:r w:rsidRPr="00822968">
              <w:t xml:space="preserve">Dosage </w:t>
            </w:r>
            <w:r w:rsidR="00202459" w:rsidRPr="00822968">
              <w:t>is based on multiple factors, including the condition being treated, the age and weight of the patient.</w:t>
            </w:r>
          </w:p>
          <w:p w14:paraId="26A96F3A" w14:textId="0E974B6E" w:rsidR="00460036" w:rsidRPr="00822968" w:rsidRDefault="00460036" w:rsidP="00E45619">
            <w:r w:rsidRPr="00822968">
              <w:t>For further information regarding dosage, refer to the Product Information.</w:t>
            </w:r>
          </w:p>
        </w:tc>
      </w:tr>
      <w:tr w:rsidR="00460036" w:rsidRPr="00822968" w14:paraId="0D1F4085" w14:textId="77777777" w:rsidTr="00BF1190">
        <w:tc>
          <w:tcPr>
            <w:tcW w:w="2907" w:type="dxa"/>
          </w:tcPr>
          <w:p w14:paraId="6629B472" w14:textId="77777777" w:rsidR="00460036" w:rsidRPr="00822968" w:rsidRDefault="00460036" w:rsidP="00E45619">
            <w:pPr>
              <w:rPr>
                <w:i/>
              </w:rPr>
            </w:pPr>
            <w:r w:rsidRPr="00822968">
              <w:rPr>
                <w:i/>
              </w:rPr>
              <w:t>Pregnancy category:</w:t>
            </w:r>
          </w:p>
        </w:tc>
        <w:tc>
          <w:tcPr>
            <w:tcW w:w="6307" w:type="dxa"/>
          </w:tcPr>
          <w:p w14:paraId="08B8EA79" w14:textId="75FA3341" w:rsidR="00DE2910" w:rsidRPr="00822968" w:rsidRDefault="00DE2910" w:rsidP="00DE2910">
            <w:r w:rsidRPr="00822968">
              <w:t>B1</w:t>
            </w:r>
          </w:p>
          <w:p w14:paraId="3907C992" w14:textId="77777777" w:rsidR="00DE2910" w:rsidRPr="00822968" w:rsidRDefault="00DE2910" w:rsidP="00DE2910">
            <w:r w:rsidRPr="00822968">
              <w:t>Drugs which have been taken by only a limited number of pregnant women and women of childbearing age, without an increase in the frequency of malformation or other direct or indirect harmful effects on the human fetus having been observed.</w:t>
            </w:r>
          </w:p>
          <w:p w14:paraId="228D7CC3" w14:textId="1CF82042" w:rsidR="00DE2910" w:rsidRPr="00822968" w:rsidRDefault="00DE2910" w:rsidP="00DE2910">
            <w:r w:rsidRPr="00822968">
              <w:t>Studies in animals have not shown evidence of an increased occurrence of fetal damage.</w:t>
            </w:r>
          </w:p>
          <w:p w14:paraId="5D8331ED" w14:textId="365F913A" w:rsidR="00460036" w:rsidRPr="00822968" w:rsidRDefault="00460036" w:rsidP="00460036">
            <w:r w:rsidRPr="00822968">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02FAE59E" w14:textId="77777777" w:rsidR="008E7846" w:rsidRPr="00822968" w:rsidRDefault="008E7846" w:rsidP="008E7846">
      <w:pPr>
        <w:pStyle w:val="Heading3"/>
      </w:pPr>
      <w:bookmarkStart w:id="13" w:name="_Toc247691503"/>
      <w:bookmarkStart w:id="14" w:name="_Toc314842484"/>
      <w:bookmarkStart w:id="15" w:name="_Toc101954622"/>
      <w:r w:rsidRPr="00822968">
        <w:t>Product background</w:t>
      </w:r>
      <w:bookmarkEnd w:id="13"/>
      <w:bookmarkEnd w:id="14"/>
      <w:bookmarkEnd w:id="15"/>
    </w:p>
    <w:p w14:paraId="6E4793D2" w14:textId="506397DA" w:rsidR="008E7846" w:rsidRPr="00822968" w:rsidRDefault="00250271" w:rsidP="00940A89">
      <w:r w:rsidRPr="00822968">
        <w:t xml:space="preserve">This AusPAR describes the application by </w:t>
      </w:r>
      <w:r w:rsidR="003A44F9" w:rsidRPr="00822968">
        <w:t>Sanofi-Aventis Australia Pty Ltd</w:t>
      </w:r>
      <w:r w:rsidRPr="00822968">
        <w:t xml:space="preserve"> (the sponsor) to register </w:t>
      </w:r>
      <w:r w:rsidR="00555B12" w:rsidRPr="00822968">
        <w:t xml:space="preserve">Dupixent </w:t>
      </w:r>
      <w:r w:rsidRPr="00822968">
        <w:t>(</w:t>
      </w:r>
      <w:r w:rsidR="00555B12" w:rsidRPr="00822968">
        <w:t>dupilumab)</w:t>
      </w:r>
      <w:r w:rsidRPr="00822968">
        <w:t xml:space="preserve"> </w:t>
      </w:r>
      <w:r w:rsidR="00201E65" w:rsidRPr="00822968">
        <w:t>150 mg/mL and 175 mg/mL</w:t>
      </w:r>
      <w:r w:rsidRPr="00822968">
        <w:t xml:space="preserve">, </w:t>
      </w:r>
      <w:r w:rsidR="00201E65" w:rsidRPr="00822968">
        <w:t>solution for injection</w:t>
      </w:r>
      <w:r w:rsidR="00691E3B">
        <w:t>, prefilled syringes</w:t>
      </w:r>
      <w:r w:rsidR="00201E65" w:rsidRPr="00822968">
        <w:t xml:space="preserve"> </w:t>
      </w:r>
      <w:r w:rsidRPr="00822968">
        <w:t>for the following proposed extension of indications</w:t>
      </w:r>
      <w:r w:rsidR="00CF5DAD" w:rsidRPr="00822968">
        <w:t>:</w:t>
      </w:r>
    </w:p>
    <w:p w14:paraId="6E1D7B4A" w14:textId="5EB02EE7" w:rsidR="00E87B71" w:rsidRPr="00822968" w:rsidRDefault="00E87B71" w:rsidP="00506C15">
      <w:pPr>
        <w:ind w:left="720"/>
        <w:rPr>
          <w:i/>
          <w:iCs/>
        </w:rPr>
      </w:pPr>
      <w:r w:rsidRPr="00822968">
        <w:rPr>
          <w:i/>
          <w:iCs/>
        </w:rPr>
        <w:t>Dupixent is indicated for the treatment of moderate to severe atopic dermatitis in patients aged 6 years and older who are candidates for chronic systemic therapy. Dupixent is not intended for episodic use.</w:t>
      </w:r>
    </w:p>
    <w:p w14:paraId="28044F67" w14:textId="39FA3581" w:rsidR="00506C15" w:rsidRPr="00822968" w:rsidRDefault="00506C15" w:rsidP="00506C15">
      <w:pPr>
        <w:ind w:left="720"/>
        <w:rPr>
          <w:i/>
          <w:iCs/>
        </w:rPr>
      </w:pPr>
      <w:r w:rsidRPr="00822968">
        <w:rPr>
          <w:i/>
          <w:iCs/>
        </w:rPr>
        <w:t>Dupixent is indicated as an add-on maintenance treatment in adult patients with inadequately controlled chronic rhinosinusitis with nasal polyposis (CRSwNP).</w:t>
      </w:r>
    </w:p>
    <w:p w14:paraId="0027E57E" w14:textId="3F5EE6DA" w:rsidR="00BA1C08" w:rsidRPr="00822968" w:rsidRDefault="0036523A" w:rsidP="00BA1C08">
      <w:pPr>
        <w:pStyle w:val="Heading4"/>
      </w:pPr>
      <w:r w:rsidRPr="00822968">
        <w:t>Controlled chronic rhinosinusitis with nasal polyposis</w:t>
      </w:r>
    </w:p>
    <w:p w14:paraId="2B93D009" w14:textId="4D4835A0" w:rsidR="009D47CF" w:rsidRPr="00822968" w:rsidRDefault="00D80312" w:rsidP="00BA1C08">
      <w:r w:rsidRPr="00822968">
        <w:t>The diagnosis of chronic rhinosinusitis encompasses a heterogeneous group of conditions. Two main subgroups have been described</w:t>
      </w:r>
      <w:r w:rsidR="00641AF5" w:rsidRPr="00822968">
        <w:t>,</w:t>
      </w:r>
      <w:r w:rsidRPr="00822968">
        <w:t xml:space="preserve"> </w:t>
      </w:r>
      <w:r w:rsidR="00641AF5" w:rsidRPr="00822968">
        <w:t>which are</w:t>
      </w:r>
      <w:r w:rsidRPr="00822968">
        <w:t xml:space="preserve"> chronic rhinosinusitis with nasal polyps (CRSwNP) and chronic rhinosinusitis without nasal polyps (</w:t>
      </w:r>
      <w:proofErr w:type="spellStart"/>
      <w:r w:rsidRPr="00822968">
        <w:t>CRSsNP</w:t>
      </w:r>
      <w:proofErr w:type="spellEnd"/>
      <w:r w:rsidRPr="00822968">
        <w:t>).</w:t>
      </w:r>
      <w:bookmarkStart w:id="16" w:name="_Ref99022269"/>
      <w:r w:rsidR="00F211D9" w:rsidRPr="00822968">
        <w:rPr>
          <w:rStyle w:val="FootnoteReference"/>
        </w:rPr>
        <w:footnoteReference w:id="3"/>
      </w:r>
      <w:bookmarkEnd w:id="16"/>
      <w:r w:rsidR="009D47CF" w:rsidRPr="00822968">
        <w:t xml:space="preserve"> </w:t>
      </w:r>
      <w:r w:rsidR="00691E3B">
        <w:t>C</w:t>
      </w:r>
      <w:r w:rsidR="00691E3B" w:rsidRPr="00822968">
        <w:t>hronic rhinosinusitis with nasal polyps</w:t>
      </w:r>
      <w:r w:rsidRPr="00822968">
        <w:t xml:space="preserve"> is a complex chronic inflammatory condition, the pathogenesis of which involves multiple factors.</w:t>
      </w:r>
      <w:r w:rsidR="00FD2F88" w:rsidRPr="00822968">
        <w:rPr>
          <w:rStyle w:val="FootnoteReference"/>
        </w:rPr>
        <w:footnoteReference w:id="4"/>
      </w:r>
    </w:p>
    <w:p w14:paraId="67DD5D0F" w14:textId="486DCEDF" w:rsidR="00D80312" w:rsidRPr="00822968" w:rsidRDefault="00CC3944" w:rsidP="00BA1C08">
      <w:r w:rsidRPr="00822968">
        <w:lastRenderedPageBreak/>
        <w:t>Chronic rhinosinusitis with nasal polyposis</w:t>
      </w:r>
      <w:r w:rsidR="00D80312" w:rsidRPr="00822968">
        <w:t xml:space="preserve"> is characterised by symptoms of nasal obstruction, anterior or posterior nasal discharge, loss of sense of smell, facial pain or pressure and sleep disturbance. A diagnosis requires the presence of symptoms for at least 3 months and the visualisation of polyps in the nose and/or the </w:t>
      </w:r>
      <w:r w:rsidR="00691E3B">
        <w:t xml:space="preserve">middle </w:t>
      </w:r>
      <w:r w:rsidR="00D80312" w:rsidRPr="00822968">
        <w:t xml:space="preserve">nasal </w:t>
      </w:r>
      <w:proofErr w:type="spellStart"/>
      <w:r w:rsidR="00D80312" w:rsidRPr="00822968">
        <w:t>meati</w:t>
      </w:r>
      <w:proofErr w:type="spellEnd"/>
      <w:r w:rsidR="00691E3B">
        <w:t xml:space="preserve"> (nasal passage)</w:t>
      </w:r>
      <w:r w:rsidR="00D80312" w:rsidRPr="00822968">
        <w:t>.</w:t>
      </w:r>
      <w:r w:rsidR="00F211D9" w:rsidRPr="00822968">
        <w:rPr>
          <w:vertAlign w:val="superscript"/>
        </w:rPr>
        <w:fldChar w:fldCharType="begin"/>
      </w:r>
      <w:r w:rsidR="00F211D9" w:rsidRPr="00822968">
        <w:rPr>
          <w:vertAlign w:val="superscript"/>
        </w:rPr>
        <w:instrText xml:space="preserve"> NOTEREF _Ref99022269 \h  \* MERGEFORMAT </w:instrText>
      </w:r>
      <w:r w:rsidR="00F211D9" w:rsidRPr="00822968">
        <w:rPr>
          <w:vertAlign w:val="superscript"/>
        </w:rPr>
      </w:r>
      <w:r w:rsidR="00F211D9" w:rsidRPr="00822968">
        <w:rPr>
          <w:vertAlign w:val="superscript"/>
        </w:rPr>
        <w:fldChar w:fldCharType="separate"/>
      </w:r>
      <w:r w:rsidR="0078142B">
        <w:rPr>
          <w:vertAlign w:val="superscript"/>
        </w:rPr>
        <w:t>3</w:t>
      </w:r>
      <w:r w:rsidR="00F211D9" w:rsidRPr="00822968">
        <w:rPr>
          <w:vertAlign w:val="superscript"/>
        </w:rPr>
        <w:fldChar w:fldCharType="end"/>
      </w:r>
      <w:r w:rsidR="00FD2F88" w:rsidRPr="00822968">
        <w:rPr>
          <w:vertAlign w:val="superscript"/>
        </w:rPr>
        <w:t>,</w:t>
      </w:r>
      <w:r w:rsidR="00FD2F88" w:rsidRPr="00822968">
        <w:rPr>
          <w:vertAlign w:val="superscript"/>
        </w:rPr>
        <w:fldChar w:fldCharType="begin"/>
      </w:r>
      <w:r w:rsidR="00FD2F88" w:rsidRPr="00822968">
        <w:rPr>
          <w:vertAlign w:val="superscript"/>
        </w:rPr>
        <w:instrText xml:space="preserve"> NOTEREF _Ref99022766 \h </w:instrText>
      </w:r>
      <w:r w:rsidR="00822968">
        <w:rPr>
          <w:vertAlign w:val="superscript"/>
        </w:rPr>
        <w:instrText xml:space="preserve"> \* MERGEFORMAT </w:instrText>
      </w:r>
      <w:r w:rsidR="00FD2F88" w:rsidRPr="00822968">
        <w:rPr>
          <w:vertAlign w:val="superscript"/>
        </w:rPr>
      </w:r>
      <w:r w:rsidR="00FD2F88" w:rsidRPr="00822968">
        <w:rPr>
          <w:vertAlign w:val="superscript"/>
        </w:rPr>
        <w:fldChar w:fldCharType="separate"/>
      </w:r>
      <w:r w:rsidR="0078142B">
        <w:rPr>
          <w:vertAlign w:val="superscript"/>
        </w:rPr>
        <w:t>8</w:t>
      </w:r>
      <w:r w:rsidR="00FD2F88" w:rsidRPr="00822968">
        <w:rPr>
          <w:vertAlign w:val="superscript"/>
        </w:rPr>
        <w:fldChar w:fldCharType="end"/>
      </w:r>
      <w:r w:rsidR="00D80312" w:rsidRPr="00822968">
        <w:t xml:space="preserve"> Symptoms may result in substantial impairment of quality of life, comparable to that observed with in other chronic illnesses such as chronic obstructive pulmonary disease or congestive heart failure.</w:t>
      </w:r>
      <w:r w:rsidR="00145F5F" w:rsidRPr="00822968">
        <w:rPr>
          <w:rStyle w:val="FootnoteReference"/>
        </w:rPr>
        <w:footnoteReference w:id="5"/>
      </w:r>
      <w:r w:rsidR="00D80312" w:rsidRPr="00822968">
        <w:t xml:space="preserve"> A high proportion of CRSwNP subjects have coexisting asthma.</w:t>
      </w:r>
      <w:r w:rsidR="00145F5F" w:rsidRPr="00822968">
        <w:rPr>
          <w:vertAlign w:val="superscript"/>
        </w:rPr>
        <w:fldChar w:fldCharType="begin"/>
      </w:r>
      <w:r w:rsidR="00145F5F" w:rsidRPr="00822968">
        <w:rPr>
          <w:vertAlign w:val="superscript"/>
        </w:rPr>
        <w:instrText xml:space="preserve"> NOTEREF _Ref99022766 \h  \* MERGEFORMAT </w:instrText>
      </w:r>
      <w:r w:rsidR="00145F5F" w:rsidRPr="00822968">
        <w:rPr>
          <w:vertAlign w:val="superscript"/>
        </w:rPr>
      </w:r>
      <w:r w:rsidR="00145F5F" w:rsidRPr="00822968">
        <w:rPr>
          <w:vertAlign w:val="superscript"/>
        </w:rPr>
        <w:fldChar w:fldCharType="separate"/>
      </w:r>
      <w:r w:rsidR="0078142B">
        <w:rPr>
          <w:vertAlign w:val="superscript"/>
        </w:rPr>
        <w:t>8</w:t>
      </w:r>
      <w:r w:rsidR="00145F5F" w:rsidRPr="00822968">
        <w:rPr>
          <w:vertAlign w:val="superscript"/>
        </w:rPr>
        <w:fldChar w:fldCharType="end"/>
      </w:r>
      <w:r w:rsidR="00145F5F" w:rsidRPr="00822968">
        <w:rPr>
          <w:vertAlign w:val="superscript"/>
        </w:rPr>
        <w:t>,</w:t>
      </w:r>
      <w:bookmarkStart w:id="17" w:name="_Ref99086940"/>
      <w:r w:rsidR="00145F5F" w:rsidRPr="00822968">
        <w:rPr>
          <w:rStyle w:val="FootnoteReference"/>
        </w:rPr>
        <w:footnoteReference w:id="6"/>
      </w:r>
      <w:bookmarkEnd w:id="17"/>
      <w:r w:rsidR="009D47CF" w:rsidRPr="00822968">
        <w:t xml:space="preserve"> </w:t>
      </w:r>
      <w:proofErr w:type="spellStart"/>
      <w:r w:rsidR="00D80312" w:rsidRPr="00822968">
        <w:t>CRSwNP</w:t>
      </w:r>
      <w:proofErr w:type="spellEnd"/>
      <w:r w:rsidR="00D80312" w:rsidRPr="00822968">
        <w:t xml:space="preserve"> is a very common condition, with estimates of prevalence usually &gt; 2% of the population.</w:t>
      </w:r>
      <w:r w:rsidR="00830B66" w:rsidRPr="00822968">
        <w:rPr>
          <w:vertAlign w:val="superscript"/>
        </w:rPr>
        <w:fldChar w:fldCharType="begin"/>
      </w:r>
      <w:r w:rsidR="00830B66" w:rsidRPr="00822968">
        <w:rPr>
          <w:vertAlign w:val="superscript"/>
        </w:rPr>
        <w:instrText xml:space="preserve"> NOTEREF _Ref99086940 \h  \* MERGEFORMAT </w:instrText>
      </w:r>
      <w:r w:rsidR="00830B66" w:rsidRPr="00822968">
        <w:rPr>
          <w:vertAlign w:val="superscript"/>
        </w:rPr>
      </w:r>
      <w:r w:rsidR="00830B66" w:rsidRPr="00822968">
        <w:rPr>
          <w:vertAlign w:val="superscript"/>
        </w:rPr>
        <w:fldChar w:fldCharType="separate"/>
      </w:r>
      <w:r w:rsidR="0078142B">
        <w:rPr>
          <w:vertAlign w:val="superscript"/>
        </w:rPr>
        <w:t>6</w:t>
      </w:r>
      <w:r w:rsidR="00830B66" w:rsidRPr="00822968">
        <w:rPr>
          <w:vertAlign w:val="superscript"/>
        </w:rPr>
        <w:fldChar w:fldCharType="end"/>
      </w:r>
      <w:r w:rsidR="00D80312" w:rsidRPr="00822968">
        <w:t xml:space="preserve"> Nasal polyps are uncommon before adulthood and peak incidence occurs in the sixth decade of life. The condition is more common in me</w:t>
      </w:r>
      <w:r w:rsidR="00830B66" w:rsidRPr="00822968">
        <w:t>n</w:t>
      </w:r>
      <w:r w:rsidR="00D80312" w:rsidRPr="00822968">
        <w:t>.</w:t>
      </w:r>
      <w:r w:rsidR="0086254C" w:rsidRPr="00822968">
        <w:rPr>
          <w:vertAlign w:val="superscript"/>
        </w:rPr>
        <w:fldChar w:fldCharType="begin"/>
      </w:r>
      <w:r w:rsidR="0086254C" w:rsidRPr="00822968">
        <w:rPr>
          <w:vertAlign w:val="superscript"/>
        </w:rPr>
        <w:instrText xml:space="preserve"> NOTEREF _Ref99022766 \h  \* MERGEFORMAT </w:instrText>
      </w:r>
      <w:r w:rsidR="0086254C" w:rsidRPr="00822968">
        <w:rPr>
          <w:vertAlign w:val="superscript"/>
        </w:rPr>
      </w:r>
      <w:r w:rsidR="0086254C" w:rsidRPr="00822968">
        <w:rPr>
          <w:vertAlign w:val="superscript"/>
        </w:rPr>
        <w:fldChar w:fldCharType="separate"/>
      </w:r>
      <w:r w:rsidR="0078142B">
        <w:rPr>
          <w:vertAlign w:val="superscript"/>
        </w:rPr>
        <w:t>8</w:t>
      </w:r>
      <w:r w:rsidR="0086254C" w:rsidRPr="00822968">
        <w:rPr>
          <w:vertAlign w:val="superscript"/>
        </w:rPr>
        <w:fldChar w:fldCharType="end"/>
      </w:r>
    </w:p>
    <w:p w14:paraId="3DB5561B" w14:textId="512216C3" w:rsidR="00D80312" w:rsidRPr="00822968" w:rsidRDefault="009D47CF" w:rsidP="00BA1C08">
      <w:r w:rsidRPr="00822968">
        <w:t>The c</w:t>
      </w:r>
      <w:r w:rsidR="00D80312" w:rsidRPr="00822968">
        <w:t xml:space="preserve">urrent consensus clinical practice </w:t>
      </w:r>
      <w:proofErr w:type="gramStart"/>
      <w:r w:rsidR="00D80312" w:rsidRPr="00822968">
        <w:t>guidelines</w:t>
      </w:r>
      <w:r w:rsidR="00830B66" w:rsidRPr="00822968">
        <w:t>;</w:t>
      </w:r>
      <w:proofErr w:type="gramEnd"/>
      <w:r w:rsidR="00F211D9" w:rsidRPr="00822968">
        <w:rPr>
          <w:vertAlign w:val="superscript"/>
        </w:rPr>
        <w:fldChar w:fldCharType="begin"/>
      </w:r>
      <w:r w:rsidR="00F211D9" w:rsidRPr="00822968">
        <w:rPr>
          <w:vertAlign w:val="superscript"/>
        </w:rPr>
        <w:instrText xml:space="preserve"> NOTEREF _Ref99022269 \h  \* MERGEFORMAT </w:instrText>
      </w:r>
      <w:r w:rsidR="00F211D9" w:rsidRPr="00822968">
        <w:rPr>
          <w:vertAlign w:val="superscript"/>
        </w:rPr>
      </w:r>
      <w:r w:rsidR="00F211D9" w:rsidRPr="00822968">
        <w:rPr>
          <w:vertAlign w:val="superscript"/>
        </w:rPr>
        <w:fldChar w:fldCharType="separate"/>
      </w:r>
      <w:r w:rsidR="0078142B">
        <w:rPr>
          <w:vertAlign w:val="superscript"/>
        </w:rPr>
        <w:t>3</w:t>
      </w:r>
      <w:r w:rsidR="00F211D9" w:rsidRPr="00822968">
        <w:rPr>
          <w:vertAlign w:val="superscript"/>
        </w:rPr>
        <w:fldChar w:fldCharType="end"/>
      </w:r>
      <w:r w:rsidR="00145F5F" w:rsidRPr="00822968">
        <w:rPr>
          <w:vertAlign w:val="superscript"/>
        </w:rPr>
        <w:t>,</w:t>
      </w:r>
      <w:r w:rsidR="00145F5F" w:rsidRPr="00822968">
        <w:rPr>
          <w:vertAlign w:val="superscript"/>
        </w:rPr>
        <w:fldChar w:fldCharType="begin"/>
      </w:r>
      <w:r w:rsidR="00145F5F" w:rsidRPr="00822968">
        <w:rPr>
          <w:vertAlign w:val="superscript"/>
        </w:rPr>
        <w:instrText xml:space="preserve"> NOTEREF _Ref99086940 \h </w:instrText>
      </w:r>
      <w:r w:rsidR="00822968">
        <w:rPr>
          <w:vertAlign w:val="superscript"/>
        </w:rPr>
        <w:instrText xml:space="preserve"> \* MERGEFORMAT </w:instrText>
      </w:r>
      <w:r w:rsidR="00145F5F" w:rsidRPr="00822968">
        <w:rPr>
          <w:vertAlign w:val="superscript"/>
        </w:rPr>
      </w:r>
      <w:r w:rsidR="00145F5F" w:rsidRPr="00822968">
        <w:rPr>
          <w:vertAlign w:val="superscript"/>
        </w:rPr>
        <w:fldChar w:fldCharType="separate"/>
      </w:r>
      <w:r w:rsidR="0078142B">
        <w:rPr>
          <w:vertAlign w:val="superscript"/>
        </w:rPr>
        <w:t>6</w:t>
      </w:r>
      <w:r w:rsidR="00145F5F" w:rsidRPr="00822968">
        <w:rPr>
          <w:vertAlign w:val="superscript"/>
        </w:rPr>
        <w:fldChar w:fldCharType="end"/>
      </w:r>
      <w:r w:rsidR="00145F5F" w:rsidRPr="00822968">
        <w:rPr>
          <w:vertAlign w:val="superscript"/>
        </w:rPr>
        <w:t>,</w:t>
      </w:r>
      <w:r w:rsidR="00145F5F" w:rsidRPr="00822968">
        <w:rPr>
          <w:rStyle w:val="FootnoteReference"/>
        </w:rPr>
        <w:footnoteReference w:id="7"/>
      </w:r>
      <w:r w:rsidR="00D80312" w:rsidRPr="00822968">
        <w:t xml:space="preserve"> recommend the use of topical intranasal corticosteroids together with nasal irrigation with normal saline as first</w:t>
      </w:r>
      <w:r w:rsidRPr="00822968">
        <w:t xml:space="preserve"> </w:t>
      </w:r>
      <w:r w:rsidR="00D80312" w:rsidRPr="00822968">
        <w:t>line treatment of CRSwNP. Short courses of systemic corticosteroids once or twice per year (in combination with topical corticosteroids) are recommended in subjects with uncontrolled disease.</w:t>
      </w:r>
      <w:r w:rsidRPr="00822968">
        <w:t xml:space="preserve"> </w:t>
      </w:r>
      <w:r w:rsidR="00D80312" w:rsidRPr="00822968">
        <w:t xml:space="preserve">In unresponsive patients, endoscopic sinus surgery is undertaken, primarily to create improved conditions for continued medical therapy (topical steroids, saline </w:t>
      </w:r>
      <w:r w:rsidRPr="00822968">
        <w:t>and so on</w:t>
      </w:r>
      <w:r w:rsidR="00D80312" w:rsidRPr="00822968">
        <w:t>).</w:t>
      </w:r>
      <w:r w:rsidRPr="00822968">
        <w:t xml:space="preserve"> </w:t>
      </w:r>
      <w:r w:rsidR="00D80312" w:rsidRPr="00822968">
        <w:t>There is conflicting evidence to support the use of other agents such as antibiotics or montelukast.</w:t>
      </w:r>
    </w:p>
    <w:p w14:paraId="6CA1B174" w14:textId="6F98C612" w:rsidR="00D80312" w:rsidRPr="00822968" w:rsidRDefault="009D47CF" w:rsidP="00BA1C08">
      <w:r w:rsidRPr="00822968">
        <w:t xml:space="preserve">Chronic rhinosinusitis with nasal polyps </w:t>
      </w:r>
      <w:r w:rsidR="00D80312" w:rsidRPr="00822968">
        <w:t>is often characteri</w:t>
      </w:r>
      <w:r w:rsidRPr="00822968">
        <w:t>s</w:t>
      </w:r>
      <w:r w:rsidR="00D80312" w:rsidRPr="00822968">
        <w:t>ed by type 2 inflammation, with T</w:t>
      </w:r>
      <w:r w:rsidRPr="00822968">
        <w:t>-</w:t>
      </w:r>
      <w:r w:rsidR="00D80312" w:rsidRPr="00822968">
        <w:t xml:space="preserve">helper cell associated eosinophilia, increased levels of </w:t>
      </w:r>
      <w:r w:rsidR="00691E3B">
        <w:t>interleukins (</w:t>
      </w:r>
      <w:r w:rsidR="00D80312" w:rsidRPr="00822968">
        <w:t>IL</w:t>
      </w:r>
      <w:r w:rsidR="00691E3B">
        <w:t xml:space="preserve">) </w:t>
      </w:r>
      <w:r w:rsidR="00D80312" w:rsidRPr="00822968">
        <w:t>-4, IL-5, and IL-13, and high local production of immunoglobulin E.</w:t>
      </w:r>
      <w:bookmarkStart w:id="18" w:name="_Ref99022766"/>
      <w:r w:rsidR="00A15EE3" w:rsidRPr="00822968">
        <w:rPr>
          <w:rStyle w:val="FootnoteReference"/>
        </w:rPr>
        <w:footnoteReference w:id="8"/>
      </w:r>
      <w:bookmarkEnd w:id="18"/>
      <w:r w:rsidR="00D80312" w:rsidRPr="00822968">
        <w:t xml:space="preserve"> The rationale for use of dupilumab is that it prevents receptor binding of IL-4 and IL-13.</w:t>
      </w:r>
    </w:p>
    <w:p w14:paraId="4E6CE9D8" w14:textId="4353E8AE" w:rsidR="00BA1C08" w:rsidRPr="00822968" w:rsidRDefault="00BA1C08" w:rsidP="00BA1C08">
      <w:pPr>
        <w:pStyle w:val="Heading4"/>
      </w:pPr>
      <w:r w:rsidRPr="00822968">
        <w:rPr>
          <w:lang w:eastAsia="ja-JP"/>
        </w:rPr>
        <w:t>Atopic dermatitis</w:t>
      </w:r>
    </w:p>
    <w:p w14:paraId="4397213A" w14:textId="7960072A" w:rsidR="00D80312" w:rsidRPr="00822968" w:rsidRDefault="00D80312" w:rsidP="00BA1C08">
      <w:r w:rsidRPr="00822968">
        <w:t>Atopic dermatitis is an inflammatory skin disease characterised by eczematous lesions, intense pruritus and a chronic or chronic relapsing course.</w:t>
      </w:r>
      <w:bookmarkStart w:id="19" w:name="_Ref99087149"/>
      <w:r w:rsidR="00145F5F" w:rsidRPr="00822968">
        <w:rPr>
          <w:rStyle w:val="FootnoteReference"/>
        </w:rPr>
        <w:footnoteReference w:id="9"/>
      </w:r>
      <w:bookmarkEnd w:id="19"/>
      <w:r w:rsidR="00145F5F" w:rsidRPr="00822968">
        <w:rPr>
          <w:vertAlign w:val="superscript"/>
        </w:rPr>
        <w:t>,</w:t>
      </w:r>
      <w:bookmarkStart w:id="20" w:name="_Ref99087056"/>
      <w:r w:rsidR="00145F5F" w:rsidRPr="00822968">
        <w:rPr>
          <w:rStyle w:val="FootnoteReference"/>
        </w:rPr>
        <w:footnoteReference w:id="10"/>
      </w:r>
      <w:bookmarkEnd w:id="20"/>
      <w:r w:rsidRPr="00822968">
        <w:t xml:space="preserve"> It is a common condition affecting 20% of children and up to 10% of adults.</w:t>
      </w:r>
      <w:r w:rsidR="00BF1C53" w:rsidRPr="00822968">
        <w:rPr>
          <w:vertAlign w:val="superscript"/>
        </w:rPr>
        <w:fldChar w:fldCharType="begin"/>
      </w:r>
      <w:r w:rsidR="00BF1C53" w:rsidRPr="00822968">
        <w:rPr>
          <w:vertAlign w:val="superscript"/>
        </w:rPr>
        <w:instrText xml:space="preserve"> NOTEREF _Ref99087149 \h  \* MERGEFORMAT </w:instrText>
      </w:r>
      <w:r w:rsidR="00BF1C53" w:rsidRPr="00822968">
        <w:rPr>
          <w:vertAlign w:val="superscript"/>
        </w:rPr>
      </w:r>
      <w:r w:rsidR="00BF1C53" w:rsidRPr="00822968">
        <w:rPr>
          <w:vertAlign w:val="superscript"/>
        </w:rPr>
        <w:fldChar w:fldCharType="separate"/>
      </w:r>
      <w:r w:rsidR="0078142B">
        <w:rPr>
          <w:vertAlign w:val="superscript"/>
        </w:rPr>
        <w:t>9</w:t>
      </w:r>
      <w:r w:rsidR="00BF1C53" w:rsidRPr="00822968">
        <w:rPr>
          <w:vertAlign w:val="superscript"/>
        </w:rPr>
        <w:fldChar w:fldCharType="end"/>
      </w:r>
      <w:r w:rsidR="00BF1C53" w:rsidRPr="00822968">
        <w:rPr>
          <w:vertAlign w:val="superscript"/>
        </w:rPr>
        <w:t>,</w:t>
      </w:r>
      <w:r w:rsidR="00BF1C53" w:rsidRPr="00822968">
        <w:rPr>
          <w:vertAlign w:val="superscript"/>
        </w:rPr>
        <w:fldChar w:fldCharType="begin"/>
      </w:r>
      <w:r w:rsidR="00BF1C53" w:rsidRPr="00822968">
        <w:rPr>
          <w:vertAlign w:val="superscript"/>
        </w:rPr>
        <w:instrText xml:space="preserve"> NOTEREF _Ref99087056 \h  \* MERGEFORMAT </w:instrText>
      </w:r>
      <w:r w:rsidR="00BF1C53" w:rsidRPr="00822968">
        <w:rPr>
          <w:vertAlign w:val="superscript"/>
        </w:rPr>
      </w:r>
      <w:r w:rsidR="00BF1C53" w:rsidRPr="00822968">
        <w:rPr>
          <w:vertAlign w:val="superscript"/>
        </w:rPr>
        <w:fldChar w:fldCharType="separate"/>
      </w:r>
      <w:r w:rsidR="0078142B">
        <w:rPr>
          <w:vertAlign w:val="superscript"/>
        </w:rPr>
        <w:t>10</w:t>
      </w:r>
      <w:r w:rsidR="00BF1C53" w:rsidRPr="00822968">
        <w:rPr>
          <w:vertAlign w:val="superscript"/>
        </w:rPr>
        <w:fldChar w:fldCharType="end"/>
      </w:r>
      <w:r w:rsidRPr="00822968">
        <w:t xml:space="preserve"> It typically commences in early childhood, although one third of cases present in adults.</w:t>
      </w:r>
      <w:r w:rsidR="00BF1C53" w:rsidRPr="00822968">
        <w:rPr>
          <w:vertAlign w:val="superscript"/>
        </w:rPr>
        <w:fldChar w:fldCharType="begin"/>
      </w:r>
      <w:r w:rsidR="00BF1C53" w:rsidRPr="00822968">
        <w:rPr>
          <w:vertAlign w:val="superscript"/>
        </w:rPr>
        <w:instrText xml:space="preserve"> NOTEREF _Ref99087056 \h  \* MERGEFORMAT </w:instrText>
      </w:r>
      <w:r w:rsidR="00BF1C53" w:rsidRPr="00822968">
        <w:rPr>
          <w:vertAlign w:val="superscript"/>
        </w:rPr>
      </w:r>
      <w:r w:rsidR="00BF1C53" w:rsidRPr="00822968">
        <w:rPr>
          <w:vertAlign w:val="superscript"/>
        </w:rPr>
        <w:fldChar w:fldCharType="separate"/>
      </w:r>
      <w:r w:rsidR="0078142B">
        <w:rPr>
          <w:vertAlign w:val="superscript"/>
        </w:rPr>
        <w:t>10</w:t>
      </w:r>
      <w:r w:rsidR="00BF1C53" w:rsidRPr="00822968">
        <w:rPr>
          <w:vertAlign w:val="superscript"/>
        </w:rPr>
        <w:fldChar w:fldCharType="end"/>
      </w:r>
      <w:r w:rsidR="009D47CF" w:rsidRPr="00822968">
        <w:rPr>
          <w:vertAlign w:val="superscript"/>
        </w:rPr>
        <w:t xml:space="preserve"> </w:t>
      </w:r>
      <w:r w:rsidRPr="00822968">
        <w:t>Type 2 inflammation, mediated through T-helper cell secretion of cytokines IL-4, IL-5 and IL-13 and associated with eosinophilia, is thought to play a role in the pathogenesis of the condition. Other contributing factors include deficiencies in in skin barrier function and abnormal microbial colonisation.</w:t>
      </w:r>
      <w:r w:rsidR="00145F5F" w:rsidRPr="00822968">
        <w:rPr>
          <w:vertAlign w:val="superscript"/>
        </w:rPr>
        <w:fldChar w:fldCharType="begin"/>
      </w:r>
      <w:r w:rsidR="00145F5F" w:rsidRPr="00822968">
        <w:rPr>
          <w:vertAlign w:val="superscript"/>
        </w:rPr>
        <w:instrText xml:space="preserve"> NOTEREF _Ref99087056 \h  \* MERGEFORMAT </w:instrText>
      </w:r>
      <w:r w:rsidR="00145F5F" w:rsidRPr="00822968">
        <w:rPr>
          <w:vertAlign w:val="superscript"/>
        </w:rPr>
      </w:r>
      <w:r w:rsidR="00145F5F" w:rsidRPr="00822968">
        <w:rPr>
          <w:vertAlign w:val="superscript"/>
        </w:rPr>
        <w:fldChar w:fldCharType="separate"/>
      </w:r>
      <w:r w:rsidR="0078142B">
        <w:rPr>
          <w:vertAlign w:val="superscript"/>
        </w:rPr>
        <w:t>10</w:t>
      </w:r>
      <w:r w:rsidR="00145F5F" w:rsidRPr="00822968">
        <w:rPr>
          <w:vertAlign w:val="superscript"/>
        </w:rPr>
        <w:fldChar w:fldCharType="end"/>
      </w:r>
      <w:r w:rsidRPr="00822968">
        <w:t xml:space="preserve"> Atopic dermatitis is commonly associated with other atopic conditions such as allergic rhino-conjunctivitis, </w:t>
      </w:r>
      <w:proofErr w:type="gramStart"/>
      <w:r w:rsidRPr="00822968">
        <w:t>asthma</w:t>
      </w:r>
      <w:proofErr w:type="gramEnd"/>
      <w:r w:rsidRPr="00822968">
        <w:t xml:space="preserve"> and food allergy.</w:t>
      </w:r>
    </w:p>
    <w:p w14:paraId="65E145B5" w14:textId="355DE673" w:rsidR="00D80312" w:rsidRPr="00822968" w:rsidRDefault="00D80312" w:rsidP="00BA1C08">
      <w:r w:rsidRPr="00822968">
        <w:t xml:space="preserve">Current consensus clinical practice </w:t>
      </w:r>
      <w:proofErr w:type="gramStart"/>
      <w:r w:rsidRPr="00822968">
        <w:t>guidelines</w:t>
      </w:r>
      <w:r w:rsidR="00830B66" w:rsidRPr="00822968">
        <w:t>;</w:t>
      </w:r>
      <w:proofErr w:type="gramEnd"/>
      <w:r w:rsidR="00145F5F" w:rsidRPr="00822968">
        <w:rPr>
          <w:vertAlign w:val="superscript"/>
        </w:rPr>
        <w:fldChar w:fldCharType="begin"/>
      </w:r>
      <w:r w:rsidR="00145F5F" w:rsidRPr="00822968">
        <w:rPr>
          <w:vertAlign w:val="superscript"/>
        </w:rPr>
        <w:instrText xml:space="preserve"> NOTEREF _Ref99087056 \h  \* MERGEFORMAT </w:instrText>
      </w:r>
      <w:r w:rsidR="00145F5F" w:rsidRPr="00822968">
        <w:rPr>
          <w:vertAlign w:val="superscript"/>
        </w:rPr>
      </w:r>
      <w:r w:rsidR="00145F5F" w:rsidRPr="00822968">
        <w:rPr>
          <w:vertAlign w:val="superscript"/>
        </w:rPr>
        <w:fldChar w:fldCharType="separate"/>
      </w:r>
      <w:r w:rsidR="0078142B">
        <w:rPr>
          <w:vertAlign w:val="superscript"/>
        </w:rPr>
        <w:t>10</w:t>
      </w:r>
      <w:r w:rsidR="00145F5F" w:rsidRPr="00822968">
        <w:rPr>
          <w:vertAlign w:val="superscript"/>
        </w:rPr>
        <w:fldChar w:fldCharType="end"/>
      </w:r>
      <w:r w:rsidR="00BF1C53" w:rsidRPr="00822968">
        <w:rPr>
          <w:vertAlign w:val="superscript"/>
        </w:rPr>
        <w:t>,</w:t>
      </w:r>
      <w:r w:rsidR="00BF1C53" w:rsidRPr="00822968">
        <w:rPr>
          <w:rStyle w:val="FootnoteReference"/>
        </w:rPr>
        <w:footnoteReference w:id="11"/>
      </w:r>
      <w:r w:rsidR="00BF1C53" w:rsidRPr="00822968">
        <w:rPr>
          <w:vertAlign w:val="superscript"/>
        </w:rPr>
        <w:t>,</w:t>
      </w:r>
      <w:r w:rsidR="00BF1C53" w:rsidRPr="00822968">
        <w:rPr>
          <w:rStyle w:val="FootnoteReference"/>
        </w:rPr>
        <w:footnoteReference w:id="12"/>
      </w:r>
      <w:r w:rsidR="00BF1C53" w:rsidRPr="00822968">
        <w:rPr>
          <w:vertAlign w:val="superscript"/>
        </w:rPr>
        <w:t>,</w:t>
      </w:r>
      <w:r w:rsidR="00BF1C53" w:rsidRPr="00822968">
        <w:rPr>
          <w:rStyle w:val="FootnoteReference"/>
        </w:rPr>
        <w:footnoteReference w:id="13"/>
      </w:r>
      <w:r w:rsidRPr="00822968">
        <w:t xml:space="preserve"> recommend the following:</w:t>
      </w:r>
    </w:p>
    <w:p w14:paraId="0E3C1383" w14:textId="77777777" w:rsidR="00D80312" w:rsidRPr="00822968" w:rsidRDefault="00D80312" w:rsidP="00BA1C08">
      <w:pPr>
        <w:pStyle w:val="ListBullet"/>
      </w:pPr>
      <w:r w:rsidRPr="00822968">
        <w:t>general non-pharmacological therapies such as the avoidance of any trigger factors, enhancement of the skin barrier through the use of moisturisers, use of non-soap cleaners and the use of wet dressings during flares;</w:t>
      </w:r>
    </w:p>
    <w:p w14:paraId="31C54B81" w14:textId="711EB940" w:rsidR="00D80312" w:rsidRPr="00822968" w:rsidRDefault="00D80312" w:rsidP="00BA1C08">
      <w:pPr>
        <w:pStyle w:val="ListBullet"/>
      </w:pPr>
      <w:r w:rsidRPr="00822968">
        <w:lastRenderedPageBreak/>
        <w:t>topical corticosteroids as first</w:t>
      </w:r>
      <w:r w:rsidR="001A5352" w:rsidRPr="00822968">
        <w:t xml:space="preserve"> </w:t>
      </w:r>
      <w:r w:rsidRPr="00822968">
        <w:t>line therapy;</w:t>
      </w:r>
    </w:p>
    <w:p w14:paraId="78EE4F34" w14:textId="502FB564" w:rsidR="00D80312" w:rsidRPr="00822968" w:rsidRDefault="00D80312" w:rsidP="00BA1C08">
      <w:pPr>
        <w:pStyle w:val="ListBullet"/>
      </w:pPr>
      <w:r w:rsidRPr="00822968">
        <w:t>topical calcineurin inhibitors (</w:t>
      </w:r>
      <w:proofErr w:type="spellStart"/>
      <w:r w:rsidRPr="00822968">
        <w:t>pimecrolimus</w:t>
      </w:r>
      <w:proofErr w:type="spellEnd"/>
      <w:r w:rsidRPr="00822968">
        <w:t>/tacrolimus);</w:t>
      </w:r>
    </w:p>
    <w:p w14:paraId="696178B2" w14:textId="77777777" w:rsidR="00D80312" w:rsidRPr="00822968" w:rsidRDefault="00D80312" w:rsidP="00BA1C08">
      <w:pPr>
        <w:pStyle w:val="ListBullet"/>
      </w:pPr>
      <w:r w:rsidRPr="00822968">
        <w:t>topical phosphodiesterase-4 inhibitors (</w:t>
      </w:r>
      <w:proofErr w:type="spellStart"/>
      <w:r w:rsidRPr="00822968">
        <w:t>crisaborole</w:t>
      </w:r>
      <w:proofErr w:type="spellEnd"/>
      <w:r w:rsidRPr="00822968">
        <w:t xml:space="preserve"> ointment);</w:t>
      </w:r>
    </w:p>
    <w:p w14:paraId="5B6039C7" w14:textId="77777777" w:rsidR="00D80312" w:rsidRPr="00822968" w:rsidRDefault="00D80312" w:rsidP="00BA1C08">
      <w:pPr>
        <w:pStyle w:val="ListBullet"/>
      </w:pPr>
      <w:r w:rsidRPr="00822968">
        <w:t>phototherapy (narrow band ultraviolet B or ultraviolet A1) in subjects unable to be controlled on topical therapies;</w:t>
      </w:r>
    </w:p>
    <w:p w14:paraId="57850B37" w14:textId="6B891426" w:rsidR="00D80312" w:rsidRPr="00822968" w:rsidRDefault="00D80312" w:rsidP="00953896">
      <w:pPr>
        <w:pStyle w:val="ListBullet"/>
      </w:pPr>
      <w:r w:rsidRPr="00822968">
        <w:t>systemic immunosuppressive treatment, in subjects unable to be controlled with other treatments. Recommended agents include</w:t>
      </w:r>
      <w:r w:rsidR="00953896" w:rsidRPr="00822968">
        <w:t xml:space="preserve"> </w:t>
      </w:r>
      <w:r w:rsidRPr="00822968">
        <w:t>oral corticosteroids</w:t>
      </w:r>
      <w:r w:rsidR="00953896" w:rsidRPr="00822968">
        <w:t xml:space="preserve">, </w:t>
      </w:r>
      <w:r w:rsidRPr="00822968">
        <w:t>cyclosporin A</w:t>
      </w:r>
      <w:r w:rsidR="00953896" w:rsidRPr="00822968">
        <w:t xml:space="preserve">, </w:t>
      </w:r>
      <w:r w:rsidRPr="00822968">
        <w:t>azathioprine</w:t>
      </w:r>
      <w:r w:rsidR="00953896" w:rsidRPr="00822968">
        <w:t xml:space="preserve">, </w:t>
      </w:r>
      <w:r w:rsidRPr="00822968">
        <w:t>mycophenolate</w:t>
      </w:r>
      <w:r w:rsidR="00953896" w:rsidRPr="00822968">
        <w:t xml:space="preserve"> and </w:t>
      </w:r>
      <w:r w:rsidRPr="00822968">
        <w:t>methotrexate.</w:t>
      </w:r>
    </w:p>
    <w:p w14:paraId="260C1CD1" w14:textId="061D9775" w:rsidR="00D80312" w:rsidRPr="00822968" w:rsidRDefault="00D80312" w:rsidP="00BA1C08">
      <w:r w:rsidRPr="00822968">
        <w:t xml:space="preserve">Patients with atopic dermatitis are predisposed to secondary bacterial and viral infections of the skin, due to an impaired skin barrier. Systemic antibacterial agents are used for subjects with evidence of clinical infection. Systemic antiviral agents are used for the treatment of atopic dermatitis complicated by herpes simplex infection (eczema </w:t>
      </w:r>
      <w:proofErr w:type="spellStart"/>
      <w:r w:rsidRPr="00822968">
        <w:t>herpeticum</w:t>
      </w:r>
      <w:proofErr w:type="spellEnd"/>
      <w:r w:rsidRPr="00822968">
        <w:t>).</w:t>
      </w:r>
    </w:p>
    <w:p w14:paraId="38DA9903" w14:textId="77777777" w:rsidR="00D80312" w:rsidRPr="00822968" w:rsidRDefault="00D80312" w:rsidP="00BA1C08">
      <w:r w:rsidRPr="00822968">
        <w:t>Dupilumab is already approved for the treatment of atopic dermatitis in adults and adolescents and the disease is more common in children than in adults. The current submission seeks to lower the age limit for use of the product from 12 years to 6 years.</w:t>
      </w:r>
    </w:p>
    <w:p w14:paraId="12E4BBAA" w14:textId="7AC52F90" w:rsidR="00D80312" w:rsidRPr="00A15EE3" w:rsidRDefault="00D80312" w:rsidP="00A15EE3">
      <w:r w:rsidRPr="00A15EE3">
        <w:t xml:space="preserve">The sponsor’s rationale for the current submission </w:t>
      </w:r>
      <w:r w:rsidR="00A15EE3" w:rsidRPr="00A15EE3">
        <w:t>is due to t</w:t>
      </w:r>
      <w:r w:rsidRPr="00A15EE3">
        <w:t xml:space="preserve">he </w:t>
      </w:r>
      <w:r w:rsidR="00A15EE3" w:rsidRPr="00A15EE3">
        <w:t xml:space="preserve">limitations in </w:t>
      </w:r>
      <w:r w:rsidRPr="00A15EE3">
        <w:t xml:space="preserve">currently available treatments for </w:t>
      </w:r>
      <w:r w:rsidR="00F8231A" w:rsidRPr="00A15EE3">
        <w:t>atopic dermatitis</w:t>
      </w:r>
      <w:r w:rsidRPr="00A15EE3">
        <w:t xml:space="preserve"> in children including unsatisfactory effectiveness, limited data from randomi</w:t>
      </w:r>
      <w:r w:rsidR="009D47CF" w:rsidRPr="00A15EE3">
        <w:t>s</w:t>
      </w:r>
      <w:r w:rsidRPr="00A15EE3">
        <w:t xml:space="preserve">ed, controlled clinical trials to guide their use in clinical practice, and important risks and side effects. </w:t>
      </w:r>
      <w:r w:rsidR="00A15EE3">
        <w:t>The sponsor suggested that t</w:t>
      </w:r>
      <w:r w:rsidRPr="00A15EE3">
        <w:t xml:space="preserve">hese limitations result in a large number of children with severe </w:t>
      </w:r>
      <w:r w:rsidR="00A15EE3" w:rsidRPr="00A15EE3">
        <w:t xml:space="preserve">atopic dermatitis </w:t>
      </w:r>
      <w:r w:rsidRPr="00A15EE3">
        <w:t xml:space="preserve">whose disease cannot be safely controlled by available therapies. Therefore, there exists a significant unmet medical need for an effective treatment that has a </w:t>
      </w:r>
      <w:r w:rsidR="00A15EE3" w:rsidRPr="00A15EE3">
        <w:t>favourable</w:t>
      </w:r>
      <w:r w:rsidRPr="00A15EE3">
        <w:t xml:space="preserve"> safety profile for long</w:t>
      </w:r>
      <w:r w:rsidR="007733D3" w:rsidRPr="00A15EE3">
        <w:t xml:space="preserve"> </w:t>
      </w:r>
      <w:r w:rsidRPr="00A15EE3">
        <w:t>term use for children with severe forms of the disease not adequately controlled by topical prescription therapies.</w:t>
      </w:r>
    </w:p>
    <w:p w14:paraId="54A4227E" w14:textId="77777777" w:rsidR="00BA1C08" w:rsidRPr="00822968" w:rsidRDefault="00BA1C08" w:rsidP="00D212CD">
      <w:pPr>
        <w:pStyle w:val="Heading4"/>
        <w:rPr>
          <w:lang w:eastAsia="ja-JP"/>
        </w:rPr>
      </w:pPr>
      <w:r w:rsidRPr="00822968">
        <w:rPr>
          <w:lang w:eastAsia="ja-JP"/>
        </w:rPr>
        <w:t>Asthma</w:t>
      </w:r>
    </w:p>
    <w:p w14:paraId="395BD7AF" w14:textId="1EFA09A3" w:rsidR="00D80312" w:rsidRPr="00822968" w:rsidRDefault="00D80312" w:rsidP="00BA1C08">
      <w:r w:rsidRPr="00822968">
        <w:t xml:space="preserve">Asthma is a common disease characterised by chronic airway inflammation which results in </w:t>
      </w:r>
      <w:r w:rsidR="009D47CF" w:rsidRPr="00822968">
        <w:t>wheeze</w:t>
      </w:r>
      <w:r w:rsidRPr="00822968">
        <w:t>, dyspnoea, chest tightness and cough, with variable degrees of expiratory airflow limitation.</w:t>
      </w:r>
      <w:bookmarkStart w:id="21" w:name="_Ref99087666"/>
      <w:r w:rsidR="00BF1C53" w:rsidRPr="00822968">
        <w:rPr>
          <w:rStyle w:val="FootnoteReference"/>
        </w:rPr>
        <w:footnoteReference w:id="14"/>
      </w:r>
      <w:bookmarkEnd w:id="21"/>
      <w:r w:rsidR="00953896" w:rsidRPr="00822968">
        <w:t xml:space="preserve"> </w:t>
      </w:r>
      <w:r w:rsidRPr="00822968">
        <w:t>A large proportion of subjects have a form of asthma characterised by type 2 inflammation.</w:t>
      </w:r>
      <w:r w:rsidR="00BF1C53" w:rsidRPr="00822968">
        <w:rPr>
          <w:rStyle w:val="FootnoteReference"/>
        </w:rPr>
        <w:footnoteReference w:id="15"/>
      </w:r>
    </w:p>
    <w:p w14:paraId="02064C11" w14:textId="3B736737" w:rsidR="00D80312" w:rsidRPr="00822968" w:rsidRDefault="00D80312" w:rsidP="004B2847">
      <w:r w:rsidRPr="00822968">
        <w:t xml:space="preserve">Current treatment </w:t>
      </w:r>
      <w:proofErr w:type="gramStart"/>
      <w:r w:rsidRPr="00822968">
        <w:t>guidelines</w:t>
      </w:r>
      <w:r w:rsidR="00830B66" w:rsidRPr="00822968">
        <w:t>;</w:t>
      </w:r>
      <w:proofErr w:type="gramEnd"/>
      <w:r w:rsidR="00BF1C53" w:rsidRPr="00822968">
        <w:rPr>
          <w:vertAlign w:val="superscript"/>
        </w:rPr>
        <w:fldChar w:fldCharType="begin"/>
      </w:r>
      <w:r w:rsidR="00BF1C53" w:rsidRPr="00822968">
        <w:rPr>
          <w:vertAlign w:val="superscript"/>
        </w:rPr>
        <w:instrText xml:space="preserve"> NOTEREF _Ref99087666 \h  \* MERGEFORMAT </w:instrText>
      </w:r>
      <w:r w:rsidR="00BF1C53" w:rsidRPr="00822968">
        <w:rPr>
          <w:vertAlign w:val="superscript"/>
        </w:rPr>
      </w:r>
      <w:r w:rsidR="00BF1C53" w:rsidRPr="00822968">
        <w:rPr>
          <w:vertAlign w:val="superscript"/>
        </w:rPr>
        <w:fldChar w:fldCharType="separate"/>
      </w:r>
      <w:r w:rsidR="0078142B">
        <w:rPr>
          <w:vertAlign w:val="superscript"/>
        </w:rPr>
        <w:t>14</w:t>
      </w:r>
      <w:r w:rsidR="00BF1C53" w:rsidRPr="00822968">
        <w:rPr>
          <w:vertAlign w:val="superscript"/>
        </w:rPr>
        <w:fldChar w:fldCharType="end"/>
      </w:r>
      <w:r w:rsidR="00BF1C53" w:rsidRPr="00822968">
        <w:rPr>
          <w:vertAlign w:val="superscript"/>
        </w:rPr>
        <w:t>,</w:t>
      </w:r>
      <w:r w:rsidR="00BF1C53" w:rsidRPr="00822968">
        <w:rPr>
          <w:rStyle w:val="FootnoteReference"/>
        </w:rPr>
        <w:footnoteReference w:id="16"/>
      </w:r>
      <w:r w:rsidRPr="00822968">
        <w:t xml:space="preserve"> recommend a stepwise approach to management with level of treatment depending on severity of disease, with the following agents being introduced in a sequential manner:</w:t>
      </w:r>
    </w:p>
    <w:p w14:paraId="46A0E0BF" w14:textId="6BEBCFA7" w:rsidR="00D80312" w:rsidRPr="00822968" w:rsidRDefault="00691E3B" w:rsidP="004B2847">
      <w:pPr>
        <w:pStyle w:val="ListBullet"/>
      </w:pPr>
      <w:r>
        <w:t>s</w:t>
      </w:r>
      <w:r w:rsidRPr="00822968">
        <w:t xml:space="preserve">hort </w:t>
      </w:r>
      <w:r w:rsidR="00D80312" w:rsidRPr="00822968">
        <w:t>acting beta</w:t>
      </w:r>
      <w:r>
        <w:noBreakHyphen/>
      </w:r>
      <w:r w:rsidR="00D80312" w:rsidRPr="00822968">
        <w:t>agonists (</w:t>
      </w:r>
      <w:r w:rsidR="004E115B" w:rsidRPr="00822968">
        <w:t>for example,</w:t>
      </w:r>
      <w:r w:rsidR="00D80312" w:rsidRPr="00822968">
        <w:t xml:space="preserve"> salbutamol, terbutaline</w:t>
      </w:r>
      <w:proofErr w:type="gramStart"/>
      <w:r w:rsidR="00D80312" w:rsidRPr="00822968">
        <w:t>);</w:t>
      </w:r>
      <w:proofErr w:type="gramEnd"/>
    </w:p>
    <w:p w14:paraId="24DADE8D" w14:textId="508A1801" w:rsidR="00D80312" w:rsidRPr="00822968" w:rsidRDefault="00691E3B" w:rsidP="004B2847">
      <w:pPr>
        <w:pStyle w:val="ListBullet"/>
      </w:pPr>
      <w:r>
        <w:t>i</w:t>
      </w:r>
      <w:r w:rsidRPr="00822968">
        <w:t xml:space="preserve">nhaled </w:t>
      </w:r>
      <w:proofErr w:type="gramStart"/>
      <w:r w:rsidR="00D80312" w:rsidRPr="00822968">
        <w:t>corticosteroids;</w:t>
      </w:r>
      <w:proofErr w:type="gramEnd"/>
    </w:p>
    <w:p w14:paraId="7B98858F" w14:textId="73268940" w:rsidR="00D80312" w:rsidRPr="00822968" w:rsidRDefault="00691E3B" w:rsidP="004B2847">
      <w:pPr>
        <w:pStyle w:val="ListBullet"/>
      </w:pPr>
      <w:proofErr w:type="gramStart"/>
      <w:r>
        <w:t>l</w:t>
      </w:r>
      <w:r w:rsidRPr="00822968">
        <w:t xml:space="preserve">ong </w:t>
      </w:r>
      <w:r w:rsidR="00D80312" w:rsidRPr="00822968">
        <w:t>acting</w:t>
      </w:r>
      <w:proofErr w:type="gramEnd"/>
      <w:r w:rsidR="00D80312" w:rsidRPr="00822968">
        <w:t xml:space="preserve"> beta-agonists (</w:t>
      </w:r>
      <w:r w:rsidR="004E115B" w:rsidRPr="00822968">
        <w:t>for example,</w:t>
      </w:r>
      <w:r w:rsidR="00D80312" w:rsidRPr="00822968">
        <w:t xml:space="preserve"> formoterol, salmeterol).</w:t>
      </w:r>
    </w:p>
    <w:p w14:paraId="2548C3F3" w14:textId="6E4DE026" w:rsidR="00D80312" w:rsidRPr="00822968" w:rsidRDefault="00D80312" w:rsidP="004B2847">
      <w:r w:rsidRPr="00822968">
        <w:t>Other agents used in some patients as add-on therapy include tiotropium, montelukast and monoclonal antibodies such as dupilumab, omalizumab, mepolizumab</w:t>
      </w:r>
      <w:r w:rsidR="00A15EE3">
        <w:t xml:space="preserve"> and</w:t>
      </w:r>
      <w:r w:rsidRPr="00822968">
        <w:t xml:space="preserve"> </w:t>
      </w:r>
      <w:proofErr w:type="spellStart"/>
      <w:r w:rsidRPr="00822968">
        <w:t>benralizumab</w:t>
      </w:r>
      <w:proofErr w:type="spellEnd"/>
      <w:r w:rsidRPr="00822968">
        <w:t>).</w:t>
      </w:r>
    </w:p>
    <w:p w14:paraId="4EE37360" w14:textId="64BB8C06" w:rsidR="00D80312" w:rsidRPr="00822968" w:rsidRDefault="00D80312" w:rsidP="004B2847">
      <w:r w:rsidRPr="00822968">
        <w:lastRenderedPageBreak/>
        <w:t>Dupilumab is currently registered for the treatment of asthma as described above. The rationale for the current submission is to provide information on the long</w:t>
      </w:r>
      <w:r w:rsidR="007733D3" w:rsidRPr="00822968">
        <w:t xml:space="preserve"> </w:t>
      </w:r>
      <w:r w:rsidRPr="00822968">
        <w:t xml:space="preserve">term efficacy and safety of the drug. It is proposed to include such information in the </w:t>
      </w:r>
      <w:r w:rsidR="00A15EE3">
        <w:t>Product Information (PI)</w:t>
      </w:r>
      <w:r w:rsidRPr="00822968">
        <w:t>.</w:t>
      </w:r>
    </w:p>
    <w:p w14:paraId="070F20DB" w14:textId="77777777" w:rsidR="008E7846" w:rsidRPr="00822968" w:rsidRDefault="00386150" w:rsidP="008E7846">
      <w:pPr>
        <w:pStyle w:val="Heading3"/>
      </w:pPr>
      <w:bookmarkStart w:id="22" w:name="_Toc314842485"/>
      <w:bookmarkStart w:id="23" w:name="_Toc247691504"/>
      <w:bookmarkStart w:id="24" w:name="_Toc101954623"/>
      <w:r w:rsidRPr="00822968">
        <w:t>Regulatory s</w:t>
      </w:r>
      <w:r w:rsidR="008E7846" w:rsidRPr="00822968">
        <w:t>tatus</w:t>
      </w:r>
      <w:bookmarkEnd w:id="22"/>
      <w:bookmarkEnd w:id="23"/>
      <w:bookmarkEnd w:id="24"/>
    </w:p>
    <w:p w14:paraId="363859BC" w14:textId="20402BA5" w:rsidR="00006FAB" w:rsidRPr="00822968" w:rsidRDefault="00006FAB" w:rsidP="00006FAB">
      <w:bookmarkStart w:id="25" w:name="_Toc247691505"/>
      <w:bookmarkStart w:id="26" w:name="_Toc314842486"/>
      <w:r w:rsidRPr="00822968">
        <w:t>The product received initial registration on the Australian Register of Therapeutic Goods (ARTG) on</w:t>
      </w:r>
      <w:r w:rsidR="00B2280B" w:rsidRPr="00822968">
        <w:t xml:space="preserve"> 24 January 2018.</w:t>
      </w:r>
      <w:r w:rsidR="00A53462" w:rsidRPr="00822968">
        <w:t xml:space="preserve"> The following indications have been approved previously:</w:t>
      </w:r>
    </w:p>
    <w:p w14:paraId="18F335E1" w14:textId="77777777" w:rsidR="003A44F9" w:rsidRPr="00822968" w:rsidRDefault="003A44F9" w:rsidP="003A44F9">
      <w:pPr>
        <w:ind w:left="720"/>
        <w:rPr>
          <w:i/>
          <w:iCs/>
        </w:rPr>
      </w:pPr>
      <w:r w:rsidRPr="00822968">
        <w:rPr>
          <w:i/>
          <w:iCs/>
        </w:rPr>
        <w:t>Dupixent is indicated for the following type 2 inflammatory diseases:</w:t>
      </w:r>
    </w:p>
    <w:p w14:paraId="4566BFEC" w14:textId="5E540D51" w:rsidR="003A44F9" w:rsidRPr="00822968" w:rsidRDefault="003A44F9" w:rsidP="003A44F9">
      <w:pPr>
        <w:ind w:left="720"/>
        <w:rPr>
          <w:b/>
          <w:bCs/>
          <w:i/>
          <w:iCs/>
        </w:rPr>
      </w:pPr>
      <w:r w:rsidRPr="00822968">
        <w:rPr>
          <w:b/>
          <w:bCs/>
          <w:i/>
          <w:iCs/>
        </w:rPr>
        <w:t xml:space="preserve">Atopic </w:t>
      </w:r>
      <w:r w:rsidR="00BA701B" w:rsidRPr="00822968">
        <w:rPr>
          <w:b/>
          <w:bCs/>
          <w:i/>
          <w:iCs/>
        </w:rPr>
        <w:t>d</w:t>
      </w:r>
      <w:r w:rsidRPr="00822968">
        <w:rPr>
          <w:b/>
          <w:bCs/>
          <w:i/>
          <w:iCs/>
        </w:rPr>
        <w:t>ermatitis</w:t>
      </w:r>
    </w:p>
    <w:p w14:paraId="11DD89A5" w14:textId="77777777" w:rsidR="003A44F9" w:rsidRPr="00822968" w:rsidRDefault="003A44F9" w:rsidP="003A44F9">
      <w:pPr>
        <w:ind w:left="720"/>
        <w:rPr>
          <w:i/>
          <w:iCs/>
        </w:rPr>
      </w:pPr>
      <w:r w:rsidRPr="00822968">
        <w:rPr>
          <w:i/>
          <w:iCs/>
        </w:rPr>
        <w:t>Adults and adolescents</w:t>
      </w:r>
    </w:p>
    <w:p w14:paraId="7AF6284C" w14:textId="77777777" w:rsidR="003A44F9" w:rsidRPr="00822968" w:rsidRDefault="003A44F9" w:rsidP="003A44F9">
      <w:pPr>
        <w:ind w:left="720"/>
        <w:rPr>
          <w:i/>
          <w:iCs/>
        </w:rPr>
      </w:pPr>
      <w:r w:rsidRPr="00822968">
        <w:rPr>
          <w:i/>
          <w:iCs/>
        </w:rPr>
        <w:t>Dupixent is indicated for the treatment of moderate to severe atopic dermatitis in patients aged 12 years and older who are candidates for chronic systemic therapy. Dupixent is not intended for episodic use.</w:t>
      </w:r>
    </w:p>
    <w:p w14:paraId="6955642F" w14:textId="77777777" w:rsidR="003A44F9" w:rsidRPr="00822968" w:rsidRDefault="003A44F9" w:rsidP="003A44F9">
      <w:pPr>
        <w:ind w:left="720"/>
        <w:rPr>
          <w:b/>
          <w:bCs/>
          <w:i/>
          <w:iCs/>
        </w:rPr>
      </w:pPr>
      <w:r w:rsidRPr="00822968">
        <w:rPr>
          <w:b/>
          <w:bCs/>
          <w:i/>
          <w:iCs/>
        </w:rPr>
        <w:t>Asthma</w:t>
      </w:r>
    </w:p>
    <w:p w14:paraId="0BF15C22" w14:textId="37A015BF" w:rsidR="003A44F9" w:rsidRPr="00822968" w:rsidRDefault="003A44F9" w:rsidP="003A44F9">
      <w:pPr>
        <w:ind w:left="720"/>
        <w:rPr>
          <w:i/>
          <w:iCs/>
        </w:rPr>
      </w:pPr>
      <w:r w:rsidRPr="00822968">
        <w:rPr>
          <w:i/>
          <w:iCs/>
        </w:rPr>
        <w:t>Dupixent is indicated as add on maintenance treatment in patients aged 12</w:t>
      </w:r>
      <w:r w:rsidR="006A3569" w:rsidRPr="00822968">
        <w:rPr>
          <w:i/>
          <w:iCs/>
        </w:rPr>
        <w:t> </w:t>
      </w:r>
      <w:r w:rsidRPr="00822968">
        <w:rPr>
          <w:i/>
          <w:iCs/>
        </w:rPr>
        <w:t xml:space="preserve">years and older with moderate to severe asthma with type 2 inflammation (elevated eosinophils or elevated </w:t>
      </w:r>
      <w:proofErr w:type="spellStart"/>
      <w:r w:rsidRPr="00822968">
        <w:rPr>
          <w:i/>
          <w:iCs/>
        </w:rPr>
        <w:t>FeNO</w:t>
      </w:r>
      <w:proofErr w:type="spellEnd"/>
      <w:r w:rsidRPr="00822968">
        <w:rPr>
          <w:i/>
          <w:iCs/>
        </w:rPr>
        <w:t>).</w:t>
      </w:r>
    </w:p>
    <w:p w14:paraId="42C4F4E1" w14:textId="7762ABB0" w:rsidR="003A44F9" w:rsidRPr="00822968" w:rsidRDefault="003A44F9" w:rsidP="00B2280B">
      <w:pPr>
        <w:ind w:left="720"/>
        <w:rPr>
          <w:i/>
          <w:iCs/>
        </w:rPr>
      </w:pPr>
      <w:r w:rsidRPr="00822968">
        <w:rPr>
          <w:i/>
          <w:iCs/>
        </w:rPr>
        <w:t>Dupixent is indicated as maintenance therapy for oral corticosteroid dependent asthma.</w:t>
      </w:r>
    </w:p>
    <w:p w14:paraId="1B3A2501" w14:textId="7779FF2A" w:rsidR="004A1E5A" w:rsidRPr="00822968" w:rsidRDefault="004A1E5A" w:rsidP="004B2847">
      <w:pPr>
        <w:pStyle w:val="Heading4"/>
      </w:pPr>
      <w:r w:rsidRPr="00822968">
        <w:t>Atopic dermatitis indication in patients 6</w:t>
      </w:r>
      <w:r w:rsidR="000E5975" w:rsidRPr="00822968">
        <w:t xml:space="preserve"> to </w:t>
      </w:r>
      <w:r w:rsidRPr="00822968">
        <w:t>11 years of age</w:t>
      </w:r>
    </w:p>
    <w:p w14:paraId="5A30B72C" w14:textId="6126543F" w:rsidR="004A1E5A" w:rsidRPr="00822968" w:rsidRDefault="00006FAB" w:rsidP="004B2847">
      <w:r w:rsidRPr="00822968">
        <w:t xml:space="preserve">At the time the TGA considered this application, similar application had been approved </w:t>
      </w:r>
      <w:r w:rsidR="00A53462" w:rsidRPr="00822968">
        <w:t xml:space="preserve">in the </w:t>
      </w:r>
      <w:r w:rsidR="006A3569" w:rsidRPr="00822968">
        <w:t xml:space="preserve">United States of America </w:t>
      </w:r>
      <w:r w:rsidR="00665C29" w:rsidRPr="00822968">
        <w:t>(</w:t>
      </w:r>
      <w:r w:rsidR="00A53462" w:rsidRPr="00822968">
        <w:t>USA</w:t>
      </w:r>
      <w:r w:rsidR="00665C29" w:rsidRPr="00822968">
        <w:t>)</w:t>
      </w:r>
      <w:r w:rsidR="00A53462" w:rsidRPr="00822968">
        <w:t xml:space="preserve"> on 26 May 2020, European Union</w:t>
      </w:r>
      <w:r w:rsidR="006C7C27" w:rsidRPr="00822968">
        <w:t xml:space="preserve"> (EU)</w:t>
      </w:r>
      <w:r w:rsidR="00A53462" w:rsidRPr="00822968">
        <w:t xml:space="preserve"> on 25</w:t>
      </w:r>
      <w:r w:rsidR="00E607F0" w:rsidRPr="00822968">
        <w:t> </w:t>
      </w:r>
      <w:r w:rsidR="00A53462" w:rsidRPr="00822968">
        <w:t>Nov</w:t>
      </w:r>
      <w:r w:rsidR="004A1E5A" w:rsidRPr="00822968">
        <w:t>ember</w:t>
      </w:r>
      <w:r w:rsidR="00A53462" w:rsidRPr="00822968">
        <w:t xml:space="preserve"> 2020, Canada on 22</w:t>
      </w:r>
      <w:r w:rsidR="004A1E5A" w:rsidRPr="00822968">
        <w:t xml:space="preserve"> </w:t>
      </w:r>
      <w:r w:rsidR="000E5975" w:rsidRPr="00822968">
        <w:t>February</w:t>
      </w:r>
      <w:r w:rsidR="004A1E5A" w:rsidRPr="00822968">
        <w:t xml:space="preserve"> </w:t>
      </w:r>
      <w:r w:rsidR="00A53462" w:rsidRPr="00822968">
        <w:t xml:space="preserve">2021, Brazil on </w:t>
      </w:r>
      <w:r w:rsidR="000E5975" w:rsidRPr="00822968">
        <w:t>3</w:t>
      </w:r>
      <w:r w:rsidR="00A53462" w:rsidRPr="00822968">
        <w:t>1</w:t>
      </w:r>
      <w:r w:rsidR="004A1E5A" w:rsidRPr="00822968">
        <w:t xml:space="preserve"> </w:t>
      </w:r>
      <w:r w:rsidR="00A53462" w:rsidRPr="00822968">
        <w:t>Aug</w:t>
      </w:r>
      <w:r w:rsidR="004A1E5A" w:rsidRPr="00822968">
        <w:t xml:space="preserve">ust </w:t>
      </w:r>
      <w:r w:rsidR="00A53462" w:rsidRPr="00822968">
        <w:t>2020, Russia on 12</w:t>
      </w:r>
      <w:r w:rsidR="00691E3B">
        <w:t> </w:t>
      </w:r>
      <w:r w:rsidR="00A53462" w:rsidRPr="00822968">
        <w:t>Aug</w:t>
      </w:r>
      <w:r w:rsidR="004A1E5A" w:rsidRPr="00822968">
        <w:t xml:space="preserve">ust </w:t>
      </w:r>
      <w:r w:rsidR="00A53462" w:rsidRPr="00822968">
        <w:t>2020, South Korea on 9</w:t>
      </w:r>
      <w:r w:rsidR="004A1E5A" w:rsidRPr="00822968">
        <w:t xml:space="preserve"> </w:t>
      </w:r>
      <w:r w:rsidR="00A53462" w:rsidRPr="00822968">
        <w:t>Mar</w:t>
      </w:r>
      <w:r w:rsidR="004A1E5A" w:rsidRPr="00822968">
        <w:t xml:space="preserve">ch </w:t>
      </w:r>
      <w:r w:rsidR="00A53462" w:rsidRPr="00822968">
        <w:t xml:space="preserve">2021, </w:t>
      </w:r>
      <w:r w:rsidR="00691E3B">
        <w:t xml:space="preserve">and the </w:t>
      </w:r>
      <w:r w:rsidR="00A53462" w:rsidRPr="00822968">
        <w:t>United Arab Emirates on 9</w:t>
      </w:r>
      <w:r w:rsidR="00691E3B">
        <w:t> </w:t>
      </w:r>
      <w:r w:rsidR="00A53462" w:rsidRPr="00822968">
        <w:t>Nov</w:t>
      </w:r>
      <w:r w:rsidR="004A1E5A" w:rsidRPr="00822968">
        <w:t xml:space="preserve">ember </w:t>
      </w:r>
      <w:r w:rsidR="00A53462" w:rsidRPr="00822968">
        <w:t>2020.</w:t>
      </w:r>
    </w:p>
    <w:p w14:paraId="74EA7665" w14:textId="3B3FC0B6" w:rsidR="004A1E5A" w:rsidRPr="00822968" w:rsidRDefault="004A1E5A" w:rsidP="004B2847">
      <w:pPr>
        <w:pStyle w:val="Heading4"/>
      </w:pPr>
      <w:r w:rsidRPr="00822968">
        <w:t xml:space="preserve">Asthma </w:t>
      </w:r>
      <w:r w:rsidR="000E5975" w:rsidRPr="00822968">
        <w:t>a</w:t>
      </w:r>
      <w:r w:rsidRPr="00822968">
        <w:t>dults and adolescents &gt; 12 years</w:t>
      </w:r>
    </w:p>
    <w:p w14:paraId="23D8937E" w14:textId="167AE1FC" w:rsidR="00006FAB" w:rsidRPr="00822968" w:rsidRDefault="004A1E5A" w:rsidP="004B2847">
      <w:r w:rsidRPr="00822968">
        <w:t>At the time the TGA considered this application, a s</w:t>
      </w:r>
      <w:r w:rsidR="00A53462" w:rsidRPr="00822968">
        <w:t>imilar application ha</w:t>
      </w:r>
      <w:r w:rsidR="00691E3B">
        <w:t>d</w:t>
      </w:r>
      <w:r w:rsidR="00A53462" w:rsidRPr="00822968">
        <w:t xml:space="preserve"> been approved in </w:t>
      </w:r>
      <w:r w:rsidRPr="00822968">
        <w:t xml:space="preserve">the EU on 17 September 2020. Similar applications </w:t>
      </w:r>
      <w:r w:rsidR="000E5975" w:rsidRPr="00822968">
        <w:t>were</w:t>
      </w:r>
      <w:r w:rsidR="00006FAB" w:rsidRPr="00822968">
        <w:t xml:space="preserve"> under consideration in</w:t>
      </w:r>
      <w:r w:rsidR="00E607F0" w:rsidRPr="00822968">
        <w:t xml:space="preserve"> the</w:t>
      </w:r>
      <w:r w:rsidR="00006FAB" w:rsidRPr="00822968">
        <w:t xml:space="preserve"> </w:t>
      </w:r>
      <w:r w:rsidRPr="00822968">
        <w:t xml:space="preserve">USA </w:t>
      </w:r>
      <w:r w:rsidR="00006FAB" w:rsidRPr="00822968">
        <w:t>(</w:t>
      </w:r>
      <w:r w:rsidRPr="00822968">
        <w:t>submitted on 14 December 2020</w:t>
      </w:r>
      <w:r w:rsidR="00006FAB" w:rsidRPr="00822968">
        <w:t>)</w:t>
      </w:r>
      <w:r w:rsidRPr="00822968">
        <w:t>, Canada (submitted on 15 April 2020)</w:t>
      </w:r>
      <w:r w:rsidR="00E607F0" w:rsidRPr="00822968">
        <w:t xml:space="preserve"> and</w:t>
      </w:r>
      <w:r w:rsidRPr="00822968">
        <w:t xml:space="preserve"> Switzerland (submitted on 25 January 2021)</w:t>
      </w:r>
      <w:r w:rsidR="00E607F0" w:rsidRPr="00822968">
        <w:t>.</w:t>
      </w:r>
    </w:p>
    <w:p w14:paraId="3F2F7C59" w14:textId="77777777" w:rsidR="008E7846" w:rsidRPr="00822968" w:rsidRDefault="008E7846" w:rsidP="00940A89">
      <w:pPr>
        <w:pStyle w:val="Heading3"/>
      </w:pPr>
      <w:bookmarkStart w:id="27" w:name="_Toc101954624"/>
      <w:r w:rsidRPr="00822968">
        <w:t>Product Information</w:t>
      </w:r>
      <w:bookmarkEnd w:id="25"/>
      <w:bookmarkEnd w:id="26"/>
      <w:bookmarkEnd w:id="27"/>
    </w:p>
    <w:p w14:paraId="1BC22552" w14:textId="31A2D3EC" w:rsidR="00940A89" w:rsidRPr="00822968" w:rsidRDefault="006136D7" w:rsidP="00940A89">
      <w:bookmarkStart w:id="28" w:name="_Toc247691506"/>
      <w:bookmarkStart w:id="29" w:name="_Toc314842487"/>
      <w:r w:rsidRPr="00822968">
        <w:t xml:space="preserve">The Product Information (PI) approved with the submission which is described in this AusPAR can be found as Attachment 1. For the most recent PI, please refer to the TGA website at </w:t>
      </w:r>
      <w:r w:rsidR="00441C3F" w:rsidRPr="00822968">
        <w:t>&lt;</w:t>
      </w:r>
      <w:hyperlink r:id="rId13" w:history="1">
        <w:r w:rsidR="00441C3F" w:rsidRPr="00822968">
          <w:rPr>
            <w:rStyle w:val="Hyperlink"/>
          </w:rPr>
          <w:t>https://www.tga.gov.au/product-information-pi</w:t>
        </w:r>
      </w:hyperlink>
      <w:r w:rsidR="00441C3F" w:rsidRPr="00822968">
        <w:t>&gt;</w:t>
      </w:r>
      <w:r w:rsidR="00940A89" w:rsidRPr="00822968">
        <w:t>.</w:t>
      </w:r>
    </w:p>
    <w:p w14:paraId="66B21EC4" w14:textId="77777777" w:rsidR="00500337" w:rsidRPr="00822968" w:rsidRDefault="00500337" w:rsidP="00500337">
      <w:pPr>
        <w:pStyle w:val="Heading2"/>
      </w:pPr>
      <w:bookmarkStart w:id="30" w:name="_Toc504480011"/>
      <w:bookmarkStart w:id="31" w:name="_Toc101954625"/>
      <w:r w:rsidRPr="00822968">
        <w:t>II. Registration timeline</w:t>
      </w:r>
      <w:bookmarkEnd w:id="30"/>
      <w:bookmarkEnd w:id="31"/>
    </w:p>
    <w:p w14:paraId="5A533A9E" w14:textId="43A90183" w:rsidR="00500337" w:rsidRPr="00822968" w:rsidRDefault="00500337" w:rsidP="00500337">
      <w:r w:rsidRPr="00822968">
        <w:t>The following table captures the key steps and dates for this application</w:t>
      </w:r>
      <w:r w:rsidR="00E607F0" w:rsidRPr="00822968">
        <w:t>,</w:t>
      </w:r>
      <w:r w:rsidRPr="00822968">
        <w:t xml:space="preserve"> and which are detailed and discussed in this AusPAR.</w:t>
      </w:r>
    </w:p>
    <w:p w14:paraId="07E2BB93" w14:textId="6D52C63C" w:rsidR="006A58A8" w:rsidRPr="00822968" w:rsidRDefault="00747C75" w:rsidP="00747C75">
      <w:pPr>
        <w:pStyle w:val="TableTitle"/>
      </w:pPr>
      <w:r w:rsidRPr="00822968">
        <w:lastRenderedPageBreak/>
        <w:t xml:space="preserve">Table </w:t>
      </w:r>
      <w:fldSimple w:instr=" SEQ Table \* ARABIC ">
        <w:r w:rsidR="0078142B">
          <w:rPr>
            <w:noProof/>
          </w:rPr>
          <w:t>1</w:t>
        </w:r>
      </w:fldSimple>
      <w:r w:rsidR="00006FAB" w:rsidRPr="00822968">
        <w:t>:</w:t>
      </w:r>
      <w:r w:rsidR="006A58A8" w:rsidRPr="00822968">
        <w:t xml:space="preserve"> Timeline for Submission </w:t>
      </w:r>
      <w:r w:rsidR="00BA1C08" w:rsidRPr="00822968">
        <w:t>PM-2020-03043-1-5</w:t>
      </w:r>
    </w:p>
    <w:tbl>
      <w:tblPr>
        <w:tblStyle w:val="TableTGAblue"/>
        <w:tblW w:w="0" w:type="auto"/>
        <w:tblLook w:val="04A0" w:firstRow="1" w:lastRow="0" w:firstColumn="1" w:lastColumn="0" w:noHBand="0" w:noVBand="1"/>
      </w:tblPr>
      <w:tblGrid>
        <w:gridCol w:w="4263"/>
        <w:gridCol w:w="4231"/>
      </w:tblGrid>
      <w:tr w:rsidR="00500337" w:rsidRPr="00822968" w14:paraId="2C577570" w14:textId="77777777" w:rsidTr="003A44F9">
        <w:trPr>
          <w:cnfStyle w:val="100000000000" w:firstRow="1" w:lastRow="0" w:firstColumn="0" w:lastColumn="0" w:oddVBand="0" w:evenVBand="0" w:oddHBand="0" w:evenHBand="0" w:firstRowFirstColumn="0" w:firstRowLastColumn="0" w:lastRowFirstColumn="0" w:lastRowLastColumn="0"/>
          <w:cantSplit/>
        </w:trPr>
        <w:tc>
          <w:tcPr>
            <w:tcW w:w="4263" w:type="dxa"/>
            <w:tcBorders>
              <w:top w:val="single" w:sz="4" w:space="0" w:color="auto"/>
              <w:left w:val="single" w:sz="4" w:space="0" w:color="auto"/>
              <w:bottom w:val="single" w:sz="4" w:space="0" w:color="auto"/>
              <w:right w:val="single" w:sz="4" w:space="0" w:color="auto"/>
            </w:tcBorders>
          </w:tcPr>
          <w:p w14:paraId="3A47D9B8" w14:textId="77777777" w:rsidR="00500337" w:rsidRPr="00822968" w:rsidRDefault="00500337" w:rsidP="00500337">
            <w:pPr>
              <w:ind w:left="0" w:right="0"/>
            </w:pPr>
            <w:r w:rsidRPr="00822968">
              <w:t>Description</w:t>
            </w:r>
          </w:p>
        </w:tc>
        <w:tc>
          <w:tcPr>
            <w:tcW w:w="4231" w:type="dxa"/>
            <w:tcBorders>
              <w:top w:val="single" w:sz="4" w:space="0" w:color="auto"/>
              <w:left w:val="single" w:sz="4" w:space="0" w:color="auto"/>
              <w:bottom w:val="single" w:sz="4" w:space="0" w:color="auto"/>
              <w:right w:val="single" w:sz="4" w:space="0" w:color="auto"/>
            </w:tcBorders>
          </w:tcPr>
          <w:p w14:paraId="71783A0A" w14:textId="77777777" w:rsidR="00500337" w:rsidRPr="00822968" w:rsidRDefault="00500337" w:rsidP="00500337">
            <w:pPr>
              <w:ind w:left="0" w:right="0"/>
            </w:pPr>
            <w:r w:rsidRPr="00822968">
              <w:t>Date</w:t>
            </w:r>
          </w:p>
        </w:tc>
      </w:tr>
      <w:tr w:rsidR="00500337" w:rsidRPr="00822968" w14:paraId="773987EE" w14:textId="77777777" w:rsidTr="003A44F9">
        <w:tc>
          <w:tcPr>
            <w:tcW w:w="4263" w:type="dxa"/>
            <w:tcBorders>
              <w:top w:val="single" w:sz="4" w:space="0" w:color="auto"/>
            </w:tcBorders>
          </w:tcPr>
          <w:p w14:paraId="3241216E" w14:textId="77777777" w:rsidR="00500337" w:rsidRPr="00822968" w:rsidRDefault="00500337" w:rsidP="00500337">
            <w:pPr>
              <w:ind w:left="0" w:right="0"/>
            </w:pPr>
            <w:r w:rsidRPr="00822968">
              <w:t>Submission dossier accepted and first round evaluation commenced</w:t>
            </w:r>
          </w:p>
        </w:tc>
        <w:tc>
          <w:tcPr>
            <w:tcW w:w="4231" w:type="dxa"/>
            <w:tcBorders>
              <w:top w:val="single" w:sz="4" w:space="0" w:color="auto"/>
            </w:tcBorders>
          </w:tcPr>
          <w:p w14:paraId="07AC4757" w14:textId="5669BA7B" w:rsidR="00500337" w:rsidRPr="00822968" w:rsidRDefault="000E5975" w:rsidP="00500337">
            <w:pPr>
              <w:ind w:left="0" w:right="0"/>
            </w:pPr>
            <w:r w:rsidRPr="00822968">
              <w:t>31</w:t>
            </w:r>
            <w:r w:rsidR="003E65EF" w:rsidRPr="00822968">
              <w:t xml:space="preserve"> July </w:t>
            </w:r>
            <w:r w:rsidRPr="00822968">
              <w:t>2020</w:t>
            </w:r>
          </w:p>
        </w:tc>
      </w:tr>
      <w:tr w:rsidR="00500337" w:rsidRPr="00822968" w14:paraId="3B53ABAE" w14:textId="77777777" w:rsidTr="003A44F9">
        <w:tc>
          <w:tcPr>
            <w:tcW w:w="4263" w:type="dxa"/>
          </w:tcPr>
          <w:p w14:paraId="75209F8E" w14:textId="77777777" w:rsidR="00500337" w:rsidRPr="00822968" w:rsidRDefault="00500337" w:rsidP="00500337">
            <w:pPr>
              <w:ind w:left="0" w:right="0"/>
            </w:pPr>
            <w:r w:rsidRPr="00822968">
              <w:t>First round evaluation completed</w:t>
            </w:r>
          </w:p>
        </w:tc>
        <w:tc>
          <w:tcPr>
            <w:tcW w:w="4231" w:type="dxa"/>
          </w:tcPr>
          <w:p w14:paraId="7F961294" w14:textId="0BD954AF" w:rsidR="00500337" w:rsidRPr="00822968" w:rsidRDefault="000E5975" w:rsidP="00500337">
            <w:pPr>
              <w:ind w:left="0" w:right="0"/>
            </w:pPr>
            <w:r w:rsidRPr="00822968">
              <w:t>5</w:t>
            </w:r>
            <w:r w:rsidR="003E65EF" w:rsidRPr="00822968">
              <w:t xml:space="preserve"> January </w:t>
            </w:r>
            <w:r w:rsidRPr="00822968">
              <w:t>2021</w:t>
            </w:r>
          </w:p>
        </w:tc>
      </w:tr>
      <w:tr w:rsidR="00500337" w:rsidRPr="00822968" w14:paraId="79549C14" w14:textId="77777777" w:rsidTr="003A44F9">
        <w:tc>
          <w:tcPr>
            <w:tcW w:w="4263" w:type="dxa"/>
          </w:tcPr>
          <w:p w14:paraId="13EE0C0E" w14:textId="77777777" w:rsidR="00500337" w:rsidRPr="00822968" w:rsidRDefault="00500337" w:rsidP="00500337">
            <w:pPr>
              <w:ind w:left="0" w:right="0"/>
            </w:pPr>
            <w:r w:rsidRPr="00822968">
              <w:t>Sponsor provides responses on questions raised in first round evaluation</w:t>
            </w:r>
          </w:p>
        </w:tc>
        <w:tc>
          <w:tcPr>
            <w:tcW w:w="4231" w:type="dxa"/>
          </w:tcPr>
          <w:p w14:paraId="2E512065" w14:textId="2715DFE1" w:rsidR="00500337" w:rsidRPr="00822968" w:rsidRDefault="000E5975" w:rsidP="00500337">
            <w:pPr>
              <w:ind w:left="0" w:right="0"/>
            </w:pPr>
            <w:r w:rsidRPr="00822968">
              <w:t>9</w:t>
            </w:r>
            <w:r w:rsidR="003E65EF" w:rsidRPr="00822968">
              <w:t xml:space="preserve"> March </w:t>
            </w:r>
            <w:r w:rsidRPr="00822968">
              <w:t>2021</w:t>
            </w:r>
          </w:p>
        </w:tc>
      </w:tr>
      <w:tr w:rsidR="00500337" w:rsidRPr="00822968" w14:paraId="1F6CA90B" w14:textId="77777777" w:rsidTr="003A44F9">
        <w:tc>
          <w:tcPr>
            <w:tcW w:w="4263" w:type="dxa"/>
          </w:tcPr>
          <w:p w14:paraId="3DF49FDB" w14:textId="77777777" w:rsidR="00500337" w:rsidRPr="00822968" w:rsidRDefault="00500337" w:rsidP="00500337">
            <w:pPr>
              <w:ind w:left="0" w:right="0"/>
            </w:pPr>
            <w:r w:rsidRPr="00822968">
              <w:t>Second round evaluation completed</w:t>
            </w:r>
          </w:p>
        </w:tc>
        <w:tc>
          <w:tcPr>
            <w:tcW w:w="4231" w:type="dxa"/>
          </w:tcPr>
          <w:p w14:paraId="6CA5604F" w14:textId="52BC37BE" w:rsidR="00500337" w:rsidRPr="00822968" w:rsidRDefault="000E5975" w:rsidP="00500337">
            <w:pPr>
              <w:ind w:left="0" w:right="0"/>
            </w:pPr>
            <w:r w:rsidRPr="00822968">
              <w:t>8</w:t>
            </w:r>
            <w:r w:rsidR="003E65EF" w:rsidRPr="00822968">
              <w:t xml:space="preserve"> April </w:t>
            </w:r>
            <w:r w:rsidRPr="00822968">
              <w:t>2021</w:t>
            </w:r>
          </w:p>
        </w:tc>
      </w:tr>
      <w:tr w:rsidR="00500337" w:rsidRPr="00822968" w14:paraId="70FD2461" w14:textId="77777777" w:rsidTr="003A44F9">
        <w:tc>
          <w:tcPr>
            <w:tcW w:w="4263" w:type="dxa"/>
          </w:tcPr>
          <w:p w14:paraId="269DC5AB" w14:textId="52608101" w:rsidR="00500337" w:rsidRPr="00822968" w:rsidRDefault="00324E45" w:rsidP="00500337">
            <w:pPr>
              <w:ind w:left="0" w:right="0"/>
            </w:pPr>
            <w:r w:rsidRPr="00822968">
              <w:t>Delegate’s Overall benefit-risk assessment and request for Advisory Committee advice</w:t>
            </w:r>
          </w:p>
        </w:tc>
        <w:tc>
          <w:tcPr>
            <w:tcW w:w="4231" w:type="dxa"/>
          </w:tcPr>
          <w:p w14:paraId="0DB4ED38" w14:textId="08A71E01" w:rsidR="00500337" w:rsidRPr="00822968" w:rsidRDefault="00983C0D" w:rsidP="00500337">
            <w:pPr>
              <w:ind w:left="0" w:right="0"/>
            </w:pPr>
            <w:r w:rsidRPr="00822968">
              <w:t>6 May 2021</w:t>
            </w:r>
          </w:p>
        </w:tc>
      </w:tr>
      <w:tr w:rsidR="00500337" w:rsidRPr="00822968" w14:paraId="4ADD3E0B" w14:textId="77777777" w:rsidTr="003A44F9">
        <w:tc>
          <w:tcPr>
            <w:tcW w:w="4263" w:type="dxa"/>
          </w:tcPr>
          <w:p w14:paraId="3A698F6E" w14:textId="77777777" w:rsidR="00500337" w:rsidRPr="00822968" w:rsidRDefault="00500337" w:rsidP="00500337">
            <w:pPr>
              <w:ind w:left="0" w:right="0"/>
            </w:pPr>
            <w:r w:rsidRPr="00822968">
              <w:t>Sponsor’s pre-Advisory Committee response</w:t>
            </w:r>
          </w:p>
        </w:tc>
        <w:tc>
          <w:tcPr>
            <w:tcW w:w="4231" w:type="dxa"/>
          </w:tcPr>
          <w:p w14:paraId="7EB041E7" w14:textId="558F196F" w:rsidR="00500337" w:rsidRPr="00822968" w:rsidRDefault="00983C0D" w:rsidP="00500337">
            <w:pPr>
              <w:ind w:left="0" w:right="0"/>
            </w:pPr>
            <w:r w:rsidRPr="00822968">
              <w:t>20 May 2021</w:t>
            </w:r>
          </w:p>
        </w:tc>
      </w:tr>
      <w:tr w:rsidR="00500337" w:rsidRPr="00822968" w14:paraId="2E69A6E5" w14:textId="77777777" w:rsidTr="003A44F9">
        <w:tc>
          <w:tcPr>
            <w:tcW w:w="4263" w:type="dxa"/>
          </w:tcPr>
          <w:p w14:paraId="24A2010B" w14:textId="77777777" w:rsidR="00500337" w:rsidRPr="00822968" w:rsidRDefault="00500337" w:rsidP="00500337">
            <w:pPr>
              <w:ind w:left="0" w:right="0"/>
            </w:pPr>
            <w:r w:rsidRPr="00822968">
              <w:t>Advisory Committee meeting</w:t>
            </w:r>
          </w:p>
        </w:tc>
        <w:tc>
          <w:tcPr>
            <w:tcW w:w="4231" w:type="dxa"/>
          </w:tcPr>
          <w:p w14:paraId="760EBCB0" w14:textId="4C63C854" w:rsidR="00500337" w:rsidRPr="00822968" w:rsidRDefault="007D3D28" w:rsidP="00500337">
            <w:pPr>
              <w:ind w:left="0" w:right="0"/>
            </w:pPr>
            <w:r w:rsidRPr="00822968">
              <w:t>3 and 4 June 20</w:t>
            </w:r>
            <w:r w:rsidR="00654BFF" w:rsidRPr="00822968">
              <w:t xml:space="preserve"> </w:t>
            </w:r>
            <w:r w:rsidRPr="00822968">
              <w:t>21</w:t>
            </w:r>
          </w:p>
        </w:tc>
      </w:tr>
      <w:tr w:rsidR="00500337" w:rsidRPr="00822968" w14:paraId="65CE3400" w14:textId="77777777" w:rsidTr="003A44F9">
        <w:tc>
          <w:tcPr>
            <w:tcW w:w="4263" w:type="dxa"/>
          </w:tcPr>
          <w:p w14:paraId="26347BE1" w14:textId="77777777" w:rsidR="00500337" w:rsidRPr="00822968" w:rsidRDefault="00500337" w:rsidP="00500337">
            <w:pPr>
              <w:ind w:left="0" w:right="0"/>
            </w:pPr>
            <w:r w:rsidRPr="00822968">
              <w:t>Registration decision (Outcome)</w:t>
            </w:r>
          </w:p>
        </w:tc>
        <w:tc>
          <w:tcPr>
            <w:tcW w:w="4231" w:type="dxa"/>
          </w:tcPr>
          <w:p w14:paraId="468134AA" w14:textId="2289D6A2" w:rsidR="00500337" w:rsidRPr="00822968" w:rsidRDefault="000E5975" w:rsidP="00500337">
            <w:pPr>
              <w:ind w:left="0" w:right="0"/>
            </w:pPr>
            <w:r w:rsidRPr="00822968">
              <w:t>13</w:t>
            </w:r>
            <w:r w:rsidR="001C325E" w:rsidRPr="00822968">
              <w:t xml:space="preserve"> August </w:t>
            </w:r>
            <w:r w:rsidRPr="00822968">
              <w:t>2021</w:t>
            </w:r>
          </w:p>
        </w:tc>
      </w:tr>
      <w:tr w:rsidR="00500337" w:rsidRPr="00822968" w14:paraId="4F6FCFDB" w14:textId="77777777" w:rsidTr="003A44F9">
        <w:tc>
          <w:tcPr>
            <w:tcW w:w="4263" w:type="dxa"/>
          </w:tcPr>
          <w:p w14:paraId="32ADC076" w14:textId="77777777" w:rsidR="00500337" w:rsidRPr="00822968" w:rsidRDefault="00500337" w:rsidP="00500337">
            <w:pPr>
              <w:ind w:left="0" w:right="0"/>
            </w:pPr>
            <w:r w:rsidRPr="00822968">
              <w:t xml:space="preserve">Completion of administrative activities and registration on </w:t>
            </w:r>
            <w:r w:rsidR="00006FAB" w:rsidRPr="00822968">
              <w:t xml:space="preserve">the </w:t>
            </w:r>
            <w:r w:rsidRPr="00822968">
              <w:t>ARTG</w:t>
            </w:r>
          </w:p>
        </w:tc>
        <w:tc>
          <w:tcPr>
            <w:tcW w:w="4231" w:type="dxa"/>
          </w:tcPr>
          <w:p w14:paraId="4EBD4E40" w14:textId="2122CEC5" w:rsidR="00500337" w:rsidRPr="00822968" w:rsidRDefault="001C325E" w:rsidP="00500337">
            <w:pPr>
              <w:ind w:left="0" w:right="0"/>
            </w:pPr>
            <w:r w:rsidRPr="00822968">
              <w:t>17 August 2021</w:t>
            </w:r>
          </w:p>
        </w:tc>
      </w:tr>
      <w:tr w:rsidR="00500337" w:rsidRPr="00822968" w14:paraId="64BBBEC5" w14:textId="77777777" w:rsidTr="003A44F9">
        <w:tc>
          <w:tcPr>
            <w:tcW w:w="4263" w:type="dxa"/>
          </w:tcPr>
          <w:p w14:paraId="0F85DFE6" w14:textId="77777777" w:rsidR="00500337" w:rsidRPr="00822968" w:rsidRDefault="00500337" w:rsidP="00500337">
            <w:pPr>
              <w:ind w:left="0" w:right="0"/>
            </w:pPr>
            <w:r w:rsidRPr="00822968">
              <w:t>Number of working days from submission dossier acceptance to registration decision*</w:t>
            </w:r>
          </w:p>
        </w:tc>
        <w:tc>
          <w:tcPr>
            <w:tcW w:w="4231" w:type="dxa"/>
          </w:tcPr>
          <w:p w14:paraId="1DEB3E24" w14:textId="39F85394" w:rsidR="00500337" w:rsidRPr="00822968" w:rsidRDefault="000E5975" w:rsidP="00500337">
            <w:pPr>
              <w:ind w:left="0" w:right="0"/>
            </w:pPr>
            <w:r w:rsidRPr="00822968">
              <w:t>213</w:t>
            </w:r>
          </w:p>
        </w:tc>
      </w:tr>
    </w:tbl>
    <w:p w14:paraId="119287A7" w14:textId="77777777" w:rsidR="00500337" w:rsidRPr="00822968" w:rsidRDefault="00500337" w:rsidP="00500337">
      <w:pPr>
        <w:pStyle w:val="TableDescription"/>
      </w:pPr>
      <w:r w:rsidRPr="00822968">
        <w:t>*</w:t>
      </w:r>
      <w:r w:rsidR="00BF3774" w:rsidRPr="00822968">
        <w:t xml:space="preserve">Statutory </w:t>
      </w:r>
      <w:r w:rsidRPr="00822968">
        <w:t>timeframe for standard applications is 2</w:t>
      </w:r>
      <w:r w:rsidR="00BF3774" w:rsidRPr="00822968">
        <w:t>55</w:t>
      </w:r>
      <w:r w:rsidRPr="00822968">
        <w:t xml:space="preserve"> working days</w:t>
      </w:r>
    </w:p>
    <w:p w14:paraId="49423E81" w14:textId="77777777" w:rsidR="008E7846" w:rsidRPr="00822968" w:rsidRDefault="00456765" w:rsidP="008E7846">
      <w:pPr>
        <w:pStyle w:val="Heading2"/>
      </w:pPr>
      <w:bookmarkStart w:id="32" w:name="_Toc196046504"/>
      <w:bookmarkStart w:id="33" w:name="_Toc247691527"/>
      <w:bookmarkStart w:id="34" w:name="_Toc314842510"/>
      <w:bookmarkStart w:id="35" w:name="_Toc101954626"/>
      <w:bookmarkStart w:id="36" w:name="_Toc163441390"/>
      <w:bookmarkEnd w:id="28"/>
      <w:bookmarkEnd w:id="29"/>
      <w:bookmarkEnd w:id="1"/>
      <w:r w:rsidRPr="00822968">
        <w:t>I</w:t>
      </w:r>
      <w:r w:rsidR="00DA64CB" w:rsidRPr="00822968">
        <w:t>I</w:t>
      </w:r>
      <w:r w:rsidR="008E7846" w:rsidRPr="00822968">
        <w:t xml:space="preserve">I. </w:t>
      </w:r>
      <w:r w:rsidR="00006FAB" w:rsidRPr="00822968">
        <w:t xml:space="preserve">Submission overview </w:t>
      </w:r>
      <w:r w:rsidR="008E7846" w:rsidRPr="00822968">
        <w:t>and risk/benefit assessment</w:t>
      </w:r>
      <w:bookmarkEnd w:id="32"/>
      <w:bookmarkEnd w:id="33"/>
      <w:bookmarkEnd w:id="34"/>
      <w:bookmarkEnd w:id="35"/>
    </w:p>
    <w:p w14:paraId="0D64BDD9" w14:textId="124E67C8" w:rsidR="00006FAB" w:rsidRPr="00822968" w:rsidRDefault="00006FAB" w:rsidP="00006FAB">
      <w:bookmarkStart w:id="37" w:name="_Toc247691528"/>
      <w:r w:rsidRPr="00822968">
        <w:t>The submission was summarised in the following Delegate’s overview and recommendations.</w:t>
      </w:r>
    </w:p>
    <w:p w14:paraId="64F02F55" w14:textId="6295F182" w:rsidR="00BA1C08" w:rsidRPr="00822968" w:rsidRDefault="00BA1C08" w:rsidP="00006FAB">
      <w:r w:rsidRPr="00822968">
        <w:t>Relevant guidelines or guidance documents referred to by the Delegate are listed below:</w:t>
      </w:r>
    </w:p>
    <w:p w14:paraId="6E41B34F" w14:textId="77777777" w:rsidR="00F65CE3" w:rsidRPr="00822968" w:rsidRDefault="00F65CE3" w:rsidP="00F65CE3">
      <w:pPr>
        <w:pStyle w:val="ListBullet"/>
      </w:pPr>
      <w:r w:rsidRPr="00822968">
        <w:t>European Medicines Agency</w:t>
      </w:r>
      <w:r>
        <w:t xml:space="preserve"> (EMA), </w:t>
      </w:r>
      <w:r w:rsidRPr="00F65CE3">
        <w:t>Committee for Medicinal Products Human Use (CHMP)</w:t>
      </w:r>
      <w:r>
        <w:t>,</w:t>
      </w:r>
      <w:r w:rsidRPr="00822968">
        <w:t xml:space="preserve"> Guideline on the Clinical Investigation </w:t>
      </w:r>
      <w:r>
        <w:t>o</w:t>
      </w:r>
      <w:r w:rsidRPr="00822968">
        <w:t xml:space="preserve">f Medicinal Products </w:t>
      </w:r>
      <w:r>
        <w:t>f</w:t>
      </w:r>
      <w:r w:rsidRPr="00822968">
        <w:t xml:space="preserve">or </w:t>
      </w:r>
      <w:r>
        <w:t>t</w:t>
      </w:r>
      <w:r w:rsidRPr="00822968">
        <w:t xml:space="preserve">he Treatment </w:t>
      </w:r>
      <w:r>
        <w:t>o</w:t>
      </w:r>
      <w:r w:rsidRPr="00822968">
        <w:t>f Asthma</w:t>
      </w:r>
      <w:r>
        <w:t>,</w:t>
      </w:r>
      <w:r w:rsidRPr="00822968">
        <w:t xml:space="preserve"> </w:t>
      </w:r>
      <w:r w:rsidRPr="00F65CE3">
        <w:t>CHMP/EWP/2922/01 Rev.1</w:t>
      </w:r>
      <w:r>
        <w:t xml:space="preserve">, </w:t>
      </w:r>
      <w:r w:rsidRPr="00F65CE3">
        <w:t>22 October 2015</w:t>
      </w:r>
      <w:r>
        <w:t>.</w:t>
      </w:r>
    </w:p>
    <w:p w14:paraId="332E40B1" w14:textId="37C3656A" w:rsidR="0080244D" w:rsidRPr="00822968" w:rsidRDefault="00F65CE3" w:rsidP="00F65CE3">
      <w:pPr>
        <w:pStyle w:val="ListBullet"/>
      </w:pPr>
      <w:r w:rsidRPr="00F65CE3">
        <w:t xml:space="preserve">European Medicines Evaluation Agency </w:t>
      </w:r>
      <w:r>
        <w:t>(</w:t>
      </w:r>
      <w:r w:rsidR="0080244D" w:rsidRPr="00822968">
        <w:t>EMEA</w:t>
      </w:r>
      <w:r>
        <w:t>)</w:t>
      </w:r>
      <w:r w:rsidR="0080244D" w:rsidRPr="00822968">
        <w:t xml:space="preserve">, </w:t>
      </w:r>
      <w:r w:rsidRPr="00F65CE3">
        <w:t xml:space="preserve">Committee for Proprietary Medicinal Products </w:t>
      </w:r>
      <w:r>
        <w:t>(</w:t>
      </w:r>
      <w:r w:rsidR="0080244D" w:rsidRPr="00822968">
        <w:t>CPMP</w:t>
      </w:r>
      <w:r>
        <w:t>)</w:t>
      </w:r>
      <w:r w:rsidR="0080244D" w:rsidRPr="00822968">
        <w:t>, ICH Topic E 11 Clinical Investigation of Medicinal Products in the Paediatric Population, CPMP/ICH/2711/99, January 2001</w:t>
      </w:r>
      <w:r>
        <w:t>.</w:t>
      </w:r>
    </w:p>
    <w:p w14:paraId="7B55C18E" w14:textId="1D879FD8" w:rsidR="0080244D" w:rsidRPr="00822968" w:rsidRDefault="0080244D" w:rsidP="00F65CE3">
      <w:pPr>
        <w:pStyle w:val="ListBullet"/>
      </w:pPr>
      <w:r w:rsidRPr="00822968">
        <w:t>Global Initiative for Asthma (GINA). Global Strategy for Asthma Management and Prevention, 2020.</w:t>
      </w:r>
    </w:p>
    <w:p w14:paraId="6C79DE99" w14:textId="6785C66D" w:rsidR="0080244D" w:rsidRPr="00822968" w:rsidRDefault="0080244D" w:rsidP="00F65CE3">
      <w:pPr>
        <w:pStyle w:val="ListBullet"/>
      </w:pPr>
      <w:r w:rsidRPr="00822968">
        <w:t>National Asthma Council Australia. Australian Asthma Handbook Version 2.1. 2020</w:t>
      </w:r>
      <w:r w:rsidR="00F65CE3">
        <w:t>.</w:t>
      </w:r>
    </w:p>
    <w:p w14:paraId="010FCC2A" w14:textId="77777777" w:rsidR="008E7846" w:rsidRPr="00822968" w:rsidRDefault="008E7846" w:rsidP="008E7846">
      <w:pPr>
        <w:pStyle w:val="Heading3"/>
      </w:pPr>
      <w:bookmarkStart w:id="38" w:name="_Toc314842511"/>
      <w:bookmarkStart w:id="39" w:name="_Toc101954627"/>
      <w:r w:rsidRPr="00822968">
        <w:lastRenderedPageBreak/>
        <w:t>Quality</w:t>
      </w:r>
      <w:bookmarkEnd w:id="37"/>
      <w:bookmarkEnd w:id="38"/>
      <w:bookmarkEnd w:id="39"/>
    </w:p>
    <w:p w14:paraId="62E067CD" w14:textId="0A09B8B0" w:rsidR="00E45619" w:rsidRDefault="00006FAB" w:rsidP="00006FAB">
      <w:r w:rsidRPr="00822968">
        <w:t>There was no requirement for a quality evaluation in a submission of this type.</w:t>
      </w:r>
    </w:p>
    <w:p w14:paraId="31FEF934" w14:textId="43F01E60" w:rsidR="00691E3B" w:rsidRPr="00822968" w:rsidRDefault="00691E3B" w:rsidP="00006FAB">
      <w:r>
        <w:t>Dupixent (dupilumab) underwent a full quality evaluation at the time of initial registration to the satisfaction of the TGA.</w:t>
      </w:r>
    </w:p>
    <w:p w14:paraId="55FB0028" w14:textId="77777777" w:rsidR="008E7846" w:rsidRPr="00822968" w:rsidRDefault="008E7846" w:rsidP="008E7846">
      <w:pPr>
        <w:pStyle w:val="Heading3"/>
      </w:pPr>
      <w:bookmarkStart w:id="40" w:name="_Toc314842512"/>
      <w:bookmarkStart w:id="41" w:name="_Toc101954628"/>
      <w:r w:rsidRPr="00822968">
        <w:t>Nonclinical</w:t>
      </w:r>
      <w:bookmarkEnd w:id="40"/>
      <w:bookmarkEnd w:id="41"/>
    </w:p>
    <w:p w14:paraId="203E95DF" w14:textId="543FE982" w:rsidR="008E7846" w:rsidRDefault="00006FAB" w:rsidP="00006FAB">
      <w:r w:rsidRPr="00822968">
        <w:t>There was no requirement for a nonclinical evaluation in a submission of this type.</w:t>
      </w:r>
    </w:p>
    <w:p w14:paraId="32EE0C20" w14:textId="245CEF1E" w:rsidR="00691E3B" w:rsidRPr="00822968" w:rsidRDefault="00691E3B" w:rsidP="00006FAB">
      <w:r>
        <w:t>Dupixent (dupilumab) underwent a full nonclinical evaluation at the time of initial registration to the satisfaction of the TGA.</w:t>
      </w:r>
    </w:p>
    <w:p w14:paraId="1C084509" w14:textId="77777777" w:rsidR="008E7846" w:rsidRPr="00822968" w:rsidRDefault="008E7846" w:rsidP="008E7846">
      <w:pPr>
        <w:pStyle w:val="Heading3"/>
      </w:pPr>
      <w:bookmarkStart w:id="42" w:name="_Toc247691530"/>
      <w:bookmarkStart w:id="43" w:name="_Toc314842513"/>
      <w:bookmarkStart w:id="44" w:name="_Toc101954629"/>
      <w:r w:rsidRPr="00822968">
        <w:t>Clinical</w:t>
      </w:r>
      <w:bookmarkEnd w:id="42"/>
      <w:bookmarkEnd w:id="43"/>
      <w:bookmarkEnd w:id="44"/>
    </w:p>
    <w:p w14:paraId="28E63347" w14:textId="4281F4C8" w:rsidR="00A908C9" w:rsidRPr="00822968" w:rsidRDefault="00A908C9" w:rsidP="00B13E6D">
      <w:pPr>
        <w:pStyle w:val="Heading4"/>
      </w:pPr>
      <w:bookmarkStart w:id="45" w:name="_Toc314842514"/>
      <w:r w:rsidRPr="00822968">
        <w:t>Pharmacology</w:t>
      </w:r>
    </w:p>
    <w:p w14:paraId="76FBD5A2" w14:textId="54B7F003" w:rsidR="00BA1C08" w:rsidRPr="00822968" w:rsidRDefault="00A908C9" w:rsidP="004B2847">
      <w:pPr>
        <w:pStyle w:val="Heading5"/>
      </w:pPr>
      <w:r w:rsidRPr="00822968">
        <w:t>Pharmacokinetics</w:t>
      </w:r>
      <w:r w:rsidR="004B2847" w:rsidRPr="00822968">
        <w:t xml:space="preserve"> </w:t>
      </w:r>
      <w:r w:rsidR="00BD7A09" w:rsidRPr="00822968">
        <w:t>(chronic rhinosinusitis with nasal polyposis)</w:t>
      </w:r>
    </w:p>
    <w:p w14:paraId="0AFCDF69" w14:textId="59406C0B" w:rsidR="00A908C9" w:rsidRPr="00822968" w:rsidRDefault="00A908C9" w:rsidP="004B2847">
      <w:r w:rsidRPr="00822968">
        <w:t xml:space="preserve">In the three CRSwNP studies sparse </w:t>
      </w:r>
      <w:r w:rsidR="00BD7A09" w:rsidRPr="00822968">
        <w:t>pharmacokinetic (</w:t>
      </w:r>
      <w:r w:rsidRPr="00822968">
        <w:t>PK</w:t>
      </w:r>
      <w:r w:rsidR="00BD7A09" w:rsidRPr="00822968">
        <w:t>)</w:t>
      </w:r>
      <w:r w:rsidRPr="00822968">
        <w:t xml:space="preserve"> sampling (</w:t>
      </w:r>
      <w:r w:rsidR="003467D1" w:rsidRPr="00822968">
        <w:t>trough concentration (</w:t>
      </w:r>
      <w:proofErr w:type="spellStart"/>
      <w:r w:rsidRPr="00822968">
        <w:t>C</w:t>
      </w:r>
      <w:r w:rsidRPr="00822968">
        <w:rPr>
          <w:vertAlign w:val="subscript"/>
        </w:rPr>
        <w:t>trough</w:t>
      </w:r>
      <w:proofErr w:type="spellEnd"/>
      <w:r w:rsidR="003467D1" w:rsidRPr="00822968">
        <w:t xml:space="preserve">) </w:t>
      </w:r>
      <w:r w:rsidRPr="00822968">
        <w:t xml:space="preserve">only) was performed and two </w:t>
      </w:r>
      <w:r w:rsidR="00BD7A09" w:rsidRPr="00822968">
        <w:t>population pharmacokinetic (</w:t>
      </w:r>
      <w:proofErr w:type="spellStart"/>
      <w:r w:rsidR="001B51E6" w:rsidRPr="00822968">
        <w:t>p</w:t>
      </w:r>
      <w:r w:rsidRPr="00822968">
        <w:t>opPK</w:t>
      </w:r>
      <w:proofErr w:type="spellEnd"/>
      <w:r w:rsidR="00BD7A09" w:rsidRPr="00822968">
        <w:t>)</w:t>
      </w:r>
      <w:r w:rsidRPr="00822968">
        <w:t xml:space="preserve"> analyses were performed. The first used data from previous studies in healthy adults, atopic dermatitis patients and asthma patients to establish a </w:t>
      </w:r>
      <w:r w:rsidR="00BD7A09" w:rsidRPr="00822968">
        <w:t>‘</w:t>
      </w:r>
      <w:r w:rsidRPr="00822968">
        <w:t>global</w:t>
      </w:r>
      <w:r w:rsidR="00BD7A09" w:rsidRPr="00822968">
        <w:t>’</w:t>
      </w:r>
      <w:r w:rsidRPr="00822968">
        <w:t xml:space="preserve"> </w:t>
      </w:r>
      <w:proofErr w:type="spellStart"/>
      <w:r w:rsidR="00A166A3" w:rsidRPr="00822968">
        <w:t>p</w:t>
      </w:r>
      <w:r w:rsidRPr="00822968">
        <w:t>opPK</w:t>
      </w:r>
      <w:proofErr w:type="spellEnd"/>
      <w:r w:rsidRPr="00822968">
        <w:t xml:space="preserve"> model. In the second, the global model was used to analyse the PK data collected in CRSwNP subjects.</w:t>
      </w:r>
    </w:p>
    <w:p w14:paraId="22136609" w14:textId="77777777" w:rsidR="00A908C9" w:rsidRPr="00822968" w:rsidRDefault="00A908C9" w:rsidP="004B2847">
      <w:r w:rsidRPr="00822968">
        <w:t>The global base model was fitted to the PK data obtained in CRSwNP subjects. The model adequately described the observed data in CRSwNP subjects. No covariates other than weight were found to have a significant effect on dupilumab PK.</w:t>
      </w:r>
    </w:p>
    <w:p w14:paraId="5D3E2529" w14:textId="035890CF" w:rsidR="00A908C9" w:rsidRPr="00822968" w:rsidRDefault="00A908C9" w:rsidP="004B2847">
      <w:r w:rsidRPr="00822968">
        <w:t xml:space="preserve">The model predicted that switching from </w:t>
      </w:r>
      <w:r w:rsidR="00FE0EC5" w:rsidRPr="00822968">
        <w:t>a</w:t>
      </w:r>
      <w:r w:rsidRPr="00822968">
        <w:t xml:space="preserve"> </w:t>
      </w:r>
      <w:r w:rsidR="00BD7A09" w:rsidRPr="00822968">
        <w:t>once every 2 weeks</w:t>
      </w:r>
      <w:r w:rsidRPr="00822968">
        <w:t xml:space="preserve"> to a </w:t>
      </w:r>
      <w:r w:rsidR="00D4016D" w:rsidRPr="00822968">
        <w:t>once every 4 weeks</w:t>
      </w:r>
      <w:r w:rsidRPr="00822968">
        <w:t xml:space="preserve"> dosing regimen at </w:t>
      </w:r>
      <w:r w:rsidR="003A795C" w:rsidRPr="00822968">
        <w:t>W</w:t>
      </w:r>
      <w:r w:rsidRPr="00822968">
        <w:t xml:space="preserve">eek 24 would result in substantial reductions in systemic exposure at </w:t>
      </w:r>
      <w:r w:rsidR="003A795C" w:rsidRPr="00822968">
        <w:t>W</w:t>
      </w:r>
      <w:r w:rsidRPr="00822968">
        <w:t>eek 52 (</w:t>
      </w:r>
      <w:r w:rsidR="009945B4" w:rsidRPr="00822968">
        <w:t>area under the plasma concentration time curve (</w:t>
      </w:r>
      <w:r w:rsidRPr="00822968">
        <w:t>AUC</w:t>
      </w:r>
      <w:r w:rsidR="009945B4" w:rsidRPr="00822968">
        <w:t>)</w:t>
      </w:r>
      <w:r w:rsidRPr="00822968">
        <w:t xml:space="preserve"> decreased by approximately 29%, </w:t>
      </w:r>
      <w:r w:rsidR="009945B4" w:rsidRPr="00822968">
        <w:t>maximum plasma concentration (</w:t>
      </w:r>
      <w:r w:rsidRPr="00822968">
        <w:t>C</w:t>
      </w:r>
      <w:r w:rsidRPr="00822968">
        <w:rPr>
          <w:vertAlign w:val="subscript"/>
        </w:rPr>
        <w:t>max</w:t>
      </w:r>
      <w:r w:rsidR="009945B4" w:rsidRPr="00822968">
        <w:t xml:space="preserve">) </w:t>
      </w:r>
      <w:r w:rsidRPr="00822968">
        <w:t xml:space="preserve">by approximately 54% and </w:t>
      </w:r>
      <w:proofErr w:type="spellStart"/>
      <w:r w:rsidRPr="00822968">
        <w:t>C</w:t>
      </w:r>
      <w:r w:rsidRPr="00822968">
        <w:rPr>
          <w:vertAlign w:val="subscript"/>
        </w:rPr>
        <w:t>trough</w:t>
      </w:r>
      <w:proofErr w:type="spellEnd"/>
      <w:r w:rsidRPr="00822968">
        <w:t xml:space="preserve"> by approximately 75%). Note that a </w:t>
      </w:r>
      <w:r w:rsidR="00D4016D" w:rsidRPr="00822968">
        <w:t>once every 4 weeks</w:t>
      </w:r>
      <w:r w:rsidRPr="00822968">
        <w:t xml:space="preserve"> dose regimen has not been proposed for this condition.</w:t>
      </w:r>
    </w:p>
    <w:p w14:paraId="4DB14EC8" w14:textId="7B15FC7D" w:rsidR="00BA1C08" w:rsidRPr="00822968" w:rsidRDefault="00A908C9" w:rsidP="004B2847">
      <w:pPr>
        <w:pStyle w:val="Heading5"/>
      </w:pPr>
      <w:r w:rsidRPr="00822968">
        <w:t>Pharmacodynamics</w:t>
      </w:r>
      <w:r w:rsidR="003A795C" w:rsidRPr="00822968">
        <w:t xml:space="preserve"> (chronic rhinosinusitis with nasal polyposis)</w:t>
      </w:r>
    </w:p>
    <w:p w14:paraId="34247115" w14:textId="1E852DFA" w:rsidR="00A908C9" w:rsidRPr="00822968" w:rsidRDefault="00A908C9" w:rsidP="004B2847">
      <w:r w:rsidRPr="00822968">
        <w:t xml:space="preserve">Biomarkers and an exposure response analysis were performed for this indication. Reduced efficacy was associated with the </w:t>
      </w:r>
      <w:r w:rsidR="00D4016D" w:rsidRPr="00822968">
        <w:t>once every 4 weeks</w:t>
      </w:r>
      <w:r w:rsidRPr="00822968">
        <w:t xml:space="preserve"> regimen for this indication.</w:t>
      </w:r>
    </w:p>
    <w:p w14:paraId="67EE5538" w14:textId="056CC193" w:rsidR="00BA1C08" w:rsidRPr="00822968" w:rsidRDefault="004B2847" w:rsidP="004B2847">
      <w:pPr>
        <w:pStyle w:val="Heading5"/>
      </w:pPr>
      <w:r w:rsidRPr="00822968">
        <w:t>Pharmacokinetics</w:t>
      </w:r>
      <w:r w:rsidR="00F8231A" w:rsidRPr="00822968">
        <w:t xml:space="preserve"> </w:t>
      </w:r>
      <w:r w:rsidR="007055FF" w:rsidRPr="00822968">
        <w:t>(p</w:t>
      </w:r>
      <w:r w:rsidR="00A908C9" w:rsidRPr="00822968">
        <w:t xml:space="preserve">aediatric </w:t>
      </w:r>
      <w:r w:rsidR="00F8231A" w:rsidRPr="00822968">
        <w:t>atopic dermatitis</w:t>
      </w:r>
      <w:r w:rsidR="007055FF" w:rsidRPr="00822968">
        <w:t>)</w:t>
      </w:r>
    </w:p>
    <w:p w14:paraId="77258583" w14:textId="7518FB91" w:rsidR="00A908C9" w:rsidRPr="00822968" w:rsidRDefault="00A908C9" w:rsidP="00A908C9">
      <w:r w:rsidRPr="00822968">
        <w:t xml:space="preserve">In the </w:t>
      </w:r>
      <w:r w:rsidR="00F8231A" w:rsidRPr="00822968">
        <w:t>atopic dermatitis</w:t>
      </w:r>
      <w:r w:rsidRPr="00822968">
        <w:t xml:space="preserve"> studies, PK sampling and a </w:t>
      </w:r>
      <w:proofErr w:type="spellStart"/>
      <w:r w:rsidR="001B51E6" w:rsidRPr="00822968">
        <w:t>p</w:t>
      </w:r>
      <w:r w:rsidRPr="00822968">
        <w:t>opPK</w:t>
      </w:r>
      <w:proofErr w:type="spellEnd"/>
      <w:r w:rsidRPr="00822968">
        <w:t xml:space="preserve"> model was produced for children aged 6 to &lt; 12 years with severe </w:t>
      </w:r>
      <w:r w:rsidR="00F8231A" w:rsidRPr="00822968">
        <w:t>atopic dermatitis</w:t>
      </w:r>
      <w:r w:rsidRPr="00822968">
        <w:t xml:space="preserve">. Two dose regimens were assessed, a </w:t>
      </w:r>
      <w:r w:rsidR="00D4016D" w:rsidRPr="00822968">
        <w:t>once every 2 weeks</w:t>
      </w:r>
      <w:r w:rsidRPr="00822968">
        <w:t xml:space="preserve"> and a </w:t>
      </w:r>
      <w:r w:rsidR="00D4016D" w:rsidRPr="00822968">
        <w:t>once every 4 weeks</w:t>
      </w:r>
      <w:r w:rsidRPr="00822968">
        <w:t>.</w:t>
      </w:r>
    </w:p>
    <w:p w14:paraId="757FEDFE" w14:textId="44B53CE9" w:rsidR="00A908C9" w:rsidRPr="00822968" w:rsidRDefault="001B51E6" w:rsidP="00A908C9">
      <w:r w:rsidRPr="00822968">
        <w:t xml:space="preserve">Pharmacokinetic </w:t>
      </w:r>
      <w:r w:rsidR="00A908C9" w:rsidRPr="00822968">
        <w:t>parameters were generally consistent with those previously estimated for adult and adolescent populations. Target</w:t>
      </w:r>
      <w:r w:rsidRPr="00822968">
        <w:t xml:space="preserve"> </w:t>
      </w:r>
      <w:r w:rsidR="00A908C9" w:rsidRPr="00822968">
        <w:t>mediated clearance was moderately higher in children and central volume was lower.</w:t>
      </w:r>
    </w:p>
    <w:p w14:paraId="47DA2FC5" w14:textId="141AF57B" w:rsidR="00A908C9" w:rsidRPr="00822968" w:rsidRDefault="00A908C9" w:rsidP="00A908C9">
      <w:r w:rsidRPr="00822968">
        <w:t xml:space="preserve">Simulations conducted with the model predicted that the two maintenance dosage regimens proposed for registration for children aged ≥ 6 to &lt; 12 years would result in similar mean AUC values at steady state. Using the proposed and approved dosage regimens, mean steady state AUC was predicted to be higher in children than in adolescents and adults weighing </w:t>
      </w:r>
      <w:r w:rsidR="001B51E6" w:rsidRPr="00822968">
        <w:t xml:space="preserve">greater than </w:t>
      </w:r>
      <w:r w:rsidRPr="00822968">
        <w:t xml:space="preserve">75 kg, but similar to adults weighing </w:t>
      </w:r>
      <w:r w:rsidR="001B51E6" w:rsidRPr="00822968">
        <w:t>less than</w:t>
      </w:r>
      <w:r w:rsidRPr="00822968">
        <w:t xml:space="preserve"> 75 kg</w:t>
      </w:r>
      <w:r w:rsidR="001B51E6" w:rsidRPr="00822968">
        <w:t>.</w:t>
      </w:r>
    </w:p>
    <w:p w14:paraId="36545166" w14:textId="74233E38" w:rsidR="004B2847" w:rsidRPr="00822968" w:rsidRDefault="00A908C9" w:rsidP="004B2847">
      <w:pPr>
        <w:pStyle w:val="Heading5"/>
      </w:pPr>
      <w:r w:rsidRPr="00822968">
        <w:lastRenderedPageBreak/>
        <w:t>Pharmacodynamics</w:t>
      </w:r>
      <w:r w:rsidR="001B51E6" w:rsidRPr="00822968">
        <w:t xml:space="preserve"> (</w:t>
      </w:r>
      <w:r w:rsidRPr="00822968">
        <w:t xml:space="preserve">paediatric </w:t>
      </w:r>
      <w:r w:rsidR="00F8231A" w:rsidRPr="00822968">
        <w:t xml:space="preserve">atopic </w:t>
      </w:r>
      <w:r w:rsidR="001B51E6" w:rsidRPr="00822968">
        <w:t>dermatitis)</w:t>
      </w:r>
    </w:p>
    <w:p w14:paraId="18677435" w14:textId="0716D1E6" w:rsidR="00A908C9" w:rsidRPr="00822968" w:rsidRDefault="00A908C9" w:rsidP="004B2847">
      <w:r w:rsidRPr="00822968">
        <w:t>Biomarkers and an exposure response analysis were performed for the paediatric atopic dermatitis indication.</w:t>
      </w:r>
    </w:p>
    <w:p w14:paraId="53E1CE59" w14:textId="7BDBA914" w:rsidR="00A908C9" w:rsidRPr="00822968" w:rsidRDefault="00A908C9" w:rsidP="004B2847">
      <w:r w:rsidRPr="00822968">
        <w:t xml:space="preserve">Exposure response analyses suggested a relationship between increasing </w:t>
      </w:r>
      <w:proofErr w:type="spellStart"/>
      <w:r w:rsidR="003A795C" w:rsidRPr="00822968">
        <w:t>C</w:t>
      </w:r>
      <w:r w:rsidR="003A795C" w:rsidRPr="00822968">
        <w:rPr>
          <w:vertAlign w:val="subscript"/>
        </w:rPr>
        <w:t>trough</w:t>
      </w:r>
      <w:proofErr w:type="spellEnd"/>
      <w:r w:rsidRPr="00822968">
        <w:t xml:space="preserve"> and increased efficacy. No relationship could be demonstrated between increasing </w:t>
      </w:r>
      <w:proofErr w:type="spellStart"/>
      <w:r w:rsidR="003A795C" w:rsidRPr="00822968">
        <w:t>C</w:t>
      </w:r>
      <w:r w:rsidR="003A795C" w:rsidRPr="00822968">
        <w:rPr>
          <w:vertAlign w:val="subscript"/>
        </w:rPr>
        <w:t>trough</w:t>
      </w:r>
      <w:proofErr w:type="spellEnd"/>
      <w:r w:rsidRPr="00822968">
        <w:t xml:space="preserve"> and the probability of developing conjunctivitis.</w:t>
      </w:r>
    </w:p>
    <w:p w14:paraId="18B615E9" w14:textId="77777777" w:rsidR="00A908C9" w:rsidRPr="00822968" w:rsidRDefault="00A908C9" w:rsidP="004B2847">
      <w:pPr>
        <w:pStyle w:val="Heading4"/>
      </w:pPr>
      <w:r w:rsidRPr="00822968">
        <w:t>Efficacy</w:t>
      </w:r>
    </w:p>
    <w:p w14:paraId="1C733C80" w14:textId="75BBAE6B" w:rsidR="00A908C9" w:rsidRDefault="00E93ED8" w:rsidP="004B2847">
      <w:pPr>
        <w:pStyle w:val="Heading5"/>
        <w:rPr>
          <w:lang w:val="en-US"/>
        </w:rPr>
      </w:pPr>
      <w:r>
        <w:rPr>
          <w:lang w:val="en-US"/>
        </w:rPr>
        <w:t>C</w:t>
      </w:r>
      <w:r w:rsidR="00A908C9" w:rsidRPr="00822968">
        <w:rPr>
          <w:lang w:val="en-US"/>
        </w:rPr>
        <w:t>hronic rhinosinusitis with nasal polyposis</w:t>
      </w:r>
      <w:r>
        <w:rPr>
          <w:lang w:val="en-US"/>
        </w:rPr>
        <w:t xml:space="preserve"> (new indication)</w:t>
      </w:r>
    </w:p>
    <w:p w14:paraId="42377C2A" w14:textId="77777777" w:rsidR="00E93ED8" w:rsidRDefault="00E93ED8" w:rsidP="004B721A">
      <w:pPr>
        <w:rPr>
          <w:lang w:val="en-US"/>
        </w:rPr>
      </w:pPr>
      <w:r>
        <w:rPr>
          <w:lang w:val="en-US"/>
        </w:rPr>
        <w:t>Proposed new indication:</w:t>
      </w:r>
    </w:p>
    <w:p w14:paraId="1C160DD0" w14:textId="56D4F13C" w:rsidR="00E93ED8" w:rsidRPr="004B721A" w:rsidRDefault="00E93ED8" w:rsidP="004B721A">
      <w:pPr>
        <w:ind w:left="720"/>
        <w:rPr>
          <w:iCs/>
        </w:rPr>
      </w:pPr>
      <w:r w:rsidRPr="00822968">
        <w:rPr>
          <w:i/>
          <w:iCs/>
        </w:rPr>
        <w:t>Dupixent is indicated as an add-on maintenance treatment in adult patients with inadequately controlled chronic rhinosinusitis</w:t>
      </w:r>
      <w:r>
        <w:rPr>
          <w:i/>
          <w:iCs/>
        </w:rPr>
        <w:t xml:space="preserve"> with nasal polyposis (</w:t>
      </w:r>
      <w:proofErr w:type="spellStart"/>
      <w:r>
        <w:rPr>
          <w:i/>
          <w:iCs/>
        </w:rPr>
        <w:t>CRSwNP</w:t>
      </w:r>
      <w:proofErr w:type="spellEnd"/>
      <w:r>
        <w:rPr>
          <w:i/>
          <w:iCs/>
        </w:rPr>
        <w:t>).</w:t>
      </w:r>
    </w:p>
    <w:p w14:paraId="35E7D1E5" w14:textId="196C0873" w:rsidR="00F65CE3" w:rsidRDefault="00F65CE3" w:rsidP="004B2847">
      <w:bookmarkStart w:id="46" w:name="_Hlk99392488"/>
      <w:r w:rsidRPr="00F65CE3">
        <w:t>The clinical dossier consisted of</w:t>
      </w:r>
      <w:r>
        <w:t>:</w:t>
      </w:r>
    </w:p>
    <w:bookmarkEnd w:id="46"/>
    <w:p w14:paraId="0BE4BE77" w14:textId="48A6C995" w:rsidR="00A908C9" w:rsidRPr="00822968" w:rsidRDefault="00F65CE3" w:rsidP="00F65CE3">
      <w:pPr>
        <w:pStyle w:val="ListBullet"/>
      </w:pPr>
      <w:r>
        <w:t>t</w:t>
      </w:r>
      <w:r w:rsidR="00A908C9" w:rsidRPr="00822968">
        <w:t xml:space="preserve">wo pivotal </w:t>
      </w:r>
      <w:r w:rsidR="001B51E6" w:rsidRPr="00822968">
        <w:t>P</w:t>
      </w:r>
      <w:r w:rsidR="00A908C9" w:rsidRPr="00822968">
        <w:t xml:space="preserve">hase </w:t>
      </w:r>
      <w:r w:rsidR="001B51E6" w:rsidRPr="00822968">
        <w:t>III</w:t>
      </w:r>
      <w:r w:rsidR="00A908C9" w:rsidRPr="00822968">
        <w:t xml:space="preserve"> randomised, double</w:t>
      </w:r>
      <w:r w:rsidR="001B51E6" w:rsidRPr="00822968">
        <w:t xml:space="preserve"> </w:t>
      </w:r>
      <w:r w:rsidR="00A908C9" w:rsidRPr="00822968">
        <w:t>blind placebo</w:t>
      </w:r>
      <w:r w:rsidR="001B51E6" w:rsidRPr="00822968">
        <w:t xml:space="preserve"> </w:t>
      </w:r>
      <w:r w:rsidR="00A908C9" w:rsidRPr="00822968">
        <w:t>controlled trials in subjects with CRSwNP</w:t>
      </w:r>
      <w:r w:rsidR="001B51E6" w:rsidRPr="00822968">
        <w:t>:</w:t>
      </w:r>
      <w:r w:rsidR="00A908C9" w:rsidRPr="00822968">
        <w:t xml:space="preserve"> </w:t>
      </w:r>
      <w:r w:rsidR="001B51E6" w:rsidRPr="00822968">
        <w:t>S</w:t>
      </w:r>
      <w:r w:rsidR="00A908C9" w:rsidRPr="00822968">
        <w:t>tudies EFC14146</w:t>
      </w:r>
      <w:r w:rsidR="00375C49" w:rsidRPr="00822968">
        <w:t xml:space="preserve"> (the SINUS-24 trial) </w:t>
      </w:r>
      <w:r w:rsidR="00A908C9" w:rsidRPr="00822968">
        <w:t xml:space="preserve">and EFC14280 </w:t>
      </w:r>
      <w:r w:rsidR="00375C49" w:rsidRPr="00822968">
        <w:t xml:space="preserve">(the SINUS-52 trial) </w:t>
      </w:r>
      <w:r w:rsidR="00A908C9" w:rsidRPr="00822968">
        <w:t>were submitted.</w:t>
      </w:r>
    </w:p>
    <w:p w14:paraId="616B850A" w14:textId="526DB7DF" w:rsidR="00A908C9" w:rsidRPr="00822968" w:rsidRDefault="00F65CE3" w:rsidP="00F65CE3">
      <w:pPr>
        <w:pStyle w:val="ListBullet"/>
      </w:pPr>
      <w:r>
        <w:t>o</w:t>
      </w:r>
      <w:r w:rsidR="00A908C9" w:rsidRPr="00822968">
        <w:t xml:space="preserve">ne </w:t>
      </w:r>
      <w:r w:rsidR="001B51E6" w:rsidRPr="00822968">
        <w:t>Phase</w:t>
      </w:r>
      <w:r w:rsidR="00A908C9" w:rsidRPr="00822968">
        <w:t xml:space="preserve"> </w:t>
      </w:r>
      <w:r w:rsidR="001B51E6" w:rsidRPr="00822968">
        <w:t>II</w:t>
      </w:r>
      <w:r w:rsidR="00A908C9" w:rsidRPr="00822968">
        <w:t>, randomised, double</w:t>
      </w:r>
      <w:r w:rsidR="001B51E6" w:rsidRPr="00822968">
        <w:t xml:space="preserve"> </w:t>
      </w:r>
      <w:r w:rsidR="00A908C9" w:rsidRPr="00822968">
        <w:t>blind, placebo</w:t>
      </w:r>
      <w:r w:rsidR="00375C49" w:rsidRPr="00822968">
        <w:t xml:space="preserve"> </w:t>
      </w:r>
      <w:r w:rsidR="00A908C9" w:rsidRPr="00822968">
        <w:t>controlled, proof-of-concept study (</w:t>
      </w:r>
      <w:r w:rsidR="00375C49" w:rsidRPr="00822968">
        <w:t>Study </w:t>
      </w:r>
      <w:r w:rsidR="00A908C9" w:rsidRPr="00822968">
        <w:t>ACT</w:t>
      </w:r>
      <w:r w:rsidR="00375C49" w:rsidRPr="00822968">
        <w:t> </w:t>
      </w:r>
      <w:r w:rsidR="00A908C9" w:rsidRPr="00822968">
        <w:t>12340) in subjects with CRSwNP was also included. This study has previously been submitted to the TGA.</w:t>
      </w:r>
    </w:p>
    <w:p w14:paraId="74DBB81B" w14:textId="77777777" w:rsidR="00A908C9" w:rsidRPr="00822968" w:rsidRDefault="00A908C9" w:rsidP="004B2847">
      <w:r w:rsidRPr="00822968">
        <w:t>All three clinical trials provided pharmacokinetic, pharmacodynamic, efficacy and safety data.</w:t>
      </w:r>
    </w:p>
    <w:p w14:paraId="2C32DE18" w14:textId="350B6845" w:rsidR="00A908C9" w:rsidRPr="00822968" w:rsidRDefault="00A166A3" w:rsidP="004B2847">
      <w:r w:rsidRPr="00822968">
        <w:t xml:space="preserve">The clinical </w:t>
      </w:r>
      <w:r w:rsidR="0057358C" w:rsidRPr="00822968">
        <w:t>module</w:t>
      </w:r>
      <w:r w:rsidRPr="00822968">
        <w:t xml:space="preserve"> </w:t>
      </w:r>
      <w:r w:rsidR="00A908C9" w:rsidRPr="00822968">
        <w:t>also included the following:</w:t>
      </w:r>
    </w:p>
    <w:p w14:paraId="367F02FB" w14:textId="45FDBC6A" w:rsidR="00A908C9" w:rsidRPr="00822968" w:rsidRDefault="00A166A3" w:rsidP="004B2847">
      <w:pPr>
        <w:pStyle w:val="ListBullet"/>
        <w:rPr>
          <w:lang w:val="en-US"/>
        </w:rPr>
      </w:pPr>
      <w:r w:rsidRPr="00822968">
        <w:rPr>
          <w:lang w:val="en-US"/>
        </w:rPr>
        <w:t>t</w:t>
      </w:r>
      <w:r w:rsidR="00A908C9" w:rsidRPr="00822968">
        <w:rPr>
          <w:lang w:val="en-US"/>
        </w:rPr>
        <w:t>wo population pharmacokinetic analyses;</w:t>
      </w:r>
    </w:p>
    <w:p w14:paraId="41A21CDE" w14:textId="407833F9" w:rsidR="00A908C9" w:rsidRPr="00822968" w:rsidRDefault="00A166A3" w:rsidP="004B2847">
      <w:pPr>
        <w:pStyle w:val="ListBullet"/>
        <w:rPr>
          <w:lang w:val="en-US"/>
        </w:rPr>
      </w:pPr>
      <w:r w:rsidRPr="00822968">
        <w:rPr>
          <w:lang w:val="en-US"/>
        </w:rPr>
        <w:t>o</w:t>
      </w:r>
      <w:r w:rsidR="00A908C9" w:rsidRPr="00822968">
        <w:rPr>
          <w:lang w:val="en-US"/>
        </w:rPr>
        <w:t>ne exposure</w:t>
      </w:r>
      <w:r w:rsidRPr="00822968">
        <w:rPr>
          <w:lang w:val="en-US"/>
        </w:rPr>
        <w:t xml:space="preserve"> </w:t>
      </w:r>
      <w:r w:rsidR="00A908C9" w:rsidRPr="00822968">
        <w:rPr>
          <w:lang w:val="en-US"/>
        </w:rPr>
        <w:t>response (efficacy) analysis;</w:t>
      </w:r>
    </w:p>
    <w:p w14:paraId="033A47A5" w14:textId="330DA116" w:rsidR="00A908C9" w:rsidRPr="00822968" w:rsidRDefault="00A166A3" w:rsidP="004B2847">
      <w:pPr>
        <w:pStyle w:val="ListBullet"/>
        <w:rPr>
          <w:lang w:val="en-US"/>
        </w:rPr>
      </w:pPr>
      <w:r w:rsidRPr="00822968">
        <w:rPr>
          <w:lang w:val="en-US"/>
        </w:rPr>
        <w:t>i</w:t>
      </w:r>
      <w:r w:rsidR="00A908C9" w:rsidRPr="00822968">
        <w:rPr>
          <w:lang w:val="en-US"/>
        </w:rPr>
        <w:t>ntegrated analyses of efficacy and safety;</w:t>
      </w:r>
    </w:p>
    <w:p w14:paraId="6DDB33FE" w14:textId="3FBA6C01" w:rsidR="00A908C9" w:rsidRPr="00822968" w:rsidRDefault="00375C49" w:rsidP="004B2847">
      <w:pPr>
        <w:pStyle w:val="ListBullet"/>
        <w:rPr>
          <w:lang w:val="en-US"/>
        </w:rPr>
      </w:pPr>
      <w:r w:rsidRPr="00822968">
        <w:rPr>
          <w:lang w:val="en-US"/>
        </w:rPr>
        <w:t>l</w:t>
      </w:r>
      <w:r w:rsidR="00A908C9" w:rsidRPr="00822968">
        <w:rPr>
          <w:lang w:val="en-US"/>
        </w:rPr>
        <w:t>iterature references.</w:t>
      </w:r>
    </w:p>
    <w:p w14:paraId="0D669A2E" w14:textId="0EDBE71D" w:rsidR="00A908C9" w:rsidRDefault="00A908C9" w:rsidP="004B2847">
      <w:r w:rsidRPr="00822968">
        <w:t xml:space="preserve">The </w:t>
      </w:r>
      <w:r w:rsidR="00375C49" w:rsidRPr="00822968">
        <w:t xml:space="preserve">clinical </w:t>
      </w:r>
      <w:r w:rsidRPr="00822968">
        <w:t xml:space="preserve">evaluator noted that there are no specific </w:t>
      </w:r>
      <w:r w:rsidR="00375C49" w:rsidRPr="00822968">
        <w:t>European Medicines Agency (</w:t>
      </w:r>
      <w:r w:rsidRPr="00822968">
        <w:t>EMA</w:t>
      </w:r>
      <w:r w:rsidR="00375C49" w:rsidRPr="00822968">
        <w:t>)</w:t>
      </w:r>
      <w:r w:rsidRPr="00822968">
        <w:t xml:space="preserve"> guidelines relating to clinical trials in chronic rhinosinusitis with nasal polyposis.</w:t>
      </w:r>
    </w:p>
    <w:p w14:paraId="253E05C6" w14:textId="27E5C410" w:rsidR="00A32462" w:rsidRPr="00822968" w:rsidRDefault="00A32462" w:rsidP="00D212CD">
      <w:pPr>
        <w:pStyle w:val="Heading5"/>
      </w:pPr>
      <w:r>
        <w:t>Studies EFC14146 and EFC14280</w:t>
      </w:r>
    </w:p>
    <w:p w14:paraId="34358757" w14:textId="18D8E19F" w:rsidR="00A908C9" w:rsidRPr="00822968" w:rsidRDefault="00A908C9" w:rsidP="004B2847">
      <w:r w:rsidRPr="00822968">
        <w:t>Studies</w:t>
      </w:r>
      <w:r w:rsidR="00375C49" w:rsidRPr="00822968">
        <w:t> </w:t>
      </w:r>
      <w:r w:rsidRPr="00822968">
        <w:t xml:space="preserve">EFC14146 and EFC14280 </w:t>
      </w:r>
      <w:r w:rsidR="00A32462">
        <w:t xml:space="preserve">(also known as the SINUS-24 and SINUS-52 trials, respectively) </w:t>
      </w:r>
      <w:r w:rsidRPr="00822968">
        <w:t xml:space="preserve">were designed to demonstrate the efficacy of dupilumab as add-on to standard of care (background of intranasal corticosteroid) versus standard of care alone in CRSwNP. Both studies assessed all components that characterise CRSwNP, </w:t>
      </w:r>
      <w:r w:rsidR="00375C49" w:rsidRPr="00822968">
        <w:t>that is</w:t>
      </w:r>
      <w:r w:rsidRPr="00822968">
        <w:t xml:space="preserve">, nasal polyps, underlying sinusitis, and overall symptoms of rhinosinusitis. The study design allowed the use of </w:t>
      </w:r>
      <w:r w:rsidR="009945B4" w:rsidRPr="00822968">
        <w:t xml:space="preserve">systemic corticosteroid </w:t>
      </w:r>
      <w:r w:rsidRPr="00822968">
        <w:t>and surgery as rescue at the discretion of the investigators to evaluate the effects of dupilumab for CRSwNP, a disease characterised by frequent recurrence of polyps and repeated cycles of systemic corticosteroids and surgeries in clinical practice.</w:t>
      </w:r>
    </w:p>
    <w:p w14:paraId="0495EA07" w14:textId="47AA119B" w:rsidR="00A908C9" w:rsidRPr="00822968" w:rsidRDefault="00A908C9" w:rsidP="004B2847">
      <w:r w:rsidRPr="00822968">
        <w:t>These studies were conducted globally with regional representation including Japan (only in Study</w:t>
      </w:r>
      <w:r w:rsidR="00375C49" w:rsidRPr="00822968">
        <w:t> </w:t>
      </w:r>
      <w:r w:rsidRPr="00822968">
        <w:t>EFC14280), Latin America, Eastern Europe, and Western Countries; race representation included Caucasian (White), African descent (Black), Asian, and other races.</w:t>
      </w:r>
    </w:p>
    <w:p w14:paraId="063FC4B8" w14:textId="3EF183FA" w:rsidR="00A908C9" w:rsidRPr="00822968" w:rsidRDefault="00A908C9" w:rsidP="004B2847">
      <w:r w:rsidRPr="00822968">
        <w:t xml:space="preserve">In </w:t>
      </w:r>
      <w:r w:rsidR="00375C49" w:rsidRPr="00822968">
        <w:t>Study EFC14146</w:t>
      </w:r>
      <w:r w:rsidRPr="00822968">
        <w:t>, a total of 276 subjects were randomised to receive either 300</w:t>
      </w:r>
      <w:r w:rsidR="000B14C7" w:rsidRPr="00822968">
        <w:t> </w:t>
      </w:r>
      <w:r w:rsidRPr="00822968">
        <w:t xml:space="preserve">mg </w:t>
      </w:r>
      <w:r w:rsidR="000B14C7" w:rsidRPr="00822968">
        <w:t>Dupixent</w:t>
      </w:r>
      <w:r w:rsidRPr="00822968">
        <w:t xml:space="preserve"> (</w:t>
      </w:r>
      <w:r w:rsidR="000B14C7" w:rsidRPr="00822968">
        <w:t xml:space="preserve">n </w:t>
      </w:r>
      <w:r w:rsidRPr="00822968">
        <w:t>=</w:t>
      </w:r>
      <w:r w:rsidR="000B14C7" w:rsidRPr="00822968">
        <w:t xml:space="preserve"> </w:t>
      </w:r>
      <w:r w:rsidRPr="00822968">
        <w:t>143) or placebo (</w:t>
      </w:r>
      <w:r w:rsidR="000B14C7" w:rsidRPr="00822968">
        <w:t xml:space="preserve">n </w:t>
      </w:r>
      <w:r w:rsidRPr="00822968">
        <w:t>=</w:t>
      </w:r>
      <w:r w:rsidR="000B14C7" w:rsidRPr="00822968">
        <w:t xml:space="preserve"> </w:t>
      </w:r>
      <w:r w:rsidRPr="00822968">
        <w:t xml:space="preserve">133) every other week for 24 weeks. This study </w:t>
      </w:r>
      <w:r w:rsidRPr="00822968">
        <w:lastRenderedPageBreak/>
        <w:t>included a post-treatment period of 24 weeks, during which subjects were followed for disease recurrence.</w:t>
      </w:r>
    </w:p>
    <w:p w14:paraId="576A86D5" w14:textId="033C4602" w:rsidR="00A908C9" w:rsidRPr="00822968" w:rsidRDefault="00A908C9" w:rsidP="004B2847">
      <w:r w:rsidRPr="00822968">
        <w:t xml:space="preserve">In </w:t>
      </w:r>
      <w:bookmarkStart w:id="47" w:name="_Hlk99120020"/>
      <w:r w:rsidR="00375C49" w:rsidRPr="00822968">
        <w:t>Study</w:t>
      </w:r>
      <w:r w:rsidR="000B14C7" w:rsidRPr="00822968">
        <w:t> </w:t>
      </w:r>
      <w:r w:rsidR="00375C49" w:rsidRPr="00822968">
        <w:t>EFC14280</w:t>
      </w:r>
      <w:bookmarkEnd w:id="47"/>
      <w:r w:rsidRPr="00822968">
        <w:t>, 448 subjects were randomised to receive either 300</w:t>
      </w:r>
      <w:r w:rsidR="000B14C7" w:rsidRPr="00822968">
        <w:t> </w:t>
      </w:r>
      <w:r w:rsidRPr="00822968">
        <w:t xml:space="preserve">mg </w:t>
      </w:r>
      <w:r w:rsidR="000B14C7" w:rsidRPr="00822968">
        <w:t>Dupixent</w:t>
      </w:r>
      <w:r w:rsidRPr="00822968">
        <w:t xml:space="preserve"> (</w:t>
      </w:r>
      <w:r w:rsidR="000B14C7" w:rsidRPr="00822968">
        <w:t>n </w:t>
      </w:r>
      <w:r w:rsidRPr="00822968">
        <w:t>=</w:t>
      </w:r>
      <w:r w:rsidR="000B14C7" w:rsidRPr="00822968">
        <w:t> </w:t>
      </w:r>
      <w:r w:rsidRPr="00822968">
        <w:t xml:space="preserve">150) every other week for 52 weeks, 300 mg </w:t>
      </w:r>
      <w:r w:rsidR="000B14C7" w:rsidRPr="00822968">
        <w:t>Dupixent</w:t>
      </w:r>
      <w:r w:rsidRPr="00822968">
        <w:t xml:space="preserve"> (</w:t>
      </w:r>
      <w:r w:rsidR="000B14C7" w:rsidRPr="00822968">
        <w:t>n</w:t>
      </w:r>
      <w:r w:rsidR="00F21EC4">
        <w:t xml:space="preserve"> </w:t>
      </w:r>
      <w:r w:rsidRPr="00822968">
        <w:t>=</w:t>
      </w:r>
      <w:r w:rsidR="00F21EC4">
        <w:t xml:space="preserve"> </w:t>
      </w:r>
      <w:r w:rsidRPr="00822968">
        <w:t xml:space="preserve">145) every other week until </w:t>
      </w:r>
      <w:r w:rsidR="00BE0D2E">
        <w:t>W</w:t>
      </w:r>
      <w:r w:rsidRPr="00822968">
        <w:t xml:space="preserve">eek 24 followed by 300 mg </w:t>
      </w:r>
      <w:r w:rsidR="000B14C7" w:rsidRPr="00822968">
        <w:t>Dupixent</w:t>
      </w:r>
      <w:r w:rsidRPr="00822968">
        <w:t xml:space="preserve"> every 4 weeks until </w:t>
      </w:r>
      <w:r w:rsidR="00F21EC4">
        <w:t>W</w:t>
      </w:r>
      <w:r w:rsidRPr="00822968">
        <w:t>eek 52, or placebo (</w:t>
      </w:r>
      <w:r w:rsidR="000B14C7" w:rsidRPr="00822968">
        <w:t>n </w:t>
      </w:r>
      <w:r w:rsidRPr="00822968">
        <w:t>=</w:t>
      </w:r>
      <w:r w:rsidR="000B14C7" w:rsidRPr="00822968">
        <w:t> </w:t>
      </w:r>
      <w:r w:rsidRPr="00822968">
        <w:t xml:space="preserve">153). All subjects had evidence of sinus opacification on the Lund Mackay sinus </w:t>
      </w:r>
      <w:r w:rsidR="000B14C7" w:rsidRPr="00822968">
        <w:t>computerised tomography (</w:t>
      </w:r>
      <w:r w:rsidRPr="00822968">
        <w:t>CT</w:t>
      </w:r>
      <w:r w:rsidR="000B14C7" w:rsidRPr="00822968">
        <w:t>)</w:t>
      </w:r>
      <w:r w:rsidRPr="00822968">
        <w:t xml:space="preserve"> scan and 73% to 90% of subjects had opacification of all sinuses.</w:t>
      </w:r>
      <w:r w:rsidR="00374BCD">
        <w:rPr>
          <w:rStyle w:val="FootnoteReference"/>
        </w:rPr>
        <w:footnoteReference w:id="17"/>
      </w:r>
    </w:p>
    <w:p w14:paraId="2CC377DD" w14:textId="3A567CD0" w:rsidR="00A908C9" w:rsidRPr="00822968" w:rsidRDefault="00A908C9" w:rsidP="004B2847">
      <w:r w:rsidRPr="00822968">
        <w:t>Subjects were stratified based on their histories of prior surgery and co-morbid asthma/nonsteroidal anti-inflammatory drug exacerbated</w:t>
      </w:r>
      <w:r w:rsidR="003D65CB" w:rsidRPr="00822968">
        <w:t>-</w:t>
      </w:r>
      <w:r w:rsidRPr="00822968">
        <w:t>respiratory disease (NSAID</w:t>
      </w:r>
      <w:r w:rsidR="00BE0D2E">
        <w:noBreakHyphen/>
      </w:r>
      <w:r w:rsidRPr="00822968">
        <w:t>ERD).</w:t>
      </w:r>
      <w:r w:rsidR="000B14C7" w:rsidRPr="00822968">
        <w:t xml:space="preserve"> </w:t>
      </w:r>
      <w:r w:rsidRPr="00822968">
        <w:t xml:space="preserve">A total of 63% of subjects reported previous sinus surgery, with a mean number of 2.0 prior surgeries, 74% used systemic corticosteroids in the previous </w:t>
      </w:r>
      <w:r w:rsidR="000B14C7" w:rsidRPr="00822968">
        <w:t>two</w:t>
      </w:r>
      <w:r w:rsidRPr="00822968">
        <w:t xml:space="preserve"> years with a mean number of 1.6 systemic corticosteroid courses in the previous </w:t>
      </w:r>
      <w:r w:rsidR="000B14C7" w:rsidRPr="00822968">
        <w:t>two</w:t>
      </w:r>
      <w:r w:rsidRPr="00822968">
        <w:t xml:space="preserve"> years, 59% had co-morbid asthma, and 28% had NSAID-ERD.</w:t>
      </w:r>
    </w:p>
    <w:p w14:paraId="61DA34FF" w14:textId="34EF1B26" w:rsidR="00A908C9" w:rsidRPr="00822968" w:rsidRDefault="00A908C9" w:rsidP="004B2847">
      <w:r w:rsidRPr="00822968">
        <w:t xml:space="preserve">The co-primary efficacy endpoints were change from </w:t>
      </w:r>
      <w:r w:rsidR="000B14C7" w:rsidRPr="00822968">
        <w:t>Baseline</w:t>
      </w:r>
      <w:r w:rsidRPr="00822968">
        <w:t xml:space="preserve"> to Week 24 in bilateral endoscopic nasal polyps score (NPS; 0</w:t>
      </w:r>
      <w:r w:rsidR="000B14C7" w:rsidRPr="00822968">
        <w:t xml:space="preserve"> to </w:t>
      </w:r>
      <w:r w:rsidRPr="00822968">
        <w:t xml:space="preserve">8 scale) as graded by central blinded readers, and change from </w:t>
      </w:r>
      <w:r w:rsidR="000B14C7" w:rsidRPr="00822968">
        <w:t>Baseline</w:t>
      </w:r>
      <w:r w:rsidRPr="00822968">
        <w:t xml:space="preserve"> to Week 24 in nasal congestion/obstruction score averaged over 28 days (0</w:t>
      </w:r>
      <w:r w:rsidR="000B14C7" w:rsidRPr="00822968">
        <w:t xml:space="preserve"> to </w:t>
      </w:r>
      <w:r w:rsidRPr="00822968">
        <w:t>3 scale), as determined by subjects using a daily diary. For NPS, polyps on each side of the nose were graded on a categorical scale (0</w:t>
      </w:r>
      <w:r w:rsidR="000B14C7" w:rsidRPr="00822968">
        <w:t xml:space="preserve"> </w:t>
      </w:r>
      <w:r w:rsidRPr="00822968">
        <w:t>=</w:t>
      </w:r>
      <w:r w:rsidR="000B14C7" w:rsidRPr="00822968">
        <w:t> </w:t>
      </w:r>
      <w:r w:rsidRPr="00822968">
        <w:t>no polyps; 1</w:t>
      </w:r>
      <w:r w:rsidR="000B14C7" w:rsidRPr="00822968">
        <w:t> </w:t>
      </w:r>
      <w:r w:rsidRPr="00822968">
        <w:t>=</w:t>
      </w:r>
      <w:r w:rsidR="000B14C7" w:rsidRPr="00822968">
        <w:t> </w:t>
      </w:r>
      <w:r w:rsidRPr="00822968">
        <w:t>small polyps in the middle meatus not reaching below the inferior border of the middle turbinate; 2</w:t>
      </w:r>
      <w:r w:rsidR="000B14C7" w:rsidRPr="00822968">
        <w:t> </w:t>
      </w:r>
      <w:r w:rsidRPr="00822968">
        <w:t>=</w:t>
      </w:r>
      <w:r w:rsidR="000B14C7" w:rsidRPr="00822968">
        <w:t> </w:t>
      </w:r>
      <w:r w:rsidRPr="00822968">
        <w:t>polyps reaching below the lower border of the middle turbinate; 3</w:t>
      </w:r>
      <w:r w:rsidR="000B14C7" w:rsidRPr="00822968">
        <w:t> </w:t>
      </w:r>
      <w:r w:rsidRPr="00822968">
        <w:t>=</w:t>
      </w:r>
      <w:r w:rsidR="000B14C7" w:rsidRPr="00822968">
        <w:t> </w:t>
      </w:r>
      <w:r w:rsidRPr="00822968">
        <w:t>large polyps reaching the lower border of the inferior turbinate or polyps medial to the middle turbinate; 4</w:t>
      </w:r>
      <w:r w:rsidR="000B14C7" w:rsidRPr="00822968">
        <w:t> </w:t>
      </w:r>
      <w:r w:rsidRPr="00822968">
        <w:t>=</w:t>
      </w:r>
      <w:r w:rsidR="000B14C7" w:rsidRPr="00822968">
        <w:t> </w:t>
      </w:r>
      <w:r w:rsidRPr="00822968">
        <w:t>large polyps causing complete obstruction of the inferior nasal cavity). The total score was the sum of the right and left scores. Nasal congestion was rated daily by the subjects on a 0 to 3 categorical severity scale (0</w:t>
      </w:r>
      <w:r w:rsidR="000B14C7" w:rsidRPr="00822968">
        <w:t> </w:t>
      </w:r>
      <w:r w:rsidRPr="00822968">
        <w:t>=</w:t>
      </w:r>
      <w:r w:rsidR="000B14C7" w:rsidRPr="00822968">
        <w:t> </w:t>
      </w:r>
      <w:r w:rsidRPr="00822968">
        <w:t>no symptoms; 1</w:t>
      </w:r>
      <w:r w:rsidR="000B14C7" w:rsidRPr="00822968">
        <w:t> </w:t>
      </w:r>
      <w:r w:rsidRPr="00822968">
        <w:t>=</w:t>
      </w:r>
      <w:r w:rsidR="000B14C7" w:rsidRPr="00822968">
        <w:t> </w:t>
      </w:r>
      <w:r w:rsidRPr="00822968">
        <w:t>mild symptoms; 2</w:t>
      </w:r>
      <w:r w:rsidR="000B14C7" w:rsidRPr="00822968">
        <w:t> </w:t>
      </w:r>
      <w:r w:rsidRPr="00822968">
        <w:t>=</w:t>
      </w:r>
      <w:r w:rsidR="000B14C7" w:rsidRPr="00822968">
        <w:t> </w:t>
      </w:r>
      <w:r w:rsidRPr="00822968">
        <w:t>moderate symptoms; 3</w:t>
      </w:r>
      <w:r w:rsidR="000B14C7" w:rsidRPr="00822968">
        <w:t> </w:t>
      </w:r>
      <w:r w:rsidRPr="00822968">
        <w:t>=</w:t>
      </w:r>
      <w:r w:rsidR="000B14C7" w:rsidRPr="00822968">
        <w:t> </w:t>
      </w:r>
      <w:r w:rsidRPr="00822968">
        <w:t>severe symptoms).</w:t>
      </w:r>
    </w:p>
    <w:p w14:paraId="0B300111" w14:textId="12B03C8B" w:rsidR="00A908C9" w:rsidRPr="00822968" w:rsidRDefault="00A908C9" w:rsidP="004B2847">
      <w:r w:rsidRPr="00822968">
        <w:t xml:space="preserve">In both studies, key secondary endpoints at Week 24 included change from </w:t>
      </w:r>
      <w:r w:rsidR="000B14C7" w:rsidRPr="00822968">
        <w:t>Baseline</w:t>
      </w:r>
      <w:r w:rsidRPr="00822968">
        <w:t xml:space="preserve"> in: </w:t>
      </w:r>
      <w:r w:rsidR="000B14C7" w:rsidRPr="00822968">
        <w:t>Lund Mackay</w:t>
      </w:r>
      <w:r w:rsidRPr="00822968">
        <w:t xml:space="preserve"> sinus CT scan score, daily loss of smell, and 22-item </w:t>
      </w:r>
      <w:r w:rsidR="00E313F0">
        <w:t>S</w:t>
      </w:r>
      <w:r w:rsidR="00E313F0" w:rsidRPr="00822968">
        <w:t>ino</w:t>
      </w:r>
      <w:r w:rsidRPr="00822968">
        <w:t>-</w:t>
      </w:r>
      <w:r w:rsidR="00E313F0">
        <w:t>N</w:t>
      </w:r>
      <w:r w:rsidRPr="00822968">
        <w:t xml:space="preserve">asal </w:t>
      </w:r>
      <w:r w:rsidR="00E313F0">
        <w:t>O</w:t>
      </w:r>
      <w:r w:rsidRPr="00822968">
        <w:t xml:space="preserve">utcome </w:t>
      </w:r>
      <w:r w:rsidR="00E313F0">
        <w:t>T</w:t>
      </w:r>
      <w:r w:rsidRPr="00822968">
        <w:t>est (SNOT-22).</w:t>
      </w:r>
      <w:r w:rsidR="00AE3C35" w:rsidRPr="00822968">
        <w:rPr>
          <w:rStyle w:val="FootnoteReference"/>
        </w:rPr>
        <w:footnoteReference w:id="18"/>
      </w:r>
      <w:r w:rsidRPr="00822968">
        <w:t xml:space="preserve"> The </w:t>
      </w:r>
      <w:r w:rsidR="000B14C7" w:rsidRPr="00822968">
        <w:t>Lund Mackay</w:t>
      </w:r>
      <w:r w:rsidRPr="00822968">
        <w:t xml:space="preserve"> sinus CT scan score evaluated the opacification of each sinus using a 0 to 2 scale </w:t>
      </w:r>
      <w:r w:rsidR="007B0D1D" w:rsidRPr="00822968">
        <w:t>(</w:t>
      </w:r>
      <w:r w:rsidRPr="00822968">
        <w:t>0</w:t>
      </w:r>
      <w:r w:rsidR="007B0D1D" w:rsidRPr="00822968">
        <w:t> </w:t>
      </w:r>
      <w:r w:rsidRPr="00822968">
        <w:t>=</w:t>
      </w:r>
      <w:r w:rsidR="007B0D1D" w:rsidRPr="00822968">
        <w:t> </w:t>
      </w:r>
      <w:r w:rsidRPr="00822968">
        <w:t>normal; 1</w:t>
      </w:r>
      <w:r w:rsidR="007B0D1D" w:rsidRPr="00822968">
        <w:t> </w:t>
      </w:r>
      <w:r w:rsidRPr="00822968">
        <w:t>=</w:t>
      </w:r>
      <w:r w:rsidR="007B0D1D" w:rsidRPr="00822968">
        <w:t> </w:t>
      </w:r>
      <w:r w:rsidRPr="00822968">
        <w:t>partial opacification; 2</w:t>
      </w:r>
      <w:r w:rsidR="007B0D1D" w:rsidRPr="00822968">
        <w:t> </w:t>
      </w:r>
      <w:r w:rsidRPr="00822968">
        <w:t>=</w:t>
      </w:r>
      <w:r w:rsidR="007B0D1D" w:rsidRPr="00822968">
        <w:t> </w:t>
      </w:r>
      <w:r w:rsidRPr="00822968">
        <w:t>total opacification) deriving a maximum score of 12 per side and a total maximum score of 24 (higher scores indicate more opacification). Loss of smell was scored reflectively by the patient every morning on a 0</w:t>
      </w:r>
      <w:r w:rsidR="007B0D1D" w:rsidRPr="00822968">
        <w:t xml:space="preserve"> to </w:t>
      </w:r>
      <w:r w:rsidRPr="00822968">
        <w:t>3 scale (0</w:t>
      </w:r>
      <w:r w:rsidR="007B0D1D" w:rsidRPr="00822968">
        <w:t> </w:t>
      </w:r>
      <w:r w:rsidRPr="00822968">
        <w:t>=</w:t>
      </w:r>
      <w:r w:rsidR="007B0D1D" w:rsidRPr="00822968">
        <w:t> </w:t>
      </w:r>
      <w:r w:rsidRPr="00822968">
        <w:t>no symptoms</w:t>
      </w:r>
      <w:r w:rsidR="007B0D1D" w:rsidRPr="00822968">
        <w:t>;</w:t>
      </w:r>
      <w:r w:rsidRPr="00822968">
        <w:t xml:space="preserve"> 1</w:t>
      </w:r>
      <w:r w:rsidR="00E313F0">
        <w:t xml:space="preserve"> </w:t>
      </w:r>
      <w:r w:rsidRPr="00822968">
        <w:t>=</w:t>
      </w:r>
      <w:r w:rsidR="00E313F0">
        <w:t xml:space="preserve"> </w:t>
      </w:r>
      <w:r w:rsidRPr="00822968">
        <w:t>mild symptoms</w:t>
      </w:r>
      <w:r w:rsidR="007B0D1D" w:rsidRPr="00822968">
        <w:t>;</w:t>
      </w:r>
      <w:r w:rsidRPr="00822968">
        <w:t xml:space="preserve"> 2</w:t>
      </w:r>
      <w:r w:rsidR="00E313F0">
        <w:t xml:space="preserve"> </w:t>
      </w:r>
      <w:r w:rsidRPr="00822968">
        <w:t>=</w:t>
      </w:r>
      <w:r w:rsidR="00E313F0">
        <w:t xml:space="preserve"> </w:t>
      </w:r>
      <w:r w:rsidRPr="00822968">
        <w:t>moderate symptoms</w:t>
      </w:r>
      <w:r w:rsidR="007B0D1D" w:rsidRPr="00822968">
        <w:t>;</w:t>
      </w:r>
      <w:r w:rsidRPr="00822968">
        <w:t xml:space="preserve"> 3</w:t>
      </w:r>
      <w:r w:rsidR="00E313F0">
        <w:t xml:space="preserve"> </w:t>
      </w:r>
      <w:r w:rsidRPr="00822968">
        <w:t>=</w:t>
      </w:r>
      <w:r w:rsidR="00E313F0">
        <w:t xml:space="preserve"> </w:t>
      </w:r>
      <w:r w:rsidRPr="00822968">
        <w:t xml:space="preserve">severe symptoms). </w:t>
      </w:r>
      <w:r w:rsidR="00E313F0">
        <w:t xml:space="preserve">The </w:t>
      </w:r>
      <w:r w:rsidRPr="00822968">
        <w:t xml:space="preserve">SNOT-22 includes 22 items assessing symptoms and symptom impact associated with CRSwNP with each item scored from </w:t>
      </w:r>
      <w:r w:rsidR="007B0D1D" w:rsidRPr="00822968">
        <w:t>zero</w:t>
      </w:r>
      <w:r w:rsidRPr="00822968">
        <w:t xml:space="preserve"> (no problem) to 5 (problem as bad as it can be) with a global score ranging from </w:t>
      </w:r>
      <w:r w:rsidR="007B0D1D" w:rsidRPr="00822968">
        <w:t xml:space="preserve">zero </w:t>
      </w:r>
      <w:r w:rsidRPr="00822968">
        <w:t xml:space="preserve">to 110. SNOT-22 had a 2 week recall period. In the pooled efficacy results, the reduction in the proportion of subjects rescued with systemic corticosteroids and/or </w:t>
      </w:r>
      <w:proofErr w:type="spellStart"/>
      <w:r w:rsidRPr="00822968">
        <w:t>sino</w:t>
      </w:r>
      <w:proofErr w:type="spellEnd"/>
      <w:r w:rsidRPr="00822968">
        <w:t>-nasal surgery (up to Week 52) were evaluated.</w:t>
      </w:r>
    </w:p>
    <w:p w14:paraId="4BA5A844" w14:textId="17FB6D38" w:rsidR="00A908C9" w:rsidRPr="00822968" w:rsidRDefault="00A908C9" w:rsidP="004B2847">
      <w:r w:rsidRPr="00822968">
        <w:t>Both studies enrolled adults with a mean age of around 50 years and a mean duration of CRSwNP of 11 years. Most had atopic medical history and 58</w:t>
      </w:r>
      <w:r w:rsidR="007B0D1D" w:rsidRPr="00822968">
        <w:t>% to</w:t>
      </w:r>
      <w:r w:rsidRPr="00822968">
        <w:t xml:space="preserve"> 60% across the 2 studies had asthma. Results for the co-primary endpoints in these studies are shown below</w:t>
      </w:r>
      <w:r w:rsidR="00E313F0">
        <w:t xml:space="preserve"> in </w:t>
      </w:r>
      <w:r w:rsidR="00E313F0">
        <w:fldChar w:fldCharType="begin"/>
      </w:r>
      <w:r w:rsidR="00E313F0">
        <w:instrText xml:space="preserve"> REF _Ref101941358 \h </w:instrText>
      </w:r>
      <w:r w:rsidR="00E313F0">
        <w:fldChar w:fldCharType="separate"/>
      </w:r>
      <w:r w:rsidR="0078142B" w:rsidRPr="005E4A66">
        <w:t xml:space="preserve">Table </w:t>
      </w:r>
      <w:r w:rsidR="0078142B">
        <w:rPr>
          <w:noProof/>
        </w:rPr>
        <w:t>2</w:t>
      </w:r>
      <w:r w:rsidR="0078142B" w:rsidRPr="005E4A66">
        <w:t>: Studies EFC14146 and EFC14280 Results for co-primary endpoints</w:t>
      </w:r>
      <w:r w:rsidR="00E313F0">
        <w:fldChar w:fldCharType="end"/>
      </w:r>
    </w:p>
    <w:p w14:paraId="23A5524B" w14:textId="79E647E7" w:rsidR="00A908C9" w:rsidRPr="005E4A66" w:rsidRDefault="00551CAC" w:rsidP="005E4A66">
      <w:pPr>
        <w:pStyle w:val="TableTitle"/>
      </w:pPr>
      <w:bookmarkStart w:id="48" w:name="_Ref101941358"/>
      <w:r w:rsidRPr="005E4A66">
        <w:lastRenderedPageBreak/>
        <w:t xml:space="preserve">Table </w:t>
      </w:r>
      <w:fldSimple w:instr=" SEQ Table \* ARABIC ">
        <w:r w:rsidR="0078142B">
          <w:rPr>
            <w:noProof/>
          </w:rPr>
          <w:t>2</w:t>
        </w:r>
      </w:fldSimple>
      <w:r w:rsidRPr="005E4A66">
        <w:t xml:space="preserve">: </w:t>
      </w:r>
      <w:r w:rsidR="00375C49" w:rsidRPr="005E4A66">
        <w:t>Stud</w:t>
      </w:r>
      <w:r w:rsidRPr="005E4A66">
        <w:t>ies</w:t>
      </w:r>
      <w:r w:rsidR="00375C49" w:rsidRPr="005E4A66">
        <w:t xml:space="preserve"> EFC14146</w:t>
      </w:r>
      <w:r w:rsidRPr="005E4A66">
        <w:t xml:space="preserve"> and </w:t>
      </w:r>
      <w:r w:rsidR="00375C49" w:rsidRPr="005E4A66">
        <w:t>EFC14280</w:t>
      </w:r>
      <w:r w:rsidRPr="005E4A66">
        <w:t xml:space="preserve"> Results for co-primary endpoints</w:t>
      </w:r>
      <w:bookmarkEnd w:id="48"/>
    </w:p>
    <w:p w14:paraId="1852CA3C" w14:textId="731981CC" w:rsidR="00A908C9" w:rsidRPr="00822968" w:rsidRDefault="0016317E" w:rsidP="005E4A66">
      <w:r w:rsidRPr="00822968">
        <w:rPr>
          <w:noProof/>
          <w:lang w:val="en-GB" w:eastAsia="en-GB"/>
        </w:rPr>
        <w:drawing>
          <wp:inline distT="0" distB="0" distL="0" distR="0" wp14:anchorId="50D2A3FF" wp14:editId="75F24F2B">
            <wp:extent cx="5400040" cy="1521460"/>
            <wp:effectExtent l="19050" t="19050" r="10160" b="21590"/>
            <wp:docPr id="14" name="Picture 14" descr="Table 2: Studies EFC14146 and EFC14280 Results for co-prim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2: Studies EFC14146 and EFC14280 Results for co-primary endpoints"/>
                    <pic:cNvPicPr/>
                  </pic:nvPicPr>
                  <pic:blipFill>
                    <a:blip r:embed="rId14"/>
                    <a:stretch>
                      <a:fillRect/>
                    </a:stretch>
                  </pic:blipFill>
                  <pic:spPr>
                    <a:xfrm>
                      <a:off x="0" y="0"/>
                      <a:ext cx="5400040" cy="1521460"/>
                    </a:xfrm>
                    <a:prstGeom prst="rect">
                      <a:avLst/>
                    </a:prstGeom>
                    <a:ln>
                      <a:solidFill>
                        <a:schemeClr val="tx1"/>
                      </a:solidFill>
                    </a:ln>
                  </pic:spPr>
                </pic:pic>
              </a:graphicData>
            </a:graphic>
          </wp:inline>
        </w:drawing>
      </w:r>
    </w:p>
    <w:p w14:paraId="49D37B2D" w14:textId="66DC2160" w:rsidR="0016317E" w:rsidRPr="005E4A66" w:rsidRDefault="00747C75" w:rsidP="005E4A66">
      <w:pPr>
        <w:pStyle w:val="TableDescription"/>
      </w:pPr>
      <w:r w:rsidRPr="005E4A66">
        <w:t>CI = confidence interval</w:t>
      </w:r>
      <w:r w:rsidR="0016317E" w:rsidRPr="005E4A66">
        <w:t xml:space="preserve">; </w:t>
      </w:r>
      <w:r w:rsidRPr="005E4A66">
        <w:t>LS = least squares</w:t>
      </w:r>
      <w:r w:rsidR="0016317E" w:rsidRPr="005E4A66">
        <w:t xml:space="preserve">; </w:t>
      </w:r>
      <w:r w:rsidRPr="005E4A66">
        <w:t>n = sample size</w:t>
      </w:r>
      <w:r w:rsidR="0016317E" w:rsidRPr="005E4A66">
        <w:t xml:space="preserve">; </w:t>
      </w:r>
      <w:r w:rsidRPr="005E4A66">
        <w:t xml:space="preserve">NC = nasal </w:t>
      </w:r>
      <w:r w:rsidR="0016317E" w:rsidRPr="005E4A66">
        <w:t>c</w:t>
      </w:r>
      <w:r w:rsidRPr="005E4A66">
        <w:t>ongestion/obstruction</w:t>
      </w:r>
      <w:r w:rsidR="0016317E" w:rsidRPr="005E4A66">
        <w:t xml:space="preserve">; </w:t>
      </w:r>
      <w:r w:rsidRPr="005E4A66">
        <w:t xml:space="preserve">NPS = nasal </w:t>
      </w:r>
      <w:proofErr w:type="gramStart"/>
      <w:r w:rsidRPr="005E4A66">
        <w:t>polyps</w:t>
      </w:r>
      <w:proofErr w:type="gramEnd"/>
      <w:r w:rsidRPr="005E4A66">
        <w:t xml:space="preserve"> score</w:t>
      </w:r>
      <w:r w:rsidR="0016317E" w:rsidRPr="005E4A66">
        <w:t>; q</w:t>
      </w:r>
      <w:r w:rsidRPr="005E4A66">
        <w:t>2w = once every 2 weeks</w:t>
      </w:r>
      <w:r w:rsidR="0016317E" w:rsidRPr="005E4A66">
        <w:t>; vs. = versus.</w:t>
      </w:r>
    </w:p>
    <w:p w14:paraId="25F940C2" w14:textId="7D0EAC71" w:rsidR="0016317E" w:rsidRPr="005E4A66" w:rsidRDefault="0016317E" w:rsidP="005E4A66">
      <w:pPr>
        <w:pStyle w:val="TableDescription"/>
      </w:pPr>
      <w:r w:rsidRPr="005E4A66">
        <w:t>A reduction in score indicates improvement.</w:t>
      </w:r>
    </w:p>
    <w:p w14:paraId="3B25221C" w14:textId="4913F996" w:rsidR="00A908C9" w:rsidRPr="00822968" w:rsidRDefault="00A908C9" w:rsidP="004B2847">
      <w:r w:rsidRPr="00822968">
        <w:t xml:space="preserve">At </w:t>
      </w:r>
      <w:r w:rsidR="007B0D1D" w:rsidRPr="00822968">
        <w:t>W</w:t>
      </w:r>
      <w:r w:rsidRPr="00822968">
        <w:t xml:space="preserve">eek 52 in the </w:t>
      </w:r>
      <w:r w:rsidR="00375C49" w:rsidRPr="00822968">
        <w:t>Study EFC14280</w:t>
      </w:r>
      <w:r w:rsidRPr="00822968">
        <w:t xml:space="preserve"> study, improvement from </w:t>
      </w:r>
      <w:r w:rsidR="000B14C7" w:rsidRPr="00822968">
        <w:t>Baseline</w:t>
      </w:r>
      <w:r w:rsidRPr="00822968">
        <w:t xml:space="preserve"> was numerically greater in the </w:t>
      </w:r>
      <w:r w:rsidR="00D4016D" w:rsidRPr="00822968">
        <w:t>once every 2 weeks</w:t>
      </w:r>
      <w:r w:rsidRPr="00822968">
        <w:t xml:space="preserve"> arm (</w:t>
      </w:r>
      <w:bookmarkStart w:id="49" w:name="_Hlk99121865"/>
      <w:r w:rsidR="007B0D1D" w:rsidRPr="00822968">
        <w:t>least squares (</w:t>
      </w:r>
      <w:r w:rsidRPr="00822968">
        <w:t>LS</w:t>
      </w:r>
      <w:r w:rsidR="007B0D1D" w:rsidRPr="00822968">
        <w:t>)</w:t>
      </w:r>
      <w:r w:rsidRPr="00822968">
        <w:t xml:space="preserve"> mean </w:t>
      </w:r>
      <w:bookmarkEnd w:id="49"/>
      <w:r w:rsidRPr="00822968">
        <w:t xml:space="preserve">= -2.24 points) than in the </w:t>
      </w:r>
      <w:r w:rsidR="00D4016D" w:rsidRPr="00822968">
        <w:t>once every 2 weeks</w:t>
      </w:r>
      <w:r w:rsidRPr="00822968">
        <w:t>/</w:t>
      </w:r>
      <w:r w:rsidR="007B0D1D" w:rsidRPr="00822968">
        <w:t>o</w:t>
      </w:r>
      <w:r w:rsidR="00D4016D" w:rsidRPr="00822968">
        <w:t>nce every 4 weeks</w:t>
      </w:r>
      <w:r w:rsidRPr="00822968">
        <w:t xml:space="preserve"> arm (LS mean = -2.06 points). The </w:t>
      </w:r>
      <w:r w:rsidR="007B0D1D" w:rsidRPr="00822968">
        <w:t xml:space="preserve">Kaplan-Meier </w:t>
      </w:r>
      <w:r w:rsidRPr="00822968">
        <w:t xml:space="preserve">curve for </w:t>
      </w:r>
      <w:r w:rsidR="00E313F0">
        <w:t xml:space="preserve">the </w:t>
      </w:r>
      <w:r w:rsidRPr="00822968">
        <w:t>NPS extracted from the study report is shown</w:t>
      </w:r>
      <w:r w:rsidR="007F3814" w:rsidRPr="00822968">
        <w:t xml:space="preserve"> in</w:t>
      </w:r>
      <w:r w:rsidRPr="00822968">
        <w:t xml:space="preserve"> </w:t>
      </w:r>
      <w:r w:rsidR="007F3814" w:rsidRPr="00822968">
        <w:fldChar w:fldCharType="begin"/>
      </w:r>
      <w:r w:rsidR="007F3814" w:rsidRPr="00822968">
        <w:instrText xml:space="preserve"> REF _Ref99385073 \h </w:instrText>
      </w:r>
      <w:r w:rsidR="00822968">
        <w:instrText xml:space="preserve"> \* MERGEFORMAT </w:instrText>
      </w:r>
      <w:r w:rsidR="007F3814" w:rsidRPr="00822968">
        <w:fldChar w:fldCharType="separate"/>
      </w:r>
      <w:r w:rsidR="0078142B" w:rsidRPr="005E4A66">
        <w:t xml:space="preserve">Figure </w:t>
      </w:r>
      <w:r w:rsidR="0078142B">
        <w:rPr>
          <w:noProof/>
        </w:rPr>
        <w:t>1</w:t>
      </w:r>
      <w:r w:rsidR="007F3814" w:rsidRPr="00822968">
        <w:fldChar w:fldCharType="end"/>
      </w:r>
      <w:r w:rsidR="007F3814" w:rsidRPr="00822968">
        <w:t xml:space="preserve"> below</w:t>
      </w:r>
      <w:r w:rsidRPr="00822968">
        <w:t>.</w:t>
      </w:r>
    </w:p>
    <w:p w14:paraId="5FCE4607" w14:textId="4C4B20F4" w:rsidR="00551CAC" w:rsidRPr="005E4A66" w:rsidRDefault="00551CAC" w:rsidP="00AC05D8">
      <w:pPr>
        <w:pStyle w:val="FigureTitle"/>
      </w:pPr>
      <w:bookmarkStart w:id="50" w:name="_Ref99385073"/>
      <w:r w:rsidRPr="005E4A66">
        <w:t xml:space="preserve">Figure </w:t>
      </w:r>
      <w:fldSimple w:instr=" SEQ Figure \* ARABIC ">
        <w:r w:rsidR="0078142B">
          <w:rPr>
            <w:noProof/>
          </w:rPr>
          <w:t>1</w:t>
        </w:r>
      </w:fldSimple>
      <w:bookmarkEnd w:id="50"/>
      <w:r w:rsidRPr="005E4A66">
        <w:t>: Study EFC14280 Least squares mean change from Baseline in bilateral nasal polyps score by visit up to Week 52 (intention-to-treat population)</w:t>
      </w:r>
    </w:p>
    <w:p w14:paraId="1A9A5C7F" w14:textId="018F26B2" w:rsidR="00A908C9" w:rsidRPr="00822968" w:rsidRDefault="00551CAC" w:rsidP="005E4A66">
      <w:r w:rsidRPr="00822968">
        <w:rPr>
          <w:noProof/>
          <w:lang w:val="en-GB" w:eastAsia="en-GB"/>
        </w:rPr>
        <w:drawing>
          <wp:inline distT="0" distB="0" distL="0" distR="0" wp14:anchorId="1BB22195" wp14:editId="34DFFF36">
            <wp:extent cx="5400040" cy="3156857"/>
            <wp:effectExtent l="0" t="0" r="0" b="5715"/>
            <wp:docPr id="7" name="Picture 7" descr="Figure 1: Study EFC14280 Least squares mean change from Baseline in bilateral nasal polyps score by visit up to Week 52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1: Study EFC14280 Least squares mean change from Baseline in bilateral nasal polyps score by visit up to Week 52 (intention-to-treat population)"/>
                    <pic:cNvPicPr/>
                  </pic:nvPicPr>
                  <pic:blipFill>
                    <a:blip r:embed="rId15"/>
                    <a:stretch>
                      <a:fillRect/>
                    </a:stretch>
                  </pic:blipFill>
                  <pic:spPr>
                    <a:xfrm>
                      <a:off x="0" y="0"/>
                      <a:ext cx="5410912" cy="3163213"/>
                    </a:xfrm>
                    <a:prstGeom prst="rect">
                      <a:avLst/>
                    </a:prstGeom>
                  </pic:spPr>
                </pic:pic>
              </a:graphicData>
            </a:graphic>
          </wp:inline>
        </w:drawing>
      </w:r>
    </w:p>
    <w:p w14:paraId="1A5B822E" w14:textId="1052F4E8" w:rsidR="007F3814" w:rsidRPr="00822968" w:rsidRDefault="00747C75" w:rsidP="005E4A66">
      <w:pPr>
        <w:pStyle w:val="FigureDescription"/>
      </w:pPr>
      <w:r w:rsidRPr="00822968">
        <w:t xml:space="preserve">LS = least squares; </w:t>
      </w:r>
      <w:r w:rsidR="007F3814" w:rsidRPr="00822968">
        <w:t>q2w =</w:t>
      </w:r>
      <w:r w:rsidRPr="00822968">
        <w:t xml:space="preserve"> once every 2 weeks; </w:t>
      </w:r>
      <w:r w:rsidR="007F3814" w:rsidRPr="00822968">
        <w:t>q4w =</w:t>
      </w:r>
      <w:r w:rsidRPr="00822968">
        <w:t xml:space="preserve"> once every 4 weeks; </w:t>
      </w:r>
      <w:r w:rsidR="007F3814" w:rsidRPr="00822968">
        <w:t xml:space="preserve">SE = </w:t>
      </w:r>
      <w:r w:rsidRPr="00822968">
        <w:t>standard error.</w:t>
      </w:r>
    </w:p>
    <w:p w14:paraId="2EDB4330" w14:textId="70B620EE" w:rsidR="00A908C9" w:rsidRPr="00822968" w:rsidRDefault="007B0D1D" w:rsidP="004B2847">
      <w:r w:rsidRPr="00822968">
        <w:t>Similarly,</w:t>
      </w:r>
      <w:r w:rsidR="00A908C9" w:rsidRPr="00822968">
        <w:t xml:space="preserve"> the nasal congestion scores were reduced over the 52 weeks of the </w:t>
      </w:r>
      <w:r w:rsidR="00375C49" w:rsidRPr="00822968">
        <w:t>Study</w:t>
      </w:r>
      <w:r w:rsidRPr="00822968">
        <w:t> </w:t>
      </w:r>
      <w:r w:rsidR="00375C49" w:rsidRPr="00822968">
        <w:t>EFC14280</w:t>
      </w:r>
      <w:r w:rsidR="00A908C9" w:rsidRPr="00822968">
        <w:t xml:space="preserve"> with somewhat lower scores with the </w:t>
      </w:r>
      <w:r w:rsidRPr="00822968">
        <w:t>once every 2 to 4 weeks</w:t>
      </w:r>
      <w:r w:rsidR="00A908C9" w:rsidRPr="00822968">
        <w:t xml:space="preserve"> dose regimen compared with the </w:t>
      </w:r>
      <w:r w:rsidR="00D4016D" w:rsidRPr="00822968">
        <w:t>once every 4 weeks</w:t>
      </w:r>
      <w:r w:rsidR="00A908C9" w:rsidRPr="00822968">
        <w:t xml:space="preserve"> regimen as shown </w:t>
      </w:r>
      <w:r w:rsidR="007F3814" w:rsidRPr="00822968">
        <w:t xml:space="preserve">in </w:t>
      </w:r>
      <w:r w:rsidR="007F3814" w:rsidRPr="00822968">
        <w:fldChar w:fldCharType="begin"/>
      </w:r>
      <w:r w:rsidR="007F3814" w:rsidRPr="00822968">
        <w:instrText xml:space="preserve"> REF _Ref99385259 \h </w:instrText>
      </w:r>
      <w:r w:rsidR="00822968">
        <w:instrText xml:space="preserve"> \* MERGEFORMAT </w:instrText>
      </w:r>
      <w:r w:rsidR="007F3814" w:rsidRPr="00822968">
        <w:fldChar w:fldCharType="separate"/>
      </w:r>
      <w:r w:rsidR="0078142B" w:rsidRPr="005E4A66">
        <w:t xml:space="preserve">Figure </w:t>
      </w:r>
      <w:r w:rsidR="0078142B">
        <w:rPr>
          <w:noProof/>
        </w:rPr>
        <w:t>2</w:t>
      </w:r>
      <w:r w:rsidR="007F3814" w:rsidRPr="00822968">
        <w:fldChar w:fldCharType="end"/>
      </w:r>
      <w:r w:rsidR="007F3814" w:rsidRPr="00822968">
        <w:t xml:space="preserve"> </w:t>
      </w:r>
      <w:r w:rsidR="00A908C9" w:rsidRPr="00822968">
        <w:t>below.</w:t>
      </w:r>
    </w:p>
    <w:p w14:paraId="35030474" w14:textId="4575414D" w:rsidR="007F3814" w:rsidRPr="005E4A66" w:rsidRDefault="007F3814" w:rsidP="005E4A66">
      <w:pPr>
        <w:pStyle w:val="FigureTitle"/>
      </w:pPr>
      <w:bookmarkStart w:id="51" w:name="_Ref99385259"/>
      <w:r w:rsidRPr="005E4A66">
        <w:lastRenderedPageBreak/>
        <w:t xml:space="preserve">Figure </w:t>
      </w:r>
      <w:fldSimple w:instr=" SEQ Figure \* ARABIC ">
        <w:r w:rsidR="0078142B">
          <w:rPr>
            <w:noProof/>
          </w:rPr>
          <w:t>2</w:t>
        </w:r>
      </w:fldSimple>
      <w:bookmarkEnd w:id="51"/>
      <w:r w:rsidRPr="005E4A66">
        <w:t>: Study EFC14280 Least squares mean change from Baseline in nasal congestion/obstruction by month up to Week 52 (intention-to-treat population)</w:t>
      </w:r>
    </w:p>
    <w:p w14:paraId="519ABD66" w14:textId="67C7589B" w:rsidR="007F3814" w:rsidRPr="00822968" w:rsidRDefault="007F3814" w:rsidP="005E4A66">
      <w:r w:rsidRPr="00822968">
        <w:rPr>
          <w:noProof/>
          <w:lang w:val="en-GB" w:eastAsia="en-GB"/>
        </w:rPr>
        <w:drawing>
          <wp:inline distT="0" distB="0" distL="0" distR="0" wp14:anchorId="659F222D" wp14:editId="338DD3E6">
            <wp:extent cx="5400040" cy="3075215"/>
            <wp:effectExtent l="0" t="0" r="0" b="0"/>
            <wp:docPr id="13" name="Picture 13" descr="Figure 2: Study EFC14280 Least squares mean change from Baseline in nasal congestion/obstruction by month up to Week 52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2: Study EFC14280 Least squares mean change from Baseline in nasal congestion/obstruction by month up to Week 52 (intention-to-treat population)"/>
                    <pic:cNvPicPr/>
                  </pic:nvPicPr>
                  <pic:blipFill>
                    <a:blip r:embed="rId16"/>
                    <a:stretch>
                      <a:fillRect/>
                    </a:stretch>
                  </pic:blipFill>
                  <pic:spPr>
                    <a:xfrm>
                      <a:off x="0" y="0"/>
                      <a:ext cx="5408114" cy="3079813"/>
                    </a:xfrm>
                    <a:prstGeom prst="rect">
                      <a:avLst/>
                    </a:prstGeom>
                  </pic:spPr>
                </pic:pic>
              </a:graphicData>
            </a:graphic>
          </wp:inline>
        </w:drawing>
      </w:r>
    </w:p>
    <w:p w14:paraId="77D833EE" w14:textId="3C4D3902" w:rsidR="00747C75" w:rsidRPr="00822968" w:rsidRDefault="00747C75" w:rsidP="005E4A66">
      <w:pPr>
        <w:pStyle w:val="FigureDescription"/>
      </w:pPr>
      <w:r w:rsidRPr="00822968">
        <w:t>LS = least squares; q2w = once every 2 weeks; q4w = once every 4 weeks; SE = standard error.</w:t>
      </w:r>
    </w:p>
    <w:p w14:paraId="3781F449" w14:textId="473BE3E8" w:rsidR="00A908C9" w:rsidRPr="00822968" w:rsidRDefault="00A908C9" w:rsidP="004B2847">
      <w:bookmarkStart w:id="52" w:name="_Hlk100228765"/>
      <w:r w:rsidRPr="00822968">
        <w:t xml:space="preserve">Clear clinically significant efficacy was demonstrated in both these studies. </w:t>
      </w:r>
      <w:r w:rsidR="00EC3F47">
        <w:t>After 24 weeks of treatment t</w:t>
      </w:r>
      <w:r w:rsidRPr="00822968">
        <w:t xml:space="preserve">he nasal polyposis score increased markedly </w:t>
      </w:r>
      <w:r w:rsidR="00EC3F47">
        <w:t xml:space="preserve">during the post treatment period </w:t>
      </w:r>
      <w:r w:rsidRPr="00822968">
        <w:t xml:space="preserve">in </w:t>
      </w:r>
      <w:r w:rsidR="00375C49" w:rsidRPr="00822968">
        <w:t>Study EFC14146</w:t>
      </w:r>
      <w:r w:rsidRPr="00822968">
        <w:t xml:space="preserve"> but not in </w:t>
      </w:r>
      <w:r w:rsidR="00375C49" w:rsidRPr="00822968">
        <w:t>Study</w:t>
      </w:r>
      <w:r w:rsidR="0057358C" w:rsidRPr="00822968">
        <w:t> </w:t>
      </w:r>
      <w:r w:rsidR="00375C49" w:rsidRPr="00822968">
        <w:t>EFC14280</w:t>
      </w:r>
      <w:r w:rsidR="00EC3F47">
        <w:t xml:space="preserve"> in which patients continued treatment</w:t>
      </w:r>
      <w:r w:rsidRPr="00822968">
        <w:t>.</w:t>
      </w:r>
    </w:p>
    <w:bookmarkEnd w:id="52"/>
    <w:p w14:paraId="4678246D" w14:textId="43646A25" w:rsidR="005A4163" w:rsidRPr="005A4163" w:rsidRDefault="00AB4FDA" w:rsidP="005A4163">
      <w:pPr>
        <w:pStyle w:val="Heading5"/>
        <w:rPr>
          <w:lang w:val="en-US"/>
        </w:rPr>
      </w:pPr>
      <w:r>
        <w:rPr>
          <w:lang w:val="en-US"/>
        </w:rPr>
        <w:t>Atopic dermatitis (</w:t>
      </w:r>
      <w:r w:rsidR="005A4163">
        <w:rPr>
          <w:lang w:val="en-US"/>
        </w:rPr>
        <w:t>e</w:t>
      </w:r>
      <w:r w:rsidR="00A908C9" w:rsidRPr="00822968">
        <w:rPr>
          <w:lang w:val="en-US"/>
        </w:rPr>
        <w:t>xtension of existing indication to include children aged 6 to 11</w:t>
      </w:r>
      <w:r w:rsidR="0057358C" w:rsidRPr="00822968">
        <w:rPr>
          <w:lang w:val="en-US"/>
        </w:rPr>
        <w:t> </w:t>
      </w:r>
      <w:r w:rsidR="00A908C9" w:rsidRPr="00822968">
        <w:rPr>
          <w:lang w:val="en-US"/>
        </w:rPr>
        <w:t>years</w:t>
      </w:r>
      <w:r w:rsidR="005A4163">
        <w:rPr>
          <w:lang w:val="en-US"/>
        </w:rPr>
        <w:t>)</w:t>
      </w:r>
    </w:p>
    <w:p w14:paraId="5F3C3A99" w14:textId="7EF734CD" w:rsidR="00AB4FDA" w:rsidRPr="00AB4FDA" w:rsidRDefault="00AB4FDA" w:rsidP="004B721A">
      <w:pPr>
        <w:rPr>
          <w:lang w:val="en-US"/>
        </w:rPr>
      </w:pPr>
      <w:r>
        <w:rPr>
          <w:lang w:val="en-US"/>
        </w:rPr>
        <w:t>Proposed modification (extension to expand target population to include children aged 6 to 11 years of age):</w:t>
      </w:r>
    </w:p>
    <w:p w14:paraId="6C9132F3" w14:textId="2F14DCC0" w:rsidR="00AB4FDA" w:rsidRPr="004B721A" w:rsidRDefault="00AB4FDA" w:rsidP="004B721A">
      <w:pPr>
        <w:ind w:left="720"/>
        <w:rPr>
          <w:iCs/>
        </w:rPr>
      </w:pPr>
      <w:r w:rsidRPr="00822968">
        <w:rPr>
          <w:i/>
          <w:iCs/>
        </w:rPr>
        <w:t>Dupixent is indicated for the treatment of moderate to severe atopic dermatitis in patients aged 6 years and older who are candidates for chronic systemic therapy. Dupixent is</w:t>
      </w:r>
      <w:r>
        <w:rPr>
          <w:i/>
          <w:iCs/>
        </w:rPr>
        <w:t xml:space="preserve"> not intended for episodic use.</w:t>
      </w:r>
    </w:p>
    <w:p w14:paraId="6DCEAF6A" w14:textId="4C742443" w:rsidR="00A908C9" w:rsidRPr="00822968" w:rsidRDefault="00F65CE3" w:rsidP="004B2847">
      <w:r w:rsidRPr="00F65CE3">
        <w:t>The clinical dossier consisted of:</w:t>
      </w:r>
    </w:p>
    <w:p w14:paraId="2D2C73FD" w14:textId="7E48F151" w:rsidR="00A908C9" w:rsidRPr="00822968" w:rsidRDefault="0057358C" w:rsidP="004B2847">
      <w:pPr>
        <w:pStyle w:val="ListBullet"/>
        <w:rPr>
          <w:lang w:val="en-US"/>
        </w:rPr>
      </w:pPr>
      <w:r w:rsidRPr="00822968">
        <w:rPr>
          <w:lang w:val="en-US"/>
        </w:rPr>
        <w:t>o</w:t>
      </w:r>
      <w:r w:rsidR="00A908C9" w:rsidRPr="00822968">
        <w:rPr>
          <w:lang w:val="en-US"/>
        </w:rPr>
        <w:t xml:space="preserve">ne pivotal </w:t>
      </w:r>
      <w:r w:rsidR="001B51E6" w:rsidRPr="00822968">
        <w:rPr>
          <w:lang w:val="en-US"/>
        </w:rPr>
        <w:t>Phase</w:t>
      </w:r>
      <w:r w:rsidR="00A908C9" w:rsidRPr="00822968">
        <w:rPr>
          <w:lang w:val="en-US"/>
        </w:rPr>
        <w:t xml:space="preserve"> </w:t>
      </w:r>
      <w:r w:rsidR="001B51E6" w:rsidRPr="00822968">
        <w:rPr>
          <w:lang w:val="en-US"/>
        </w:rPr>
        <w:t>III</w:t>
      </w:r>
      <w:r w:rsidR="00A908C9" w:rsidRPr="00822968">
        <w:rPr>
          <w:lang w:val="en-US"/>
        </w:rPr>
        <w:t xml:space="preserve"> randomised, double</w:t>
      </w:r>
      <w:r w:rsidR="001B51E6" w:rsidRPr="00822968">
        <w:rPr>
          <w:lang w:val="en-US"/>
        </w:rPr>
        <w:t xml:space="preserve"> </w:t>
      </w:r>
      <w:r w:rsidR="00A908C9" w:rsidRPr="00822968">
        <w:rPr>
          <w:lang w:val="en-US"/>
        </w:rPr>
        <w:t xml:space="preserve">blind </w:t>
      </w:r>
      <w:proofErr w:type="gramStart"/>
      <w:r w:rsidR="00A908C9" w:rsidRPr="00822968">
        <w:rPr>
          <w:lang w:val="en-US"/>
        </w:rPr>
        <w:t>placebo</w:t>
      </w:r>
      <w:r w:rsidRPr="00822968">
        <w:rPr>
          <w:lang w:val="en-US"/>
        </w:rPr>
        <w:t xml:space="preserve"> </w:t>
      </w:r>
      <w:r w:rsidR="00A908C9" w:rsidRPr="00822968">
        <w:rPr>
          <w:lang w:val="en-US"/>
        </w:rPr>
        <w:t>controlled</w:t>
      </w:r>
      <w:proofErr w:type="gramEnd"/>
      <w:r w:rsidR="00A908C9" w:rsidRPr="00822968">
        <w:rPr>
          <w:lang w:val="en-US"/>
        </w:rPr>
        <w:t xml:space="preserve"> trial in subjects aged ≥ 6 to &lt; 12 years with atopic dermatitis</w:t>
      </w:r>
      <w:r w:rsidR="00E313F0">
        <w:rPr>
          <w:lang w:val="en-US"/>
        </w:rPr>
        <w:t xml:space="preserve"> (</w:t>
      </w:r>
      <w:r w:rsidRPr="00822968">
        <w:rPr>
          <w:lang w:val="en-US"/>
        </w:rPr>
        <w:t>S</w:t>
      </w:r>
      <w:r w:rsidR="00A908C9" w:rsidRPr="00822968">
        <w:rPr>
          <w:lang w:val="en-US"/>
        </w:rPr>
        <w:t>tudy R668-AD-1652</w:t>
      </w:r>
      <w:r w:rsidR="00E313F0">
        <w:rPr>
          <w:lang w:val="en-US"/>
        </w:rPr>
        <w:t>)</w:t>
      </w:r>
      <w:r w:rsidR="00A908C9" w:rsidRPr="00822968">
        <w:rPr>
          <w:lang w:val="en-US"/>
        </w:rPr>
        <w:t>.</w:t>
      </w:r>
    </w:p>
    <w:p w14:paraId="1D6A7BC4" w14:textId="3BDD6657" w:rsidR="00A908C9" w:rsidRPr="00822968" w:rsidRDefault="0057358C" w:rsidP="004B2847">
      <w:pPr>
        <w:pStyle w:val="ListBullet"/>
        <w:rPr>
          <w:lang w:val="en-US"/>
        </w:rPr>
      </w:pPr>
      <w:r w:rsidRPr="00822968">
        <w:rPr>
          <w:lang w:val="en-US"/>
        </w:rPr>
        <w:t>o</w:t>
      </w:r>
      <w:r w:rsidR="00A908C9" w:rsidRPr="00822968">
        <w:rPr>
          <w:lang w:val="en-US"/>
        </w:rPr>
        <w:t xml:space="preserve">ne </w:t>
      </w:r>
      <w:r w:rsidR="001B51E6" w:rsidRPr="00822968">
        <w:rPr>
          <w:lang w:val="en-US"/>
        </w:rPr>
        <w:t>Phase</w:t>
      </w:r>
      <w:r w:rsidR="00A908C9" w:rsidRPr="00822968">
        <w:rPr>
          <w:lang w:val="en-US"/>
        </w:rPr>
        <w:t xml:space="preserve"> </w:t>
      </w:r>
      <w:r w:rsidR="001B51E6" w:rsidRPr="00822968">
        <w:rPr>
          <w:lang w:val="en-US"/>
        </w:rPr>
        <w:t>II</w:t>
      </w:r>
      <w:r w:rsidR="00A908C9" w:rsidRPr="00822968">
        <w:rPr>
          <w:lang w:val="en-US"/>
        </w:rPr>
        <w:t>, open</w:t>
      </w:r>
      <w:r w:rsidRPr="00822968">
        <w:rPr>
          <w:lang w:val="en-US"/>
        </w:rPr>
        <w:t xml:space="preserve"> </w:t>
      </w:r>
      <w:r w:rsidR="00A908C9" w:rsidRPr="00822968">
        <w:rPr>
          <w:lang w:val="en-US"/>
        </w:rPr>
        <w:t>label, dose</w:t>
      </w:r>
      <w:r w:rsidRPr="00822968">
        <w:rPr>
          <w:lang w:val="en-US"/>
        </w:rPr>
        <w:t xml:space="preserve"> </w:t>
      </w:r>
      <w:r w:rsidR="00A908C9" w:rsidRPr="00822968">
        <w:rPr>
          <w:lang w:val="en-US"/>
        </w:rPr>
        <w:t>escalation study (</w:t>
      </w:r>
      <w:r w:rsidRPr="00822968">
        <w:rPr>
          <w:lang w:val="en-US"/>
        </w:rPr>
        <w:t xml:space="preserve">Study </w:t>
      </w:r>
      <w:r w:rsidR="00A908C9" w:rsidRPr="00822968">
        <w:rPr>
          <w:lang w:val="en-US"/>
        </w:rPr>
        <w:t>R668-AD-1412) in paediatric subjects with atopic dermatitis. This study has previously been submitted to the TGA.</w:t>
      </w:r>
    </w:p>
    <w:p w14:paraId="191AD34A" w14:textId="5B5E49F4" w:rsidR="00A908C9" w:rsidRPr="00822968" w:rsidRDefault="0057358C" w:rsidP="004B2847">
      <w:pPr>
        <w:pStyle w:val="ListBullet"/>
        <w:rPr>
          <w:lang w:val="en-US"/>
        </w:rPr>
      </w:pPr>
      <w:r w:rsidRPr="00822968">
        <w:rPr>
          <w:lang w:val="en-US"/>
        </w:rPr>
        <w:t>o</w:t>
      </w:r>
      <w:r w:rsidR="00A908C9" w:rsidRPr="00822968">
        <w:rPr>
          <w:lang w:val="en-US"/>
        </w:rPr>
        <w:t xml:space="preserve">ne </w:t>
      </w:r>
      <w:r w:rsidR="001B51E6" w:rsidRPr="00822968">
        <w:rPr>
          <w:lang w:val="en-US"/>
        </w:rPr>
        <w:t>Phase</w:t>
      </w:r>
      <w:r w:rsidR="00A908C9" w:rsidRPr="00822968">
        <w:rPr>
          <w:lang w:val="en-US"/>
        </w:rPr>
        <w:t xml:space="preserve"> </w:t>
      </w:r>
      <w:r w:rsidR="001B51E6" w:rsidRPr="00822968">
        <w:rPr>
          <w:lang w:val="en-US"/>
        </w:rPr>
        <w:t>III</w:t>
      </w:r>
      <w:r w:rsidR="00A908C9" w:rsidRPr="00822968">
        <w:rPr>
          <w:lang w:val="en-US"/>
        </w:rPr>
        <w:t>, ongoing open</w:t>
      </w:r>
      <w:r w:rsidRPr="00822968">
        <w:rPr>
          <w:lang w:val="en-US"/>
        </w:rPr>
        <w:t xml:space="preserve"> </w:t>
      </w:r>
      <w:r w:rsidR="00A908C9" w:rsidRPr="00822968">
        <w:rPr>
          <w:lang w:val="en-US"/>
        </w:rPr>
        <w:t>label extension study (</w:t>
      </w:r>
      <w:r w:rsidRPr="00822968">
        <w:rPr>
          <w:lang w:val="en-US"/>
        </w:rPr>
        <w:t xml:space="preserve">Study </w:t>
      </w:r>
      <w:r w:rsidR="00A908C9" w:rsidRPr="00822968">
        <w:rPr>
          <w:lang w:val="en-US"/>
        </w:rPr>
        <w:t>R668-AD-1434) for subjects previously enrolled in the other two studies.</w:t>
      </w:r>
    </w:p>
    <w:p w14:paraId="3528837E" w14:textId="385B3BDE" w:rsidR="00A908C9" w:rsidRPr="00822968" w:rsidRDefault="00A908C9" w:rsidP="004B2847">
      <w:r w:rsidRPr="00822968">
        <w:t xml:space="preserve">All three clinical trials provided pharmacokinetic, efficacy and safety data. The pivotal </w:t>
      </w:r>
      <w:r w:rsidR="001B51E6" w:rsidRPr="00822968">
        <w:t>Phase</w:t>
      </w:r>
      <w:r w:rsidRPr="00822968">
        <w:t xml:space="preserve"> </w:t>
      </w:r>
      <w:r w:rsidR="001B51E6" w:rsidRPr="00822968">
        <w:t>III</w:t>
      </w:r>
      <w:r w:rsidRPr="00822968">
        <w:t xml:space="preserve"> study also provided some pharmacodynamic data.</w:t>
      </w:r>
    </w:p>
    <w:p w14:paraId="6E4948CB" w14:textId="2C3940FC" w:rsidR="00A908C9" w:rsidRPr="00822968" w:rsidRDefault="0057358C" w:rsidP="004B2847">
      <w:r w:rsidRPr="00822968">
        <w:t>The clinical module</w:t>
      </w:r>
      <w:r w:rsidR="00A908C9" w:rsidRPr="00822968">
        <w:t xml:space="preserve"> also included one </w:t>
      </w:r>
      <w:proofErr w:type="spellStart"/>
      <w:r w:rsidRPr="00822968">
        <w:t>p</w:t>
      </w:r>
      <w:r w:rsidR="00A908C9" w:rsidRPr="00822968">
        <w:t>opPK</w:t>
      </w:r>
      <w:proofErr w:type="spellEnd"/>
      <w:r w:rsidR="00A908C9" w:rsidRPr="00822968">
        <w:t xml:space="preserve"> analysis and literature references.</w:t>
      </w:r>
    </w:p>
    <w:p w14:paraId="0C7A93A7" w14:textId="77777777" w:rsidR="00A908C9" w:rsidRPr="00822968" w:rsidRDefault="00A908C9" w:rsidP="004B2847">
      <w:r w:rsidRPr="00822968">
        <w:t>The evaluator noted that there are no specific EMA guidelines relating to clinical trials in atopic dermatitis.</w:t>
      </w:r>
    </w:p>
    <w:p w14:paraId="098355FA" w14:textId="77777777" w:rsidR="00A908C9" w:rsidRPr="00822968" w:rsidRDefault="00A908C9" w:rsidP="004B2847">
      <w:pPr>
        <w:pStyle w:val="Heading5"/>
        <w:rPr>
          <w:lang w:val="en-US"/>
        </w:rPr>
      </w:pPr>
      <w:r w:rsidRPr="00822968">
        <w:rPr>
          <w:lang w:val="en-US"/>
        </w:rPr>
        <w:lastRenderedPageBreak/>
        <w:t>Study R668-AD-1652</w:t>
      </w:r>
    </w:p>
    <w:p w14:paraId="0E86206E" w14:textId="7B9A9321" w:rsidR="00A908C9" w:rsidRPr="00822968" w:rsidRDefault="0057358C" w:rsidP="004B2847">
      <w:r w:rsidRPr="00822968">
        <w:t xml:space="preserve">Study R668-AD-1652 </w:t>
      </w:r>
      <w:r w:rsidR="00A908C9" w:rsidRPr="00822968">
        <w:t>was the pivotal study describing the main evidence for efficacy. The study has also been published.</w:t>
      </w:r>
      <w:r w:rsidR="00A908C9" w:rsidRPr="00822968">
        <w:rPr>
          <w:vertAlign w:val="superscript"/>
        </w:rPr>
        <w:footnoteReference w:id="19"/>
      </w:r>
      <w:r w:rsidR="00A908C9" w:rsidRPr="00822968">
        <w:t xml:space="preserve"> </w:t>
      </w:r>
    </w:p>
    <w:p w14:paraId="4A96CFD0" w14:textId="744C68D1" w:rsidR="00A908C9" w:rsidRPr="00822968" w:rsidRDefault="00A908C9" w:rsidP="004B2847">
      <w:pPr>
        <w:rPr>
          <w:lang w:val="en-US"/>
        </w:rPr>
      </w:pPr>
      <w:r w:rsidRPr="00822968">
        <w:t>It was a randomised, double</w:t>
      </w:r>
      <w:r w:rsidR="001B51E6" w:rsidRPr="00822968">
        <w:t xml:space="preserve"> </w:t>
      </w:r>
      <w:r w:rsidRPr="00822968">
        <w:t>blind, placebo</w:t>
      </w:r>
      <w:r w:rsidR="0057358C" w:rsidRPr="00822968">
        <w:t xml:space="preserve"> </w:t>
      </w:r>
      <w:r w:rsidRPr="00822968">
        <w:t>controlled trial with three parallel groups. It included four study periods</w:t>
      </w:r>
      <w:r w:rsidRPr="00822968">
        <w:rPr>
          <w:lang w:val="en-US"/>
        </w:rPr>
        <w:t>:</w:t>
      </w:r>
    </w:p>
    <w:p w14:paraId="16AF2CB7" w14:textId="4F5EB57F" w:rsidR="00A908C9" w:rsidRPr="00822968" w:rsidRDefault="00E313F0" w:rsidP="004B2847">
      <w:pPr>
        <w:pStyle w:val="ListBullet"/>
        <w:rPr>
          <w:lang w:val="en-US"/>
        </w:rPr>
      </w:pPr>
      <w:r>
        <w:rPr>
          <w:lang w:val="en-US"/>
        </w:rPr>
        <w:t>a</w:t>
      </w:r>
      <w:r w:rsidRPr="00822968">
        <w:rPr>
          <w:lang w:val="en-US"/>
        </w:rPr>
        <w:t xml:space="preserve"> </w:t>
      </w:r>
      <w:r w:rsidR="00A908C9" w:rsidRPr="00822968">
        <w:rPr>
          <w:lang w:val="en-US"/>
        </w:rPr>
        <w:t xml:space="preserve">screening period of up to 9 </w:t>
      </w:r>
      <w:proofErr w:type="gramStart"/>
      <w:r w:rsidR="00A908C9" w:rsidRPr="00822968">
        <w:rPr>
          <w:lang w:val="en-US"/>
        </w:rPr>
        <w:t>weeks;</w:t>
      </w:r>
      <w:proofErr w:type="gramEnd"/>
    </w:p>
    <w:p w14:paraId="59532D43" w14:textId="7F65B9C0" w:rsidR="00A908C9" w:rsidRPr="00822968" w:rsidRDefault="00E313F0" w:rsidP="004B2847">
      <w:pPr>
        <w:pStyle w:val="ListBullet"/>
        <w:rPr>
          <w:lang w:val="en-US"/>
        </w:rPr>
      </w:pPr>
      <w:r>
        <w:rPr>
          <w:lang w:val="en-US"/>
        </w:rPr>
        <w:t>a</w:t>
      </w:r>
      <w:r w:rsidRPr="00822968">
        <w:rPr>
          <w:lang w:val="en-US"/>
        </w:rPr>
        <w:t xml:space="preserve"> </w:t>
      </w:r>
      <w:r w:rsidR="00A908C9" w:rsidRPr="00822968">
        <w:rPr>
          <w:lang w:val="en-US"/>
        </w:rPr>
        <w:t>topical corticosteroid</w:t>
      </w:r>
      <w:r w:rsidR="0057358C" w:rsidRPr="00822968">
        <w:rPr>
          <w:lang w:val="en-US"/>
        </w:rPr>
        <w:t xml:space="preserve"> </w:t>
      </w:r>
      <w:proofErr w:type="spellStart"/>
      <w:r w:rsidR="00A908C9" w:rsidRPr="00822968">
        <w:rPr>
          <w:lang w:val="en-US"/>
        </w:rPr>
        <w:t>standardisation</w:t>
      </w:r>
      <w:proofErr w:type="spellEnd"/>
      <w:r w:rsidR="00A908C9" w:rsidRPr="00822968">
        <w:rPr>
          <w:lang w:val="en-US"/>
        </w:rPr>
        <w:t xml:space="preserve"> period of 2 </w:t>
      </w:r>
      <w:proofErr w:type="gramStart"/>
      <w:r w:rsidR="00A908C9" w:rsidRPr="00822968">
        <w:rPr>
          <w:lang w:val="en-US"/>
        </w:rPr>
        <w:t>weeks;</w:t>
      </w:r>
      <w:proofErr w:type="gramEnd"/>
    </w:p>
    <w:p w14:paraId="66FC59CD" w14:textId="7C93FB2C" w:rsidR="00A908C9" w:rsidRPr="00822968" w:rsidRDefault="00E313F0" w:rsidP="00AC05D8">
      <w:pPr>
        <w:pStyle w:val="ListBullet"/>
        <w:rPr>
          <w:lang w:val="en-US"/>
        </w:rPr>
      </w:pPr>
      <w:r>
        <w:rPr>
          <w:lang w:val="en-US"/>
        </w:rPr>
        <w:t>a</w:t>
      </w:r>
      <w:r w:rsidRPr="00822968">
        <w:rPr>
          <w:lang w:val="en-US"/>
        </w:rPr>
        <w:t xml:space="preserve"> </w:t>
      </w:r>
      <w:r w:rsidR="00A908C9" w:rsidRPr="00822968">
        <w:rPr>
          <w:lang w:val="en-US"/>
        </w:rPr>
        <w:t>treatment period of 16 weeks;</w:t>
      </w:r>
      <w:r>
        <w:rPr>
          <w:lang w:val="en-US"/>
        </w:rPr>
        <w:t xml:space="preserve"> and</w:t>
      </w:r>
    </w:p>
    <w:p w14:paraId="7A0DEDFA" w14:textId="5417D413" w:rsidR="00A908C9" w:rsidRPr="00822968" w:rsidRDefault="00E313F0" w:rsidP="004B2847">
      <w:pPr>
        <w:pStyle w:val="ListBullet"/>
        <w:rPr>
          <w:lang w:val="en-US"/>
        </w:rPr>
      </w:pPr>
      <w:r>
        <w:rPr>
          <w:lang w:val="en-US"/>
        </w:rPr>
        <w:t>a</w:t>
      </w:r>
      <w:r w:rsidRPr="00822968">
        <w:rPr>
          <w:lang w:val="en-US"/>
        </w:rPr>
        <w:t xml:space="preserve"> </w:t>
      </w:r>
      <w:r w:rsidR="00A908C9" w:rsidRPr="00822968">
        <w:rPr>
          <w:lang w:val="en-US"/>
        </w:rPr>
        <w:t xml:space="preserve">follow-up period of 12 weeks (for subjects who did not </w:t>
      </w:r>
      <w:r w:rsidR="00A40E69" w:rsidRPr="00822968">
        <w:rPr>
          <w:lang w:val="en-US"/>
        </w:rPr>
        <w:t>enroll</w:t>
      </w:r>
      <w:r w:rsidR="00A908C9" w:rsidRPr="00822968">
        <w:rPr>
          <w:lang w:val="en-US"/>
        </w:rPr>
        <w:t xml:space="preserve"> in an open</w:t>
      </w:r>
      <w:r>
        <w:rPr>
          <w:lang w:val="en-US"/>
        </w:rPr>
        <w:t xml:space="preserve"> </w:t>
      </w:r>
      <w:r w:rsidR="00A908C9" w:rsidRPr="00822968">
        <w:rPr>
          <w:lang w:val="en-US"/>
        </w:rPr>
        <w:t>label extension study).</w:t>
      </w:r>
    </w:p>
    <w:p w14:paraId="69B00B07" w14:textId="77777777" w:rsidR="00A908C9" w:rsidRPr="00822968" w:rsidRDefault="00A908C9" w:rsidP="004B2847">
      <w:pPr>
        <w:pStyle w:val="Heading6"/>
        <w:rPr>
          <w:lang w:val="en-US"/>
        </w:rPr>
      </w:pPr>
      <w:r w:rsidRPr="00822968">
        <w:rPr>
          <w:lang w:val="en-US"/>
        </w:rPr>
        <w:t>Study objectives</w:t>
      </w:r>
    </w:p>
    <w:p w14:paraId="21A40215" w14:textId="61B66644" w:rsidR="00A908C9" w:rsidRPr="00822968" w:rsidRDefault="00A908C9" w:rsidP="004B2847">
      <w:r w:rsidRPr="00822968">
        <w:t>The primary objective was to demonstrate the efficacy of dupilumab administered concomitantly with topical corticosteroids in patients ≥</w:t>
      </w:r>
      <w:r w:rsidR="00A40E69" w:rsidRPr="00822968">
        <w:t xml:space="preserve"> </w:t>
      </w:r>
      <w:r w:rsidRPr="00822968">
        <w:t>6 years to &lt;</w:t>
      </w:r>
      <w:r w:rsidR="00A40E69" w:rsidRPr="00822968">
        <w:t xml:space="preserve"> </w:t>
      </w:r>
      <w:r w:rsidRPr="00822968">
        <w:t>12 years of age with severe atopic dermatitis.</w:t>
      </w:r>
    </w:p>
    <w:p w14:paraId="2BF0A0BE" w14:textId="5B7A4768" w:rsidR="00A908C9" w:rsidRPr="00822968" w:rsidRDefault="00A908C9" w:rsidP="004B2847">
      <w:r w:rsidRPr="00822968">
        <w:t xml:space="preserve">The secondary objective was to assess the safety of dupilumab administered concomitantly with </w:t>
      </w:r>
      <w:r w:rsidR="0057358C" w:rsidRPr="00822968">
        <w:rPr>
          <w:lang w:val="en-US"/>
        </w:rPr>
        <w:t>topical corticosteroid</w:t>
      </w:r>
      <w:r w:rsidRPr="00822968">
        <w:t xml:space="preserve"> in patients ≥</w:t>
      </w:r>
      <w:r w:rsidR="00A40E69" w:rsidRPr="00822968">
        <w:t xml:space="preserve"> </w:t>
      </w:r>
      <w:r w:rsidRPr="00822968">
        <w:t>6 years to &lt;</w:t>
      </w:r>
      <w:r w:rsidR="00A40E69" w:rsidRPr="00822968">
        <w:t xml:space="preserve"> </w:t>
      </w:r>
      <w:r w:rsidRPr="00822968">
        <w:t xml:space="preserve">12 years of age with severe </w:t>
      </w:r>
      <w:r w:rsidR="00F8231A" w:rsidRPr="00822968">
        <w:t>atopic dermatitis</w:t>
      </w:r>
      <w:r w:rsidRPr="00822968">
        <w:t>.</w:t>
      </w:r>
    </w:p>
    <w:p w14:paraId="49536CF1" w14:textId="7695FF2A" w:rsidR="00A908C9" w:rsidRPr="00822968" w:rsidRDefault="00A908C9" w:rsidP="004B2847">
      <w:pPr>
        <w:pStyle w:val="Heading6"/>
        <w:rPr>
          <w:lang w:val="en-US"/>
        </w:rPr>
      </w:pPr>
      <w:r w:rsidRPr="00822968">
        <w:rPr>
          <w:lang w:val="en-US"/>
        </w:rPr>
        <w:t>Inclusion and exclusion criteria</w:t>
      </w:r>
    </w:p>
    <w:p w14:paraId="2087442D" w14:textId="66298B29" w:rsidR="00A908C9" w:rsidRPr="00822968" w:rsidRDefault="00A908C9" w:rsidP="004B2847">
      <w:r w:rsidRPr="00822968">
        <w:t xml:space="preserve">The </w:t>
      </w:r>
      <w:r w:rsidR="00A40E69" w:rsidRPr="00822968">
        <w:t xml:space="preserve">clinical </w:t>
      </w:r>
      <w:r w:rsidRPr="00822968">
        <w:t>evaluator highlighted that the main inclusion criteria were a diagnosis of severe atopic dermatitis with an inadequate response to topical therapy</w:t>
      </w:r>
      <w:r w:rsidR="00C60F99">
        <w:t>,</w:t>
      </w:r>
      <w:r w:rsidRPr="00822968">
        <w:t xml:space="preserve"> and </w:t>
      </w:r>
      <w:r w:rsidR="00C60F99">
        <w:t xml:space="preserve">subjects </w:t>
      </w:r>
      <w:r w:rsidRPr="00822968">
        <w:t>aged between 6 and 11 years inclusive.</w:t>
      </w:r>
    </w:p>
    <w:p w14:paraId="004F3809" w14:textId="60B86871" w:rsidR="00A908C9" w:rsidRPr="00822968" w:rsidRDefault="00A908C9" w:rsidP="004B2847">
      <w:r w:rsidRPr="00822968">
        <w:t xml:space="preserve">There were a number of exclusion criteria. Subjects with a bodyweight &lt; 15 kg at </w:t>
      </w:r>
      <w:r w:rsidR="000B14C7" w:rsidRPr="00822968">
        <w:t>Baseline</w:t>
      </w:r>
      <w:r w:rsidRPr="00822968">
        <w:t xml:space="preserve"> were excluded. Recent treatment with topical </w:t>
      </w:r>
      <w:proofErr w:type="spellStart"/>
      <w:r w:rsidRPr="00822968">
        <w:t>crisabarole</w:t>
      </w:r>
      <w:proofErr w:type="spellEnd"/>
      <w:r w:rsidRPr="00822968">
        <w:t>, topical calcineurin inhibitors or systemic therapy were also reasons for exclusion.</w:t>
      </w:r>
    </w:p>
    <w:p w14:paraId="7A2561E5" w14:textId="77777777" w:rsidR="00A908C9" w:rsidRPr="00822968" w:rsidRDefault="00A908C9" w:rsidP="004B2847">
      <w:pPr>
        <w:pStyle w:val="Heading6"/>
        <w:rPr>
          <w:lang w:val="en-US"/>
        </w:rPr>
      </w:pPr>
      <w:r w:rsidRPr="00822968">
        <w:rPr>
          <w:lang w:val="en-US"/>
        </w:rPr>
        <w:t>Participant flow</w:t>
      </w:r>
    </w:p>
    <w:p w14:paraId="072989FA" w14:textId="77777777" w:rsidR="00A908C9" w:rsidRPr="00822968" w:rsidRDefault="00A908C9" w:rsidP="004B2847">
      <w:r w:rsidRPr="00822968">
        <w:t>A total of 474 subjects were screened for enrolment, 367 were randomised and 362 received study treatment.</w:t>
      </w:r>
    </w:p>
    <w:p w14:paraId="5F9F0061" w14:textId="77777777" w:rsidR="00A908C9" w:rsidRPr="00822968" w:rsidRDefault="00A908C9" w:rsidP="004B2847">
      <w:pPr>
        <w:pStyle w:val="Heading6"/>
        <w:rPr>
          <w:lang w:val="en-US"/>
        </w:rPr>
      </w:pPr>
      <w:r w:rsidRPr="00822968">
        <w:rPr>
          <w:lang w:val="en-US"/>
        </w:rPr>
        <w:t>Study treatments</w:t>
      </w:r>
    </w:p>
    <w:p w14:paraId="71DE6ACB" w14:textId="4AAC9A49" w:rsidR="00A908C9" w:rsidRPr="00822968" w:rsidRDefault="00A908C9" w:rsidP="004B2847">
      <w:r w:rsidRPr="00822968">
        <w:t xml:space="preserve">At </w:t>
      </w:r>
      <w:r w:rsidR="000B14C7" w:rsidRPr="00822968">
        <w:t>Baseline</w:t>
      </w:r>
      <w:r w:rsidRPr="00822968">
        <w:t>, subjects were randomised to one of the following three treatment arms:</w:t>
      </w:r>
    </w:p>
    <w:p w14:paraId="7CB3DA9D" w14:textId="24ABDB6A" w:rsidR="00A908C9" w:rsidRPr="00822968" w:rsidRDefault="00A908C9" w:rsidP="004B2847">
      <w:r w:rsidRPr="00822968">
        <w:t xml:space="preserve">Dupilumab </w:t>
      </w:r>
      <w:r w:rsidR="00D4016D" w:rsidRPr="00822968">
        <w:t>once every 2 weeks</w:t>
      </w:r>
      <w:r w:rsidRPr="00822968">
        <w:t xml:space="preserve"> group (Arm A):</w:t>
      </w:r>
    </w:p>
    <w:p w14:paraId="1AD6B665" w14:textId="5A310CA0" w:rsidR="00A908C9" w:rsidRPr="00822968" w:rsidRDefault="00A908C9" w:rsidP="004B2847">
      <w:pPr>
        <w:pStyle w:val="ListBullet"/>
      </w:pPr>
      <w:r w:rsidRPr="00822968">
        <w:t>Subjects with a baseline weight of &lt; 30 kg received a loading dose of dupilumab 200</w:t>
      </w:r>
      <w:r w:rsidR="00A40E69" w:rsidRPr="00822968">
        <w:t> </w:t>
      </w:r>
      <w:r w:rsidRPr="00822968">
        <w:t xml:space="preserve">mg </w:t>
      </w:r>
      <w:bookmarkStart w:id="53" w:name="_Hlk99100449"/>
      <w:r w:rsidR="00FE0EC5" w:rsidRPr="00822968">
        <w:t>subcutaneously</w:t>
      </w:r>
      <w:bookmarkEnd w:id="53"/>
      <w:r w:rsidRPr="00822968">
        <w:t xml:space="preserve"> at </w:t>
      </w:r>
      <w:r w:rsidR="00A40E69" w:rsidRPr="00822968">
        <w:t>W</w:t>
      </w:r>
      <w:r w:rsidRPr="00822968">
        <w:t>eek 0 (</w:t>
      </w:r>
      <w:r w:rsidR="00A40E69" w:rsidRPr="00822968">
        <w:t>d</w:t>
      </w:r>
      <w:r w:rsidRPr="00822968">
        <w:t xml:space="preserve">ay 1) and then 100 mg </w:t>
      </w:r>
      <w:r w:rsidR="00D4016D" w:rsidRPr="00822968">
        <w:t>once every 2 weeks</w:t>
      </w:r>
      <w:r w:rsidRPr="00822968">
        <w:t xml:space="preserve"> </w:t>
      </w:r>
      <w:r w:rsidR="00FE0EC5" w:rsidRPr="00822968">
        <w:t>subcutaneously</w:t>
      </w:r>
      <w:r w:rsidRPr="00822968">
        <w:t xml:space="preserve"> from </w:t>
      </w:r>
      <w:r w:rsidR="00A40E69" w:rsidRPr="00822968">
        <w:t>w</w:t>
      </w:r>
      <w:r w:rsidRPr="00822968">
        <w:t>eeks 2 to 14;</w:t>
      </w:r>
    </w:p>
    <w:p w14:paraId="3A1FEFD2" w14:textId="5C259D0D" w:rsidR="00A908C9" w:rsidRPr="00822968" w:rsidRDefault="00A908C9" w:rsidP="004B2847">
      <w:pPr>
        <w:pStyle w:val="ListBullet"/>
      </w:pPr>
      <w:r w:rsidRPr="00822968">
        <w:t>Subjects with a baseline weight of ≥ 30 kg received a loading dose of dupilumab 400</w:t>
      </w:r>
      <w:r w:rsidR="00A40E69" w:rsidRPr="00822968">
        <w:t> </w:t>
      </w:r>
      <w:r w:rsidRPr="00822968">
        <w:t xml:space="preserve">mg </w:t>
      </w:r>
      <w:r w:rsidR="00FE0EC5" w:rsidRPr="00822968">
        <w:t>subcutaneously</w:t>
      </w:r>
      <w:r w:rsidRPr="00822968">
        <w:t xml:space="preserve"> at </w:t>
      </w:r>
      <w:r w:rsidR="00A40E69" w:rsidRPr="00822968">
        <w:t>w</w:t>
      </w:r>
      <w:r w:rsidRPr="00822968">
        <w:t>eek 0 (</w:t>
      </w:r>
      <w:r w:rsidR="00A40E69" w:rsidRPr="00822968">
        <w:t>d</w:t>
      </w:r>
      <w:r w:rsidRPr="00822968">
        <w:t xml:space="preserve">ay 1) and then 200 mg </w:t>
      </w:r>
      <w:r w:rsidR="00D4016D" w:rsidRPr="00822968">
        <w:t>once every 2 weeks</w:t>
      </w:r>
      <w:r w:rsidRPr="00822968">
        <w:t xml:space="preserve"> </w:t>
      </w:r>
      <w:r w:rsidR="00FE0EC5" w:rsidRPr="00822968">
        <w:t>subcutaneously</w:t>
      </w:r>
      <w:r w:rsidRPr="00822968">
        <w:t xml:space="preserve"> from </w:t>
      </w:r>
      <w:r w:rsidR="00A40E69" w:rsidRPr="00822968">
        <w:t>w</w:t>
      </w:r>
      <w:r w:rsidRPr="00822968">
        <w:t>eeks 2 to 14;</w:t>
      </w:r>
    </w:p>
    <w:p w14:paraId="76402ECA" w14:textId="1D0D8E92" w:rsidR="00A908C9" w:rsidRPr="00822968" w:rsidRDefault="00A908C9" w:rsidP="004B2847">
      <w:r w:rsidRPr="00822968">
        <w:t xml:space="preserve">Dupilumab </w:t>
      </w:r>
      <w:r w:rsidR="00D4016D" w:rsidRPr="00822968">
        <w:t>once every 4 weeks</w:t>
      </w:r>
      <w:r w:rsidRPr="00822968">
        <w:t xml:space="preserve"> group (Arm B):</w:t>
      </w:r>
    </w:p>
    <w:p w14:paraId="175003FB" w14:textId="05C5C324" w:rsidR="00A908C9" w:rsidRPr="00822968" w:rsidRDefault="00A908C9" w:rsidP="004B2847">
      <w:pPr>
        <w:pStyle w:val="ListBullet"/>
      </w:pPr>
      <w:r w:rsidRPr="00822968">
        <w:t xml:space="preserve">All subjects received a loading dose of dupilumab 600 mg </w:t>
      </w:r>
      <w:r w:rsidR="00FE0EC5" w:rsidRPr="00822968">
        <w:t>subcutaneously</w:t>
      </w:r>
      <w:r w:rsidRPr="00822968">
        <w:t xml:space="preserve"> at </w:t>
      </w:r>
      <w:r w:rsidR="00A40E69" w:rsidRPr="00822968">
        <w:t>W</w:t>
      </w:r>
      <w:r w:rsidRPr="00822968">
        <w:t>eek</w:t>
      </w:r>
      <w:r w:rsidR="00A40E69" w:rsidRPr="00822968">
        <w:t> </w:t>
      </w:r>
      <w:r w:rsidRPr="00822968">
        <w:t>0 (</w:t>
      </w:r>
      <w:r w:rsidR="00A40E69" w:rsidRPr="00822968">
        <w:t>D</w:t>
      </w:r>
      <w:r w:rsidRPr="00822968">
        <w:t>ay 1) and then 300</w:t>
      </w:r>
      <w:r w:rsidR="00A40E69" w:rsidRPr="00822968">
        <w:t> </w:t>
      </w:r>
      <w:r w:rsidRPr="00822968">
        <w:t xml:space="preserve">mg </w:t>
      </w:r>
      <w:r w:rsidR="00D4016D" w:rsidRPr="00822968">
        <w:t>once every 4 weeks</w:t>
      </w:r>
      <w:r w:rsidRPr="00822968">
        <w:t xml:space="preserve"> </w:t>
      </w:r>
      <w:r w:rsidR="00FE0EC5" w:rsidRPr="00822968">
        <w:t>subcutaneously</w:t>
      </w:r>
      <w:r w:rsidRPr="00822968">
        <w:t xml:space="preserve"> from </w:t>
      </w:r>
      <w:r w:rsidR="00A40E69" w:rsidRPr="00822968">
        <w:t>W</w:t>
      </w:r>
      <w:r w:rsidRPr="00822968">
        <w:t>eeks 4 to 12;</w:t>
      </w:r>
    </w:p>
    <w:p w14:paraId="73B56CC0" w14:textId="77777777" w:rsidR="00A908C9" w:rsidRPr="00822968" w:rsidRDefault="00A908C9" w:rsidP="004B2847">
      <w:r w:rsidRPr="00822968">
        <w:lastRenderedPageBreak/>
        <w:t>Placebo group (Arm C)</w:t>
      </w:r>
    </w:p>
    <w:p w14:paraId="121A0746" w14:textId="6514DB99" w:rsidR="00A908C9" w:rsidRPr="00822968" w:rsidRDefault="00A908C9" w:rsidP="004B2847">
      <w:pPr>
        <w:pStyle w:val="ListBullet"/>
        <w:rPr>
          <w:lang w:eastAsia="ja-JP"/>
        </w:rPr>
      </w:pPr>
      <w:r w:rsidRPr="00822968">
        <w:rPr>
          <w:lang w:eastAsia="ja-JP"/>
        </w:rPr>
        <w:t>All subjects received placebo injections corresponding to one of the above dupilumab regimens.</w:t>
      </w:r>
    </w:p>
    <w:p w14:paraId="0B95D649" w14:textId="77777777" w:rsidR="00A908C9" w:rsidRPr="00822968" w:rsidRDefault="00A908C9" w:rsidP="004B2847">
      <w:pPr>
        <w:pStyle w:val="Heading6"/>
        <w:rPr>
          <w:lang w:val="en-US"/>
        </w:rPr>
      </w:pPr>
      <w:r w:rsidRPr="00822968">
        <w:rPr>
          <w:lang w:val="en-US"/>
        </w:rPr>
        <w:t>Primary endpoints</w:t>
      </w:r>
    </w:p>
    <w:p w14:paraId="0E4A576F" w14:textId="6A43D967" w:rsidR="00A908C9" w:rsidRPr="00822968" w:rsidRDefault="00A908C9" w:rsidP="004B2847">
      <w:proofErr w:type="gramStart"/>
      <w:r w:rsidRPr="00822968">
        <w:t>A number of</w:t>
      </w:r>
      <w:proofErr w:type="gramEnd"/>
      <w:r w:rsidRPr="00822968">
        <w:t xml:space="preserve"> validated scoring systems and questionnaires were used, including the Investigator’s</w:t>
      </w:r>
      <w:r w:rsidR="009945B4" w:rsidRPr="00822968">
        <w:t xml:space="preserve"> </w:t>
      </w:r>
      <w:r w:rsidR="00C60F99">
        <w:t>G</w:t>
      </w:r>
      <w:r w:rsidR="009945B4" w:rsidRPr="00822968">
        <w:t xml:space="preserve">lobal </w:t>
      </w:r>
      <w:r w:rsidR="00C60F99">
        <w:t>A</w:t>
      </w:r>
      <w:r w:rsidR="009945B4" w:rsidRPr="00822968">
        <w:t xml:space="preserve">ssessment </w:t>
      </w:r>
      <w:r w:rsidRPr="00822968">
        <w:t xml:space="preserve">(IGA) and the </w:t>
      </w:r>
      <w:r w:rsidR="00C60F99">
        <w:t>E</w:t>
      </w:r>
      <w:r w:rsidR="009945B4" w:rsidRPr="00822968">
        <w:t xml:space="preserve">czema </w:t>
      </w:r>
      <w:r w:rsidR="00C60F99">
        <w:t>A</w:t>
      </w:r>
      <w:r w:rsidR="009945B4" w:rsidRPr="00822968">
        <w:t xml:space="preserve">rea and </w:t>
      </w:r>
      <w:r w:rsidR="00C60F99">
        <w:t>S</w:t>
      </w:r>
      <w:r w:rsidR="009945B4" w:rsidRPr="00822968">
        <w:t xml:space="preserve">everity </w:t>
      </w:r>
      <w:r w:rsidR="00C60F99">
        <w:t>I</w:t>
      </w:r>
      <w:r w:rsidR="009945B4" w:rsidRPr="00822968">
        <w:t xml:space="preserve">ndex </w:t>
      </w:r>
      <w:r w:rsidRPr="00822968">
        <w:t>(EASI).</w:t>
      </w:r>
      <w:r w:rsidR="00F9258A" w:rsidRPr="00822968">
        <w:rPr>
          <w:rStyle w:val="FootnoteReference"/>
        </w:rPr>
        <w:footnoteReference w:id="20"/>
      </w:r>
    </w:p>
    <w:p w14:paraId="5508F78B" w14:textId="1A3F5B81" w:rsidR="00A908C9" w:rsidRPr="00822968" w:rsidRDefault="00A908C9" w:rsidP="00A40E69">
      <w:pPr>
        <w:pStyle w:val="Heading7"/>
        <w:rPr>
          <w:sz w:val="22"/>
          <w:szCs w:val="28"/>
        </w:rPr>
      </w:pPr>
      <w:r w:rsidRPr="00822968">
        <w:rPr>
          <w:sz w:val="22"/>
          <w:szCs w:val="28"/>
        </w:rPr>
        <w:t xml:space="preserve">Investigator’s </w:t>
      </w:r>
      <w:r w:rsidR="00C60F99">
        <w:rPr>
          <w:sz w:val="22"/>
          <w:szCs w:val="28"/>
        </w:rPr>
        <w:t>G</w:t>
      </w:r>
      <w:r w:rsidR="00A40E69" w:rsidRPr="00822968">
        <w:rPr>
          <w:sz w:val="22"/>
          <w:szCs w:val="28"/>
        </w:rPr>
        <w:t xml:space="preserve">lobal </w:t>
      </w:r>
      <w:r w:rsidR="00C60F99">
        <w:rPr>
          <w:sz w:val="22"/>
          <w:szCs w:val="28"/>
        </w:rPr>
        <w:t>A</w:t>
      </w:r>
      <w:r w:rsidR="00A40E69" w:rsidRPr="00822968">
        <w:rPr>
          <w:sz w:val="22"/>
          <w:szCs w:val="28"/>
        </w:rPr>
        <w:t>ssessment</w:t>
      </w:r>
    </w:p>
    <w:p w14:paraId="540D6E81" w14:textId="77777777" w:rsidR="00A908C9" w:rsidRPr="00822968" w:rsidRDefault="00A908C9" w:rsidP="004B2847">
      <w:r w:rsidRPr="00822968">
        <w:t>The IGA is an assessment instrument used in clinical studies to rate the severity of atopic dermatitis globally, based on a 5-point scale ranging from 0 (clear) to 4 (severe), as assessed by the investigator.</w:t>
      </w:r>
    </w:p>
    <w:p w14:paraId="225530FE" w14:textId="26F2D79B" w:rsidR="00A908C9" w:rsidRPr="00822968" w:rsidRDefault="00A908C9" w:rsidP="00A40E69">
      <w:pPr>
        <w:pStyle w:val="Heading7"/>
        <w:rPr>
          <w:sz w:val="22"/>
          <w:szCs w:val="28"/>
        </w:rPr>
      </w:pPr>
      <w:r w:rsidRPr="00822968">
        <w:rPr>
          <w:sz w:val="22"/>
          <w:szCs w:val="28"/>
        </w:rPr>
        <w:t xml:space="preserve">Eczema </w:t>
      </w:r>
      <w:r w:rsidR="000B04E9">
        <w:rPr>
          <w:sz w:val="22"/>
          <w:szCs w:val="28"/>
        </w:rPr>
        <w:t>A</w:t>
      </w:r>
      <w:r w:rsidR="00A40E69" w:rsidRPr="00822968">
        <w:rPr>
          <w:sz w:val="22"/>
          <w:szCs w:val="28"/>
        </w:rPr>
        <w:t xml:space="preserve">rea and </w:t>
      </w:r>
      <w:r w:rsidR="000B04E9">
        <w:rPr>
          <w:sz w:val="22"/>
          <w:szCs w:val="28"/>
        </w:rPr>
        <w:t>S</w:t>
      </w:r>
      <w:r w:rsidR="00A40E69" w:rsidRPr="00822968">
        <w:rPr>
          <w:sz w:val="22"/>
          <w:szCs w:val="28"/>
        </w:rPr>
        <w:t xml:space="preserve">everity </w:t>
      </w:r>
      <w:r w:rsidR="000B04E9">
        <w:rPr>
          <w:sz w:val="22"/>
          <w:szCs w:val="28"/>
        </w:rPr>
        <w:t>I</w:t>
      </w:r>
      <w:r w:rsidR="00A40E69" w:rsidRPr="00822968">
        <w:rPr>
          <w:sz w:val="22"/>
          <w:szCs w:val="28"/>
        </w:rPr>
        <w:t>ndex</w:t>
      </w:r>
    </w:p>
    <w:p w14:paraId="394549DB" w14:textId="4A5F1546" w:rsidR="00A908C9" w:rsidRPr="00822968" w:rsidRDefault="00A908C9" w:rsidP="004B2847">
      <w:r w:rsidRPr="00822968">
        <w:t xml:space="preserve">The EASI is a validated scoring system that grades the physical signs of </w:t>
      </w:r>
      <w:r w:rsidR="00F8231A" w:rsidRPr="00822968">
        <w:t>atopic dermatitis</w:t>
      </w:r>
      <w:r w:rsidRPr="00822968">
        <w:t xml:space="preserve">. The scoring system assesses extent of skin involvement (in terms of body surface area) and the severity of disease in terms of four signs (erythema, oedema/papulation, excoriation and </w:t>
      </w:r>
      <w:proofErr w:type="spellStart"/>
      <w:r w:rsidRPr="00822968">
        <w:t>lichenification</w:t>
      </w:r>
      <w:proofErr w:type="spellEnd"/>
      <w:r w:rsidRPr="00822968">
        <w:t>). Scoring is performed by the investigator. Separate instruments are available for subjects aged ≥ 8 years and those aged &lt; 8 years. The potential range for the score is 0</w:t>
      </w:r>
      <w:r w:rsidR="00A40E69" w:rsidRPr="00822968">
        <w:t xml:space="preserve"> to</w:t>
      </w:r>
      <w:r w:rsidRPr="00822968">
        <w:t xml:space="preserve"> 72, with higher scores indicating more extensive/severe disease. Severity of </w:t>
      </w:r>
      <w:r w:rsidR="00F8231A" w:rsidRPr="00822968">
        <w:t>atopic dermatitis</w:t>
      </w:r>
      <w:r w:rsidRPr="00822968">
        <w:t xml:space="preserve"> based on EASI score can be categorised as follows: 0 = clear; 0.1 to 1.0 = almost clear; 1.1 to 7.0 = mild; 7.1 to 21.0</w:t>
      </w:r>
      <w:r w:rsidR="00A40E69" w:rsidRPr="00822968">
        <w:t> </w:t>
      </w:r>
      <w:r w:rsidRPr="00822968">
        <w:t>=</w:t>
      </w:r>
      <w:r w:rsidR="00A40E69" w:rsidRPr="00822968">
        <w:t> </w:t>
      </w:r>
      <w:r w:rsidRPr="00822968">
        <w:t>moderate; 21.1 to 50.0 = severe; 50.1 to 72.0 = very severe</w:t>
      </w:r>
    </w:p>
    <w:p w14:paraId="322F1846" w14:textId="2C8476A7" w:rsidR="00A908C9" w:rsidRPr="00822968" w:rsidRDefault="00A908C9" w:rsidP="004B2847">
      <w:r w:rsidRPr="00822968">
        <w:t xml:space="preserve">In this study the primary endpoint for the USA (and USA reference markets) was the proportion of patients with an IGA score of 0 (clear) or 1 (almost clear) at </w:t>
      </w:r>
      <w:r w:rsidR="00A40E69" w:rsidRPr="00822968">
        <w:t>W</w:t>
      </w:r>
      <w:r w:rsidRPr="00822968">
        <w:t>eek 16.</w:t>
      </w:r>
    </w:p>
    <w:p w14:paraId="53C2F45E" w14:textId="77777777" w:rsidR="00A908C9" w:rsidRPr="00822968" w:rsidRDefault="00A908C9" w:rsidP="004B2847">
      <w:r w:rsidRPr="00822968">
        <w:t>For the EU (and EU reference markets) the co-primary endpoints were:</w:t>
      </w:r>
    </w:p>
    <w:p w14:paraId="7925AA2A" w14:textId="6D778EBA" w:rsidR="00A908C9" w:rsidRPr="00822968" w:rsidRDefault="00A908C9" w:rsidP="004B2847">
      <w:pPr>
        <w:pStyle w:val="ListBullet"/>
        <w:rPr>
          <w:lang w:val="en-US"/>
        </w:rPr>
      </w:pPr>
      <w:r w:rsidRPr="00822968">
        <w:rPr>
          <w:lang w:val="en-US"/>
        </w:rPr>
        <w:t>the proportion of patients with a ≥</w:t>
      </w:r>
      <w:r w:rsidR="00C60F99">
        <w:rPr>
          <w:lang w:val="en-US"/>
        </w:rPr>
        <w:t> </w:t>
      </w:r>
      <w:r w:rsidRPr="00822968">
        <w:rPr>
          <w:lang w:val="en-US"/>
        </w:rPr>
        <w:t xml:space="preserve">75% improvement from </w:t>
      </w:r>
      <w:r w:rsidR="000B14C7" w:rsidRPr="00822968">
        <w:rPr>
          <w:lang w:val="en-US"/>
        </w:rPr>
        <w:t>Baseline</w:t>
      </w:r>
      <w:r w:rsidRPr="00822968">
        <w:rPr>
          <w:lang w:val="en-US"/>
        </w:rPr>
        <w:t xml:space="preserve"> in EASI (EASI-75) at week 16; and</w:t>
      </w:r>
    </w:p>
    <w:p w14:paraId="34FDFC4D" w14:textId="23BF8200" w:rsidR="00A908C9" w:rsidRPr="00822968" w:rsidRDefault="00A908C9" w:rsidP="004B2847">
      <w:pPr>
        <w:pStyle w:val="ListBullet"/>
        <w:rPr>
          <w:lang w:val="en-US"/>
        </w:rPr>
      </w:pPr>
      <w:r w:rsidRPr="00822968">
        <w:rPr>
          <w:lang w:val="en-US"/>
        </w:rPr>
        <w:t xml:space="preserve">the proportion of patients with an of IGA </w:t>
      </w:r>
      <w:r w:rsidR="00C60F99">
        <w:rPr>
          <w:lang w:val="en-US"/>
        </w:rPr>
        <w:t xml:space="preserve">score of </w:t>
      </w:r>
      <w:r w:rsidRPr="00822968">
        <w:rPr>
          <w:lang w:val="en-US"/>
        </w:rPr>
        <w:t xml:space="preserve">0 or 1 at </w:t>
      </w:r>
      <w:r w:rsidR="00A40E69" w:rsidRPr="00822968">
        <w:rPr>
          <w:lang w:val="en-US"/>
        </w:rPr>
        <w:t>W</w:t>
      </w:r>
      <w:r w:rsidRPr="00822968">
        <w:rPr>
          <w:lang w:val="en-US"/>
        </w:rPr>
        <w:t>eek 16.</w:t>
      </w:r>
    </w:p>
    <w:p w14:paraId="0EC4F74F" w14:textId="1C858E98" w:rsidR="00A908C9" w:rsidRPr="00822968" w:rsidRDefault="00A908C9" w:rsidP="004B2847">
      <w:r w:rsidRPr="00822968">
        <w:t xml:space="preserve">The IGA and EASI </w:t>
      </w:r>
      <w:r w:rsidR="00C60F99">
        <w:t xml:space="preserve">scores </w:t>
      </w:r>
      <w:r w:rsidRPr="00822968">
        <w:t xml:space="preserve">were measured during initial screening and during the </w:t>
      </w:r>
      <w:r w:rsidR="0057358C" w:rsidRPr="00822968">
        <w:rPr>
          <w:lang w:val="en-US"/>
        </w:rPr>
        <w:t>topical corticosteroid</w:t>
      </w:r>
      <w:r w:rsidRPr="00822968">
        <w:t xml:space="preserve"> standardisation period, at </w:t>
      </w:r>
      <w:r w:rsidR="000B14C7" w:rsidRPr="00822968">
        <w:t>Baseline</w:t>
      </w:r>
      <w:r w:rsidRPr="00822968">
        <w:t xml:space="preserve"> (</w:t>
      </w:r>
      <w:r w:rsidR="00A40E69" w:rsidRPr="00822968">
        <w:t>W</w:t>
      </w:r>
      <w:r w:rsidRPr="00822968">
        <w:t xml:space="preserve">eek 0), at </w:t>
      </w:r>
      <w:r w:rsidR="00A40E69" w:rsidRPr="00822968">
        <w:t>W</w:t>
      </w:r>
      <w:r w:rsidRPr="00822968">
        <w:t xml:space="preserve">eeks 1, 2, 3, 4, 8, 12 and 16 during the treatment period and at </w:t>
      </w:r>
      <w:r w:rsidR="00A40E69" w:rsidRPr="00822968">
        <w:t>W</w:t>
      </w:r>
      <w:r w:rsidRPr="00822968">
        <w:t>eeks 20, 24 and 28 during the follow-up period.</w:t>
      </w:r>
    </w:p>
    <w:p w14:paraId="6332C440" w14:textId="77777777" w:rsidR="00A908C9" w:rsidRPr="00822968" w:rsidRDefault="00A908C9" w:rsidP="004B2847">
      <w:pPr>
        <w:pStyle w:val="Heading6"/>
        <w:rPr>
          <w:lang w:val="en-US"/>
        </w:rPr>
      </w:pPr>
      <w:r w:rsidRPr="00822968">
        <w:rPr>
          <w:lang w:val="en-US"/>
        </w:rPr>
        <w:t>Results for the primary efficacy outcomes</w:t>
      </w:r>
    </w:p>
    <w:p w14:paraId="2D9FBEF1" w14:textId="3C2507DC" w:rsidR="00A908C9" w:rsidRPr="00822968" w:rsidRDefault="00A908C9" w:rsidP="004B2847">
      <w:pPr>
        <w:pStyle w:val="Heading7"/>
        <w:rPr>
          <w:sz w:val="22"/>
          <w:szCs w:val="28"/>
          <w:lang w:eastAsia="ja-JP"/>
        </w:rPr>
      </w:pPr>
      <w:r w:rsidRPr="00822968">
        <w:rPr>
          <w:sz w:val="22"/>
          <w:szCs w:val="28"/>
          <w:lang w:eastAsia="ja-JP"/>
        </w:rPr>
        <w:t xml:space="preserve">Proportion of subjects with an </w:t>
      </w:r>
      <w:r w:rsidR="0016317E" w:rsidRPr="00822968">
        <w:rPr>
          <w:sz w:val="22"/>
          <w:szCs w:val="28"/>
          <w:lang w:eastAsia="ja-JP"/>
        </w:rPr>
        <w:t>investigator’s global assessment score</w:t>
      </w:r>
      <w:r w:rsidRPr="00822968">
        <w:rPr>
          <w:sz w:val="22"/>
          <w:szCs w:val="28"/>
          <w:lang w:eastAsia="ja-JP"/>
        </w:rPr>
        <w:t xml:space="preserve"> of </w:t>
      </w:r>
      <w:r w:rsidR="0016317E" w:rsidRPr="00822968">
        <w:rPr>
          <w:sz w:val="22"/>
          <w:szCs w:val="28"/>
          <w:lang w:eastAsia="ja-JP"/>
        </w:rPr>
        <w:t>zero or one</w:t>
      </w:r>
      <w:r w:rsidRPr="00822968">
        <w:rPr>
          <w:sz w:val="22"/>
          <w:szCs w:val="28"/>
          <w:lang w:eastAsia="ja-JP"/>
        </w:rPr>
        <w:t xml:space="preserve"> at </w:t>
      </w:r>
      <w:r w:rsidR="00A40E69" w:rsidRPr="00822968">
        <w:rPr>
          <w:sz w:val="22"/>
          <w:szCs w:val="28"/>
          <w:lang w:eastAsia="ja-JP"/>
        </w:rPr>
        <w:t>W</w:t>
      </w:r>
      <w:r w:rsidRPr="00822968">
        <w:rPr>
          <w:sz w:val="22"/>
          <w:szCs w:val="28"/>
          <w:lang w:eastAsia="ja-JP"/>
        </w:rPr>
        <w:t>eek 16</w:t>
      </w:r>
    </w:p>
    <w:p w14:paraId="646CE868" w14:textId="3B5EFC6F" w:rsidR="00A908C9" w:rsidRPr="00822968" w:rsidRDefault="00A908C9" w:rsidP="004B2847">
      <w:r w:rsidRPr="00822968">
        <w:t>The proportion</w:t>
      </w:r>
      <w:r w:rsidR="00A40E69" w:rsidRPr="00822968">
        <w:t xml:space="preserve"> in full analysis set</w:t>
      </w:r>
      <w:r w:rsidRPr="00822968">
        <w:t xml:space="preserve"> was significantly greater in both the </w:t>
      </w:r>
      <w:r w:rsidR="00D4016D" w:rsidRPr="00822968">
        <w:t>once every 2 weeks</w:t>
      </w:r>
      <w:r w:rsidRPr="00822968">
        <w:t xml:space="preserve"> arm (29.5%) and the </w:t>
      </w:r>
      <w:r w:rsidR="00D4016D" w:rsidRPr="00822968">
        <w:t>once every 4 weeks</w:t>
      </w:r>
      <w:r w:rsidRPr="00822968">
        <w:t xml:space="preserve"> arm (32.8%), compared to the placebo arm (11.4%).</w:t>
      </w:r>
    </w:p>
    <w:p w14:paraId="411CDB36" w14:textId="49F256E7" w:rsidR="00A908C9" w:rsidRPr="00822968" w:rsidRDefault="00A908C9" w:rsidP="004B2847">
      <w:r w:rsidRPr="00822968">
        <w:t xml:space="preserve">Analyses conducted in the </w:t>
      </w:r>
      <w:r w:rsidR="00D86966" w:rsidRPr="00D86966">
        <w:t>modified full analysis set</w:t>
      </w:r>
      <w:r w:rsidR="00D86966">
        <w:t xml:space="preserve"> (</w:t>
      </w:r>
      <w:proofErr w:type="spellStart"/>
      <w:r w:rsidRPr="00822968">
        <w:t>mFAS</w:t>
      </w:r>
      <w:proofErr w:type="spellEnd"/>
      <w:r w:rsidR="00D86966">
        <w:t>)</w:t>
      </w:r>
      <w:r w:rsidRPr="00822968">
        <w:t xml:space="preserve"> and </w:t>
      </w:r>
      <w:r w:rsidR="00A40E69" w:rsidRPr="00822968">
        <w:t>per-protocol</w:t>
      </w:r>
      <w:r w:rsidR="00AE3C35" w:rsidRPr="00822968">
        <w:t>;</w:t>
      </w:r>
      <w:r w:rsidR="00AE3C35" w:rsidRPr="00822968">
        <w:rPr>
          <w:rStyle w:val="FootnoteReference"/>
        </w:rPr>
        <w:footnoteReference w:id="21"/>
      </w:r>
      <w:r w:rsidRPr="00822968">
        <w:t xml:space="preserve"> sets gave similar results. Two sensitivity analyses using alternative methods of accounting for missing data also gave similar results.</w:t>
      </w:r>
    </w:p>
    <w:p w14:paraId="503133DB" w14:textId="54CAAD2B" w:rsidR="00A908C9" w:rsidRPr="005E4A66" w:rsidRDefault="007F3814" w:rsidP="005E4A66">
      <w:pPr>
        <w:pStyle w:val="FigureTitle"/>
      </w:pPr>
      <w:r w:rsidRPr="005E4A66">
        <w:lastRenderedPageBreak/>
        <w:t xml:space="preserve">Figure </w:t>
      </w:r>
      <w:fldSimple w:instr=" SEQ Figure \* ARABIC ">
        <w:r w:rsidR="0078142B">
          <w:rPr>
            <w:noProof/>
          </w:rPr>
          <w:t>3</w:t>
        </w:r>
      </w:fldSimple>
      <w:r w:rsidRPr="005E4A66">
        <w:t xml:space="preserve">: </w:t>
      </w:r>
      <w:r w:rsidR="00A908C9" w:rsidRPr="005E4A66">
        <w:t xml:space="preserve">Study R668-AD-1652 Proportion of subjects with </w:t>
      </w:r>
      <w:r w:rsidR="00C60F99" w:rsidRPr="005E4A66">
        <w:t>I</w:t>
      </w:r>
      <w:r w:rsidRPr="005E4A66">
        <w:t xml:space="preserve">nvestigator’s </w:t>
      </w:r>
      <w:r w:rsidR="00C60F99" w:rsidRPr="005E4A66">
        <w:t>G</w:t>
      </w:r>
      <w:r w:rsidRPr="005E4A66">
        <w:t xml:space="preserve">lobal </w:t>
      </w:r>
      <w:r w:rsidR="00C60F99" w:rsidRPr="005E4A66">
        <w:t>A</w:t>
      </w:r>
      <w:r w:rsidRPr="005E4A66">
        <w:t>ssessment</w:t>
      </w:r>
      <w:r w:rsidR="00A908C9" w:rsidRPr="005E4A66">
        <w:t xml:space="preserve"> </w:t>
      </w:r>
      <w:r w:rsidRPr="005E4A66">
        <w:t xml:space="preserve">scale </w:t>
      </w:r>
      <w:r w:rsidR="00C60F99" w:rsidRPr="005E4A66">
        <w:t xml:space="preserve">score </w:t>
      </w:r>
      <w:r w:rsidR="00A908C9" w:rsidRPr="005E4A66">
        <w:t xml:space="preserve">of </w:t>
      </w:r>
      <w:r w:rsidRPr="005E4A66">
        <w:t>zero or one</w:t>
      </w:r>
    </w:p>
    <w:p w14:paraId="0A9F3C38" w14:textId="39CF973C" w:rsidR="00A908C9" w:rsidRPr="00822968" w:rsidRDefault="0016317E" w:rsidP="005E4A66">
      <w:r w:rsidRPr="00822968">
        <w:rPr>
          <w:noProof/>
          <w:lang w:val="en-GB" w:eastAsia="en-GB"/>
        </w:rPr>
        <w:drawing>
          <wp:inline distT="0" distB="0" distL="0" distR="0" wp14:anchorId="20B975E8" wp14:editId="218E3907">
            <wp:extent cx="5400040" cy="4152900"/>
            <wp:effectExtent l="0" t="0" r="0" b="0"/>
            <wp:docPr id="15" name="Picture 15" descr="Figure 3: Study R668-AD-1652 Proportion of subjects with Investigator’s Global Assessment scale score of zero or 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Figure 3: Study R668-AD-1652 Proportion of subjects with Investigator’s Global Assessment scale score of zero or one"/>
                    <pic:cNvPicPr/>
                  </pic:nvPicPr>
                  <pic:blipFill>
                    <a:blip r:embed="rId17"/>
                    <a:stretch>
                      <a:fillRect/>
                    </a:stretch>
                  </pic:blipFill>
                  <pic:spPr>
                    <a:xfrm>
                      <a:off x="0" y="0"/>
                      <a:ext cx="5400040" cy="4152900"/>
                    </a:xfrm>
                    <a:prstGeom prst="rect">
                      <a:avLst/>
                    </a:prstGeom>
                  </pic:spPr>
                </pic:pic>
              </a:graphicData>
            </a:graphic>
          </wp:inline>
        </w:drawing>
      </w:r>
    </w:p>
    <w:p w14:paraId="48ADEBC2" w14:textId="082FB250" w:rsidR="0016317E" w:rsidRPr="005E4A66" w:rsidRDefault="0016317E" w:rsidP="005E4A66">
      <w:pPr>
        <w:pStyle w:val="FigureDescription"/>
      </w:pPr>
      <w:r w:rsidRPr="005E4A66">
        <w:t>N = population size; Q2W = once every 2 weeks; Q4W = once every 4 weeks.</w:t>
      </w:r>
    </w:p>
    <w:p w14:paraId="53636C11" w14:textId="34A21289" w:rsidR="0016317E" w:rsidRPr="005E4A66" w:rsidRDefault="0016317E" w:rsidP="005E4A66">
      <w:pPr>
        <w:pStyle w:val="FigureDescription"/>
      </w:pPr>
      <w:r w:rsidRPr="005E4A66">
        <w:t>Values after first rescue treatment used were set to missing. Patients with missing score at each visit were considered as a non-responder.</w:t>
      </w:r>
    </w:p>
    <w:p w14:paraId="19D5D3CA" w14:textId="4111762F" w:rsidR="00A908C9" w:rsidRPr="00822968" w:rsidRDefault="00A908C9" w:rsidP="004B2847">
      <w:pPr>
        <w:pStyle w:val="Heading7"/>
        <w:rPr>
          <w:sz w:val="22"/>
          <w:szCs w:val="28"/>
          <w:lang w:eastAsia="ja-JP"/>
        </w:rPr>
      </w:pPr>
      <w:r w:rsidRPr="00822968">
        <w:rPr>
          <w:sz w:val="22"/>
          <w:szCs w:val="28"/>
          <w:lang w:eastAsia="ja-JP"/>
        </w:rPr>
        <w:t xml:space="preserve">Proportion of patients with </w:t>
      </w:r>
      <w:r w:rsidR="007F3814" w:rsidRPr="00822968">
        <w:rPr>
          <w:sz w:val="22"/>
          <w:szCs w:val="28"/>
          <w:lang w:eastAsia="ja-JP"/>
        </w:rPr>
        <w:t xml:space="preserve">75% improvement from Baseline in </w:t>
      </w:r>
      <w:r w:rsidR="00C60F99">
        <w:rPr>
          <w:sz w:val="22"/>
          <w:szCs w:val="28"/>
          <w:lang w:eastAsia="ja-JP"/>
        </w:rPr>
        <w:t>E</w:t>
      </w:r>
      <w:r w:rsidR="007F3814" w:rsidRPr="00822968">
        <w:rPr>
          <w:sz w:val="22"/>
          <w:szCs w:val="28"/>
          <w:lang w:eastAsia="ja-JP"/>
        </w:rPr>
        <w:t xml:space="preserve">czema </w:t>
      </w:r>
      <w:r w:rsidR="00C60F99">
        <w:rPr>
          <w:sz w:val="22"/>
          <w:szCs w:val="28"/>
          <w:lang w:eastAsia="ja-JP"/>
        </w:rPr>
        <w:t>A</w:t>
      </w:r>
      <w:r w:rsidR="007F3814" w:rsidRPr="00822968">
        <w:rPr>
          <w:sz w:val="22"/>
          <w:szCs w:val="28"/>
          <w:lang w:eastAsia="ja-JP"/>
        </w:rPr>
        <w:t xml:space="preserve">rea and </w:t>
      </w:r>
      <w:r w:rsidR="00C60F99">
        <w:rPr>
          <w:sz w:val="22"/>
          <w:szCs w:val="28"/>
          <w:lang w:eastAsia="ja-JP"/>
        </w:rPr>
        <w:t>S</w:t>
      </w:r>
      <w:r w:rsidR="007F3814" w:rsidRPr="00822968">
        <w:rPr>
          <w:sz w:val="22"/>
          <w:szCs w:val="28"/>
          <w:lang w:eastAsia="ja-JP"/>
        </w:rPr>
        <w:t xml:space="preserve">everity </w:t>
      </w:r>
      <w:r w:rsidR="00C60F99">
        <w:rPr>
          <w:sz w:val="22"/>
          <w:szCs w:val="28"/>
          <w:lang w:eastAsia="ja-JP"/>
        </w:rPr>
        <w:t>I</w:t>
      </w:r>
      <w:r w:rsidR="007F3814" w:rsidRPr="00822968">
        <w:rPr>
          <w:sz w:val="22"/>
          <w:szCs w:val="28"/>
          <w:lang w:eastAsia="ja-JP"/>
        </w:rPr>
        <w:t xml:space="preserve">ndex </w:t>
      </w:r>
      <w:r w:rsidRPr="00822968">
        <w:rPr>
          <w:sz w:val="22"/>
          <w:szCs w:val="28"/>
          <w:lang w:eastAsia="ja-JP"/>
        </w:rPr>
        <w:t xml:space="preserve">at </w:t>
      </w:r>
      <w:r w:rsidR="00A40E69" w:rsidRPr="00822968">
        <w:rPr>
          <w:sz w:val="22"/>
          <w:szCs w:val="28"/>
          <w:lang w:eastAsia="ja-JP"/>
        </w:rPr>
        <w:t>W</w:t>
      </w:r>
      <w:r w:rsidRPr="00822968">
        <w:rPr>
          <w:sz w:val="22"/>
          <w:szCs w:val="28"/>
          <w:lang w:eastAsia="ja-JP"/>
        </w:rPr>
        <w:t>eek 16</w:t>
      </w:r>
    </w:p>
    <w:p w14:paraId="3B2A9CA3" w14:textId="0F63B08B" w:rsidR="00A908C9" w:rsidRPr="00822968" w:rsidRDefault="00A908C9" w:rsidP="004B2847">
      <w:r w:rsidRPr="00822968">
        <w:t xml:space="preserve">The proportion was significantly greater in both the </w:t>
      </w:r>
      <w:r w:rsidR="00D4016D" w:rsidRPr="00822968">
        <w:t>once every 2 weeks</w:t>
      </w:r>
      <w:r w:rsidRPr="00822968">
        <w:t xml:space="preserve"> arm (67.2%) and the </w:t>
      </w:r>
      <w:r w:rsidR="00D4016D" w:rsidRPr="00822968">
        <w:t>once every 4 weeks</w:t>
      </w:r>
      <w:r w:rsidRPr="00822968">
        <w:t xml:space="preserve"> arm (69.7%), compared to the placebo arm (26.8%).</w:t>
      </w:r>
    </w:p>
    <w:p w14:paraId="6CC7F227" w14:textId="6A197D5A" w:rsidR="00A908C9" w:rsidRPr="00822968" w:rsidRDefault="00A908C9" w:rsidP="004B2847">
      <w:r w:rsidRPr="00822968">
        <w:t xml:space="preserve">Analyses conducted in the </w:t>
      </w:r>
      <w:bookmarkStart w:id="54" w:name="_Hlk99124388"/>
      <w:proofErr w:type="spellStart"/>
      <w:r w:rsidRPr="00822968">
        <w:t>mFAS</w:t>
      </w:r>
      <w:proofErr w:type="spellEnd"/>
      <w:r w:rsidRPr="00822968">
        <w:t xml:space="preserve"> and </w:t>
      </w:r>
      <w:r w:rsidR="00A40E69" w:rsidRPr="00822968">
        <w:t>per-protocol</w:t>
      </w:r>
      <w:r w:rsidRPr="00822968">
        <w:t xml:space="preserve"> sets </w:t>
      </w:r>
      <w:bookmarkEnd w:id="54"/>
      <w:r w:rsidRPr="00822968">
        <w:t>gave similar results. The two sensitivity analyses using alternative methods of accounting for missing data also gave similar results.</w:t>
      </w:r>
    </w:p>
    <w:p w14:paraId="62D1D756" w14:textId="2E9D0AC1" w:rsidR="00423792" w:rsidRPr="005E4A66" w:rsidRDefault="007F3814" w:rsidP="005E4A66">
      <w:pPr>
        <w:pStyle w:val="FigureTitle"/>
      </w:pPr>
      <w:r w:rsidRPr="005E4A66">
        <w:lastRenderedPageBreak/>
        <w:t xml:space="preserve">Figure </w:t>
      </w:r>
      <w:fldSimple w:instr=" SEQ Figure \* ARABIC ">
        <w:r w:rsidR="0078142B">
          <w:rPr>
            <w:noProof/>
          </w:rPr>
          <w:t>4</w:t>
        </w:r>
      </w:fldSimple>
      <w:r w:rsidRPr="005E4A66">
        <w:t xml:space="preserve">: </w:t>
      </w:r>
      <w:r w:rsidR="00A908C9" w:rsidRPr="005E4A66">
        <w:t xml:space="preserve">Study R668-AD-1652 Proportion of patients with </w:t>
      </w:r>
      <w:r w:rsidRPr="005E4A66">
        <w:t xml:space="preserve">75% improvement from Baseline in </w:t>
      </w:r>
      <w:r w:rsidR="00C60F99" w:rsidRPr="005E4A66">
        <w:t>E</w:t>
      </w:r>
      <w:r w:rsidRPr="005E4A66">
        <w:t xml:space="preserve">czema </w:t>
      </w:r>
      <w:r w:rsidR="00C60F99" w:rsidRPr="005E4A66">
        <w:t>A</w:t>
      </w:r>
      <w:r w:rsidRPr="005E4A66">
        <w:t xml:space="preserve">rea and </w:t>
      </w:r>
      <w:r w:rsidR="00C60F99" w:rsidRPr="005E4A66">
        <w:t>S</w:t>
      </w:r>
      <w:r w:rsidRPr="005E4A66">
        <w:t xml:space="preserve">everity </w:t>
      </w:r>
      <w:r w:rsidR="00C60F99" w:rsidRPr="005E4A66">
        <w:t>I</w:t>
      </w:r>
      <w:r w:rsidRPr="005E4A66">
        <w:t>ndex</w:t>
      </w:r>
      <w:r w:rsidR="00C60F99" w:rsidRPr="005E4A66">
        <w:t xml:space="preserve"> score</w:t>
      </w:r>
    </w:p>
    <w:p w14:paraId="1A96CB92" w14:textId="1BC20AF9" w:rsidR="00A908C9" w:rsidRPr="00822968" w:rsidRDefault="00423792" w:rsidP="005E4A66">
      <w:r w:rsidRPr="00822968">
        <w:rPr>
          <w:noProof/>
          <w:lang w:val="en-GB" w:eastAsia="en-GB"/>
        </w:rPr>
        <w:drawing>
          <wp:inline distT="0" distB="0" distL="0" distR="0" wp14:anchorId="38922434" wp14:editId="6DBD2748">
            <wp:extent cx="5400040" cy="4160520"/>
            <wp:effectExtent l="0" t="0" r="0" b="0"/>
            <wp:docPr id="17" name="Picture 17" descr="Figure 4: Study R668-AD-1652 Proportion of patients with 75% improvement from Baseline in Eczema Area and Severity Index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4: Study R668-AD-1652 Proportion of patients with 75% improvement from Baseline in Eczema Area and Severity Index score"/>
                    <pic:cNvPicPr/>
                  </pic:nvPicPr>
                  <pic:blipFill>
                    <a:blip r:embed="rId18"/>
                    <a:stretch>
                      <a:fillRect/>
                    </a:stretch>
                  </pic:blipFill>
                  <pic:spPr>
                    <a:xfrm>
                      <a:off x="0" y="0"/>
                      <a:ext cx="5400040" cy="4160520"/>
                    </a:xfrm>
                    <a:prstGeom prst="rect">
                      <a:avLst/>
                    </a:prstGeom>
                  </pic:spPr>
                </pic:pic>
              </a:graphicData>
            </a:graphic>
          </wp:inline>
        </w:drawing>
      </w:r>
    </w:p>
    <w:p w14:paraId="30E4398B" w14:textId="77777777" w:rsidR="00423792" w:rsidRPr="005E4A66" w:rsidRDefault="00423792" w:rsidP="005E4A66">
      <w:pPr>
        <w:pStyle w:val="FigureDescription"/>
      </w:pPr>
      <w:r w:rsidRPr="005E4A66">
        <w:t>N = population size; Q2W = once every 2 weeks; Q4W = once every 4 weeks.</w:t>
      </w:r>
    </w:p>
    <w:p w14:paraId="6FEEA2B0" w14:textId="5A9E57E2" w:rsidR="00423792" w:rsidRPr="005E4A66" w:rsidRDefault="00423792" w:rsidP="005E4A66">
      <w:pPr>
        <w:pStyle w:val="FigureDescription"/>
      </w:pPr>
      <w:r w:rsidRPr="005E4A66">
        <w:t>Values after first rescue treatment used were set to missing. Patients with missing score at each visit were considered as a non-responder.</w:t>
      </w:r>
    </w:p>
    <w:p w14:paraId="260C6E0B" w14:textId="6D7D6783" w:rsidR="00A908C9" w:rsidRPr="00822968" w:rsidRDefault="00A40E69" w:rsidP="004B2847">
      <w:pPr>
        <w:pStyle w:val="Heading6"/>
        <w:rPr>
          <w:lang w:val="en-US"/>
        </w:rPr>
      </w:pPr>
      <w:r w:rsidRPr="00822968">
        <w:rPr>
          <w:lang w:val="en-US"/>
        </w:rPr>
        <w:t>Clinical e</w:t>
      </w:r>
      <w:r w:rsidR="00A908C9" w:rsidRPr="00822968">
        <w:rPr>
          <w:lang w:val="en-US"/>
        </w:rPr>
        <w:t>valuator</w:t>
      </w:r>
      <w:r w:rsidR="005A4163">
        <w:rPr>
          <w:lang w:val="en-US"/>
        </w:rPr>
        <w:t>’s</w:t>
      </w:r>
      <w:r w:rsidR="00A908C9" w:rsidRPr="00822968">
        <w:rPr>
          <w:lang w:val="en-US"/>
        </w:rPr>
        <w:t xml:space="preserve"> conclusions</w:t>
      </w:r>
    </w:p>
    <w:p w14:paraId="45E66080" w14:textId="4C281BF6" w:rsidR="00A908C9" w:rsidRPr="00822968" w:rsidRDefault="00A908C9" w:rsidP="004B2847">
      <w:r w:rsidRPr="00822968">
        <w:t xml:space="preserve">The pivotal study </w:t>
      </w:r>
      <w:r w:rsidR="00A40E69" w:rsidRPr="00822968">
        <w:t>(</w:t>
      </w:r>
      <w:r w:rsidR="00A40E69" w:rsidRPr="00822968">
        <w:rPr>
          <w:lang w:val="en-US"/>
        </w:rPr>
        <w:t xml:space="preserve">Study R668-AD-1652) </w:t>
      </w:r>
      <w:r w:rsidRPr="00822968">
        <w:t>demonstrated statistically and clinically significant improvements in most efficacy outcomes, including the two co-primary endpoints (proportion of subjects with an IGA</w:t>
      </w:r>
      <w:r w:rsidR="003E4646">
        <w:t xml:space="preserve"> score</w:t>
      </w:r>
      <w:r w:rsidRPr="00822968">
        <w:t xml:space="preserve"> of 0 or 1, proportion of subjects with a 75% improvement in EASI score) and the key secondary endpoints (percentage change in EASI score, percentage change in worst itch score).</w:t>
      </w:r>
    </w:p>
    <w:p w14:paraId="3210E139" w14:textId="77777777" w:rsidR="00A908C9" w:rsidRPr="00822968" w:rsidRDefault="00A908C9" w:rsidP="004B2847">
      <w:r w:rsidRPr="00822968">
        <w:t>Three different dosage regimens were explored in the pivotal study. The evaluator concluded that the two proposed for registration have been adequately justified on efficacy grounds.</w:t>
      </w:r>
    </w:p>
    <w:p w14:paraId="4C9D0F90" w14:textId="77777777" w:rsidR="00A908C9" w:rsidRPr="00822968" w:rsidRDefault="00A908C9" w:rsidP="004B2847">
      <w:pPr>
        <w:pStyle w:val="Heading5"/>
        <w:rPr>
          <w:lang w:eastAsia="ja-JP"/>
        </w:rPr>
      </w:pPr>
      <w:r w:rsidRPr="00822968">
        <w:rPr>
          <w:lang w:eastAsia="ja-JP"/>
        </w:rPr>
        <w:t>Study R668-AD-1412</w:t>
      </w:r>
    </w:p>
    <w:p w14:paraId="406AE892" w14:textId="77777777" w:rsidR="00A908C9" w:rsidRPr="00822968" w:rsidRDefault="00A908C9" w:rsidP="004B2847">
      <w:r w:rsidRPr="00822968">
        <w:t>This study has previously been evaluated by the TGA and does not require further assessment.</w:t>
      </w:r>
    </w:p>
    <w:p w14:paraId="6068FA09" w14:textId="77777777" w:rsidR="00A908C9" w:rsidRPr="00822968" w:rsidRDefault="00A908C9" w:rsidP="004B2847">
      <w:pPr>
        <w:pStyle w:val="Heading5"/>
        <w:rPr>
          <w:rFonts w:eastAsia="MS Mincho"/>
          <w:lang w:eastAsia="ja-JP"/>
        </w:rPr>
      </w:pPr>
      <w:bookmarkStart w:id="55" w:name="_Ref54607779"/>
      <w:r w:rsidRPr="00822968">
        <w:rPr>
          <w:rFonts w:eastAsia="MS Mincho"/>
          <w:lang w:eastAsia="ja-JP"/>
        </w:rPr>
        <w:t>Study R668-AD-1434</w:t>
      </w:r>
      <w:bookmarkEnd w:id="55"/>
    </w:p>
    <w:p w14:paraId="364D12AC" w14:textId="53CF4631" w:rsidR="00A908C9" w:rsidRPr="00822968" w:rsidRDefault="00A908C9" w:rsidP="004B2847">
      <w:r w:rsidRPr="00822968">
        <w:t xml:space="preserve">This trial is an ongoing </w:t>
      </w:r>
      <w:r w:rsidR="001B51E6" w:rsidRPr="00822968">
        <w:t>Phase</w:t>
      </w:r>
      <w:r w:rsidRPr="00822968">
        <w:t xml:space="preserve"> </w:t>
      </w:r>
      <w:r w:rsidR="001B51E6" w:rsidRPr="00822968">
        <w:t>III</w:t>
      </w:r>
      <w:r w:rsidRPr="00822968">
        <w:t>, open</w:t>
      </w:r>
      <w:r w:rsidR="00A40E69" w:rsidRPr="00822968">
        <w:t xml:space="preserve"> </w:t>
      </w:r>
      <w:r w:rsidRPr="00822968">
        <w:t xml:space="preserve">label extension study for subjects previously enrolled in the two studies described above (the pivotal </w:t>
      </w:r>
      <w:r w:rsidR="00A40E69" w:rsidRPr="00822968">
        <w:t>S</w:t>
      </w:r>
      <w:r w:rsidRPr="00822968">
        <w:t xml:space="preserve">tudy R668-AD-1652 and the </w:t>
      </w:r>
      <w:r w:rsidR="001B51E6" w:rsidRPr="00822968">
        <w:t>Phase</w:t>
      </w:r>
      <w:r w:rsidRPr="00822968">
        <w:t xml:space="preserve"> </w:t>
      </w:r>
      <w:r w:rsidR="001B51E6" w:rsidRPr="00822968">
        <w:t>II</w:t>
      </w:r>
      <w:r w:rsidRPr="00822968">
        <w:t xml:space="preserve"> </w:t>
      </w:r>
      <w:r w:rsidR="00A40E69" w:rsidRPr="00822968">
        <w:t>S</w:t>
      </w:r>
      <w:r w:rsidRPr="00822968">
        <w:t>tudy R668-AD-1412). It enrolled both adolescent subjects (12 to &lt; 18 years) (first</w:t>
      </w:r>
      <w:r w:rsidR="00A40E69" w:rsidRPr="00822968">
        <w:t xml:space="preserve"> </w:t>
      </w:r>
      <w:r w:rsidRPr="00822968">
        <w:t xml:space="preserve">step analysis) and children (≥ 6 to &lt; 12 years) (second step analysis). However, the submitted report only presented data for the latter. It is an interim report covering the </w:t>
      </w:r>
      <w:r w:rsidR="003E4646">
        <w:t xml:space="preserve">time </w:t>
      </w:r>
      <w:r w:rsidRPr="00822968">
        <w:t>period</w:t>
      </w:r>
      <w:r w:rsidR="003E4646">
        <w:t xml:space="preserve"> of</w:t>
      </w:r>
      <w:r w:rsidRPr="00822968">
        <w:t xml:space="preserve"> 15 Oct</w:t>
      </w:r>
      <w:r w:rsidR="00A40E69" w:rsidRPr="00822968">
        <w:t>ober</w:t>
      </w:r>
      <w:r w:rsidRPr="00822968">
        <w:t xml:space="preserve"> 2015 to 22 Jul</w:t>
      </w:r>
      <w:r w:rsidR="00A40E69" w:rsidRPr="00822968">
        <w:t>y</w:t>
      </w:r>
      <w:r w:rsidRPr="00822968">
        <w:t xml:space="preserve"> 2019.</w:t>
      </w:r>
    </w:p>
    <w:p w14:paraId="45D21D70" w14:textId="32EE56C4" w:rsidR="00A908C9" w:rsidRPr="00822968" w:rsidRDefault="00A908C9" w:rsidP="004B2847">
      <w:r w:rsidRPr="00822968">
        <w:lastRenderedPageBreak/>
        <w:t>The primary objective was to assess long</w:t>
      </w:r>
      <w:r w:rsidR="007733D3" w:rsidRPr="00822968">
        <w:t xml:space="preserve"> </w:t>
      </w:r>
      <w:r w:rsidRPr="00822968">
        <w:t xml:space="preserve">term safety of dupilumab in paediatric subjects with </w:t>
      </w:r>
      <w:r w:rsidR="00F8231A" w:rsidRPr="00822968">
        <w:t>atopic dermatitis</w:t>
      </w:r>
      <w:r w:rsidRPr="00822968">
        <w:t>. Secondary objectives were to assess long</w:t>
      </w:r>
      <w:r w:rsidR="007733D3" w:rsidRPr="00822968">
        <w:t xml:space="preserve"> </w:t>
      </w:r>
      <w:r w:rsidRPr="00822968">
        <w:t>term efficacy and to assess trough concentrations and immunogenicity.</w:t>
      </w:r>
    </w:p>
    <w:p w14:paraId="28C01A12" w14:textId="77777777" w:rsidR="00A908C9" w:rsidRPr="00822968" w:rsidRDefault="00A908C9" w:rsidP="004B2847">
      <w:pPr>
        <w:pStyle w:val="Heading6"/>
        <w:rPr>
          <w:lang w:eastAsia="ja-JP"/>
        </w:rPr>
      </w:pPr>
      <w:r w:rsidRPr="00822968">
        <w:rPr>
          <w:lang w:eastAsia="ja-JP"/>
        </w:rPr>
        <w:t>Study treatments</w:t>
      </w:r>
    </w:p>
    <w:p w14:paraId="6CB4E9D8" w14:textId="77777777" w:rsidR="00A908C9" w:rsidRPr="00822968" w:rsidRDefault="00A908C9" w:rsidP="004B2847">
      <w:r w:rsidRPr="00822968">
        <w:t>All subjects were treated with dupilumab. There was no control arm.</w:t>
      </w:r>
    </w:p>
    <w:p w14:paraId="737C0458" w14:textId="4C601EEB" w:rsidR="00A908C9" w:rsidRPr="00822968" w:rsidRDefault="00A908C9" w:rsidP="004B2847">
      <w:r w:rsidRPr="00822968">
        <w:t xml:space="preserve">Under the original protocol, the only subjects eligible for enrolment were those completing the </w:t>
      </w:r>
      <w:r w:rsidR="001B51E6" w:rsidRPr="00822968">
        <w:t>Phase</w:t>
      </w:r>
      <w:r w:rsidRPr="00822968">
        <w:t xml:space="preserve"> </w:t>
      </w:r>
      <w:r w:rsidR="001B51E6" w:rsidRPr="00822968">
        <w:t>II</w:t>
      </w:r>
      <w:r w:rsidRPr="00822968">
        <w:t xml:space="preserve"> </w:t>
      </w:r>
      <w:r w:rsidR="007733D3" w:rsidRPr="00822968">
        <w:t>S</w:t>
      </w:r>
      <w:r w:rsidRPr="00822968">
        <w:t xml:space="preserve">tudy R668-AD-1412. These subjects were to be continued on their prior dose of either 2 mg/kg or 4 mg/kg </w:t>
      </w:r>
      <w:r w:rsidR="00FE0EC5" w:rsidRPr="00822968">
        <w:t>subcutaneously</w:t>
      </w:r>
      <w:r w:rsidRPr="00822968">
        <w:t xml:space="preserve"> every week.</w:t>
      </w:r>
    </w:p>
    <w:p w14:paraId="77BF8DFD" w14:textId="79F71A9F" w:rsidR="00A908C9" w:rsidRPr="00822968" w:rsidRDefault="00A908C9" w:rsidP="004B2847">
      <w:r w:rsidRPr="00822968">
        <w:t xml:space="preserve">Under a protocol amendment these subjects were switched to a regimen of 300 mg </w:t>
      </w:r>
      <w:r w:rsidR="00D4016D" w:rsidRPr="00822968">
        <w:t>once every 4 weeks</w:t>
      </w:r>
      <w:r w:rsidRPr="00822968">
        <w:t xml:space="preserve">. Any new subjects were also treated with 300 mg </w:t>
      </w:r>
      <w:r w:rsidR="00D4016D" w:rsidRPr="00822968">
        <w:t>once every 4 weeks</w:t>
      </w:r>
      <w:r w:rsidRPr="00822968">
        <w:t>.</w:t>
      </w:r>
    </w:p>
    <w:p w14:paraId="0AB72404" w14:textId="77777777" w:rsidR="00A908C9" w:rsidRPr="00822968" w:rsidRDefault="00A908C9" w:rsidP="004B2847">
      <w:pPr>
        <w:pStyle w:val="Heading6"/>
        <w:rPr>
          <w:lang w:eastAsia="ja-JP"/>
        </w:rPr>
      </w:pPr>
      <w:r w:rsidRPr="00822968">
        <w:rPr>
          <w:lang w:eastAsia="ja-JP"/>
        </w:rPr>
        <w:t>Participant flow</w:t>
      </w:r>
    </w:p>
    <w:p w14:paraId="2EED5FBB" w14:textId="705BC8A6" w:rsidR="00A908C9" w:rsidRPr="00822968" w:rsidRDefault="00A908C9" w:rsidP="004B2847">
      <w:r w:rsidRPr="00822968">
        <w:t>A total of 368 subjects aged ≥ 6 to &lt; 12 years were enrolled and treated in the study.</w:t>
      </w:r>
    </w:p>
    <w:p w14:paraId="637E5E33" w14:textId="4D1B356C" w:rsidR="00A908C9" w:rsidRPr="00822968" w:rsidRDefault="00A908C9" w:rsidP="004B2847">
      <w:r w:rsidRPr="00822968">
        <w:t xml:space="preserve">The adolescent cohort in Study R668-AD-1434 was evaluated as part of </w:t>
      </w:r>
      <w:r w:rsidR="003E4646">
        <w:t xml:space="preserve">previous submission to the TGA. </w:t>
      </w:r>
      <w:r w:rsidRPr="00822968">
        <w:t xml:space="preserve">At the time, the evaluator expressed concerns regarding the lack of </w:t>
      </w:r>
      <w:proofErr w:type="gramStart"/>
      <w:r w:rsidRPr="00822968">
        <w:t>long</w:t>
      </w:r>
      <w:r w:rsidR="007733D3" w:rsidRPr="00822968">
        <w:t xml:space="preserve"> </w:t>
      </w:r>
      <w:r w:rsidRPr="00822968">
        <w:t>term</w:t>
      </w:r>
      <w:proofErr w:type="gramEnd"/>
      <w:r w:rsidRPr="00822968">
        <w:t xml:space="preserve"> safety data and small numbers of patients, given </w:t>
      </w:r>
      <w:r w:rsidR="00F8231A" w:rsidRPr="00822968">
        <w:t>atopic dermatitis</w:t>
      </w:r>
      <w:r w:rsidRPr="00822968">
        <w:t xml:space="preserve"> is a chronic disease and long</w:t>
      </w:r>
      <w:r w:rsidR="007733D3" w:rsidRPr="00822968">
        <w:t xml:space="preserve"> </w:t>
      </w:r>
      <w:r w:rsidRPr="00822968">
        <w:t>term treatment is expected.</w:t>
      </w:r>
    </w:p>
    <w:p w14:paraId="01F0BF7F" w14:textId="27DD4B93" w:rsidR="00A908C9" w:rsidRDefault="00A908C9" w:rsidP="004B2847">
      <w:r w:rsidRPr="00822968">
        <w:t>For this cohort</w:t>
      </w:r>
      <w:r w:rsidR="000B14C7" w:rsidRPr="00822968">
        <w:t xml:space="preserve"> (that is,</w:t>
      </w:r>
      <w:r w:rsidRPr="00822968">
        <w:t xml:space="preserve"> children (≥ 6 to &lt; 12 years)</w:t>
      </w:r>
      <w:r w:rsidR="000B14C7" w:rsidRPr="00822968">
        <w:t>)</w:t>
      </w:r>
      <w:r w:rsidRPr="00822968">
        <w:t xml:space="preserve">, only 39 subjects (10.6%) had completed 52 weeks of treatment. 31 subjects (8.4%) had completed 3 years of treatment. </w:t>
      </w:r>
    </w:p>
    <w:p w14:paraId="7AF6B4BF" w14:textId="68322B68" w:rsidR="005A4163" w:rsidRPr="00822968" w:rsidRDefault="005A4163" w:rsidP="00D212CD">
      <w:pPr>
        <w:pStyle w:val="Heading6"/>
      </w:pPr>
      <w:r>
        <w:t>Clinical evaluator’s conclusions</w:t>
      </w:r>
    </w:p>
    <w:p w14:paraId="0BEF0D02" w14:textId="42C10012" w:rsidR="00A908C9" w:rsidRPr="00822968" w:rsidRDefault="00A908C9" w:rsidP="004B2847">
      <w:r w:rsidRPr="00822968">
        <w:t xml:space="preserve">In general, efficacy measures improved compared to </w:t>
      </w:r>
      <w:r w:rsidR="000B14C7" w:rsidRPr="00822968">
        <w:t>Baseline</w:t>
      </w:r>
      <w:r w:rsidRPr="00822968">
        <w:t xml:space="preserve"> (of the parent study or of the </w:t>
      </w:r>
      <w:r w:rsidR="00682576" w:rsidRPr="00822968">
        <w:t>open label extension study</w:t>
      </w:r>
      <w:r w:rsidRPr="00822968">
        <w:t>) and this improvement was maintained over time.</w:t>
      </w:r>
    </w:p>
    <w:p w14:paraId="6CD2BD19" w14:textId="6FA909FC" w:rsidR="00A908C9" w:rsidRPr="00822968" w:rsidRDefault="00A908C9" w:rsidP="004B2847">
      <w:r w:rsidRPr="00822968">
        <w:t xml:space="preserve">The </w:t>
      </w:r>
      <w:r w:rsidR="007733D3" w:rsidRPr="00822968">
        <w:t xml:space="preserve">clinical </w:t>
      </w:r>
      <w:r w:rsidRPr="00822968">
        <w:t>evaluator commented that in the draft PI the proposed long</w:t>
      </w:r>
      <w:r w:rsidR="007733D3" w:rsidRPr="00822968">
        <w:t xml:space="preserve"> </w:t>
      </w:r>
      <w:r w:rsidRPr="00822968">
        <w:t xml:space="preserve">term maintenance dose in children weighing &lt; 30 kg is 300 mg </w:t>
      </w:r>
      <w:r w:rsidR="00D4016D" w:rsidRPr="00822968">
        <w:t>once every 4 weeks</w:t>
      </w:r>
      <w:r w:rsidRPr="00822968">
        <w:t>. For children weighing 30</w:t>
      </w:r>
      <w:r w:rsidR="000B04E9">
        <w:t> </w:t>
      </w:r>
      <w:r w:rsidR="007733D3" w:rsidRPr="00822968">
        <w:t xml:space="preserve">to </w:t>
      </w:r>
      <w:r w:rsidRPr="00822968">
        <w:t>60 kg the proposed long</w:t>
      </w:r>
      <w:r w:rsidR="007733D3" w:rsidRPr="00822968">
        <w:t xml:space="preserve"> </w:t>
      </w:r>
      <w:r w:rsidRPr="00822968">
        <w:t>term maintenance dose</w:t>
      </w:r>
      <w:r w:rsidR="000B04E9">
        <w:t xml:space="preserve"> of</w:t>
      </w:r>
      <w:r w:rsidRPr="00822968">
        <w:t xml:space="preserve"> 200 mg </w:t>
      </w:r>
      <w:r w:rsidR="00D4016D" w:rsidRPr="00822968">
        <w:t>once every 2</w:t>
      </w:r>
      <w:r w:rsidR="007733D3" w:rsidRPr="00822968">
        <w:t> </w:t>
      </w:r>
      <w:r w:rsidR="00D4016D" w:rsidRPr="00822968">
        <w:t>weeks</w:t>
      </w:r>
      <w:r w:rsidRPr="00822968">
        <w:t>.</w:t>
      </w:r>
    </w:p>
    <w:p w14:paraId="6BAD61D4" w14:textId="42F1029B" w:rsidR="00A908C9" w:rsidRPr="00822968" w:rsidRDefault="00A908C9" w:rsidP="004B2847">
      <w:r w:rsidRPr="00822968">
        <w:t>The data suggest that 60% of subjects weighing 30</w:t>
      </w:r>
      <w:r w:rsidR="007733D3" w:rsidRPr="00822968">
        <w:t xml:space="preserve"> to </w:t>
      </w:r>
      <w:r w:rsidRPr="00822968">
        <w:t>60 kg did not require up</w:t>
      </w:r>
      <w:r w:rsidR="007733D3" w:rsidRPr="00822968">
        <w:t xml:space="preserve"> </w:t>
      </w:r>
      <w:r w:rsidRPr="00822968">
        <w:t>titration from the 300</w:t>
      </w:r>
      <w:r w:rsidR="007733D3" w:rsidRPr="00822968">
        <w:t xml:space="preserve"> mg</w:t>
      </w:r>
      <w:r w:rsidRPr="00822968">
        <w:t xml:space="preserve"> </w:t>
      </w:r>
      <w:r w:rsidR="00D4016D" w:rsidRPr="00822968">
        <w:t>once every 4 weeks</w:t>
      </w:r>
      <w:r w:rsidRPr="00822968">
        <w:t xml:space="preserve"> regimen. Retention of the 300</w:t>
      </w:r>
      <w:r w:rsidR="007733D3" w:rsidRPr="00822968">
        <w:t> </w:t>
      </w:r>
      <w:r w:rsidRPr="00822968">
        <w:t xml:space="preserve">mg </w:t>
      </w:r>
      <w:r w:rsidR="00D4016D" w:rsidRPr="00822968">
        <w:t>once every 4</w:t>
      </w:r>
      <w:r w:rsidR="007E5095">
        <w:t> </w:t>
      </w:r>
      <w:r w:rsidR="00D4016D" w:rsidRPr="00822968">
        <w:t>weeks</w:t>
      </w:r>
      <w:r w:rsidRPr="00822968">
        <w:t xml:space="preserve"> regimen as an option for the treatment of subjects weighing 30</w:t>
      </w:r>
      <w:r w:rsidR="007733D3" w:rsidRPr="00822968">
        <w:t xml:space="preserve"> to </w:t>
      </w:r>
      <w:r w:rsidRPr="00822968">
        <w:t>60 kg may be desirable, as frequency of injections may be an issue for some children.</w:t>
      </w:r>
    </w:p>
    <w:p w14:paraId="758EF960" w14:textId="32CC63B6" w:rsidR="00A908C9" w:rsidRPr="00822968" w:rsidRDefault="00A908C9" w:rsidP="004B2847">
      <w:r w:rsidRPr="00822968">
        <w:t xml:space="preserve">The clinical evaluator noted that available systemic therapies such as immunosuppressant agents are associated with significant toxicities, that the submitted data demonstrated clinically significant efficacy with limited toxicity. The major adverse effects were conjunctivitis and injection site </w:t>
      </w:r>
      <w:r w:rsidR="00CC3944" w:rsidRPr="00822968">
        <w:t>adverse events (</w:t>
      </w:r>
      <w:r w:rsidRPr="00822968">
        <w:t>AEs</w:t>
      </w:r>
      <w:r w:rsidR="00CC3944" w:rsidRPr="00822968">
        <w:t>)</w:t>
      </w:r>
      <w:r w:rsidRPr="00822968">
        <w:t xml:space="preserve"> which were not generally severe. The evaluator considered that the overall benefit-risk balance for dupilumab in children aged 6 to &lt;</w:t>
      </w:r>
      <w:r w:rsidR="007733D3" w:rsidRPr="00822968">
        <w:t xml:space="preserve"> </w:t>
      </w:r>
      <w:r w:rsidRPr="00822968">
        <w:t xml:space="preserve">12 years with </w:t>
      </w:r>
      <w:r w:rsidR="00F8231A" w:rsidRPr="00822968">
        <w:t>atopic dermatitis</w:t>
      </w:r>
      <w:r w:rsidRPr="00822968">
        <w:t xml:space="preserve"> was favourable.</w:t>
      </w:r>
    </w:p>
    <w:p w14:paraId="0901BF5B" w14:textId="77777777" w:rsidR="00A908C9" w:rsidRPr="00822968" w:rsidRDefault="00A908C9" w:rsidP="004B2847">
      <w:pPr>
        <w:pStyle w:val="Heading4"/>
      </w:pPr>
      <w:r w:rsidRPr="00822968">
        <w:t>Safety</w:t>
      </w:r>
    </w:p>
    <w:p w14:paraId="2316B3B1" w14:textId="54D2B1E5" w:rsidR="00A908C9" w:rsidRPr="00822968" w:rsidRDefault="00CC3944" w:rsidP="004B2847">
      <w:pPr>
        <w:pStyle w:val="Heading5"/>
      </w:pPr>
      <w:r w:rsidRPr="00822968">
        <w:t>Chronic rhinosinusitis with nasal polyposis</w:t>
      </w:r>
      <w:r w:rsidR="005A4163">
        <w:t xml:space="preserve"> (new indication)</w:t>
      </w:r>
    </w:p>
    <w:p w14:paraId="38F85888" w14:textId="49C49A59" w:rsidR="00A908C9" w:rsidRPr="00822968" w:rsidRDefault="00A908C9" w:rsidP="004B2847">
      <w:r w:rsidRPr="00822968">
        <w:t>The three submitted studies in CRSwNP included a total of 470 subjects treated with dupilumab and 312 subjects treated with placebo. Of the 470 dupilumab</w:t>
      </w:r>
      <w:r w:rsidR="007733D3" w:rsidRPr="00822968">
        <w:t xml:space="preserve"> </w:t>
      </w:r>
      <w:r w:rsidRPr="00822968">
        <w:t xml:space="preserve">treated subjects, 440 were randomised to treatment with the proposed regimen of 300 mg </w:t>
      </w:r>
      <w:r w:rsidR="00D4016D" w:rsidRPr="00822968">
        <w:t>once every 2</w:t>
      </w:r>
      <w:r w:rsidR="007733D3" w:rsidRPr="00822968">
        <w:t> </w:t>
      </w:r>
      <w:r w:rsidR="00D4016D" w:rsidRPr="00822968">
        <w:t>weeks</w:t>
      </w:r>
      <w:r w:rsidRPr="00822968">
        <w:t xml:space="preserve"> for periods of up to 24 weeks. A total of 149 subjects were randomised to treatment with this regimen for periods up to 52 weeks.</w:t>
      </w:r>
    </w:p>
    <w:p w14:paraId="2A691AF8" w14:textId="4E191FE8" w:rsidR="00A908C9" w:rsidRPr="00822968" w:rsidRDefault="00A908C9" w:rsidP="004B2847">
      <w:r w:rsidRPr="00822968">
        <w:t>Generally, dupilumab treatment was associated with a slightly lower incidence of AEs, serious AEs and discontinuations due to AEs than placebo treatment. This finding was attributable to a lower incidence of disease</w:t>
      </w:r>
      <w:r w:rsidR="007733D3" w:rsidRPr="00822968">
        <w:t xml:space="preserve"> </w:t>
      </w:r>
      <w:r w:rsidRPr="00822968">
        <w:t>related AEs (</w:t>
      </w:r>
      <w:r w:rsidR="004E115B" w:rsidRPr="00822968">
        <w:t>for example,</w:t>
      </w:r>
      <w:r w:rsidRPr="00822968">
        <w:t xml:space="preserve"> nasal polyps, acute </w:t>
      </w:r>
      <w:r w:rsidRPr="00822968">
        <w:lastRenderedPageBreak/>
        <w:t>sinusitis, upper-respiratory tract infection, nasal congestion) and AEs related to concomitant type 2 inflammatory disorders (asthma).</w:t>
      </w:r>
    </w:p>
    <w:p w14:paraId="1D3C7376" w14:textId="1102B71C" w:rsidR="00A908C9" w:rsidRPr="00822968" w:rsidRDefault="00A908C9" w:rsidP="004B2847">
      <w:r w:rsidRPr="00822968">
        <w:t>Eosinophilia related events, particularly in association with cessation of oral steroids were observed and have been identified previously with dupilumab. Arthralgias and hypertension were AE terms reported more frequently with dupilumab treatment in the pivotal studies. Other AEs were not consistently more frequent in the dupilumab arms of the submitted studies.</w:t>
      </w:r>
    </w:p>
    <w:p w14:paraId="332647C4" w14:textId="4D3F2076" w:rsidR="00A908C9" w:rsidRPr="00822968" w:rsidRDefault="005A4163" w:rsidP="004B2847">
      <w:pPr>
        <w:pStyle w:val="Heading5"/>
      </w:pPr>
      <w:r>
        <w:t>A</w:t>
      </w:r>
      <w:r w:rsidR="00F8231A" w:rsidRPr="00822968">
        <w:t>topic dermatitis</w:t>
      </w:r>
      <w:r>
        <w:t xml:space="preserve"> (</w:t>
      </w:r>
      <w:r>
        <w:rPr>
          <w:lang w:val="en-US"/>
        </w:rPr>
        <w:t>e</w:t>
      </w:r>
      <w:r w:rsidRPr="00822968">
        <w:rPr>
          <w:lang w:val="en-US"/>
        </w:rPr>
        <w:t>x</w:t>
      </w:r>
      <w:r>
        <w:rPr>
          <w:lang w:val="en-US"/>
        </w:rPr>
        <w:t xml:space="preserve">tension of existing indication </w:t>
      </w:r>
      <w:r w:rsidRPr="00822968">
        <w:rPr>
          <w:lang w:val="en-US"/>
        </w:rPr>
        <w:t>to include children aged 6 to 11 years</w:t>
      </w:r>
      <w:r>
        <w:rPr>
          <w:lang w:val="en-US"/>
        </w:rPr>
        <w:t>)</w:t>
      </w:r>
    </w:p>
    <w:p w14:paraId="5E9BF222" w14:textId="09CD209E" w:rsidR="00A908C9" w:rsidRPr="00822968" w:rsidRDefault="00A908C9" w:rsidP="00F22A0C">
      <w:r w:rsidRPr="00822968">
        <w:t xml:space="preserve">The safety of dupilumab with concomitant </w:t>
      </w:r>
      <w:r w:rsidR="0057358C" w:rsidRPr="00822968">
        <w:rPr>
          <w:lang w:val="en-US"/>
        </w:rPr>
        <w:t>topical corticosteroid</w:t>
      </w:r>
      <w:r w:rsidRPr="00822968">
        <w:t xml:space="preserve"> was assessed in 367</w:t>
      </w:r>
      <w:r w:rsidR="005A4163">
        <w:t> </w:t>
      </w:r>
      <w:r w:rsidRPr="00822968">
        <w:t>subjects aged 6 to 11 years with severe atopic dermatitis. The safety was similar to the safety profile seen in adults and adolescents with atopic dermatitis.</w:t>
      </w:r>
    </w:p>
    <w:p w14:paraId="14C7FCA5" w14:textId="4F8742F8" w:rsidR="00A908C9" w:rsidRPr="00822968" w:rsidRDefault="00A908C9" w:rsidP="00F22A0C">
      <w:r w:rsidRPr="00822968">
        <w:t>No new safety signals were apparent from the submitted studies.</w:t>
      </w:r>
    </w:p>
    <w:p w14:paraId="5734075A" w14:textId="7A754793" w:rsidR="00A908C9" w:rsidRPr="00822968" w:rsidRDefault="00A908C9" w:rsidP="00F22A0C">
      <w:pPr>
        <w:pStyle w:val="Heading5"/>
      </w:pPr>
      <w:r w:rsidRPr="00822968">
        <w:t>Safety conclusions</w:t>
      </w:r>
      <w:r w:rsidR="007504CD">
        <w:t xml:space="preserve"> (</w:t>
      </w:r>
      <w:r w:rsidR="007504CD" w:rsidRPr="007504CD">
        <w:t>Study LTS12551</w:t>
      </w:r>
      <w:r w:rsidR="007504CD">
        <w:t>)</w:t>
      </w:r>
    </w:p>
    <w:p w14:paraId="020AF77E" w14:textId="614D77CB" w:rsidR="00A908C9" w:rsidRPr="00822968" w:rsidRDefault="0008523B" w:rsidP="00F22A0C">
      <w:r w:rsidRPr="0008523B">
        <w:t>Study LTS12551</w:t>
      </w:r>
      <w:r>
        <w:t xml:space="preserve"> (</w:t>
      </w:r>
      <w:r w:rsidR="00A74246">
        <w:t>t</w:t>
      </w:r>
      <w:r w:rsidR="00A908C9" w:rsidRPr="00822968">
        <w:t xml:space="preserve">he TRAVERSE </w:t>
      </w:r>
      <w:r w:rsidR="007733D3" w:rsidRPr="00822968">
        <w:t>trial</w:t>
      </w:r>
      <w:r>
        <w:t>)</w:t>
      </w:r>
      <w:r w:rsidR="00A908C9" w:rsidRPr="00822968">
        <w:t xml:space="preserve"> provided long</w:t>
      </w:r>
      <w:r w:rsidR="007733D3" w:rsidRPr="00822968">
        <w:t xml:space="preserve"> </w:t>
      </w:r>
      <w:r w:rsidR="00A908C9" w:rsidRPr="00822968">
        <w:t>term safety data on a total of 2,282</w:t>
      </w:r>
      <w:r w:rsidR="00A74246">
        <w:t> </w:t>
      </w:r>
      <w:r w:rsidR="00A908C9" w:rsidRPr="00822968">
        <w:t xml:space="preserve">subjects with asthma who had previously been enrolled in other dupilumab trials. The dose used in the study (300 mg </w:t>
      </w:r>
      <w:r w:rsidR="00D4016D" w:rsidRPr="00822968">
        <w:t>once every 2 weeks</w:t>
      </w:r>
      <w:r w:rsidR="00A908C9" w:rsidRPr="00822968">
        <w:t>) was higher than that approved for most asthma subjects in Australia.</w:t>
      </w:r>
    </w:p>
    <w:p w14:paraId="79C5508C" w14:textId="73F9993C" w:rsidR="00A908C9" w:rsidRPr="00822968" w:rsidRDefault="00A908C9" w:rsidP="00F22A0C">
      <w:r w:rsidRPr="00822968">
        <w:t>The majority of the subjects (2,062 of 2,282</w:t>
      </w:r>
      <w:r w:rsidR="009D47CF" w:rsidRPr="00822968">
        <w:t>, that is</w:t>
      </w:r>
      <w:r w:rsidRPr="00822968">
        <w:t xml:space="preserve"> 90%) were previously enrolled in </w:t>
      </w:r>
      <w:r w:rsidR="007733D3" w:rsidRPr="00822968">
        <w:t>S</w:t>
      </w:r>
      <w:r w:rsidRPr="00822968">
        <w:t>tudies DRI12544 and EFC13579. In this subgroup, mean duration of treatment was 73.8</w:t>
      </w:r>
      <w:r w:rsidR="00A74246">
        <w:t> </w:t>
      </w:r>
      <w:r w:rsidRPr="00822968">
        <w:t>weeks. Mean duration of treatment was somewhat less in subjects enrolled from the other studies.</w:t>
      </w:r>
    </w:p>
    <w:p w14:paraId="21AFF869" w14:textId="77777777" w:rsidR="00A908C9" w:rsidRPr="00822968" w:rsidRDefault="00A908C9" w:rsidP="00F22A0C">
      <w:r w:rsidRPr="00822968">
        <w:t>In total, 1,906 subjects were treated for at least 48 weeks and 923 subjects were treated for at least 96 weeks. There was no control group in the study.</w:t>
      </w:r>
    </w:p>
    <w:p w14:paraId="76D98DC3" w14:textId="7B0001CD" w:rsidR="00A908C9" w:rsidRPr="00822968" w:rsidRDefault="00A908C9" w:rsidP="00F22A0C">
      <w:r w:rsidRPr="00822968">
        <w:t xml:space="preserve">The pattern of </w:t>
      </w:r>
      <w:r w:rsidR="00CC3944" w:rsidRPr="00822968">
        <w:t>AEs</w:t>
      </w:r>
      <w:r w:rsidRPr="00822968">
        <w:t xml:space="preserve"> and laboratory abnormalities observed during the study was generally consistent with that previously described for dupilumab. No new safety issues were identified.</w:t>
      </w:r>
    </w:p>
    <w:p w14:paraId="132065D5" w14:textId="50ED72FC" w:rsidR="00A908C9" w:rsidRPr="00822968" w:rsidRDefault="00A908C9" w:rsidP="00F22A0C">
      <w:r w:rsidRPr="00822968">
        <w:t>Serious AEs were observed in approximately 10</w:t>
      </w:r>
      <w:r w:rsidR="007733D3" w:rsidRPr="00822968">
        <w:t xml:space="preserve">% to </w:t>
      </w:r>
      <w:r w:rsidRPr="00822968">
        <w:t>12% of subjects. Discontinuation of treatment due to AEs was uncommon, with an incidence of approximately 3.4% overall.</w:t>
      </w:r>
    </w:p>
    <w:p w14:paraId="5CEF56BF" w14:textId="65560309" w:rsidR="00A908C9" w:rsidRPr="00822968" w:rsidRDefault="00A908C9" w:rsidP="00F22A0C">
      <w:r w:rsidRPr="00822968">
        <w:t xml:space="preserve">Dupilumab treatment has previously been associated with conjunctivitis, hypersensitivity events including anaphylaxis, injection site AEs, eosinophilia and possibly with eosinophilic conditions such as </w:t>
      </w:r>
      <w:r w:rsidR="007733D3" w:rsidRPr="00822968">
        <w:t>e</w:t>
      </w:r>
      <w:r w:rsidRPr="00822968">
        <w:t>osinophilic granulomatosis with polyangiitis. These AEs were observed during the open label extension study.</w:t>
      </w:r>
    </w:p>
    <w:p w14:paraId="64DFCA55" w14:textId="428B2B41" w:rsidR="00A908C9" w:rsidRPr="00822968" w:rsidRDefault="00A908C9" w:rsidP="00F22A0C">
      <w:r w:rsidRPr="00822968">
        <w:t>Approximately 3</w:t>
      </w:r>
      <w:r w:rsidR="007733D3" w:rsidRPr="00822968">
        <w:t xml:space="preserve">% to </w:t>
      </w:r>
      <w:r w:rsidRPr="00822968">
        <w:t>8% of subjects developed anti-drug antibodies (ADA). The development of high titre ADA, which occurred in up to 1.6% of subjects, was associated with reduced dupilumab concentrations and decreased efficacy in some subjects. ADA were not associated with any apparent safety concerns.</w:t>
      </w:r>
    </w:p>
    <w:p w14:paraId="7861FCC3" w14:textId="7054829C" w:rsidR="00A908C9" w:rsidRPr="00822968" w:rsidRDefault="00A908C9" w:rsidP="00F22A0C">
      <w:r w:rsidRPr="00822968">
        <w:t xml:space="preserve">The </w:t>
      </w:r>
      <w:r w:rsidR="007733D3" w:rsidRPr="00822968">
        <w:t>clinical e</w:t>
      </w:r>
      <w:r w:rsidRPr="00822968">
        <w:t>valuator was of the opinion that the study provided adequate evidence that long</w:t>
      </w:r>
      <w:r w:rsidR="007733D3" w:rsidRPr="00822968">
        <w:t xml:space="preserve"> </w:t>
      </w:r>
      <w:r w:rsidRPr="00822968">
        <w:t xml:space="preserve">term administration of dupilumab had an acceptable safety profile. The revised </w:t>
      </w:r>
      <w:r w:rsidR="007733D3" w:rsidRPr="00822968">
        <w:t xml:space="preserve">PI </w:t>
      </w:r>
      <w:r w:rsidRPr="00822968">
        <w:t>was deemed acceptable.</w:t>
      </w:r>
    </w:p>
    <w:p w14:paraId="2539B00E" w14:textId="77777777" w:rsidR="008E7846" w:rsidRPr="00822968" w:rsidRDefault="00386150" w:rsidP="007B6132">
      <w:pPr>
        <w:pStyle w:val="Heading3"/>
        <w:rPr>
          <w:lang w:eastAsia="en-AU"/>
        </w:rPr>
      </w:pPr>
      <w:bookmarkStart w:id="56" w:name="_Toc101954630"/>
      <w:r w:rsidRPr="00822968">
        <w:rPr>
          <w:lang w:eastAsia="en-AU"/>
        </w:rPr>
        <w:t>Risk m</w:t>
      </w:r>
      <w:r w:rsidR="008E7846" w:rsidRPr="00822968">
        <w:rPr>
          <w:lang w:eastAsia="en-AU"/>
        </w:rPr>
        <w:t xml:space="preserve">anagement </w:t>
      </w:r>
      <w:r w:rsidRPr="00822968">
        <w:rPr>
          <w:lang w:eastAsia="en-AU"/>
        </w:rPr>
        <w:t>p</w:t>
      </w:r>
      <w:r w:rsidR="008E7846" w:rsidRPr="00822968">
        <w:rPr>
          <w:lang w:eastAsia="en-AU"/>
        </w:rPr>
        <w:t>lan</w:t>
      </w:r>
      <w:bookmarkEnd w:id="45"/>
      <w:bookmarkEnd w:id="56"/>
    </w:p>
    <w:p w14:paraId="4CA9A424" w14:textId="205A4965" w:rsidR="00A908C9" w:rsidRPr="00822968" w:rsidRDefault="00A908C9" w:rsidP="00F127FA">
      <w:r w:rsidRPr="00822968">
        <w:t>The most recently evaluated EU-</w:t>
      </w:r>
      <w:r w:rsidR="007733D3" w:rsidRPr="00822968">
        <w:t>risk management plan (</w:t>
      </w:r>
      <w:r w:rsidRPr="00822968">
        <w:t>RMP</w:t>
      </w:r>
      <w:r w:rsidR="007733D3" w:rsidRPr="00822968">
        <w:t>)</w:t>
      </w:r>
      <w:r w:rsidRPr="00822968">
        <w:t xml:space="preserve"> was version 3.0 (28</w:t>
      </w:r>
      <w:r w:rsidR="00A74246">
        <w:t> </w:t>
      </w:r>
      <w:r w:rsidRPr="00822968">
        <w:t>Sept</w:t>
      </w:r>
      <w:r w:rsidR="007733D3" w:rsidRPr="00822968">
        <w:t>ember</w:t>
      </w:r>
      <w:r w:rsidRPr="00822968">
        <w:t xml:space="preserve"> 2018; </w:t>
      </w:r>
      <w:r w:rsidR="007733D3" w:rsidRPr="00822968">
        <w:t>data lock point (</w:t>
      </w:r>
      <w:r w:rsidRPr="00822968">
        <w:t>DLP</w:t>
      </w:r>
      <w:r w:rsidR="007733D3" w:rsidRPr="00822968">
        <w:t>)</w:t>
      </w:r>
      <w:r w:rsidRPr="00822968">
        <w:t xml:space="preserve"> 21 April 2018) and </w:t>
      </w:r>
      <w:r w:rsidR="007733D3" w:rsidRPr="00822968">
        <w:t>Australia specific annex (</w:t>
      </w:r>
      <w:r w:rsidRPr="00822968">
        <w:t>ASA</w:t>
      </w:r>
      <w:r w:rsidR="007733D3" w:rsidRPr="00822968">
        <w:t>)</w:t>
      </w:r>
      <w:r w:rsidRPr="00822968">
        <w:t xml:space="preserve"> version 3.0 (Nov</w:t>
      </w:r>
      <w:r w:rsidR="007733D3" w:rsidRPr="00822968">
        <w:t>ember</w:t>
      </w:r>
      <w:r w:rsidRPr="00822968">
        <w:t xml:space="preserve"> 2018). The sponsor has submitted ASA version 5.0 (30</w:t>
      </w:r>
      <w:r w:rsidR="00A74246">
        <w:t> </w:t>
      </w:r>
      <w:r w:rsidRPr="00822968">
        <w:t>April</w:t>
      </w:r>
      <w:r w:rsidR="00A74246">
        <w:t> </w:t>
      </w:r>
      <w:r w:rsidRPr="00822968">
        <w:t>2021) and unapproved EU</w:t>
      </w:r>
      <w:r w:rsidR="007733D3" w:rsidRPr="00822968">
        <w:t>-</w:t>
      </w:r>
      <w:r w:rsidRPr="00822968">
        <w:t>RMP version 6.0 (15 February 2021; DLP 28</w:t>
      </w:r>
      <w:r w:rsidR="00A74246">
        <w:t> </w:t>
      </w:r>
      <w:r w:rsidRPr="00822968">
        <w:t>Sep</w:t>
      </w:r>
      <w:r w:rsidR="00A74246">
        <w:t>t</w:t>
      </w:r>
      <w:r w:rsidR="007733D3" w:rsidRPr="00822968">
        <w:t>ember</w:t>
      </w:r>
      <w:r w:rsidRPr="00822968">
        <w:t xml:space="preserve"> 2020) as part of </w:t>
      </w:r>
      <w:r w:rsidR="00A74246">
        <w:t>another submission to the TGA</w:t>
      </w:r>
      <w:r w:rsidRPr="00822968">
        <w:t xml:space="preserve">. As no RMP evaluation is </w:t>
      </w:r>
      <w:r w:rsidRPr="00822968">
        <w:lastRenderedPageBreak/>
        <w:t xml:space="preserve">required for </w:t>
      </w:r>
      <w:r w:rsidR="00A74246">
        <w:t>this other submission</w:t>
      </w:r>
      <w:r w:rsidRPr="00822968">
        <w:t xml:space="preserve"> these latest EU-RMP and ASA versions will be evaluated in this submission.</w:t>
      </w:r>
    </w:p>
    <w:p w14:paraId="482A36C1" w14:textId="57AE694B" w:rsidR="007D53B6" w:rsidRPr="00822968" w:rsidRDefault="007D53B6" w:rsidP="007D53B6">
      <w:r w:rsidRPr="00822968">
        <w:t xml:space="preserve">The summary of safety concerns and their associated risk monitoring and mitigation strategies are summarised in </w:t>
      </w:r>
      <w:r w:rsidR="007733D3" w:rsidRPr="00822968">
        <w:fldChar w:fldCharType="begin"/>
      </w:r>
      <w:r w:rsidR="007733D3" w:rsidRPr="00822968">
        <w:instrText xml:space="preserve"> REF _Ref99125224 \h </w:instrText>
      </w:r>
      <w:r w:rsidR="00822968">
        <w:instrText xml:space="preserve"> \* MERGEFORMAT </w:instrText>
      </w:r>
      <w:r w:rsidR="007733D3" w:rsidRPr="00822968">
        <w:fldChar w:fldCharType="separate"/>
      </w:r>
      <w:r w:rsidR="0078142B" w:rsidRPr="005E4A66">
        <w:t xml:space="preserve">Table </w:t>
      </w:r>
      <w:r w:rsidR="0078142B">
        <w:rPr>
          <w:noProof/>
        </w:rPr>
        <w:t>3</w:t>
      </w:r>
      <w:r w:rsidR="007733D3" w:rsidRPr="00822968">
        <w:fldChar w:fldCharType="end"/>
      </w:r>
      <w:r w:rsidRPr="00822968">
        <w:t>.</w:t>
      </w:r>
      <w:r w:rsidRPr="00822968">
        <w:rPr>
          <w:rStyle w:val="FootnoteReference"/>
        </w:rPr>
        <w:footnoteReference w:id="22"/>
      </w:r>
    </w:p>
    <w:p w14:paraId="53F7ADAA" w14:textId="4ED8A762" w:rsidR="008A6D44" w:rsidRPr="005E4A66" w:rsidRDefault="008A6D44" w:rsidP="00AC05D8">
      <w:pPr>
        <w:pStyle w:val="TableTitle"/>
      </w:pPr>
      <w:bookmarkStart w:id="57" w:name="_Ref99125224"/>
      <w:r w:rsidRPr="005E4A66">
        <w:t xml:space="preserve">Table </w:t>
      </w:r>
      <w:fldSimple w:instr=" SEQ Table \* ARABIC ">
        <w:r w:rsidR="0078142B">
          <w:rPr>
            <w:noProof/>
          </w:rPr>
          <w:t>3</w:t>
        </w:r>
      </w:fldSimple>
      <w:bookmarkEnd w:id="57"/>
      <w:r w:rsidRPr="005E4A66">
        <w:t xml:space="preserve">: </w:t>
      </w:r>
      <w:r w:rsidR="007733D3" w:rsidRPr="005E4A66">
        <w:t>S</w:t>
      </w:r>
      <w:r w:rsidRPr="005E4A66">
        <w:t>ummary of safety concerns</w:t>
      </w:r>
    </w:p>
    <w:tbl>
      <w:tblPr>
        <w:tblStyle w:val="TableTGAblue"/>
        <w:tblW w:w="8185" w:type="dxa"/>
        <w:tblLayout w:type="fixed"/>
        <w:tblLook w:val="04A0" w:firstRow="1" w:lastRow="0" w:firstColumn="1" w:lastColumn="0" w:noHBand="0" w:noVBand="1"/>
      </w:tblPr>
      <w:tblGrid>
        <w:gridCol w:w="1345"/>
        <w:gridCol w:w="2610"/>
        <w:gridCol w:w="990"/>
        <w:gridCol w:w="1170"/>
        <w:gridCol w:w="900"/>
        <w:gridCol w:w="1170"/>
      </w:tblGrid>
      <w:tr w:rsidR="008A6D44" w:rsidRPr="00822968" w14:paraId="03170E69" w14:textId="77777777" w:rsidTr="00D212CD">
        <w:trPr>
          <w:cnfStyle w:val="100000000000" w:firstRow="1" w:lastRow="0" w:firstColumn="0" w:lastColumn="0" w:oddVBand="0" w:evenVBand="0" w:oddHBand="0" w:evenHBand="0" w:firstRowFirstColumn="0" w:firstRowLastColumn="0" w:lastRowFirstColumn="0" w:lastRowLastColumn="0"/>
          <w:trHeight w:val="131"/>
        </w:trPr>
        <w:tc>
          <w:tcPr>
            <w:tcW w:w="3955" w:type="dxa"/>
            <w:gridSpan w:val="2"/>
            <w:vMerge w:val="restart"/>
            <w:tcBorders>
              <w:top w:val="single" w:sz="4" w:space="0" w:color="auto"/>
              <w:left w:val="single" w:sz="4" w:space="0" w:color="auto"/>
              <w:bottom w:val="single" w:sz="4" w:space="0" w:color="auto"/>
              <w:right w:val="single" w:sz="4" w:space="0" w:color="auto"/>
            </w:tcBorders>
          </w:tcPr>
          <w:p w14:paraId="5FCE42B3" w14:textId="77777777" w:rsidR="008A6D44" w:rsidRPr="00822968" w:rsidRDefault="008A6D44" w:rsidP="008A6D44">
            <w:pPr>
              <w:pStyle w:val="Tabletext"/>
              <w:spacing w:line="276" w:lineRule="auto"/>
              <w:ind w:left="0" w:right="0"/>
              <w:rPr>
                <w:b w:val="0"/>
              </w:rPr>
            </w:pPr>
            <w:r w:rsidRPr="00822968">
              <w:t>Summary of safety concerns</w:t>
            </w:r>
          </w:p>
        </w:tc>
        <w:tc>
          <w:tcPr>
            <w:tcW w:w="2160" w:type="dxa"/>
            <w:gridSpan w:val="2"/>
            <w:tcBorders>
              <w:top w:val="single" w:sz="4" w:space="0" w:color="auto"/>
              <w:left w:val="single" w:sz="4" w:space="0" w:color="auto"/>
              <w:bottom w:val="single" w:sz="4" w:space="0" w:color="auto"/>
              <w:right w:val="single" w:sz="4" w:space="0" w:color="auto"/>
            </w:tcBorders>
          </w:tcPr>
          <w:p w14:paraId="06E1B51B" w14:textId="77777777" w:rsidR="008A6D44" w:rsidRPr="00822968" w:rsidRDefault="008A6D44" w:rsidP="008A6D44">
            <w:pPr>
              <w:pStyle w:val="Tabletext"/>
              <w:spacing w:line="276" w:lineRule="auto"/>
              <w:ind w:left="0" w:right="0"/>
              <w:rPr>
                <w:b w:val="0"/>
                <w:sz w:val="18"/>
              </w:rPr>
            </w:pPr>
            <w:r w:rsidRPr="00822968">
              <w:rPr>
                <w:sz w:val="18"/>
              </w:rPr>
              <w:t>Pharmacovigilance</w:t>
            </w:r>
          </w:p>
        </w:tc>
        <w:tc>
          <w:tcPr>
            <w:tcW w:w="2070" w:type="dxa"/>
            <w:gridSpan w:val="2"/>
            <w:tcBorders>
              <w:top w:val="single" w:sz="4" w:space="0" w:color="auto"/>
              <w:left w:val="single" w:sz="4" w:space="0" w:color="auto"/>
              <w:bottom w:val="single" w:sz="4" w:space="0" w:color="auto"/>
              <w:right w:val="single" w:sz="4" w:space="0" w:color="auto"/>
            </w:tcBorders>
          </w:tcPr>
          <w:p w14:paraId="1BED8BC0" w14:textId="2CE8688C" w:rsidR="008A6D44" w:rsidRPr="00822968" w:rsidRDefault="008A6D44" w:rsidP="008A6D44">
            <w:pPr>
              <w:pStyle w:val="Tabletext"/>
              <w:spacing w:line="276" w:lineRule="auto"/>
              <w:ind w:left="0" w:right="0"/>
              <w:rPr>
                <w:b w:val="0"/>
                <w:sz w:val="18"/>
              </w:rPr>
            </w:pPr>
            <w:r w:rsidRPr="00822968">
              <w:rPr>
                <w:sz w:val="18"/>
              </w:rPr>
              <w:t xml:space="preserve">Risk </w:t>
            </w:r>
            <w:r w:rsidR="00817B09" w:rsidRPr="00822968">
              <w:rPr>
                <w:sz w:val="18"/>
              </w:rPr>
              <w:t>m</w:t>
            </w:r>
            <w:r w:rsidRPr="00822968">
              <w:rPr>
                <w:sz w:val="18"/>
              </w:rPr>
              <w:t>inimisation</w:t>
            </w:r>
          </w:p>
        </w:tc>
      </w:tr>
      <w:tr w:rsidR="008A6D44" w:rsidRPr="00822968" w14:paraId="156A819F" w14:textId="77777777" w:rsidTr="00D212CD">
        <w:trPr>
          <w:trHeight w:val="150"/>
        </w:trPr>
        <w:tc>
          <w:tcPr>
            <w:tcW w:w="3955" w:type="dxa"/>
            <w:gridSpan w:val="2"/>
            <w:vMerge/>
            <w:tcBorders>
              <w:top w:val="single" w:sz="4" w:space="0" w:color="auto"/>
              <w:left w:val="single" w:sz="4" w:space="0" w:color="auto"/>
              <w:bottom w:val="single" w:sz="4" w:space="0" w:color="auto"/>
              <w:right w:val="single" w:sz="4" w:space="0" w:color="auto"/>
            </w:tcBorders>
            <w:shd w:val="clear" w:color="auto" w:fill="006DA7"/>
          </w:tcPr>
          <w:p w14:paraId="26907477" w14:textId="77777777" w:rsidR="008A6D44" w:rsidRPr="00822968" w:rsidRDefault="008A6D44" w:rsidP="008A6D44">
            <w:pPr>
              <w:pStyle w:val="Tabletext"/>
              <w:spacing w:line="276" w:lineRule="auto"/>
              <w:ind w:left="0" w:right="0"/>
              <w:rPr>
                <w:b/>
              </w:rPr>
            </w:pPr>
          </w:p>
        </w:tc>
        <w:tc>
          <w:tcPr>
            <w:tcW w:w="990" w:type="dxa"/>
            <w:tcBorders>
              <w:top w:val="single" w:sz="4" w:space="0" w:color="auto"/>
              <w:left w:val="single" w:sz="4" w:space="0" w:color="auto"/>
              <w:bottom w:val="single" w:sz="4" w:space="0" w:color="auto"/>
              <w:right w:val="single" w:sz="4" w:space="0" w:color="auto"/>
            </w:tcBorders>
            <w:shd w:val="clear" w:color="auto" w:fill="006DA7"/>
          </w:tcPr>
          <w:p w14:paraId="0ED0B40E" w14:textId="77777777" w:rsidR="008A6D44" w:rsidRPr="00822968" w:rsidRDefault="008A6D44" w:rsidP="008A6D44">
            <w:pPr>
              <w:pStyle w:val="Tabletext"/>
              <w:spacing w:line="276" w:lineRule="auto"/>
              <w:ind w:left="0" w:right="0"/>
              <w:rPr>
                <w:b/>
                <w:bCs/>
                <w:color w:val="FFFFFF" w:themeColor="background1"/>
                <w:sz w:val="18"/>
              </w:rPr>
            </w:pPr>
            <w:r w:rsidRPr="00822968">
              <w:rPr>
                <w:b/>
                <w:bCs/>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779837C0" w14:textId="77777777" w:rsidR="008A6D44" w:rsidRPr="00822968" w:rsidRDefault="008A6D44" w:rsidP="008A6D44">
            <w:pPr>
              <w:pStyle w:val="Tabletext"/>
              <w:spacing w:line="276" w:lineRule="auto"/>
              <w:ind w:left="0" w:right="0"/>
              <w:rPr>
                <w:b/>
                <w:bCs/>
                <w:color w:val="FFFFFF" w:themeColor="background1"/>
                <w:sz w:val="18"/>
              </w:rPr>
            </w:pPr>
            <w:r w:rsidRPr="00822968">
              <w:rPr>
                <w:b/>
                <w:bCs/>
                <w:color w:val="FFFFFF" w:themeColor="background1"/>
                <w:sz w:val="18"/>
              </w:rPr>
              <w:t>Additional</w:t>
            </w:r>
          </w:p>
        </w:tc>
        <w:tc>
          <w:tcPr>
            <w:tcW w:w="900" w:type="dxa"/>
            <w:tcBorders>
              <w:top w:val="single" w:sz="4" w:space="0" w:color="auto"/>
              <w:left w:val="single" w:sz="4" w:space="0" w:color="auto"/>
              <w:bottom w:val="single" w:sz="4" w:space="0" w:color="auto"/>
              <w:right w:val="single" w:sz="4" w:space="0" w:color="auto"/>
            </w:tcBorders>
            <w:shd w:val="clear" w:color="auto" w:fill="006DA7"/>
          </w:tcPr>
          <w:p w14:paraId="259FC992" w14:textId="77777777" w:rsidR="008A6D44" w:rsidRPr="00822968" w:rsidRDefault="008A6D44" w:rsidP="008A6D44">
            <w:pPr>
              <w:pStyle w:val="Tabletext"/>
              <w:spacing w:line="276" w:lineRule="auto"/>
              <w:ind w:left="0" w:right="0"/>
              <w:rPr>
                <w:b/>
                <w:bCs/>
                <w:color w:val="FFFFFF" w:themeColor="background1"/>
                <w:sz w:val="18"/>
              </w:rPr>
            </w:pPr>
            <w:r w:rsidRPr="00822968">
              <w:rPr>
                <w:b/>
                <w:bCs/>
                <w:color w:val="FFFFFF" w:themeColor="background1"/>
                <w:sz w:val="18"/>
              </w:rPr>
              <w:t>Routine</w:t>
            </w:r>
          </w:p>
        </w:tc>
        <w:tc>
          <w:tcPr>
            <w:tcW w:w="1170" w:type="dxa"/>
            <w:tcBorders>
              <w:top w:val="single" w:sz="4" w:space="0" w:color="auto"/>
              <w:left w:val="single" w:sz="4" w:space="0" w:color="auto"/>
              <w:bottom w:val="single" w:sz="4" w:space="0" w:color="auto"/>
              <w:right w:val="single" w:sz="4" w:space="0" w:color="auto"/>
            </w:tcBorders>
            <w:shd w:val="clear" w:color="auto" w:fill="006DA7"/>
          </w:tcPr>
          <w:p w14:paraId="7E04B396" w14:textId="77777777" w:rsidR="008A6D44" w:rsidRPr="00822968" w:rsidRDefault="008A6D44" w:rsidP="008A6D44">
            <w:pPr>
              <w:pStyle w:val="Tabletext"/>
              <w:spacing w:line="276" w:lineRule="auto"/>
              <w:ind w:left="0" w:right="0"/>
              <w:rPr>
                <w:b/>
                <w:bCs/>
                <w:color w:val="FFFFFF" w:themeColor="background1"/>
                <w:sz w:val="18"/>
              </w:rPr>
            </w:pPr>
            <w:r w:rsidRPr="00822968">
              <w:rPr>
                <w:b/>
                <w:bCs/>
                <w:color w:val="FFFFFF" w:themeColor="background1"/>
                <w:sz w:val="18"/>
              </w:rPr>
              <w:t>Additional</w:t>
            </w:r>
          </w:p>
        </w:tc>
      </w:tr>
      <w:tr w:rsidR="008A6D44" w:rsidRPr="00822968" w14:paraId="6618F96A" w14:textId="77777777" w:rsidTr="00D212CD">
        <w:trPr>
          <w:trHeight w:val="137"/>
        </w:trPr>
        <w:tc>
          <w:tcPr>
            <w:tcW w:w="1345" w:type="dxa"/>
            <w:tcBorders>
              <w:top w:val="single" w:sz="4" w:space="0" w:color="auto"/>
            </w:tcBorders>
          </w:tcPr>
          <w:p w14:paraId="31FB7B9E" w14:textId="77777777" w:rsidR="008A6D44" w:rsidRPr="00822968" w:rsidRDefault="008A6D44" w:rsidP="008A6D44">
            <w:pPr>
              <w:pStyle w:val="Tabletext"/>
              <w:spacing w:line="276" w:lineRule="auto"/>
              <w:ind w:left="0" w:right="0"/>
              <w:rPr>
                <w:b/>
              </w:rPr>
            </w:pPr>
            <w:r w:rsidRPr="00822968">
              <w:rPr>
                <w:b/>
              </w:rPr>
              <w:t>Important identified risks</w:t>
            </w:r>
          </w:p>
        </w:tc>
        <w:tc>
          <w:tcPr>
            <w:tcW w:w="2610" w:type="dxa"/>
            <w:tcBorders>
              <w:top w:val="single" w:sz="4" w:space="0" w:color="auto"/>
            </w:tcBorders>
          </w:tcPr>
          <w:p w14:paraId="17C2217C" w14:textId="77777777" w:rsidR="008A6D44" w:rsidRPr="00822968" w:rsidRDefault="008A6D44" w:rsidP="008A6D44">
            <w:pPr>
              <w:pStyle w:val="Tabletext"/>
              <w:spacing w:line="276" w:lineRule="auto"/>
              <w:ind w:left="0" w:right="0"/>
            </w:pPr>
            <w:r w:rsidRPr="00822968">
              <w:t>Systemic hypersensitivity (including events associated with immunogenicity)</w:t>
            </w:r>
          </w:p>
        </w:tc>
        <w:tc>
          <w:tcPr>
            <w:tcW w:w="990" w:type="dxa"/>
            <w:tcBorders>
              <w:top w:val="single" w:sz="4" w:space="0" w:color="auto"/>
            </w:tcBorders>
          </w:tcPr>
          <w:p w14:paraId="35AE980E" w14:textId="77777777" w:rsidR="008A6D44" w:rsidRPr="00822968" w:rsidRDefault="008A6D44" w:rsidP="008A6D44">
            <w:pPr>
              <w:spacing w:line="276" w:lineRule="auto"/>
              <w:ind w:left="0" w:right="0"/>
              <w:jc w:val="center"/>
            </w:pPr>
            <w:r w:rsidRPr="00822968">
              <w:sym w:font="Wingdings" w:char="F0FC"/>
            </w:r>
          </w:p>
        </w:tc>
        <w:tc>
          <w:tcPr>
            <w:tcW w:w="1170" w:type="dxa"/>
            <w:tcBorders>
              <w:top w:val="single" w:sz="4" w:space="0" w:color="auto"/>
            </w:tcBorders>
          </w:tcPr>
          <w:p w14:paraId="060C2AA1" w14:textId="77777777" w:rsidR="008A6D44" w:rsidRPr="00822968" w:rsidRDefault="008A6D44" w:rsidP="008A6D44">
            <w:pPr>
              <w:pStyle w:val="Tabletext"/>
              <w:spacing w:line="276" w:lineRule="auto"/>
              <w:ind w:left="0" w:right="0"/>
              <w:jc w:val="center"/>
            </w:pPr>
            <w:r w:rsidRPr="00822968">
              <w:t>–</w:t>
            </w:r>
          </w:p>
        </w:tc>
        <w:tc>
          <w:tcPr>
            <w:tcW w:w="900" w:type="dxa"/>
            <w:tcBorders>
              <w:top w:val="single" w:sz="4" w:space="0" w:color="auto"/>
            </w:tcBorders>
          </w:tcPr>
          <w:p w14:paraId="1BCC184A" w14:textId="77777777" w:rsidR="008A6D44" w:rsidRPr="00822968" w:rsidRDefault="008A6D44" w:rsidP="008A6D44">
            <w:pPr>
              <w:pStyle w:val="Tabletext"/>
              <w:spacing w:line="276" w:lineRule="auto"/>
              <w:ind w:left="0" w:right="0"/>
              <w:jc w:val="center"/>
            </w:pPr>
            <w:r w:rsidRPr="00822968">
              <w:sym w:font="Wingdings" w:char="F0FC"/>
            </w:r>
          </w:p>
        </w:tc>
        <w:tc>
          <w:tcPr>
            <w:tcW w:w="1170" w:type="dxa"/>
            <w:tcBorders>
              <w:top w:val="single" w:sz="4" w:space="0" w:color="auto"/>
            </w:tcBorders>
          </w:tcPr>
          <w:p w14:paraId="7FCC9264" w14:textId="77777777" w:rsidR="008A6D44" w:rsidRPr="00822968" w:rsidRDefault="008A6D44" w:rsidP="008A6D44">
            <w:pPr>
              <w:pStyle w:val="Tabletext"/>
              <w:spacing w:line="276" w:lineRule="auto"/>
              <w:ind w:left="0" w:right="0"/>
              <w:jc w:val="center"/>
            </w:pPr>
            <w:r w:rsidRPr="00822968">
              <w:t>–</w:t>
            </w:r>
          </w:p>
        </w:tc>
      </w:tr>
      <w:tr w:rsidR="008A6D44" w:rsidRPr="00822968" w14:paraId="2F4A7905" w14:textId="77777777" w:rsidTr="00D212CD">
        <w:trPr>
          <w:trHeight w:val="137"/>
        </w:trPr>
        <w:tc>
          <w:tcPr>
            <w:tcW w:w="1345" w:type="dxa"/>
          </w:tcPr>
          <w:p w14:paraId="672557B5" w14:textId="77777777" w:rsidR="008A6D44" w:rsidRPr="00822968" w:rsidRDefault="008A6D44" w:rsidP="008A6D44">
            <w:pPr>
              <w:pStyle w:val="Tabletext"/>
              <w:spacing w:line="276" w:lineRule="auto"/>
              <w:ind w:left="0" w:right="0"/>
              <w:rPr>
                <w:b/>
              </w:rPr>
            </w:pPr>
          </w:p>
        </w:tc>
        <w:tc>
          <w:tcPr>
            <w:tcW w:w="2610" w:type="dxa"/>
          </w:tcPr>
          <w:p w14:paraId="1EA2B2CB" w14:textId="1390587B" w:rsidR="008A6D44" w:rsidRPr="00822968" w:rsidRDefault="008A6D44" w:rsidP="008A6D44">
            <w:pPr>
              <w:pStyle w:val="Tabletext"/>
              <w:spacing w:line="276" w:lineRule="auto"/>
              <w:ind w:left="0" w:right="0"/>
            </w:pPr>
            <w:r w:rsidRPr="00822968">
              <w:t xml:space="preserve">Conjunctivitis and keratitis related events in </w:t>
            </w:r>
            <w:r w:rsidR="00F8231A" w:rsidRPr="00822968">
              <w:t>atopic dermatitis</w:t>
            </w:r>
            <w:r w:rsidRPr="00822968">
              <w:t xml:space="preserve"> patients</w:t>
            </w:r>
          </w:p>
        </w:tc>
        <w:tc>
          <w:tcPr>
            <w:tcW w:w="990" w:type="dxa"/>
          </w:tcPr>
          <w:p w14:paraId="62B1C8C5" w14:textId="7FC6C6B8" w:rsidR="008A6D44" w:rsidRPr="00822968" w:rsidRDefault="008A6D44" w:rsidP="008A6D44">
            <w:pPr>
              <w:ind w:left="0" w:right="0"/>
              <w:jc w:val="center"/>
            </w:pPr>
            <w:r w:rsidRPr="00822968">
              <w:t>–</w:t>
            </w:r>
          </w:p>
        </w:tc>
        <w:tc>
          <w:tcPr>
            <w:tcW w:w="1170" w:type="dxa"/>
          </w:tcPr>
          <w:p w14:paraId="59702227" w14:textId="77777777" w:rsidR="008A6D44" w:rsidRPr="00822968" w:rsidRDefault="008A6D44" w:rsidP="008A6D44">
            <w:pPr>
              <w:pStyle w:val="Tabletext"/>
              <w:spacing w:line="276" w:lineRule="auto"/>
              <w:ind w:left="0" w:right="0"/>
              <w:jc w:val="center"/>
            </w:pPr>
            <w:r w:rsidRPr="00822968">
              <w:sym w:font="Wingdings" w:char="F0FC"/>
            </w:r>
            <w:r w:rsidRPr="00822968">
              <w:rPr>
                <w:rFonts w:asciiTheme="majorHAnsi" w:hAnsiTheme="majorHAnsi"/>
                <w:szCs w:val="20"/>
              </w:rPr>
              <w:t>†</w:t>
            </w:r>
          </w:p>
        </w:tc>
        <w:tc>
          <w:tcPr>
            <w:tcW w:w="900" w:type="dxa"/>
          </w:tcPr>
          <w:p w14:paraId="3DDB2449" w14:textId="77777777" w:rsidR="008A6D44" w:rsidRPr="00822968" w:rsidRDefault="008A6D44" w:rsidP="008A6D44">
            <w:pPr>
              <w:pStyle w:val="Tabletext"/>
              <w:spacing w:line="276" w:lineRule="auto"/>
              <w:ind w:left="0" w:right="0"/>
              <w:jc w:val="center"/>
            </w:pPr>
            <w:r w:rsidRPr="00822968">
              <w:sym w:font="Wingdings" w:char="F0FC"/>
            </w:r>
          </w:p>
        </w:tc>
        <w:tc>
          <w:tcPr>
            <w:tcW w:w="1170" w:type="dxa"/>
          </w:tcPr>
          <w:p w14:paraId="1B0BD080" w14:textId="77777777" w:rsidR="008A6D44" w:rsidRPr="00822968" w:rsidRDefault="008A6D44" w:rsidP="008A6D44">
            <w:pPr>
              <w:pStyle w:val="Tabletext"/>
              <w:spacing w:line="276" w:lineRule="auto"/>
              <w:ind w:left="0" w:right="0"/>
              <w:jc w:val="center"/>
            </w:pPr>
            <w:r w:rsidRPr="00822968">
              <w:t>–</w:t>
            </w:r>
          </w:p>
        </w:tc>
      </w:tr>
      <w:tr w:rsidR="008A6D44" w:rsidRPr="00822968" w14:paraId="2F178070" w14:textId="77777777" w:rsidTr="00D212CD">
        <w:trPr>
          <w:trHeight w:val="159"/>
        </w:trPr>
        <w:tc>
          <w:tcPr>
            <w:tcW w:w="1345" w:type="dxa"/>
          </w:tcPr>
          <w:p w14:paraId="57118956" w14:textId="77777777" w:rsidR="008A6D44" w:rsidRPr="00822968" w:rsidRDefault="008A6D44" w:rsidP="008A6D44">
            <w:pPr>
              <w:pStyle w:val="Tabletext"/>
              <w:spacing w:line="276" w:lineRule="auto"/>
              <w:ind w:left="0" w:right="0"/>
              <w:rPr>
                <w:b/>
              </w:rPr>
            </w:pPr>
            <w:r w:rsidRPr="00822968">
              <w:rPr>
                <w:b/>
              </w:rPr>
              <w:t>Important potential risks</w:t>
            </w:r>
          </w:p>
        </w:tc>
        <w:tc>
          <w:tcPr>
            <w:tcW w:w="2610" w:type="dxa"/>
          </w:tcPr>
          <w:p w14:paraId="4AC0388B" w14:textId="550E452A" w:rsidR="008A6D44" w:rsidRPr="00822968" w:rsidRDefault="00A74246" w:rsidP="008A6D44">
            <w:pPr>
              <w:pStyle w:val="Tabletext"/>
              <w:spacing w:line="276" w:lineRule="auto"/>
              <w:ind w:left="0" w:right="0"/>
            </w:pPr>
            <w:r w:rsidRPr="00822968">
              <w:t>N</w:t>
            </w:r>
            <w:r w:rsidR="008A6D44" w:rsidRPr="00822968">
              <w:t>one</w:t>
            </w:r>
          </w:p>
        </w:tc>
        <w:tc>
          <w:tcPr>
            <w:tcW w:w="990" w:type="dxa"/>
          </w:tcPr>
          <w:p w14:paraId="5873A2A7" w14:textId="77777777" w:rsidR="008A6D44" w:rsidRPr="00822968" w:rsidRDefault="008A6D44" w:rsidP="008A6D44">
            <w:pPr>
              <w:spacing w:line="276" w:lineRule="auto"/>
              <w:ind w:left="0" w:right="0"/>
              <w:jc w:val="center"/>
            </w:pPr>
            <w:r w:rsidRPr="00822968">
              <w:t>–</w:t>
            </w:r>
          </w:p>
        </w:tc>
        <w:tc>
          <w:tcPr>
            <w:tcW w:w="1170" w:type="dxa"/>
          </w:tcPr>
          <w:p w14:paraId="6733D82D" w14:textId="77777777" w:rsidR="008A6D44" w:rsidRPr="00822968" w:rsidRDefault="008A6D44" w:rsidP="008A6D44">
            <w:pPr>
              <w:pStyle w:val="Tabletext"/>
              <w:spacing w:line="276" w:lineRule="auto"/>
              <w:ind w:left="0" w:right="0"/>
              <w:jc w:val="center"/>
            </w:pPr>
            <w:r w:rsidRPr="00822968">
              <w:t>–</w:t>
            </w:r>
          </w:p>
        </w:tc>
        <w:tc>
          <w:tcPr>
            <w:tcW w:w="900" w:type="dxa"/>
          </w:tcPr>
          <w:p w14:paraId="4AF92BAF" w14:textId="77777777" w:rsidR="008A6D44" w:rsidRPr="00822968" w:rsidRDefault="008A6D44" w:rsidP="008A6D44">
            <w:pPr>
              <w:pStyle w:val="Tabletext"/>
              <w:spacing w:line="276" w:lineRule="auto"/>
              <w:ind w:left="0" w:right="0"/>
              <w:jc w:val="center"/>
            </w:pPr>
            <w:r w:rsidRPr="00822968">
              <w:t>–</w:t>
            </w:r>
          </w:p>
        </w:tc>
        <w:tc>
          <w:tcPr>
            <w:tcW w:w="1170" w:type="dxa"/>
          </w:tcPr>
          <w:p w14:paraId="540DC3A5" w14:textId="77777777" w:rsidR="008A6D44" w:rsidRPr="00822968" w:rsidRDefault="008A6D44" w:rsidP="008A6D44">
            <w:pPr>
              <w:pStyle w:val="Tabletext"/>
              <w:spacing w:line="276" w:lineRule="auto"/>
              <w:ind w:left="0" w:right="0"/>
              <w:jc w:val="center"/>
            </w:pPr>
            <w:r w:rsidRPr="00822968">
              <w:t>–</w:t>
            </w:r>
          </w:p>
        </w:tc>
      </w:tr>
      <w:tr w:rsidR="008A6D44" w:rsidRPr="00822968" w14:paraId="1984BE76" w14:textId="77777777" w:rsidTr="00D212CD">
        <w:trPr>
          <w:trHeight w:val="103"/>
        </w:trPr>
        <w:tc>
          <w:tcPr>
            <w:tcW w:w="1345" w:type="dxa"/>
            <w:vMerge w:val="restart"/>
          </w:tcPr>
          <w:p w14:paraId="33A706F4" w14:textId="77777777" w:rsidR="008A6D44" w:rsidRPr="00822968" w:rsidRDefault="008A6D44" w:rsidP="008A6D44">
            <w:pPr>
              <w:pStyle w:val="Tabletext"/>
              <w:spacing w:line="276" w:lineRule="auto"/>
              <w:ind w:left="0" w:right="0"/>
            </w:pPr>
            <w:r w:rsidRPr="00822968">
              <w:rPr>
                <w:b/>
              </w:rPr>
              <w:t>Missing Information</w:t>
            </w:r>
          </w:p>
        </w:tc>
        <w:tc>
          <w:tcPr>
            <w:tcW w:w="2610" w:type="dxa"/>
          </w:tcPr>
          <w:p w14:paraId="29C2964F" w14:textId="77777777" w:rsidR="008A6D44" w:rsidRPr="00822968" w:rsidRDefault="008A6D44" w:rsidP="008A6D44">
            <w:pPr>
              <w:pStyle w:val="Tabletext"/>
              <w:spacing w:line="276" w:lineRule="auto"/>
              <w:ind w:left="0" w:right="0"/>
            </w:pPr>
            <w:r w:rsidRPr="00822968">
              <w:t>Use in pregnant and lactating women</w:t>
            </w:r>
          </w:p>
        </w:tc>
        <w:tc>
          <w:tcPr>
            <w:tcW w:w="990" w:type="dxa"/>
          </w:tcPr>
          <w:p w14:paraId="290D1C1C" w14:textId="77777777" w:rsidR="008A6D44" w:rsidRPr="00822968" w:rsidRDefault="008A6D44" w:rsidP="008A6D44">
            <w:pPr>
              <w:spacing w:line="276" w:lineRule="auto"/>
              <w:ind w:left="0" w:right="0"/>
              <w:jc w:val="center"/>
            </w:pPr>
            <w:r w:rsidRPr="00822968">
              <w:sym w:font="Wingdings" w:char="F0FC"/>
            </w:r>
          </w:p>
        </w:tc>
        <w:tc>
          <w:tcPr>
            <w:tcW w:w="1170" w:type="dxa"/>
          </w:tcPr>
          <w:p w14:paraId="76FC159E" w14:textId="77777777" w:rsidR="008A6D44" w:rsidRPr="00822968" w:rsidRDefault="008A6D44" w:rsidP="008A6D44">
            <w:pPr>
              <w:pStyle w:val="Tabletext"/>
              <w:spacing w:line="276" w:lineRule="auto"/>
              <w:ind w:left="0" w:right="0"/>
              <w:jc w:val="center"/>
            </w:pPr>
            <w:r w:rsidRPr="00822968">
              <w:sym w:font="Wingdings" w:char="F0FC"/>
            </w:r>
            <w:r w:rsidRPr="00822968">
              <w:rPr>
                <w:rFonts w:asciiTheme="majorHAnsi" w:hAnsiTheme="majorHAnsi"/>
                <w:szCs w:val="20"/>
              </w:rPr>
              <w:t>‡</w:t>
            </w:r>
          </w:p>
        </w:tc>
        <w:tc>
          <w:tcPr>
            <w:tcW w:w="900" w:type="dxa"/>
          </w:tcPr>
          <w:p w14:paraId="3FD6381F" w14:textId="77777777" w:rsidR="008A6D44" w:rsidRPr="00822968" w:rsidRDefault="008A6D44" w:rsidP="008A6D44">
            <w:pPr>
              <w:pStyle w:val="Tabletext"/>
              <w:spacing w:line="276" w:lineRule="auto"/>
              <w:ind w:left="0" w:right="0"/>
              <w:jc w:val="center"/>
            </w:pPr>
            <w:r w:rsidRPr="00822968">
              <w:sym w:font="Wingdings" w:char="F0FC"/>
            </w:r>
          </w:p>
        </w:tc>
        <w:tc>
          <w:tcPr>
            <w:tcW w:w="1170" w:type="dxa"/>
          </w:tcPr>
          <w:p w14:paraId="1833E27E" w14:textId="77777777" w:rsidR="008A6D44" w:rsidRPr="00822968" w:rsidRDefault="008A6D44" w:rsidP="008A6D44">
            <w:pPr>
              <w:pStyle w:val="Tabletext"/>
              <w:spacing w:line="276" w:lineRule="auto"/>
              <w:ind w:left="0" w:right="0"/>
              <w:jc w:val="center"/>
            </w:pPr>
            <w:r w:rsidRPr="00822968">
              <w:t>–</w:t>
            </w:r>
          </w:p>
        </w:tc>
      </w:tr>
      <w:tr w:rsidR="008A6D44" w:rsidRPr="00822968" w14:paraId="49556D0C" w14:textId="77777777" w:rsidTr="00D212CD">
        <w:trPr>
          <w:trHeight w:val="140"/>
        </w:trPr>
        <w:tc>
          <w:tcPr>
            <w:tcW w:w="1345" w:type="dxa"/>
            <w:vMerge/>
          </w:tcPr>
          <w:p w14:paraId="148B81AC" w14:textId="77777777" w:rsidR="008A6D44" w:rsidRPr="00822968" w:rsidRDefault="008A6D44" w:rsidP="008A6D44">
            <w:pPr>
              <w:pStyle w:val="Tabletext"/>
              <w:spacing w:line="276" w:lineRule="auto"/>
              <w:ind w:left="0" w:right="0"/>
            </w:pPr>
          </w:p>
        </w:tc>
        <w:tc>
          <w:tcPr>
            <w:tcW w:w="2610" w:type="dxa"/>
          </w:tcPr>
          <w:p w14:paraId="46FA5DEE" w14:textId="1C2FAD2F" w:rsidR="008A6D44" w:rsidRPr="00822968" w:rsidRDefault="008A6D44" w:rsidP="008A6D44">
            <w:pPr>
              <w:pStyle w:val="Tabletext"/>
              <w:spacing w:line="276" w:lineRule="auto"/>
              <w:ind w:left="0" w:right="0"/>
            </w:pPr>
            <w:r w:rsidRPr="00822968">
              <w:t>Long</w:t>
            </w:r>
            <w:r w:rsidR="007733D3" w:rsidRPr="00822968">
              <w:t xml:space="preserve"> </w:t>
            </w:r>
            <w:r w:rsidRPr="00822968">
              <w:t>term safety</w:t>
            </w:r>
          </w:p>
        </w:tc>
        <w:tc>
          <w:tcPr>
            <w:tcW w:w="990" w:type="dxa"/>
          </w:tcPr>
          <w:p w14:paraId="0DF24104" w14:textId="77777777" w:rsidR="008A6D44" w:rsidRPr="00822968" w:rsidRDefault="008A6D44" w:rsidP="008A6D44">
            <w:pPr>
              <w:spacing w:line="276" w:lineRule="auto"/>
              <w:ind w:left="0" w:right="0"/>
              <w:jc w:val="center"/>
            </w:pPr>
            <w:r w:rsidRPr="00822968">
              <w:t>–</w:t>
            </w:r>
          </w:p>
        </w:tc>
        <w:tc>
          <w:tcPr>
            <w:tcW w:w="1170" w:type="dxa"/>
          </w:tcPr>
          <w:p w14:paraId="21B4E9DB" w14:textId="77777777" w:rsidR="008A6D44" w:rsidRPr="00822968" w:rsidRDefault="008A6D44" w:rsidP="008A6D44">
            <w:pPr>
              <w:pStyle w:val="Tabletext"/>
              <w:spacing w:line="276" w:lineRule="auto"/>
              <w:ind w:left="0" w:right="0"/>
              <w:jc w:val="center"/>
            </w:pPr>
            <w:r w:rsidRPr="00822968">
              <w:sym w:font="Wingdings" w:char="F0FC"/>
            </w:r>
            <w:r w:rsidRPr="00822968">
              <w:rPr>
                <w:rFonts w:asciiTheme="majorHAnsi" w:hAnsiTheme="majorHAnsi"/>
                <w:szCs w:val="20"/>
              </w:rPr>
              <w:t>§</w:t>
            </w:r>
          </w:p>
        </w:tc>
        <w:tc>
          <w:tcPr>
            <w:tcW w:w="900" w:type="dxa"/>
          </w:tcPr>
          <w:p w14:paraId="347C4143" w14:textId="77777777" w:rsidR="008A6D44" w:rsidRPr="00822968" w:rsidRDefault="008A6D44" w:rsidP="008A6D44">
            <w:pPr>
              <w:pStyle w:val="Tabletext"/>
              <w:spacing w:line="276" w:lineRule="auto"/>
              <w:ind w:left="0" w:right="0"/>
              <w:jc w:val="center"/>
            </w:pPr>
            <w:r w:rsidRPr="00822968">
              <w:sym w:font="Wingdings" w:char="F0FC"/>
            </w:r>
          </w:p>
        </w:tc>
        <w:tc>
          <w:tcPr>
            <w:tcW w:w="1170" w:type="dxa"/>
          </w:tcPr>
          <w:p w14:paraId="1DE084DA" w14:textId="77777777" w:rsidR="008A6D44" w:rsidRPr="00822968" w:rsidRDefault="008A6D44" w:rsidP="008A6D44">
            <w:pPr>
              <w:pStyle w:val="Tabletext"/>
              <w:spacing w:line="276" w:lineRule="auto"/>
              <w:ind w:left="0" w:right="0"/>
              <w:jc w:val="center"/>
            </w:pPr>
            <w:r w:rsidRPr="00822968">
              <w:t>–</w:t>
            </w:r>
          </w:p>
        </w:tc>
      </w:tr>
    </w:tbl>
    <w:p w14:paraId="1570B657" w14:textId="3171DCCB" w:rsidR="00BB0141" w:rsidRPr="005E4A66" w:rsidRDefault="008A6D44" w:rsidP="005E4A66">
      <w:pPr>
        <w:pStyle w:val="TableDescription"/>
      </w:pPr>
      <w:r w:rsidRPr="005E4A66">
        <w:t>† Ophthalmology sub</w:t>
      </w:r>
      <w:r w:rsidR="00817B09" w:rsidRPr="005E4A66">
        <w:t>-</w:t>
      </w:r>
      <w:r w:rsidRPr="005E4A66">
        <w:t>study</w:t>
      </w:r>
    </w:p>
    <w:p w14:paraId="6D4534A2" w14:textId="645469EE" w:rsidR="008A6D44" w:rsidRPr="005E4A66" w:rsidRDefault="008A6D44" w:rsidP="005E4A66">
      <w:pPr>
        <w:pStyle w:val="TableDescription"/>
      </w:pPr>
      <w:r w:rsidRPr="005E4A66">
        <w:t>‡ Pregnancy registry study and outcomes database study</w:t>
      </w:r>
    </w:p>
    <w:p w14:paraId="13010B70" w14:textId="6944B7AF" w:rsidR="008A6D44" w:rsidRPr="005E4A66" w:rsidRDefault="008A6D44" w:rsidP="005E4A66">
      <w:pPr>
        <w:pStyle w:val="TableDescription"/>
      </w:pPr>
      <w:r w:rsidRPr="005E4A66">
        <w:t>§ Open</w:t>
      </w:r>
      <w:r w:rsidR="00817B09" w:rsidRPr="005E4A66">
        <w:t xml:space="preserve"> </w:t>
      </w:r>
      <w:r w:rsidRPr="005E4A66">
        <w:t xml:space="preserve">label extension study </w:t>
      </w:r>
      <w:r w:rsidR="00F9733D" w:rsidRPr="005E4A66">
        <w:t>(</w:t>
      </w:r>
      <w:r w:rsidRPr="005E4A66">
        <w:t>upgraded to important identified risk</w:t>
      </w:r>
      <w:r w:rsidR="00F9733D" w:rsidRPr="005E4A66">
        <w:t>)</w:t>
      </w:r>
    </w:p>
    <w:p w14:paraId="2A208069" w14:textId="3229336B" w:rsidR="008A6D44" w:rsidRPr="00822968" w:rsidRDefault="008A6D44" w:rsidP="00F127FA">
      <w:pPr>
        <w:pStyle w:val="ListBullet"/>
      </w:pPr>
      <w:r w:rsidRPr="00822968">
        <w:t xml:space="preserve">As the sponsor has not identified any new safety concerns due to the proposed new indications, the summary of safety concerns is considered acceptable from an RMP perspective. In ASA version 5.0, the </w:t>
      </w:r>
      <w:r w:rsidR="00817B09" w:rsidRPr="00822968">
        <w:t>s</w:t>
      </w:r>
      <w:r w:rsidRPr="00822968">
        <w:t xml:space="preserve">ponsor upgraded ‘conjunctivitis related events in </w:t>
      </w:r>
      <w:r w:rsidR="00F8231A" w:rsidRPr="00822968">
        <w:t>atopic dermatitis</w:t>
      </w:r>
      <w:r w:rsidRPr="00822968">
        <w:t xml:space="preserve"> patients’ to an important identified risk and added keratitis.</w:t>
      </w:r>
    </w:p>
    <w:p w14:paraId="3BEB02E1" w14:textId="77777777" w:rsidR="008A6D44" w:rsidRPr="00822968" w:rsidRDefault="008A6D44" w:rsidP="00F127FA">
      <w:pPr>
        <w:pStyle w:val="ListBullet"/>
      </w:pPr>
      <w:r w:rsidRPr="00822968">
        <w:t>The sponsor has proposed routine pharmacovigilance for safety concerns. The proposed pharmacovigilance plan is acceptable in managing the safety concerns.</w:t>
      </w:r>
    </w:p>
    <w:p w14:paraId="7470B920" w14:textId="1F6C70BD" w:rsidR="008A6D44" w:rsidRPr="00822968" w:rsidRDefault="008A6D44" w:rsidP="00F127FA">
      <w:pPr>
        <w:pStyle w:val="ListBullet"/>
      </w:pPr>
      <w:r w:rsidRPr="00822968">
        <w:t xml:space="preserve">As no new safety concerns have been identified </w:t>
      </w:r>
      <w:r w:rsidR="00A74246">
        <w:t>through</w:t>
      </w:r>
      <w:r w:rsidRPr="00822968">
        <w:t xml:space="preserve"> the extension of indications, routine risk minimisation activities continue to be acceptable from an RMP perspective.</w:t>
      </w:r>
    </w:p>
    <w:p w14:paraId="5ABEF977" w14:textId="77777777" w:rsidR="008E7846" w:rsidRPr="00822968" w:rsidRDefault="00AA0ED0" w:rsidP="008E7846">
      <w:pPr>
        <w:pStyle w:val="Heading3"/>
      </w:pPr>
      <w:bookmarkStart w:id="58" w:name="_Toc247691531"/>
      <w:bookmarkStart w:id="59" w:name="_Toc314842515"/>
      <w:bookmarkStart w:id="60" w:name="_Toc101954631"/>
      <w:bookmarkStart w:id="61" w:name="_Toc196046505"/>
      <w:bookmarkStart w:id="62" w:name="_Toc196046949"/>
      <w:r w:rsidRPr="00822968">
        <w:lastRenderedPageBreak/>
        <w:t>Risk-benefit a</w:t>
      </w:r>
      <w:r w:rsidR="008E7846" w:rsidRPr="00822968">
        <w:t>nalysis</w:t>
      </w:r>
      <w:bookmarkEnd w:id="58"/>
      <w:bookmarkEnd w:id="59"/>
      <w:bookmarkEnd w:id="60"/>
    </w:p>
    <w:p w14:paraId="6B75390C" w14:textId="77777777" w:rsidR="00D23139" w:rsidRPr="00822968" w:rsidRDefault="007D53B6" w:rsidP="00F127FA">
      <w:pPr>
        <w:pStyle w:val="Heading4"/>
      </w:pPr>
      <w:r w:rsidRPr="00822968">
        <w:t>Delegate’s considerations</w:t>
      </w:r>
    </w:p>
    <w:p w14:paraId="36BE3214" w14:textId="64ECDAD0" w:rsidR="00A908C9" w:rsidRPr="00822968" w:rsidRDefault="00A908C9" w:rsidP="00F127FA">
      <w:r w:rsidRPr="00822968">
        <w:t>The dosing regimen proposed for long</w:t>
      </w:r>
      <w:r w:rsidR="007733D3" w:rsidRPr="00822968">
        <w:t xml:space="preserve"> </w:t>
      </w:r>
      <w:r w:rsidRPr="00822968">
        <w:t xml:space="preserve">term use of dupilumab in patients with </w:t>
      </w:r>
      <w:r w:rsidR="00A74246">
        <w:t>chronic rhinosinusitis with nasal polyps (</w:t>
      </w:r>
      <w:proofErr w:type="spellStart"/>
      <w:r w:rsidRPr="00822968">
        <w:t>CRSwNP</w:t>
      </w:r>
      <w:proofErr w:type="spellEnd"/>
      <w:r w:rsidR="00A74246">
        <w:t>)</w:t>
      </w:r>
      <w:r w:rsidRPr="00822968">
        <w:t xml:space="preserve"> is 300</w:t>
      </w:r>
      <w:r w:rsidR="00817B09" w:rsidRPr="00822968">
        <w:t> </w:t>
      </w:r>
      <w:r w:rsidRPr="00822968">
        <w:t xml:space="preserve">mg </w:t>
      </w:r>
      <w:r w:rsidR="00D4016D" w:rsidRPr="00822968">
        <w:t>once every 2 weeks</w:t>
      </w:r>
      <w:r w:rsidRPr="00822968">
        <w:t>. This dose was not associated with markedly increased efficacy, as measured by the nasal polyp score and the nasal congestion scores. It may be that for many patients the more frequent dose is not necessary for adequate control of symptoms. Some consideration should be given</w:t>
      </w:r>
      <w:r w:rsidR="00A74246" w:rsidRPr="00822968">
        <w:t xml:space="preserve"> </w:t>
      </w:r>
      <w:r w:rsidRPr="00822968">
        <w:t>to recommending the less frequent dose regimen (300</w:t>
      </w:r>
      <w:r w:rsidR="00817B09" w:rsidRPr="00822968">
        <w:t xml:space="preserve"> </w:t>
      </w:r>
      <w:r w:rsidRPr="00822968">
        <w:t xml:space="preserve">mg </w:t>
      </w:r>
      <w:r w:rsidR="00D4016D" w:rsidRPr="00822968">
        <w:t>once every 4 weeks</w:t>
      </w:r>
      <w:r w:rsidRPr="00822968">
        <w:t xml:space="preserve">) as an alternative to the currently proposed dose regimen of 300 mg </w:t>
      </w:r>
      <w:r w:rsidR="00D4016D" w:rsidRPr="00822968">
        <w:t>once every 2 weeks</w:t>
      </w:r>
      <w:r w:rsidRPr="00822968">
        <w:t>.</w:t>
      </w:r>
    </w:p>
    <w:p w14:paraId="3993ECA0" w14:textId="6871E7F7" w:rsidR="00A908C9" w:rsidRPr="00822968" w:rsidRDefault="00A908C9" w:rsidP="00F127FA">
      <w:r w:rsidRPr="00822968">
        <w:t xml:space="preserve">Dosing for children with </w:t>
      </w:r>
      <w:r w:rsidR="00F8231A" w:rsidRPr="00822968">
        <w:t>atopic dermatitis</w:t>
      </w:r>
      <w:r w:rsidRPr="00822968">
        <w:t xml:space="preserve">: It is not clear whether the dose regimen adopted by the </w:t>
      </w:r>
      <w:r w:rsidR="00682576" w:rsidRPr="00822968">
        <w:t>US Food and Drug Administration (</w:t>
      </w:r>
      <w:r w:rsidRPr="00822968">
        <w:t>FDA</w:t>
      </w:r>
      <w:r w:rsidR="00682576" w:rsidRPr="00822968">
        <w:t>)</w:t>
      </w:r>
      <w:r w:rsidRPr="00822968">
        <w:t xml:space="preserve"> or that adopted by the EMA would be preferred for children aged from 6 to &lt;</w:t>
      </w:r>
      <w:r w:rsidR="00817B09" w:rsidRPr="00822968">
        <w:t> </w:t>
      </w:r>
      <w:r w:rsidRPr="00822968">
        <w:t xml:space="preserve">12 years with </w:t>
      </w:r>
      <w:r w:rsidR="00F8231A" w:rsidRPr="00822968">
        <w:t>atopic dermatitis</w:t>
      </w:r>
      <w:r w:rsidRPr="00822968">
        <w:t xml:space="preserve">. The </w:t>
      </w:r>
      <w:r w:rsidR="00D4016D" w:rsidRPr="00822968">
        <w:t>once every 4 weeks</w:t>
      </w:r>
      <w:r w:rsidRPr="00822968">
        <w:t xml:space="preserve"> regimen would most likely be more convenient and not require regular body weight assessment however it would also result in higher than needed exposure to dupilumab. </w:t>
      </w:r>
      <w:r w:rsidR="00817B09" w:rsidRPr="00822968">
        <w:t>Additionally,</w:t>
      </w:r>
      <w:r w:rsidRPr="00822968">
        <w:t xml:space="preserve"> the evidence for longer term maintenance is quite limited and was assessed primarily on the </w:t>
      </w:r>
      <w:r w:rsidR="00D4016D" w:rsidRPr="00822968">
        <w:t>once every 4</w:t>
      </w:r>
      <w:r w:rsidR="00817B09" w:rsidRPr="00822968">
        <w:t> </w:t>
      </w:r>
      <w:r w:rsidR="00D4016D" w:rsidRPr="00822968">
        <w:t>weeks</w:t>
      </w:r>
      <w:r w:rsidRPr="00822968">
        <w:t xml:space="preserve"> dose regimen which was irrespective of body weight.</w:t>
      </w:r>
    </w:p>
    <w:p w14:paraId="49D00EE8" w14:textId="11938BB9" w:rsidR="0008523B" w:rsidRDefault="00A908C9" w:rsidP="00F127FA">
      <w:r w:rsidRPr="00822968">
        <w:t xml:space="preserve">The </w:t>
      </w:r>
      <w:r w:rsidR="00817B09" w:rsidRPr="00822968">
        <w:t xml:space="preserve">clinical </w:t>
      </w:r>
      <w:r w:rsidRPr="00822968">
        <w:t>evaluator commented</w:t>
      </w:r>
      <w:r w:rsidR="0008523B">
        <w:t>:</w:t>
      </w:r>
    </w:p>
    <w:p w14:paraId="7AE99B46" w14:textId="6D93476F" w:rsidR="00A908C9" w:rsidRPr="00822968" w:rsidRDefault="0008523B" w:rsidP="004B721A">
      <w:pPr>
        <w:ind w:left="720"/>
      </w:pPr>
      <w:r>
        <w:t>I</w:t>
      </w:r>
      <w:r w:rsidR="00A908C9" w:rsidRPr="00822968">
        <w:t>n the draft PI the proposed long</w:t>
      </w:r>
      <w:r w:rsidR="007733D3" w:rsidRPr="00822968">
        <w:t xml:space="preserve"> </w:t>
      </w:r>
      <w:r w:rsidR="00A908C9" w:rsidRPr="00822968">
        <w:t>term maintenance dose in children weighing &lt;</w:t>
      </w:r>
      <w:r w:rsidR="00C34207">
        <w:t> </w:t>
      </w:r>
      <w:r w:rsidR="00A908C9" w:rsidRPr="00822968">
        <w:t xml:space="preserve">30 kg is 300 mg </w:t>
      </w:r>
      <w:r w:rsidR="00D4016D" w:rsidRPr="00822968">
        <w:t>once every 4 weeks</w:t>
      </w:r>
      <w:r w:rsidR="00A908C9" w:rsidRPr="00822968">
        <w:t xml:space="preserve">. For children weighing 30 </w:t>
      </w:r>
      <w:r w:rsidR="00817B09" w:rsidRPr="00822968">
        <w:t xml:space="preserve">to </w:t>
      </w:r>
      <w:r w:rsidR="00A908C9" w:rsidRPr="00822968">
        <w:t>60 kg the proposed long</w:t>
      </w:r>
      <w:r w:rsidR="007733D3" w:rsidRPr="00822968">
        <w:t xml:space="preserve"> </w:t>
      </w:r>
      <w:r w:rsidR="00A908C9" w:rsidRPr="00822968">
        <w:t xml:space="preserve">term maintenance dose 200 mg </w:t>
      </w:r>
      <w:r w:rsidR="00D4016D" w:rsidRPr="00822968">
        <w:t>once every 2</w:t>
      </w:r>
      <w:r w:rsidR="00817B09" w:rsidRPr="00822968">
        <w:t> </w:t>
      </w:r>
      <w:r w:rsidR="00D4016D" w:rsidRPr="00822968">
        <w:t>weeks</w:t>
      </w:r>
      <w:r w:rsidR="00A908C9" w:rsidRPr="00822968">
        <w:t xml:space="preserve">. The data for </w:t>
      </w:r>
      <w:r w:rsidR="00F8231A" w:rsidRPr="00822968">
        <w:t>atopic dermatitis</w:t>
      </w:r>
      <w:r w:rsidR="00A908C9" w:rsidRPr="00822968">
        <w:t xml:space="preserve"> suggest that 60% of subjects weighing 30</w:t>
      </w:r>
      <w:r w:rsidR="00817B09" w:rsidRPr="00822968">
        <w:t xml:space="preserve"> to </w:t>
      </w:r>
      <w:r w:rsidR="00A908C9" w:rsidRPr="00822968">
        <w:t>60 kg did not require up</w:t>
      </w:r>
      <w:r>
        <w:t xml:space="preserve"> </w:t>
      </w:r>
      <w:r w:rsidR="00A908C9" w:rsidRPr="00822968">
        <w:t>titration from the 300</w:t>
      </w:r>
      <w:r w:rsidR="00817B09" w:rsidRPr="00822968">
        <w:t xml:space="preserve"> mg</w:t>
      </w:r>
      <w:r w:rsidR="00A908C9" w:rsidRPr="00822968">
        <w:t xml:space="preserve"> </w:t>
      </w:r>
      <w:r w:rsidR="00D4016D" w:rsidRPr="00822968">
        <w:t>once every 4 weeks</w:t>
      </w:r>
      <w:r w:rsidR="00A908C9" w:rsidRPr="00822968">
        <w:t xml:space="preserve"> regimen. Retention of the 300 mg </w:t>
      </w:r>
      <w:r w:rsidR="00D4016D" w:rsidRPr="00822968">
        <w:t>once every 4 weeks</w:t>
      </w:r>
      <w:r w:rsidR="00A908C9" w:rsidRPr="00822968">
        <w:t xml:space="preserve"> regimen as an option for the treatment of subjects weighing 30</w:t>
      </w:r>
      <w:r w:rsidR="00817B09" w:rsidRPr="00822968">
        <w:t xml:space="preserve"> to </w:t>
      </w:r>
      <w:r w:rsidR="00A908C9" w:rsidRPr="00822968">
        <w:t>60 kg may be desirable, as frequency of injections may be an issue for some children.</w:t>
      </w:r>
    </w:p>
    <w:p w14:paraId="6EF6D4DF" w14:textId="77777777" w:rsidR="00A908C9" w:rsidRPr="00822968" w:rsidRDefault="00A908C9" w:rsidP="00F127FA">
      <w:r w:rsidRPr="00822968">
        <w:t>The clinical evaluator noted that the two dose regimens were associated with similar efficacy.</w:t>
      </w:r>
    </w:p>
    <w:p w14:paraId="48B23A11" w14:textId="62FD6749" w:rsidR="007F3814" w:rsidRPr="00822968" w:rsidRDefault="00A908C9" w:rsidP="00F127FA">
      <w:r w:rsidRPr="00822968">
        <w:t xml:space="preserve">The current proposed dose regimens for </w:t>
      </w:r>
      <w:r w:rsidR="00F8231A" w:rsidRPr="00822968">
        <w:t>atopic dermatitis</w:t>
      </w:r>
      <w:r w:rsidRPr="00822968">
        <w:t xml:space="preserve"> in children </w:t>
      </w:r>
      <w:r w:rsidR="00747C75" w:rsidRPr="00822968">
        <w:t xml:space="preserve">is shown in </w:t>
      </w:r>
      <w:r w:rsidR="00747C75" w:rsidRPr="00822968">
        <w:fldChar w:fldCharType="begin"/>
      </w:r>
      <w:r w:rsidR="00747C75" w:rsidRPr="00822968">
        <w:instrText xml:space="preserve"> REF _Ref99385640 \h </w:instrText>
      </w:r>
      <w:r w:rsidR="00822968">
        <w:instrText xml:space="preserve"> \* MERGEFORMAT </w:instrText>
      </w:r>
      <w:r w:rsidR="00747C75" w:rsidRPr="00822968">
        <w:fldChar w:fldCharType="separate"/>
      </w:r>
      <w:r w:rsidR="0078142B" w:rsidRPr="005E4A66">
        <w:t xml:space="preserve">Table </w:t>
      </w:r>
      <w:r w:rsidR="0078142B">
        <w:rPr>
          <w:noProof/>
        </w:rPr>
        <w:t>4</w:t>
      </w:r>
      <w:r w:rsidR="00747C75" w:rsidRPr="00822968">
        <w:fldChar w:fldCharType="end"/>
      </w:r>
      <w:r w:rsidRPr="00822968">
        <w:t xml:space="preserve"> below</w:t>
      </w:r>
      <w:r w:rsidR="00747C75" w:rsidRPr="00822968">
        <w:t>.</w:t>
      </w:r>
    </w:p>
    <w:p w14:paraId="27B9010F" w14:textId="357DE923" w:rsidR="007F3814" w:rsidRPr="005E4A66" w:rsidRDefault="007F3814" w:rsidP="005E4A66">
      <w:pPr>
        <w:pStyle w:val="TableTitle"/>
      </w:pPr>
      <w:bookmarkStart w:id="63" w:name="_Ref99385640"/>
      <w:r w:rsidRPr="005E4A66">
        <w:t xml:space="preserve">Table </w:t>
      </w:r>
      <w:fldSimple w:instr=" SEQ Table \* ARABIC ">
        <w:r w:rsidR="0078142B">
          <w:rPr>
            <w:noProof/>
          </w:rPr>
          <w:t>4</w:t>
        </w:r>
      </w:fldSimple>
      <w:bookmarkEnd w:id="63"/>
      <w:r w:rsidRPr="005E4A66">
        <w:t xml:space="preserve">: Current proposed dose regimens </w:t>
      </w:r>
      <w:r w:rsidR="00747C75" w:rsidRPr="005E4A66">
        <w:t xml:space="preserve">for children with </w:t>
      </w:r>
      <w:r w:rsidRPr="005E4A66">
        <w:t>atopic dermatitis</w:t>
      </w:r>
      <w:r w:rsidR="00747C75" w:rsidRPr="005E4A66">
        <w:t xml:space="preserve"> (Australia)</w:t>
      </w:r>
    </w:p>
    <w:p w14:paraId="0E516660" w14:textId="18CFA81A" w:rsidR="00A908C9" w:rsidRPr="00822968" w:rsidRDefault="00423792" w:rsidP="005E4A66">
      <w:r w:rsidRPr="00822968">
        <w:rPr>
          <w:noProof/>
          <w:lang w:val="en-GB" w:eastAsia="en-GB"/>
        </w:rPr>
        <w:drawing>
          <wp:inline distT="0" distB="0" distL="0" distR="0" wp14:anchorId="256C2E79" wp14:editId="248361C0">
            <wp:extent cx="4287448" cy="827844"/>
            <wp:effectExtent l="0" t="0" r="0" b="0"/>
            <wp:docPr id="1" name="Picture 1" descr="Table 4: Current proposed dose regimens for children with atopic dermatiti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4: Current proposed dose regimens for children with atopic dermatitis (Australia)"/>
                    <pic:cNvPicPr/>
                  </pic:nvPicPr>
                  <pic:blipFill>
                    <a:blip r:embed="rId19"/>
                    <a:stretch>
                      <a:fillRect/>
                    </a:stretch>
                  </pic:blipFill>
                  <pic:spPr>
                    <a:xfrm>
                      <a:off x="0" y="0"/>
                      <a:ext cx="4335463" cy="837115"/>
                    </a:xfrm>
                    <a:prstGeom prst="rect">
                      <a:avLst/>
                    </a:prstGeom>
                  </pic:spPr>
                </pic:pic>
              </a:graphicData>
            </a:graphic>
          </wp:inline>
        </w:drawing>
      </w:r>
    </w:p>
    <w:p w14:paraId="7170A809" w14:textId="520D9F02" w:rsidR="00423792" w:rsidRPr="005E4A66" w:rsidRDefault="00423792" w:rsidP="005E4A66">
      <w:pPr>
        <w:pStyle w:val="TableDescription"/>
      </w:pPr>
      <w:r w:rsidRPr="005E4A66">
        <w:t>q2w = once every 2 weeks; q4w = once every 4 weeks.</w:t>
      </w:r>
    </w:p>
    <w:p w14:paraId="63D131FC" w14:textId="3628A9A9" w:rsidR="00A908C9" w:rsidRPr="00822968" w:rsidRDefault="00A908C9" w:rsidP="00F127FA">
      <w:r w:rsidRPr="00822968">
        <w:t>The US</w:t>
      </w:r>
      <w:r w:rsidR="00423792" w:rsidRPr="00822968">
        <w:t xml:space="preserve"> </w:t>
      </w:r>
      <w:r w:rsidRPr="00822968">
        <w:t xml:space="preserve">regimen for children with </w:t>
      </w:r>
      <w:r w:rsidR="00F8231A" w:rsidRPr="00822968">
        <w:t xml:space="preserve">atopic </w:t>
      </w:r>
      <w:r w:rsidR="00423792" w:rsidRPr="00822968">
        <w:t>dermatitis is</w:t>
      </w:r>
      <w:r w:rsidRPr="00822968">
        <w:t xml:space="preserve"> </w:t>
      </w:r>
      <w:r w:rsidR="00747C75" w:rsidRPr="00822968">
        <w:t xml:space="preserve">shown in </w:t>
      </w:r>
      <w:r w:rsidR="00747C75" w:rsidRPr="00822968">
        <w:fldChar w:fldCharType="begin"/>
      </w:r>
      <w:r w:rsidR="00747C75" w:rsidRPr="00822968">
        <w:instrText xml:space="preserve"> REF _Ref99385725 \h </w:instrText>
      </w:r>
      <w:r w:rsidR="00822968">
        <w:instrText xml:space="preserve"> \* MERGEFORMAT </w:instrText>
      </w:r>
      <w:r w:rsidR="00747C75" w:rsidRPr="00822968">
        <w:fldChar w:fldCharType="separate"/>
      </w:r>
      <w:r w:rsidR="0078142B" w:rsidRPr="005E4A66">
        <w:t xml:space="preserve">Table </w:t>
      </w:r>
      <w:r w:rsidR="0078142B">
        <w:rPr>
          <w:noProof/>
        </w:rPr>
        <w:t>5</w:t>
      </w:r>
      <w:r w:rsidR="00747C75" w:rsidRPr="00822968">
        <w:fldChar w:fldCharType="end"/>
      </w:r>
      <w:r w:rsidR="00423792" w:rsidRPr="00822968">
        <w:t xml:space="preserve">. The EU regimens for adolescents (12 to 17 years of age) and children (6 to 11 years of age) with atopic dermatitis are shown in </w:t>
      </w:r>
      <w:r w:rsidR="00423792" w:rsidRPr="00822968">
        <w:fldChar w:fldCharType="begin"/>
      </w:r>
      <w:r w:rsidR="00423792" w:rsidRPr="00822968">
        <w:instrText xml:space="preserve"> REF _Ref99387375 \h </w:instrText>
      </w:r>
      <w:r w:rsidR="00822968">
        <w:instrText xml:space="preserve"> \* MERGEFORMAT </w:instrText>
      </w:r>
      <w:r w:rsidR="00423792" w:rsidRPr="00822968">
        <w:fldChar w:fldCharType="separate"/>
      </w:r>
      <w:r w:rsidR="0078142B" w:rsidRPr="005E4A66">
        <w:t xml:space="preserve">Table </w:t>
      </w:r>
      <w:r w:rsidR="0078142B">
        <w:rPr>
          <w:noProof/>
        </w:rPr>
        <w:t>6</w:t>
      </w:r>
      <w:r w:rsidR="00423792" w:rsidRPr="00822968">
        <w:fldChar w:fldCharType="end"/>
      </w:r>
      <w:r w:rsidR="00423792" w:rsidRPr="00822968">
        <w:t xml:space="preserve"> and </w:t>
      </w:r>
      <w:r w:rsidR="00423792" w:rsidRPr="00822968">
        <w:fldChar w:fldCharType="begin"/>
      </w:r>
      <w:r w:rsidR="00423792" w:rsidRPr="00822968">
        <w:instrText xml:space="preserve"> REF _Ref99387456 \h </w:instrText>
      </w:r>
      <w:r w:rsidR="00822968">
        <w:instrText xml:space="preserve"> \* MERGEFORMAT </w:instrText>
      </w:r>
      <w:r w:rsidR="00423792" w:rsidRPr="00822968">
        <w:fldChar w:fldCharType="separate"/>
      </w:r>
      <w:r w:rsidR="0078142B" w:rsidRPr="005E4A66">
        <w:t xml:space="preserve">Table </w:t>
      </w:r>
      <w:r w:rsidR="0078142B">
        <w:rPr>
          <w:noProof/>
        </w:rPr>
        <w:t>7</w:t>
      </w:r>
      <w:r w:rsidR="00423792" w:rsidRPr="00822968">
        <w:fldChar w:fldCharType="end"/>
      </w:r>
      <w:r w:rsidR="00423792" w:rsidRPr="00822968">
        <w:t>, respectively</w:t>
      </w:r>
      <w:r w:rsidR="00747C75" w:rsidRPr="00822968">
        <w:t>.</w:t>
      </w:r>
    </w:p>
    <w:p w14:paraId="55A7A6BD" w14:textId="6A9D0884" w:rsidR="00747C75" w:rsidRPr="005E4A66" w:rsidRDefault="00747C75" w:rsidP="005E4A66">
      <w:pPr>
        <w:pStyle w:val="TableTitle"/>
      </w:pPr>
      <w:bookmarkStart w:id="64" w:name="_Ref99385725"/>
      <w:r w:rsidRPr="005E4A66">
        <w:lastRenderedPageBreak/>
        <w:t xml:space="preserve">Table </w:t>
      </w:r>
      <w:fldSimple w:instr=" SEQ Table \* ARABIC ">
        <w:r w:rsidR="0078142B">
          <w:rPr>
            <w:noProof/>
          </w:rPr>
          <w:t>5</w:t>
        </w:r>
      </w:fldSimple>
      <w:bookmarkEnd w:id="64"/>
      <w:r w:rsidRPr="005E4A66">
        <w:t>: Dose regimens for children with atopic dermatitis (United States of America)</w:t>
      </w:r>
    </w:p>
    <w:p w14:paraId="0C400508" w14:textId="7E5BEB06" w:rsidR="00423792" w:rsidRPr="00822968" w:rsidRDefault="00423792" w:rsidP="005E4A66">
      <w:r w:rsidRPr="00822968">
        <w:rPr>
          <w:noProof/>
          <w:lang w:val="en-GB" w:eastAsia="en-GB"/>
        </w:rPr>
        <w:drawing>
          <wp:inline distT="0" distB="0" distL="0" distR="0" wp14:anchorId="27543546" wp14:editId="27FEF95F">
            <wp:extent cx="4467616" cy="848447"/>
            <wp:effectExtent l="0" t="0" r="0" b="8890"/>
            <wp:docPr id="18" name="Picture 18" descr="Table 5: Dose regimens for children with atopic dermatitis (United States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able 5: Dose regimens for children with atopic dermatitis (United States of America)"/>
                    <pic:cNvPicPr/>
                  </pic:nvPicPr>
                  <pic:blipFill>
                    <a:blip r:embed="rId20"/>
                    <a:stretch>
                      <a:fillRect/>
                    </a:stretch>
                  </pic:blipFill>
                  <pic:spPr>
                    <a:xfrm>
                      <a:off x="0" y="0"/>
                      <a:ext cx="4559084" cy="865818"/>
                    </a:xfrm>
                    <a:prstGeom prst="rect">
                      <a:avLst/>
                    </a:prstGeom>
                  </pic:spPr>
                </pic:pic>
              </a:graphicData>
            </a:graphic>
          </wp:inline>
        </w:drawing>
      </w:r>
    </w:p>
    <w:p w14:paraId="765BDB2F" w14:textId="23A303C1" w:rsidR="00423792" w:rsidRPr="005E4A66" w:rsidRDefault="00423792" w:rsidP="005E4A66">
      <w:pPr>
        <w:pStyle w:val="TableDescription"/>
      </w:pPr>
      <w:r w:rsidRPr="005E4A66">
        <w:t xml:space="preserve">a. </w:t>
      </w:r>
      <w:r w:rsidR="00C34207" w:rsidRPr="005E4A66">
        <w:t>Q</w:t>
      </w:r>
      <w:r w:rsidRPr="005E4A66">
        <w:t>2</w:t>
      </w:r>
      <w:r w:rsidR="00C34207" w:rsidRPr="005E4A66">
        <w:t>W</w:t>
      </w:r>
      <w:r w:rsidRPr="005E4A66">
        <w:t xml:space="preserve"> = once every 2 weeks; </w:t>
      </w:r>
      <w:r w:rsidR="00C34207" w:rsidRPr="005E4A66">
        <w:t>Q</w:t>
      </w:r>
      <w:r w:rsidRPr="005E4A66">
        <w:t>4</w:t>
      </w:r>
      <w:r w:rsidR="00C34207" w:rsidRPr="005E4A66">
        <w:t>W</w:t>
      </w:r>
      <w:r w:rsidRPr="005E4A66">
        <w:t xml:space="preserve"> = once every 4 weeks.</w:t>
      </w:r>
    </w:p>
    <w:p w14:paraId="255CD15B" w14:textId="7B8F6E9C" w:rsidR="00747C75" w:rsidRPr="005E4A66" w:rsidRDefault="00747C75" w:rsidP="005E4A66">
      <w:pPr>
        <w:pStyle w:val="TableTitle"/>
      </w:pPr>
      <w:bookmarkStart w:id="65" w:name="_Ref99387375"/>
      <w:r w:rsidRPr="005E4A66">
        <w:t xml:space="preserve">Table </w:t>
      </w:r>
      <w:fldSimple w:instr=" SEQ Table \* ARABIC ">
        <w:r w:rsidR="0078142B">
          <w:rPr>
            <w:noProof/>
          </w:rPr>
          <w:t>6</w:t>
        </w:r>
      </w:fldSimple>
      <w:bookmarkEnd w:id="65"/>
      <w:r w:rsidRPr="005E4A66">
        <w:t xml:space="preserve">: Dose </w:t>
      </w:r>
      <w:r w:rsidR="00423792" w:rsidRPr="005E4A66">
        <w:t xml:space="preserve">of dupilumab for subcutaneous administration in adolescent patients 12 to 17 years of age with </w:t>
      </w:r>
      <w:r w:rsidRPr="005E4A66">
        <w:t>atopic dermatitis (European Union)</w:t>
      </w:r>
    </w:p>
    <w:p w14:paraId="07956A0E" w14:textId="1C6A24A4" w:rsidR="00423792" w:rsidRPr="00822968" w:rsidRDefault="00423792" w:rsidP="005E4A66">
      <w:r w:rsidRPr="00822968">
        <w:rPr>
          <w:noProof/>
          <w:lang w:val="en-GB" w:eastAsia="en-GB"/>
        </w:rPr>
        <w:drawing>
          <wp:inline distT="0" distB="0" distL="0" distR="0" wp14:anchorId="2F0C6698" wp14:editId="09FACE01">
            <wp:extent cx="5400040" cy="724535"/>
            <wp:effectExtent l="0" t="0" r="0" b="0"/>
            <wp:docPr id="19" name="Picture 19" descr="Table 6: Dose of dupilumab for subcutaneous administration in adolescent patients 12 to 17 years of age with atopic dermatitis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 6: Dose of dupilumab for subcutaneous administration in adolescent patients 12 to 17 years of age with atopic dermatitis (European Union)"/>
                    <pic:cNvPicPr/>
                  </pic:nvPicPr>
                  <pic:blipFill>
                    <a:blip r:embed="rId21"/>
                    <a:stretch>
                      <a:fillRect/>
                    </a:stretch>
                  </pic:blipFill>
                  <pic:spPr>
                    <a:xfrm>
                      <a:off x="0" y="0"/>
                      <a:ext cx="5400040" cy="724535"/>
                    </a:xfrm>
                    <a:prstGeom prst="rect">
                      <a:avLst/>
                    </a:prstGeom>
                  </pic:spPr>
                </pic:pic>
              </a:graphicData>
            </a:graphic>
          </wp:inline>
        </w:drawing>
      </w:r>
    </w:p>
    <w:p w14:paraId="535666AA" w14:textId="1130FB38" w:rsidR="00423792" w:rsidRPr="005E4A66" w:rsidRDefault="00423792" w:rsidP="005E4A66">
      <w:pPr>
        <w:pStyle w:val="TableTitle"/>
      </w:pPr>
      <w:bookmarkStart w:id="66" w:name="_Ref99387456"/>
      <w:r w:rsidRPr="005E4A66">
        <w:t xml:space="preserve">Table </w:t>
      </w:r>
      <w:fldSimple w:instr=" SEQ Table \* ARABIC ">
        <w:r w:rsidR="0078142B">
          <w:rPr>
            <w:noProof/>
          </w:rPr>
          <w:t>7</w:t>
        </w:r>
      </w:fldSimple>
      <w:bookmarkEnd w:id="66"/>
      <w:r w:rsidRPr="005E4A66">
        <w:t xml:space="preserve">: Dose of dupilumab for subcutaneous administration in </w:t>
      </w:r>
      <w:proofErr w:type="gramStart"/>
      <w:r w:rsidRPr="005E4A66">
        <w:t>children</w:t>
      </w:r>
      <w:proofErr w:type="gramEnd"/>
      <w:r w:rsidRPr="005E4A66">
        <w:t xml:space="preserve"> patients 6</w:t>
      </w:r>
      <w:r w:rsidR="00C34207" w:rsidRPr="005E4A66">
        <w:t> </w:t>
      </w:r>
      <w:r w:rsidRPr="005E4A66">
        <w:t>to 11 years of age with atopic dermatitis (European Union)</w:t>
      </w:r>
    </w:p>
    <w:p w14:paraId="46D2AAA2" w14:textId="525067A4" w:rsidR="00423792" w:rsidRPr="00822968" w:rsidRDefault="00423792" w:rsidP="005E4A66">
      <w:r w:rsidRPr="00822968">
        <w:rPr>
          <w:noProof/>
          <w:lang w:val="en-GB" w:eastAsia="en-GB"/>
        </w:rPr>
        <w:drawing>
          <wp:inline distT="0" distB="0" distL="0" distR="0" wp14:anchorId="372FA57C" wp14:editId="54B26367">
            <wp:extent cx="5400040" cy="1192530"/>
            <wp:effectExtent l="0" t="0" r="0" b="7620"/>
            <wp:docPr id="22" name="Picture 22" descr="Table 7: Dose of dupilumab for subcutaneous administration in children patients 6 to 11 years of age with atopic dermatitis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able 7: Dose of dupilumab for subcutaneous administration in children patients 6 to 11 years of age with atopic dermatitis (European Union)"/>
                    <pic:cNvPicPr/>
                  </pic:nvPicPr>
                  <pic:blipFill>
                    <a:blip r:embed="rId22"/>
                    <a:stretch>
                      <a:fillRect/>
                    </a:stretch>
                  </pic:blipFill>
                  <pic:spPr>
                    <a:xfrm>
                      <a:off x="0" y="0"/>
                      <a:ext cx="5400040" cy="1192530"/>
                    </a:xfrm>
                    <a:prstGeom prst="rect">
                      <a:avLst/>
                    </a:prstGeom>
                  </pic:spPr>
                </pic:pic>
              </a:graphicData>
            </a:graphic>
          </wp:inline>
        </w:drawing>
      </w:r>
    </w:p>
    <w:p w14:paraId="706667A2" w14:textId="6F4F77B4" w:rsidR="00423792" w:rsidRPr="005E4A66" w:rsidRDefault="00C34207" w:rsidP="005E4A66">
      <w:pPr>
        <w:pStyle w:val="TableDescription"/>
      </w:pPr>
      <w:r w:rsidRPr="005E4A66">
        <w:t>Q</w:t>
      </w:r>
      <w:r w:rsidR="00423792" w:rsidRPr="005E4A66">
        <w:t>2</w:t>
      </w:r>
      <w:r w:rsidRPr="005E4A66">
        <w:t>W</w:t>
      </w:r>
      <w:r w:rsidR="00423792" w:rsidRPr="005E4A66">
        <w:t xml:space="preserve"> = once every 2 weeks; </w:t>
      </w:r>
      <w:r w:rsidRPr="005E4A66">
        <w:t>Q</w:t>
      </w:r>
      <w:r w:rsidR="00423792" w:rsidRPr="005E4A66">
        <w:t>4</w:t>
      </w:r>
      <w:r w:rsidRPr="005E4A66">
        <w:t>W</w:t>
      </w:r>
      <w:r w:rsidR="00423792" w:rsidRPr="005E4A66">
        <w:t xml:space="preserve"> = once every 4 weeks.</w:t>
      </w:r>
    </w:p>
    <w:p w14:paraId="71A4CCF3" w14:textId="65D9D251" w:rsidR="00423792" w:rsidRPr="005E4A66" w:rsidRDefault="00423792" w:rsidP="005E4A66">
      <w:pPr>
        <w:pStyle w:val="TableDescription"/>
      </w:pPr>
      <w:r w:rsidRPr="005E4A66">
        <w:t>* The dose may be increased to 200 mg once every 2 weeks in patients with body weight of 15 kg to less than 60 kg based on physician’s assessment.</w:t>
      </w:r>
    </w:p>
    <w:p w14:paraId="224F2F34" w14:textId="51897F5D" w:rsidR="00A908C9" w:rsidRPr="00822968" w:rsidRDefault="00A908C9" w:rsidP="00F127FA">
      <w:r w:rsidRPr="00822968">
        <w:t xml:space="preserve">The data suggest that dupilumab is associated with substantial efficacy benefits and only limited toxicity when used for the treatment of </w:t>
      </w:r>
      <w:r w:rsidR="00F8231A" w:rsidRPr="00822968">
        <w:t>atopic dermatitis</w:t>
      </w:r>
      <w:r w:rsidRPr="00822968">
        <w:t xml:space="preserve"> in children aged 6</w:t>
      </w:r>
      <w:r w:rsidR="00817B09" w:rsidRPr="00822968">
        <w:t xml:space="preserve"> to </w:t>
      </w:r>
      <w:r w:rsidRPr="00822968">
        <w:t>11</w:t>
      </w:r>
      <w:r w:rsidR="00817B09" w:rsidRPr="00822968">
        <w:t> </w:t>
      </w:r>
      <w:r w:rsidRPr="00822968">
        <w:t>years. The overall benefit-risk balance was therefore considered favourable.</w:t>
      </w:r>
    </w:p>
    <w:p w14:paraId="10E0FA8C" w14:textId="77777777" w:rsidR="00D23139" w:rsidRPr="00822968" w:rsidRDefault="00D23139" w:rsidP="00D23139">
      <w:pPr>
        <w:pStyle w:val="Heading4"/>
      </w:pPr>
      <w:r w:rsidRPr="00822968">
        <w:t>Proposed action</w:t>
      </w:r>
    </w:p>
    <w:p w14:paraId="383504EA" w14:textId="1FBD3FD5" w:rsidR="00A908C9" w:rsidRPr="00822968" w:rsidRDefault="00817B09" w:rsidP="00F127FA">
      <w:r w:rsidRPr="00822968">
        <w:t xml:space="preserve">The Delegate </w:t>
      </w:r>
      <w:r w:rsidR="00A908C9" w:rsidRPr="00822968">
        <w:t>propose</w:t>
      </w:r>
      <w:r w:rsidRPr="00822968">
        <w:t>s</w:t>
      </w:r>
      <w:r w:rsidR="00A908C9" w:rsidRPr="00822968">
        <w:t xml:space="preserve"> to accept both of the proposed major variations to the conditions of approval for </w:t>
      </w:r>
      <w:r w:rsidR="000B14C7" w:rsidRPr="00822968">
        <w:t>Dupixent</w:t>
      </w:r>
      <w:r w:rsidR="00A908C9" w:rsidRPr="00822968">
        <w:t xml:space="preserve">. Approval is subject to satisfactory resolution of the </w:t>
      </w:r>
      <w:r w:rsidRPr="00822968">
        <w:t>PI</w:t>
      </w:r>
      <w:r w:rsidR="00A908C9" w:rsidRPr="00822968">
        <w:t>.</w:t>
      </w:r>
    </w:p>
    <w:p w14:paraId="5432627E" w14:textId="77777777" w:rsidR="007D53B6" w:rsidRPr="00822968" w:rsidRDefault="007D53B6" w:rsidP="007D53B6">
      <w:pPr>
        <w:pStyle w:val="Heading4"/>
      </w:pPr>
      <w:r w:rsidRPr="00822968">
        <w:t xml:space="preserve">Questions for </w:t>
      </w:r>
      <w:r w:rsidR="00744121" w:rsidRPr="00822968">
        <w:t xml:space="preserve">the </w:t>
      </w:r>
      <w:r w:rsidRPr="00822968">
        <w:t>sponsor</w:t>
      </w:r>
    </w:p>
    <w:p w14:paraId="2BF95FE1" w14:textId="15BF9407" w:rsidR="00744121" w:rsidRPr="00822968" w:rsidRDefault="00744121" w:rsidP="00372A72">
      <w:r w:rsidRPr="00822968">
        <w:t>The sponsor provided the following response to questions from the Delegate.</w:t>
      </w:r>
    </w:p>
    <w:p w14:paraId="7DCE9E42" w14:textId="56B03065" w:rsidR="00A908C9" w:rsidRPr="00822968" w:rsidRDefault="00A908C9" w:rsidP="00372A72">
      <w:pPr>
        <w:pStyle w:val="Numberbullet0"/>
        <w:rPr>
          <w:b/>
          <w:bCs/>
          <w:i/>
          <w:iCs/>
        </w:rPr>
      </w:pPr>
      <w:r w:rsidRPr="00822968">
        <w:rPr>
          <w:b/>
          <w:bCs/>
          <w:i/>
          <w:iCs/>
        </w:rPr>
        <w:t xml:space="preserve">Please comment on the clinical significance of the differences in primary efficacy measures of the </w:t>
      </w:r>
      <w:r w:rsidR="00D4016D" w:rsidRPr="00822968">
        <w:rPr>
          <w:b/>
          <w:bCs/>
          <w:i/>
          <w:iCs/>
        </w:rPr>
        <w:t>once every 2 weeks</w:t>
      </w:r>
      <w:r w:rsidRPr="00822968">
        <w:rPr>
          <w:b/>
          <w:bCs/>
          <w:i/>
          <w:iCs/>
        </w:rPr>
        <w:t xml:space="preserve"> and </w:t>
      </w:r>
      <w:r w:rsidR="00D4016D" w:rsidRPr="00822968">
        <w:rPr>
          <w:b/>
          <w:bCs/>
          <w:i/>
          <w:iCs/>
        </w:rPr>
        <w:t>once every 4 weeks</w:t>
      </w:r>
      <w:r w:rsidRPr="00822968">
        <w:rPr>
          <w:b/>
          <w:bCs/>
          <w:i/>
          <w:iCs/>
        </w:rPr>
        <w:t xml:space="preserve"> dupilumab regimens for </w:t>
      </w:r>
      <w:r w:rsidR="00E81D7F">
        <w:rPr>
          <w:b/>
          <w:bCs/>
          <w:i/>
          <w:iCs/>
        </w:rPr>
        <w:t>chronic rhinosinusitis with nasal polyps</w:t>
      </w:r>
      <w:r w:rsidRPr="00822968">
        <w:rPr>
          <w:b/>
          <w:bCs/>
          <w:i/>
          <w:iCs/>
        </w:rPr>
        <w:t>.</w:t>
      </w:r>
    </w:p>
    <w:p w14:paraId="14EA52B9" w14:textId="403D8435" w:rsidR="00372A72" w:rsidRPr="00822968" w:rsidRDefault="00372A72" w:rsidP="00372A72">
      <w:r w:rsidRPr="00822968">
        <w:t xml:space="preserve">As discussed in </w:t>
      </w:r>
      <w:r w:rsidR="00E81D7F">
        <w:t xml:space="preserve">the </w:t>
      </w:r>
      <w:proofErr w:type="gramStart"/>
      <w:r w:rsidR="0008523B">
        <w:t>sponsor</w:t>
      </w:r>
      <w:r w:rsidR="00E81D7F">
        <w:t>‘</w:t>
      </w:r>
      <w:proofErr w:type="gramEnd"/>
      <w:r w:rsidR="00E81D7F">
        <w:t xml:space="preserve">s </w:t>
      </w:r>
      <w:r w:rsidR="0008523B">
        <w:t>submitted dossier</w:t>
      </w:r>
      <w:r w:rsidRPr="00822968">
        <w:t xml:space="preserve">, the data generated in the </w:t>
      </w:r>
      <w:r w:rsidR="001B51E6" w:rsidRPr="00822968">
        <w:t>Phase</w:t>
      </w:r>
      <w:r w:rsidRPr="00822968">
        <w:t xml:space="preserve"> </w:t>
      </w:r>
      <w:r w:rsidR="001B51E6" w:rsidRPr="00822968">
        <w:t>III</w:t>
      </w:r>
      <w:r w:rsidRPr="00822968">
        <w:t xml:space="preserve"> program indicates that the 300 mg every 4 weeks is suboptimal dosing for at least a subset of patients based on efficacy, PK, and safety events indicative of lack of efficacy. Further details are provided below.</w:t>
      </w:r>
    </w:p>
    <w:p w14:paraId="7C743BC6" w14:textId="223A8C27" w:rsidR="00372A72" w:rsidRPr="00822968" w:rsidRDefault="00372A72" w:rsidP="00372A72">
      <w:r w:rsidRPr="00822968">
        <w:t xml:space="preserve">In relation to Study EFC14280 efficacy, continued treatment with 300 mg every 2 weeks between Weeks 24 and 52 was associated with further increase in the proportion of patients with at least 1 point reduction in nasal polyp score (NPS) up to 67.3% (+11%) </w:t>
      </w:r>
      <w:r w:rsidRPr="00822968">
        <w:lastRenderedPageBreak/>
        <w:t xml:space="preserve">without reaching the maximum effect while no increase in responder rate was observed for patients who switched to </w:t>
      </w:r>
      <w:r w:rsidR="00D4016D" w:rsidRPr="00822968">
        <w:t>once every 4 weeks</w:t>
      </w:r>
      <w:r w:rsidRPr="00822968">
        <w:t xml:space="preserve"> after Week 24, indicating that continued treatment with dupilumab 300 mg </w:t>
      </w:r>
      <w:r w:rsidR="00D4016D" w:rsidRPr="00822968">
        <w:t>once every 2 weeks</w:t>
      </w:r>
      <w:r w:rsidRPr="00822968">
        <w:t xml:space="preserve"> after 24 weeks will result in additional benefit for a substantial amount of the patients.</w:t>
      </w:r>
    </w:p>
    <w:p w14:paraId="413DDC62" w14:textId="62B0F880" w:rsidR="00372A72" w:rsidRPr="00822968" w:rsidRDefault="00372A72" w:rsidP="00372A72">
      <w:r w:rsidRPr="00822968">
        <w:t>Review of the dupilumab drug concentration data showed that more patients in the 300</w:t>
      </w:r>
      <w:r w:rsidR="00817B09" w:rsidRPr="00822968">
        <w:t> </w:t>
      </w:r>
      <w:r w:rsidRPr="00822968">
        <w:t xml:space="preserve">mg </w:t>
      </w:r>
      <w:r w:rsidR="00D4016D" w:rsidRPr="00822968">
        <w:t>once every 2 weeks once every 4 weeks</w:t>
      </w:r>
      <w:r w:rsidRPr="00822968">
        <w:t xml:space="preserve"> regimen (8.7%) had steady-state concentrations that were below the limit of quantitation (0.078 mg/L) than those in the 300</w:t>
      </w:r>
      <w:r w:rsidR="00817B09" w:rsidRPr="00822968">
        <w:t> </w:t>
      </w:r>
      <w:r w:rsidRPr="00822968">
        <w:t xml:space="preserve">mg </w:t>
      </w:r>
      <w:r w:rsidR="00D4016D" w:rsidRPr="00822968">
        <w:t>once every 2 weeks</w:t>
      </w:r>
      <w:r w:rsidRPr="00822968">
        <w:t xml:space="preserve"> regimen (1.8%) at Week</w:t>
      </w:r>
      <w:r w:rsidR="00817B09" w:rsidRPr="00822968">
        <w:t> </w:t>
      </w:r>
      <w:r w:rsidRPr="00822968">
        <w:t xml:space="preserve">52. A lower proportion of patients at the 300 mg </w:t>
      </w:r>
      <w:r w:rsidR="00D4016D" w:rsidRPr="00822968">
        <w:t>once every 2 weeks</w:t>
      </w:r>
      <w:r w:rsidR="00DF6D9B" w:rsidRPr="00822968">
        <w:t xml:space="preserve"> to </w:t>
      </w:r>
      <w:r w:rsidR="00D4016D" w:rsidRPr="00822968">
        <w:t>once every 4 weeks</w:t>
      </w:r>
      <w:r w:rsidRPr="00822968">
        <w:t xml:space="preserve"> regimen (86%) maintained </w:t>
      </w:r>
      <w:bookmarkStart w:id="67" w:name="_Hlk99125572"/>
      <w:r w:rsidRPr="00822968">
        <w:t>steady</w:t>
      </w:r>
      <w:r w:rsidR="00817B09" w:rsidRPr="00822968">
        <w:t xml:space="preserve"> </w:t>
      </w:r>
      <w:r w:rsidRPr="00822968">
        <w:t>state trough concentrations</w:t>
      </w:r>
      <w:bookmarkEnd w:id="67"/>
      <w:r w:rsidRPr="00822968">
        <w:t xml:space="preserve"> above the </w:t>
      </w:r>
      <w:bookmarkStart w:id="68" w:name="_Hlk99125577"/>
      <w:r w:rsidR="00DF6D9B" w:rsidRPr="00822968">
        <w:t>half maximal effective concentration (</w:t>
      </w:r>
      <w:r w:rsidRPr="00822968">
        <w:t>EC</w:t>
      </w:r>
      <w:r w:rsidRPr="00822968">
        <w:rPr>
          <w:vertAlign w:val="subscript"/>
        </w:rPr>
        <w:t>50</w:t>
      </w:r>
      <w:r w:rsidR="00DF6D9B" w:rsidRPr="00822968">
        <w:t>)</w:t>
      </w:r>
      <w:r w:rsidRPr="00822968">
        <w:t xml:space="preserve"> </w:t>
      </w:r>
      <w:bookmarkEnd w:id="68"/>
      <w:r w:rsidRPr="00822968">
        <w:t>(1.75 mg/L) of NPS response compared to 300</w:t>
      </w:r>
      <w:r w:rsidR="00817B09" w:rsidRPr="00822968">
        <w:t> </w:t>
      </w:r>
      <w:r w:rsidRPr="00822968">
        <w:t xml:space="preserve">mg </w:t>
      </w:r>
      <w:r w:rsidR="00D4016D" w:rsidRPr="00822968">
        <w:t>once every 2 weeks</w:t>
      </w:r>
      <w:r w:rsidRPr="00822968">
        <w:t xml:space="preserve"> (97%) (</w:t>
      </w:r>
      <w:r w:rsidR="00DF6D9B" w:rsidRPr="00822968">
        <w:fldChar w:fldCharType="begin"/>
      </w:r>
      <w:r w:rsidR="00DF6D9B" w:rsidRPr="00822968">
        <w:instrText xml:space="preserve"> REF _Ref99383983 \h </w:instrText>
      </w:r>
      <w:r w:rsidR="00822968">
        <w:instrText xml:space="preserve"> \* MERGEFORMAT </w:instrText>
      </w:r>
      <w:r w:rsidR="00DF6D9B" w:rsidRPr="00822968">
        <w:fldChar w:fldCharType="separate"/>
      </w:r>
      <w:r w:rsidR="0078142B" w:rsidRPr="005E4A66">
        <w:t xml:space="preserve">Figure </w:t>
      </w:r>
      <w:r w:rsidR="0078142B">
        <w:rPr>
          <w:noProof/>
        </w:rPr>
        <w:t>5</w:t>
      </w:r>
      <w:r w:rsidR="00DF6D9B" w:rsidRPr="00822968">
        <w:fldChar w:fldCharType="end"/>
      </w:r>
      <w:r w:rsidRPr="00822968">
        <w:t xml:space="preserve">). The proportion of patients who maintained Week 52 steady-state trough concentrations above the </w:t>
      </w:r>
      <w:r w:rsidR="00DF6D9B" w:rsidRPr="00822968">
        <w:t>90% maximal effective concentration (</w:t>
      </w:r>
      <w:r w:rsidRPr="00822968">
        <w:t>EC</w:t>
      </w:r>
      <w:r w:rsidRPr="00822968">
        <w:rPr>
          <w:vertAlign w:val="subscript"/>
        </w:rPr>
        <w:t>90</w:t>
      </w:r>
      <w:r w:rsidR="00DF6D9B" w:rsidRPr="00822968">
        <w:t>)</w:t>
      </w:r>
      <w:r w:rsidRPr="00822968">
        <w:t xml:space="preserve"> (15.8 mg/L) of NPS response was 97%, and 41% at 300 mg </w:t>
      </w:r>
      <w:r w:rsidR="00D4016D" w:rsidRPr="00822968">
        <w:t>once every 2 weeks</w:t>
      </w:r>
      <w:r w:rsidRPr="00822968">
        <w:t xml:space="preserve"> and 300 mg </w:t>
      </w:r>
      <w:r w:rsidR="00D4016D" w:rsidRPr="00822968">
        <w:t>once every 2 weeks</w:t>
      </w:r>
      <w:r w:rsidR="00DF6D9B" w:rsidRPr="00822968">
        <w:t xml:space="preserve"> to</w:t>
      </w:r>
      <w:r w:rsidR="00D4016D" w:rsidRPr="00822968">
        <w:t xml:space="preserve"> once every 4</w:t>
      </w:r>
      <w:r w:rsidR="00E81D7F">
        <w:t> </w:t>
      </w:r>
      <w:r w:rsidR="00D4016D" w:rsidRPr="00822968">
        <w:t>weeks</w:t>
      </w:r>
      <w:r w:rsidRPr="00822968">
        <w:t xml:space="preserve"> regimens, respectively.</w:t>
      </w:r>
    </w:p>
    <w:p w14:paraId="35B3128C" w14:textId="15E937AE" w:rsidR="00372A72" w:rsidRPr="005E4A66" w:rsidRDefault="00DF6D9B" w:rsidP="005E4A66">
      <w:pPr>
        <w:pStyle w:val="FigureTitle"/>
      </w:pPr>
      <w:bookmarkStart w:id="69" w:name="_Ref99383983"/>
      <w:r w:rsidRPr="005E4A66">
        <w:t xml:space="preserve">Figure </w:t>
      </w:r>
      <w:fldSimple w:instr=" SEQ Figure \* ARABIC ">
        <w:r w:rsidR="0078142B">
          <w:rPr>
            <w:noProof/>
          </w:rPr>
          <w:t>5</w:t>
        </w:r>
      </w:fldSimple>
      <w:bookmarkEnd w:id="69"/>
      <w:r w:rsidRPr="005E4A66">
        <w:t>:</w:t>
      </w:r>
      <w:r w:rsidR="00372A72" w:rsidRPr="005E4A66">
        <w:t xml:space="preserve"> </w:t>
      </w:r>
      <w:r w:rsidR="00747C75" w:rsidRPr="005E4A66">
        <w:t xml:space="preserve">Study EFC14280 </w:t>
      </w:r>
      <w:r w:rsidR="00372A72" w:rsidRPr="005E4A66">
        <w:t>Box plot of dupilumab trough concentrations at Week 52 in individual patients with</w:t>
      </w:r>
      <w:r w:rsidR="00747C75" w:rsidRPr="005E4A66">
        <w:t xml:space="preserve"> chronic rhinosinusitis with nasal polyps</w:t>
      </w:r>
      <w:r w:rsidR="00372A72" w:rsidRPr="005E4A66">
        <w:t xml:space="preserve"> at 300 mg </w:t>
      </w:r>
      <w:r w:rsidR="00D4016D" w:rsidRPr="005E4A66">
        <w:t>once every 2 weeks</w:t>
      </w:r>
      <w:r w:rsidR="00372A72" w:rsidRPr="005E4A66">
        <w:t xml:space="preserve"> and 300 mg </w:t>
      </w:r>
      <w:r w:rsidR="00D4016D" w:rsidRPr="005E4A66">
        <w:t>once every 2 weeks</w:t>
      </w:r>
      <w:r w:rsidR="00747C75" w:rsidRPr="005E4A66">
        <w:t xml:space="preserve"> to</w:t>
      </w:r>
      <w:r w:rsidR="00D4016D" w:rsidRPr="005E4A66">
        <w:t xml:space="preserve"> once every 4 weeks</w:t>
      </w:r>
    </w:p>
    <w:p w14:paraId="637B45A0" w14:textId="5E4F5147" w:rsidR="00372A72" w:rsidRPr="00822968" w:rsidRDefault="00372A72" w:rsidP="005E4A66">
      <w:r w:rsidRPr="00822968">
        <w:rPr>
          <w:noProof/>
          <w:lang w:val="en-GB" w:eastAsia="en-GB"/>
        </w:rPr>
        <w:drawing>
          <wp:inline distT="0" distB="0" distL="0" distR="0" wp14:anchorId="01D655D0" wp14:editId="2228A399">
            <wp:extent cx="4498611" cy="4491907"/>
            <wp:effectExtent l="0" t="0" r="0" b="4445"/>
            <wp:docPr id="4" name="Picture 4" descr="Figure 5: Study EFC14280 Box plot of dupilumab trough concentrations at Week 52 in individual patients with chronic rhinosinusitis with nasal polyps at 300 mg once every 2 weeks and 300 mg once every 2 weeks to once every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5: Study EFC14280 Box plot of dupilumab trough concentrations at Week 52 in individual patients with chronic rhinosinusitis with nasal polyps at 300 mg once every 2 weeks and 300 mg once every 2 weeks to once every 4 wee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06010" cy="4499295"/>
                    </a:xfrm>
                    <a:prstGeom prst="rect">
                      <a:avLst/>
                    </a:prstGeom>
                    <a:noFill/>
                    <a:ln>
                      <a:noFill/>
                    </a:ln>
                  </pic:spPr>
                </pic:pic>
              </a:graphicData>
            </a:graphic>
          </wp:inline>
        </w:drawing>
      </w:r>
    </w:p>
    <w:p w14:paraId="439828A3" w14:textId="6B1721AE" w:rsidR="00747C75" w:rsidRPr="00822968" w:rsidRDefault="00747C75" w:rsidP="005E4A66">
      <w:pPr>
        <w:pStyle w:val="FigureDescription"/>
      </w:pPr>
      <w:r w:rsidRPr="00822968">
        <w:t>q2w = once every 2 weeks; q4w = once every 4 weeks</w:t>
      </w:r>
    </w:p>
    <w:p w14:paraId="58C46E8B" w14:textId="55BE8CBC" w:rsidR="00372A72" w:rsidRPr="00822968" w:rsidRDefault="00372A72" w:rsidP="005E4A66">
      <w:pPr>
        <w:pStyle w:val="FigureDescription"/>
      </w:pPr>
      <w:r w:rsidRPr="00822968">
        <w:t xml:space="preserve">The boxplot has individual observed data (as open circles). Lower and upper end of whisker indicate </w:t>
      </w:r>
      <w:r w:rsidR="00747C75" w:rsidRPr="00822968">
        <w:t>fifth</w:t>
      </w:r>
      <w:r w:rsidRPr="00822968">
        <w:t xml:space="preserve"> and </w:t>
      </w:r>
      <w:r w:rsidR="00747C75" w:rsidRPr="00822968">
        <w:t>ninety fifth</w:t>
      </w:r>
      <w:r w:rsidRPr="00822968">
        <w:t xml:space="preserve"> percentile of </w:t>
      </w:r>
      <w:r w:rsidR="00747C75" w:rsidRPr="00822968">
        <w:t>trough concentration (</w:t>
      </w:r>
      <w:proofErr w:type="spellStart"/>
      <w:r w:rsidR="003A795C" w:rsidRPr="00822968">
        <w:t>C</w:t>
      </w:r>
      <w:r w:rsidR="003A795C" w:rsidRPr="00822968">
        <w:rPr>
          <w:vertAlign w:val="subscript"/>
        </w:rPr>
        <w:t>trough</w:t>
      </w:r>
      <w:proofErr w:type="spellEnd"/>
      <w:r w:rsidR="00747C75" w:rsidRPr="00822968">
        <w:t>)</w:t>
      </w:r>
      <w:r w:rsidRPr="00822968">
        <w:t xml:space="preserve">; lower and upper boundary of the box and the median line represent the 25%, 75% and 50% percentiles of </w:t>
      </w:r>
      <w:proofErr w:type="spellStart"/>
      <w:r w:rsidR="003A795C" w:rsidRPr="00822968">
        <w:t>C</w:t>
      </w:r>
      <w:r w:rsidR="003A795C" w:rsidRPr="00822968">
        <w:rPr>
          <w:vertAlign w:val="subscript"/>
        </w:rPr>
        <w:t>trough</w:t>
      </w:r>
      <w:proofErr w:type="spellEnd"/>
      <w:r w:rsidR="00747C75" w:rsidRPr="00822968">
        <w:t>.</w:t>
      </w:r>
    </w:p>
    <w:p w14:paraId="02D1B8DF" w14:textId="061EE8C7" w:rsidR="00372A72" w:rsidRPr="00822968" w:rsidRDefault="00372A72" w:rsidP="00372A72">
      <w:r w:rsidRPr="00822968">
        <w:t xml:space="preserve">Based on these observations, complete saturation of target mediated elimination may not have been maintained in all patients in the 300 mg </w:t>
      </w:r>
      <w:r w:rsidR="00D4016D" w:rsidRPr="00822968">
        <w:t>once every 2 weeks</w:t>
      </w:r>
      <w:r w:rsidR="00DF6D9B" w:rsidRPr="00822968">
        <w:t xml:space="preserve"> to</w:t>
      </w:r>
      <w:r w:rsidR="00D4016D" w:rsidRPr="00822968">
        <w:t xml:space="preserve"> once every 4 </w:t>
      </w:r>
      <w:r w:rsidR="00D4016D" w:rsidRPr="00822968">
        <w:lastRenderedPageBreak/>
        <w:t>weeks</w:t>
      </w:r>
      <w:r w:rsidRPr="00822968">
        <w:t xml:space="preserve"> regimen after switching to a 300 mg </w:t>
      </w:r>
      <w:r w:rsidR="00D4016D" w:rsidRPr="00822968">
        <w:t>once every 4 weeks</w:t>
      </w:r>
      <w:r w:rsidRPr="00822968">
        <w:t xml:space="preserve"> schedule and we cannot exclude disease control erosion with 300 mg </w:t>
      </w:r>
      <w:r w:rsidR="00D4016D" w:rsidRPr="00822968">
        <w:t>once every 4 weeks</w:t>
      </w:r>
      <w:r w:rsidRPr="00822968">
        <w:t xml:space="preserve"> regimen upon longer term dosing</w:t>
      </w:r>
      <w:r w:rsidR="00817B09" w:rsidRPr="00822968">
        <w:t>, for example</w:t>
      </w:r>
      <w:r w:rsidRPr="00822968">
        <w:t>, after 52-week treatment period.</w:t>
      </w:r>
    </w:p>
    <w:p w14:paraId="3D455185" w14:textId="07FF3F94" w:rsidR="00372A72" w:rsidRPr="00822968" w:rsidRDefault="00372A72" w:rsidP="00372A72">
      <w:r w:rsidRPr="00822968">
        <w:t>In addition, treatment</w:t>
      </w:r>
      <w:r w:rsidR="00817B09" w:rsidRPr="00822968">
        <w:t xml:space="preserve"> </w:t>
      </w:r>
      <w:r w:rsidRPr="00822968">
        <w:t xml:space="preserve">emergent adverse events (TEAEs) of sinusitis, nasal polyps, and asthma which are generally associated with worsening of CRSwNP or asthma, were numerically higher in patients who switched at Week 24 from dupilumab 300 mg </w:t>
      </w:r>
      <w:r w:rsidR="00D4016D" w:rsidRPr="00822968">
        <w:t>once every 2 weeks</w:t>
      </w:r>
      <w:r w:rsidRPr="00822968">
        <w:t xml:space="preserve"> to </w:t>
      </w:r>
      <w:r w:rsidR="00D4016D" w:rsidRPr="00822968">
        <w:t>once every 4 weeks</w:t>
      </w:r>
      <w:r w:rsidRPr="00822968">
        <w:t xml:space="preserve"> dosing compared with those who remained on </w:t>
      </w:r>
      <w:r w:rsidR="00D4016D" w:rsidRPr="00822968">
        <w:t>once every 2 weeks</w:t>
      </w:r>
      <w:r w:rsidRPr="00822968">
        <w:t xml:space="preserve"> (</w:t>
      </w:r>
      <w:r w:rsidR="00DF6D9B" w:rsidRPr="00822968">
        <w:fldChar w:fldCharType="begin"/>
      </w:r>
      <w:r w:rsidR="00DF6D9B" w:rsidRPr="00822968">
        <w:instrText xml:space="preserve"> REF _Ref99384067 \h </w:instrText>
      </w:r>
      <w:r w:rsidR="00822968">
        <w:instrText xml:space="preserve"> \* MERGEFORMAT </w:instrText>
      </w:r>
      <w:r w:rsidR="00DF6D9B" w:rsidRPr="00822968">
        <w:fldChar w:fldCharType="separate"/>
      </w:r>
      <w:r w:rsidR="0078142B" w:rsidRPr="005E4A66">
        <w:t xml:space="preserve">Table </w:t>
      </w:r>
      <w:r w:rsidR="0078142B">
        <w:rPr>
          <w:noProof/>
        </w:rPr>
        <w:t>8</w:t>
      </w:r>
      <w:r w:rsidR="00DF6D9B" w:rsidRPr="00822968">
        <w:fldChar w:fldCharType="end"/>
      </w:r>
      <w:r w:rsidRPr="00822968">
        <w:t xml:space="preserve">). This suggests that the </w:t>
      </w:r>
      <w:r w:rsidR="00D4016D" w:rsidRPr="00822968">
        <w:t>once every 4 weeks</w:t>
      </w:r>
      <w:r w:rsidRPr="00822968">
        <w:t xml:space="preserve"> arm may have suboptimal disease control in a subset of patients and the imbalance noted in TEAEs was indicative of gradual loss of clinical symptom control for both CRSwNP and comorbid asthma. This is consistent with dupilumab drug concentration data which similarly suggests a subset of patients with suboptimal exposure.</w:t>
      </w:r>
    </w:p>
    <w:p w14:paraId="4331571B" w14:textId="4C753823" w:rsidR="00372A72" w:rsidRPr="005E4A66" w:rsidRDefault="00DF6D9B" w:rsidP="005E4A66">
      <w:pPr>
        <w:pStyle w:val="TableTitle"/>
      </w:pPr>
      <w:bookmarkStart w:id="70" w:name="_Ref99384067"/>
      <w:r w:rsidRPr="005E4A66">
        <w:t xml:space="preserve">Table </w:t>
      </w:r>
      <w:fldSimple w:instr=" SEQ Table \* ARABIC ">
        <w:r w:rsidR="0078142B">
          <w:rPr>
            <w:noProof/>
          </w:rPr>
          <w:t>8</w:t>
        </w:r>
      </w:fldSimple>
      <w:bookmarkEnd w:id="70"/>
      <w:r w:rsidR="00747C75" w:rsidRPr="005E4A66">
        <w:t>:</w:t>
      </w:r>
      <w:r w:rsidR="00E81D7F" w:rsidRPr="005E4A66">
        <w:t xml:space="preserve"> </w:t>
      </w:r>
      <w:r w:rsidR="00747C75" w:rsidRPr="005E4A66">
        <w:t>Study EFC14280</w:t>
      </w:r>
      <w:r w:rsidR="00372A72" w:rsidRPr="005E4A66">
        <w:t xml:space="preserve"> Number (%) of patients with acute sinusitis, sinusitis, nasal polyps, and asthma </w:t>
      </w:r>
      <w:r w:rsidR="00747C75" w:rsidRPr="005E4A66">
        <w:t xml:space="preserve">treatment emergent adverse events </w:t>
      </w:r>
      <w:r w:rsidR="00372A72" w:rsidRPr="005E4A66">
        <w:t>up to Week 24 and up to Week 52</w:t>
      </w:r>
      <w:r w:rsidR="00747C75" w:rsidRPr="005E4A66">
        <w:t xml:space="preserve"> (s</w:t>
      </w:r>
      <w:r w:rsidR="00372A72" w:rsidRPr="005E4A66">
        <w:t>afety population</w:t>
      </w:r>
      <w:r w:rsidR="00747C75" w:rsidRPr="005E4A66">
        <w:t>)</w:t>
      </w:r>
    </w:p>
    <w:p w14:paraId="69E247B8" w14:textId="62D4DE4E" w:rsidR="00372A72" w:rsidRPr="00822968" w:rsidRDefault="00372A72" w:rsidP="005E4A66">
      <w:r w:rsidRPr="00822968">
        <w:rPr>
          <w:noProof/>
          <w:lang w:val="en-GB" w:eastAsia="en-GB"/>
        </w:rPr>
        <w:drawing>
          <wp:inline distT="0" distB="0" distL="0" distR="0" wp14:anchorId="30CAB8DB" wp14:editId="2569B024">
            <wp:extent cx="5400040" cy="1827530"/>
            <wp:effectExtent l="0" t="0" r="0" b="1270"/>
            <wp:docPr id="5" name="Picture 5" descr="Table 8: Study EFC14280 Number (%) of patients with acute sinusitis, sinusitis, nasal polyps, and asthma treatment emergent adverse events up to Week 24 and up to Week 52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8: Study EFC14280 Number (%) of patients with acute sinusitis, sinusitis, nasal polyps, and asthma treatment emergent adverse events up to Week 24 and up to Week 52 (safety population)"/>
                    <pic:cNvPicPr/>
                  </pic:nvPicPr>
                  <pic:blipFill>
                    <a:blip r:embed="rId24"/>
                    <a:stretch>
                      <a:fillRect/>
                    </a:stretch>
                  </pic:blipFill>
                  <pic:spPr>
                    <a:xfrm>
                      <a:off x="0" y="0"/>
                      <a:ext cx="5400040" cy="1827530"/>
                    </a:xfrm>
                    <a:prstGeom prst="rect">
                      <a:avLst/>
                    </a:prstGeom>
                  </pic:spPr>
                </pic:pic>
              </a:graphicData>
            </a:graphic>
          </wp:inline>
        </w:drawing>
      </w:r>
    </w:p>
    <w:p w14:paraId="70AD73E2" w14:textId="32349214" w:rsidR="00747C75" w:rsidRPr="005E4A66" w:rsidRDefault="00747C75" w:rsidP="005E4A66">
      <w:pPr>
        <w:pStyle w:val="TableDescription"/>
      </w:pPr>
      <w:r w:rsidRPr="005E4A66">
        <w:t>N = population size; q2w = once every 2 weeks; q4w = once every 4 weeks.</w:t>
      </w:r>
    </w:p>
    <w:p w14:paraId="1DB33D93" w14:textId="76A5D94B" w:rsidR="00372A72" w:rsidRPr="00822968" w:rsidRDefault="00372A72" w:rsidP="00372A72">
      <w:r w:rsidRPr="00822968">
        <w:t xml:space="preserve">To determine a maintenance dosing regimen for a drug, it is critical to understand when the maximal treatment effect of a regimen is achieved and the evidence from the current </w:t>
      </w:r>
      <w:r w:rsidR="001B51E6" w:rsidRPr="00822968">
        <w:t>Phase</w:t>
      </w:r>
      <w:r w:rsidRPr="00822968">
        <w:t xml:space="preserve"> </w:t>
      </w:r>
      <w:r w:rsidR="001B51E6" w:rsidRPr="00822968">
        <w:t>III</w:t>
      </w:r>
      <w:r w:rsidRPr="00822968">
        <w:t xml:space="preserve"> program does not allow for drawing a definitive conclusion about the optimal timing for a regimen change, though the data does indicate that is not likely to be at 24</w:t>
      </w:r>
      <w:r w:rsidR="00817B09" w:rsidRPr="00822968">
        <w:t> </w:t>
      </w:r>
      <w:r w:rsidRPr="00822968">
        <w:t>weeks.</w:t>
      </w:r>
    </w:p>
    <w:p w14:paraId="004DF75D" w14:textId="2529E5DC" w:rsidR="00372A72" w:rsidRPr="00822968" w:rsidRDefault="00372A72" w:rsidP="00372A72">
      <w:r w:rsidRPr="00822968">
        <w:t xml:space="preserve">While the </w:t>
      </w:r>
      <w:r w:rsidR="00817B09" w:rsidRPr="00822968">
        <w:t>sponsor</w:t>
      </w:r>
      <w:r w:rsidRPr="00822968">
        <w:t xml:space="preserve"> acknowledges that a less frequent dosing regimen could be more convenient for patients, during the </w:t>
      </w:r>
      <w:r w:rsidR="001B51E6" w:rsidRPr="00822968">
        <w:t>Phase</w:t>
      </w:r>
      <w:r w:rsidRPr="00822968">
        <w:t xml:space="preserve"> </w:t>
      </w:r>
      <w:r w:rsidR="001B51E6" w:rsidRPr="00822968">
        <w:t>III</w:t>
      </w:r>
      <w:r w:rsidRPr="00822968">
        <w:t xml:space="preserve"> mean compliance with administration of the </w:t>
      </w:r>
      <w:bookmarkStart w:id="71" w:name="_Hlk99125755"/>
      <w:r w:rsidRPr="00822968">
        <w:t>investigational medicinal product</w:t>
      </w:r>
      <w:bookmarkEnd w:id="71"/>
      <w:r w:rsidRPr="00822968">
        <w:t xml:space="preserve"> was high (&gt;</w:t>
      </w:r>
      <w:r w:rsidR="00817B09" w:rsidRPr="00822968">
        <w:t xml:space="preserve"> </w:t>
      </w:r>
      <w:r w:rsidRPr="00822968">
        <w:t xml:space="preserve">99%) for both </w:t>
      </w:r>
      <w:r w:rsidR="00D4016D" w:rsidRPr="00822968">
        <w:t>once every 2 weeks</w:t>
      </w:r>
      <w:r w:rsidRPr="00822968">
        <w:t xml:space="preserve"> and </w:t>
      </w:r>
      <w:r w:rsidR="00D4016D" w:rsidRPr="00822968">
        <w:t>once every 4 weeks</w:t>
      </w:r>
      <w:r w:rsidRPr="00822968">
        <w:t xml:space="preserve"> treatment regimens (only </w:t>
      </w:r>
      <w:r w:rsidR="00817B09" w:rsidRPr="00822968">
        <w:t>one</w:t>
      </w:r>
      <w:r w:rsidRPr="00822968">
        <w:t xml:space="preserve"> patient, in the dupilumab 300 mg </w:t>
      </w:r>
      <w:r w:rsidR="00D4016D" w:rsidRPr="00822968">
        <w:t xml:space="preserve">once every 2 weeks </w:t>
      </w:r>
      <w:r w:rsidR="00DF6D9B" w:rsidRPr="00822968">
        <w:t>to</w:t>
      </w:r>
      <w:r w:rsidR="00D4016D" w:rsidRPr="00822968">
        <w:t xml:space="preserve"> once every 4 weeks</w:t>
      </w:r>
      <w:r w:rsidRPr="00822968">
        <w:t xml:space="preserve"> group, had a compliance rate &lt;</w:t>
      </w:r>
      <w:r w:rsidR="00817B09" w:rsidRPr="00822968">
        <w:t xml:space="preserve"> </w:t>
      </w:r>
      <w:r w:rsidRPr="00822968">
        <w:t>80%).</w:t>
      </w:r>
    </w:p>
    <w:p w14:paraId="1E8917D4" w14:textId="3E4E7628" w:rsidR="00372A72" w:rsidRPr="00822968" w:rsidRDefault="00372A72" w:rsidP="00372A72">
      <w:r w:rsidRPr="00822968">
        <w:t>Taken altogether, since a less</w:t>
      </w:r>
      <w:r w:rsidR="00817B09" w:rsidRPr="00822968">
        <w:t xml:space="preserve"> </w:t>
      </w:r>
      <w:r w:rsidRPr="00822968">
        <w:t xml:space="preserve">frequent dosing regimen leaves a portion of with suboptimal dupilumab exposure and response, there is suggestion of loss </w:t>
      </w:r>
      <w:r w:rsidR="00817B09" w:rsidRPr="00822968">
        <w:t>of efficacy</w:t>
      </w:r>
      <w:r w:rsidRPr="00822968">
        <w:t xml:space="preserve"> in the safety data and no dose related trends for safety to </w:t>
      </w:r>
      <w:r w:rsidR="00817B09" w:rsidRPr="00822968">
        <w:t>favour</w:t>
      </w:r>
      <w:r w:rsidRPr="00822968">
        <w:t xml:space="preserve"> the less frequent regimen, the </w:t>
      </w:r>
      <w:r w:rsidR="00817B09" w:rsidRPr="00822968">
        <w:t>sponsor</w:t>
      </w:r>
      <w:r w:rsidRPr="00822968">
        <w:t xml:space="preserve"> considers that 300 mg </w:t>
      </w:r>
      <w:r w:rsidR="00D4016D" w:rsidRPr="00822968">
        <w:t>once every 2 weeks</w:t>
      </w:r>
      <w:r w:rsidRPr="00822968">
        <w:t xml:space="preserve"> is the optimal dose for CRSwNP, a disease characteri</w:t>
      </w:r>
      <w:r w:rsidR="009D47CF" w:rsidRPr="00822968">
        <w:t>s</w:t>
      </w:r>
      <w:r w:rsidRPr="00822968">
        <w:t>ed by a chronic, indolent clinical course with high rate of polyp recurrence after surgery and high incidence of asthma and other type 2 comorbidities.</w:t>
      </w:r>
    </w:p>
    <w:p w14:paraId="7A9A38B8" w14:textId="1AEB773D" w:rsidR="00A908C9" w:rsidRPr="00822968" w:rsidRDefault="00A908C9" w:rsidP="00372A72">
      <w:pPr>
        <w:pStyle w:val="Numberbullet0"/>
        <w:rPr>
          <w:b/>
          <w:bCs/>
          <w:i/>
          <w:iCs/>
        </w:rPr>
      </w:pPr>
      <w:r w:rsidRPr="00822968">
        <w:rPr>
          <w:b/>
          <w:bCs/>
          <w:i/>
          <w:iCs/>
        </w:rPr>
        <w:t xml:space="preserve">The </w:t>
      </w:r>
      <w:r w:rsidR="00817B09" w:rsidRPr="00822968">
        <w:rPr>
          <w:b/>
          <w:bCs/>
          <w:i/>
          <w:iCs/>
        </w:rPr>
        <w:t>sponsor</w:t>
      </w:r>
      <w:r w:rsidRPr="00822968">
        <w:rPr>
          <w:b/>
          <w:bCs/>
          <w:i/>
          <w:iCs/>
        </w:rPr>
        <w:t xml:space="preserve"> is requested to submit the completed study report for </w:t>
      </w:r>
      <w:r w:rsidR="00817B09" w:rsidRPr="00822968">
        <w:rPr>
          <w:b/>
          <w:bCs/>
          <w:i/>
          <w:iCs/>
        </w:rPr>
        <w:t>S</w:t>
      </w:r>
      <w:r w:rsidRPr="00822968">
        <w:rPr>
          <w:b/>
          <w:bCs/>
          <w:i/>
          <w:iCs/>
        </w:rPr>
        <w:t>tudy</w:t>
      </w:r>
      <w:r w:rsidR="00817B09" w:rsidRPr="00822968">
        <w:rPr>
          <w:b/>
          <w:bCs/>
          <w:i/>
          <w:iCs/>
        </w:rPr>
        <w:t> </w:t>
      </w:r>
      <w:r w:rsidRPr="00822968">
        <w:rPr>
          <w:b/>
          <w:bCs/>
          <w:i/>
          <w:iCs/>
        </w:rPr>
        <w:t>R668</w:t>
      </w:r>
      <w:r w:rsidR="00817B09" w:rsidRPr="00822968">
        <w:rPr>
          <w:b/>
          <w:bCs/>
          <w:i/>
          <w:iCs/>
        </w:rPr>
        <w:noBreakHyphen/>
      </w:r>
      <w:r w:rsidRPr="00822968">
        <w:rPr>
          <w:b/>
          <w:bCs/>
          <w:i/>
          <w:iCs/>
        </w:rPr>
        <w:t>AD-1434 second step analysis to the TGA when it is available.</w:t>
      </w:r>
    </w:p>
    <w:p w14:paraId="69AEFA19" w14:textId="74F2EF47" w:rsidR="00372A72" w:rsidRPr="00822968" w:rsidRDefault="00372A72" w:rsidP="00372A72">
      <w:r w:rsidRPr="00822968">
        <w:t xml:space="preserve">The </w:t>
      </w:r>
      <w:r w:rsidR="00817B09" w:rsidRPr="00822968">
        <w:t>sponsor</w:t>
      </w:r>
      <w:r w:rsidRPr="00822968">
        <w:t xml:space="preserve"> commits to submit the completed study report for </w:t>
      </w:r>
      <w:r w:rsidR="00817B09" w:rsidRPr="00822968">
        <w:t>S</w:t>
      </w:r>
      <w:r w:rsidRPr="00822968">
        <w:t>tudy R668-AD-1434 to the TGA when it becomes available.</w:t>
      </w:r>
    </w:p>
    <w:p w14:paraId="719E7FE6" w14:textId="4E669678" w:rsidR="00A908C9" w:rsidRPr="00822968" w:rsidRDefault="00A908C9" w:rsidP="00372A72">
      <w:pPr>
        <w:pStyle w:val="Numberbullet0"/>
        <w:rPr>
          <w:b/>
          <w:bCs/>
          <w:i/>
          <w:iCs/>
        </w:rPr>
      </w:pPr>
      <w:r w:rsidRPr="00822968">
        <w:rPr>
          <w:b/>
          <w:bCs/>
          <w:i/>
          <w:iCs/>
        </w:rPr>
        <w:t xml:space="preserve">The </w:t>
      </w:r>
      <w:r w:rsidR="00817B09" w:rsidRPr="00822968">
        <w:rPr>
          <w:b/>
          <w:bCs/>
          <w:i/>
          <w:iCs/>
        </w:rPr>
        <w:t>sponsor</w:t>
      </w:r>
      <w:r w:rsidRPr="00822968">
        <w:rPr>
          <w:b/>
          <w:bCs/>
          <w:i/>
          <w:iCs/>
        </w:rPr>
        <w:t xml:space="preserve"> is requested to provide an update of the overseas regulatory status for each of the three components for this submission.</w:t>
      </w:r>
    </w:p>
    <w:p w14:paraId="0DF8A7D0" w14:textId="0F093D56" w:rsidR="00372A72" w:rsidRPr="00822968" w:rsidRDefault="00372A72" w:rsidP="00372A72">
      <w:r w:rsidRPr="00822968">
        <w:lastRenderedPageBreak/>
        <w:t>An update of the overseas regulatory status for atopic dermatitis (</w:t>
      </w:r>
      <w:r w:rsidR="00817B09" w:rsidRPr="00822968">
        <w:t xml:space="preserve">aged </w:t>
      </w:r>
      <w:r w:rsidRPr="00822968">
        <w:t>6</w:t>
      </w:r>
      <w:r w:rsidR="00817B09" w:rsidRPr="00822968">
        <w:t xml:space="preserve"> to </w:t>
      </w:r>
      <w:r w:rsidRPr="00822968">
        <w:t>11</w:t>
      </w:r>
      <w:r w:rsidR="00817B09" w:rsidRPr="00822968">
        <w:t xml:space="preserve"> years</w:t>
      </w:r>
      <w:r w:rsidRPr="00822968">
        <w:t>), chronic rhinosinusitis with nasal polyposis and long</w:t>
      </w:r>
      <w:r w:rsidR="007733D3" w:rsidRPr="00822968">
        <w:t xml:space="preserve"> </w:t>
      </w:r>
      <w:r w:rsidRPr="00822968">
        <w:t>term asthma study (</w:t>
      </w:r>
      <w:r w:rsidR="00817B09" w:rsidRPr="00822968">
        <w:t xml:space="preserve">the </w:t>
      </w:r>
      <w:r w:rsidRPr="00822968">
        <w:t>TRAVERSE</w:t>
      </w:r>
      <w:r w:rsidR="00817B09" w:rsidRPr="00822968">
        <w:t xml:space="preserve"> trial</w:t>
      </w:r>
      <w:r w:rsidRPr="00822968">
        <w:t xml:space="preserve">) is provided </w:t>
      </w:r>
      <w:r w:rsidR="00817B09" w:rsidRPr="00822968">
        <w:t>to the TGA</w:t>
      </w:r>
      <w:r w:rsidRPr="00822968">
        <w:t>.</w:t>
      </w:r>
    </w:p>
    <w:p w14:paraId="0167C9BE" w14:textId="77777777" w:rsidR="008E7846" w:rsidRPr="00822968" w:rsidRDefault="008E7846" w:rsidP="007D53B6">
      <w:pPr>
        <w:pStyle w:val="Heading4"/>
      </w:pPr>
      <w:r w:rsidRPr="00822968">
        <w:t xml:space="preserve">Advisory Committee </w:t>
      </w:r>
      <w:r w:rsidR="007D53B6" w:rsidRPr="00822968">
        <w:t>c</w:t>
      </w:r>
      <w:r w:rsidRPr="00822968">
        <w:t>onsiderations</w:t>
      </w:r>
      <w:r w:rsidR="00456765" w:rsidRPr="00822968">
        <w:rPr>
          <w:rStyle w:val="FootnoteReference"/>
        </w:rPr>
        <w:footnoteReference w:id="23"/>
      </w:r>
    </w:p>
    <w:p w14:paraId="05B330E7" w14:textId="77777777" w:rsidR="00744121" w:rsidRPr="00822968" w:rsidRDefault="00744121" w:rsidP="00744121">
      <w:pPr>
        <w:rPr>
          <w:bCs/>
        </w:rPr>
      </w:pPr>
      <w:bookmarkStart w:id="72" w:name="_Toc247691532"/>
      <w:bookmarkStart w:id="73" w:name="_Toc314842516"/>
      <w:bookmarkEnd w:id="36"/>
      <w:bookmarkEnd w:id="61"/>
      <w:bookmarkEnd w:id="62"/>
      <w:r w:rsidRPr="00822968">
        <w:rPr>
          <w:bCs/>
        </w:rPr>
        <w:t>The Advisory Committee on Medicines (ACM), having considered the evaluations and the Delegate’s overview, as well as the sponsor’s response to these documents, advised the following.</w:t>
      </w:r>
    </w:p>
    <w:p w14:paraId="4667CE35" w14:textId="77777777" w:rsidR="00744121" w:rsidRPr="00822968" w:rsidRDefault="00744121" w:rsidP="00744121">
      <w:pPr>
        <w:pStyle w:val="Heading5"/>
      </w:pPr>
      <w:r w:rsidRPr="00822968">
        <w:t>Specific advice to the Delegate</w:t>
      </w:r>
    </w:p>
    <w:p w14:paraId="6B61CEE3" w14:textId="77777777" w:rsidR="00A908C9" w:rsidRPr="00822968" w:rsidRDefault="00A908C9" w:rsidP="00A908C9">
      <w:r w:rsidRPr="00822968">
        <w:t>The ACM advised the following in response to the Delegate’s specific request for advice:</w:t>
      </w:r>
    </w:p>
    <w:p w14:paraId="224AD7AC" w14:textId="41B57F98" w:rsidR="00A908C9" w:rsidRPr="00822968" w:rsidRDefault="00A908C9" w:rsidP="00F127FA">
      <w:pPr>
        <w:pStyle w:val="Numberbullet0"/>
        <w:numPr>
          <w:ilvl w:val="0"/>
          <w:numId w:val="33"/>
        </w:numPr>
        <w:rPr>
          <w:b/>
          <w:bCs/>
          <w:i/>
          <w:iCs/>
        </w:rPr>
      </w:pPr>
      <w:r w:rsidRPr="00822968">
        <w:rPr>
          <w:b/>
          <w:bCs/>
          <w:i/>
          <w:iCs/>
        </w:rPr>
        <w:t>Efficacy of the proposed dose regimen for Dupixent was demonstrated in adult patients with inadequately controlled CRSwNP over 52 weeks. Two dose regimens were assessed in the second half of the long term study (</w:t>
      </w:r>
      <w:r w:rsidR="00375C49" w:rsidRPr="00822968">
        <w:rPr>
          <w:b/>
          <w:bCs/>
          <w:i/>
          <w:iCs/>
        </w:rPr>
        <w:t xml:space="preserve">the </w:t>
      </w:r>
      <w:r w:rsidRPr="00822968">
        <w:rPr>
          <w:b/>
          <w:bCs/>
          <w:i/>
          <w:iCs/>
        </w:rPr>
        <w:t>SINUS-52</w:t>
      </w:r>
      <w:r w:rsidR="00375C49" w:rsidRPr="00822968">
        <w:rPr>
          <w:b/>
          <w:bCs/>
          <w:i/>
          <w:iCs/>
        </w:rPr>
        <w:t xml:space="preserve"> trial</w:t>
      </w:r>
      <w:r w:rsidRPr="00822968">
        <w:rPr>
          <w:b/>
          <w:bCs/>
          <w:i/>
          <w:iCs/>
        </w:rPr>
        <w:t>)</w:t>
      </w:r>
      <w:r w:rsidR="00A32462">
        <w:rPr>
          <w:rStyle w:val="FootnoteReference"/>
          <w:b/>
          <w:bCs/>
          <w:i/>
          <w:iCs/>
        </w:rPr>
        <w:footnoteReference w:id="24"/>
      </w:r>
      <w:r w:rsidRPr="00822968">
        <w:rPr>
          <w:b/>
          <w:bCs/>
          <w:i/>
          <w:iCs/>
        </w:rPr>
        <w:t xml:space="preserve"> </w:t>
      </w:r>
      <w:r w:rsidR="00817B09" w:rsidRPr="00822968">
        <w:rPr>
          <w:b/>
          <w:bCs/>
          <w:i/>
          <w:iCs/>
        </w:rPr>
        <w:t>-</w:t>
      </w:r>
      <w:r w:rsidRPr="00822968">
        <w:rPr>
          <w:b/>
          <w:bCs/>
          <w:i/>
          <w:iCs/>
        </w:rPr>
        <w:t xml:space="preserve"> 300</w:t>
      </w:r>
      <w:r w:rsidR="00817B09" w:rsidRPr="00822968">
        <w:rPr>
          <w:b/>
          <w:bCs/>
          <w:i/>
          <w:iCs/>
        </w:rPr>
        <w:t> </w:t>
      </w:r>
      <w:r w:rsidRPr="00822968">
        <w:rPr>
          <w:b/>
          <w:bCs/>
          <w:i/>
          <w:iCs/>
        </w:rPr>
        <w:t xml:space="preserve">mg given either </w:t>
      </w:r>
      <w:r w:rsidR="00D4016D" w:rsidRPr="00822968">
        <w:rPr>
          <w:b/>
          <w:bCs/>
          <w:i/>
          <w:iCs/>
        </w:rPr>
        <w:t>once every 2 weeks</w:t>
      </w:r>
      <w:r w:rsidRPr="00822968">
        <w:rPr>
          <w:b/>
          <w:bCs/>
          <w:i/>
          <w:iCs/>
        </w:rPr>
        <w:t xml:space="preserve"> or </w:t>
      </w:r>
      <w:r w:rsidR="00D4016D" w:rsidRPr="00822968">
        <w:rPr>
          <w:b/>
          <w:bCs/>
          <w:i/>
          <w:iCs/>
        </w:rPr>
        <w:t>once every 4 weeks</w:t>
      </w:r>
      <w:r w:rsidRPr="00822968">
        <w:rPr>
          <w:b/>
          <w:bCs/>
          <w:i/>
          <w:iCs/>
        </w:rPr>
        <w:t>. While there was a formal comparison of efficacy between these two treatment groups the difference appears to be clinically quite minor.</w:t>
      </w:r>
    </w:p>
    <w:p w14:paraId="2C40A90B" w14:textId="1DA9E334" w:rsidR="00A908C9" w:rsidRPr="00822968" w:rsidRDefault="00A908C9" w:rsidP="00F127FA">
      <w:pPr>
        <w:pStyle w:val="Numberbullet0"/>
        <w:numPr>
          <w:ilvl w:val="0"/>
          <w:numId w:val="0"/>
        </w:numPr>
        <w:ind w:left="425"/>
        <w:rPr>
          <w:b/>
          <w:bCs/>
          <w:i/>
          <w:iCs/>
        </w:rPr>
      </w:pPr>
      <w:r w:rsidRPr="00822968">
        <w:rPr>
          <w:b/>
          <w:bCs/>
          <w:i/>
          <w:iCs/>
        </w:rPr>
        <w:t xml:space="preserve">Does the committee consider that a </w:t>
      </w:r>
      <w:r w:rsidR="00D4016D" w:rsidRPr="00822968">
        <w:rPr>
          <w:b/>
          <w:bCs/>
          <w:i/>
          <w:iCs/>
        </w:rPr>
        <w:t>once every 4 weeks</w:t>
      </w:r>
      <w:r w:rsidRPr="00822968">
        <w:rPr>
          <w:b/>
          <w:bCs/>
          <w:i/>
          <w:iCs/>
        </w:rPr>
        <w:t xml:space="preserve"> dose regimen could also be recommended for those patients who are adequately controlled? The </w:t>
      </w:r>
      <w:r w:rsidR="00D4016D" w:rsidRPr="00822968">
        <w:rPr>
          <w:b/>
          <w:bCs/>
          <w:i/>
          <w:iCs/>
        </w:rPr>
        <w:t>once every 2 weeks</w:t>
      </w:r>
      <w:r w:rsidRPr="00822968">
        <w:rPr>
          <w:b/>
          <w:bCs/>
          <w:i/>
          <w:iCs/>
        </w:rPr>
        <w:t xml:space="preserve"> dose regimen could also be recommended for patients requiring the higher exposure to dupilumab. The Delegate note that the US P</w:t>
      </w:r>
      <w:r w:rsidR="00A32462">
        <w:rPr>
          <w:b/>
          <w:bCs/>
          <w:i/>
          <w:iCs/>
        </w:rPr>
        <w:t>rescribing Information</w:t>
      </w:r>
      <w:r w:rsidRPr="00822968">
        <w:rPr>
          <w:b/>
          <w:bCs/>
          <w:i/>
          <w:iCs/>
        </w:rPr>
        <w:t xml:space="preserve"> and EU </w:t>
      </w:r>
      <w:r w:rsidR="00DF6D9B" w:rsidRPr="00822968">
        <w:rPr>
          <w:b/>
          <w:bCs/>
          <w:i/>
          <w:iCs/>
        </w:rPr>
        <w:t xml:space="preserve">Summary of </w:t>
      </w:r>
      <w:r w:rsidR="00A32462">
        <w:rPr>
          <w:b/>
          <w:bCs/>
          <w:i/>
          <w:iCs/>
        </w:rPr>
        <w:t>P</w:t>
      </w:r>
      <w:r w:rsidR="00DF6D9B" w:rsidRPr="00822968">
        <w:rPr>
          <w:b/>
          <w:bCs/>
          <w:i/>
          <w:iCs/>
        </w:rPr>
        <w:t xml:space="preserve">roduct </w:t>
      </w:r>
      <w:r w:rsidR="00A32462">
        <w:rPr>
          <w:b/>
          <w:bCs/>
          <w:i/>
          <w:iCs/>
        </w:rPr>
        <w:t>C</w:t>
      </w:r>
      <w:r w:rsidR="00DF6D9B" w:rsidRPr="00822968">
        <w:rPr>
          <w:b/>
          <w:bCs/>
          <w:i/>
          <w:iCs/>
        </w:rPr>
        <w:t>haracteristics (</w:t>
      </w:r>
      <w:r w:rsidRPr="00822968">
        <w:rPr>
          <w:b/>
          <w:bCs/>
          <w:i/>
          <w:iCs/>
        </w:rPr>
        <w:t>SmPC</w:t>
      </w:r>
      <w:r w:rsidR="00DF6D9B" w:rsidRPr="00822968">
        <w:rPr>
          <w:b/>
          <w:bCs/>
          <w:i/>
          <w:iCs/>
        </w:rPr>
        <w:t>)</w:t>
      </w:r>
      <w:r w:rsidRPr="00822968">
        <w:rPr>
          <w:b/>
          <w:bCs/>
          <w:i/>
          <w:iCs/>
        </w:rPr>
        <w:t xml:space="preserve"> have included only the </w:t>
      </w:r>
      <w:r w:rsidR="00D4016D" w:rsidRPr="00822968">
        <w:rPr>
          <w:b/>
          <w:bCs/>
          <w:i/>
          <w:iCs/>
        </w:rPr>
        <w:t>once every 2 weeks</w:t>
      </w:r>
      <w:r w:rsidRPr="00822968">
        <w:rPr>
          <w:b/>
          <w:bCs/>
          <w:i/>
          <w:iCs/>
        </w:rPr>
        <w:t xml:space="preserve"> regimen for long term use in this population and that the sponsor has also proposed only the </w:t>
      </w:r>
      <w:r w:rsidR="00D4016D" w:rsidRPr="00822968">
        <w:rPr>
          <w:b/>
          <w:bCs/>
          <w:i/>
          <w:iCs/>
        </w:rPr>
        <w:t>once every 2 weeks</w:t>
      </w:r>
      <w:r w:rsidRPr="00822968">
        <w:rPr>
          <w:b/>
          <w:bCs/>
          <w:i/>
          <w:iCs/>
        </w:rPr>
        <w:t xml:space="preserve"> regimen to the TGA.</w:t>
      </w:r>
    </w:p>
    <w:p w14:paraId="47A1D061" w14:textId="23822FDA" w:rsidR="00A908C9" w:rsidRPr="00822968" w:rsidRDefault="00A908C9" w:rsidP="00F127FA">
      <w:r w:rsidRPr="00822968">
        <w:t>The ACM notes that in the SINUS-52 trial, there was lowering of dupilumab dosing frequency after 24 weeks of treatment from once every two weeks to once every four weeks. For all clinically relevant outcomes (that is</w:t>
      </w:r>
      <w:r w:rsidR="00817B09" w:rsidRPr="00822968">
        <w:t>,</w:t>
      </w:r>
      <w:r w:rsidRPr="00822968">
        <w:t xml:space="preserve"> SNOT-22 score, nasal polyp score, and smell test), the results were comparable to those using dupilumab once every two weeks. The ACM recommends a flexible dosing frequency anywhere between once every two weeks to once every four weeks for patients who are adequately controlled. This would allow individualisation of the dose based on the condition of each patient.</w:t>
      </w:r>
    </w:p>
    <w:p w14:paraId="25C3FAB9" w14:textId="197DF96B" w:rsidR="00A908C9" w:rsidRPr="00822968" w:rsidRDefault="00A908C9" w:rsidP="00F127FA">
      <w:pPr>
        <w:pStyle w:val="Numberbullet0"/>
        <w:rPr>
          <w:b/>
          <w:bCs/>
          <w:i/>
          <w:iCs/>
        </w:rPr>
      </w:pPr>
      <w:r w:rsidRPr="00822968">
        <w:rPr>
          <w:b/>
          <w:bCs/>
          <w:i/>
          <w:iCs/>
        </w:rPr>
        <w:t xml:space="preserve">The current dose regimen for Dupixent in adults with </w:t>
      </w:r>
      <w:r w:rsidR="00F8231A" w:rsidRPr="00822968">
        <w:rPr>
          <w:b/>
          <w:bCs/>
          <w:i/>
          <w:iCs/>
        </w:rPr>
        <w:t>atopic dermatitis</w:t>
      </w:r>
      <w:r w:rsidRPr="00822968">
        <w:rPr>
          <w:b/>
          <w:bCs/>
          <w:i/>
          <w:iCs/>
        </w:rPr>
        <w:t xml:space="preserve"> is an initial dose of 600 mg then 300 mg </w:t>
      </w:r>
      <w:r w:rsidR="00D4016D" w:rsidRPr="00822968">
        <w:rPr>
          <w:b/>
          <w:bCs/>
          <w:i/>
          <w:iCs/>
        </w:rPr>
        <w:t>once every 2 weeks</w:t>
      </w:r>
      <w:r w:rsidRPr="00822968">
        <w:rPr>
          <w:b/>
          <w:bCs/>
          <w:i/>
          <w:iCs/>
        </w:rPr>
        <w:t xml:space="preserve">. The same dose regimen has been proposed for children aged 6 to 12 years with body weight ≥ 60 kg. For children with body weight 30 to &lt; 60 kg a loading dose of 400 mg then 200 mg </w:t>
      </w:r>
      <w:r w:rsidR="00D4016D" w:rsidRPr="00822968">
        <w:rPr>
          <w:b/>
          <w:bCs/>
          <w:i/>
          <w:iCs/>
        </w:rPr>
        <w:t>once every 2 weeks</w:t>
      </w:r>
      <w:r w:rsidRPr="00822968">
        <w:rPr>
          <w:b/>
          <w:bCs/>
          <w:i/>
          <w:iCs/>
        </w:rPr>
        <w:t xml:space="preserve"> has been proposed. For children with body weight 15 to &lt;</w:t>
      </w:r>
      <w:r w:rsidR="00A32462">
        <w:rPr>
          <w:b/>
          <w:bCs/>
          <w:i/>
          <w:iCs/>
        </w:rPr>
        <w:t> </w:t>
      </w:r>
      <w:r w:rsidRPr="00822968">
        <w:rPr>
          <w:b/>
          <w:bCs/>
          <w:i/>
          <w:iCs/>
        </w:rPr>
        <w:t>30</w:t>
      </w:r>
      <w:r w:rsidR="00817B09" w:rsidRPr="00822968">
        <w:rPr>
          <w:b/>
          <w:bCs/>
          <w:i/>
          <w:iCs/>
        </w:rPr>
        <w:t> </w:t>
      </w:r>
      <w:r w:rsidRPr="00822968">
        <w:rPr>
          <w:b/>
          <w:bCs/>
          <w:i/>
          <w:iCs/>
        </w:rPr>
        <w:t xml:space="preserve">kg a loading dose of 600 mg then 300 mg </w:t>
      </w:r>
      <w:r w:rsidR="00D4016D" w:rsidRPr="00822968">
        <w:rPr>
          <w:b/>
          <w:bCs/>
          <w:i/>
          <w:iCs/>
        </w:rPr>
        <w:t>once every 4 weeks</w:t>
      </w:r>
      <w:r w:rsidRPr="00822968">
        <w:rPr>
          <w:b/>
          <w:bCs/>
          <w:i/>
          <w:iCs/>
        </w:rPr>
        <w:t xml:space="preserve"> has been proposed. In the pivotal study, efficacy of the above regimen and of 600 mg </w:t>
      </w:r>
      <w:r w:rsidR="00FE0EC5" w:rsidRPr="00822968">
        <w:rPr>
          <w:b/>
          <w:bCs/>
          <w:i/>
          <w:iCs/>
        </w:rPr>
        <w:t>subcutaneously</w:t>
      </w:r>
      <w:r w:rsidRPr="00822968">
        <w:rPr>
          <w:b/>
          <w:bCs/>
          <w:i/>
          <w:iCs/>
        </w:rPr>
        <w:t xml:space="preserve"> at Week 0 (Day 1) and then 300 mg </w:t>
      </w:r>
      <w:r w:rsidR="00D4016D" w:rsidRPr="00822968">
        <w:rPr>
          <w:b/>
          <w:bCs/>
          <w:i/>
          <w:iCs/>
        </w:rPr>
        <w:t>once every 4 weeks</w:t>
      </w:r>
      <w:r w:rsidRPr="00822968">
        <w:rPr>
          <w:b/>
          <w:bCs/>
          <w:i/>
          <w:iCs/>
        </w:rPr>
        <w:t xml:space="preserve"> </w:t>
      </w:r>
      <w:r w:rsidR="00FE0EC5" w:rsidRPr="00822968">
        <w:rPr>
          <w:b/>
          <w:bCs/>
          <w:i/>
          <w:iCs/>
        </w:rPr>
        <w:t>subcutaneously</w:t>
      </w:r>
      <w:r w:rsidRPr="00822968">
        <w:rPr>
          <w:b/>
          <w:bCs/>
          <w:i/>
          <w:iCs/>
        </w:rPr>
        <w:t xml:space="preserve"> for all body weights was similar.</w:t>
      </w:r>
    </w:p>
    <w:p w14:paraId="6A764ABE" w14:textId="4AED9655" w:rsidR="00A908C9" w:rsidRPr="00822968" w:rsidRDefault="00A908C9" w:rsidP="00F127FA">
      <w:pPr>
        <w:pStyle w:val="Numberbullet0"/>
        <w:numPr>
          <w:ilvl w:val="0"/>
          <w:numId w:val="0"/>
        </w:numPr>
        <w:ind w:left="425"/>
        <w:rPr>
          <w:b/>
          <w:bCs/>
          <w:i/>
          <w:iCs/>
        </w:rPr>
      </w:pPr>
      <w:r w:rsidRPr="00822968">
        <w:rPr>
          <w:b/>
          <w:bCs/>
          <w:i/>
          <w:iCs/>
        </w:rPr>
        <w:t xml:space="preserve">Please comment on the proposed dosage regimen for atopic dermatitis for Australia, specifically whether it would be appropriate to allow a </w:t>
      </w:r>
      <w:r w:rsidR="00D4016D" w:rsidRPr="00822968">
        <w:rPr>
          <w:b/>
          <w:bCs/>
          <w:i/>
          <w:iCs/>
        </w:rPr>
        <w:t>once every 4</w:t>
      </w:r>
      <w:r w:rsidR="00817B09" w:rsidRPr="00822968">
        <w:rPr>
          <w:b/>
          <w:bCs/>
          <w:i/>
          <w:iCs/>
        </w:rPr>
        <w:t> </w:t>
      </w:r>
      <w:r w:rsidR="00D4016D" w:rsidRPr="00822968">
        <w:rPr>
          <w:b/>
          <w:bCs/>
          <w:i/>
          <w:iCs/>
        </w:rPr>
        <w:t>weeks</w:t>
      </w:r>
      <w:r w:rsidRPr="00822968">
        <w:rPr>
          <w:b/>
          <w:bCs/>
          <w:i/>
          <w:iCs/>
        </w:rPr>
        <w:t xml:space="preserve"> regimen for children up to 60 kg. The Delegate notes that such a regimen has not been adopted in the USA and that the EU has adopted the </w:t>
      </w:r>
      <w:r w:rsidR="00D4016D" w:rsidRPr="00822968">
        <w:rPr>
          <w:b/>
          <w:bCs/>
          <w:i/>
          <w:iCs/>
        </w:rPr>
        <w:t xml:space="preserve">once every </w:t>
      </w:r>
      <w:r w:rsidR="00D4016D" w:rsidRPr="00822968">
        <w:rPr>
          <w:b/>
          <w:bCs/>
          <w:i/>
          <w:iCs/>
        </w:rPr>
        <w:lastRenderedPageBreak/>
        <w:t>4</w:t>
      </w:r>
      <w:r w:rsidR="00817B09" w:rsidRPr="00822968">
        <w:rPr>
          <w:b/>
          <w:bCs/>
          <w:i/>
          <w:iCs/>
        </w:rPr>
        <w:t> </w:t>
      </w:r>
      <w:r w:rsidR="00D4016D" w:rsidRPr="00822968">
        <w:rPr>
          <w:b/>
          <w:bCs/>
          <w:i/>
          <w:iCs/>
        </w:rPr>
        <w:t>weeks</w:t>
      </w:r>
      <w:r w:rsidRPr="00822968">
        <w:rPr>
          <w:b/>
          <w:bCs/>
          <w:i/>
          <w:iCs/>
        </w:rPr>
        <w:t xml:space="preserve"> regimen for all children aged 6 to &lt; 12 years without regard to body weight.</w:t>
      </w:r>
    </w:p>
    <w:p w14:paraId="571E5C6C" w14:textId="77777777" w:rsidR="00A908C9" w:rsidRPr="00822968" w:rsidRDefault="00A908C9" w:rsidP="00F127FA">
      <w:r w:rsidRPr="00822968">
        <w:t>The ACM recommended variation in dosing intervals for treatment individualisation. The ACM recommended to specify both the loading dose (400 or 600 mg) and maintenance dose (200 or 300 or 400 mg) in the Product Information.</w:t>
      </w:r>
    </w:p>
    <w:p w14:paraId="42CC8FAC" w14:textId="35CB9B59" w:rsidR="00A908C9" w:rsidRPr="00822968" w:rsidRDefault="00A908C9" w:rsidP="00F127FA">
      <w:pPr>
        <w:pStyle w:val="Numberbullet0"/>
        <w:rPr>
          <w:b/>
          <w:bCs/>
          <w:i/>
          <w:iCs/>
        </w:rPr>
      </w:pPr>
      <w:r w:rsidRPr="00822968">
        <w:rPr>
          <w:b/>
          <w:bCs/>
          <w:i/>
          <w:iCs/>
        </w:rPr>
        <w:t xml:space="preserve">The pivotal study supporting use in children aged 6 to 12 years with </w:t>
      </w:r>
      <w:r w:rsidR="00F8231A" w:rsidRPr="00822968">
        <w:rPr>
          <w:b/>
          <w:bCs/>
          <w:i/>
          <w:iCs/>
        </w:rPr>
        <w:t>atopic dermatitis</w:t>
      </w:r>
      <w:r w:rsidRPr="00822968">
        <w:rPr>
          <w:b/>
          <w:bCs/>
          <w:i/>
          <w:iCs/>
        </w:rPr>
        <w:t xml:space="preserve"> included only children with severe disease however the sponsor proposes use in children with both moderate and severe </w:t>
      </w:r>
      <w:r w:rsidR="00F8231A" w:rsidRPr="00822968">
        <w:rPr>
          <w:b/>
          <w:bCs/>
          <w:i/>
          <w:iCs/>
        </w:rPr>
        <w:t>atopic dermatitis</w:t>
      </w:r>
      <w:r w:rsidRPr="00822968">
        <w:rPr>
          <w:b/>
          <w:bCs/>
          <w:i/>
          <w:iCs/>
        </w:rPr>
        <w:t xml:space="preserve">. There were no data in the submission to support efficacy in children with moderate </w:t>
      </w:r>
      <w:r w:rsidR="00F8231A" w:rsidRPr="00822968">
        <w:rPr>
          <w:b/>
          <w:bCs/>
          <w:i/>
          <w:iCs/>
        </w:rPr>
        <w:t>atopic dermatitis</w:t>
      </w:r>
      <w:r w:rsidRPr="00822968">
        <w:rPr>
          <w:b/>
          <w:bCs/>
          <w:i/>
          <w:iCs/>
        </w:rPr>
        <w:t>.</w:t>
      </w:r>
    </w:p>
    <w:p w14:paraId="3CB09DAA" w14:textId="0D5784C4" w:rsidR="00A908C9" w:rsidRPr="00822968" w:rsidRDefault="00A908C9" w:rsidP="00F127FA">
      <w:pPr>
        <w:pStyle w:val="Numberbullet0"/>
        <w:numPr>
          <w:ilvl w:val="0"/>
          <w:numId w:val="0"/>
        </w:numPr>
        <w:ind w:left="425"/>
        <w:rPr>
          <w:b/>
          <w:bCs/>
          <w:i/>
          <w:iCs/>
        </w:rPr>
      </w:pPr>
      <w:r w:rsidRPr="00822968">
        <w:rPr>
          <w:b/>
          <w:bCs/>
          <w:i/>
          <w:iCs/>
        </w:rPr>
        <w:t>Noting that the TGA has adopted an EMA guideline on clinical trials in paediatric populations.</w:t>
      </w:r>
      <w:r w:rsidR="00A32462">
        <w:rPr>
          <w:rStyle w:val="FootnoteReference"/>
          <w:b/>
          <w:bCs/>
          <w:i/>
          <w:iCs/>
        </w:rPr>
        <w:footnoteReference w:id="25"/>
      </w:r>
      <w:r w:rsidRPr="00822968">
        <w:rPr>
          <w:b/>
          <w:bCs/>
          <w:i/>
          <w:iCs/>
        </w:rPr>
        <w:t xml:space="preserve"> The guideline states the following:</w:t>
      </w:r>
    </w:p>
    <w:p w14:paraId="5E9D56FA" w14:textId="77777777" w:rsidR="00A908C9" w:rsidRPr="00822968" w:rsidRDefault="00A908C9" w:rsidP="00F127FA">
      <w:pPr>
        <w:pStyle w:val="Numberbullet0"/>
        <w:numPr>
          <w:ilvl w:val="0"/>
          <w:numId w:val="0"/>
        </w:numPr>
        <w:ind w:left="720"/>
        <w:rPr>
          <w:b/>
          <w:bCs/>
          <w:i/>
          <w:iCs/>
        </w:rPr>
      </w:pPr>
      <w:r w:rsidRPr="00822968">
        <w:rPr>
          <w:b/>
          <w:bCs/>
          <w:i/>
          <w:iCs/>
        </w:rPr>
        <w:t>‘When a medicinal product is to be used in the paediatric population for the same indication(s) as those studied and approved in adults, the disease process is similar in adults and paediatric patients, and the outcome of therapy is likely to be comparable, extrapolation from adult efficacy data may be appropriate.’</w:t>
      </w:r>
    </w:p>
    <w:p w14:paraId="551E94F4" w14:textId="1D23DAF3" w:rsidR="00A908C9" w:rsidRPr="00822968" w:rsidRDefault="00A908C9" w:rsidP="00F127FA">
      <w:pPr>
        <w:pStyle w:val="Numberbullet0"/>
        <w:numPr>
          <w:ilvl w:val="0"/>
          <w:numId w:val="0"/>
        </w:numPr>
        <w:ind w:left="425"/>
        <w:rPr>
          <w:b/>
          <w:bCs/>
          <w:i/>
          <w:iCs/>
        </w:rPr>
      </w:pPr>
      <w:r w:rsidRPr="00822968">
        <w:rPr>
          <w:b/>
          <w:bCs/>
          <w:i/>
          <w:iCs/>
        </w:rPr>
        <w:t xml:space="preserve">Dupilumab is currently approved for the treatment moderate to severe atopic dermatitis in both adults and adolescents. It would therefore seem reasonable to extrapolate efficacy data from adults with moderate </w:t>
      </w:r>
      <w:r w:rsidR="00F8231A" w:rsidRPr="00822968">
        <w:rPr>
          <w:b/>
          <w:bCs/>
          <w:i/>
          <w:iCs/>
        </w:rPr>
        <w:t>atopic dermatitis</w:t>
      </w:r>
      <w:r w:rsidRPr="00822968">
        <w:rPr>
          <w:b/>
          <w:bCs/>
          <w:i/>
          <w:iCs/>
        </w:rPr>
        <w:t xml:space="preserve"> to the paediatric population.</w:t>
      </w:r>
    </w:p>
    <w:p w14:paraId="11453035" w14:textId="77777777" w:rsidR="00A908C9" w:rsidRPr="00822968" w:rsidRDefault="00A908C9" w:rsidP="00F127FA">
      <w:pPr>
        <w:pStyle w:val="Numberbullet0"/>
        <w:numPr>
          <w:ilvl w:val="0"/>
          <w:numId w:val="0"/>
        </w:numPr>
        <w:ind w:left="425"/>
        <w:rPr>
          <w:b/>
          <w:bCs/>
          <w:i/>
          <w:iCs/>
        </w:rPr>
      </w:pPr>
      <w:r w:rsidRPr="00822968">
        <w:rPr>
          <w:b/>
          <w:bCs/>
          <w:i/>
          <w:iCs/>
        </w:rPr>
        <w:t>In addition, at Baseline of the open label extension study, only 19.6% of subjects had severe disease and efficacy was maintained in the study population as a whole.</w:t>
      </w:r>
    </w:p>
    <w:p w14:paraId="26571362" w14:textId="52C6B425" w:rsidR="00A908C9" w:rsidRPr="00822968" w:rsidRDefault="00A908C9" w:rsidP="00F127FA">
      <w:pPr>
        <w:pStyle w:val="Numberbullet0"/>
        <w:numPr>
          <w:ilvl w:val="0"/>
          <w:numId w:val="0"/>
        </w:numPr>
        <w:ind w:left="425"/>
        <w:rPr>
          <w:b/>
          <w:bCs/>
          <w:i/>
          <w:iCs/>
        </w:rPr>
      </w:pPr>
      <w:r w:rsidRPr="00822968">
        <w:rPr>
          <w:b/>
          <w:bCs/>
          <w:i/>
          <w:iCs/>
        </w:rPr>
        <w:t xml:space="preserve">Given the above, does the committee consider it is appropriate to extend the use of Dupixent to children aged 6 to 11 years with both moderate and severe </w:t>
      </w:r>
      <w:r w:rsidR="00F8231A" w:rsidRPr="00822968">
        <w:rPr>
          <w:b/>
          <w:bCs/>
          <w:i/>
          <w:iCs/>
        </w:rPr>
        <w:t>atopic dermatitis</w:t>
      </w:r>
      <w:r w:rsidRPr="00822968">
        <w:rPr>
          <w:b/>
          <w:bCs/>
          <w:i/>
          <w:iCs/>
        </w:rPr>
        <w:t>?</w:t>
      </w:r>
    </w:p>
    <w:p w14:paraId="758F5DEE" w14:textId="2847055B" w:rsidR="00A908C9" w:rsidRPr="00822968" w:rsidRDefault="00A908C9" w:rsidP="00F127FA">
      <w:r w:rsidRPr="00822968">
        <w:t xml:space="preserve">The prevalence of atopic dermatitis in Australia is about 10 to 15% of the general population: 15 to 20% of children, 38.5% of infants, and 1 to 2% of adults. The ACM considered that extension of use is appropriate as the current approved use excludes the largest age segment of the Australian population with atopic dermatitis. The ACM was of view to extend the use of dupilumab to children aged 6 to 11 years with both moderate and severe </w:t>
      </w:r>
      <w:r w:rsidR="00F8231A" w:rsidRPr="00822968">
        <w:t>atopic dermatitis</w:t>
      </w:r>
      <w:r w:rsidRPr="00822968">
        <w:t>.</w:t>
      </w:r>
    </w:p>
    <w:p w14:paraId="252FBFA9" w14:textId="77777777" w:rsidR="00744121" w:rsidRPr="00822968" w:rsidRDefault="00744121" w:rsidP="00744121">
      <w:pPr>
        <w:pStyle w:val="Heading5"/>
      </w:pPr>
      <w:r w:rsidRPr="00822968">
        <w:t>Conclusion</w:t>
      </w:r>
    </w:p>
    <w:p w14:paraId="5BA2F93E" w14:textId="77777777" w:rsidR="00A908C9" w:rsidRPr="00822968" w:rsidRDefault="00A908C9" w:rsidP="00A908C9">
      <w:r w:rsidRPr="00822968">
        <w:t>The ACM considered this product to have an overall positive benefit-risk profile for the indication:</w:t>
      </w:r>
    </w:p>
    <w:p w14:paraId="1640B6D0" w14:textId="77777777" w:rsidR="00A908C9" w:rsidRPr="00822968" w:rsidRDefault="00A908C9" w:rsidP="00A908C9">
      <w:pPr>
        <w:ind w:left="720"/>
        <w:rPr>
          <w:i/>
          <w:lang w:eastAsia="ja-JP"/>
        </w:rPr>
      </w:pPr>
      <w:r w:rsidRPr="00822968">
        <w:rPr>
          <w:i/>
          <w:lang w:eastAsia="ja-JP"/>
        </w:rPr>
        <w:t>Chronic rhinosinusitis with nasal polyposis (CRSwNP)</w:t>
      </w:r>
    </w:p>
    <w:p w14:paraId="4BB203A2" w14:textId="77777777" w:rsidR="00A908C9" w:rsidRPr="00822968" w:rsidRDefault="00A908C9" w:rsidP="00A908C9">
      <w:pPr>
        <w:ind w:left="720"/>
        <w:rPr>
          <w:i/>
          <w:lang w:eastAsia="ja-JP"/>
        </w:rPr>
      </w:pPr>
      <w:r w:rsidRPr="00822968">
        <w:rPr>
          <w:i/>
          <w:lang w:eastAsia="ja-JP"/>
        </w:rPr>
        <w:t>Dupixent is indicated as an add-on maintenance treatment in adult patients with inadequately controlled chronic rhinosinusitis with nasal polyposis (CRSwNP).</w:t>
      </w:r>
    </w:p>
    <w:p w14:paraId="07422EEE" w14:textId="77777777" w:rsidR="00A908C9" w:rsidRPr="00822968" w:rsidRDefault="00A908C9" w:rsidP="00A908C9">
      <w:pPr>
        <w:ind w:left="720"/>
        <w:rPr>
          <w:i/>
          <w:lang w:eastAsia="ja-JP"/>
        </w:rPr>
      </w:pPr>
      <w:r w:rsidRPr="00822968">
        <w:rPr>
          <w:i/>
          <w:lang w:eastAsia="ja-JP"/>
        </w:rPr>
        <w:t>Extension of the approved patient population for atopic dermatitis indication</w:t>
      </w:r>
    </w:p>
    <w:p w14:paraId="688F0E26" w14:textId="10E98F08" w:rsidR="00A908C9" w:rsidRPr="00822968" w:rsidRDefault="00A908C9" w:rsidP="00A908C9">
      <w:pPr>
        <w:ind w:left="720"/>
        <w:rPr>
          <w:i/>
        </w:rPr>
      </w:pPr>
      <w:r w:rsidRPr="00822968">
        <w:rPr>
          <w:i/>
        </w:rPr>
        <w:t>Dupixent is indicated for the treatment of moderate to severe atopic dermatitis in patients aged 6 years and older who are candidates for chronic systemic therapy. Dupixent is not intended for episodic use.</w:t>
      </w:r>
    </w:p>
    <w:p w14:paraId="73F99826" w14:textId="4F367905" w:rsidR="008E7846" w:rsidRPr="00822968" w:rsidRDefault="008E7846" w:rsidP="008E7846">
      <w:pPr>
        <w:pStyle w:val="Heading3"/>
      </w:pPr>
      <w:bookmarkStart w:id="74" w:name="_Toc101954632"/>
      <w:r w:rsidRPr="00822968">
        <w:lastRenderedPageBreak/>
        <w:t>Outcome</w:t>
      </w:r>
      <w:bookmarkEnd w:id="72"/>
      <w:bookmarkEnd w:id="73"/>
      <w:bookmarkEnd w:id="74"/>
    </w:p>
    <w:p w14:paraId="494ECD4F" w14:textId="135AECE3" w:rsidR="00744121" w:rsidRPr="00822968" w:rsidRDefault="00744121" w:rsidP="00F127FA">
      <w:bookmarkStart w:id="75" w:name="_Toc247691533"/>
      <w:bookmarkStart w:id="76" w:name="_Toc314842517"/>
      <w:r w:rsidRPr="00822968">
        <w:t xml:space="preserve">Based on a review of quality, safety and efficacy, the TGA approved the registration of </w:t>
      </w:r>
      <w:r w:rsidR="00555B12" w:rsidRPr="00822968">
        <w:t xml:space="preserve">Dupixent </w:t>
      </w:r>
      <w:r w:rsidRPr="00822968">
        <w:t>(</w:t>
      </w:r>
      <w:r w:rsidR="00555B12" w:rsidRPr="00822968">
        <w:t>dupilumab</w:t>
      </w:r>
      <w:r w:rsidRPr="00822968">
        <w:t xml:space="preserve">) </w:t>
      </w:r>
      <w:r w:rsidR="00201E65" w:rsidRPr="00822968">
        <w:t>150 mg/mL and 175 mg/mL</w:t>
      </w:r>
      <w:r w:rsidRPr="00822968">
        <w:t xml:space="preserve">, </w:t>
      </w:r>
      <w:r w:rsidR="00201E65" w:rsidRPr="00822968">
        <w:t>solution for injection</w:t>
      </w:r>
      <w:r w:rsidRPr="00822968">
        <w:t xml:space="preserve">, </w:t>
      </w:r>
      <w:r w:rsidR="00201E65" w:rsidRPr="00822968">
        <w:t>pre-filled syringe</w:t>
      </w:r>
      <w:r w:rsidRPr="00822968">
        <w:t>, for the following extension of indications:</w:t>
      </w:r>
    </w:p>
    <w:p w14:paraId="6E6BE679" w14:textId="7FAE3E0D" w:rsidR="003A44F9" w:rsidRPr="00822968" w:rsidRDefault="003A44F9" w:rsidP="003A44F9">
      <w:pPr>
        <w:ind w:left="720"/>
        <w:rPr>
          <w:b/>
          <w:bCs/>
          <w:i/>
          <w:iCs/>
        </w:rPr>
      </w:pPr>
      <w:r w:rsidRPr="00822968">
        <w:rPr>
          <w:b/>
          <w:bCs/>
          <w:i/>
          <w:iCs/>
        </w:rPr>
        <w:t>Atopic dermatitis - children 6 to 11 years of age</w:t>
      </w:r>
    </w:p>
    <w:p w14:paraId="08D193C8" w14:textId="1FE25193" w:rsidR="003A44F9" w:rsidRPr="00822968" w:rsidRDefault="003A44F9" w:rsidP="003A44F9">
      <w:pPr>
        <w:ind w:left="720"/>
        <w:rPr>
          <w:i/>
          <w:iCs/>
        </w:rPr>
      </w:pPr>
      <w:r w:rsidRPr="00822968">
        <w:rPr>
          <w:i/>
          <w:iCs/>
        </w:rPr>
        <w:t>Dupixent is indicated for the treatment of severe atopic dermatitis in patients aged 6 to 11 years old who are candidates for chronic systemic therapy. Dupixent is not intended for episodic use.</w:t>
      </w:r>
    </w:p>
    <w:p w14:paraId="6B1F1AD9" w14:textId="77777777" w:rsidR="003A44F9" w:rsidRPr="00822968" w:rsidRDefault="003A44F9" w:rsidP="003A44F9">
      <w:pPr>
        <w:ind w:left="720"/>
        <w:rPr>
          <w:b/>
          <w:bCs/>
          <w:i/>
          <w:iCs/>
        </w:rPr>
      </w:pPr>
      <w:r w:rsidRPr="00822968">
        <w:rPr>
          <w:b/>
          <w:bCs/>
          <w:i/>
          <w:iCs/>
        </w:rPr>
        <w:t>Chronic rhinosinusitis with nasal polyposis (CRSwNP)</w:t>
      </w:r>
    </w:p>
    <w:p w14:paraId="6F2731ED" w14:textId="2CF4E841" w:rsidR="007D53B6" w:rsidRPr="00822968" w:rsidRDefault="003A44F9" w:rsidP="003A44F9">
      <w:pPr>
        <w:ind w:left="720"/>
        <w:rPr>
          <w:i/>
          <w:iCs/>
        </w:rPr>
      </w:pPr>
      <w:r w:rsidRPr="00822968">
        <w:rPr>
          <w:i/>
          <w:iCs/>
        </w:rPr>
        <w:t>Dupixent is indicated as an add-on maintenance treatment in adult patients with inadequately controlled chronic rhinosinusitis with nasal polyposis (CRSwNP).</w:t>
      </w:r>
    </w:p>
    <w:p w14:paraId="408BB1BF" w14:textId="4B7BEC7B" w:rsidR="007D53B6" w:rsidRPr="00822968" w:rsidRDefault="007D53B6" w:rsidP="007D53B6">
      <w:r w:rsidRPr="00822968">
        <w:t>As such, the full indications at this time were:</w:t>
      </w:r>
    </w:p>
    <w:p w14:paraId="67434237" w14:textId="77777777" w:rsidR="003A44F9" w:rsidRPr="00822968" w:rsidRDefault="003A44F9" w:rsidP="003A44F9">
      <w:pPr>
        <w:ind w:left="720"/>
        <w:rPr>
          <w:i/>
          <w:iCs/>
        </w:rPr>
      </w:pPr>
      <w:r w:rsidRPr="00822968">
        <w:rPr>
          <w:i/>
          <w:iCs/>
        </w:rPr>
        <w:t>Dupixent is indicated for the following type 2 inflammatory diseases:</w:t>
      </w:r>
    </w:p>
    <w:p w14:paraId="1A501AE3" w14:textId="2E57AE96" w:rsidR="003A44F9" w:rsidRPr="00822968" w:rsidRDefault="003A44F9" w:rsidP="003A44F9">
      <w:pPr>
        <w:ind w:left="720"/>
        <w:rPr>
          <w:b/>
          <w:bCs/>
          <w:i/>
          <w:iCs/>
        </w:rPr>
      </w:pPr>
      <w:r w:rsidRPr="00822968">
        <w:rPr>
          <w:b/>
          <w:bCs/>
          <w:i/>
          <w:iCs/>
        </w:rPr>
        <w:t xml:space="preserve">Atopic </w:t>
      </w:r>
      <w:r w:rsidR="002662A6" w:rsidRPr="00822968">
        <w:rPr>
          <w:b/>
          <w:bCs/>
          <w:i/>
          <w:iCs/>
        </w:rPr>
        <w:t>d</w:t>
      </w:r>
      <w:r w:rsidRPr="00822968">
        <w:rPr>
          <w:b/>
          <w:bCs/>
          <w:i/>
          <w:iCs/>
        </w:rPr>
        <w:t>ermatitis</w:t>
      </w:r>
    </w:p>
    <w:p w14:paraId="0E244751" w14:textId="77777777" w:rsidR="003A44F9" w:rsidRPr="00822968" w:rsidRDefault="003A44F9" w:rsidP="003A44F9">
      <w:pPr>
        <w:ind w:left="720"/>
        <w:rPr>
          <w:i/>
          <w:iCs/>
        </w:rPr>
      </w:pPr>
      <w:r w:rsidRPr="00822968">
        <w:rPr>
          <w:i/>
          <w:iCs/>
        </w:rPr>
        <w:t>Adults and adolescents</w:t>
      </w:r>
    </w:p>
    <w:p w14:paraId="482424CB" w14:textId="7BD21826" w:rsidR="003A44F9" w:rsidRPr="00822968" w:rsidRDefault="003A44F9" w:rsidP="003A44F9">
      <w:pPr>
        <w:ind w:left="720"/>
        <w:rPr>
          <w:i/>
          <w:iCs/>
        </w:rPr>
      </w:pPr>
      <w:r w:rsidRPr="00822968">
        <w:rPr>
          <w:i/>
          <w:iCs/>
        </w:rPr>
        <w:t>Dupixent is indicated for the treatment of moderate to severe atopic dermatitis in patients aged 12 years and older who are candidates for chronic systemic therapy. Dupixent is not intended for episodic use.</w:t>
      </w:r>
    </w:p>
    <w:p w14:paraId="2DA44C19" w14:textId="77777777" w:rsidR="003A44F9" w:rsidRPr="00822968" w:rsidRDefault="003A44F9" w:rsidP="003A44F9">
      <w:pPr>
        <w:ind w:left="720"/>
        <w:rPr>
          <w:i/>
          <w:iCs/>
        </w:rPr>
      </w:pPr>
      <w:r w:rsidRPr="00822968">
        <w:rPr>
          <w:i/>
          <w:iCs/>
        </w:rPr>
        <w:t>Children 6 to 11 years of age</w:t>
      </w:r>
    </w:p>
    <w:p w14:paraId="6C2BFCCD" w14:textId="47D01AAA" w:rsidR="003A44F9" w:rsidRPr="00822968" w:rsidRDefault="003A44F9" w:rsidP="003A44F9">
      <w:pPr>
        <w:ind w:left="720"/>
        <w:rPr>
          <w:i/>
          <w:iCs/>
        </w:rPr>
      </w:pPr>
      <w:r w:rsidRPr="00822968">
        <w:rPr>
          <w:i/>
          <w:iCs/>
        </w:rPr>
        <w:t>Dupixent is indicated for the treatment of severe atopic dermatitis in patients aged 6 to 11 years old who are candidates for chronic systemic therapy. Dupixent is not intended for episodic use.</w:t>
      </w:r>
    </w:p>
    <w:p w14:paraId="2E70BAA1" w14:textId="77777777" w:rsidR="003A44F9" w:rsidRPr="00822968" w:rsidRDefault="003A44F9" w:rsidP="003A44F9">
      <w:pPr>
        <w:ind w:left="720"/>
        <w:rPr>
          <w:b/>
          <w:bCs/>
          <w:i/>
          <w:iCs/>
        </w:rPr>
      </w:pPr>
      <w:r w:rsidRPr="00822968">
        <w:rPr>
          <w:b/>
          <w:bCs/>
          <w:i/>
          <w:iCs/>
        </w:rPr>
        <w:t>Asthma</w:t>
      </w:r>
    </w:p>
    <w:p w14:paraId="6B165D12" w14:textId="496DA7D7" w:rsidR="003A44F9" w:rsidRPr="00822968" w:rsidRDefault="003A44F9" w:rsidP="003A44F9">
      <w:pPr>
        <w:ind w:left="720"/>
        <w:rPr>
          <w:i/>
          <w:iCs/>
        </w:rPr>
      </w:pPr>
      <w:r w:rsidRPr="00822968">
        <w:rPr>
          <w:i/>
          <w:iCs/>
        </w:rPr>
        <w:t xml:space="preserve">Dupixent is indicated as add on maintenance treatment in patients aged 12 years and older with moderate to severe asthma with type 2 inflammation (elevated eosinophils or elevated </w:t>
      </w:r>
      <w:proofErr w:type="spellStart"/>
      <w:r w:rsidRPr="00822968">
        <w:rPr>
          <w:i/>
          <w:iCs/>
        </w:rPr>
        <w:t>FeNO</w:t>
      </w:r>
      <w:proofErr w:type="spellEnd"/>
      <w:r w:rsidRPr="00822968">
        <w:rPr>
          <w:i/>
          <w:iCs/>
        </w:rPr>
        <w:t>).</w:t>
      </w:r>
    </w:p>
    <w:p w14:paraId="53FD7ED0" w14:textId="77777777" w:rsidR="003A44F9" w:rsidRPr="00822968" w:rsidRDefault="003A44F9" w:rsidP="003A44F9">
      <w:pPr>
        <w:ind w:left="720"/>
        <w:rPr>
          <w:i/>
          <w:iCs/>
        </w:rPr>
      </w:pPr>
      <w:r w:rsidRPr="00822968">
        <w:rPr>
          <w:i/>
          <w:iCs/>
        </w:rPr>
        <w:t>Dupixent is indicated as maintenance therapy for oral corticosteroid dependent asthma.</w:t>
      </w:r>
    </w:p>
    <w:p w14:paraId="3EF6D465" w14:textId="77777777" w:rsidR="003A44F9" w:rsidRPr="00822968" w:rsidRDefault="003A44F9" w:rsidP="003A44F9">
      <w:pPr>
        <w:ind w:left="720"/>
        <w:rPr>
          <w:b/>
          <w:bCs/>
          <w:i/>
          <w:iCs/>
        </w:rPr>
      </w:pPr>
      <w:r w:rsidRPr="00822968">
        <w:rPr>
          <w:b/>
          <w:bCs/>
          <w:i/>
          <w:iCs/>
        </w:rPr>
        <w:t>Chronic rhinosinusitis with nasal polyposis (CRSwNP)</w:t>
      </w:r>
    </w:p>
    <w:p w14:paraId="159BBF4E" w14:textId="7E19A704" w:rsidR="003A44F9" w:rsidRPr="00822968" w:rsidRDefault="003A44F9" w:rsidP="003A44F9">
      <w:pPr>
        <w:ind w:left="720"/>
        <w:rPr>
          <w:i/>
          <w:iCs/>
        </w:rPr>
      </w:pPr>
      <w:r w:rsidRPr="00822968">
        <w:rPr>
          <w:i/>
          <w:iCs/>
        </w:rPr>
        <w:t>Dupixent is indicated as an add-on maintenance treatment in adult patients with inadequately controlled chronic rhinosinusitis with nasal polyposis (CRSwNP).</w:t>
      </w:r>
    </w:p>
    <w:p w14:paraId="0046676F" w14:textId="77777777" w:rsidR="00D23139" w:rsidRPr="00822968" w:rsidRDefault="00D23139" w:rsidP="00D23139">
      <w:pPr>
        <w:pStyle w:val="Heading4"/>
      </w:pPr>
      <w:r w:rsidRPr="00822968">
        <w:t>Specific conditions of registration applying to these goods</w:t>
      </w:r>
    </w:p>
    <w:p w14:paraId="5E4C58A9" w14:textId="4F910716" w:rsidR="00DE2910" w:rsidRPr="00822968" w:rsidRDefault="00DE2910" w:rsidP="00DE2910">
      <w:pPr>
        <w:pStyle w:val="ListBullet"/>
      </w:pPr>
      <w:r w:rsidRPr="00822968">
        <w:t xml:space="preserve">Dupixent (dupilumab) is to be included in the Black Triangle Scheme. The PI and CMI </w:t>
      </w:r>
      <w:r w:rsidR="00DF6D9B" w:rsidRPr="00822968">
        <w:t xml:space="preserve">[Consumer Medicines Information] </w:t>
      </w:r>
      <w:r w:rsidRPr="00822968">
        <w:t>for Dupixent must include the black triangle symbol and mandatory accompanying text for five years, which starts from the date the new indication is registered.</w:t>
      </w:r>
    </w:p>
    <w:p w14:paraId="4491F622" w14:textId="1E6FAFCE" w:rsidR="00DE2910" w:rsidRPr="00822968" w:rsidRDefault="00DE2910" w:rsidP="00DE2910">
      <w:pPr>
        <w:pStyle w:val="ListBullet"/>
      </w:pPr>
      <w:r w:rsidRPr="00822968">
        <w:t>The Dupixent EU-</w:t>
      </w:r>
      <w:r w:rsidR="002662A6" w:rsidRPr="00822968">
        <w:t xml:space="preserve">risk management plan </w:t>
      </w:r>
      <w:r w:rsidRPr="00822968">
        <w:t xml:space="preserve">(RMP) (version 6.0, dated 15 February 2021, data lock point 28 September 2020), with Australian </w:t>
      </w:r>
      <w:r w:rsidR="002662A6" w:rsidRPr="00822968">
        <w:t xml:space="preserve">specific annex </w:t>
      </w:r>
      <w:r w:rsidRPr="00822968">
        <w:t xml:space="preserve">(version 5.0, dated 30 April 2021), included with </w:t>
      </w:r>
      <w:r w:rsidR="002662A6" w:rsidRPr="00822968">
        <w:t xml:space="preserve">Submission </w:t>
      </w:r>
      <w:r w:rsidRPr="00822968">
        <w:t>PM-2020-03043-1-5, and any subsequent revisions, as agreed with the TGA will be implemented in Australia.</w:t>
      </w:r>
    </w:p>
    <w:p w14:paraId="799EE969" w14:textId="3E65CF64" w:rsidR="00DE2910" w:rsidRPr="00822968" w:rsidRDefault="00DE2910" w:rsidP="00DE2910">
      <w:pPr>
        <w:pStyle w:val="ListBullet"/>
        <w:numPr>
          <w:ilvl w:val="0"/>
          <w:numId w:val="0"/>
        </w:numPr>
        <w:ind w:left="360"/>
      </w:pPr>
      <w:r w:rsidRPr="00822968">
        <w:t>An obligatory component of risk management plans is routine pharmacovigilance. Routine pharmacovigilance includes the submission of periodic safety update reports (PSURs).</w:t>
      </w:r>
    </w:p>
    <w:p w14:paraId="4DBFD585" w14:textId="5570B48F" w:rsidR="00DE2910" w:rsidRPr="00822968" w:rsidRDefault="00DE2910" w:rsidP="00DE2910">
      <w:pPr>
        <w:pStyle w:val="ListBullet"/>
        <w:numPr>
          <w:ilvl w:val="0"/>
          <w:numId w:val="0"/>
        </w:numPr>
        <w:ind w:left="360"/>
      </w:pPr>
      <w:r w:rsidRPr="00822968">
        <w:lastRenderedPageBreak/>
        <w:t xml:space="preserve">Reports are to be provided in line with the current published list of EU reference dates and frequency of submission of PSURs until the period covered by such reports is not less than three years from the date of </w:t>
      </w:r>
      <w:r w:rsidR="002662A6" w:rsidRPr="00822968">
        <w:t>the</w:t>
      </w:r>
      <w:r w:rsidRPr="00822968">
        <w:t xml:space="preserve"> approval letter.</w:t>
      </w:r>
    </w:p>
    <w:p w14:paraId="3A48546A" w14:textId="10474856" w:rsidR="00DE2910" w:rsidRPr="00822968" w:rsidRDefault="00DE2910" w:rsidP="00DE2910">
      <w:pPr>
        <w:pStyle w:val="ListBullet"/>
        <w:numPr>
          <w:ilvl w:val="0"/>
          <w:numId w:val="0"/>
        </w:numPr>
        <w:ind w:left="360"/>
      </w:pPr>
      <w:r w:rsidRPr="00822968">
        <w:t xml:space="preserve">The reports are to at least meet the requirements for PSURs as described in the European Medicines Agency’s Guideline on </w:t>
      </w:r>
      <w:r w:rsidR="002662A6" w:rsidRPr="00822968">
        <w:t xml:space="preserve">Good Pharmacovigilance Practices </w:t>
      </w:r>
      <w:r w:rsidRPr="00822968">
        <w:t>(GVP) Module VII-periodic safety update report (Rev 1), Part VII.B Structures and processes. Note that submission of a PSUR does not constitute an application to vary the registration.</w:t>
      </w:r>
    </w:p>
    <w:p w14:paraId="50564B8A" w14:textId="764BED90" w:rsidR="00DE2910" w:rsidRPr="00822968" w:rsidRDefault="00DE2910" w:rsidP="00DE2910">
      <w:pPr>
        <w:pStyle w:val="ListBullet"/>
      </w:pPr>
      <w:r w:rsidRPr="00822968">
        <w:t>For all injectable products the Product Information must be included with the product as a package insert.</w:t>
      </w:r>
    </w:p>
    <w:p w14:paraId="29BA4673" w14:textId="022F2471" w:rsidR="008E7846" w:rsidRPr="00822968" w:rsidRDefault="00A80B5B" w:rsidP="00D23139">
      <w:pPr>
        <w:pStyle w:val="Heading2"/>
      </w:pPr>
      <w:bookmarkStart w:id="77" w:name="_Toc101954633"/>
      <w:r w:rsidRPr="00822968">
        <w:t xml:space="preserve">Attachment 1. </w:t>
      </w:r>
      <w:r w:rsidR="008E7846" w:rsidRPr="00822968">
        <w:t xml:space="preserve">Product </w:t>
      </w:r>
      <w:r w:rsidR="00AA0ED0" w:rsidRPr="00822968">
        <w:t>I</w:t>
      </w:r>
      <w:r w:rsidR="008E7846" w:rsidRPr="00822968">
        <w:t>nformation</w:t>
      </w:r>
      <w:bookmarkEnd w:id="75"/>
      <w:bookmarkEnd w:id="76"/>
      <w:bookmarkEnd w:id="77"/>
    </w:p>
    <w:p w14:paraId="73119AD7" w14:textId="07AD29ED" w:rsidR="00744121" w:rsidRPr="00822968" w:rsidRDefault="006136D7" w:rsidP="00744121">
      <w:pPr>
        <w:rPr>
          <w:lang w:eastAsia="ja-JP"/>
        </w:rPr>
      </w:pPr>
      <w:r w:rsidRPr="00822968">
        <w:t xml:space="preserve">The PI for </w:t>
      </w:r>
      <w:r w:rsidR="003A44F9" w:rsidRPr="00822968">
        <w:t xml:space="preserve">Dupixent </w:t>
      </w:r>
      <w:r w:rsidRPr="00822968">
        <w:t xml:space="preserve">approved with the submission which is described in this AusPAR is at Attachment 1. For the most recent PI, please refer to the TGA website at </w:t>
      </w:r>
      <w:r w:rsidR="007C6B9B" w:rsidRPr="00822968">
        <w:t>&lt;</w:t>
      </w:r>
      <w:hyperlink r:id="rId25" w:history="1">
        <w:r w:rsidR="007C6B9B" w:rsidRPr="00822968">
          <w:rPr>
            <w:rStyle w:val="Hyperlink"/>
          </w:rPr>
          <w:t>https://www.tga.gov.au/product-information-pi</w:t>
        </w:r>
      </w:hyperlink>
      <w:r w:rsidR="007C6B9B" w:rsidRPr="00822968">
        <w:t>&gt;.</w:t>
      </w:r>
    </w:p>
    <w:p w14:paraId="056E1A6D" w14:textId="77777777" w:rsidR="00C80137" w:rsidRPr="00822968" w:rsidRDefault="00C80137" w:rsidP="003A7F6C">
      <w:pPr>
        <w:pStyle w:val="TableTitle"/>
        <w:sectPr w:rsidR="00C80137" w:rsidRPr="00822968" w:rsidSect="00B452CE">
          <w:headerReference w:type="even" r:id="rId26"/>
          <w:headerReference w:type="default" r:id="rId27"/>
          <w:headerReference w:type="first" r:id="rId28"/>
          <w:footerReference w:type="first" r:id="rId29"/>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822968" w14:paraId="383446F4" w14:textId="77777777" w:rsidTr="00A05FA4">
        <w:trPr>
          <w:trHeight w:hRule="exact" w:val="704"/>
        </w:trPr>
        <w:tc>
          <w:tcPr>
            <w:tcW w:w="9175" w:type="dxa"/>
          </w:tcPr>
          <w:p w14:paraId="6BF885DC" w14:textId="77777777" w:rsidR="001C32CD" w:rsidRPr="00822968" w:rsidRDefault="001C32CD" w:rsidP="00A05FA4">
            <w:pPr>
              <w:pStyle w:val="TGASignoff"/>
            </w:pPr>
            <w:r w:rsidRPr="00822968">
              <w:lastRenderedPageBreak/>
              <w:t>Therapeutic Goods Administration</w:t>
            </w:r>
          </w:p>
        </w:tc>
      </w:tr>
      <w:tr w:rsidR="001C32CD" w:rsidRPr="004C239D" w14:paraId="06D01C88" w14:textId="77777777" w:rsidTr="00A05FA4">
        <w:trPr>
          <w:trHeight w:val="1221"/>
        </w:trPr>
        <w:tc>
          <w:tcPr>
            <w:tcW w:w="9175" w:type="dxa"/>
            <w:tcMar>
              <w:top w:w="28" w:type="dxa"/>
            </w:tcMar>
          </w:tcPr>
          <w:p w14:paraId="4892C632" w14:textId="77777777" w:rsidR="001C32CD" w:rsidRPr="00822968" w:rsidRDefault="001C32CD" w:rsidP="00A05FA4">
            <w:pPr>
              <w:pStyle w:val="Address"/>
            </w:pPr>
            <w:r w:rsidRPr="00822968">
              <w:t>PO Box 100 Woden ACT 2606 Australia</w:t>
            </w:r>
          </w:p>
          <w:p w14:paraId="41CA57E9" w14:textId="192E1CCD" w:rsidR="001C32CD" w:rsidRPr="00822968" w:rsidRDefault="001C32CD" w:rsidP="00A05FA4">
            <w:pPr>
              <w:pStyle w:val="Address"/>
            </w:pPr>
            <w:r w:rsidRPr="00822968">
              <w:t xml:space="preserve">Email: </w:t>
            </w:r>
            <w:hyperlink r:id="rId30" w:history="1">
              <w:r w:rsidRPr="00822968">
                <w:rPr>
                  <w:rStyle w:val="Hyperlink"/>
                </w:rPr>
                <w:t>info@tga.gov.au</w:t>
              </w:r>
            </w:hyperlink>
            <w:r w:rsidRPr="00822968">
              <w:t xml:space="preserve">  Phone: 1800 020 </w:t>
            </w:r>
            <w:proofErr w:type="gramStart"/>
            <w:r w:rsidRPr="00822968">
              <w:t>653  Fax</w:t>
            </w:r>
            <w:proofErr w:type="gramEnd"/>
            <w:r w:rsidRPr="00822968">
              <w:t>: 02 6232 8605</w:t>
            </w:r>
          </w:p>
          <w:p w14:paraId="0A9B6721" w14:textId="1913A4B0" w:rsidR="001C32CD" w:rsidRPr="004C239D" w:rsidRDefault="00CE371D" w:rsidP="00A05FA4">
            <w:pPr>
              <w:pStyle w:val="Address"/>
              <w:spacing w:line="260" w:lineRule="atLeast"/>
              <w:rPr>
                <w:b/>
                <w:color w:val="0000FF"/>
                <w:u w:val="single"/>
              </w:rPr>
            </w:pPr>
            <w:hyperlink r:id="rId31" w:history="1">
              <w:r w:rsidR="007C6B9B" w:rsidRPr="00822968">
                <w:rPr>
                  <w:rStyle w:val="Hyperlink"/>
                  <w:b/>
                </w:rPr>
                <w:t>https://www.tga.gov.au</w:t>
              </w:r>
            </w:hyperlink>
          </w:p>
        </w:tc>
      </w:tr>
    </w:tbl>
    <w:p w14:paraId="78E34214" w14:textId="77777777" w:rsidR="00774E1D" w:rsidRPr="008A5E0B" w:rsidRDefault="00774E1D" w:rsidP="004C239D"/>
    <w:sectPr w:rsidR="00774E1D" w:rsidRPr="008A5E0B" w:rsidSect="001C32CD">
      <w:headerReference w:type="even" r:id="rId32"/>
      <w:headerReference w:type="default" r:id="rId33"/>
      <w:footerReference w:type="default" r:id="rId34"/>
      <w:headerReference w:type="first" r:id="rId35"/>
      <w:footerReference w:type="first" r:id="rId36"/>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3FDCD24" w14:textId="77777777" w:rsidR="00CE371D" w:rsidRDefault="00CE371D" w:rsidP="00C40A36">
      <w:pPr>
        <w:spacing w:after="0"/>
      </w:pPr>
      <w:r>
        <w:separator/>
      </w:r>
    </w:p>
  </w:endnote>
  <w:endnote w:type="continuationSeparator" w:id="0">
    <w:p w14:paraId="4A619287" w14:textId="77777777" w:rsidR="00CE371D" w:rsidRDefault="00CE371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E371D" w:rsidRPr="00487162" w14:paraId="291295C8" w14:textId="77777777" w:rsidTr="00DB750B">
      <w:trPr>
        <w:trHeight w:val="269"/>
      </w:trPr>
      <w:tc>
        <w:tcPr>
          <w:tcW w:w="7371" w:type="dxa"/>
          <w:tcMar>
            <w:top w:w="142" w:type="dxa"/>
            <w:bottom w:w="0" w:type="dxa"/>
          </w:tcMar>
        </w:tcPr>
        <w:p w14:paraId="3742352D" w14:textId="7C8732B1" w:rsidR="00CE371D" w:rsidRPr="00487162" w:rsidRDefault="00CE371D" w:rsidP="00460036">
          <w:pPr>
            <w:pStyle w:val="Footer"/>
          </w:pPr>
          <w:r w:rsidRPr="00487162">
            <w:t>AusPA</w:t>
          </w:r>
          <w:r>
            <w:t xml:space="preserve">R - </w:t>
          </w:r>
          <w:r w:rsidRPr="00555B12">
            <w:t xml:space="preserve">Dupixent </w:t>
          </w:r>
          <w:r>
            <w:t>-</w:t>
          </w:r>
          <w:r w:rsidRPr="00460036">
            <w:t xml:space="preserve"> </w:t>
          </w:r>
          <w:r w:rsidRPr="00555B12">
            <w:t xml:space="preserve">dupilumab </w:t>
          </w:r>
          <w:r>
            <w:t xml:space="preserve">- </w:t>
          </w:r>
          <w:r w:rsidRPr="003A44F9">
            <w:t xml:space="preserve">Sanofi-Aventis Australia Pty Ltd </w:t>
          </w:r>
          <w:r>
            <w:t xml:space="preserve">- </w:t>
          </w:r>
          <w:r w:rsidRPr="003A44F9">
            <w:t>PM-2020-03043-1-5</w:t>
          </w:r>
          <w:r>
            <w:br/>
            <w:t>Final 27 April 2022</w:t>
          </w:r>
        </w:p>
      </w:tc>
      <w:tc>
        <w:tcPr>
          <w:tcW w:w="1490" w:type="dxa"/>
          <w:tcMar>
            <w:top w:w="142" w:type="dxa"/>
            <w:bottom w:w="0" w:type="dxa"/>
          </w:tcMar>
        </w:tcPr>
        <w:p w14:paraId="01FEDA8A" w14:textId="6DBCD8C3" w:rsidR="00CE371D" w:rsidRPr="00487162" w:rsidRDefault="00CE371D" w:rsidP="00DB750B">
          <w:pPr>
            <w:pStyle w:val="Footer"/>
            <w:jc w:val="right"/>
          </w:pPr>
          <w:r w:rsidRPr="00487162">
            <w:t xml:space="preserve">Page </w:t>
          </w:r>
          <w:r>
            <w:fldChar w:fldCharType="begin"/>
          </w:r>
          <w:r>
            <w:instrText xml:space="preserve"> PAGE  \* Arabic </w:instrText>
          </w:r>
          <w:r>
            <w:fldChar w:fldCharType="separate"/>
          </w:r>
          <w:r>
            <w:rPr>
              <w:noProof/>
            </w:rPr>
            <w:t>30</w:t>
          </w:r>
          <w:r>
            <w:fldChar w:fldCharType="end"/>
          </w:r>
          <w:r w:rsidRPr="00487162">
            <w:t xml:space="preserve"> of </w:t>
          </w:r>
          <w:fldSimple w:instr=" NUMPAGES  \* Arabic ">
            <w:r>
              <w:rPr>
                <w:noProof/>
              </w:rPr>
              <w:t>32</w:t>
            </w:r>
          </w:fldSimple>
        </w:p>
      </w:tc>
    </w:tr>
  </w:tbl>
  <w:p w14:paraId="4908F598" w14:textId="77777777" w:rsidR="00CE371D" w:rsidRDefault="00CE371D"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E371D" w:rsidRPr="00487162" w14:paraId="703311BC" w14:textId="77777777" w:rsidTr="00E45619">
      <w:trPr>
        <w:trHeight w:val="269"/>
      </w:trPr>
      <w:tc>
        <w:tcPr>
          <w:tcW w:w="4519" w:type="dxa"/>
          <w:tcBorders>
            <w:top w:val="single" w:sz="4" w:space="0" w:color="auto"/>
          </w:tcBorders>
          <w:tcMar>
            <w:top w:w="142" w:type="dxa"/>
            <w:bottom w:w="0" w:type="dxa"/>
          </w:tcMar>
        </w:tcPr>
        <w:p w14:paraId="7B4762E2" w14:textId="77777777" w:rsidR="00CE371D" w:rsidRPr="00487162" w:rsidRDefault="00CE371D" w:rsidP="00FE1DEE">
          <w:pPr>
            <w:pStyle w:val="Footer"/>
          </w:pPr>
          <w:r w:rsidRPr="00487162">
            <w:t>Document title, Part #, Section # - Section title</w:t>
          </w:r>
        </w:p>
        <w:p w14:paraId="7CA96139" w14:textId="77777777" w:rsidR="00CE371D" w:rsidRPr="00487162" w:rsidRDefault="00CE371D" w:rsidP="00FE1DEE">
          <w:pPr>
            <w:pStyle w:val="Footer"/>
          </w:pPr>
          <w:r w:rsidRPr="00487162">
            <w:t>V1.0 October 2010</w:t>
          </w:r>
        </w:p>
      </w:tc>
      <w:tc>
        <w:tcPr>
          <w:tcW w:w="4342" w:type="dxa"/>
          <w:tcBorders>
            <w:top w:val="single" w:sz="4" w:space="0" w:color="auto"/>
          </w:tcBorders>
          <w:tcMar>
            <w:top w:w="142" w:type="dxa"/>
            <w:bottom w:w="0" w:type="dxa"/>
          </w:tcMar>
        </w:tcPr>
        <w:p w14:paraId="0903C1EB" w14:textId="77777777" w:rsidR="00CE371D" w:rsidRPr="00487162" w:rsidRDefault="00CE371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723C506E" w14:textId="77777777" w:rsidR="00CE371D" w:rsidRDefault="00CE37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8E503D" w14:textId="77777777" w:rsidR="00CE371D" w:rsidRPr="001C32CD" w:rsidRDefault="00CE371D"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E371D" w14:paraId="54690E5F" w14:textId="77777777" w:rsidTr="0010601F">
      <w:trPr>
        <w:trHeight w:val="108"/>
      </w:trPr>
      <w:tc>
        <w:tcPr>
          <w:tcW w:w="8875" w:type="dxa"/>
          <w:gridSpan w:val="2"/>
          <w:tcBorders>
            <w:bottom w:val="single" w:sz="4" w:space="0" w:color="auto"/>
          </w:tcBorders>
          <w:tcMar>
            <w:right w:w="284" w:type="dxa"/>
          </w:tcMar>
        </w:tcPr>
        <w:p w14:paraId="7FC911F2" w14:textId="77777777" w:rsidR="00CE371D" w:rsidRDefault="00CE371D" w:rsidP="006E08B3">
          <w:pPr>
            <w:pStyle w:val="Heading3"/>
          </w:pPr>
          <w:r>
            <w:t>Copyright</w:t>
          </w:r>
        </w:p>
        <w:p w14:paraId="5FC26E1E" w14:textId="77777777" w:rsidR="00CE371D" w:rsidRDefault="00CE371D" w:rsidP="006E08B3">
          <w:r>
            <w:rPr>
              <w:rFonts w:cs="Arial"/>
            </w:rPr>
            <w:t>©</w:t>
          </w:r>
          <w:r>
            <w:t xml:space="preserve"> Commonwealth of Australia [add year]</w:t>
          </w:r>
        </w:p>
        <w:p w14:paraId="410762D2" w14:textId="77777777" w:rsidR="00CE371D" w:rsidRDefault="00CE371D" w:rsidP="006E08B3"/>
        <w:p w14:paraId="5366D7AC" w14:textId="77777777" w:rsidR="00CE371D" w:rsidRDefault="00CE371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B6CC2F8" w14:textId="77777777" w:rsidR="00CE371D" w:rsidRDefault="00CE371D" w:rsidP="006E08B3"/>
        <w:p w14:paraId="068063A3" w14:textId="77777777" w:rsidR="00CE371D" w:rsidRDefault="00CE371D" w:rsidP="006E08B3">
          <w:pPr>
            <w:pStyle w:val="Heading3"/>
          </w:pPr>
          <w:r>
            <w:t>Confidentiality</w:t>
          </w:r>
        </w:p>
        <w:p w14:paraId="067B18E5" w14:textId="77777777" w:rsidR="00CE371D" w:rsidRDefault="00CE371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B76B0E7" w14:textId="77777777" w:rsidR="00CE371D" w:rsidRDefault="00CE371D" w:rsidP="006E08B3"/>
        <w:p w14:paraId="536D7219" w14:textId="77777777" w:rsidR="00CE371D" w:rsidRDefault="00CE371D" w:rsidP="006E08B3">
          <w:r>
            <w:t>For submission made by individuals, all personal details, other than your name, will be removed from your submission before it is published on the TGA’s Internet site.</w:t>
          </w:r>
        </w:p>
        <w:p w14:paraId="28BEFD4E" w14:textId="77777777" w:rsidR="00CE371D" w:rsidRDefault="00CE371D" w:rsidP="006E08B3"/>
        <w:p w14:paraId="4208531B" w14:textId="77777777" w:rsidR="00CE371D" w:rsidRDefault="00CE371D"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E371D" w14:paraId="5E61C5B5" w14:textId="77777777" w:rsidTr="0010601F">
      <w:trPr>
        <w:trHeight w:val="417"/>
      </w:trPr>
      <w:tc>
        <w:tcPr>
          <w:tcW w:w="4519" w:type="dxa"/>
          <w:tcBorders>
            <w:top w:val="single" w:sz="4" w:space="0" w:color="auto"/>
          </w:tcBorders>
          <w:tcMar>
            <w:top w:w="142" w:type="dxa"/>
            <w:bottom w:w="0" w:type="dxa"/>
          </w:tcMar>
        </w:tcPr>
        <w:p w14:paraId="5D592B00" w14:textId="77777777" w:rsidR="00CE371D" w:rsidRDefault="00CE371D" w:rsidP="006E08B3">
          <w:r>
            <w:t>Document title, Part #, Section # - Section title</w:t>
          </w:r>
        </w:p>
        <w:p w14:paraId="40D38CB2" w14:textId="77777777" w:rsidR="00CE371D" w:rsidRDefault="00CE371D" w:rsidP="006E08B3">
          <w:r>
            <w:t>V1.0 October 2010</w:t>
          </w:r>
        </w:p>
      </w:tc>
      <w:tc>
        <w:tcPr>
          <w:tcW w:w="4356" w:type="dxa"/>
          <w:tcBorders>
            <w:top w:val="single" w:sz="4" w:space="0" w:color="auto"/>
          </w:tcBorders>
          <w:tcMar>
            <w:top w:w="142" w:type="dxa"/>
            <w:bottom w:w="0" w:type="dxa"/>
          </w:tcMar>
        </w:tcPr>
        <w:p w14:paraId="0EC95F82" w14:textId="77777777" w:rsidR="00CE371D" w:rsidRDefault="00CE371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67EA9588" w14:textId="77777777" w:rsidR="00CE371D" w:rsidRDefault="00CE37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6AEDB4" w14:textId="77777777" w:rsidR="00CE371D" w:rsidRDefault="00CE371D" w:rsidP="00C40A36">
      <w:pPr>
        <w:spacing w:after="0"/>
      </w:pPr>
      <w:r>
        <w:separator/>
      </w:r>
    </w:p>
  </w:footnote>
  <w:footnote w:type="continuationSeparator" w:id="0">
    <w:p w14:paraId="045ED301" w14:textId="77777777" w:rsidR="00CE371D" w:rsidRDefault="00CE371D" w:rsidP="00C40A36">
      <w:pPr>
        <w:spacing w:after="0"/>
      </w:pPr>
      <w:r>
        <w:continuationSeparator/>
      </w:r>
    </w:p>
  </w:footnote>
  <w:footnote w:id="1">
    <w:p w14:paraId="64E80C10" w14:textId="77777777" w:rsidR="00CE371D" w:rsidRDefault="00CE371D">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D18C0D2" w14:textId="3BF64DAE" w:rsidR="00CE371D" w:rsidRDefault="00CE371D" w:rsidP="003E62C2">
      <w:pPr>
        <w:pStyle w:val="FootnoteText"/>
      </w:pPr>
      <w:r>
        <w:rPr>
          <w:rStyle w:val="FootnoteReference"/>
        </w:rPr>
        <w:footnoteRef/>
      </w:r>
      <w:r>
        <w:t xml:space="preserve"> Dupixent (dupilumab) 300 mg/2 mL solution for injection prefilled syringe </w:t>
      </w:r>
      <w:r w:rsidRPr="003E62C2">
        <w:t>has been approved by the TGA on 13 August 2021</w:t>
      </w:r>
      <w:r>
        <w:t>, but it is</w:t>
      </w:r>
      <w:r w:rsidRPr="003E62C2">
        <w:t xml:space="preserve"> not listed on the Australian Register of Therapeutic Goods (ARTG).</w:t>
      </w:r>
    </w:p>
  </w:footnote>
  <w:footnote w:id="3">
    <w:p w14:paraId="41D092BF" w14:textId="40044C87" w:rsidR="00CE371D" w:rsidRDefault="00CE371D">
      <w:pPr>
        <w:pStyle w:val="FootnoteText"/>
      </w:pPr>
      <w:r>
        <w:rPr>
          <w:rStyle w:val="FootnoteReference"/>
        </w:rPr>
        <w:footnoteRef/>
      </w:r>
      <w:r>
        <w:t xml:space="preserve"> </w:t>
      </w:r>
      <w:r w:rsidRPr="00F211D9">
        <w:t>Orlandi</w:t>
      </w:r>
      <w:r>
        <w:t>,</w:t>
      </w:r>
      <w:r w:rsidRPr="00F211D9">
        <w:t xml:space="preserve"> R</w:t>
      </w:r>
      <w:r>
        <w:t>.</w:t>
      </w:r>
      <w:r w:rsidRPr="00F211D9">
        <w:t>R</w:t>
      </w:r>
      <w:r>
        <w:t>. et al.</w:t>
      </w:r>
      <w:r w:rsidRPr="00F211D9">
        <w:t xml:space="preserve"> International Consensus Statement on Allergy and Rhinology: Rhinosinusitis</w:t>
      </w:r>
      <w:r w:rsidRPr="00822968">
        <w:rPr>
          <w:i/>
          <w:iCs/>
        </w:rPr>
        <w:t>, Int Forum Allergy Rhinol</w:t>
      </w:r>
      <w:r>
        <w:t>,</w:t>
      </w:r>
      <w:r w:rsidRPr="00F211D9">
        <w:t xml:space="preserve"> 2016; Suppl 1: S22-S209.</w:t>
      </w:r>
    </w:p>
  </w:footnote>
  <w:footnote w:id="4">
    <w:p w14:paraId="334DD8BE" w14:textId="38458452" w:rsidR="00CE371D" w:rsidRDefault="00CE371D">
      <w:pPr>
        <w:pStyle w:val="FootnoteText"/>
      </w:pPr>
      <w:r>
        <w:rPr>
          <w:rStyle w:val="FootnoteReference"/>
        </w:rPr>
        <w:footnoteRef/>
      </w:r>
      <w:r>
        <w:t xml:space="preserve"> </w:t>
      </w:r>
      <w:r w:rsidRPr="00FD2F88">
        <w:t>Hulse</w:t>
      </w:r>
      <w:r>
        <w:t>,</w:t>
      </w:r>
      <w:r w:rsidRPr="00FD2F88">
        <w:t xml:space="preserve"> K</w:t>
      </w:r>
      <w:r>
        <w:t>.</w:t>
      </w:r>
      <w:r w:rsidRPr="00FD2F88">
        <w:t>E</w:t>
      </w:r>
      <w:r>
        <w:t>. et al</w:t>
      </w:r>
      <w:r w:rsidRPr="00FD2F88">
        <w:t xml:space="preserve"> Pathogenesis of Nasal Polyposis</w:t>
      </w:r>
      <w:r>
        <w:t>,</w:t>
      </w:r>
      <w:r w:rsidRPr="00FD2F88">
        <w:t xml:space="preserve"> </w:t>
      </w:r>
      <w:r w:rsidRPr="00822968">
        <w:rPr>
          <w:i/>
          <w:iCs/>
        </w:rPr>
        <w:t>Clin Exp Allergy</w:t>
      </w:r>
      <w:r>
        <w:t>,</w:t>
      </w:r>
      <w:r w:rsidRPr="00FD2F88">
        <w:t xml:space="preserve"> 2015; 45 (2): 328-346.</w:t>
      </w:r>
    </w:p>
  </w:footnote>
  <w:footnote w:id="5">
    <w:p w14:paraId="48DF40A8" w14:textId="3BB1190C" w:rsidR="00CE371D" w:rsidRDefault="00CE371D">
      <w:pPr>
        <w:pStyle w:val="FootnoteText"/>
      </w:pPr>
      <w:r>
        <w:rPr>
          <w:rStyle w:val="FootnoteReference"/>
        </w:rPr>
        <w:footnoteRef/>
      </w:r>
      <w:r>
        <w:t xml:space="preserve"> </w:t>
      </w:r>
      <w:r w:rsidRPr="00145F5F">
        <w:t>Zoler</w:t>
      </w:r>
      <w:r>
        <w:t>,</w:t>
      </w:r>
      <w:r w:rsidRPr="00145F5F">
        <w:t xml:space="preserve"> Z</w:t>
      </w:r>
      <w:r>
        <w:t>.</w:t>
      </w:r>
      <w:r w:rsidRPr="00145F5F">
        <w:t>M</w:t>
      </w:r>
      <w:r>
        <w:t xml:space="preserve">. </w:t>
      </w:r>
      <w:r w:rsidRPr="00145F5F">
        <w:t>et al. Health State Utility Values in Patients Undergoing Endoscopic Sinus Surgery</w:t>
      </w:r>
      <w:r>
        <w:t>,</w:t>
      </w:r>
      <w:r w:rsidRPr="00145F5F">
        <w:t xml:space="preserve"> </w:t>
      </w:r>
      <w:r w:rsidRPr="00822968">
        <w:rPr>
          <w:i/>
          <w:iCs/>
        </w:rPr>
        <w:t>Laryngoscope</w:t>
      </w:r>
      <w:r>
        <w:t>,</w:t>
      </w:r>
      <w:r w:rsidRPr="00145F5F">
        <w:t xml:space="preserve"> 2011; 121 (12): 2672-2678.</w:t>
      </w:r>
    </w:p>
  </w:footnote>
  <w:footnote w:id="6">
    <w:p w14:paraId="09269177" w14:textId="69CF8E9F" w:rsidR="00CE371D" w:rsidRDefault="00CE371D">
      <w:pPr>
        <w:pStyle w:val="FootnoteText"/>
      </w:pPr>
      <w:r>
        <w:rPr>
          <w:rStyle w:val="FootnoteReference"/>
        </w:rPr>
        <w:footnoteRef/>
      </w:r>
      <w:r>
        <w:t xml:space="preserve"> </w:t>
      </w:r>
      <w:r w:rsidRPr="00145F5F">
        <w:t>Fokkens</w:t>
      </w:r>
      <w:r>
        <w:t>,</w:t>
      </w:r>
      <w:r w:rsidRPr="00145F5F">
        <w:t xml:space="preserve"> W</w:t>
      </w:r>
      <w:r>
        <w:t>.</w:t>
      </w:r>
      <w:r w:rsidRPr="00145F5F">
        <w:t>J</w:t>
      </w:r>
      <w:r>
        <w:t>.</w:t>
      </w:r>
      <w:r w:rsidRPr="00145F5F">
        <w:t>et al. European Position Paper on Rhinosinusitis and Nasal Polyps</w:t>
      </w:r>
      <w:r>
        <w:t>,</w:t>
      </w:r>
      <w:r w:rsidRPr="00145F5F">
        <w:t xml:space="preserve"> </w:t>
      </w:r>
      <w:r w:rsidRPr="00822968">
        <w:rPr>
          <w:i/>
          <w:iCs/>
        </w:rPr>
        <w:t>Rhinology</w:t>
      </w:r>
      <w:r>
        <w:t>,</w:t>
      </w:r>
      <w:r w:rsidRPr="00145F5F">
        <w:t xml:space="preserve"> 2020; Suppl 29: 1</w:t>
      </w:r>
      <w:r>
        <w:noBreakHyphen/>
      </w:r>
      <w:r w:rsidRPr="00145F5F">
        <w:t>464.</w:t>
      </w:r>
    </w:p>
  </w:footnote>
  <w:footnote w:id="7">
    <w:p w14:paraId="0AA16962" w14:textId="0245E182" w:rsidR="00CE371D" w:rsidRDefault="00CE371D">
      <w:pPr>
        <w:pStyle w:val="FootnoteText"/>
      </w:pPr>
      <w:r>
        <w:rPr>
          <w:rStyle w:val="FootnoteReference"/>
        </w:rPr>
        <w:footnoteRef/>
      </w:r>
      <w:r>
        <w:t xml:space="preserve"> </w:t>
      </w:r>
      <w:r w:rsidRPr="00145F5F">
        <w:t>Kaplan</w:t>
      </w:r>
      <w:r>
        <w:t>,</w:t>
      </w:r>
      <w:r w:rsidRPr="00145F5F">
        <w:t xml:space="preserve"> A. Canadian Guidelines for Chronic Rhinosinusitis</w:t>
      </w:r>
      <w:r>
        <w:t>,</w:t>
      </w:r>
      <w:r w:rsidRPr="00145F5F">
        <w:t xml:space="preserve"> </w:t>
      </w:r>
      <w:r w:rsidRPr="00822968">
        <w:rPr>
          <w:i/>
          <w:iCs/>
        </w:rPr>
        <w:t>Can Fam Physician</w:t>
      </w:r>
      <w:r>
        <w:t>,</w:t>
      </w:r>
      <w:r w:rsidRPr="00145F5F">
        <w:t xml:space="preserve"> 2013; 59: 1275-81.</w:t>
      </w:r>
    </w:p>
  </w:footnote>
  <w:footnote w:id="8">
    <w:p w14:paraId="620219BA" w14:textId="77777777" w:rsidR="00CE371D" w:rsidRDefault="00CE371D" w:rsidP="00A15EE3">
      <w:pPr>
        <w:pStyle w:val="FootnoteText"/>
      </w:pPr>
      <w:r>
        <w:rPr>
          <w:rStyle w:val="FootnoteReference"/>
        </w:rPr>
        <w:footnoteRef/>
      </w:r>
      <w:r>
        <w:t xml:space="preserve"> </w:t>
      </w:r>
      <w:r w:rsidRPr="00FD2F88">
        <w:t>Hopkins</w:t>
      </w:r>
      <w:r>
        <w:t>,</w:t>
      </w:r>
      <w:r w:rsidRPr="00FD2F88">
        <w:t xml:space="preserve"> C. Chronic Rhinosinusitis with Nasal Polyps</w:t>
      </w:r>
      <w:r>
        <w:t>,</w:t>
      </w:r>
      <w:r w:rsidRPr="00FD2F88">
        <w:t xml:space="preserve"> </w:t>
      </w:r>
      <w:r w:rsidRPr="00822968">
        <w:rPr>
          <w:i/>
          <w:iCs/>
        </w:rPr>
        <w:t>N Engl J Med</w:t>
      </w:r>
      <w:r>
        <w:t>,</w:t>
      </w:r>
      <w:r w:rsidRPr="00FD2F88">
        <w:t xml:space="preserve"> 2019; 381: 55-63.</w:t>
      </w:r>
    </w:p>
  </w:footnote>
  <w:footnote w:id="9">
    <w:p w14:paraId="15A36D7A" w14:textId="43123A33" w:rsidR="00CE371D" w:rsidRDefault="00CE371D">
      <w:pPr>
        <w:pStyle w:val="FootnoteText"/>
      </w:pPr>
      <w:r>
        <w:rPr>
          <w:rStyle w:val="FootnoteReference"/>
        </w:rPr>
        <w:footnoteRef/>
      </w:r>
      <w:r>
        <w:t xml:space="preserve"> </w:t>
      </w:r>
      <w:r w:rsidRPr="00145F5F">
        <w:t>Langan</w:t>
      </w:r>
      <w:r>
        <w:t>,</w:t>
      </w:r>
      <w:r w:rsidRPr="00145F5F">
        <w:t xml:space="preserve"> S</w:t>
      </w:r>
      <w:r>
        <w:t>.</w:t>
      </w:r>
      <w:r w:rsidRPr="00145F5F">
        <w:t>M</w:t>
      </w:r>
      <w:r>
        <w:t>. et al.</w:t>
      </w:r>
      <w:r w:rsidRPr="00145F5F">
        <w:t xml:space="preserve"> Atopic </w:t>
      </w:r>
      <w:r>
        <w:t>dermatitis,</w:t>
      </w:r>
      <w:r w:rsidRPr="00145F5F">
        <w:t xml:space="preserve"> </w:t>
      </w:r>
      <w:r w:rsidRPr="00822968">
        <w:rPr>
          <w:i/>
          <w:iCs/>
        </w:rPr>
        <w:t>Lancet</w:t>
      </w:r>
      <w:r>
        <w:t>.</w:t>
      </w:r>
      <w:r w:rsidRPr="00145F5F">
        <w:t xml:space="preserve"> 2020; 396 (10247): 345-360.</w:t>
      </w:r>
    </w:p>
  </w:footnote>
  <w:footnote w:id="10">
    <w:p w14:paraId="29C3DB00" w14:textId="068BF432" w:rsidR="00CE371D" w:rsidRDefault="00CE371D">
      <w:pPr>
        <w:pStyle w:val="FootnoteText"/>
      </w:pPr>
      <w:r>
        <w:rPr>
          <w:rStyle w:val="FootnoteReference"/>
        </w:rPr>
        <w:footnoteRef/>
      </w:r>
      <w:r>
        <w:t xml:space="preserve"> </w:t>
      </w:r>
      <w:r w:rsidRPr="00145F5F">
        <w:t>Wollenberg</w:t>
      </w:r>
      <w:r>
        <w:t>,</w:t>
      </w:r>
      <w:r w:rsidRPr="00145F5F">
        <w:t xml:space="preserve"> A</w:t>
      </w:r>
      <w:r>
        <w:t xml:space="preserve">. et al. </w:t>
      </w:r>
      <w:r w:rsidRPr="00145F5F">
        <w:t xml:space="preserve">Consensus-Based European Guidelines for Treatment </w:t>
      </w:r>
      <w:proofErr w:type="gramStart"/>
      <w:r w:rsidRPr="00145F5F">
        <w:t>Of</w:t>
      </w:r>
      <w:proofErr w:type="gramEnd"/>
      <w:r w:rsidRPr="00145F5F">
        <w:t xml:space="preserve"> Atopic Eczema (Atopic Dermatitis) in Adults and Children: Part I</w:t>
      </w:r>
      <w:r>
        <w:t>,</w:t>
      </w:r>
      <w:r w:rsidRPr="00145F5F">
        <w:t xml:space="preserve"> </w:t>
      </w:r>
      <w:r w:rsidRPr="00822968">
        <w:rPr>
          <w:i/>
          <w:iCs/>
        </w:rPr>
        <w:t>J Eur Acad Dermatol Venereol</w:t>
      </w:r>
      <w:r>
        <w:t>,</w:t>
      </w:r>
      <w:r w:rsidRPr="00145F5F">
        <w:t xml:space="preserve"> 2018; 32 (5): 657-682.</w:t>
      </w:r>
    </w:p>
  </w:footnote>
  <w:footnote w:id="11">
    <w:p w14:paraId="6CA14C62" w14:textId="27CBB6E4" w:rsidR="00CE371D" w:rsidRDefault="00CE371D">
      <w:pPr>
        <w:pStyle w:val="FootnoteText"/>
      </w:pPr>
      <w:r>
        <w:rPr>
          <w:rStyle w:val="FootnoteReference"/>
        </w:rPr>
        <w:footnoteRef/>
      </w:r>
      <w:r>
        <w:t xml:space="preserve"> </w:t>
      </w:r>
      <w:r w:rsidRPr="00BF1C53">
        <w:t>Wollenberg A</w:t>
      </w:r>
      <w:r>
        <w:t xml:space="preserve"> et al. </w:t>
      </w:r>
      <w:r w:rsidRPr="00BF1C53">
        <w:t xml:space="preserve">Consensus-Based European Guidelines </w:t>
      </w:r>
      <w:r>
        <w:t>f</w:t>
      </w:r>
      <w:r w:rsidRPr="00BF1C53">
        <w:t xml:space="preserve">or Treatment </w:t>
      </w:r>
      <w:r>
        <w:t>o</w:t>
      </w:r>
      <w:r w:rsidRPr="00BF1C53">
        <w:t xml:space="preserve">f Atopic Eczema (Atopic Dermatitis) </w:t>
      </w:r>
      <w:r>
        <w:t>i</w:t>
      </w:r>
      <w:r w:rsidRPr="00BF1C53">
        <w:t xml:space="preserve">n Adults </w:t>
      </w:r>
      <w:r>
        <w:t>a</w:t>
      </w:r>
      <w:r w:rsidRPr="00BF1C53">
        <w:t>nd Children: Part II</w:t>
      </w:r>
      <w:r>
        <w:t>,</w:t>
      </w:r>
      <w:r w:rsidRPr="00BF1C53">
        <w:t xml:space="preserve"> </w:t>
      </w:r>
      <w:r w:rsidRPr="00822968">
        <w:rPr>
          <w:i/>
          <w:iCs/>
        </w:rPr>
        <w:t>J Eur Acad Dermatol Venereol</w:t>
      </w:r>
      <w:r>
        <w:t>,</w:t>
      </w:r>
      <w:r w:rsidRPr="00BF1C53">
        <w:t xml:space="preserve"> 2018; 32 (6): 850-878.</w:t>
      </w:r>
    </w:p>
  </w:footnote>
  <w:footnote w:id="12">
    <w:p w14:paraId="03889538" w14:textId="584E17B1" w:rsidR="00CE371D" w:rsidRDefault="00CE371D">
      <w:pPr>
        <w:pStyle w:val="FootnoteText"/>
      </w:pPr>
      <w:r>
        <w:rPr>
          <w:rStyle w:val="FootnoteReference"/>
        </w:rPr>
        <w:footnoteRef/>
      </w:r>
      <w:r>
        <w:t xml:space="preserve"> </w:t>
      </w:r>
      <w:r w:rsidRPr="00BF1C53">
        <w:t>Eichenfield</w:t>
      </w:r>
      <w:r>
        <w:t>,</w:t>
      </w:r>
      <w:r w:rsidRPr="00BF1C53">
        <w:t xml:space="preserve"> L</w:t>
      </w:r>
      <w:r>
        <w:t>.</w:t>
      </w:r>
      <w:r w:rsidRPr="00BF1C53">
        <w:t>F</w:t>
      </w:r>
      <w:r>
        <w:t>. et al.</w:t>
      </w:r>
      <w:r w:rsidRPr="00BF1C53">
        <w:t xml:space="preserve"> Guidelines </w:t>
      </w:r>
      <w:r>
        <w:t>o</w:t>
      </w:r>
      <w:r w:rsidRPr="00BF1C53">
        <w:t xml:space="preserve">f Care </w:t>
      </w:r>
      <w:r>
        <w:t>f</w:t>
      </w:r>
      <w:r w:rsidRPr="00BF1C53">
        <w:t xml:space="preserve">or </w:t>
      </w:r>
      <w:r>
        <w:t>t</w:t>
      </w:r>
      <w:r w:rsidRPr="00BF1C53">
        <w:t xml:space="preserve">he Management </w:t>
      </w:r>
      <w:r>
        <w:t>o</w:t>
      </w:r>
      <w:r w:rsidRPr="00BF1C53">
        <w:t xml:space="preserve">f Atopic Dermatitis: Section 2. Management </w:t>
      </w:r>
      <w:r>
        <w:t>a</w:t>
      </w:r>
      <w:r w:rsidRPr="00BF1C53">
        <w:t xml:space="preserve">nd Treatment </w:t>
      </w:r>
      <w:r>
        <w:t>o</w:t>
      </w:r>
      <w:r w:rsidRPr="00BF1C53">
        <w:t xml:space="preserve">f Atopic Dermatitis </w:t>
      </w:r>
      <w:r>
        <w:t>w</w:t>
      </w:r>
      <w:r w:rsidRPr="00BF1C53">
        <w:t>ith Topical Therapies</w:t>
      </w:r>
      <w:r>
        <w:t>,</w:t>
      </w:r>
      <w:r w:rsidRPr="00BF1C53">
        <w:t xml:space="preserve"> </w:t>
      </w:r>
      <w:r w:rsidRPr="00822968">
        <w:rPr>
          <w:i/>
          <w:iCs/>
        </w:rPr>
        <w:t>J Am Acad Dermatol</w:t>
      </w:r>
      <w:r>
        <w:t>,</w:t>
      </w:r>
      <w:r w:rsidRPr="00BF1C53">
        <w:t xml:space="preserve"> 2014; 71 (1): 116-</w:t>
      </w:r>
      <w:r>
        <w:t>1</w:t>
      </w:r>
      <w:r w:rsidRPr="00BF1C53">
        <w:t>32.</w:t>
      </w:r>
    </w:p>
  </w:footnote>
  <w:footnote w:id="13">
    <w:p w14:paraId="38914CE1" w14:textId="7504E83B" w:rsidR="00CE371D" w:rsidRDefault="00CE371D">
      <w:pPr>
        <w:pStyle w:val="FootnoteText"/>
      </w:pPr>
      <w:r>
        <w:rPr>
          <w:rStyle w:val="FootnoteReference"/>
        </w:rPr>
        <w:footnoteRef/>
      </w:r>
      <w:r>
        <w:t xml:space="preserve"> </w:t>
      </w:r>
      <w:r w:rsidRPr="00BF1C53">
        <w:t>Sidbury</w:t>
      </w:r>
      <w:r>
        <w:t>,</w:t>
      </w:r>
      <w:r w:rsidRPr="00BF1C53">
        <w:t xml:space="preserve"> R</w:t>
      </w:r>
      <w:r>
        <w:t xml:space="preserve">. et al. </w:t>
      </w:r>
      <w:r w:rsidRPr="00BF1C53">
        <w:t xml:space="preserve">Guidelines </w:t>
      </w:r>
      <w:r>
        <w:t>o</w:t>
      </w:r>
      <w:r w:rsidRPr="00BF1C53">
        <w:t xml:space="preserve">f Care </w:t>
      </w:r>
      <w:r>
        <w:t>f</w:t>
      </w:r>
      <w:r w:rsidRPr="00BF1C53">
        <w:t xml:space="preserve">or </w:t>
      </w:r>
      <w:r>
        <w:t>t</w:t>
      </w:r>
      <w:r w:rsidRPr="00BF1C53">
        <w:t xml:space="preserve">he Management </w:t>
      </w:r>
      <w:r>
        <w:t>o</w:t>
      </w:r>
      <w:r w:rsidRPr="00BF1C53">
        <w:t xml:space="preserve">f Atopic Dermatitis: Section 3. Management </w:t>
      </w:r>
      <w:r>
        <w:t>a</w:t>
      </w:r>
      <w:r w:rsidRPr="00BF1C53">
        <w:t xml:space="preserve">nd Treatment </w:t>
      </w:r>
      <w:r>
        <w:t>w</w:t>
      </w:r>
      <w:r w:rsidRPr="00BF1C53">
        <w:t xml:space="preserve">ith Phototherapy </w:t>
      </w:r>
      <w:r>
        <w:t>a</w:t>
      </w:r>
      <w:r w:rsidRPr="00BF1C53">
        <w:t>nd Systemic Agents</w:t>
      </w:r>
      <w:r>
        <w:t xml:space="preserve">, </w:t>
      </w:r>
      <w:r w:rsidRPr="00822968">
        <w:rPr>
          <w:i/>
          <w:iCs/>
        </w:rPr>
        <w:t>J Am Acad Dermatol</w:t>
      </w:r>
      <w:r>
        <w:t>,</w:t>
      </w:r>
      <w:r w:rsidRPr="00BF1C53">
        <w:t xml:space="preserve"> 2014; 71 (2): 327-</w:t>
      </w:r>
      <w:r>
        <w:t>3</w:t>
      </w:r>
      <w:r w:rsidRPr="00BF1C53">
        <w:t>49.</w:t>
      </w:r>
    </w:p>
  </w:footnote>
  <w:footnote w:id="14">
    <w:p w14:paraId="55AC1686" w14:textId="7408E999" w:rsidR="00CE371D" w:rsidRDefault="00CE371D">
      <w:pPr>
        <w:pStyle w:val="FootnoteText"/>
      </w:pPr>
      <w:r>
        <w:rPr>
          <w:rStyle w:val="FootnoteReference"/>
        </w:rPr>
        <w:footnoteRef/>
      </w:r>
      <w:r>
        <w:t xml:space="preserve"> </w:t>
      </w:r>
      <w:r w:rsidRPr="00BF1C53">
        <w:t xml:space="preserve">Global Initiative for Asthma (GINA). Global Strategy for Asthma Management and Prevention, 2020. Available </w:t>
      </w:r>
      <w:r>
        <w:t>from</w:t>
      </w:r>
      <w:r w:rsidRPr="00BF1C53">
        <w:t xml:space="preserve">: </w:t>
      </w:r>
      <w:hyperlink r:id="rId1" w:history="1">
        <w:r w:rsidRPr="00D737C9">
          <w:rPr>
            <w:rStyle w:val="Hyperlink"/>
          </w:rPr>
          <w:t>www.ginasthma.org</w:t>
        </w:r>
      </w:hyperlink>
      <w:r w:rsidRPr="00BF1C53">
        <w:t>.</w:t>
      </w:r>
    </w:p>
  </w:footnote>
  <w:footnote w:id="15">
    <w:p w14:paraId="5EDB45FA" w14:textId="0B208078" w:rsidR="00CE371D" w:rsidRDefault="00CE371D">
      <w:pPr>
        <w:pStyle w:val="FootnoteText"/>
      </w:pPr>
      <w:r>
        <w:rPr>
          <w:rStyle w:val="FootnoteReference"/>
        </w:rPr>
        <w:footnoteRef/>
      </w:r>
      <w:r>
        <w:t xml:space="preserve"> </w:t>
      </w:r>
      <w:r w:rsidRPr="00BF1C53">
        <w:t>Fahy</w:t>
      </w:r>
      <w:r>
        <w:t>,</w:t>
      </w:r>
      <w:r w:rsidRPr="00BF1C53">
        <w:t xml:space="preserve"> J</w:t>
      </w:r>
      <w:r>
        <w:t>.</w:t>
      </w:r>
      <w:r w:rsidRPr="00BF1C53">
        <w:t xml:space="preserve">V. Type 2 </w:t>
      </w:r>
      <w:r>
        <w:t>I</w:t>
      </w:r>
      <w:r w:rsidRPr="00BF1C53">
        <w:t xml:space="preserve">nflammation in </w:t>
      </w:r>
      <w:r>
        <w:t>A</w:t>
      </w:r>
      <w:r w:rsidRPr="00BF1C53">
        <w:t xml:space="preserve">sthma </w:t>
      </w:r>
      <w:r>
        <w:t>-</w:t>
      </w:r>
      <w:r w:rsidRPr="00BF1C53">
        <w:t xml:space="preserve"> </w:t>
      </w:r>
      <w:r>
        <w:t>P</w:t>
      </w:r>
      <w:r w:rsidRPr="00BF1C53">
        <w:t xml:space="preserve">resent in </w:t>
      </w:r>
      <w:r>
        <w:t>M</w:t>
      </w:r>
      <w:r w:rsidRPr="00BF1C53">
        <w:t xml:space="preserve">ost, </w:t>
      </w:r>
      <w:r>
        <w:t>A</w:t>
      </w:r>
      <w:r w:rsidRPr="00BF1C53">
        <w:t xml:space="preserve">bsent in </w:t>
      </w:r>
      <w:r>
        <w:t>M</w:t>
      </w:r>
      <w:r w:rsidRPr="00BF1C53">
        <w:t>any</w:t>
      </w:r>
      <w:r>
        <w:t>,</w:t>
      </w:r>
      <w:r w:rsidRPr="00BF1C53">
        <w:t xml:space="preserve"> </w:t>
      </w:r>
      <w:r w:rsidRPr="00822968">
        <w:rPr>
          <w:i/>
          <w:iCs/>
        </w:rPr>
        <w:t>Nat Rev Immunol</w:t>
      </w:r>
      <w:r>
        <w:t>,</w:t>
      </w:r>
      <w:r w:rsidRPr="00BF1C53">
        <w:t xml:space="preserve"> 2015; 15 (1): </w:t>
      </w:r>
      <w:r w:rsidRPr="00A15EE3">
        <w:t>57-65.</w:t>
      </w:r>
    </w:p>
  </w:footnote>
  <w:footnote w:id="16">
    <w:p w14:paraId="44FD3197" w14:textId="01754BE0" w:rsidR="00CE371D" w:rsidRDefault="00CE371D">
      <w:pPr>
        <w:pStyle w:val="FootnoteText"/>
      </w:pPr>
      <w:r>
        <w:rPr>
          <w:rStyle w:val="FootnoteReference"/>
        </w:rPr>
        <w:footnoteRef/>
      </w:r>
      <w:r>
        <w:t xml:space="preserve"> </w:t>
      </w:r>
      <w:r w:rsidRPr="00BF1C53">
        <w:t>National Asthma Council Australia. Australian Asthma Handbook Version 2.1</w:t>
      </w:r>
      <w:r>
        <w:t>,</w:t>
      </w:r>
      <w:r w:rsidRPr="00BF1C53">
        <w:t xml:space="preserve"> 2020</w:t>
      </w:r>
      <w:r>
        <w:t>.</w:t>
      </w:r>
      <w:r w:rsidRPr="00BF1C53">
        <w:t xml:space="preserve"> Available from: </w:t>
      </w:r>
      <w:hyperlink r:id="rId2" w:history="1">
        <w:r w:rsidRPr="00D737C9">
          <w:rPr>
            <w:rStyle w:val="Hyperlink"/>
          </w:rPr>
          <w:t>http://www.asthmahandbook.org.au</w:t>
        </w:r>
      </w:hyperlink>
      <w:r w:rsidRPr="00BF1C53">
        <w:t>.</w:t>
      </w:r>
    </w:p>
  </w:footnote>
  <w:footnote w:id="17">
    <w:p w14:paraId="71E06A95" w14:textId="513BC7F4" w:rsidR="00CE371D" w:rsidRDefault="00CE371D">
      <w:pPr>
        <w:pStyle w:val="FootnoteText"/>
      </w:pPr>
      <w:r>
        <w:rPr>
          <w:rStyle w:val="FootnoteReference"/>
        </w:rPr>
        <w:footnoteRef/>
      </w:r>
      <w:r>
        <w:t xml:space="preserve"> </w:t>
      </w:r>
      <w:r w:rsidRPr="007504CD">
        <w:t>Food and Drug Administration</w:t>
      </w:r>
      <w:r>
        <w:t xml:space="preserve"> (FDA) (United States of America), </w:t>
      </w:r>
      <w:r w:rsidRPr="007504CD">
        <w:t>Dupixent (dupilumab) injection, for subcutaneous use</w:t>
      </w:r>
      <w:r>
        <w:t>,</w:t>
      </w:r>
      <w:r w:rsidRPr="007504CD">
        <w:t xml:space="preserve"> Prescribing Information </w:t>
      </w:r>
      <w:r>
        <w:t>-</w:t>
      </w:r>
      <w:r w:rsidRPr="00374BCD">
        <w:t xml:space="preserve">Clinical </w:t>
      </w:r>
      <w:r>
        <w:t>T</w:t>
      </w:r>
      <w:r w:rsidRPr="00374BCD">
        <w:t xml:space="preserve">rials </w:t>
      </w:r>
      <w:r>
        <w:t>S</w:t>
      </w:r>
      <w:r w:rsidRPr="00374BCD">
        <w:t>ection</w:t>
      </w:r>
      <w:r>
        <w:t xml:space="preserve">. Available from the FDA website </w:t>
      </w:r>
      <w:proofErr w:type="spellStart"/>
      <w:r>
        <w:t>at:at</w:t>
      </w:r>
      <w:proofErr w:type="spellEnd"/>
      <w:r>
        <w:t xml:space="preserve">: </w:t>
      </w:r>
      <w:r w:rsidRPr="00E313F0">
        <w:t>https://www.accessdata.fda.gov/drugsatfda_docs/label/2021/761055s031lbl.pdf</w:t>
      </w:r>
    </w:p>
  </w:footnote>
  <w:footnote w:id="18">
    <w:p w14:paraId="209ACA1B" w14:textId="1AB18230" w:rsidR="00CE371D" w:rsidRDefault="00CE371D">
      <w:pPr>
        <w:pStyle w:val="FootnoteText"/>
      </w:pPr>
      <w:r>
        <w:rPr>
          <w:rStyle w:val="FootnoteReference"/>
        </w:rPr>
        <w:footnoteRef/>
      </w:r>
      <w:r>
        <w:t xml:space="preserve"> </w:t>
      </w:r>
      <w:r w:rsidRPr="00AE3C35">
        <w:t xml:space="preserve">The </w:t>
      </w:r>
      <w:r w:rsidRPr="00AE3C35">
        <w:rPr>
          <w:b/>
          <w:bCs/>
        </w:rPr>
        <w:t>22-item Sino-nasal outcome test (SNOT-22)</w:t>
      </w:r>
      <w:r w:rsidRPr="00AE3C35">
        <w:t xml:space="preserve"> is a validated patient-reported chronic rhinosinusitis health-related quality-of-life outcome measure</w:t>
      </w:r>
      <w:r>
        <w:t>.</w:t>
      </w:r>
    </w:p>
  </w:footnote>
  <w:footnote w:id="19">
    <w:p w14:paraId="623A9513" w14:textId="23F0A3B3" w:rsidR="00CE371D" w:rsidRDefault="00CE371D" w:rsidP="00A908C9">
      <w:pPr>
        <w:pStyle w:val="FootnoteText"/>
      </w:pPr>
      <w:r>
        <w:rPr>
          <w:rStyle w:val="FootnoteReference"/>
        </w:rPr>
        <w:footnoteRef/>
      </w:r>
      <w:r>
        <w:t xml:space="preserve"> </w:t>
      </w:r>
      <w:r w:rsidRPr="00ED20F7">
        <w:t>Paller</w:t>
      </w:r>
      <w:r>
        <w:t>,</w:t>
      </w:r>
      <w:r w:rsidRPr="00ED20F7">
        <w:t xml:space="preserve"> A</w:t>
      </w:r>
      <w:r>
        <w:t>.</w:t>
      </w:r>
      <w:r w:rsidRPr="00ED20F7">
        <w:t>S</w:t>
      </w:r>
      <w:r>
        <w:t>.</w:t>
      </w:r>
      <w:r w:rsidRPr="00ED20F7">
        <w:t xml:space="preserve"> et al. Efficacy </w:t>
      </w:r>
      <w:r>
        <w:t>a</w:t>
      </w:r>
      <w:r w:rsidRPr="00ED20F7">
        <w:t xml:space="preserve">nd Safety </w:t>
      </w:r>
      <w:r>
        <w:t>o</w:t>
      </w:r>
      <w:r w:rsidRPr="00ED20F7">
        <w:t xml:space="preserve">f Dupilumab </w:t>
      </w:r>
      <w:r>
        <w:t>w</w:t>
      </w:r>
      <w:r w:rsidRPr="00ED20F7">
        <w:t xml:space="preserve">ith Concomitant Topical Corticosteroids </w:t>
      </w:r>
      <w:r>
        <w:t>i</w:t>
      </w:r>
      <w:r w:rsidRPr="00ED20F7">
        <w:t xml:space="preserve">n Children 6 </w:t>
      </w:r>
      <w:r>
        <w:t>t</w:t>
      </w:r>
      <w:r w:rsidRPr="00ED20F7">
        <w:t xml:space="preserve">o 11 Years Old </w:t>
      </w:r>
      <w:r>
        <w:t>w</w:t>
      </w:r>
      <w:r w:rsidRPr="00ED20F7">
        <w:t xml:space="preserve">ith Severe Atopic Dermatitis: </w:t>
      </w:r>
      <w:proofErr w:type="gramStart"/>
      <w:r>
        <w:t>a</w:t>
      </w:r>
      <w:proofErr w:type="gramEnd"/>
      <w:r w:rsidRPr="00ED20F7">
        <w:t xml:space="preserve"> Randomized, Double-Blinded, Placebo-Controlled Phase 3 Trial</w:t>
      </w:r>
      <w:r>
        <w:t>,</w:t>
      </w:r>
      <w:r w:rsidRPr="00ED20F7">
        <w:t xml:space="preserve"> </w:t>
      </w:r>
      <w:r w:rsidRPr="00822968">
        <w:rPr>
          <w:i/>
          <w:iCs/>
        </w:rPr>
        <w:t>J Am Acad Dermatol</w:t>
      </w:r>
      <w:r>
        <w:t>,</w:t>
      </w:r>
      <w:r w:rsidRPr="00ED20F7">
        <w:t xml:space="preserve"> 2020; 83 (5): 1282-1293</w:t>
      </w:r>
    </w:p>
  </w:footnote>
  <w:footnote w:id="20">
    <w:p w14:paraId="33CEF509" w14:textId="035AFE43" w:rsidR="00CE371D" w:rsidRDefault="00CE371D">
      <w:pPr>
        <w:pStyle w:val="FootnoteText"/>
      </w:pPr>
      <w:r>
        <w:rPr>
          <w:rStyle w:val="FootnoteReference"/>
        </w:rPr>
        <w:footnoteRef/>
      </w:r>
      <w:r>
        <w:t xml:space="preserve"> </w:t>
      </w:r>
      <w:r w:rsidRPr="00AE3C35">
        <w:rPr>
          <w:b/>
          <w:bCs/>
        </w:rPr>
        <w:t>Eczema area and severity index (EASI)</w:t>
      </w:r>
      <w:r>
        <w:t xml:space="preserve"> </w:t>
      </w:r>
      <w:r w:rsidRPr="00F9258A">
        <w:t xml:space="preserve">is a </w:t>
      </w:r>
      <w:r w:rsidRPr="00AE3C35">
        <w:t>scoring system that</w:t>
      </w:r>
      <w:r w:rsidRPr="00F9258A">
        <w:t xml:space="preserve"> </w:t>
      </w:r>
      <w:r>
        <w:t>grades</w:t>
      </w:r>
      <w:r w:rsidRPr="00F9258A">
        <w:t xml:space="preserve"> the extent and severity of atopic eczema</w:t>
      </w:r>
      <w:r>
        <w:t>.</w:t>
      </w:r>
    </w:p>
  </w:footnote>
  <w:footnote w:id="21">
    <w:p w14:paraId="4D3EB73C" w14:textId="3897DB48" w:rsidR="00CE371D" w:rsidRDefault="00CE371D">
      <w:pPr>
        <w:pStyle w:val="FootnoteText"/>
      </w:pPr>
      <w:r>
        <w:rPr>
          <w:rStyle w:val="FootnoteReference"/>
        </w:rPr>
        <w:footnoteRef/>
      </w:r>
      <w:r>
        <w:t xml:space="preserve"> </w:t>
      </w:r>
      <w:r w:rsidRPr="00AE3C35">
        <w:t xml:space="preserve">The </w:t>
      </w:r>
      <w:r w:rsidRPr="00AE3C35">
        <w:rPr>
          <w:b/>
          <w:bCs/>
        </w:rPr>
        <w:t>per-protocol (PP)</w:t>
      </w:r>
      <w:r w:rsidRPr="00AE3C35">
        <w:t xml:space="preserve"> analysis is restricted to the participants who strictly adhered to the protocol. Also known as ‘on-treatment’ analysis.</w:t>
      </w:r>
    </w:p>
  </w:footnote>
  <w:footnote w:id="22">
    <w:p w14:paraId="3523A7A4" w14:textId="77777777" w:rsidR="00CE371D" w:rsidRDefault="00CE371D"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33E312A6" w14:textId="77777777" w:rsidR="00CE371D" w:rsidRDefault="00CE371D" w:rsidP="007D53B6">
      <w:pPr>
        <w:pStyle w:val="FootnoteText"/>
      </w:pPr>
      <w:r w:rsidRPr="007D53B6">
        <w:rPr>
          <w:i/>
        </w:rPr>
        <w:t>Routine pharmacovigilance</w:t>
      </w:r>
      <w:r>
        <w:t xml:space="preserve"> practices involve the following activities:</w:t>
      </w:r>
    </w:p>
    <w:p w14:paraId="294F3C81" w14:textId="77777777" w:rsidR="00CE371D" w:rsidRDefault="00CE371D" w:rsidP="007D53B6">
      <w:pPr>
        <w:pStyle w:val="FootnoteText"/>
        <w:numPr>
          <w:ilvl w:val="0"/>
          <w:numId w:val="32"/>
        </w:numPr>
        <w:ind w:left="284" w:hanging="284"/>
      </w:pPr>
      <w:r>
        <w:t>All suspected adverse reactions that are reported to the personnel of the company are collected and collated in an accessible manner;</w:t>
      </w:r>
    </w:p>
    <w:p w14:paraId="5FD0DE4E" w14:textId="77777777" w:rsidR="00CE371D" w:rsidRDefault="00CE371D" w:rsidP="007D53B6">
      <w:pPr>
        <w:pStyle w:val="FootnoteText"/>
        <w:numPr>
          <w:ilvl w:val="0"/>
          <w:numId w:val="32"/>
        </w:numPr>
        <w:ind w:left="284" w:hanging="284"/>
      </w:pPr>
      <w:r>
        <w:t>Reporting to regulatory authorities;</w:t>
      </w:r>
    </w:p>
    <w:p w14:paraId="6AED2E13" w14:textId="77777777" w:rsidR="00CE371D" w:rsidRDefault="00CE371D" w:rsidP="007D53B6">
      <w:pPr>
        <w:pStyle w:val="FootnoteText"/>
        <w:numPr>
          <w:ilvl w:val="0"/>
          <w:numId w:val="32"/>
        </w:numPr>
        <w:ind w:left="284" w:hanging="284"/>
      </w:pPr>
      <w:r>
        <w:t>Continuous monitoring of the safety profiles of approved products including signal detection and updating of labelling;</w:t>
      </w:r>
    </w:p>
    <w:p w14:paraId="280D83A4" w14:textId="77777777" w:rsidR="00CE371D" w:rsidRDefault="00CE371D" w:rsidP="007D53B6">
      <w:pPr>
        <w:pStyle w:val="FootnoteText"/>
        <w:numPr>
          <w:ilvl w:val="0"/>
          <w:numId w:val="32"/>
        </w:numPr>
        <w:ind w:left="284" w:hanging="284"/>
      </w:pPr>
      <w:r>
        <w:t>Submission of PSURs;</w:t>
      </w:r>
    </w:p>
    <w:p w14:paraId="2980046B" w14:textId="77777777" w:rsidR="00CE371D" w:rsidRDefault="00CE371D" w:rsidP="007D53B6">
      <w:pPr>
        <w:pStyle w:val="FootnoteText"/>
        <w:numPr>
          <w:ilvl w:val="0"/>
          <w:numId w:val="32"/>
        </w:numPr>
        <w:ind w:left="284" w:hanging="284"/>
      </w:pPr>
      <w:r>
        <w:t>Meeting other local regulatory agency requirements.</w:t>
      </w:r>
    </w:p>
  </w:footnote>
  <w:footnote w:id="23">
    <w:p w14:paraId="517003E3" w14:textId="77777777" w:rsidR="00CE371D" w:rsidRPr="00456765" w:rsidRDefault="00CE371D" w:rsidP="00FB369D">
      <w:pPr>
        <w:pStyle w:val="FootnoteText"/>
        <w:rPr>
          <w:lang w:val="en-US"/>
        </w:rPr>
      </w:pPr>
      <w:r>
        <w:rPr>
          <w:rStyle w:val="FootnoteReference"/>
        </w:rPr>
        <w:footnoteRef/>
      </w:r>
      <w:r>
        <w:t xml:space="preserve"> </w:t>
      </w:r>
      <w:r w:rsidRPr="00FB369D">
        <w:t xml:space="preserve">The ACM provides independent medical and scientific advice to the Minister for Health and the TGA on issues relating to the safety, quality and efficacy of medicines supplied in Australia including issues relating to pre market and post-market functions for medicines. Further information can be found here: </w:t>
      </w:r>
      <w:hyperlink r:id="rId3" w:history="1">
        <w:r w:rsidRPr="0004151A">
          <w:rPr>
            <w:rStyle w:val="Hyperlink"/>
          </w:rPr>
          <w:t>https://www.tga.gov.au/committee/advisory-committee-medicines-acm</w:t>
        </w:r>
      </w:hyperlink>
      <w:r>
        <w:t>.</w:t>
      </w:r>
    </w:p>
  </w:footnote>
  <w:footnote w:id="24">
    <w:p w14:paraId="6AECB2BF" w14:textId="22421156" w:rsidR="00CE371D" w:rsidRPr="004B721A" w:rsidRDefault="00CE371D">
      <w:pPr>
        <w:pStyle w:val="FootnoteText"/>
        <w:rPr>
          <w:lang w:val="en-GB"/>
        </w:rPr>
      </w:pPr>
      <w:r>
        <w:rPr>
          <w:rStyle w:val="FootnoteReference"/>
        </w:rPr>
        <w:footnoteRef/>
      </w:r>
      <w:r>
        <w:t xml:space="preserve"> </w:t>
      </w:r>
      <w:r>
        <w:rPr>
          <w:lang w:val="en-GB"/>
        </w:rPr>
        <w:t xml:space="preserve">Referred to as Study </w:t>
      </w:r>
      <w:r w:rsidRPr="00A32462">
        <w:rPr>
          <w:lang w:val="en-GB"/>
        </w:rPr>
        <w:t>EFC14280</w:t>
      </w:r>
      <w:r>
        <w:rPr>
          <w:lang w:val="en-GB"/>
        </w:rPr>
        <w:t xml:space="preserve"> elsewhere in this document.</w:t>
      </w:r>
    </w:p>
  </w:footnote>
  <w:footnote w:id="25">
    <w:p w14:paraId="718D13DD" w14:textId="1E312F0D" w:rsidR="00CE371D" w:rsidRPr="004B721A" w:rsidRDefault="00CE371D">
      <w:pPr>
        <w:pStyle w:val="FootnoteText"/>
        <w:rPr>
          <w:lang w:val="en-GB"/>
        </w:rPr>
      </w:pPr>
      <w:r>
        <w:rPr>
          <w:rStyle w:val="FootnoteReference"/>
        </w:rPr>
        <w:footnoteRef/>
      </w:r>
      <w:r>
        <w:t xml:space="preserve"> </w:t>
      </w:r>
      <w:r w:rsidRPr="00A32462">
        <w:t>European Medicines Evaluation Agency (EMEA), Committee for Proprietary Medicinal Products (CPMP), ICH Topic E 11 Clinical Investigation of Medicinal Products in the Paediatric Population, CPMP/ICH/2711/99, January 2001.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A880A" w14:textId="77777777" w:rsidR="00CE371D" w:rsidRDefault="00CE371D"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878BD4" w14:textId="77777777" w:rsidR="00CE371D" w:rsidRDefault="00CE371D">
    <w:pPr>
      <w:rPr>
        <w:noProof/>
        <w:lang w:eastAsia="en-AU"/>
      </w:rPr>
    </w:pPr>
    <w:r w:rsidRPr="00347824">
      <w:rPr>
        <w:noProof/>
        <w:lang w:val="en-GB" w:eastAsia="en-GB"/>
      </w:rPr>
      <w:drawing>
        <wp:anchor distT="0" distB="0" distL="114300" distR="114300" simplePos="0" relativeHeight="251659264" behindDoc="1" locked="0" layoutInCell="1" allowOverlap="1" wp14:anchorId="56D66E2C" wp14:editId="7B4D70A9">
          <wp:simplePos x="0" y="0"/>
          <wp:positionH relativeFrom="column">
            <wp:posOffset>-1089660</wp:posOffset>
          </wp:positionH>
          <wp:positionV relativeFrom="paragraph">
            <wp:posOffset>-585470</wp:posOffset>
          </wp:positionV>
          <wp:extent cx="7572375" cy="10706100"/>
          <wp:effectExtent l="19050" t="0" r="0" b="0"/>
          <wp:wrapNone/>
          <wp:docPr id="9"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20BF732" w14:textId="77777777" w:rsidR="00CE371D" w:rsidRDefault="00CE371D" w:rsidP="00593AD1">
    <w:pPr>
      <w:pStyle w:val="HeaderNoLi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C2964" w14:textId="77777777" w:rsidR="00CE371D" w:rsidRDefault="00CE37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BBC12F" w14:textId="77777777" w:rsidR="00CE371D" w:rsidRDefault="00CE371D">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05FC1" w14:textId="77777777" w:rsidR="00CE371D" w:rsidRDefault="00CE371D">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88056C" w14:textId="77777777" w:rsidR="00CE371D" w:rsidRDefault="00CE37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751ED8" w14:textId="77777777" w:rsidR="00CE371D" w:rsidRDefault="00CE371D"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E8A63" w14:textId="77777777" w:rsidR="00CE371D" w:rsidRDefault="00CE371D" w:rsidP="006E08B3">
    <w:r>
      <w:t>Therapeutic Goods Administration</w:t>
    </w:r>
  </w:p>
  <w:p w14:paraId="4C1FDB2B" w14:textId="77777777" w:rsidR="00CE371D" w:rsidRDefault="00CE371D"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06D6AE96"/>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E9108CD"/>
    <w:multiLevelType w:val="hybridMultilevel"/>
    <w:tmpl w:val="20D84CDA"/>
    <w:lvl w:ilvl="0" w:tplc="DC3A5644">
      <w:start w:val="1"/>
      <w:numFmt w:val="bullet"/>
      <w:pStyle w:val="Bulletlist"/>
      <w:lvlText w:val=""/>
      <w:lvlJc w:val="left"/>
      <w:pPr>
        <w:ind w:left="644" w:hanging="360"/>
      </w:pPr>
      <w:rPr>
        <w:rFonts w:ascii="Symbol" w:hAnsi="Symbol" w:hint="default"/>
        <w:color w:val="auto"/>
      </w:rPr>
    </w:lvl>
    <w:lvl w:ilvl="1" w:tplc="0C090003">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2976467"/>
    <w:multiLevelType w:val="hybridMultilevel"/>
    <w:tmpl w:val="813A31E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32162D82"/>
    <w:multiLevelType w:val="hybridMultilevel"/>
    <w:tmpl w:val="2E1A27A0"/>
    <w:lvl w:ilvl="0" w:tplc="0C090001">
      <w:start w:val="1"/>
      <w:numFmt w:val="bullet"/>
      <w:lvlText w:val=""/>
      <w:lvlJc w:val="left"/>
      <w:pPr>
        <w:ind w:left="1146" w:hanging="360"/>
      </w:pPr>
      <w:rPr>
        <w:rFonts w:ascii="Symbol" w:hAnsi="Symbol" w:hint="default"/>
      </w:rPr>
    </w:lvl>
    <w:lvl w:ilvl="1" w:tplc="0C090003" w:tentative="1">
      <w:start w:val="1"/>
      <w:numFmt w:val="bullet"/>
      <w:lvlText w:val="o"/>
      <w:lvlJc w:val="left"/>
      <w:pPr>
        <w:ind w:left="1866" w:hanging="360"/>
      </w:pPr>
      <w:rPr>
        <w:rFonts w:ascii="Courier New" w:hAnsi="Courier New" w:cs="Courier New" w:hint="default"/>
      </w:rPr>
    </w:lvl>
    <w:lvl w:ilvl="2" w:tplc="0C090005" w:tentative="1">
      <w:start w:val="1"/>
      <w:numFmt w:val="bullet"/>
      <w:lvlText w:val=""/>
      <w:lvlJc w:val="left"/>
      <w:pPr>
        <w:ind w:left="2586" w:hanging="360"/>
      </w:pPr>
      <w:rPr>
        <w:rFonts w:ascii="Wingdings" w:hAnsi="Wingdings" w:hint="default"/>
      </w:rPr>
    </w:lvl>
    <w:lvl w:ilvl="3" w:tplc="0C090001" w:tentative="1">
      <w:start w:val="1"/>
      <w:numFmt w:val="bullet"/>
      <w:lvlText w:val=""/>
      <w:lvlJc w:val="left"/>
      <w:pPr>
        <w:ind w:left="3306" w:hanging="360"/>
      </w:pPr>
      <w:rPr>
        <w:rFonts w:ascii="Symbol" w:hAnsi="Symbol" w:hint="default"/>
      </w:rPr>
    </w:lvl>
    <w:lvl w:ilvl="4" w:tplc="0C090003" w:tentative="1">
      <w:start w:val="1"/>
      <w:numFmt w:val="bullet"/>
      <w:lvlText w:val="o"/>
      <w:lvlJc w:val="left"/>
      <w:pPr>
        <w:ind w:left="4026" w:hanging="360"/>
      </w:pPr>
      <w:rPr>
        <w:rFonts w:ascii="Courier New" w:hAnsi="Courier New" w:cs="Courier New" w:hint="default"/>
      </w:rPr>
    </w:lvl>
    <w:lvl w:ilvl="5" w:tplc="0C090005" w:tentative="1">
      <w:start w:val="1"/>
      <w:numFmt w:val="bullet"/>
      <w:lvlText w:val=""/>
      <w:lvlJc w:val="left"/>
      <w:pPr>
        <w:ind w:left="4746" w:hanging="360"/>
      </w:pPr>
      <w:rPr>
        <w:rFonts w:ascii="Wingdings" w:hAnsi="Wingdings" w:hint="default"/>
      </w:rPr>
    </w:lvl>
    <w:lvl w:ilvl="6" w:tplc="0C090001" w:tentative="1">
      <w:start w:val="1"/>
      <w:numFmt w:val="bullet"/>
      <w:lvlText w:val=""/>
      <w:lvlJc w:val="left"/>
      <w:pPr>
        <w:ind w:left="5466" w:hanging="360"/>
      </w:pPr>
      <w:rPr>
        <w:rFonts w:ascii="Symbol" w:hAnsi="Symbol" w:hint="default"/>
      </w:rPr>
    </w:lvl>
    <w:lvl w:ilvl="7" w:tplc="0C090003" w:tentative="1">
      <w:start w:val="1"/>
      <w:numFmt w:val="bullet"/>
      <w:lvlText w:val="o"/>
      <w:lvlJc w:val="left"/>
      <w:pPr>
        <w:ind w:left="6186" w:hanging="360"/>
      </w:pPr>
      <w:rPr>
        <w:rFonts w:ascii="Courier New" w:hAnsi="Courier New" w:cs="Courier New" w:hint="default"/>
      </w:rPr>
    </w:lvl>
    <w:lvl w:ilvl="8" w:tplc="0C090005" w:tentative="1">
      <w:start w:val="1"/>
      <w:numFmt w:val="bullet"/>
      <w:lvlText w:val=""/>
      <w:lvlJc w:val="left"/>
      <w:pPr>
        <w:ind w:left="6906" w:hanging="360"/>
      </w:pPr>
      <w:rPr>
        <w:rFonts w:ascii="Wingdings" w:hAnsi="Wingdings" w:hint="default"/>
      </w:rPr>
    </w:lvl>
  </w:abstractNum>
  <w:abstractNum w:abstractNumId="11"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D0B1B75"/>
    <w:multiLevelType w:val="multilevel"/>
    <w:tmpl w:val="D3FAAFB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44"/>
        </w:tabs>
        <w:ind w:left="1144" w:hanging="964"/>
      </w:pPr>
      <w:rPr>
        <w:rFonts w:hint="default"/>
      </w:rPr>
    </w:lvl>
    <w:lvl w:ilvl="3">
      <w:start w:val="1"/>
      <w:numFmt w:val="decimal"/>
      <w:lvlText w:val="%1.%2.%3.%4."/>
      <w:lvlJc w:val="left"/>
      <w:pPr>
        <w:tabs>
          <w:tab w:val="num" w:pos="1191"/>
        </w:tabs>
        <w:ind w:left="1191"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5"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6"/>
  </w:num>
  <w:num w:numId="17">
    <w:abstractNumId w:val="6"/>
  </w:num>
  <w:num w:numId="18">
    <w:abstractNumId w:val="6"/>
  </w:num>
  <w:num w:numId="19">
    <w:abstractNumId w:val="9"/>
  </w:num>
  <w:num w:numId="20">
    <w:abstractNumId w:val="9"/>
  </w:num>
  <w:num w:numId="21">
    <w:abstractNumId w:val="9"/>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2"/>
  </w:num>
  <w:num w:numId="28">
    <w:abstractNumId w:val="15"/>
  </w:num>
  <w:num w:numId="29">
    <w:abstractNumId w:val="7"/>
  </w:num>
  <w:num w:numId="30">
    <w:abstractNumId w:val="11"/>
  </w:num>
  <w:num w:numId="31">
    <w:abstractNumId w:val="4"/>
  </w:num>
  <w:num w:numId="32">
    <w:abstractNumId w:val="13"/>
  </w:num>
  <w:num w:numId="3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10"/>
  </w:num>
  <w:num w:numId="36">
    <w:abstractNumId w:val="14"/>
  </w:num>
  <w:num w:numId="3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5B12"/>
    <w:rsid w:val="00002031"/>
    <w:rsid w:val="00004734"/>
    <w:rsid w:val="00006B22"/>
    <w:rsid w:val="00006FAB"/>
    <w:rsid w:val="0001276A"/>
    <w:rsid w:val="00017271"/>
    <w:rsid w:val="000246AE"/>
    <w:rsid w:val="00025C67"/>
    <w:rsid w:val="00044772"/>
    <w:rsid w:val="0004541C"/>
    <w:rsid w:val="0005559E"/>
    <w:rsid w:val="000604D6"/>
    <w:rsid w:val="000734D8"/>
    <w:rsid w:val="00077775"/>
    <w:rsid w:val="0008523B"/>
    <w:rsid w:val="00090471"/>
    <w:rsid w:val="00096AA7"/>
    <w:rsid w:val="000A3AED"/>
    <w:rsid w:val="000B04E9"/>
    <w:rsid w:val="000B14C7"/>
    <w:rsid w:val="000B3532"/>
    <w:rsid w:val="000B3A75"/>
    <w:rsid w:val="000C00C2"/>
    <w:rsid w:val="000C690F"/>
    <w:rsid w:val="000D1295"/>
    <w:rsid w:val="000D391B"/>
    <w:rsid w:val="000D3D6D"/>
    <w:rsid w:val="000D4FC7"/>
    <w:rsid w:val="000E5975"/>
    <w:rsid w:val="000E5BBD"/>
    <w:rsid w:val="000E6196"/>
    <w:rsid w:val="000F4869"/>
    <w:rsid w:val="000F5B42"/>
    <w:rsid w:val="000F6E6F"/>
    <w:rsid w:val="0010601F"/>
    <w:rsid w:val="0010788A"/>
    <w:rsid w:val="00107A31"/>
    <w:rsid w:val="00110EA5"/>
    <w:rsid w:val="00112F56"/>
    <w:rsid w:val="00122C2E"/>
    <w:rsid w:val="00124ACD"/>
    <w:rsid w:val="00125318"/>
    <w:rsid w:val="001305A2"/>
    <w:rsid w:val="00133238"/>
    <w:rsid w:val="00133A1B"/>
    <w:rsid w:val="0014197B"/>
    <w:rsid w:val="00143E10"/>
    <w:rsid w:val="001447CD"/>
    <w:rsid w:val="00145F5F"/>
    <w:rsid w:val="001516B1"/>
    <w:rsid w:val="00153B11"/>
    <w:rsid w:val="00154EBB"/>
    <w:rsid w:val="00156316"/>
    <w:rsid w:val="00161181"/>
    <w:rsid w:val="0016126F"/>
    <w:rsid w:val="00162D14"/>
    <w:rsid w:val="0016317E"/>
    <w:rsid w:val="00163780"/>
    <w:rsid w:val="00165389"/>
    <w:rsid w:val="001729E0"/>
    <w:rsid w:val="0017693F"/>
    <w:rsid w:val="0018110E"/>
    <w:rsid w:val="00181684"/>
    <w:rsid w:val="001843C6"/>
    <w:rsid w:val="001850E0"/>
    <w:rsid w:val="00197124"/>
    <w:rsid w:val="001A03AF"/>
    <w:rsid w:val="001A2158"/>
    <w:rsid w:val="001A525F"/>
    <w:rsid w:val="001A5352"/>
    <w:rsid w:val="001B09F9"/>
    <w:rsid w:val="001B51E6"/>
    <w:rsid w:val="001B5C90"/>
    <w:rsid w:val="001B6448"/>
    <w:rsid w:val="001C325E"/>
    <w:rsid w:val="001C32CD"/>
    <w:rsid w:val="001D2984"/>
    <w:rsid w:val="001E07CF"/>
    <w:rsid w:val="001E59F1"/>
    <w:rsid w:val="001F2CEE"/>
    <w:rsid w:val="001F49EB"/>
    <w:rsid w:val="001F6CBA"/>
    <w:rsid w:val="00201D4E"/>
    <w:rsid w:val="00201E65"/>
    <w:rsid w:val="00202459"/>
    <w:rsid w:val="002076C9"/>
    <w:rsid w:val="00220B8A"/>
    <w:rsid w:val="002257F3"/>
    <w:rsid w:val="00233456"/>
    <w:rsid w:val="002339A5"/>
    <w:rsid w:val="002370ED"/>
    <w:rsid w:val="00250271"/>
    <w:rsid w:val="00257848"/>
    <w:rsid w:val="002578E8"/>
    <w:rsid w:val="00262C56"/>
    <w:rsid w:val="002662A6"/>
    <w:rsid w:val="0027084A"/>
    <w:rsid w:val="00280265"/>
    <w:rsid w:val="00286434"/>
    <w:rsid w:val="00286C59"/>
    <w:rsid w:val="00291957"/>
    <w:rsid w:val="002942D1"/>
    <w:rsid w:val="0029501A"/>
    <w:rsid w:val="002A3721"/>
    <w:rsid w:val="002A66C5"/>
    <w:rsid w:val="002B1638"/>
    <w:rsid w:val="002B3624"/>
    <w:rsid w:val="002B3CB7"/>
    <w:rsid w:val="002D0952"/>
    <w:rsid w:val="002E40B3"/>
    <w:rsid w:val="002E4C9A"/>
    <w:rsid w:val="002F11F8"/>
    <w:rsid w:val="002F3F56"/>
    <w:rsid w:val="002F44B5"/>
    <w:rsid w:val="002F5122"/>
    <w:rsid w:val="00311AC0"/>
    <w:rsid w:val="003176FC"/>
    <w:rsid w:val="00323119"/>
    <w:rsid w:val="00324E45"/>
    <w:rsid w:val="0032583B"/>
    <w:rsid w:val="00327883"/>
    <w:rsid w:val="00335504"/>
    <w:rsid w:val="00340C18"/>
    <w:rsid w:val="003442FD"/>
    <w:rsid w:val="003467D1"/>
    <w:rsid w:val="00347824"/>
    <w:rsid w:val="00350567"/>
    <w:rsid w:val="003521E8"/>
    <w:rsid w:val="0036523A"/>
    <w:rsid w:val="00370CE3"/>
    <w:rsid w:val="003728F3"/>
    <w:rsid w:val="00372A72"/>
    <w:rsid w:val="003735BC"/>
    <w:rsid w:val="0037496E"/>
    <w:rsid w:val="00374BCD"/>
    <w:rsid w:val="00375C49"/>
    <w:rsid w:val="00383221"/>
    <w:rsid w:val="00386150"/>
    <w:rsid w:val="003874CE"/>
    <w:rsid w:val="00390900"/>
    <w:rsid w:val="003A44F9"/>
    <w:rsid w:val="003A795C"/>
    <w:rsid w:val="003A7F6C"/>
    <w:rsid w:val="003B4D60"/>
    <w:rsid w:val="003B7E39"/>
    <w:rsid w:val="003C58DC"/>
    <w:rsid w:val="003D1E62"/>
    <w:rsid w:val="003D65CB"/>
    <w:rsid w:val="003E0B99"/>
    <w:rsid w:val="003E2486"/>
    <w:rsid w:val="003E3208"/>
    <w:rsid w:val="003E4646"/>
    <w:rsid w:val="003E62C2"/>
    <w:rsid w:val="003E65EF"/>
    <w:rsid w:val="003F0B04"/>
    <w:rsid w:val="0040134E"/>
    <w:rsid w:val="00423792"/>
    <w:rsid w:val="004334C7"/>
    <w:rsid w:val="00440A2D"/>
    <w:rsid w:val="00441C3F"/>
    <w:rsid w:val="00444D1A"/>
    <w:rsid w:val="0045186A"/>
    <w:rsid w:val="004564A7"/>
    <w:rsid w:val="00456765"/>
    <w:rsid w:val="00460036"/>
    <w:rsid w:val="004617BF"/>
    <w:rsid w:val="00463658"/>
    <w:rsid w:val="004637A0"/>
    <w:rsid w:val="004722CC"/>
    <w:rsid w:val="00490483"/>
    <w:rsid w:val="004936E4"/>
    <w:rsid w:val="00494E60"/>
    <w:rsid w:val="00497487"/>
    <w:rsid w:val="004A1E5A"/>
    <w:rsid w:val="004A2771"/>
    <w:rsid w:val="004A6189"/>
    <w:rsid w:val="004A7390"/>
    <w:rsid w:val="004B2847"/>
    <w:rsid w:val="004B721A"/>
    <w:rsid w:val="004B7B76"/>
    <w:rsid w:val="004C239D"/>
    <w:rsid w:val="004C2DCA"/>
    <w:rsid w:val="004C4FBE"/>
    <w:rsid w:val="004C61D2"/>
    <w:rsid w:val="004E115B"/>
    <w:rsid w:val="004F0C4A"/>
    <w:rsid w:val="004F0F38"/>
    <w:rsid w:val="004F47D6"/>
    <w:rsid w:val="00500337"/>
    <w:rsid w:val="00501921"/>
    <w:rsid w:val="00506C15"/>
    <w:rsid w:val="005252B2"/>
    <w:rsid w:val="00530354"/>
    <w:rsid w:val="0053625B"/>
    <w:rsid w:val="005434C6"/>
    <w:rsid w:val="00543B39"/>
    <w:rsid w:val="005450A5"/>
    <w:rsid w:val="00546154"/>
    <w:rsid w:val="00550096"/>
    <w:rsid w:val="005500DE"/>
    <w:rsid w:val="00551CAC"/>
    <w:rsid w:val="00555280"/>
    <w:rsid w:val="00555B12"/>
    <w:rsid w:val="00557FF9"/>
    <w:rsid w:val="00562327"/>
    <w:rsid w:val="005711D5"/>
    <w:rsid w:val="0057358C"/>
    <w:rsid w:val="00576378"/>
    <w:rsid w:val="00577130"/>
    <w:rsid w:val="00577945"/>
    <w:rsid w:val="00577E38"/>
    <w:rsid w:val="00585322"/>
    <w:rsid w:val="005857C6"/>
    <w:rsid w:val="00592F6E"/>
    <w:rsid w:val="00593AD1"/>
    <w:rsid w:val="005A4163"/>
    <w:rsid w:val="005A68B6"/>
    <w:rsid w:val="005C5570"/>
    <w:rsid w:val="005C5B66"/>
    <w:rsid w:val="005C79A4"/>
    <w:rsid w:val="005D5442"/>
    <w:rsid w:val="005E4A66"/>
    <w:rsid w:val="00603F32"/>
    <w:rsid w:val="00605AD4"/>
    <w:rsid w:val="006136D7"/>
    <w:rsid w:val="00625A6E"/>
    <w:rsid w:val="00632398"/>
    <w:rsid w:val="00640FC3"/>
    <w:rsid w:val="00641AF5"/>
    <w:rsid w:val="00642020"/>
    <w:rsid w:val="006430EE"/>
    <w:rsid w:val="0065337B"/>
    <w:rsid w:val="0065419D"/>
    <w:rsid w:val="00654BFF"/>
    <w:rsid w:val="006603BC"/>
    <w:rsid w:val="006604D8"/>
    <w:rsid w:val="00664A5B"/>
    <w:rsid w:val="00665C29"/>
    <w:rsid w:val="0066735C"/>
    <w:rsid w:val="006763D2"/>
    <w:rsid w:val="00677DAC"/>
    <w:rsid w:val="00680C08"/>
    <w:rsid w:val="00682576"/>
    <w:rsid w:val="006916A0"/>
    <w:rsid w:val="00691E3B"/>
    <w:rsid w:val="006931B1"/>
    <w:rsid w:val="006A15C0"/>
    <w:rsid w:val="006A3569"/>
    <w:rsid w:val="006A58A8"/>
    <w:rsid w:val="006C3E2A"/>
    <w:rsid w:val="006C642F"/>
    <w:rsid w:val="006C7C27"/>
    <w:rsid w:val="006D03E5"/>
    <w:rsid w:val="006D5D3E"/>
    <w:rsid w:val="006E08B3"/>
    <w:rsid w:val="006F17AC"/>
    <w:rsid w:val="006F25B8"/>
    <w:rsid w:val="006F572E"/>
    <w:rsid w:val="007046D6"/>
    <w:rsid w:val="007055FF"/>
    <w:rsid w:val="00705DB0"/>
    <w:rsid w:val="00716463"/>
    <w:rsid w:val="00722B57"/>
    <w:rsid w:val="00730F8A"/>
    <w:rsid w:val="00735A8C"/>
    <w:rsid w:val="0074253D"/>
    <w:rsid w:val="00744121"/>
    <w:rsid w:val="0074429B"/>
    <w:rsid w:val="00747C75"/>
    <w:rsid w:val="007504CD"/>
    <w:rsid w:val="007615BC"/>
    <w:rsid w:val="00762F05"/>
    <w:rsid w:val="007652FF"/>
    <w:rsid w:val="00770CAC"/>
    <w:rsid w:val="00770EF1"/>
    <w:rsid w:val="007733D3"/>
    <w:rsid w:val="00773EF7"/>
    <w:rsid w:val="00774E1D"/>
    <w:rsid w:val="007765D8"/>
    <w:rsid w:val="0077675A"/>
    <w:rsid w:val="00780355"/>
    <w:rsid w:val="0078142B"/>
    <w:rsid w:val="007819FD"/>
    <w:rsid w:val="00785717"/>
    <w:rsid w:val="00785721"/>
    <w:rsid w:val="00793A59"/>
    <w:rsid w:val="00793BD4"/>
    <w:rsid w:val="007A46F5"/>
    <w:rsid w:val="007A6505"/>
    <w:rsid w:val="007B0D1D"/>
    <w:rsid w:val="007B6132"/>
    <w:rsid w:val="007B6E9F"/>
    <w:rsid w:val="007C1216"/>
    <w:rsid w:val="007C1AF7"/>
    <w:rsid w:val="007C6B9B"/>
    <w:rsid w:val="007D3D28"/>
    <w:rsid w:val="007D53B6"/>
    <w:rsid w:val="007E5095"/>
    <w:rsid w:val="007F23E4"/>
    <w:rsid w:val="007F3814"/>
    <w:rsid w:val="0080244D"/>
    <w:rsid w:val="00805D27"/>
    <w:rsid w:val="00806DCB"/>
    <w:rsid w:val="00817B09"/>
    <w:rsid w:val="00821776"/>
    <w:rsid w:val="00822968"/>
    <w:rsid w:val="00830B66"/>
    <w:rsid w:val="008321F5"/>
    <w:rsid w:val="00832369"/>
    <w:rsid w:val="00834660"/>
    <w:rsid w:val="00836BC2"/>
    <w:rsid w:val="0085156D"/>
    <w:rsid w:val="00852B28"/>
    <w:rsid w:val="0085641B"/>
    <w:rsid w:val="00857136"/>
    <w:rsid w:val="0086254C"/>
    <w:rsid w:val="00875A6B"/>
    <w:rsid w:val="00885B11"/>
    <w:rsid w:val="00886D15"/>
    <w:rsid w:val="00887DD8"/>
    <w:rsid w:val="00891BA9"/>
    <w:rsid w:val="00896018"/>
    <w:rsid w:val="008960DD"/>
    <w:rsid w:val="0089635C"/>
    <w:rsid w:val="008A2B9D"/>
    <w:rsid w:val="008A3D9F"/>
    <w:rsid w:val="008A5E0B"/>
    <w:rsid w:val="008A6D44"/>
    <w:rsid w:val="008A6D59"/>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4682"/>
    <w:rsid w:val="00946EA5"/>
    <w:rsid w:val="00953896"/>
    <w:rsid w:val="00955C64"/>
    <w:rsid w:val="00960520"/>
    <w:rsid w:val="00963C08"/>
    <w:rsid w:val="009752A5"/>
    <w:rsid w:val="00983C0D"/>
    <w:rsid w:val="0098585A"/>
    <w:rsid w:val="009945B4"/>
    <w:rsid w:val="009A4CED"/>
    <w:rsid w:val="009A690D"/>
    <w:rsid w:val="009B1D12"/>
    <w:rsid w:val="009B416B"/>
    <w:rsid w:val="009C4BD5"/>
    <w:rsid w:val="009D47CF"/>
    <w:rsid w:val="009D7B77"/>
    <w:rsid w:val="009E0BB0"/>
    <w:rsid w:val="009E3FBB"/>
    <w:rsid w:val="009F7353"/>
    <w:rsid w:val="00A04F85"/>
    <w:rsid w:val="00A05FA4"/>
    <w:rsid w:val="00A102E4"/>
    <w:rsid w:val="00A1219C"/>
    <w:rsid w:val="00A12C42"/>
    <w:rsid w:val="00A14DF7"/>
    <w:rsid w:val="00A15EE3"/>
    <w:rsid w:val="00A166A3"/>
    <w:rsid w:val="00A22D57"/>
    <w:rsid w:val="00A32462"/>
    <w:rsid w:val="00A3246D"/>
    <w:rsid w:val="00A36FA7"/>
    <w:rsid w:val="00A40E69"/>
    <w:rsid w:val="00A420BC"/>
    <w:rsid w:val="00A44DDB"/>
    <w:rsid w:val="00A475B7"/>
    <w:rsid w:val="00A47AF7"/>
    <w:rsid w:val="00A47C3E"/>
    <w:rsid w:val="00A50226"/>
    <w:rsid w:val="00A53462"/>
    <w:rsid w:val="00A60BAD"/>
    <w:rsid w:val="00A74246"/>
    <w:rsid w:val="00A77F87"/>
    <w:rsid w:val="00A80B5B"/>
    <w:rsid w:val="00A84E36"/>
    <w:rsid w:val="00A908C9"/>
    <w:rsid w:val="00A9476A"/>
    <w:rsid w:val="00A964D1"/>
    <w:rsid w:val="00AA0ED0"/>
    <w:rsid w:val="00AB4FDA"/>
    <w:rsid w:val="00AC05D8"/>
    <w:rsid w:val="00AC2B40"/>
    <w:rsid w:val="00AC2BB2"/>
    <w:rsid w:val="00AC2C3C"/>
    <w:rsid w:val="00AC512D"/>
    <w:rsid w:val="00AD0083"/>
    <w:rsid w:val="00AD3935"/>
    <w:rsid w:val="00AE3C35"/>
    <w:rsid w:val="00AE65EB"/>
    <w:rsid w:val="00AE67A7"/>
    <w:rsid w:val="00AF1D94"/>
    <w:rsid w:val="00AF60C5"/>
    <w:rsid w:val="00B009C6"/>
    <w:rsid w:val="00B01548"/>
    <w:rsid w:val="00B130C5"/>
    <w:rsid w:val="00B13E6D"/>
    <w:rsid w:val="00B13EBD"/>
    <w:rsid w:val="00B21D29"/>
    <w:rsid w:val="00B2280B"/>
    <w:rsid w:val="00B25034"/>
    <w:rsid w:val="00B33588"/>
    <w:rsid w:val="00B33863"/>
    <w:rsid w:val="00B37D17"/>
    <w:rsid w:val="00B4175E"/>
    <w:rsid w:val="00B41C85"/>
    <w:rsid w:val="00B452CE"/>
    <w:rsid w:val="00B54C25"/>
    <w:rsid w:val="00B62D99"/>
    <w:rsid w:val="00B76B91"/>
    <w:rsid w:val="00B77EB1"/>
    <w:rsid w:val="00B811C6"/>
    <w:rsid w:val="00B855B0"/>
    <w:rsid w:val="00B92E08"/>
    <w:rsid w:val="00BA1C08"/>
    <w:rsid w:val="00BA6D19"/>
    <w:rsid w:val="00BA701B"/>
    <w:rsid w:val="00BB0141"/>
    <w:rsid w:val="00BC622A"/>
    <w:rsid w:val="00BD1F85"/>
    <w:rsid w:val="00BD7A09"/>
    <w:rsid w:val="00BE0A78"/>
    <w:rsid w:val="00BE0D2E"/>
    <w:rsid w:val="00BE79F0"/>
    <w:rsid w:val="00BF046D"/>
    <w:rsid w:val="00BF1190"/>
    <w:rsid w:val="00BF1C53"/>
    <w:rsid w:val="00BF3774"/>
    <w:rsid w:val="00BF5D04"/>
    <w:rsid w:val="00C009AA"/>
    <w:rsid w:val="00C1164D"/>
    <w:rsid w:val="00C16861"/>
    <w:rsid w:val="00C34207"/>
    <w:rsid w:val="00C346AB"/>
    <w:rsid w:val="00C404A6"/>
    <w:rsid w:val="00C40A36"/>
    <w:rsid w:val="00C44419"/>
    <w:rsid w:val="00C45E7B"/>
    <w:rsid w:val="00C471B1"/>
    <w:rsid w:val="00C525A2"/>
    <w:rsid w:val="00C52E24"/>
    <w:rsid w:val="00C60F99"/>
    <w:rsid w:val="00C61153"/>
    <w:rsid w:val="00C6316B"/>
    <w:rsid w:val="00C634A9"/>
    <w:rsid w:val="00C64586"/>
    <w:rsid w:val="00C70A36"/>
    <w:rsid w:val="00C70D53"/>
    <w:rsid w:val="00C73D0B"/>
    <w:rsid w:val="00C74F5C"/>
    <w:rsid w:val="00C75526"/>
    <w:rsid w:val="00C772FF"/>
    <w:rsid w:val="00C80137"/>
    <w:rsid w:val="00C801AF"/>
    <w:rsid w:val="00C80256"/>
    <w:rsid w:val="00C94CD4"/>
    <w:rsid w:val="00C9747E"/>
    <w:rsid w:val="00CB6BC0"/>
    <w:rsid w:val="00CC1B7C"/>
    <w:rsid w:val="00CC3944"/>
    <w:rsid w:val="00CC727F"/>
    <w:rsid w:val="00CE371D"/>
    <w:rsid w:val="00CF15C3"/>
    <w:rsid w:val="00CF2B6F"/>
    <w:rsid w:val="00CF2F3E"/>
    <w:rsid w:val="00CF58B6"/>
    <w:rsid w:val="00CF5DAD"/>
    <w:rsid w:val="00CF6CE7"/>
    <w:rsid w:val="00D0062D"/>
    <w:rsid w:val="00D017ED"/>
    <w:rsid w:val="00D040D3"/>
    <w:rsid w:val="00D04C65"/>
    <w:rsid w:val="00D153D8"/>
    <w:rsid w:val="00D201D2"/>
    <w:rsid w:val="00D212CD"/>
    <w:rsid w:val="00D224FE"/>
    <w:rsid w:val="00D23139"/>
    <w:rsid w:val="00D4016D"/>
    <w:rsid w:val="00D425BB"/>
    <w:rsid w:val="00D453FA"/>
    <w:rsid w:val="00D6493E"/>
    <w:rsid w:val="00D67CDE"/>
    <w:rsid w:val="00D7195D"/>
    <w:rsid w:val="00D71A34"/>
    <w:rsid w:val="00D7301E"/>
    <w:rsid w:val="00D80312"/>
    <w:rsid w:val="00D83AE1"/>
    <w:rsid w:val="00D855D4"/>
    <w:rsid w:val="00D86966"/>
    <w:rsid w:val="00D902C9"/>
    <w:rsid w:val="00D93466"/>
    <w:rsid w:val="00DA1124"/>
    <w:rsid w:val="00DA64CB"/>
    <w:rsid w:val="00DB06B8"/>
    <w:rsid w:val="00DB6124"/>
    <w:rsid w:val="00DB750B"/>
    <w:rsid w:val="00DB75B7"/>
    <w:rsid w:val="00DC0A2F"/>
    <w:rsid w:val="00DC1948"/>
    <w:rsid w:val="00DC6E02"/>
    <w:rsid w:val="00DD28CD"/>
    <w:rsid w:val="00DD3296"/>
    <w:rsid w:val="00DE02AE"/>
    <w:rsid w:val="00DE2910"/>
    <w:rsid w:val="00DE39D1"/>
    <w:rsid w:val="00DF1D7F"/>
    <w:rsid w:val="00DF4BE4"/>
    <w:rsid w:val="00DF6D9B"/>
    <w:rsid w:val="00E02382"/>
    <w:rsid w:val="00E02FB4"/>
    <w:rsid w:val="00E13FC7"/>
    <w:rsid w:val="00E20571"/>
    <w:rsid w:val="00E235F7"/>
    <w:rsid w:val="00E23659"/>
    <w:rsid w:val="00E239D4"/>
    <w:rsid w:val="00E26130"/>
    <w:rsid w:val="00E313F0"/>
    <w:rsid w:val="00E33D42"/>
    <w:rsid w:val="00E40B22"/>
    <w:rsid w:val="00E44ED1"/>
    <w:rsid w:val="00E45619"/>
    <w:rsid w:val="00E4588F"/>
    <w:rsid w:val="00E46DA3"/>
    <w:rsid w:val="00E51BB1"/>
    <w:rsid w:val="00E55CB0"/>
    <w:rsid w:val="00E607F0"/>
    <w:rsid w:val="00E624A5"/>
    <w:rsid w:val="00E64BA4"/>
    <w:rsid w:val="00E7344E"/>
    <w:rsid w:val="00E81D7F"/>
    <w:rsid w:val="00E82665"/>
    <w:rsid w:val="00E87B71"/>
    <w:rsid w:val="00E93ED8"/>
    <w:rsid w:val="00EB0798"/>
    <w:rsid w:val="00EB1ED4"/>
    <w:rsid w:val="00EB40AD"/>
    <w:rsid w:val="00EB586E"/>
    <w:rsid w:val="00EB5FC8"/>
    <w:rsid w:val="00EC3F47"/>
    <w:rsid w:val="00EC463D"/>
    <w:rsid w:val="00EC7A85"/>
    <w:rsid w:val="00ED2922"/>
    <w:rsid w:val="00ED3CAD"/>
    <w:rsid w:val="00ED5A41"/>
    <w:rsid w:val="00EE1DE8"/>
    <w:rsid w:val="00EE27C2"/>
    <w:rsid w:val="00EF4BAD"/>
    <w:rsid w:val="00EF59DC"/>
    <w:rsid w:val="00F033EC"/>
    <w:rsid w:val="00F04F68"/>
    <w:rsid w:val="00F12670"/>
    <w:rsid w:val="00F127FA"/>
    <w:rsid w:val="00F14B27"/>
    <w:rsid w:val="00F211D9"/>
    <w:rsid w:val="00F21EC4"/>
    <w:rsid w:val="00F22A0C"/>
    <w:rsid w:val="00F3148D"/>
    <w:rsid w:val="00F325C5"/>
    <w:rsid w:val="00F32FE0"/>
    <w:rsid w:val="00F35298"/>
    <w:rsid w:val="00F44436"/>
    <w:rsid w:val="00F47333"/>
    <w:rsid w:val="00F47E37"/>
    <w:rsid w:val="00F53C07"/>
    <w:rsid w:val="00F54B65"/>
    <w:rsid w:val="00F63DBF"/>
    <w:rsid w:val="00F640B6"/>
    <w:rsid w:val="00F65CE3"/>
    <w:rsid w:val="00F66DF2"/>
    <w:rsid w:val="00F80E40"/>
    <w:rsid w:val="00F8231A"/>
    <w:rsid w:val="00F848D9"/>
    <w:rsid w:val="00F9258A"/>
    <w:rsid w:val="00F9733D"/>
    <w:rsid w:val="00FA5069"/>
    <w:rsid w:val="00FA5B82"/>
    <w:rsid w:val="00FA639E"/>
    <w:rsid w:val="00FB369D"/>
    <w:rsid w:val="00FC1FCA"/>
    <w:rsid w:val="00FC25E4"/>
    <w:rsid w:val="00FC4EF7"/>
    <w:rsid w:val="00FD0824"/>
    <w:rsid w:val="00FD119B"/>
    <w:rsid w:val="00FD1EDC"/>
    <w:rsid w:val="00FD2F88"/>
    <w:rsid w:val="00FD4A8E"/>
    <w:rsid w:val="00FE0EC5"/>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77D8A00F"/>
  <w15:docId w15:val="{13849281-60E8-4979-B5B1-396B4DDC8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FB369D"/>
    <w:rPr>
      <w:color w:val="605E5C"/>
      <w:shd w:val="clear" w:color="auto" w:fill="E1DFDD"/>
    </w:rPr>
  </w:style>
  <w:style w:type="paragraph" w:customStyle="1" w:styleId="Bulletlist">
    <w:name w:val="Bullet list"/>
    <w:basedOn w:val="Normal"/>
    <w:link w:val="BulletlistChar"/>
    <w:qFormat/>
    <w:rsid w:val="00A908C9"/>
    <w:pPr>
      <w:numPr>
        <w:numId w:val="34"/>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A908C9"/>
    <w:rPr>
      <w:rFonts w:ascii="Cambria" w:eastAsia="Times New Roman" w:hAnsi="Cambria" w:cs="Times New Roman"/>
      <w:snapToGrid w:val="0"/>
      <w:kern w:val="2"/>
      <w:sz w:val="23"/>
    </w:rPr>
  </w:style>
  <w:style w:type="paragraph" w:customStyle="1" w:styleId="Default">
    <w:name w:val="Default"/>
    <w:rsid w:val="00A908C9"/>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Standard">
    <w:name w:val="Standard"/>
    <w:basedOn w:val="Normal"/>
    <w:link w:val="StandardChar"/>
    <w:qFormat/>
    <w:rsid w:val="008A6D44"/>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8A6D44"/>
    <w:rPr>
      <w:rFonts w:ascii="Cambria" w:eastAsia="Times New Roman" w:hAnsi="Cambria" w:cs="Times New Roman"/>
      <w:snapToGrid w:val="0"/>
      <w:kern w:val="16"/>
      <w:sz w:val="23"/>
      <w:szCs w:val="24"/>
    </w:rPr>
  </w:style>
  <w:style w:type="character" w:customStyle="1" w:styleId="TabletextChar">
    <w:name w:val="Table text Char"/>
    <w:basedOn w:val="StandardChar"/>
    <w:link w:val="Tabletext"/>
    <w:rsid w:val="008A6D44"/>
    <w:rPr>
      <w:rFonts w:ascii="Cambria" w:eastAsia="Cambria" w:hAnsi="Cambria" w:cs="Times New Roman"/>
      <w:snapToGrid/>
      <w:kern w:val="16"/>
      <w:sz w:val="19"/>
      <w:szCs w:val="24"/>
    </w:rPr>
  </w:style>
  <w:style w:type="paragraph" w:styleId="ListParagraph">
    <w:name w:val="List Paragraph"/>
    <w:basedOn w:val="Normal"/>
    <w:uiPriority w:val="34"/>
    <w:rsid w:val="00372A7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37740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hyperlink" Target="https://www.tga.gov.au/product-information-pi" TargetMode="External"/><Relationship Id="rId18" Type="http://schemas.openxmlformats.org/officeDocument/2006/relationships/image" Target="media/image6.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hyperlink" Target="https://www.tga.gov.au/product-information-pi" TargetMode="External"/><Relationship Id="rId33" Type="http://schemas.openxmlformats.org/officeDocument/2006/relationships/header" Target="header7.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header" Target="header6.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header" Target="header5.xml"/><Relationship Id="rId36" Type="http://schemas.openxmlformats.org/officeDocument/2006/relationships/footer" Target="footer4.xml"/><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eader" Target="header4.xml"/><Relationship Id="rId30" Type="http://schemas.openxmlformats.org/officeDocument/2006/relationships/hyperlink" Target="mailto:info@tga.gov.au" TargetMode="Externa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committee/advisory-committee-medicines-acm" TargetMode="External"/><Relationship Id="rId2" Type="http://schemas.openxmlformats.org/officeDocument/2006/relationships/hyperlink" Target="http://www.asthmahandbook.org.au" TargetMode="External"/><Relationship Id="rId1" Type="http://schemas.openxmlformats.org/officeDocument/2006/relationships/hyperlink" Target="http://www.ginasthma.org"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848A86-E67A-4999-B898-441BE5EDC7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32</Pages>
  <Words>10372</Words>
  <Characters>55492</Characters>
  <Application>Microsoft Office Word</Application>
  <DocSecurity>0</DocSecurity>
  <Lines>1913</Lines>
  <Paragraphs>1317</Paragraphs>
  <ScaleCrop>false</ScaleCrop>
  <HeadingPairs>
    <vt:vector size="2" baseType="variant">
      <vt:variant>
        <vt:lpstr>Title</vt:lpstr>
      </vt:variant>
      <vt:variant>
        <vt:i4>1</vt:i4>
      </vt:variant>
    </vt:vector>
  </HeadingPairs>
  <TitlesOfParts>
    <vt:vector size="1" baseType="lpstr">
      <vt:lpstr>Australian Public Assessment for Dupilumab</vt:lpstr>
    </vt:vector>
  </TitlesOfParts>
  <Company>Department of Health </Company>
  <LinksUpToDate>false</LinksUpToDate>
  <CharactersWithSpaces>64547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Dupilumab</dc:title>
  <dc:subject>prescription medicine regulation</dc:subject>
  <dc:creator>Therapeutic Goods Administration</dc:creator>
  <cp:keywords/>
  <cp:lastModifiedBy>KOLARIK-OREILLY, Kristy</cp:lastModifiedBy>
  <cp:revision>11</cp:revision>
  <cp:lastPrinted>2019-08-14T04:30:00Z</cp:lastPrinted>
  <dcterms:created xsi:type="dcterms:W3CDTF">2022-04-26T21:00:00Z</dcterms:created>
  <dcterms:modified xsi:type="dcterms:W3CDTF">2022-05-04T05:42:00Z</dcterms:modified>
  <cp:category/>
</cp:coreProperties>
</file>