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33856" w14:textId="213BFAA1" w:rsidR="006C4A20" w:rsidRPr="000A2AC4" w:rsidRDefault="006C4A20" w:rsidP="00E6622A">
      <w:pPr>
        <w:pStyle w:val="NoNumHead2"/>
        <w:keepLines/>
        <w:jc w:val="center"/>
        <w:rPr>
          <w:rFonts w:cs="Arial"/>
          <w:sz w:val="24"/>
          <w:szCs w:val="24"/>
          <w:lang w:val="fr-FR"/>
        </w:rPr>
      </w:pPr>
      <w:r w:rsidRPr="000A2AC4">
        <w:rPr>
          <w:rFonts w:cs="Arial"/>
          <w:sz w:val="24"/>
          <w:szCs w:val="24"/>
          <w:lang w:val="fr-FR"/>
        </w:rPr>
        <w:t>Product Information</w:t>
      </w:r>
    </w:p>
    <w:p w14:paraId="06F6D6F8" w14:textId="77777777" w:rsidR="00DF0794" w:rsidRPr="000A2AC4" w:rsidRDefault="00DF0794" w:rsidP="00DF0794">
      <w:pPr>
        <w:rPr>
          <w:lang w:val="fr-FR" w:eastAsia="ja-JP"/>
        </w:rPr>
      </w:pPr>
    </w:p>
    <w:p w14:paraId="6457F2D7" w14:textId="77777777" w:rsidR="008562CA" w:rsidRPr="000A2AC4" w:rsidRDefault="00400357" w:rsidP="005E2608">
      <w:pPr>
        <w:pStyle w:val="Heading1"/>
        <w:spacing w:before="120" w:after="120" w:line="276" w:lineRule="auto"/>
        <w:rPr>
          <w:sz w:val="24"/>
          <w:szCs w:val="24"/>
          <w:lang w:val="fr-FR"/>
        </w:rPr>
      </w:pPr>
      <w:r w:rsidRPr="000A2AC4">
        <w:rPr>
          <w:rFonts w:ascii="Times New Roman" w:eastAsiaTheme="minorHAnsi" w:hAnsi="Times New Roman"/>
          <w:caps/>
          <w:kern w:val="0"/>
          <w:sz w:val="34"/>
          <w:lang w:val="fr-FR"/>
        </w:rPr>
        <w:t>REVOLADE</w:t>
      </w:r>
      <w:r w:rsidR="004C3E69" w:rsidRPr="000A2AC4">
        <w:rPr>
          <w:rFonts w:ascii="Times New Roman" w:eastAsiaTheme="minorHAnsi" w:hAnsi="Times New Roman"/>
          <w:caps/>
          <w:kern w:val="0"/>
          <w:sz w:val="34"/>
          <w:vertAlign w:val="superscript"/>
          <w:lang w:val="fr-FR"/>
        </w:rPr>
        <w:t>®</w:t>
      </w:r>
      <w:r w:rsidR="006C4A20" w:rsidRPr="000A2AC4">
        <w:rPr>
          <w:rFonts w:ascii="Times New Roman" w:eastAsiaTheme="minorHAnsi" w:hAnsi="Times New Roman"/>
          <w:caps/>
          <w:kern w:val="0"/>
          <w:sz w:val="34"/>
          <w:lang w:val="fr-FR"/>
        </w:rPr>
        <w:t xml:space="preserve"> </w:t>
      </w:r>
      <w:r w:rsidR="001350BD" w:rsidRPr="000A2AC4">
        <w:rPr>
          <w:rFonts w:ascii="Times New Roman" w:eastAsiaTheme="minorHAnsi" w:hAnsi="Times New Roman"/>
          <w:caps/>
          <w:kern w:val="0"/>
          <w:sz w:val="34"/>
          <w:lang w:val="fr-FR"/>
        </w:rPr>
        <w:t>Tablets</w:t>
      </w:r>
      <w:r w:rsidR="008562CA" w:rsidRPr="000A2AC4">
        <w:rPr>
          <w:sz w:val="24"/>
          <w:szCs w:val="24"/>
          <w:lang w:val="fr-FR"/>
        </w:rPr>
        <w:t xml:space="preserve"> </w:t>
      </w:r>
    </w:p>
    <w:p w14:paraId="5553BA8E" w14:textId="1D0C0623" w:rsidR="006C4A20" w:rsidRPr="000A2AC4" w:rsidRDefault="008562CA" w:rsidP="00D6151A">
      <w:pPr>
        <w:pStyle w:val="Heading1"/>
        <w:spacing w:before="120" w:after="120" w:line="276" w:lineRule="auto"/>
        <w:rPr>
          <w:rFonts w:ascii="Times New Roman" w:hAnsi="Times New Roman" w:cs="Times New Roman"/>
          <w:sz w:val="28"/>
          <w:szCs w:val="28"/>
          <w:lang w:val="fr-FR"/>
        </w:rPr>
      </w:pPr>
      <w:r w:rsidRPr="000A2AC4">
        <w:rPr>
          <w:rFonts w:ascii="Times New Roman" w:hAnsi="Times New Roman" w:cs="Times New Roman"/>
          <w:sz w:val="28"/>
          <w:szCs w:val="28"/>
          <w:lang w:val="fr-FR"/>
        </w:rPr>
        <w:t>Eltrombopag olamine</w:t>
      </w:r>
    </w:p>
    <w:p w14:paraId="053ED2FB" w14:textId="77777777" w:rsidR="008562CA" w:rsidRPr="000A2AC4" w:rsidRDefault="008562CA" w:rsidP="005E2608">
      <w:pPr>
        <w:rPr>
          <w:rFonts w:eastAsiaTheme="minorHAnsi"/>
          <w:lang w:val="fr-FR"/>
        </w:rPr>
      </w:pPr>
    </w:p>
    <w:p w14:paraId="5553BA90" w14:textId="77777777" w:rsidR="006C4A20" w:rsidRPr="00693032" w:rsidRDefault="006C4A20" w:rsidP="005E2608">
      <w:pPr>
        <w:pStyle w:val="Heading2"/>
        <w:spacing w:before="120" w:after="240" w:line="276" w:lineRule="auto"/>
        <w:jc w:val="left"/>
        <w:rPr>
          <w:rFonts w:eastAsiaTheme="minorHAnsi"/>
          <w:caps/>
          <w:sz w:val="30"/>
          <w:lang w:val="fr-FR"/>
        </w:rPr>
      </w:pPr>
      <w:r w:rsidRPr="00693032">
        <w:rPr>
          <w:rFonts w:eastAsiaTheme="minorHAnsi"/>
          <w:caps/>
          <w:sz w:val="30"/>
          <w:lang w:val="fr-FR"/>
        </w:rPr>
        <w:t>Name of the Medicine</w:t>
      </w:r>
    </w:p>
    <w:p w14:paraId="5553BA95" w14:textId="0FF5F186" w:rsidR="0018077E" w:rsidRPr="00693032" w:rsidRDefault="0018077E" w:rsidP="005E2608">
      <w:pPr>
        <w:spacing w:line="300" w:lineRule="atLeast"/>
        <w:jc w:val="both"/>
        <w:rPr>
          <w:lang w:val="fr-FR"/>
        </w:rPr>
      </w:pPr>
      <w:r w:rsidRPr="00693032">
        <w:rPr>
          <w:lang w:val="fr-FR"/>
        </w:rPr>
        <w:t xml:space="preserve">The </w:t>
      </w:r>
      <w:proofErr w:type="spellStart"/>
      <w:r w:rsidRPr="00693032">
        <w:rPr>
          <w:lang w:val="fr-FR"/>
        </w:rPr>
        <w:t>chemical</w:t>
      </w:r>
      <w:proofErr w:type="spellEnd"/>
      <w:r w:rsidRPr="00693032">
        <w:rPr>
          <w:lang w:val="fr-FR"/>
        </w:rPr>
        <w:t xml:space="preserve"> </w:t>
      </w:r>
      <w:proofErr w:type="spellStart"/>
      <w:r w:rsidRPr="00693032">
        <w:rPr>
          <w:lang w:val="fr-FR"/>
        </w:rPr>
        <w:t>name</w:t>
      </w:r>
      <w:proofErr w:type="spellEnd"/>
      <w:r w:rsidRPr="00693032">
        <w:rPr>
          <w:lang w:val="fr-FR"/>
        </w:rPr>
        <w:t xml:space="preserve"> for </w:t>
      </w:r>
      <w:proofErr w:type="spellStart"/>
      <w:r w:rsidRPr="00693032">
        <w:rPr>
          <w:lang w:val="fr-FR"/>
        </w:rPr>
        <w:t>eltrombopag</w:t>
      </w:r>
      <w:proofErr w:type="spellEnd"/>
      <w:r w:rsidRPr="00693032">
        <w:rPr>
          <w:lang w:val="fr-FR"/>
        </w:rPr>
        <w:t xml:space="preserve"> </w:t>
      </w:r>
      <w:proofErr w:type="spellStart"/>
      <w:r w:rsidR="00361C5F" w:rsidRPr="00693032">
        <w:rPr>
          <w:lang w:val="fr-FR"/>
        </w:rPr>
        <w:t>olamine</w:t>
      </w:r>
      <w:proofErr w:type="spellEnd"/>
      <w:r w:rsidR="00361C5F" w:rsidRPr="00693032">
        <w:rPr>
          <w:lang w:val="fr-FR"/>
        </w:rPr>
        <w:t xml:space="preserve"> </w:t>
      </w:r>
      <w:proofErr w:type="spellStart"/>
      <w:r w:rsidRPr="00693032">
        <w:rPr>
          <w:lang w:val="fr-FR"/>
        </w:rPr>
        <w:t>is</w:t>
      </w:r>
      <w:proofErr w:type="spellEnd"/>
      <w:r w:rsidRPr="00693032">
        <w:rPr>
          <w:lang w:val="fr-FR"/>
        </w:rPr>
        <w:t xml:space="preserve"> 3'-{(2Z)-2-[1-(3,4-dimethyl-phenyl)-3-methyl-5-oxo-1,5-dihydro-4H-pyrazol-4-ylidene</w:t>
      </w:r>
      <w:proofErr w:type="gramStart"/>
      <w:r w:rsidRPr="00693032">
        <w:rPr>
          <w:lang w:val="fr-FR"/>
        </w:rPr>
        <w:t>]hydrazino</w:t>
      </w:r>
      <w:proofErr w:type="gramEnd"/>
      <w:r w:rsidRPr="00693032">
        <w:rPr>
          <w:lang w:val="fr-FR"/>
        </w:rPr>
        <w:t>}-2'-hydroxy-3-biphenyl</w:t>
      </w:r>
      <w:r w:rsidR="00C9643B" w:rsidRPr="00693032">
        <w:rPr>
          <w:lang w:val="fr-FR"/>
        </w:rPr>
        <w:t xml:space="preserve"> </w:t>
      </w:r>
      <w:proofErr w:type="spellStart"/>
      <w:r w:rsidRPr="00693032">
        <w:rPr>
          <w:lang w:val="fr-FR"/>
        </w:rPr>
        <w:t>carboxylic</w:t>
      </w:r>
      <w:proofErr w:type="spellEnd"/>
      <w:r w:rsidR="00922CE6" w:rsidRPr="00693032">
        <w:rPr>
          <w:lang w:val="fr-FR"/>
        </w:rPr>
        <w:t xml:space="preserve"> </w:t>
      </w:r>
      <w:r w:rsidRPr="00693032">
        <w:rPr>
          <w:lang w:val="fr-FR"/>
        </w:rPr>
        <w:t>acid-2-amino</w:t>
      </w:r>
      <w:r w:rsidR="00AC5F61" w:rsidRPr="00693032">
        <w:rPr>
          <w:lang w:val="fr-FR"/>
        </w:rPr>
        <w:t xml:space="preserve"> </w:t>
      </w:r>
      <w:proofErr w:type="spellStart"/>
      <w:r w:rsidRPr="00693032">
        <w:rPr>
          <w:lang w:val="fr-FR"/>
        </w:rPr>
        <w:t>ethanol</w:t>
      </w:r>
      <w:proofErr w:type="spellEnd"/>
      <w:r w:rsidRPr="00693032">
        <w:rPr>
          <w:lang w:val="fr-FR"/>
        </w:rPr>
        <w:t xml:space="preserve"> (1:2).  </w:t>
      </w:r>
      <w:r w:rsidR="002962F2" w:rsidRPr="00693032">
        <w:rPr>
          <w:lang w:val="fr-FR"/>
        </w:rPr>
        <w:t>The</w:t>
      </w:r>
      <w:r w:rsidRPr="00693032">
        <w:rPr>
          <w:lang w:val="fr-FR"/>
        </w:rPr>
        <w:t xml:space="preserve"> structural formula</w:t>
      </w:r>
      <w:r w:rsidR="002962F2" w:rsidRPr="00693032">
        <w:rPr>
          <w:lang w:val="fr-FR"/>
        </w:rPr>
        <w:t xml:space="preserve"> </w:t>
      </w:r>
      <w:proofErr w:type="spellStart"/>
      <w:r w:rsidR="002962F2" w:rsidRPr="00693032">
        <w:rPr>
          <w:lang w:val="fr-FR"/>
        </w:rPr>
        <w:t>is</w:t>
      </w:r>
      <w:proofErr w:type="spellEnd"/>
      <w:r w:rsidRPr="00693032">
        <w:rPr>
          <w:lang w:val="fr-FR"/>
        </w:rPr>
        <w:t>:</w:t>
      </w:r>
    </w:p>
    <w:p w14:paraId="5553BA96" w14:textId="405538FC" w:rsidR="0018077E" w:rsidRPr="00693032" w:rsidRDefault="0018077E" w:rsidP="00A27782">
      <w:pPr>
        <w:spacing w:line="300" w:lineRule="atLeast"/>
        <w:jc w:val="both"/>
        <w:rPr>
          <w:sz w:val="22"/>
          <w:szCs w:val="22"/>
          <w:lang w:val="fr-FR"/>
        </w:rPr>
      </w:pPr>
    </w:p>
    <w:bookmarkStart w:id="0" w:name="_MON_1500885175"/>
    <w:bookmarkEnd w:id="0"/>
    <w:p w14:paraId="5553BA97" w14:textId="77777777" w:rsidR="0018077E" w:rsidRPr="000D7D0E" w:rsidRDefault="0018077E" w:rsidP="00A27782">
      <w:pPr>
        <w:spacing w:line="300" w:lineRule="atLeast"/>
        <w:jc w:val="center"/>
      </w:pPr>
      <w:r w:rsidRPr="000D7D0E">
        <w:object w:dxaOrig="3764" w:dyaOrig="3645" w14:anchorId="5553B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0pt" o:ole="" fillcolor="window">
            <v:imagedata r:id="rId14" o:title=""/>
          </v:shape>
          <o:OLEObject Type="Embed" ProgID="Word.Document.8" ShapeID="_x0000_i1025" DrawAspect="Content" ObjectID="_1521359556" r:id="rId15">
            <o:FieldCodes>\s</o:FieldCodes>
          </o:OLEObject>
        </w:object>
      </w:r>
    </w:p>
    <w:p w14:paraId="5553BA98" w14:textId="77777777" w:rsidR="00B36CEE" w:rsidRPr="000D7D0E" w:rsidRDefault="00B36CEE" w:rsidP="00A27782">
      <w:pPr>
        <w:spacing w:line="300" w:lineRule="atLeast"/>
        <w:jc w:val="both"/>
        <w:rPr>
          <w:sz w:val="22"/>
          <w:szCs w:val="22"/>
        </w:rPr>
      </w:pPr>
    </w:p>
    <w:p w14:paraId="5553BA9B" w14:textId="31C9982C" w:rsidR="00443891" w:rsidRPr="005E2608" w:rsidRDefault="00443891" w:rsidP="005E2608">
      <w:pPr>
        <w:spacing w:line="300" w:lineRule="atLeast"/>
        <w:jc w:val="both"/>
        <w:rPr>
          <w:color w:val="000000"/>
          <w:lang w:val="pt-BR"/>
        </w:rPr>
      </w:pPr>
      <w:r w:rsidRPr="0050246D">
        <w:rPr>
          <w:lang w:val="pt-BR"/>
        </w:rPr>
        <w:t>Molecular</w:t>
      </w:r>
      <w:r w:rsidRPr="005E2608">
        <w:rPr>
          <w:lang w:val="pt-BR"/>
        </w:rPr>
        <w:t xml:space="preserve"> formula</w:t>
      </w:r>
      <w:r w:rsidRPr="0050246D">
        <w:rPr>
          <w:lang w:val="pt-BR"/>
        </w:rPr>
        <w:t xml:space="preserve">: </w:t>
      </w:r>
      <w:r w:rsidR="00922CE6" w:rsidRPr="0050246D">
        <w:rPr>
          <w:lang w:val="pt-BR"/>
        </w:rPr>
        <w:tab/>
      </w:r>
      <w:r w:rsidRPr="0050246D">
        <w:rPr>
          <w:color w:val="000000"/>
          <w:lang w:val="pt-BR"/>
        </w:rPr>
        <w:t>C</w:t>
      </w:r>
      <w:r w:rsidRPr="0050246D">
        <w:rPr>
          <w:color w:val="000000"/>
          <w:vertAlign w:val="subscript"/>
          <w:lang w:val="pt-BR"/>
        </w:rPr>
        <w:t>25</w:t>
      </w:r>
      <w:r w:rsidRPr="0050246D">
        <w:rPr>
          <w:color w:val="000000"/>
          <w:lang w:val="pt-BR"/>
        </w:rPr>
        <w:t xml:space="preserve"> H</w:t>
      </w:r>
      <w:r w:rsidRPr="0050246D">
        <w:rPr>
          <w:color w:val="000000"/>
          <w:vertAlign w:val="subscript"/>
          <w:lang w:val="pt-BR"/>
        </w:rPr>
        <w:t>22</w:t>
      </w:r>
      <w:r w:rsidRPr="0050246D">
        <w:rPr>
          <w:color w:val="000000"/>
          <w:lang w:val="pt-BR"/>
        </w:rPr>
        <w:t xml:space="preserve"> N</w:t>
      </w:r>
      <w:r w:rsidRPr="0050246D">
        <w:rPr>
          <w:color w:val="000000"/>
          <w:vertAlign w:val="subscript"/>
          <w:lang w:val="pt-BR"/>
        </w:rPr>
        <w:t>4</w:t>
      </w:r>
      <w:r w:rsidRPr="0050246D">
        <w:rPr>
          <w:color w:val="000000"/>
          <w:lang w:val="pt-BR"/>
        </w:rPr>
        <w:t xml:space="preserve"> O</w:t>
      </w:r>
      <w:r w:rsidRPr="0050246D">
        <w:rPr>
          <w:color w:val="000000"/>
          <w:vertAlign w:val="subscript"/>
          <w:lang w:val="pt-BR"/>
        </w:rPr>
        <w:t>4</w:t>
      </w:r>
      <w:r w:rsidRPr="0050246D">
        <w:rPr>
          <w:color w:val="000000"/>
          <w:lang w:val="pt-BR"/>
        </w:rPr>
        <w:t xml:space="preserve">. </w:t>
      </w:r>
      <w:r w:rsidRPr="005E2608">
        <w:rPr>
          <w:color w:val="000000"/>
          <w:lang w:val="pt-BR"/>
        </w:rPr>
        <w:t>2 (C</w:t>
      </w:r>
      <w:r w:rsidRPr="005E2608">
        <w:rPr>
          <w:color w:val="000000"/>
          <w:vertAlign w:val="subscript"/>
          <w:lang w:val="pt-BR"/>
        </w:rPr>
        <w:t>2</w:t>
      </w:r>
      <w:r w:rsidRPr="005E2608">
        <w:rPr>
          <w:color w:val="000000"/>
          <w:lang w:val="pt-BR"/>
        </w:rPr>
        <w:t>H</w:t>
      </w:r>
      <w:r w:rsidRPr="005E2608">
        <w:rPr>
          <w:color w:val="000000"/>
          <w:vertAlign w:val="subscript"/>
          <w:lang w:val="pt-BR"/>
        </w:rPr>
        <w:t>7</w:t>
      </w:r>
      <w:r w:rsidRPr="005E2608">
        <w:rPr>
          <w:color w:val="000000"/>
          <w:lang w:val="pt-BR"/>
        </w:rPr>
        <w:t>NO)</w:t>
      </w:r>
    </w:p>
    <w:p w14:paraId="5553BA9C" w14:textId="0B3326DD" w:rsidR="00443891" w:rsidRPr="0050246D" w:rsidRDefault="00443891" w:rsidP="00A27782">
      <w:pPr>
        <w:spacing w:line="300" w:lineRule="atLeast"/>
        <w:jc w:val="both"/>
        <w:rPr>
          <w:lang w:val="pt-BR"/>
        </w:rPr>
      </w:pPr>
      <w:r w:rsidRPr="0050246D">
        <w:rPr>
          <w:color w:val="000000"/>
          <w:lang w:val="pt-BR"/>
        </w:rPr>
        <w:t xml:space="preserve">Molecular weight: </w:t>
      </w:r>
      <w:r w:rsidR="00922CE6" w:rsidRPr="0050246D">
        <w:rPr>
          <w:color w:val="000000"/>
          <w:lang w:val="pt-BR"/>
        </w:rPr>
        <w:tab/>
      </w:r>
      <w:r w:rsidRPr="0050246D">
        <w:rPr>
          <w:lang w:val="pt-BR"/>
        </w:rPr>
        <w:t>564.65.</w:t>
      </w:r>
    </w:p>
    <w:p w14:paraId="5553BA9D" w14:textId="2DB5E86A" w:rsidR="005517B9" w:rsidRPr="0050246D" w:rsidRDefault="005517B9" w:rsidP="00A27782">
      <w:pPr>
        <w:autoSpaceDE w:val="0"/>
        <w:autoSpaceDN w:val="0"/>
        <w:adjustRightInd w:val="0"/>
        <w:spacing w:line="300" w:lineRule="atLeast"/>
        <w:rPr>
          <w:lang w:val="pt-BR"/>
        </w:rPr>
      </w:pPr>
      <w:r w:rsidRPr="0050246D">
        <w:rPr>
          <w:lang w:val="pt-BR"/>
        </w:rPr>
        <w:t xml:space="preserve">CAS number: </w:t>
      </w:r>
      <w:r w:rsidR="00922CE6" w:rsidRPr="0050246D">
        <w:rPr>
          <w:lang w:val="pt-BR"/>
        </w:rPr>
        <w:tab/>
      </w:r>
      <w:r w:rsidR="00922CE6" w:rsidRPr="0050246D">
        <w:rPr>
          <w:lang w:val="pt-BR"/>
        </w:rPr>
        <w:tab/>
      </w:r>
      <w:r w:rsidR="008F7050" w:rsidRPr="0050246D">
        <w:rPr>
          <w:lang w:val="pt-BR"/>
        </w:rPr>
        <w:t>496775-62-3</w:t>
      </w:r>
    </w:p>
    <w:p w14:paraId="5553BA9F" w14:textId="77777777" w:rsidR="005517B9" w:rsidRPr="005E2608" w:rsidRDefault="005517B9" w:rsidP="00A27782">
      <w:pPr>
        <w:autoSpaceDE w:val="0"/>
        <w:autoSpaceDN w:val="0"/>
        <w:adjustRightInd w:val="0"/>
        <w:spacing w:line="300" w:lineRule="atLeast"/>
        <w:rPr>
          <w:sz w:val="22"/>
          <w:lang w:val="pt-BR"/>
        </w:rPr>
      </w:pPr>
    </w:p>
    <w:p w14:paraId="5553BAA0" w14:textId="77777777" w:rsidR="006C4A20" w:rsidRPr="005E2608" w:rsidRDefault="006C4A20" w:rsidP="005E2608">
      <w:pPr>
        <w:pStyle w:val="Heading2"/>
        <w:spacing w:before="120" w:after="240" w:line="276" w:lineRule="auto"/>
        <w:jc w:val="left"/>
        <w:rPr>
          <w:rFonts w:eastAsiaTheme="minorHAnsi"/>
          <w:caps/>
          <w:sz w:val="30"/>
          <w:lang w:val="en-GB"/>
        </w:rPr>
      </w:pPr>
      <w:r w:rsidRPr="005E2608">
        <w:rPr>
          <w:rFonts w:eastAsiaTheme="minorHAnsi"/>
          <w:caps/>
          <w:sz w:val="30"/>
          <w:lang w:val="en-GB"/>
        </w:rPr>
        <w:t>DESCRIPTION</w:t>
      </w:r>
    </w:p>
    <w:p w14:paraId="612EDD44" w14:textId="5477CEA6" w:rsidR="00922CE6" w:rsidRDefault="00922CE6" w:rsidP="005E2608">
      <w:pPr>
        <w:spacing w:line="300" w:lineRule="atLeast"/>
        <w:jc w:val="both"/>
      </w:pPr>
      <w:r w:rsidRPr="005E2608">
        <w:rPr>
          <w:lang w:val="en-GB"/>
        </w:rPr>
        <w:t xml:space="preserve">REVOLADE film-coated tablets contain eltrombopag olamine. </w:t>
      </w:r>
      <w:r w:rsidRPr="005E2608">
        <w:t>Eltrombopag olamine is practically insoluble in aqueous buffer across a pH range of 1</w:t>
      </w:r>
      <w:r w:rsidR="006B4F10">
        <w:t>-</w:t>
      </w:r>
      <w:r w:rsidRPr="005E2608">
        <w:t>7.4, and is sparingly soluble in water.</w:t>
      </w:r>
    </w:p>
    <w:p w14:paraId="63E598F6" w14:textId="77777777" w:rsidR="00E60C99" w:rsidRPr="005E2608" w:rsidRDefault="00E60C99" w:rsidP="005E2608">
      <w:pPr>
        <w:spacing w:line="300" w:lineRule="atLeast"/>
        <w:jc w:val="both"/>
      </w:pPr>
    </w:p>
    <w:p w14:paraId="5553BAA4" w14:textId="31FD3ECC" w:rsidR="000B741B" w:rsidRPr="005E2608" w:rsidRDefault="0018077E" w:rsidP="005E2608">
      <w:pPr>
        <w:tabs>
          <w:tab w:val="right" w:pos="4464"/>
        </w:tabs>
        <w:spacing w:line="300" w:lineRule="atLeast"/>
        <w:jc w:val="both"/>
      </w:pPr>
      <w:r w:rsidRPr="005E2608">
        <w:t>Each film-coated tablet contains eltrombopag olamine equivalent to either 25 mg</w:t>
      </w:r>
      <w:r w:rsidR="00A03DF3" w:rsidRPr="005E2608">
        <w:t>,</w:t>
      </w:r>
      <w:r w:rsidRPr="005E2608">
        <w:t xml:space="preserve"> 50 mg</w:t>
      </w:r>
      <w:r w:rsidR="00A03DF3" w:rsidRPr="005E2608">
        <w:t xml:space="preserve"> </w:t>
      </w:r>
      <w:r w:rsidR="000A2B17" w:rsidRPr="005E2608">
        <w:t xml:space="preserve">or </w:t>
      </w:r>
      <w:r w:rsidR="00A03DF3" w:rsidRPr="005E2608">
        <w:t>75 mg</w:t>
      </w:r>
      <w:r w:rsidRPr="005E2608">
        <w:t xml:space="preserve"> of eltrombopag as eltrombopag free acid.</w:t>
      </w:r>
      <w:r w:rsidR="00F17E2A">
        <w:t xml:space="preserve"> </w:t>
      </w:r>
      <w:r w:rsidR="000B741B" w:rsidRPr="005E2608">
        <w:t xml:space="preserve">Each film-coated tablet also contains magnesium stearate, mannitol, </w:t>
      </w:r>
      <w:r w:rsidR="000644CB" w:rsidRPr="005E2608">
        <w:t>cellulose - microcrystalline</w:t>
      </w:r>
      <w:r w:rsidR="000B741B" w:rsidRPr="005E2608">
        <w:t xml:space="preserve">, povidone, sodium starch </w:t>
      </w:r>
      <w:r w:rsidR="000B741B" w:rsidRPr="0050246D">
        <w:t>glycollate</w:t>
      </w:r>
      <w:r w:rsidR="000B741B" w:rsidRPr="005E2608">
        <w:t xml:space="preserve">, hypromellose, macrogol 400, titanium dioxide, polysorbate 80 (25 mg tablet only), iron oxide red </w:t>
      </w:r>
      <w:r w:rsidR="0051665E" w:rsidRPr="005E2608">
        <w:t xml:space="preserve">CI77491 </w:t>
      </w:r>
      <w:r w:rsidR="000B741B" w:rsidRPr="005E2608">
        <w:t xml:space="preserve">(50 mg tablet </w:t>
      </w:r>
      <w:r w:rsidR="00C229F1" w:rsidRPr="005E2608">
        <w:t xml:space="preserve">and </w:t>
      </w:r>
      <w:r w:rsidR="00C229F1" w:rsidRPr="005E2608">
        <w:lastRenderedPageBreak/>
        <w:t xml:space="preserve">75 mg tablets </w:t>
      </w:r>
      <w:r w:rsidR="000B741B" w:rsidRPr="005E2608">
        <w:t>only)</w:t>
      </w:r>
      <w:r w:rsidR="00C82DFA" w:rsidRPr="005E2608">
        <w:t>,</w:t>
      </w:r>
      <w:r w:rsidR="000B741B" w:rsidRPr="005E2608">
        <w:t xml:space="preserve"> iron oxide yellow </w:t>
      </w:r>
      <w:r w:rsidR="0051665E" w:rsidRPr="005E2608">
        <w:t xml:space="preserve">CI77492 </w:t>
      </w:r>
      <w:r w:rsidR="000B741B" w:rsidRPr="005E2608">
        <w:t>(50 mg tablet only)</w:t>
      </w:r>
      <w:r w:rsidR="00C82DFA" w:rsidRPr="005E2608">
        <w:t xml:space="preserve"> and iron oxide black </w:t>
      </w:r>
      <w:r w:rsidR="007C6C02" w:rsidRPr="005E2608">
        <w:t>CI77499</w:t>
      </w:r>
      <w:r w:rsidR="00C82DFA" w:rsidRPr="005E2608">
        <w:t xml:space="preserve"> (75 mg tablet only)</w:t>
      </w:r>
      <w:r w:rsidR="000B741B" w:rsidRPr="005E2608">
        <w:t>.</w:t>
      </w:r>
    </w:p>
    <w:p w14:paraId="5553BAA5" w14:textId="77777777" w:rsidR="006C4A20" w:rsidRPr="005E2608" w:rsidRDefault="006C4A20" w:rsidP="005E2608">
      <w:pPr>
        <w:autoSpaceDE w:val="0"/>
        <w:autoSpaceDN w:val="0"/>
        <w:adjustRightInd w:val="0"/>
        <w:spacing w:line="300" w:lineRule="atLeast"/>
        <w:rPr>
          <w:sz w:val="22"/>
        </w:rPr>
      </w:pPr>
    </w:p>
    <w:p w14:paraId="5553BAA7" w14:textId="77777777" w:rsidR="00574FCE" w:rsidRPr="005E2608" w:rsidRDefault="006C4A20" w:rsidP="005E2608">
      <w:pPr>
        <w:pStyle w:val="Heading2"/>
        <w:spacing w:before="120" w:after="240" w:line="276" w:lineRule="auto"/>
        <w:jc w:val="left"/>
        <w:rPr>
          <w:rFonts w:eastAsiaTheme="minorHAnsi"/>
          <w:caps/>
          <w:sz w:val="30"/>
          <w:lang w:val="en-GB"/>
        </w:rPr>
      </w:pPr>
      <w:r w:rsidRPr="005E2608">
        <w:rPr>
          <w:rFonts w:eastAsiaTheme="minorHAnsi"/>
          <w:caps/>
          <w:sz w:val="30"/>
          <w:lang w:val="en-GB"/>
        </w:rPr>
        <w:t>PHARMACOLOGY</w:t>
      </w:r>
    </w:p>
    <w:p w14:paraId="5553BAA8" w14:textId="37023098" w:rsidR="00574FCE" w:rsidRPr="00C241F7" w:rsidRDefault="00922CE6" w:rsidP="00AC5F61">
      <w:pPr>
        <w:spacing w:after="120" w:line="276" w:lineRule="auto"/>
        <w:rPr>
          <w:rFonts w:eastAsiaTheme="minorHAnsi"/>
          <w:lang w:eastAsia="ja-JP"/>
        </w:rPr>
      </w:pPr>
      <w:r w:rsidRPr="00922CE6">
        <w:rPr>
          <w:rFonts w:eastAsiaTheme="minorHAnsi"/>
          <w:lang w:eastAsia="ja-JP"/>
        </w:rPr>
        <w:t>Pharmacotherapeutic group: antihemorrhagics</w:t>
      </w:r>
      <w:r w:rsidR="00F17E2A">
        <w:rPr>
          <w:rFonts w:eastAsiaTheme="minorHAnsi"/>
          <w:lang w:eastAsia="ja-JP"/>
        </w:rPr>
        <w:t xml:space="preserve">; </w:t>
      </w:r>
      <w:r w:rsidRPr="00C241F7">
        <w:rPr>
          <w:rFonts w:eastAsiaTheme="minorHAnsi"/>
          <w:lang w:eastAsia="ja-JP"/>
        </w:rPr>
        <w:t>ATC code: B02BX</w:t>
      </w:r>
      <w:r w:rsidR="00841434">
        <w:rPr>
          <w:rFonts w:eastAsiaTheme="minorHAnsi"/>
          <w:lang w:eastAsia="ja-JP"/>
        </w:rPr>
        <w:t xml:space="preserve"> </w:t>
      </w:r>
      <w:r w:rsidRPr="00C241F7">
        <w:rPr>
          <w:rFonts w:eastAsiaTheme="minorHAnsi"/>
          <w:lang w:eastAsia="ja-JP"/>
        </w:rPr>
        <w:t>05</w:t>
      </w:r>
    </w:p>
    <w:p w14:paraId="5553BAA9" w14:textId="77777777" w:rsidR="00574FCE" w:rsidRPr="005E2608" w:rsidRDefault="00574FCE" w:rsidP="005E2608">
      <w:pPr>
        <w:autoSpaceDE w:val="0"/>
        <w:autoSpaceDN w:val="0"/>
        <w:adjustRightInd w:val="0"/>
        <w:spacing w:after="120" w:line="300" w:lineRule="atLeast"/>
        <w:rPr>
          <w:b/>
          <w:u w:val="single"/>
        </w:rPr>
      </w:pPr>
      <w:r w:rsidRPr="005E2608">
        <w:rPr>
          <w:b/>
          <w:u w:val="single"/>
        </w:rPr>
        <w:t>Mechanism of Action</w:t>
      </w:r>
    </w:p>
    <w:p w14:paraId="5553BAAA" w14:textId="5BEC494B" w:rsidR="006A22C7" w:rsidRPr="005E2608" w:rsidRDefault="00C9643B" w:rsidP="005E2608">
      <w:pPr>
        <w:autoSpaceDE w:val="0"/>
        <w:autoSpaceDN w:val="0"/>
        <w:adjustRightInd w:val="0"/>
        <w:spacing w:line="300" w:lineRule="atLeast"/>
        <w:jc w:val="both"/>
        <w:rPr>
          <w:lang w:val="en-US"/>
        </w:rPr>
      </w:pPr>
      <w:r w:rsidRPr="005E2608">
        <w:t xml:space="preserve">Eltrombopag olamine is an oral small molecule, thrombopoietin receptor (TPO-R) agonist. </w:t>
      </w:r>
      <w:r w:rsidR="006A22C7" w:rsidRPr="005E2608">
        <w:t xml:space="preserve">Thrombopoietin (TPO) is the main cytokine involved in regulation of megakaryopoiesis and platelet production, and is the endogenous ligand for the thrombopoietin receptor (TPO-R). </w:t>
      </w:r>
      <w:r w:rsidR="006A22C7" w:rsidRPr="005E2608">
        <w:rPr>
          <w:lang w:val="en-US"/>
        </w:rPr>
        <w:t>Eltrombopag interacts with the transmembrane domain of the human TPO-R</w:t>
      </w:r>
      <w:r w:rsidR="00841434">
        <w:rPr>
          <w:lang w:val="en-US"/>
        </w:rPr>
        <w:t>,</w:t>
      </w:r>
      <w:r w:rsidR="006A22C7" w:rsidRPr="005E2608">
        <w:rPr>
          <w:lang w:val="en-US"/>
        </w:rPr>
        <w:t xml:space="preserve"> and initiates signaling cascades similar</w:t>
      </w:r>
      <w:r w:rsidR="00841434">
        <w:rPr>
          <w:lang w:val="en-US"/>
        </w:rPr>
        <w:t>,</w:t>
      </w:r>
      <w:r w:rsidR="006A22C7" w:rsidRPr="005E2608">
        <w:rPr>
          <w:lang w:val="en-US"/>
        </w:rPr>
        <w:t xml:space="preserve"> but not identical</w:t>
      </w:r>
      <w:r w:rsidR="00841434">
        <w:rPr>
          <w:lang w:val="en-US"/>
        </w:rPr>
        <w:t>,</w:t>
      </w:r>
      <w:r w:rsidR="006A22C7" w:rsidRPr="005E2608">
        <w:rPr>
          <w:lang w:val="en-US"/>
        </w:rPr>
        <w:t xml:space="preserve"> to that of endogenous thrombopoietin (TPO), inducing proliferation and differentiation of megakaryocytes from bone marrow progenitor cells.</w:t>
      </w:r>
    </w:p>
    <w:p w14:paraId="5553BAAB" w14:textId="77777777" w:rsidR="00102704" w:rsidRPr="00C241F7" w:rsidRDefault="00102704" w:rsidP="006A22C7">
      <w:pPr>
        <w:spacing w:line="300" w:lineRule="atLeast"/>
        <w:jc w:val="both"/>
        <w:rPr>
          <w:b/>
        </w:rPr>
      </w:pPr>
    </w:p>
    <w:p w14:paraId="5553BAAC" w14:textId="77777777" w:rsidR="006A22C7" w:rsidRPr="005E2608" w:rsidRDefault="006A22C7" w:rsidP="005E2608">
      <w:pPr>
        <w:autoSpaceDE w:val="0"/>
        <w:autoSpaceDN w:val="0"/>
        <w:adjustRightInd w:val="0"/>
        <w:spacing w:after="120" w:line="300" w:lineRule="atLeast"/>
        <w:rPr>
          <w:b/>
          <w:u w:val="single"/>
        </w:rPr>
      </w:pPr>
      <w:r w:rsidRPr="005E2608">
        <w:rPr>
          <w:b/>
          <w:u w:val="single"/>
        </w:rPr>
        <w:t>Pharmacodynamic Effects</w:t>
      </w:r>
    </w:p>
    <w:p w14:paraId="5553BAAD" w14:textId="77777777" w:rsidR="006A22C7" w:rsidRPr="005E2608" w:rsidRDefault="006A22C7" w:rsidP="005E2608">
      <w:pPr>
        <w:spacing w:line="300" w:lineRule="atLeast"/>
        <w:jc w:val="both"/>
      </w:pPr>
      <w:r w:rsidRPr="005E2608">
        <w:t xml:space="preserve">Eltrombopag differs from TPO with respect to the effects on platelet aggregation. </w:t>
      </w:r>
      <w:r w:rsidR="00102704" w:rsidRPr="005E2608">
        <w:t xml:space="preserve"> </w:t>
      </w:r>
      <w:r w:rsidRPr="005E2608">
        <w:t>Unlike TPO, eltrombopag treatment of normal human platelets does not enhance adenosine diphosphate (</w:t>
      </w:r>
      <w:smartTag w:uri="urn:schemas-microsoft-com:office:smarttags" w:element="stockticker">
        <w:r w:rsidRPr="005E2608">
          <w:t>ADP</w:t>
        </w:r>
      </w:smartTag>
      <w:r w:rsidRPr="005E2608">
        <w:t xml:space="preserve">)-induced aggregation or induce P-selectin expression. </w:t>
      </w:r>
      <w:r w:rsidR="00102704" w:rsidRPr="005E2608">
        <w:t xml:space="preserve"> </w:t>
      </w:r>
      <w:r w:rsidRPr="005E2608">
        <w:t xml:space="preserve">Eltrombopag does not antagonise platelet aggregation induced by </w:t>
      </w:r>
      <w:smartTag w:uri="urn:schemas-microsoft-com:office:smarttags" w:element="stockticker">
        <w:r w:rsidRPr="005E2608">
          <w:t>ADP</w:t>
        </w:r>
      </w:smartTag>
      <w:r w:rsidRPr="005E2608">
        <w:t xml:space="preserve"> or collagen.</w:t>
      </w:r>
    </w:p>
    <w:p w14:paraId="5553BAAE" w14:textId="77777777" w:rsidR="00102704" w:rsidRPr="00C241F7" w:rsidRDefault="00102704" w:rsidP="006A22C7">
      <w:pPr>
        <w:spacing w:line="300" w:lineRule="atLeast"/>
        <w:jc w:val="both"/>
        <w:rPr>
          <w:color w:val="000000"/>
        </w:rPr>
      </w:pPr>
    </w:p>
    <w:p w14:paraId="5553BAAF" w14:textId="77777777" w:rsidR="006A22C7" w:rsidRPr="005E2608" w:rsidRDefault="006A22C7" w:rsidP="005E2608">
      <w:pPr>
        <w:autoSpaceDE w:val="0"/>
        <w:autoSpaceDN w:val="0"/>
        <w:adjustRightInd w:val="0"/>
        <w:spacing w:after="120" w:line="300" w:lineRule="atLeast"/>
        <w:rPr>
          <w:b/>
          <w:u w:val="single"/>
        </w:rPr>
      </w:pPr>
      <w:r w:rsidRPr="005E2608">
        <w:rPr>
          <w:b/>
          <w:u w:val="single"/>
        </w:rPr>
        <w:t>Pharmacokinetics</w:t>
      </w:r>
    </w:p>
    <w:p w14:paraId="7C30C426" w14:textId="75E1E867" w:rsidR="00F0067C" w:rsidRDefault="006A22C7" w:rsidP="00F0067C">
      <w:pPr>
        <w:spacing w:line="300" w:lineRule="atLeast"/>
        <w:jc w:val="both"/>
        <w:rPr>
          <w:rFonts w:eastAsia="MS Mincho"/>
        </w:rPr>
      </w:pPr>
      <w:r w:rsidRPr="005E2608">
        <w:t xml:space="preserve">The pharmacokinetic parameters of eltrombopag after administration of eltrombopag to patients with </w:t>
      </w:r>
      <w:smartTag w:uri="urn:schemas-microsoft-com:office:smarttags" w:element="stockticker">
        <w:r w:rsidRPr="005E2608">
          <w:t>ITP</w:t>
        </w:r>
      </w:smartTag>
      <w:r w:rsidRPr="005E2608">
        <w:t xml:space="preserve"> are shown in Table 1.</w:t>
      </w:r>
      <w:r w:rsidR="00F0067C" w:rsidRPr="00F0067C">
        <w:rPr>
          <w:rFonts w:eastAsia="MS Mincho"/>
        </w:rPr>
        <w:t xml:space="preserve"> </w:t>
      </w:r>
      <w:r w:rsidR="00F0067C" w:rsidRPr="005D2049">
        <w:rPr>
          <w:rFonts w:eastAsia="MS Mincho"/>
        </w:rPr>
        <w:t>Plasma eltrombopag concentration-time data collected in 590 subjects with HCV enrolled in Phase III studies TPL103922/</w:t>
      </w:r>
      <w:r w:rsidR="00F0067C">
        <w:rPr>
          <w:rFonts w:eastAsia="MS Mincho"/>
        </w:rPr>
        <w:t xml:space="preserve"> </w:t>
      </w:r>
      <w:r w:rsidR="00F0067C" w:rsidRPr="005D2049">
        <w:rPr>
          <w:rFonts w:eastAsia="MS Mincho"/>
        </w:rPr>
        <w:t>ENABLE 1 and TPL108390/</w:t>
      </w:r>
      <w:r w:rsidR="00F0067C">
        <w:rPr>
          <w:rFonts w:eastAsia="MS Mincho"/>
        </w:rPr>
        <w:t xml:space="preserve"> </w:t>
      </w:r>
      <w:r w:rsidR="00F0067C" w:rsidRPr="005D2049">
        <w:rPr>
          <w:rFonts w:eastAsia="MS Mincho"/>
        </w:rPr>
        <w:t xml:space="preserve">ENABLE 2 were combined with data from subjects with HCV enrolled in the Phase II study TPL102357 and healthy adult subjects in a population PK analysis.  </w:t>
      </w:r>
    </w:p>
    <w:p w14:paraId="5553BAB1" w14:textId="77777777" w:rsidR="00102704" w:rsidRPr="006A22C7" w:rsidRDefault="00102704" w:rsidP="006A22C7">
      <w:pPr>
        <w:tabs>
          <w:tab w:val="right" w:pos="8784"/>
        </w:tabs>
        <w:spacing w:line="300" w:lineRule="atLeast"/>
        <w:jc w:val="both"/>
        <w:rPr>
          <w:rFonts w:ascii="Arial" w:hAnsi="Arial" w:cs="Arial"/>
          <w:sz w:val="22"/>
          <w:szCs w:val="22"/>
        </w:rPr>
      </w:pPr>
    </w:p>
    <w:p w14:paraId="50F9FD8F" w14:textId="77777777" w:rsidR="004138C8" w:rsidRDefault="006A22C7" w:rsidP="00A932C4">
      <w:pPr>
        <w:pStyle w:val="Caption"/>
        <w:spacing w:before="0" w:after="0" w:line="300" w:lineRule="atLeast"/>
        <w:jc w:val="both"/>
        <w:rPr>
          <w:rFonts w:ascii="Arial" w:hAnsi="Arial" w:cs="Arial"/>
        </w:rPr>
      </w:pPr>
      <w:r w:rsidRPr="004138C8">
        <w:rPr>
          <w:rFonts w:ascii="Arial" w:hAnsi="Arial" w:cs="Arial"/>
        </w:rPr>
        <w:t>Table 1</w:t>
      </w:r>
      <w:r w:rsidR="004727D2" w:rsidRPr="004138C8">
        <w:rPr>
          <w:rFonts w:ascii="Arial" w:hAnsi="Arial" w:cs="Arial"/>
        </w:rPr>
        <w:tab/>
      </w:r>
      <w:r w:rsidRPr="004138C8">
        <w:rPr>
          <w:rFonts w:ascii="Arial" w:hAnsi="Arial" w:cs="Arial"/>
        </w:rPr>
        <w:t>Geometric Mean (95 % CI) Steady-State Plasma Eltrombopag</w:t>
      </w:r>
    </w:p>
    <w:p w14:paraId="5DA45710" w14:textId="31E42AD0" w:rsidR="004138C8" w:rsidRDefault="006A22C7" w:rsidP="005E2608">
      <w:pPr>
        <w:pStyle w:val="Caption"/>
        <w:spacing w:before="0" w:after="0" w:line="300" w:lineRule="atLeast"/>
        <w:ind w:left="720" w:firstLine="720"/>
        <w:jc w:val="both"/>
        <w:rPr>
          <w:rFonts w:ascii="Arial" w:hAnsi="Arial" w:cs="Arial"/>
        </w:rPr>
      </w:pPr>
      <w:r w:rsidRPr="004138C8">
        <w:rPr>
          <w:rFonts w:ascii="Arial" w:hAnsi="Arial" w:cs="Arial"/>
        </w:rPr>
        <w:t>Pharmacokinetic</w:t>
      </w:r>
      <w:r w:rsidR="004138C8">
        <w:rPr>
          <w:rFonts w:ascii="Arial" w:hAnsi="Arial" w:cs="Arial"/>
        </w:rPr>
        <w:t xml:space="preserve"> </w:t>
      </w:r>
      <w:r w:rsidRPr="004138C8">
        <w:rPr>
          <w:rFonts w:ascii="Arial" w:hAnsi="Arial" w:cs="Arial"/>
        </w:rPr>
        <w:t xml:space="preserve">Parameters in Adults with Idiopathic </w:t>
      </w:r>
    </w:p>
    <w:p w14:paraId="5553BAB2" w14:textId="04ACF987" w:rsidR="006A22C7" w:rsidRPr="004138C8" w:rsidRDefault="006A22C7" w:rsidP="005E2608">
      <w:pPr>
        <w:pStyle w:val="Caption"/>
        <w:spacing w:before="0" w:after="0" w:line="300" w:lineRule="atLeast"/>
        <w:ind w:left="720" w:firstLine="720"/>
        <w:jc w:val="both"/>
        <w:rPr>
          <w:rFonts w:ascii="Arial" w:hAnsi="Arial" w:cs="Arial"/>
        </w:rPr>
      </w:pPr>
      <w:r w:rsidRPr="004138C8">
        <w:rPr>
          <w:rFonts w:ascii="Arial" w:hAnsi="Arial" w:cs="Arial"/>
        </w:rPr>
        <w:t>Thrombocytopenic Purpura</w:t>
      </w:r>
      <w:r w:rsidR="00645B26" w:rsidRPr="004138C8">
        <w:rPr>
          <w:rFonts w:ascii="Arial" w:hAnsi="Arial" w:cs="Arial"/>
        </w:rPr>
        <w:t xml:space="preserve"> (ITP)</w:t>
      </w:r>
    </w:p>
    <w:p w14:paraId="5553BAB3" w14:textId="77777777" w:rsidR="005D7045" w:rsidRPr="005D7045" w:rsidRDefault="005D7045" w:rsidP="005D7045">
      <w:pPr>
        <w:rPr>
          <w:lang w:val="en-GB" w:eastAsia="en-GB"/>
        </w:rPr>
      </w:pPr>
    </w:p>
    <w:tbl>
      <w:tblPr>
        <w:tblW w:w="3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998"/>
        <w:gridCol w:w="2265"/>
      </w:tblGrid>
      <w:tr w:rsidR="006A22C7" w:rsidRPr="006A22C7" w14:paraId="5553BAB9" w14:textId="77777777" w:rsidTr="00645B26">
        <w:trPr>
          <w:jc w:val="center"/>
        </w:trPr>
        <w:tc>
          <w:tcPr>
            <w:tcW w:w="2037" w:type="pct"/>
          </w:tcPr>
          <w:p w14:paraId="5553BAB4" w14:textId="77777777" w:rsidR="006A22C7" w:rsidRPr="006A22C7" w:rsidRDefault="006A22C7" w:rsidP="005E2608">
            <w:pPr>
              <w:keepNext/>
              <w:spacing w:line="300" w:lineRule="atLeast"/>
              <w:jc w:val="both"/>
              <w:rPr>
                <w:rFonts w:ascii="Arial" w:hAnsi="Arial" w:cs="Arial"/>
                <w:b/>
                <w:sz w:val="22"/>
                <w:szCs w:val="22"/>
              </w:rPr>
            </w:pPr>
            <w:r w:rsidRPr="006A22C7">
              <w:rPr>
                <w:rFonts w:ascii="Arial" w:hAnsi="Arial" w:cs="Arial"/>
                <w:b/>
                <w:sz w:val="22"/>
                <w:szCs w:val="22"/>
              </w:rPr>
              <w:t>Regimen of eltrombopag</w:t>
            </w:r>
          </w:p>
        </w:tc>
        <w:tc>
          <w:tcPr>
            <w:tcW w:w="1389" w:type="pct"/>
          </w:tcPr>
          <w:p w14:paraId="5553BAB6" w14:textId="13BA5121" w:rsidR="006A22C7" w:rsidRPr="006A22C7" w:rsidRDefault="006A22C7" w:rsidP="006376B7">
            <w:pPr>
              <w:keepNext/>
              <w:tabs>
                <w:tab w:val="right" w:pos="8784"/>
              </w:tabs>
              <w:spacing w:line="300" w:lineRule="atLeast"/>
              <w:jc w:val="center"/>
              <w:rPr>
                <w:rFonts w:ascii="Arial" w:hAnsi="Arial" w:cs="Arial"/>
                <w:b/>
                <w:sz w:val="22"/>
                <w:szCs w:val="22"/>
              </w:rPr>
            </w:pPr>
            <w:r w:rsidRPr="006A22C7">
              <w:rPr>
                <w:rFonts w:ascii="Arial" w:hAnsi="Arial" w:cs="Arial"/>
                <w:b/>
                <w:sz w:val="22"/>
                <w:szCs w:val="22"/>
              </w:rPr>
              <w:t>C</w:t>
            </w:r>
            <w:r w:rsidRPr="006A22C7">
              <w:rPr>
                <w:rFonts w:ascii="Arial" w:hAnsi="Arial" w:cs="Arial"/>
                <w:b/>
                <w:sz w:val="22"/>
                <w:szCs w:val="22"/>
                <w:vertAlign w:val="subscript"/>
              </w:rPr>
              <w:t>max</w:t>
            </w:r>
            <w:r w:rsidR="00A932C4">
              <w:rPr>
                <w:rFonts w:ascii="Arial" w:hAnsi="Arial" w:cs="Arial"/>
                <w:b/>
                <w:sz w:val="22"/>
                <w:szCs w:val="22"/>
                <w:vertAlign w:val="subscript"/>
              </w:rPr>
              <w:t xml:space="preserve"> </w:t>
            </w:r>
            <w:r w:rsidRPr="006A22C7">
              <w:rPr>
                <w:rFonts w:ascii="Arial" w:hAnsi="Arial" w:cs="Arial"/>
                <w:b/>
                <w:sz w:val="22"/>
                <w:szCs w:val="22"/>
              </w:rPr>
              <w:t>(µg/m</w:t>
            </w:r>
            <w:r w:rsidR="006376B7">
              <w:rPr>
                <w:rFonts w:ascii="Arial" w:hAnsi="Arial" w:cs="Arial"/>
                <w:b/>
                <w:sz w:val="22"/>
                <w:szCs w:val="22"/>
              </w:rPr>
              <w:t>L</w:t>
            </w:r>
            <w:r w:rsidRPr="006A22C7">
              <w:rPr>
                <w:rFonts w:ascii="Arial" w:hAnsi="Arial" w:cs="Arial"/>
                <w:b/>
                <w:sz w:val="22"/>
                <w:szCs w:val="22"/>
              </w:rPr>
              <w:t>)</w:t>
            </w:r>
          </w:p>
        </w:tc>
        <w:tc>
          <w:tcPr>
            <w:tcW w:w="1574" w:type="pct"/>
          </w:tcPr>
          <w:p w14:paraId="5553BAB8" w14:textId="6DC70E57" w:rsidR="006A22C7" w:rsidRPr="0043709E" w:rsidRDefault="006A22C7" w:rsidP="006376B7">
            <w:pPr>
              <w:keepNext/>
              <w:tabs>
                <w:tab w:val="right" w:pos="8784"/>
              </w:tabs>
              <w:spacing w:line="300" w:lineRule="atLeast"/>
              <w:jc w:val="center"/>
              <w:rPr>
                <w:rFonts w:ascii="Arial" w:hAnsi="Arial" w:cs="Arial"/>
                <w:b/>
                <w:sz w:val="22"/>
                <w:szCs w:val="22"/>
              </w:rPr>
            </w:pPr>
            <w:r w:rsidRPr="0043709E">
              <w:rPr>
                <w:rFonts w:ascii="Arial" w:hAnsi="Arial" w:cs="Arial"/>
                <w:b/>
                <w:sz w:val="22"/>
                <w:szCs w:val="22"/>
              </w:rPr>
              <w:t>AUC</w:t>
            </w:r>
            <w:r w:rsidRPr="0043709E">
              <w:rPr>
                <w:rFonts w:ascii="Arial" w:hAnsi="Arial" w:cs="Arial"/>
                <w:b/>
                <w:sz w:val="22"/>
                <w:szCs w:val="22"/>
                <w:vertAlign w:val="subscript"/>
              </w:rPr>
              <w:t>(0-</w:t>
            </w:r>
            <w:r w:rsidRPr="0043709E">
              <w:rPr>
                <w:rFonts w:ascii="Arial" w:hAnsi="Arial" w:cs="Arial"/>
                <w:b/>
                <w:sz w:val="22"/>
                <w:szCs w:val="22"/>
                <w:vertAlign w:val="subscript"/>
              </w:rPr>
              <w:sym w:font="Symbol" w:char="F074"/>
            </w:r>
            <w:r w:rsidRPr="0043709E">
              <w:rPr>
                <w:rFonts w:ascii="Arial" w:hAnsi="Arial" w:cs="Arial"/>
                <w:b/>
                <w:sz w:val="22"/>
                <w:szCs w:val="22"/>
                <w:vertAlign w:val="subscript"/>
              </w:rPr>
              <w:t>)</w:t>
            </w:r>
            <w:r w:rsidR="00A932C4" w:rsidRPr="0043709E">
              <w:rPr>
                <w:rFonts w:ascii="Arial" w:hAnsi="Arial" w:cs="Arial"/>
                <w:b/>
                <w:sz w:val="22"/>
                <w:szCs w:val="22"/>
                <w:vertAlign w:val="subscript"/>
              </w:rPr>
              <w:t xml:space="preserve"> </w:t>
            </w:r>
            <w:r w:rsidRPr="0043709E">
              <w:rPr>
                <w:rFonts w:ascii="Arial" w:hAnsi="Arial" w:cs="Arial"/>
                <w:b/>
                <w:sz w:val="22"/>
                <w:szCs w:val="22"/>
              </w:rPr>
              <w:t>(µg.hr/m</w:t>
            </w:r>
            <w:r w:rsidR="006376B7" w:rsidRPr="0043709E">
              <w:rPr>
                <w:rFonts w:ascii="Arial" w:hAnsi="Arial" w:cs="Arial"/>
                <w:b/>
                <w:sz w:val="22"/>
                <w:szCs w:val="22"/>
              </w:rPr>
              <w:t>L</w:t>
            </w:r>
            <w:r w:rsidRPr="0043709E">
              <w:rPr>
                <w:rFonts w:ascii="Arial" w:hAnsi="Arial" w:cs="Arial"/>
                <w:b/>
                <w:sz w:val="22"/>
                <w:szCs w:val="22"/>
              </w:rPr>
              <w:t>)</w:t>
            </w:r>
          </w:p>
        </w:tc>
      </w:tr>
      <w:tr w:rsidR="006A22C7" w:rsidRPr="006A22C7" w14:paraId="5553BABF" w14:textId="77777777" w:rsidTr="00645B26">
        <w:trPr>
          <w:jc w:val="center"/>
        </w:trPr>
        <w:tc>
          <w:tcPr>
            <w:tcW w:w="2037" w:type="pct"/>
          </w:tcPr>
          <w:p w14:paraId="5553BABA" w14:textId="77777777" w:rsidR="006A22C7" w:rsidRPr="006A22C7" w:rsidRDefault="006A22C7" w:rsidP="005D2049">
            <w:pPr>
              <w:keepNext/>
              <w:tabs>
                <w:tab w:val="right" w:pos="8784"/>
              </w:tabs>
              <w:spacing w:line="300" w:lineRule="atLeast"/>
              <w:jc w:val="both"/>
              <w:rPr>
                <w:rFonts w:ascii="Arial" w:hAnsi="Arial" w:cs="Arial"/>
                <w:sz w:val="22"/>
                <w:szCs w:val="22"/>
              </w:rPr>
            </w:pPr>
            <w:r w:rsidRPr="006A22C7">
              <w:rPr>
                <w:rFonts w:ascii="Arial" w:hAnsi="Arial" w:cs="Arial"/>
                <w:sz w:val="22"/>
                <w:szCs w:val="22"/>
              </w:rPr>
              <w:t>50 mg once daily (n=34)</w:t>
            </w:r>
          </w:p>
        </w:tc>
        <w:tc>
          <w:tcPr>
            <w:tcW w:w="1389" w:type="pct"/>
          </w:tcPr>
          <w:p w14:paraId="5553BABC" w14:textId="3AA38C31" w:rsidR="006A22C7" w:rsidRPr="006A22C7" w:rsidRDefault="006A22C7" w:rsidP="005D2049">
            <w:pPr>
              <w:pStyle w:val="tabletextNS"/>
              <w:keepNext/>
              <w:keepLines/>
              <w:spacing w:line="300" w:lineRule="atLeast"/>
              <w:jc w:val="center"/>
              <w:rPr>
                <w:rFonts w:ascii="Arial" w:hAnsi="Arial" w:cs="Arial"/>
                <w:sz w:val="22"/>
                <w:szCs w:val="22"/>
              </w:rPr>
            </w:pPr>
            <w:r w:rsidRPr="006A22C7">
              <w:rPr>
                <w:rFonts w:ascii="Arial" w:hAnsi="Arial" w:cs="Arial"/>
                <w:sz w:val="22"/>
                <w:szCs w:val="22"/>
              </w:rPr>
              <w:t>8.01</w:t>
            </w:r>
            <w:r w:rsidR="00A932C4">
              <w:rPr>
                <w:rFonts w:ascii="Arial" w:hAnsi="Arial" w:cs="Arial"/>
                <w:sz w:val="22"/>
                <w:szCs w:val="22"/>
              </w:rPr>
              <w:t xml:space="preserve"> </w:t>
            </w:r>
            <w:r w:rsidRPr="006A22C7">
              <w:rPr>
                <w:rFonts w:ascii="Arial" w:hAnsi="Arial" w:cs="Arial"/>
                <w:sz w:val="22"/>
                <w:szCs w:val="22"/>
              </w:rPr>
              <w:t>(6.73, 9.53)</w:t>
            </w:r>
          </w:p>
        </w:tc>
        <w:tc>
          <w:tcPr>
            <w:tcW w:w="1574" w:type="pct"/>
          </w:tcPr>
          <w:p w14:paraId="5553BABE" w14:textId="2F460360" w:rsidR="006A22C7" w:rsidRPr="006A22C7" w:rsidRDefault="006A22C7" w:rsidP="005D2049">
            <w:pPr>
              <w:pStyle w:val="tabletextNS"/>
              <w:keepNext/>
              <w:keepLines/>
              <w:tabs>
                <w:tab w:val="center" w:pos="991"/>
                <w:tab w:val="right" w:pos="1982"/>
              </w:tabs>
              <w:spacing w:line="300" w:lineRule="atLeast"/>
              <w:jc w:val="center"/>
              <w:rPr>
                <w:rFonts w:ascii="Arial" w:hAnsi="Arial" w:cs="Arial"/>
                <w:sz w:val="22"/>
                <w:szCs w:val="22"/>
              </w:rPr>
            </w:pPr>
            <w:r w:rsidRPr="006A22C7">
              <w:rPr>
                <w:rFonts w:ascii="Arial" w:hAnsi="Arial" w:cs="Arial"/>
                <w:sz w:val="22"/>
                <w:szCs w:val="22"/>
              </w:rPr>
              <w:t>108</w:t>
            </w:r>
            <w:r w:rsidR="00A932C4">
              <w:rPr>
                <w:rFonts w:ascii="Arial" w:hAnsi="Arial" w:cs="Arial"/>
                <w:sz w:val="22"/>
                <w:szCs w:val="22"/>
              </w:rPr>
              <w:t xml:space="preserve"> </w:t>
            </w:r>
            <w:r w:rsidRPr="006A22C7">
              <w:rPr>
                <w:rFonts w:ascii="Arial" w:hAnsi="Arial" w:cs="Arial"/>
                <w:sz w:val="22"/>
                <w:szCs w:val="22"/>
              </w:rPr>
              <w:t>(88, 134)</w:t>
            </w:r>
          </w:p>
        </w:tc>
      </w:tr>
      <w:tr w:rsidR="006A22C7" w:rsidRPr="006A22C7" w14:paraId="5553BAC5" w14:textId="77777777" w:rsidTr="00645B26">
        <w:trPr>
          <w:jc w:val="center"/>
        </w:trPr>
        <w:tc>
          <w:tcPr>
            <w:tcW w:w="2037" w:type="pct"/>
          </w:tcPr>
          <w:p w14:paraId="5553BAC0" w14:textId="77777777" w:rsidR="006A22C7" w:rsidRPr="006A22C7" w:rsidRDefault="006A22C7" w:rsidP="005D2049">
            <w:pPr>
              <w:keepNext/>
              <w:tabs>
                <w:tab w:val="right" w:pos="8784"/>
              </w:tabs>
              <w:spacing w:line="300" w:lineRule="atLeast"/>
              <w:jc w:val="both"/>
              <w:rPr>
                <w:rFonts w:ascii="Arial" w:hAnsi="Arial" w:cs="Arial"/>
                <w:sz w:val="22"/>
                <w:szCs w:val="22"/>
              </w:rPr>
            </w:pPr>
            <w:r w:rsidRPr="006A22C7">
              <w:rPr>
                <w:rFonts w:ascii="Arial" w:hAnsi="Arial" w:cs="Arial"/>
                <w:sz w:val="22"/>
                <w:szCs w:val="22"/>
              </w:rPr>
              <w:t>75 mg once daily (n=26)</w:t>
            </w:r>
          </w:p>
        </w:tc>
        <w:tc>
          <w:tcPr>
            <w:tcW w:w="1389" w:type="pct"/>
          </w:tcPr>
          <w:p w14:paraId="5553BAC2" w14:textId="2BFC4FF8" w:rsidR="006A22C7" w:rsidRPr="006A22C7" w:rsidRDefault="006A22C7" w:rsidP="005D2049">
            <w:pPr>
              <w:pStyle w:val="tabletextNS"/>
              <w:keepNext/>
              <w:keepLines/>
              <w:spacing w:line="300" w:lineRule="atLeast"/>
              <w:jc w:val="center"/>
              <w:rPr>
                <w:rFonts w:ascii="Arial" w:hAnsi="Arial" w:cs="Arial"/>
                <w:sz w:val="22"/>
                <w:szCs w:val="22"/>
              </w:rPr>
            </w:pPr>
            <w:r w:rsidRPr="006A22C7">
              <w:rPr>
                <w:rFonts w:ascii="Arial" w:hAnsi="Arial" w:cs="Arial"/>
                <w:sz w:val="22"/>
                <w:szCs w:val="22"/>
              </w:rPr>
              <w:t>12.7</w:t>
            </w:r>
            <w:r w:rsidR="00A932C4">
              <w:rPr>
                <w:rFonts w:ascii="Arial" w:hAnsi="Arial" w:cs="Arial"/>
                <w:sz w:val="22"/>
                <w:szCs w:val="22"/>
              </w:rPr>
              <w:t xml:space="preserve"> </w:t>
            </w:r>
            <w:r w:rsidRPr="006A22C7">
              <w:rPr>
                <w:rFonts w:ascii="Arial" w:hAnsi="Arial" w:cs="Arial"/>
                <w:sz w:val="22"/>
                <w:szCs w:val="22"/>
              </w:rPr>
              <w:t>(11.0, 14.5)</w:t>
            </w:r>
          </w:p>
        </w:tc>
        <w:tc>
          <w:tcPr>
            <w:tcW w:w="1574" w:type="pct"/>
          </w:tcPr>
          <w:p w14:paraId="5553BAC4" w14:textId="0994AB9F" w:rsidR="006A22C7" w:rsidRPr="006A22C7" w:rsidRDefault="006A22C7" w:rsidP="005D2049">
            <w:pPr>
              <w:pStyle w:val="tabletextNS"/>
              <w:keepNext/>
              <w:keepLines/>
              <w:spacing w:line="300" w:lineRule="atLeast"/>
              <w:jc w:val="center"/>
              <w:rPr>
                <w:rFonts w:ascii="Arial" w:hAnsi="Arial" w:cs="Arial"/>
                <w:sz w:val="22"/>
                <w:szCs w:val="22"/>
              </w:rPr>
            </w:pPr>
            <w:r w:rsidRPr="006A22C7">
              <w:rPr>
                <w:rFonts w:ascii="Arial" w:hAnsi="Arial" w:cs="Arial"/>
                <w:sz w:val="22"/>
                <w:szCs w:val="22"/>
              </w:rPr>
              <w:t>168</w:t>
            </w:r>
            <w:r w:rsidR="00A932C4">
              <w:rPr>
                <w:rFonts w:ascii="Arial" w:hAnsi="Arial" w:cs="Arial"/>
                <w:sz w:val="22"/>
                <w:szCs w:val="22"/>
              </w:rPr>
              <w:t xml:space="preserve"> </w:t>
            </w:r>
            <w:r w:rsidRPr="006A22C7">
              <w:rPr>
                <w:rFonts w:ascii="Arial" w:hAnsi="Arial" w:cs="Arial"/>
                <w:sz w:val="22"/>
                <w:szCs w:val="22"/>
              </w:rPr>
              <w:t>(143, 198)</w:t>
            </w:r>
          </w:p>
        </w:tc>
      </w:tr>
    </w:tbl>
    <w:p w14:paraId="5553BAC6" w14:textId="77777777" w:rsidR="00C21313" w:rsidRPr="00C21313" w:rsidRDefault="00C21313" w:rsidP="00C21313">
      <w:pPr>
        <w:spacing w:line="300" w:lineRule="atLeast"/>
        <w:jc w:val="both"/>
        <w:rPr>
          <w:rFonts w:ascii="Arial" w:hAnsi="Arial" w:cs="Arial"/>
          <w:sz w:val="22"/>
          <w:szCs w:val="22"/>
        </w:rPr>
      </w:pPr>
    </w:p>
    <w:p w14:paraId="5553BAC7" w14:textId="6A895F33" w:rsidR="00C21313" w:rsidRPr="005D2049" w:rsidRDefault="00C21313" w:rsidP="005D2049">
      <w:pPr>
        <w:spacing w:line="300" w:lineRule="atLeast"/>
        <w:jc w:val="both"/>
      </w:pPr>
      <w:r w:rsidRPr="005D2049">
        <w:rPr>
          <w:rFonts w:eastAsia="MS Mincho"/>
        </w:rPr>
        <w:t>Plasma eltrombopag</w:t>
      </w:r>
      <w:r w:rsidRPr="005D2049">
        <w:t xml:space="preserve"> C</w:t>
      </w:r>
      <w:r w:rsidRPr="005D2049">
        <w:rPr>
          <w:vertAlign w:val="subscript"/>
        </w:rPr>
        <w:t>max</w:t>
      </w:r>
      <w:r w:rsidRPr="005D2049">
        <w:t xml:space="preserve"> </w:t>
      </w:r>
      <w:r w:rsidR="00E514CA" w:rsidRPr="005D2049">
        <w:t xml:space="preserve">and </w:t>
      </w:r>
      <w:r w:rsidR="00DF0794" w:rsidRPr="005D2049">
        <w:t>AUC</w:t>
      </w:r>
      <w:r w:rsidR="00DF0794"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rPr>
          <w:rFonts w:eastAsia="MS Mincho"/>
        </w:rPr>
        <w:t xml:space="preserve"> estimates for subjects with HCV enrolled in Phase </w:t>
      </w:r>
      <w:r w:rsidR="00E514CA" w:rsidRPr="005D2049">
        <w:rPr>
          <w:rFonts w:eastAsia="MS Mincho"/>
        </w:rPr>
        <w:t>III</w:t>
      </w:r>
      <w:r w:rsidRPr="005D2049">
        <w:rPr>
          <w:rFonts w:eastAsia="MS Mincho"/>
        </w:rPr>
        <w:t xml:space="preserve"> studies </w:t>
      </w:r>
      <w:r w:rsidR="00841434" w:rsidRPr="00841434">
        <w:rPr>
          <w:rFonts w:eastAsia="MS Mincho"/>
        </w:rPr>
        <w:t xml:space="preserve">TPL103922 </w:t>
      </w:r>
      <w:r w:rsidR="00841434">
        <w:rPr>
          <w:rFonts w:eastAsia="MS Mincho"/>
        </w:rPr>
        <w:t>(</w:t>
      </w:r>
      <w:r w:rsidR="00841434" w:rsidRPr="00841434">
        <w:rPr>
          <w:rFonts w:eastAsia="MS Mincho"/>
        </w:rPr>
        <w:t>ENABLE 1</w:t>
      </w:r>
      <w:r w:rsidR="00841434">
        <w:rPr>
          <w:rFonts w:eastAsia="MS Mincho"/>
        </w:rPr>
        <w:t>)</w:t>
      </w:r>
      <w:r w:rsidR="00841434" w:rsidRPr="00841434">
        <w:rPr>
          <w:rFonts w:eastAsia="MS Mincho"/>
        </w:rPr>
        <w:t xml:space="preserve"> and TPL108390 </w:t>
      </w:r>
      <w:r w:rsidR="00841434">
        <w:rPr>
          <w:rFonts w:eastAsia="MS Mincho"/>
        </w:rPr>
        <w:t>(</w:t>
      </w:r>
      <w:r w:rsidR="00841434" w:rsidRPr="00841434">
        <w:rPr>
          <w:rFonts w:eastAsia="MS Mincho"/>
        </w:rPr>
        <w:t xml:space="preserve">ENABLE </w:t>
      </w:r>
      <w:r w:rsidR="00841434">
        <w:rPr>
          <w:rFonts w:eastAsia="MS Mincho"/>
        </w:rPr>
        <w:t xml:space="preserve">2) </w:t>
      </w:r>
      <w:r w:rsidRPr="005D2049">
        <w:rPr>
          <w:rFonts w:eastAsia="MS Mincho"/>
        </w:rPr>
        <w:t xml:space="preserve">are presented for each dose studied in </w:t>
      </w:r>
      <w:r w:rsidRPr="005D2049">
        <w:t>Table 2</w:t>
      </w:r>
      <w:r w:rsidR="00E514CA" w:rsidRPr="005D2049">
        <w:t xml:space="preserve">. </w:t>
      </w:r>
      <w:r w:rsidR="00E514CA" w:rsidRPr="005D2049">
        <w:rPr>
          <w:lang w:val="en-GB"/>
        </w:rPr>
        <w:t>A higher eltrombopag exposure was observed in patients with HCV at a given eltrombopag dose.</w:t>
      </w:r>
    </w:p>
    <w:p w14:paraId="0DD255A3" w14:textId="77777777" w:rsidR="004138C8" w:rsidRDefault="00C21313" w:rsidP="00FC3E4E">
      <w:pPr>
        <w:pStyle w:val="Caption"/>
        <w:pageBreakBefore/>
        <w:spacing w:before="0" w:after="0" w:line="300" w:lineRule="atLeast"/>
        <w:jc w:val="both"/>
        <w:rPr>
          <w:rFonts w:ascii="Arial" w:hAnsi="Arial" w:cs="Arial"/>
        </w:rPr>
      </w:pPr>
      <w:bookmarkStart w:id="1" w:name="_Ref320607875"/>
      <w:r w:rsidRPr="004138C8">
        <w:rPr>
          <w:rFonts w:ascii="Arial" w:hAnsi="Arial" w:cs="Arial"/>
        </w:rPr>
        <w:lastRenderedPageBreak/>
        <w:t xml:space="preserve">Table </w:t>
      </w:r>
      <w:bookmarkEnd w:id="1"/>
      <w:r w:rsidRPr="004138C8">
        <w:rPr>
          <w:rFonts w:ascii="Arial" w:hAnsi="Arial" w:cs="Arial"/>
        </w:rPr>
        <w:t>2</w:t>
      </w:r>
      <w:r w:rsidR="004727D2" w:rsidRPr="004138C8">
        <w:rPr>
          <w:rFonts w:ascii="Arial" w:hAnsi="Arial" w:cs="Arial"/>
        </w:rPr>
        <w:tab/>
      </w:r>
      <w:r w:rsidRPr="004138C8">
        <w:rPr>
          <w:rFonts w:ascii="Arial" w:hAnsi="Arial" w:cs="Arial"/>
        </w:rPr>
        <w:t>Geometric Mean (95 % CI) Steady-State Plasma Eltrombopag</w:t>
      </w:r>
    </w:p>
    <w:p w14:paraId="5553BAC9" w14:textId="0A92C284" w:rsidR="00C21313" w:rsidRPr="004138C8" w:rsidRDefault="00C21313" w:rsidP="004138C8">
      <w:pPr>
        <w:pStyle w:val="Caption"/>
        <w:spacing w:before="0" w:after="0" w:line="300" w:lineRule="atLeast"/>
        <w:ind w:left="720" w:firstLine="720"/>
        <w:jc w:val="both"/>
        <w:rPr>
          <w:rFonts w:ascii="Arial" w:hAnsi="Arial" w:cs="Arial"/>
        </w:rPr>
      </w:pPr>
      <w:r w:rsidRPr="004138C8">
        <w:rPr>
          <w:rFonts w:ascii="Arial" w:hAnsi="Arial" w:cs="Arial"/>
        </w:rPr>
        <w:t>Pharmacokinetic Parameters in Subjects with Chronic HCV</w:t>
      </w:r>
    </w:p>
    <w:p w14:paraId="5553BACA" w14:textId="77777777" w:rsidR="00C21313" w:rsidRPr="00C21313" w:rsidRDefault="00C21313" w:rsidP="00C21313">
      <w:pPr>
        <w:jc w:val="both"/>
        <w:rPr>
          <w:rFonts w:ascii="Arial" w:hAnsi="Arial" w:cs="Arial"/>
          <w:sz w:val="22"/>
          <w:szCs w:val="22"/>
        </w:rPr>
      </w:pPr>
    </w:p>
    <w:tbl>
      <w:tblPr>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1"/>
        <w:gridCol w:w="2320"/>
        <w:gridCol w:w="2150"/>
      </w:tblGrid>
      <w:tr w:rsidR="00645B26" w:rsidRPr="00C21313" w14:paraId="5553BAD2" w14:textId="77777777" w:rsidTr="00645B26">
        <w:trPr>
          <w:tblHeader/>
        </w:trPr>
        <w:tc>
          <w:tcPr>
            <w:tcW w:w="2991" w:type="dxa"/>
          </w:tcPr>
          <w:p w14:paraId="5553BACC" w14:textId="6F158EF8" w:rsidR="00645B26" w:rsidRPr="00AB6A0B" w:rsidRDefault="00645B26" w:rsidP="00645B26">
            <w:pPr>
              <w:spacing w:line="300" w:lineRule="atLeast"/>
              <w:jc w:val="center"/>
              <w:rPr>
                <w:rFonts w:ascii="Arial" w:hAnsi="Arial" w:cs="Arial"/>
                <w:b/>
                <w:sz w:val="22"/>
                <w:szCs w:val="22"/>
              </w:rPr>
            </w:pPr>
            <w:r>
              <w:rPr>
                <w:rFonts w:ascii="Arial" w:hAnsi="Arial" w:cs="Arial"/>
                <w:b/>
                <w:sz w:val="22"/>
                <w:szCs w:val="22"/>
              </w:rPr>
              <w:t>Regimen of e</w:t>
            </w:r>
            <w:r w:rsidRPr="00AB6A0B">
              <w:rPr>
                <w:rFonts w:ascii="Arial" w:hAnsi="Arial" w:cs="Arial"/>
                <w:b/>
                <w:sz w:val="22"/>
                <w:szCs w:val="22"/>
              </w:rPr>
              <w:t xml:space="preserve">ltrombopag </w:t>
            </w:r>
          </w:p>
        </w:tc>
        <w:tc>
          <w:tcPr>
            <w:tcW w:w="2320" w:type="dxa"/>
          </w:tcPr>
          <w:p w14:paraId="5553BACF" w14:textId="7BD0D93B" w:rsidR="00645B26" w:rsidRPr="00AB6A0B" w:rsidRDefault="00645B26" w:rsidP="006376B7">
            <w:pPr>
              <w:jc w:val="center"/>
              <w:rPr>
                <w:rFonts w:ascii="Arial" w:hAnsi="Arial" w:cs="Arial"/>
                <w:b/>
                <w:sz w:val="22"/>
                <w:szCs w:val="22"/>
              </w:rPr>
            </w:pPr>
            <w:r w:rsidRPr="00AB6A0B">
              <w:rPr>
                <w:rFonts w:ascii="Arial" w:hAnsi="Arial" w:cs="Arial"/>
                <w:b/>
                <w:sz w:val="22"/>
                <w:szCs w:val="22"/>
              </w:rPr>
              <w:t>C</w:t>
            </w:r>
            <w:r w:rsidRPr="00EF32E9">
              <w:rPr>
                <w:rFonts w:ascii="Arial" w:hAnsi="Arial" w:cs="Arial"/>
                <w:b/>
                <w:sz w:val="22"/>
                <w:szCs w:val="22"/>
                <w:vertAlign w:val="subscript"/>
              </w:rPr>
              <w:t>max</w:t>
            </w:r>
            <w:r>
              <w:rPr>
                <w:rFonts w:ascii="Arial" w:hAnsi="Arial" w:cs="Arial"/>
                <w:b/>
                <w:sz w:val="22"/>
                <w:szCs w:val="22"/>
              </w:rPr>
              <w:t xml:space="preserve"> </w:t>
            </w:r>
            <w:r w:rsidRPr="00AB6A0B">
              <w:rPr>
                <w:rFonts w:ascii="Arial" w:hAnsi="Arial" w:cs="Arial"/>
                <w:b/>
                <w:sz w:val="22"/>
                <w:szCs w:val="22"/>
              </w:rPr>
              <w:t>(</w:t>
            </w:r>
            <w:r w:rsidRPr="00AB6A0B">
              <w:rPr>
                <w:rFonts w:ascii="Arial" w:hAnsi="Arial" w:cs="Arial"/>
                <w:b/>
                <w:sz w:val="22"/>
                <w:szCs w:val="22"/>
              </w:rPr>
              <w:sym w:font="Symbol" w:char="F06D"/>
            </w:r>
            <w:r w:rsidRPr="00AB6A0B">
              <w:rPr>
                <w:rFonts w:ascii="Arial" w:hAnsi="Arial" w:cs="Arial"/>
                <w:b/>
                <w:sz w:val="22"/>
                <w:szCs w:val="22"/>
              </w:rPr>
              <w:t>g/m</w:t>
            </w:r>
            <w:r>
              <w:rPr>
                <w:rFonts w:ascii="Arial" w:hAnsi="Arial" w:cs="Arial"/>
                <w:b/>
                <w:sz w:val="22"/>
                <w:szCs w:val="22"/>
              </w:rPr>
              <w:t>L</w:t>
            </w:r>
            <w:r w:rsidRPr="00AB6A0B">
              <w:rPr>
                <w:rFonts w:ascii="Arial" w:hAnsi="Arial" w:cs="Arial"/>
                <w:b/>
                <w:sz w:val="22"/>
                <w:szCs w:val="22"/>
              </w:rPr>
              <w:t>)</w:t>
            </w:r>
          </w:p>
        </w:tc>
        <w:tc>
          <w:tcPr>
            <w:tcW w:w="2150" w:type="dxa"/>
          </w:tcPr>
          <w:p w14:paraId="5553BAD1" w14:textId="162AA1A0" w:rsidR="00645B26" w:rsidRPr="00AB6A0B" w:rsidRDefault="00645B26" w:rsidP="006376B7">
            <w:pPr>
              <w:jc w:val="center"/>
              <w:rPr>
                <w:rFonts w:ascii="Arial" w:hAnsi="Arial" w:cs="Arial"/>
                <w:b/>
                <w:sz w:val="22"/>
                <w:szCs w:val="22"/>
              </w:rPr>
            </w:pPr>
            <w:r w:rsidRPr="00AB6A0B">
              <w:rPr>
                <w:rFonts w:ascii="Arial" w:hAnsi="Arial" w:cs="Arial"/>
                <w:b/>
                <w:sz w:val="22"/>
                <w:szCs w:val="22"/>
              </w:rPr>
              <w:t>AUC</w:t>
            </w:r>
            <w:r w:rsidRPr="00B064E7">
              <w:rPr>
                <w:rFonts w:ascii="Arial" w:hAnsi="Arial" w:cs="Arial"/>
                <w:b/>
                <w:sz w:val="22"/>
                <w:szCs w:val="22"/>
                <w:vertAlign w:val="subscript"/>
              </w:rPr>
              <w:t>(0-</w:t>
            </w:r>
            <w:r w:rsidRPr="00B064E7">
              <w:rPr>
                <w:rFonts w:ascii="Arial" w:hAnsi="Arial" w:cs="Arial"/>
                <w:b/>
                <w:sz w:val="22"/>
                <w:szCs w:val="22"/>
                <w:vertAlign w:val="subscript"/>
              </w:rPr>
              <w:sym w:font="Symbol" w:char="F074"/>
            </w:r>
            <w:r w:rsidRPr="00B064E7">
              <w:rPr>
                <w:rFonts w:ascii="Arial" w:hAnsi="Arial" w:cs="Arial"/>
                <w:b/>
                <w:sz w:val="22"/>
                <w:szCs w:val="22"/>
                <w:vertAlign w:val="subscript"/>
              </w:rPr>
              <w:t>)</w:t>
            </w:r>
            <w:r>
              <w:rPr>
                <w:rFonts w:ascii="Arial" w:hAnsi="Arial" w:cs="Arial"/>
                <w:b/>
                <w:sz w:val="22"/>
                <w:szCs w:val="22"/>
              </w:rPr>
              <w:t xml:space="preserve"> </w:t>
            </w:r>
            <w:r w:rsidRPr="00AB6A0B">
              <w:rPr>
                <w:rFonts w:ascii="Arial" w:hAnsi="Arial" w:cs="Arial"/>
                <w:b/>
                <w:sz w:val="22"/>
                <w:szCs w:val="22"/>
              </w:rPr>
              <w:t>(</w:t>
            </w:r>
            <w:r w:rsidRPr="00AB6A0B">
              <w:rPr>
                <w:rFonts w:ascii="Arial" w:hAnsi="Arial" w:cs="Arial"/>
                <w:b/>
                <w:sz w:val="22"/>
                <w:szCs w:val="22"/>
              </w:rPr>
              <w:sym w:font="Symbol" w:char="F06D"/>
            </w:r>
            <w:r w:rsidRPr="00AB6A0B">
              <w:rPr>
                <w:rFonts w:ascii="Arial" w:hAnsi="Arial" w:cs="Arial"/>
                <w:b/>
                <w:sz w:val="22"/>
                <w:szCs w:val="22"/>
              </w:rPr>
              <w:t>g.h/m</w:t>
            </w:r>
            <w:r>
              <w:rPr>
                <w:rFonts w:ascii="Arial" w:hAnsi="Arial" w:cs="Arial"/>
                <w:b/>
                <w:sz w:val="22"/>
                <w:szCs w:val="22"/>
              </w:rPr>
              <w:t>L</w:t>
            </w:r>
            <w:r w:rsidRPr="00AB6A0B">
              <w:rPr>
                <w:rFonts w:ascii="Arial" w:hAnsi="Arial" w:cs="Arial"/>
                <w:b/>
                <w:sz w:val="22"/>
                <w:szCs w:val="22"/>
              </w:rPr>
              <w:t>)</w:t>
            </w:r>
          </w:p>
        </w:tc>
      </w:tr>
      <w:tr w:rsidR="00645B26" w:rsidRPr="00C21313" w14:paraId="5553BAD9" w14:textId="77777777" w:rsidTr="00645B26">
        <w:tc>
          <w:tcPr>
            <w:tcW w:w="2991" w:type="dxa"/>
          </w:tcPr>
          <w:p w14:paraId="5553BAD3" w14:textId="3C47FA49" w:rsidR="00645B26" w:rsidRPr="00C21313" w:rsidRDefault="00645B26" w:rsidP="005D2049">
            <w:pPr>
              <w:spacing w:line="300" w:lineRule="atLeast"/>
              <w:jc w:val="center"/>
              <w:rPr>
                <w:rFonts w:ascii="Arial" w:hAnsi="Arial" w:cs="Arial"/>
                <w:sz w:val="22"/>
                <w:szCs w:val="22"/>
              </w:rPr>
            </w:pPr>
            <w:r w:rsidRPr="00C21313">
              <w:rPr>
                <w:rFonts w:ascii="Arial" w:hAnsi="Arial" w:cs="Arial"/>
                <w:sz w:val="22"/>
                <w:szCs w:val="22"/>
              </w:rPr>
              <w:t>25 mg</w:t>
            </w:r>
            <w:r w:rsidRPr="00AB6A0B">
              <w:rPr>
                <w:rFonts w:ascii="Arial" w:hAnsi="Arial" w:cs="Arial"/>
                <w:b/>
                <w:sz w:val="22"/>
                <w:szCs w:val="22"/>
              </w:rPr>
              <w:t xml:space="preserve"> </w:t>
            </w:r>
            <w:r w:rsidRPr="00645B26">
              <w:rPr>
                <w:rFonts w:ascii="Arial" w:hAnsi="Arial" w:cs="Arial"/>
                <w:sz w:val="22"/>
                <w:szCs w:val="22"/>
              </w:rPr>
              <w:t>once daily</w:t>
            </w:r>
            <w:r>
              <w:rPr>
                <w:rFonts w:ascii="Arial" w:hAnsi="Arial" w:cs="Arial"/>
                <w:sz w:val="22"/>
                <w:szCs w:val="22"/>
              </w:rPr>
              <w:t xml:space="preserve"> (n=330)</w:t>
            </w:r>
          </w:p>
        </w:tc>
        <w:tc>
          <w:tcPr>
            <w:tcW w:w="2320" w:type="dxa"/>
          </w:tcPr>
          <w:p w14:paraId="5553BAD6" w14:textId="7FD7F09E" w:rsidR="00645B26" w:rsidRPr="00C21313" w:rsidRDefault="00645B26" w:rsidP="005D2049">
            <w:pPr>
              <w:jc w:val="center"/>
              <w:rPr>
                <w:rFonts w:ascii="Arial" w:hAnsi="Arial" w:cs="Arial"/>
                <w:sz w:val="22"/>
                <w:szCs w:val="22"/>
              </w:rPr>
            </w:pPr>
            <w:r w:rsidRPr="00C21313">
              <w:rPr>
                <w:rFonts w:ascii="Arial" w:hAnsi="Arial" w:cs="Arial"/>
                <w:sz w:val="22"/>
                <w:szCs w:val="22"/>
              </w:rPr>
              <w:t>6.40</w:t>
            </w:r>
            <w:r>
              <w:rPr>
                <w:rFonts w:ascii="Arial" w:hAnsi="Arial" w:cs="Arial"/>
                <w:sz w:val="22"/>
                <w:szCs w:val="22"/>
              </w:rPr>
              <w:t xml:space="preserve"> </w:t>
            </w:r>
            <w:r w:rsidRPr="00C21313">
              <w:rPr>
                <w:rFonts w:ascii="Arial" w:hAnsi="Arial" w:cs="Arial"/>
                <w:sz w:val="22"/>
                <w:szCs w:val="22"/>
              </w:rPr>
              <w:t>(5.97, 6.86)</w:t>
            </w:r>
          </w:p>
        </w:tc>
        <w:tc>
          <w:tcPr>
            <w:tcW w:w="2150" w:type="dxa"/>
          </w:tcPr>
          <w:p w14:paraId="5553BAD8" w14:textId="1A36ED43" w:rsidR="00645B26" w:rsidRPr="00C21313" w:rsidRDefault="00645B26" w:rsidP="005D2049">
            <w:pPr>
              <w:jc w:val="center"/>
              <w:rPr>
                <w:rFonts w:ascii="Arial" w:hAnsi="Arial" w:cs="Arial"/>
                <w:sz w:val="22"/>
                <w:szCs w:val="22"/>
              </w:rPr>
            </w:pPr>
            <w:r w:rsidRPr="00C21313">
              <w:rPr>
                <w:rFonts w:ascii="Arial" w:hAnsi="Arial" w:cs="Arial"/>
                <w:sz w:val="22"/>
                <w:szCs w:val="22"/>
              </w:rPr>
              <w:t>118</w:t>
            </w:r>
            <w:r>
              <w:rPr>
                <w:rFonts w:ascii="Arial" w:hAnsi="Arial" w:cs="Arial"/>
                <w:sz w:val="22"/>
                <w:szCs w:val="22"/>
              </w:rPr>
              <w:t xml:space="preserve"> </w:t>
            </w:r>
            <w:r w:rsidRPr="00C21313">
              <w:rPr>
                <w:rFonts w:ascii="Arial" w:hAnsi="Arial" w:cs="Arial"/>
                <w:sz w:val="22"/>
                <w:szCs w:val="22"/>
              </w:rPr>
              <w:t>(109, 128)</w:t>
            </w:r>
          </w:p>
        </w:tc>
      </w:tr>
      <w:tr w:rsidR="00645B26" w:rsidRPr="00C21313" w14:paraId="5553BAE0" w14:textId="77777777" w:rsidTr="00645B26">
        <w:tc>
          <w:tcPr>
            <w:tcW w:w="2991" w:type="dxa"/>
          </w:tcPr>
          <w:p w14:paraId="5553BADA" w14:textId="232C6058" w:rsidR="00645B26" w:rsidRPr="00C21313" w:rsidRDefault="00645B26" w:rsidP="005D2049">
            <w:pPr>
              <w:spacing w:line="300" w:lineRule="atLeast"/>
              <w:jc w:val="center"/>
              <w:rPr>
                <w:rFonts w:ascii="Arial" w:hAnsi="Arial" w:cs="Arial"/>
                <w:sz w:val="22"/>
                <w:szCs w:val="22"/>
              </w:rPr>
            </w:pPr>
            <w:r w:rsidRPr="00C21313">
              <w:rPr>
                <w:rFonts w:ascii="Arial" w:hAnsi="Arial" w:cs="Arial"/>
                <w:sz w:val="22"/>
                <w:szCs w:val="22"/>
              </w:rPr>
              <w:t>50 mg</w:t>
            </w:r>
            <w:r>
              <w:rPr>
                <w:rFonts w:ascii="Arial" w:hAnsi="Arial" w:cs="Arial"/>
                <w:sz w:val="22"/>
                <w:szCs w:val="22"/>
              </w:rPr>
              <w:t xml:space="preserve"> </w:t>
            </w:r>
            <w:r w:rsidRPr="00645B26">
              <w:rPr>
                <w:rFonts w:ascii="Arial" w:hAnsi="Arial" w:cs="Arial"/>
                <w:sz w:val="22"/>
                <w:szCs w:val="22"/>
              </w:rPr>
              <w:t>once daily</w:t>
            </w:r>
            <w:r>
              <w:rPr>
                <w:rFonts w:ascii="Arial" w:hAnsi="Arial" w:cs="Arial"/>
                <w:sz w:val="22"/>
                <w:szCs w:val="22"/>
              </w:rPr>
              <w:t xml:space="preserve"> (n=119)</w:t>
            </w:r>
          </w:p>
        </w:tc>
        <w:tc>
          <w:tcPr>
            <w:tcW w:w="2320" w:type="dxa"/>
          </w:tcPr>
          <w:p w14:paraId="5553BADD" w14:textId="4838F396" w:rsidR="00645B26" w:rsidRPr="00C21313" w:rsidRDefault="00645B26" w:rsidP="005D2049">
            <w:pPr>
              <w:jc w:val="center"/>
              <w:rPr>
                <w:rFonts w:ascii="Arial" w:hAnsi="Arial" w:cs="Arial"/>
                <w:sz w:val="22"/>
                <w:szCs w:val="22"/>
              </w:rPr>
            </w:pPr>
            <w:r w:rsidRPr="00C21313">
              <w:rPr>
                <w:rFonts w:ascii="Arial" w:hAnsi="Arial" w:cs="Arial"/>
                <w:sz w:val="22"/>
                <w:szCs w:val="22"/>
              </w:rPr>
              <w:t>9.08</w:t>
            </w:r>
            <w:r>
              <w:rPr>
                <w:rFonts w:ascii="Arial" w:hAnsi="Arial" w:cs="Arial"/>
                <w:sz w:val="22"/>
                <w:szCs w:val="22"/>
              </w:rPr>
              <w:t xml:space="preserve"> </w:t>
            </w:r>
            <w:r w:rsidRPr="00C21313">
              <w:rPr>
                <w:rFonts w:ascii="Arial" w:hAnsi="Arial" w:cs="Arial"/>
                <w:sz w:val="22"/>
                <w:szCs w:val="22"/>
              </w:rPr>
              <w:t>(7.96, 10.35)</w:t>
            </w:r>
          </w:p>
        </w:tc>
        <w:tc>
          <w:tcPr>
            <w:tcW w:w="2150" w:type="dxa"/>
          </w:tcPr>
          <w:p w14:paraId="5553BADF" w14:textId="4BE5AFF0" w:rsidR="00645B26" w:rsidRPr="00C21313" w:rsidRDefault="00645B26" w:rsidP="005D2049">
            <w:pPr>
              <w:jc w:val="center"/>
              <w:rPr>
                <w:rFonts w:ascii="Arial" w:hAnsi="Arial" w:cs="Arial"/>
                <w:sz w:val="22"/>
                <w:szCs w:val="22"/>
              </w:rPr>
            </w:pPr>
            <w:r w:rsidRPr="00C21313">
              <w:rPr>
                <w:rFonts w:ascii="Arial" w:hAnsi="Arial" w:cs="Arial"/>
                <w:sz w:val="22"/>
                <w:szCs w:val="22"/>
              </w:rPr>
              <w:t>166</w:t>
            </w:r>
            <w:r>
              <w:rPr>
                <w:rFonts w:ascii="Arial" w:hAnsi="Arial" w:cs="Arial"/>
                <w:sz w:val="22"/>
                <w:szCs w:val="22"/>
              </w:rPr>
              <w:t xml:space="preserve"> </w:t>
            </w:r>
            <w:r w:rsidRPr="00C21313">
              <w:rPr>
                <w:rFonts w:ascii="Arial" w:hAnsi="Arial" w:cs="Arial"/>
                <w:sz w:val="22"/>
                <w:szCs w:val="22"/>
              </w:rPr>
              <w:t>(143, 192)</w:t>
            </w:r>
          </w:p>
        </w:tc>
      </w:tr>
      <w:tr w:rsidR="00645B26" w:rsidRPr="00C21313" w14:paraId="5553BAE7" w14:textId="77777777" w:rsidTr="00645B26">
        <w:tc>
          <w:tcPr>
            <w:tcW w:w="2991" w:type="dxa"/>
          </w:tcPr>
          <w:p w14:paraId="5553BAE1" w14:textId="2ED41A9A" w:rsidR="00645B26" w:rsidRPr="00C21313" w:rsidRDefault="00645B26" w:rsidP="005D2049">
            <w:pPr>
              <w:spacing w:line="300" w:lineRule="atLeast"/>
              <w:jc w:val="center"/>
              <w:rPr>
                <w:rFonts w:ascii="Arial" w:hAnsi="Arial" w:cs="Arial"/>
                <w:sz w:val="22"/>
                <w:szCs w:val="22"/>
              </w:rPr>
            </w:pPr>
            <w:r w:rsidRPr="00C21313">
              <w:rPr>
                <w:rFonts w:ascii="Arial" w:hAnsi="Arial" w:cs="Arial"/>
                <w:sz w:val="22"/>
                <w:szCs w:val="22"/>
              </w:rPr>
              <w:t>75 mg</w:t>
            </w:r>
            <w:r>
              <w:rPr>
                <w:rFonts w:ascii="Arial" w:hAnsi="Arial" w:cs="Arial"/>
                <w:sz w:val="22"/>
                <w:szCs w:val="22"/>
              </w:rPr>
              <w:t xml:space="preserve"> </w:t>
            </w:r>
            <w:r w:rsidRPr="00645B26">
              <w:rPr>
                <w:rFonts w:ascii="Arial" w:hAnsi="Arial" w:cs="Arial"/>
                <w:sz w:val="22"/>
                <w:szCs w:val="22"/>
              </w:rPr>
              <w:t>once daily</w:t>
            </w:r>
            <w:r>
              <w:rPr>
                <w:rFonts w:ascii="Arial" w:hAnsi="Arial" w:cs="Arial"/>
                <w:sz w:val="22"/>
                <w:szCs w:val="22"/>
              </w:rPr>
              <w:t xml:space="preserve"> (n=45)</w:t>
            </w:r>
          </w:p>
        </w:tc>
        <w:tc>
          <w:tcPr>
            <w:tcW w:w="2320" w:type="dxa"/>
          </w:tcPr>
          <w:p w14:paraId="5553BAE4" w14:textId="459B59FC" w:rsidR="00645B26" w:rsidRPr="00C21313" w:rsidRDefault="00645B26" w:rsidP="005D2049">
            <w:pPr>
              <w:jc w:val="center"/>
              <w:rPr>
                <w:rFonts w:ascii="Arial" w:hAnsi="Arial" w:cs="Arial"/>
                <w:sz w:val="22"/>
                <w:szCs w:val="22"/>
              </w:rPr>
            </w:pPr>
            <w:r w:rsidRPr="00C21313">
              <w:rPr>
                <w:rFonts w:ascii="Arial" w:hAnsi="Arial" w:cs="Arial"/>
                <w:sz w:val="22"/>
                <w:szCs w:val="22"/>
              </w:rPr>
              <w:t>16.71</w:t>
            </w:r>
            <w:r>
              <w:rPr>
                <w:rFonts w:ascii="Arial" w:hAnsi="Arial" w:cs="Arial"/>
                <w:sz w:val="22"/>
                <w:szCs w:val="22"/>
              </w:rPr>
              <w:t xml:space="preserve"> </w:t>
            </w:r>
            <w:r w:rsidRPr="00C21313">
              <w:rPr>
                <w:rFonts w:ascii="Arial" w:hAnsi="Arial" w:cs="Arial"/>
                <w:sz w:val="22"/>
                <w:szCs w:val="22"/>
              </w:rPr>
              <w:t>(14.26, 19.58)</w:t>
            </w:r>
          </w:p>
        </w:tc>
        <w:tc>
          <w:tcPr>
            <w:tcW w:w="2150" w:type="dxa"/>
          </w:tcPr>
          <w:p w14:paraId="5553BAE6" w14:textId="73D8038B" w:rsidR="00645B26" w:rsidRPr="00C21313" w:rsidRDefault="00645B26" w:rsidP="005D2049">
            <w:pPr>
              <w:jc w:val="center"/>
              <w:rPr>
                <w:rFonts w:ascii="Arial" w:hAnsi="Arial" w:cs="Arial"/>
                <w:sz w:val="22"/>
                <w:szCs w:val="22"/>
              </w:rPr>
            </w:pPr>
            <w:r w:rsidRPr="00C21313">
              <w:rPr>
                <w:rFonts w:ascii="Arial" w:hAnsi="Arial" w:cs="Arial"/>
                <w:sz w:val="22"/>
                <w:szCs w:val="22"/>
              </w:rPr>
              <w:t>301</w:t>
            </w:r>
            <w:r>
              <w:rPr>
                <w:rFonts w:ascii="Arial" w:hAnsi="Arial" w:cs="Arial"/>
                <w:sz w:val="22"/>
                <w:szCs w:val="22"/>
              </w:rPr>
              <w:t xml:space="preserve"> </w:t>
            </w:r>
            <w:r w:rsidRPr="00C21313">
              <w:rPr>
                <w:rFonts w:ascii="Arial" w:hAnsi="Arial" w:cs="Arial"/>
                <w:sz w:val="22"/>
                <w:szCs w:val="22"/>
              </w:rPr>
              <w:t>(250, 363)</w:t>
            </w:r>
          </w:p>
        </w:tc>
      </w:tr>
      <w:tr w:rsidR="00645B26" w:rsidRPr="00C21313" w14:paraId="5553BAEE" w14:textId="77777777" w:rsidTr="00645B26">
        <w:tc>
          <w:tcPr>
            <w:tcW w:w="2991" w:type="dxa"/>
            <w:tcBorders>
              <w:bottom w:val="single" w:sz="4" w:space="0" w:color="auto"/>
            </w:tcBorders>
          </w:tcPr>
          <w:p w14:paraId="5553BAE8" w14:textId="5EC4FF77" w:rsidR="00645B26" w:rsidRPr="00C21313" w:rsidRDefault="00645B26" w:rsidP="005D2049">
            <w:pPr>
              <w:spacing w:line="300" w:lineRule="atLeast"/>
              <w:jc w:val="center"/>
              <w:rPr>
                <w:rFonts w:ascii="Arial" w:hAnsi="Arial" w:cs="Arial"/>
                <w:sz w:val="22"/>
                <w:szCs w:val="22"/>
              </w:rPr>
            </w:pPr>
            <w:r w:rsidRPr="00C21313">
              <w:rPr>
                <w:rFonts w:ascii="Arial" w:hAnsi="Arial" w:cs="Arial"/>
                <w:sz w:val="22"/>
                <w:szCs w:val="22"/>
              </w:rPr>
              <w:t>100 mg</w:t>
            </w:r>
            <w:r>
              <w:rPr>
                <w:rFonts w:ascii="Arial" w:hAnsi="Arial" w:cs="Arial"/>
                <w:sz w:val="22"/>
                <w:szCs w:val="22"/>
              </w:rPr>
              <w:t xml:space="preserve"> </w:t>
            </w:r>
            <w:r w:rsidRPr="00645B26">
              <w:rPr>
                <w:rFonts w:ascii="Arial" w:hAnsi="Arial" w:cs="Arial"/>
                <w:sz w:val="22"/>
                <w:szCs w:val="22"/>
              </w:rPr>
              <w:t>once daily</w:t>
            </w:r>
            <w:r>
              <w:rPr>
                <w:rFonts w:ascii="Arial" w:hAnsi="Arial" w:cs="Arial"/>
                <w:sz w:val="22"/>
                <w:szCs w:val="22"/>
              </w:rPr>
              <w:t xml:space="preserve"> (n=96)</w:t>
            </w:r>
          </w:p>
        </w:tc>
        <w:tc>
          <w:tcPr>
            <w:tcW w:w="2320" w:type="dxa"/>
            <w:tcBorders>
              <w:bottom w:val="single" w:sz="4" w:space="0" w:color="auto"/>
            </w:tcBorders>
          </w:tcPr>
          <w:p w14:paraId="5553BAEB" w14:textId="410CD405" w:rsidR="00645B26" w:rsidRPr="00C21313" w:rsidRDefault="00645B26" w:rsidP="005D2049">
            <w:pPr>
              <w:jc w:val="center"/>
              <w:rPr>
                <w:rFonts w:ascii="Arial" w:hAnsi="Arial" w:cs="Arial"/>
                <w:sz w:val="22"/>
                <w:szCs w:val="22"/>
              </w:rPr>
            </w:pPr>
            <w:r w:rsidRPr="00C21313">
              <w:rPr>
                <w:rFonts w:ascii="Arial" w:hAnsi="Arial" w:cs="Arial"/>
                <w:sz w:val="22"/>
                <w:szCs w:val="22"/>
              </w:rPr>
              <w:t>19.19</w:t>
            </w:r>
            <w:r>
              <w:rPr>
                <w:rFonts w:ascii="Arial" w:hAnsi="Arial" w:cs="Arial"/>
                <w:sz w:val="22"/>
                <w:szCs w:val="22"/>
              </w:rPr>
              <w:t xml:space="preserve"> </w:t>
            </w:r>
            <w:r w:rsidRPr="00C21313">
              <w:rPr>
                <w:rFonts w:ascii="Arial" w:hAnsi="Arial" w:cs="Arial"/>
                <w:sz w:val="22"/>
                <w:szCs w:val="22"/>
              </w:rPr>
              <w:t>(16.81, 21.91)</w:t>
            </w:r>
          </w:p>
        </w:tc>
        <w:tc>
          <w:tcPr>
            <w:tcW w:w="2150" w:type="dxa"/>
            <w:tcBorders>
              <w:bottom w:val="single" w:sz="4" w:space="0" w:color="auto"/>
            </w:tcBorders>
          </w:tcPr>
          <w:p w14:paraId="5553BAED" w14:textId="242EACA5" w:rsidR="00645B26" w:rsidRPr="00C21313" w:rsidRDefault="00645B26" w:rsidP="005D2049">
            <w:pPr>
              <w:jc w:val="center"/>
              <w:rPr>
                <w:rFonts w:ascii="Arial" w:hAnsi="Arial" w:cs="Arial"/>
                <w:sz w:val="22"/>
                <w:szCs w:val="22"/>
              </w:rPr>
            </w:pPr>
            <w:r w:rsidRPr="00C21313">
              <w:rPr>
                <w:rFonts w:ascii="Arial" w:hAnsi="Arial" w:cs="Arial"/>
                <w:sz w:val="22"/>
                <w:szCs w:val="22"/>
              </w:rPr>
              <w:t>354</w:t>
            </w:r>
            <w:r>
              <w:rPr>
                <w:rFonts w:ascii="Arial" w:hAnsi="Arial" w:cs="Arial"/>
                <w:sz w:val="22"/>
                <w:szCs w:val="22"/>
              </w:rPr>
              <w:t xml:space="preserve"> </w:t>
            </w:r>
            <w:r w:rsidRPr="00C21313">
              <w:rPr>
                <w:rFonts w:ascii="Arial" w:hAnsi="Arial" w:cs="Arial"/>
                <w:sz w:val="22"/>
                <w:szCs w:val="22"/>
              </w:rPr>
              <w:t>(304, 411)</w:t>
            </w:r>
          </w:p>
        </w:tc>
      </w:tr>
    </w:tbl>
    <w:p w14:paraId="5553BAF2" w14:textId="77777777" w:rsidR="00C21313" w:rsidRPr="006A22C7" w:rsidRDefault="00C21313" w:rsidP="006A22C7">
      <w:pPr>
        <w:spacing w:line="300" w:lineRule="atLeast"/>
        <w:jc w:val="both"/>
        <w:rPr>
          <w:rFonts w:ascii="Arial" w:hAnsi="Arial" w:cs="Arial"/>
          <w:b/>
          <w:sz w:val="22"/>
          <w:szCs w:val="22"/>
        </w:rPr>
      </w:pPr>
    </w:p>
    <w:p w14:paraId="5553BAF3" w14:textId="77777777" w:rsidR="006A22C7" w:rsidRPr="005D2049" w:rsidRDefault="006A22C7" w:rsidP="005D2049">
      <w:pPr>
        <w:pStyle w:val="NoNumHead5"/>
        <w:spacing w:after="120" w:line="300" w:lineRule="atLeast"/>
        <w:jc w:val="both"/>
        <w:rPr>
          <w:rFonts w:ascii="Times New Roman" w:hAnsi="Times New Roman"/>
          <w:i w:val="0"/>
          <w:sz w:val="24"/>
        </w:rPr>
      </w:pPr>
      <w:r w:rsidRPr="005D2049">
        <w:rPr>
          <w:rFonts w:ascii="Times New Roman" w:hAnsi="Times New Roman"/>
          <w:i w:val="0"/>
          <w:sz w:val="24"/>
        </w:rPr>
        <w:t>Absorption and Bioavailability</w:t>
      </w:r>
    </w:p>
    <w:p w14:paraId="5553BAF4" w14:textId="61495B16" w:rsidR="006A22C7" w:rsidRPr="00043004" w:rsidRDefault="006A22C7" w:rsidP="005D2049">
      <w:pPr>
        <w:spacing w:line="300" w:lineRule="atLeast"/>
        <w:jc w:val="both"/>
        <w:rPr>
          <w:i/>
        </w:rPr>
      </w:pPr>
      <w:r w:rsidRPr="005D2049">
        <w:t xml:space="preserve">Eltrombopag is absorbed with a peak concentration occurring 2 to 6 hours after oral administration. </w:t>
      </w:r>
      <w:r w:rsidR="003D0B4A" w:rsidRPr="005D2049">
        <w:t xml:space="preserve"> </w:t>
      </w:r>
      <w:r w:rsidRPr="00043004">
        <w:t>The</w:t>
      </w:r>
      <w:r w:rsidRPr="005D2049">
        <w:t xml:space="preserve"> absolute oral bioavailability of eltrombopag after administration to humans has not been established. </w:t>
      </w:r>
      <w:r w:rsidR="003D0B4A" w:rsidRPr="005D2049">
        <w:t xml:space="preserve"> </w:t>
      </w:r>
      <w:r w:rsidRPr="005D2049">
        <w:t>Based on urinary excretion and metabolites eliminated in faeces, the oral absorption of drug-related material following administration of a single 75 mg eltrombopag solution dose was estimated to be at least 52 %.</w:t>
      </w:r>
    </w:p>
    <w:p w14:paraId="15D173F7" w14:textId="77777777" w:rsidR="000A2AC4" w:rsidRPr="005D2049" w:rsidRDefault="000A2AC4" w:rsidP="005D2049">
      <w:pPr>
        <w:spacing w:line="300" w:lineRule="atLeast"/>
        <w:jc w:val="both"/>
      </w:pPr>
    </w:p>
    <w:p w14:paraId="4CA3766A" w14:textId="232184BE" w:rsidR="000A2AC4" w:rsidRPr="000A2AC4" w:rsidRDefault="000A2AC4" w:rsidP="006A22C7">
      <w:pPr>
        <w:spacing w:line="300" w:lineRule="atLeast"/>
        <w:jc w:val="both"/>
        <w:rPr>
          <w:i/>
          <w:iCs/>
          <w:u w:val="single"/>
        </w:rPr>
      </w:pPr>
      <w:r w:rsidRPr="000A2AC4">
        <w:rPr>
          <w:i/>
          <w:iCs/>
          <w:u w:val="single"/>
        </w:rPr>
        <w:t xml:space="preserve">Food </w:t>
      </w:r>
      <w:r w:rsidR="00043004">
        <w:rPr>
          <w:i/>
          <w:iCs/>
          <w:u w:val="single"/>
        </w:rPr>
        <w:t xml:space="preserve">&amp; </w:t>
      </w:r>
      <w:r w:rsidR="00BC245E">
        <w:rPr>
          <w:i/>
          <w:iCs/>
          <w:u w:val="single"/>
        </w:rPr>
        <w:t>Chelation</w:t>
      </w:r>
    </w:p>
    <w:p w14:paraId="2E2AE1D6" w14:textId="12118746" w:rsidR="00043004" w:rsidRDefault="00043004" w:rsidP="00043004">
      <w:pPr>
        <w:spacing w:line="300" w:lineRule="atLeast"/>
        <w:jc w:val="both"/>
        <w:rPr>
          <w:i/>
        </w:rPr>
      </w:pPr>
      <w:r w:rsidRPr="005D2049">
        <w:t>Administration of eltrombopag concomitantly with antacids and other products containing polyvalent cations such as dairy products and mineral supplements significantly reduces eltrombopag exposure (see</w:t>
      </w:r>
      <w:r w:rsidRPr="005D2049">
        <w:rPr>
          <w:i/>
        </w:rPr>
        <w:t xml:space="preserve"> </w:t>
      </w:r>
      <w:r w:rsidRPr="00F17E2A">
        <w:rPr>
          <w:iCs/>
        </w:rPr>
        <w:t xml:space="preserve">DOSAGE AND ADMINISTRATION, </w:t>
      </w:r>
      <w:r>
        <w:rPr>
          <w:iCs/>
        </w:rPr>
        <w:t xml:space="preserve">and </w:t>
      </w:r>
      <w:r w:rsidRPr="00F17E2A">
        <w:rPr>
          <w:iCs/>
        </w:rPr>
        <w:t>INTERACTIONS</w:t>
      </w:r>
      <w:r>
        <w:rPr>
          <w:iCs/>
        </w:rPr>
        <w:t xml:space="preserve"> –</w:t>
      </w:r>
      <w:r w:rsidR="0033246F">
        <w:rPr>
          <w:iCs/>
        </w:rPr>
        <w:t xml:space="preserve"> </w:t>
      </w:r>
      <w:r w:rsidR="00B02F9C">
        <w:rPr>
          <w:iCs/>
        </w:rPr>
        <w:t>Polyvalent Cations (Chelation))</w:t>
      </w:r>
      <w:r w:rsidRPr="00DF62C3">
        <w:rPr>
          <w:iCs/>
        </w:rPr>
        <w:t>.</w:t>
      </w:r>
      <w:r w:rsidRPr="005D2049">
        <w:rPr>
          <w:i/>
        </w:rPr>
        <w:t xml:space="preserve">  </w:t>
      </w:r>
    </w:p>
    <w:p w14:paraId="26052B6F" w14:textId="77777777" w:rsidR="0033246F" w:rsidRDefault="0033246F" w:rsidP="00043004">
      <w:pPr>
        <w:spacing w:line="300" w:lineRule="atLeast"/>
        <w:jc w:val="both"/>
        <w:rPr>
          <w:i/>
        </w:rPr>
      </w:pPr>
    </w:p>
    <w:p w14:paraId="3AC3B43A" w14:textId="0F568A37" w:rsidR="00AC5F61" w:rsidRPr="00DE25E4" w:rsidRDefault="000A2AC4" w:rsidP="006A22C7">
      <w:pPr>
        <w:spacing w:line="300" w:lineRule="atLeast"/>
        <w:jc w:val="both"/>
        <w:rPr>
          <w:iCs/>
        </w:rPr>
      </w:pPr>
      <w:r w:rsidRPr="000A2AC4">
        <w:rPr>
          <w:iCs/>
        </w:rPr>
        <w:t xml:space="preserve">Administration of a single 50 mg-dose of </w:t>
      </w:r>
      <w:r>
        <w:rPr>
          <w:iCs/>
        </w:rPr>
        <w:t>REVOLADE</w:t>
      </w:r>
      <w:r w:rsidRPr="000A2AC4">
        <w:rPr>
          <w:iCs/>
        </w:rPr>
        <w:t xml:space="preserve"> tablet with a standard high-calorie, high-fat breakfast that included dairy products reduced plasma eltrombopag AUC</w:t>
      </w:r>
      <w:r w:rsidRPr="000A2AC4">
        <w:rPr>
          <w:iCs/>
          <w:vertAlign w:val="subscript"/>
        </w:rPr>
        <w:t>(0-∞)</w:t>
      </w:r>
      <w:r w:rsidRPr="000A2AC4">
        <w:rPr>
          <w:iCs/>
        </w:rPr>
        <w:t xml:space="preserve"> by 59</w:t>
      </w:r>
      <w:r>
        <w:rPr>
          <w:iCs/>
        </w:rPr>
        <w:t xml:space="preserve"> </w:t>
      </w:r>
      <w:r w:rsidRPr="000A2AC4">
        <w:rPr>
          <w:iCs/>
        </w:rPr>
        <w:t>% (90</w:t>
      </w:r>
      <w:r>
        <w:rPr>
          <w:iCs/>
        </w:rPr>
        <w:t xml:space="preserve"> </w:t>
      </w:r>
      <w:r w:rsidRPr="000A2AC4">
        <w:rPr>
          <w:iCs/>
        </w:rPr>
        <w:t>% CI: 54%, 64</w:t>
      </w:r>
      <w:r>
        <w:rPr>
          <w:iCs/>
        </w:rPr>
        <w:t xml:space="preserve"> </w:t>
      </w:r>
      <w:r w:rsidRPr="000A2AC4">
        <w:rPr>
          <w:iCs/>
        </w:rPr>
        <w:t>%) and Cmax by 65</w:t>
      </w:r>
      <w:r>
        <w:rPr>
          <w:iCs/>
        </w:rPr>
        <w:t xml:space="preserve"> </w:t>
      </w:r>
      <w:r w:rsidRPr="000A2AC4">
        <w:rPr>
          <w:iCs/>
        </w:rPr>
        <w:t>% (90</w:t>
      </w:r>
      <w:r>
        <w:rPr>
          <w:iCs/>
        </w:rPr>
        <w:t xml:space="preserve"> </w:t>
      </w:r>
      <w:r w:rsidRPr="000A2AC4">
        <w:rPr>
          <w:iCs/>
        </w:rPr>
        <w:t>% CI: 59</w:t>
      </w:r>
      <w:r>
        <w:rPr>
          <w:iCs/>
        </w:rPr>
        <w:t xml:space="preserve"> </w:t>
      </w:r>
      <w:r w:rsidRPr="000A2AC4">
        <w:rPr>
          <w:iCs/>
        </w:rPr>
        <w:t>%, 70</w:t>
      </w:r>
      <w:r>
        <w:rPr>
          <w:iCs/>
        </w:rPr>
        <w:t xml:space="preserve"> </w:t>
      </w:r>
      <w:r w:rsidRPr="000A2AC4">
        <w:rPr>
          <w:iCs/>
        </w:rPr>
        <w:t>%).</w:t>
      </w:r>
      <w:r>
        <w:rPr>
          <w:iCs/>
        </w:rPr>
        <w:t xml:space="preserve"> </w:t>
      </w:r>
      <w:r w:rsidRPr="000A2AC4">
        <w:rPr>
          <w:iCs/>
        </w:rPr>
        <w:t xml:space="preserve">Food low in calcium </w:t>
      </w:r>
      <w:r>
        <w:rPr>
          <w:iCs/>
        </w:rPr>
        <w:t>(&lt;50 mg calcium)</w:t>
      </w:r>
      <w:r w:rsidRPr="000A2AC4">
        <w:rPr>
          <w:iCs/>
        </w:rPr>
        <w:t xml:space="preserve"> including fruit, lean ham, beef and unfortified (no added calcium, magnesium, iron) fruit juice, unfortified soy milk, and unfortified grain did not significantly impact plasma eltrombopag exposure, regardless of calorie and fat content.</w:t>
      </w:r>
    </w:p>
    <w:p w14:paraId="1DD98F25" w14:textId="77777777" w:rsidR="000A2AC4" w:rsidRPr="006D75C7" w:rsidRDefault="000A2AC4" w:rsidP="006D75C7">
      <w:pPr>
        <w:spacing w:line="300" w:lineRule="atLeast"/>
        <w:jc w:val="both"/>
        <w:rPr>
          <w:b/>
        </w:rPr>
      </w:pPr>
    </w:p>
    <w:p w14:paraId="5553BAF6" w14:textId="77777777" w:rsidR="006A22C7" w:rsidRPr="005D2049" w:rsidRDefault="006A22C7" w:rsidP="005D2049">
      <w:pPr>
        <w:pStyle w:val="NoNumHead5"/>
        <w:spacing w:after="120" w:line="300" w:lineRule="atLeast"/>
        <w:jc w:val="both"/>
        <w:rPr>
          <w:rFonts w:ascii="Times New Roman" w:hAnsi="Times New Roman"/>
          <w:i w:val="0"/>
          <w:sz w:val="24"/>
        </w:rPr>
      </w:pPr>
      <w:r w:rsidRPr="005D2049">
        <w:rPr>
          <w:rFonts w:ascii="Times New Roman" w:hAnsi="Times New Roman"/>
          <w:i w:val="0"/>
          <w:sz w:val="24"/>
        </w:rPr>
        <w:t>Distribution</w:t>
      </w:r>
    </w:p>
    <w:p w14:paraId="5553BAF7" w14:textId="77777777" w:rsidR="006A22C7" w:rsidRPr="005D2049" w:rsidRDefault="006A22C7" w:rsidP="005D2049">
      <w:pPr>
        <w:spacing w:line="300" w:lineRule="atLeast"/>
        <w:jc w:val="both"/>
        <w:rPr>
          <w:rFonts w:eastAsia="MS Mincho"/>
          <w:color w:val="000000"/>
        </w:rPr>
      </w:pPr>
      <w:r w:rsidRPr="005D2049">
        <w:t xml:space="preserve">Eltrombopag is highly bound to human plasma proteins (&gt; 99.9 %). </w:t>
      </w:r>
      <w:r w:rsidR="003D0B4A" w:rsidRPr="005D2049">
        <w:t xml:space="preserve"> </w:t>
      </w:r>
      <w:r w:rsidRPr="005D2049">
        <w:rPr>
          <w:rFonts w:eastAsia="MS Mincho"/>
          <w:color w:val="000000"/>
        </w:rPr>
        <w:t>Eltrombopag is a substrate for BCRP, but is not a substrate for P-glycoprotein or OATP1B1.</w:t>
      </w:r>
    </w:p>
    <w:p w14:paraId="5553BAF8" w14:textId="77777777" w:rsidR="003D0B4A" w:rsidRPr="00DE25E4" w:rsidRDefault="003D0B4A" w:rsidP="006A22C7">
      <w:pPr>
        <w:spacing w:line="300" w:lineRule="atLeast"/>
        <w:jc w:val="both"/>
        <w:rPr>
          <w:b/>
        </w:rPr>
      </w:pPr>
    </w:p>
    <w:p w14:paraId="5553BAF9" w14:textId="77777777" w:rsidR="006A22C7" w:rsidRPr="005D2049" w:rsidRDefault="006A22C7" w:rsidP="005D2049">
      <w:pPr>
        <w:pStyle w:val="NoNumHead5"/>
        <w:spacing w:after="120" w:line="300" w:lineRule="atLeast"/>
        <w:jc w:val="both"/>
        <w:rPr>
          <w:rFonts w:ascii="Times New Roman" w:hAnsi="Times New Roman"/>
          <w:i w:val="0"/>
          <w:sz w:val="24"/>
        </w:rPr>
      </w:pPr>
      <w:r w:rsidRPr="005D2049">
        <w:rPr>
          <w:rFonts w:ascii="Times New Roman" w:hAnsi="Times New Roman"/>
          <w:i w:val="0"/>
          <w:sz w:val="24"/>
        </w:rPr>
        <w:t>Metabolism</w:t>
      </w:r>
    </w:p>
    <w:p w14:paraId="5553BAFA" w14:textId="578BAE0C" w:rsidR="006A22C7" w:rsidRPr="005D2049" w:rsidRDefault="006A22C7" w:rsidP="005D2049">
      <w:pPr>
        <w:spacing w:line="300" w:lineRule="atLeast"/>
        <w:jc w:val="both"/>
        <w:rPr>
          <w:color w:val="000000"/>
        </w:rPr>
      </w:pPr>
      <w:r w:rsidRPr="005D2049">
        <w:rPr>
          <w:color w:val="000000"/>
        </w:rPr>
        <w:t xml:space="preserve">Eltrombopag is primarily metabolized through cleavage, oxidation and conjugation with glucuronic acid, glutathione, or cysteine. </w:t>
      </w:r>
      <w:r w:rsidR="003D0B4A" w:rsidRPr="005D2049">
        <w:rPr>
          <w:color w:val="000000"/>
        </w:rPr>
        <w:t xml:space="preserve"> </w:t>
      </w:r>
      <w:r w:rsidRPr="005D2049">
        <w:rPr>
          <w:color w:val="000000"/>
        </w:rPr>
        <w:t>In a human radiolabel study, eltrombopag accounted for approximately 64 % of plasma radiocarbon AUC</w:t>
      </w:r>
      <w:r w:rsidRPr="005D2049">
        <w:rPr>
          <w:color w:val="000000"/>
          <w:vertAlign w:val="subscript"/>
        </w:rPr>
        <w:t>0-</w:t>
      </w:r>
      <w:r w:rsidRPr="005D2049">
        <w:rPr>
          <w:color w:val="000000"/>
          <w:vertAlign w:val="subscript"/>
        </w:rPr>
        <w:sym w:font="Symbol" w:char="F0A5"/>
      </w:r>
      <w:r w:rsidRPr="005D2049">
        <w:rPr>
          <w:color w:val="000000"/>
        </w:rPr>
        <w:t xml:space="preserve">. Minor metabolites, each accounting for &lt; 10 % of the plasma radioactivity, arising from glucuronidation and oxidation were also detected. </w:t>
      </w:r>
      <w:r w:rsidR="003D0B4A" w:rsidRPr="005D2049">
        <w:rPr>
          <w:color w:val="000000"/>
        </w:rPr>
        <w:t xml:space="preserve"> </w:t>
      </w:r>
      <w:r w:rsidRPr="005D2049">
        <w:rPr>
          <w:color w:val="000000"/>
        </w:rPr>
        <w:t xml:space="preserve">Based on a human study with radiolabel eltrombopag, it is estimated that approximately 20 % of a dose is metabolised by oxidation. </w:t>
      </w:r>
      <w:r w:rsidRPr="005D2049">
        <w:rPr>
          <w:i/>
          <w:color w:val="000000"/>
        </w:rPr>
        <w:t xml:space="preserve">In vitro </w:t>
      </w:r>
      <w:r w:rsidRPr="005D2049">
        <w:rPr>
          <w:color w:val="000000"/>
        </w:rPr>
        <w:t xml:space="preserve">studies identified CYP1A2 and CYP2C8 as the isoenzymes </w:t>
      </w:r>
      <w:r w:rsidRPr="005D2049">
        <w:rPr>
          <w:color w:val="000000"/>
        </w:rPr>
        <w:lastRenderedPageBreak/>
        <w:t xml:space="preserve">responsible for oxidative metabolism, </w:t>
      </w:r>
      <w:r w:rsidRPr="005D2049">
        <w:t>uridine diphosphoglucuronyl transferase</w:t>
      </w:r>
      <w:r w:rsidRPr="005D2049">
        <w:rPr>
          <w:color w:val="000000"/>
        </w:rPr>
        <w:t xml:space="preserve"> UGT1A1 and UGT1A3 as the isozymes responsible for glucuronidation, and that bacteria in the lower gastrointestinal tract may be responsible for the cleavage pathways.</w:t>
      </w:r>
    </w:p>
    <w:p w14:paraId="5553BAFB" w14:textId="77777777" w:rsidR="003D0B4A" w:rsidRPr="00DE25E4" w:rsidRDefault="003D0B4A" w:rsidP="006A22C7">
      <w:pPr>
        <w:spacing w:line="300" w:lineRule="atLeast"/>
        <w:jc w:val="both"/>
      </w:pPr>
    </w:p>
    <w:p w14:paraId="5553BAFC" w14:textId="77777777" w:rsidR="006A22C7" w:rsidRPr="005D2049" w:rsidRDefault="003E558C" w:rsidP="0021023A">
      <w:pPr>
        <w:pStyle w:val="NoNumHead5"/>
        <w:keepNext w:val="0"/>
        <w:widowControl w:val="0"/>
        <w:spacing w:after="120" w:line="300" w:lineRule="atLeast"/>
        <w:jc w:val="both"/>
        <w:rPr>
          <w:rFonts w:ascii="Times New Roman" w:hAnsi="Times New Roman"/>
          <w:i w:val="0"/>
          <w:sz w:val="24"/>
        </w:rPr>
      </w:pPr>
      <w:r w:rsidRPr="005D2049">
        <w:rPr>
          <w:rFonts w:ascii="Times New Roman" w:hAnsi="Times New Roman"/>
          <w:i w:val="0"/>
          <w:sz w:val="24"/>
        </w:rPr>
        <w:t>Excretion</w:t>
      </w:r>
    </w:p>
    <w:p w14:paraId="5553BAFD" w14:textId="1D950275" w:rsidR="006A22C7" w:rsidRPr="005D2049" w:rsidRDefault="006A22C7" w:rsidP="0021023A">
      <w:pPr>
        <w:widowControl w:val="0"/>
        <w:spacing w:line="300" w:lineRule="atLeast"/>
        <w:jc w:val="both"/>
      </w:pPr>
      <w:r w:rsidRPr="005D2049">
        <w:t xml:space="preserve">Absorbed eltrombopag is extensively metabolised. </w:t>
      </w:r>
      <w:r w:rsidR="003D0B4A" w:rsidRPr="005D2049">
        <w:t xml:space="preserve"> </w:t>
      </w:r>
      <w:r w:rsidRPr="005D2049">
        <w:t xml:space="preserve">The predominant route of eltrombopag excretion is via faeces (59 %) with 31 % of the dose found in the urine as metabolites. </w:t>
      </w:r>
      <w:r w:rsidR="003D0B4A" w:rsidRPr="005D2049">
        <w:t xml:space="preserve"> </w:t>
      </w:r>
      <w:r w:rsidRPr="005D2049">
        <w:t xml:space="preserve">Unchanged parent compound (eltrombopag) is not detected in urine. </w:t>
      </w:r>
      <w:r w:rsidR="003D0B4A" w:rsidRPr="005D2049">
        <w:t xml:space="preserve"> </w:t>
      </w:r>
      <w:r w:rsidRPr="005D2049">
        <w:t xml:space="preserve">Unchanged eltrombopag excreted in faeces accounts for approximately 20 % of the dose. </w:t>
      </w:r>
      <w:r w:rsidR="003D0B4A" w:rsidRPr="005D2049">
        <w:t xml:space="preserve"> </w:t>
      </w:r>
      <w:r w:rsidRPr="005D2049">
        <w:t>The plasma elimination half-life of eltrombopag is approximately 21-32 hours</w:t>
      </w:r>
      <w:r w:rsidR="008A1814" w:rsidRPr="005D2049">
        <w:t xml:space="preserve"> in healthy subjects</w:t>
      </w:r>
      <w:r w:rsidR="0054619D">
        <w:t>,</w:t>
      </w:r>
      <w:r w:rsidR="008A1814" w:rsidRPr="005D2049">
        <w:t xml:space="preserve"> and 26-35 hours in ITP patients</w:t>
      </w:r>
      <w:r w:rsidRPr="005D2049">
        <w:t>.</w:t>
      </w:r>
    </w:p>
    <w:p w14:paraId="5553BAFE" w14:textId="77777777" w:rsidR="004D6F9B" w:rsidRPr="00DE25E4" w:rsidRDefault="004D6F9B" w:rsidP="006A22C7">
      <w:pPr>
        <w:spacing w:line="300" w:lineRule="atLeast"/>
        <w:jc w:val="both"/>
      </w:pPr>
    </w:p>
    <w:p w14:paraId="5553BAFF" w14:textId="77777777" w:rsidR="006A22C7" w:rsidRPr="005D2049" w:rsidRDefault="006A22C7" w:rsidP="005D2049">
      <w:pPr>
        <w:pStyle w:val="NoNumHead5"/>
        <w:spacing w:after="120" w:line="300" w:lineRule="atLeast"/>
        <w:jc w:val="both"/>
        <w:rPr>
          <w:rFonts w:ascii="Times New Roman" w:hAnsi="Times New Roman"/>
          <w:i w:val="0"/>
          <w:sz w:val="24"/>
        </w:rPr>
      </w:pPr>
      <w:r w:rsidRPr="005D2049">
        <w:rPr>
          <w:rFonts w:ascii="Times New Roman" w:hAnsi="Times New Roman"/>
          <w:i w:val="0"/>
          <w:sz w:val="24"/>
        </w:rPr>
        <w:t>Special Patient Populations</w:t>
      </w:r>
    </w:p>
    <w:p w14:paraId="5553BB00" w14:textId="77777777" w:rsidR="006A22C7" w:rsidRPr="005D2049" w:rsidRDefault="006A22C7" w:rsidP="005D2049">
      <w:pPr>
        <w:spacing w:line="300" w:lineRule="atLeast"/>
        <w:jc w:val="both"/>
        <w:rPr>
          <w:color w:val="000000"/>
          <w:u w:val="single"/>
        </w:rPr>
      </w:pPr>
      <w:r w:rsidRPr="005D2049">
        <w:rPr>
          <w:color w:val="000000"/>
          <w:u w:val="single"/>
        </w:rPr>
        <w:t>Renal Impairment</w:t>
      </w:r>
    </w:p>
    <w:p w14:paraId="5553BB01" w14:textId="77777777" w:rsidR="006A22C7" w:rsidRPr="005D2049" w:rsidRDefault="006A22C7" w:rsidP="005D2049">
      <w:pPr>
        <w:widowControl w:val="0"/>
        <w:spacing w:line="300" w:lineRule="atLeast"/>
        <w:jc w:val="both"/>
        <w:rPr>
          <w:color w:val="000000"/>
        </w:rPr>
      </w:pPr>
      <w:r w:rsidRPr="005D2049">
        <w:rPr>
          <w:color w:val="000000"/>
        </w:rPr>
        <w:t xml:space="preserve">The pharmacokinetics of eltrombopag has been studied after administration of eltrombopag to adult patients with renal impairment. </w:t>
      </w:r>
      <w:r w:rsidR="003D0B4A" w:rsidRPr="005D2049">
        <w:rPr>
          <w:color w:val="000000"/>
        </w:rPr>
        <w:t xml:space="preserve"> </w:t>
      </w:r>
      <w:r w:rsidRPr="005D2049">
        <w:rPr>
          <w:color w:val="000000"/>
        </w:rPr>
        <w:t xml:space="preserve">Following administration of a single 50 mg-dose, the </w:t>
      </w:r>
      <w:r w:rsidRPr="005D2049">
        <w:t>AUC</w:t>
      </w:r>
      <w:r w:rsidRPr="005D2049">
        <w:rPr>
          <w:vertAlign w:val="subscript"/>
        </w:rPr>
        <w:t>0-</w:t>
      </w:r>
      <w:r w:rsidRPr="005D2049">
        <w:rPr>
          <w:vertAlign w:val="subscript"/>
        </w:rPr>
        <w:sym w:font="Symbol" w:char="F0A5"/>
      </w:r>
      <w:r w:rsidRPr="005D2049">
        <w:t xml:space="preserve"> of eltrombopag was decreased by 32 % (90 % CI: 63 % decrease, 26 % increase) in patients with mild renal impairment, 36 % (90 % CI: 66 % decrease, 19 % increase) in patients with moderate renal impairment, and 60 % (90 % CI: 18 % decrease, 80 % decrease) in patients with severe renal impairment compared with healthy volunteers.</w:t>
      </w:r>
      <w:r w:rsidRPr="005D2049">
        <w:rPr>
          <w:color w:val="000000"/>
        </w:rPr>
        <w:t xml:space="preserve"> </w:t>
      </w:r>
      <w:r w:rsidR="003D0B4A" w:rsidRPr="005D2049">
        <w:rPr>
          <w:color w:val="000000"/>
        </w:rPr>
        <w:t xml:space="preserve"> </w:t>
      </w:r>
      <w:r w:rsidRPr="005D2049">
        <w:rPr>
          <w:color w:val="000000"/>
        </w:rPr>
        <w:t>There was a trend for reduced plasma eltrombopag exposure in patients with renal impairment, but there was substantial variability and significant overlap in exposures between patients with renal impairment and healthy volunteers.</w:t>
      </w:r>
      <w:r w:rsidRPr="00392463">
        <w:rPr>
          <w:color w:val="000000"/>
        </w:rPr>
        <w:t xml:space="preserve"> </w:t>
      </w:r>
      <w:r w:rsidR="003D0B4A" w:rsidRPr="00392463">
        <w:rPr>
          <w:color w:val="000000"/>
        </w:rPr>
        <w:t xml:space="preserve"> </w:t>
      </w:r>
      <w:r w:rsidRPr="005D2049">
        <w:rPr>
          <w:color w:val="000000"/>
        </w:rPr>
        <w:t>Patients with impaired renal function should use eltrombopag with caution and close monitoring.</w:t>
      </w:r>
    </w:p>
    <w:p w14:paraId="5553BB02" w14:textId="77777777" w:rsidR="00634E8A" w:rsidRPr="00DE25E4" w:rsidRDefault="00634E8A" w:rsidP="006A22C7">
      <w:pPr>
        <w:spacing w:line="300" w:lineRule="atLeast"/>
        <w:jc w:val="both"/>
        <w:rPr>
          <w:color w:val="000000"/>
        </w:rPr>
      </w:pPr>
    </w:p>
    <w:p w14:paraId="5553BB03" w14:textId="77777777" w:rsidR="006A22C7" w:rsidRPr="005D2049" w:rsidRDefault="006A22C7" w:rsidP="005D2049">
      <w:pPr>
        <w:spacing w:line="300" w:lineRule="atLeast"/>
        <w:jc w:val="both"/>
        <w:rPr>
          <w:color w:val="000000"/>
          <w:u w:val="single"/>
        </w:rPr>
      </w:pPr>
      <w:r w:rsidRPr="005D2049">
        <w:rPr>
          <w:color w:val="000000"/>
          <w:u w:val="single"/>
        </w:rPr>
        <w:t>Hepatic Impairment</w:t>
      </w:r>
    </w:p>
    <w:p w14:paraId="5553BB04" w14:textId="77777777" w:rsidR="001708CC" w:rsidRPr="005D2049" w:rsidRDefault="006A22C7" w:rsidP="005D2049">
      <w:pPr>
        <w:spacing w:line="300" w:lineRule="atLeast"/>
        <w:jc w:val="both"/>
      </w:pPr>
      <w:r w:rsidRPr="005D2049">
        <w:t xml:space="preserve">The pharmacokinetics of eltrombopag has been studied after administration of eltrombopag to adult </w:t>
      </w:r>
      <w:r w:rsidR="00A65207" w:rsidRPr="005D2049">
        <w:t xml:space="preserve">subjects </w:t>
      </w:r>
      <w:r w:rsidRPr="005D2049">
        <w:t xml:space="preserve">with </w:t>
      </w:r>
      <w:r w:rsidR="00A65207" w:rsidRPr="005D2049">
        <w:t>liver cirrhosis (</w:t>
      </w:r>
      <w:r w:rsidRPr="005D2049">
        <w:t>hepatic impairment</w:t>
      </w:r>
      <w:r w:rsidR="00A65207" w:rsidRPr="005D2049">
        <w:t>)</w:t>
      </w:r>
      <w:r w:rsidRPr="005D2049">
        <w:t xml:space="preserve">. </w:t>
      </w:r>
      <w:r w:rsidR="003D0B4A" w:rsidRPr="005D2049">
        <w:t xml:space="preserve"> </w:t>
      </w:r>
      <w:r w:rsidRPr="005D2049">
        <w:t>Following the administration of a single 50 mg dose, the AUC</w:t>
      </w:r>
      <w:r w:rsidRPr="005D2049">
        <w:rPr>
          <w:vertAlign w:val="subscript"/>
        </w:rPr>
        <w:t>0-</w:t>
      </w:r>
      <w:r w:rsidRPr="005D2049">
        <w:rPr>
          <w:vertAlign w:val="subscript"/>
        </w:rPr>
        <w:sym w:font="Symbol" w:char="F0A5"/>
      </w:r>
      <w:r w:rsidRPr="005D2049">
        <w:t xml:space="preserve"> of eltrombopag was increased by 41 % (90 % CI: 13 % decrease, 128 % increase)</w:t>
      </w:r>
      <w:r w:rsidR="001708CC" w:rsidRPr="005D2049">
        <w:t xml:space="preserve"> </w:t>
      </w:r>
      <w:r w:rsidRPr="005D2049">
        <w:t xml:space="preserve">in </w:t>
      </w:r>
      <w:r w:rsidR="001708CC" w:rsidRPr="005D2049">
        <w:t>subjects</w:t>
      </w:r>
      <w:r w:rsidRPr="005D2049">
        <w:t xml:space="preserve"> with mild hepatic impairment, 93 % (90 % CI: 19 %, 213 %) in </w:t>
      </w:r>
      <w:r w:rsidR="001708CC" w:rsidRPr="005D2049">
        <w:t>subjects</w:t>
      </w:r>
      <w:r w:rsidRPr="005D2049">
        <w:t xml:space="preserve"> with moderate hepatic impairment, and 80 % (90 % CI: 11 %, 192 %) in </w:t>
      </w:r>
      <w:r w:rsidR="001708CC" w:rsidRPr="005D2049">
        <w:t>subjects</w:t>
      </w:r>
      <w:r w:rsidRPr="005D2049">
        <w:t xml:space="preserve"> with severe hepatic impairment compared with healthy volunteers. </w:t>
      </w:r>
      <w:r w:rsidR="003D0B4A" w:rsidRPr="005D2049">
        <w:t xml:space="preserve"> </w:t>
      </w:r>
      <w:r w:rsidRPr="005D2049">
        <w:t>T</w:t>
      </w:r>
      <w:r w:rsidRPr="005D2049">
        <w:rPr>
          <w:color w:val="000000"/>
        </w:rPr>
        <w:t xml:space="preserve">here was substantial variability and significant overlap in exposures between </w:t>
      </w:r>
      <w:r w:rsidR="001708CC" w:rsidRPr="005D2049">
        <w:t>subjects</w:t>
      </w:r>
      <w:r w:rsidRPr="005D2049">
        <w:rPr>
          <w:color w:val="000000"/>
        </w:rPr>
        <w:t xml:space="preserve"> with hepatic impairment and healthy volunteers</w:t>
      </w:r>
      <w:r w:rsidRPr="005D2049">
        <w:t>.</w:t>
      </w:r>
      <w:r w:rsidR="003D0B4A" w:rsidRPr="005D2049">
        <w:t xml:space="preserve"> </w:t>
      </w:r>
      <w:r w:rsidRPr="005D2049">
        <w:t xml:space="preserve"> </w:t>
      </w:r>
    </w:p>
    <w:p w14:paraId="5553BB05" w14:textId="77777777" w:rsidR="001708CC" w:rsidRPr="000D7D0E" w:rsidRDefault="001708CC" w:rsidP="000B71FD">
      <w:pPr>
        <w:spacing w:line="300" w:lineRule="atLeast"/>
        <w:jc w:val="both"/>
        <w:rPr>
          <w:sz w:val="22"/>
          <w:szCs w:val="22"/>
        </w:rPr>
      </w:pPr>
    </w:p>
    <w:p w14:paraId="5553BB06" w14:textId="6279DEA7" w:rsidR="00C462D4" w:rsidRPr="00DE25E4" w:rsidRDefault="002A66ED" w:rsidP="000B71FD">
      <w:pPr>
        <w:spacing w:line="300" w:lineRule="atLeast"/>
        <w:jc w:val="both"/>
      </w:pPr>
      <w:r w:rsidRPr="005D2049">
        <w:t xml:space="preserve">ITP </w:t>
      </w:r>
      <w:r w:rsidR="007D234A" w:rsidRPr="005D2049">
        <w:t xml:space="preserve">patients </w:t>
      </w:r>
      <w:r w:rsidR="006A22C7" w:rsidRPr="005D2049">
        <w:t xml:space="preserve">with </w:t>
      </w:r>
      <w:r w:rsidR="001708CC" w:rsidRPr="005D2049">
        <w:t>liver cirrhosis (</w:t>
      </w:r>
      <w:r w:rsidR="006A22C7" w:rsidRPr="005D2049">
        <w:t>hepatic impairment</w:t>
      </w:r>
      <w:r w:rsidR="001708CC" w:rsidRPr="005D2049">
        <w:t>)</w:t>
      </w:r>
      <w:r w:rsidR="006A22C7" w:rsidRPr="005D2049">
        <w:t xml:space="preserve"> should use eltrombopag with caution and close monitoring</w:t>
      </w:r>
      <w:r w:rsidR="00D22BD2" w:rsidRPr="005D2049">
        <w:t xml:space="preserve"> (see </w:t>
      </w:r>
      <w:r w:rsidR="00226D4E" w:rsidRPr="00226D4E">
        <w:t>PRECAUTIONS</w:t>
      </w:r>
      <w:r w:rsidR="00D22BD2" w:rsidRPr="005D2049">
        <w:t>)</w:t>
      </w:r>
      <w:r w:rsidR="006A22C7" w:rsidRPr="005D2049">
        <w:t>.</w:t>
      </w:r>
      <w:r w:rsidR="00D22BD2" w:rsidRPr="005D2049">
        <w:t xml:space="preserve">  For patients with </w:t>
      </w:r>
      <w:r w:rsidR="00CB5B61" w:rsidRPr="005D2049">
        <w:t xml:space="preserve">chronic ITP and </w:t>
      </w:r>
      <w:r w:rsidRPr="005D2049">
        <w:t xml:space="preserve">with </w:t>
      </w:r>
      <w:r w:rsidR="001708CC" w:rsidRPr="005D2049">
        <w:t xml:space="preserve">mild, </w:t>
      </w:r>
      <w:r w:rsidR="00D22BD2" w:rsidRPr="005D2049">
        <w:t xml:space="preserve">moderate and severe hepatic impairment, initiate eltrombopag at a reduced dose of 25 mg once daily (see </w:t>
      </w:r>
      <w:r w:rsidR="00226D4E" w:rsidRPr="00226D4E">
        <w:t>DOSAGE AND ADMINISTRATION</w:t>
      </w:r>
      <w:r w:rsidR="00D22BD2" w:rsidRPr="00DE25E4">
        <w:t>).</w:t>
      </w:r>
    </w:p>
    <w:p w14:paraId="5553BB07" w14:textId="77777777" w:rsidR="003D0B4A" w:rsidRPr="005D2049" w:rsidRDefault="003D0B4A" w:rsidP="005D2049">
      <w:pPr>
        <w:spacing w:line="300" w:lineRule="atLeast"/>
        <w:jc w:val="both"/>
        <w:rPr>
          <w:b/>
        </w:rPr>
      </w:pPr>
    </w:p>
    <w:p w14:paraId="1907794C" w14:textId="19F13B36" w:rsidR="008F0F60" w:rsidRDefault="008F0F60" w:rsidP="00AE115C">
      <w:pPr>
        <w:jc w:val="both"/>
        <w:rPr>
          <w:lang w:val="en-US"/>
        </w:rPr>
      </w:pPr>
      <w:r w:rsidRPr="008F0F60">
        <w:rPr>
          <w:lang w:val="en-US"/>
        </w:rPr>
        <w:t xml:space="preserve">The influence of hepatic impairment on the pharmacokinetics of eltrombopag following repeat administration was evaluated using a population pharmacokinetic analysis in 28 healthy adults and 714 patients with hepatic impairment (673 patients with HCV and 41 patients with chronic liver </w:t>
      </w:r>
      <w:r w:rsidRPr="008F0F60">
        <w:rPr>
          <w:lang w:val="en-US"/>
        </w:rPr>
        <w:lastRenderedPageBreak/>
        <w:t>disease of other aetiology). Of the 714 patients, 642 were with mild hepatic impairment, 67 with moderate hepatic impairment, and 2 with severe hepatic impairment. Compared to healthy volunteers, patients with mild hepatic impairment had approximately 111 % (95 % CI: 45 % to 283 %) higher plasma eltrombopag AUC</w:t>
      </w:r>
      <w:r w:rsidRPr="008F0F60">
        <w:rPr>
          <w:vertAlign w:val="subscript"/>
          <w:lang w:val="en-US"/>
        </w:rPr>
        <w:t>(0-τ)</w:t>
      </w:r>
      <w:r w:rsidRPr="008F0F60">
        <w:rPr>
          <w:lang w:val="en-US"/>
        </w:rPr>
        <w:t xml:space="preserve"> values and patients with moderate hepatic impairment had approximately 183 % (95 % CI: 90 % to 459 %) higher plasma eltrombopag AUC</w:t>
      </w:r>
      <w:r w:rsidRPr="008F0F60">
        <w:rPr>
          <w:vertAlign w:val="subscript"/>
          <w:lang w:val="en-US"/>
        </w:rPr>
        <w:t>(0-τ)</w:t>
      </w:r>
      <w:r w:rsidRPr="008F0F60">
        <w:rPr>
          <w:lang w:val="en-US"/>
        </w:rPr>
        <w:t xml:space="preserve"> values.</w:t>
      </w:r>
    </w:p>
    <w:p w14:paraId="506D96C8" w14:textId="77777777" w:rsidR="00DB1384" w:rsidRDefault="00DB1384" w:rsidP="00AE115C">
      <w:pPr>
        <w:jc w:val="both"/>
        <w:rPr>
          <w:lang w:val="en-US"/>
        </w:rPr>
      </w:pPr>
    </w:p>
    <w:p w14:paraId="5553BB08" w14:textId="3D0566A2" w:rsidR="00FD4831" w:rsidRPr="00DE25E4" w:rsidRDefault="002A66ED" w:rsidP="00AE115C">
      <w:pPr>
        <w:jc w:val="both"/>
        <w:rPr>
          <w:b/>
          <w:lang w:val="en-GB"/>
        </w:rPr>
      </w:pPr>
      <w:r w:rsidRPr="005D2049">
        <w:rPr>
          <w:lang w:val="en-US"/>
        </w:rPr>
        <w:t>A similar analysis was also conducted in 28 healthy adults and 635 patients with HCV. A majority of patients had Child-Pugh score of 5-6. Based on estimates from the population pharmacokinetic analysis, patients with HCV had higher plasma eltrombopag AUC</w:t>
      </w:r>
      <w:r w:rsidRPr="005D2049">
        <w:rPr>
          <w:vertAlign w:val="subscript"/>
          <w:lang w:val="en-US"/>
        </w:rPr>
        <w:t>(0-</w:t>
      </w:r>
      <w:r w:rsidR="006376B7">
        <w:rPr>
          <w:rFonts w:ascii="Symbol" w:hAnsi="Symbol"/>
          <w:vertAlign w:val="subscript"/>
          <w:lang w:val="en-US"/>
        </w:rPr>
        <w:t></w:t>
      </w:r>
      <w:r w:rsidRPr="005D2049">
        <w:rPr>
          <w:vertAlign w:val="subscript"/>
          <w:lang w:val="en-US"/>
        </w:rPr>
        <w:t>)</w:t>
      </w:r>
      <w:r w:rsidRPr="005D2049">
        <w:rPr>
          <w:lang w:val="en-US"/>
        </w:rPr>
        <w:t xml:space="preserve"> values as compared to healthy subjects, and AUC</w:t>
      </w:r>
      <w:r w:rsidRPr="005D2049">
        <w:rPr>
          <w:vertAlign w:val="subscript"/>
          <w:lang w:val="en-US"/>
        </w:rPr>
        <w:t>(0-</w:t>
      </w:r>
      <w:r w:rsidR="00EE7F52">
        <w:rPr>
          <w:rFonts w:ascii="Symbol" w:hAnsi="Symbol"/>
          <w:vertAlign w:val="subscript"/>
          <w:lang w:val="en-US"/>
        </w:rPr>
        <w:t></w:t>
      </w:r>
      <w:r w:rsidRPr="005D2049">
        <w:rPr>
          <w:vertAlign w:val="subscript"/>
          <w:lang w:val="en-US"/>
        </w:rPr>
        <w:t>)</w:t>
      </w:r>
      <w:r w:rsidRPr="005D2049">
        <w:rPr>
          <w:lang w:val="en-US"/>
        </w:rPr>
        <w:t xml:space="preserve"> increased with increasing Child-Pugh score, HCV patients with mild hepatic impairment had approximately 100-144 % higher plasma eltrombopag AUC</w:t>
      </w:r>
      <w:r w:rsidRPr="005D2049">
        <w:rPr>
          <w:vertAlign w:val="subscript"/>
          <w:lang w:val="en-US"/>
        </w:rPr>
        <w:t>(0-</w:t>
      </w:r>
      <w:r w:rsidR="00EE7F52">
        <w:rPr>
          <w:rFonts w:ascii="Symbol" w:hAnsi="Symbol"/>
          <w:vertAlign w:val="subscript"/>
          <w:lang w:val="en-US"/>
        </w:rPr>
        <w:t></w:t>
      </w:r>
      <w:r w:rsidRPr="005D2049">
        <w:rPr>
          <w:vertAlign w:val="subscript"/>
          <w:lang w:val="en-US"/>
        </w:rPr>
        <w:t>)</w:t>
      </w:r>
      <w:r w:rsidRPr="005D2049">
        <w:rPr>
          <w:lang w:val="en-US"/>
        </w:rPr>
        <w:t xml:space="preserve"> compared with healthy subjects.</w:t>
      </w:r>
      <w:r w:rsidR="00FD4831" w:rsidRPr="005D2049">
        <w:rPr>
          <w:lang w:val="en-US"/>
        </w:rPr>
        <w:t xml:space="preserve">  For patients with HCV initiate </w:t>
      </w:r>
      <w:r w:rsidR="002F6E9F" w:rsidRPr="005D2049">
        <w:rPr>
          <w:lang w:val="en-US"/>
        </w:rPr>
        <w:t>REVOLADE</w:t>
      </w:r>
      <w:r w:rsidR="00FD4831" w:rsidRPr="005D2049">
        <w:rPr>
          <w:lang w:val="en-US"/>
        </w:rPr>
        <w:t xml:space="preserve"> at a dose of 25 mg once daily (see </w:t>
      </w:r>
      <w:r w:rsidR="00226D4E" w:rsidRPr="00226D4E">
        <w:rPr>
          <w:lang w:val="en-US"/>
        </w:rPr>
        <w:t>DOSAGE AND ADMINISTRATION</w:t>
      </w:r>
      <w:r w:rsidR="00FD4831" w:rsidRPr="00DE25E4">
        <w:rPr>
          <w:lang w:val="en-US"/>
        </w:rPr>
        <w:t>).</w:t>
      </w:r>
    </w:p>
    <w:p w14:paraId="3B3CE758" w14:textId="77777777" w:rsidR="008F05F1" w:rsidRPr="006D75C7" w:rsidRDefault="008F05F1" w:rsidP="005D2049">
      <w:pPr>
        <w:spacing w:line="300" w:lineRule="atLeast"/>
        <w:jc w:val="both"/>
      </w:pPr>
    </w:p>
    <w:p w14:paraId="5553BB0A" w14:textId="77777777" w:rsidR="006A22C7" w:rsidRPr="005D2049" w:rsidRDefault="006A22C7" w:rsidP="005D2049">
      <w:pPr>
        <w:spacing w:line="300" w:lineRule="atLeast"/>
        <w:jc w:val="both"/>
        <w:rPr>
          <w:u w:val="single"/>
        </w:rPr>
      </w:pPr>
      <w:r w:rsidRPr="005D2049">
        <w:rPr>
          <w:u w:val="single"/>
        </w:rPr>
        <w:t>Race</w:t>
      </w:r>
    </w:p>
    <w:p w14:paraId="5553BB0B" w14:textId="5E5DC5E1" w:rsidR="006A22C7" w:rsidRDefault="006A22C7" w:rsidP="005D2049">
      <w:pPr>
        <w:spacing w:line="300" w:lineRule="atLeast"/>
        <w:jc w:val="both"/>
      </w:pPr>
      <w:r w:rsidRPr="005D2049">
        <w:t xml:space="preserve">The influence of East Asian ethnicity on the pharmacokinetics of eltrombopag was evaluated using a population pharmacokinetic analysis in 111 healthy adults (31 East Asians) and 88 patients with </w:t>
      </w:r>
      <w:smartTag w:uri="urn:schemas-microsoft-com:office:smarttags" w:element="stockticker">
        <w:r w:rsidRPr="005D2049">
          <w:t>ITP</w:t>
        </w:r>
      </w:smartTag>
      <w:r w:rsidRPr="005D2049">
        <w:t xml:space="preserve"> (18 East Asians).  Based on estimates from the population pharmacokinetic analysis, East Asian (i.e. Japanese, Chinese, Taiwanese and Korean) </w:t>
      </w:r>
      <w:smartTag w:uri="urn:schemas-microsoft-com:office:smarttags" w:element="stockticker">
        <w:r w:rsidRPr="005D2049">
          <w:t>ITP</w:t>
        </w:r>
      </w:smartTag>
      <w:r w:rsidRPr="005D2049">
        <w:t xml:space="preserve"> patients had approximately 87 % higher plasma eltrombopag </w:t>
      </w:r>
      <w:r w:rsidR="00DA78F3" w:rsidRPr="005D2049">
        <w:t>AUC</w:t>
      </w:r>
      <w:r w:rsidR="00DA78F3"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t xml:space="preserve"> values as compared to non-East Asian patients who were predominantly Caucasian, without adjustment for body weight differences (see</w:t>
      </w:r>
      <w:r w:rsidRPr="005D2049">
        <w:rPr>
          <w:i/>
        </w:rPr>
        <w:t xml:space="preserve"> </w:t>
      </w:r>
      <w:r w:rsidR="00226D4E" w:rsidRPr="00226D4E">
        <w:t>DOSAGE AND ADMINISTRATION</w:t>
      </w:r>
      <w:r w:rsidRPr="005D2049">
        <w:t>).</w:t>
      </w:r>
    </w:p>
    <w:p w14:paraId="398C8D77" w14:textId="77777777" w:rsidR="0053764A" w:rsidRDefault="0053764A" w:rsidP="005D2049">
      <w:pPr>
        <w:spacing w:line="300" w:lineRule="atLeast"/>
        <w:jc w:val="both"/>
      </w:pPr>
    </w:p>
    <w:p w14:paraId="5553BB0D" w14:textId="3E39BED9" w:rsidR="0043683F" w:rsidRPr="00DE25E4" w:rsidRDefault="0043683F" w:rsidP="0043683F">
      <w:pPr>
        <w:tabs>
          <w:tab w:val="left" w:pos="2835"/>
        </w:tabs>
        <w:spacing w:line="300" w:lineRule="atLeast"/>
        <w:jc w:val="both"/>
      </w:pPr>
      <w:r w:rsidRPr="005D2049">
        <w:t>The influence of East Asian ethnicity on the pharmacokinetics of eltrombopag was evaluated using a population pharmacokinetic analysis in 635 patients with HCV (</w:t>
      </w:r>
      <w:r w:rsidR="00FC06E4" w:rsidRPr="005D2049">
        <w:t xml:space="preserve">214 </w:t>
      </w:r>
      <w:r w:rsidRPr="005D2049">
        <w:t xml:space="preserve">East Asians).  On average, East Asian patients had approximately 55 % higher plasma eltrombopag </w:t>
      </w:r>
      <w:r w:rsidR="00DA78F3" w:rsidRPr="005D2049">
        <w:t>AUC</w:t>
      </w:r>
      <w:r w:rsidR="00DA78F3"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t xml:space="preserve"> values as compared to patients of other races who were predominantly Caucasian</w:t>
      </w:r>
      <w:r w:rsidR="000A4CBD" w:rsidRPr="005D2049">
        <w:t xml:space="preserve"> (see </w:t>
      </w:r>
      <w:r w:rsidR="00226D4E" w:rsidRPr="00226D4E">
        <w:t>DOSAGE AND ADMINISTRATION</w:t>
      </w:r>
      <w:r w:rsidR="000A4CBD" w:rsidRPr="00DE25E4">
        <w:t>)</w:t>
      </w:r>
      <w:r w:rsidRPr="00DE25E4">
        <w:t>.</w:t>
      </w:r>
    </w:p>
    <w:p w14:paraId="5553BB0E" w14:textId="77777777" w:rsidR="0043683F" w:rsidRPr="005D2049" w:rsidRDefault="0043683F" w:rsidP="005D2049">
      <w:pPr>
        <w:spacing w:line="300" w:lineRule="atLeast"/>
        <w:jc w:val="both"/>
      </w:pPr>
    </w:p>
    <w:p w14:paraId="5553BB0F" w14:textId="77777777" w:rsidR="006A22C7" w:rsidRPr="005D2049" w:rsidRDefault="006A22C7" w:rsidP="005D2049">
      <w:pPr>
        <w:spacing w:line="300" w:lineRule="atLeast"/>
        <w:jc w:val="both"/>
        <w:rPr>
          <w:u w:val="single"/>
        </w:rPr>
      </w:pPr>
      <w:r w:rsidRPr="005D2049">
        <w:rPr>
          <w:u w:val="single"/>
        </w:rPr>
        <w:t>Gender</w:t>
      </w:r>
    </w:p>
    <w:p w14:paraId="5553BB10" w14:textId="24A0F022" w:rsidR="006A22C7" w:rsidRDefault="006A22C7" w:rsidP="006A22C7">
      <w:pPr>
        <w:spacing w:line="300" w:lineRule="atLeast"/>
        <w:jc w:val="both"/>
      </w:pPr>
      <w:r w:rsidRPr="005D2049">
        <w:t xml:space="preserve">The influence of gender on the pharmacokinetics of eltrombopag was evaluated using a population pharmacokinetic analysis in 111 healthy adults (14 females) and 88 patients with </w:t>
      </w:r>
      <w:smartTag w:uri="urn:schemas-microsoft-com:office:smarttags" w:element="stockticker">
        <w:r w:rsidRPr="005D2049">
          <w:t>ITP</w:t>
        </w:r>
      </w:smartTag>
      <w:r w:rsidRPr="005D2049">
        <w:t xml:space="preserve"> (57 females).  Based on estimates from the population pharmacokinetic analysis, female </w:t>
      </w:r>
      <w:smartTag w:uri="urn:schemas-microsoft-com:office:smarttags" w:element="stockticker">
        <w:r w:rsidRPr="005D2049">
          <w:t>ITP</w:t>
        </w:r>
      </w:smartTag>
      <w:r w:rsidRPr="005D2049">
        <w:t xml:space="preserve"> patients had approximately 50 % higher plasma eltrombopag </w:t>
      </w:r>
      <w:r w:rsidR="00DA78F3" w:rsidRPr="005D2049">
        <w:t>AUC</w:t>
      </w:r>
      <w:r w:rsidR="00DA78F3"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t xml:space="preserve"> as compared to male patients, without adjustment for body weight differences.</w:t>
      </w:r>
    </w:p>
    <w:p w14:paraId="4CCF5D88" w14:textId="77777777" w:rsidR="00226D4E" w:rsidRPr="005D2049" w:rsidRDefault="00226D4E" w:rsidP="005D2049">
      <w:pPr>
        <w:spacing w:line="300" w:lineRule="atLeast"/>
        <w:jc w:val="both"/>
      </w:pPr>
    </w:p>
    <w:p w14:paraId="5553BB12" w14:textId="40215CD2" w:rsidR="003C5C30" w:rsidRPr="005D2049" w:rsidRDefault="003C5C30" w:rsidP="005D2049">
      <w:pPr>
        <w:widowControl w:val="0"/>
        <w:spacing w:line="300" w:lineRule="atLeast"/>
        <w:jc w:val="both"/>
      </w:pPr>
      <w:r w:rsidRPr="005D2049">
        <w:t>The influence of gender on eltrombopag pharmacokinetics was evaluated using population pharmacokinetics analysis in 635 patients with HCV (260 females).  Based on model estimate</w:t>
      </w:r>
      <w:r w:rsidR="006457D3" w:rsidRPr="005D2049">
        <w:t>s</w:t>
      </w:r>
      <w:r w:rsidRPr="005D2049">
        <w:t>, female HCV patient</w:t>
      </w:r>
      <w:r w:rsidR="006457D3" w:rsidRPr="005D2049">
        <w:t>s</w:t>
      </w:r>
      <w:r w:rsidRPr="005D2049">
        <w:t xml:space="preserve"> had approximately 41 % higher plasma eltrombopag </w:t>
      </w:r>
      <w:r w:rsidR="00DA78F3" w:rsidRPr="005D2049">
        <w:t>AUC</w:t>
      </w:r>
      <w:r w:rsidR="00DA78F3"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t xml:space="preserve"> as compared to male patients</w:t>
      </w:r>
      <w:r w:rsidR="003D654B" w:rsidRPr="005D2049">
        <w:t>.</w:t>
      </w:r>
    </w:p>
    <w:p w14:paraId="0CC2A124" w14:textId="77777777" w:rsidR="00546C7D" w:rsidRPr="00DE25E4" w:rsidRDefault="00546C7D" w:rsidP="00226D4E">
      <w:pPr>
        <w:widowControl w:val="0"/>
        <w:spacing w:line="300" w:lineRule="atLeast"/>
        <w:jc w:val="both"/>
      </w:pPr>
    </w:p>
    <w:p w14:paraId="5553BB14" w14:textId="77777777" w:rsidR="003C5C30" w:rsidRPr="005D2049" w:rsidRDefault="00316657" w:rsidP="005D2049">
      <w:pPr>
        <w:keepNext/>
        <w:spacing w:line="300" w:lineRule="atLeast"/>
        <w:rPr>
          <w:u w:val="single"/>
        </w:rPr>
      </w:pPr>
      <w:r w:rsidRPr="005D2049">
        <w:rPr>
          <w:u w:val="single"/>
        </w:rPr>
        <w:lastRenderedPageBreak/>
        <w:t>Elderly</w:t>
      </w:r>
      <w:r w:rsidR="003C5C30" w:rsidRPr="005D2049">
        <w:rPr>
          <w:u w:val="single"/>
        </w:rPr>
        <w:t xml:space="preserve"> Population</w:t>
      </w:r>
    </w:p>
    <w:p w14:paraId="5553BB15" w14:textId="4D28FFCC" w:rsidR="001708CC" w:rsidRPr="005D2049" w:rsidRDefault="003C5C30" w:rsidP="005D2049">
      <w:pPr>
        <w:autoSpaceDE w:val="0"/>
        <w:autoSpaceDN w:val="0"/>
        <w:adjustRightInd w:val="0"/>
        <w:spacing w:line="300" w:lineRule="atLeast"/>
        <w:jc w:val="both"/>
      </w:pPr>
      <w:r w:rsidRPr="005D2049">
        <w:t xml:space="preserve">The </w:t>
      </w:r>
      <w:r w:rsidR="00316657" w:rsidRPr="005D2049">
        <w:t>age</w:t>
      </w:r>
      <w:r w:rsidRPr="005D2049">
        <w:t xml:space="preserve"> difference of eltrombopag pharmacokinetics was evaluated using population pharmacokinetics analysis in 28 healthy subjects and 635 patients with HCV ranging from 19 to 74 years old.  Based on model estimate</w:t>
      </w:r>
      <w:r w:rsidR="006457D3" w:rsidRPr="005D2049">
        <w:t>s</w:t>
      </w:r>
      <w:r w:rsidRPr="005D2049">
        <w:t>, elderly (&gt; 60 years) patients had approximately 36</w:t>
      </w:r>
      <w:r w:rsidR="0022539A">
        <w:t xml:space="preserve"> </w:t>
      </w:r>
      <w:r w:rsidRPr="005D2049">
        <w:t xml:space="preserve">% higher plasma eltrombopag </w:t>
      </w:r>
      <w:r w:rsidR="00DA78F3" w:rsidRPr="005D2049">
        <w:t>AUC</w:t>
      </w:r>
      <w:r w:rsidR="00DA78F3" w:rsidRPr="005D2049">
        <w:rPr>
          <w:vertAlign w:val="subscript"/>
        </w:rPr>
        <w:t>(</w:t>
      </w:r>
      <w:r w:rsidRPr="005D2049">
        <w:rPr>
          <w:vertAlign w:val="subscript"/>
        </w:rPr>
        <w:t>0-</w:t>
      </w:r>
      <w:r w:rsidRPr="005D2049">
        <w:rPr>
          <w:vertAlign w:val="subscript"/>
        </w:rPr>
        <w:sym w:font="Symbol" w:char="F074"/>
      </w:r>
      <w:r w:rsidRPr="005D2049">
        <w:rPr>
          <w:vertAlign w:val="subscript"/>
        </w:rPr>
        <w:t>)</w:t>
      </w:r>
      <w:r w:rsidRPr="005D2049">
        <w:t xml:space="preserve"> </w:t>
      </w:r>
      <w:r w:rsidR="00316657" w:rsidRPr="005D2049">
        <w:t>as compared to younger patients</w:t>
      </w:r>
      <w:r w:rsidRPr="005D2049">
        <w:t xml:space="preserve"> </w:t>
      </w:r>
      <w:r w:rsidR="00316657" w:rsidRPr="005D2049">
        <w:t xml:space="preserve">(see </w:t>
      </w:r>
      <w:r w:rsidR="00EA5EF3" w:rsidRPr="00EA5EF3">
        <w:t>DOSAGE AND ADMINISTRATION</w:t>
      </w:r>
      <w:r w:rsidR="00316657" w:rsidRPr="005D2049">
        <w:t>).</w:t>
      </w:r>
    </w:p>
    <w:p w14:paraId="5553BB16" w14:textId="77777777" w:rsidR="001708CC" w:rsidRPr="005D2049" w:rsidRDefault="001708CC" w:rsidP="005D2049">
      <w:pPr>
        <w:autoSpaceDE w:val="0"/>
        <w:autoSpaceDN w:val="0"/>
        <w:adjustRightInd w:val="0"/>
        <w:spacing w:line="300" w:lineRule="atLeast"/>
        <w:jc w:val="both"/>
        <w:rPr>
          <w:sz w:val="22"/>
        </w:rPr>
      </w:pPr>
    </w:p>
    <w:p w14:paraId="5553BB1A" w14:textId="77777777" w:rsidR="006C4A20" w:rsidRPr="005D2049" w:rsidRDefault="006C4A20" w:rsidP="005D2049">
      <w:pPr>
        <w:pStyle w:val="Heading2"/>
        <w:spacing w:before="120" w:after="240" w:line="276" w:lineRule="auto"/>
        <w:jc w:val="left"/>
        <w:rPr>
          <w:rFonts w:eastAsiaTheme="minorHAnsi"/>
          <w:caps/>
          <w:sz w:val="30"/>
          <w:lang w:val="en-GB"/>
        </w:rPr>
      </w:pPr>
      <w:r w:rsidRPr="005D2049">
        <w:rPr>
          <w:rFonts w:eastAsiaTheme="minorHAnsi"/>
          <w:caps/>
          <w:sz w:val="30"/>
          <w:lang w:val="en-GB"/>
        </w:rPr>
        <w:t>CLINICAL TRIALS</w:t>
      </w:r>
    </w:p>
    <w:p w14:paraId="5553BB1C" w14:textId="77777777" w:rsidR="00FB5DF0" w:rsidRPr="005D2049" w:rsidRDefault="00FB5DF0" w:rsidP="005D2049">
      <w:pPr>
        <w:spacing w:after="120" w:line="300" w:lineRule="atLeast"/>
        <w:jc w:val="both"/>
        <w:rPr>
          <w:b/>
          <w:u w:val="single"/>
        </w:rPr>
      </w:pPr>
      <w:r w:rsidRPr="005D2049">
        <w:rPr>
          <w:b/>
          <w:u w:val="single"/>
        </w:rPr>
        <w:t>Chronic immune (idiopathic) thrombocytopenia (ITP) studies</w:t>
      </w:r>
    </w:p>
    <w:p w14:paraId="5553BB1E" w14:textId="77777777" w:rsidR="00BE3AFB" w:rsidRPr="005D2049" w:rsidRDefault="00BE3AFB" w:rsidP="006D75C7">
      <w:pPr>
        <w:widowControl w:val="0"/>
        <w:spacing w:line="300" w:lineRule="atLeast"/>
        <w:jc w:val="both"/>
      </w:pPr>
      <w:r w:rsidRPr="005D2049">
        <w:t xml:space="preserve">The safety and efficacy of </w:t>
      </w:r>
      <w:r w:rsidR="000D0F20" w:rsidRPr="005D2049">
        <w:t>REVOLADE</w:t>
      </w:r>
      <w:r w:rsidRPr="005D2049">
        <w:t xml:space="preserve"> has been demonstrated in two, randomised, double-blind, placebo-controlled studies </w:t>
      </w:r>
      <w:r w:rsidRPr="00DA78F3">
        <w:t>(</w:t>
      </w:r>
      <w:smartTag w:uri="urn:schemas-microsoft-com:office:smarttags" w:element="stockticker">
        <w:r w:rsidRPr="00DA78F3">
          <w:t>TRA</w:t>
        </w:r>
      </w:smartTag>
      <w:r w:rsidRPr="00DA78F3">
        <w:t xml:space="preserve">102537 RAISE and </w:t>
      </w:r>
      <w:smartTag w:uri="urn:schemas-microsoft-com:office:smarttags" w:element="stockticker">
        <w:r w:rsidRPr="00DA78F3">
          <w:t>TRA</w:t>
        </w:r>
      </w:smartTag>
      <w:r w:rsidRPr="00DA78F3">
        <w:t>100773B)</w:t>
      </w:r>
      <w:r w:rsidRPr="005D2049">
        <w:t xml:space="preserve"> and </w:t>
      </w:r>
      <w:r w:rsidR="007B7A04" w:rsidRPr="005D2049">
        <w:t xml:space="preserve">one </w:t>
      </w:r>
      <w:r w:rsidRPr="005D2049">
        <w:t xml:space="preserve">open label </w:t>
      </w:r>
      <w:r w:rsidR="007B7A04" w:rsidRPr="005D2049">
        <w:t xml:space="preserve">study </w:t>
      </w:r>
      <w:r w:rsidRPr="00DA78F3">
        <w:t xml:space="preserve">(EXTEND </w:t>
      </w:r>
      <w:smartTag w:uri="urn:schemas-microsoft-com:office:smarttags" w:element="stockticker">
        <w:r w:rsidRPr="00DA78F3">
          <w:t>TRA</w:t>
        </w:r>
      </w:smartTag>
      <w:r w:rsidRPr="00DA78F3">
        <w:t>105325)</w:t>
      </w:r>
      <w:r w:rsidRPr="005D2049">
        <w:t xml:space="preserve"> in adult patients with previously treated chronic </w:t>
      </w:r>
      <w:smartTag w:uri="urn:schemas-microsoft-com:office:smarttags" w:element="stockticker">
        <w:r w:rsidRPr="005D2049">
          <w:t>ITP</w:t>
        </w:r>
      </w:smartTag>
      <w:r w:rsidRPr="005D2049">
        <w:t>.</w:t>
      </w:r>
    </w:p>
    <w:p w14:paraId="5553BB20" w14:textId="77777777" w:rsidR="00BE3AFB" w:rsidRPr="005D2049" w:rsidRDefault="00BE3AFB" w:rsidP="005D2049">
      <w:pPr>
        <w:spacing w:after="120" w:line="300" w:lineRule="atLeast"/>
        <w:jc w:val="both"/>
        <w:rPr>
          <w:b/>
        </w:rPr>
      </w:pPr>
      <w:r w:rsidRPr="005D2049">
        <w:rPr>
          <w:b/>
        </w:rPr>
        <w:t>Dou</w:t>
      </w:r>
      <w:r w:rsidR="008C2C67" w:rsidRPr="005D2049">
        <w:rPr>
          <w:b/>
        </w:rPr>
        <w:t>ble-Blind Placebo-Controlled St</w:t>
      </w:r>
      <w:r w:rsidRPr="005D2049">
        <w:rPr>
          <w:b/>
        </w:rPr>
        <w:t>udies</w:t>
      </w:r>
    </w:p>
    <w:p w14:paraId="4A43F779" w14:textId="48B979BC" w:rsidR="006B4F10" w:rsidRPr="00742F8F" w:rsidRDefault="00742F8F" w:rsidP="00742F8F">
      <w:pPr>
        <w:spacing w:after="120" w:line="300" w:lineRule="atLeast"/>
        <w:jc w:val="both"/>
        <w:rPr>
          <w:u w:val="single"/>
        </w:rPr>
      </w:pPr>
      <w:r w:rsidRPr="00742F8F">
        <w:rPr>
          <w:bCs/>
          <w:u w:val="single"/>
        </w:rPr>
        <w:t>RAISE (</w:t>
      </w:r>
      <w:smartTag w:uri="urn:schemas-microsoft-com:office:smarttags" w:element="stockticker">
        <w:r w:rsidR="00BE3AFB" w:rsidRPr="004553F8">
          <w:rPr>
            <w:u w:val="single"/>
          </w:rPr>
          <w:t>TRA</w:t>
        </w:r>
      </w:smartTag>
      <w:r w:rsidR="00BE3AFB" w:rsidRPr="004553F8">
        <w:rPr>
          <w:u w:val="single"/>
        </w:rPr>
        <w:t>102537</w:t>
      </w:r>
      <w:r w:rsidRPr="00742F8F">
        <w:rPr>
          <w:u w:val="single"/>
        </w:rPr>
        <w:t>)</w:t>
      </w:r>
    </w:p>
    <w:p w14:paraId="5553BB22" w14:textId="6EFD5651" w:rsidR="00BE3AFB" w:rsidRPr="005D2049" w:rsidRDefault="00575D96" w:rsidP="00575D96">
      <w:pPr>
        <w:spacing w:after="120" w:line="300" w:lineRule="atLeast"/>
        <w:jc w:val="both"/>
        <w:rPr>
          <w:color w:val="000000"/>
          <w:lang w:val="en-US"/>
        </w:rPr>
      </w:pPr>
      <w:r>
        <w:t>T</w:t>
      </w:r>
      <w:r w:rsidR="00BE3AFB" w:rsidRPr="005D2049">
        <w:t xml:space="preserve">he primary efficacy endpoint was the odds of achieving a platelet count </w:t>
      </w:r>
      <w:r w:rsidR="00BE3AFB" w:rsidRPr="005D2049">
        <w:sym w:font="Symbol" w:char="F0B3"/>
      </w:r>
      <w:r w:rsidR="00BE3AFB" w:rsidRPr="005D2049">
        <w:t> 50</w:t>
      </w:r>
      <w:r w:rsidR="00AF73F6">
        <w:t xml:space="preserve"> x 10</w:t>
      </w:r>
      <w:r w:rsidR="00AF73F6" w:rsidRPr="00AF73F6">
        <w:rPr>
          <w:vertAlign w:val="superscript"/>
        </w:rPr>
        <w:t>9</w:t>
      </w:r>
      <w:r w:rsidR="00BE3AFB" w:rsidRPr="005D2049">
        <w:t>/</w:t>
      </w:r>
      <w:r w:rsidR="00DA78F3" w:rsidRPr="005D2049">
        <w:t>L</w:t>
      </w:r>
      <w:r w:rsidR="00BE3AFB" w:rsidRPr="005D2049">
        <w:t xml:space="preserve"> and ≤ 400</w:t>
      </w:r>
      <w:r w:rsidR="00AF73F6">
        <w:t xml:space="preserve"> x 10</w:t>
      </w:r>
      <w:r w:rsidR="00AF73F6" w:rsidRPr="00AF73F6">
        <w:rPr>
          <w:vertAlign w:val="superscript"/>
        </w:rPr>
        <w:t>9</w:t>
      </w:r>
      <w:r w:rsidR="00BE3AFB" w:rsidRPr="005D2049">
        <w:t>/</w:t>
      </w:r>
      <w:r w:rsidR="00DA78F3" w:rsidRPr="005D2049">
        <w:t>L</w:t>
      </w:r>
      <w:r w:rsidR="00BE3AFB" w:rsidRPr="005D2049">
        <w:t xml:space="preserve">, during the 6 month treatment period, for subjects receiving </w:t>
      </w:r>
      <w:r w:rsidR="00A4504D" w:rsidRPr="005D2049">
        <w:t>REVOLADE</w:t>
      </w:r>
      <w:r w:rsidR="00BE3AFB" w:rsidRPr="005D2049">
        <w:t xml:space="preserve"> relative to placebo. </w:t>
      </w:r>
      <w:r w:rsidR="00BE3AFB" w:rsidRPr="005D2049">
        <w:rPr>
          <w:lang w:val="en-US"/>
        </w:rPr>
        <w:t xml:space="preserve">One hundred and ninety seven subjects were randomized 2:1, </w:t>
      </w:r>
      <w:r w:rsidR="000D0F20" w:rsidRPr="005D2049">
        <w:rPr>
          <w:lang w:val="en-US"/>
        </w:rPr>
        <w:t>REVOLADE</w:t>
      </w:r>
      <w:r w:rsidR="00BE3AFB" w:rsidRPr="005D2049">
        <w:rPr>
          <w:lang w:val="en-US"/>
        </w:rPr>
        <w:t xml:space="preserve"> (n=135) to placebo (n=62), and were stratified based upon splenectomy status, use of </w:t>
      </w:r>
      <w:smartTag w:uri="urn:schemas-microsoft-com:office:smarttags" w:element="stockticker">
        <w:r w:rsidR="00BE3AFB" w:rsidRPr="005D2049">
          <w:rPr>
            <w:lang w:val="en-US"/>
          </w:rPr>
          <w:t>ITP</w:t>
        </w:r>
      </w:smartTag>
      <w:r w:rsidR="00BE3AFB" w:rsidRPr="005D2049">
        <w:rPr>
          <w:lang w:val="en-US"/>
        </w:rPr>
        <w:t xml:space="preserve"> medication at baseline and baseline platelet count</w:t>
      </w:r>
      <w:r w:rsidR="00BE3AFB" w:rsidRPr="005D2049">
        <w:t xml:space="preserve">. </w:t>
      </w:r>
      <w:r w:rsidR="000D0F20" w:rsidRPr="005D2049">
        <w:t xml:space="preserve"> </w:t>
      </w:r>
      <w:r w:rsidR="00BE3AFB" w:rsidRPr="005D2049">
        <w:t xml:space="preserve">Subjects received study medication for up to 6 months, during which time the dose of </w:t>
      </w:r>
      <w:r w:rsidR="00A4504D" w:rsidRPr="005D2049">
        <w:t>REVOLADE</w:t>
      </w:r>
      <w:r w:rsidR="00BE3AFB" w:rsidRPr="005D2049">
        <w:t xml:space="preserve"> could be adjusted based on individual platelet counts. In addition, subjects could have tapered off concomitant </w:t>
      </w:r>
      <w:smartTag w:uri="urn:schemas-microsoft-com:office:smarttags" w:element="stockticker">
        <w:r w:rsidR="00BE3AFB" w:rsidRPr="005D2049">
          <w:t>ITP</w:t>
        </w:r>
      </w:smartTag>
      <w:r w:rsidR="00BE3AFB" w:rsidRPr="005D2049">
        <w:t xml:space="preserve"> medications and received rescue treatments as dictated by </w:t>
      </w:r>
      <w:r w:rsidR="00BE3AFB" w:rsidRPr="005D2049">
        <w:rPr>
          <w:color w:val="000000"/>
          <w:lang w:val="en-US"/>
        </w:rPr>
        <w:t>local standard of care.</w:t>
      </w:r>
    </w:p>
    <w:p w14:paraId="5553BB24" w14:textId="572127D2" w:rsidR="00BE3AFB" w:rsidRPr="005D2049" w:rsidRDefault="00BE3AFB" w:rsidP="005D2049">
      <w:pPr>
        <w:autoSpaceDE w:val="0"/>
        <w:autoSpaceDN w:val="0"/>
        <w:adjustRightInd w:val="0"/>
        <w:spacing w:line="300" w:lineRule="atLeast"/>
        <w:jc w:val="both"/>
      </w:pPr>
      <w:r w:rsidRPr="005D2049">
        <w:rPr>
          <w:rFonts w:eastAsia="Batang"/>
          <w:lang w:val="en-US"/>
        </w:rPr>
        <w:t>The odds of achieving a platelet count between 50</w:t>
      </w:r>
      <w:r w:rsidR="00F63295">
        <w:rPr>
          <w:rFonts w:eastAsia="Batang"/>
          <w:lang w:val="en-US"/>
        </w:rPr>
        <w:t xml:space="preserve"> x 10</w:t>
      </w:r>
      <w:r w:rsidR="00F63295" w:rsidRPr="00F63295">
        <w:rPr>
          <w:rFonts w:eastAsia="Batang"/>
          <w:vertAlign w:val="superscript"/>
          <w:lang w:val="en-US"/>
        </w:rPr>
        <w:t>9</w:t>
      </w:r>
      <w:r w:rsidRPr="005D2049">
        <w:rPr>
          <w:rFonts w:eastAsia="Batang"/>
          <w:lang w:val="en-US"/>
        </w:rPr>
        <w:t>/</w:t>
      </w:r>
      <w:r w:rsidR="00C00462">
        <w:rPr>
          <w:lang w:val="en-US"/>
        </w:rPr>
        <w:t>L</w:t>
      </w:r>
      <w:r w:rsidRPr="005D2049">
        <w:rPr>
          <w:rFonts w:eastAsia="Batang"/>
          <w:lang w:val="en-US"/>
        </w:rPr>
        <w:t xml:space="preserve"> and 400</w:t>
      </w:r>
      <w:r w:rsidR="00F63295">
        <w:rPr>
          <w:rFonts w:eastAsia="Batang"/>
          <w:lang w:val="en-US"/>
        </w:rPr>
        <w:t xml:space="preserve"> x 10</w:t>
      </w:r>
      <w:r w:rsidR="00F63295" w:rsidRPr="00F63295">
        <w:rPr>
          <w:rFonts w:eastAsia="Batang"/>
          <w:vertAlign w:val="superscript"/>
          <w:lang w:val="en-US"/>
        </w:rPr>
        <w:t>9</w:t>
      </w:r>
      <w:r w:rsidRPr="005D2049">
        <w:rPr>
          <w:rFonts w:eastAsia="Batang"/>
          <w:lang w:val="en-US"/>
        </w:rPr>
        <w:t>/</w:t>
      </w:r>
      <w:r w:rsidR="00C00462">
        <w:rPr>
          <w:lang w:val="en-US"/>
        </w:rPr>
        <w:t>L</w:t>
      </w:r>
      <w:r w:rsidRPr="005D2049">
        <w:rPr>
          <w:rFonts w:eastAsia="Batang"/>
          <w:lang w:val="en-US"/>
        </w:rPr>
        <w:t xml:space="preserve"> during the 6 month treatment period were 8 times higher for </w:t>
      </w:r>
      <w:r w:rsidR="00A4504D" w:rsidRPr="005D2049">
        <w:rPr>
          <w:rFonts w:eastAsia="Batang"/>
          <w:lang w:val="en-US"/>
        </w:rPr>
        <w:t>REVOLADE</w:t>
      </w:r>
      <w:r w:rsidRPr="005D2049">
        <w:rPr>
          <w:rFonts w:eastAsia="Batang"/>
          <w:lang w:val="en-US"/>
        </w:rPr>
        <w:t xml:space="preserve"> treated subjects than for placebo-treated subjects</w:t>
      </w:r>
      <w:r w:rsidRPr="005D2049">
        <w:rPr>
          <w:color w:val="000000"/>
          <w:lang w:val="en-US"/>
        </w:rPr>
        <w:t xml:space="preserve"> (Odds Ratio: 8.2 [99 % Cl: 3.59, 18.73] p = &lt; 0.001).  </w:t>
      </w:r>
      <w:r w:rsidRPr="005D2049">
        <w:t>Median platelet counts were maintained above 50</w:t>
      </w:r>
      <w:r w:rsidR="00F63295">
        <w:t xml:space="preserve"> x 10</w:t>
      </w:r>
      <w:r w:rsidR="00F63295" w:rsidRPr="00F63295">
        <w:rPr>
          <w:vertAlign w:val="superscript"/>
        </w:rPr>
        <w:t>9</w:t>
      </w:r>
      <w:r w:rsidRPr="005D2049">
        <w:t>/</w:t>
      </w:r>
      <w:r w:rsidR="00C00462">
        <w:t>L</w:t>
      </w:r>
      <w:r w:rsidRPr="005D2049">
        <w:t xml:space="preserve"> at all on-therapy visits starting at Day 15 in the </w:t>
      </w:r>
      <w:r w:rsidR="00A4504D" w:rsidRPr="005D2049">
        <w:t>REVOLADE</w:t>
      </w:r>
      <w:r w:rsidRPr="005D2049">
        <w:t xml:space="preserve"> group; in contrast, median platelet counts in the placebo group remained below 30</w:t>
      </w:r>
      <w:r w:rsidR="00F63295">
        <w:t xml:space="preserve"> x 10</w:t>
      </w:r>
      <w:r w:rsidR="00F63295" w:rsidRPr="00F63295">
        <w:rPr>
          <w:vertAlign w:val="superscript"/>
        </w:rPr>
        <w:t>9</w:t>
      </w:r>
      <w:r w:rsidRPr="005D2049">
        <w:t>/</w:t>
      </w:r>
      <w:r w:rsidR="00C00462">
        <w:t>L</w:t>
      </w:r>
      <w:r w:rsidRPr="005D2049">
        <w:t xml:space="preserve"> throughout the study.</w:t>
      </w:r>
    </w:p>
    <w:p w14:paraId="5553BB25" w14:textId="77777777" w:rsidR="00BE3AFB" w:rsidRPr="005D2049" w:rsidRDefault="00BE3AFB" w:rsidP="005D2049">
      <w:pPr>
        <w:autoSpaceDE w:val="0"/>
        <w:autoSpaceDN w:val="0"/>
        <w:adjustRightInd w:val="0"/>
        <w:spacing w:line="300" w:lineRule="atLeast"/>
        <w:jc w:val="both"/>
        <w:rPr>
          <w:color w:val="000000"/>
        </w:rPr>
      </w:pPr>
    </w:p>
    <w:p w14:paraId="5553BB26" w14:textId="694174F7" w:rsidR="00BE3AFB" w:rsidRPr="005D2049" w:rsidRDefault="00BE3AFB" w:rsidP="005D2049">
      <w:pPr>
        <w:autoSpaceDE w:val="0"/>
        <w:autoSpaceDN w:val="0"/>
        <w:adjustRightInd w:val="0"/>
        <w:spacing w:line="300" w:lineRule="atLeast"/>
        <w:jc w:val="both"/>
      </w:pPr>
      <w:r w:rsidRPr="005D2049">
        <w:t xml:space="preserve">At baseline, 77 % of subjects in the placebo group and 73 % of subjects in the </w:t>
      </w:r>
      <w:r w:rsidR="00A4504D" w:rsidRPr="005D2049">
        <w:t>REVOLADE</w:t>
      </w:r>
      <w:r w:rsidRPr="005D2049">
        <w:t xml:space="preserve"> group reported any bleeding (WHO Grades 1-4); clinically significant bleeding (WHO Grades 2-4) at baseline was reported in 28 % and 22 % of subjects in the placebo and </w:t>
      </w:r>
      <w:r w:rsidR="003F7ECC" w:rsidRPr="005D2049">
        <w:t>REVOLADE</w:t>
      </w:r>
      <w:r w:rsidRPr="005D2049">
        <w:t xml:space="preserve"> groups, respectively.  The proportion of subjects with any bleeding (Grades 1-4) and clinically significant bleeding (Grades 2-4) was reduced from baseline by approximately 50</w:t>
      </w:r>
      <w:r w:rsidR="005F230D">
        <w:t xml:space="preserve"> </w:t>
      </w:r>
      <w:r w:rsidRPr="005D2049">
        <w:t xml:space="preserve">% throughout the 6 month treatment period in </w:t>
      </w:r>
      <w:r w:rsidR="00A4504D" w:rsidRPr="005D2049">
        <w:t>REVOLADE</w:t>
      </w:r>
      <w:r w:rsidRPr="005D2049">
        <w:t xml:space="preserve">-treated subjects.  When compared to the placebo group, the odds of any bleeding (Grades 1-4) and the odds of clinically significant bleeding (Grades 2-4) were 76 % and 65 % lower in the </w:t>
      </w:r>
      <w:r w:rsidR="00A4504D" w:rsidRPr="005D2049">
        <w:t>REVOLADE</w:t>
      </w:r>
      <w:r w:rsidRPr="005D2049">
        <w:t>-treated subjects compared to the placebo-treated subjects (p &lt; 0.001).</w:t>
      </w:r>
    </w:p>
    <w:p w14:paraId="5553BB27" w14:textId="77777777" w:rsidR="00BE3AFB" w:rsidRPr="00DE25E4" w:rsidRDefault="00BE3AFB" w:rsidP="000D0F20">
      <w:pPr>
        <w:autoSpaceDE w:val="0"/>
        <w:autoSpaceDN w:val="0"/>
        <w:adjustRightInd w:val="0"/>
        <w:spacing w:line="300" w:lineRule="atLeast"/>
        <w:jc w:val="both"/>
        <w:rPr>
          <w:color w:val="000000"/>
          <w:lang w:val="en-US"/>
        </w:rPr>
      </w:pPr>
    </w:p>
    <w:p w14:paraId="5553BB28" w14:textId="77777777" w:rsidR="00BE3AFB" w:rsidRPr="005D2049" w:rsidRDefault="00A4504D" w:rsidP="005D2049">
      <w:pPr>
        <w:autoSpaceDE w:val="0"/>
        <w:autoSpaceDN w:val="0"/>
        <w:adjustRightInd w:val="0"/>
        <w:spacing w:line="300" w:lineRule="atLeast"/>
        <w:jc w:val="both"/>
        <w:rPr>
          <w:lang w:val="en-US"/>
        </w:rPr>
      </w:pPr>
      <w:r w:rsidRPr="005D2049">
        <w:rPr>
          <w:lang w:val="en-US"/>
        </w:rPr>
        <w:t>REVOLADE</w:t>
      </w:r>
      <w:r w:rsidR="00BE3AFB" w:rsidRPr="005D2049">
        <w:rPr>
          <w:lang w:val="en-US"/>
        </w:rPr>
        <w:t xml:space="preserve"> therapy allowed significantly more subjects to reduce or discontinue baseline </w:t>
      </w:r>
      <w:smartTag w:uri="urn:schemas-microsoft-com:office:smarttags" w:element="stockticker">
        <w:r w:rsidR="00BE3AFB" w:rsidRPr="005D2049">
          <w:rPr>
            <w:lang w:val="en-US"/>
          </w:rPr>
          <w:t>ITP</w:t>
        </w:r>
      </w:smartTag>
      <w:r w:rsidR="00BE3AFB" w:rsidRPr="005D2049">
        <w:rPr>
          <w:lang w:val="en-US"/>
        </w:rPr>
        <w:t xml:space="preserve"> therapies compared to placebo (59 % vs. 32 %; p &lt; 0.016).</w:t>
      </w:r>
    </w:p>
    <w:p w14:paraId="5553BB29" w14:textId="77777777" w:rsidR="00BE3AFB" w:rsidRPr="00DE25E4" w:rsidRDefault="00BE3AFB" w:rsidP="000D0F20">
      <w:pPr>
        <w:autoSpaceDE w:val="0"/>
        <w:autoSpaceDN w:val="0"/>
        <w:adjustRightInd w:val="0"/>
        <w:spacing w:line="300" w:lineRule="atLeast"/>
        <w:jc w:val="both"/>
        <w:rPr>
          <w:lang w:val="en-US"/>
        </w:rPr>
      </w:pPr>
    </w:p>
    <w:p w14:paraId="5553BB2A" w14:textId="77777777" w:rsidR="00BE3AFB" w:rsidRPr="005D2049" w:rsidRDefault="00BE3AFB" w:rsidP="005D2049">
      <w:pPr>
        <w:autoSpaceDE w:val="0"/>
        <w:autoSpaceDN w:val="0"/>
        <w:adjustRightInd w:val="0"/>
        <w:spacing w:line="300" w:lineRule="atLeast"/>
        <w:jc w:val="both"/>
        <w:rPr>
          <w:lang w:val="en-US"/>
        </w:rPr>
      </w:pPr>
      <w:r w:rsidRPr="005D2049">
        <w:rPr>
          <w:lang w:val="en-US"/>
        </w:rPr>
        <w:t xml:space="preserve">Significantly fewer </w:t>
      </w:r>
      <w:r w:rsidR="00A4504D" w:rsidRPr="005D2049">
        <w:rPr>
          <w:lang w:val="en-US"/>
        </w:rPr>
        <w:t>REVOLADE</w:t>
      </w:r>
      <w:r w:rsidRPr="005D2049">
        <w:rPr>
          <w:lang w:val="en-US"/>
        </w:rPr>
        <w:t>-treated subjects required rescue treatment compared to placebo-treated subjects [</w:t>
      </w:r>
      <w:r w:rsidR="00BC4876" w:rsidRPr="005D2049">
        <w:rPr>
          <w:lang w:val="en-US"/>
        </w:rPr>
        <w:t>18 </w:t>
      </w:r>
      <w:r w:rsidRPr="005D2049">
        <w:rPr>
          <w:lang w:val="en-US"/>
        </w:rPr>
        <w:t>% vs. 40 %; p = 0.001].</w:t>
      </w:r>
    </w:p>
    <w:p w14:paraId="5553BB2B" w14:textId="77777777" w:rsidR="00BE3AFB" w:rsidRPr="00DE25E4" w:rsidRDefault="00BE3AFB" w:rsidP="000D0F20">
      <w:pPr>
        <w:autoSpaceDE w:val="0"/>
        <w:autoSpaceDN w:val="0"/>
        <w:adjustRightInd w:val="0"/>
        <w:spacing w:line="300" w:lineRule="atLeast"/>
        <w:jc w:val="both"/>
        <w:rPr>
          <w:lang w:val="en-US"/>
        </w:rPr>
      </w:pPr>
    </w:p>
    <w:p w14:paraId="5553BB2C" w14:textId="77777777" w:rsidR="00BE3AFB" w:rsidRPr="005D2049" w:rsidRDefault="00BE3AFB" w:rsidP="005D2049">
      <w:pPr>
        <w:autoSpaceDE w:val="0"/>
        <w:autoSpaceDN w:val="0"/>
        <w:adjustRightInd w:val="0"/>
        <w:spacing w:line="300" w:lineRule="atLeast"/>
        <w:jc w:val="both"/>
        <w:rPr>
          <w:lang w:val="en-US"/>
        </w:rPr>
      </w:pPr>
      <w:r w:rsidRPr="005D2049">
        <w:rPr>
          <w:lang w:val="en-US"/>
        </w:rPr>
        <w:t xml:space="preserve">Four placebo and 14 </w:t>
      </w:r>
      <w:r w:rsidR="00A4504D" w:rsidRPr="005D2049">
        <w:rPr>
          <w:lang w:val="en-US"/>
        </w:rPr>
        <w:t>REVOLADE</w:t>
      </w:r>
      <w:r w:rsidRPr="005D2049">
        <w:rPr>
          <w:lang w:val="en-US"/>
        </w:rPr>
        <w:t xml:space="preserve"> subjects had at least 1 haemostatic challenge (defined as an invasive diagnostic or surgical procedure) during the study.  Fewer </w:t>
      </w:r>
      <w:r w:rsidR="00A4504D" w:rsidRPr="005D2049">
        <w:rPr>
          <w:lang w:val="en-US"/>
        </w:rPr>
        <w:t>REVOLADE</w:t>
      </w:r>
      <w:r w:rsidRPr="005D2049">
        <w:rPr>
          <w:lang w:val="en-US"/>
        </w:rPr>
        <w:t>-treated subjects (29 %) required rescue treatment to manage their haemostatic challenge, compared to placebo-treated subjects (50 %).</w:t>
      </w:r>
    </w:p>
    <w:p w14:paraId="5553BB2D" w14:textId="77777777" w:rsidR="00BE3AFB" w:rsidRPr="00DE25E4" w:rsidRDefault="00BE3AFB" w:rsidP="000D0F20">
      <w:pPr>
        <w:autoSpaceDE w:val="0"/>
        <w:autoSpaceDN w:val="0"/>
        <w:adjustRightInd w:val="0"/>
        <w:spacing w:line="300" w:lineRule="atLeast"/>
        <w:jc w:val="both"/>
        <w:rPr>
          <w:lang w:val="en-US"/>
        </w:rPr>
      </w:pPr>
    </w:p>
    <w:p w14:paraId="5553BB2E" w14:textId="77777777" w:rsidR="00BE3AFB" w:rsidRPr="005D2049" w:rsidRDefault="00BE3AFB" w:rsidP="005D2049">
      <w:pPr>
        <w:autoSpaceDE w:val="0"/>
        <w:autoSpaceDN w:val="0"/>
        <w:adjustRightInd w:val="0"/>
        <w:spacing w:line="300" w:lineRule="atLeast"/>
        <w:jc w:val="both"/>
        <w:rPr>
          <w:color w:val="000000"/>
        </w:rPr>
      </w:pPr>
      <w:r w:rsidRPr="005D2049">
        <w:rPr>
          <w:color w:val="000000"/>
        </w:rPr>
        <w:t xml:space="preserve">In terms of improvements in health related quality of life, statistically significant improvements from baseline were observed in the </w:t>
      </w:r>
      <w:r w:rsidR="00A4504D" w:rsidRPr="005D2049">
        <w:rPr>
          <w:color w:val="000000"/>
        </w:rPr>
        <w:t>REVOLADE</w:t>
      </w:r>
      <w:r w:rsidRPr="005D2049">
        <w:rPr>
          <w:color w:val="000000"/>
        </w:rPr>
        <w:t xml:space="preserve"> group in fatigue, including severity and impact on thrombocytopenia-impacted daily activities and concerns [as measured by the vitality subscale of the SF36, the motivation and energy inventory, and the 6-item extract from the thrombocytopenia subscale of the FACIT-Th].  Comparing the </w:t>
      </w:r>
      <w:r w:rsidR="00A4504D" w:rsidRPr="005D2049">
        <w:rPr>
          <w:color w:val="000000"/>
        </w:rPr>
        <w:t>REVOLADE</w:t>
      </w:r>
      <w:r w:rsidRPr="005D2049">
        <w:rPr>
          <w:color w:val="000000"/>
        </w:rPr>
        <w:t xml:space="preserve"> group to the placebo group, statistically significant improvements were observed with thrombocytopenia impacted activities and concerns specifically regarding motivation, energy and fatigue, as well as physical and emotional role and overall mental health. </w:t>
      </w:r>
      <w:r w:rsidR="00A4504D" w:rsidRPr="005D2049">
        <w:rPr>
          <w:color w:val="000000"/>
        </w:rPr>
        <w:t xml:space="preserve"> </w:t>
      </w:r>
      <w:r w:rsidRPr="005D2049">
        <w:rPr>
          <w:color w:val="000000"/>
        </w:rPr>
        <w:t xml:space="preserve">The odds of meaningful improvement in health related quality of life while on therapy was significantly greater among patients treated with </w:t>
      </w:r>
      <w:r w:rsidR="00A4504D" w:rsidRPr="005D2049">
        <w:rPr>
          <w:color w:val="000000"/>
        </w:rPr>
        <w:t>REVOLADE</w:t>
      </w:r>
      <w:r w:rsidRPr="005D2049">
        <w:rPr>
          <w:color w:val="000000"/>
        </w:rPr>
        <w:t xml:space="preserve"> than placebo.</w:t>
      </w:r>
    </w:p>
    <w:p w14:paraId="5553BB2F" w14:textId="77777777" w:rsidR="00BE3AFB" w:rsidRPr="00DE25E4" w:rsidRDefault="00BE3AFB" w:rsidP="000D0F20">
      <w:pPr>
        <w:autoSpaceDE w:val="0"/>
        <w:autoSpaceDN w:val="0"/>
        <w:adjustRightInd w:val="0"/>
        <w:spacing w:line="300" w:lineRule="atLeast"/>
        <w:jc w:val="both"/>
      </w:pPr>
    </w:p>
    <w:p w14:paraId="5F9D6A7E" w14:textId="3E2E98D5" w:rsidR="00742F8F" w:rsidRPr="00742F8F" w:rsidRDefault="00BE3AFB" w:rsidP="0021023A">
      <w:pPr>
        <w:keepNext/>
        <w:spacing w:after="120" w:line="300" w:lineRule="atLeast"/>
        <w:jc w:val="both"/>
        <w:rPr>
          <w:u w:val="single"/>
        </w:rPr>
      </w:pPr>
      <w:smartTag w:uri="urn:schemas-microsoft-com:office:smarttags" w:element="stockticker">
        <w:r w:rsidRPr="005D2049">
          <w:rPr>
            <w:u w:val="single"/>
          </w:rPr>
          <w:t>TRA</w:t>
        </w:r>
      </w:smartTag>
      <w:r w:rsidRPr="005D2049">
        <w:rPr>
          <w:u w:val="single"/>
        </w:rPr>
        <w:t>100773B</w:t>
      </w:r>
    </w:p>
    <w:p w14:paraId="5553BB30" w14:textId="69B6A301" w:rsidR="00BE3AFB" w:rsidRPr="005D2049" w:rsidRDefault="00BE3AFB" w:rsidP="0021023A">
      <w:pPr>
        <w:widowControl w:val="0"/>
        <w:spacing w:line="300" w:lineRule="atLeast"/>
        <w:jc w:val="both"/>
        <w:rPr>
          <w:lang w:val="en-US"/>
        </w:rPr>
      </w:pPr>
      <w:r w:rsidRPr="005D2049">
        <w:t xml:space="preserve">In </w:t>
      </w:r>
      <w:smartTag w:uri="urn:schemas-microsoft-com:office:smarttags" w:element="stockticker">
        <w:r w:rsidRPr="005D2049">
          <w:t>TRA</w:t>
        </w:r>
      </w:smartTag>
      <w:r w:rsidRPr="005D2049">
        <w:t xml:space="preserve">100773B, the primary efficacy endpoint was the proportion of responders, defined as patients who had an increase in platelet counts to </w:t>
      </w:r>
      <w:r w:rsidRPr="005D2049">
        <w:sym w:font="Symbol" w:char="F0B3"/>
      </w:r>
      <w:r w:rsidRPr="005D2049">
        <w:t> 50</w:t>
      </w:r>
      <w:r w:rsidR="00F63295">
        <w:t xml:space="preserve"> x 10</w:t>
      </w:r>
      <w:r w:rsidR="00F63295" w:rsidRPr="00F63295">
        <w:rPr>
          <w:vertAlign w:val="superscript"/>
        </w:rPr>
        <w:t>9</w:t>
      </w:r>
      <w:r w:rsidRPr="005D2049">
        <w:t>/</w:t>
      </w:r>
      <w:r w:rsidR="006B4F10">
        <w:t>L</w:t>
      </w:r>
      <w:r w:rsidRPr="005D2049">
        <w:t xml:space="preserve"> at Day 43 from a baseline &lt; 30</w:t>
      </w:r>
      <w:r w:rsidR="00F63295">
        <w:t xml:space="preserve"> x 10</w:t>
      </w:r>
      <w:r w:rsidR="00F63295" w:rsidRPr="00F63295">
        <w:rPr>
          <w:vertAlign w:val="superscript"/>
        </w:rPr>
        <w:t>9</w:t>
      </w:r>
      <w:r w:rsidRPr="005D2049">
        <w:t>/</w:t>
      </w:r>
      <w:r w:rsidR="006B4F10">
        <w:t>L</w:t>
      </w:r>
      <w:r w:rsidRPr="005D2049">
        <w:t xml:space="preserve">; patients who withdrew prematurely due to a platelet count </w:t>
      </w:r>
      <w:r w:rsidRPr="005D2049">
        <w:sym w:font="Symbol" w:char="F03E"/>
      </w:r>
      <w:r w:rsidRPr="005D2049">
        <w:t> 200</w:t>
      </w:r>
      <w:r w:rsidR="00AE10CF">
        <w:t xml:space="preserve"> x 10</w:t>
      </w:r>
      <w:r w:rsidR="00AE10CF" w:rsidRPr="00AE10CF">
        <w:rPr>
          <w:vertAlign w:val="superscript"/>
        </w:rPr>
        <w:t>9</w:t>
      </w:r>
      <w:r w:rsidRPr="005D2049">
        <w:t>/</w:t>
      </w:r>
      <w:r w:rsidR="006B4F10">
        <w:t>L</w:t>
      </w:r>
      <w:r w:rsidRPr="005D2049">
        <w:t xml:space="preserve"> were considered responders, those discontinued for any other reason were considered non-responders irrespective of platelet count.  </w:t>
      </w:r>
      <w:r w:rsidRPr="005D2049">
        <w:rPr>
          <w:lang w:val="en-US"/>
        </w:rPr>
        <w:t xml:space="preserve">A total of 114 subjects with previously treated chronic </w:t>
      </w:r>
      <w:smartTag w:uri="urn:schemas-microsoft-com:office:smarttags" w:element="stockticker">
        <w:r w:rsidRPr="005D2049">
          <w:rPr>
            <w:lang w:val="en-US"/>
          </w:rPr>
          <w:t>ITP</w:t>
        </w:r>
      </w:smartTag>
      <w:r w:rsidRPr="005D2049">
        <w:rPr>
          <w:lang w:val="en-US"/>
        </w:rPr>
        <w:t xml:space="preserve"> were randomised 2:1 into the study, with 76 randomised to </w:t>
      </w:r>
      <w:r w:rsidR="00A4504D" w:rsidRPr="005D2049">
        <w:rPr>
          <w:lang w:val="en-US"/>
        </w:rPr>
        <w:t>REVOLADE</w:t>
      </w:r>
      <w:r w:rsidRPr="005D2049">
        <w:rPr>
          <w:lang w:val="en-US"/>
        </w:rPr>
        <w:t xml:space="preserve"> and 38 randomized to placebo.</w:t>
      </w:r>
    </w:p>
    <w:p w14:paraId="26236EA7" w14:textId="77777777" w:rsidR="00CE0170" w:rsidRDefault="00CE0170" w:rsidP="005D2049">
      <w:pPr>
        <w:spacing w:line="300" w:lineRule="atLeast"/>
        <w:jc w:val="both"/>
      </w:pPr>
    </w:p>
    <w:p w14:paraId="5553BB32" w14:textId="77777777" w:rsidR="00BE3AFB" w:rsidRPr="005D2049" w:rsidRDefault="00BE3AFB" w:rsidP="005D2049">
      <w:pPr>
        <w:spacing w:line="300" w:lineRule="atLeast"/>
        <w:jc w:val="both"/>
      </w:pPr>
      <w:r w:rsidRPr="005D2049">
        <w:t xml:space="preserve">Fifty-nine percent of subjects on </w:t>
      </w:r>
      <w:r w:rsidR="00A4504D" w:rsidRPr="005D2049">
        <w:t>REVOLADE</w:t>
      </w:r>
      <w:r w:rsidRPr="005D2049">
        <w:t xml:space="preserve"> responded, compared to 16 % of subjects on placebo</w:t>
      </w:r>
      <w:r w:rsidRPr="005D2049">
        <w:rPr>
          <w:color w:val="000000"/>
        </w:rPr>
        <w:t xml:space="preserve">. </w:t>
      </w:r>
      <w:r w:rsidR="00A4504D" w:rsidRPr="005D2049">
        <w:rPr>
          <w:color w:val="000000"/>
        </w:rPr>
        <w:t xml:space="preserve"> </w:t>
      </w:r>
      <w:r w:rsidRPr="005D2049">
        <w:rPr>
          <w:color w:val="000000"/>
        </w:rPr>
        <w:t xml:space="preserve">The odds of responding were 9 times higher for </w:t>
      </w:r>
      <w:r w:rsidR="00A4504D" w:rsidRPr="005D2049">
        <w:rPr>
          <w:rFonts w:eastAsia="Batang"/>
          <w:lang w:val="en-US"/>
        </w:rPr>
        <w:t>REVOLADE</w:t>
      </w:r>
      <w:r w:rsidRPr="005D2049">
        <w:rPr>
          <w:rFonts w:eastAsia="Batang"/>
          <w:lang w:val="en-US"/>
        </w:rPr>
        <w:t xml:space="preserve"> treated subjects compared to placebo</w:t>
      </w:r>
      <w:r w:rsidRPr="005D2049">
        <w:rPr>
          <w:color w:val="000000"/>
          <w:lang w:val="en-US"/>
        </w:rPr>
        <w:t xml:space="preserve"> (Odds Ratio: 9.6 [95 % Cl: 3.31, 27.86] p &lt; 0.001). </w:t>
      </w:r>
      <w:r w:rsidRPr="005D2049">
        <w:t xml:space="preserve"> At baseline, 61 % of subjects in the </w:t>
      </w:r>
      <w:r w:rsidR="00A4504D" w:rsidRPr="005D2049">
        <w:t>REVOLADE</w:t>
      </w:r>
      <w:r w:rsidRPr="005D2049">
        <w:t xml:space="preserve"> group and 66 % of subjects in the placebo group reported any bleeding (Grade 1-4).  At Day 43, 39 % of subjects in the </w:t>
      </w:r>
      <w:r w:rsidR="00A4504D" w:rsidRPr="005D2049">
        <w:t>REVOLADE</w:t>
      </w:r>
      <w:r w:rsidRPr="005D2049">
        <w:t xml:space="preserve"> treatment group had bleeding compared with 60 % in the placebo group.  Analysis over the treatment period using a repeated measures model for binary data confirmed that a lower proportion of </w:t>
      </w:r>
      <w:r w:rsidR="00DB62D7" w:rsidRPr="005D2049">
        <w:t>REVOLADE</w:t>
      </w:r>
      <w:r w:rsidRPr="005D2049">
        <w:t xml:space="preserve"> subjects had bleeding (Grade 1-4) at any point in time over the course of their treatment (Day 8 up to Day 43) compared to subjects in the placebo group (OR=0.49, 95 % CI=[0.26,0.89], p = 0.021). </w:t>
      </w:r>
      <w:r w:rsidR="00DB62D7" w:rsidRPr="005D2049">
        <w:t xml:space="preserve"> </w:t>
      </w:r>
      <w:r w:rsidRPr="005D2049">
        <w:t xml:space="preserve">Two placebo and one </w:t>
      </w:r>
      <w:r w:rsidR="00DB62D7" w:rsidRPr="005D2049">
        <w:t>REVOLADE</w:t>
      </w:r>
      <w:r w:rsidRPr="005D2049">
        <w:t xml:space="preserve"> subject had at least one haemostatic challenge during the study.</w:t>
      </w:r>
    </w:p>
    <w:p w14:paraId="5553BB33" w14:textId="77777777" w:rsidR="00BE3AFB" w:rsidRPr="00DE25E4" w:rsidRDefault="00BE3AFB" w:rsidP="000D0F20">
      <w:pPr>
        <w:spacing w:line="300" w:lineRule="atLeast"/>
        <w:jc w:val="both"/>
      </w:pPr>
    </w:p>
    <w:p w14:paraId="5553BB34" w14:textId="76E3A9F9" w:rsidR="00BE3AFB" w:rsidRPr="005D2049" w:rsidRDefault="00BE3AFB" w:rsidP="005D2049">
      <w:pPr>
        <w:numPr>
          <w:ilvl w:val="12"/>
          <w:numId w:val="0"/>
        </w:numPr>
        <w:spacing w:line="300" w:lineRule="atLeast"/>
        <w:ind w:right="-2"/>
        <w:jc w:val="both"/>
        <w:rPr>
          <w:color w:val="000000"/>
          <w:lang w:val="en-US"/>
        </w:rPr>
      </w:pPr>
      <w:r w:rsidRPr="005D2049">
        <w:rPr>
          <w:color w:val="000000"/>
          <w:lang w:val="en-US"/>
        </w:rPr>
        <w:t xml:space="preserve">In both RAISE and </w:t>
      </w:r>
      <w:smartTag w:uri="urn:schemas-microsoft-com:office:smarttags" w:element="stockticker">
        <w:r w:rsidRPr="005D2049">
          <w:rPr>
            <w:color w:val="000000"/>
            <w:lang w:val="en-US"/>
          </w:rPr>
          <w:t>TRA</w:t>
        </w:r>
      </w:smartTag>
      <w:r w:rsidRPr="005D2049">
        <w:rPr>
          <w:color w:val="000000"/>
          <w:lang w:val="en-US"/>
        </w:rPr>
        <w:t xml:space="preserve">100773B the response to </w:t>
      </w:r>
      <w:r w:rsidR="00DB62D7" w:rsidRPr="005D2049">
        <w:rPr>
          <w:color w:val="000000"/>
          <w:lang w:val="en-US"/>
        </w:rPr>
        <w:t>REVOLADE</w:t>
      </w:r>
      <w:r w:rsidRPr="005D2049">
        <w:rPr>
          <w:color w:val="000000"/>
          <w:lang w:val="en-US"/>
        </w:rPr>
        <w:t xml:space="preserve"> relative to placebo was similar irrespective of </w:t>
      </w:r>
      <w:smartTag w:uri="urn:schemas-microsoft-com:office:smarttags" w:element="stockticker">
        <w:r w:rsidRPr="005D2049">
          <w:rPr>
            <w:color w:val="000000"/>
            <w:lang w:val="en-US"/>
          </w:rPr>
          <w:t>ITP</w:t>
        </w:r>
      </w:smartTag>
      <w:r w:rsidRPr="005D2049">
        <w:rPr>
          <w:color w:val="000000"/>
          <w:lang w:val="en-US"/>
        </w:rPr>
        <w:t xml:space="preserve"> medication use, splenectomy status and baseline platelet count (≤ 15</w:t>
      </w:r>
      <w:r w:rsidR="00AE10CF">
        <w:rPr>
          <w:color w:val="000000"/>
          <w:lang w:val="en-US"/>
        </w:rPr>
        <w:t xml:space="preserve"> x 10</w:t>
      </w:r>
      <w:r w:rsidR="00AE10CF" w:rsidRPr="00AE10CF">
        <w:rPr>
          <w:color w:val="000000"/>
          <w:vertAlign w:val="superscript"/>
          <w:lang w:val="en-US"/>
        </w:rPr>
        <w:t>9</w:t>
      </w:r>
      <w:r w:rsidRPr="005D2049">
        <w:rPr>
          <w:color w:val="000000"/>
          <w:lang w:val="en-US"/>
        </w:rPr>
        <w:t>/</w:t>
      </w:r>
      <w:r w:rsidR="00C00462">
        <w:rPr>
          <w:color w:val="000000"/>
          <w:lang w:val="en-US"/>
        </w:rPr>
        <w:t>L</w:t>
      </w:r>
      <w:r w:rsidRPr="005D2049">
        <w:rPr>
          <w:color w:val="000000"/>
          <w:lang w:val="en-US"/>
        </w:rPr>
        <w:t>, &gt; 15</w:t>
      </w:r>
      <w:r w:rsidR="00AE10CF">
        <w:rPr>
          <w:color w:val="000000"/>
          <w:lang w:val="en-US"/>
        </w:rPr>
        <w:t xml:space="preserve"> x 10</w:t>
      </w:r>
      <w:r w:rsidR="00AE10CF" w:rsidRPr="00AE10CF">
        <w:rPr>
          <w:color w:val="000000"/>
          <w:vertAlign w:val="superscript"/>
          <w:lang w:val="en-US"/>
        </w:rPr>
        <w:t>9</w:t>
      </w:r>
      <w:r w:rsidRPr="005D2049">
        <w:rPr>
          <w:color w:val="000000"/>
          <w:lang w:val="en-US"/>
        </w:rPr>
        <w:t>/</w:t>
      </w:r>
      <w:r w:rsidR="00C00462">
        <w:rPr>
          <w:color w:val="000000"/>
          <w:lang w:val="en-US"/>
        </w:rPr>
        <w:t>L</w:t>
      </w:r>
      <w:r w:rsidRPr="005D2049">
        <w:rPr>
          <w:color w:val="000000"/>
          <w:lang w:val="en-US"/>
        </w:rPr>
        <w:t>) at randomization.</w:t>
      </w:r>
    </w:p>
    <w:p w14:paraId="5553BB35" w14:textId="77777777" w:rsidR="001708CC" w:rsidRPr="00DE25E4" w:rsidRDefault="001708CC" w:rsidP="000D0F20">
      <w:pPr>
        <w:numPr>
          <w:ilvl w:val="12"/>
          <w:numId w:val="0"/>
        </w:numPr>
        <w:spacing w:line="300" w:lineRule="atLeast"/>
        <w:ind w:right="-2"/>
        <w:jc w:val="both"/>
      </w:pPr>
    </w:p>
    <w:p w14:paraId="5553BB36" w14:textId="77777777" w:rsidR="00BE3AFB" w:rsidRPr="005D2049" w:rsidRDefault="00BE3AFB" w:rsidP="005D2049">
      <w:pPr>
        <w:spacing w:after="120" w:line="300" w:lineRule="atLeast"/>
        <w:jc w:val="both"/>
        <w:rPr>
          <w:b/>
        </w:rPr>
      </w:pPr>
      <w:r w:rsidRPr="005D2049">
        <w:rPr>
          <w:b/>
        </w:rPr>
        <w:t>Open Label Studies</w:t>
      </w:r>
    </w:p>
    <w:p w14:paraId="548851E8" w14:textId="16FCAA46" w:rsidR="00742F8F" w:rsidRPr="00742F8F" w:rsidRDefault="00742F8F" w:rsidP="00742F8F">
      <w:pPr>
        <w:spacing w:after="120" w:line="300" w:lineRule="atLeast"/>
        <w:jc w:val="both"/>
        <w:rPr>
          <w:u w:val="single"/>
          <w:lang w:val="en-US"/>
        </w:rPr>
      </w:pPr>
      <w:r w:rsidRPr="00742F8F">
        <w:rPr>
          <w:u w:val="single"/>
          <w:lang w:val="en-US"/>
        </w:rPr>
        <w:t>EXTEND (</w:t>
      </w:r>
      <w:smartTag w:uri="urn:schemas-microsoft-com:office:smarttags" w:element="stockticker">
        <w:r w:rsidR="00BE3AFB" w:rsidRPr="004553F8">
          <w:rPr>
            <w:u w:val="single"/>
            <w:lang w:val="en-US"/>
          </w:rPr>
          <w:t>TRA</w:t>
        </w:r>
      </w:smartTag>
      <w:r w:rsidR="00BE3AFB" w:rsidRPr="004553F8">
        <w:rPr>
          <w:u w:val="single"/>
          <w:lang w:val="en-US"/>
        </w:rPr>
        <w:t>105325</w:t>
      </w:r>
      <w:r w:rsidRPr="00742F8F">
        <w:rPr>
          <w:u w:val="single"/>
          <w:lang w:val="en-US"/>
        </w:rPr>
        <w:t>)</w:t>
      </w:r>
    </w:p>
    <w:p w14:paraId="5553BB38" w14:textId="741B6183" w:rsidR="00BE3AFB" w:rsidRPr="005D2049" w:rsidRDefault="00BE3AFB" w:rsidP="005D2049">
      <w:pPr>
        <w:spacing w:line="300" w:lineRule="atLeast"/>
        <w:jc w:val="both"/>
      </w:pPr>
      <w:r w:rsidRPr="005D2049">
        <w:rPr>
          <w:lang w:val="en-US"/>
        </w:rPr>
        <w:t>EXTEND</w:t>
      </w:r>
      <w:r w:rsidRPr="005D2049">
        <w:rPr>
          <w:b/>
          <w:lang w:val="en-US"/>
        </w:rPr>
        <w:t xml:space="preserve"> </w:t>
      </w:r>
      <w:r w:rsidRPr="005D2049">
        <w:rPr>
          <w:lang w:val="en-US"/>
        </w:rPr>
        <w:t xml:space="preserve">is an open label extension study which has evaluated the safety and efficacy of </w:t>
      </w:r>
      <w:r w:rsidR="00DB62D7" w:rsidRPr="005D2049">
        <w:rPr>
          <w:lang w:val="en-US"/>
        </w:rPr>
        <w:t>REVOLADE</w:t>
      </w:r>
      <w:r w:rsidRPr="005D2049">
        <w:rPr>
          <w:lang w:val="en-US"/>
        </w:rPr>
        <w:t xml:space="preserve"> in subjects with chronic </w:t>
      </w:r>
      <w:smartTag w:uri="urn:schemas-microsoft-com:office:smarttags" w:element="stockticker">
        <w:r w:rsidRPr="005D2049">
          <w:rPr>
            <w:lang w:val="en-US"/>
          </w:rPr>
          <w:t>ITP</w:t>
        </w:r>
      </w:smartTag>
      <w:r w:rsidRPr="005D2049">
        <w:rPr>
          <w:lang w:val="en-US"/>
        </w:rPr>
        <w:t xml:space="preserve"> </w:t>
      </w:r>
      <w:r w:rsidRPr="005D2049">
        <w:t xml:space="preserve">who were previously enrolled in </w:t>
      </w:r>
      <w:r w:rsidR="00DB62D7" w:rsidRPr="005D2049">
        <w:t>a REVOLADE</w:t>
      </w:r>
      <w:r w:rsidRPr="005D2049">
        <w:t xml:space="preserve"> trial.  In this study, subjects were permitted to modify their dose of study medication as well as decrease or eliminate concomitant </w:t>
      </w:r>
      <w:smartTag w:uri="urn:schemas-microsoft-com:office:smarttags" w:element="stockticker">
        <w:r w:rsidRPr="005D2049">
          <w:t>ITP</w:t>
        </w:r>
      </w:smartTag>
      <w:r w:rsidRPr="005D2049">
        <w:t xml:space="preserve"> medications.</w:t>
      </w:r>
    </w:p>
    <w:p w14:paraId="5553BB39" w14:textId="77777777" w:rsidR="00BE3AFB" w:rsidRPr="00DE25E4" w:rsidRDefault="00BE3AFB" w:rsidP="000D0F20">
      <w:pPr>
        <w:spacing w:line="300" w:lineRule="atLeast"/>
        <w:jc w:val="both"/>
      </w:pPr>
    </w:p>
    <w:p w14:paraId="5553BB3A" w14:textId="7CBDBB04" w:rsidR="00BE3AFB" w:rsidRPr="005D2049" w:rsidRDefault="00DB62D7" w:rsidP="005D2049">
      <w:pPr>
        <w:spacing w:line="300" w:lineRule="atLeast"/>
        <w:jc w:val="both"/>
      </w:pPr>
      <w:r w:rsidRPr="005D2049">
        <w:t>REVOLADE</w:t>
      </w:r>
      <w:r w:rsidR="00BE3AFB" w:rsidRPr="005D2049">
        <w:t xml:space="preserve"> was administered to 207 patients; 104 completed 3 months of treatment, 74 completed 6 months and 27 patients completed 1 year of therapy. </w:t>
      </w:r>
      <w:r w:rsidRPr="005D2049">
        <w:t xml:space="preserve"> </w:t>
      </w:r>
      <w:r w:rsidR="00BE3AFB" w:rsidRPr="005D2049">
        <w:t>The median baseline platelet count was 18</w:t>
      </w:r>
      <w:r w:rsidR="00AE10CF">
        <w:t xml:space="preserve"> x 10</w:t>
      </w:r>
      <w:r w:rsidR="00AE10CF" w:rsidRPr="00AE10CF">
        <w:rPr>
          <w:vertAlign w:val="superscript"/>
        </w:rPr>
        <w:t>9</w:t>
      </w:r>
      <w:r w:rsidR="00BE3AFB" w:rsidRPr="005D2049">
        <w:t>/</w:t>
      </w:r>
      <w:r w:rsidR="006B4F10">
        <w:t>L</w:t>
      </w:r>
      <w:r w:rsidR="00BE3AFB" w:rsidRPr="005D2049">
        <w:t xml:space="preserve"> prior to </w:t>
      </w:r>
      <w:r w:rsidRPr="005D2049">
        <w:t>REVOLADE</w:t>
      </w:r>
      <w:r w:rsidR="00BE3AFB" w:rsidRPr="005D2049">
        <w:t xml:space="preserve"> administration.  </w:t>
      </w:r>
      <w:r w:rsidR="00092FBB" w:rsidRPr="005D2049">
        <w:t>REVOLADE increased median platelet counts to ≥ 50</w:t>
      </w:r>
      <w:r w:rsidR="00AE10CF">
        <w:t xml:space="preserve"> x 10</w:t>
      </w:r>
      <w:r w:rsidR="00AE10CF" w:rsidRPr="00AE10CF">
        <w:rPr>
          <w:vertAlign w:val="superscript"/>
        </w:rPr>
        <w:t>9</w:t>
      </w:r>
      <w:r w:rsidR="00092FBB" w:rsidRPr="005D2049">
        <w:t>/</w:t>
      </w:r>
      <w:r w:rsidR="00C00462">
        <w:t>L</w:t>
      </w:r>
      <w:r w:rsidR="00092FBB" w:rsidRPr="005D2049">
        <w:t xml:space="preserve"> at the majority of the post-baseline visits on the study.  The median count post-baseline increased to ≥</w:t>
      </w:r>
      <w:r w:rsidR="00AE10CF">
        <w:t xml:space="preserve"> </w:t>
      </w:r>
      <w:r w:rsidR="00092FBB" w:rsidRPr="005D2049">
        <w:t>50</w:t>
      </w:r>
      <w:r w:rsidR="00AE10CF">
        <w:t xml:space="preserve"> x 10</w:t>
      </w:r>
      <w:r w:rsidR="00AE10CF" w:rsidRPr="00AE10CF">
        <w:rPr>
          <w:vertAlign w:val="superscript"/>
        </w:rPr>
        <w:t>9</w:t>
      </w:r>
      <w:r w:rsidR="00092FBB" w:rsidRPr="005D2049">
        <w:t>/</w:t>
      </w:r>
      <w:r w:rsidR="00C00462">
        <w:t>L</w:t>
      </w:r>
      <w:r w:rsidR="00092FBB" w:rsidRPr="005D2049">
        <w:t xml:space="preserve"> beginning at the second week on study and remained elevated until the end of the observation period presented (i.e., 55 weeks), with the exception of weeks 29, 33 and 45 where the median platelet count was 44</w:t>
      </w:r>
      <w:r w:rsidR="00AE10CF">
        <w:t xml:space="preserve"> x 10</w:t>
      </w:r>
      <w:r w:rsidR="00AE10CF" w:rsidRPr="00AE10CF">
        <w:rPr>
          <w:vertAlign w:val="superscript"/>
        </w:rPr>
        <w:t>9</w:t>
      </w:r>
      <w:r w:rsidR="00AE10CF">
        <w:t xml:space="preserve">/L, </w:t>
      </w:r>
      <w:r w:rsidR="00092FBB" w:rsidRPr="005D2049">
        <w:t>43</w:t>
      </w:r>
      <w:r w:rsidR="00AE10CF">
        <w:t xml:space="preserve"> x 10</w:t>
      </w:r>
      <w:r w:rsidR="00AE10CF" w:rsidRPr="00AE10CF">
        <w:rPr>
          <w:vertAlign w:val="superscript"/>
        </w:rPr>
        <w:t>9</w:t>
      </w:r>
      <w:r w:rsidR="00AE10CF">
        <w:t>/L,</w:t>
      </w:r>
      <w:r w:rsidR="00092FBB" w:rsidRPr="005D2049">
        <w:t xml:space="preserve"> and 42</w:t>
      </w:r>
      <w:r w:rsidR="00AE10CF">
        <w:t xml:space="preserve"> x 10</w:t>
      </w:r>
      <w:r w:rsidR="00AE10CF" w:rsidRPr="00AE10CF">
        <w:rPr>
          <w:vertAlign w:val="superscript"/>
        </w:rPr>
        <w:t>9</w:t>
      </w:r>
      <w:r w:rsidR="00092FBB" w:rsidRPr="005D2049">
        <w:t>/</w:t>
      </w:r>
      <w:r w:rsidR="00C00462">
        <w:t>L</w:t>
      </w:r>
      <w:r w:rsidR="00092FBB" w:rsidRPr="005D2049">
        <w:t xml:space="preserve">, respectively.  </w:t>
      </w:r>
      <w:r w:rsidR="002F610D" w:rsidRPr="005D2049">
        <w:t>Just over half of the subjects (51</w:t>
      </w:r>
      <w:r w:rsidR="005F230D">
        <w:t xml:space="preserve"> </w:t>
      </w:r>
      <w:r w:rsidR="002F610D" w:rsidRPr="005D2049">
        <w:t xml:space="preserve">%) experienced ≥ 4 weeks of continuous </w:t>
      </w:r>
      <w:r w:rsidR="00A53CF0" w:rsidRPr="005D2049">
        <w:t>elevation</w:t>
      </w:r>
      <w:r w:rsidR="002F610D" w:rsidRPr="005D2049">
        <w:t xml:space="preserve"> of platelets ≥ 50</w:t>
      </w:r>
      <w:r w:rsidR="00AE10CF">
        <w:t xml:space="preserve"> x 10</w:t>
      </w:r>
      <w:r w:rsidR="00AE10CF" w:rsidRPr="00AE10CF">
        <w:rPr>
          <w:vertAlign w:val="superscript"/>
        </w:rPr>
        <w:t>9</w:t>
      </w:r>
      <w:r w:rsidR="002F610D" w:rsidRPr="005D2049">
        <w:t>/</w:t>
      </w:r>
      <w:r w:rsidR="00C00462">
        <w:t>L</w:t>
      </w:r>
      <w:r w:rsidR="002F610D" w:rsidRPr="005D2049">
        <w:t xml:space="preserve"> and 2 x baseline while receiving REVOLADE.</w:t>
      </w:r>
    </w:p>
    <w:p w14:paraId="5553BB3B" w14:textId="77777777" w:rsidR="00BE3AFB" w:rsidRPr="00DE25E4" w:rsidRDefault="00BE3AFB" w:rsidP="000D0F20">
      <w:pPr>
        <w:spacing w:line="300" w:lineRule="atLeast"/>
        <w:jc w:val="both"/>
      </w:pPr>
    </w:p>
    <w:p w14:paraId="5553BB3C" w14:textId="2269C0DF" w:rsidR="00BE3AFB" w:rsidRPr="005D2049" w:rsidRDefault="00BE3AFB" w:rsidP="005D2049">
      <w:pPr>
        <w:spacing w:line="300" w:lineRule="atLeast"/>
        <w:jc w:val="both"/>
      </w:pPr>
      <w:r w:rsidRPr="005D2049">
        <w:t xml:space="preserve">At baseline, 59 % of subjects had any bleeding (WHO Bleeding Grades 1–4) and 18 % had clinically significant bleeding. </w:t>
      </w:r>
      <w:r w:rsidR="00DB62D7" w:rsidRPr="005D2049">
        <w:t xml:space="preserve"> </w:t>
      </w:r>
      <w:r w:rsidR="00CE6023" w:rsidRPr="005D2049">
        <w:t>By weeks 24, 36 and 48, 26</w:t>
      </w:r>
      <w:r w:rsidR="00234DE6">
        <w:t xml:space="preserve"> </w:t>
      </w:r>
      <w:r w:rsidR="00CE6023" w:rsidRPr="005D2049">
        <w:t>%, 8</w:t>
      </w:r>
      <w:r w:rsidR="00234DE6">
        <w:t xml:space="preserve"> </w:t>
      </w:r>
      <w:r w:rsidR="00CE6023" w:rsidRPr="005D2049">
        <w:t>% and 33</w:t>
      </w:r>
      <w:r w:rsidR="00234DE6">
        <w:t xml:space="preserve"> </w:t>
      </w:r>
      <w:r w:rsidR="00CE6023" w:rsidRPr="005D2049">
        <w:t>% of subjects, respectively, had any bleeding and 9</w:t>
      </w:r>
      <w:r w:rsidR="00234DE6">
        <w:t xml:space="preserve"> </w:t>
      </w:r>
      <w:r w:rsidR="00CE6023" w:rsidRPr="005D2049">
        <w:t>%, 4</w:t>
      </w:r>
      <w:r w:rsidR="00234DE6">
        <w:t xml:space="preserve"> </w:t>
      </w:r>
      <w:r w:rsidR="00CE6023" w:rsidRPr="005D2049">
        <w:t>% and 25</w:t>
      </w:r>
      <w:r w:rsidR="00234DE6">
        <w:t xml:space="preserve"> </w:t>
      </w:r>
      <w:r w:rsidR="00CE6023" w:rsidRPr="005D2049">
        <w:t>% of subjects, respectively, had clinically significant bleeding.  The apparent increase in proportion of subjects with clinically significant bleeding at week 48 in comparison to baseline may be due to few subjects having assessments by week 48.</w:t>
      </w:r>
    </w:p>
    <w:p w14:paraId="5553BB3D" w14:textId="77777777" w:rsidR="00BE3AFB" w:rsidRPr="00DE25E4" w:rsidRDefault="00BE3AFB" w:rsidP="000D0F20">
      <w:pPr>
        <w:spacing w:line="300" w:lineRule="atLeast"/>
        <w:jc w:val="both"/>
      </w:pPr>
    </w:p>
    <w:p w14:paraId="5553BB3E" w14:textId="77777777" w:rsidR="00BE3AFB" w:rsidRPr="005D2049" w:rsidRDefault="00BE3AFB" w:rsidP="005D2049">
      <w:pPr>
        <w:spacing w:line="300" w:lineRule="atLeast"/>
        <w:jc w:val="both"/>
        <w:rPr>
          <w:color w:val="000000"/>
        </w:rPr>
      </w:pPr>
      <w:r w:rsidRPr="005D2049">
        <w:rPr>
          <w:color w:val="000000"/>
        </w:rPr>
        <w:t xml:space="preserve">Seventy percent of subjects who reduced a baseline medication permanently discontinued or had a sustained reduction of their baseline </w:t>
      </w:r>
      <w:smartTag w:uri="urn:schemas-microsoft-com:office:smarttags" w:element="stockticker">
        <w:r w:rsidRPr="005D2049">
          <w:rPr>
            <w:color w:val="000000"/>
          </w:rPr>
          <w:t>ITP</w:t>
        </w:r>
      </w:smartTag>
      <w:r w:rsidRPr="005D2049">
        <w:rPr>
          <w:color w:val="000000"/>
        </w:rPr>
        <w:t xml:space="preserve"> medication </w:t>
      </w:r>
      <w:r w:rsidRPr="005D2049">
        <w:rPr>
          <w:lang w:val="en-US"/>
        </w:rPr>
        <w:t>and did not require any subsequent rescue treatment.  Sixty-five percent o</w:t>
      </w:r>
      <w:r w:rsidRPr="005D2049">
        <w:rPr>
          <w:color w:val="000000"/>
        </w:rPr>
        <w:t xml:space="preserve">f these subjects maintained this discontinuation or reduction for at least 24 weeks.  Sixty-one percent of subjects completely discontinued at least one baseline </w:t>
      </w:r>
      <w:smartTag w:uri="urn:schemas-microsoft-com:office:smarttags" w:element="stockticker">
        <w:r w:rsidRPr="005D2049">
          <w:rPr>
            <w:color w:val="000000"/>
          </w:rPr>
          <w:t>ITP</w:t>
        </w:r>
      </w:smartTag>
      <w:r w:rsidRPr="005D2049">
        <w:rPr>
          <w:color w:val="000000"/>
        </w:rPr>
        <w:t xml:space="preserve"> medication, and 55 % of subjects permanently discontinued all baseline </w:t>
      </w:r>
      <w:smartTag w:uri="urn:schemas-microsoft-com:office:smarttags" w:element="stockticker">
        <w:r w:rsidRPr="005D2049">
          <w:rPr>
            <w:color w:val="000000"/>
          </w:rPr>
          <w:t>ITP</w:t>
        </w:r>
      </w:smartTag>
      <w:r w:rsidRPr="005D2049">
        <w:rPr>
          <w:color w:val="000000"/>
        </w:rPr>
        <w:t xml:space="preserve"> medications, without subsequent rescue treatment.</w:t>
      </w:r>
    </w:p>
    <w:p w14:paraId="5553BB3F" w14:textId="77777777" w:rsidR="00BE3AFB" w:rsidRPr="00DE25E4" w:rsidRDefault="00BE3AFB" w:rsidP="000D0F20">
      <w:pPr>
        <w:spacing w:line="300" w:lineRule="atLeast"/>
        <w:jc w:val="both"/>
      </w:pPr>
    </w:p>
    <w:p w14:paraId="5553BB40" w14:textId="77777777" w:rsidR="00BF6E47" w:rsidRPr="005D2049" w:rsidRDefault="00BE3AFB" w:rsidP="005D2049">
      <w:pPr>
        <w:spacing w:line="300" w:lineRule="atLeast"/>
        <w:jc w:val="both"/>
      </w:pPr>
      <w:r w:rsidRPr="005D2049">
        <w:t>Twenty-four subjects experienced at least one haemostatic challenge during the study.  No subject experienced unexpected bleeding complications related to the procedure while on study.</w:t>
      </w:r>
    </w:p>
    <w:p w14:paraId="5553BB41" w14:textId="77777777" w:rsidR="006C4A20" w:rsidRPr="00DE25E4" w:rsidRDefault="006C4A20" w:rsidP="00830F8A">
      <w:pPr>
        <w:autoSpaceDE w:val="0"/>
        <w:autoSpaceDN w:val="0"/>
        <w:adjustRightInd w:val="0"/>
        <w:spacing w:line="300" w:lineRule="atLeast"/>
        <w:jc w:val="both"/>
      </w:pPr>
    </w:p>
    <w:p w14:paraId="5553BB42" w14:textId="77777777" w:rsidR="00830F8A" w:rsidRPr="005D2049" w:rsidRDefault="00830F8A" w:rsidP="005D2049">
      <w:pPr>
        <w:spacing w:after="120" w:line="300" w:lineRule="atLeast"/>
        <w:jc w:val="both"/>
        <w:rPr>
          <w:b/>
          <w:u w:val="single"/>
        </w:rPr>
      </w:pPr>
      <w:r w:rsidRPr="005D2049">
        <w:rPr>
          <w:b/>
          <w:u w:val="single"/>
        </w:rPr>
        <w:t>Chronic hepatitis C associated thrombocytopenia studies</w:t>
      </w:r>
    </w:p>
    <w:p w14:paraId="5553BB44" w14:textId="1823D517" w:rsidR="00830F8A" w:rsidRPr="005D2049" w:rsidRDefault="00830F8A" w:rsidP="005D2049">
      <w:pPr>
        <w:spacing w:line="300" w:lineRule="atLeast"/>
        <w:jc w:val="both"/>
      </w:pPr>
      <w:r w:rsidRPr="005D2049">
        <w:lastRenderedPageBreak/>
        <w:t>The efficacy and safety of REVOLADE for the treatment of thrombocytopenia in subjects with HCV infection were evaluated in two randomized, double-blind, placebo-controlled</w:t>
      </w:r>
      <w:r w:rsidR="00400C73">
        <w:t>, multicentre</w:t>
      </w:r>
      <w:r w:rsidRPr="005D2049">
        <w:t xml:space="preserve"> studies</w:t>
      </w:r>
      <w:r w:rsidR="005F3821" w:rsidRPr="005D2049">
        <w:t xml:space="preserve"> (TPL103922 ENABLE 1 and TPL108390 ENABLE 2)</w:t>
      </w:r>
      <w:r w:rsidRPr="005D2049">
        <w:t xml:space="preserve">.  </w:t>
      </w:r>
      <w:r w:rsidR="005F3821" w:rsidRPr="005D2049">
        <w:t>ENABLE</w:t>
      </w:r>
      <w:r w:rsidRPr="005D2049">
        <w:t xml:space="preserve"> 1 utili</w:t>
      </w:r>
      <w:r w:rsidR="00BE2D86" w:rsidRPr="005D2049">
        <w:t>s</w:t>
      </w:r>
      <w:r w:rsidRPr="005D2049">
        <w:t xml:space="preserve">ed peginterferon alfa-2a plus ribavirin for antiviral treatment and </w:t>
      </w:r>
      <w:r w:rsidR="005F3821" w:rsidRPr="005D2049">
        <w:t>ENABLE</w:t>
      </w:r>
      <w:r w:rsidRPr="005D2049">
        <w:t xml:space="preserve"> 2 utili</w:t>
      </w:r>
      <w:r w:rsidR="00BE2D86" w:rsidRPr="005D2049">
        <w:t>s</w:t>
      </w:r>
      <w:r w:rsidRPr="005D2049">
        <w:t>ed peginterferon alfa-2b plus ribavirin.  In both studies, subjects with a platelet count of &lt; 75</w:t>
      </w:r>
      <w:r w:rsidR="00400C73">
        <w:t xml:space="preserve"> x 10</w:t>
      </w:r>
      <w:r w:rsidR="00400C73" w:rsidRPr="00400C73">
        <w:rPr>
          <w:vertAlign w:val="superscript"/>
        </w:rPr>
        <w:t>9</w:t>
      </w:r>
      <w:r w:rsidRPr="005D2049">
        <w:t>/</w:t>
      </w:r>
      <w:r w:rsidR="00400C73">
        <w:t>L</w:t>
      </w:r>
      <w:r w:rsidRPr="005D2049">
        <w:t xml:space="preserve"> were enrolled and stratified by platelet count (&lt; 50</w:t>
      </w:r>
      <w:r w:rsidR="00AE10CF">
        <w:t xml:space="preserve"> x 10</w:t>
      </w:r>
      <w:r w:rsidR="00AE10CF" w:rsidRPr="00AE10CF">
        <w:rPr>
          <w:vertAlign w:val="superscript"/>
        </w:rPr>
        <w:t>9</w:t>
      </w:r>
      <w:r w:rsidRPr="005D2049">
        <w:t>/</w:t>
      </w:r>
      <w:r w:rsidR="00AE10CF">
        <w:t>L</w:t>
      </w:r>
      <w:r w:rsidRPr="005D2049">
        <w:t xml:space="preserve"> and ≥ 50</w:t>
      </w:r>
      <w:r w:rsidR="00AE10CF">
        <w:t xml:space="preserve"> x 10</w:t>
      </w:r>
      <w:r w:rsidR="00AE10CF" w:rsidRPr="00AE10CF">
        <w:rPr>
          <w:vertAlign w:val="superscript"/>
        </w:rPr>
        <w:t>9</w:t>
      </w:r>
      <w:r w:rsidRPr="005D2049">
        <w:t>/</w:t>
      </w:r>
      <w:r w:rsidR="00AE10CF">
        <w:t>L</w:t>
      </w:r>
      <w:r w:rsidRPr="005D2049">
        <w:t xml:space="preserve"> to &lt; 75</w:t>
      </w:r>
      <w:r w:rsidR="00AE10CF">
        <w:t xml:space="preserve"> x 10</w:t>
      </w:r>
      <w:r w:rsidR="00AE10CF" w:rsidRPr="00AE10CF">
        <w:rPr>
          <w:vertAlign w:val="superscript"/>
        </w:rPr>
        <w:t>9</w:t>
      </w:r>
      <w:r w:rsidRPr="005D2049">
        <w:t>/</w:t>
      </w:r>
      <w:r w:rsidR="00AE10CF">
        <w:t>L</w:t>
      </w:r>
      <w:r w:rsidRPr="005D2049">
        <w:t>), screening HCV RNA (&lt; 800,000 IU/m</w:t>
      </w:r>
      <w:r w:rsidR="00E511FD">
        <w:t>L</w:t>
      </w:r>
      <w:r w:rsidRPr="005D2049">
        <w:t xml:space="preserve"> and ≥ 800,000 IU/m</w:t>
      </w:r>
      <w:r w:rsidR="00E511FD">
        <w:t>L</w:t>
      </w:r>
      <w:r w:rsidRPr="005D2049">
        <w:t>), and HCV genotype (genotype 2/3, and genotype 1/4/6).</w:t>
      </w:r>
    </w:p>
    <w:p w14:paraId="5553BB45" w14:textId="77777777" w:rsidR="00830F8A" w:rsidRPr="00DE25E4" w:rsidRDefault="00830F8A" w:rsidP="00830F8A">
      <w:pPr>
        <w:spacing w:line="300" w:lineRule="atLeast"/>
        <w:jc w:val="both"/>
      </w:pPr>
    </w:p>
    <w:p w14:paraId="5553BB46" w14:textId="644ED5F1" w:rsidR="00830F8A" w:rsidRPr="005D2049" w:rsidRDefault="00830F8A" w:rsidP="005D2049">
      <w:pPr>
        <w:spacing w:line="300" w:lineRule="atLeast"/>
        <w:jc w:val="both"/>
      </w:pPr>
      <w:r w:rsidRPr="005D2049">
        <w:t>The studies consisted of two phases</w:t>
      </w:r>
      <w:r w:rsidR="00AE6E1D">
        <w:t xml:space="preserve">: </w:t>
      </w:r>
      <w:r w:rsidRPr="005D2049">
        <w:t>a pre-antiviral treatment phase and an antiviral treatment phase.  In the pre-antiviral treatment phase, subjects received open-label REVOLADE to increase the platelet count to ≥ 90</w:t>
      </w:r>
      <w:r w:rsidR="00E511FD">
        <w:t xml:space="preserve"> x 10</w:t>
      </w:r>
      <w:r w:rsidR="00E511FD" w:rsidRPr="00E511FD">
        <w:rPr>
          <w:vertAlign w:val="superscript"/>
        </w:rPr>
        <w:t>9</w:t>
      </w:r>
      <w:r w:rsidRPr="005D2049">
        <w:t>/µ</w:t>
      </w:r>
      <w:r w:rsidR="00E511FD">
        <w:t>L</w:t>
      </w:r>
      <w:r w:rsidRPr="005D2049">
        <w:t xml:space="preserve"> for </w:t>
      </w:r>
      <w:r w:rsidR="005F3821" w:rsidRPr="005D2049">
        <w:t>ENABLE</w:t>
      </w:r>
      <w:r w:rsidRPr="005D2049">
        <w:t xml:space="preserve"> 1 and ≥ 100</w:t>
      </w:r>
      <w:r w:rsidR="00E511FD">
        <w:t xml:space="preserve"> x 10</w:t>
      </w:r>
      <w:r w:rsidR="00E511FD" w:rsidRPr="00E511FD">
        <w:rPr>
          <w:vertAlign w:val="superscript"/>
        </w:rPr>
        <w:t>9</w:t>
      </w:r>
      <w:r w:rsidRPr="005D2049">
        <w:t>/µ</w:t>
      </w:r>
      <w:r w:rsidR="00E511FD">
        <w:t>L</w:t>
      </w:r>
      <w:r w:rsidRPr="005D2049">
        <w:t xml:space="preserve"> for </w:t>
      </w:r>
      <w:r w:rsidR="005F3821" w:rsidRPr="005D2049">
        <w:t>ENABLE</w:t>
      </w:r>
      <w:r w:rsidRPr="005D2049">
        <w:t xml:space="preserve"> 2.  REVOLADE was administered at an initial dose of 25 mg once daily for 2 weeks and increased in 25 mg increments over 2 to 3 week periods to achieve the required platelet count for phase 2 of the study.  The maximal time subjects could receive open-label </w:t>
      </w:r>
      <w:r w:rsidR="005F3821" w:rsidRPr="005D2049">
        <w:t>REVOLADE</w:t>
      </w:r>
      <w:r w:rsidRPr="005D2049">
        <w:t xml:space="preserve"> was 9 weeks.  If sufficient platelet counts were achieved, subjects were randomized (2:1) to the same dose of </w:t>
      </w:r>
      <w:r w:rsidR="005F3821" w:rsidRPr="005D2049">
        <w:t>REVOLADE</w:t>
      </w:r>
      <w:r w:rsidRPr="005D2049">
        <w:t xml:space="preserve"> at the end of the pre-treatment phase or to placebo.  REVOLADE was administered in combination with antiviral treatment per their respective prescribing information for up to 48 weeks.</w:t>
      </w:r>
    </w:p>
    <w:p w14:paraId="5553BB47" w14:textId="77777777" w:rsidR="00830F8A" w:rsidRPr="00DE25E4" w:rsidRDefault="00830F8A" w:rsidP="00830F8A">
      <w:pPr>
        <w:spacing w:line="300" w:lineRule="atLeast"/>
        <w:jc w:val="both"/>
      </w:pPr>
    </w:p>
    <w:p w14:paraId="5553BB48" w14:textId="622FEA46" w:rsidR="00830F8A" w:rsidRPr="005D2049" w:rsidRDefault="00830F8A" w:rsidP="005D2049">
      <w:pPr>
        <w:spacing w:line="300" w:lineRule="atLeast"/>
        <w:jc w:val="both"/>
        <w:rPr>
          <w:b/>
          <w:i/>
          <w:lang w:val="en-GB"/>
        </w:rPr>
      </w:pPr>
      <w:r w:rsidRPr="005D2049">
        <w:t xml:space="preserve">The primary efficacy endpoint for both studies was sustained virological response (SVR), defined as the percentage of subjects with no detectable HCV-RNA at 24 weeks after completion of the planned treatment period.  </w:t>
      </w:r>
      <w:r w:rsidR="00091648" w:rsidRPr="005D2049">
        <w:t>A</w:t>
      </w:r>
      <w:r w:rsidRPr="005D2049">
        <w:t>pproximately 70 % of subjects were genotype 1/4/6 and 30 % were genotype 2/3.  Approximately 30 % of subjects had been treated with prior HCV therapies, primarily pegylated interferon plus ribavirin.  The median baseline platelet counts (approximately 60</w:t>
      </w:r>
      <w:r w:rsidR="00E511FD">
        <w:t xml:space="preserve"> x 10</w:t>
      </w:r>
      <w:r w:rsidR="00E511FD" w:rsidRPr="00E511FD">
        <w:rPr>
          <w:vertAlign w:val="superscript"/>
        </w:rPr>
        <w:t>9</w:t>
      </w:r>
      <w:r w:rsidRPr="005D2049">
        <w:t>/</w:t>
      </w:r>
      <w:r w:rsidR="00E511FD">
        <w:t>L</w:t>
      </w:r>
      <w:r w:rsidRPr="005D2049">
        <w:t>) were similar among all treatment groups.  The median time to achieve the target platelet count ≥ 90</w:t>
      </w:r>
      <w:r w:rsidR="00E511FD">
        <w:t xml:space="preserve"> x 10</w:t>
      </w:r>
      <w:r w:rsidR="00E511FD" w:rsidRPr="00E511FD">
        <w:rPr>
          <w:vertAlign w:val="superscript"/>
        </w:rPr>
        <w:t>9</w:t>
      </w:r>
      <w:r w:rsidRPr="005D2049">
        <w:t>/</w:t>
      </w:r>
      <w:r w:rsidR="00E511FD">
        <w:t>L</w:t>
      </w:r>
      <w:r w:rsidRPr="005D2049">
        <w:t xml:space="preserve"> was 2 weeks</w:t>
      </w:r>
      <w:r w:rsidR="000B3C2C" w:rsidRPr="005D2049">
        <w:t xml:space="preserve">. </w:t>
      </w:r>
      <w:r w:rsidR="000B3C2C" w:rsidRPr="00DE25E4">
        <w:rPr>
          <w:color w:val="FF0000"/>
          <w:lang w:val="en-GB" w:eastAsia="en-GB"/>
        </w:rPr>
        <w:t xml:space="preserve"> </w:t>
      </w:r>
      <w:r w:rsidR="000B3C2C" w:rsidRPr="005D2049">
        <w:rPr>
          <w:lang w:val="en-GB"/>
        </w:rPr>
        <w:t>The median time to achieve the target platelet count ≥ 90</w:t>
      </w:r>
      <w:r w:rsidR="00E511FD">
        <w:rPr>
          <w:lang w:val="en-GB"/>
        </w:rPr>
        <w:t xml:space="preserve"> x 10</w:t>
      </w:r>
      <w:r w:rsidR="00E511FD" w:rsidRPr="00E511FD">
        <w:rPr>
          <w:vertAlign w:val="superscript"/>
          <w:lang w:val="en-GB"/>
        </w:rPr>
        <w:t>9</w:t>
      </w:r>
      <w:r w:rsidR="000B3C2C" w:rsidRPr="005D2049">
        <w:rPr>
          <w:lang w:val="en-GB"/>
        </w:rPr>
        <w:t>/</w:t>
      </w:r>
      <w:r w:rsidR="00E511FD">
        <w:rPr>
          <w:lang w:val="en-GB"/>
        </w:rPr>
        <w:t>L</w:t>
      </w:r>
      <w:r w:rsidR="000B3C2C" w:rsidRPr="005D2049">
        <w:rPr>
          <w:lang w:val="en-GB"/>
        </w:rPr>
        <w:t xml:space="preserve"> (ENABLE 1) or ≥ 100</w:t>
      </w:r>
      <w:r w:rsidR="00E511FD">
        <w:rPr>
          <w:lang w:val="en-GB"/>
        </w:rPr>
        <w:t xml:space="preserve"> x 10</w:t>
      </w:r>
      <w:r w:rsidR="00E511FD" w:rsidRPr="00E511FD">
        <w:rPr>
          <w:vertAlign w:val="superscript"/>
          <w:lang w:val="en-GB"/>
        </w:rPr>
        <w:t>9</w:t>
      </w:r>
      <w:r w:rsidR="000B3C2C" w:rsidRPr="005D2049">
        <w:rPr>
          <w:lang w:val="en-GB"/>
        </w:rPr>
        <w:t>/</w:t>
      </w:r>
      <w:r w:rsidR="00E511FD">
        <w:rPr>
          <w:lang w:val="en-GB"/>
        </w:rPr>
        <w:t>L</w:t>
      </w:r>
      <w:r w:rsidR="000B3C2C" w:rsidRPr="005D2049">
        <w:rPr>
          <w:lang w:val="en-GB"/>
        </w:rPr>
        <w:t xml:space="preserve"> (ENABLE 2) was 2 weeks.</w:t>
      </w:r>
    </w:p>
    <w:p w14:paraId="5553BB4A" w14:textId="25DD3B6A" w:rsidR="00830F8A" w:rsidRPr="005D2049" w:rsidRDefault="00830F8A" w:rsidP="0021023A">
      <w:pPr>
        <w:widowControl w:val="0"/>
        <w:spacing w:line="300" w:lineRule="atLeast"/>
        <w:jc w:val="both"/>
      </w:pPr>
      <w:r w:rsidRPr="005D2049">
        <w:t>In both HCV studies, a significantly greater proportion of subjects treated with REVOLADE achieved SVR compared to those treated with placebo (see Table 3). Significantly fewer subjects treated with REVOLADE had any antiviral dose reductions compared to placebo.  The proportion of subjects with no antiviral dose reductions was 45 % for REVOLADE compared to 27 % for placebo.  Significantly fewer subjects treated with REVOLADE prematurely discontinued antiviral therapy compared to placebo (45 % vs. 60 %, p </w:t>
      </w:r>
      <w:r w:rsidR="008C1C74" w:rsidRPr="005D2049">
        <w:t>&lt;</w:t>
      </w:r>
      <w:r w:rsidRPr="005D2049">
        <w:t xml:space="preserve"> 0.0001).  </w:t>
      </w:r>
      <w:r w:rsidR="000B3C2C" w:rsidRPr="005D2049">
        <w:t>T</w:t>
      </w:r>
      <w:r w:rsidRPr="005D2049">
        <w:t>he majority of subjects treated with REVOLADE (76 %) had minimum platelet counts that were ≥ 50</w:t>
      </w:r>
      <w:r w:rsidR="00E511FD">
        <w:t xml:space="preserve"> x 10</w:t>
      </w:r>
      <w:r w:rsidR="00E511FD" w:rsidRPr="00E511FD">
        <w:rPr>
          <w:vertAlign w:val="superscript"/>
        </w:rPr>
        <w:t>9</w:t>
      </w:r>
      <w:r w:rsidRPr="005D2049">
        <w:t>/</w:t>
      </w:r>
      <w:r w:rsidR="00E511FD">
        <w:t>L</w:t>
      </w:r>
      <w:r w:rsidRPr="005D2049">
        <w:t xml:space="preserve"> compared to 19 % for placebo.  A greater proportion of subjects in the placebo group (20 %) had minimum platelet counts fall below 25</w:t>
      </w:r>
      <w:r w:rsidR="00E511FD">
        <w:t xml:space="preserve"> x 10</w:t>
      </w:r>
      <w:r w:rsidR="00E511FD" w:rsidRPr="00E511FD">
        <w:rPr>
          <w:vertAlign w:val="superscript"/>
        </w:rPr>
        <w:t>9</w:t>
      </w:r>
      <w:r w:rsidRPr="005D2049">
        <w:t>/</w:t>
      </w:r>
      <w:r w:rsidR="00E511FD">
        <w:t>L</w:t>
      </w:r>
      <w:r w:rsidRPr="005D2049">
        <w:t xml:space="preserve"> during </w:t>
      </w:r>
      <w:r w:rsidR="0039278B" w:rsidRPr="005D2049">
        <w:t xml:space="preserve">antiviral </w:t>
      </w:r>
      <w:r w:rsidRPr="005D2049">
        <w:t xml:space="preserve">treatment compared to the </w:t>
      </w:r>
      <w:r w:rsidR="000B3C2C" w:rsidRPr="005D2049">
        <w:t>REVOLADE</w:t>
      </w:r>
      <w:r w:rsidRPr="005D2049">
        <w:t xml:space="preserve"> group (3 %).  In the REVOLADE group, SVR rates in subjects with high viral loads (&gt; 800,000</w:t>
      </w:r>
      <w:r w:rsidR="00E511FD" w:rsidRPr="00E511FD">
        <w:t xml:space="preserve"> IU/mL</w:t>
      </w:r>
      <w:r w:rsidRPr="005D2049">
        <w:t>) were 18 % as compared to 8 % in the placebo group.  Significantly more subjects reached the antiviral milestones of early virologic response (EVR), complete early virologic response (cEVR), end of treatment response (ETR) and sustained virologic response at 12-week follow-up (SVR12) when treated with REVOLADE.</w:t>
      </w:r>
    </w:p>
    <w:p w14:paraId="5553BB4B" w14:textId="77777777" w:rsidR="00830F8A" w:rsidRDefault="00830F8A" w:rsidP="006C4A20">
      <w:pPr>
        <w:autoSpaceDE w:val="0"/>
        <w:autoSpaceDN w:val="0"/>
        <w:adjustRightInd w:val="0"/>
        <w:rPr>
          <w:rFonts w:ascii="Arial" w:hAnsi="Arial" w:cs="Arial"/>
          <w:sz w:val="22"/>
          <w:szCs w:val="22"/>
        </w:rPr>
      </w:pPr>
    </w:p>
    <w:p w14:paraId="489AA59D" w14:textId="77777777" w:rsidR="009F488F" w:rsidRPr="004138C8" w:rsidRDefault="00830F8A" w:rsidP="009F5C87">
      <w:pPr>
        <w:pStyle w:val="Caption"/>
        <w:spacing w:before="0" w:after="0" w:line="300" w:lineRule="atLeast"/>
        <w:jc w:val="both"/>
        <w:rPr>
          <w:rFonts w:ascii="Arial" w:hAnsi="Arial" w:cs="Arial"/>
        </w:rPr>
      </w:pPr>
      <w:r w:rsidRPr="004138C8">
        <w:rPr>
          <w:rFonts w:ascii="Arial" w:hAnsi="Arial" w:cs="Arial"/>
        </w:rPr>
        <w:lastRenderedPageBreak/>
        <w:t>Table 3</w:t>
      </w:r>
      <w:r w:rsidR="004727D2" w:rsidRPr="004138C8">
        <w:rPr>
          <w:rFonts w:ascii="Arial" w:hAnsi="Arial" w:cs="Arial"/>
        </w:rPr>
        <w:tab/>
      </w:r>
      <w:r w:rsidR="00860F9C" w:rsidRPr="004138C8">
        <w:rPr>
          <w:rFonts w:ascii="Arial" w:hAnsi="Arial" w:cs="Arial"/>
        </w:rPr>
        <w:t>ENABLE 1 and ENABLE 2</w:t>
      </w:r>
      <w:r w:rsidRPr="004138C8">
        <w:rPr>
          <w:rFonts w:ascii="Arial" w:hAnsi="Arial" w:cs="Arial"/>
        </w:rPr>
        <w:t xml:space="preserve"> </w:t>
      </w:r>
      <w:r w:rsidR="00AE6E1D" w:rsidRPr="004138C8">
        <w:rPr>
          <w:rFonts w:ascii="Arial" w:hAnsi="Arial" w:cs="Arial"/>
        </w:rPr>
        <w:t>v</w:t>
      </w:r>
      <w:r w:rsidRPr="004138C8">
        <w:rPr>
          <w:rFonts w:ascii="Arial" w:hAnsi="Arial" w:cs="Arial"/>
        </w:rPr>
        <w:t xml:space="preserve">irological </w:t>
      </w:r>
      <w:r w:rsidR="00AE6E1D" w:rsidRPr="004138C8">
        <w:rPr>
          <w:rFonts w:ascii="Arial" w:hAnsi="Arial" w:cs="Arial"/>
        </w:rPr>
        <w:t>r</w:t>
      </w:r>
      <w:r w:rsidRPr="004138C8">
        <w:rPr>
          <w:rFonts w:ascii="Arial" w:hAnsi="Arial" w:cs="Arial"/>
        </w:rPr>
        <w:t>esponse</w:t>
      </w:r>
      <w:r w:rsidR="009F488F" w:rsidRPr="004138C8">
        <w:rPr>
          <w:rFonts w:ascii="Arial" w:hAnsi="Arial" w:cs="Arial"/>
        </w:rPr>
        <w:t xml:space="preserve"> in HCV patients with </w:t>
      </w:r>
    </w:p>
    <w:p w14:paraId="16CC6FE6" w14:textId="6FD05731" w:rsidR="00606CA3" w:rsidRPr="004138C8" w:rsidRDefault="009F488F" w:rsidP="009F488F">
      <w:pPr>
        <w:pStyle w:val="Caption"/>
        <w:spacing w:before="0" w:after="0" w:line="300" w:lineRule="atLeast"/>
        <w:ind w:left="720" w:firstLine="720"/>
        <w:jc w:val="both"/>
        <w:rPr>
          <w:rFonts w:ascii="Arial" w:hAnsi="Arial" w:cs="Arial"/>
        </w:rPr>
      </w:pPr>
      <w:r w:rsidRPr="004138C8">
        <w:rPr>
          <w:rFonts w:ascii="Arial" w:hAnsi="Arial" w:cs="Arial"/>
        </w:rPr>
        <w:t>thrombocytopenia</w:t>
      </w:r>
    </w:p>
    <w:p w14:paraId="5553BB4C" w14:textId="3BED77A9" w:rsidR="00830F8A" w:rsidRPr="00C21313" w:rsidRDefault="00830F8A" w:rsidP="009F5C87">
      <w:pPr>
        <w:pStyle w:val="Caption"/>
        <w:spacing w:before="0" w:after="0" w:line="300" w:lineRule="atLeast"/>
        <w:jc w:val="both"/>
        <w:rPr>
          <w:rFonts w:ascii="Arial" w:hAnsi="Arial" w:cs="Arial"/>
          <w:sz w:val="22"/>
          <w:szCs w:val="22"/>
        </w:rPr>
      </w:pPr>
      <w:r>
        <w:rPr>
          <w:rFonts w:ascii="Arial" w:hAnsi="Arial" w:cs="Arial"/>
          <w:sz w:val="22"/>
          <w:szCs w:val="22"/>
        </w:rPr>
        <w:t xml:space="preserve"> </w:t>
      </w: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30"/>
        <w:gridCol w:w="1183"/>
        <w:gridCol w:w="1561"/>
        <w:gridCol w:w="1183"/>
      </w:tblGrid>
      <w:tr w:rsidR="00E62E6F" w14:paraId="50493116" w14:textId="77777777" w:rsidTr="00E54580">
        <w:tc>
          <w:tcPr>
            <w:tcW w:w="3256" w:type="dxa"/>
          </w:tcPr>
          <w:p w14:paraId="4CA59448" w14:textId="77777777" w:rsidR="00E62E6F" w:rsidRPr="00830F8A" w:rsidRDefault="00E62E6F" w:rsidP="00606CA3">
            <w:pPr>
              <w:rPr>
                <w:rFonts w:ascii="Arial" w:hAnsi="Arial" w:cs="Arial"/>
                <w:sz w:val="22"/>
                <w:szCs w:val="22"/>
              </w:rPr>
            </w:pPr>
          </w:p>
        </w:tc>
        <w:tc>
          <w:tcPr>
            <w:tcW w:w="2713" w:type="dxa"/>
            <w:gridSpan w:val="2"/>
          </w:tcPr>
          <w:p w14:paraId="1CB6B24D" w14:textId="77777777" w:rsidR="00606CA3" w:rsidRDefault="00606CA3" w:rsidP="00606CA3">
            <w:pPr>
              <w:spacing w:line="300" w:lineRule="atLeast"/>
              <w:jc w:val="center"/>
              <w:rPr>
                <w:rFonts w:ascii="Arial" w:hAnsi="Arial" w:cs="Arial"/>
                <w:b/>
                <w:sz w:val="22"/>
                <w:szCs w:val="22"/>
                <w:vertAlign w:val="superscript"/>
              </w:rPr>
            </w:pPr>
            <w:r>
              <w:rPr>
                <w:rFonts w:ascii="Arial" w:hAnsi="Arial" w:cs="Arial"/>
                <w:b/>
                <w:sz w:val="22"/>
                <w:szCs w:val="22"/>
              </w:rPr>
              <w:t>ENABLE</w:t>
            </w:r>
            <w:r w:rsidRPr="00830F8A">
              <w:rPr>
                <w:rFonts w:ascii="Arial" w:hAnsi="Arial" w:cs="Arial"/>
                <w:b/>
                <w:sz w:val="22"/>
                <w:szCs w:val="22"/>
              </w:rPr>
              <w:t xml:space="preserve"> 1</w:t>
            </w:r>
            <w:r w:rsidRPr="00830F8A">
              <w:rPr>
                <w:rFonts w:ascii="Arial" w:hAnsi="Arial" w:cs="Arial"/>
                <w:b/>
                <w:sz w:val="22"/>
                <w:szCs w:val="22"/>
                <w:vertAlign w:val="superscript"/>
              </w:rPr>
              <w:t>a</w:t>
            </w:r>
            <w:r>
              <w:rPr>
                <w:rFonts w:ascii="Arial" w:hAnsi="Arial" w:cs="Arial"/>
                <w:b/>
                <w:sz w:val="22"/>
                <w:szCs w:val="22"/>
                <w:vertAlign w:val="superscript"/>
              </w:rPr>
              <w:t xml:space="preserve"> </w:t>
            </w:r>
          </w:p>
          <w:p w14:paraId="4F349CCE" w14:textId="27E2E98C" w:rsidR="00E62E6F" w:rsidRPr="00830F8A" w:rsidRDefault="00606CA3" w:rsidP="00606CA3">
            <w:pPr>
              <w:spacing w:line="300" w:lineRule="atLeast"/>
              <w:jc w:val="center"/>
              <w:rPr>
                <w:rFonts w:ascii="Arial" w:hAnsi="Arial" w:cs="Arial"/>
                <w:b/>
                <w:sz w:val="22"/>
                <w:szCs w:val="22"/>
              </w:rPr>
            </w:pPr>
            <w:r>
              <w:rPr>
                <w:rFonts w:ascii="Arial" w:hAnsi="Arial" w:cs="Arial"/>
                <w:b/>
                <w:sz w:val="22"/>
                <w:szCs w:val="22"/>
              </w:rPr>
              <w:t>(TPL103922)</w:t>
            </w:r>
          </w:p>
        </w:tc>
        <w:tc>
          <w:tcPr>
            <w:tcW w:w="2744" w:type="dxa"/>
            <w:gridSpan w:val="2"/>
          </w:tcPr>
          <w:p w14:paraId="52918EC9" w14:textId="20147593" w:rsidR="00606CA3" w:rsidRDefault="00606CA3" w:rsidP="00606CA3">
            <w:pPr>
              <w:spacing w:line="300" w:lineRule="atLeast"/>
              <w:jc w:val="center"/>
              <w:rPr>
                <w:rFonts w:ascii="Arial" w:hAnsi="Arial" w:cs="Arial"/>
                <w:b/>
                <w:sz w:val="22"/>
                <w:szCs w:val="22"/>
                <w:vertAlign w:val="superscript"/>
              </w:rPr>
            </w:pPr>
            <w:r>
              <w:rPr>
                <w:rFonts w:ascii="Arial" w:hAnsi="Arial" w:cs="Arial"/>
                <w:b/>
                <w:sz w:val="22"/>
                <w:szCs w:val="22"/>
              </w:rPr>
              <w:t xml:space="preserve">ENABLE </w:t>
            </w:r>
            <w:r w:rsidRPr="00830F8A">
              <w:rPr>
                <w:rFonts w:ascii="Arial" w:hAnsi="Arial" w:cs="Arial"/>
                <w:b/>
                <w:sz w:val="22"/>
                <w:szCs w:val="22"/>
              </w:rPr>
              <w:t>2</w:t>
            </w:r>
            <w:r w:rsidRPr="00830F8A">
              <w:rPr>
                <w:rFonts w:ascii="Arial" w:hAnsi="Arial" w:cs="Arial"/>
                <w:b/>
                <w:sz w:val="22"/>
                <w:szCs w:val="22"/>
                <w:vertAlign w:val="superscript"/>
              </w:rPr>
              <w:t>b</w:t>
            </w:r>
          </w:p>
          <w:p w14:paraId="6487FEDC" w14:textId="351F9BE6" w:rsidR="00E62E6F" w:rsidRPr="00830F8A" w:rsidRDefault="00606CA3" w:rsidP="00606CA3">
            <w:pPr>
              <w:spacing w:line="300" w:lineRule="atLeast"/>
              <w:jc w:val="center"/>
              <w:rPr>
                <w:rFonts w:ascii="Arial" w:hAnsi="Arial" w:cs="Arial"/>
                <w:b/>
                <w:sz w:val="22"/>
                <w:szCs w:val="22"/>
              </w:rPr>
            </w:pPr>
            <w:r>
              <w:rPr>
                <w:rFonts w:ascii="Arial" w:hAnsi="Arial" w:cs="Arial"/>
                <w:b/>
                <w:sz w:val="22"/>
                <w:szCs w:val="22"/>
              </w:rPr>
              <w:t>(TPL108390)</w:t>
            </w:r>
          </w:p>
        </w:tc>
      </w:tr>
      <w:tr w:rsidR="00E62E6F" w14:paraId="2EB674DA" w14:textId="77777777" w:rsidTr="00E54580">
        <w:tc>
          <w:tcPr>
            <w:tcW w:w="3256" w:type="dxa"/>
          </w:tcPr>
          <w:p w14:paraId="5DEBA747" w14:textId="03EEE152" w:rsidR="00E62E6F" w:rsidRPr="00830F8A" w:rsidRDefault="00E62E6F" w:rsidP="00E62E6F">
            <w:pPr>
              <w:spacing w:line="300" w:lineRule="atLeast"/>
              <w:rPr>
                <w:rFonts w:ascii="Arial" w:hAnsi="Arial" w:cs="Arial"/>
                <w:sz w:val="22"/>
                <w:szCs w:val="22"/>
              </w:rPr>
            </w:pPr>
            <w:r w:rsidRPr="00830F8A">
              <w:rPr>
                <w:rFonts w:ascii="Arial" w:hAnsi="Arial" w:cs="Arial"/>
                <w:b/>
                <w:sz w:val="22"/>
                <w:szCs w:val="22"/>
              </w:rPr>
              <w:t>Pre-antiviral Treatment Phase</w:t>
            </w:r>
          </w:p>
        </w:tc>
        <w:tc>
          <w:tcPr>
            <w:tcW w:w="2713" w:type="dxa"/>
            <w:gridSpan w:val="2"/>
          </w:tcPr>
          <w:p w14:paraId="429D88BA" w14:textId="0D378189" w:rsidR="00E62E6F" w:rsidRPr="00830F8A" w:rsidRDefault="00606CA3" w:rsidP="00E62E6F">
            <w:pPr>
              <w:spacing w:line="300" w:lineRule="atLeast"/>
              <w:jc w:val="center"/>
              <w:rPr>
                <w:rFonts w:ascii="Arial" w:hAnsi="Arial" w:cs="Arial"/>
                <w:b/>
                <w:sz w:val="22"/>
                <w:szCs w:val="22"/>
              </w:rPr>
            </w:pPr>
            <w:r w:rsidRPr="00830F8A">
              <w:rPr>
                <w:rFonts w:ascii="Arial" w:hAnsi="Arial" w:cs="Arial"/>
                <w:sz w:val="22"/>
                <w:szCs w:val="22"/>
              </w:rPr>
              <w:t>N = 71</w:t>
            </w:r>
            <w:r>
              <w:rPr>
                <w:rFonts w:ascii="Arial" w:hAnsi="Arial" w:cs="Arial"/>
                <w:sz w:val="22"/>
                <w:szCs w:val="22"/>
              </w:rPr>
              <w:t>5</w:t>
            </w:r>
          </w:p>
        </w:tc>
        <w:tc>
          <w:tcPr>
            <w:tcW w:w="2744" w:type="dxa"/>
            <w:gridSpan w:val="2"/>
          </w:tcPr>
          <w:p w14:paraId="18BD3C13" w14:textId="0F8DB87B" w:rsidR="00E62E6F" w:rsidRPr="00830F8A" w:rsidRDefault="00606CA3" w:rsidP="00E62E6F">
            <w:pPr>
              <w:spacing w:line="300" w:lineRule="atLeast"/>
              <w:jc w:val="center"/>
              <w:rPr>
                <w:rFonts w:ascii="Arial" w:hAnsi="Arial" w:cs="Arial"/>
                <w:b/>
                <w:sz w:val="22"/>
                <w:szCs w:val="22"/>
              </w:rPr>
            </w:pPr>
            <w:r w:rsidRPr="00830F8A">
              <w:rPr>
                <w:rFonts w:ascii="Arial" w:hAnsi="Arial" w:cs="Arial"/>
                <w:sz w:val="22"/>
                <w:szCs w:val="22"/>
              </w:rPr>
              <w:t>N = 8</w:t>
            </w:r>
            <w:r>
              <w:rPr>
                <w:rFonts w:ascii="Arial" w:hAnsi="Arial" w:cs="Arial"/>
                <w:sz w:val="22"/>
                <w:szCs w:val="22"/>
              </w:rPr>
              <w:t>05</w:t>
            </w:r>
          </w:p>
        </w:tc>
      </w:tr>
      <w:tr w:rsidR="00E62E6F" w14:paraId="7B04C1BB" w14:textId="77777777" w:rsidTr="00E54580">
        <w:tc>
          <w:tcPr>
            <w:tcW w:w="3256" w:type="dxa"/>
          </w:tcPr>
          <w:p w14:paraId="6BDEED7D" w14:textId="34885086" w:rsidR="00E62E6F" w:rsidRPr="00830F8A" w:rsidRDefault="00E62E6F" w:rsidP="00606CA3">
            <w:pPr>
              <w:spacing w:line="300" w:lineRule="atLeast"/>
              <w:jc w:val="both"/>
              <w:rPr>
                <w:rFonts w:ascii="Arial" w:hAnsi="Arial" w:cs="Arial"/>
                <w:sz w:val="22"/>
                <w:szCs w:val="22"/>
              </w:rPr>
            </w:pPr>
            <w:r w:rsidRPr="00830F8A">
              <w:rPr>
                <w:rFonts w:ascii="Arial" w:hAnsi="Arial" w:cs="Arial"/>
                <w:sz w:val="22"/>
                <w:szCs w:val="22"/>
              </w:rPr>
              <w:t>% Achieving target platelet counts and initiating antiviral therapy</w:t>
            </w:r>
            <w:r w:rsidRPr="00830F8A">
              <w:rPr>
                <w:rFonts w:ascii="Arial" w:hAnsi="Arial" w:cs="Arial"/>
                <w:b/>
                <w:sz w:val="22"/>
                <w:szCs w:val="22"/>
                <w:vertAlign w:val="superscript"/>
              </w:rPr>
              <w:t>c</w:t>
            </w:r>
          </w:p>
        </w:tc>
        <w:tc>
          <w:tcPr>
            <w:tcW w:w="2713" w:type="dxa"/>
            <w:gridSpan w:val="2"/>
          </w:tcPr>
          <w:p w14:paraId="42F31970" w14:textId="6B07E3C9" w:rsidR="00E62E6F" w:rsidRPr="00830F8A" w:rsidRDefault="00E62E6F" w:rsidP="00E62E6F">
            <w:pPr>
              <w:spacing w:line="300" w:lineRule="atLeast"/>
              <w:jc w:val="center"/>
              <w:rPr>
                <w:rFonts w:ascii="Arial" w:hAnsi="Arial" w:cs="Arial"/>
                <w:b/>
                <w:sz w:val="22"/>
                <w:szCs w:val="22"/>
              </w:rPr>
            </w:pPr>
            <w:r w:rsidRPr="00830F8A">
              <w:rPr>
                <w:rFonts w:ascii="Arial" w:hAnsi="Arial" w:cs="Arial"/>
                <w:sz w:val="22"/>
                <w:szCs w:val="22"/>
              </w:rPr>
              <w:t>95 %</w:t>
            </w:r>
          </w:p>
        </w:tc>
        <w:tc>
          <w:tcPr>
            <w:tcW w:w="2744" w:type="dxa"/>
            <w:gridSpan w:val="2"/>
          </w:tcPr>
          <w:p w14:paraId="0CCBA1A4" w14:textId="68E55965" w:rsidR="00E62E6F" w:rsidRPr="00830F8A" w:rsidRDefault="00E62E6F" w:rsidP="00E62E6F">
            <w:pPr>
              <w:spacing w:line="300" w:lineRule="atLeast"/>
              <w:jc w:val="center"/>
              <w:rPr>
                <w:rFonts w:ascii="Arial" w:hAnsi="Arial" w:cs="Arial"/>
                <w:b/>
                <w:sz w:val="22"/>
                <w:szCs w:val="22"/>
              </w:rPr>
            </w:pPr>
            <w:r w:rsidRPr="00830F8A">
              <w:rPr>
                <w:rFonts w:ascii="Arial" w:hAnsi="Arial" w:cs="Arial"/>
                <w:sz w:val="22"/>
                <w:szCs w:val="22"/>
              </w:rPr>
              <w:t>94 %</w:t>
            </w:r>
          </w:p>
        </w:tc>
      </w:tr>
      <w:tr w:rsidR="00E62E6F" w14:paraId="5553BB61" w14:textId="77777777" w:rsidTr="00CE0170">
        <w:tc>
          <w:tcPr>
            <w:tcW w:w="3256" w:type="dxa"/>
          </w:tcPr>
          <w:p w14:paraId="5553BB5C" w14:textId="77777777" w:rsidR="00E62E6F" w:rsidRPr="00830F8A" w:rsidRDefault="00E62E6F" w:rsidP="00E62E6F">
            <w:pPr>
              <w:spacing w:line="300" w:lineRule="atLeast"/>
              <w:rPr>
                <w:rFonts w:ascii="Arial" w:hAnsi="Arial" w:cs="Arial"/>
                <w:sz w:val="22"/>
                <w:szCs w:val="22"/>
              </w:rPr>
            </w:pPr>
          </w:p>
        </w:tc>
        <w:tc>
          <w:tcPr>
            <w:tcW w:w="1530" w:type="dxa"/>
          </w:tcPr>
          <w:p w14:paraId="5553BB5D" w14:textId="77777777" w:rsidR="00E62E6F" w:rsidRPr="00830F8A" w:rsidRDefault="00E62E6F" w:rsidP="00E62E6F">
            <w:pPr>
              <w:spacing w:line="300" w:lineRule="atLeast"/>
              <w:jc w:val="center"/>
              <w:rPr>
                <w:rFonts w:ascii="Arial" w:hAnsi="Arial" w:cs="Arial"/>
                <w:b/>
                <w:sz w:val="22"/>
                <w:szCs w:val="22"/>
              </w:rPr>
            </w:pPr>
            <w:r>
              <w:rPr>
                <w:rFonts w:ascii="Arial" w:hAnsi="Arial" w:cs="Arial"/>
                <w:b/>
                <w:sz w:val="22"/>
                <w:szCs w:val="22"/>
              </w:rPr>
              <w:t>REVOLADE</w:t>
            </w:r>
            <w:r w:rsidRPr="00830F8A">
              <w:rPr>
                <w:rFonts w:ascii="Arial" w:hAnsi="Arial" w:cs="Arial"/>
                <w:b/>
                <w:sz w:val="22"/>
                <w:szCs w:val="22"/>
              </w:rPr>
              <w:t xml:space="preserve"> </w:t>
            </w:r>
          </w:p>
        </w:tc>
        <w:tc>
          <w:tcPr>
            <w:tcW w:w="1183" w:type="dxa"/>
          </w:tcPr>
          <w:p w14:paraId="5553BB5E"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Placebo</w:t>
            </w:r>
          </w:p>
        </w:tc>
        <w:tc>
          <w:tcPr>
            <w:tcW w:w="1561" w:type="dxa"/>
          </w:tcPr>
          <w:p w14:paraId="5553BB5F" w14:textId="77777777" w:rsidR="00E62E6F" w:rsidRPr="00830F8A" w:rsidRDefault="00E62E6F" w:rsidP="00E62E6F">
            <w:pPr>
              <w:spacing w:line="300" w:lineRule="atLeast"/>
              <w:jc w:val="center"/>
              <w:rPr>
                <w:rFonts w:ascii="Arial" w:hAnsi="Arial" w:cs="Arial"/>
                <w:b/>
                <w:sz w:val="22"/>
                <w:szCs w:val="22"/>
              </w:rPr>
            </w:pPr>
            <w:r>
              <w:rPr>
                <w:rFonts w:ascii="Arial" w:hAnsi="Arial" w:cs="Arial"/>
                <w:b/>
                <w:sz w:val="22"/>
                <w:szCs w:val="22"/>
              </w:rPr>
              <w:t>REVOLADE</w:t>
            </w:r>
          </w:p>
        </w:tc>
        <w:tc>
          <w:tcPr>
            <w:tcW w:w="1183" w:type="dxa"/>
          </w:tcPr>
          <w:p w14:paraId="5553BB60"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Placebo</w:t>
            </w:r>
          </w:p>
        </w:tc>
      </w:tr>
      <w:tr w:rsidR="00E62E6F" w14:paraId="5553BB6B" w14:textId="77777777" w:rsidTr="00CE0170">
        <w:tc>
          <w:tcPr>
            <w:tcW w:w="3256" w:type="dxa"/>
            <w:vAlign w:val="bottom"/>
          </w:tcPr>
          <w:p w14:paraId="5553BB62" w14:textId="77777777" w:rsidR="00E62E6F" w:rsidRPr="00830F8A" w:rsidRDefault="00E62E6F" w:rsidP="00E62E6F">
            <w:pPr>
              <w:spacing w:line="300" w:lineRule="atLeast"/>
              <w:rPr>
                <w:rFonts w:ascii="Arial" w:hAnsi="Arial" w:cs="Arial"/>
                <w:b/>
                <w:sz w:val="22"/>
                <w:szCs w:val="22"/>
              </w:rPr>
            </w:pPr>
            <w:r w:rsidRPr="00830F8A">
              <w:rPr>
                <w:rFonts w:ascii="Arial" w:hAnsi="Arial" w:cs="Arial"/>
                <w:b/>
                <w:sz w:val="22"/>
                <w:szCs w:val="22"/>
              </w:rPr>
              <w:t>Antiviral Treatment Phase</w:t>
            </w:r>
          </w:p>
        </w:tc>
        <w:tc>
          <w:tcPr>
            <w:tcW w:w="1530" w:type="dxa"/>
          </w:tcPr>
          <w:p w14:paraId="5553BB63"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n = 450</w:t>
            </w:r>
          </w:p>
          <w:p w14:paraId="5553BB64"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b/>
                <w:sz w:val="22"/>
                <w:szCs w:val="22"/>
              </w:rPr>
              <w:t>%</w:t>
            </w:r>
          </w:p>
        </w:tc>
        <w:tc>
          <w:tcPr>
            <w:tcW w:w="1183" w:type="dxa"/>
          </w:tcPr>
          <w:p w14:paraId="5553BB65"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 xml:space="preserve">n = 232 </w:t>
            </w:r>
          </w:p>
          <w:p w14:paraId="5553BB66"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b/>
                <w:sz w:val="22"/>
                <w:szCs w:val="22"/>
              </w:rPr>
              <w:t>%</w:t>
            </w:r>
          </w:p>
        </w:tc>
        <w:tc>
          <w:tcPr>
            <w:tcW w:w="1561" w:type="dxa"/>
          </w:tcPr>
          <w:p w14:paraId="5553BB67"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n = 506</w:t>
            </w:r>
          </w:p>
          <w:p w14:paraId="5553BB68"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b/>
                <w:sz w:val="22"/>
                <w:szCs w:val="22"/>
              </w:rPr>
              <w:t>%</w:t>
            </w:r>
          </w:p>
        </w:tc>
        <w:tc>
          <w:tcPr>
            <w:tcW w:w="1183" w:type="dxa"/>
          </w:tcPr>
          <w:p w14:paraId="5553BB69" w14:textId="77777777" w:rsidR="00E62E6F" w:rsidRPr="00830F8A" w:rsidRDefault="00E62E6F" w:rsidP="00E62E6F">
            <w:pPr>
              <w:spacing w:line="300" w:lineRule="atLeast"/>
              <w:jc w:val="center"/>
              <w:rPr>
                <w:rFonts w:ascii="Arial" w:hAnsi="Arial" w:cs="Arial"/>
                <w:b/>
                <w:sz w:val="22"/>
                <w:szCs w:val="22"/>
              </w:rPr>
            </w:pPr>
            <w:r w:rsidRPr="00830F8A">
              <w:rPr>
                <w:rFonts w:ascii="Arial" w:hAnsi="Arial" w:cs="Arial"/>
                <w:b/>
                <w:sz w:val="22"/>
                <w:szCs w:val="22"/>
              </w:rPr>
              <w:t>n = 253</w:t>
            </w:r>
          </w:p>
          <w:p w14:paraId="5553BB6A"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b/>
                <w:sz w:val="22"/>
                <w:szCs w:val="22"/>
              </w:rPr>
              <w:t>%</w:t>
            </w:r>
          </w:p>
        </w:tc>
      </w:tr>
      <w:tr w:rsidR="00E62E6F" w14:paraId="5553BB71" w14:textId="77777777" w:rsidTr="00CE0170">
        <w:tc>
          <w:tcPr>
            <w:tcW w:w="3256" w:type="dxa"/>
          </w:tcPr>
          <w:p w14:paraId="5553BB6C" w14:textId="77777777" w:rsidR="00E62E6F" w:rsidRPr="00830F8A" w:rsidRDefault="00E62E6F" w:rsidP="00E62E6F">
            <w:pPr>
              <w:spacing w:line="300" w:lineRule="atLeast"/>
              <w:rPr>
                <w:rFonts w:ascii="Arial" w:hAnsi="Arial" w:cs="Arial"/>
                <w:b/>
                <w:sz w:val="22"/>
                <w:szCs w:val="22"/>
              </w:rPr>
            </w:pPr>
            <w:r w:rsidRPr="00830F8A">
              <w:rPr>
                <w:rFonts w:ascii="Arial" w:hAnsi="Arial" w:cs="Arial"/>
                <w:b/>
                <w:sz w:val="22"/>
                <w:szCs w:val="22"/>
              </w:rPr>
              <w:t>Overall SVR</w:t>
            </w:r>
            <w:r w:rsidRPr="00830F8A">
              <w:rPr>
                <w:rFonts w:ascii="Arial" w:hAnsi="Arial" w:cs="Arial"/>
                <w:sz w:val="22"/>
                <w:szCs w:val="22"/>
                <w:vertAlign w:val="superscript"/>
              </w:rPr>
              <w:t xml:space="preserve"> d</w:t>
            </w:r>
            <w:r w:rsidRPr="00830F8A">
              <w:rPr>
                <w:rFonts w:ascii="Arial" w:hAnsi="Arial" w:cs="Arial"/>
                <w:b/>
                <w:sz w:val="22"/>
                <w:szCs w:val="22"/>
              </w:rPr>
              <w:t xml:space="preserve"> </w:t>
            </w:r>
          </w:p>
        </w:tc>
        <w:tc>
          <w:tcPr>
            <w:tcW w:w="1530" w:type="dxa"/>
          </w:tcPr>
          <w:p w14:paraId="5553BB6D"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23</w:t>
            </w:r>
          </w:p>
        </w:tc>
        <w:tc>
          <w:tcPr>
            <w:tcW w:w="1183" w:type="dxa"/>
          </w:tcPr>
          <w:p w14:paraId="5553BB6E"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14</w:t>
            </w:r>
          </w:p>
        </w:tc>
        <w:tc>
          <w:tcPr>
            <w:tcW w:w="1561" w:type="dxa"/>
          </w:tcPr>
          <w:p w14:paraId="5553BB6F"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19</w:t>
            </w:r>
          </w:p>
        </w:tc>
        <w:tc>
          <w:tcPr>
            <w:tcW w:w="1183" w:type="dxa"/>
          </w:tcPr>
          <w:p w14:paraId="5553BB70"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13</w:t>
            </w:r>
          </w:p>
        </w:tc>
      </w:tr>
      <w:tr w:rsidR="00E62E6F" w14:paraId="5553BB77" w14:textId="77777777" w:rsidTr="00CE0170">
        <w:tc>
          <w:tcPr>
            <w:tcW w:w="3256" w:type="dxa"/>
          </w:tcPr>
          <w:p w14:paraId="5553BB72" w14:textId="77777777" w:rsidR="00E62E6F" w:rsidRPr="00830F8A" w:rsidRDefault="00E62E6F" w:rsidP="00E62E6F">
            <w:pPr>
              <w:spacing w:line="300" w:lineRule="atLeast"/>
              <w:ind w:left="720"/>
              <w:rPr>
                <w:rFonts w:ascii="Arial" w:hAnsi="Arial" w:cs="Arial"/>
                <w:sz w:val="22"/>
                <w:szCs w:val="22"/>
              </w:rPr>
            </w:pPr>
            <w:r w:rsidRPr="00830F8A">
              <w:rPr>
                <w:rFonts w:ascii="Arial" w:hAnsi="Arial" w:cs="Arial"/>
                <w:sz w:val="22"/>
                <w:szCs w:val="22"/>
              </w:rPr>
              <w:t>HCV Genotype 2,3</w:t>
            </w:r>
          </w:p>
        </w:tc>
        <w:tc>
          <w:tcPr>
            <w:tcW w:w="1530" w:type="dxa"/>
          </w:tcPr>
          <w:p w14:paraId="5553BB73"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35</w:t>
            </w:r>
          </w:p>
        </w:tc>
        <w:tc>
          <w:tcPr>
            <w:tcW w:w="1183" w:type="dxa"/>
          </w:tcPr>
          <w:p w14:paraId="5553BB74"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24</w:t>
            </w:r>
          </w:p>
        </w:tc>
        <w:tc>
          <w:tcPr>
            <w:tcW w:w="1561" w:type="dxa"/>
          </w:tcPr>
          <w:p w14:paraId="5553BB75"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34</w:t>
            </w:r>
          </w:p>
        </w:tc>
        <w:tc>
          <w:tcPr>
            <w:tcW w:w="1183" w:type="dxa"/>
          </w:tcPr>
          <w:p w14:paraId="5553BB76"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25</w:t>
            </w:r>
          </w:p>
        </w:tc>
      </w:tr>
      <w:tr w:rsidR="00E62E6F" w14:paraId="5553BB7D" w14:textId="77777777" w:rsidTr="00CE0170">
        <w:tc>
          <w:tcPr>
            <w:tcW w:w="3256" w:type="dxa"/>
          </w:tcPr>
          <w:p w14:paraId="5553BB78" w14:textId="77777777" w:rsidR="00E62E6F" w:rsidRPr="00830F8A" w:rsidRDefault="00E62E6F" w:rsidP="00E62E6F">
            <w:pPr>
              <w:tabs>
                <w:tab w:val="left" w:pos="540"/>
              </w:tabs>
              <w:spacing w:line="300" w:lineRule="atLeast"/>
              <w:ind w:left="720"/>
              <w:rPr>
                <w:rFonts w:ascii="Arial" w:hAnsi="Arial" w:cs="Arial"/>
                <w:sz w:val="22"/>
                <w:szCs w:val="22"/>
              </w:rPr>
            </w:pPr>
            <w:r w:rsidRPr="00830F8A">
              <w:rPr>
                <w:rFonts w:ascii="Arial" w:hAnsi="Arial" w:cs="Arial"/>
                <w:sz w:val="22"/>
                <w:szCs w:val="22"/>
              </w:rPr>
              <w:t>HCV Genotype 1,4,6</w:t>
            </w:r>
          </w:p>
        </w:tc>
        <w:tc>
          <w:tcPr>
            <w:tcW w:w="1530" w:type="dxa"/>
          </w:tcPr>
          <w:p w14:paraId="5553BB79"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18</w:t>
            </w:r>
          </w:p>
        </w:tc>
        <w:tc>
          <w:tcPr>
            <w:tcW w:w="1183" w:type="dxa"/>
          </w:tcPr>
          <w:p w14:paraId="5553BB7A"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10</w:t>
            </w:r>
          </w:p>
        </w:tc>
        <w:tc>
          <w:tcPr>
            <w:tcW w:w="1561" w:type="dxa"/>
          </w:tcPr>
          <w:p w14:paraId="5553BB7B"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13</w:t>
            </w:r>
          </w:p>
        </w:tc>
        <w:tc>
          <w:tcPr>
            <w:tcW w:w="1183" w:type="dxa"/>
          </w:tcPr>
          <w:p w14:paraId="5553BB7C" w14:textId="77777777" w:rsidR="00E62E6F" w:rsidRPr="00830F8A" w:rsidRDefault="00E62E6F" w:rsidP="00E62E6F">
            <w:pPr>
              <w:spacing w:line="300" w:lineRule="atLeast"/>
              <w:jc w:val="center"/>
              <w:rPr>
                <w:rFonts w:ascii="Arial" w:hAnsi="Arial" w:cs="Arial"/>
                <w:sz w:val="22"/>
                <w:szCs w:val="22"/>
              </w:rPr>
            </w:pPr>
            <w:r w:rsidRPr="00830F8A">
              <w:rPr>
                <w:rFonts w:ascii="Arial" w:hAnsi="Arial" w:cs="Arial"/>
                <w:sz w:val="22"/>
                <w:szCs w:val="22"/>
              </w:rPr>
              <w:t>7</w:t>
            </w:r>
          </w:p>
        </w:tc>
      </w:tr>
      <w:tr w:rsidR="00E62E6F" w14:paraId="5553BB83" w14:textId="77777777" w:rsidTr="00CE0170">
        <w:tc>
          <w:tcPr>
            <w:tcW w:w="3256" w:type="dxa"/>
          </w:tcPr>
          <w:p w14:paraId="5553BB7E" w14:textId="77777777" w:rsidR="00E62E6F" w:rsidRPr="00830F8A" w:rsidDel="00DB70CC" w:rsidRDefault="00E62E6F" w:rsidP="00E62E6F">
            <w:pPr>
              <w:spacing w:line="300" w:lineRule="atLeast"/>
              <w:rPr>
                <w:rFonts w:ascii="Arial" w:hAnsi="Arial" w:cs="Arial"/>
                <w:b/>
                <w:sz w:val="22"/>
                <w:szCs w:val="22"/>
              </w:rPr>
            </w:pPr>
            <w:r w:rsidRPr="00830F8A">
              <w:rPr>
                <w:rFonts w:ascii="Arial" w:hAnsi="Arial" w:cs="Arial"/>
                <w:b/>
                <w:sz w:val="22"/>
                <w:szCs w:val="22"/>
              </w:rPr>
              <w:t>Overall EVR</w:t>
            </w:r>
            <w:r w:rsidRPr="00830F8A">
              <w:rPr>
                <w:rFonts w:ascii="Arial" w:hAnsi="Arial" w:cs="Arial"/>
                <w:sz w:val="22"/>
                <w:szCs w:val="22"/>
                <w:vertAlign w:val="superscript"/>
              </w:rPr>
              <w:t xml:space="preserve"> d</w:t>
            </w:r>
          </w:p>
        </w:tc>
        <w:tc>
          <w:tcPr>
            <w:tcW w:w="1530" w:type="dxa"/>
          </w:tcPr>
          <w:p w14:paraId="5553BB7F"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66</w:t>
            </w:r>
          </w:p>
        </w:tc>
        <w:tc>
          <w:tcPr>
            <w:tcW w:w="1183" w:type="dxa"/>
          </w:tcPr>
          <w:p w14:paraId="5553BB80"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50</w:t>
            </w:r>
          </w:p>
        </w:tc>
        <w:tc>
          <w:tcPr>
            <w:tcW w:w="1561" w:type="dxa"/>
          </w:tcPr>
          <w:p w14:paraId="5553BB81"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62</w:t>
            </w:r>
          </w:p>
        </w:tc>
        <w:tc>
          <w:tcPr>
            <w:tcW w:w="1183" w:type="dxa"/>
          </w:tcPr>
          <w:p w14:paraId="5553BB82"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41</w:t>
            </w:r>
          </w:p>
        </w:tc>
      </w:tr>
      <w:tr w:rsidR="00E62E6F" w14:paraId="5553BB89" w14:textId="77777777" w:rsidTr="00CE0170">
        <w:tc>
          <w:tcPr>
            <w:tcW w:w="3256" w:type="dxa"/>
          </w:tcPr>
          <w:p w14:paraId="5553BB84" w14:textId="77777777" w:rsidR="00E62E6F" w:rsidRPr="00830F8A" w:rsidRDefault="00E62E6F" w:rsidP="00E62E6F">
            <w:pPr>
              <w:spacing w:line="300" w:lineRule="atLeast"/>
              <w:ind w:left="720"/>
              <w:rPr>
                <w:rFonts w:ascii="Arial" w:hAnsi="Arial" w:cs="Arial"/>
                <w:sz w:val="22"/>
                <w:szCs w:val="22"/>
              </w:rPr>
            </w:pPr>
            <w:r w:rsidRPr="00830F8A">
              <w:rPr>
                <w:rFonts w:ascii="Arial" w:hAnsi="Arial" w:cs="Arial"/>
                <w:sz w:val="22"/>
                <w:szCs w:val="22"/>
              </w:rPr>
              <w:t>HCV Genotype 2,3</w:t>
            </w:r>
          </w:p>
        </w:tc>
        <w:tc>
          <w:tcPr>
            <w:tcW w:w="1530" w:type="dxa"/>
          </w:tcPr>
          <w:p w14:paraId="5553BB85"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84</w:t>
            </w:r>
          </w:p>
        </w:tc>
        <w:tc>
          <w:tcPr>
            <w:tcW w:w="1183" w:type="dxa"/>
          </w:tcPr>
          <w:p w14:paraId="5553BB86"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67</w:t>
            </w:r>
          </w:p>
        </w:tc>
        <w:tc>
          <w:tcPr>
            <w:tcW w:w="1561" w:type="dxa"/>
          </w:tcPr>
          <w:p w14:paraId="5553BB87"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83</w:t>
            </w:r>
          </w:p>
        </w:tc>
        <w:tc>
          <w:tcPr>
            <w:tcW w:w="1183" w:type="dxa"/>
          </w:tcPr>
          <w:p w14:paraId="5553BB88"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56</w:t>
            </w:r>
          </w:p>
        </w:tc>
      </w:tr>
      <w:tr w:rsidR="00E62E6F" w14:paraId="5553BB8F" w14:textId="77777777" w:rsidTr="00CE0170">
        <w:tc>
          <w:tcPr>
            <w:tcW w:w="3256" w:type="dxa"/>
          </w:tcPr>
          <w:p w14:paraId="5553BB8A" w14:textId="77777777" w:rsidR="00E62E6F" w:rsidRPr="00830F8A" w:rsidRDefault="00E62E6F" w:rsidP="00E62E6F">
            <w:pPr>
              <w:tabs>
                <w:tab w:val="left" w:pos="540"/>
              </w:tabs>
              <w:spacing w:line="300" w:lineRule="atLeast"/>
              <w:ind w:left="720"/>
              <w:rPr>
                <w:rFonts w:ascii="Arial" w:hAnsi="Arial" w:cs="Arial"/>
                <w:sz w:val="22"/>
                <w:szCs w:val="22"/>
              </w:rPr>
            </w:pPr>
            <w:r w:rsidRPr="00830F8A">
              <w:rPr>
                <w:rFonts w:ascii="Arial" w:hAnsi="Arial" w:cs="Arial"/>
                <w:sz w:val="22"/>
                <w:szCs w:val="22"/>
              </w:rPr>
              <w:t>HCV Genotype 1,4,6</w:t>
            </w:r>
          </w:p>
        </w:tc>
        <w:tc>
          <w:tcPr>
            <w:tcW w:w="1530" w:type="dxa"/>
          </w:tcPr>
          <w:p w14:paraId="5553BB8B"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58</w:t>
            </w:r>
          </w:p>
        </w:tc>
        <w:tc>
          <w:tcPr>
            <w:tcW w:w="1183" w:type="dxa"/>
          </w:tcPr>
          <w:p w14:paraId="5553BB8C"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41</w:t>
            </w:r>
          </w:p>
        </w:tc>
        <w:tc>
          <w:tcPr>
            <w:tcW w:w="1561" w:type="dxa"/>
          </w:tcPr>
          <w:p w14:paraId="5553BB8D"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53</w:t>
            </w:r>
          </w:p>
        </w:tc>
        <w:tc>
          <w:tcPr>
            <w:tcW w:w="1183" w:type="dxa"/>
          </w:tcPr>
          <w:p w14:paraId="5553BB8E" w14:textId="77777777" w:rsidR="00E62E6F" w:rsidRPr="00830F8A" w:rsidDel="00DB70CC" w:rsidRDefault="00E62E6F" w:rsidP="00E62E6F">
            <w:pPr>
              <w:spacing w:line="300" w:lineRule="atLeast"/>
              <w:jc w:val="center"/>
              <w:rPr>
                <w:rFonts w:ascii="Arial" w:hAnsi="Arial" w:cs="Arial"/>
                <w:sz w:val="22"/>
                <w:szCs w:val="22"/>
              </w:rPr>
            </w:pPr>
            <w:r w:rsidRPr="00830F8A">
              <w:rPr>
                <w:rFonts w:ascii="Arial" w:hAnsi="Arial" w:cs="Arial"/>
                <w:sz w:val="22"/>
                <w:szCs w:val="22"/>
              </w:rPr>
              <w:t>34</w:t>
            </w:r>
          </w:p>
        </w:tc>
      </w:tr>
    </w:tbl>
    <w:p w14:paraId="5553BB90" w14:textId="333D05F5" w:rsidR="00830F8A" w:rsidRPr="00FF6E91" w:rsidRDefault="00830F8A" w:rsidP="006D75C7">
      <w:pPr>
        <w:pStyle w:val="LBLTableFootnotes"/>
        <w:keepNext w:val="0"/>
        <w:keepLines w:val="0"/>
        <w:widowControl w:val="0"/>
        <w:tabs>
          <w:tab w:val="clear" w:pos="720"/>
          <w:tab w:val="left" w:pos="426"/>
          <w:tab w:val="left" w:pos="567"/>
        </w:tabs>
        <w:spacing w:line="240" w:lineRule="auto"/>
        <w:ind w:left="425" w:hanging="425"/>
        <w:rPr>
          <w:rFonts w:ascii="Arial" w:hAnsi="Arial" w:cs="Arial"/>
          <w:sz w:val="20"/>
          <w:szCs w:val="20"/>
        </w:rPr>
      </w:pPr>
      <w:r w:rsidRPr="005D2049">
        <w:rPr>
          <w:rFonts w:ascii="Arial" w:hAnsi="Arial"/>
          <w:sz w:val="20"/>
          <w:vertAlign w:val="superscript"/>
        </w:rPr>
        <w:t>a</w:t>
      </w:r>
      <w:r w:rsidRPr="00FF6E91">
        <w:rPr>
          <w:rFonts w:ascii="Arial" w:hAnsi="Arial" w:cs="Arial"/>
          <w:sz w:val="20"/>
          <w:szCs w:val="20"/>
        </w:rPr>
        <w:tab/>
        <w:t xml:space="preserve">REVOLADE given in combination with peginterferon alfa-2a (180 </w:t>
      </w:r>
      <w:r w:rsidR="00E511FD">
        <w:rPr>
          <w:rFonts w:ascii="Arial" w:hAnsi="Arial" w:cs="Arial"/>
          <w:sz w:val="20"/>
          <w:szCs w:val="20"/>
        </w:rPr>
        <w:t>µ</w:t>
      </w:r>
      <w:r w:rsidRPr="00FF6E91">
        <w:rPr>
          <w:rFonts w:ascii="Arial" w:hAnsi="Arial" w:cs="Arial"/>
          <w:sz w:val="20"/>
          <w:szCs w:val="20"/>
        </w:rPr>
        <w:t>g once weekly for 48 weeks for genotypes 1 or 4; 24 weeks for genotype 2 or 3) plus ribavirin (800 to 1200 mg daily in 2 divided doses orally)</w:t>
      </w:r>
    </w:p>
    <w:p w14:paraId="5553BB91" w14:textId="471A678A" w:rsidR="00830F8A" w:rsidRPr="00FF6E91" w:rsidRDefault="00830F8A" w:rsidP="006D75C7">
      <w:pPr>
        <w:pStyle w:val="LBLTableFootnotes"/>
        <w:keepNext w:val="0"/>
        <w:keepLines w:val="0"/>
        <w:widowControl w:val="0"/>
        <w:tabs>
          <w:tab w:val="clear" w:pos="720"/>
          <w:tab w:val="left" w:pos="426"/>
          <w:tab w:val="left" w:pos="567"/>
        </w:tabs>
        <w:spacing w:line="240" w:lineRule="auto"/>
        <w:ind w:left="425" w:hanging="425"/>
        <w:rPr>
          <w:rFonts w:ascii="Arial" w:hAnsi="Arial" w:cs="Arial"/>
          <w:sz w:val="20"/>
          <w:szCs w:val="20"/>
        </w:rPr>
      </w:pPr>
      <w:r w:rsidRPr="005D2049">
        <w:rPr>
          <w:rFonts w:ascii="Arial" w:hAnsi="Arial"/>
          <w:sz w:val="20"/>
          <w:vertAlign w:val="superscript"/>
        </w:rPr>
        <w:t>b</w:t>
      </w:r>
      <w:r w:rsidRPr="00FF6E91">
        <w:rPr>
          <w:rFonts w:ascii="Arial" w:hAnsi="Arial" w:cs="Arial"/>
          <w:sz w:val="20"/>
          <w:szCs w:val="20"/>
        </w:rPr>
        <w:tab/>
        <w:t xml:space="preserve">REVOLADE given in combination with peginterferon alfa-2b (1.5 </w:t>
      </w:r>
      <w:r w:rsidR="00E511FD">
        <w:rPr>
          <w:rFonts w:ascii="Arial" w:hAnsi="Arial" w:cs="Arial"/>
          <w:sz w:val="20"/>
          <w:szCs w:val="20"/>
        </w:rPr>
        <w:t>µ</w:t>
      </w:r>
      <w:r w:rsidRPr="00FF6E91">
        <w:rPr>
          <w:rFonts w:ascii="Arial" w:hAnsi="Arial" w:cs="Arial"/>
          <w:sz w:val="20"/>
          <w:szCs w:val="20"/>
        </w:rPr>
        <w:t>g/kg once weekly for 48 weeks for genotype 1; 24 weeks for genotype 2 or 3) plus ribavirin (800 to 1400 mg orally)</w:t>
      </w:r>
    </w:p>
    <w:p w14:paraId="5553BB92" w14:textId="28FC0816" w:rsidR="00830F8A" w:rsidRPr="00FF6E91" w:rsidRDefault="00830F8A" w:rsidP="005D2049">
      <w:pPr>
        <w:pStyle w:val="LBLTableFootnotes"/>
        <w:tabs>
          <w:tab w:val="clear" w:pos="720"/>
          <w:tab w:val="left" w:pos="426"/>
          <w:tab w:val="left" w:pos="567"/>
        </w:tabs>
        <w:spacing w:line="240" w:lineRule="auto"/>
        <w:ind w:left="425" w:hanging="425"/>
        <w:rPr>
          <w:rFonts w:ascii="Arial" w:hAnsi="Arial" w:cs="Arial"/>
          <w:sz w:val="20"/>
          <w:szCs w:val="20"/>
        </w:rPr>
      </w:pPr>
      <w:r w:rsidRPr="005D2049">
        <w:rPr>
          <w:rFonts w:ascii="Arial" w:hAnsi="Arial"/>
          <w:sz w:val="20"/>
          <w:vertAlign w:val="superscript"/>
        </w:rPr>
        <w:t>c</w:t>
      </w:r>
      <w:r w:rsidRPr="00FF6E91">
        <w:rPr>
          <w:rFonts w:ascii="Arial" w:hAnsi="Arial" w:cs="Arial"/>
          <w:sz w:val="20"/>
          <w:szCs w:val="20"/>
        </w:rPr>
        <w:tab/>
        <w:t xml:space="preserve">Target platelet count was </w:t>
      </w:r>
      <w:r w:rsidRPr="00FF6E91">
        <w:rPr>
          <w:rFonts w:ascii="Arial" w:hAnsi="Arial" w:cs="Arial"/>
          <w:sz w:val="20"/>
          <w:szCs w:val="20"/>
        </w:rPr>
        <w:sym w:font="Symbol" w:char="F0B3"/>
      </w:r>
      <w:r w:rsidRPr="00FF6E91">
        <w:rPr>
          <w:rFonts w:ascii="Arial" w:hAnsi="Arial" w:cs="Arial"/>
          <w:sz w:val="20"/>
          <w:szCs w:val="20"/>
        </w:rPr>
        <w:t>  90</w:t>
      </w:r>
      <w:r w:rsidR="00E511FD">
        <w:rPr>
          <w:rFonts w:ascii="Arial" w:hAnsi="Arial" w:cs="Arial"/>
          <w:sz w:val="20"/>
          <w:szCs w:val="20"/>
        </w:rPr>
        <w:t xml:space="preserve"> x 10</w:t>
      </w:r>
      <w:r w:rsidR="00E511FD" w:rsidRPr="00E511FD">
        <w:rPr>
          <w:rFonts w:ascii="Arial" w:hAnsi="Arial" w:cs="Arial"/>
          <w:sz w:val="20"/>
          <w:szCs w:val="20"/>
          <w:vertAlign w:val="superscript"/>
        </w:rPr>
        <w:t>9</w:t>
      </w:r>
      <w:r w:rsidRPr="00FF6E91">
        <w:rPr>
          <w:rFonts w:ascii="Arial" w:hAnsi="Arial" w:cs="Arial"/>
          <w:sz w:val="20"/>
          <w:szCs w:val="20"/>
        </w:rPr>
        <w:t>/</w:t>
      </w:r>
      <w:r w:rsidR="00C00462">
        <w:rPr>
          <w:rFonts w:ascii="Arial" w:hAnsi="Arial" w:cs="Arial"/>
          <w:sz w:val="20"/>
          <w:szCs w:val="20"/>
        </w:rPr>
        <w:t>L</w:t>
      </w:r>
      <w:r w:rsidRPr="00FF6E91">
        <w:rPr>
          <w:rFonts w:ascii="Arial" w:hAnsi="Arial" w:cs="Arial"/>
          <w:sz w:val="20"/>
          <w:szCs w:val="20"/>
        </w:rPr>
        <w:t xml:space="preserve"> for HCV Study 1 and </w:t>
      </w:r>
      <w:r w:rsidRPr="00FF6E91">
        <w:rPr>
          <w:rFonts w:ascii="Arial" w:hAnsi="Arial" w:cs="Arial"/>
          <w:sz w:val="20"/>
          <w:szCs w:val="20"/>
        </w:rPr>
        <w:sym w:font="Symbol" w:char="F0B3"/>
      </w:r>
      <w:r w:rsidRPr="00FF6E91">
        <w:rPr>
          <w:rFonts w:ascii="Arial" w:hAnsi="Arial" w:cs="Arial"/>
          <w:sz w:val="20"/>
          <w:szCs w:val="20"/>
        </w:rPr>
        <w:t>  100</w:t>
      </w:r>
      <w:r w:rsidR="00E511FD">
        <w:rPr>
          <w:rFonts w:ascii="Arial" w:hAnsi="Arial" w:cs="Arial"/>
          <w:sz w:val="20"/>
          <w:szCs w:val="20"/>
        </w:rPr>
        <w:t xml:space="preserve"> x 10</w:t>
      </w:r>
      <w:r w:rsidR="00E511FD" w:rsidRPr="00E511FD">
        <w:rPr>
          <w:rFonts w:ascii="Arial" w:hAnsi="Arial" w:cs="Arial"/>
          <w:sz w:val="20"/>
          <w:szCs w:val="20"/>
          <w:vertAlign w:val="superscript"/>
        </w:rPr>
        <w:t>9</w:t>
      </w:r>
      <w:r w:rsidRPr="00FF6E91">
        <w:rPr>
          <w:rFonts w:ascii="Arial" w:hAnsi="Arial" w:cs="Arial"/>
          <w:sz w:val="20"/>
          <w:szCs w:val="20"/>
        </w:rPr>
        <w:t>/</w:t>
      </w:r>
      <w:r w:rsidR="00C00462">
        <w:rPr>
          <w:rFonts w:ascii="Arial" w:hAnsi="Arial" w:cs="Arial"/>
          <w:sz w:val="20"/>
          <w:szCs w:val="20"/>
        </w:rPr>
        <w:t>L</w:t>
      </w:r>
      <w:r w:rsidRPr="00FF6E91">
        <w:rPr>
          <w:rFonts w:ascii="Arial" w:hAnsi="Arial" w:cs="Arial"/>
          <w:sz w:val="20"/>
          <w:szCs w:val="20"/>
        </w:rPr>
        <w:t xml:space="preserve"> for HCV Study 2.</w:t>
      </w:r>
    </w:p>
    <w:p w14:paraId="5553BB93" w14:textId="77777777" w:rsidR="00830F8A" w:rsidRPr="00FF6E91" w:rsidRDefault="00830F8A" w:rsidP="005D2049">
      <w:pPr>
        <w:pStyle w:val="LBLTableFootnotes"/>
        <w:tabs>
          <w:tab w:val="clear" w:pos="720"/>
          <w:tab w:val="left" w:pos="426"/>
          <w:tab w:val="left" w:pos="567"/>
        </w:tabs>
        <w:spacing w:line="240" w:lineRule="auto"/>
        <w:ind w:left="425" w:hanging="425"/>
        <w:rPr>
          <w:rFonts w:ascii="Arial" w:hAnsi="Arial" w:cs="Arial"/>
          <w:sz w:val="20"/>
          <w:szCs w:val="20"/>
        </w:rPr>
      </w:pPr>
      <w:r w:rsidRPr="005D2049">
        <w:rPr>
          <w:rFonts w:ascii="Arial" w:hAnsi="Arial"/>
          <w:sz w:val="20"/>
          <w:vertAlign w:val="superscript"/>
        </w:rPr>
        <w:t>d</w:t>
      </w:r>
      <w:r w:rsidRPr="00FF6E91">
        <w:rPr>
          <w:rFonts w:ascii="Arial" w:hAnsi="Arial" w:cs="Arial"/>
          <w:sz w:val="20"/>
          <w:szCs w:val="20"/>
        </w:rPr>
        <w:tab/>
      </w:r>
      <w:r w:rsidRPr="00FF6E91">
        <w:rPr>
          <w:rFonts w:ascii="Arial" w:hAnsi="Arial" w:cs="Arial"/>
          <w:i/>
          <w:sz w:val="20"/>
          <w:szCs w:val="20"/>
        </w:rPr>
        <w:t>P</w:t>
      </w:r>
      <w:r w:rsidRPr="00FF6E91">
        <w:rPr>
          <w:rFonts w:ascii="Arial" w:hAnsi="Arial" w:cs="Arial"/>
          <w:sz w:val="20"/>
          <w:szCs w:val="20"/>
        </w:rPr>
        <w:t xml:space="preserve"> value &lt; 0.05 for REVOLADE versus placebo</w:t>
      </w:r>
    </w:p>
    <w:p w14:paraId="5553BB94" w14:textId="77777777" w:rsidR="004B4906" w:rsidRPr="005D2049" w:rsidRDefault="004B4906" w:rsidP="005D2049">
      <w:pPr>
        <w:autoSpaceDE w:val="0"/>
        <w:autoSpaceDN w:val="0"/>
        <w:adjustRightInd w:val="0"/>
        <w:rPr>
          <w:rFonts w:ascii="Arial" w:hAnsi="Arial"/>
          <w:b/>
          <w:sz w:val="22"/>
          <w:u w:val="single"/>
          <w:lang w:val="en-US"/>
        </w:rPr>
      </w:pPr>
      <w:bookmarkStart w:id="2" w:name="_Toc363814437"/>
    </w:p>
    <w:p w14:paraId="5553BB95" w14:textId="77777777" w:rsidR="004B4906" w:rsidRPr="00D22FF7" w:rsidRDefault="004B4906" w:rsidP="00D22FF7">
      <w:pPr>
        <w:spacing w:after="120" w:line="300" w:lineRule="atLeast"/>
        <w:jc w:val="both"/>
        <w:rPr>
          <w:b/>
          <w:u w:val="single"/>
        </w:rPr>
      </w:pPr>
      <w:r w:rsidRPr="00D22FF7">
        <w:rPr>
          <w:b/>
          <w:u w:val="single"/>
        </w:rPr>
        <w:t>Severe Aplastic Anaemia</w:t>
      </w:r>
      <w:bookmarkEnd w:id="2"/>
    </w:p>
    <w:p w14:paraId="46463972" w14:textId="0F61D476" w:rsidR="00C43B62" w:rsidRDefault="004B4906" w:rsidP="00C43B62">
      <w:pPr>
        <w:widowControl w:val="0"/>
        <w:autoSpaceDE w:val="0"/>
        <w:autoSpaceDN w:val="0"/>
        <w:adjustRightInd w:val="0"/>
        <w:jc w:val="both"/>
        <w:rPr>
          <w:sz w:val="22"/>
          <w:szCs w:val="22"/>
          <w:lang w:val="en-US"/>
        </w:rPr>
      </w:pPr>
      <w:r w:rsidRPr="00DE25E4">
        <w:rPr>
          <w:lang w:val="en-GB"/>
        </w:rPr>
        <w:t xml:space="preserve">REVOLADE was studied in a single-arm, single-centre open-label trial </w:t>
      </w:r>
      <w:r w:rsidR="00F97422">
        <w:rPr>
          <w:lang w:val="en-GB"/>
        </w:rPr>
        <w:t>(</w:t>
      </w:r>
      <w:r w:rsidR="00F97422" w:rsidRPr="00F97422">
        <w:rPr>
          <w:lang w:val="en-GB"/>
        </w:rPr>
        <w:t>ELT112523</w:t>
      </w:r>
      <w:r w:rsidR="00F97422">
        <w:rPr>
          <w:lang w:val="en-GB"/>
        </w:rPr>
        <w:t xml:space="preserve">) </w:t>
      </w:r>
      <w:r w:rsidRPr="00DE25E4">
        <w:rPr>
          <w:lang w:val="en-GB"/>
        </w:rPr>
        <w:t>in 43 patients with severe aplastic anaemia who had an insufficient response to at least one prior immunosuppressive therapy</w:t>
      </w:r>
      <w:r w:rsidR="00C43B62">
        <w:rPr>
          <w:lang w:val="en-GB"/>
        </w:rPr>
        <w:t>,</w:t>
      </w:r>
      <w:r w:rsidRPr="00DE25E4">
        <w:rPr>
          <w:lang w:val="en-GB"/>
        </w:rPr>
        <w:t xml:space="preserve"> and had a platelet count ≤ 30</w:t>
      </w:r>
      <w:r w:rsidR="00C771FD">
        <w:rPr>
          <w:lang w:val="en-GB"/>
        </w:rPr>
        <w:t xml:space="preserve"> x 10</w:t>
      </w:r>
      <w:r w:rsidR="00C771FD" w:rsidRPr="00C771FD">
        <w:rPr>
          <w:vertAlign w:val="superscript"/>
          <w:lang w:val="en-GB"/>
        </w:rPr>
        <w:t>9</w:t>
      </w:r>
      <w:r w:rsidRPr="00DE25E4">
        <w:rPr>
          <w:lang w:val="en-GB"/>
        </w:rPr>
        <w:t>/</w:t>
      </w:r>
      <w:r w:rsidR="00C00462">
        <w:rPr>
          <w:lang w:val="en-GB"/>
        </w:rPr>
        <w:t>L</w:t>
      </w:r>
      <w:r w:rsidRPr="00DE25E4">
        <w:rPr>
          <w:lang w:val="en-GB"/>
        </w:rPr>
        <w:t>.</w:t>
      </w:r>
      <w:r w:rsidR="00C43B62">
        <w:rPr>
          <w:lang w:val="en-GB"/>
        </w:rPr>
        <w:t xml:space="preserve"> </w:t>
      </w:r>
    </w:p>
    <w:p w14:paraId="5553BB99" w14:textId="77777777" w:rsidR="004B4906" w:rsidRPr="00DE25E4" w:rsidRDefault="004B4906" w:rsidP="0021023A">
      <w:pPr>
        <w:widowControl w:val="0"/>
        <w:autoSpaceDE w:val="0"/>
        <w:autoSpaceDN w:val="0"/>
        <w:adjustRightInd w:val="0"/>
        <w:jc w:val="both"/>
        <w:rPr>
          <w:lang w:val="en-GB"/>
        </w:rPr>
      </w:pPr>
      <w:r w:rsidRPr="00DE25E4">
        <w:rPr>
          <w:lang w:val="en-GB"/>
        </w:rPr>
        <w:t>REVOLADE was administered at an initial dose of 50 mg once daily for 2 weeks and increased over 2 week periods up to a maximum dose of 150 mg once daily. The primary endpoint was haematological response assessed after 12 weeks of REVOLADE treatment.</w:t>
      </w:r>
    </w:p>
    <w:p w14:paraId="5553BB9A" w14:textId="77777777" w:rsidR="004B4906" w:rsidRPr="00DE25E4" w:rsidRDefault="004B4906" w:rsidP="00D22FF7">
      <w:pPr>
        <w:autoSpaceDE w:val="0"/>
        <w:autoSpaceDN w:val="0"/>
        <w:adjustRightInd w:val="0"/>
        <w:jc w:val="both"/>
        <w:rPr>
          <w:lang w:val="en-GB"/>
        </w:rPr>
      </w:pPr>
    </w:p>
    <w:p w14:paraId="5553BB9B" w14:textId="34D3E0E6" w:rsidR="004B4906" w:rsidRPr="00DE25E4" w:rsidRDefault="004B4906" w:rsidP="00D22FF7">
      <w:pPr>
        <w:autoSpaceDE w:val="0"/>
        <w:autoSpaceDN w:val="0"/>
        <w:adjustRightInd w:val="0"/>
        <w:jc w:val="both"/>
        <w:rPr>
          <w:lang w:val="en-GB"/>
        </w:rPr>
      </w:pPr>
      <w:r w:rsidRPr="00DE25E4">
        <w:rPr>
          <w:lang w:val="en-GB"/>
        </w:rPr>
        <w:t>Haematological response was defined as meeting one or more of the following criteria: 1) platelet count increases to 20</w:t>
      </w:r>
      <w:r w:rsidR="00C771FD">
        <w:rPr>
          <w:lang w:val="en-GB"/>
        </w:rPr>
        <w:t xml:space="preserve"> x 10</w:t>
      </w:r>
      <w:r w:rsidR="00C771FD" w:rsidRPr="00C771FD">
        <w:rPr>
          <w:vertAlign w:val="superscript"/>
          <w:lang w:val="en-GB"/>
        </w:rPr>
        <w:t>9</w:t>
      </w:r>
      <w:r w:rsidRPr="00DE25E4">
        <w:rPr>
          <w:lang w:val="en-GB"/>
        </w:rPr>
        <w:t>/</w:t>
      </w:r>
      <w:r w:rsidR="00C00462">
        <w:rPr>
          <w:lang w:val="en-GB"/>
        </w:rPr>
        <w:t>L</w:t>
      </w:r>
      <w:r w:rsidRPr="00DE25E4">
        <w:rPr>
          <w:lang w:val="en-GB"/>
        </w:rPr>
        <w:t xml:space="preserve"> above baseline or stable platelet counts with transfusion independence for a minimum of 8 weeks; 2) haemoglobin increase by &gt; 15</w:t>
      </w:r>
      <w:r w:rsidR="00493125">
        <w:rPr>
          <w:lang w:val="en-GB"/>
        </w:rPr>
        <w:t xml:space="preserve"> </w:t>
      </w:r>
      <w:r w:rsidRPr="00DE25E4">
        <w:rPr>
          <w:lang w:val="en-GB"/>
        </w:rPr>
        <w:t>g/L, or a reduction in ≥ 4 units of RBC transfusions for 8 consecutive weeks</w:t>
      </w:r>
      <w:r w:rsidR="004737C6" w:rsidRPr="00DE25E4">
        <w:rPr>
          <w:lang w:val="en-GB"/>
        </w:rPr>
        <w:t>, compared to the number of transfusions in the 8 weeks pretreatment</w:t>
      </w:r>
      <w:r w:rsidRPr="00DE25E4">
        <w:rPr>
          <w:lang w:val="en-GB"/>
        </w:rPr>
        <w:t>; 3) absolute neutrophil count (ANC) increase of 100 % or an ANC increase &gt; 0.5 x 10</w:t>
      </w:r>
      <w:r w:rsidRPr="00DE25E4">
        <w:rPr>
          <w:vertAlign w:val="superscript"/>
          <w:lang w:val="en-GB"/>
        </w:rPr>
        <w:t>9</w:t>
      </w:r>
      <w:r w:rsidRPr="00DE25E4">
        <w:rPr>
          <w:lang w:val="en-GB"/>
        </w:rPr>
        <w:t>/L.</w:t>
      </w:r>
    </w:p>
    <w:p w14:paraId="5553BB9C" w14:textId="77777777" w:rsidR="004B4906" w:rsidRPr="00DE25E4" w:rsidRDefault="004B4906" w:rsidP="00D22FF7">
      <w:pPr>
        <w:autoSpaceDE w:val="0"/>
        <w:autoSpaceDN w:val="0"/>
        <w:adjustRightInd w:val="0"/>
        <w:jc w:val="both"/>
        <w:rPr>
          <w:lang w:val="en-GB"/>
        </w:rPr>
      </w:pPr>
    </w:p>
    <w:p w14:paraId="5553BB9D" w14:textId="77777777" w:rsidR="004B4906" w:rsidRPr="00DE25E4" w:rsidRDefault="004B4906" w:rsidP="00F0067C">
      <w:pPr>
        <w:widowControl w:val="0"/>
        <w:autoSpaceDE w:val="0"/>
        <w:autoSpaceDN w:val="0"/>
        <w:adjustRightInd w:val="0"/>
        <w:jc w:val="both"/>
        <w:rPr>
          <w:lang w:val="en-GB"/>
        </w:rPr>
      </w:pPr>
      <w:r w:rsidRPr="00DE25E4">
        <w:rPr>
          <w:lang w:val="en-GB"/>
        </w:rPr>
        <w:t xml:space="preserve">REVOLADE was discontinued after 16 weeks if no haematological response or transfusion </w:t>
      </w:r>
      <w:r w:rsidRPr="00DE25E4">
        <w:rPr>
          <w:lang w:val="en-GB"/>
        </w:rPr>
        <w:lastRenderedPageBreak/>
        <w:t>independence was observed. Patients who responded continued therapy in an extension phase of the study.</w:t>
      </w:r>
    </w:p>
    <w:p w14:paraId="5553BB9E" w14:textId="77777777" w:rsidR="004B4906" w:rsidRPr="000D7D0E" w:rsidRDefault="004B4906" w:rsidP="00D22FF7">
      <w:pPr>
        <w:autoSpaceDE w:val="0"/>
        <w:autoSpaceDN w:val="0"/>
        <w:adjustRightInd w:val="0"/>
        <w:jc w:val="both"/>
        <w:rPr>
          <w:sz w:val="22"/>
          <w:szCs w:val="22"/>
          <w:lang w:val="en-GB"/>
        </w:rPr>
      </w:pPr>
    </w:p>
    <w:p w14:paraId="3843420E" w14:textId="135EA1A9" w:rsidR="00C43B62" w:rsidRDefault="004B4906" w:rsidP="00C43B62">
      <w:pPr>
        <w:autoSpaceDE w:val="0"/>
        <w:autoSpaceDN w:val="0"/>
        <w:adjustRightInd w:val="0"/>
        <w:jc w:val="both"/>
      </w:pPr>
      <w:r w:rsidRPr="00DE25E4">
        <w:rPr>
          <w:lang w:val="en-GB"/>
        </w:rPr>
        <w:t>The treated population had</w:t>
      </w:r>
      <w:r w:rsidR="005071A7" w:rsidRPr="00DE25E4">
        <w:rPr>
          <w:lang w:val="en-GB"/>
        </w:rPr>
        <w:t xml:space="preserve"> a</w:t>
      </w:r>
      <w:r w:rsidR="00575995" w:rsidRPr="00DE25E4">
        <w:rPr>
          <w:lang w:val="en-GB"/>
        </w:rPr>
        <w:t xml:space="preserve"> </w:t>
      </w:r>
      <w:r w:rsidRPr="00DE25E4">
        <w:rPr>
          <w:lang w:val="en-GB"/>
        </w:rPr>
        <w:t>median age of 45 years (range 17 to 77 years) and 56 % of patients were male. At baseline the median platelet count was 20</w:t>
      </w:r>
      <w:r w:rsidR="007539B2">
        <w:rPr>
          <w:lang w:val="en-GB"/>
        </w:rPr>
        <w:t xml:space="preserve"> x 10</w:t>
      </w:r>
      <w:r w:rsidR="007539B2" w:rsidRPr="007539B2">
        <w:rPr>
          <w:vertAlign w:val="superscript"/>
          <w:lang w:val="en-GB"/>
        </w:rPr>
        <w:t>9</w:t>
      </w:r>
      <w:r w:rsidRPr="00DE25E4">
        <w:rPr>
          <w:lang w:val="en-GB"/>
        </w:rPr>
        <w:t>/</w:t>
      </w:r>
      <w:r w:rsidR="00C00462">
        <w:rPr>
          <w:lang w:val="en-GB"/>
        </w:rPr>
        <w:t>L</w:t>
      </w:r>
      <w:r w:rsidRPr="00DE25E4">
        <w:rPr>
          <w:lang w:val="en-GB"/>
        </w:rPr>
        <w:t>, haemoglobin was 84 g/L, and ANC was 0.58 x 10</w:t>
      </w:r>
      <w:r w:rsidRPr="00DE25E4">
        <w:rPr>
          <w:vertAlign w:val="superscript"/>
          <w:lang w:val="en-GB"/>
        </w:rPr>
        <w:t>9</w:t>
      </w:r>
      <w:r w:rsidRPr="00DE25E4">
        <w:rPr>
          <w:lang w:val="en-GB"/>
        </w:rPr>
        <w:t xml:space="preserve">/L. </w:t>
      </w:r>
      <w:r w:rsidR="00C43B62" w:rsidRPr="00C43B62">
        <w:rPr>
          <w:lang w:val="en-GB"/>
        </w:rPr>
        <w:t xml:space="preserve">The prior immunosuppressive history of these patients is given in Table </w:t>
      </w:r>
      <w:r w:rsidR="00556582">
        <w:rPr>
          <w:lang w:val="en-GB"/>
        </w:rPr>
        <w:t>4</w:t>
      </w:r>
      <w:r w:rsidR="00C43B62" w:rsidRPr="00C43B62">
        <w:rPr>
          <w:lang w:val="en-GB"/>
        </w:rPr>
        <w:t xml:space="preserve">. </w:t>
      </w:r>
      <w:r w:rsidRPr="00DE25E4">
        <w:rPr>
          <w:lang w:val="en-GB"/>
        </w:rPr>
        <w:t>The majority of patients (84 %) had received at least 2 prior immunosuppressive therapies. Three patients had cytogenetic abnormalities at baseline</w:t>
      </w:r>
      <w:r w:rsidR="00C616EE">
        <w:rPr>
          <w:lang w:val="en-GB"/>
        </w:rPr>
        <w:t xml:space="preserve"> (see PRECAUTIONS – cytogenetic abnormalities)</w:t>
      </w:r>
      <w:r w:rsidRPr="00DE25E4">
        <w:rPr>
          <w:lang w:val="en-GB"/>
        </w:rPr>
        <w:t>.</w:t>
      </w:r>
      <w:r w:rsidR="00C43B62" w:rsidRPr="00C43B62">
        <w:t xml:space="preserve"> </w:t>
      </w:r>
    </w:p>
    <w:p w14:paraId="7AC47653" w14:textId="77777777" w:rsidR="00B652C9" w:rsidRDefault="00B652C9" w:rsidP="00C43B62">
      <w:pPr>
        <w:autoSpaceDE w:val="0"/>
        <w:autoSpaceDN w:val="0"/>
        <w:adjustRightInd w:val="0"/>
        <w:jc w:val="both"/>
      </w:pPr>
    </w:p>
    <w:p w14:paraId="45827C68" w14:textId="77777777" w:rsidR="00B652C9" w:rsidRPr="00707881" w:rsidRDefault="00B652C9" w:rsidP="00B652C9">
      <w:pPr>
        <w:autoSpaceDE w:val="0"/>
        <w:autoSpaceDN w:val="0"/>
        <w:adjustRightInd w:val="0"/>
        <w:jc w:val="both"/>
      </w:pPr>
      <w:r w:rsidRPr="00707881">
        <w:t>At baseline, 91 % (39/43) and 86% (37/43) of patients were platelet and RBC transfusion dependent respectively. Of these, 59 % (23/39) became platelet transfusion independent (28 days without platelet transfusion) and 27 % (10/37) became RBC transfusion independent (56 days without RBC transfusion) while being treated with REVOLADE.</w:t>
      </w:r>
    </w:p>
    <w:p w14:paraId="5DFC34CD" w14:textId="77777777" w:rsidR="00B652C9" w:rsidRPr="00B652C9" w:rsidRDefault="00B652C9" w:rsidP="00C43B62">
      <w:pPr>
        <w:autoSpaceDE w:val="0"/>
        <w:autoSpaceDN w:val="0"/>
        <w:adjustRightInd w:val="0"/>
        <w:jc w:val="both"/>
      </w:pPr>
    </w:p>
    <w:p w14:paraId="0749E98F" w14:textId="77777777" w:rsidR="00C43B62" w:rsidRDefault="00C43B62" w:rsidP="00C43B62">
      <w:pPr>
        <w:autoSpaceDE w:val="0"/>
        <w:autoSpaceDN w:val="0"/>
        <w:adjustRightInd w:val="0"/>
        <w:jc w:val="both"/>
        <w:rPr>
          <w:lang w:val="en-GB"/>
        </w:rPr>
      </w:pPr>
    </w:p>
    <w:p w14:paraId="2872EE89" w14:textId="2741DDB7" w:rsidR="0013699A" w:rsidRPr="004138C8" w:rsidRDefault="0013699A" w:rsidP="0013699A">
      <w:pPr>
        <w:autoSpaceDE w:val="0"/>
        <w:autoSpaceDN w:val="0"/>
        <w:adjustRightInd w:val="0"/>
        <w:jc w:val="both"/>
        <w:rPr>
          <w:rFonts w:ascii="Arial" w:hAnsi="Arial" w:cs="Arial"/>
          <w:b/>
          <w:lang w:val="en-GB" w:eastAsia="ja-JP"/>
        </w:rPr>
      </w:pPr>
      <w:r w:rsidRPr="004138C8">
        <w:rPr>
          <w:rFonts w:ascii="Arial" w:hAnsi="Arial" w:cs="Arial"/>
          <w:b/>
          <w:lang w:val="en-GB" w:eastAsia="ja-JP"/>
        </w:rPr>
        <w:t xml:space="preserve">Table </w:t>
      </w:r>
      <w:r w:rsidR="00556582" w:rsidRPr="004138C8">
        <w:rPr>
          <w:rFonts w:ascii="Arial" w:hAnsi="Arial" w:cs="Arial"/>
          <w:b/>
          <w:lang w:val="en-GB" w:eastAsia="ja-JP"/>
        </w:rPr>
        <w:t>4</w:t>
      </w:r>
      <w:r w:rsidRPr="004138C8">
        <w:rPr>
          <w:rFonts w:ascii="Arial" w:hAnsi="Arial" w:cs="Arial"/>
          <w:b/>
          <w:lang w:val="en-GB" w:eastAsia="ja-JP"/>
        </w:rPr>
        <w:t xml:space="preserve"> </w:t>
      </w:r>
      <w:r w:rsidRPr="004138C8">
        <w:rPr>
          <w:rFonts w:ascii="Arial" w:hAnsi="Arial" w:cs="Arial"/>
          <w:b/>
          <w:lang w:val="en-GB" w:eastAsia="ja-JP"/>
        </w:rPr>
        <w:tab/>
        <w:t xml:space="preserve">Summary of </w:t>
      </w:r>
      <w:r w:rsidR="004138C8">
        <w:rPr>
          <w:rFonts w:ascii="Arial" w:hAnsi="Arial" w:cs="Arial"/>
          <w:b/>
          <w:lang w:val="en-GB" w:eastAsia="ja-JP"/>
        </w:rPr>
        <w:t xml:space="preserve">SAA </w:t>
      </w:r>
      <w:r w:rsidRPr="004138C8">
        <w:rPr>
          <w:rFonts w:ascii="Arial" w:hAnsi="Arial" w:cs="Arial"/>
          <w:b/>
          <w:lang w:val="en-GB" w:eastAsia="ja-JP"/>
        </w:rPr>
        <w:t>Disease Characteristics at Screening</w:t>
      </w:r>
    </w:p>
    <w:p w14:paraId="2FD42D92" w14:textId="77777777" w:rsidR="0013699A" w:rsidRDefault="0013699A" w:rsidP="0013699A">
      <w:pPr>
        <w:autoSpaceDE w:val="0"/>
        <w:autoSpaceDN w:val="0"/>
        <w:adjustRightInd w:val="0"/>
        <w:jc w:val="both"/>
        <w:rPr>
          <w:rFonts w:ascii="Arial" w:hAnsi="Arial" w:cs="Arial"/>
          <w:b/>
          <w:sz w:val="22"/>
          <w:szCs w:val="20"/>
          <w:lang w:val="en-GB" w:eastAsia="ja-JP"/>
        </w:rPr>
      </w:pPr>
    </w:p>
    <w:tbl>
      <w:tblPr>
        <w:tblStyle w:val="TableGrid"/>
        <w:tblW w:w="0" w:type="auto"/>
        <w:tblInd w:w="1327" w:type="dxa"/>
        <w:tblLook w:val="04A0" w:firstRow="1" w:lastRow="0" w:firstColumn="1" w:lastColumn="0" w:noHBand="0" w:noVBand="1"/>
      </w:tblPr>
      <w:tblGrid>
        <w:gridCol w:w="3334"/>
        <w:gridCol w:w="3599"/>
      </w:tblGrid>
      <w:tr w:rsidR="0013699A" w14:paraId="0E5A3978" w14:textId="77777777" w:rsidTr="001D18CF">
        <w:trPr>
          <w:tblHeader/>
        </w:trPr>
        <w:tc>
          <w:tcPr>
            <w:tcW w:w="3334" w:type="dxa"/>
          </w:tcPr>
          <w:p w14:paraId="2AD84CA5" w14:textId="77777777" w:rsidR="0013699A" w:rsidRDefault="0013699A" w:rsidP="0013699A">
            <w:pPr>
              <w:autoSpaceDE w:val="0"/>
              <w:autoSpaceDN w:val="0"/>
              <w:adjustRightInd w:val="0"/>
              <w:jc w:val="both"/>
              <w:rPr>
                <w:rFonts w:ascii="Arial" w:hAnsi="Arial" w:cs="Arial"/>
                <w:b/>
                <w:sz w:val="22"/>
                <w:szCs w:val="20"/>
                <w:lang w:val="en-GB" w:eastAsia="ja-JP"/>
              </w:rPr>
            </w:pPr>
          </w:p>
        </w:tc>
        <w:tc>
          <w:tcPr>
            <w:tcW w:w="3599" w:type="dxa"/>
          </w:tcPr>
          <w:p w14:paraId="47010CF0" w14:textId="5DACF447" w:rsidR="0013699A" w:rsidRDefault="0013699A" w:rsidP="005756C9">
            <w:pPr>
              <w:autoSpaceDE w:val="0"/>
              <w:autoSpaceDN w:val="0"/>
              <w:adjustRightInd w:val="0"/>
              <w:jc w:val="center"/>
              <w:rPr>
                <w:rFonts w:ascii="Arial" w:hAnsi="Arial" w:cs="Arial"/>
                <w:b/>
                <w:sz w:val="22"/>
                <w:szCs w:val="20"/>
                <w:lang w:val="en-GB" w:eastAsia="ja-JP"/>
              </w:rPr>
            </w:pPr>
            <w:r w:rsidRPr="0013699A">
              <w:rPr>
                <w:rFonts w:ascii="Arial" w:hAnsi="Arial" w:cs="Arial"/>
                <w:b/>
                <w:sz w:val="22"/>
                <w:szCs w:val="20"/>
                <w:lang w:val="en-GB" w:eastAsia="ja-JP"/>
              </w:rPr>
              <w:t>Eltrombopag</w:t>
            </w:r>
            <w:r>
              <w:rPr>
                <w:rFonts w:ascii="Arial" w:hAnsi="Arial" w:cs="Arial"/>
                <w:b/>
                <w:sz w:val="22"/>
                <w:szCs w:val="20"/>
                <w:lang w:val="en-GB" w:eastAsia="ja-JP"/>
              </w:rPr>
              <w:t xml:space="preserve"> </w:t>
            </w:r>
            <w:r w:rsidRPr="0013699A">
              <w:rPr>
                <w:rFonts w:ascii="Arial" w:hAnsi="Arial" w:cs="Arial"/>
                <w:b/>
                <w:sz w:val="22"/>
                <w:szCs w:val="20"/>
                <w:lang w:val="en-GB" w:eastAsia="ja-JP"/>
              </w:rPr>
              <w:t>Total</w:t>
            </w:r>
            <w:r>
              <w:rPr>
                <w:rFonts w:ascii="Arial" w:hAnsi="Arial" w:cs="Arial"/>
                <w:b/>
                <w:sz w:val="22"/>
                <w:szCs w:val="20"/>
                <w:lang w:val="en-GB" w:eastAsia="ja-JP"/>
              </w:rPr>
              <w:t xml:space="preserve"> </w:t>
            </w:r>
            <w:r w:rsidRPr="0013699A">
              <w:rPr>
                <w:rFonts w:ascii="Arial" w:hAnsi="Arial" w:cs="Arial"/>
                <w:b/>
                <w:sz w:val="22"/>
                <w:szCs w:val="20"/>
                <w:lang w:val="en-GB" w:eastAsia="ja-JP"/>
              </w:rPr>
              <w:t>(N=43)</w:t>
            </w:r>
          </w:p>
        </w:tc>
      </w:tr>
      <w:tr w:rsidR="002635F3" w:rsidRPr="0013699A" w14:paraId="255E9666" w14:textId="77777777" w:rsidTr="001D18CF">
        <w:tc>
          <w:tcPr>
            <w:tcW w:w="6933" w:type="dxa"/>
            <w:gridSpan w:val="2"/>
          </w:tcPr>
          <w:p w14:paraId="6AC1BC38" w14:textId="4B715C43" w:rsidR="002635F3" w:rsidRPr="002635F3" w:rsidRDefault="002635F3" w:rsidP="0013699A">
            <w:pPr>
              <w:autoSpaceDE w:val="0"/>
              <w:autoSpaceDN w:val="0"/>
              <w:adjustRightInd w:val="0"/>
              <w:jc w:val="both"/>
              <w:rPr>
                <w:rFonts w:ascii="Arial" w:hAnsi="Arial" w:cs="Arial"/>
                <w:b/>
                <w:sz w:val="22"/>
                <w:szCs w:val="22"/>
                <w:lang w:val="en-GB" w:eastAsia="ja-JP"/>
              </w:rPr>
            </w:pPr>
            <w:bookmarkStart w:id="3" w:name="_GoBack"/>
            <w:bookmarkEnd w:id="3"/>
            <w:r w:rsidRPr="002635F3">
              <w:rPr>
                <w:rFonts w:ascii="Arial" w:hAnsi="Arial" w:cs="Arial"/>
                <w:b/>
                <w:sz w:val="22"/>
                <w:szCs w:val="22"/>
                <w:lang w:val="en-GB" w:eastAsia="ja-JP"/>
              </w:rPr>
              <w:t>Time Since Diagnosis (Months)</w:t>
            </w:r>
          </w:p>
        </w:tc>
      </w:tr>
      <w:tr w:rsidR="0013699A" w:rsidRPr="0013699A" w14:paraId="1F4EB792" w14:textId="77777777" w:rsidTr="001D18CF">
        <w:tc>
          <w:tcPr>
            <w:tcW w:w="3334" w:type="dxa"/>
          </w:tcPr>
          <w:p w14:paraId="38BC89AB" w14:textId="57FAC3D9" w:rsidR="0013699A" w:rsidRPr="0013699A" w:rsidRDefault="0013699A" w:rsidP="002635F3">
            <w:pPr>
              <w:autoSpaceDE w:val="0"/>
              <w:autoSpaceDN w:val="0"/>
              <w:adjustRightInd w:val="0"/>
              <w:jc w:val="right"/>
              <w:rPr>
                <w:rFonts w:ascii="Arial" w:hAnsi="Arial" w:cs="Arial"/>
                <w:sz w:val="22"/>
                <w:szCs w:val="22"/>
                <w:lang w:val="en-GB" w:eastAsia="ja-JP"/>
              </w:rPr>
            </w:pPr>
            <w:r w:rsidRPr="0013699A">
              <w:rPr>
                <w:rFonts w:ascii="Arial" w:hAnsi="Arial" w:cs="Arial"/>
                <w:sz w:val="22"/>
                <w:szCs w:val="22"/>
                <w:lang w:val="en-GB" w:eastAsia="ja-JP"/>
              </w:rPr>
              <w:t xml:space="preserve">Median (min-max) </w:t>
            </w:r>
          </w:p>
        </w:tc>
        <w:tc>
          <w:tcPr>
            <w:tcW w:w="3599" w:type="dxa"/>
          </w:tcPr>
          <w:p w14:paraId="33FA2AF5" w14:textId="4A3837C5" w:rsidR="0013699A" w:rsidRPr="0013699A" w:rsidRDefault="0013699A" w:rsidP="002635F3">
            <w:pPr>
              <w:autoSpaceDE w:val="0"/>
              <w:autoSpaceDN w:val="0"/>
              <w:adjustRightInd w:val="0"/>
              <w:jc w:val="center"/>
              <w:rPr>
                <w:rFonts w:ascii="Arial" w:hAnsi="Arial" w:cs="Arial"/>
                <w:sz w:val="22"/>
                <w:szCs w:val="22"/>
                <w:lang w:val="en-GB" w:eastAsia="ja-JP"/>
              </w:rPr>
            </w:pPr>
            <w:r w:rsidRPr="0013699A">
              <w:rPr>
                <w:rFonts w:ascii="Arial" w:hAnsi="Arial" w:cs="Arial"/>
                <w:sz w:val="22"/>
                <w:szCs w:val="22"/>
                <w:lang w:val="en-GB" w:eastAsia="ja-JP"/>
              </w:rPr>
              <w:t>30.9 (10-190)</w:t>
            </w:r>
          </w:p>
        </w:tc>
      </w:tr>
      <w:tr w:rsidR="002635F3" w:rsidRPr="0013699A" w14:paraId="3EF61003" w14:textId="77777777" w:rsidTr="001D18CF">
        <w:tc>
          <w:tcPr>
            <w:tcW w:w="6933" w:type="dxa"/>
            <w:gridSpan w:val="2"/>
          </w:tcPr>
          <w:p w14:paraId="576B0044" w14:textId="56ED5A38" w:rsidR="002635F3" w:rsidRPr="002635F3" w:rsidRDefault="002635F3" w:rsidP="002635F3">
            <w:pPr>
              <w:autoSpaceDE w:val="0"/>
              <w:autoSpaceDN w:val="0"/>
              <w:adjustRightInd w:val="0"/>
              <w:jc w:val="both"/>
              <w:rPr>
                <w:rFonts w:ascii="Arial" w:hAnsi="Arial" w:cs="Arial"/>
                <w:b/>
                <w:sz w:val="22"/>
                <w:szCs w:val="22"/>
                <w:lang w:val="en-GB" w:eastAsia="ja-JP"/>
              </w:rPr>
            </w:pPr>
            <w:r w:rsidRPr="002635F3">
              <w:rPr>
                <w:rFonts w:ascii="Arial" w:hAnsi="Arial" w:cs="Arial"/>
                <w:b/>
                <w:sz w:val="22"/>
                <w:szCs w:val="22"/>
                <w:lang w:val="en-GB" w:eastAsia="ja-JP"/>
              </w:rPr>
              <w:t>Transfused at Referral - Platelets, n (%)</w:t>
            </w:r>
          </w:p>
        </w:tc>
      </w:tr>
      <w:tr w:rsidR="0013699A" w:rsidRPr="0013699A" w14:paraId="6E8BE71E" w14:textId="77777777" w:rsidTr="001D18CF">
        <w:tc>
          <w:tcPr>
            <w:tcW w:w="3334" w:type="dxa"/>
          </w:tcPr>
          <w:p w14:paraId="00D11EBB" w14:textId="6AAAF50D" w:rsidR="0013699A" w:rsidRPr="0013699A" w:rsidRDefault="002635F3" w:rsidP="002635F3">
            <w:pPr>
              <w:autoSpaceDE w:val="0"/>
              <w:autoSpaceDN w:val="0"/>
              <w:adjustRightInd w:val="0"/>
              <w:jc w:val="right"/>
              <w:rPr>
                <w:rFonts w:ascii="Arial" w:hAnsi="Arial" w:cs="Arial"/>
                <w:sz w:val="22"/>
                <w:szCs w:val="22"/>
                <w:lang w:val="en-GB" w:eastAsia="ja-JP"/>
              </w:rPr>
            </w:pPr>
            <w:r w:rsidRPr="002635F3">
              <w:rPr>
                <w:rFonts w:ascii="Arial" w:hAnsi="Arial" w:cs="Arial"/>
                <w:sz w:val="22"/>
                <w:szCs w:val="22"/>
                <w:lang w:val="en-GB" w:eastAsia="ja-JP"/>
              </w:rPr>
              <w:t xml:space="preserve">Yes </w:t>
            </w:r>
          </w:p>
        </w:tc>
        <w:tc>
          <w:tcPr>
            <w:tcW w:w="3599" w:type="dxa"/>
          </w:tcPr>
          <w:p w14:paraId="7194A507" w14:textId="17424057" w:rsidR="0013699A" w:rsidRPr="0013699A" w:rsidRDefault="002635F3" w:rsidP="002635F3">
            <w:pPr>
              <w:autoSpaceDE w:val="0"/>
              <w:autoSpaceDN w:val="0"/>
              <w:adjustRightInd w:val="0"/>
              <w:jc w:val="center"/>
              <w:rPr>
                <w:rFonts w:ascii="Arial" w:hAnsi="Arial" w:cs="Arial"/>
                <w:sz w:val="22"/>
                <w:szCs w:val="22"/>
                <w:lang w:val="en-GB" w:eastAsia="ja-JP"/>
              </w:rPr>
            </w:pPr>
            <w:r w:rsidRPr="002635F3">
              <w:rPr>
                <w:rFonts w:ascii="Arial" w:hAnsi="Arial" w:cs="Arial"/>
                <w:sz w:val="22"/>
                <w:szCs w:val="22"/>
                <w:lang w:val="en-GB" w:eastAsia="ja-JP"/>
              </w:rPr>
              <w:t>39 (91)</w:t>
            </w:r>
          </w:p>
        </w:tc>
      </w:tr>
      <w:tr w:rsidR="002635F3" w:rsidRPr="002635F3" w14:paraId="5631C805" w14:textId="77777777" w:rsidTr="001D18CF">
        <w:tc>
          <w:tcPr>
            <w:tcW w:w="6933" w:type="dxa"/>
            <w:gridSpan w:val="2"/>
          </w:tcPr>
          <w:p w14:paraId="73426BE3" w14:textId="765A76DF" w:rsidR="002635F3" w:rsidRPr="002635F3" w:rsidRDefault="002635F3" w:rsidP="0013699A">
            <w:pPr>
              <w:autoSpaceDE w:val="0"/>
              <w:autoSpaceDN w:val="0"/>
              <w:adjustRightInd w:val="0"/>
              <w:jc w:val="both"/>
              <w:rPr>
                <w:rFonts w:ascii="Arial" w:hAnsi="Arial" w:cs="Arial"/>
                <w:b/>
                <w:sz w:val="22"/>
                <w:szCs w:val="22"/>
                <w:lang w:val="en-GB" w:eastAsia="ja-JP"/>
              </w:rPr>
            </w:pPr>
            <w:r w:rsidRPr="002635F3">
              <w:rPr>
                <w:rFonts w:ascii="Arial" w:hAnsi="Arial" w:cs="Arial"/>
                <w:b/>
                <w:sz w:val="22"/>
                <w:szCs w:val="22"/>
                <w:lang w:val="en-GB" w:eastAsia="ja-JP"/>
              </w:rPr>
              <w:t>Number of Platelet Transfusions per Month at Referral, n (%)</w:t>
            </w:r>
          </w:p>
        </w:tc>
      </w:tr>
      <w:tr w:rsidR="0013699A" w:rsidRPr="0013699A" w14:paraId="44827EE7" w14:textId="77777777" w:rsidTr="001D18CF">
        <w:tc>
          <w:tcPr>
            <w:tcW w:w="3334" w:type="dxa"/>
          </w:tcPr>
          <w:p w14:paraId="4ED338AA" w14:textId="6D03A812" w:rsidR="0013699A" w:rsidRPr="0013699A" w:rsidRDefault="002635F3" w:rsidP="002635F3">
            <w:pPr>
              <w:autoSpaceDE w:val="0"/>
              <w:autoSpaceDN w:val="0"/>
              <w:adjustRightInd w:val="0"/>
              <w:jc w:val="right"/>
              <w:rPr>
                <w:rFonts w:ascii="Arial" w:hAnsi="Arial" w:cs="Arial"/>
                <w:sz w:val="22"/>
                <w:szCs w:val="22"/>
                <w:lang w:val="en-GB" w:eastAsia="ja-JP"/>
              </w:rPr>
            </w:pPr>
            <w:r w:rsidRPr="002635F3">
              <w:rPr>
                <w:rFonts w:ascii="Arial" w:hAnsi="Arial" w:cs="Arial"/>
                <w:sz w:val="22"/>
                <w:szCs w:val="22"/>
                <w:lang w:val="en-GB" w:eastAsia="ja-JP"/>
              </w:rPr>
              <w:t xml:space="preserve">N </w:t>
            </w:r>
          </w:p>
        </w:tc>
        <w:tc>
          <w:tcPr>
            <w:tcW w:w="3599" w:type="dxa"/>
          </w:tcPr>
          <w:p w14:paraId="1831AB3A" w14:textId="4053B340" w:rsidR="0013699A" w:rsidRPr="0013699A" w:rsidRDefault="002635F3" w:rsidP="002635F3">
            <w:pPr>
              <w:autoSpaceDE w:val="0"/>
              <w:autoSpaceDN w:val="0"/>
              <w:adjustRightInd w:val="0"/>
              <w:jc w:val="center"/>
              <w:rPr>
                <w:rFonts w:ascii="Arial" w:hAnsi="Arial" w:cs="Arial"/>
                <w:sz w:val="22"/>
                <w:szCs w:val="22"/>
                <w:lang w:val="en-GB" w:eastAsia="ja-JP"/>
              </w:rPr>
            </w:pPr>
            <w:r w:rsidRPr="002635F3">
              <w:rPr>
                <w:rFonts w:ascii="Arial" w:hAnsi="Arial" w:cs="Arial"/>
                <w:sz w:val="22"/>
                <w:szCs w:val="22"/>
                <w:lang w:val="en-GB" w:eastAsia="ja-JP"/>
              </w:rPr>
              <w:t>39</w:t>
            </w:r>
          </w:p>
        </w:tc>
      </w:tr>
      <w:tr w:rsidR="0013699A" w:rsidRPr="0013699A" w14:paraId="5367C0C3" w14:textId="77777777" w:rsidTr="001D18CF">
        <w:tc>
          <w:tcPr>
            <w:tcW w:w="3334" w:type="dxa"/>
          </w:tcPr>
          <w:p w14:paraId="5D4B2B8C" w14:textId="0FDACC8E" w:rsidR="0013699A" w:rsidRPr="0013699A" w:rsidRDefault="002635F3" w:rsidP="002635F3">
            <w:pPr>
              <w:autoSpaceDE w:val="0"/>
              <w:autoSpaceDN w:val="0"/>
              <w:adjustRightInd w:val="0"/>
              <w:jc w:val="right"/>
              <w:rPr>
                <w:rFonts w:ascii="Arial" w:hAnsi="Arial" w:cs="Arial"/>
                <w:sz w:val="22"/>
                <w:szCs w:val="22"/>
                <w:lang w:val="en-GB" w:eastAsia="ja-JP"/>
              </w:rPr>
            </w:pPr>
            <w:r w:rsidRPr="0013699A">
              <w:rPr>
                <w:rFonts w:ascii="Arial" w:hAnsi="Arial" w:cs="Arial"/>
                <w:sz w:val="22"/>
                <w:szCs w:val="22"/>
                <w:lang w:val="en-GB"/>
              </w:rPr>
              <w:t xml:space="preserve">Median (min-max) </w:t>
            </w:r>
          </w:p>
        </w:tc>
        <w:tc>
          <w:tcPr>
            <w:tcW w:w="3599" w:type="dxa"/>
          </w:tcPr>
          <w:p w14:paraId="27D28C94" w14:textId="173964C0" w:rsidR="0013699A" w:rsidRPr="0013699A" w:rsidRDefault="002635F3" w:rsidP="002635F3">
            <w:pPr>
              <w:autoSpaceDE w:val="0"/>
              <w:autoSpaceDN w:val="0"/>
              <w:adjustRightInd w:val="0"/>
              <w:jc w:val="center"/>
              <w:rPr>
                <w:rFonts w:ascii="Arial" w:hAnsi="Arial" w:cs="Arial"/>
                <w:sz w:val="22"/>
                <w:szCs w:val="22"/>
                <w:lang w:val="en-GB" w:eastAsia="ja-JP"/>
              </w:rPr>
            </w:pPr>
            <w:r w:rsidRPr="0013699A">
              <w:rPr>
                <w:rFonts w:ascii="Arial" w:hAnsi="Arial" w:cs="Arial"/>
                <w:sz w:val="22"/>
                <w:szCs w:val="22"/>
                <w:lang w:val="en-GB"/>
              </w:rPr>
              <w:t>4.0 (1-9)</w:t>
            </w:r>
          </w:p>
        </w:tc>
      </w:tr>
      <w:tr w:rsidR="00366208" w:rsidRPr="00366208" w14:paraId="17EDCC08" w14:textId="77777777" w:rsidTr="001D18CF">
        <w:tc>
          <w:tcPr>
            <w:tcW w:w="6933" w:type="dxa"/>
            <w:gridSpan w:val="2"/>
          </w:tcPr>
          <w:p w14:paraId="300055F1" w14:textId="545D930F" w:rsidR="00366208" w:rsidRPr="00E71320" w:rsidRDefault="00366208" w:rsidP="00E71320">
            <w:pPr>
              <w:autoSpaceDE w:val="0"/>
              <w:autoSpaceDN w:val="0"/>
              <w:adjustRightInd w:val="0"/>
              <w:jc w:val="both"/>
              <w:rPr>
                <w:rFonts w:ascii="Arial" w:hAnsi="Arial" w:cs="Arial"/>
                <w:b/>
                <w:sz w:val="22"/>
                <w:szCs w:val="22"/>
                <w:lang w:val="en-GB" w:eastAsia="ja-JP"/>
              </w:rPr>
            </w:pPr>
            <w:r w:rsidRPr="00366208">
              <w:rPr>
                <w:rFonts w:ascii="Arial" w:hAnsi="Arial" w:cs="Arial"/>
                <w:b/>
                <w:sz w:val="22"/>
                <w:szCs w:val="22"/>
                <w:lang w:val="en-GB" w:eastAsia="ja-JP"/>
              </w:rPr>
              <w:t>Transfused at Referral - RBC, n (%)</w:t>
            </w:r>
          </w:p>
        </w:tc>
      </w:tr>
      <w:tr w:rsidR="00366208" w:rsidRPr="00366208" w14:paraId="3650FC19" w14:textId="77777777" w:rsidTr="00E60C99">
        <w:tc>
          <w:tcPr>
            <w:tcW w:w="3334" w:type="dxa"/>
          </w:tcPr>
          <w:p w14:paraId="6EF8A424" w14:textId="0B9E1E65" w:rsidR="00366208" w:rsidRPr="0013699A" w:rsidRDefault="00366208" w:rsidP="00366208">
            <w:pPr>
              <w:autoSpaceDE w:val="0"/>
              <w:autoSpaceDN w:val="0"/>
              <w:adjustRightInd w:val="0"/>
              <w:jc w:val="right"/>
              <w:rPr>
                <w:rFonts w:ascii="Arial" w:hAnsi="Arial" w:cs="Arial"/>
                <w:sz w:val="22"/>
                <w:szCs w:val="22"/>
                <w:lang w:val="en-GB"/>
              </w:rPr>
            </w:pPr>
            <w:r w:rsidRPr="00366208">
              <w:rPr>
                <w:rFonts w:ascii="Arial" w:hAnsi="Arial" w:cs="Arial"/>
                <w:sz w:val="22"/>
                <w:szCs w:val="22"/>
                <w:lang w:val="en-GB"/>
              </w:rPr>
              <w:t xml:space="preserve">Yes </w:t>
            </w:r>
          </w:p>
        </w:tc>
        <w:tc>
          <w:tcPr>
            <w:tcW w:w="3599" w:type="dxa"/>
          </w:tcPr>
          <w:p w14:paraId="53BDE041" w14:textId="4C00CC47" w:rsidR="00366208" w:rsidRPr="0013699A" w:rsidRDefault="00366208" w:rsidP="00366208">
            <w:pPr>
              <w:autoSpaceDE w:val="0"/>
              <w:autoSpaceDN w:val="0"/>
              <w:adjustRightInd w:val="0"/>
              <w:jc w:val="center"/>
              <w:rPr>
                <w:rFonts w:ascii="Arial" w:hAnsi="Arial" w:cs="Arial"/>
                <w:sz w:val="22"/>
                <w:szCs w:val="22"/>
                <w:lang w:val="en-GB"/>
              </w:rPr>
            </w:pPr>
            <w:r w:rsidRPr="00366208">
              <w:rPr>
                <w:rFonts w:ascii="Arial" w:hAnsi="Arial" w:cs="Arial"/>
                <w:sz w:val="22"/>
                <w:szCs w:val="22"/>
                <w:lang w:val="en-GB"/>
              </w:rPr>
              <w:t>37 (86)</w:t>
            </w:r>
          </w:p>
        </w:tc>
      </w:tr>
      <w:tr w:rsidR="00E71320" w:rsidRPr="00E71320" w14:paraId="6A791389" w14:textId="77777777" w:rsidTr="001D18CF">
        <w:tc>
          <w:tcPr>
            <w:tcW w:w="6933" w:type="dxa"/>
            <w:gridSpan w:val="2"/>
          </w:tcPr>
          <w:p w14:paraId="52F70B4B" w14:textId="7AE3266D" w:rsidR="00E71320" w:rsidRPr="00E71320" w:rsidRDefault="00E71320" w:rsidP="00E71320">
            <w:pPr>
              <w:autoSpaceDE w:val="0"/>
              <w:autoSpaceDN w:val="0"/>
              <w:adjustRightInd w:val="0"/>
              <w:jc w:val="both"/>
              <w:rPr>
                <w:rFonts w:ascii="Arial" w:hAnsi="Arial" w:cs="Arial"/>
                <w:b/>
                <w:sz w:val="22"/>
                <w:szCs w:val="22"/>
                <w:lang w:val="en-GB" w:eastAsia="ja-JP"/>
              </w:rPr>
            </w:pPr>
            <w:r w:rsidRPr="00E71320">
              <w:rPr>
                <w:rFonts w:ascii="Arial" w:hAnsi="Arial" w:cs="Arial"/>
                <w:b/>
                <w:sz w:val="22"/>
                <w:szCs w:val="22"/>
                <w:lang w:val="en-GB" w:eastAsia="ja-JP"/>
              </w:rPr>
              <w:t>Number of RBC Transfusions per 8 Weeks at Referral</w:t>
            </w:r>
          </w:p>
        </w:tc>
      </w:tr>
      <w:tr w:rsidR="00E71320" w:rsidRPr="0013699A" w14:paraId="4C8EF39C" w14:textId="77777777" w:rsidTr="001D18CF">
        <w:tc>
          <w:tcPr>
            <w:tcW w:w="3334" w:type="dxa"/>
          </w:tcPr>
          <w:p w14:paraId="4B2EE541" w14:textId="77777777" w:rsidR="00E71320" w:rsidRPr="0013699A" w:rsidRDefault="00E71320" w:rsidP="00E71320">
            <w:pPr>
              <w:autoSpaceDE w:val="0"/>
              <w:autoSpaceDN w:val="0"/>
              <w:adjustRightInd w:val="0"/>
              <w:jc w:val="right"/>
              <w:rPr>
                <w:rFonts w:ascii="Arial" w:hAnsi="Arial" w:cs="Arial"/>
                <w:sz w:val="22"/>
                <w:szCs w:val="22"/>
                <w:lang w:val="en-GB" w:eastAsia="ja-JP"/>
              </w:rPr>
            </w:pPr>
            <w:r w:rsidRPr="00E71320">
              <w:rPr>
                <w:rFonts w:ascii="Arial" w:hAnsi="Arial" w:cs="Arial"/>
                <w:sz w:val="22"/>
                <w:szCs w:val="22"/>
                <w:lang w:val="en-GB" w:eastAsia="ja-JP"/>
              </w:rPr>
              <w:t xml:space="preserve">N </w:t>
            </w:r>
          </w:p>
        </w:tc>
        <w:tc>
          <w:tcPr>
            <w:tcW w:w="3599" w:type="dxa"/>
          </w:tcPr>
          <w:p w14:paraId="611DBAAA" w14:textId="77777777" w:rsidR="00E71320" w:rsidRPr="0013699A" w:rsidRDefault="00E71320" w:rsidP="00FB3E6F">
            <w:pPr>
              <w:autoSpaceDE w:val="0"/>
              <w:autoSpaceDN w:val="0"/>
              <w:adjustRightInd w:val="0"/>
              <w:jc w:val="center"/>
              <w:rPr>
                <w:rFonts w:ascii="Arial" w:hAnsi="Arial" w:cs="Arial"/>
                <w:sz w:val="22"/>
                <w:szCs w:val="22"/>
                <w:lang w:val="en-GB" w:eastAsia="ja-JP"/>
              </w:rPr>
            </w:pPr>
            <w:r w:rsidRPr="00E71320">
              <w:rPr>
                <w:rFonts w:ascii="Arial" w:hAnsi="Arial" w:cs="Arial"/>
                <w:sz w:val="22"/>
                <w:szCs w:val="22"/>
                <w:lang w:val="en-GB" w:eastAsia="ja-JP"/>
              </w:rPr>
              <w:t>37</w:t>
            </w:r>
          </w:p>
        </w:tc>
      </w:tr>
      <w:tr w:rsidR="0013699A" w:rsidRPr="0013699A" w14:paraId="4FCB3323" w14:textId="77777777" w:rsidTr="001D18CF">
        <w:tc>
          <w:tcPr>
            <w:tcW w:w="3334" w:type="dxa"/>
          </w:tcPr>
          <w:p w14:paraId="41EF6010" w14:textId="09BE74A6" w:rsidR="0013699A" w:rsidRPr="0013699A" w:rsidRDefault="00E71320" w:rsidP="00E71320">
            <w:pPr>
              <w:autoSpaceDE w:val="0"/>
              <w:autoSpaceDN w:val="0"/>
              <w:adjustRightInd w:val="0"/>
              <w:jc w:val="right"/>
              <w:rPr>
                <w:rFonts w:ascii="Arial" w:hAnsi="Arial" w:cs="Arial"/>
                <w:sz w:val="22"/>
                <w:szCs w:val="22"/>
                <w:lang w:val="en-GB" w:eastAsia="ja-JP"/>
              </w:rPr>
            </w:pPr>
            <w:r w:rsidRPr="00E71320">
              <w:rPr>
                <w:rFonts w:ascii="Arial" w:hAnsi="Arial" w:cs="Arial"/>
                <w:sz w:val="22"/>
                <w:szCs w:val="22"/>
                <w:lang w:val="en-GB" w:eastAsia="ja-JP"/>
              </w:rPr>
              <w:t xml:space="preserve">Median (min-max) </w:t>
            </w:r>
          </w:p>
        </w:tc>
        <w:tc>
          <w:tcPr>
            <w:tcW w:w="3599" w:type="dxa"/>
          </w:tcPr>
          <w:p w14:paraId="174511DE" w14:textId="6A8DCC62" w:rsidR="0013699A" w:rsidRPr="0013699A" w:rsidRDefault="00E71320" w:rsidP="00E71320">
            <w:pPr>
              <w:autoSpaceDE w:val="0"/>
              <w:autoSpaceDN w:val="0"/>
              <w:adjustRightInd w:val="0"/>
              <w:jc w:val="center"/>
              <w:rPr>
                <w:rFonts w:ascii="Arial" w:hAnsi="Arial" w:cs="Arial"/>
                <w:sz w:val="22"/>
                <w:szCs w:val="22"/>
                <w:lang w:val="en-GB" w:eastAsia="ja-JP"/>
              </w:rPr>
            </w:pPr>
            <w:r w:rsidRPr="00E71320">
              <w:rPr>
                <w:rFonts w:ascii="Arial" w:hAnsi="Arial" w:cs="Arial"/>
                <w:sz w:val="22"/>
                <w:szCs w:val="22"/>
                <w:lang w:val="en-GB" w:eastAsia="ja-JP"/>
              </w:rPr>
              <w:t>4.0 (1-17)</w:t>
            </w:r>
          </w:p>
        </w:tc>
      </w:tr>
      <w:tr w:rsidR="00304E7B" w:rsidRPr="00304E7B" w14:paraId="6A27F6AE" w14:textId="77777777" w:rsidTr="001D18CF">
        <w:tc>
          <w:tcPr>
            <w:tcW w:w="6933" w:type="dxa"/>
            <w:gridSpan w:val="2"/>
          </w:tcPr>
          <w:p w14:paraId="672DFBF6" w14:textId="6F084446" w:rsidR="00304E7B" w:rsidRPr="00304E7B" w:rsidRDefault="00304E7B" w:rsidP="0013699A">
            <w:pPr>
              <w:autoSpaceDE w:val="0"/>
              <w:autoSpaceDN w:val="0"/>
              <w:adjustRightInd w:val="0"/>
              <w:jc w:val="both"/>
              <w:rPr>
                <w:rFonts w:ascii="Arial" w:hAnsi="Arial" w:cs="Arial"/>
                <w:b/>
                <w:sz w:val="22"/>
                <w:szCs w:val="22"/>
                <w:lang w:val="en-GB" w:eastAsia="ja-JP"/>
              </w:rPr>
            </w:pPr>
            <w:r w:rsidRPr="00304E7B">
              <w:rPr>
                <w:rFonts w:ascii="Arial" w:hAnsi="Arial" w:cs="Arial"/>
                <w:b/>
                <w:sz w:val="22"/>
                <w:szCs w:val="22"/>
                <w:lang w:val="de-DE" w:eastAsia="ja-JP"/>
              </w:rPr>
              <w:t>Karyotype, n (%)</w:t>
            </w:r>
          </w:p>
        </w:tc>
      </w:tr>
      <w:tr w:rsidR="0013699A" w:rsidRPr="0013699A" w14:paraId="2A4E1D83" w14:textId="77777777" w:rsidTr="001D18CF">
        <w:tc>
          <w:tcPr>
            <w:tcW w:w="3334" w:type="dxa"/>
          </w:tcPr>
          <w:p w14:paraId="1A2F5877" w14:textId="424EF43D" w:rsidR="0013699A" w:rsidRPr="0013699A" w:rsidRDefault="00304E7B" w:rsidP="00304E7B">
            <w:pPr>
              <w:autoSpaceDE w:val="0"/>
              <w:autoSpaceDN w:val="0"/>
              <w:adjustRightInd w:val="0"/>
              <w:jc w:val="right"/>
              <w:rPr>
                <w:rFonts w:ascii="Arial" w:hAnsi="Arial" w:cs="Arial"/>
                <w:sz w:val="22"/>
                <w:szCs w:val="22"/>
                <w:lang w:val="en-GB" w:eastAsia="ja-JP"/>
              </w:rPr>
            </w:pPr>
            <w:r w:rsidRPr="00304E7B">
              <w:rPr>
                <w:rFonts w:ascii="Arial" w:hAnsi="Arial" w:cs="Arial"/>
                <w:sz w:val="22"/>
                <w:szCs w:val="22"/>
                <w:lang w:val="de-DE" w:eastAsia="ja-JP"/>
              </w:rPr>
              <w:t>Normal</w:t>
            </w:r>
          </w:p>
        </w:tc>
        <w:tc>
          <w:tcPr>
            <w:tcW w:w="3599" w:type="dxa"/>
          </w:tcPr>
          <w:p w14:paraId="25618C3F" w14:textId="440E64E9" w:rsidR="0013699A" w:rsidRPr="0013699A" w:rsidRDefault="00304E7B" w:rsidP="00304E7B">
            <w:pPr>
              <w:autoSpaceDE w:val="0"/>
              <w:autoSpaceDN w:val="0"/>
              <w:adjustRightInd w:val="0"/>
              <w:jc w:val="center"/>
              <w:rPr>
                <w:rFonts w:ascii="Arial" w:hAnsi="Arial" w:cs="Arial"/>
                <w:sz w:val="22"/>
                <w:szCs w:val="22"/>
                <w:lang w:val="en-GB" w:eastAsia="ja-JP"/>
              </w:rPr>
            </w:pPr>
            <w:r w:rsidRPr="00304E7B">
              <w:rPr>
                <w:rFonts w:ascii="Arial" w:hAnsi="Arial" w:cs="Arial"/>
                <w:sz w:val="22"/>
                <w:szCs w:val="22"/>
                <w:lang w:val="de-DE" w:eastAsia="ja-JP"/>
              </w:rPr>
              <w:t>38 (88)</w:t>
            </w:r>
          </w:p>
        </w:tc>
      </w:tr>
      <w:tr w:rsidR="0013699A" w:rsidRPr="0013699A" w14:paraId="4598C44B" w14:textId="77777777" w:rsidTr="001D18CF">
        <w:tc>
          <w:tcPr>
            <w:tcW w:w="3334" w:type="dxa"/>
          </w:tcPr>
          <w:p w14:paraId="11CEEF27" w14:textId="135BCE84" w:rsidR="0013699A" w:rsidRPr="0013699A" w:rsidRDefault="00304E7B" w:rsidP="00304E7B">
            <w:pPr>
              <w:autoSpaceDE w:val="0"/>
              <w:autoSpaceDN w:val="0"/>
              <w:adjustRightInd w:val="0"/>
              <w:jc w:val="right"/>
              <w:rPr>
                <w:rFonts w:ascii="Arial" w:hAnsi="Arial" w:cs="Arial"/>
                <w:sz w:val="22"/>
                <w:szCs w:val="22"/>
                <w:lang w:val="en-GB" w:eastAsia="ja-JP"/>
              </w:rPr>
            </w:pPr>
            <w:r w:rsidRPr="00304E7B">
              <w:rPr>
                <w:rFonts w:ascii="Arial" w:hAnsi="Arial" w:cs="Arial"/>
                <w:sz w:val="22"/>
                <w:szCs w:val="22"/>
                <w:lang w:val="de-DE" w:eastAsia="ja-JP"/>
              </w:rPr>
              <w:t>Abnormal</w:t>
            </w:r>
          </w:p>
        </w:tc>
        <w:tc>
          <w:tcPr>
            <w:tcW w:w="3599" w:type="dxa"/>
          </w:tcPr>
          <w:p w14:paraId="4AB9665C" w14:textId="16A8286F" w:rsidR="0013699A" w:rsidRPr="0013699A" w:rsidRDefault="00304E7B" w:rsidP="00304E7B">
            <w:pPr>
              <w:autoSpaceDE w:val="0"/>
              <w:autoSpaceDN w:val="0"/>
              <w:adjustRightInd w:val="0"/>
              <w:jc w:val="center"/>
              <w:rPr>
                <w:rFonts w:ascii="Arial" w:hAnsi="Arial" w:cs="Arial"/>
                <w:sz w:val="22"/>
                <w:szCs w:val="22"/>
                <w:lang w:val="en-GB" w:eastAsia="ja-JP"/>
              </w:rPr>
            </w:pPr>
            <w:r w:rsidRPr="00304E7B">
              <w:rPr>
                <w:rFonts w:ascii="Arial" w:hAnsi="Arial" w:cs="Arial"/>
                <w:sz w:val="22"/>
                <w:szCs w:val="22"/>
                <w:lang w:val="de-DE" w:eastAsia="ja-JP"/>
              </w:rPr>
              <w:t>3 (7)</w:t>
            </w:r>
          </w:p>
        </w:tc>
      </w:tr>
      <w:tr w:rsidR="0013699A" w:rsidRPr="0013699A" w14:paraId="00959D6A" w14:textId="77777777" w:rsidTr="001D18CF">
        <w:tc>
          <w:tcPr>
            <w:tcW w:w="3334" w:type="dxa"/>
          </w:tcPr>
          <w:p w14:paraId="10AF482B" w14:textId="29C66152" w:rsidR="0013699A" w:rsidRPr="0013699A" w:rsidRDefault="00304E7B" w:rsidP="00304E7B">
            <w:pPr>
              <w:autoSpaceDE w:val="0"/>
              <w:autoSpaceDN w:val="0"/>
              <w:adjustRightInd w:val="0"/>
              <w:jc w:val="right"/>
              <w:rPr>
                <w:rFonts w:ascii="Arial" w:hAnsi="Arial" w:cs="Arial"/>
                <w:sz w:val="22"/>
                <w:szCs w:val="22"/>
                <w:lang w:val="en-GB" w:eastAsia="ja-JP"/>
              </w:rPr>
            </w:pPr>
            <w:r w:rsidRPr="00304E7B">
              <w:rPr>
                <w:rFonts w:ascii="Arial" w:hAnsi="Arial" w:cs="Arial"/>
                <w:sz w:val="22"/>
                <w:szCs w:val="22"/>
                <w:lang w:val="en-GB" w:eastAsia="ja-JP"/>
              </w:rPr>
              <w:t>Insufficient metaphases</w:t>
            </w:r>
          </w:p>
        </w:tc>
        <w:tc>
          <w:tcPr>
            <w:tcW w:w="3599" w:type="dxa"/>
          </w:tcPr>
          <w:p w14:paraId="2F7041B6" w14:textId="16CBF6C3" w:rsidR="0013699A" w:rsidRPr="0013699A" w:rsidRDefault="00304E7B" w:rsidP="00304E7B">
            <w:pPr>
              <w:autoSpaceDE w:val="0"/>
              <w:autoSpaceDN w:val="0"/>
              <w:adjustRightInd w:val="0"/>
              <w:jc w:val="center"/>
              <w:rPr>
                <w:rFonts w:ascii="Arial" w:hAnsi="Arial" w:cs="Arial"/>
                <w:sz w:val="22"/>
                <w:szCs w:val="22"/>
                <w:lang w:val="en-GB" w:eastAsia="ja-JP"/>
              </w:rPr>
            </w:pPr>
            <w:r w:rsidRPr="00304E7B">
              <w:rPr>
                <w:rFonts w:ascii="Arial" w:hAnsi="Arial" w:cs="Arial"/>
                <w:sz w:val="22"/>
                <w:szCs w:val="22"/>
                <w:lang w:val="en-GB" w:eastAsia="ja-JP"/>
              </w:rPr>
              <w:t>1 (2)</w:t>
            </w:r>
          </w:p>
        </w:tc>
      </w:tr>
      <w:tr w:rsidR="00304E7B" w:rsidRPr="0013699A" w14:paraId="22287A86" w14:textId="77777777" w:rsidTr="001D18CF">
        <w:tc>
          <w:tcPr>
            <w:tcW w:w="6933" w:type="dxa"/>
            <w:gridSpan w:val="2"/>
          </w:tcPr>
          <w:p w14:paraId="41E5A645" w14:textId="7372F400" w:rsidR="00304E7B" w:rsidRPr="00304E7B" w:rsidRDefault="00304E7B" w:rsidP="005756C9">
            <w:pPr>
              <w:autoSpaceDE w:val="0"/>
              <w:autoSpaceDN w:val="0"/>
              <w:adjustRightInd w:val="0"/>
              <w:rPr>
                <w:rFonts w:ascii="Arial" w:hAnsi="Arial" w:cs="Arial"/>
                <w:b/>
                <w:sz w:val="22"/>
                <w:szCs w:val="22"/>
                <w:lang w:val="en-GB" w:eastAsia="ja-JP"/>
              </w:rPr>
            </w:pPr>
            <w:r w:rsidRPr="00304E7B">
              <w:rPr>
                <w:rFonts w:ascii="Arial" w:hAnsi="Arial" w:cs="Arial"/>
                <w:b/>
                <w:sz w:val="22"/>
                <w:szCs w:val="22"/>
                <w:lang w:val="en-GB"/>
              </w:rPr>
              <w:t>Baseline Labs, median (range)</w:t>
            </w:r>
          </w:p>
        </w:tc>
      </w:tr>
      <w:tr w:rsidR="0013699A" w14:paraId="5387D737" w14:textId="77777777" w:rsidTr="001D18CF">
        <w:tc>
          <w:tcPr>
            <w:tcW w:w="3334" w:type="dxa"/>
          </w:tcPr>
          <w:p w14:paraId="05F1338F" w14:textId="55B3FB4E" w:rsidR="0013699A" w:rsidRDefault="00304E7B" w:rsidP="001D18CF">
            <w:pPr>
              <w:autoSpaceDE w:val="0"/>
              <w:autoSpaceDN w:val="0"/>
              <w:adjustRightInd w:val="0"/>
              <w:jc w:val="right"/>
              <w:rPr>
                <w:rFonts w:ascii="Arial" w:hAnsi="Arial" w:cs="Arial"/>
                <w:b/>
                <w:sz w:val="22"/>
                <w:szCs w:val="20"/>
                <w:lang w:val="en-GB" w:eastAsia="ja-JP"/>
              </w:rPr>
            </w:pPr>
            <w:r w:rsidRPr="0013699A">
              <w:rPr>
                <w:rFonts w:ascii="Arial" w:hAnsi="Arial" w:cs="Arial"/>
                <w:sz w:val="22"/>
                <w:szCs w:val="22"/>
                <w:lang w:val="en-GB"/>
              </w:rPr>
              <w:t>Platelet Count/L</w:t>
            </w:r>
          </w:p>
        </w:tc>
        <w:tc>
          <w:tcPr>
            <w:tcW w:w="3599" w:type="dxa"/>
          </w:tcPr>
          <w:p w14:paraId="1153B65D" w14:textId="7772FD81" w:rsidR="0013699A" w:rsidRDefault="00304E7B" w:rsidP="00304E7B">
            <w:pPr>
              <w:autoSpaceDE w:val="0"/>
              <w:autoSpaceDN w:val="0"/>
              <w:adjustRightInd w:val="0"/>
              <w:jc w:val="center"/>
              <w:rPr>
                <w:rFonts w:ascii="Arial" w:hAnsi="Arial" w:cs="Arial"/>
                <w:b/>
                <w:sz w:val="22"/>
                <w:szCs w:val="20"/>
                <w:lang w:val="en-GB" w:eastAsia="ja-JP"/>
              </w:rPr>
            </w:pPr>
            <w:r w:rsidRPr="0013699A">
              <w:rPr>
                <w:rFonts w:ascii="Arial" w:hAnsi="Arial" w:cs="Arial"/>
                <w:sz w:val="22"/>
                <w:szCs w:val="22"/>
                <w:lang w:val="en-GB"/>
              </w:rPr>
              <w:t>20 (6-90)</w:t>
            </w:r>
            <w:r w:rsidR="001D18CF">
              <w:rPr>
                <w:rFonts w:ascii="Arial" w:hAnsi="Arial" w:cs="Arial"/>
                <w:sz w:val="22"/>
                <w:szCs w:val="22"/>
                <w:lang w:val="en-GB"/>
              </w:rPr>
              <w:t xml:space="preserve"> x 10</w:t>
            </w:r>
            <w:r w:rsidR="001D18CF" w:rsidRPr="001D18CF">
              <w:rPr>
                <w:rFonts w:ascii="Arial" w:hAnsi="Arial" w:cs="Arial"/>
                <w:sz w:val="22"/>
                <w:szCs w:val="22"/>
                <w:vertAlign w:val="superscript"/>
                <w:lang w:val="en-GB"/>
              </w:rPr>
              <w:t>9</w:t>
            </w:r>
          </w:p>
        </w:tc>
      </w:tr>
      <w:tr w:rsidR="0013699A" w14:paraId="3B612552" w14:textId="77777777" w:rsidTr="001D18CF">
        <w:tc>
          <w:tcPr>
            <w:tcW w:w="3334" w:type="dxa"/>
          </w:tcPr>
          <w:p w14:paraId="1D58331F" w14:textId="13A5C50F" w:rsidR="0013699A" w:rsidRDefault="00304E7B" w:rsidP="001D18CF">
            <w:pPr>
              <w:autoSpaceDE w:val="0"/>
              <w:autoSpaceDN w:val="0"/>
              <w:adjustRightInd w:val="0"/>
              <w:jc w:val="right"/>
              <w:rPr>
                <w:rFonts w:ascii="Arial" w:hAnsi="Arial" w:cs="Arial"/>
                <w:b/>
                <w:sz w:val="22"/>
                <w:szCs w:val="20"/>
                <w:lang w:val="en-GB" w:eastAsia="ja-JP"/>
              </w:rPr>
            </w:pPr>
            <w:r w:rsidRPr="0013699A">
              <w:rPr>
                <w:rFonts w:ascii="Arial" w:hAnsi="Arial" w:cs="Arial"/>
                <w:sz w:val="22"/>
                <w:szCs w:val="22"/>
                <w:lang w:val="de-DE"/>
              </w:rPr>
              <w:t>Neutrophils/L</w:t>
            </w:r>
          </w:p>
        </w:tc>
        <w:tc>
          <w:tcPr>
            <w:tcW w:w="3599" w:type="dxa"/>
          </w:tcPr>
          <w:p w14:paraId="5BADF371" w14:textId="7E560D7C" w:rsidR="0013699A" w:rsidRDefault="00304E7B" w:rsidP="00304E7B">
            <w:pPr>
              <w:autoSpaceDE w:val="0"/>
              <w:autoSpaceDN w:val="0"/>
              <w:adjustRightInd w:val="0"/>
              <w:jc w:val="center"/>
              <w:rPr>
                <w:rFonts w:ascii="Arial" w:hAnsi="Arial" w:cs="Arial"/>
                <w:b/>
                <w:sz w:val="22"/>
                <w:szCs w:val="20"/>
                <w:lang w:val="en-GB" w:eastAsia="ja-JP"/>
              </w:rPr>
            </w:pPr>
            <w:r w:rsidRPr="0013699A">
              <w:rPr>
                <w:rFonts w:ascii="Arial" w:hAnsi="Arial" w:cs="Arial"/>
                <w:sz w:val="22"/>
                <w:szCs w:val="22"/>
                <w:lang w:val="de-DE"/>
              </w:rPr>
              <w:t>0.58 (0.07-2.81)</w:t>
            </w:r>
            <w:r w:rsidR="001D18CF">
              <w:rPr>
                <w:rFonts w:ascii="Arial" w:hAnsi="Arial" w:cs="Arial"/>
                <w:sz w:val="22"/>
                <w:szCs w:val="22"/>
                <w:lang w:val="en-GB"/>
              </w:rPr>
              <w:t xml:space="preserve"> x 10</w:t>
            </w:r>
            <w:r w:rsidR="001D18CF" w:rsidRPr="001D18CF">
              <w:rPr>
                <w:rFonts w:ascii="Arial" w:hAnsi="Arial" w:cs="Arial"/>
                <w:sz w:val="22"/>
                <w:szCs w:val="22"/>
                <w:vertAlign w:val="superscript"/>
                <w:lang w:val="en-GB"/>
              </w:rPr>
              <w:t>9</w:t>
            </w:r>
          </w:p>
        </w:tc>
      </w:tr>
      <w:tr w:rsidR="0013699A" w14:paraId="4BAA450B" w14:textId="77777777" w:rsidTr="001D18CF">
        <w:tc>
          <w:tcPr>
            <w:tcW w:w="3334" w:type="dxa"/>
          </w:tcPr>
          <w:p w14:paraId="18E18A84" w14:textId="0235134C" w:rsidR="0013699A" w:rsidRDefault="00304E7B" w:rsidP="003E2C4E">
            <w:pPr>
              <w:autoSpaceDE w:val="0"/>
              <w:autoSpaceDN w:val="0"/>
              <w:adjustRightInd w:val="0"/>
              <w:jc w:val="right"/>
              <w:rPr>
                <w:rFonts w:ascii="Arial" w:hAnsi="Arial" w:cs="Arial"/>
                <w:b/>
                <w:sz w:val="22"/>
                <w:szCs w:val="20"/>
                <w:lang w:val="en-GB" w:eastAsia="ja-JP"/>
              </w:rPr>
            </w:pPr>
            <w:r w:rsidRPr="0013699A">
              <w:rPr>
                <w:rFonts w:ascii="Arial" w:hAnsi="Arial" w:cs="Arial"/>
                <w:sz w:val="22"/>
                <w:szCs w:val="22"/>
                <w:lang w:val="de-DE"/>
              </w:rPr>
              <w:t>Hemoglobin</w:t>
            </w:r>
            <w:r w:rsidR="001D18CF">
              <w:rPr>
                <w:rFonts w:ascii="Arial" w:hAnsi="Arial" w:cs="Arial"/>
                <w:sz w:val="22"/>
                <w:szCs w:val="22"/>
                <w:lang w:val="de-DE"/>
              </w:rPr>
              <w:t xml:space="preserve">, </w:t>
            </w:r>
            <w:r w:rsidRPr="0013699A">
              <w:rPr>
                <w:rFonts w:ascii="Arial" w:hAnsi="Arial" w:cs="Arial"/>
                <w:sz w:val="22"/>
                <w:szCs w:val="22"/>
                <w:lang w:val="de-DE"/>
              </w:rPr>
              <w:t>g/L</w:t>
            </w:r>
          </w:p>
        </w:tc>
        <w:tc>
          <w:tcPr>
            <w:tcW w:w="3599" w:type="dxa"/>
          </w:tcPr>
          <w:p w14:paraId="1F8BA79F" w14:textId="6E4824A6" w:rsidR="0013699A" w:rsidRDefault="00304E7B" w:rsidP="003E2C4E">
            <w:pPr>
              <w:autoSpaceDE w:val="0"/>
              <w:autoSpaceDN w:val="0"/>
              <w:adjustRightInd w:val="0"/>
              <w:jc w:val="center"/>
              <w:rPr>
                <w:rFonts w:ascii="Arial" w:hAnsi="Arial" w:cs="Arial"/>
                <w:b/>
                <w:sz w:val="22"/>
                <w:szCs w:val="20"/>
                <w:lang w:val="en-GB" w:eastAsia="ja-JP"/>
              </w:rPr>
            </w:pPr>
            <w:r w:rsidRPr="0013699A">
              <w:rPr>
                <w:rFonts w:ascii="Arial" w:hAnsi="Arial" w:cs="Arial"/>
                <w:sz w:val="22"/>
                <w:szCs w:val="22"/>
                <w:lang w:val="de-DE"/>
              </w:rPr>
              <w:t>84 (66-138)</w:t>
            </w:r>
          </w:p>
        </w:tc>
      </w:tr>
      <w:tr w:rsidR="0013699A" w14:paraId="47D981B0" w14:textId="77777777" w:rsidTr="001D18CF">
        <w:tc>
          <w:tcPr>
            <w:tcW w:w="3334" w:type="dxa"/>
          </w:tcPr>
          <w:p w14:paraId="5E279F5F" w14:textId="2757EADD" w:rsidR="0013699A" w:rsidRDefault="00304E7B" w:rsidP="001D18CF">
            <w:pPr>
              <w:autoSpaceDE w:val="0"/>
              <w:autoSpaceDN w:val="0"/>
              <w:adjustRightInd w:val="0"/>
              <w:jc w:val="right"/>
              <w:rPr>
                <w:rFonts w:ascii="Arial" w:hAnsi="Arial" w:cs="Arial"/>
                <w:b/>
                <w:sz w:val="22"/>
                <w:szCs w:val="20"/>
                <w:lang w:val="en-GB" w:eastAsia="ja-JP"/>
              </w:rPr>
            </w:pPr>
            <w:r w:rsidRPr="0013699A">
              <w:rPr>
                <w:rFonts w:ascii="Arial" w:hAnsi="Arial" w:cs="Arial"/>
                <w:sz w:val="22"/>
                <w:szCs w:val="22"/>
                <w:lang w:val="en-GB"/>
              </w:rPr>
              <w:t>Reticulocytes/L</w:t>
            </w:r>
          </w:p>
        </w:tc>
        <w:tc>
          <w:tcPr>
            <w:tcW w:w="3599" w:type="dxa"/>
          </w:tcPr>
          <w:p w14:paraId="3119DA53" w14:textId="0F7F3810" w:rsidR="0013699A" w:rsidRDefault="00304E7B" w:rsidP="00304E7B">
            <w:pPr>
              <w:autoSpaceDE w:val="0"/>
              <w:autoSpaceDN w:val="0"/>
              <w:adjustRightInd w:val="0"/>
              <w:jc w:val="center"/>
              <w:rPr>
                <w:rFonts w:ascii="Arial" w:hAnsi="Arial" w:cs="Arial"/>
                <w:b/>
                <w:sz w:val="22"/>
                <w:szCs w:val="20"/>
                <w:lang w:val="en-GB" w:eastAsia="ja-JP"/>
              </w:rPr>
            </w:pPr>
            <w:r w:rsidRPr="0013699A">
              <w:rPr>
                <w:rFonts w:ascii="Arial" w:hAnsi="Arial" w:cs="Arial"/>
                <w:sz w:val="22"/>
                <w:szCs w:val="22"/>
                <w:lang w:val="en-GB"/>
              </w:rPr>
              <w:t>24.3 (1.7-96.9)</w:t>
            </w:r>
            <w:r w:rsidR="001D18CF">
              <w:rPr>
                <w:rFonts w:ascii="Arial" w:hAnsi="Arial" w:cs="Arial"/>
                <w:sz w:val="22"/>
                <w:szCs w:val="22"/>
                <w:lang w:val="en-GB"/>
              </w:rPr>
              <w:t xml:space="preserve"> x 10</w:t>
            </w:r>
            <w:r w:rsidR="001D18CF" w:rsidRPr="001D18CF">
              <w:rPr>
                <w:rFonts w:ascii="Arial" w:hAnsi="Arial" w:cs="Arial"/>
                <w:sz w:val="22"/>
                <w:szCs w:val="22"/>
                <w:vertAlign w:val="superscript"/>
                <w:lang w:val="en-GB"/>
              </w:rPr>
              <w:t>9</w:t>
            </w:r>
          </w:p>
        </w:tc>
      </w:tr>
      <w:tr w:rsidR="005756C9" w:rsidRPr="005756C9" w14:paraId="3B4CE70C" w14:textId="77777777" w:rsidTr="001D18CF">
        <w:tc>
          <w:tcPr>
            <w:tcW w:w="6933" w:type="dxa"/>
            <w:gridSpan w:val="2"/>
          </w:tcPr>
          <w:p w14:paraId="058ADCFF" w14:textId="1E4A007A" w:rsidR="005756C9" w:rsidRPr="005756C9" w:rsidRDefault="005756C9" w:rsidP="005756C9">
            <w:pPr>
              <w:autoSpaceDE w:val="0"/>
              <w:autoSpaceDN w:val="0"/>
              <w:adjustRightInd w:val="0"/>
              <w:rPr>
                <w:rFonts w:ascii="Arial" w:hAnsi="Arial" w:cs="Arial"/>
                <w:b/>
                <w:sz w:val="22"/>
                <w:szCs w:val="20"/>
                <w:lang w:val="en-GB" w:eastAsia="ja-JP"/>
              </w:rPr>
            </w:pPr>
            <w:r w:rsidRPr="005756C9">
              <w:rPr>
                <w:rFonts w:ascii="Arial" w:hAnsi="Arial" w:cs="Arial"/>
                <w:b/>
                <w:sz w:val="22"/>
                <w:szCs w:val="22"/>
                <w:lang w:val="it-IT"/>
              </w:rPr>
              <w:lastRenderedPageBreak/>
              <w:t>Severe Cytopenias</w:t>
            </w:r>
          </w:p>
        </w:tc>
      </w:tr>
      <w:tr w:rsidR="0013699A" w14:paraId="1C448B25" w14:textId="77777777" w:rsidTr="001D18CF">
        <w:tc>
          <w:tcPr>
            <w:tcW w:w="3334" w:type="dxa"/>
          </w:tcPr>
          <w:p w14:paraId="4175961D" w14:textId="68F7FC47" w:rsidR="0013699A" w:rsidRDefault="00304E7B" w:rsidP="001D18CF">
            <w:pPr>
              <w:autoSpaceDE w:val="0"/>
              <w:autoSpaceDN w:val="0"/>
              <w:adjustRightInd w:val="0"/>
              <w:jc w:val="right"/>
              <w:rPr>
                <w:rFonts w:ascii="Arial" w:hAnsi="Arial" w:cs="Arial"/>
                <w:b/>
                <w:sz w:val="22"/>
                <w:szCs w:val="20"/>
                <w:lang w:val="en-GB" w:eastAsia="ja-JP"/>
              </w:rPr>
            </w:pPr>
            <w:r w:rsidRPr="00304E7B">
              <w:rPr>
                <w:rFonts w:ascii="Arial" w:hAnsi="Arial" w:cs="Arial"/>
                <w:sz w:val="22"/>
                <w:szCs w:val="22"/>
                <w:lang w:val="it-IT"/>
              </w:rPr>
              <w:t xml:space="preserve">Neutropenia &lt;0.5 </w:t>
            </w:r>
            <w:r w:rsidR="001D18CF">
              <w:rPr>
                <w:rFonts w:ascii="Arial" w:hAnsi="Arial" w:cs="Arial"/>
                <w:sz w:val="22"/>
                <w:szCs w:val="22"/>
                <w:lang w:val="en-GB"/>
              </w:rPr>
              <w:t>x 10</w:t>
            </w:r>
            <w:r w:rsidR="001D18CF" w:rsidRPr="001D18CF">
              <w:rPr>
                <w:rFonts w:ascii="Arial" w:hAnsi="Arial" w:cs="Arial"/>
                <w:sz w:val="22"/>
                <w:szCs w:val="22"/>
                <w:vertAlign w:val="superscript"/>
                <w:lang w:val="en-GB"/>
              </w:rPr>
              <w:t>9</w:t>
            </w:r>
            <w:r w:rsidR="001D18CF">
              <w:rPr>
                <w:rFonts w:ascii="Arial" w:hAnsi="Arial" w:cs="Arial"/>
                <w:sz w:val="22"/>
                <w:szCs w:val="22"/>
                <w:lang w:val="it-IT"/>
              </w:rPr>
              <w:t>/L</w:t>
            </w:r>
          </w:p>
        </w:tc>
        <w:tc>
          <w:tcPr>
            <w:tcW w:w="3599" w:type="dxa"/>
          </w:tcPr>
          <w:p w14:paraId="570CAC8D" w14:textId="4A7F4097" w:rsidR="0013699A" w:rsidRDefault="00304E7B" w:rsidP="001D18CF">
            <w:pPr>
              <w:autoSpaceDE w:val="0"/>
              <w:autoSpaceDN w:val="0"/>
              <w:adjustRightInd w:val="0"/>
              <w:jc w:val="center"/>
              <w:rPr>
                <w:rFonts w:ascii="Arial" w:hAnsi="Arial" w:cs="Arial"/>
                <w:b/>
                <w:sz w:val="22"/>
                <w:szCs w:val="20"/>
                <w:lang w:val="en-GB" w:eastAsia="ja-JP"/>
              </w:rPr>
            </w:pPr>
            <w:r w:rsidRPr="00304E7B">
              <w:rPr>
                <w:rFonts w:ascii="Arial" w:hAnsi="Arial" w:cs="Arial"/>
                <w:sz w:val="22"/>
                <w:szCs w:val="22"/>
                <w:lang w:val="it-IT"/>
              </w:rPr>
              <w:t>18 (42)</w:t>
            </w:r>
            <w:r w:rsidR="001D18CF">
              <w:t xml:space="preserve"> </w:t>
            </w:r>
            <w:r w:rsidR="001D18CF">
              <w:rPr>
                <w:rFonts w:ascii="Arial" w:hAnsi="Arial" w:cs="Arial"/>
                <w:sz w:val="22"/>
                <w:szCs w:val="22"/>
                <w:lang w:val="it-IT"/>
              </w:rPr>
              <w:t xml:space="preserve"> </w:t>
            </w:r>
          </w:p>
        </w:tc>
      </w:tr>
      <w:tr w:rsidR="0013699A" w14:paraId="369C0541" w14:textId="77777777" w:rsidTr="001D18CF">
        <w:tc>
          <w:tcPr>
            <w:tcW w:w="3334" w:type="dxa"/>
          </w:tcPr>
          <w:p w14:paraId="0C9ACFD4" w14:textId="77632AD3" w:rsidR="0013699A" w:rsidRDefault="00304E7B" w:rsidP="00304E7B">
            <w:pPr>
              <w:autoSpaceDE w:val="0"/>
              <w:autoSpaceDN w:val="0"/>
              <w:adjustRightInd w:val="0"/>
              <w:jc w:val="right"/>
              <w:rPr>
                <w:rFonts w:ascii="Arial" w:hAnsi="Arial" w:cs="Arial"/>
                <w:b/>
                <w:sz w:val="22"/>
                <w:szCs w:val="20"/>
                <w:lang w:val="en-GB" w:eastAsia="ja-JP"/>
              </w:rPr>
            </w:pPr>
            <w:r w:rsidRPr="00304E7B">
              <w:rPr>
                <w:rFonts w:ascii="Arial" w:hAnsi="Arial" w:cs="Arial"/>
                <w:sz w:val="22"/>
                <w:szCs w:val="22"/>
                <w:lang w:val="it-IT"/>
              </w:rPr>
              <w:t xml:space="preserve">Thrombocytopenia &lt;20 </w:t>
            </w:r>
            <w:r w:rsidR="001D18CF">
              <w:rPr>
                <w:rFonts w:ascii="Arial" w:hAnsi="Arial" w:cs="Arial"/>
                <w:sz w:val="22"/>
                <w:szCs w:val="22"/>
                <w:lang w:val="en-GB"/>
              </w:rPr>
              <w:t>x 10</w:t>
            </w:r>
            <w:r w:rsidR="001D18CF" w:rsidRPr="001D18CF">
              <w:rPr>
                <w:rFonts w:ascii="Arial" w:hAnsi="Arial" w:cs="Arial"/>
                <w:sz w:val="22"/>
                <w:szCs w:val="22"/>
                <w:vertAlign w:val="superscript"/>
                <w:lang w:val="en-GB"/>
              </w:rPr>
              <w:t>9</w:t>
            </w:r>
            <w:r w:rsidRPr="00304E7B">
              <w:rPr>
                <w:rFonts w:ascii="Arial" w:hAnsi="Arial" w:cs="Arial"/>
                <w:sz w:val="22"/>
                <w:szCs w:val="22"/>
                <w:lang w:val="it-IT"/>
              </w:rPr>
              <w:t>/L</w:t>
            </w:r>
          </w:p>
        </w:tc>
        <w:tc>
          <w:tcPr>
            <w:tcW w:w="3599" w:type="dxa"/>
          </w:tcPr>
          <w:p w14:paraId="2A23B323" w14:textId="7FE5CF0E" w:rsidR="0013699A" w:rsidRDefault="00304E7B" w:rsidP="00304E7B">
            <w:pPr>
              <w:autoSpaceDE w:val="0"/>
              <w:autoSpaceDN w:val="0"/>
              <w:adjustRightInd w:val="0"/>
              <w:jc w:val="center"/>
              <w:rPr>
                <w:rFonts w:ascii="Arial" w:hAnsi="Arial" w:cs="Arial"/>
                <w:b/>
                <w:sz w:val="22"/>
                <w:szCs w:val="20"/>
                <w:lang w:val="en-GB" w:eastAsia="ja-JP"/>
              </w:rPr>
            </w:pPr>
            <w:r w:rsidRPr="00304E7B">
              <w:rPr>
                <w:rFonts w:ascii="Arial" w:hAnsi="Arial" w:cs="Arial"/>
                <w:sz w:val="22"/>
                <w:szCs w:val="22"/>
                <w:lang w:val="it-IT"/>
              </w:rPr>
              <w:t>18 (42)</w:t>
            </w:r>
          </w:p>
        </w:tc>
      </w:tr>
      <w:tr w:rsidR="0013699A" w14:paraId="0448D235" w14:textId="77777777" w:rsidTr="001D18CF">
        <w:tc>
          <w:tcPr>
            <w:tcW w:w="3334" w:type="dxa"/>
          </w:tcPr>
          <w:p w14:paraId="1A8269A7" w14:textId="7E7FA6F5" w:rsidR="0013699A" w:rsidRDefault="00304E7B" w:rsidP="003E2C4E">
            <w:pPr>
              <w:autoSpaceDE w:val="0"/>
              <w:autoSpaceDN w:val="0"/>
              <w:adjustRightInd w:val="0"/>
              <w:jc w:val="right"/>
              <w:rPr>
                <w:rFonts w:ascii="Arial" w:hAnsi="Arial" w:cs="Arial"/>
                <w:b/>
                <w:sz w:val="22"/>
                <w:szCs w:val="20"/>
                <w:lang w:val="en-GB" w:eastAsia="ja-JP"/>
              </w:rPr>
            </w:pPr>
            <w:r w:rsidRPr="00304E7B">
              <w:rPr>
                <w:rFonts w:ascii="Arial" w:hAnsi="Arial" w:cs="Arial"/>
                <w:sz w:val="22"/>
                <w:szCs w:val="22"/>
                <w:lang w:val="it-IT"/>
              </w:rPr>
              <w:t>Anemia &lt;100 g/L</w:t>
            </w:r>
          </w:p>
        </w:tc>
        <w:tc>
          <w:tcPr>
            <w:tcW w:w="3599" w:type="dxa"/>
          </w:tcPr>
          <w:p w14:paraId="181BF9BF" w14:textId="2E455B80" w:rsidR="0013699A" w:rsidRDefault="00304E7B" w:rsidP="00304E7B">
            <w:pPr>
              <w:autoSpaceDE w:val="0"/>
              <w:autoSpaceDN w:val="0"/>
              <w:adjustRightInd w:val="0"/>
              <w:jc w:val="center"/>
              <w:rPr>
                <w:rFonts w:ascii="Arial" w:hAnsi="Arial" w:cs="Arial"/>
                <w:b/>
                <w:sz w:val="22"/>
                <w:szCs w:val="20"/>
                <w:lang w:val="en-GB" w:eastAsia="ja-JP"/>
              </w:rPr>
            </w:pPr>
            <w:r w:rsidRPr="00304E7B">
              <w:rPr>
                <w:rFonts w:ascii="Arial" w:hAnsi="Arial" w:cs="Arial"/>
                <w:sz w:val="22"/>
                <w:szCs w:val="22"/>
                <w:lang w:val="it-IT"/>
              </w:rPr>
              <w:t>35 (81)</w:t>
            </w:r>
          </w:p>
        </w:tc>
      </w:tr>
      <w:tr w:rsidR="005756C9" w14:paraId="07E2CEB2" w14:textId="77777777" w:rsidTr="001D18CF">
        <w:tc>
          <w:tcPr>
            <w:tcW w:w="6933" w:type="dxa"/>
            <w:gridSpan w:val="2"/>
          </w:tcPr>
          <w:p w14:paraId="54F9A2AE" w14:textId="06328E50" w:rsidR="005756C9" w:rsidRPr="005756C9" w:rsidRDefault="005756C9" w:rsidP="005756C9">
            <w:pPr>
              <w:autoSpaceDE w:val="0"/>
              <w:autoSpaceDN w:val="0"/>
              <w:adjustRightInd w:val="0"/>
              <w:rPr>
                <w:rFonts w:ascii="Arial" w:hAnsi="Arial" w:cs="Arial"/>
                <w:b/>
                <w:sz w:val="22"/>
                <w:szCs w:val="20"/>
                <w:lang w:val="en-GB" w:eastAsia="ja-JP"/>
              </w:rPr>
            </w:pPr>
            <w:r w:rsidRPr="005756C9">
              <w:rPr>
                <w:rFonts w:ascii="Arial" w:hAnsi="Arial" w:cs="Arial"/>
                <w:b/>
                <w:sz w:val="22"/>
                <w:szCs w:val="22"/>
              </w:rPr>
              <w:t>Number of prior immunosuppressive therapies</w:t>
            </w:r>
            <w:r>
              <w:rPr>
                <w:rFonts w:ascii="Arial" w:hAnsi="Arial" w:cs="Arial"/>
                <w:b/>
                <w:sz w:val="22"/>
                <w:szCs w:val="22"/>
              </w:rPr>
              <w:t>,</w:t>
            </w:r>
            <w:r>
              <w:t xml:space="preserve"> </w:t>
            </w:r>
            <w:r w:rsidRPr="005756C9">
              <w:rPr>
                <w:rFonts w:ascii="Arial" w:hAnsi="Arial" w:cs="Arial"/>
                <w:b/>
                <w:sz w:val="22"/>
                <w:szCs w:val="22"/>
              </w:rPr>
              <w:t>n (%)</w:t>
            </w:r>
          </w:p>
        </w:tc>
      </w:tr>
      <w:tr w:rsidR="005756C9" w14:paraId="253C3B8A" w14:textId="77777777" w:rsidTr="001D18CF">
        <w:tc>
          <w:tcPr>
            <w:tcW w:w="3334" w:type="dxa"/>
          </w:tcPr>
          <w:p w14:paraId="23204235" w14:textId="184D226F" w:rsidR="005756C9" w:rsidRDefault="005756C9" w:rsidP="00304E7B">
            <w:pPr>
              <w:autoSpaceDE w:val="0"/>
              <w:autoSpaceDN w:val="0"/>
              <w:adjustRightInd w:val="0"/>
              <w:jc w:val="right"/>
              <w:rPr>
                <w:rFonts w:ascii="Arial" w:hAnsi="Arial" w:cs="Arial"/>
                <w:b/>
                <w:sz w:val="22"/>
                <w:szCs w:val="20"/>
                <w:lang w:val="en-GB" w:eastAsia="ja-JP"/>
              </w:rPr>
            </w:pPr>
            <w:r w:rsidRPr="00C43B62">
              <w:rPr>
                <w:rFonts w:ascii="Arial" w:hAnsi="Arial" w:cs="Arial"/>
                <w:sz w:val="22"/>
                <w:szCs w:val="22"/>
              </w:rPr>
              <w:t>≥ 1</w:t>
            </w:r>
          </w:p>
        </w:tc>
        <w:tc>
          <w:tcPr>
            <w:tcW w:w="3599" w:type="dxa"/>
          </w:tcPr>
          <w:p w14:paraId="27989FEE" w14:textId="66B44CD4" w:rsidR="005756C9" w:rsidRDefault="005756C9" w:rsidP="005756C9">
            <w:pPr>
              <w:autoSpaceDE w:val="0"/>
              <w:autoSpaceDN w:val="0"/>
              <w:adjustRightInd w:val="0"/>
              <w:jc w:val="center"/>
              <w:rPr>
                <w:rFonts w:ascii="Arial" w:hAnsi="Arial" w:cs="Arial"/>
                <w:b/>
                <w:sz w:val="22"/>
                <w:szCs w:val="20"/>
                <w:lang w:val="en-GB" w:eastAsia="ja-JP"/>
              </w:rPr>
            </w:pPr>
            <w:r w:rsidRPr="00C43B62">
              <w:rPr>
                <w:rFonts w:ascii="Arial" w:hAnsi="Arial" w:cs="Arial"/>
                <w:sz w:val="22"/>
                <w:szCs w:val="22"/>
              </w:rPr>
              <w:t>43 (100</w:t>
            </w:r>
            <w:r>
              <w:rPr>
                <w:rFonts w:ascii="Arial" w:hAnsi="Arial" w:cs="Arial"/>
                <w:sz w:val="22"/>
                <w:szCs w:val="22"/>
              </w:rPr>
              <w:t>)</w:t>
            </w:r>
          </w:p>
        </w:tc>
      </w:tr>
      <w:tr w:rsidR="005756C9" w14:paraId="7B95071B" w14:textId="77777777" w:rsidTr="001D18CF">
        <w:tc>
          <w:tcPr>
            <w:tcW w:w="3334" w:type="dxa"/>
          </w:tcPr>
          <w:p w14:paraId="4AF9D260" w14:textId="45851A8C" w:rsidR="005756C9" w:rsidRDefault="005756C9" w:rsidP="00304E7B">
            <w:pPr>
              <w:autoSpaceDE w:val="0"/>
              <w:autoSpaceDN w:val="0"/>
              <w:adjustRightInd w:val="0"/>
              <w:jc w:val="right"/>
              <w:rPr>
                <w:rFonts w:ascii="Arial" w:hAnsi="Arial" w:cs="Arial"/>
                <w:b/>
                <w:sz w:val="22"/>
                <w:szCs w:val="20"/>
                <w:lang w:val="en-GB" w:eastAsia="ja-JP"/>
              </w:rPr>
            </w:pPr>
            <w:r w:rsidRPr="00C43B62">
              <w:rPr>
                <w:rFonts w:ascii="Arial" w:hAnsi="Arial" w:cs="Arial"/>
                <w:sz w:val="22"/>
                <w:szCs w:val="22"/>
              </w:rPr>
              <w:t>≥ 2</w:t>
            </w:r>
          </w:p>
        </w:tc>
        <w:tc>
          <w:tcPr>
            <w:tcW w:w="3599" w:type="dxa"/>
          </w:tcPr>
          <w:p w14:paraId="6D0889A2" w14:textId="74E8C068" w:rsidR="005756C9" w:rsidRDefault="005756C9" w:rsidP="00304E7B">
            <w:pPr>
              <w:autoSpaceDE w:val="0"/>
              <w:autoSpaceDN w:val="0"/>
              <w:adjustRightInd w:val="0"/>
              <w:jc w:val="center"/>
              <w:rPr>
                <w:rFonts w:ascii="Arial" w:hAnsi="Arial" w:cs="Arial"/>
                <w:b/>
                <w:sz w:val="22"/>
                <w:szCs w:val="20"/>
                <w:lang w:val="en-GB" w:eastAsia="ja-JP"/>
              </w:rPr>
            </w:pPr>
            <w:r w:rsidRPr="00C43B62">
              <w:rPr>
                <w:rFonts w:ascii="Arial" w:hAnsi="Arial" w:cs="Arial"/>
                <w:sz w:val="22"/>
                <w:szCs w:val="22"/>
              </w:rPr>
              <w:t>36 (84)</w:t>
            </w:r>
          </w:p>
        </w:tc>
      </w:tr>
      <w:tr w:rsidR="005756C9" w14:paraId="6E8F6776" w14:textId="77777777" w:rsidTr="001D18CF">
        <w:tc>
          <w:tcPr>
            <w:tcW w:w="3334" w:type="dxa"/>
          </w:tcPr>
          <w:p w14:paraId="471D15FA" w14:textId="77540826" w:rsidR="005756C9" w:rsidRDefault="005756C9" w:rsidP="00304E7B">
            <w:pPr>
              <w:autoSpaceDE w:val="0"/>
              <w:autoSpaceDN w:val="0"/>
              <w:adjustRightInd w:val="0"/>
              <w:jc w:val="right"/>
              <w:rPr>
                <w:rFonts w:ascii="Arial" w:hAnsi="Arial" w:cs="Arial"/>
                <w:b/>
                <w:sz w:val="22"/>
                <w:szCs w:val="20"/>
                <w:lang w:val="en-GB" w:eastAsia="ja-JP"/>
              </w:rPr>
            </w:pPr>
            <w:r w:rsidRPr="00C43B62">
              <w:rPr>
                <w:rFonts w:ascii="Arial" w:hAnsi="Arial" w:cs="Arial"/>
                <w:sz w:val="22"/>
                <w:szCs w:val="22"/>
              </w:rPr>
              <w:t>≥ 3</w:t>
            </w:r>
          </w:p>
        </w:tc>
        <w:tc>
          <w:tcPr>
            <w:tcW w:w="3599" w:type="dxa"/>
          </w:tcPr>
          <w:p w14:paraId="41E0F7CE" w14:textId="3DE34E4D" w:rsidR="005756C9" w:rsidRDefault="005756C9" w:rsidP="00304E7B">
            <w:pPr>
              <w:autoSpaceDE w:val="0"/>
              <w:autoSpaceDN w:val="0"/>
              <w:adjustRightInd w:val="0"/>
              <w:jc w:val="center"/>
              <w:rPr>
                <w:rFonts w:ascii="Arial" w:hAnsi="Arial" w:cs="Arial"/>
                <w:b/>
                <w:sz w:val="22"/>
                <w:szCs w:val="20"/>
                <w:lang w:val="en-GB" w:eastAsia="ja-JP"/>
              </w:rPr>
            </w:pPr>
            <w:r w:rsidRPr="00C43B62">
              <w:rPr>
                <w:rFonts w:ascii="Arial" w:hAnsi="Arial" w:cs="Arial"/>
                <w:sz w:val="22"/>
                <w:szCs w:val="22"/>
              </w:rPr>
              <w:t>14 (33)</w:t>
            </w:r>
          </w:p>
        </w:tc>
      </w:tr>
      <w:tr w:rsidR="0013699A" w14:paraId="260806FA" w14:textId="77777777" w:rsidTr="001D18CF">
        <w:tc>
          <w:tcPr>
            <w:tcW w:w="3334" w:type="dxa"/>
          </w:tcPr>
          <w:p w14:paraId="78B4E91B" w14:textId="3A904221" w:rsidR="0013699A" w:rsidRDefault="005756C9" w:rsidP="00304E7B">
            <w:pPr>
              <w:autoSpaceDE w:val="0"/>
              <w:autoSpaceDN w:val="0"/>
              <w:adjustRightInd w:val="0"/>
              <w:jc w:val="right"/>
              <w:rPr>
                <w:rFonts w:ascii="Arial" w:hAnsi="Arial" w:cs="Arial"/>
                <w:b/>
                <w:sz w:val="22"/>
                <w:szCs w:val="20"/>
                <w:lang w:val="en-GB" w:eastAsia="ja-JP"/>
              </w:rPr>
            </w:pPr>
            <w:r w:rsidRPr="00C43B62">
              <w:rPr>
                <w:rFonts w:ascii="Arial" w:hAnsi="Arial" w:cs="Arial"/>
                <w:sz w:val="22"/>
                <w:szCs w:val="22"/>
              </w:rPr>
              <w:t>≥ 4</w:t>
            </w:r>
          </w:p>
        </w:tc>
        <w:tc>
          <w:tcPr>
            <w:tcW w:w="3599" w:type="dxa"/>
          </w:tcPr>
          <w:p w14:paraId="4F5FB74E" w14:textId="602D3F91" w:rsidR="0013699A" w:rsidRDefault="005756C9" w:rsidP="00304E7B">
            <w:pPr>
              <w:autoSpaceDE w:val="0"/>
              <w:autoSpaceDN w:val="0"/>
              <w:adjustRightInd w:val="0"/>
              <w:jc w:val="center"/>
              <w:rPr>
                <w:rFonts w:ascii="Arial" w:hAnsi="Arial" w:cs="Arial"/>
                <w:b/>
                <w:sz w:val="22"/>
                <w:szCs w:val="20"/>
                <w:lang w:val="en-GB" w:eastAsia="ja-JP"/>
              </w:rPr>
            </w:pPr>
            <w:r w:rsidRPr="00C43B62">
              <w:rPr>
                <w:rFonts w:ascii="Arial" w:hAnsi="Arial" w:cs="Arial"/>
                <w:sz w:val="22"/>
                <w:szCs w:val="22"/>
              </w:rPr>
              <w:t>3 (7)</w:t>
            </w:r>
          </w:p>
        </w:tc>
      </w:tr>
    </w:tbl>
    <w:p w14:paraId="79E51393" w14:textId="77777777" w:rsidR="0013699A" w:rsidRPr="0013699A" w:rsidRDefault="0013699A" w:rsidP="0013699A">
      <w:pPr>
        <w:autoSpaceDE w:val="0"/>
        <w:autoSpaceDN w:val="0"/>
        <w:adjustRightInd w:val="0"/>
        <w:jc w:val="both"/>
        <w:rPr>
          <w:rFonts w:ascii="Arial" w:hAnsi="Arial" w:cs="Arial"/>
          <w:b/>
          <w:sz w:val="22"/>
          <w:szCs w:val="20"/>
          <w:lang w:val="en-GB" w:eastAsia="ja-JP"/>
        </w:rPr>
      </w:pPr>
    </w:p>
    <w:p w14:paraId="5553BBA1" w14:textId="63EBE8D4" w:rsidR="004B4906" w:rsidRPr="00DE25E4" w:rsidRDefault="004B4906" w:rsidP="00D22FF7">
      <w:pPr>
        <w:autoSpaceDE w:val="0"/>
        <w:autoSpaceDN w:val="0"/>
        <w:adjustRightInd w:val="0"/>
        <w:jc w:val="both"/>
        <w:rPr>
          <w:lang w:val="en-GB"/>
        </w:rPr>
      </w:pPr>
      <w:r w:rsidRPr="00DE25E4">
        <w:rPr>
          <w:lang w:val="en-GB"/>
        </w:rPr>
        <w:t>The haematological response rate was 40 % (17/43 patients; 95 % CI 25, 56)</w:t>
      </w:r>
      <w:r w:rsidR="00546C7D">
        <w:rPr>
          <w:lang w:val="en-GB"/>
        </w:rPr>
        <w:t xml:space="preserve">. </w:t>
      </w:r>
    </w:p>
    <w:p w14:paraId="5553BBA2" w14:textId="77777777" w:rsidR="004B4906" w:rsidRPr="00DE25E4" w:rsidRDefault="004B4906" w:rsidP="00D22FF7">
      <w:pPr>
        <w:autoSpaceDE w:val="0"/>
        <w:autoSpaceDN w:val="0"/>
        <w:adjustRightInd w:val="0"/>
        <w:jc w:val="both"/>
        <w:rPr>
          <w:lang w:val="en-GB"/>
        </w:rPr>
      </w:pPr>
    </w:p>
    <w:p w14:paraId="5553BBA5" w14:textId="32531F0F" w:rsidR="004F08D6" w:rsidRPr="00707881" w:rsidRDefault="004F08D6" w:rsidP="00D22FF7">
      <w:pPr>
        <w:autoSpaceDE w:val="0"/>
        <w:autoSpaceDN w:val="0"/>
        <w:adjustRightInd w:val="0"/>
        <w:jc w:val="both"/>
      </w:pPr>
      <w:r w:rsidRPr="00707881">
        <w:t>In the 17 responders, the platelet transfusion-free period ranged from 8 to 1,190 days with a median of 287 days, and the RBC transfusion-free period ranged from 15 to 1,190 days with a median of 266 days.</w:t>
      </w:r>
      <w:r w:rsidR="00C43B62" w:rsidRPr="00C43B62">
        <w:rPr>
          <w:lang w:val="en-GB"/>
        </w:rPr>
        <w:t xml:space="preserve"> No major differences were observed </w:t>
      </w:r>
      <w:r w:rsidR="00C616EE">
        <w:rPr>
          <w:lang w:val="en-GB"/>
        </w:rPr>
        <w:t xml:space="preserve">in responses </w:t>
      </w:r>
      <w:r w:rsidR="00C43B62" w:rsidRPr="00C43B62">
        <w:rPr>
          <w:lang w:val="en-GB"/>
        </w:rPr>
        <w:t>between cohorts regarding the number of prior ISTs received.</w:t>
      </w:r>
    </w:p>
    <w:p w14:paraId="5553BBA6" w14:textId="77777777" w:rsidR="004F08D6" w:rsidRPr="00707881" w:rsidRDefault="004F08D6" w:rsidP="00D22FF7">
      <w:pPr>
        <w:autoSpaceDE w:val="0"/>
        <w:autoSpaceDN w:val="0"/>
        <w:adjustRightInd w:val="0"/>
        <w:jc w:val="both"/>
      </w:pPr>
    </w:p>
    <w:p w14:paraId="5A5B801E" w14:textId="66ED05EB" w:rsidR="00D22FF7" w:rsidRPr="00707881" w:rsidRDefault="004F08D6" w:rsidP="00D22FF7">
      <w:pPr>
        <w:autoSpaceDE w:val="0"/>
        <w:autoSpaceDN w:val="0"/>
        <w:adjustRightInd w:val="0"/>
        <w:jc w:val="both"/>
      </w:pPr>
      <w:r w:rsidRPr="00707881">
        <w:t xml:space="preserve">In the extension phase, 9 patients achieved a multi-lineage response; 5 of these patients subsequently tapered off of treatment with </w:t>
      </w:r>
      <w:r w:rsidR="00A23298" w:rsidRPr="00707881">
        <w:t>REVOLADE</w:t>
      </w:r>
      <w:r w:rsidRPr="00707881">
        <w:t xml:space="preserve"> and maintained the response (median follow up: 20.6 months, range: 5.7 to 22.5 months).</w:t>
      </w:r>
    </w:p>
    <w:p w14:paraId="5553BBA8" w14:textId="77777777" w:rsidR="00CE6023" w:rsidRPr="000D7D0E" w:rsidRDefault="00CE6023" w:rsidP="00D22FF7">
      <w:pPr>
        <w:autoSpaceDE w:val="0"/>
        <w:autoSpaceDN w:val="0"/>
        <w:adjustRightInd w:val="0"/>
        <w:jc w:val="both"/>
        <w:rPr>
          <w:b/>
        </w:rPr>
      </w:pPr>
    </w:p>
    <w:p w14:paraId="5553BBA9" w14:textId="77777777" w:rsidR="006C4A20" w:rsidRPr="005D2049" w:rsidRDefault="006C4A20" w:rsidP="005D2049">
      <w:pPr>
        <w:pStyle w:val="Heading2"/>
        <w:spacing w:before="120" w:after="240" w:line="276" w:lineRule="auto"/>
        <w:jc w:val="left"/>
        <w:rPr>
          <w:rFonts w:eastAsiaTheme="minorHAnsi"/>
          <w:caps/>
          <w:sz w:val="30"/>
          <w:lang w:val="en-GB"/>
        </w:rPr>
      </w:pPr>
      <w:r w:rsidRPr="005D2049">
        <w:rPr>
          <w:rFonts w:eastAsiaTheme="minorHAnsi"/>
          <w:caps/>
          <w:sz w:val="30"/>
          <w:lang w:val="en-GB"/>
        </w:rPr>
        <w:t>INDICATIONS</w:t>
      </w:r>
    </w:p>
    <w:p w14:paraId="01EC2733" w14:textId="3681D0A1" w:rsidR="00D22FF7" w:rsidRDefault="000037DD" w:rsidP="000037DD">
      <w:pPr>
        <w:autoSpaceDE w:val="0"/>
        <w:autoSpaceDN w:val="0"/>
        <w:adjustRightInd w:val="0"/>
        <w:spacing w:line="300" w:lineRule="atLeast"/>
        <w:jc w:val="both"/>
      </w:pPr>
      <w:r w:rsidRPr="004553F8">
        <w:t>REVOLADE is indicated for the treatment of</w:t>
      </w:r>
      <w:r w:rsidR="00D22FF7">
        <w:t>:</w:t>
      </w:r>
    </w:p>
    <w:p w14:paraId="5553BBAB" w14:textId="2E08F83E" w:rsidR="00965DC6" w:rsidRPr="004553F8" w:rsidRDefault="00545D92" w:rsidP="006D75C7">
      <w:pPr>
        <w:pStyle w:val="ListParagraph"/>
        <w:widowControl w:val="0"/>
        <w:numPr>
          <w:ilvl w:val="0"/>
          <w:numId w:val="28"/>
        </w:numPr>
        <w:autoSpaceDE w:val="0"/>
        <w:autoSpaceDN w:val="0"/>
        <w:adjustRightInd w:val="0"/>
        <w:spacing w:line="300" w:lineRule="atLeast"/>
        <w:ind w:left="357" w:hanging="357"/>
        <w:jc w:val="both"/>
        <w:rPr>
          <w:lang w:val="en-US"/>
        </w:rPr>
      </w:pPr>
      <w:r w:rsidRPr="004553F8">
        <w:t xml:space="preserve">adult patients with chronic </w:t>
      </w:r>
      <w:r w:rsidR="00C00402" w:rsidRPr="004553F8">
        <w:t>immune (</w:t>
      </w:r>
      <w:r w:rsidRPr="004553F8">
        <w:t>idiopathic</w:t>
      </w:r>
      <w:r w:rsidR="00C00402" w:rsidRPr="004553F8">
        <w:t>)</w:t>
      </w:r>
      <w:r w:rsidRPr="004553F8">
        <w:t xml:space="preserve"> thrombocytopenic purpur</w:t>
      </w:r>
      <w:r w:rsidR="00C3518B" w:rsidRPr="004553F8">
        <w:t>a</w:t>
      </w:r>
      <w:r w:rsidRPr="004553F8">
        <w:t xml:space="preserve"> (ITP) who have had an inadequate response or are intolerant to corticosteroids and immunoglobulins</w:t>
      </w:r>
      <w:r w:rsidR="000037DD" w:rsidRPr="004553F8">
        <w:rPr>
          <w:lang w:val="en-US"/>
        </w:rPr>
        <w:t>.</w:t>
      </w:r>
    </w:p>
    <w:p w14:paraId="5553BBAD" w14:textId="46B90ED8" w:rsidR="00DA49B6" w:rsidRPr="004553F8" w:rsidRDefault="00DA49B6" w:rsidP="006D75C7">
      <w:pPr>
        <w:pStyle w:val="ListParagraph"/>
        <w:widowControl w:val="0"/>
        <w:numPr>
          <w:ilvl w:val="0"/>
          <w:numId w:val="28"/>
        </w:numPr>
        <w:autoSpaceDE w:val="0"/>
        <w:autoSpaceDN w:val="0"/>
        <w:adjustRightInd w:val="0"/>
        <w:spacing w:line="300" w:lineRule="atLeast"/>
        <w:ind w:left="357" w:hanging="357"/>
        <w:jc w:val="both"/>
        <w:rPr>
          <w:color w:val="000000"/>
        </w:rPr>
      </w:pPr>
      <w:r w:rsidRPr="004553F8">
        <w:rPr>
          <w:color w:val="000000"/>
        </w:rPr>
        <w:t>thrombocytopenia in patients with chronic hepatitis C to allow the initiation and maintenance of interferon-based therapy.</w:t>
      </w:r>
    </w:p>
    <w:p w14:paraId="5553BBAF" w14:textId="57100D45" w:rsidR="00453C48" w:rsidRDefault="008B01E3" w:rsidP="006D75C7">
      <w:pPr>
        <w:pStyle w:val="ListParagraph"/>
        <w:widowControl w:val="0"/>
        <w:numPr>
          <w:ilvl w:val="0"/>
          <w:numId w:val="28"/>
        </w:numPr>
        <w:autoSpaceDE w:val="0"/>
        <w:autoSpaceDN w:val="0"/>
        <w:adjustRightInd w:val="0"/>
        <w:spacing w:line="300" w:lineRule="atLeast"/>
        <w:ind w:left="357" w:hanging="357"/>
        <w:jc w:val="both"/>
        <w:rPr>
          <w:color w:val="000000"/>
          <w:lang w:eastAsia="zh-CN"/>
        </w:rPr>
      </w:pPr>
      <w:r w:rsidRPr="008460BC">
        <w:t xml:space="preserve">adult patients with severe aplastic anaemia </w:t>
      </w:r>
      <w:r w:rsidR="00C51C15" w:rsidRPr="008460BC">
        <w:t xml:space="preserve">(SAA) </w:t>
      </w:r>
      <w:r w:rsidRPr="008460BC">
        <w:t>who have had an insufficient response to immunosuppressive therapy</w:t>
      </w:r>
      <w:r w:rsidR="00453C48" w:rsidRPr="008460BC">
        <w:rPr>
          <w:color w:val="000000"/>
          <w:lang w:eastAsia="zh-CN"/>
        </w:rPr>
        <w:t>.</w:t>
      </w:r>
    </w:p>
    <w:p w14:paraId="5E3FBA66" w14:textId="77777777" w:rsidR="00546C7D" w:rsidRPr="005D2049" w:rsidRDefault="00546C7D" w:rsidP="005D2049">
      <w:pPr>
        <w:autoSpaceDE w:val="0"/>
        <w:autoSpaceDN w:val="0"/>
        <w:adjustRightInd w:val="0"/>
        <w:spacing w:line="300" w:lineRule="atLeast"/>
        <w:jc w:val="both"/>
        <w:rPr>
          <w:color w:val="000000"/>
        </w:rPr>
      </w:pPr>
    </w:p>
    <w:p w14:paraId="5553BBB2" w14:textId="77777777" w:rsidR="006C4A20" w:rsidRPr="005D2049" w:rsidRDefault="006C4A20" w:rsidP="005D2049">
      <w:pPr>
        <w:pStyle w:val="Heading2"/>
        <w:keepNext w:val="0"/>
        <w:widowControl w:val="0"/>
        <w:spacing w:before="120" w:after="240" w:line="276" w:lineRule="auto"/>
        <w:jc w:val="left"/>
        <w:rPr>
          <w:rFonts w:eastAsiaTheme="minorHAnsi"/>
          <w:caps/>
          <w:sz w:val="30"/>
          <w:lang w:val="en-GB"/>
        </w:rPr>
      </w:pPr>
      <w:r w:rsidRPr="005D2049">
        <w:rPr>
          <w:rFonts w:eastAsiaTheme="minorHAnsi"/>
          <w:caps/>
          <w:sz w:val="30"/>
          <w:lang w:val="en-GB"/>
        </w:rPr>
        <w:t>CONTRAINDICATIONS</w:t>
      </w:r>
    </w:p>
    <w:p w14:paraId="5553BBB4" w14:textId="77777777" w:rsidR="006C4A20" w:rsidRPr="005D2049" w:rsidRDefault="009E0172" w:rsidP="005D2049">
      <w:pPr>
        <w:widowControl w:val="0"/>
        <w:spacing w:line="300" w:lineRule="atLeast"/>
        <w:jc w:val="both"/>
      </w:pPr>
      <w:r w:rsidRPr="005D2049">
        <w:rPr>
          <w:rStyle w:val="CSIchar"/>
          <w:shd w:val="clear" w:color="auto" w:fill="auto"/>
        </w:rPr>
        <w:t>REVOLADE</w:t>
      </w:r>
      <w:r w:rsidR="00EA1F7E" w:rsidRPr="005D2049">
        <w:rPr>
          <w:rStyle w:val="CSIchar"/>
          <w:shd w:val="clear" w:color="auto" w:fill="auto"/>
        </w:rPr>
        <w:t xml:space="preserve"> is contraindicated in patients with hypersensitivity to the active substance </w:t>
      </w:r>
      <w:r w:rsidRPr="005D2049">
        <w:rPr>
          <w:rStyle w:val="CSIchar"/>
          <w:shd w:val="clear" w:color="auto" w:fill="auto"/>
        </w:rPr>
        <w:t>eltrombopag olamine</w:t>
      </w:r>
      <w:r w:rsidR="00EA1F7E" w:rsidRPr="005D2049">
        <w:rPr>
          <w:rStyle w:val="CSIchar"/>
          <w:shd w:val="clear" w:color="auto" w:fill="auto"/>
        </w:rPr>
        <w:t xml:space="preserve"> or to any of the excipients (see</w:t>
      </w:r>
      <w:r w:rsidR="00EA1F7E" w:rsidRPr="005D2049">
        <w:rPr>
          <w:rStyle w:val="CSIchar"/>
          <w:i/>
          <w:shd w:val="clear" w:color="auto" w:fill="auto"/>
        </w:rPr>
        <w:t xml:space="preserve"> </w:t>
      </w:r>
      <w:r w:rsidR="00EA1F7E" w:rsidRPr="005D2049">
        <w:rPr>
          <w:rStyle w:val="CSIchar"/>
          <w:shd w:val="clear" w:color="auto" w:fill="auto"/>
        </w:rPr>
        <w:t>DESCRIPTION</w:t>
      </w:r>
      <w:r w:rsidR="00EA1F7E" w:rsidRPr="005D2049">
        <w:rPr>
          <w:rStyle w:val="CSIchar"/>
          <w:i/>
          <w:shd w:val="clear" w:color="auto" w:fill="auto"/>
        </w:rPr>
        <w:t>).</w:t>
      </w:r>
    </w:p>
    <w:p w14:paraId="5553BBB8" w14:textId="77777777" w:rsidR="006C4A20" w:rsidRPr="005D2049" w:rsidRDefault="006C4A20" w:rsidP="005D2049">
      <w:pPr>
        <w:pStyle w:val="Heading2"/>
        <w:spacing w:before="120" w:after="240" w:line="276" w:lineRule="auto"/>
        <w:jc w:val="left"/>
        <w:rPr>
          <w:rFonts w:eastAsiaTheme="minorHAnsi"/>
          <w:caps/>
          <w:sz w:val="30"/>
          <w:lang w:val="en-GB"/>
        </w:rPr>
      </w:pPr>
      <w:r w:rsidRPr="005D2049">
        <w:rPr>
          <w:rFonts w:eastAsiaTheme="minorHAnsi"/>
          <w:caps/>
          <w:sz w:val="30"/>
          <w:lang w:val="en-GB"/>
        </w:rPr>
        <w:lastRenderedPageBreak/>
        <w:t>PRECAUTIONS</w:t>
      </w:r>
    </w:p>
    <w:p w14:paraId="5553BBBA" w14:textId="77777777" w:rsidR="007A5360" w:rsidRPr="005D2049" w:rsidRDefault="007A5360" w:rsidP="005D2049">
      <w:pPr>
        <w:pStyle w:val="LBLBulletStyle1"/>
        <w:numPr>
          <w:ilvl w:val="0"/>
          <w:numId w:val="0"/>
        </w:numPr>
        <w:spacing w:line="300" w:lineRule="atLeast"/>
        <w:jc w:val="both"/>
      </w:pPr>
      <w:r w:rsidRPr="005D2049">
        <w:t>The effectiveness and safety of REVOLADE have not been established for use in other thrombocytopenic conditions including chemotherapy-induced thrombocytopenia and myelodysplastic syndromes</w:t>
      </w:r>
      <w:r w:rsidR="00BB01F7" w:rsidRPr="005D2049">
        <w:t xml:space="preserve"> (MDS)</w:t>
      </w:r>
      <w:r w:rsidRPr="005D2049">
        <w:t>.</w:t>
      </w:r>
    </w:p>
    <w:p w14:paraId="5553BBBB" w14:textId="77777777" w:rsidR="00DC1540" w:rsidRPr="00DE25E4" w:rsidRDefault="00DC1540" w:rsidP="007A5360">
      <w:pPr>
        <w:pStyle w:val="LBLBulletStyle1"/>
        <w:numPr>
          <w:ilvl w:val="0"/>
          <w:numId w:val="0"/>
        </w:numPr>
        <w:spacing w:line="300" w:lineRule="atLeast"/>
        <w:jc w:val="both"/>
        <w:rPr>
          <w:szCs w:val="24"/>
        </w:rPr>
      </w:pPr>
    </w:p>
    <w:p w14:paraId="5553BBBC" w14:textId="77777777" w:rsidR="00DC1540" w:rsidRPr="005D2049" w:rsidRDefault="00DC1540" w:rsidP="00C02082">
      <w:pPr>
        <w:pStyle w:val="LBLBulletStyle1"/>
        <w:widowControl w:val="0"/>
        <w:numPr>
          <w:ilvl w:val="0"/>
          <w:numId w:val="0"/>
        </w:numPr>
        <w:spacing w:line="300" w:lineRule="atLeast"/>
        <w:jc w:val="both"/>
        <w:rPr>
          <w:lang w:val="en-AU"/>
        </w:rPr>
      </w:pPr>
      <w:r w:rsidRPr="005D2049">
        <w:rPr>
          <w:lang w:val="en-AU"/>
        </w:rPr>
        <w:t>REVOLADE should be used only in patients with chronic hepatitis C whose degree of thrombocytopenia prevents the initiation of interferon</w:t>
      </w:r>
      <w:r w:rsidR="00A42E5E" w:rsidRPr="005D2049">
        <w:rPr>
          <w:lang w:val="en-AU"/>
        </w:rPr>
        <w:t>-based</w:t>
      </w:r>
      <w:r w:rsidRPr="005D2049">
        <w:rPr>
          <w:lang w:val="en-AU"/>
        </w:rPr>
        <w:t xml:space="preserve"> therapy or limits the ability to maintain optimal interferon-based therapy. </w:t>
      </w:r>
    </w:p>
    <w:p w14:paraId="5553BBBD" w14:textId="77777777" w:rsidR="00DC1540" w:rsidRPr="00DE25E4" w:rsidRDefault="00DC1540" w:rsidP="00DC1540">
      <w:pPr>
        <w:pStyle w:val="LBLBulletStyle1"/>
        <w:numPr>
          <w:ilvl w:val="0"/>
          <w:numId w:val="0"/>
        </w:numPr>
        <w:spacing w:line="300" w:lineRule="atLeast"/>
        <w:jc w:val="both"/>
        <w:rPr>
          <w:szCs w:val="24"/>
          <w:lang w:val="en-AU"/>
        </w:rPr>
      </w:pPr>
    </w:p>
    <w:p w14:paraId="5553BBBE" w14:textId="77777777" w:rsidR="005E01F5" w:rsidRPr="005D2049" w:rsidRDefault="00DC1540" w:rsidP="005D2049">
      <w:pPr>
        <w:pStyle w:val="LBLBulletStyle1"/>
        <w:numPr>
          <w:ilvl w:val="0"/>
          <w:numId w:val="0"/>
        </w:numPr>
        <w:spacing w:line="300" w:lineRule="atLeast"/>
        <w:jc w:val="both"/>
        <w:rPr>
          <w:lang w:val="en-AU"/>
        </w:rPr>
      </w:pPr>
      <w:r w:rsidRPr="005D2049">
        <w:rPr>
          <w:lang w:val="en-AU"/>
        </w:rPr>
        <w:t>The safety and efficacy of REVOLADE have not been established in combination with direct acting antiviral agents approved for treatment of chronic hepatitis C genotype 1 infection.</w:t>
      </w:r>
    </w:p>
    <w:p w14:paraId="5553BBBF" w14:textId="77777777" w:rsidR="007A5360" w:rsidRPr="00DE25E4" w:rsidRDefault="007A5360" w:rsidP="007A5360">
      <w:pPr>
        <w:pStyle w:val="LBLBulletStyle1"/>
        <w:numPr>
          <w:ilvl w:val="0"/>
          <w:numId w:val="0"/>
        </w:numPr>
        <w:spacing w:line="300" w:lineRule="atLeast"/>
        <w:jc w:val="both"/>
        <w:rPr>
          <w:szCs w:val="24"/>
        </w:rPr>
      </w:pPr>
    </w:p>
    <w:p w14:paraId="45E4A4D4" w14:textId="3092A351" w:rsidR="008460BC" w:rsidRPr="008460BC" w:rsidRDefault="007A5360" w:rsidP="008460BC">
      <w:pPr>
        <w:spacing w:after="120" w:line="300" w:lineRule="atLeast"/>
        <w:jc w:val="both"/>
        <w:rPr>
          <w:b/>
          <w:u w:val="single"/>
        </w:rPr>
      </w:pPr>
      <w:r w:rsidRPr="005D2049">
        <w:rPr>
          <w:b/>
          <w:u w:val="single"/>
        </w:rPr>
        <w:t>Hepatic monitoring</w:t>
      </w:r>
      <w:r w:rsidRPr="008460BC">
        <w:rPr>
          <w:b/>
          <w:u w:val="single"/>
        </w:rPr>
        <w:t xml:space="preserve"> </w:t>
      </w:r>
    </w:p>
    <w:p w14:paraId="5553BBC0" w14:textId="48A347F1" w:rsidR="007A5360" w:rsidRPr="005D2049" w:rsidRDefault="007A5360" w:rsidP="005D2049">
      <w:pPr>
        <w:spacing w:line="300" w:lineRule="atLeast"/>
        <w:jc w:val="both"/>
        <w:rPr>
          <w:color w:val="000000"/>
        </w:rPr>
      </w:pPr>
      <w:r w:rsidRPr="005D2049">
        <w:rPr>
          <w:color w:val="000000"/>
        </w:rPr>
        <w:t xml:space="preserve">REVOLADE administration can cause hepatobiliary laboratory abnormalities.  In clinical </w:t>
      </w:r>
      <w:r w:rsidR="006B3D6C" w:rsidRPr="005D2049">
        <w:rPr>
          <w:color w:val="000000"/>
        </w:rPr>
        <w:t xml:space="preserve">studies </w:t>
      </w:r>
      <w:r w:rsidR="009A0B05">
        <w:rPr>
          <w:color w:val="000000"/>
        </w:rPr>
        <w:t>of adult patients with</w:t>
      </w:r>
      <w:r w:rsidR="006B3D6C" w:rsidRPr="005D2049">
        <w:rPr>
          <w:color w:val="000000"/>
        </w:rPr>
        <w:t xml:space="preserve"> chronic </w:t>
      </w:r>
      <w:r w:rsidR="00357EC8" w:rsidRPr="005D2049">
        <w:rPr>
          <w:color w:val="000000"/>
        </w:rPr>
        <w:t xml:space="preserve">ITP </w:t>
      </w:r>
      <w:r w:rsidRPr="005D2049">
        <w:rPr>
          <w:color w:val="000000"/>
        </w:rPr>
        <w:t xml:space="preserve">trials </w:t>
      </w:r>
      <w:r w:rsidR="009A0B05">
        <w:rPr>
          <w:color w:val="000000"/>
        </w:rPr>
        <w:t xml:space="preserve">who received </w:t>
      </w:r>
      <w:r w:rsidRPr="005D2049">
        <w:rPr>
          <w:color w:val="000000"/>
        </w:rPr>
        <w:t>REVOLADE, increases in serum alanine aminotransferase (</w:t>
      </w:r>
      <w:smartTag w:uri="urn:schemas-microsoft-com:office:smarttags" w:element="stockticker">
        <w:r w:rsidRPr="005D2049">
          <w:rPr>
            <w:color w:val="000000"/>
          </w:rPr>
          <w:t>ALT</w:t>
        </w:r>
      </w:smartTag>
      <w:r w:rsidRPr="005D2049">
        <w:rPr>
          <w:color w:val="000000"/>
        </w:rPr>
        <w:t xml:space="preserve">), aspartate aminotransferase (AST) and indirect bilirubin were </w:t>
      </w:r>
      <w:r w:rsidRPr="007539B2">
        <w:rPr>
          <w:color w:val="000000"/>
        </w:rPr>
        <w:t xml:space="preserve">observed (see </w:t>
      </w:r>
      <w:r w:rsidR="007539B2" w:rsidRPr="007539B2">
        <w:rPr>
          <w:color w:val="000000"/>
        </w:rPr>
        <w:t>ADVERSE EVENTS</w:t>
      </w:r>
      <w:r w:rsidRPr="007539B2">
        <w:rPr>
          <w:color w:val="000000"/>
        </w:rPr>
        <w:t>).</w:t>
      </w:r>
    </w:p>
    <w:p w14:paraId="5553BBC1" w14:textId="77777777" w:rsidR="007A5360" w:rsidRPr="00DE25E4" w:rsidRDefault="007A5360" w:rsidP="007A5360">
      <w:pPr>
        <w:spacing w:line="300" w:lineRule="atLeast"/>
        <w:jc w:val="both"/>
        <w:rPr>
          <w:color w:val="000000"/>
        </w:rPr>
      </w:pPr>
    </w:p>
    <w:p w14:paraId="5553BBC2" w14:textId="239E43ED" w:rsidR="004B1E34" w:rsidRPr="005D2049" w:rsidRDefault="007A5360" w:rsidP="005D2049">
      <w:pPr>
        <w:spacing w:line="300" w:lineRule="atLeast"/>
        <w:jc w:val="both"/>
      </w:pPr>
      <w:r w:rsidRPr="005D2049">
        <w:rPr>
          <w:color w:val="000000"/>
        </w:rPr>
        <w:t>These findings were mostly mild (Grade 1-2), reversible and not accompanied by clinically significant symptoms that would indicate impaired liver function.  In two placebo controlled studies</w:t>
      </w:r>
      <w:r w:rsidR="00A45177" w:rsidRPr="005D2049">
        <w:rPr>
          <w:color w:val="000000"/>
        </w:rPr>
        <w:t xml:space="preserve"> in chronic ITP</w:t>
      </w:r>
      <w:r w:rsidRPr="005D2049">
        <w:rPr>
          <w:color w:val="000000"/>
        </w:rPr>
        <w:t xml:space="preserve">, adverse events of </w:t>
      </w:r>
      <w:smartTag w:uri="urn:schemas-microsoft-com:office:smarttags" w:element="stockticker">
        <w:r w:rsidRPr="005D2049">
          <w:rPr>
            <w:color w:val="000000"/>
          </w:rPr>
          <w:t>ALT</w:t>
        </w:r>
      </w:smartTag>
      <w:r w:rsidRPr="005D2049">
        <w:rPr>
          <w:color w:val="000000"/>
        </w:rPr>
        <w:t xml:space="preserve"> increase were reported in 5.7 % </w:t>
      </w:r>
      <w:r w:rsidRPr="005D2049">
        <w:t>and 4.0 % of eltrombopag and placebo treated patients respectively.</w:t>
      </w:r>
    </w:p>
    <w:p w14:paraId="5553BBC3" w14:textId="77777777" w:rsidR="00EC34BE" w:rsidRPr="00DE25E4" w:rsidRDefault="00EC34BE" w:rsidP="00A45177">
      <w:pPr>
        <w:spacing w:line="300" w:lineRule="atLeast"/>
        <w:jc w:val="both"/>
      </w:pPr>
    </w:p>
    <w:p w14:paraId="5553BBC4" w14:textId="3B0BBFFE" w:rsidR="004B1E34" w:rsidRPr="005D2049" w:rsidRDefault="004B1E34" w:rsidP="005D2049">
      <w:pPr>
        <w:spacing w:line="300" w:lineRule="atLeast"/>
        <w:jc w:val="both"/>
        <w:rPr>
          <w:color w:val="000000"/>
          <w:lang w:val="en-GB"/>
        </w:rPr>
      </w:pPr>
      <w:r w:rsidRPr="005D2049">
        <w:rPr>
          <w:color w:val="000000"/>
          <w:lang w:val="en-GB"/>
        </w:rPr>
        <w:t xml:space="preserve">In </w:t>
      </w:r>
      <w:r w:rsidR="00652261">
        <w:rPr>
          <w:color w:val="000000"/>
          <w:lang w:val="en-GB"/>
        </w:rPr>
        <w:t>two</w:t>
      </w:r>
      <w:r w:rsidR="00652261" w:rsidRPr="005D2049">
        <w:rPr>
          <w:color w:val="000000"/>
          <w:lang w:val="en-GB"/>
        </w:rPr>
        <w:t> </w:t>
      </w:r>
      <w:r w:rsidRPr="005D2049">
        <w:rPr>
          <w:color w:val="000000"/>
          <w:lang w:val="en-GB"/>
        </w:rPr>
        <w:t xml:space="preserve">controlled clinical studies in thrombocytopenic patients with HCV, ALT or AST </w:t>
      </w:r>
      <w:r w:rsidRPr="005D2049">
        <w:rPr>
          <w:color w:val="000000"/>
          <w:lang w:val="en-GB"/>
        </w:rPr>
        <w:sym w:font="Symbol" w:char="F0B3"/>
      </w:r>
      <w:r w:rsidRPr="005D2049">
        <w:rPr>
          <w:color w:val="000000"/>
          <w:lang w:val="en-GB"/>
        </w:rPr>
        <w:t xml:space="preserve"> 3 x ULN were reported in 34 % and 38 % of the </w:t>
      </w:r>
      <w:r w:rsidR="000B3ED7" w:rsidRPr="005D2049">
        <w:rPr>
          <w:color w:val="000000"/>
          <w:lang w:val="en-GB"/>
        </w:rPr>
        <w:t>REVOLADE</w:t>
      </w:r>
      <w:r w:rsidRPr="005D2049">
        <w:rPr>
          <w:color w:val="000000"/>
          <w:lang w:val="en-GB"/>
        </w:rPr>
        <w:t xml:space="preserve"> and placebo groups, respectively. REVOLADE administration in combination with peginterferon/ribavirin therapy is associated with indirect hyperbilirubinaemia. Overall, total bilirubin ≥ 1.5 x ULN was reported in 76 % and 50 %</w:t>
      </w:r>
      <w:r w:rsidR="00FE776D" w:rsidRPr="005D2049">
        <w:rPr>
          <w:color w:val="000000"/>
          <w:lang w:val="en-GB"/>
        </w:rPr>
        <w:t xml:space="preserve"> </w:t>
      </w:r>
      <w:r w:rsidRPr="005D2049">
        <w:rPr>
          <w:color w:val="000000"/>
          <w:lang w:val="en-GB"/>
        </w:rPr>
        <w:t>of the REVOLADE and placebo groups, respectively.</w:t>
      </w:r>
    </w:p>
    <w:p w14:paraId="5553BBC5" w14:textId="77777777" w:rsidR="007A5360" w:rsidRPr="00DE25E4" w:rsidRDefault="007A5360" w:rsidP="007A5360">
      <w:pPr>
        <w:spacing w:line="300" w:lineRule="atLeast"/>
        <w:jc w:val="both"/>
        <w:rPr>
          <w:color w:val="000000"/>
        </w:rPr>
      </w:pPr>
    </w:p>
    <w:p w14:paraId="5553BBC6" w14:textId="1462C4E4" w:rsidR="007A5360" w:rsidRPr="005D2049" w:rsidRDefault="007A5360" w:rsidP="006D75C7">
      <w:pPr>
        <w:widowControl w:val="0"/>
        <w:spacing w:line="300" w:lineRule="atLeast"/>
        <w:jc w:val="both"/>
      </w:pPr>
      <w:r w:rsidRPr="005D2049">
        <w:t xml:space="preserve">Measure serum </w:t>
      </w:r>
      <w:smartTag w:uri="urn:schemas-microsoft-com:office:smarttags" w:element="stockticker">
        <w:r w:rsidRPr="005D2049">
          <w:t>ALT</w:t>
        </w:r>
      </w:smartTag>
      <w:r w:rsidRPr="005D2049">
        <w:t xml:space="preserve">, AST and bilirubin prior to initiation of REVOLADE, every 2 weeks during the dose adjustment phase and monthly following establishment of a stable dose.  </w:t>
      </w:r>
      <w:r w:rsidR="000B0F71" w:rsidRPr="005D2049">
        <w:t xml:space="preserve">If bilirubin is elevated, perform fractionation. </w:t>
      </w:r>
      <w:r w:rsidRPr="005D2049">
        <w:t xml:space="preserve">Evaluate abnormal serum liver tests with repeat testing within 3 to 5 days.  If the abnormalities are confirmed, monitor serum liver tests until the abnormality(ies) resolve, stabilize, or return to baseline levels.  Discontinue REVOLADE if </w:t>
      </w:r>
      <w:smartTag w:uri="urn:schemas-microsoft-com:office:smarttags" w:element="stockticker">
        <w:r w:rsidRPr="005D2049">
          <w:t>ALT</w:t>
        </w:r>
      </w:smartTag>
      <w:r w:rsidRPr="005D2049">
        <w:t xml:space="preserve"> levels increase </w:t>
      </w:r>
      <w:r w:rsidR="006C15D8" w:rsidRPr="005D2049">
        <w:t xml:space="preserve">to </w:t>
      </w:r>
      <w:r w:rsidR="006524C7" w:rsidRPr="005D2049">
        <w:sym w:font="Symbol" w:char="F0B3"/>
      </w:r>
      <w:r w:rsidR="006524C7" w:rsidRPr="005D2049">
        <w:t xml:space="preserve"> </w:t>
      </w:r>
      <w:r w:rsidR="007D2894" w:rsidRPr="005D2049">
        <w:t>3</w:t>
      </w:r>
      <w:r w:rsidR="007539B2">
        <w:t xml:space="preserve"> x</w:t>
      </w:r>
      <w:r w:rsidR="007D2894" w:rsidRPr="005D2049">
        <w:t xml:space="preserve"> </w:t>
      </w:r>
      <w:r w:rsidR="006524C7" w:rsidRPr="005D2049">
        <w:t xml:space="preserve">ULN </w:t>
      </w:r>
      <w:r w:rsidR="00A45177" w:rsidRPr="005D2049">
        <w:t xml:space="preserve">in patients with normal liver function or </w:t>
      </w:r>
      <w:r w:rsidR="00A45177" w:rsidRPr="005D2049">
        <w:sym w:font="Symbol" w:char="F0B3"/>
      </w:r>
      <w:r w:rsidR="00A45177" w:rsidRPr="005D2049">
        <w:t xml:space="preserve"> 3</w:t>
      </w:r>
      <w:r w:rsidR="00C02082">
        <w:t xml:space="preserve"> x</w:t>
      </w:r>
      <w:r w:rsidR="00A45177" w:rsidRPr="005D2049">
        <w:t xml:space="preserve"> baseline in patients with elevations in transaminases before treatment </w:t>
      </w:r>
      <w:r w:rsidRPr="005D2049">
        <w:t>and are:</w:t>
      </w:r>
    </w:p>
    <w:p w14:paraId="5553BBC8" w14:textId="77777777" w:rsidR="007A5360" w:rsidRPr="005D2049" w:rsidRDefault="007A5360" w:rsidP="005D2049">
      <w:pPr>
        <w:numPr>
          <w:ilvl w:val="0"/>
          <w:numId w:val="27"/>
        </w:numPr>
        <w:spacing w:line="300" w:lineRule="atLeast"/>
        <w:jc w:val="both"/>
      </w:pPr>
      <w:r w:rsidRPr="005D2049">
        <w:t>progressive, or</w:t>
      </w:r>
    </w:p>
    <w:p w14:paraId="5553BBC9" w14:textId="77777777" w:rsidR="0070022D" w:rsidRPr="005D2049" w:rsidRDefault="0070022D" w:rsidP="005D2049">
      <w:pPr>
        <w:pStyle w:val="LBLBulletStyle1"/>
        <w:numPr>
          <w:ilvl w:val="0"/>
          <w:numId w:val="21"/>
        </w:numPr>
        <w:spacing w:line="300" w:lineRule="atLeast"/>
        <w:jc w:val="both"/>
        <w:rPr>
          <w:color w:val="000000"/>
        </w:rPr>
      </w:pPr>
      <w:r w:rsidRPr="005D2049">
        <w:rPr>
          <w:color w:val="000000"/>
        </w:rPr>
        <w:t>persistent for ≥ 4 weeks, or</w:t>
      </w:r>
    </w:p>
    <w:p w14:paraId="5553BBCA" w14:textId="77777777" w:rsidR="007A5360" w:rsidRPr="005D2049" w:rsidRDefault="007A5360" w:rsidP="005D2049">
      <w:pPr>
        <w:pStyle w:val="LBLBulletStyle1"/>
        <w:numPr>
          <w:ilvl w:val="0"/>
          <w:numId w:val="21"/>
        </w:numPr>
        <w:spacing w:line="300" w:lineRule="atLeast"/>
        <w:jc w:val="both"/>
        <w:rPr>
          <w:color w:val="000000"/>
        </w:rPr>
      </w:pPr>
      <w:r w:rsidRPr="005D2049">
        <w:rPr>
          <w:color w:val="000000"/>
        </w:rPr>
        <w:t>accompanied by increased direct bilirubin, or</w:t>
      </w:r>
    </w:p>
    <w:p w14:paraId="5553BBCB" w14:textId="77777777" w:rsidR="007A5360" w:rsidRPr="005D2049" w:rsidRDefault="007A5360" w:rsidP="005D2049">
      <w:pPr>
        <w:pStyle w:val="LBLBulletStyle1"/>
        <w:numPr>
          <w:ilvl w:val="0"/>
          <w:numId w:val="21"/>
        </w:numPr>
        <w:spacing w:line="300" w:lineRule="atLeast"/>
        <w:jc w:val="both"/>
        <w:rPr>
          <w:color w:val="000000"/>
        </w:rPr>
      </w:pPr>
      <w:r w:rsidRPr="005D2049">
        <w:rPr>
          <w:color w:val="000000"/>
        </w:rPr>
        <w:lastRenderedPageBreak/>
        <w:t>accompanied by clinical symptoms of liver injury or evidence for hepatic decompensation</w:t>
      </w:r>
      <w:r w:rsidR="007D2894" w:rsidRPr="005D2049">
        <w:rPr>
          <w:color w:val="000000"/>
        </w:rPr>
        <w:t>.</w:t>
      </w:r>
    </w:p>
    <w:p w14:paraId="7075E64D" w14:textId="77777777" w:rsidR="008242FA" w:rsidRDefault="008242FA" w:rsidP="00A65207">
      <w:pPr>
        <w:spacing w:line="300" w:lineRule="atLeast"/>
        <w:jc w:val="both"/>
        <w:rPr>
          <w:rFonts w:ascii="Arial" w:hAnsi="Arial" w:cs="Arial"/>
          <w:color w:val="000000"/>
          <w:sz w:val="22"/>
          <w:szCs w:val="22"/>
        </w:rPr>
      </w:pPr>
    </w:p>
    <w:p w14:paraId="5553BBCD" w14:textId="1A895288" w:rsidR="00A65207" w:rsidRPr="00DE25E4" w:rsidRDefault="00226D4E" w:rsidP="00E10A80">
      <w:pPr>
        <w:widowControl w:val="0"/>
        <w:spacing w:line="300" w:lineRule="atLeast"/>
        <w:jc w:val="both"/>
        <w:rPr>
          <w:i/>
          <w:color w:val="000000"/>
        </w:rPr>
      </w:pPr>
      <w:r>
        <w:rPr>
          <w:color w:val="000000"/>
        </w:rPr>
        <w:t>Use</w:t>
      </w:r>
      <w:r w:rsidRPr="005D2049" w:rsidDel="00226D4E">
        <w:rPr>
          <w:color w:val="000000"/>
        </w:rPr>
        <w:t xml:space="preserve"> </w:t>
      </w:r>
      <w:r w:rsidR="00A65207" w:rsidRPr="005D2049">
        <w:rPr>
          <w:color w:val="000000"/>
        </w:rPr>
        <w:t xml:space="preserve">caution when administering REVOLADE to patients with hepatic disease.  </w:t>
      </w:r>
      <w:r w:rsidR="001608A0" w:rsidRPr="005D2049">
        <w:rPr>
          <w:color w:val="000000"/>
        </w:rPr>
        <w:t xml:space="preserve">In ITP </w:t>
      </w:r>
      <w:r w:rsidR="000A3D30" w:rsidRPr="00DE25E4">
        <w:rPr>
          <w:color w:val="000000"/>
        </w:rPr>
        <w:t xml:space="preserve">and SAA </w:t>
      </w:r>
      <w:r w:rsidR="001608A0" w:rsidRPr="005D2049">
        <w:rPr>
          <w:color w:val="000000"/>
        </w:rPr>
        <w:t>patients</w:t>
      </w:r>
      <w:r>
        <w:rPr>
          <w:color w:val="000000"/>
        </w:rPr>
        <w:t>,</w:t>
      </w:r>
      <w:r w:rsidR="001608A0" w:rsidRPr="005D2049">
        <w:rPr>
          <w:color w:val="000000"/>
        </w:rPr>
        <w:t xml:space="preserve"> u</w:t>
      </w:r>
      <w:r w:rsidR="00A65207" w:rsidRPr="005D2049">
        <w:rPr>
          <w:color w:val="000000"/>
        </w:rPr>
        <w:t xml:space="preserve">se a lower starting dose of REVOLADE when </w:t>
      </w:r>
      <w:r w:rsidR="008B01E3" w:rsidRPr="005D2049">
        <w:rPr>
          <w:color w:val="000000"/>
        </w:rPr>
        <w:t>administering to</w:t>
      </w:r>
      <w:r w:rsidR="00A65207" w:rsidRPr="005D2049">
        <w:rPr>
          <w:color w:val="000000"/>
        </w:rPr>
        <w:t xml:space="preserve"> patients with hepatic impartment (see</w:t>
      </w:r>
      <w:r w:rsidR="00A65207" w:rsidRPr="005D2049">
        <w:rPr>
          <w:i/>
          <w:color w:val="000000"/>
        </w:rPr>
        <w:t xml:space="preserve"> </w:t>
      </w:r>
      <w:r w:rsidR="005D2049" w:rsidRPr="005D2049">
        <w:rPr>
          <w:color w:val="000000"/>
        </w:rPr>
        <w:t>DOSAGE AND ADMINISTRATION</w:t>
      </w:r>
      <w:r w:rsidR="00A65207" w:rsidRPr="005D2049">
        <w:rPr>
          <w:color w:val="000000"/>
        </w:rPr>
        <w:t>)</w:t>
      </w:r>
      <w:r w:rsidR="00A65207" w:rsidRPr="005D2049">
        <w:rPr>
          <w:i/>
          <w:color w:val="000000"/>
        </w:rPr>
        <w:t>.</w:t>
      </w:r>
    </w:p>
    <w:p w14:paraId="5553BBCE" w14:textId="77777777" w:rsidR="00A65207" w:rsidRPr="005D2049" w:rsidRDefault="00A65207" w:rsidP="005D2049">
      <w:pPr>
        <w:spacing w:line="300" w:lineRule="atLeast"/>
        <w:jc w:val="both"/>
        <w:rPr>
          <w:color w:val="000000"/>
        </w:rPr>
      </w:pPr>
    </w:p>
    <w:p w14:paraId="5553BBCF" w14:textId="0AF34DBE" w:rsidR="002200C7" w:rsidRPr="005D2049" w:rsidRDefault="002200C7" w:rsidP="00F0067C">
      <w:pPr>
        <w:widowControl w:val="0"/>
        <w:spacing w:line="300" w:lineRule="atLeast"/>
        <w:jc w:val="both"/>
        <w:rPr>
          <w:color w:val="000000"/>
        </w:rPr>
      </w:pPr>
      <w:r w:rsidRPr="005D2049">
        <w:rPr>
          <w:color w:val="000000"/>
        </w:rPr>
        <w:t>If the potential benefit for reinitiating REVOLADE treatment is considered to outweigh the risk for hepatotoxicity, then cautiously reintroduce REVOLADE and measure serum liver tests weekly during the dose adjusted phase. If liver test abnormalities persist, worsen or recur, then permanently discontinue REVOLADE.</w:t>
      </w:r>
    </w:p>
    <w:p w14:paraId="5553BBD0" w14:textId="77777777" w:rsidR="007A5360" w:rsidRPr="00DE25E4" w:rsidRDefault="007A5360" w:rsidP="007A5360">
      <w:pPr>
        <w:spacing w:line="300" w:lineRule="atLeast"/>
        <w:jc w:val="both"/>
        <w:rPr>
          <w:color w:val="000000"/>
        </w:rPr>
      </w:pPr>
    </w:p>
    <w:p w14:paraId="4CD5C65E" w14:textId="212FFE94" w:rsidR="00226D4E" w:rsidRPr="00942AB5" w:rsidRDefault="00126AA4" w:rsidP="008242FA">
      <w:pPr>
        <w:keepNext/>
        <w:spacing w:after="120" w:line="300" w:lineRule="atLeast"/>
        <w:jc w:val="both"/>
        <w:rPr>
          <w:b/>
          <w:color w:val="000000"/>
        </w:rPr>
      </w:pPr>
      <w:r w:rsidRPr="005D2049">
        <w:rPr>
          <w:b/>
          <w:color w:val="000000"/>
        </w:rPr>
        <w:t xml:space="preserve">Hepatic decompensation </w:t>
      </w:r>
      <w:r w:rsidR="00734D55" w:rsidRPr="00734D55">
        <w:rPr>
          <w:b/>
          <w:color w:val="000000"/>
        </w:rPr>
        <w:t xml:space="preserve">in patients with chronic </w:t>
      </w:r>
      <w:r w:rsidR="00734D55">
        <w:rPr>
          <w:b/>
          <w:color w:val="000000"/>
        </w:rPr>
        <w:t>HCV</w:t>
      </w:r>
      <w:r w:rsidR="00734D55" w:rsidRPr="00734D55">
        <w:rPr>
          <w:b/>
          <w:color w:val="000000"/>
        </w:rPr>
        <w:t xml:space="preserve"> </w:t>
      </w:r>
      <w:r w:rsidRPr="005D2049">
        <w:rPr>
          <w:b/>
          <w:color w:val="000000"/>
        </w:rPr>
        <w:t>(</w:t>
      </w:r>
      <w:r w:rsidR="00734D55">
        <w:rPr>
          <w:b/>
          <w:color w:val="000000"/>
        </w:rPr>
        <w:t>concomitant u</w:t>
      </w:r>
      <w:r w:rsidRPr="005D2049">
        <w:rPr>
          <w:b/>
          <w:color w:val="000000"/>
        </w:rPr>
        <w:t>se with interferons</w:t>
      </w:r>
      <w:r w:rsidRPr="00942AB5">
        <w:rPr>
          <w:b/>
          <w:color w:val="000000"/>
        </w:rPr>
        <w:t xml:space="preserve">) </w:t>
      </w:r>
    </w:p>
    <w:p w14:paraId="6DD982F5" w14:textId="2E8750C6" w:rsidR="00734D55" w:rsidRDefault="00126AA4" w:rsidP="00C02082">
      <w:pPr>
        <w:widowControl w:val="0"/>
        <w:spacing w:line="300" w:lineRule="atLeast"/>
        <w:jc w:val="both"/>
      </w:pPr>
      <w:r w:rsidRPr="005D2049">
        <w:t xml:space="preserve">Chronic HCV patients with cirrhosis may be at risk for hepatic decompensation, some with fatal outcomes, when receiving </w:t>
      </w:r>
      <w:r w:rsidR="00734D55">
        <w:t xml:space="preserve">REVOLADE and </w:t>
      </w:r>
      <w:r w:rsidRPr="005D2049">
        <w:t xml:space="preserve">alpha interferon therapy. </w:t>
      </w:r>
    </w:p>
    <w:p w14:paraId="2F5D1805" w14:textId="77777777" w:rsidR="00734D55" w:rsidRDefault="00734D55" w:rsidP="00C02082">
      <w:pPr>
        <w:widowControl w:val="0"/>
        <w:spacing w:line="300" w:lineRule="atLeast"/>
        <w:jc w:val="both"/>
      </w:pPr>
    </w:p>
    <w:p w14:paraId="5553BBD1" w14:textId="3B8CBEEE" w:rsidR="00126AA4" w:rsidRPr="005D2049" w:rsidRDefault="00126AA4" w:rsidP="00C02082">
      <w:pPr>
        <w:widowControl w:val="0"/>
        <w:spacing w:line="300" w:lineRule="atLeast"/>
        <w:jc w:val="both"/>
      </w:pPr>
      <w:r w:rsidRPr="005D2049">
        <w:t xml:space="preserve">In </w:t>
      </w:r>
      <w:r w:rsidR="009A0B05">
        <w:t>two</w:t>
      </w:r>
      <w:r w:rsidRPr="005D2049">
        <w:t xml:space="preserve"> controlled clinical studies in thrombocytopenic patients with HCV</w:t>
      </w:r>
      <w:r w:rsidR="009D658B">
        <w:t xml:space="preserve">, </w:t>
      </w:r>
      <w:r w:rsidRPr="005D2049">
        <w:t xml:space="preserve"> where REVOLADE was used as necessary to achieve the target platelet count required to enable antiviral therapy, safety findings suggestive of hepatic decompensation </w:t>
      </w:r>
      <w:r w:rsidR="006C10AD" w:rsidRPr="006C10AD">
        <w:t>(ascites, hepatic encephalopathy, variceal haemorrhage, spontaneous bacterial peritonitis)</w:t>
      </w:r>
      <w:r w:rsidR="006C10AD">
        <w:t xml:space="preserve"> </w:t>
      </w:r>
      <w:r w:rsidRPr="005D2049">
        <w:t xml:space="preserve">were reported more frequently in the REVOLADE arm (13 %) than in the placebo arm (7 %).  </w:t>
      </w:r>
      <w:r w:rsidR="006C10AD">
        <w:t>In p</w:t>
      </w:r>
      <w:r w:rsidRPr="005D2049">
        <w:t xml:space="preserve">atients with albumin levels </w:t>
      </w:r>
      <w:r w:rsidR="00551D9B" w:rsidRPr="005D2049">
        <w:t>≤</w:t>
      </w:r>
      <w:r w:rsidRPr="005D2049">
        <w:t xml:space="preserve"> 35 g/L or MELD score </w:t>
      </w:r>
      <w:r w:rsidRPr="005D2049">
        <w:sym w:font="Symbol" w:char="F0B3"/>
      </w:r>
      <w:r w:rsidRPr="005D2049">
        <w:t> 10 at baseline</w:t>
      </w:r>
      <w:r w:rsidR="009D658B">
        <w:t>,</w:t>
      </w:r>
      <w:r w:rsidRPr="005D2049">
        <w:t xml:space="preserve"> </w:t>
      </w:r>
      <w:r w:rsidR="009D658B">
        <w:t xml:space="preserve">there was a three-fold </w:t>
      </w:r>
      <w:r w:rsidRPr="005D2049">
        <w:t>greater risk of hepatic decompensation</w:t>
      </w:r>
      <w:r w:rsidR="009D658B">
        <w:t xml:space="preserve"> </w:t>
      </w:r>
      <w:r w:rsidR="009D658B" w:rsidRPr="009D658B">
        <w:t>and an increase</w:t>
      </w:r>
      <w:r w:rsidR="009D658B">
        <w:t>d</w:t>
      </w:r>
      <w:r w:rsidR="009D658B" w:rsidRPr="009D658B">
        <w:t xml:space="preserve"> risk of a fatal adverse event compared to those with less advanced liver disease</w:t>
      </w:r>
      <w:r w:rsidRPr="005D2049">
        <w:t xml:space="preserve">. </w:t>
      </w:r>
      <w:r w:rsidR="009D658B" w:rsidRPr="009D658B">
        <w:t>In addition, the benefits of treatment in terms of the proportion achieving SVR compared with placebo were modest in these patients (especially for those with baseline albumin ≤ 35</w:t>
      </w:r>
      <w:r w:rsidR="009D658B">
        <w:t xml:space="preserve"> </w:t>
      </w:r>
      <w:r w:rsidR="009D658B" w:rsidRPr="009D658B">
        <w:t xml:space="preserve">g/L) compared with the group overall. </w:t>
      </w:r>
      <w:r w:rsidR="009D658B">
        <w:t>REVOLADE</w:t>
      </w:r>
      <w:r w:rsidR="009D658B" w:rsidRPr="009D658B">
        <w:t xml:space="preserve"> should only be administered to such patients after careful consideration of the expected benefits in comparison with the risks. </w:t>
      </w:r>
      <w:r w:rsidRPr="005D2049">
        <w:t xml:space="preserve">Patients with these characteristics should be closely monitored for signs and symptoms of hepatic decompensation.  Refer to the respective interferon prescribing information for discontinuation criteria. </w:t>
      </w:r>
      <w:r w:rsidRPr="005D2049">
        <w:rPr>
          <w:lang w:val="en-GB"/>
        </w:rPr>
        <w:t>REVOLADE should be terminated if antiviral therapy is discontinued for hepatic decompensation.</w:t>
      </w:r>
    </w:p>
    <w:p w14:paraId="284109F8" w14:textId="77777777" w:rsidR="006C10AD" w:rsidRPr="005D2049" w:rsidRDefault="006C10AD" w:rsidP="006C10AD">
      <w:pPr>
        <w:spacing w:line="300" w:lineRule="atLeast"/>
        <w:jc w:val="both"/>
        <w:rPr>
          <w:color w:val="000000"/>
        </w:rPr>
      </w:pPr>
    </w:p>
    <w:p w14:paraId="26FBF0A5" w14:textId="569352A2" w:rsidR="00226D4E" w:rsidRPr="00226D4E" w:rsidRDefault="00112707" w:rsidP="00226D4E">
      <w:pPr>
        <w:spacing w:after="120" w:line="300" w:lineRule="atLeast"/>
        <w:jc w:val="both"/>
        <w:rPr>
          <w:b/>
          <w:color w:val="000000"/>
          <w:u w:val="single"/>
        </w:rPr>
      </w:pPr>
      <w:r w:rsidRPr="005D2049">
        <w:rPr>
          <w:b/>
          <w:color w:val="000000"/>
          <w:u w:val="single"/>
        </w:rPr>
        <w:t>Renal Impairment</w:t>
      </w:r>
      <w:r w:rsidRPr="00226D4E">
        <w:rPr>
          <w:b/>
          <w:color w:val="000000"/>
          <w:u w:val="single"/>
        </w:rPr>
        <w:t xml:space="preserve"> </w:t>
      </w:r>
    </w:p>
    <w:p w14:paraId="5553BBD3" w14:textId="00B6714E" w:rsidR="00112707" w:rsidRPr="004553F8" w:rsidRDefault="00112707" w:rsidP="005D2049">
      <w:pPr>
        <w:spacing w:line="300" w:lineRule="atLeast"/>
        <w:jc w:val="both"/>
        <w:rPr>
          <w:color w:val="000000"/>
        </w:rPr>
      </w:pPr>
      <w:r w:rsidRPr="005D2049">
        <w:rPr>
          <w:color w:val="000000"/>
        </w:rPr>
        <w:t xml:space="preserve">The efficacy and safety of REVOLADE has not been established in </w:t>
      </w:r>
      <w:r w:rsidR="008E7292" w:rsidRPr="005D2049">
        <w:rPr>
          <w:color w:val="000000"/>
        </w:rPr>
        <w:t>patient</w:t>
      </w:r>
      <w:r w:rsidRPr="005D2049">
        <w:rPr>
          <w:color w:val="000000"/>
        </w:rPr>
        <w:t xml:space="preserve">s with moderate to severe </w:t>
      </w:r>
      <w:r w:rsidRPr="004553F8">
        <w:rPr>
          <w:color w:val="000000"/>
        </w:rPr>
        <w:t xml:space="preserve">renal impairment (see </w:t>
      </w:r>
      <w:r w:rsidR="00226D4E" w:rsidRPr="00226D4E">
        <w:rPr>
          <w:iCs/>
          <w:color w:val="000000"/>
        </w:rPr>
        <w:t>DOSAGE AND ADMINISTRATION</w:t>
      </w:r>
      <w:r w:rsidRPr="004553F8">
        <w:rPr>
          <w:color w:val="000000"/>
        </w:rPr>
        <w:t xml:space="preserve">). </w:t>
      </w:r>
    </w:p>
    <w:p w14:paraId="5553BBD4" w14:textId="77777777" w:rsidR="00112707" w:rsidRPr="00DE25E4" w:rsidRDefault="00112707" w:rsidP="007A5360">
      <w:pPr>
        <w:spacing w:line="300" w:lineRule="atLeast"/>
        <w:jc w:val="both"/>
        <w:rPr>
          <w:color w:val="000000"/>
        </w:rPr>
      </w:pPr>
    </w:p>
    <w:p w14:paraId="5553BBD5" w14:textId="62614F91" w:rsidR="00112707" w:rsidRDefault="00112707" w:rsidP="006D75C7">
      <w:pPr>
        <w:widowControl w:val="0"/>
        <w:spacing w:line="300" w:lineRule="atLeast"/>
        <w:jc w:val="both"/>
        <w:rPr>
          <w:color w:val="000000"/>
        </w:rPr>
      </w:pPr>
      <w:r w:rsidRPr="005D2049">
        <w:rPr>
          <w:color w:val="000000"/>
        </w:rPr>
        <w:t xml:space="preserve">Patients with impaired renal function should use REVOLADE with caution and close monitoring, for example by testing serum creatinine and/or performing urine analysis (see </w:t>
      </w:r>
      <w:r w:rsidR="00226D4E" w:rsidRPr="00226D4E">
        <w:rPr>
          <w:iCs/>
          <w:color w:val="000000"/>
        </w:rPr>
        <w:t>PHARMACOLOGY</w:t>
      </w:r>
      <w:r w:rsidR="004553F8">
        <w:rPr>
          <w:iCs/>
          <w:color w:val="000000"/>
        </w:rPr>
        <w:t xml:space="preserve"> - </w:t>
      </w:r>
      <w:r w:rsidRPr="005D2049">
        <w:rPr>
          <w:i/>
          <w:color w:val="000000"/>
        </w:rPr>
        <w:t xml:space="preserve"> </w:t>
      </w:r>
      <w:r w:rsidR="00C34C2C" w:rsidRPr="004553F8">
        <w:rPr>
          <w:color w:val="000000"/>
        </w:rPr>
        <w:t>Special Patient Populations</w:t>
      </w:r>
      <w:r w:rsidRPr="005D2049">
        <w:rPr>
          <w:color w:val="000000"/>
        </w:rPr>
        <w:t>).</w:t>
      </w:r>
    </w:p>
    <w:p w14:paraId="6E35A688" w14:textId="77777777" w:rsidR="006D75C7" w:rsidRPr="005D2049" w:rsidRDefault="006D75C7" w:rsidP="006D75C7">
      <w:pPr>
        <w:widowControl w:val="0"/>
        <w:spacing w:line="300" w:lineRule="atLeast"/>
        <w:jc w:val="both"/>
        <w:rPr>
          <w:color w:val="000000"/>
        </w:rPr>
      </w:pPr>
    </w:p>
    <w:p w14:paraId="33E37F9C" w14:textId="65B058F0" w:rsidR="00226D4E" w:rsidRPr="00226D4E" w:rsidRDefault="00503499" w:rsidP="00226D4E">
      <w:pPr>
        <w:spacing w:after="120" w:line="300" w:lineRule="atLeast"/>
        <w:jc w:val="both"/>
        <w:rPr>
          <w:b/>
          <w:color w:val="000000"/>
          <w:u w:val="single"/>
        </w:rPr>
      </w:pPr>
      <w:r w:rsidRPr="005D2049">
        <w:rPr>
          <w:b/>
          <w:color w:val="000000"/>
          <w:u w:val="single"/>
        </w:rPr>
        <w:t>Hepatic Impairment</w:t>
      </w:r>
      <w:r w:rsidRPr="00226D4E">
        <w:rPr>
          <w:b/>
          <w:color w:val="000000"/>
          <w:u w:val="single"/>
        </w:rPr>
        <w:t xml:space="preserve"> </w:t>
      </w:r>
    </w:p>
    <w:p w14:paraId="5553BBD7" w14:textId="6C005A6B" w:rsidR="00503499" w:rsidRDefault="00503499" w:rsidP="005D2049">
      <w:pPr>
        <w:spacing w:line="300" w:lineRule="atLeast"/>
        <w:jc w:val="both"/>
        <w:rPr>
          <w:color w:val="000000"/>
          <w:lang w:val="en-GB"/>
        </w:rPr>
      </w:pPr>
      <w:r w:rsidRPr="005D2049">
        <w:rPr>
          <w:color w:val="000000"/>
          <w:lang w:val="en-GB"/>
        </w:rPr>
        <w:lastRenderedPageBreak/>
        <w:t xml:space="preserve">REVOLADE should not be used in patients with hepatic impairment (Child-Pugh score ≥ 5) unless the expected benefit outweighs the identified risk of portal venous thrombosis. When treatment is considered appropriate, exercise caution when administering REVOLADE to patients with hepatic impairment (see </w:t>
      </w:r>
      <w:r w:rsidR="00226D4E" w:rsidRPr="00226D4E">
        <w:rPr>
          <w:color w:val="000000"/>
          <w:lang w:val="en-GB"/>
        </w:rPr>
        <w:t>DOSAGE AND ADMINISTRATION</w:t>
      </w:r>
      <w:r w:rsidR="00226D4E" w:rsidRPr="00DE25E4">
        <w:rPr>
          <w:i/>
          <w:color w:val="000000"/>
          <w:lang w:val="en-GB"/>
        </w:rPr>
        <w:t xml:space="preserve"> </w:t>
      </w:r>
      <w:r w:rsidRPr="005D2049">
        <w:rPr>
          <w:color w:val="000000"/>
          <w:lang w:val="en-GB"/>
        </w:rPr>
        <w:t>and</w:t>
      </w:r>
      <w:r w:rsidRPr="00DE25E4">
        <w:rPr>
          <w:i/>
          <w:color w:val="000000"/>
          <w:lang w:val="en-GB"/>
        </w:rPr>
        <w:t xml:space="preserve"> </w:t>
      </w:r>
      <w:r w:rsidR="00226D4E" w:rsidRPr="00226D4E">
        <w:rPr>
          <w:color w:val="000000"/>
          <w:lang w:val="en-GB"/>
        </w:rPr>
        <w:t>ADVERSE EFFECTS</w:t>
      </w:r>
      <w:r w:rsidRPr="005D2049">
        <w:rPr>
          <w:color w:val="000000"/>
          <w:lang w:val="en-GB"/>
        </w:rPr>
        <w:t>).</w:t>
      </w:r>
    </w:p>
    <w:p w14:paraId="5DBBBD88" w14:textId="77777777" w:rsidR="00E54580" w:rsidRPr="005D2049" w:rsidRDefault="00E54580" w:rsidP="005D2049">
      <w:pPr>
        <w:spacing w:line="300" w:lineRule="atLeast"/>
        <w:jc w:val="both"/>
        <w:rPr>
          <w:color w:val="000000"/>
          <w:lang w:val="en-GB"/>
        </w:rPr>
      </w:pPr>
    </w:p>
    <w:p w14:paraId="57AE085B" w14:textId="6499AEEF" w:rsidR="00226D4E" w:rsidRPr="00226D4E" w:rsidRDefault="007A5360" w:rsidP="00E10A80">
      <w:pPr>
        <w:keepNext/>
        <w:spacing w:after="120" w:line="300" w:lineRule="atLeast"/>
        <w:jc w:val="both"/>
        <w:rPr>
          <w:b/>
          <w:color w:val="000000"/>
          <w:u w:val="single"/>
        </w:rPr>
      </w:pPr>
      <w:r w:rsidRPr="005D2049">
        <w:rPr>
          <w:b/>
          <w:color w:val="000000"/>
          <w:u w:val="single"/>
        </w:rPr>
        <w:t>Thrombotic/Thromboembolic Complications</w:t>
      </w:r>
    </w:p>
    <w:p w14:paraId="5553BBD9" w14:textId="7D685C00" w:rsidR="00725CC3" w:rsidRPr="005D2049" w:rsidRDefault="00BB01F7" w:rsidP="00E10A80">
      <w:pPr>
        <w:widowControl w:val="0"/>
        <w:spacing w:line="300" w:lineRule="atLeast"/>
        <w:jc w:val="both"/>
        <w:rPr>
          <w:color w:val="000000"/>
        </w:rPr>
      </w:pPr>
      <w:r w:rsidRPr="005D2049">
        <w:rPr>
          <w:color w:val="000000"/>
        </w:rPr>
        <w:t xml:space="preserve">Platelet counts above the normal range present a theoretical risk for thrombotic/thromboembolic complications.  In REVOLADE </w:t>
      </w:r>
      <w:r w:rsidR="00725CC3" w:rsidRPr="005D2049">
        <w:rPr>
          <w:color w:val="000000"/>
        </w:rPr>
        <w:t xml:space="preserve">clinical trials in ITP </w:t>
      </w:r>
      <w:r w:rsidRPr="005D2049">
        <w:rPr>
          <w:color w:val="000000"/>
        </w:rPr>
        <w:t>thromboembolic events were observed at low and</w:t>
      </w:r>
      <w:r w:rsidR="005807F8" w:rsidRPr="005D2049">
        <w:rPr>
          <w:color w:val="000000"/>
        </w:rPr>
        <w:t xml:space="preserve"> normal platelet counts.  </w:t>
      </w:r>
    </w:p>
    <w:p w14:paraId="5553BBDA" w14:textId="77777777" w:rsidR="00725CC3" w:rsidRPr="00DE25E4" w:rsidRDefault="00725CC3" w:rsidP="007A5360">
      <w:pPr>
        <w:spacing w:line="300" w:lineRule="atLeast"/>
        <w:jc w:val="both"/>
        <w:rPr>
          <w:color w:val="000000"/>
        </w:rPr>
      </w:pPr>
    </w:p>
    <w:p w14:paraId="5553BBDB" w14:textId="163B410B" w:rsidR="00725CC3" w:rsidRPr="005D2049" w:rsidRDefault="00725CC3" w:rsidP="00F0067C">
      <w:pPr>
        <w:widowControl w:val="0"/>
        <w:spacing w:line="300" w:lineRule="atLeast"/>
        <w:jc w:val="both"/>
        <w:rPr>
          <w:color w:val="000000"/>
        </w:rPr>
      </w:pPr>
      <w:r w:rsidRPr="005D2049">
        <w:rPr>
          <w:color w:val="000000"/>
        </w:rPr>
        <w:t xml:space="preserve">Use caution when administering REVOLADE to patients with known risk factors for thromboembolism (e.g., advanced age, patients with prolonged periods of immobilisation, malignancies, contraceptives and hormone replacement therapy, surgery/trauma, obesity, smoking, Factor V Leiden, ATIII deficiency, and antiphospholipid syndrome).  Platelet counts should be closely monitored and consideration given to reducing the dose or discontinuing REVOLADE treatment if the platelet count exceeds the target levels (see </w:t>
      </w:r>
      <w:r w:rsidR="008242FA" w:rsidRPr="008242FA">
        <w:rPr>
          <w:color w:val="000000"/>
        </w:rPr>
        <w:t>DOSAGE AND ADMINISTRATION</w:t>
      </w:r>
      <w:r w:rsidRPr="008242FA">
        <w:rPr>
          <w:color w:val="000000"/>
        </w:rPr>
        <w:t>).</w:t>
      </w:r>
    </w:p>
    <w:p w14:paraId="5553BBDC" w14:textId="77777777" w:rsidR="00725CC3" w:rsidRPr="00DE25E4" w:rsidRDefault="00725CC3" w:rsidP="007A5360">
      <w:pPr>
        <w:spacing w:line="300" w:lineRule="atLeast"/>
        <w:jc w:val="both"/>
        <w:rPr>
          <w:color w:val="000000"/>
        </w:rPr>
      </w:pPr>
    </w:p>
    <w:p w14:paraId="5553BBDD" w14:textId="3D1DD0F7" w:rsidR="001E73C6" w:rsidRPr="005D2049" w:rsidRDefault="005807F8" w:rsidP="005D2049">
      <w:pPr>
        <w:spacing w:line="300" w:lineRule="atLeast"/>
        <w:jc w:val="both"/>
        <w:rPr>
          <w:color w:val="000000"/>
        </w:rPr>
      </w:pPr>
      <w:r w:rsidRPr="005D2049">
        <w:rPr>
          <w:color w:val="000000"/>
        </w:rPr>
        <w:t xml:space="preserve">In </w:t>
      </w:r>
      <w:r w:rsidR="00E60C99">
        <w:rPr>
          <w:color w:val="000000"/>
        </w:rPr>
        <w:t xml:space="preserve">adult </w:t>
      </w:r>
      <w:r w:rsidRPr="005D2049">
        <w:rPr>
          <w:color w:val="000000"/>
        </w:rPr>
        <w:t>ITP studies, 21 thromboembolic/thrombotic events were observed in 17 out of 446 subjects (3.8%).  The TEE events included: embolism including pulmonary embolism, deep vein thrombosis, transient ischaemic attack, myocardial infa</w:t>
      </w:r>
      <w:r w:rsidR="00C3518B" w:rsidRPr="005D2049">
        <w:rPr>
          <w:color w:val="000000"/>
        </w:rPr>
        <w:t>r</w:t>
      </w:r>
      <w:r w:rsidRPr="005D2049">
        <w:rPr>
          <w:color w:val="000000"/>
        </w:rPr>
        <w:t xml:space="preserve">ction, ischaemic stroke, and suspected PRIND (prolonged reversible ischemic neurologic deficiency). </w:t>
      </w:r>
      <w:r w:rsidR="00DF46A0" w:rsidRPr="005D2049">
        <w:rPr>
          <w:color w:val="000000"/>
        </w:rPr>
        <w:t xml:space="preserve"> Patients </w:t>
      </w:r>
      <w:r w:rsidR="00C3518B" w:rsidRPr="005D2049">
        <w:rPr>
          <w:color w:val="000000"/>
        </w:rPr>
        <w:t>who had a prior history of thrombosis AND at least 2 additional proven risk factors for TEE</w:t>
      </w:r>
      <w:r w:rsidR="00DF46A0" w:rsidRPr="005D2049">
        <w:rPr>
          <w:color w:val="000000"/>
        </w:rPr>
        <w:t xml:space="preserve"> were excluded from the pivotal studies and therefore the safety of the drug in such patients has not been established.</w:t>
      </w:r>
    </w:p>
    <w:p w14:paraId="5553BBDF" w14:textId="77777777" w:rsidR="00B97746" w:rsidRPr="000D7D0E" w:rsidDel="00503499" w:rsidRDefault="00B97746" w:rsidP="00B97746">
      <w:pPr>
        <w:spacing w:line="300" w:lineRule="atLeast"/>
        <w:jc w:val="both"/>
        <w:rPr>
          <w:color w:val="000000"/>
          <w:sz w:val="22"/>
          <w:szCs w:val="22"/>
          <w:lang w:val="en-GB"/>
        </w:rPr>
      </w:pPr>
    </w:p>
    <w:p w14:paraId="5553BBE0" w14:textId="21858655" w:rsidR="00BF390E" w:rsidRPr="005D2049" w:rsidRDefault="00BF390E" w:rsidP="005D2049">
      <w:pPr>
        <w:spacing w:line="300" w:lineRule="atLeast"/>
        <w:jc w:val="both"/>
        <w:rPr>
          <w:color w:val="000000"/>
        </w:rPr>
      </w:pPr>
      <w:r w:rsidRPr="005D2049">
        <w:rPr>
          <w:color w:val="000000"/>
        </w:rPr>
        <w:t xml:space="preserve">In </w:t>
      </w:r>
      <w:r w:rsidR="00F32202">
        <w:rPr>
          <w:color w:val="000000"/>
        </w:rPr>
        <w:t>two</w:t>
      </w:r>
      <w:r w:rsidRPr="005D2049">
        <w:rPr>
          <w:color w:val="000000"/>
        </w:rPr>
        <w:t xml:space="preserve"> controlled studies in thrombocytopenic patients with HCV (n = 1439, safety population), 31 out of 955 subjects (3 %) treated with REVOLADE experienced a TEE (3 %) and 5 out of 484 subjects (1 %) in the placebo group experienced TEEs. Portal vein thrombosis was the most common TEE in both treatment groups (1 % in patients treated with REVOLADE versus &lt; 1 % for placebo). No specific temporal relationship between start of treatment and event of TEE were observed. The majority of TEEs resolved and did not lead to the discontinuation of antiviral therapy.</w:t>
      </w:r>
    </w:p>
    <w:p w14:paraId="5553BBE1" w14:textId="77777777" w:rsidR="00BF390E" w:rsidRPr="00DE25E4" w:rsidRDefault="00BF390E" w:rsidP="007A5360">
      <w:pPr>
        <w:spacing w:line="300" w:lineRule="atLeast"/>
        <w:jc w:val="both"/>
        <w:rPr>
          <w:color w:val="000000"/>
        </w:rPr>
      </w:pPr>
    </w:p>
    <w:p w14:paraId="5553BBE2" w14:textId="1E1A886D" w:rsidR="00B8530B" w:rsidRPr="005D2049" w:rsidRDefault="005807F8" w:rsidP="006D75C7">
      <w:pPr>
        <w:widowControl w:val="0"/>
        <w:spacing w:line="300" w:lineRule="atLeast"/>
        <w:jc w:val="both"/>
        <w:rPr>
          <w:color w:val="000000"/>
        </w:rPr>
      </w:pPr>
      <w:r w:rsidRPr="005D2049">
        <w:rPr>
          <w:color w:val="000000"/>
        </w:rPr>
        <w:t>In a controlled study in thrombocytopenic patients with chronic liver disease (n = 288</w:t>
      </w:r>
      <w:r w:rsidR="00A65207" w:rsidRPr="005D2049">
        <w:rPr>
          <w:color w:val="000000"/>
        </w:rPr>
        <w:t>, safety population</w:t>
      </w:r>
      <w:r w:rsidRPr="005D2049">
        <w:rPr>
          <w:color w:val="000000"/>
        </w:rPr>
        <w:t xml:space="preserve">) undergoing elective invasive procedures, the risk of </w:t>
      </w:r>
      <w:r w:rsidR="00A65207" w:rsidRPr="005D2049">
        <w:rPr>
          <w:color w:val="000000"/>
        </w:rPr>
        <w:t>portal vein thrombosis</w:t>
      </w:r>
      <w:r w:rsidRPr="005D2049">
        <w:rPr>
          <w:color w:val="000000"/>
        </w:rPr>
        <w:t xml:space="preserve"> was increased in patients treated with 75 mg REVOLADE once daily for 14 days. Six </w:t>
      </w:r>
      <w:r w:rsidR="00963ADB">
        <w:rPr>
          <w:color w:val="000000"/>
        </w:rPr>
        <w:t xml:space="preserve">of 143 (4 %) adult patients with chronic liver disease receiving REVOLADE experienced TEEs (all of the portal venous system) and two of 145 (1 %) patients </w:t>
      </w:r>
      <w:r w:rsidRPr="005D2049">
        <w:rPr>
          <w:color w:val="000000"/>
        </w:rPr>
        <w:t xml:space="preserve"> and one within the placebo group</w:t>
      </w:r>
      <w:r w:rsidR="00963ADB">
        <w:rPr>
          <w:color w:val="000000"/>
        </w:rPr>
        <w:t xml:space="preserve"> experienced TEEs (one in the portal venous system and one </w:t>
      </w:r>
      <w:r w:rsidR="00A86D57">
        <w:rPr>
          <w:color w:val="000000"/>
        </w:rPr>
        <w:t>myocardial infarction)</w:t>
      </w:r>
      <w:r w:rsidRPr="005D2049">
        <w:rPr>
          <w:color w:val="000000"/>
        </w:rPr>
        <w:t>.</w:t>
      </w:r>
      <w:r w:rsidR="00A86D57">
        <w:rPr>
          <w:color w:val="000000"/>
        </w:rPr>
        <w:t xml:space="preserve"> Five REVOLADE patients with a TEE experienced the event within 14 days of completing REVOLADE dosing and at a platelet count above 200 x 10</w:t>
      </w:r>
      <w:r w:rsidR="00A86D57" w:rsidRPr="00A86D57">
        <w:rPr>
          <w:color w:val="000000"/>
          <w:vertAlign w:val="superscript"/>
        </w:rPr>
        <w:t>9</w:t>
      </w:r>
      <w:r w:rsidR="00A86D57">
        <w:rPr>
          <w:color w:val="000000"/>
        </w:rPr>
        <w:t xml:space="preserve">/L. </w:t>
      </w:r>
      <w:r w:rsidRPr="005D2049">
        <w:rPr>
          <w:color w:val="000000"/>
        </w:rPr>
        <w:t xml:space="preserve"> </w:t>
      </w:r>
    </w:p>
    <w:p w14:paraId="5553BBE3" w14:textId="77777777" w:rsidR="00B8530B" w:rsidRPr="00DE25E4" w:rsidRDefault="00B8530B" w:rsidP="001E73C6">
      <w:pPr>
        <w:spacing w:line="300" w:lineRule="atLeast"/>
        <w:jc w:val="both"/>
        <w:rPr>
          <w:color w:val="000000"/>
        </w:rPr>
      </w:pPr>
    </w:p>
    <w:p w14:paraId="5553BBE4" w14:textId="77777777" w:rsidR="005807F8" w:rsidRPr="005D2049" w:rsidRDefault="001E73C6" w:rsidP="005D2049">
      <w:pPr>
        <w:spacing w:line="300" w:lineRule="atLeast"/>
        <w:jc w:val="both"/>
        <w:rPr>
          <w:color w:val="000000"/>
        </w:rPr>
      </w:pPr>
      <w:r w:rsidRPr="005D2049">
        <w:lastRenderedPageBreak/>
        <w:t>REVOLADE</w:t>
      </w:r>
      <w:r w:rsidRPr="005D2049">
        <w:rPr>
          <w:color w:val="000000"/>
        </w:rPr>
        <w:t xml:space="preserve"> is not indicated for the treatment of thrombocytopenia in </w:t>
      </w:r>
      <w:r w:rsidRPr="005D2049">
        <w:t>patients</w:t>
      </w:r>
      <w:r w:rsidRPr="005D2049">
        <w:rPr>
          <w:color w:val="000000"/>
        </w:rPr>
        <w:t xml:space="preserve"> with chronic liver disease undergoing invasive procedures.</w:t>
      </w:r>
    </w:p>
    <w:p w14:paraId="5553BBE5" w14:textId="76D8EE99" w:rsidR="007A5360" w:rsidRPr="005D2049" w:rsidRDefault="007A5360" w:rsidP="005D2049">
      <w:pPr>
        <w:spacing w:line="300" w:lineRule="atLeast"/>
        <w:jc w:val="both"/>
      </w:pPr>
    </w:p>
    <w:p w14:paraId="01E7C51E" w14:textId="14E779FE" w:rsidR="00226D4E" w:rsidRPr="00226D4E" w:rsidRDefault="007A5360" w:rsidP="00226D4E">
      <w:pPr>
        <w:spacing w:after="120" w:line="300" w:lineRule="atLeast"/>
        <w:jc w:val="both"/>
        <w:rPr>
          <w:b/>
        </w:rPr>
      </w:pPr>
      <w:r w:rsidRPr="004553F8">
        <w:rPr>
          <w:b/>
          <w:u w:val="single"/>
        </w:rPr>
        <w:t xml:space="preserve">Bleeding Following Discontinuation of </w:t>
      </w:r>
      <w:r w:rsidR="00A9162B" w:rsidRPr="004553F8">
        <w:rPr>
          <w:b/>
          <w:u w:val="single"/>
        </w:rPr>
        <w:t>REVOLADE</w:t>
      </w:r>
      <w:r w:rsidRPr="00226D4E">
        <w:rPr>
          <w:b/>
        </w:rPr>
        <w:t xml:space="preserve"> </w:t>
      </w:r>
    </w:p>
    <w:p w14:paraId="5553BBE6" w14:textId="3FFEE468" w:rsidR="007A5360" w:rsidRPr="004553F8" w:rsidRDefault="007A5360" w:rsidP="004553F8">
      <w:pPr>
        <w:spacing w:line="300" w:lineRule="atLeast"/>
        <w:jc w:val="both"/>
      </w:pPr>
      <w:r w:rsidRPr="004553F8">
        <w:t xml:space="preserve">Following discontinuation of </w:t>
      </w:r>
      <w:r w:rsidR="00A9162B" w:rsidRPr="004553F8">
        <w:t>REVOLADE</w:t>
      </w:r>
      <w:r w:rsidRPr="004553F8">
        <w:t>, platelet counts return to baseline levels within 2 weeks in the majority of patients</w:t>
      </w:r>
      <w:r w:rsidRPr="004553F8">
        <w:rPr>
          <w:i/>
        </w:rPr>
        <w:t xml:space="preserve"> </w:t>
      </w:r>
      <w:r w:rsidRPr="004553F8">
        <w:t>(see</w:t>
      </w:r>
      <w:r w:rsidRPr="004553F8">
        <w:rPr>
          <w:i/>
        </w:rPr>
        <w:t xml:space="preserve"> </w:t>
      </w:r>
      <w:r w:rsidR="008242FA" w:rsidRPr="008242FA">
        <w:t>CLINICAL TRIALS),</w:t>
      </w:r>
      <w:r w:rsidR="008242FA" w:rsidRPr="004553F8">
        <w:t xml:space="preserve"> </w:t>
      </w:r>
      <w:r w:rsidRPr="004553F8">
        <w:t>which increases the bleeding risk and in some cases may lead to bleeding.</w:t>
      </w:r>
      <w:r w:rsidRPr="004553F8">
        <w:rPr>
          <w:i/>
        </w:rPr>
        <w:t xml:space="preserve"> </w:t>
      </w:r>
      <w:r w:rsidRPr="008242FA">
        <w:t>Platelet</w:t>
      </w:r>
      <w:r w:rsidRPr="004553F8">
        <w:t xml:space="preserve"> counts must be monitored weekly for 4 weeks following discontinuation of </w:t>
      </w:r>
      <w:bookmarkStart w:id="4" w:name="_Toc197336930"/>
      <w:r w:rsidR="00A9162B" w:rsidRPr="004553F8">
        <w:t>REVOLADE</w:t>
      </w:r>
      <w:r w:rsidRPr="004553F8">
        <w:t>.</w:t>
      </w:r>
      <w:bookmarkEnd w:id="4"/>
    </w:p>
    <w:p w14:paraId="5553BBE7" w14:textId="77777777" w:rsidR="007A5360" w:rsidRPr="000D7D0E" w:rsidRDefault="007A5360" w:rsidP="007A5360">
      <w:pPr>
        <w:spacing w:line="300" w:lineRule="atLeast"/>
        <w:jc w:val="both"/>
        <w:rPr>
          <w:sz w:val="22"/>
          <w:szCs w:val="22"/>
        </w:rPr>
      </w:pPr>
    </w:p>
    <w:p w14:paraId="067FE721" w14:textId="2A2726A1" w:rsidR="00226D4E" w:rsidRPr="00226D4E" w:rsidRDefault="007A5360" w:rsidP="00226D4E">
      <w:pPr>
        <w:spacing w:after="120" w:line="300" w:lineRule="atLeast"/>
        <w:jc w:val="both"/>
        <w:rPr>
          <w:b/>
          <w:u w:val="single"/>
        </w:rPr>
      </w:pPr>
      <w:r w:rsidRPr="004553F8">
        <w:rPr>
          <w:b/>
          <w:u w:val="single"/>
        </w:rPr>
        <w:t>Bone Marrow Reticulin Formation and Risk of Bone Marrow Fibrosis</w:t>
      </w:r>
      <w:r w:rsidRPr="00226D4E">
        <w:rPr>
          <w:b/>
          <w:u w:val="single"/>
        </w:rPr>
        <w:t xml:space="preserve"> </w:t>
      </w:r>
    </w:p>
    <w:p w14:paraId="5553BBE8" w14:textId="7B858B40" w:rsidR="007A5360" w:rsidRPr="004553F8" w:rsidRDefault="007A5360" w:rsidP="004553F8">
      <w:pPr>
        <w:pStyle w:val="LBLLevel2"/>
        <w:spacing w:line="300" w:lineRule="atLeast"/>
        <w:jc w:val="both"/>
        <w:rPr>
          <w:rFonts w:ascii="Times New Roman" w:hAnsi="Times New Roman"/>
          <w:b w:val="0"/>
          <w:color w:val="000000"/>
        </w:rPr>
      </w:pPr>
      <w:r w:rsidRPr="004553F8">
        <w:rPr>
          <w:rFonts w:ascii="Times New Roman" w:hAnsi="Times New Roman"/>
          <w:b w:val="0"/>
          <w:color w:val="000000"/>
        </w:rPr>
        <w:t xml:space="preserve">Thrombopoietin (TPO) receptor agonists, including </w:t>
      </w:r>
      <w:r w:rsidR="00A9162B" w:rsidRPr="004553F8">
        <w:rPr>
          <w:rFonts w:ascii="Times New Roman" w:hAnsi="Times New Roman"/>
          <w:b w:val="0"/>
          <w:color w:val="000000"/>
        </w:rPr>
        <w:t>REVOLADE</w:t>
      </w:r>
      <w:r w:rsidRPr="004553F8">
        <w:rPr>
          <w:rFonts w:ascii="Times New Roman" w:hAnsi="Times New Roman"/>
          <w:b w:val="0"/>
          <w:color w:val="000000"/>
        </w:rPr>
        <w:t>, may increase the risk for development or progression of reticulin fibers within the bone marrow.</w:t>
      </w:r>
      <w:r w:rsidR="00C700D3" w:rsidRPr="004553F8">
        <w:rPr>
          <w:rFonts w:ascii="Times New Roman" w:hAnsi="Times New Roman"/>
          <w:b w:val="0"/>
          <w:color w:val="000000"/>
        </w:rPr>
        <w:t xml:space="preserve"> Clinical studies have not excluded a risk of bone marrow fibrosis with cytopenias.</w:t>
      </w:r>
    </w:p>
    <w:p w14:paraId="5553BBE9" w14:textId="77777777" w:rsidR="007A5360" w:rsidRPr="00DE25E4" w:rsidRDefault="007A5360" w:rsidP="007A5360">
      <w:pPr>
        <w:spacing w:line="300" w:lineRule="atLeast"/>
        <w:jc w:val="both"/>
        <w:rPr>
          <w:lang w:val="en-US"/>
        </w:rPr>
      </w:pPr>
    </w:p>
    <w:p w14:paraId="5553BBEA" w14:textId="7656CA40" w:rsidR="007A5360" w:rsidRDefault="007A5360" w:rsidP="004553F8">
      <w:pPr>
        <w:tabs>
          <w:tab w:val="left" w:pos="567"/>
        </w:tabs>
        <w:spacing w:line="300" w:lineRule="atLeast"/>
        <w:jc w:val="both"/>
        <w:rPr>
          <w:color w:val="000000"/>
        </w:rPr>
      </w:pPr>
      <w:r w:rsidRPr="004553F8">
        <w:rPr>
          <w:color w:val="000000"/>
        </w:rPr>
        <w:t xml:space="preserve">Prior to initiation of </w:t>
      </w:r>
      <w:r w:rsidR="00A9162B" w:rsidRPr="004553F8">
        <w:rPr>
          <w:color w:val="000000"/>
        </w:rPr>
        <w:t>REVOLADE</w:t>
      </w:r>
      <w:r w:rsidRPr="004553F8">
        <w:rPr>
          <w:color w:val="000000"/>
        </w:rPr>
        <w:t xml:space="preserve">, examine the peripheral blood smear closely to establish a baseline level of cellular morphologic abnormalities. Following identification of a stable dose of </w:t>
      </w:r>
      <w:r w:rsidR="00A9162B" w:rsidRPr="004553F8">
        <w:rPr>
          <w:color w:val="000000"/>
        </w:rPr>
        <w:t>REVOLADE</w:t>
      </w:r>
      <w:r w:rsidRPr="004553F8">
        <w:rPr>
          <w:color w:val="000000"/>
        </w:rPr>
        <w:t xml:space="preserve">, perform </w:t>
      </w:r>
      <w:r w:rsidR="000A3D30" w:rsidRPr="00DE25E4">
        <w:rPr>
          <w:color w:val="000000"/>
        </w:rPr>
        <w:t>full</w:t>
      </w:r>
      <w:r w:rsidR="000A3D30" w:rsidRPr="004553F8">
        <w:rPr>
          <w:color w:val="000000"/>
        </w:rPr>
        <w:t xml:space="preserve"> </w:t>
      </w:r>
      <w:r w:rsidRPr="004553F8">
        <w:rPr>
          <w:color w:val="000000"/>
        </w:rPr>
        <w:t>blood count (</w:t>
      </w:r>
      <w:r w:rsidR="000A3D30" w:rsidRPr="00DE25E4">
        <w:rPr>
          <w:color w:val="000000"/>
        </w:rPr>
        <w:t>F</w:t>
      </w:r>
      <w:r w:rsidRPr="00DE25E4">
        <w:rPr>
          <w:color w:val="000000"/>
        </w:rPr>
        <w:t>BC</w:t>
      </w:r>
      <w:r w:rsidRPr="004553F8">
        <w:rPr>
          <w:color w:val="000000"/>
        </w:rPr>
        <w:t xml:space="preserve">) with white blood cell count (WBC) differential monthly. </w:t>
      </w:r>
      <w:r w:rsidR="00A9162B" w:rsidRPr="004553F8">
        <w:rPr>
          <w:color w:val="000000"/>
        </w:rPr>
        <w:t xml:space="preserve"> </w:t>
      </w:r>
      <w:r w:rsidRPr="004553F8">
        <w:rPr>
          <w:color w:val="000000"/>
        </w:rPr>
        <w:t>If immature or dysplastic cells are observed, examine peripheral blood smears for new or worsening morphological abnormalities (e.g.</w:t>
      </w:r>
      <w:r w:rsidR="008242FA">
        <w:rPr>
          <w:color w:val="000000"/>
        </w:rPr>
        <w:t xml:space="preserve"> </w:t>
      </w:r>
      <w:r w:rsidRPr="004553F8">
        <w:rPr>
          <w:color w:val="000000"/>
        </w:rPr>
        <w:t xml:space="preserve">teardrop and nucleated red blood cells, immature white blood cells) or cytopenia(s). If the patient develops new or worsening morphological abnormalities or cytopenia(s), discontinue treatment with </w:t>
      </w:r>
      <w:r w:rsidR="00A9162B" w:rsidRPr="004553F8">
        <w:rPr>
          <w:color w:val="000000"/>
        </w:rPr>
        <w:t>REVOLADE</w:t>
      </w:r>
      <w:r w:rsidRPr="004553F8">
        <w:rPr>
          <w:color w:val="000000"/>
        </w:rPr>
        <w:t xml:space="preserve"> and consider a bone marrow biopsy, including staining for fibrosis.</w:t>
      </w:r>
      <w:r w:rsidR="00FE45C5" w:rsidRPr="004553F8">
        <w:rPr>
          <w:color w:val="000000"/>
        </w:rPr>
        <w:t xml:space="preserve"> Cytogenetic analysis of the bone marrow sample for clonal abnormality should also be considered.</w:t>
      </w:r>
    </w:p>
    <w:p w14:paraId="113FB6D7" w14:textId="77777777" w:rsidR="00B45E22" w:rsidRDefault="00B45E22" w:rsidP="004553F8">
      <w:pPr>
        <w:tabs>
          <w:tab w:val="left" w:pos="567"/>
        </w:tabs>
        <w:spacing w:line="300" w:lineRule="atLeast"/>
        <w:jc w:val="both"/>
        <w:rPr>
          <w:color w:val="000000"/>
        </w:rPr>
      </w:pPr>
    </w:p>
    <w:p w14:paraId="54560D1A" w14:textId="0EB16B45" w:rsidR="00B45E22" w:rsidRPr="00B45E22" w:rsidRDefault="00C35BD8" w:rsidP="00B45E22">
      <w:pPr>
        <w:spacing w:after="120" w:line="300" w:lineRule="atLeast"/>
        <w:jc w:val="both"/>
        <w:rPr>
          <w:b/>
          <w:u w:val="single"/>
        </w:rPr>
      </w:pPr>
      <w:r>
        <w:rPr>
          <w:b/>
          <w:u w:val="single"/>
        </w:rPr>
        <w:t>C</w:t>
      </w:r>
      <w:r w:rsidR="00B45E22" w:rsidRPr="00B45E22">
        <w:rPr>
          <w:b/>
          <w:u w:val="single"/>
        </w:rPr>
        <w:t>ytogenetic abnormalities</w:t>
      </w:r>
    </w:p>
    <w:p w14:paraId="35109EFF" w14:textId="1F25534B" w:rsidR="00F8456A" w:rsidRDefault="00043B6A" w:rsidP="00062881">
      <w:pPr>
        <w:spacing w:line="300" w:lineRule="atLeast"/>
        <w:jc w:val="both"/>
        <w:rPr>
          <w:color w:val="000000"/>
          <w:lang w:val="en-US" w:eastAsia="en-US"/>
        </w:rPr>
      </w:pPr>
      <w:r w:rsidRPr="00043B6A">
        <w:rPr>
          <w:color w:val="000000"/>
          <w:lang w:val="en-US" w:eastAsia="en-US"/>
        </w:rPr>
        <w:t xml:space="preserve">In </w:t>
      </w:r>
      <w:r w:rsidR="00DD22D7">
        <w:rPr>
          <w:color w:val="000000"/>
          <w:lang w:val="en-US" w:eastAsia="en-US"/>
        </w:rPr>
        <w:t>study</w:t>
      </w:r>
      <w:r w:rsidR="00790FDC">
        <w:rPr>
          <w:color w:val="000000"/>
          <w:lang w:val="en-US" w:eastAsia="en-US"/>
        </w:rPr>
        <w:t xml:space="preserve"> </w:t>
      </w:r>
      <w:r w:rsidR="00DD22D7" w:rsidRPr="00F97422">
        <w:rPr>
          <w:lang w:val="en-GB"/>
        </w:rPr>
        <w:t>ELT112523</w:t>
      </w:r>
      <w:r w:rsidR="00DD22D7">
        <w:rPr>
          <w:color w:val="000000"/>
          <w:lang w:val="en-US" w:eastAsia="en-US"/>
        </w:rPr>
        <w:t xml:space="preserve">, </w:t>
      </w:r>
      <w:r w:rsidR="00C35BD8">
        <w:rPr>
          <w:color w:val="000000"/>
          <w:lang w:val="en-US" w:eastAsia="en-US"/>
        </w:rPr>
        <w:t>bone marrow aspirates were t</w:t>
      </w:r>
      <w:r w:rsidR="00C35BD8" w:rsidRPr="00C35BD8">
        <w:rPr>
          <w:color w:val="000000"/>
          <w:lang w:val="en-US" w:eastAsia="en-US"/>
        </w:rPr>
        <w:t>est</w:t>
      </w:r>
      <w:r w:rsidR="00C35BD8">
        <w:rPr>
          <w:color w:val="000000"/>
          <w:lang w:val="en-US" w:eastAsia="en-US"/>
        </w:rPr>
        <w:t xml:space="preserve">ed </w:t>
      </w:r>
      <w:r w:rsidR="00C35BD8" w:rsidRPr="00C35BD8">
        <w:rPr>
          <w:color w:val="000000"/>
          <w:lang w:val="en-US" w:eastAsia="en-US"/>
        </w:rPr>
        <w:t>for cytogenetic abnormalities by the</w:t>
      </w:r>
      <w:r w:rsidR="00392466">
        <w:rPr>
          <w:color w:val="000000"/>
          <w:lang w:val="en-US" w:eastAsia="en-US"/>
        </w:rPr>
        <w:t xml:space="preserve"> </w:t>
      </w:r>
      <w:r w:rsidR="00376411">
        <w:rPr>
          <w:color w:val="000000"/>
          <w:lang w:val="en-US" w:eastAsia="en-US"/>
        </w:rPr>
        <w:t xml:space="preserve">North </w:t>
      </w:r>
      <w:r w:rsidR="00392466">
        <w:rPr>
          <w:color w:val="000000"/>
          <w:lang w:val="en-US" w:eastAsia="en-US"/>
        </w:rPr>
        <w:t xml:space="preserve">American </w:t>
      </w:r>
      <w:r w:rsidR="00392466" w:rsidRPr="00C35BD8">
        <w:rPr>
          <w:color w:val="000000"/>
          <w:lang w:val="en-US" w:eastAsia="en-US"/>
        </w:rPr>
        <w:t>National Institute of Health</w:t>
      </w:r>
      <w:r w:rsidR="00392466">
        <w:rPr>
          <w:color w:val="000000"/>
          <w:lang w:val="en-US" w:eastAsia="en-US"/>
        </w:rPr>
        <w:t xml:space="preserve"> </w:t>
      </w:r>
      <w:r w:rsidR="00C35BD8">
        <w:rPr>
          <w:color w:val="000000"/>
          <w:lang w:val="en-US" w:eastAsia="en-US"/>
        </w:rPr>
        <w:t>(NIH)</w:t>
      </w:r>
      <w:r w:rsidR="00C35BD8" w:rsidRPr="00C35BD8">
        <w:rPr>
          <w:color w:val="000000"/>
          <w:lang w:val="en-US" w:eastAsia="en-US"/>
        </w:rPr>
        <w:t xml:space="preserve">. Consistent with the known occurrence of cytogenetic abnormalities in SAA, </w:t>
      </w:r>
      <w:r w:rsidR="00C35BD8">
        <w:rPr>
          <w:color w:val="000000"/>
          <w:lang w:val="en-US" w:eastAsia="en-US"/>
        </w:rPr>
        <w:t xml:space="preserve">three out of forty-three </w:t>
      </w:r>
      <w:r w:rsidR="00C35BD8" w:rsidRPr="00C35BD8">
        <w:rPr>
          <w:color w:val="000000"/>
          <w:lang w:val="en-US" w:eastAsia="en-US"/>
        </w:rPr>
        <w:t xml:space="preserve">subjects had a cytogenetic abnormality present at </w:t>
      </w:r>
      <w:r w:rsidR="00C35BD8" w:rsidRPr="002A2769">
        <w:rPr>
          <w:color w:val="000000"/>
          <w:lang w:val="en-US" w:eastAsia="en-US"/>
        </w:rPr>
        <w:t>baseline</w:t>
      </w:r>
      <w:r w:rsidR="00C616EE" w:rsidRPr="002A2769">
        <w:rPr>
          <w:color w:val="000000"/>
          <w:lang w:val="en-US" w:eastAsia="en-US"/>
        </w:rPr>
        <w:t xml:space="preserve"> (7 %)</w:t>
      </w:r>
      <w:r w:rsidR="00C35BD8" w:rsidRPr="002A2769">
        <w:rPr>
          <w:color w:val="000000"/>
          <w:lang w:val="en-US" w:eastAsia="en-US"/>
        </w:rPr>
        <w:t>.</w:t>
      </w:r>
      <w:r w:rsidR="00C35BD8" w:rsidRPr="00C35BD8">
        <w:rPr>
          <w:color w:val="000000"/>
          <w:lang w:val="en-US" w:eastAsia="en-US"/>
        </w:rPr>
        <w:t xml:space="preserve"> </w:t>
      </w:r>
    </w:p>
    <w:p w14:paraId="5EC15A64" w14:textId="77777777" w:rsidR="00F8456A" w:rsidRDefault="00F8456A" w:rsidP="00062881">
      <w:pPr>
        <w:spacing w:line="300" w:lineRule="atLeast"/>
        <w:jc w:val="both"/>
        <w:rPr>
          <w:color w:val="000000"/>
          <w:lang w:val="en-US" w:eastAsia="en-US"/>
        </w:rPr>
      </w:pPr>
    </w:p>
    <w:p w14:paraId="5553BBEB" w14:textId="57D5E33C" w:rsidR="007A5360" w:rsidRDefault="00062881" w:rsidP="00062881">
      <w:pPr>
        <w:spacing w:line="300" w:lineRule="atLeast"/>
        <w:jc w:val="both"/>
        <w:rPr>
          <w:color w:val="000000"/>
          <w:lang w:val="en-US" w:eastAsia="en-US"/>
        </w:rPr>
      </w:pPr>
      <w:r>
        <w:rPr>
          <w:color w:val="000000"/>
          <w:lang w:val="en-US" w:eastAsia="en-US"/>
        </w:rPr>
        <w:t xml:space="preserve">At </w:t>
      </w:r>
      <w:r w:rsidRPr="00062881">
        <w:rPr>
          <w:color w:val="000000"/>
          <w:lang w:val="en-US" w:eastAsia="en-US"/>
        </w:rPr>
        <w:t>the Primary Response Assessment</w:t>
      </w:r>
      <w:r w:rsidR="00F8456A">
        <w:rPr>
          <w:color w:val="000000"/>
          <w:lang w:val="en-US" w:eastAsia="en-US"/>
        </w:rPr>
        <w:t xml:space="preserve">, </w:t>
      </w:r>
      <w:r w:rsidR="00C35BD8">
        <w:rPr>
          <w:color w:val="000000"/>
          <w:lang w:val="en-US" w:eastAsia="en-US"/>
        </w:rPr>
        <w:t xml:space="preserve">twelve to </w:t>
      </w:r>
      <w:r w:rsidR="00A10A53">
        <w:rPr>
          <w:color w:val="000000"/>
          <w:lang w:val="en-US" w:eastAsia="en-US"/>
        </w:rPr>
        <w:t>six</w:t>
      </w:r>
      <w:r w:rsidR="00C35BD8">
        <w:rPr>
          <w:color w:val="000000"/>
          <w:lang w:val="en-US" w:eastAsia="en-US"/>
        </w:rPr>
        <w:t xml:space="preserve">teen weeks </w:t>
      </w:r>
      <w:r w:rsidR="00F8456A">
        <w:rPr>
          <w:color w:val="000000"/>
          <w:lang w:val="en-US" w:eastAsia="en-US"/>
        </w:rPr>
        <w:t xml:space="preserve">after </w:t>
      </w:r>
      <w:r w:rsidR="00C35BD8">
        <w:rPr>
          <w:color w:val="000000"/>
          <w:lang w:val="en-US" w:eastAsia="en-US"/>
        </w:rPr>
        <w:t xml:space="preserve">initiating </w:t>
      </w:r>
      <w:r w:rsidR="00F8456A">
        <w:rPr>
          <w:color w:val="000000"/>
          <w:lang w:val="en-US" w:eastAsia="en-US"/>
        </w:rPr>
        <w:t xml:space="preserve">REVOLADE </w:t>
      </w:r>
      <w:r w:rsidR="00C35BD8">
        <w:rPr>
          <w:color w:val="000000"/>
          <w:lang w:val="en-US" w:eastAsia="en-US"/>
        </w:rPr>
        <w:t xml:space="preserve">treatment, </w:t>
      </w:r>
      <w:r w:rsidR="006043E4">
        <w:rPr>
          <w:color w:val="000000"/>
          <w:lang w:val="en-US" w:eastAsia="en-US"/>
        </w:rPr>
        <w:t>e</w:t>
      </w:r>
      <w:r w:rsidR="006043E4" w:rsidRPr="006043E4">
        <w:rPr>
          <w:color w:val="000000"/>
          <w:lang w:val="en-US" w:eastAsia="en-US"/>
        </w:rPr>
        <w:t>ight subjects (19</w:t>
      </w:r>
      <w:r w:rsidR="006043E4">
        <w:rPr>
          <w:color w:val="000000"/>
          <w:lang w:val="en-US" w:eastAsia="en-US"/>
        </w:rPr>
        <w:t xml:space="preserve"> </w:t>
      </w:r>
      <w:r w:rsidR="006043E4" w:rsidRPr="006043E4">
        <w:rPr>
          <w:color w:val="000000"/>
          <w:lang w:val="en-US" w:eastAsia="en-US"/>
        </w:rPr>
        <w:t>%) had a new cytogenetic abnormality detected after treatment</w:t>
      </w:r>
      <w:r w:rsidR="006043E4">
        <w:rPr>
          <w:color w:val="000000"/>
          <w:lang w:val="en-US" w:eastAsia="en-US"/>
        </w:rPr>
        <w:t xml:space="preserve">. Of these eight subjects, five </w:t>
      </w:r>
      <w:r w:rsidR="006043E4" w:rsidRPr="006043E4">
        <w:rPr>
          <w:color w:val="000000"/>
          <w:lang w:val="en-US" w:eastAsia="en-US"/>
        </w:rPr>
        <w:t xml:space="preserve">subjects </w:t>
      </w:r>
      <w:r w:rsidR="006043E4">
        <w:rPr>
          <w:color w:val="000000"/>
          <w:lang w:val="en-US" w:eastAsia="en-US"/>
        </w:rPr>
        <w:t xml:space="preserve">(all non-responders) </w:t>
      </w:r>
      <w:r w:rsidR="006043E4" w:rsidRPr="006043E4">
        <w:rPr>
          <w:color w:val="000000"/>
          <w:lang w:val="en-US" w:eastAsia="en-US"/>
        </w:rPr>
        <w:t>had cytogenetic abnormalities affecting the structure or number of chromosome 7</w:t>
      </w:r>
      <w:r w:rsidR="006043E4">
        <w:rPr>
          <w:color w:val="000000"/>
          <w:lang w:val="en-US" w:eastAsia="en-US"/>
        </w:rPr>
        <w:t xml:space="preserve">. </w:t>
      </w:r>
      <w:r w:rsidR="00F8456A">
        <w:rPr>
          <w:color w:val="000000"/>
          <w:lang w:val="en-US" w:eastAsia="en-US"/>
        </w:rPr>
        <w:t xml:space="preserve">One subject </w:t>
      </w:r>
      <w:r w:rsidR="00DD22D7">
        <w:rPr>
          <w:color w:val="000000"/>
          <w:lang w:val="en-US" w:eastAsia="en-US"/>
        </w:rPr>
        <w:t xml:space="preserve">subsequently developed fatal hypocellular MDS.  </w:t>
      </w:r>
      <w:r w:rsidR="00790FDC">
        <w:rPr>
          <w:color w:val="000000"/>
          <w:lang w:val="en-US" w:eastAsia="en-US"/>
        </w:rPr>
        <w:t xml:space="preserve"> </w:t>
      </w:r>
      <w:r w:rsidR="00043B6A">
        <w:rPr>
          <w:color w:val="000000"/>
          <w:lang w:val="en-US" w:eastAsia="en-US"/>
        </w:rPr>
        <w:t xml:space="preserve">  </w:t>
      </w:r>
    </w:p>
    <w:p w14:paraId="12A49F12" w14:textId="77777777" w:rsidR="00043B6A" w:rsidRPr="00043B6A" w:rsidRDefault="00043B6A" w:rsidP="007A5360">
      <w:pPr>
        <w:spacing w:line="300" w:lineRule="atLeast"/>
        <w:jc w:val="both"/>
        <w:rPr>
          <w:color w:val="000000"/>
          <w:lang w:val="en-US" w:eastAsia="en-US"/>
        </w:rPr>
      </w:pPr>
    </w:p>
    <w:p w14:paraId="44B2A59D" w14:textId="50A4BB82" w:rsidR="00226D4E" w:rsidRPr="00226D4E" w:rsidRDefault="00B54C75" w:rsidP="00226D4E">
      <w:pPr>
        <w:spacing w:after="120" w:line="300" w:lineRule="atLeast"/>
        <w:jc w:val="both"/>
        <w:rPr>
          <w:b/>
          <w:u w:val="single"/>
        </w:rPr>
      </w:pPr>
      <w:r w:rsidRPr="004553F8">
        <w:rPr>
          <w:b/>
          <w:u w:val="single"/>
        </w:rPr>
        <w:t>Malignancies and progression of malignancies</w:t>
      </w:r>
      <w:r w:rsidRPr="00226D4E">
        <w:rPr>
          <w:b/>
          <w:u w:val="single"/>
        </w:rPr>
        <w:t xml:space="preserve"> </w:t>
      </w:r>
    </w:p>
    <w:p w14:paraId="5553BBEC" w14:textId="417E4EFD" w:rsidR="00B54C75" w:rsidRPr="004553F8" w:rsidRDefault="00B54C75" w:rsidP="006D75C7">
      <w:pPr>
        <w:widowControl w:val="0"/>
        <w:spacing w:line="300" w:lineRule="atLeast"/>
        <w:jc w:val="both"/>
        <w:rPr>
          <w:color w:val="000000"/>
          <w:lang w:val="en-US"/>
        </w:rPr>
      </w:pPr>
      <w:r w:rsidRPr="004553F8">
        <w:rPr>
          <w:color w:val="000000"/>
          <w:lang w:val="en-US"/>
        </w:rPr>
        <w:t>There is a theoretical concern that TPO-R agonists may stimulate the progression of existing haematological malignancies such as MDS</w:t>
      </w:r>
      <w:r w:rsidR="00F502A9" w:rsidRPr="004553F8">
        <w:rPr>
          <w:color w:val="000000"/>
          <w:lang w:val="en-US"/>
        </w:rPr>
        <w:t xml:space="preserve"> (see </w:t>
      </w:r>
      <w:r w:rsidR="008242FA">
        <w:rPr>
          <w:color w:val="000000"/>
          <w:lang w:val="en-US"/>
        </w:rPr>
        <w:t xml:space="preserve">PRECAUTIONS - </w:t>
      </w:r>
      <w:r w:rsidR="00F502A9" w:rsidRPr="008242FA">
        <w:rPr>
          <w:color w:val="000000"/>
          <w:lang w:val="en-US"/>
        </w:rPr>
        <w:t>Carcinogenicity</w:t>
      </w:r>
      <w:r w:rsidR="00F502A9" w:rsidRPr="004553F8">
        <w:rPr>
          <w:color w:val="000000"/>
          <w:lang w:val="en-US"/>
        </w:rPr>
        <w:t>)</w:t>
      </w:r>
      <w:r w:rsidRPr="004553F8">
        <w:rPr>
          <w:color w:val="000000"/>
          <w:lang w:val="en-US"/>
        </w:rPr>
        <w:t xml:space="preserve">.  Across the clinical trials in ITP (n = 493) </w:t>
      </w:r>
      <w:r w:rsidR="000E009E" w:rsidRPr="004553F8">
        <w:rPr>
          <w:color w:val="000000"/>
          <w:lang w:val="en-US"/>
        </w:rPr>
        <w:t>and HCV (n = 1439)</w:t>
      </w:r>
      <w:r w:rsidR="00C20841">
        <w:rPr>
          <w:color w:val="000000"/>
          <w:lang w:val="en-US"/>
        </w:rPr>
        <w:t>,</w:t>
      </w:r>
      <w:r w:rsidR="000E009E" w:rsidRPr="004553F8">
        <w:rPr>
          <w:color w:val="000000"/>
          <w:lang w:val="en-US"/>
        </w:rPr>
        <w:t xml:space="preserve"> </w:t>
      </w:r>
      <w:r w:rsidRPr="004553F8">
        <w:rPr>
          <w:color w:val="000000"/>
          <w:lang w:val="en-US"/>
        </w:rPr>
        <w:t xml:space="preserve">no difference in the incidence of malignancies </w:t>
      </w:r>
      <w:r w:rsidRPr="004553F8">
        <w:rPr>
          <w:color w:val="000000"/>
          <w:lang w:val="en-US"/>
        </w:rPr>
        <w:lastRenderedPageBreak/>
        <w:t>or haematological malignancies was demonstrated between placebo- and REVOLADE treated patients.</w:t>
      </w:r>
      <w:r w:rsidR="00C20841">
        <w:rPr>
          <w:color w:val="000000"/>
          <w:lang w:val="en-US"/>
        </w:rPr>
        <w:t xml:space="preserve"> </w:t>
      </w:r>
      <w:r w:rsidRPr="004553F8">
        <w:rPr>
          <w:color w:val="000000"/>
          <w:lang w:val="en-US"/>
        </w:rPr>
        <w:t xml:space="preserve">  </w:t>
      </w:r>
    </w:p>
    <w:p w14:paraId="5553BBED" w14:textId="77777777" w:rsidR="00B54C75" w:rsidRPr="000D7D0E" w:rsidRDefault="00B54C75" w:rsidP="007A5360">
      <w:pPr>
        <w:spacing w:line="300" w:lineRule="atLeast"/>
        <w:jc w:val="both"/>
        <w:rPr>
          <w:color w:val="000000"/>
          <w:sz w:val="22"/>
          <w:szCs w:val="22"/>
          <w:lang w:val="en-US" w:eastAsia="en-US"/>
        </w:rPr>
      </w:pPr>
    </w:p>
    <w:p w14:paraId="5553BBEE" w14:textId="77777777" w:rsidR="00D647CB" w:rsidRPr="004553F8" w:rsidRDefault="00D647CB" w:rsidP="004553F8">
      <w:pPr>
        <w:spacing w:line="300" w:lineRule="atLeast"/>
        <w:jc w:val="both"/>
        <w:rPr>
          <w:color w:val="000000"/>
        </w:rPr>
      </w:pPr>
      <w:r w:rsidRPr="004553F8">
        <w:rPr>
          <w:color w:val="000000"/>
        </w:rPr>
        <w:t>There have been post-marketing cases describing appearance or progression of MDS in patients receiving REVOLADE. However, the information included in the post-marketing reports does not provide sufficient evidence to establish a causal relationship between treatment with REVOLADE and the appearance or worsening of MDS.</w:t>
      </w:r>
    </w:p>
    <w:p w14:paraId="5553BBEF" w14:textId="77777777" w:rsidR="00D647CB" w:rsidRPr="00DE25E4" w:rsidRDefault="00D647CB" w:rsidP="00790B4B">
      <w:pPr>
        <w:spacing w:line="300" w:lineRule="atLeast"/>
        <w:jc w:val="both"/>
        <w:rPr>
          <w:color w:val="000000"/>
          <w:lang w:val="en-US" w:eastAsia="en-US"/>
        </w:rPr>
      </w:pPr>
    </w:p>
    <w:p w14:paraId="30BD43B1" w14:textId="370B8F43" w:rsidR="00226D4E" w:rsidRPr="00226D4E" w:rsidRDefault="007A5360" w:rsidP="00226D4E">
      <w:pPr>
        <w:spacing w:after="120" w:line="300" w:lineRule="atLeast"/>
        <w:jc w:val="both"/>
        <w:rPr>
          <w:b/>
          <w:u w:val="single"/>
        </w:rPr>
      </w:pPr>
      <w:r w:rsidRPr="004553F8">
        <w:rPr>
          <w:b/>
          <w:u w:val="single"/>
        </w:rPr>
        <w:t>Cataracts</w:t>
      </w:r>
      <w:r w:rsidRPr="00226D4E">
        <w:rPr>
          <w:b/>
          <w:u w:val="single"/>
        </w:rPr>
        <w:t xml:space="preserve"> </w:t>
      </w:r>
    </w:p>
    <w:p w14:paraId="5553BBF0" w14:textId="1B3449C6" w:rsidR="00946432" w:rsidRPr="004553F8" w:rsidRDefault="00946432" w:rsidP="00E10A80">
      <w:pPr>
        <w:pStyle w:val="CommentText"/>
        <w:widowControl w:val="0"/>
        <w:spacing w:line="300" w:lineRule="atLeast"/>
        <w:jc w:val="both"/>
        <w:rPr>
          <w:sz w:val="24"/>
        </w:rPr>
      </w:pPr>
      <w:r w:rsidRPr="004553F8">
        <w:rPr>
          <w:color w:val="000000"/>
          <w:sz w:val="24"/>
          <w:lang w:val="en-US"/>
        </w:rPr>
        <w:t>Treatment related cataracts were detected in rodents; an effect that was both dose</w:t>
      </w:r>
      <w:r w:rsidR="00C00063" w:rsidRPr="004553F8">
        <w:rPr>
          <w:color w:val="000000"/>
          <w:sz w:val="24"/>
          <w:lang w:val="en-US"/>
        </w:rPr>
        <w:t>-</w:t>
      </w:r>
      <w:r w:rsidRPr="004553F8">
        <w:rPr>
          <w:color w:val="000000"/>
          <w:sz w:val="24"/>
          <w:lang w:val="en-US"/>
        </w:rPr>
        <w:t xml:space="preserve"> and time-dependent.  </w:t>
      </w:r>
      <w:r w:rsidR="00C00063" w:rsidRPr="004553F8">
        <w:rPr>
          <w:color w:val="000000"/>
          <w:sz w:val="24"/>
          <w:lang w:val="en-US"/>
        </w:rPr>
        <w:t>Cataract formation was</w:t>
      </w:r>
      <w:r w:rsidR="00B20B1A" w:rsidRPr="004553F8">
        <w:rPr>
          <w:color w:val="000000"/>
          <w:sz w:val="24"/>
          <w:lang w:val="en-US"/>
        </w:rPr>
        <w:t xml:space="preserve"> observed after 6 weeks of treatment at </w:t>
      </w:r>
      <w:r w:rsidR="00C00063" w:rsidRPr="004553F8">
        <w:rPr>
          <w:color w:val="000000"/>
          <w:sz w:val="24"/>
          <w:lang w:val="en-US"/>
        </w:rPr>
        <w:t xml:space="preserve">systemic exposure </w:t>
      </w:r>
      <w:r w:rsidR="00B20B1A" w:rsidRPr="004553F8">
        <w:rPr>
          <w:color w:val="000000"/>
          <w:sz w:val="24"/>
          <w:lang w:val="en-US"/>
        </w:rPr>
        <w:sym w:font="Symbol" w:char="F0B3"/>
      </w:r>
      <w:r w:rsidR="0024442A" w:rsidRPr="004553F8">
        <w:rPr>
          <w:color w:val="000000"/>
          <w:sz w:val="24"/>
          <w:lang w:val="en-US"/>
        </w:rPr>
        <w:t xml:space="preserve"> </w:t>
      </w:r>
      <w:r w:rsidR="00B20B1A" w:rsidRPr="004553F8">
        <w:rPr>
          <w:color w:val="000000"/>
          <w:sz w:val="24"/>
          <w:lang w:val="en-US"/>
        </w:rPr>
        <w:t xml:space="preserve">6 times </w:t>
      </w:r>
      <w:r w:rsidR="006B023D" w:rsidRPr="004553F8">
        <w:rPr>
          <w:color w:val="000000"/>
          <w:sz w:val="24"/>
          <w:lang w:val="en-US"/>
        </w:rPr>
        <w:t xml:space="preserve">and 3 times </w:t>
      </w:r>
      <w:r w:rsidR="00C00063" w:rsidRPr="004553F8">
        <w:rPr>
          <w:color w:val="000000"/>
          <w:sz w:val="24"/>
          <w:lang w:val="en-US"/>
        </w:rPr>
        <w:t>that anticipated in humans</w:t>
      </w:r>
      <w:r w:rsidR="00B20B1A" w:rsidRPr="004553F8">
        <w:rPr>
          <w:color w:val="000000"/>
          <w:sz w:val="24"/>
          <w:lang w:val="en-US"/>
        </w:rPr>
        <w:t xml:space="preserve"> </w:t>
      </w:r>
      <w:r w:rsidR="006B023D" w:rsidRPr="004553F8">
        <w:rPr>
          <w:color w:val="000000"/>
          <w:sz w:val="24"/>
          <w:lang w:val="en-US"/>
        </w:rPr>
        <w:t xml:space="preserve">in ITP </w:t>
      </w:r>
      <w:r w:rsidR="008D65DD" w:rsidRPr="004553F8">
        <w:rPr>
          <w:sz w:val="24"/>
        </w:rPr>
        <w:t xml:space="preserve">at 75 mg/day </w:t>
      </w:r>
      <w:r w:rsidR="006B023D" w:rsidRPr="004553F8">
        <w:rPr>
          <w:color w:val="000000"/>
          <w:sz w:val="24"/>
          <w:lang w:val="en-US"/>
        </w:rPr>
        <w:t>and HCV patients</w:t>
      </w:r>
      <w:r w:rsidR="008D65DD" w:rsidRPr="004553F8">
        <w:rPr>
          <w:sz w:val="24"/>
        </w:rPr>
        <w:t xml:space="preserve"> at 100 mg/day</w:t>
      </w:r>
      <w:r w:rsidR="006B023D" w:rsidRPr="004553F8">
        <w:rPr>
          <w:color w:val="000000"/>
          <w:sz w:val="24"/>
          <w:lang w:val="en-US"/>
        </w:rPr>
        <w:t xml:space="preserve">, respectively </w:t>
      </w:r>
      <w:r w:rsidR="00B20B1A" w:rsidRPr="004553F8">
        <w:rPr>
          <w:color w:val="000000"/>
          <w:sz w:val="24"/>
          <w:lang w:val="en-US"/>
        </w:rPr>
        <w:t xml:space="preserve">(based on </w:t>
      </w:r>
      <w:r w:rsidR="00C00063" w:rsidRPr="004553F8">
        <w:rPr>
          <w:color w:val="000000"/>
          <w:sz w:val="24"/>
          <w:lang w:val="en-US"/>
        </w:rPr>
        <w:t xml:space="preserve">plasma </w:t>
      </w:r>
      <w:r w:rsidR="00B20B1A" w:rsidRPr="004553F8">
        <w:rPr>
          <w:color w:val="000000"/>
          <w:sz w:val="24"/>
          <w:lang w:val="en-US"/>
        </w:rPr>
        <w:t>AUC)</w:t>
      </w:r>
      <w:r w:rsidR="00C00063" w:rsidRPr="004553F8">
        <w:rPr>
          <w:color w:val="000000"/>
          <w:sz w:val="24"/>
          <w:lang w:val="en-US"/>
        </w:rPr>
        <w:t xml:space="preserve">. </w:t>
      </w:r>
      <w:r w:rsidR="00B20B1A" w:rsidRPr="004553F8">
        <w:rPr>
          <w:color w:val="000000"/>
          <w:sz w:val="24"/>
          <w:lang w:val="en-US"/>
        </w:rPr>
        <w:t xml:space="preserve"> </w:t>
      </w:r>
      <w:r w:rsidR="00C00063" w:rsidRPr="004553F8">
        <w:rPr>
          <w:color w:val="000000"/>
          <w:sz w:val="24"/>
          <w:lang w:val="en-US"/>
        </w:rPr>
        <w:t xml:space="preserve">This effect was also evident during long-term (2 years) treatment at systemic exposure </w:t>
      </w:r>
      <w:r w:rsidR="008821CF" w:rsidRPr="004553F8">
        <w:rPr>
          <w:color w:val="000000"/>
          <w:sz w:val="24"/>
          <w:lang w:val="en-US"/>
        </w:rPr>
        <w:t>2-5</w:t>
      </w:r>
      <w:r w:rsidR="00C00063" w:rsidRPr="004553F8">
        <w:rPr>
          <w:color w:val="000000"/>
          <w:sz w:val="24"/>
          <w:lang w:val="en-US"/>
        </w:rPr>
        <w:t xml:space="preserve"> times the anticipated clinical exposure, with the no-effect-dose level being similar to or </w:t>
      </w:r>
      <w:r w:rsidR="004A6930" w:rsidRPr="004553F8">
        <w:rPr>
          <w:color w:val="000000"/>
          <w:sz w:val="24"/>
          <w:lang w:val="en-US"/>
        </w:rPr>
        <w:t>below</w:t>
      </w:r>
      <w:r w:rsidR="002E3D3F" w:rsidRPr="004553F8">
        <w:rPr>
          <w:color w:val="000000"/>
          <w:sz w:val="24"/>
          <w:lang w:val="en-US"/>
        </w:rPr>
        <w:t xml:space="preserve"> the anticipated clinical exposure level.  </w:t>
      </w:r>
      <w:r w:rsidRPr="004553F8">
        <w:rPr>
          <w:color w:val="000000"/>
          <w:sz w:val="24"/>
          <w:lang w:val="en-US"/>
        </w:rPr>
        <w:t>Cataract formation progressed even after the cessation of treatment. Cataracts have not been observed in</w:t>
      </w:r>
      <w:r w:rsidR="00607C5E" w:rsidRPr="004553F8">
        <w:rPr>
          <w:color w:val="000000"/>
          <w:sz w:val="24"/>
          <w:lang w:val="en-US"/>
        </w:rPr>
        <w:t xml:space="preserve"> dogs after 52 weeks of dosing </w:t>
      </w:r>
      <w:r w:rsidRPr="004553F8">
        <w:rPr>
          <w:color w:val="000000"/>
          <w:sz w:val="24"/>
          <w:lang w:val="en-US"/>
        </w:rPr>
        <w:t xml:space="preserve">at 3 times the </w:t>
      </w:r>
      <w:r w:rsidR="002E3D3F" w:rsidRPr="004553F8">
        <w:rPr>
          <w:color w:val="000000"/>
          <w:sz w:val="24"/>
          <w:lang w:val="en-US"/>
        </w:rPr>
        <w:t xml:space="preserve">anticipated </w:t>
      </w:r>
      <w:r w:rsidRPr="004553F8">
        <w:rPr>
          <w:color w:val="000000"/>
          <w:sz w:val="24"/>
          <w:lang w:val="en-US"/>
        </w:rPr>
        <w:t xml:space="preserve">clinical exposure </w:t>
      </w:r>
      <w:r w:rsidR="006B023D" w:rsidRPr="004553F8">
        <w:rPr>
          <w:color w:val="000000"/>
          <w:sz w:val="24"/>
          <w:lang w:val="en-US"/>
        </w:rPr>
        <w:t xml:space="preserve">in ITP patients </w:t>
      </w:r>
      <w:r w:rsidR="00213444" w:rsidRPr="004553F8">
        <w:rPr>
          <w:sz w:val="24"/>
        </w:rPr>
        <w:t xml:space="preserve">at 75 mg/day </w:t>
      </w:r>
      <w:r w:rsidR="006B023D" w:rsidRPr="004553F8">
        <w:rPr>
          <w:color w:val="000000"/>
          <w:sz w:val="24"/>
          <w:lang w:val="en-US"/>
        </w:rPr>
        <w:t>and equivalent to the human clinical exposure in HCV patients</w:t>
      </w:r>
      <w:r w:rsidR="00213444" w:rsidRPr="004553F8">
        <w:rPr>
          <w:sz w:val="24"/>
        </w:rPr>
        <w:t xml:space="preserve"> at 100 mg/day</w:t>
      </w:r>
      <w:r w:rsidR="006B023D" w:rsidRPr="004553F8">
        <w:rPr>
          <w:color w:val="000000"/>
          <w:sz w:val="24"/>
          <w:lang w:val="en-US"/>
        </w:rPr>
        <w:t xml:space="preserve">, </w:t>
      </w:r>
      <w:r w:rsidRPr="004553F8">
        <w:rPr>
          <w:color w:val="000000"/>
          <w:sz w:val="24"/>
          <w:lang w:val="en-US"/>
        </w:rPr>
        <w:t xml:space="preserve">based on </w:t>
      </w:r>
      <w:r w:rsidR="002E3D3F" w:rsidRPr="004553F8">
        <w:rPr>
          <w:color w:val="000000"/>
          <w:sz w:val="24"/>
          <w:lang w:val="en-US"/>
        </w:rPr>
        <w:t xml:space="preserve">plasma </w:t>
      </w:r>
      <w:r w:rsidRPr="004553F8">
        <w:rPr>
          <w:color w:val="000000"/>
          <w:sz w:val="24"/>
          <w:lang w:val="en-US"/>
        </w:rPr>
        <w:t>AUC.</w:t>
      </w:r>
    </w:p>
    <w:p w14:paraId="5553BBF1" w14:textId="77777777" w:rsidR="007A5360" w:rsidRPr="00DE25E4" w:rsidRDefault="007A5360" w:rsidP="00790B4B">
      <w:pPr>
        <w:spacing w:line="300" w:lineRule="atLeast"/>
        <w:jc w:val="both"/>
      </w:pPr>
    </w:p>
    <w:p w14:paraId="5553BBF2" w14:textId="10AC0738" w:rsidR="00234F3B" w:rsidRPr="004553F8" w:rsidRDefault="00234F3B" w:rsidP="004553F8">
      <w:pPr>
        <w:tabs>
          <w:tab w:val="left" w:pos="0"/>
        </w:tabs>
        <w:autoSpaceDE w:val="0"/>
        <w:autoSpaceDN w:val="0"/>
        <w:adjustRightInd w:val="0"/>
        <w:spacing w:line="300" w:lineRule="atLeast"/>
        <w:jc w:val="both"/>
        <w:rPr>
          <w:lang w:val="en-US"/>
        </w:rPr>
      </w:pPr>
      <w:r w:rsidRPr="004553F8">
        <w:rPr>
          <w:color w:val="000000"/>
          <w:lang w:val="en-US"/>
        </w:rPr>
        <w:t xml:space="preserve">In the 3 controlled </w:t>
      </w:r>
      <w:r w:rsidR="00F935B0" w:rsidRPr="004553F8">
        <w:rPr>
          <w:color w:val="000000"/>
          <w:lang w:val="en-US"/>
        </w:rPr>
        <w:t xml:space="preserve">ITP </w:t>
      </w:r>
      <w:r w:rsidRPr="004553F8">
        <w:rPr>
          <w:color w:val="000000"/>
          <w:lang w:val="en-US"/>
        </w:rPr>
        <w:t>clinical studies, cataracts developed or worsened in 15 (7</w:t>
      </w:r>
      <w:r w:rsidR="00561258">
        <w:rPr>
          <w:color w:val="000000"/>
          <w:lang w:val="en-US"/>
        </w:rPr>
        <w:t xml:space="preserve"> </w:t>
      </w:r>
      <w:r w:rsidRPr="004553F8">
        <w:rPr>
          <w:color w:val="000000"/>
          <w:lang w:val="en-US"/>
        </w:rPr>
        <w:t>%) of patients who received 50 mg REVOLADE daily and 8 (7</w:t>
      </w:r>
      <w:r w:rsidR="00561258">
        <w:rPr>
          <w:color w:val="000000"/>
          <w:lang w:val="en-US"/>
        </w:rPr>
        <w:t xml:space="preserve"> </w:t>
      </w:r>
      <w:r w:rsidRPr="004553F8">
        <w:rPr>
          <w:color w:val="000000"/>
          <w:lang w:val="en-US"/>
        </w:rPr>
        <w:t xml:space="preserve">%) placebo-group patients.  Perform a baseline ocular examination prior to administration of REVOLADE and, during therapy with REVOLADE, regularly monitor patients for signs and symptoms of </w:t>
      </w:r>
      <w:r w:rsidRPr="004553F8">
        <w:rPr>
          <w:lang w:val="en-US"/>
        </w:rPr>
        <w:t>cataracts.</w:t>
      </w:r>
    </w:p>
    <w:p w14:paraId="5553BBF3" w14:textId="77777777" w:rsidR="000E009E" w:rsidRPr="00DE25E4" w:rsidRDefault="000E009E" w:rsidP="000E009E">
      <w:pPr>
        <w:tabs>
          <w:tab w:val="left" w:pos="0"/>
        </w:tabs>
        <w:autoSpaceDE w:val="0"/>
        <w:autoSpaceDN w:val="0"/>
        <w:adjustRightInd w:val="0"/>
        <w:spacing w:line="300" w:lineRule="atLeast"/>
        <w:jc w:val="both"/>
        <w:rPr>
          <w:lang w:val="en-US" w:eastAsia="en-US"/>
        </w:rPr>
      </w:pPr>
    </w:p>
    <w:p w14:paraId="5553BBF4" w14:textId="7A98201A" w:rsidR="000E009E" w:rsidRDefault="000E009E" w:rsidP="004553F8">
      <w:pPr>
        <w:spacing w:line="300" w:lineRule="atLeast"/>
        <w:jc w:val="both"/>
      </w:pPr>
      <w:r w:rsidRPr="004553F8">
        <w:t xml:space="preserve">In controlled studies in thrombocytopenic patients with HCV </w:t>
      </w:r>
      <w:r w:rsidR="00C20841">
        <w:t xml:space="preserve">receiving interferon </w:t>
      </w:r>
      <w:r w:rsidR="00846384">
        <w:t xml:space="preserve">based therapy </w:t>
      </w:r>
      <w:r w:rsidRPr="004553F8">
        <w:t>(n = 1439), progression of pre-existing baseline cataract(s) or incident cataracts was reported in 8 % of the REVOLADE group and 5 % of the placebo group.</w:t>
      </w:r>
    </w:p>
    <w:p w14:paraId="21764A2C" w14:textId="77777777" w:rsidR="00AE6E1D" w:rsidRDefault="00AE6E1D" w:rsidP="004553F8">
      <w:pPr>
        <w:spacing w:line="300" w:lineRule="atLeast"/>
        <w:jc w:val="both"/>
      </w:pPr>
    </w:p>
    <w:p w14:paraId="153CF66A" w14:textId="48F71BFD" w:rsidR="00226D4E" w:rsidRDefault="007A5360" w:rsidP="00D266EB">
      <w:pPr>
        <w:keepNext/>
        <w:spacing w:after="120" w:line="300" w:lineRule="atLeast"/>
        <w:jc w:val="both"/>
        <w:rPr>
          <w:b/>
        </w:rPr>
      </w:pPr>
      <w:r w:rsidRPr="004553F8">
        <w:rPr>
          <w:b/>
          <w:u w:val="single"/>
        </w:rPr>
        <w:t>Photosensitivity</w:t>
      </w:r>
      <w:r w:rsidRPr="00DE25E4">
        <w:rPr>
          <w:b/>
        </w:rPr>
        <w:t xml:space="preserve"> </w:t>
      </w:r>
    </w:p>
    <w:p w14:paraId="5553BBF6" w14:textId="6E1448A8" w:rsidR="00AE14F9" w:rsidRPr="004553F8" w:rsidRDefault="00946432" w:rsidP="004553F8">
      <w:pPr>
        <w:widowControl w:val="0"/>
        <w:spacing w:line="300" w:lineRule="atLeast"/>
        <w:jc w:val="both"/>
        <w:rPr>
          <w:color w:val="000000"/>
          <w:lang w:val="en-US"/>
        </w:rPr>
      </w:pPr>
      <w:r w:rsidRPr="004553F8">
        <w:t xml:space="preserve">Eltrombopag is phototoxic and photoclastogenic </w:t>
      </w:r>
      <w:r w:rsidRPr="004553F8">
        <w:rPr>
          <w:i/>
        </w:rPr>
        <w:t>in vitro</w:t>
      </w:r>
      <w:r w:rsidRPr="004553F8">
        <w:t xml:space="preserve">. </w:t>
      </w:r>
      <w:r w:rsidRPr="004553F8">
        <w:rPr>
          <w:i/>
        </w:rPr>
        <w:t xml:space="preserve">In vitro </w:t>
      </w:r>
      <w:r w:rsidRPr="004553F8">
        <w:t>photoclastogenic effects were observed only at drug concentrations that were cytotoxic (</w:t>
      </w:r>
      <w:r w:rsidRPr="004553F8">
        <w:sym w:font="Symbol" w:char="F0B3"/>
      </w:r>
      <w:r w:rsidRPr="004553F8">
        <w:t> 15 µg/m</w:t>
      </w:r>
      <w:r w:rsidR="00DF0794">
        <w:t>L</w:t>
      </w:r>
      <w:r w:rsidRPr="004553F8">
        <w:t xml:space="preserve">) in the presence of high </w:t>
      </w:r>
      <w:r w:rsidR="00B20B1A" w:rsidRPr="004553F8">
        <w:t>ultraviolet (</w:t>
      </w:r>
      <w:r w:rsidRPr="004553F8">
        <w:t>UV</w:t>
      </w:r>
      <w:r w:rsidR="00B20B1A" w:rsidRPr="004553F8">
        <w:t>)</w:t>
      </w:r>
      <w:r w:rsidRPr="004553F8">
        <w:t xml:space="preserve"> light exposure</w:t>
      </w:r>
      <w:r w:rsidR="00675800" w:rsidRPr="004553F8">
        <w:t>s</w:t>
      </w:r>
      <w:r w:rsidRPr="004553F8">
        <w:t xml:space="preserve"> (70</w:t>
      </w:r>
      <w:r w:rsidR="00675800" w:rsidRPr="004553F8">
        <w:t>0</w:t>
      </w:r>
      <w:r w:rsidRPr="004553F8">
        <w:t xml:space="preserve"> mJ/cm</w:t>
      </w:r>
      <w:r w:rsidRPr="00DA78F3">
        <w:rPr>
          <w:vertAlign w:val="superscript"/>
        </w:rPr>
        <w:t>2</w:t>
      </w:r>
      <w:r w:rsidRPr="004553F8">
        <w:t xml:space="preserve">).  There was no evidence of </w:t>
      </w:r>
      <w:r w:rsidRPr="004553F8">
        <w:rPr>
          <w:i/>
        </w:rPr>
        <w:t>in vivo</w:t>
      </w:r>
      <w:r w:rsidRPr="004553F8">
        <w:t xml:space="preserve"> cutaneous phototoxicity in mice </w:t>
      </w:r>
      <w:r w:rsidR="008C2EC6" w:rsidRPr="004553F8">
        <w:t>(</w:t>
      </w:r>
      <w:r w:rsidRPr="004553F8">
        <w:t xml:space="preserve">10 times the human clinical exposure </w:t>
      </w:r>
      <w:r w:rsidR="00972460" w:rsidRPr="004553F8">
        <w:t xml:space="preserve">in ITP patients </w:t>
      </w:r>
      <w:r w:rsidR="00EE513D" w:rsidRPr="004553F8">
        <w:t>at 75 mg/</w:t>
      </w:r>
      <w:r w:rsidR="008C2EC6" w:rsidRPr="004553F8">
        <w:t xml:space="preserve">day </w:t>
      </w:r>
      <w:r w:rsidR="00972460" w:rsidRPr="004553F8">
        <w:t xml:space="preserve">and 5 times the human clinical exposure in HCV patients </w:t>
      </w:r>
      <w:r w:rsidR="008C2EC6" w:rsidRPr="004553F8">
        <w:t>at 100</w:t>
      </w:r>
      <w:r w:rsidR="00EE513D" w:rsidRPr="004553F8">
        <w:t xml:space="preserve"> mg/</w:t>
      </w:r>
      <w:r w:rsidR="008C2EC6" w:rsidRPr="004553F8">
        <w:t xml:space="preserve">day </w:t>
      </w:r>
      <w:r w:rsidRPr="004553F8">
        <w:t>based on AUC</w:t>
      </w:r>
      <w:r w:rsidR="008C2EC6" w:rsidRPr="004553F8">
        <w:t>)</w:t>
      </w:r>
      <w:r w:rsidR="00675800" w:rsidRPr="004553F8">
        <w:t xml:space="preserve"> or photo-ocular toxicity in </w:t>
      </w:r>
      <w:r w:rsidR="00DD677F" w:rsidRPr="004553F8">
        <w:t xml:space="preserve">mice or </w:t>
      </w:r>
      <w:r w:rsidR="00675800" w:rsidRPr="004553F8">
        <w:t xml:space="preserve">rats </w:t>
      </w:r>
      <w:r w:rsidR="008C2EC6" w:rsidRPr="004553F8">
        <w:t>(</w:t>
      </w:r>
      <w:r w:rsidR="00675800" w:rsidRPr="004553F8">
        <w:t xml:space="preserve">up to 10 </w:t>
      </w:r>
      <w:r w:rsidR="00DD677F" w:rsidRPr="004553F8">
        <w:t xml:space="preserve">and 6 </w:t>
      </w:r>
      <w:r w:rsidR="00675800" w:rsidRPr="004553F8">
        <w:t xml:space="preserve">times the human clinical exposure </w:t>
      </w:r>
      <w:r w:rsidR="00972460" w:rsidRPr="004553F8">
        <w:t xml:space="preserve">in ITP patients </w:t>
      </w:r>
      <w:r w:rsidR="00EE513D" w:rsidRPr="004553F8">
        <w:t>at 75 mg/</w:t>
      </w:r>
      <w:r w:rsidR="008C2EC6" w:rsidRPr="004553F8">
        <w:t xml:space="preserve">day </w:t>
      </w:r>
      <w:r w:rsidR="00972460" w:rsidRPr="004553F8">
        <w:t>and 5</w:t>
      </w:r>
      <w:r w:rsidR="00113959" w:rsidRPr="004553F8">
        <w:t xml:space="preserve"> and 3 </w:t>
      </w:r>
      <w:r w:rsidR="00DD677F" w:rsidRPr="004553F8">
        <w:t>t</w:t>
      </w:r>
      <w:r w:rsidR="00972460" w:rsidRPr="004553F8">
        <w:t xml:space="preserve">imes the human clinical exposure in HCV patients </w:t>
      </w:r>
      <w:r w:rsidR="008C2EC6" w:rsidRPr="004553F8">
        <w:t>at 100</w:t>
      </w:r>
      <w:r w:rsidR="00EE513D" w:rsidRPr="004553F8">
        <w:t xml:space="preserve"> mg/</w:t>
      </w:r>
      <w:r w:rsidR="008C2EC6" w:rsidRPr="004553F8">
        <w:t xml:space="preserve">day </w:t>
      </w:r>
      <w:r w:rsidR="00675800" w:rsidRPr="004553F8">
        <w:t>based on AUC</w:t>
      </w:r>
      <w:r w:rsidR="008C2EC6" w:rsidRPr="004553F8">
        <w:t>)</w:t>
      </w:r>
      <w:r w:rsidRPr="004553F8">
        <w:t xml:space="preserve">.  </w:t>
      </w:r>
      <w:r w:rsidR="00200419" w:rsidRPr="004553F8">
        <w:rPr>
          <w:color w:val="000000"/>
          <w:lang w:val="en-US"/>
        </w:rPr>
        <w:t>Furthermore, a clinical pharmacology study in 36 subjects showed no evidence that photosensitivity was increased following administration of eltrombopag 75 mg once daily for six days. This was measured by delayed phototoxic index.</w:t>
      </w:r>
      <w:r w:rsidR="00E83ED7" w:rsidRPr="004553F8">
        <w:rPr>
          <w:color w:val="000000"/>
          <w:lang w:val="en-US"/>
        </w:rPr>
        <w:t xml:space="preserve">  Nevertheless, a potential risk of photoallergy cannot be ruled out since no specific preclinical study could be performed.</w:t>
      </w:r>
    </w:p>
    <w:p w14:paraId="5978CA7C" w14:textId="77777777" w:rsidR="00391DF0" w:rsidRPr="00DE25E4" w:rsidRDefault="00391DF0" w:rsidP="00E9750E">
      <w:pPr>
        <w:widowControl w:val="0"/>
        <w:spacing w:line="300" w:lineRule="atLeast"/>
        <w:jc w:val="both"/>
        <w:rPr>
          <w:color w:val="000000"/>
          <w:shd w:val="clear" w:color="auto" w:fill="CCCCCC"/>
          <w:lang w:val="en-US" w:eastAsia="en-US"/>
        </w:rPr>
      </w:pPr>
    </w:p>
    <w:p w14:paraId="5553BBF8" w14:textId="77777777" w:rsidR="00795E3A" w:rsidRPr="004553F8" w:rsidRDefault="0065036F" w:rsidP="00561258">
      <w:pPr>
        <w:keepNext/>
        <w:spacing w:after="120" w:line="300" w:lineRule="atLeast"/>
        <w:jc w:val="both"/>
        <w:rPr>
          <w:b/>
          <w:u w:val="single"/>
        </w:rPr>
      </w:pPr>
      <w:r w:rsidRPr="004553F8">
        <w:rPr>
          <w:b/>
          <w:u w:val="single"/>
        </w:rPr>
        <w:t xml:space="preserve">Effects on </w:t>
      </w:r>
      <w:r w:rsidR="00795E3A" w:rsidRPr="004553F8">
        <w:rPr>
          <w:b/>
          <w:u w:val="single"/>
        </w:rPr>
        <w:t>Fertility</w:t>
      </w:r>
    </w:p>
    <w:p w14:paraId="5553BBF9" w14:textId="77777777" w:rsidR="00795E3A" w:rsidRPr="004553F8" w:rsidRDefault="00A44EBE" w:rsidP="004553F8">
      <w:pPr>
        <w:spacing w:line="300" w:lineRule="atLeast"/>
        <w:jc w:val="both"/>
        <w:rPr>
          <w:lang w:val="en-US"/>
        </w:rPr>
      </w:pPr>
      <w:r w:rsidRPr="004553F8">
        <w:t>Eltrombopag did not affect female or male fertility in rats at doses 2</w:t>
      </w:r>
      <w:r w:rsidR="009B4052" w:rsidRPr="004553F8">
        <w:t>-</w:t>
      </w:r>
      <w:r w:rsidRPr="004553F8">
        <w:t xml:space="preserve">4 </w:t>
      </w:r>
      <w:r w:rsidR="009B4052" w:rsidRPr="004553F8">
        <w:t xml:space="preserve">or 1-2 </w:t>
      </w:r>
      <w:r w:rsidRPr="004553F8">
        <w:t xml:space="preserve">times the human clinical exposure </w:t>
      </w:r>
      <w:r w:rsidR="0046116C" w:rsidRPr="004553F8">
        <w:t>(</w:t>
      </w:r>
      <w:r w:rsidRPr="004553F8">
        <w:t>based on AUC</w:t>
      </w:r>
      <w:r w:rsidR="0046116C" w:rsidRPr="004553F8">
        <w:t>) in ITP patients at 75 mg/day and in HCV patients at 100 mg/day, respectively.</w:t>
      </w:r>
      <w:r w:rsidRPr="004553F8">
        <w:t xml:space="preserve">  However, due to differences in TPO receptor specificity, data from nonclinical species do not fully model effects in humans</w:t>
      </w:r>
      <w:r w:rsidR="00900738" w:rsidRPr="004553F8">
        <w:t>.</w:t>
      </w:r>
    </w:p>
    <w:p w14:paraId="5553BBFA" w14:textId="77777777" w:rsidR="00900738" w:rsidRPr="00DE25E4" w:rsidRDefault="00900738" w:rsidP="00226D4E">
      <w:pPr>
        <w:pStyle w:val="NoNumHead3"/>
        <w:keepNext w:val="0"/>
        <w:spacing w:before="0" w:after="0"/>
        <w:rPr>
          <w:rFonts w:ascii="Times New Roman" w:hAnsi="Times New Roman"/>
        </w:rPr>
      </w:pPr>
    </w:p>
    <w:p w14:paraId="5553BBFB" w14:textId="77777777" w:rsidR="006C4A20" w:rsidRPr="004553F8" w:rsidRDefault="0065036F" w:rsidP="004553F8">
      <w:pPr>
        <w:spacing w:after="120" w:line="300" w:lineRule="atLeast"/>
        <w:jc w:val="both"/>
        <w:rPr>
          <w:b/>
          <w:u w:val="single"/>
        </w:rPr>
      </w:pPr>
      <w:r w:rsidRPr="004553F8">
        <w:rPr>
          <w:b/>
          <w:u w:val="single"/>
        </w:rPr>
        <w:t xml:space="preserve">Use in </w:t>
      </w:r>
      <w:r w:rsidR="006C4A20" w:rsidRPr="004553F8">
        <w:rPr>
          <w:b/>
          <w:u w:val="single"/>
        </w:rPr>
        <w:t>Pregnancy</w:t>
      </w:r>
      <w:r w:rsidR="006760E1" w:rsidRPr="004553F8">
        <w:rPr>
          <w:b/>
          <w:u w:val="single"/>
        </w:rPr>
        <w:t xml:space="preserve"> </w:t>
      </w:r>
      <w:r w:rsidR="00EF2C8F" w:rsidRPr="004553F8">
        <w:rPr>
          <w:b/>
          <w:u w:val="single"/>
        </w:rPr>
        <w:t>(</w:t>
      </w:r>
      <w:r w:rsidR="006760E1" w:rsidRPr="004553F8">
        <w:rPr>
          <w:b/>
          <w:u w:val="single"/>
        </w:rPr>
        <w:t>Category</w:t>
      </w:r>
      <w:r w:rsidR="00EF2C8F" w:rsidRPr="004553F8">
        <w:rPr>
          <w:b/>
          <w:u w:val="single"/>
        </w:rPr>
        <w:t xml:space="preserve"> </w:t>
      </w:r>
      <w:r w:rsidR="003F4DDE" w:rsidRPr="004553F8">
        <w:rPr>
          <w:b/>
          <w:u w:val="single"/>
        </w:rPr>
        <w:t>B3</w:t>
      </w:r>
      <w:r w:rsidR="00EF2C8F" w:rsidRPr="004553F8">
        <w:rPr>
          <w:b/>
          <w:u w:val="single"/>
        </w:rPr>
        <w:t>)</w:t>
      </w:r>
    </w:p>
    <w:p w14:paraId="5553BBFC" w14:textId="459B550A" w:rsidR="00A44EBE" w:rsidRPr="004553F8" w:rsidRDefault="00A44EBE" w:rsidP="00233268">
      <w:pPr>
        <w:widowControl w:val="0"/>
        <w:spacing w:line="300" w:lineRule="atLeast"/>
        <w:jc w:val="both"/>
      </w:pPr>
      <w:r w:rsidRPr="004553F8">
        <w:t>Eltrombopag was not teratogenic in rats or rabbits at doses up to 20 mg/kg/day and 150 mg/kg/day respectively.  The doses resulted in exposures 2 and 0.5 fold the expected clinical AUC</w:t>
      </w:r>
      <w:r w:rsidR="00DB5C14" w:rsidRPr="004553F8">
        <w:t xml:space="preserve"> in ITP patients </w:t>
      </w:r>
      <w:r w:rsidR="000C4E39" w:rsidRPr="004553F8">
        <w:t>at 75 mg/</w:t>
      </w:r>
      <w:r w:rsidR="008C2EC6" w:rsidRPr="004553F8">
        <w:t xml:space="preserve">day </w:t>
      </w:r>
      <w:r w:rsidR="00DB5C14" w:rsidRPr="004553F8">
        <w:t xml:space="preserve">and </w:t>
      </w:r>
      <w:r w:rsidR="008815B1" w:rsidRPr="004553F8">
        <w:t xml:space="preserve">subclinical </w:t>
      </w:r>
      <w:r w:rsidR="008C2EC6" w:rsidRPr="004553F8">
        <w:t>exposure</w:t>
      </w:r>
      <w:r w:rsidR="00950979" w:rsidRPr="004553F8">
        <w:t>s</w:t>
      </w:r>
      <w:r w:rsidR="008C2EC6" w:rsidRPr="004553F8">
        <w:t xml:space="preserve"> in HCV patients at 100</w:t>
      </w:r>
      <w:r w:rsidR="000C4E39" w:rsidRPr="004553F8">
        <w:t xml:space="preserve"> mg/</w:t>
      </w:r>
      <w:r w:rsidR="008C2EC6" w:rsidRPr="004553F8">
        <w:t>day</w:t>
      </w:r>
      <w:r w:rsidRPr="004553F8">
        <w:t xml:space="preserve">.  At the maternally toxic dose of 60 mg/kg/day in rats, </w:t>
      </w:r>
      <w:r w:rsidR="00DF0794" w:rsidRPr="004553F8">
        <w:t>foetal</w:t>
      </w:r>
      <w:r w:rsidRPr="004553F8">
        <w:t xml:space="preserve"> weights were significantly reduced and there was an increase in </w:t>
      </w:r>
      <w:r w:rsidR="00DF0794" w:rsidRPr="004553F8">
        <w:t>foetal</w:t>
      </w:r>
      <w:r w:rsidRPr="004553F8">
        <w:t xml:space="preserve"> variation, cervical rib, when administered during the period of organogenesis.  Eltrombopag treatment </w:t>
      </w:r>
      <w:r w:rsidR="000775DD" w:rsidRPr="004553F8">
        <w:t>d</w:t>
      </w:r>
      <w:r w:rsidRPr="004553F8">
        <w:t>uring early embryogenesis was associated with an increase in pre-and post-implantation loss (or embryonic death).  Due to the fact that eltrombopag is not pharmacologically active in rats or rabbits, the potential teratogenicity of eltrombopag may not have been fully revealed in the studies with these animal species.</w:t>
      </w:r>
    </w:p>
    <w:p w14:paraId="5553BBFD" w14:textId="77777777" w:rsidR="00900738" w:rsidRPr="00DE25E4" w:rsidRDefault="00900738" w:rsidP="00A44EBE">
      <w:pPr>
        <w:spacing w:line="300" w:lineRule="atLeast"/>
        <w:jc w:val="both"/>
      </w:pPr>
    </w:p>
    <w:p w14:paraId="5553BBFE" w14:textId="731A470F" w:rsidR="00A44EBE" w:rsidRPr="00DE25E4" w:rsidRDefault="00A44EBE" w:rsidP="0021023A">
      <w:pPr>
        <w:widowControl w:val="0"/>
        <w:spacing w:line="300" w:lineRule="atLeast"/>
        <w:jc w:val="both"/>
      </w:pPr>
      <w:r w:rsidRPr="004553F8">
        <w:t xml:space="preserve">There are no adequate and well-controlled studies of REVOLADE in pregnant woman.  The effect of REVOLADE on human pregnancy is unknown.  REVOLADE should not be used during pregnancy unless the expected benefit clearly out-weighs the potential risk to the </w:t>
      </w:r>
      <w:r w:rsidR="00DF0794" w:rsidRPr="004553F8">
        <w:t>foetus</w:t>
      </w:r>
      <w:r w:rsidRPr="004553F8">
        <w:t>.</w:t>
      </w:r>
    </w:p>
    <w:p w14:paraId="5553BBFF" w14:textId="77777777" w:rsidR="00574FCE" w:rsidRPr="00DE25E4" w:rsidRDefault="00574FCE" w:rsidP="006C4A20"/>
    <w:p w14:paraId="5553BC00" w14:textId="77777777" w:rsidR="006C4A20" w:rsidRPr="004553F8" w:rsidRDefault="0065036F" w:rsidP="004553F8">
      <w:pPr>
        <w:spacing w:after="120" w:line="300" w:lineRule="atLeast"/>
        <w:jc w:val="both"/>
        <w:rPr>
          <w:b/>
          <w:u w:val="single"/>
        </w:rPr>
      </w:pPr>
      <w:r w:rsidRPr="004553F8">
        <w:rPr>
          <w:b/>
          <w:u w:val="single"/>
        </w:rPr>
        <w:t xml:space="preserve">Use in </w:t>
      </w:r>
      <w:r w:rsidR="006C4A20" w:rsidRPr="004553F8">
        <w:rPr>
          <w:b/>
          <w:u w:val="single"/>
        </w:rPr>
        <w:t>Lactation</w:t>
      </w:r>
    </w:p>
    <w:p w14:paraId="5553BC01" w14:textId="77777777" w:rsidR="006C4A20" w:rsidRPr="004553F8" w:rsidRDefault="00A155F4" w:rsidP="004553F8">
      <w:pPr>
        <w:spacing w:line="300" w:lineRule="atLeast"/>
        <w:jc w:val="both"/>
      </w:pPr>
      <w:r w:rsidRPr="004553F8">
        <w:t xml:space="preserve">It is not known whether REVOLADE is excreted in human milk.  </w:t>
      </w:r>
      <w:r w:rsidR="00A44EBE" w:rsidRPr="004553F8">
        <w:t>Eltrombopag was de</w:t>
      </w:r>
      <w:r w:rsidR="000775DD" w:rsidRPr="004553F8">
        <w:t>te</w:t>
      </w:r>
      <w:r w:rsidR="00A44EBE" w:rsidRPr="004553F8">
        <w:t xml:space="preserve">cted in the pups of lactating rats 10 days post-partum suggesting the potential for transfer during lactation.  </w:t>
      </w:r>
      <w:r w:rsidRPr="004553F8">
        <w:t>REVOLADE is not recommended for nursing mothers unless the expected benefit justifies the potential risk to the infant.</w:t>
      </w:r>
    </w:p>
    <w:p w14:paraId="5553BC02" w14:textId="77777777" w:rsidR="00F15F91" w:rsidRPr="00DE25E4" w:rsidRDefault="00F15F91" w:rsidP="00F15F91">
      <w:pPr>
        <w:spacing w:line="300" w:lineRule="atLeast"/>
        <w:jc w:val="both"/>
        <w:rPr>
          <w:lang w:eastAsia="ja-JP"/>
        </w:rPr>
      </w:pPr>
    </w:p>
    <w:p w14:paraId="5553BC03" w14:textId="77777777" w:rsidR="00574FCE" w:rsidRPr="004553F8" w:rsidRDefault="00574FCE" w:rsidP="004553F8">
      <w:pPr>
        <w:keepNext/>
        <w:spacing w:after="120" w:line="300" w:lineRule="atLeast"/>
        <w:jc w:val="both"/>
        <w:rPr>
          <w:b/>
          <w:u w:val="single"/>
        </w:rPr>
      </w:pPr>
      <w:r w:rsidRPr="004553F8">
        <w:rPr>
          <w:b/>
          <w:u w:val="single"/>
        </w:rPr>
        <w:t>Ability to perform tasks that require judgement, motor or cognitive skills</w:t>
      </w:r>
    </w:p>
    <w:p w14:paraId="5553BC04" w14:textId="77777777" w:rsidR="00574FCE" w:rsidRPr="004553F8" w:rsidRDefault="00092CDD" w:rsidP="004553F8">
      <w:pPr>
        <w:widowControl w:val="0"/>
        <w:spacing w:line="300" w:lineRule="atLeast"/>
        <w:jc w:val="both"/>
      </w:pPr>
      <w:r w:rsidRPr="004553F8">
        <w:t>There have been no studies to investigate the effect of REVOLADE on driving performance or the ability to operate machinery.  A detrimental effect on such activities would not be anticipated from the pharmacology of REVOLADE.  The clinical status of the patient and the adverse event profile of REVOLADE should be borne in mind when considering the patient’s ability to perform tasks that require judgement, motor and cognitive skills.</w:t>
      </w:r>
    </w:p>
    <w:p w14:paraId="5553BC05" w14:textId="77777777" w:rsidR="00574FCE" w:rsidRPr="004553F8" w:rsidRDefault="00574FCE" w:rsidP="004553F8"/>
    <w:p w14:paraId="5553BC06" w14:textId="77777777" w:rsidR="006C4A20" w:rsidRPr="004553F8" w:rsidRDefault="00A44EBE" w:rsidP="004553F8">
      <w:pPr>
        <w:spacing w:after="120" w:line="300" w:lineRule="atLeast"/>
        <w:jc w:val="both"/>
        <w:rPr>
          <w:b/>
          <w:u w:val="single"/>
        </w:rPr>
      </w:pPr>
      <w:r w:rsidRPr="004553F8">
        <w:rPr>
          <w:b/>
          <w:u w:val="single"/>
        </w:rPr>
        <w:t>Carcinogenicity</w:t>
      </w:r>
    </w:p>
    <w:p w14:paraId="5553BC07" w14:textId="77777777" w:rsidR="00A44EBE" w:rsidRPr="004553F8" w:rsidRDefault="008069F7" w:rsidP="004553F8">
      <w:pPr>
        <w:widowControl w:val="0"/>
        <w:spacing w:line="300" w:lineRule="atLeast"/>
        <w:jc w:val="both"/>
      </w:pPr>
      <w:r w:rsidRPr="004553F8">
        <w:t xml:space="preserve">Eltrombopag was not carcinogenic in mice at doses up to 75 mg/kg/day or in rats at doses up to 40 mg/kg/day (exposures </w:t>
      </w:r>
      <w:r w:rsidR="00AF793D" w:rsidRPr="004553F8">
        <w:t xml:space="preserve">greater than 3 </w:t>
      </w:r>
      <w:r w:rsidRPr="004553F8">
        <w:t xml:space="preserve">times the </w:t>
      </w:r>
      <w:r w:rsidR="00F04E42" w:rsidRPr="004553F8">
        <w:t xml:space="preserve">anticipated </w:t>
      </w:r>
      <w:r w:rsidRPr="004553F8">
        <w:t xml:space="preserve">clinical exposure based on </w:t>
      </w:r>
      <w:r w:rsidR="00F04E42" w:rsidRPr="004553F8">
        <w:t xml:space="preserve">plasma </w:t>
      </w:r>
      <w:r w:rsidRPr="004553F8">
        <w:t>AUC</w:t>
      </w:r>
      <w:r w:rsidR="003543CA" w:rsidRPr="004553F8">
        <w:t xml:space="preserve"> in ITP patients </w:t>
      </w:r>
      <w:r w:rsidR="00390454" w:rsidRPr="004553F8">
        <w:t>at 75 mg/</w:t>
      </w:r>
      <w:r w:rsidR="00E27970" w:rsidRPr="004553F8">
        <w:t xml:space="preserve">day </w:t>
      </w:r>
      <w:r w:rsidR="003543CA" w:rsidRPr="004553F8">
        <w:t>and 2 times the human clinical exposure based on AUC in HCV</w:t>
      </w:r>
      <w:r w:rsidR="00C23F69" w:rsidRPr="004553F8">
        <w:t xml:space="preserve"> at 100</w:t>
      </w:r>
      <w:r w:rsidR="00390454" w:rsidRPr="004553F8">
        <w:t xml:space="preserve"> </w:t>
      </w:r>
      <w:r w:rsidR="00390454" w:rsidRPr="004553F8">
        <w:lastRenderedPageBreak/>
        <w:t>mg/</w:t>
      </w:r>
      <w:r w:rsidR="00C23F69" w:rsidRPr="004553F8">
        <w:t>day</w:t>
      </w:r>
      <w:r w:rsidRPr="004553F8">
        <w:t xml:space="preserve">).  </w:t>
      </w:r>
      <w:r w:rsidR="00B20B1A" w:rsidRPr="004553F8">
        <w:t xml:space="preserve">Eltrombopag </w:t>
      </w:r>
      <w:r w:rsidR="00F04E42" w:rsidRPr="004553F8">
        <w:t xml:space="preserve">activates TPO receptors on the surface of haematopoietic cells and has been shown to stimulate the proliferation of megakaryocytic leukaemia cells </w:t>
      </w:r>
      <w:r w:rsidR="00F04E42" w:rsidRPr="004553F8">
        <w:rPr>
          <w:i/>
        </w:rPr>
        <w:t xml:space="preserve">in vitro.  </w:t>
      </w:r>
      <w:r w:rsidR="00AF793D" w:rsidRPr="004553F8">
        <w:t xml:space="preserve">There is therefore a theoretical </w:t>
      </w:r>
      <w:r w:rsidR="00F04E42" w:rsidRPr="004553F8">
        <w:t>possibility</w:t>
      </w:r>
      <w:r w:rsidR="00AF793D" w:rsidRPr="004553F8">
        <w:t xml:space="preserve"> that eltrombopag may </w:t>
      </w:r>
      <w:r w:rsidR="00F04E42" w:rsidRPr="004553F8">
        <w:t>increase</w:t>
      </w:r>
      <w:r w:rsidR="00AF793D" w:rsidRPr="004553F8">
        <w:t xml:space="preserve"> the </w:t>
      </w:r>
      <w:r w:rsidR="00F04E42" w:rsidRPr="004553F8">
        <w:t>risk for haematologic</w:t>
      </w:r>
      <w:r w:rsidR="00B20B1A" w:rsidRPr="004553F8">
        <w:t xml:space="preserve"> </w:t>
      </w:r>
      <w:r w:rsidR="00AF793D" w:rsidRPr="004553F8">
        <w:t>malignancies.</w:t>
      </w:r>
      <w:r w:rsidR="00A44EBE" w:rsidRPr="004553F8">
        <w:t xml:space="preserve">  </w:t>
      </w:r>
    </w:p>
    <w:p w14:paraId="5553BC08" w14:textId="77777777" w:rsidR="00A44EBE" w:rsidRPr="00DE25E4" w:rsidRDefault="00A44EBE" w:rsidP="008069F7">
      <w:pPr>
        <w:spacing w:line="300" w:lineRule="atLeast"/>
        <w:jc w:val="both"/>
      </w:pPr>
    </w:p>
    <w:p w14:paraId="5553BC09" w14:textId="77777777" w:rsidR="00A44EBE" w:rsidRPr="004553F8" w:rsidRDefault="00A44EBE" w:rsidP="004553F8">
      <w:pPr>
        <w:spacing w:after="120" w:line="300" w:lineRule="atLeast"/>
        <w:jc w:val="both"/>
        <w:rPr>
          <w:b/>
          <w:u w:val="single"/>
        </w:rPr>
      </w:pPr>
      <w:r w:rsidRPr="004553F8">
        <w:rPr>
          <w:b/>
          <w:u w:val="single"/>
        </w:rPr>
        <w:t>Genotoxicity</w:t>
      </w:r>
    </w:p>
    <w:p w14:paraId="5553BC0B" w14:textId="77777777" w:rsidR="008069F7" w:rsidRPr="004553F8" w:rsidRDefault="00A44EBE" w:rsidP="004553F8">
      <w:pPr>
        <w:spacing w:line="300" w:lineRule="atLeast"/>
        <w:jc w:val="both"/>
      </w:pPr>
      <w:r w:rsidRPr="004553F8">
        <w:t xml:space="preserve">Eltrombopag was not mutagenic </w:t>
      </w:r>
      <w:r w:rsidR="00C3591B" w:rsidRPr="004553F8">
        <w:t xml:space="preserve">in a bacterial mutation assay </w:t>
      </w:r>
      <w:r w:rsidRPr="004553F8">
        <w:t xml:space="preserve">or clastogenic in two </w:t>
      </w:r>
      <w:r w:rsidRPr="004553F8">
        <w:rPr>
          <w:i/>
        </w:rPr>
        <w:t>in vivo</w:t>
      </w:r>
      <w:r w:rsidRPr="004553F8">
        <w:t xml:space="preserve"> assays in rats (micronucleus and unscheduled DNA synthesis, </w:t>
      </w:r>
      <w:r w:rsidR="00C3591B" w:rsidRPr="004553F8">
        <w:t>8</w:t>
      </w:r>
      <w:r w:rsidRPr="004553F8">
        <w:t xml:space="preserve"> times the human clinical exposure based on C</w:t>
      </w:r>
      <w:r w:rsidRPr="004553F8">
        <w:rPr>
          <w:vertAlign w:val="subscript"/>
        </w:rPr>
        <w:t>max</w:t>
      </w:r>
      <w:r w:rsidR="003474F6" w:rsidRPr="004553F8">
        <w:rPr>
          <w:vertAlign w:val="subscript"/>
        </w:rPr>
        <w:t xml:space="preserve">, </w:t>
      </w:r>
      <w:r w:rsidR="003474F6" w:rsidRPr="004553F8">
        <w:t xml:space="preserve">in ITP patients </w:t>
      </w:r>
      <w:r w:rsidR="00390454" w:rsidRPr="004553F8">
        <w:t>at 75 mg/</w:t>
      </w:r>
      <w:r w:rsidR="00C23F69" w:rsidRPr="004553F8">
        <w:t xml:space="preserve">day </w:t>
      </w:r>
      <w:r w:rsidR="003474F6" w:rsidRPr="004553F8">
        <w:t xml:space="preserve">and </w:t>
      </w:r>
      <w:r w:rsidR="00B22414" w:rsidRPr="004553F8">
        <w:t>5</w:t>
      </w:r>
      <w:r w:rsidR="003474F6" w:rsidRPr="004553F8">
        <w:t xml:space="preserve"> times the human clinical exposure in HCV patients</w:t>
      </w:r>
      <w:r w:rsidR="00C23F69" w:rsidRPr="004553F8">
        <w:t xml:space="preserve"> at 100</w:t>
      </w:r>
      <w:r w:rsidR="00390454" w:rsidRPr="004553F8">
        <w:t xml:space="preserve"> mg/</w:t>
      </w:r>
      <w:r w:rsidR="00C23F69" w:rsidRPr="004553F8">
        <w:t>day</w:t>
      </w:r>
      <w:r w:rsidRPr="004553F8">
        <w:t xml:space="preserve">).  In the </w:t>
      </w:r>
      <w:r w:rsidRPr="004553F8">
        <w:rPr>
          <w:i/>
        </w:rPr>
        <w:t>in vitro</w:t>
      </w:r>
      <w:r w:rsidRPr="004553F8">
        <w:t xml:space="preserve"> mouse lymphoma assay, eltrombopag was marginally positive (</w:t>
      </w:r>
      <w:r w:rsidRPr="004553F8">
        <w:rPr>
          <w:color w:val="000000"/>
        </w:rPr>
        <w:t>&lt; 3-fold increase in mutation frequency)</w:t>
      </w:r>
      <w:r w:rsidRPr="004553F8">
        <w:t>.  The clinical significance of the in vitro finding remain</w:t>
      </w:r>
      <w:r w:rsidR="00B20B1A" w:rsidRPr="004553F8">
        <w:t>s</w:t>
      </w:r>
      <w:r w:rsidRPr="004553F8">
        <w:t xml:space="preserve"> unclear.</w:t>
      </w:r>
    </w:p>
    <w:p w14:paraId="5553BC0C" w14:textId="77777777" w:rsidR="0083330E" w:rsidRPr="004553F8" w:rsidRDefault="0083330E" w:rsidP="004553F8">
      <w:pPr>
        <w:rPr>
          <w:b/>
        </w:rPr>
      </w:pPr>
    </w:p>
    <w:p w14:paraId="5553BC0D" w14:textId="77777777" w:rsidR="0065036F" w:rsidRPr="004553F8" w:rsidRDefault="00F20A61" w:rsidP="004553F8">
      <w:pPr>
        <w:pStyle w:val="Heading2"/>
        <w:spacing w:before="120" w:after="240" w:line="276" w:lineRule="auto"/>
        <w:jc w:val="left"/>
        <w:rPr>
          <w:rFonts w:eastAsiaTheme="minorHAnsi"/>
          <w:caps/>
          <w:sz w:val="30"/>
          <w:lang w:val="en-GB"/>
        </w:rPr>
      </w:pPr>
      <w:r w:rsidRPr="004553F8">
        <w:rPr>
          <w:rFonts w:eastAsiaTheme="minorHAnsi"/>
          <w:caps/>
          <w:sz w:val="30"/>
          <w:lang w:val="en-GB"/>
        </w:rPr>
        <w:t>INTERACTIONS WITH OTHER MEDICINES</w:t>
      </w:r>
    </w:p>
    <w:p w14:paraId="5553BC0E" w14:textId="77777777" w:rsidR="00EA7260" w:rsidRPr="004553F8" w:rsidRDefault="00EA7260" w:rsidP="00E10A80">
      <w:pPr>
        <w:widowControl w:val="0"/>
        <w:spacing w:line="300" w:lineRule="atLeast"/>
        <w:jc w:val="both"/>
      </w:pPr>
      <w:r w:rsidRPr="004553F8">
        <w:t xml:space="preserve">Based on a human study with radiolabelled eltrombopag, glucuronidation plays a minor role in the metabolism of eltrombopag.  Human liver microsome studies identified UGT1A1 and UGT1A3 as the enzymes responsible for eltrombopag glucuronidation.  </w:t>
      </w:r>
      <w:r w:rsidRPr="00216F23">
        <w:rPr>
          <w:i/>
        </w:rPr>
        <w:t>In vitro</w:t>
      </w:r>
      <w:r w:rsidRPr="004553F8">
        <w:t xml:space="preserve"> studies demonstrate that eltrombopag is an inhibitor of UGT1A1 UGT1A3 UGT1A4 UGT1A6 UGT1A9 UGT2B7 and UGT2B15 (IC</w:t>
      </w:r>
      <w:r w:rsidRPr="004553F8">
        <w:rPr>
          <w:vertAlign w:val="subscript"/>
        </w:rPr>
        <w:t>50</w:t>
      </w:r>
      <w:r w:rsidRPr="004553F8">
        <w:t xml:space="preserve"> values 3-3</w:t>
      </w:r>
      <w:r w:rsidR="0060610E" w:rsidRPr="004553F8">
        <w:t>3</w:t>
      </w:r>
      <w:r w:rsidRPr="004553F8">
        <w:t xml:space="preserve"> µM; </w:t>
      </w:r>
      <w:r w:rsidR="0060610E" w:rsidRPr="004553F8">
        <w:t>1.3-14.6 </w:t>
      </w:r>
      <w:r w:rsidR="0060610E" w:rsidRPr="004553F8">
        <w:rPr>
          <w:rFonts w:eastAsia="MS Mincho"/>
          <w:color w:val="000000"/>
        </w:rPr>
        <w:sym w:font="Symbol" w:char="F06D"/>
      </w:r>
      <w:r w:rsidR="0060610E" w:rsidRPr="004553F8">
        <w:rPr>
          <w:rFonts w:eastAsia="MS Mincho"/>
          <w:color w:val="000000"/>
        </w:rPr>
        <w:t>g/mL</w:t>
      </w:r>
      <w:r w:rsidRPr="004553F8">
        <w:t xml:space="preserve">). </w:t>
      </w:r>
      <w:r w:rsidR="0060610E" w:rsidRPr="004553F8">
        <w:t xml:space="preserve"> Clinically significant drug interactions involving glucuronidation are not anticipated due to limited contribution of individual UGT enzymes in the glucuronidation of eltrombopag and potential co-medications.</w:t>
      </w:r>
    </w:p>
    <w:p w14:paraId="5553BC0F" w14:textId="77777777" w:rsidR="00EA7260" w:rsidRPr="00DE25E4" w:rsidRDefault="00EA7260" w:rsidP="00EA7260">
      <w:pPr>
        <w:spacing w:line="300" w:lineRule="atLeast"/>
        <w:jc w:val="both"/>
      </w:pPr>
    </w:p>
    <w:p w14:paraId="5553BC10" w14:textId="77777777" w:rsidR="001722ED" w:rsidRDefault="00EA7260" w:rsidP="004553F8">
      <w:pPr>
        <w:widowControl w:val="0"/>
        <w:spacing w:line="300" w:lineRule="atLeast"/>
        <w:jc w:val="both"/>
      </w:pPr>
      <w:r w:rsidRPr="004553F8">
        <w:t xml:space="preserve">Based on a human study with radiolabelled eltrombopag, approximately 21 % of an eltrombopag dose could undergo oxidative metabolism.  Human liver microsome studies identified CYP1A2 and CYP2C8 as the enzymes responsible for eltrombopag oxidation.  </w:t>
      </w:r>
      <w:r w:rsidR="007863FE" w:rsidRPr="004553F8">
        <w:rPr>
          <w:i/>
        </w:rPr>
        <w:t>In</w:t>
      </w:r>
      <w:r w:rsidRPr="004553F8">
        <w:rPr>
          <w:i/>
        </w:rPr>
        <w:t xml:space="preserve"> vitro </w:t>
      </w:r>
      <w:r w:rsidR="007863FE" w:rsidRPr="004553F8">
        <w:t>eltrombopag was an</w:t>
      </w:r>
      <w:r w:rsidR="007863FE" w:rsidRPr="004553F8">
        <w:rPr>
          <w:i/>
        </w:rPr>
        <w:t xml:space="preserve"> </w:t>
      </w:r>
      <w:r w:rsidR="007863FE" w:rsidRPr="004553F8">
        <w:t>inhibitor of</w:t>
      </w:r>
      <w:r w:rsidRPr="004553F8">
        <w:t xml:space="preserve"> CYP2C8 and CYP2C9 </w:t>
      </w:r>
      <w:r w:rsidR="007863FE" w:rsidRPr="004553F8">
        <w:t>(</w:t>
      </w:r>
      <w:r w:rsidRPr="004553F8">
        <w:t>IC</w:t>
      </w:r>
      <w:r w:rsidRPr="004553F8">
        <w:rPr>
          <w:vertAlign w:val="subscript"/>
        </w:rPr>
        <w:t>50</w:t>
      </w:r>
      <w:r w:rsidRPr="004553F8">
        <w:t xml:space="preserve"> </w:t>
      </w:r>
      <w:r w:rsidR="007863FE" w:rsidRPr="004553F8">
        <w:t>20</w:t>
      </w:r>
      <w:r w:rsidR="00904076" w:rsidRPr="004553F8">
        <w:t>-25</w:t>
      </w:r>
      <w:r w:rsidR="007863FE" w:rsidRPr="004553F8">
        <w:t xml:space="preserve"> </w:t>
      </w:r>
      <w:r w:rsidRPr="004553F8">
        <w:sym w:font="Symbol" w:char="F06D"/>
      </w:r>
      <w:r w:rsidRPr="004553F8">
        <w:t>M</w:t>
      </w:r>
      <w:r w:rsidR="0060610E" w:rsidRPr="004553F8">
        <w:t>; 8.</w:t>
      </w:r>
      <w:r w:rsidR="00904076" w:rsidRPr="004553F8">
        <w:t>9-11</w:t>
      </w:r>
      <w:r w:rsidR="0060610E" w:rsidRPr="004553F8">
        <w:t> </w:t>
      </w:r>
      <w:r w:rsidR="0060610E" w:rsidRPr="004553F8">
        <w:rPr>
          <w:rFonts w:eastAsia="MS Mincho"/>
          <w:color w:val="000000"/>
        </w:rPr>
        <w:sym w:font="Symbol" w:char="F06D"/>
      </w:r>
      <w:r w:rsidR="0060610E" w:rsidRPr="004553F8">
        <w:rPr>
          <w:rFonts w:eastAsia="MS Mincho"/>
          <w:color w:val="000000"/>
        </w:rPr>
        <w:t>g/mL)</w:t>
      </w:r>
      <w:r w:rsidRPr="004553F8">
        <w:t xml:space="preserve"> </w:t>
      </w:r>
      <w:r w:rsidR="00904076" w:rsidRPr="004553F8">
        <w:t xml:space="preserve">, but eltrombopag did not inhibit or induce the metabolism of the CYP2C9 probe substrate flurbiprofen </w:t>
      </w:r>
      <w:r w:rsidR="001722ED" w:rsidRPr="004553F8">
        <w:t>in a clinical drug interaction study when eltrombopag was administered as 75 mg once daily for 7 days to 24 healthy adult subjects.  In the same study, eltrombopag also did not inhibit or induce the metabolism of probe substrates for CYP1A2 (caffeine), CYP2C19 (omeprazole) or CYP3A3 (midazolam).  No clinically significant interactions are expected when eltrombopag and CYP450 substrates, inducers, or inhibitors are co-administered.</w:t>
      </w:r>
    </w:p>
    <w:p w14:paraId="57EE3C12" w14:textId="77777777" w:rsidR="00BC245E" w:rsidRPr="004553F8" w:rsidRDefault="00BC245E" w:rsidP="004553F8">
      <w:pPr>
        <w:widowControl w:val="0"/>
        <w:spacing w:line="300" w:lineRule="atLeast"/>
        <w:jc w:val="both"/>
      </w:pPr>
    </w:p>
    <w:p w14:paraId="4C734EA4" w14:textId="6254AEDF" w:rsidR="00942AB5" w:rsidRPr="00942AB5" w:rsidRDefault="0065036F" w:rsidP="00F0067C">
      <w:pPr>
        <w:keepNext/>
        <w:spacing w:after="120" w:line="300" w:lineRule="atLeast"/>
        <w:jc w:val="both"/>
        <w:rPr>
          <w:u w:val="single"/>
        </w:rPr>
      </w:pPr>
      <w:r w:rsidRPr="004553F8">
        <w:rPr>
          <w:rStyle w:val="LBLLevel2Char"/>
          <w:rFonts w:ascii="Times New Roman" w:hAnsi="Times New Roman"/>
          <w:u w:val="single"/>
        </w:rPr>
        <w:t>Rosuvastatin</w:t>
      </w:r>
      <w:r w:rsidRPr="00942AB5">
        <w:rPr>
          <w:u w:val="single"/>
        </w:rPr>
        <w:t xml:space="preserve"> </w:t>
      </w:r>
    </w:p>
    <w:p w14:paraId="5553BC12" w14:textId="4A7E2554" w:rsidR="0065036F" w:rsidRPr="004553F8" w:rsidRDefault="0065036F" w:rsidP="00F0067C">
      <w:pPr>
        <w:widowControl w:val="0"/>
        <w:spacing w:line="300" w:lineRule="atLeast"/>
        <w:jc w:val="both"/>
      </w:pPr>
      <w:r w:rsidRPr="004553F8">
        <w:rPr>
          <w:i/>
        </w:rPr>
        <w:t>In vitro</w:t>
      </w:r>
      <w:r w:rsidRPr="004553F8">
        <w:t xml:space="preserve"> studies demonstrated </w:t>
      </w:r>
      <w:r w:rsidRPr="004553F8">
        <w:rPr>
          <w:rFonts w:eastAsia="MS Mincho"/>
          <w:color w:val="000000"/>
        </w:rPr>
        <w:t xml:space="preserve">that </w:t>
      </w:r>
      <w:r w:rsidR="00F921BD" w:rsidRPr="004553F8">
        <w:rPr>
          <w:rFonts w:eastAsia="MS Mincho"/>
          <w:color w:val="000000"/>
        </w:rPr>
        <w:t xml:space="preserve">eltrombopag </w:t>
      </w:r>
      <w:r w:rsidRPr="004553F8">
        <w:rPr>
          <w:rFonts w:eastAsia="MS Mincho"/>
          <w:color w:val="000000"/>
        </w:rPr>
        <w:t>is not a substrate for the organic anion transporter polypeptide, OATP1B1, but is an inhibitor of this transporter</w:t>
      </w:r>
      <w:r w:rsidR="000F5060" w:rsidRPr="004553F8">
        <w:rPr>
          <w:rFonts w:eastAsia="MS Mincho"/>
          <w:color w:val="000000"/>
        </w:rPr>
        <w:t xml:space="preserve"> with an IC</w:t>
      </w:r>
      <w:r w:rsidR="000F5060" w:rsidRPr="0098740B">
        <w:rPr>
          <w:rFonts w:eastAsia="MS Mincho"/>
          <w:color w:val="000000"/>
          <w:vertAlign w:val="subscript"/>
        </w:rPr>
        <w:t>50</w:t>
      </w:r>
      <w:r w:rsidR="000F5060" w:rsidRPr="004553F8">
        <w:rPr>
          <w:rFonts w:eastAsia="MS Mincho"/>
          <w:color w:val="000000"/>
        </w:rPr>
        <w:t xml:space="preserve"> value of 2.7 </w:t>
      </w:r>
      <w:r w:rsidR="000F5060" w:rsidRPr="004553F8">
        <w:rPr>
          <w:rFonts w:eastAsia="MS Mincho"/>
          <w:color w:val="000000"/>
        </w:rPr>
        <w:sym w:font="Symbol" w:char="F06D"/>
      </w:r>
      <w:r w:rsidR="000F5060" w:rsidRPr="004553F8">
        <w:rPr>
          <w:rFonts w:eastAsia="MS Mincho"/>
          <w:color w:val="000000"/>
        </w:rPr>
        <w:t>M (1.2 </w:t>
      </w:r>
      <w:r w:rsidR="000F5060" w:rsidRPr="004553F8">
        <w:rPr>
          <w:rFonts w:eastAsia="MS Mincho"/>
          <w:color w:val="000000"/>
        </w:rPr>
        <w:sym w:font="Symbol" w:char="F06D"/>
      </w:r>
      <w:r w:rsidR="000F5060" w:rsidRPr="004553F8">
        <w:rPr>
          <w:rFonts w:eastAsia="MS Mincho"/>
          <w:color w:val="000000"/>
        </w:rPr>
        <w:t>g/mL)</w:t>
      </w:r>
      <w:r w:rsidRPr="004553F8">
        <w:rPr>
          <w:rFonts w:eastAsia="MS Mincho"/>
          <w:color w:val="000000"/>
        </w:rPr>
        <w:t xml:space="preserve">. </w:t>
      </w:r>
      <w:r w:rsidRPr="004553F8">
        <w:rPr>
          <w:i/>
        </w:rPr>
        <w:t xml:space="preserve"> In vitro</w:t>
      </w:r>
      <w:r w:rsidRPr="004553F8">
        <w:t xml:space="preserve"> studies also demonstrated </w:t>
      </w:r>
      <w:r w:rsidRPr="004553F8">
        <w:rPr>
          <w:rFonts w:eastAsia="MS Mincho"/>
          <w:color w:val="000000"/>
        </w:rPr>
        <w:t xml:space="preserve">that </w:t>
      </w:r>
      <w:r w:rsidR="00F921BD" w:rsidRPr="004553F8">
        <w:rPr>
          <w:rFonts w:eastAsia="MS Mincho"/>
          <w:lang w:val="en-US"/>
        </w:rPr>
        <w:t xml:space="preserve">eltrombopag </w:t>
      </w:r>
      <w:r w:rsidRPr="004553F8">
        <w:rPr>
          <w:rFonts w:eastAsia="MS Mincho"/>
          <w:lang w:val="en-US"/>
        </w:rPr>
        <w:t>is a breast cancer resistance protein (BCRP) substrate and inhibitor</w:t>
      </w:r>
      <w:r w:rsidR="000F5060" w:rsidRPr="004553F8">
        <w:rPr>
          <w:rFonts w:eastAsia="MS Mincho"/>
          <w:color w:val="000000"/>
        </w:rPr>
        <w:t xml:space="preserve"> with an IC</w:t>
      </w:r>
      <w:r w:rsidR="000F5060" w:rsidRPr="0098740B">
        <w:rPr>
          <w:rFonts w:eastAsia="MS Mincho"/>
          <w:color w:val="000000"/>
          <w:vertAlign w:val="subscript"/>
        </w:rPr>
        <w:t>50</w:t>
      </w:r>
      <w:r w:rsidR="000F5060" w:rsidRPr="004553F8">
        <w:rPr>
          <w:rFonts w:eastAsia="MS Mincho"/>
          <w:color w:val="000000"/>
        </w:rPr>
        <w:t xml:space="preserve"> value of 2.7 </w:t>
      </w:r>
      <w:r w:rsidR="000F5060" w:rsidRPr="004553F8">
        <w:rPr>
          <w:rFonts w:eastAsia="MS Mincho"/>
          <w:color w:val="000000"/>
        </w:rPr>
        <w:sym w:font="Symbol" w:char="F06D"/>
      </w:r>
      <w:r w:rsidR="000F5060" w:rsidRPr="004553F8">
        <w:rPr>
          <w:rFonts w:eastAsia="MS Mincho"/>
          <w:color w:val="000000"/>
        </w:rPr>
        <w:t>M (1.2 </w:t>
      </w:r>
      <w:r w:rsidR="000F5060" w:rsidRPr="004553F8">
        <w:rPr>
          <w:rFonts w:eastAsia="MS Mincho"/>
          <w:color w:val="000000"/>
        </w:rPr>
        <w:sym w:font="Symbol" w:char="F06D"/>
      </w:r>
      <w:r w:rsidR="000F5060" w:rsidRPr="004553F8">
        <w:rPr>
          <w:rFonts w:eastAsia="MS Mincho"/>
          <w:color w:val="000000"/>
        </w:rPr>
        <w:t>g/mL)</w:t>
      </w:r>
      <w:r w:rsidRPr="004553F8">
        <w:rPr>
          <w:rFonts w:eastAsia="MS Mincho"/>
          <w:color w:val="000000"/>
        </w:rPr>
        <w:t xml:space="preserve">. </w:t>
      </w:r>
      <w:r w:rsidR="000F5060" w:rsidRPr="004553F8">
        <w:t>Administration of eltrombopag 75 mg once daily for 5 days with a single 10 mg dose of the OATP1B1 and BCRP substrate rosuvastatin to 39 healthy adult subjects increased plasma rosuvastatin C</w:t>
      </w:r>
      <w:r w:rsidR="000F5060" w:rsidRPr="004553F8">
        <w:rPr>
          <w:vertAlign w:val="subscript"/>
        </w:rPr>
        <w:t>max</w:t>
      </w:r>
      <w:r w:rsidR="000F5060" w:rsidRPr="004553F8">
        <w:t xml:space="preserve"> 103 % (90 % CI: 82 %, 126 %) and AUC</w:t>
      </w:r>
      <w:r w:rsidR="000F5060" w:rsidRPr="004553F8">
        <w:rPr>
          <w:vertAlign w:val="subscript"/>
        </w:rPr>
        <w:t>0-</w:t>
      </w:r>
      <w:r w:rsidR="000F5060" w:rsidRPr="004553F8">
        <w:rPr>
          <w:vertAlign w:val="subscript"/>
        </w:rPr>
        <w:sym w:font="Symbol" w:char="F0A5"/>
      </w:r>
      <w:r w:rsidR="000F5060" w:rsidRPr="004553F8">
        <w:t xml:space="preserve"> 55 % (90 % CI: 42 %, 69 %).</w:t>
      </w:r>
      <w:r w:rsidRPr="004553F8">
        <w:rPr>
          <w:rFonts w:eastAsia="MS Mincho"/>
          <w:color w:val="000000"/>
        </w:rPr>
        <w:t xml:space="preserve">  </w:t>
      </w:r>
      <w:r w:rsidRPr="004553F8">
        <w:t xml:space="preserve">When co-administered with </w:t>
      </w:r>
      <w:r w:rsidR="00F921BD" w:rsidRPr="004553F8">
        <w:lastRenderedPageBreak/>
        <w:t>eltrombopag</w:t>
      </w:r>
      <w:r w:rsidRPr="004553F8">
        <w:t xml:space="preserve">, a reduced dose of rosuvastatin should be considered and careful monitoring should be undertaken.  In clinical trials with </w:t>
      </w:r>
      <w:r w:rsidR="00F921BD" w:rsidRPr="004553F8">
        <w:t>eltrombopag</w:t>
      </w:r>
      <w:r w:rsidRPr="004553F8">
        <w:t xml:space="preserve">, a dose reduction of rosuvastatin by 50 % was recommended for co-administration of rosuvastatin and </w:t>
      </w:r>
      <w:r w:rsidR="00F921BD" w:rsidRPr="004553F8">
        <w:t>eltrombopag</w:t>
      </w:r>
      <w:r w:rsidRPr="004553F8">
        <w:t xml:space="preserve">. Concomitant administration of </w:t>
      </w:r>
      <w:r w:rsidR="00F921BD" w:rsidRPr="004553F8">
        <w:t xml:space="preserve">eltrombopag </w:t>
      </w:r>
      <w:r w:rsidRPr="004553F8">
        <w:t>and other OATP1B1 and BCRP substrates should be undertaken with caution.</w:t>
      </w:r>
    </w:p>
    <w:p w14:paraId="5553BC13" w14:textId="77777777" w:rsidR="0065036F" w:rsidRPr="00DE25E4" w:rsidRDefault="0065036F" w:rsidP="0065036F">
      <w:pPr>
        <w:spacing w:line="300" w:lineRule="atLeast"/>
        <w:jc w:val="both"/>
        <w:rPr>
          <w:b/>
        </w:rPr>
      </w:pPr>
    </w:p>
    <w:p w14:paraId="0CE2D9EB" w14:textId="64F28443" w:rsidR="00942AB5" w:rsidRPr="00942AB5" w:rsidRDefault="00574467" w:rsidP="00561258">
      <w:pPr>
        <w:keepNext/>
        <w:spacing w:after="120" w:line="300" w:lineRule="atLeast"/>
        <w:jc w:val="both"/>
        <w:rPr>
          <w:rStyle w:val="LBLLevel2Char"/>
          <w:rFonts w:ascii="Times New Roman" w:hAnsi="Times New Roman"/>
          <w:u w:val="single"/>
        </w:rPr>
      </w:pPr>
      <w:r w:rsidRPr="004553F8">
        <w:rPr>
          <w:rStyle w:val="LBLLevel2Char"/>
          <w:rFonts w:ascii="Times New Roman" w:hAnsi="Times New Roman"/>
          <w:u w:val="single"/>
        </w:rPr>
        <w:t>Lopinavir/ritonavir</w:t>
      </w:r>
      <w:r w:rsidRPr="00942AB5">
        <w:rPr>
          <w:rStyle w:val="LBLLevel2Char"/>
          <w:rFonts w:ascii="Times New Roman" w:hAnsi="Times New Roman"/>
          <w:u w:val="single"/>
        </w:rPr>
        <w:t xml:space="preserve"> </w:t>
      </w:r>
    </w:p>
    <w:p w14:paraId="5553BC14" w14:textId="3FF66642" w:rsidR="00574467" w:rsidRPr="004553F8" w:rsidRDefault="00574467" w:rsidP="004553F8">
      <w:pPr>
        <w:spacing w:line="300" w:lineRule="atLeast"/>
        <w:jc w:val="both"/>
        <w:rPr>
          <w:lang w:val="en-GB"/>
        </w:rPr>
      </w:pPr>
      <w:r w:rsidRPr="004553F8">
        <w:rPr>
          <w:lang w:val="en-GB"/>
        </w:rPr>
        <w:t xml:space="preserve">Co-administration of </w:t>
      </w:r>
      <w:r w:rsidR="00F921BD" w:rsidRPr="004553F8">
        <w:rPr>
          <w:lang w:val="en-GB"/>
        </w:rPr>
        <w:t xml:space="preserve">eltrombopag </w:t>
      </w:r>
      <w:r w:rsidRPr="004553F8">
        <w:rPr>
          <w:lang w:val="en-GB"/>
        </w:rPr>
        <w:t xml:space="preserve">with lopinavir/ritonavir (LPV/RTV) may cause a decrease in the concentration of </w:t>
      </w:r>
      <w:r w:rsidR="00F921BD" w:rsidRPr="004553F8">
        <w:rPr>
          <w:lang w:val="en-GB"/>
        </w:rPr>
        <w:t>eltrombopag</w:t>
      </w:r>
      <w:r w:rsidRPr="004553F8">
        <w:rPr>
          <w:lang w:val="en-GB"/>
        </w:rPr>
        <w:t>. A study in 40 healthy volunteers</w:t>
      </w:r>
      <w:r w:rsidR="00E75E69" w:rsidRPr="004553F8">
        <w:rPr>
          <w:lang w:val="en-GB"/>
        </w:rPr>
        <w:t xml:space="preserve">, </w:t>
      </w:r>
      <w:r w:rsidR="008E3B75" w:rsidRPr="004553F8">
        <w:rPr>
          <w:lang w:val="en-GB"/>
        </w:rPr>
        <w:t>of which</w:t>
      </w:r>
      <w:r w:rsidR="00E75E69" w:rsidRPr="004553F8">
        <w:rPr>
          <w:lang w:val="en-GB"/>
        </w:rPr>
        <w:t xml:space="preserve"> </w:t>
      </w:r>
      <w:r w:rsidR="008E3B75" w:rsidRPr="004553F8">
        <w:rPr>
          <w:lang w:val="en-GB"/>
        </w:rPr>
        <w:t>23 (58</w:t>
      </w:r>
      <w:r w:rsidR="00561258">
        <w:rPr>
          <w:lang w:val="en-GB"/>
        </w:rPr>
        <w:t xml:space="preserve"> </w:t>
      </w:r>
      <w:r w:rsidR="008E3B75" w:rsidRPr="004553F8">
        <w:rPr>
          <w:lang w:val="en-GB"/>
        </w:rPr>
        <w:t>%) were women and 30 (75</w:t>
      </w:r>
      <w:r w:rsidR="00150F84" w:rsidRPr="004553F8">
        <w:rPr>
          <w:lang w:val="en-GB"/>
        </w:rPr>
        <w:t> </w:t>
      </w:r>
      <w:r w:rsidR="008E3B75" w:rsidRPr="004553F8">
        <w:rPr>
          <w:lang w:val="en-GB"/>
        </w:rPr>
        <w:t>%) were of White/Caucasi</w:t>
      </w:r>
      <w:r w:rsidR="00150F84" w:rsidRPr="004553F8">
        <w:rPr>
          <w:lang w:val="en-GB"/>
        </w:rPr>
        <w:t>a</w:t>
      </w:r>
      <w:r w:rsidR="008E3B75" w:rsidRPr="004553F8">
        <w:rPr>
          <w:lang w:val="en-GB"/>
        </w:rPr>
        <w:t>n/European, 9 (23</w:t>
      </w:r>
      <w:r w:rsidR="00150F84" w:rsidRPr="004553F8">
        <w:rPr>
          <w:lang w:val="en-GB"/>
        </w:rPr>
        <w:t> </w:t>
      </w:r>
      <w:r w:rsidR="008E3B75" w:rsidRPr="004553F8">
        <w:rPr>
          <w:lang w:val="en-GB"/>
        </w:rPr>
        <w:t>%) of African American</w:t>
      </w:r>
      <w:r w:rsidR="00150F84" w:rsidRPr="004553F8">
        <w:rPr>
          <w:lang w:val="en-GB"/>
        </w:rPr>
        <w:t>/African</w:t>
      </w:r>
      <w:r w:rsidR="008E3B75" w:rsidRPr="004553F8">
        <w:rPr>
          <w:lang w:val="en-GB"/>
        </w:rPr>
        <w:t>, and 1 (3</w:t>
      </w:r>
      <w:r w:rsidR="00150F84" w:rsidRPr="004553F8">
        <w:rPr>
          <w:lang w:val="en-GB"/>
        </w:rPr>
        <w:t> </w:t>
      </w:r>
      <w:r w:rsidR="008E3B75" w:rsidRPr="004553F8">
        <w:rPr>
          <w:lang w:val="en-GB"/>
        </w:rPr>
        <w:t xml:space="preserve">%) of Central/South Asian </w:t>
      </w:r>
      <w:r w:rsidR="00150F84" w:rsidRPr="004553F8">
        <w:rPr>
          <w:lang w:val="en-GB"/>
        </w:rPr>
        <w:t>heritage</w:t>
      </w:r>
      <w:r w:rsidR="008E3B75" w:rsidRPr="004553F8">
        <w:rPr>
          <w:lang w:val="en-GB"/>
        </w:rPr>
        <w:t>,</w:t>
      </w:r>
      <w:r w:rsidRPr="004553F8">
        <w:rPr>
          <w:lang w:val="en-GB"/>
        </w:rPr>
        <w:t xml:space="preserve"> showed that the co-administration of </w:t>
      </w:r>
      <w:r w:rsidR="00216F23">
        <w:rPr>
          <w:lang w:val="en-GB"/>
        </w:rPr>
        <w:t xml:space="preserve">a </w:t>
      </w:r>
      <w:r w:rsidRPr="004553F8">
        <w:rPr>
          <w:lang w:val="en-GB"/>
        </w:rPr>
        <w:t xml:space="preserve">single dose </w:t>
      </w:r>
      <w:r w:rsidR="00216F23">
        <w:rPr>
          <w:lang w:val="en-GB"/>
        </w:rPr>
        <w:t xml:space="preserve">of REVOLADE </w:t>
      </w:r>
      <w:r w:rsidRPr="004553F8">
        <w:rPr>
          <w:lang w:val="en-GB"/>
        </w:rPr>
        <w:t>100 mg with repeat dose LPV</w:t>
      </w:r>
      <w:r w:rsidR="00216F23">
        <w:rPr>
          <w:lang w:val="en-GB"/>
        </w:rPr>
        <w:t xml:space="preserve"> 400 mg</w:t>
      </w:r>
      <w:r w:rsidRPr="004553F8">
        <w:rPr>
          <w:lang w:val="en-GB"/>
        </w:rPr>
        <w:t xml:space="preserve">/RTV 100 mg twice daily resulted in a reduction in </w:t>
      </w:r>
      <w:r w:rsidR="00F921BD" w:rsidRPr="004553F8">
        <w:rPr>
          <w:lang w:val="en-GB"/>
        </w:rPr>
        <w:t>eltrombopag</w:t>
      </w:r>
      <w:r w:rsidRPr="004553F8">
        <w:rPr>
          <w:lang w:val="en-GB"/>
        </w:rPr>
        <w:t xml:space="preserve"> plasma AUC</w:t>
      </w:r>
      <w:r w:rsidRPr="004553F8">
        <w:rPr>
          <w:vertAlign w:val="subscript"/>
          <w:lang w:val="en-GB"/>
        </w:rPr>
        <w:t>(0-</w:t>
      </w:r>
      <w:r w:rsidRPr="004553F8">
        <w:rPr>
          <w:vertAlign w:val="subscript"/>
          <w:lang w:val="en-GB"/>
        </w:rPr>
        <w:sym w:font="Symbol" w:char="00A5"/>
      </w:r>
      <w:r w:rsidRPr="004553F8">
        <w:rPr>
          <w:vertAlign w:val="subscript"/>
          <w:lang w:val="en-GB"/>
        </w:rPr>
        <w:t>)</w:t>
      </w:r>
      <w:r w:rsidRPr="004553F8">
        <w:rPr>
          <w:lang w:val="en-GB"/>
        </w:rPr>
        <w:t xml:space="preserve"> by 17 % (90 % CI: 6.6 %, 26.6 %). Therefore, caution should be used when co-administration of </w:t>
      </w:r>
      <w:r w:rsidR="00F921BD" w:rsidRPr="004553F8">
        <w:rPr>
          <w:lang w:val="en-GB"/>
        </w:rPr>
        <w:t>eltrombopag</w:t>
      </w:r>
      <w:r w:rsidRPr="004553F8">
        <w:rPr>
          <w:lang w:val="en-GB"/>
        </w:rPr>
        <w:t xml:space="preserve"> with LPV/RTV takes place. Platelet count should be closely monitored</w:t>
      </w:r>
      <w:r w:rsidR="002C590F" w:rsidRPr="002C590F">
        <w:t xml:space="preserve"> </w:t>
      </w:r>
      <w:r w:rsidR="002C590F" w:rsidRPr="002C590F">
        <w:rPr>
          <w:lang w:val="en-GB"/>
        </w:rPr>
        <w:t>at least weekly for 2 to 3 weeks</w:t>
      </w:r>
      <w:r w:rsidRPr="004553F8">
        <w:rPr>
          <w:lang w:val="en-GB"/>
        </w:rPr>
        <w:t xml:space="preserve"> in order to ensure appropriate medical management of the dose of </w:t>
      </w:r>
      <w:r w:rsidR="00F921BD" w:rsidRPr="004553F8">
        <w:rPr>
          <w:lang w:val="en-GB"/>
        </w:rPr>
        <w:t>eltrombopag</w:t>
      </w:r>
      <w:r w:rsidRPr="004553F8">
        <w:rPr>
          <w:lang w:val="en-GB"/>
        </w:rPr>
        <w:t xml:space="preserve"> when </w:t>
      </w:r>
      <w:r w:rsidR="009E3B2B" w:rsidRPr="009E3B2B">
        <w:rPr>
          <w:lang w:val="en-GB"/>
        </w:rPr>
        <w:t>LPV/RTV</w:t>
      </w:r>
      <w:r w:rsidR="009E3B2B" w:rsidRPr="009E3B2B" w:rsidDel="009E3B2B">
        <w:rPr>
          <w:lang w:val="en-GB"/>
        </w:rPr>
        <w:t xml:space="preserve"> </w:t>
      </w:r>
      <w:r w:rsidRPr="004553F8">
        <w:rPr>
          <w:lang w:val="en-GB"/>
        </w:rPr>
        <w:t>therapy is initiated or discontinued.</w:t>
      </w:r>
    </w:p>
    <w:p w14:paraId="5553BC15" w14:textId="77777777" w:rsidR="00356034" w:rsidRPr="00DE25E4" w:rsidRDefault="00356034" w:rsidP="0065036F">
      <w:pPr>
        <w:spacing w:line="300" w:lineRule="atLeast"/>
        <w:jc w:val="both"/>
        <w:rPr>
          <w:b/>
        </w:rPr>
      </w:pPr>
    </w:p>
    <w:p w14:paraId="17BF7837" w14:textId="02C04CF0" w:rsidR="00942AB5" w:rsidRPr="00942AB5" w:rsidRDefault="0065036F" w:rsidP="00942AB5">
      <w:pPr>
        <w:spacing w:after="120" w:line="300" w:lineRule="atLeast"/>
        <w:jc w:val="both"/>
        <w:rPr>
          <w:rStyle w:val="LBLLevel2Char"/>
          <w:rFonts w:ascii="Times New Roman" w:hAnsi="Times New Roman"/>
          <w:u w:val="single"/>
        </w:rPr>
      </w:pPr>
      <w:r w:rsidRPr="004553F8">
        <w:rPr>
          <w:rStyle w:val="LBLLevel2Char"/>
          <w:rFonts w:ascii="Times New Roman" w:hAnsi="Times New Roman"/>
          <w:u w:val="single"/>
        </w:rPr>
        <w:t>Polyvalent Cations (Chelation</w:t>
      </w:r>
      <w:r w:rsidRPr="00942AB5">
        <w:rPr>
          <w:rStyle w:val="LBLLevel2Char"/>
          <w:rFonts w:ascii="Times New Roman" w:hAnsi="Times New Roman"/>
          <w:u w:val="single"/>
        </w:rPr>
        <w:t xml:space="preserve">) </w:t>
      </w:r>
    </w:p>
    <w:p w14:paraId="5553BC16" w14:textId="4A8363D0" w:rsidR="0065036F" w:rsidRPr="004553F8" w:rsidRDefault="00F921BD" w:rsidP="004553F8">
      <w:pPr>
        <w:spacing w:line="300" w:lineRule="atLeast"/>
        <w:jc w:val="both"/>
      </w:pPr>
      <w:r w:rsidRPr="004553F8">
        <w:rPr>
          <w:rStyle w:val="LBLLevel2Char"/>
          <w:rFonts w:ascii="Times New Roman" w:hAnsi="Times New Roman"/>
          <w:b w:val="0"/>
        </w:rPr>
        <w:t>E</w:t>
      </w:r>
      <w:r w:rsidRPr="004553F8">
        <w:rPr>
          <w:lang w:val="en-GB"/>
        </w:rPr>
        <w:t>ltrombopag</w:t>
      </w:r>
      <w:r w:rsidR="0065036F" w:rsidRPr="004553F8">
        <w:t xml:space="preserve"> chelates with polyvalent cations such as aluminium, calcium, iron, magnesium, selenium and zinc.  </w:t>
      </w:r>
      <w:r w:rsidR="000F5060" w:rsidRPr="004553F8">
        <w:t>Administration of a single dose of eltrombopag 75 mg with a polyvalent cation-containing antacid (1524 mg aluminium hydroxide and 1425 mg magnesium carbonate) decreased plasma eltrombopag AUC</w:t>
      </w:r>
      <w:r w:rsidR="000F5060" w:rsidRPr="004553F8">
        <w:rPr>
          <w:vertAlign w:val="subscript"/>
        </w:rPr>
        <w:t>0-</w:t>
      </w:r>
      <w:r w:rsidR="000F5060" w:rsidRPr="004553F8">
        <w:rPr>
          <w:vertAlign w:val="subscript"/>
        </w:rPr>
        <w:sym w:font="Symbol" w:char="F0A5"/>
      </w:r>
      <w:r w:rsidR="000F5060" w:rsidRPr="004553F8">
        <w:t xml:space="preserve"> by 70 % (90 % CI: 64 %, 76 %)</w:t>
      </w:r>
      <w:r w:rsidR="0059715F">
        <w:t xml:space="preserve"> </w:t>
      </w:r>
      <w:r w:rsidR="000F5060" w:rsidRPr="004553F8">
        <w:t>and C</w:t>
      </w:r>
      <w:r w:rsidR="000F5060" w:rsidRPr="004553F8">
        <w:rPr>
          <w:vertAlign w:val="subscript"/>
        </w:rPr>
        <w:t xml:space="preserve">max </w:t>
      </w:r>
      <w:r w:rsidR="000F5060" w:rsidRPr="004553F8">
        <w:t xml:space="preserve">by 70 % (90 % CI: 62 %, 76 %).  </w:t>
      </w:r>
      <w:r w:rsidR="0065036F" w:rsidRPr="004553F8">
        <w:t xml:space="preserve">Antacids, dairy products and other products containing polyvalent cations such as mineral supplements should be administered at least </w:t>
      </w:r>
      <w:r w:rsidR="00054AE8">
        <w:t xml:space="preserve">four </w:t>
      </w:r>
      <w:r w:rsidR="0065036F" w:rsidRPr="004553F8">
        <w:t xml:space="preserve">hours </w:t>
      </w:r>
      <w:r w:rsidR="00054AE8">
        <w:t xml:space="preserve"> apart from</w:t>
      </w:r>
      <w:r w:rsidR="006259D3">
        <w:t xml:space="preserve"> REVOLADE</w:t>
      </w:r>
      <w:r w:rsidR="0065036F" w:rsidRPr="004553F8">
        <w:t xml:space="preserve"> dosing to avoid significant reduction in </w:t>
      </w:r>
      <w:r w:rsidRPr="004553F8">
        <w:rPr>
          <w:lang w:val="en-GB"/>
        </w:rPr>
        <w:t>eltrombopag</w:t>
      </w:r>
      <w:r w:rsidR="0065036F" w:rsidRPr="004553F8">
        <w:t xml:space="preserve"> absorption (see</w:t>
      </w:r>
      <w:r w:rsidR="0065036F" w:rsidRPr="004553F8">
        <w:rPr>
          <w:i/>
        </w:rPr>
        <w:t xml:space="preserve"> </w:t>
      </w:r>
      <w:r w:rsidR="00561258" w:rsidRPr="00561258">
        <w:t>DOSAGE AND ADMINISTRATION</w:t>
      </w:r>
      <w:r w:rsidR="0065036F" w:rsidRPr="004553F8">
        <w:rPr>
          <w:i/>
        </w:rPr>
        <w:t>)</w:t>
      </w:r>
      <w:r w:rsidR="0065036F" w:rsidRPr="004553F8">
        <w:t>.</w:t>
      </w:r>
    </w:p>
    <w:p w14:paraId="5553BC17" w14:textId="77777777" w:rsidR="0065036F" w:rsidRPr="00DE25E4" w:rsidRDefault="0065036F" w:rsidP="0065036F">
      <w:pPr>
        <w:spacing w:line="300" w:lineRule="atLeast"/>
        <w:jc w:val="both"/>
        <w:rPr>
          <w:b/>
        </w:rPr>
      </w:pPr>
    </w:p>
    <w:p w14:paraId="15EEA4DE" w14:textId="023D97D7" w:rsidR="00942AB5" w:rsidRPr="00BC245E" w:rsidRDefault="005463FB" w:rsidP="00BC245E">
      <w:pPr>
        <w:keepNext/>
        <w:spacing w:after="120" w:line="300" w:lineRule="atLeast"/>
        <w:jc w:val="both"/>
        <w:rPr>
          <w:rStyle w:val="LBLLevel2Char"/>
          <w:rFonts w:ascii="Times New Roman" w:hAnsi="Times New Roman"/>
          <w:b w:val="0"/>
          <w:i/>
          <w:u w:val="single"/>
        </w:rPr>
      </w:pPr>
      <w:r w:rsidRPr="00BC245E">
        <w:rPr>
          <w:rStyle w:val="LBLLevel2Char"/>
          <w:rFonts w:ascii="Times New Roman" w:hAnsi="Times New Roman"/>
          <w:b w:val="0"/>
          <w:i/>
          <w:u w:val="single"/>
        </w:rPr>
        <w:t>Ca</w:t>
      </w:r>
      <w:r w:rsidR="00B02F9C" w:rsidRPr="00BC245E">
        <w:rPr>
          <w:rStyle w:val="LBLLevel2Char"/>
          <w:rFonts w:ascii="Times New Roman" w:hAnsi="Times New Roman"/>
          <w:b w:val="0"/>
          <w:i/>
          <w:u w:val="single"/>
        </w:rPr>
        <w:t>lcium interac</w:t>
      </w:r>
      <w:r w:rsidR="0033246F" w:rsidRPr="00BC245E">
        <w:rPr>
          <w:rStyle w:val="LBLLevel2Char"/>
          <w:rFonts w:ascii="Times New Roman" w:hAnsi="Times New Roman"/>
          <w:b w:val="0"/>
          <w:i/>
          <w:u w:val="single"/>
        </w:rPr>
        <w:t>tion</w:t>
      </w:r>
      <w:r w:rsidR="0065036F" w:rsidRPr="00BC245E">
        <w:rPr>
          <w:rStyle w:val="LBLLevel2Char"/>
          <w:rFonts w:ascii="Times New Roman" w:hAnsi="Times New Roman"/>
          <w:b w:val="0"/>
          <w:i/>
          <w:u w:val="single"/>
        </w:rPr>
        <w:t xml:space="preserve"> </w:t>
      </w:r>
    </w:p>
    <w:p w14:paraId="5553BC18" w14:textId="611399B4" w:rsidR="0065036F" w:rsidRDefault="0065036F" w:rsidP="00BC245E">
      <w:pPr>
        <w:widowControl w:val="0"/>
        <w:spacing w:line="300" w:lineRule="atLeast"/>
        <w:jc w:val="both"/>
        <w:rPr>
          <w:color w:val="000000"/>
        </w:rPr>
      </w:pPr>
      <w:r w:rsidRPr="004553F8">
        <w:t xml:space="preserve">Administration of a single 50 mg-dose of </w:t>
      </w:r>
      <w:r w:rsidR="005463FB">
        <w:rPr>
          <w:lang w:val="en-GB"/>
        </w:rPr>
        <w:t>REVOLADE</w:t>
      </w:r>
      <w:r w:rsidR="005463FB" w:rsidRPr="004553F8">
        <w:t xml:space="preserve"> </w:t>
      </w:r>
      <w:r w:rsidRPr="004553F8">
        <w:t>with a standard high-calorie, high-fat breakfast that included dairy products</w:t>
      </w:r>
      <w:r w:rsidR="0059715F">
        <w:t>,</w:t>
      </w:r>
      <w:r w:rsidRPr="004553F8">
        <w:t xml:space="preserve"> reduced plasma eltrombopag AUC</w:t>
      </w:r>
      <w:r w:rsidRPr="004553F8">
        <w:rPr>
          <w:vertAlign w:val="subscript"/>
        </w:rPr>
        <w:t>0-</w:t>
      </w:r>
      <w:r w:rsidRPr="004553F8">
        <w:rPr>
          <w:vertAlign w:val="subscript"/>
        </w:rPr>
        <w:sym w:font="Symbol" w:char="F0A5"/>
      </w:r>
      <w:r w:rsidRPr="004553F8">
        <w:t xml:space="preserve"> by 59 % </w:t>
      </w:r>
      <w:r w:rsidR="005463FB">
        <w:t xml:space="preserve">and </w:t>
      </w:r>
      <w:r w:rsidRPr="004553F8">
        <w:t>C</w:t>
      </w:r>
      <w:r w:rsidRPr="004553F8">
        <w:rPr>
          <w:vertAlign w:val="subscript"/>
        </w:rPr>
        <w:t xml:space="preserve">max </w:t>
      </w:r>
      <w:r w:rsidRPr="004553F8">
        <w:t>by 65 % (</w:t>
      </w:r>
      <w:r w:rsidR="005463FB">
        <w:t>see PHARMACOLOGY – Pharmacokinetics: Absorption</w:t>
      </w:r>
      <w:r w:rsidR="00384F88">
        <w:t xml:space="preserve"> and bioavailability</w:t>
      </w:r>
      <w:r w:rsidR="00B02F9C">
        <w:t>,</w:t>
      </w:r>
      <w:r w:rsidR="005463FB">
        <w:t xml:space="preserve"> and </w:t>
      </w:r>
      <w:r w:rsidR="005463FB" w:rsidRPr="00967161">
        <w:t>DOSAGE AND ADMINISTRATION</w:t>
      </w:r>
      <w:r w:rsidR="005463FB" w:rsidRPr="004553F8" w:rsidDel="005463FB">
        <w:t xml:space="preserve"> </w:t>
      </w:r>
      <w:r w:rsidRPr="004553F8">
        <w:t>).</w:t>
      </w:r>
      <w:r w:rsidRPr="004553F8">
        <w:rPr>
          <w:color w:val="000000"/>
        </w:rPr>
        <w:t xml:space="preserve">  </w:t>
      </w:r>
    </w:p>
    <w:p w14:paraId="16B5396D" w14:textId="77777777" w:rsidR="00793FA0" w:rsidRDefault="00793FA0" w:rsidP="00BC245E">
      <w:pPr>
        <w:widowControl w:val="0"/>
        <w:spacing w:line="300" w:lineRule="atLeast"/>
        <w:jc w:val="both"/>
        <w:rPr>
          <w:color w:val="000000"/>
        </w:rPr>
      </w:pPr>
    </w:p>
    <w:p w14:paraId="4168D8AC" w14:textId="520B2C96" w:rsidR="00793FA0" w:rsidRPr="00793FA0" w:rsidRDefault="00793FA0" w:rsidP="00BC245E">
      <w:pPr>
        <w:widowControl w:val="0"/>
        <w:spacing w:line="300" w:lineRule="atLeast"/>
        <w:jc w:val="both"/>
        <w:rPr>
          <w:b/>
        </w:rPr>
      </w:pPr>
      <w:r w:rsidRPr="00793FA0">
        <w:rPr>
          <w:b/>
          <w:color w:val="000000"/>
        </w:rPr>
        <w:t>Cyclosporin</w:t>
      </w:r>
    </w:p>
    <w:p w14:paraId="12C721C3" w14:textId="43E8EEE1" w:rsidR="00F0067C" w:rsidRDefault="004B0D7F" w:rsidP="00581A1A">
      <w:pPr>
        <w:jc w:val="both"/>
        <w:rPr>
          <w:color w:val="000000"/>
          <w:lang w:eastAsia="ja-JP"/>
        </w:rPr>
      </w:pPr>
      <w:r w:rsidRPr="00034FFD">
        <w:rPr>
          <w:i/>
        </w:rPr>
        <w:t>In vitro</w:t>
      </w:r>
      <w:r w:rsidRPr="00034FFD">
        <w:t xml:space="preserve"> studies </w:t>
      </w:r>
      <w:r>
        <w:t xml:space="preserve">also </w:t>
      </w:r>
      <w:r w:rsidRPr="00034FFD">
        <w:t xml:space="preserve">demonstrated </w:t>
      </w:r>
      <w:r w:rsidRPr="00034FFD">
        <w:rPr>
          <w:rFonts w:eastAsia="MS Mincho"/>
          <w:color w:val="000000"/>
          <w:lang w:eastAsia="ja-JP"/>
        </w:rPr>
        <w:t xml:space="preserve">that </w:t>
      </w:r>
      <w:r w:rsidRPr="00581A1A">
        <w:rPr>
          <w:rFonts w:eastAsia="MS Mincho"/>
          <w:lang w:val="en-US"/>
        </w:rPr>
        <w:t xml:space="preserve">eltrombopag is a breast cancer resistance protein (BCRP) </w:t>
      </w:r>
      <w:r w:rsidRPr="00581A1A">
        <w:rPr>
          <w:color w:val="000000"/>
          <w:lang w:eastAsia="ja-JP"/>
        </w:rPr>
        <w:t xml:space="preserve">substrate and inhibitor. A decrease in eltrombopag exposure was observed with co-administration of 200 mg and 600 mg </w:t>
      </w:r>
      <w:r w:rsidR="004133CC">
        <w:rPr>
          <w:color w:val="000000"/>
          <w:lang w:eastAsia="ja-JP"/>
        </w:rPr>
        <w:t>cyclosporin</w:t>
      </w:r>
      <w:r w:rsidRPr="00581A1A">
        <w:rPr>
          <w:color w:val="000000"/>
          <w:lang w:eastAsia="ja-JP"/>
        </w:rPr>
        <w:t xml:space="preserve"> (a BCRP inhibitor).</w:t>
      </w:r>
      <w:r w:rsidRPr="00D94155">
        <w:rPr>
          <w:rStyle w:val="CSIchar"/>
        </w:rPr>
        <w:t xml:space="preserve"> </w:t>
      </w:r>
      <w:r w:rsidR="00441960">
        <w:t xml:space="preserve">Administration of a single dose of eltrombopag 50 mg with </w:t>
      </w:r>
      <w:r w:rsidR="00441960">
        <w:rPr>
          <w:color w:val="000000"/>
          <w:lang w:eastAsia="ja-JP"/>
        </w:rPr>
        <w:t xml:space="preserve">200 mg </w:t>
      </w:r>
      <w:r w:rsidR="004133CC">
        <w:rPr>
          <w:color w:val="000000"/>
          <w:lang w:eastAsia="ja-JP"/>
        </w:rPr>
        <w:t>cyclosporin</w:t>
      </w:r>
      <w:r w:rsidR="00441960">
        <w:rPr>
          <w:color w:val="000000"/>
          <w:lang w:eastAsia="ja-JP"/>
        </w:rPr>
        <w:t xml:space="preserve"> (a BCRP inhibitor) decreased the C</w:t>
      </w:r>
      <w:r w:rsidR="00441960" w:rsidRPr="00330815">
        <w:rPr>
          <w:color w:val="000000"/>
          <w:vertAlign w:val="subscript"/>
          <w:lang w:eastAsia="ja-JP"/>
        </w:rPr>
        <w:t>max</w:t>
      </w:r>
      <w:r w:rsidR="00441960">
        <w:rPr>
          <w:color w:val="000000"/>
          <w:lang w:eastAsia="ja-JP"/>
        </w:rPr>
        <w:t xml:space="preserve"> and the </w:t>
      </w:r>
      <w:r w:rsidR="00330815">
        <w:rPr>
          <w:color w:val="000000"/>
          <w:lang w:eastAsia="ja-JP"/>
        </w:rPr>
        <w:t>AUC</w:t>
      </w:r>
      <w:r w:rsidR="00330815" w:rsidRPr="00330815">
        <w:rPr>
          <w:color w:val="000000"/>
          <w:vertAlign w:val="subscript"/>
          <w:lang w:eastAsia="ja-JP"/>
        </w:rPr>
        <w:t xml:space="preserve">0-∞ </w:t>
      </w:r>
      <w:r w:rsidR="00441960">
        <w:rPr>
          <w:color w:val="000000"/>
          <w:lang w:eastAsia="ja-JP"/>
        </w:rPr>
        <w:t>of eltrombopag by 25</w:t>
      </w:r>
      <w:r w:rsidR="00581A1A">
        <w:rPr>
          <w:color w:val="000000"/>
          <w:lang w:eastAsia="ja-JP"/>
        </w:rPr>
        <w:t xml:space="preserve"> </w:t>
      </w:r>
      <w:r w:rsidR="00441960">
        <w:rPr>
          <w:color w:val="000000"/>
          <w:lang w:eastAsia="ja-JP"/>
        </w:rPr>
        <w:t>% (90</w:t>
      </w:r>
      <w:r w:rsidR="00581A1A">
        <w:rPr>
          <w:color w:val="000000"/>
          <w:lang w:eastAsia="ja-JP"/>
        </w:rPr>
        <w:t xml:space="preserve"> </w:t>
      </w:r>
      <w:r w:rsidR="00441960">
        <w:rPr>
          <w:color w:val="000000"/>
          <w:lang w:eastAsia="ja-JP"/>
        </w:rPr>
        <w:t>% CI: 15</w:t>
      </w:r>
      <w:r w:rsidR="00581A1A">
        <w:rPr>
          <w:color w:val="000000"/>
          <w:lang w:eastAsia="ja-JP"/>
        </w:rPr>
        <w:t xml:space="preserve"> </w:t>
      </w:r>
      <w:r w:rsidR="00441960">
        <w:rPr>
          <w:color w:val="000000"/>
          <w:lang w:eastAsia="ja-JP"/>
        </w:rPr>
        <w:t>%, 35</w:t>
      </w:r>
      <w:r w:rsidR="00581A1A">
        <w:rPr>
          <w:color w:val="000000"/>
          <w:lang w:eastAsia="ja-JP"/>
        </w:rPr>
        <w:t xml:space="preserve"> </w:t>
      </w:r>
      <w:r w:rsidR="00441960">
        <w:rPr>
          <w:color w:val="000000"/>
          <w:lang w:eastAsia="ja-JP"/>
        </w:rPr>
        <w:t>%) and 18</w:t>
      </w:r>
      <w:r w:rsidR="00581A1A">
        <w:rPr>
          <w:color w:val="000000"/>
          <w:lang w:eastAsia="ja-JP"/>
        </w:rPr>
        <w:t xml:space="preserve"> </w:t>
      </w:r>
      <w:r w:rsidR="00441960">
        <w:rPr>
          <w:color w:val="000000"/>
          <w:lang w:eastAsia="ja-JP"/>
        </w:rPr>
        <w:t>% (90</w:t>
      </w:r>
      <w:r w:rsidR="00581A1A">
        <w:rPr>
          <w:color w:val="000000"/>
          <w:lang w:eastAsia="ja-JP"/>
        </w:rPr>
        <w:t xml:space="preserve"> </w:t>
      </w:r>
      <w:r w:rsidR="00441960">
        <w:rPr>
          <w:color w:val="000000"/>
          <w:lang w:eastAsia="ja-JP"/>
        </w:rPr>
        <w:t>% CI: 8</w:t>
      </w:r>
      <w:r w:rsidR="00581A1A">
        <w:rPr>
          <w:color w:val="000000"/>
          <w:lang w:eastAsia="ja-JP"/>
        </w:rPr>
        <w:t xml:space="preserve"> </w:t>
      </w:r>
      <w:r w:rsidR="00441960">
        <w:rPr>
          <w:color w:val="000000"/>
          <w:lang w:eastAsia="ja-JP"/>
        </w:rPr>
        <w:t>%, 28</w:t>
      </w:r>
      <w:r w:rsidR="00581A1A">
        <w:rPr>
          <w:color w:val="000000"/>
          <w:lang w:eastAsia="ja-JP"/>
        </w:rPr>
        <w:t xml:space="preserve"> </w:t>
      </w:r>
      <w:r w:rsidR="00441960">
        <w:rPr>
          <w:color w:val="000000"/>
          <w:lang w:eastAsia="ja-JP"/>
        </w:rPr>
        <w:t xml:space="preserve">%), respectively. The co-administration of 600 mg </w:t>
      </w:r>
      <w:r w:rsidR="004133CC">
        <w:rPr>
          <w:color w:val="000000"/>
          <w:lang w:eastAsia="ja-JP"/>
        </w:rPr>
        <w:t>cyclosporin</w:t>
      </w:r>
      <w:r w:rsidR="00441960">
        <w:rPr>
          <w:color w:val="000000"/>
          <w:lang w:eastAsia="ja-JP"/>
        </w:rPr>
        <w:t xml:space="preserve"> decreased the C</w:t>
      </w:r>
      <w:r w:rsidR="00441960" w:rsidRPr="00FF1A23">
        <w:rPr>
          <w:color w:val="000000"/>
          <w:vertAlign w:val="subscript"/>
          <w:lang w:eastAsia="ja-JP"/>
        </w:rPr>
        <w:t>max</w:t>
      </w:r>
      <w:r w:rsidR="00441960">
        <w:rPr>
          <w:color w:val="000000"/>
          <w:lang w:eastAsia="ja-JP"/>
        </w:rPr>
        <w:t xml:space="preserve"> and the AUC</w:t>
      </w:r>
      <w:r w:rsidR="00330815" w:rsidRPr="00330815">
        <w:rPr>
          <w:color w:val="000000"/>
          <w:vertAlign w:val="subscript"/>
          <w:lang w:eastAsia="ja-JP"/>
        </w:rPr>
        <w:t>0-∞</w:t>
      </w:r>
      <w:r w:rsidR="00441960" w:rsidRPr="00330815">
        <w:rPr>
          <w:color w:val="000000"/>
          <w:vertAlign w:val="subscript"/>
          <w:lang w:eastAsia="ja-JP"/>
        </w:rPr>
        <w:t xml:space="preserve"> </w:t>
      </w:r>
      <w:r w:rsidR="00441960">
        <w:rPr>
          <w:color w:val="000000"/>
          <w:lang w:eastAsia="ja-JP"/>
        </w:rPr>
        <w:t>of eltrombopag by 39</w:t>
      </w:r>
      <w:r w:rsidR="00581A1A">
        <w:rPr>
          <w:color w:val="000000"/>
          <w:lang w:eastAsia="ja-JP"/>
        </w:rPr>
        <w:t xml:space="preserve"> </w:t>
      </w:r>
      <w:r w:rsidR="00441960">
        <w:rPr>
          <w:color w:val="000000"/>
          <w:lang w:eastAsia="ja-JP"/>
        </w:rPr>
        <w:t>% (90</w:t>
      </w:r>
      <w:r w:rsidR="00581A1A">
        <w:rPr>
          <w:color w:val="000000"/>
          <w:lang w:eastAsia="ja-JP"/>
        </w:rPr>
        <w:t xml:space="preserve"> </w:t>
      </w:r>
      <w:r w:rsidR="00441960">
        <w:rPr>
          <w:color w:val="000000"/>
          <w:lang w:eastAsia="ja-JP"/>
        </w:rPr>
        <w:t>% CI: 30</w:t>
      </w:r>
      <w:r w:rsidR="00581A1A">
        <w:rPr>
          <w:color w:val="000000"/>
          <w:lang w:eastAsia="ja-JP"/>
        </w:rPr>
        <w:t xml:space="preserve"> </w:t>
      </w:r>
      <w:r w:rsidR="00441960">
        <w:rPr>
          <w:color w:val="000000"/>
          <w:lang w:eastAsia="ja-JP"/>
        </w:rPr>
        <w:t>%, 47</w:t>
      </w:r>
      <w:r w:rsidR="00581A1A">
        <w:rPr>
          <w:color w:val="000000"/>
          <w:lang w:eastAsia="ja-JP"/>
        </w:rPr>
        <w:t xml:space="preserve"> </w:t>
      </w:r>
      <w:r w:rsidR="00441960">
        <w:rPr>
          <w:color w:val="000000"/>
          <w:lang w:eastAsia="ja-JP"/>
        </w:rPr>
        <w:t>%) and 24% (90</w:t>
      </w:r>
      <w:r w:rsidR="00581A1A">
        <w:rPr>
          <w:color w:val="000000"/>
          <w:lang w:eastAsia="ja-JP"/>
        </w:rPr>
        <w:t xml:space="preserve"> </w:t>
      </w:r>
      <w:r w:rsidR="00441960">
        <w:rPr>
          <w:color w:val="000000"/>
          <w:lang w:eastAsia="ja-JP"/>
        </w:rPr>
        <w:t>% CI: 14</w:t>
      </w:r>
      <w:r w:rsidR="00581A1A">
        <w:rPr>
          <w:color w:val="000000"/>
          <w:lang w:eastAsia="ja-JP"/>
        </w:rPr>
        <w:t xml:space="preserve"> </w:t>
      </w:r>
      <w:r w:rsidR="00441960">
        <w:rPr>
          <w:color w:val="000000"/>
          <w:lang w:eastAsia="ja-JP"/>
        </w:rPr>
        <w:t>%, 32</w:t>
      </w:r>
      <w:r w:rsidR="00581A1A">
        <w:rPr>
          <w:color w:val="000000"/>
          <w:lang w:eastAsia="ja-JP"/>
        </w:rPr>
        <w:t xml:space="preserve"> </w:t>
      </w:r>
      <w:r w:rsidR="00441960">
        <w:rPr>
          <w:color w:val="000000"/>
          <w:lang w:eastAsia="ja-JP"/>
        </w:rPr>
        <w:t xml:space="preserve">%), respectively. </w:t>
      </w:r>
      <w:r w:rsidR="00130E9F" w:rsidRPr="00130E9F">
        <w:rPr>
          <w:color w:val="000000"/>
          <w:lang w:eastAsia="ja-JP"/>
        </w:rPr>
        <w:t xml:space="preserve">This decrease in exposure is not considered clinically meaningful. Eltrombopag dose adjustment is permitted during the course of </w:t>
      </w:r>
      <w:r w:rsidR="00130E9F" w:rsidRPr="00130E9F">
        <w:rPr>
          <w:color w:val="000000"/>
          <w:lang w:eastAsia="ja-JP"/>
        </w:rPr>
        <w:lastRenderedPageBreak/>
        <w:t xml:space="preserve">the treatment based on the patient’s platelet count (see DOSAGE AND ADMINISTRATION). </w:t>
      </w:r>
      <w:r w:rsidRPr="00581A1A">
        <w:rPr>
          <w:color w:val="000000"/>
          <w:lang w:eastAsia="ja-JP"/>
        </w:rPr>
        <w:t>Platelet count should be monitored at least weekly for 2 to 3 weeks when eltrombopag is co-administered with cyclosporin. Eltrombopag dose may need to be increased based on these platelet counts.</w:t>
      </w:r>
    </w:p>
    <w:p w14:paraId="1E951232" w14:textId="77777777" w:rsidR="00E60C99" w:rsidRPr="00581A1A" w:rsidRDefault="00E60C99" w:rsidP="00581A1A">
      <w:pPr>
        <w:jc w:val="both"/>
        <w:rPr>
          <w:color w:val="000000"/>
          <w:lang w:eastAsia="ja-JP"/>
        </w:rPr>
      </w:pPr>
    </w:p>
    <w:p w14:paraId="5553BC1B" w14:textId="4FB2A094" w:rsidR="0083330E" w:rsidRPr="004553F8" w:rsidRDefault="006C4A20" w:rsidP="004553F8">
      <w:pPr>
        <w:pStyle w:val="Heading2"/>
        <w:spacing w:before="120" w:after="240" w:line="276" w:lineRule="auto"/>
        <w:jc w:val="left"/>
        <w:rPr>
          <w:rFonts w:eastAsiaTheme="minorHAnsi"/>
          <w:caps/>
          <w:sz w:val="30"/>
          <w:lang w:val="en-GB"/>
        </w:rPr>
      </w:pPr>
      <w:r w:rsidRPr="004553F8">
        <w:rPr>
          <w:rFonts w:eastAsiaTheme="minorHAnsi"/>
          <w:caps/>
          <w:sz w:val="30"/>
          <w:lang w:val="en-GB"/>
        </w:rPr>
        <w:t>AD</w:t>
      </w:r>
      <w:smartTag w:uri="schemas-GSKSiteLocations-com/fourthcoffee" w:element="flavor">
        <w:r w:rsidRPr="004553F8">
          <w:rPr>
            <w:rFonts w:eastAsiaTheme="minorHAnsi"/>
            <w:caps/>
            <w:sz w:val="30"/>
            <w:lang w:val="en-GB"/>
          </w:rPr>
          <w:t>VER</w:t>
        </w:r>
      </w:smartTag>
      <w:r w:rsidRPr="004553F8">
        <w:rPr>
          <w:rFonts w:eastAsiaTheme="minorHAnsi"/>
          <w:caps/>
          <w:sz w:val="30"/>
          <w:lang w:val="en-GB"/>
        </w:rPr>
        <w:t xml:space="preserve">SE </w:t>
      </w:r>
      <w:r w:rsidR="002B46E2" w:rsidRPr="004553F8">
        <w:rPr>
          <w:rFonts w:eastAsiaTheme="minorHAnsi"/>
          <w:caps/>
          <w:sz w:val="30"/>
          <w:lang w:val="en-GB"/>
        </w:rPr>
        <w:t>EFFECTS</w:t>
      </w:r>
    </w:p>
    <w:p w14:paraId="5553BC1D" w14:textId="77777777" w:rsidR="006C4A20" w:rsidRPr="004553F8" w:rsidRDefault="0083330E" w:rsidP="004553F8">
      <w:pPr>
        <w:spacing w:after="120"/>
        <w:rPr>
          <w:b/>
          <w:u w:val="single"/>
        </w:rPr>
      </w:pPr>
      <w:r w:rsidRPr="004553F8">
        <w:rPr>
          <w:b/>
          <w:u w:val="single"/>
        </w:rPr>
        <w:t>C</w:t>
      </w:r>
      <w:r w:rsidR="006C4A20" w:rsidRPr="004553F8">
        <w:rPr>
          <w:b/>
          <w:u w:val="single"/>
        </w:rPr>
        <w:t>linical Trial Data</w:t>
      </w:r>
    </w:p>
    <w:p w14:paraId="15AFD666" w14:textId="1D7048B4" w:rsidR="00503515" w:rsidRPr="00503515" w:rsidRDefault="00503515" w:rsidP="00F0067C">
      <w:pPr>
        <w:widowControl w:val="0"/>
        <w:spacing w:line="300" w:lineRule="atLeast"/>
        <w:jc w:val="both"/>
        <w:rPr>
          <w:i/>
          <w:u w:val="single"/>
        </w:rPr>
      </w:pPr>
      <w:r w:rsidRPr="00503515">
        <w:rPr>
          <w:i/>
          <w:u w:val="single"/>
        </w:rPr>
        <w:t>Chronic ITP Studies</w:t>
      </w:r>
    </w:p>
    <w:p w14:paraId="77A1D4B7" w14:textId="47FC7E7C" w:rsidR="00503515" w:rsidRDefault="00CC695D" w:rsidP="00F0067C">
      <w:pPr>
        <w:widowControl w:val="0"/>
        <w:spacing w:line="300" w:lineRule="atLeast"/>
        <w:jc w:val="both"/>
      </w:pPr>
      <w:r w:rsidRPr="004553F8">
        <w:t>In the ITP studies</w:t>
      </w:r>
      <w:r w:rsidR="00CA3196" w:rsidRPr="004553F8">
        <w:t>,</w:t>
      </w:r>
      <w:r w:rsidR="004470B7" w:rsidRPr="004553F8">
        <w:t xml:space="preserve"> t</w:t>
      </w:r>
      <w:r w:rsidR="007F1764" w:rsidRPr="004553F8">
        <w:t>he safety and efficacy of REVOLADE has been demonstrated in two randomised, double-blind, placebo controlled studies (</w:t>
      </w:r>
      <w:smartTag w:uri="urn:schemas-microsoft-com:office:smarttags" w:element="stockticker">
        <w:r w:rsidR="007F1764" w:rsidRPr="004553F8">
          <w:t>TRA</w:t>
        </w:r>
      </w:smartTag>
      <w:r w:rsidR="007F1764" w:rsidRPr="004553F8">
        <w:t>102537 RAISE and TRA</w:t>
      </w:r>
      <w:r w:rsidR="00FD2546" w:rsidRPr="004553F8">
        <w:t>100773B</w:t>
      </w:r>
      <w:r w:rsidR="007F1764" w:rsidRPr="004553F8">
        <w:t xml:space="preserve">) in adults with previously treated chronic </w:t>
      </w:r>
      <w:smartTag w:uri="urn:schemas-microsoft-com:office:smarttags" w:element="stockticker">
        <w:r w:rsidR="007F1764" w:rsidRPr="004553F8">
          <w:t>ITP</w:t>
        </w:r>
      </w:smartTag>
      <w:r w:rsidR="007F1764" w:rsidRPr="004553F8">
        <w:t xml:space="preserve">. </w:t>
      </w:r>
    </w:p>
    <w:p w14:paraId="792E77B9" w14:textId="77777777" w:rsidR="000755BA" w:rsidRDefault="000755BA" w:rsidP="00F0067C">
      <w:pPr>
        <w:widowControl w:val="0"/>
        <w:spacing w:line="300" w:lineRule="atLeast"/>
        <w:jc w:val="both"/>
      </w:pPr>
    </w:p>
    <w:p w14:paraId="6F053387" w14:textId="77777777" w:rsidR="00503515" w:rsidRPr="00503515" w:rsidRDefault="00503515" w:rsidP="00F0067C">
      <w:pPr>
        <w:widowControl w:val="0"/>
        <w:spacing w:line="300" w:lineRule="atLeast"/>
        <w:jc w:val="both"/>
        <w:rPr>
          <w:u w:val="single"/>
        </w:rPr>
      </w:pPr>
      <w:r w:rsidRPr="00503515">
        <w:rPr>
          <w:u w:val="single"/>
        </w:rPr>
        <w:t>TRA102537 (RAISE)</w:t>
      </w:r>
    </w:p>
    <w:p w14:paraId="5553BC1F" w14:textId="3C76B50C" w:rsidR="0042465B" w:rsidRDefault="007F1764" w:rsidP="00F0067C">
      <w:pPr>
        <w:widowControl w:val="0"/>
        <w:spacing w:line="300" w:lineRule="atLeast"/>
        <w:jc w:val="both"/>
      </w:pPr>
      <w:r w:rsidRPr="004553F8">
        <w:t>In the RAISE study</w:t>
      </w:r>
      <w:r w:rsidR="00503515">
        <w:t>,</w:t>
      </w:r>
      <w:r w:rsidRPr="004553F8">
        <w:t xml:space="preserve"> 197</w:t>
      </w:r>
      <w:r w:rsidR="00F11F24" w:rsidRPr="004553F8">
        <w:t xml:space="preserve"> </w:t>
      </w:r>
      <w:r w:rsidRPr="004553F8">
        <w:t xml:space="preserve">subjects were randomised 2:1, REVOLADE (n=135) to placebo (n=62).  Subjects received study medication for up to 6 months.  </w:t>
      </w:r>
      <w:r w:rsidR="00B07A00">
        <w:t xml:space="preserve">See Table 5. </w:t>
      </w:r>
    </w:p>
    <w:p w14:paraId="6BA3F7EB" w14:textId="77777777" w:rsidR="00B07A00" w:rsidRPr="004553F8" w:rsidRDefault="00B07A00" w:rsidP="00F0067C">
      <w:pPr>
        <w:widowControl w:val="0"/>
        <w:spacing w:line="300" w:lineRule="atLeast"/>
        <w:jc w:val="both"/>
      </w:pPr>
    </w:p>
    <w:p w14:paraId="3E48A170" w14:textId="77777777" w:rsidR="006F0BA1" w:rsidRDefault="006F0BA1" w:rsidP="006F0BA1">
      <w:pPr>
        <w:widowControl w:val="0"/>
        <w:spacing w:line="300" w:lineRule="atLeast"/>
        <w:jc w:val="both"/>
        <w:rPr>
          <w:u w:val="single"/>
        </w:rPr>
      </w:pPr>
      <w:r w:rsidRPr="00503515">
        <w:rPr>
          <w:u w:val="single"/>
        </w:rPr>
        <w:t>TRA100773B</w:t>
      </w:r>
    </w:p>
    <w:p w14:paraId="03660C6D" w14:textId="77777777" w:rsidR="006F0BA1" w:rsidRPr="00503515" w:rsidRDefault="006F0BA1" w:rsidP="006F0BA1">
      <w:pPr>
        <w:widowControl w:val="0"/>
        <w:spacing w:line="300" w:lineRule="atLeast"/>
        <w:jc w:val="both"/>
      </w:pPr>
      <w:r w:rsidRPr="00503515">
        <w:t xml:space="preserve">In </w:t>
      </w:r>
      <w:r>
        <w:t>this study</w:t>
      </w:r>
      <w:r w:rsidRPr="00503515">
        <w:t xml:space="preserve">, 114 subjects were randomised and treated for up to 42 days with either placebo (n = 38) or REVOLADE (n = 76). </w:t>
      </w:r>
    </w:p>
    <w:p w14:paraId="5553BC20" w14:textId="77777777" w:rsidR="0042465B" w:rsidRPr="000D7D0E" w:rsidRDefault="0042465B" w:rsidP="007F1764">
      <w:pPr>
        <w:spacing w:line="300" w:lineRule="atLeast"/>
        <w:jc w:val="both"/>
        <w:rPr>
          <w:sz w:val="22"/>
          <w:szCs w:val="22"/>
        </w:rPr>
      </w:pPr>
    </w:p>
    <w:p w14:paraId="5553BC21" w14:textId="2D990625" w:rsidR="0042465B" w:rsidRPr="004138C8" w:rsidRDefault="0042465B" w:rsidP="004553F8">
      <w:pPr>
        <w:pStyle w:val="captiontable"/>
        <w:rPr>
          <w:rFonts w:cs="Arial"/>
          <w:sz w:val="24"/>
          <w:szCs w:val="24"/>
        </w:rPr>
      </w:pPr>
      <w:bookmarkStart w:id="5" w:name="_Ref212537292"/>
      <w:r w:rsidRPr="004138C8">
        <w:rPr>
          <w:rFonts w:cs="Arial"/>
          <w:sz w:val="24"/>
          <w:szCs w:val="24"/>
        </w:rPr>
        <w:t xml:space="preserve">Table </w:t>
      </w:r>
      <w:bookmarkEnd w:id="5"/>
      <w:r w:rsidR="004138C8" w:rsidRPr="004138C8">
        <w:rPr>
          <w:rFonts w:cs="Arial"/>
          <w:sz w:val="24"/>
          <w:szCs w:val="24"/>
        </w:rPr>
        <w:t>5</w:t>
      </w:r>
      <w:r w:rsidRPr="004138C8">
        <w:rPr>
          <w:rFonts w:cs="Arial"/>
          <w:sz w:val="24"/>
          <w:szCs w:val="24"/>
        </w:rPr>
        <w:tab/>
        <w:t>On-therapy A</w:t>
      </w:r>
      <w:r w:rsidR="004D6F9B" w:rsidRPr="004138C8">
        <w:rPr>
          <w:rFonts w:cs="Arial"/>
          <w:sz w:val="24"/>
          <w:szCs w:val="24"/>
        </w:rPr>
        <w:t xml:space="preserve">dverse </w:t>
      </w:r>
      <w:r w:rsidRPr="004138C8">
        <w:rPr>
          <w:rFonts w:cs="Arial"/>
          <w:sz w:val="24"/>
          <w:szCs w:val="24"/>
        </w:rPr>
        <w:t>E</w:t>
      </w:r>
      <w:r w:rsidR="004D6F9B" w:rsidRPr="004138C8">
        <w:rPr>
          <w:rFonts w:cs="Arial"/>
          <w:sz w:val="24"/>
          <w:szCs w:val="24"/>
        </w:rPr>
        <w:t>vent</w:t>
      </w:r>
      <w:r w:rsidRPr="004138C8">
        <w:rPr>
          <w:rFonts w:cs="Arial"/>
          <w:sz w:val="24"/>
          <w:szCs w:val="24"/>
        </w:rPr>
        <w:t xml:space="preserve">s reported by </w:t>
      </w:r>
      <w:r w:rsidR="00E56249" w:rsidRPr="004138C8">
        <w:rPr>
          <w:rFonts w:cs="Arial"/>
          <w:sz w:val="24"/>
          <w:szCs w:val="24"/>
        </w:rPr>
        <w:t>5</w:t>
      </w:r>
      <w:r w:rsidR="00F60B67" w:rsidRPr="004138C8">
        <w:rPr>
          <w:rFonts w:cs="Arial"/>
          <w:sz w:val="24"/>
          <w:szCs w:val="24"/>
        </w:rPr>
        <w:t xml:space="preserve"> </w:t>
      </w:r>
      <w:r w:rsidRPr="004138C8">
        <w:rPr>
          <w:rFonts w:cs="Arial"/>
          <w:sz w:val="24"/>
          <w:szCs w:val="24"/>
        </w:rPr>
        <w:t>% or More of Subjects in Either Treatment Group in RAISE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240"/>
        <w:gridCol w:w="1619"/>
      </w:tblGrid>
      <w:tr w:rsidR="0042465B" w:rsidRPr="00B53CA2" w14:paraId="5553BC24" w14:textId="77777777" w:rsidTr="00880A6F">
        <w:trPr>
          <w:tblHeader/>
        </w:trPr>
        <w:tc>
          <w:tcPr>
            <w:tcW w:w="2650" w:type="dxa"/>
            <w:tcBorders>
              <w:top w:val="single" w:sz="4" w:space="0" w:color="auto"/>
              <w:left w:val="nil"/>
              <w:bottom w:val="nil"/>
              <w:right w:val="nil"/>
            </w:tcBorders>
          </w:tcPr>
          <w:p w14:paraId="5553BC22" w14:textId="77777777" w:rsidR="0042465B" w:rsidRPr="00B53CA2" w:rsidRDefault="0042465B" w:rsidP="004553F8">
            <w:pPr>
              <w:keepNext/>
              <w:tabs>
                <w:tab w:val="left" w:pos="274"/>
                <w:tab w:val="left" w:pos="547"/>
                <w:tab w:val="left" w:pos="821"/>
                <w:tab w:val="left" w:pos="1094"/>
              </w:tabs>
              <w:spacing w:line="320" w:lineRule="atLeast"/>
              <w:rPr>
                <w:rFonts w:ascii="Arial" w:hAnsi="Arial" w:cs="Arial"/>
                <w:b/>
                <w:sz w:val="22"/>
                <w:szCs w:val="22"/>
              </w:rPr>
            </w:pPr>
            <w:r w:rsidRPr="00B53CA2">
              <w:rPr>
                <w:rFonts w:ascii="Arial" w:hAnsi="Arial" w:cs="Arial"/>
                <w:b/>
                <w:sz w:val="22"/>
                <w:szCs w:val="22"/>
              </w:rPr>
              <w:t>Preferred Term</w:t>
            </w:r>
          </w:p>
        </w:tc>
        <w:tc>
          <w:tcPr>
            <w:tcW w:w="2859" w:type="dxa"/>
            <w:gridSpan w:val="2"/>
            <w:tcBorders>
              <w:top w:val="single" w:sz="4" w:space="0" w:color="auto"/>
              <w:left w:val="nil"/>
              <w:bottom w:val="nil"/>
              <w:right w:val="nil"/>
            </w:tcBorders>
          </w:tcPr>
          <w:p w14:paraId="5553BC23"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b/>
                <w:sz w:val="22"/>
                <w:szCs w:val="22"/>
              </w:rPr>
            </w:pPr>
            <w:r w:rsidRPr="00B53CA2">
              <w:rPr>
                <w:rFonts w:ascii="Arial" w:hAnsi="Arial" w:cs="Arial"/>
                <w:b/>
                <w:sz w:val="22"/>
                <w:szCs w:val="22"/>
              </w:rPr>
              <w:t>Treatment Group, n (%)</w:t>
            </w:r>
          </w:p>
        </w:tc>
      </w:tr>
      <w:tr w:rsidR="0042465B" w:rsidRPr="00B53CA2" w14:paraId="5553BC28" w14:textId="77777777" w:rsidTr="00880A6F">
        <w:trPr>
          <w:tblHeader/>
        </w:trPr>
        <w:tc>
          <w:tcPr>
            <w:tcW w:w="2650" w:type="dxa"/>
            <w:tcBorders>
              <w:top w:val="nil"/>
              <w:left w:val="nil"/>
              <w:bottom w:val="single" w:sz="4" w:space="0" w:color="auto"/>
              <w:right w:val="nil"/>
            </w:tcBorders>
          </w:tcPr>
          <w:p w14:paraId="5553BC25" w14:textId="77777777" w:rsidR="0042465B" w:rsidRPr="00B53CA2" w:rsidRDefault="0042465B" w:rsidP="004553F8">
            <w:pPr>
              <w:keepNext/>
              <w:tabs>
                <w:tab w:val="left" w:pos="274"/>
                <w:tab w:val="left" w:pos="547"/>
                <w:tab w:val="left" w:pos="821"/>
                <w:tab w:val="left" w:pos="1094"/>
              </w:tabs>
              <w:spacing w:line="320" w:lineRule="atLeast"/>
              <w:rPr>
                <w:rFonts w:ascii="Arial" w:hAnsi="Arial" w:cs="Arial"/>
                <w:b/>
                <w:sz w:val="22"/>
                <w:szCs w:val="22"/>
              </w:rPr>
            </w:pPr>
          </w:p>
        </w:tc>
        <w:tc>
          <w:tcPr>
            <w:tcW w:w="1240" w:type="dxa"/>
            <w:tcBorders>
              <w:top w:val="nil"/>
              <w:left w:val="nil"/>
              <w:bottom w:val="single" w:sz="4" w:space="0" w:color="auto"/>
              <w:right w:val="nil"/>
            </w:tcBorders>
          </w:tcPr>
          <w:p w14:paraId="5553BC26" w14:textId="3C8D2AB2" w:rsidR="0042465B" w:rsidRPr="00B53CA2" w:rsidRDefault="001812E8" w:rsidP="00AC30F7">
            <w:pPr>
              <w:tabs>
                <w:tab w:val="left" w:pos="274"/>
                <w:tab w:val="left" w:pos="547"/>
                <w:tab w:val="left" w:pos="821"/>
                <w:tab w:val="left" w:pos="1094"/>
              </w:tabs>
              <w:spacing w:line="320" w:lineRule="atLeast"/>
              <w:jc w:val="center"/>
              <w:rPr>
                <w:rFonts w:ascii="Arial" w:hAnsi="Arial" w:cs="Arial"/>
                <w:b/>
                <w:sz w:val="22"/>
                <w:szCs w:val="22"/>
              </w:rPr>
            </w:pPr>
            <w:r w:rsidRPr="00B53CA2">
              <w:rPr>
                <w:rFonts w:ascii="Arial" w:hAnsi="Arial" w:cs="Arial"/>
                <w:b/>
                <w:sz w:val="22"/>
                <w:szCs w:val="22"/>
              </w:rPr>
              <w:t>Placebo</w:t>
            </w:r>
            <w:r w:rsidR="0042465B" w:rsidRPr="00B53CA2">
              <w:rPr>
                <w:rFonts w:ascii="Arial" w:hAnsi="Arial" w:cs="Arial"/>
                <w:b/>
                <w:sz w:val="22"/>
                <w:szCs w:val="22"/>
              </w:rPr>
              <w:br/>
            </w:r>
            <w:r w:rsidR="00AC30F7">
              <w:rPr>
                <w:rFonts w:ascii="Arial" w:hAnsi="Arial" w:cs="Arial"/>
                <w:b/>
                <w:sz w:val="22"/>
                <w:szCs w:val="22"/>
              </w:rPr>
              <w:t xml:space="preserve">n </w:t>
            </w:r>
            <w:r w:rsidR="0042465B" w:rsidRPr="00B53CA2">
              <w:rPr>
                <w:rFonts w:ascii="Arial" w:hAnsi="Arial" w:cs="Arial"/>
                <w:b/>
                <w:sz w:val="22"/>
                <w:szCs w:val="22"/>
              </w:rPr>
              <w:t>=</w:t>
            </w:r>
            <w:r w:rsidR="00AC30F7">
              <w:rPr>
                <w:rFonts w:ascii="Arial" w:hAnsi="Arial" w:cs="Arial"/>
                <w:b/>
                <w:sz w:val="22"/>
                <w:szCs w:val="22"/>
              </w:rPr>
              <w:t xml:space="preserve"> </w:t>
            </w:r>
            <w:r w:rsidR="0042465B" w:rsidRPr="00B53CA2">
              <w:rPr>
                <w:rFonts w:ascii="Arial" w:hAnsi="Arial" w:cs="Arial"/>
                <w:b/>
                <w:sz w:val="22"/>
                <w:szCs w:val="22"/>
              </w:rPr>
              <w:t>61</w:t>
            </w:r>
          </w:p>
        </w:tc>
        <w:tc>
          <w:tcPr>
            <w:tcW w:w="1619" w:type="dxa"/>
            <w:tcBorders>
              <w:top w:val="nil"/>
              <w:left w:val="nil"/>
              <w:bottom w:val="single" w:sz="4" w:space="0" w:color="auto"/>
              <w:right w:val="nil"/>
            </w:tcBorders>
          </w:tcPr>
          <w:p w14:paraId="5553BC27" w14:textId="0EABCBBA" w:rsidR="0042465B" w:rsidRPr="00B53CA2" w:rsidRDefault="00900738" w:rsidP="00AC30F7">
            <w:pPr>
              <w:tabs>
                <w:tab w:val="left" w:pos="274"/>
                <w:tab w:val="left" w:pos="547"/>
                <w:tab w:val="left" w:pos="821"/>
                <w:tab w:val="left" w:pos="1094"/>
              </w:tabs>
              <w:spacing w:line="320" w:lineRule="atLeast"/>
              <w:jc w:val="center"/>
              <w:rPr>
                <w:rFonts w:ascii="Arial" w:hAnsi="Arial" w:cs="Arial"/>
                <w:b/>
                <w:sz w:val="22"/>
                <w:szCs w:val="22"/>
              </w:rPr>
            </w:pPr>
            <w:r>
              <w:rPr>
                <w:rFonts w:ascii="Arial" w:hAnsi="Arial" w:cs="Arial"/>
                <w:b/>
                <w:sz w:val="22"/>
                <w:szCs w:val="22"/>
              </w:rPr>
              <w:t>REVOLADE</w:t>
            </w:r>
            <w:r w:rsidR="0042465B" w:rsidRPr="00B53CA2">
              <w:rPr>
                <w:rFonts w:ascii="Arial" w:hAnsi="Arial" w:cs="Arial"/>
                <w:b/>
                <w:sz w:val="22"/>
                <w:szCs w:val="22"/>
              </w:rPr>
              <w:br/>
            </w:r>
            <w:r w:rsidR="00AC30F7">
              <w:rPr>
                <w:rFonts w:ascii="Arial" w:hAnsi="Arial" w:cs="Arial"/>
                <w:b/>
                <w:sz w:val="22"/>
                <w:szCs w:val="22"/>
              </w:rPr>
              <w:t xml:space="preserve">n </w:t>
            </w:r>
            <w:r w:rsidR="0042465B" w:rsidRPr="00B53CA2">
              <w:rPr>
                <w:rFonts w:ascii="Arial" w:hAnsi="Arial" w:cs="Arial"/>
                <w:b/>
                <w:sz w:val="22"/>
                <w:szCs w:val="22"/>
              </w:rPr>
              <w:t>=</w:t>
            </w:r>
            <w:r w:rsidR="00AC30F7">
              <w:rPr>
                <w:rFonts w:ascii="Arial" w:hAnsi="Arial" w:cs="Arial"/>
                <w:b/>
                <w:sz w:val="22"/>
                <w:szCs w:val="22"/>
              </w:rPr>
              <w:t xml:space="preserve"> </w:t>
            </w:r>
            <w:r w:rsidR="0042465B" w:rsidRPr="00B53CA2">
              <w:rPr>
                <w:rFonts w:ascii="Arial" w:hAnsi="Arial" w:cs="Arial"/>
                <w:b/>
                <w:sz w:val="22"/>
                <w:szCs w:val="22"/>
              </w:rPr>
              <w:t>135</w:t>
            </w:r>
          </w:p>
        </w:tc>
      </w:tr>
      <w:tr w:rsidR="0042465B" w:rsidRPr="00B53CA2" w14:paraId="5553BC2C" w14:textId="77777777" w:rsidTr="00880A6F">
        <w:trPr>
          <w:tblHeader/>
        </w:trPr>
        <w:tc>
          <w:tcPr>
            <w:tcW w:w="2650" w:type="dxa"/>
            <w:tcBorders>
              <w:top w:val="single" w:sz="4" w:space="0" w:color="auto"/>
              <w:left w:val="nil"/>
              <w:bottom w:val="nil"/>
              <w:right w:val="nil"/>
            </w:tcBorders>
          </w:tcPr>
          <w:p w14:paraId="5553BC29" w14:textId="77777777" w:rsidR="0042465B" w:rsidRPr="00B53CA2" w:rsidRDefault="0042465B" w:rsidP="004553F8">
            <w:pPr>
              <w:keepNext/>
              <w:tabs>
                <w:tab w:val="left" w:pos="274"/>
                <w:tab w:val="left" w:pos="547"/>
                <w:tab w:val="left" w:pos="821"/>
                <w:tab w:val="left" w:pos="1094"/>
              </w:tabs>
              <w:spacing w:line="320" w:lineRule="atLeast"/>
              <w:rPr>
                <w:rFonts w:ascii="Arial" w:hAnsi="Arial" w:cs="Arial"/>
                <w:b/>
                <w:sz w:val="22"/>
                <w:szCs w:val="22"/>
              </w:rPr>
            </w:pPr>
            <w:r w:rsidRPr="00B53CA2">
              <w:rPr>
                <w:rFonts w:ascii="Arial" w:hAnsi="Arial" w:cs="Arial"/>
                <w:b/>
                <w:sz w:val="22"/>
                <w:szCs w:val="22"/>
              </w:rPr>
              <w:t>Subjects with Any AE</w:t>
            </w:r>
          </w:p>
        </w:tc>
        <w:tc>
          <w:tcPr>
            <w:tcW w:w="1240" w:type="dxa"/>
            <w:tcBorders>
              <w:top w:val="single" w:sz="4" w:space="0" w:color="auto"/>
              <w:left w:val="nil"/>
              <w:bottom w:val="nil"/>
              <w:right w:val="nil"/>
            </w:tcBorders>
          </w:tcPr>
          <w:p w14:paraId="5553BC2A"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56 (92)</w:t>
            </w:r>
          </w:p>
        </w:tc>
        <w:tc>
          <w:tcPr>
            <w:tcW w:w="1619" w:type="dxa"/>
            <w:tcBorders>
              <w:top w:val="single" w:sz="4" w:space="0" w:color="auto"/>
              <w:left w:val="nil"/>
              <w:bottom w:val="nil"/>
              <w:right w:val="nil"/>
            </w:tcBorders>
          </w:tcPr>
          <w:p w14:paraId="5553BC2B"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118 (87)</w:t>
            </w:r>
          </w:p>
        </w:tc>
      </w:tr>
      <w:tr w:rsidR="0042465B" w:rsidRPr="00B53CA2" w14:paraId="5553BC34" w14:textId="77777777" w:rsidTr="00880A6F">
        <w:tc>
          <w:tcPr>
            <w:tcW w:w="2650" w:type="dxa"/>
            <w:tcBorders>
              <w:top w:val="nil"/>
              <w:left w:val="nil"/>
              <w:bottom w:val="nil"/>
              <w:right w:val="nil"/>
            </w:tcBorders>
          </w:tcPr>
          <w:p w14:paraId="5553BC31" w14:textId="77777777" w:rsidR="0042465B" w:rsidRPr="00B53CA2" w:rsidRDefault="0042465B" w:rsidP="004553F8">
            <w:pPr>
              <w:keepNext/>
              <w:tabs>
                <w:tab w:val="left" w:pos="274"/>
                <w:tab w:val="left" w:pos="547"/>
                <w:tab w:val="left" w:pos="821"/>
                <w:tab w:val="left" w:pos="1094"/>
              </w:tabs>
              <w:spacing w:line="320" w:lineRule="atLeast"/>
              <w:rPr>
                <w:rFonts w:ascii="Arial" w:hAnsi="Arial" w:cs="Arial"/>
                <w:sz w:val="22"/>
                <w:szCs w:val="22"/>
              </w:rPr>
            </w:pPr>
            <w:r w:rsidRPr="00B53CA2">
              <w:rPr>
                <w:rFonts w:ascii="Arial" w:hAnsi="Arial" w:cs="Arial"/>
                <w:sz w:val="22"/>
                <w:szCs w:val="22"/>
              </w:rPr>
              <w:t>Diarrhoea</w:t>
            </w:r>
          </w:p>
        </w:tc>
        <w:tc>
          <w:tcPr>
            <w:tcW w:w="1240" w:type="dxa"/>
            <w:tcBorders>
              <w:top w:val="nil"/>
              <w:left w:val="nil"/>
              <w:bottom w:val="nil"/>
              <w:right w:val="nil"/>
            </w:tcBorders>
          </w:tcPr>
          <w:p w14:paraId="5553BC32"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6 (10)</w:t>
            </w:r>
          </w:p>
        </w:tc>
        <w:tc>
          <w:tcPr>
            <w:tcW w:w="1619" w:type="dxa"/>
            <w:tcBorders>
              <w:top w:val="nil"/>
              <w:left w:val="nil"/>
              <w:bottom w:val="nil"/>
              <w:right w:val="nil"/>
            </w:tcBorders>
          </w:tcPr>
          <w:p w14:paraId="5553BC33"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17 (13)</w:t>
            </w:r>
          </w:p>
        </w:tc>
      </w:tr>
      <w:tr w:rsidR="0042465B" w:rsidRPr="00B53CA2" w14:paraId="5553BC38" w14:textId="77777777" w:rsidTr="00880A6F">
        <w:tc>
          <w:tcPr>
            <w:tcW w:w="2650" w:type="dxa"/>
            <w:tcBorders>
              <w:top w:val="nil"/>
              <w:left w:val="nil"/>
              <w:bottom w:val="nil"/>
              <w:right w:val="nil"/>
            </w:tcBorders>
          </w:tcPr>
          <w:p w14:paraId="5553BC35" w14:textId="77777777" w:rsidR="0042465B" w:rsidRPr="00B53CA2" w:rsidRDefault="0042465B" w:rsidP="004553F8">
            <w:pPr>
              <w:keepNext/>
              <w:tabs>
                <w:tab w:val="left" w:pos="274"/>
                <w:tab w:val="left" w:pos="547"/>
                <w:tab w:val="left" w:pos="821"/>
                <w:tab w:val="left" w:pos="1094"/>
              </w:tabs>
              <w:spacing w:line="320" w:lineRule="atLeast"/>
              <w:rPr>
                <w:rFonts w:ascii="Arial" w:hAnsi="Arial" w:cs="Arial"/>
                <w:sz w:val="22"/>
                <w:szCs w:val="22"/>
              </w:rPr>
            </w:pPr>
            <w:r w:rsidRPr="00B53CA2">
              <w:rPr>
                <w:rFonts w:ascii="Arial" w:hAnsi="Arial" w:cs="Arial"/>
                <w:sz w:val="22"/>
                <w:szCs w:val="22"/>
              </w:rPr>
              <w:t>Nausea</w:t>
            </w:r>
          </w:p>
        </w:tc>
        <w:tc>
          <w:tcPr>
            <w:tcW w:w="1240" w:type="dxa"/>
            <w:tcBorders>
              <w:top w:val="nil"/>
              <w:left w:val="nil"/>
              <w:bottom w:val="nil"/>
              <w:right w:val="nil"/>
            </w:tcBorders>
          </w:tcPr>
          <w:p w14:paraId="5553BC36"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4 (7)</w:t>
            </w:r>
          </w:p>
        </w:tc>
        <w:tc>
          <w:tcPr>
            <w:tcW w:w="1619" w:type="dxa"/>
            <w:tcBorders>
              <w:top w:val="nil"/>
              <w:left w:val="nil"/>
              <w:bottom w:val="nil"/>
              <w:right w:val="nil"/>
            </w:tcBorders>
          </w:tcPr>
          <w:p w14:paraId="5553BC37" w14:textId="77777777" w:rsidR="0042465B" w:rsidRPr="00B53CA2" w:rsidRDefault="0042465B" w:rsidP="004553F8">
            <w:pPr>
              <w:tabs>
                <w:tab w:val="left" w:pos="274"/>
                <w:tab w:val="left" w:pos="547"/>
                <w:tab w:val="left" w:pos="821"/>
                <w:tab w:val="left" w:pos="1094"/>
              </w:tabs>
              <w:spacing w:line="320" w:lineRule="atLeast"/>
              <w:jc w:val="center"/>
              <w:rPr>
                <w:rFonts w:ascii="Arial" w:hAnsi="Arial" w:cs="Arial"/>
                <w:sz w:val="22"/>
                <w:szCs w:val="22"/>
              </w:rPr>
            </w:pPr>
            <w:r w:rsidRPr="00B53CA2">
              <w:rPr>
                <w:rFonts w:ascii="Arial" w:hAnsi="Arial" w:cs="Arial"/>
                <w:sz w:val="22"/>
                <w:szCs w:val="22"/>
              </w:rPr>
              <w:t>16 (12)</w:t>
            </w:r>
          </w:p>
        </w:tc>
      </w:tr>
      <w:tr w:rsidR="00E56249" w:rsidRPr="00B53CA2" w14:paraId="5553BC3C" w14:textId="77777777" w:rsidTr="00880A6F">
        <w:tc>
          <w:tcPr>
            <w:tcW w:w="2650" w:type="dxa"/>
            <w:tcBorders>
              <w:top w:val="nil"/>
              <w:left w:val="nil"/>
              <w:bottom w:val="nil"/>
              <w:right w:val="nil"/>
            </w:tcBorders>
          </w:tcPr>
          <w:p w14:paraId="5553BC39" w14:textId="77777777" w:rsidR="00E56249" w:rsidRPr="00B53CA2" w:rsidDel="00E56249" w:rsidRDefault="00E56249" w:rsidP="004553F8">
            <w:pPr>
              <w:keepNext/>
              <w:tabs>
                <w:tab w:val="left" w:pos="274"/>
                <w:tab w:val="left" w:pos="547"/>
                <w:tab w:val="left" w:pos="821"/>
                <w:tab w:val="left" w:pos="1094"/>
              </w:tabs>
              <w:spacing w:line="320" w:lineRule="atLeast"/>
              <w:rPr>
                <w:rFonts w:ascii="Arial" w:hAnsi="Arial" w:cs="Arial"/>
                <w:sz w:val="22"/>
                <w:szCs w:val="22"/>
              </w:rPr>
            </w:pPr>
            <w:r>
              <w:rPr>
                <w:rFonts w:ascii="Arial" w:hAnsi="Arial" w:cs="Arial"/>
                <w:sz w:val="22"/>
                <w:szCs w:val="22"/>
              </w:rPr>
              <w:t>Vomiting</w:t>
            </w:r>
          </w:p>
        </w:tc>
        <w:tc>
          <w:tcPr>
            <w:tcW w:w="1240" w:type="dxa"/>
            <w:tcBorders>
              <w:top w:val="nil"/>
              <w:left w:val="nil"/>
              <w:bottom w:val="nil"/>
              <w:right w:val="nil"/>
            </w:tcBorders>
          </w:tcPr>
          <w:p w14:paraId="5553BC3A"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1 (2)</w:t>
            </w:r>
          </w:p>
        </w:tc>
        <w:tc>
          <w:tcPr>
            <w:tcW w:w="1619" w:type="dxa"/>
            <w:tcBorders>
              <w:top w:val="nil"/>
              <w:left w:val="nil"/>
              <w:bottom w:val="nil"/>
              <w:right w:val="nil"/>
            </w:tcBorders>
          </w:tcPr>
          <w:p w14:paraId="5553BC3B"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10 (7)</w:t>
            </w:r>
          </w:p>
        </w:tc>
      </w:tr>
      <w:tr w:rsidR="00E56249" w:rsidRPr="00B53CA2" w14:paraId="5553BC40" w14:textId="77777777" w:rsidTr="00880A6F">
        <w:tc>
          <w:tcPr>
            <w:tcW w:w="2650" w:type="dxa"/>
            <w:tcBorders>
              <w:top w:val="nil"/>
              <w:left w:val="nil"/>
              <w:bottom w:val="nil"/>
              <w:right w:val="nil"/>
            </w:tcBorders>
          </w:tcPr>
          <w:p w14:paraId="5553BC3D" w14:textId="77777777" w:rsidR="00E56249" w:rsidRPr="00B53CA2" w:rsidDel="00E56249" w:rsidRDefault="00E56249" w:rsidP="004553F8">
            <w:pPr>
              <w:keepNext/>
              <w:tabs>
                <w:tab w:val="left" w:pos="274"/>
                <w:tab w:val="left" w:pos="547"/>
                <w:tab w:val="left" w:pos="821"/>
                <w:tab w:val="left" w:pos="1094"/>
              </w:tabs>
              <w:spacing w:line="320" w:lineRule="atLeast"/>
              <w:rPr>
                <w:rFonts w:ascii="Arial" w:hAnsi="Arial" w:cs="Arial"/>
                <w:sz w:val="22"/>
                <w:szCs w:val="22"/>
              </w:rPr>
            </w:pPr>
            <w:r>
              <w:rPr>
                <w:rFonts w:ascii="Arial" w:hAnsi="Arial" w:cs="Arial"/>
                <w:sz w:val="22"/>
                <w:szCs w:val="22"/>
              </w:rPr>
              <w:t>Pharyngolaryngeal pain</w:t>
            </w:r>
          </w:p>
        </w:tc>
        <w:tc>
          <w:tcPr>
            <w:tcW w:w="1240" w:type="dxa"/>
            <w:tcBorders>
              <w:top w:val="nil"/>
              <w:left w:val="nil"/>
              <w:bottom w:val="nil"/>
              <w:right w:val="nil"/>
            </w:tcBorders>
          </w:tcPr>
          <w:p w14:paraId="5553BC3E"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3 (5)</w:t>
            </w:r>
          </w:p>
        </w:tc>
        <w:tc>
          <w:tcPr>
            <w:tcW w:w="1619" w:type="dxa"/>
            <w:tcBorders>
              <w:top w:val="nil"/>
              <w:left w:val="nil"/>
              <w:bottom w:val="nil"/>
              <w:right w:val="nil"/>
            </w:tcBorders>
          </w:tcPr>
          <w:p w14:paraId="5553BC3F"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9 (7)</w:t>
            </w:r>
          </w:p>
        </w:tc>
      </w:tr>
      <w:tr w:rsidR="00E56249" w:rsidRPr="00B53CA2" w14:paraId="5553BC44" w14:textId="77777777" w:rsidTr="00880A6F">
        <w:tc>
          <w:tcPr>
            <w:tcW w:w="2650" w:type="dxa"/>
            <w:tcBorders>
              <w:top w:val="nil"/>
              <w:left w:val="nil"/>
              <w:bottom w:val="nil"/>
              <w:right w:val="nil"/>
            </w:tcBorders>
          </w:tcPr>
          <w:p w14:paraId="5553BC41" w14:textId="77777777" w:rsidR="00E56249" w:rsidRPr="00B53CA2" w:rsidDel="00E56249" w:rsidRDefault="00E56249" w:rsidP="004553F8">
            <w:pPr>
              <w:keepNext/>
              <w:tabs>
                <w:tab w:val="left" w:pos="274"/>
                <w:tab w:val="left" w:pos="547"/>
                <w:tab w:val="left" w:pos="821"/>
                <w:tab w:val="left" w:pos="1094"/>
              </w:tabs>
              <w:spacing w:line="320" w:lineRule="atLeast"/>
              <w:rPr>
                <w:rFonts w:ascii="Arial" w:hAnsi="Arial" w:cs="Arial"/>
                <w:sz w:val="22"/>
                <w:szCs w:val="22"/>
              </w:rPr>
            </w:pPr>
            <w:r>
              <w:rPr>
                <w:rFonts w:ascii="Arial" w:hAnsi="Arial" w:cs="Arial"/>
                <w:sz w:val="22"/>
                <w:szCs w:val="22"/>
              </w:rPr>
              <w:t>Myalgia</w:t>
            </w:r>
          </w:p>
        </w:tc>
        <w:tc>
          <w:tcPr>
            <w:tcW w:w="1240" w:type="dxa"/>
            <w:tcBorders>
              <w:top w:val="nil"/>
              <w:left w:val="nil"/>
              <w:bottom w:val="nil"/>
              <w:right w:val="nil"/>
            </w:tcBorders>
          </w:tcPr>
          <w:p w14:paraId="5553BC42"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2 (3)</w:t>
            </w:r>
          </w:p>
        </w:tc>
        <w:tc>
          <w:tcPr>
            <w:tcW w:w="1619" w:type="dxa"/>
            <w:tcBorders>
              <w:top w:val="nil"/>
              <w:left w:val="nil"/>
              <w:bottom w:val="nil"/>
              <w:right w:val="nil"/>
            </w:tcBorders>
          </w:tcPr>
          <w:p w14:paraId="5553BC43"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8 (6)</w:t>
            </w:r>
          </w:p>
        </w:tc>
      </w:tr>
      <w:tr w:rsidR="00E56249" w:rsidRPr="00B53CA2" w14:paraId="5553BC48" w14:textId="77777777" w:rsidTr="00880A6F">
        <w:tc>
          <w:tcPr>
            <w:tcW w:w="2650" w:type="dxa"/>
            <w:tcBorders>
              <w:top w:val="nil"/>
              <w:left w:val="nil"/>
              <w:bottom w:val="nil"/>
              <w:right w:val="nil"/>
            </w:tcBorders>
          </w:tcPr>
          <w:p w14:paraId="5553BC45" w14:textId="77777777" w:rsidR="00E56249" w:rsidRPr="00B53CA2" w:rsidDel="00E56249" w:rsidRDefault="00E56249" w:rsidP="004553F8">
            <w:pPr>
              <w:keepNext/>
              <w:tabs>
                <w:tab w:val="left" w:pos="274"/>
                <w:tab w:val="left" w:pos="547"/>
                <w:tab w:val="left" w:pos="821"/>
                <w:tab w:val="left" w:pos="1094"/>
              </w:tabs>
              <w:spacing w:line="320" w:lineRule="atLeast"/>
              <w:rPr>
                <w:rFonts w:ascii="Arial" w:hAnsi="Arial" w:cs="Arial"/>
                <w:sz w:val="22"/>
                <w:szCs w:val="22"/>
              </w:rPr>
            </w:pPr>
            <w:r>
              <w:rPr>
                <w:rFonts w:ascii="Arial" w:hAnsi="Arial" w:cs="Arial"/>
                <w:sz w:val="22"/>
                <w:szCs w:val="22"/>
              </w:rPr>
              <w:t>Pharyngitis</w:t>
            </w:r>
          </w:p>
        </w:tc>
        <w:tc>
          <w:tcPr>
            <w:tcW w:w="1240" w:type="dxa"/>
            <w:tcBorders>
              <w:top w:val="nil"/>
              <w:left w:val="nil"/>
              <w:bottom w:val="nil"/>
              <w:right w:val="nil"/>
            </w:tcBorders>
          </w:tcPr>
          <w:p w14:paraId="5553BC46"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1 (2)</w:t>
            </w:r>
          </w:p>
        </w:tc>
        <w:tc>
          <w:tcPr>
            <w:tcW w:w="1619" w:type="dxa"/>
            <w:tcBorders>
              <w:top w:val="nil"/>
              <w:left w:val="nil"/>
              <w:bottom w:val="nil"/>
              <w:right w:val="nil"/>
            </w:tcBorders>
          </w:tcPr>
          <w:p w14:paraId="5553BC47"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8 (6)</w:t>
            </w:r>
          </w:p>
        </w:tc>
      </w:tr>
      <w:tr w:rsidR="00E56249" w:rsidRPr="00B53CA2" w14:paraId="5553BC4C" w14:textId="77777777" w:rsidTr="00880A6F">
        <w:tc>
          <w:tcPr>
            <w:tcW w:w="2650" w:type="dxa"/>
            <w:tcBorders>
              <w:top w:val="nil"/>
              <w:left w:val="nil"/>
              <w:bottom w:val="single" w:sz="4" w:space="0" w:color="auto"/>
              <w:right w:val="nil"/>
            </w:tcBorders>
          </w:tcPr>
          <w:p w14:paraId="5553BC49" w14:textId="77777777" w:rsidR="00E56249" w:rsidRPr="00B53CA2" w:rsidDel="00E56249" w:rsidRDefault="00E56249" w:rsidP="004553F8">
            <w:pPr>
              <w:keepNext/>
              <w:tabs>
                <w:tab w:val="left" w:pos="274"/>
                <w:tab w:val="left" w:pos="547"/>
                <w:tab w:val="left" w:pos="821"/>
                <w:tab w:val="left" w:pos="1094"/>
              </w:tabs>
              <w:spacing w:line="320" w:lineRule="atLeast"/>
              <w:rPr>
                <w:rFonts w:ascii="Arial" w:hAnsi="Arial" w:cs="Arial"/>
                <w:sz w:val="22"/>
                <w:szCs w:val="22"/>
              </w:rPr>
            </w:pPr>
            <w:r>
              <w:rPr>
                <w:rFonts w:ascii="Arial" w:hAnsi="Arial" w:cs="Arial"/>
                <w:sz w:val="22"/>
                <w:szCs w:val="22"/>
              </w:rPr>
              <w:t>AST increased</w:t>
            </w:r>
          </w:p>
        </w:tc>
        <w:tc>
          <w:tcPr>
            <w:tcW w:w="1240" w:type="dxa"/>
            <w:tcBorders>
              <w:top w:val="nil"/>
              <w:left w:val="nil"/>
              <w:bottom w:val="single" w:sz="4" w:space="0" w:color="auto"/>
              <w:right w:val="nil"/>
            </w:tcBorders>
          </w:tcPr>
          <w:p w14:paraId="5553BC4A"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2 (3)</w:t>
            </w:r>
          </w:p>
        </w:tc>
        <w:tc>
          <w:tcPr>
            <w:tcW w:w="1619" w:type="dxa"/>
            <w:tcBorders>
              <w:top w:val="nil"/>
              <w:left w:val="nil"/>
              <w:bottom w:val="single" w:sz="4" w:space="0" w:color="auto"/>
              <w:right w:val="nil"/>
            </w:tcBorders>
          </w:tcPr>
          <w:p w14:paraId="5553BC4B" w14:textId="77777777" w:rsidR="00E56249" w:rsidRPr="00B53CA2" w:rsidDel="00E56249" w:rsidRDefault="00E56249" w:rsidP="004553F8">
            <w:pPr>
              <w:tabs>
                <w:tab w:val="left" w:pos="274"/>
                <w:tab w:val="left" w:pos="547"/>
                <w:tab w:val="left" w:pos="821"/>
                <w:tab w:val="left" w:pos="1094"/>
              </w:tabs>
              <w:spacing w:line="320" w:lineRule="atLeast"/>
              <w:jc w:val="center"/>
              <w:rPr>
                <w:rFonts w:ascii="Arial" w:hAnsi="Arial" w:cs="Arial"/>
                <w:sz w:val="22"/>
                <w:szCs w:val="22"/>
              </w:rPr>
            </w:pPr>
            <w:r>
              <w:rPr>
                <w:rFonts w:ascii="Arial" w:hAnsi="Arial" w:cs="Arial"/>
                <w:sz w:val="22"/>
                <w:szCs w:val="22"/>
              </w:rPr>
              <w:t>7 (5)</w:t>
            </w:r>
          </w:p>
        </w:tc>
      </w:tr>
      <w:tr w:rsidR="0042465B" w14:paraId="5553BC4E" w14:textId="77777777" w:rsidTr="00880A6F">
        <w:tc>
          <w:tcPr>
            <w:tcW w:w="5509" w:type="dxa"/>
            <w:gridSpan w:val="3"/>
            <w:tcBorders>
              <w:top w:val="single" w:sz="4" w:space="0" w:color="auto"/>
              <w:left w:val="nil"/>
              <w:bottom w:val="nil"/>
              <w:right w:val="nil"/>
            </w:tcBorders>
          </w:tcPr>
          <w:p w14:paraId="5553BC4D" w14:textId="77777777" w:rsidR="0042465B" w:rsidRDefault="0042465B" w:rsidP="004553F8">
            <w:pPr>
              <w:pStyle w:val="tablerefalpha"/>
              <w:numPr>
                <w:ilvl w:val="0"/>
                <w:numId w:val="0"/>
              </w:numPr>
              <w:tabs>
                <w:tab w:val="left" w:pos="274"/>
                <w:tab w:val="left" w:pos="547"/>
                <w:tab w:val="left" w:pos="821"/>
                <w:tab w:val="left" w:pos="1094"/>
              </w:tabs>
              <w:spacing w:line="320" w:lineRule="atLeast"/>
            </w:pPr>
          </w:p>
        </w:tc>
      </w:tr>
    </w:tbl>
    <w:p w14:paraId="3C68D9B2" w14:textId="2DD52DC2" w:rsidR="00152357" w:rsidRPr="00152357" w:rsidRDefault="00152357" w:rsidP="00503515">
      <w:pPr>
        <w:widowControl w:val="0"/>
        <w:spacing w:line="300" w:lineRule="atLeast"/>
        <w:jc w:val="both"/>
      </w:pPr>
      <w:r w:rsidRPr="00152357">
        <w:t xml:space="preserve">The adverse reactions identified in ITP subjects treated with REVOLADE are presented in Table </w:t>
      </w:r>
      <w:r w:rsidR="00527FCB">
        <w:t>6</w:t>
      </w:r>
      <w:r w:rsidRPr="00152357">
        <w:t>.</w:t>
      </w:r>
    </w:p>
    <w:p w14:paraId="20D1D347" w14:textId="77777777" w:rsidR="00152357" w:rsidRPr="00503515" w:rsidRDefault="00152357" w:rsidP="00503515">
      <w:pPr>
        <w:widowControl w:val="0"/>
        <w:spacing w:line="300" w:lineRule="atLeast"/>
        <w:jc w:val="both"/>
        <w:rPr>
          <w:u w:val="single"/>
        </w:rPr>
      </w:pPr>
    </w:p>
    <w:p w14:paraId="2E20980F" w14:textId="274AE5AA" w:rsidR="00503515" w:rsidRPr="00503515" w:rsidRDefault="00503515" w:rsidP="00503515">
      <w:pPr>
        <w:widowControl w:val="0"/>
        <w:spacing w:line="300" w:lineRule="atLeast"/>
        <w:jc w:val="both"/>
        <w:rPr>
          <w:i/>
          <w:u w:val="single"/>
        </w:rPr>
      </w:pPr>
      <w:r w:rsidRPr="00503515">
        <w:rPr>
          <w:i/>
          <w:u w:val="single"/>
        </w:rPr>
        <w:t xml:space="preserve">Thrombocytopenia in patients with HCV infection </w:t>
      </w:r>
    </w:p>
    <w:p w14:paraId="5553BC51" w14:textId="4CDB64A3" w:rsidR="00073077" w:rsidRPr="004553F8" w:rsidRDefault="0045512D" w:rsidP="00073077">
      <w:pPr>
        <w:spacing w:line="300" w:lineRule="atLeast"/>
        <w:jc w:val="both"/>
        <w:rPr>
          <w:lang w:val="en-US"/>
        </w:rPr>
      </w:pPr>
      <w:r w:rsidRPr="004553F8">
        <w:lastRenderedPageBreak/>
        <w:t>ENABLE 1 (</w:t>
      </w:r>
      <w:r w:rsidR="00276052" w:rsidRPr="004553F8">
        <w:t>TPL103922</w:t>
      </w:r>
      <w:r w:rsidR="00503515">
        <w:t>,</w:t>
      </w:r>
      <w:r w:rsidR="00276052" w:rsidRPr="004553F8">
        <w:t xml:space="preserve"> </w:t>
      </w:r>
      <w:r w:rsidRPr="004553F8">
        <w:t>N=716) and ENABLE 2 (</w:t>
      </w:r>
      <w:r w:rsidR="00276052" w:rsidRPr="004553F8">
        <w:t>TPL108390</w:t>
      </w:r>
      <w:r w:rsidR="00503515">
        <w:t>,</w:t>
      </w:r>
      <w:r w:rsidR="00276052" w:rsidRPr="004553F8">
        <w:t xml:space="preserve"> </w:t>
      </w:r>
      <w:r w:rsidRPr="004553F8">
        <w:t xml:space="preserve">N=805) were randomized, double-blind, placebo-controlled, </w:t>
      </w:r>
      <w:r w:rsidRPr="00DE25E4">
        <w:t>multicent</w:t>
      </w:r>
      <w:r w:rsidR="00E9750E">
        <w:t>re</w:t>
      </w:r>
      <w:r w:rsidRPr="004553F8">
        <w:t xml:space="preserve"> studies to assess the efficacy and safety of </w:t>
      </w:r>
      <w:r w:rsidR="00CA3196" w:rsidRPr="004553F8">
        <w:t>REVOLADE</w:t>
      </w:r>
      <w:r w:rsidRPr="004553F8">
        <w:t xml:space="preserve"> in thrombocytopenic subjects with HCV infection who were otherwise eligible to initiate antiviral therapy</w:t>
      </w:r>
      <w:r w:rsidR="001C6DB2" w:rsidRPr="004553F8">
        <w:t>.</w:t>
      </w:r>
      <w:r w:rsidR="00AC30F7">
        <w:t xml:space="preserve"> </w:t>
      </w:r>
      <w:r w:rsidR="00073077" w:rsidRPr="004553F8">
        <w:rPr>
          <w:lang w:val="en-US"/>
        </w:rPr>
        <w:t>In the HCV studies</w:t>
      </w:r>
      <w:r w:rsidR="00AC30F7">
        <w:rPr>
          <w:lang w:val="en-US"/>
        </w:rPr>
        <w:t>,</w:t>
      </w:r>
      <w:r w:rsidR="00073077" w:rsidRPr="004553F8">
        <w:rPr>
          <w:lang w:val="en-US"/>
        </w:rPr>
        <w:t xml:space="preserve"> the safety population consisted of all randomized subjects who received double-blind study drug during Part 2 of ENABLE 1 (R</w:t>
      </w:r>
      <w:r w:rsidR="00215D57" w:rsidRPr="004553F8">
        <w:rPr>
          <w:lang w:val="en-US"/>
        </w:rPr>
        <w:t>EV</w:t>
      </w:r>
      <w:r w:rsidR="00073077" w:rsidRPr="004553F8">
        <w:rPr>
          <w:lang w:val="en-US"/>
        </w:rPr>
        <w:t>O</w:t>
      </w:r>
      <w:r w:rsidR="00215D57" w:rsidRPr="004553F8">
        <w:rPr>
          <w:lang w:val="en-US"/>
        </w:rPr>
        <w:t>L</w:t>
      </w:r>
      <w:r w:rsidR="00073077" w:rsidRPr="004553F8">
        <w:rPr>
          <w:lang w:val="en-US"/>
        </w:rPr>
        <w:t xml:space="preserve">ADE treatment </w:t>
      </w:r>
      <w:r w:rsidR="00AC30F7">
        <w:rPr>
          <w:lang w:val="en-US"/>
        </w:rPr>
        <w:t>n</w:t>
      </w:r>
      <w:r w:rsidR="00B91FF9">
        <w:rPr>
          <w:lang w:val="en-US"/>
        </w:rPr>
        <w:t xml:space="preserve"> </w:t>
      </w:r>
      <w:r w:rsidR="00073077" w:rsidRPr="004553F8">
        <w:rPr>
          <w:lang w:val="en-US"/>
        </w:rPr>
        <w:t>=</w:t>
      </w:r>
      <w:r w:rsidR="00B91FF9">
        <w:rPr>
          <w:lang w:val="en-US"/>
        </w:rPr>
        <w:t xml:space="preserve"> </w:t>
      </w:r>
      <w:r w:rsidR="00073077" w:rsidRPr="004553F8">
        <w:rPr>
          <w:lang w:val="en-US"/>
        </w:rPr>
        <w:t xml:space="preserve">449, placebo </w:t>
      </w:r>
      <w:r w:rsidR="00AC30F7">
        <w:rPr>
          <w:lang w:val="en-US"/>
        </w:rPr>
        <w:t>n</w:t>
      </w:r>
      <w:r w:rsidR="00B91FF9">
        <w:rPr>
          <w:lang w:val="en-US"/>
        </w:rPr>
        <w:t xml:space="preserve"> </w:t>
      </w:r>
      <w:r w:rsidR="00073077" w:rsidRPr="004553F8">
        <w:rPr>
          <w:lang w:val="en-US"/>
        </w:rPr>
        <w:t>=</w:t>
      </w:r>
      <w:r w:rsidR="00B91FF9">
        <w:rPr>
          <w:lang w:val="en-US"/>
        </w:rPr>
        <w:t xml:space="preserve"> </w:t>
      </w:r>
      <w:r w:rsidR="00073077" w:rsidRPr="004553F8">
        <w:rPr>
          <w:lang w:val="en-US"/>
        </w:rPr>
        <w:t xml:space="preserve">232) and ENABLE 2 (REVOLADE treatment </w:t>
      </w:r>
      <w:r w:rsidR="00B91FF9">
        <w:rPr>
          <w:lang w:val="en-US"/>
        </w:rPr>
        <w:t xml:space="preserve">n </w:t>
      </w:r>
      <w:r w:rsidR="00073077" w:rsidRPr="004553F8">
        <w:rPr>
          <w:lang w:val="en-US"/>
        </w:rPr>
        <w:t>=</w:t>
      </w:r>
      <w:r w:rsidR="00B91FF9">
        <w:rPr>
          <w:lang w:val="en-US"/>
        </w:rPr>
        <w:t xml:space="preserve"> </w:t>
      </w:r>
      <w:r w:rsidR="00073077" w:rsidRPr="004553F8">
        <w:rPr>
          <w:lang w:val="en-US"/>
        </w:rPr>
        <w:t xml:space="preserve">506, placebo </w:t>
      </w:r>
      <w:r w:rsidR="00B91FF9">
        <w:rPr>
          <w:lang w:val="en-US"/>
        </w:rPr>
        <w:t xml:space="preserve">n </w:t>
      </w:r>
      <w:r w:rsidR="00073077" w:rsidRPr="004553F8">
        <w:rPr>
          <w:lang w:val="en-US"/>
        </w:rPr>
        <w:t>=</w:t>
      </w:r>
      <w:r w:rsidR="00B91FF9">
        <w:rPr>
          <w:lang w:val="en-US"/>
        </w:rPr>
        <w:t xml:space="preserve"> </w:t>
      </w:r>
      <w:r w:rsidR="00073077" w:rsidRPr="004553F8">
        <w:rPr>
          <w:lang w:val="en-US"/>
        </w:rPr>
        <w:t>252). Subjects are analysed according to the treatment received (total safety double</w:t>
      </w:r>
      <w:r w:rsidR="00B91FF9">
        <w:rPr>
          <w:lang w:val="en-US"/>
        </w:rPr>
        <w:t>-</w:t>
      </w:r>
      <w:r w:rsidR="00073077" w:rsidRPr="004553F8">
        <w:rPr>
          <w:lang w:val="en-US"/>
        </w:rPr>
        <w:t xml:space="preserve">blind population, REVOLADE </w:t>
      </w:r>
      <w:r w:rsidR="00B91FF9">
        <w:rPr>
          <w:lang w:val="en-US"/>
        </w:rPr>
        <w:t xml:space="preserve">n </w:t>
      </w:r>
      <w:r w:rsidR="00073077" w:rsidRPr="004553F8">
        <w:rPr>
          <w:lang w:val="en-US"/>
        </w:rPr>
        <w:t>=</w:t>
      </w:r>
      <w:r w:rsidR="00B91FF9">
        <w:rPr>
          <w:lang w:val="en-US"/>
        </w:rPr>
        <w:t xml:space="preserve"> </w:t>
      </w:r>
      <w:r w:rsidR="00073077" w:rsidRPr="004553F8">
        <w:rPr>
          <w:lang w:val="en-US"/>
        </w:rPr>
        <w:t xml:space="preserve">955 and placebo </w:t>
      </w:r>
      <w:r w:rsidR="00B91FF9">
        <w:rPr>
          <w:lang w:val="en-US"/>
        </w:rPr>
        <w:t xml:space="preserve">n </w:t>
      </w:r>
      <w:r w:rsidR="00073077" w:rsidRPr="004553F8">
        <w:rPr>
          <w:lang w:val="en-US"/>
        </w:rPr>
        <w:t>=</w:t>
      </w:r>
      <w:r w:rsidR="00B91FF9">
        <w:rPr>
          <w:lang w:val="en-US"/>
        </w:rPr>
        <w:t xml:space="preserve"> </w:t>
      </w:r>
      <w:r w:rsidR="00073077" w:rsidRPr="004553F8">
        <w:rPr>
          <w:lang w:val="en-US"/>
        </w:rPr>
        <w:t>484).</w:t>
      </w:r>
      <w:r w:rsidR="00152357">
        <w:rPr>
          <w:lang w:val="en-US"/>
        </w:rPr>
        <w:t xml:space="preserve"> </w:t>
      </w:r>
      <w:r w:rsidR="00152357" w:rsidRPr="00152357">
        <w:rPr>
          <w:lang w:val="en-US"/>
        </w:rPr>
        <w:t>The adverse reactions identified</w:t>
      </w:r>
      <w:r w:rsidR="00152357">
        <w:rPr>
          <w:lang w:val="en-US"/>
        </w:rPr>
        <w:t xml:space="preserve"> in the </w:t>
      </w:r>
      <w:r w:rsidR="00152357" w:rsidRPr="00152357">
        <w:rPr>
          <w:lang w:val="en-US"/>
        </w:rPr>
        <w:t xml:space="preserve">HCV </w:t>
      </w:r>
      <w:r w:rsidR="00152357">
        <w:rPr>
          <w:lang w:val="en-US"/>
        </w:rPr>
        <w:t>s</w:t>
      </w:r>
      <w:r w:rsidR="00152357" w:rsidRPr="00152357">
        <w:rPr>
          <w:lang w:val="en-US"/>
        </w:rPr>
        <w:t xml:space="preserve">tudy </w:t>
      </w:r>
      <w:r w:rsidR="00152357">
        <w:rPr>
          <w:lang w:val="en-US"/>
        </w:rPr>
        <w:t>p</w:t>
      </w:r>
      <w:r w:rsidR="00152357" w:rsidRPr="00152357">
        <w:rPr>
          <w:lang w:val="en-US"/>
        </w:rPr>
        <w:t>opulation</w:t>
      </w:r>
      <w:r w:rsidR="00152357">
        <w:rPr>
          <w:lang w:val="en-US"/>
        </w:rPr>
        <w:t>s are presented in Table</w:t>
      </w:r>
      <w:r w:rsidR="00AD77A9">
        <w:rPr>
          <w:lang w:val="en-US"/>
        </w:rPr>
        <w:t xml:space="preserve"> </w:t>
      </w:r>
      <w:r w:rsidR="006F0BA1">
        <w:rPr>
          <w:lang w:val="en-US"/>
        </w:rPr>
        <w:t>7</w:t>
      </w:r>
      <w:r w:rsidR="00152357">
        <w:rPr>
          <w:lang w:val="en-US"/>
        </w:rPr>
        <w:t xml:space="preserve">. </w:t>
      </w:r>
    </w:p>
    <w:p w14:paraId="5553BC52" w14:textId="77777777" w:rsidR="00073077" w:rsidRPr="004553F8" w:rsidRDefault="00073077" w:rsidP="0045512D">
      <w:pPr>
        <w:spacing w:line="300" w:lineRule="atLeast"/>
        <w:jc w:val="both"/>
      </w:pPr>
    </w:p>
    <w:p w14:paraId="0A1841C4" w14:textId="3DFA43F5" w:rsidR="00152357" w:rsidRPr="00152357" w:rsidRDefault="00152357" w:rsidP="00152357">
      <w:pPr>
        <w:widowControl w:val="0"/>
        <w:spacing w:line="300" w:lineRule="atLeast"/>
        <w:jc w:val="both"/>
        <w:rPr>
          <w:i/>
          <w:u w:val="single"/>
        </w:rPr>
      </w:pPr>
      <w:r w:rsidRPr="00152357">
        <w:rPr>
          <w:i/>
          <w:u w:val="single"/>
        </w:rPr>
        <w:t xml:space="preserve">Severe aplastic anaemia </w:t>
      </w:r>
    </w:p>
    <w:p w14:paraId="5553BC53" w14:textId="1DD67ADC" w:rsidR="00E92A05" w:rsidRPr="00DE25E4" w:rsidRDefault="00E92A05" w:rsidP="0045512D">
      <w:pPr>
        <w:spacing w:line="300" w:lineRule="atLeast"/>
        <w:jc w:val="both"/>
      </w:pPr>
      <w:r w:rsidRPr="00DE25E4">
        <w:t>The safety of REVOLADE in severe aplastic anaemia was assessed in a single-arm, open-label trial (</w:t>
      </w:r>
      <w:r w:rsidR="00B91FF9">
        <w:t xml:space="preserve">n </w:t>
      </w:r>
      <w:r w:rsidRPr="00DE25E4">
        <w:t>=</w:t>
      </w:r>
      <w:r w:rsidR="00B91FF9">
        <w:t xml:space="preserve"> </w:t>
      </w:r>
      <w:r w:rsidRPr="00DE25E4">
        <w:t xml:space="preserve">43) in which </w:t>
      </w:r>
      <w:r w:rsidR="004C5532" w:rsidRPr="00DE25E4">
        <w:t>12</w:t>
      </w:r>
      <w:r w:rsidRPr="00DE25E4">
        <w:t xml:space="preserve"> patients (2</w:t>
      </w:r>
      <w:r w:rsidR="004C5532" w:rsidRPr="00DE25E4">
        <w:t>8</w:t>
      </w:r>
      <w:r w:rsidRPr="00DE25E4">
        <w:t xml:space="preserve"> %) were treated for &gt; 6 months and </w:t>
      </w:r>
      <w:r w:rsidR="004C5532" w:rsidRPr="00DE25E4">
        <w:t>9</w:t>
      </w:r>
      <w:r w:rsidRPr="00DE25E4">
        <w:t xml:space="preserve"> patients (</w:t>
      </w:r>
      <w:r w:rsidR="004C5532" w:rsidRPr="00DE25E4">
        <w:t>21</w:t>
      </w:r>
      <w:r w:rsidRPr="00DE25E4">
        <w:t xml:space="preserve"> %) were treated for &gt; 1 year.</w:t>
      </w:r>
      <w:r w:rsidR="00152357">
        <w:t xml:space="preserve"> </w:t>
      </w:r>
      <w:r w:rsidR="00152357" w:rsidRPr="00152357">
        <w:t>The adverse reactions identified in the</w:t>
      </w:r>
      <w:r w:rsidR="00152357">
        <w:t xml:space="preserve"> SAA study population are presented in Table </w:t>
      </w:r>
      <w:r w:rsidR="00E10A80">
        <w:t>8</w:t>
      </w:r>
      <w:r w:rsidR="00152357">
        <w:t xml:space="preserve">. </w:t>
      </w:r>
    </w:p>
    <w:p w14:paraId="5553BC54" w14:textId="77777777" w:rsidR="00E92A05" w:rsidRPr="00DE25E4" w:rsidRDefault="00E92A05" w:rsidP="0045512D">
      <w:pPr>
        <w:spacing w:line="300" w:lineRule="atLeast"/>
        <w:jc w:val="both"/>
      </w:pPr>
    </w:p>
    <w:p w14:paraId="310C2EF7" w14:textId="77777777" w:rsidR="00152357" w:rsidRDefault="00152357" w:rsidP="007F1764">
      <w:pPr>
        <w:spacing w:line="300" w:lineRule="atLeast"/>
        <w:jc w:val="both"/>
      </w:pPr>
      <w:r>
        <w:t xml:space="preserve">The most undesirable reactions associated with REVOLADE were mild to moderate in severity, early in onset and rarely treatment limiting. </w:t>
      </w:r>
    </w:p>
    <w:p w14:paraId="322D20E6" w14:textId="77777777" w:rsidR="00152357" w:rsidRDefault="00152357" w:rsidP="007F1764">
      <w:pPr>
        <w:spacing w:line="300" w:lineRule="atLeast"/>
        <w:jc w:val="both"/>
      </w:pPr>
    </w:p>
    <w:p w14:paraId="5553BC55" w14:textId="3B727CDE" w:rsidR="007F1764" w:rsidRPr="004553F8" w:rsidRDefault="007F1764" w:rsidP="006D75C7">
      <w:pPr>
        <w:widowControl w:val="0"/>
        <w:spacing w:line="300" w:lineRule="atLeast"/>
        <w:jc w:val="both"/>
      </w:pPr>
      <w:r w:rsidRPr="004553F8">
        <w:t xml:space="preserve">Adverse reactions </w:t>
      </w:r>
      <w:r w:rsidR="00AC79A0" w:rsidRPr="004553F8">
        <w:t xml:space="preserve">considered as possibly related to REVOLADE </w:t>
      </w:r>
      <w:r w:rsidRPr="004553F8">
        <w:t>are listed below by MedDRA body system organ class and by frequency. The frequency categories used are:</w:t>
      </w:r>
    </w:p>
    <w:p w14:paraId="5553BC56" w14:textId="77777777" w:rsidR="007F1764" w:rsidRPr="004553F8" w:rsidRDefault="007F1764" w:rsidP="007F1764">
      <w:pPr>
        <w:spacing w:line="300" w:lineRule="atLeast"/>
        <w:jc w:val="both"/>
      </w:pPr>
    </w:p>
    <w:p w14:paraId="5553BC57" w14:textId="77777777" w:rsidR="007F1764" w:rsidRPr="004553F8" w:rsidRDefault="007F1764" w:rsidP="00E10A80">
      <w:pPr>
        <w:widowControl w:val="0"/>
        <w:spacing w:line="300" w:lineRule="atLeast"/>
        <w:jc w:val="both"/>
      </w:pPr>
      <w:r w:rsidRPr="004553F8">
        <w:t>Very common</w:t>
      </w:r>
      <w:r w:rsidRPr="004553F8">
        <w:tab/>
      </w:r>
      <w:r w:rsidRPr="004553F8">
        <w:tab/>
      </w:r>
      <w:r w:rsidRPr="004553F8">
        <w:sym w:font="Symbol" w:char="F0B3"/>
      </w:r>
      <w:r w:rsidRPr="004553F8">
        <w:t xml:space="preserve"> 1 in 10</w:t>
      </w:r>
    </w:p>
    <w:p w14:paraId="5553BC58" w14:textId="77777777" w:rsidR="007F1764" w:rsidRPr="004553F8" w:rsidRDefault="007F1764" w:rsidP="00E10A80">
      <w:pPr>
        <w:widowControl w:val="0"/>
        <w:spacing w:line="300" w:lineRule="atLeast"/>
        <w:jc w:val="both"/>
      </w:pPr>
      <w:r w:rsidRPr="004553F8">
        <w:t>Common</w:t>
      </w:r>
      <w:r w:rsidRPr="004553F8">
        <w:tab/>
      </w:r>
      <w:r w:rsidRPr="004553F8">
        <w:tab/>
      </w:r>
      <w:r w:rsidRPr="004553F8">
        <w:sym w:font="Symbol" w:char="F0B3"/>
      </w:r>
      <w:r w:rsidRPr="004553F8">
        <w:t xml:space="preserve"> 1 in 100 and &lt; 1 in 10</w:t>
      </w:r>
    </w:p>
    <w:p w14:paraId="5553BC59" w14:textId="77777777" w:rsidR="007F1764" w:rsidRPr="004553F8" w:rsidRDefault="007F1764" w:rsidP="00E10A80">
      <w:pPr>
        <w:widowControl w:val="0"/>
        <w:spacing w:line="300" w:lineRule="atLeast"/>
        <w:jc w:val="both"/>
      </w:pPr>
      <w:r w:rsidRPr="004553F8">
        <w:t>Uncommon</w:t>
      </w:r>
      <w:r w:rsidRPr="004553F8">
        <w:tab/>
      </w:r>
      <w:r w:rsidRPr="004553F8">
        <w:tab/>
      </w:r>
      <w:r w:rsidRPr="004553F8">
        <w:sym w:font="Symbol" w:char="F0B3"/>
      </w:r>
      <w:r w:rsidRPr="004553F8">
        <w:t xml:space="preserve"> 1 in 1,000 and &lt; 1 in 100</w:t>
      </w:r>
    </w:p>
    <w:p w14:paraId="5553BC5A" w14:textId="77777777" w:rsidR="007F1764" w:rsidRPr="004553F8" w:rsidRDefault="007F1764" w:rsidP="00E10A80">
      <w:pPr>
        <w:widowControl w:val="0"/>
        <w:spacing w:line="300" w:lineRule="atLeast"/>
        <w:jc w:val="both"/>
      </w:pPr>
      <w:r w:rsidRPr="004553F8">
        <w:t>Rare</w:t>
      </w:r>
      <w:r w:rsidRPr="004553F8">
        <w:tab/>
      </w:r>
      <w:r w:rsidRPr="004553F8">
        <w:tab/>
      </w:r>
      <w:r w:rsidRPr="004553F8">
        <w:tab/>
      </w:r>
      <w:r w:rsidRPr="004553F8">
        <w:sym w:font="Symbol" w:char="F0B3"/>
      </w:r>
      <w:r w:rsidRPr="004553F8">
        <w:t xml:space="preserve"> 1 in 10,000 and &lt; 1 in 1,000</w:t>
      </w:r>
    </w:p>
    <w:p w14:paraId="5553BC5B" w14:textId="77777777" w:rsidR="007F1764" w:rsidRPr="004553F8" w:rsidRDefault="007F1764" w:rsidP="007F1764">
      <w:pPr>
        <w:spacing w:line="300" w:lineRule="atLeast"/>
        <w:jc w:val="both"/>
      </w:pPr>
    </w:p>
    <w:p w14:paraId="5553BC5E" w14:textId="48341AEB" w:rsidR="00040CD7" w:rsidRPr="004138C8" w:rsidRDefault="00F60B67" w:rsidP="004553F8">
      <w:pPr>
        <w:spacing w:after="120" w:line="300" w:lineRule="atLeast"/>
        <w:rPr>
          <w:rFonts w:ascii="Arial" w:hAnsi="Arial" w:cs="Arial"/>
          <w:b/>
          <w:lang w:val="en-GB" w:eastAsia="ja-JP"/>
        </w:rPr>
      </w:pPr>
      <w:r w:rsidRPr="004138C8">
        <w:rPr>
          <w:rFonts w:ascii="Arial" w:hAnsi="Arial" w:cs="Arial"/>
          <w:b/>
          <w:lang w:val="en-GB" w:eastAsia="ja-JP"/>
        </w:rPr>
        <w:t xml:space="preserve">Table </w:t>
      </w:r>
      <w:r w:rsidR="004138C8" w:rsidRPr="004138C8">
        <w:rPr>
          <w:rFonts w:ascii="Arial" w:hAnsi="Arial" w:cs="Arial"/>
          <w:b/>
          <w:lang w:val="en-GB" w:eastAsia="ja-JP"/>
        </w:rPr>
        <w:t>6</w:t>
      </w:r>
      <w:r w:rsidRPr="004138C8">
        <w:rPr>
          <w:rFonts w:ascii="Arial" w:hAnsi="Arial" w:cs="Arial"/>
          <w:b/>
          <w:lang w:val="en-GB" w:eastAsia="ja-JP"/>
        </w:rPr>
        <w:tab/>
        <w:t xml:space="preserve">ITP study population Adverse Events </w:t>
      </w:r>
    </w:p>
    <w:p w14:paraId="5553BC60" w14:textId="77777777" w:rsidR="007F1764" w:rsidRPr="00960A99" w:rsidRDefault="007F1764" w:rsidP="00960A99">
      <w:pPr>
        <w:spacing w:before="120"/>
        <w:rPr>
          <w:rFonts w:ascii="Arial" w:hAnsi="Arial" w:cs="Arial"/>
          <w:b/>
          <w:sz w:val="22"/>
          <w:szCs w:val="22"/>
          <w:lang w:val="en-GB"/>
        </w:rPr>
      </w:pPr>
      <w:r w:rsidRPr="00960A99">
        <w:rPr>
          <w:rFonts w:ascii="Arial" w:hAnsi="Arial" w:cs="Arial"/>
          <w:b/>
          <w:sz w:val="22"/>
          <w:szCs w:val="22"/>
          <w:lang w:val="en-GB"/>
        </w:rPr>
        <w:t>Infections and infestations</w:t>
      </w:r>
    </w:p>
    <w:p w14:paraId="43B32A21" w14:textId="231FBAB2" w:rsidR="00706272" w:rsidRPr="00747F8D" w:rsidRDefault="00706272" w:rsidP="00531F76">
      <w:pPr>
        <w:widowControl w:val="0"/>
        <w:spacing w:line="300" w:lineRule="atLeast"/>
        <w:jc w:val="both"/>
        <w:rPr>
          <w:rFonts w:ascii="Arial" w:hAnsi="Arial" w:cs="Arial"/>
          <w:sz w:val="22"/>
          <w:szCs w:val="22"/>
        </w:rPr>
      </w:pPr>
      <w:r w:rsidRPr="00747F8D">
        <w:rPr>
          <w:rFonts w:ascii="Arial" w:hAnsi="Arial" w:cs="Arial"/>
          <w:i/>
          <w:sz w:val="22"/>
          <w:szCs w:val="22"/>
        </w:rPr>
        <w:t>Unc</w:t>
      </w:r>
      <w:r w:rsidR="007F1764" w:rsidRPr="00747F8D">
        <w:rPr>
          <w:rFonts w:ascii="Arial" w:hAnsi="Arial" w:cs="Arial"/>
          <w:i/>
          <w:sz w:val="22"/>
          <w:szCs w:val="22"/>
        </w:rPr>
        <w:t>ommon</w:t>
      </w:r>
      <w:r w:rsidR="007F1764" w:rsidRPr="00747F8D">
        <w:rPr>
          <w:rFonts w:ascii="Arial" w:hAnsi="Arial" w:cs="Arial"/>
          <w:sz w:val="22"/>
          <w:szCs w:val="22"/>
        </w:rPr>
        <w:tab/>
      </w:r>
      <w:r w:rsidR="007F1764" w:rsidRPr="00747F8D">
        <w:rPr>
          <w:rFonts w:ascii="Arial" w:hAnsi="Arial" w:cs="Arial"/>
          <w:sz w:val="22"/>
          <w:szCs w:val="22"/>
        </w:rPr>
        <w:tab/>
        <w:t>Pharyngitis</w:t>
      </w:r>
      <w:r w:rsidR="00B43EF1" w:rsidRPr="00747F8D">
        <w:rPr>
          <w:rFonts w:ascii="Arial" w:hAnsi="Arial" w:cs="Arial"/>
          <w:sz w:val="22"/>
          <w:szCs w:val="22"/>
        </w:rPr>
        <w:t xml:space="preserve">, </w:t>
      </w:r>
      <w:r w:rsidR="00152357">
        <w:rPr>
          <w:rFonts w:ascii="Arial" w:hAnsi="Arial" w:cs="Arial"/>
          <w:sz w:val="22"/>
          <w:szCs w:val="22"/>
        </w:rPr>
        <w:t>u</w:t>
      </w:r>
      <w:r w:rsidR="007F1764" w:rsidRPr="00747F8D">
        <w:rPr>
          <w:rFonts w:ascii="Arial" w:hAnsi="Arial" w:cs="Arial"/>
          <w:sz w:val="22"/>
          <w:szCs w:val="22"/>
        </w:rPr>
        <w:t>rinary tract infection</w:t>
      </w:r>
      <w:r w:rsidRPr="00747F8D">
        <w:rPr>
          <w:rFonts w:ascii="Arial" w:hAnsi="Arial" w:cs="Arial"/>
          <w:sz w:val="22"/>
          <w:szCs w:val="22"/>
        </w:rPr>
        <w:t xml:space="preserve">, </w:t>
      </w:r>
      <w:r w:rsidR="00973ECD" w:rsidRPr="00747F8D">
        <w:rPr>
          <w:rFonts w:ascii="Arial" w:hAnsi="Arial" w:cs="Arial"/>
          <w:sz w:val="22"/>
          <w:szCs w:val="22"/>
        </w:rPr>
        <w:t>i</w:t>
      </w:r>
      <w:r w:rsidRPr="00747F8D">
        <w:rPr>
          <w:rFonts w:ascii="Arial" w:hAnsi="Arial" w:cs="Arial"/>
          <w:sz w:val="22"/>
          <w:szCs w:val="22"/>
        </w:rPr>
        <w:t xml:space="preserve">nfluenza, </w:t>
      </w:r>
      <w:r w:rsidR="00973ECD" w:rsidRPr="00747F8D">
        <w:rPr>
          <w:rFonts w:ascii="Arial" w:hAnsi="Arial" w:cs="Arial"/>
          <w:sz w:val="22"/>
          <w:szCs w:val="22"/>
        </w:rPr>
        <w:t>o</w:t>
      </w:r>
      <w:r w:rsidRPr="00747F8D">
        <w:rPr>
          <w:rFonts w:ascii="Arial" w:hAnsi="Arial" w:cs="Arial"/>
          <w:sz w:val="22"/>
          <w:szCs w:val="22"/>
        </w:rPr>
        <w:t xml:space="preserve">ral herpes, </w:t>
      </w:r>
      <w:r w:rsidR="00973ECD" w:rsidRPr="00747F8D">
        <w:rPr>
          <w:rFonts w:ascii="Arial" w:hAnsi="Arial" w:cs="Arial"/>
          <w:sz w:val="22"/>
          <w:szCs w:val="22"/>
        </w:rPr>
        <w:t>p</w:t>
      </w:r>
      <w:r w:rsidRPr="00747F8D">
        <w:rPr>
          <w:rFonts w:ascii="Arial" w:hAnsi="Arial" w:cs="Arial"/>
          <w:sz w:val="22"/>
          <w:szCs w:val="22"/>
        </w:rPr>
        <w:t xml:space="preserve">neumonia, </w:t>
      </w:r>
    </w:p>
    <w:p w14:paraId="5553BC63" w14:textId="02000649" w:rsidR="007F1764" w:rsidRPr="00747F8D" w:rsidRDefault="00706272" w:rsidP="00531F76">
      <w:pPr>
        <w:widowControl w:val="0"/>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r>
      <w:r w:rsidR="00973ECD" w:rsidRPr="00747F8D">
        <w:rPr>
          <w:rFonts w:ascii="Arial" w:hAnsi="Arial" w:cs="Arial"/>
          <w:sz w:val="22"/>
          <w:szCs w:val="22"/>
        </w:rPr>
        <w:t>s</w:t>
      </w:r>
      <w:r w:rsidRPr="00747F8D">
        <w:rPr>
          <w:rFonts w:ascii="Arial" w:hAnsi="Arial" w:cs="Arial"/>
          <w:sz w:val="22"/>
          <w:szCs w:val="22"/>
        </w:rPr>
        <w:t xml:space="preserve">inusitis, </w:t>
      </w:r>
      <w:r w:rsidR="00973ECD" w:rsidRPr="00747F8D">
        <w:rPr>
          <w:rFonts w:ascii="Arial" w:hAnsi="Arial" w:cs="Arial"/>
          <w:sz w:val="22"/>
          <w:szCs w:val="22"/>
        </w:rPr>
        <w:t>t</w:t>
      </w:r>
      <w:r w:rsidRPr="00747F8D">
        <w:rPr>
          <w:rFonts w:ascii="Arial" w:hAnsi="Arial" w:cs="Arial"/>
          <w:sz w:val="22"/>
          <w:szCs w:val="22"/>
        </w:rPr>
        <w:t xml:space="preserve">onsillitis, </w:t>
      </w:r>
      <w:r w:rsidR="00973ECD" w:rsidRPr="00747F8D">
        <w:rPr>
          <w:rFonts w:ascii="Arial" w:hAnsi="Arial" w:cs="Arial"/>
          <w:sz w:val="22"/>
          <w:szCs w:val="22"/>
        </w:rPr>
        <w:t>r</w:t>
      </w:r>
      <w:r w:rsidRPr="00747F8D">
        <w:rPr>
          <w:rFonts w:ascii="Arial" w:hAnsi="Arial" w:cs="Arial"/>
          <w:sz w:val="22"/>
          <w:szCs w:val="22"/>
        </w:rPr>
        <w:t>espiratory tract infection</w:t>
      </w:r>
    </w:p>
    <w:p w14:paraId="6DA794D2" w14:textId="5E1CC68B" w:rsidR="00706272" w:rsidRPr="00121347" w:rsidRDefault="00706272" w:rsidP="00121347">
      <w:pPr>
        <w:spacing w:before="120"/>
        <w:rPr>
          <w:rFonts w:ascii="Arial" w:hAnsi="Arial" w:cs="Arial"/>
          <w:b/>
          <w:sz w:val="22"/>
          <w:szCs w:val="22"/>
          <w:lang w:val="en-GB"/>
        </w:rPr>
      </w:pPr>
      <w:r w:rsidRPr="00121347">
        <w:rPr>
          <w:rFonts w:ascii="Arial" w:hAnsi="Arial" w:cs="Arial"/>
          <w:b/>
          <w:sz w:val="22"/>
          <w:szCs w:val="22"/>
          <w:lang w:val="en-GB"/>
        </w:rPr>
        <w:t>Neoplasms benign, malignant and unspecified (including cysts and polyps)</w:t>
      </w:r>
    </w:p>
    <w:p w14:paraId="5016E925" w14:textId="0AB2A850" w:rsidR="00706272" w:rsidRPr="00747F8D" w:rsidRDefault="00706272" w:rsidP="00706272">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 xml:space="preserve"> </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Rectosigmoid cancer</w:t>
      </w:r>
    </w:p>
    <w:p w14:paraId="4F085ADA" w14:textId="77777777" w:rsidR="00706272" w:rsidRPr="00960A99" w:rsidRDefault="00706272" w:rsidP="00960A99">
      <w:pPr>
        <w:spacing w:before="120"/>
        <w:rPr>
          <w:rFonts w:ascii="Arial" w:hAnsi="Arial" w:cs="Arial"/>
          <w:b/>
          <w:sz w:val="22"/>
          <w:szCs w:val="22"/>
          <w:lang w:val="en-GB"/>
        </w:rPr>
      </w:pPr>
      <w:r w:rsidRPr="00960A99">
        <w:rPr>
          <w:rFonts w:ascii="Arial" w:hAnsi="Arial" w:cs="Arial"/>
          <w:b/>
          <w:sz w:val="22"/>
          <w:szCs w:val="22"/>
          <w:lang w:val="en-GB"/>
        </w:rPr>
        <w:t>Blood and lymphatic system disorders</w:t>
      </w:r>
    </w:p>
    <w:p w14:paraId="5D0718E5" w14:textId="41EBD710" w:rsidR="00706272" w:rsidRPr="00747F8D" w:rsidRDefault="00706272" w:rsidP="00706272">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 xml:space="preserve"> </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Anaemia, </w:t>
      </w:r>
      <w:r w:rsidR="00973ECD" w:rsidRPr="00747F8D">
        <w:rPr>
          <w:rStyle w:val="CSIchar"/>
          <w:rFonts w:ascii="Arial" w:hAnsi="Arial" w:cs="Arial"/>
          <w:sz w:val="22"/>
          <w:szCs w:val="22"/>
          <w:shd w:val="clear" w:color="auto" w:fill="auto"/>
        </w:rPr>
        <w:t>a</w:t>
      </w:r>
      <w:r w:rsidRPr="00747F8D">
        <w:rPr>
          <w:rStyle w:val="CSIchar"/>
          <w:rFonts w:ascii="Arial" w:hAnsi="Arial" w:cs="Arial"/>
          <w:sz w:val="22"/>
          <w:szCs w:val="22"/>
          <w:shd w:val="clear" w:color="auto" w:fill="auto"/>
        </w:rPr>
        <w:t xml:space="preserve">nisocytosis, </w:t>
      </w:r>
      <w:r w:rsidR="00973ECD" w:rsidRPr="00747F8D">
        <w:rPr>
          <w:rStyle w:val="CSIchar"/>
          <w:rFonts w:ascii="Arial" w:hAnsi="Arial" w:cs="Arial"/>
          <w:sz w:val="22"/>
          <w:szCs w:val="22"/>
          <w:shd w:val="clear" w:color="auto" w:fill="auto"/>
        </w:rPr>
        <w:t>e</w:t>
      </w:r>
      <w:r w:rsidRPr="00747F8D">
        <w:rPr>
          <w:rStyle w:val="CSIchar"/>
          <w:rFonts w:ascii="Arial" w:hAnsi="Arial" w:cs="Arial"/>
          <w:sz w:val="22"/>
          <w:szCs w:val="22"/>
          <w:shd w:val="clear" w:color="auto" w:fill="auto"/>
        </w:rPr>
        <w:t xml:space="preserve">osinophilia, </w:t>
      </w:r>
      <w:r w:rsidR="00973ECD" w:rsidRPr="00747F8D">
        <w:rPr>
          <w:rStyle w:val="CSIchar"/>
          <w:rFonts w:ascii="Arial" w:hAnsi="Arial" w:cs="Arial"/>
          <w:sz w:val="22"/>
          <w:szCs w:val="22"/>
          <w:shd w:val="clear" w:color="auto" w:fill="auto"/>
        </w:rPr>
        <w:t>h</w:t>
      </w:r>
      <w:r w:rsidRPr="00747F8D">
        <w:rPr>
          <w:rStyle w:val="CSIchar"/>
          <w:rFonts w:ascii="Arial" w:hAnsi="Arial" w:cs="Arial"/>
          <w:sz w:val="22"/>
          <w:szCs w:val="22"/>
          <w:shd w:val="clear" w:color="auto" w:fill="auto"/>
        </w:rPr>
        <w:t xml:space="preserve">aemolytic anaemia, </w:t>
      </w:r>
      <w:r w:rsidR="00973ECD" w:rsidRPr="00747F8D">
        <w:rPr>
          <w:rStyle w:val="CSIchar"/>
          <w:rFonts w:ascii="Arial" w:hAnsi="Arial" w:cs="Arial"/>
          <w:sz w:val="22"/>
          <w:szCs w:val="22"/>
          <w:shd w:val="clear" w:color="auto" w:fill="auto"/>
        </w:rPr>
        <w:t>l</w:t>
      </w:r>
      <w:r w:rsidRPr="00747F8D">
        <w:rPr>
          <w:rStyle w:val="CSIchar"/>
          <w:rFonts w:ascii="Arial" w:hAnsi="Arial" w:cs="Arial"/>
          <w:sz w:val="22"/>
          <w:szCs w:val="22"/>
          <w:shd w:val="clear" w:color="auto" w:fill="auto"/>
        </w:rPr>
        <w:t xml:space="preserve">eukocytosis, </w:t>
      </w:r>
    </w:p>
    <w:p w14:paraId="1CDE04F8" w14:textId="56570AF1" w:rsidR="00706272" w:rsidRPr="00747F8D" w:rsidRDefault="00973ECD" w:rsidP="00706272">
      <w:pPr>
        <w:spacing w:line="300" w:lineRule="atLeast"/>
        <w:ind w:left="2160"/>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myelocytosis, thrombocytopenia, haemoglobin increased, b</w:t>
      </w:r>
      <w:r w:rsidR="00706272" w:rsidRPr="00747F8D">
        <w:rPr>
          <w:rStyle w:val="CSIchar"/>
          <w:rFonts w:ascii="Arial" w:hAnsi="Arial" w:cs="Arial"/>
          <w:sz w:val="22"/>
          <w:szCs w:val="22"/>
          <w:shd w:val="clear" w:color="auto" w:fill="auto"/>
        </w:rPr>
        <w:t xml:space="preserve">and neutrophil count increased, </w:t>
      </w:r>
      <w:r w:rsidRPr="00747F8D">
        <w:rPr>
          <w:rStyle w:val="CSIchar"/>
          <w:rFonts w:ascii="Arial" w:hAnsi="Arial" w:cs="Arial"/>
          <w:sz w:val="22"/>
          <w:szCs w:val="22"/>
          <w:shd w:val="clear" w:color="auto" w:fill="auto"/>
        </w:rPr>
        <w:t>h</w:t>
      </w:r>
      <w:r w:rsidR="00706272" w:rsidRPr="00747F8D">
        <w:rPr>
          <w:rStyle w:val="CSIchar"/>
          <w:rFonts w:ascii="Arial" w:hAnsi="Arial" w:cs="Arial"/>
          <w:sz w:val="22"/>
          <w:szCs w:val="22"/>
          <w:shd w:val="clear" w:color="auto" w:fill="auto"/>
        </w:rPr>
        <w:t xml:space="preserve">aemoglobin decreased, </w:t>
      </w:r>
      <w:r w:rsidRPr="00747F8D">
        <w:rPr>
          <w:rStyle w:val="CSIchar"/>
          <w:rFonts w:ascii="Arial" w:hAnsi="Arial" w:cs="Arial"/>
          <w:sz w:val="22"/>
          <w:szCs w:val="22"/>
          <w:shd w:val="clear" w:color="auto" w:fill="auto"/>
        </w:rPr>
        <w:t>m</w:t>
      </w:r>
      <w:r w:rsidR="00706272" w:rsidRPr="00747F8D">
        <w:rPr>
          <w:rStyle w:val="CSIchar"/>
          <w:rFonts w:ascii="Arial" w:hAnsi="Arial" w:cs="Arial"/>
          <w:sz w:val="22"/>
          <w:szCs w:val="22"/>
          <w:shd w:val="clear" w:color="auto" w:fill="auto"/>
        </w:rPr>
        <w:t xml:space="preserve">yelocyte present, </w:t>
      </w:r>
      <w:r w:rsidRPr="00747F8D">
        <w:rPr>
          <w:rStyle w:val="CSIchar"/>
          <w:rFonts w:ascii="Arial" w:hAnsi="Arial" w:cs="Arial"/>
          <w:sz w:val="22"/>
          <w:szCs w:val="22"/>
          <w:shd w:val="clear" w:color="auto" w:fill="auto"/>
        </w:rPr>
        <w:t>p</w:t>
      </w:r>
      <w:r w:rsidR="00706272" w:rsidRPr="00747F8D">
        <w:rPr>
          <w:rStyle w:val="CSIchar"/>
          <w:rFonts w:ascii="Arial" w:hAnsi="Arial" w:cs="Arial"/>
          <w:sz w:val="22"/>
          <w:szCs w:val="22"/>
          <w:shd w:val="clear" w:color="auto" w:fill="auto"/>
        </w:rPr>
        <w:t xml:space="preserve">latelet count increased, </w:t>
      </w:r>
      <w:r w:rsidRPr="00747F8D">
        <w:rPr>
          <w:rStyle w:val="CSIchar"/>
          <w:rFonts w:ascii="Arial" w:hAnsi="Arial" w:cs="Arial"/>
          <w:sz w:val="22"/>
          <w:szCs w:val="22"/>
          <w:shd w:val="clear" w:color="auto" w:fill="auto"/>
        </w:rPr>
        <w:t>w</w:t>
      </w:r>
      <w:r w:rsidR="00706272" w:rsidRPr="00747F8D">
        <w:rPr>
          <w:rStyle w:val="CSIchar"/>
          <w:rFonts w:ascii="Arial" w:hAnsi="Arial" w:cs="Arial"/>
          <w:sz w:val="22"/>
          <w:szCs w:val="22"/>
          <w:shd w:val="clear" w:color="auto" w:fill="auto"/>
        </w:rPr>
        <w:t>hite blood cell count decreased</w:t>
      </w:r>
    </w:p>
    <w:p w14:paraId="2B05BB0B" w14:textId="77777777" w:rsidR="00FB4B2A" w:rsidRPr="00533CD9" w:rsidRDefault="00FB4B2A" w:rsidP="00533CD9">
      <w:pPr>
        <w:spacing w:before="120"/>
        <w:rPr>
          <w:rFonts w:ascii="Arial" w:hAnsi="Arial" w:cs="Arial"/>
          <w:b/>
          <w:sz w:val="22"/>
          <w:szCs w:val="22"/>
          <w:lang w:val="en-GB"/>
        </w:rPr>
      </w:pPr>
      <w:r w:rsidRPr="00533CD9">
        <w:rPr>
          <w:rFonts w:ascii="Arial" w:hAnsi="Arial" w:cs="Arial"/>
          <w:b/>
          <w:sz w:val="22"/>
          <w:szCs w:val="22"/>
          <w:lang w:val="en-GB"/>
        </w:rPr>
        <w:t xml:space="preserve">Immune system disorders </w:t>
      </w:r>
    </w:p>
    <w:p w14:paraId="1DBFFA95" w14:textId="016D836D"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 xml:space="preserve"> </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Hypersensitivity</w:t>
      </w:r>
    </w:p>
    <w:p w14:paraId="46F2C3F4" w14:textId="77777777" w:rsidR="00FB4B2A" w:rsidRPr="00E84537" w:rsidRDefault="00FB4B2A" w:rsidP="00E84537">
      <w:pPr>
        <w:spacing w:before="120"/>
        <w:rPr>
          <w:rFonts w:ascii="Arial" w:hAnsi="Arial" w:cs="Arial"/>
          <w:b/>
          <w:sz w:val="22"/>
          <w:szCs w:val="22"/>
          <w:lang w:val="en-GB"/>
        </w:rPr>
      </w:pPr>
      <w:r w:rsidRPr="00E84537">
        <w:rPr>
          <w:rFonts w:ascii="Arial" w:hAnsi="Arial" w:cs="Arial"/>
          <w:b/>
          <w:sz w:val="22"/>
          <w:szCs w:val="22"/>
          <w:lang w:val="en-GB"/>
        </w:rPr>
        <w:t xml:space="preserve">Metabolism and nutrition disorders </w:t>
      </w:r>
    </w:p>
    <w:p w14:paraId="774645DC" w14:textId="4163C719"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lastRenderedPageBreak/>
        <w:t>Uncommon</w:t>
      </w:r>
      <w:r w:rsidRPr="00747F8D">
        <w:rPr>
          <w:rStyle w:val="CSIchar"/>
          <w:rFonts w:ascii="Arial" w:hAnsi="Arial" w:cs="Arial"/>
          <w:sz w:val="22"/>
          <w:szCs w:val="22"/>
          <w:shd w:val="clear" w:color="auto" w:fill="auto"/>
        </w:rPr>
        <w:t xml:space="preserve"> </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Anorexia, </w:t>
      </w:r>
      <w:r w:rsidR="00973ECD" w:rsidRPr="00747F8D">
        <w:rPr>
          <w:rStyle w:val="CSIchar"/>
          <w:rFonts w:ascii="Arial" w:hAnsi="Arial" w:cs="Arial"/>
          <w:sz w:val="22"/>
          <w:szCs w:val="22"/>
          <w:shd w:val="clear" w:color="auto" w:fill="auto"/>
        </w:rPr>
        <w:t>h</w:t>
      </w:r>
      <w:r w:rsidRPr="00747F8D">
        <w:rPr>
          <w:rStyle w:val="CSIchar"/>
          <w:rFonts w:ascii="Arial" w:hAnsi="Arial" w:cs="Arial"/>
          <w:sz w:val="22"/>
          <w:szCs w:val="22"/>
          <w:shd w:val="clear" w:color="auto" w:fill="auto"/>
        </w:rPr>
        <w:t xml:space="preserve">ypokalaemia, </w:t>
      </w:r>
      <w:r w:rsidR="00973ECD" w:rsidRPr="00747F8D">
        <w:rPr>
          <w:rStyle w:val="CSIchar"/>
          <w:rFonts w:ascii="Arial" w:hAnsi="Arial" w:cs="Arial"/>
          <w:sz w:val="22"/>
          <w:szCs w:val="22"/>
          <w:shd w:val="clear" w:color="auto" w:fill="auto"/>
        </w:rPr>
        <w:t>d</w:t>
      </w:r>
      <w:r w:rsidRPr="00747F8D">
        <w:rPr>
          <w:rStyle w:val="CSIchar"/>
          <w:rFonts w:ascii="Arial" w:hAnsi="Arial" w:cs="Arial"/>
          <w:sz w:val="22"/>
          <w:szCs w:val="22"/>
          <w:shd w:val="clear" w:color="auto" w:fill="auto"/>
        </w:rPr>
        <w:t xml:space="preserve">ecreased appetite, </w:t>
      </w:r>
      <w:r w:rsidR="00973ECD" w:rsidRPr="00747F8D">
        <w:rPr>
          <w:rStyle w:val="CSIchar"/>
          <w:rFonts w:ascii="Arial" w:hAnsi="Arial" w:cs="Arial"/>
          <w:sz w:val="22"/>
          <w:szCs w:val="22"/>
          <w:shd w:val="clear" w:color="auto" w:fill="auto"/>
        </w:rPr>
        <w:t>g</w:t>
      </w:r>
      <w:r w:rsidRPr="00747F8D">
        <w:rPr>
          <w:rStyle w:val="CSIchar"/>
          <w:rFonts w:ascii="Arial" w:hAnsi="Arial" w:cs="Arial"/>
          <w:sz w:val="22"/>
          <w:szCs w:val="22"/>
          <w:shd w:val="clear" w:color="auto" w:fill="auto"/>
        </w:rPr>
        <w:t xml:space="preserve">out, </w:t>
      </w:r>
      <w:r w:rsidR="00973ECD" w:rsidRPr="00747F8D">
        <w:rPr>
          <w:rStyle w:val="CSIchar"/>
          <w:rFonts w:ascii="Arial" w:hAnsi="Arial" w:cs="Arial"/>
          <w:sz w:val="22"/>
          <w:szCs w:val="22"/>
          <w:shd w:val="clear" w:color="auto" w:fill="auto"/>
        </w:rPr>
        <w:t>h</w:t>
      </w:r>
      <w:r w:rsidRPr="00747F8D">
        <w:rPr>
          <w:rStyle w:val="CSIchar"/>
          <w:rFonts w:ascii="Arial" w:hAnsi="Arial" w:cs="Arial"/>
          <w:sz w:val="22"/>
          <w:szCs w:val="22"/>
          <w:shd w:val="clear" w:color="auto" w:fill="auto"/>
        </w:rPr>
        <w:t xml:space="preserve">ypocalcaemia, </w:t>
      </w:r>
      <w:r w:rsidR="00973ECD" w:rsidRPr="00747F8D">
        <w:rPr>
          <w:rStyle w:val="CSIchar"/>
          <w:rFonts w:ascii="Arial" w:hAnsi="Arial" w:cs="Arial"/>
          <w:sz w:val="22"/>
          <w:szCs w:val="22"/>
          <w:shd w:val="clear" w:color="auto" w:fill="auto"/>
        </w:rPr>
        <w:t>b</w:t>
      </w:r>
      <w:r w:rsidRPr="00747F8D">
        <w:rPr>
          <w:rStyle w:val="CSIchar"/>
          <w:rFonts w:ascii="Arial" w:hAnsi="Arial" w:cs="Arial"/>
          <w:sz w:val="22"/>
          <w:szCs w:val="22"/>
          <w:shd w:val="clear" w:color="auto" w:fill="auto"/>
        </w:rPr>
        <w:t xml:space="preserve">lood </w:t>
      </w:r>
    </w:p>
    <w:p w14:paraId="40045EF7" w14:textId="1FAC497F"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uric acid increased</w:t>
      </w:r>
    </w:p>
    <w:p w14:paraId="00693AA8" w14:textId="77777777" w:rsidR="00FB4B2A" w:rsidRPr="00747F8D" w:rsidRDefault="00FB4B2A"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Psychiatric disorders</w:t>
      </w:r>
    </w:p>
    <w:p w14:paraId="5FEC69E3" w14:textId="1993B9ED"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Sleep disorder, </w:t>
      </w:r>
      <w:r w:rsidR="00973ECD" w:rsidRPr="00747F8D">
        <w:rPr>
          <w:rStyle w:val="CSIchar"/>
          <w:rFonts w:ascii="Arial" w:hAnsi="Arial" w:cs="Arial"/>
          <w:sz w:val="22"/>
          <w:szCs w:val="22"/>
          <w:shd w:val="clear" w:color="auto" w:fill="auto"/>
        </w:rPr>
        <w:t>d</w:t>
      </w:r>
      <w:r w:rsidRPr="00747F8D">
        <w:rPr>
          <w:rStyle w:val="CSIchar"/>
          <w:rFonts w:ascii="Arial" w:hAnsi="Arial" w:cs="Arial"/>
          <w:sz w:val="22"/>
          <w:szCs w:val="22"/>
          <w:shd w:val="clear" w:color="auto" w:fill="auto"/>
        </w:rPr>
        <w:t xml:space="preserve">epression, </w:t>
      </w:r>
      <w:r w:rsidR="00973ECD" w:rsidRPr="00747F8D">
        <w:rPr>
          <w:rStyle w:val="CSIchar"/>
          <w:rFonts w:ascii="Arial" w:hAnsi="Arial" w:cs="Arial"/>
          <w:sz w:val="22"/>
          <w:szCs w:val="22"/>
          <w:shd w:val="clear" w:color="auto" w:fill="auto"/>
        </w:rPr>
        <w:t>a</w:t>
      </w:r>
      <w:r w:rsidRPr="00747F8D">
        <w:rPr>
          <w:rStyle w:val="CSIchar"/>
          <w:rFonts w:ascii="Arial" w:hAnsi="Arial" w:cs="Arial"/>
          <w:sz w:val="22"/>
          <w:szCs w:val="22"/>
          <w:shd w:val="clear" w:color="auto" w:fill="auto"/>
        </w:rPr>
        <w:t xml:space="preserve">pathy, </w:t>
      </w:r>
      <w:r w:rsidR="00973ECD" w:rsidRPr="00747F8D">
        <w:rPr>
          <w:rStyle w:val="CSIchar"/>
          <w:rFonts w:ascii="Arial" w:hAnsi="Arial" w:cs="Arial"/>
          <w:sz w:val="22"/>
          <w:szCs w:val="22"/>
          <w:shd w:val="clear" w:color="auto" w:fill="auto"/>
        </w:rPr>
        <w:t>m</w:t>
      </w:r>
      <w:r w:rsidRPr="00747F8D">
        <w:rPr>
          <w:rStyle w:val="CSIchar"/>
          <w:rFonts w:ascii="Arial" w:hAnsi="Arial" w:cs="Arial"/>
          <w:sz w:val="22"/>
          <w:szCs w:val="22"/>
          <w:shd w:val="clear" w:color="auto" w:fill="auto"/>
        </w:rPr>
        <w:t xml:space="preserve">ood altered, </w:t>
      </w:r>
      <w:r w:rsidR="00973ECD" w:rsidRPr="00747F8D">
        <w:rPr>
          <w:rStyle w:val="CSIchar"/>
          <w:rFonts w:ascii="Arial" w:hAnsi="Arial" w:cs="Arial"/>
          <w:sz w:val="22"/>
          <w:szCs w:val="22"/>
          <w:shd w:val="clear" w:color="auto" w:fill="auto"/>
        </w:rPr>
        <w:t>t</w:t>
      </w:r>
      <w:r w:rsidRPr="00747F8D">
        <w:rPr>
          <w:rStyle w:val="CSIchar"/>
          <w:rFonts w:ascii="Arial" w:hAnsi="Arial" w:cs="Arial"/>
          <w:sz w:val="22"/>
          <w:szCs w:val="22"/>
          <w:shd w:val="clear" w:color="auto" w:fill="auto"/>
        </w:rPr>
        <w:t>earfulness</w:t>
      </w:r>
    </w:p>
    <w:p w14:paraId="2133B924" w14:textId="77777777" w:rsidR="00FB4B2A" w:rsidRPr="00747F8D" w:rsidRDefault="00FB4B2A"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Nervous systems disorders</w:t>
      </w:r>
    </w:p>
    <w:p w14:paraId="6902EBEB" w14:textId="34A2C12C"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Paraesthesia</w:t>
      </w:r>
    </w:p>
    <w:p w14:paraId="4C0D2B92" w14:textId="7E33F642"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Hypoaesthesia, </w:t>
      </w:r>
      <w:r w:rsidR="00973ECD" w:rsidRPr="00747F8D">
        <w:rPr>
          <w:rStyle w:val="CSIchar"/>
          <w:rFonts w:ascii="Arial" w:hAnsi="Arial" w:cs="Arial"/>
          <w:sz w:val="22"/>
          <w:szCs w:val="22"/>
          <w:shd w:val="clear" w:color="auto" w:fill="auto"/>
        </w:rPr>
        <w:t>s</w:t>
      </w:r>
      <w:r w:rsidRPr="00747F8D">
        <w:rPr>
          <w:rStyle w:val="CSIchar"/>
          <w:rFonts w:ascii="Arial" w:hAnsi="Arial" w:cs="Arial"/>
          <w:sz w:val="22"/>
          <w:szCs w:val="22"/>
          <w:shd w:val="clear" w:color="auto" w:fill="auto"/>
        </w:rPr>
        <w:t xml:space="preserve">omnolence, </w:t>
      </w:r>
      <w:r w:rsidR="00973ECD" w:rsidRPr="00747F8D">
        <w:rPr>
          <w:rStyle w:val="CSIchar"/>
          <w:rFonts w:ascii="Arial" w:hAnsi="Arial" w:cs="Arial"/>
          <w:sz w:val="22"/>
          <w:szCs w:val="22"/>
          <w:shd w:val="clear" w:color="auto" w:fill="auto"/>
        </w:rPr>
        <w:t>migraine, t</w:t>
      </w:r>
      <w:r w:rsidRPr="00747F8D">
        <w:rPr>
          <w:rStyle w:val="CSIchar"/>
          <w:rFonts w:ascii="Arial" w:hAnsi="Arial" w:cs="Arial"/>
          <w:sz w:val="22"/>
          <w:szCs w:val="22"/>
          <w:shd w:val="clear" w:color="auto" w:fill="auto"/>
        </w:rPr>
        <w:t xml:space="preserve">remor, </w:t>
      </w:r>
      <w:r w:rsidR="00973ECD" w:rsidRPr="00747F8D">
        <w:rPr>
          <w:rStyle w:val="CSIchar"/>
          <w:rFonts w:ascii="Arial" w:hAnsi="Arial" w:cs="Arial"/>
          <w:sz w:val="22"/>
          <w:szCs w:val="22"/>
          <w:shd w:val="clear" w:color="auto" w:fill="auto"/>
        </w:rPr>
        <w:t>b</w:t>
      </w:r>
      <w:r w:rsidRPr="00747F8D">
        <w:rPr>
          <w:rStyle w:val="CSIchar"/>
          <w:rFonts w:ascii="Arial" w:hAnsi="Arial" w:cs="Arial"/>
          <w:sz w:val="22"/>
          <w:szCs w:val="22"/>
          <w:shd w:val="clear" w:color="auto" w:fill="auto"/>
        </w:rPr>
        <w:t xml:space="preserve">alance disorder, </w:t>
      </w:r>
    </w:p>
    <w:p w14:paraId="12050950" w14:textId="71FC658A" w:rsidR="00FB4B2A" w:rsidRPr="00747F8D" w:rsidRDefault="00FB4B2A" w:rsidP="00FB4B2A">
      <w:pPr>
        <w:spacing w:line="300" w:lineRule="atLeast"/>
        <w:ind w:left="2160"/>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 xml:space="preserve">dysaesthesia, </w:t>
      </w:r>
      <w:r w:rsidR="00973ECD" w:rsidRPr="00747F8D">
        <w:rPr>
          <w:rStyle w:val="CSIchar"/>
          <w:rFonts w:ascii="Arial" w:hAnsi="Arial" w:cs="Arial"/>
          <w:sz w:val="22"/>
          <w:szCs w:val="22"/>
          <w:shd w:val="clear" w:color="auto" w:fill="auto"/>
        </w:rPr>
        <w:t>hemiparesis, m</w:t>
      </w:r>
      <w:r w:rsidRPr="00747F8D">
        <w:rPr>
          <w:rStyle w:val="CSIchar"/>
          <w:rFonts w:ascii="Arial" w:hAnsi="Arial" w:cs="Arial"/>
          <w:sz w:val="22"/>
          <w:szCs w:val="22"/>
          <w:shd w:val="clear" w:color="auto" w:fill="auto"/>
        </w:rPr>
        <w:t>igraine</w:t>
      </w:r>
      <w:r w:rsidR="00973ECD" w:rsidRPr="00747F8D">
        <w:rPr>
          <w:rStyle w:val="CSIchar"/>
          <w:rFonts w:ascii="Arial" w:hAnsi="Arial" w:cs="Arial"/>
          <w:sz w:val="22"/>
          <w:szCs w:val="22"/>
          <w:shd w:val="clear" w:color="auto" w:fill="auto"/>
        </w:rPr>
        <w:t xml:space="preserve"> (</w:t>
      </w:r>
      <w:r w:rsidRPr="00747F8D">
        <w:rPr>
          <w:rStyle w:val="CSIchar"/>
          <w:rFonts w:ascii="Arial" w:hAnsi="Arial" w:cs="Arial"/>
          <w:sz w:val="22"/>
          <w:szCs w:val="22"/>
          <w:shd w:val="clear" w:color="auto" w:fill="auto"/>
        </w:rPr>
        <w:t>with aura</w:t>
      </w:r>
      <w:r w:rsidR="00973ECD" w:rsidRPr="00747F8D">
        <w:rPr>
          <w:rStyle w:val="CSIchar"/>
          <w:rFonts w:ascii="Arial" w:hAnsi="Arial" w:cs="Arial"/>
          <w:sz w:val="22"/>
          <w:szCs w:val="22"/>
          <w:shd w:val="clear" w:color="auto" w:fill="auto"/>
        </w:rPr>
        <w:t>), n</w:t>
      </w:r>
      <w:r w:rsidRPr="00747F8D">
        <w:rPr>
          <w:rStyle w:val="CSIchar"/>
          <w:rFonts w:ascii="Arial" w:hAnsi="Arial" w:cs="Arial"/>
          <w:sz w:val="22"/>
          <w:szCs w:val="22"/>
          <w:shd w:val="clear" w:color="auto" w:fill="auto"/>
        </w:rPr>
        <w:t xml:space="preserve">europathy peripheral, </w:t>
      </w:r>
      <w:r w:rsidR="00973ECD" w:rsidRPr="00747F8D">
        <w:rPr>
          <w:rStyle w:val="CSIchar"/>
          <w:rFonts w:ascii="Arial" w:hAnsi="Arial" w:cs="Arial"/>
          <w:sz w:val="22"/>
          <w:szCs w:val="22"/>
          <w:shd w:val="clear" w:color="auto" w:fill="auto"/>
        </w:rPr>
        <w:t>p</w:t>
      </w:r>
      <w:r w:rsidRPr="00747F8D">
        <w:rPr>
          <w:rStyle w:val="CSIchar"/>
          <w:rFonts w:ascii="Arial" w:hAnsi="Arial" w:cs="Arial"/>
          <w:sz w:val="22"/>
          <w:szCs w:val="22"/>
          <w:shd w:val="clear" w:color="auto" w:fill="auto"/>
        </w:rPr>
        <w:t xml:space="preserve">eripheral sensory neuropathy, </w:t>
      </w:r>
      <w:r w:rsidR="00973ECD" w:rsidRPr="00747F8D">
        <w:rPr>
          <w:rStyle w:val="CSIchar"/>
          <w:rFonts w:ascii="Arial" w:hAnsi="Arial" w:cs="Arial"/>
          <w:sz w:val="22"/>
          <w:szCs w:val="22"/>
          <w:shd w:val="clear" w:color="auto" w:fill="auto"/>
        </w:rPr>
        <w:t>s</w:t>
      </w:r>
      <w:r w:rsidRPr="00747F8D">
        <w:rPr>
          <w:rStyle w:val="CSIchar"/>
          <w:rFonts w:ascii="Arial" w:hAnsi="Arial" w:cs="Arial"/>
          <w:sz w:val="22"/>
          <w:szCs w:val="22"/>
          <w:shd w:val="clear" w:color="auto" w:fill="auto"/>
        </w:rPr>
        <w:t xml:space="preserve">peech disorder, </w:t>
      </w:r>
      <w:r w:rsidR="00973ECD" w:rsidRPr="00747F8D">
        <w:rPr>
          <w:rStyle w:val="CSIchar"/>
          <w:rFonts w:ascii="Arial" w:hAnsi="Arial" w:cs="Arial"/>
          <w:sz w:val="22"/>
          <w:szCs w:val="22"/>
          <w:shd w:val="clear" w:color="auto" w:fill="auto"/>
        </w:rPr>
        <w:t>t</w:t>
      </w:r>
      <w:r w:rsidRPr="00747F8D">
        <w:rPr>
          <w:rStyle w:val="CSIchar"/>
          <w:rFonts w:ascii="Arial" w:hAnsi="Arial" w:cs="Arial"/>
          <w:sz w:val="22"/>
          <w:szCs w:val="22"/>
          <w:shd w:val="clear" w:color="auto" w:fill="auto"/>
        </w:rPr>
        <w:t xml:space="preserve">oxic neuropathy, </w:t>
      </w:r>
      <w:r w:rsidR="00973ECD" w:rsidRPr="00747F8D">
        <w:rPr>
          <w:rStyle w:val="CSIchar"/>
          <w:rFonts w:ascii="Arial" w:hAnsi="Arial" w:cs="Arial"/>
          <w:sz w:val="22"/>
          <w:szCs w:val="22"/>
          <w:shd w:val="clear" w:color="auto" w:fill="auto"/>
        </w:rPr>
        <w:t>v</w:t>
      </w:r>
      <w:r w:rsidRPr="00747F8D">
        <w:rPr>
          <w:rStyle w:val="CSIchar"/>
          <w:rFonts w:ascii="Arial" w:hAnsi="Arial" w:cs="Arial"/>
          <w:sz w:val="22"/>
          <w:szCs w:val="22"/>
          <w:shd w:val="clear" w:color="auto" w:fill="auto"/>
        </w:rPr>
        <w:t>ascular headache</w:t>
      </w:r>
    </w:p>
    <w:p w14:paraId="3298D7E2" w14:textId="77777777" w:rsidR="00FB4B2A" w:rsidRPr="00747F8D" w:rsidRDefault="00FB4B2A"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Eye disorders</w:t>
      </w:r>
    </w:p>
    <w:p w14:paraId="619F7549" w14:textId="5906DD4A"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Dry eye</w:t>
      </w:r>
    </w:p>
    <w:p w14:paraId="5BBF379A" w14:textId="6FD5929F" w:rsidR="00FB4B2A" w:rsidRPr="00747F8D" w:rsidRDefault="00FB4B2A" w:rsidP="00FB4B2A">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00973ECD" w:rsidRPr="00747F8D">
        <w:rPr>
          <w:rStyle w:val="CSIchar"/>
          <w:rFonts w:ascii="Arial" w:hAnsi="Arial" w:cs="Arial"/>
          <w:sz w:val="22"/>
          <w:szCs w:val="22"/>
          <w:shd w:val="clear" w:color="auto" w:fill="auto"/>
        </w:rPr>
        <w:t>Vision blurred, l</w:t>
      </w:r>
      <w:r w:rsidRPr="00747F8D">
        <w:rPr>
          <w:rStyle w:val="CSIchar"/>
          <w:rFonts w:ascii="Arial" w:hAnsi="Arial" w:cs="Arial"/>
          <w:sz w:val="22"/>
          <w:szCs w:val="22"/>
          <w:shd w:val="clear" w:color="auto" w:fill="auto"/>
        </w:rPr>
        <w:t xml:space="preserve">enticular opacities, </w:t>
      </w:r>
      <w:r w:rsidR="00973ECD" w:rsidRPr="00747F8D">
        <w:rPr>
          <w:rStyle w:val="CSIchar"/>
          <w:rFonts w:ascii="Arial" w:hAnsi="Arial" w:cs="Arial"/>
          <w:sz w:val="22"/>
          <w:szCs w:val="22"/>
          <w:shd w:val="clear" w:color="auto" w:fill="auto"/>
        </w:rPr>
        <w:t>a</w:t>
      </w:r>
      <w:r w:rsidRPr="00747F8D">
        <w:rPr>
          <w:rStyle w:val="CSIchar"/>
          <w:rFonts w:ascii="Arial" w:hAnsi="Arial" w:cs="Arial"/>
          <w:sz w:val="22"/>
          <w:szCs w:val="22"/>
          <w:shd w:val="clear" w:color="auto" w:fill="auto"/>
        </w:rPr>
        <w:t xml:space="preserve">stigmatism, </w:t>
      </w:r>
      <w:r w:rsidR="00973ECD" w:rsidRPr="00747F8D">
        <w:rPr>
          <w:rStyle w:val="CSIchar"/>
          <w:rFonts w:ascii="Arial" w:hAnsi="Arial" w:cs="Arial"/>
          <w:sz w:val="22"/>
          <w:szCs w:val="22"/>
          <w:shd w:val="clear" w:color="auto" w:fill="auto"/>
        </w:rPr>
        <w:t>c</w:t>
      </w:r>
      <w:r w:rsidRPr="00747F8D">
        <w:rPr>
          <w:rStyle w:val="CSIchar"/>
          <w:rFonts w:ascii="Arial" w:hAnsi="Arial" w:cs="Arial"/>
          <w:sz w:val="22"/>
          <w:szCs w:val="22"/>
          <w:shd w:val="clear" w:color="auto" w:fill="auto"/>
        </w:rPr>
        <w:t xml:space="preserve">ataract cortical, </w:t>
      </w:r>
      <w:r w:rsidR="00973ECD" w:rsidRPr="00747F8D">
        <w:rPr>
          <w:rStyle w:val="CSIchar"/>
          <w:rFonts w:ascii="Arial" w:hAnsi="Arial" w:cs="Arial"/>
          <w:sz w:val="22"/>
          <w:szCs w:val="22"/>
          <w:shd w:val="clear" w:color="auto" w:fill="auto"/>
        </w:rPr>
        <w:t>e</w:t>
      </w:r>
      <w:r w:rsidRPr="00747F8D">
        <w:rPr>
          <w:rStyle w:val="CSIchar"/>
          <w:rFonts w:ascii="Arial" w:hAnsi="Arial" w:cs="Arial"/>
          <w:sz w:val="22"/>
          <w:szCs w:val="22"/>
          <w:shd w:val="clear" w:color="auto" w:fill="auto"/>
        </w:rPr>
        <w:t xml:space="preserve">ye pain, </w:t>
      </w:r>
    </w:p>
    <w:p w14:paraId="205AAE3A" w14:textId="46226895" w:rsidR="00FB4B2A" w:rsidRPr="00747F8D" w:rsidRDefault="00973ECD" w:rsidP="00FB4B2A">
      <w:pPr>
        <w:spacing w:line="300" w:lineRule="atLeast"/>
        <w:ind w:left="2160"/>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l</w:t>
      </w:r>
      <w:r w:rsidR="00FB4B2A" w:rsidRPr="00747F8D">
        <w:rPr>
          <w:rStyle w:val="CSIchar"/>
          <w:rFonts w:ascii="Arial" w:hAnsi="Arial" w:cs="Arial"/>
          <w:sz w:val="22"/>
          <w:szCs w:val="22"/>
          <w:shd w:val="clear" w:color="auto" w:fill="auto"/>
        </w:rPr>
        <w:t xml:space="preserve">acrimation increased, </w:t>
      </w:r>
      <w:r w:rsidRPr="00747F8D">
        <w:rPr>
          <w:rStyle w:val="CSIchar"/>
          <w:rFonts w:ascii="Arial" w:hAnsi="Arial" w:cs="Arial"/>
          <w:sz w:val="22"/>
          <w:szCs w:val="22"/>
          <w:shd w:val="clear" w:color="auto" w:fill="auto"/>
        </w:rPr>
        <w:t>r</w:t>
      </w:r>
      <w:r w:rsidR="00FB4B2A" w:rsidRPr="00747F8D">
        <w:rPr>
          <w:rStyle w:val="CSIchar"/>
          <w:rFonts w:ascii="Arial" w:hAnsi="Arial" w:cs="Arial"/>
          <w:sz w:val="22"/>
          <w:szCs w:val="22"/>
          <w:shd w:val="clear" w:color="auto" w:fill="auto"/>
        </w:rPr>
        <w:t xml:space="preserve">etinal haemorrhage, </w:t>
      </w:r>
      <w:r w:rsidRPr="00747F8D">
        <w:rPr>
          <w:rStyle w:val="CSIchar"/>
          <w:rFonts w:ascii="Arial" w:hAnsi="Arial" w:cs="Arial"/>
          <w:sz w:val="22"/>
          <w:szCs w:val="22"/>
          <w:shd w:val="clear" w:color="auto" w:fill="auto"/>
        </w:rPr>
        <w:t>r</w:t>
      </w:r>
      <w:r w:rsidR="00FB4B2A" w:rsidRPr="00747F8D">
        <w:rPr>
          <w:rStyle w:val="CSIchar"/>
          <w:rFonts w:ascii="Arial" w:hAnsi="Arial" w:cs="Arial"/>
          <w:sz w:val="22"/>
          <w:szCs w:val="22"/>
          <w:shd w:val="clear" w:color="auto" w:fill="auto"/>
        </w:rPr>
        <w:t xml:space="preserve">etinal pigment epitheliopathy, </w:t>
      </w:r>
      <w:r w:rsidRPr="00747F8D">
        <w:rPr>
          <w:rStyle w:val="CSIchar"/>
          <w:rFonts w:ascii="Arial" w:hAnsi="Arial" w:cs="Arial"/>
          <w:sz w:val="22"/>
          <w:szCs w:val="22"/>
          <w:shd w:val="clear" w:color="auto" w:fill="auto"/>
        </w:rPr>
        <w:t>visual acuity reduced, v</w:t>
      </w:r>
      <w:r w:rsidR="00FB4B2A" w:rsidRPr="00747F8D">
        <w:rPr>
          <w:rStyle w:val="CSIchar"/>
          <w:rFonts w:ascii="Arial" w:hAnsi="Arial" w:cs="Arial"/>
          <w:sz w:val="22"/>
          <w:szCs w:val="22"/>
          <w:shd w:val="clear" w:color="auto" w:fill="auto"/>
        </w:rPr>
        <w:t xml:space="preserve">isual impairment, </w:t>
      </w:r>
      <w:r w:rsidRPr="00747F8D">
        <w:rPr>
          <w:rStyle w:val="CSIchar"/>
          <w:rFonts w:ascii="Arial" w:hAnsi="Arial" w:cs="Arial"/>
          <w:sz w:val="22"/>
          <w:szCs w:val="22"/>
          <w:shd w:val="clear" w:color="auto" w:fill="auto"/>
        </w:rPr>
        <w:t>v</w:t>
      </w:r>
      <w:r w:rsidR="00FB4B2A" w:rsidRPr="00747F8D">
        <w:rPr>
          <w:rStyle w:val="CSIchar"/>
          <w:rFonts w:ascii="Arial" w:hAnsi="Arial" w:cs="Arial"/>
          <w:sz w:val="22"/>
          <w:szCs w:val="22"/>
          <w:shd w:val="clear" w:color="auto" w:fill="auto"/>
        </w:rPr>
        <w:t xml:space="preserve">isual acuity tests abnormal, </w:t>
      </w:r>
      <w:r w:rsidRPr="00747F8D">
        <w:rPr>
          <w:rStyle w:val="CSIchar"/>
          <w:rFonts w:ascii="Arial" w:hAnsi="Arial" w:cs="Arial"/>
          <w:sz w:val="22"/>
          <w:szCs w:val="22"/>
          <w:shd w:val="clear" w:color="auto" w:fill="auto"/>
        </w:rPr>
        <w:t>b</w:t>
      </w:r>
      <w:r w:rsidR="00FB4B2A" w:rsidRPr="00747F8D">
        <w:rPr>
          <w:rStyle w:val="CSIchar"/>
          <w:rFonts w:ascii="Arial" w:hAnsi="Arial" w:cs="Arial"/>
          <w:sz w:val="22"/>
          <w:szCs w:val="22"/>
          <w:shd w:val="clear" w:color="auto" w:fill="auto"/>
        </w:rPr>
        <w:t xml:space="preserve">lepharitis and </w:t>
      </w:r>
      <w:r w:rsidRPr="00747F8D">
        <w:rPr>
          <w:rStyle w:val="CSIchar"/>
          <w:rFonts w:ascii="Arial" w:hAnsi="Arial" w:cs="Arial"/>
          <w:sz w:val="22"/>
          <w:szCs w:val="22"/>
          <w:shd w:val="clear" w:color="auto" w:fill="auto"/>
        </w:rPr>
        <w:t>k</w:t>
      </w:r>
      <w:r w:rsidR="00FB4B2A" w:rsidRPr="00747F8D">
        <w:rPr>
          <w:rStyle w:val="CSIchar"/>
          <w:rFonts w:ascii="Arial" w:hAnsi="Arial" w:cs="Arial"/>
          <w:sz w:val="22"/>
          <w:szCs w:val="22"/>
          <w:shd w:val="clear" w:color="auto" w:fill="auto"/>
        </w:rPr>
        <w:t>eratoconjunctivitis sicca</w:t>
      </w:r>
    </w:p>
    <w:p w14:paraId="0043F210" w14:textId="77777777" w:rsidR="006F7F10" w:rsidRPr="00747F8D" w:rsidRDefault="006F7F10"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Ear and labyrinth disorders</w:t>
      </w:r>
    </w:p>
    <w:p w14:paraId="196CC9A5" w14:textId="40BD8DE5"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Ear pain, </w:t>
      </w:r>
      <w:r w:rsidR="00973ECD" w:rsidRPr="00747F8D">
        <w:rPr>
          <w:rStyle w:val="CSIchar"/>
          <w:rFonts w:ascii="Arial" w:hAnsi="Arial" w:cs="Arial"/>
          <w:sz w:val="22"/>
          <w:szCs w:val="22"/>
          <w:shd w:val="clear" w:color="auto" w:fill="auto"/>
        </w:rPr>
        <w:t>v</w:t>
      </w:r>
      <w:r w:rsidRPr="00747F8D">
        <w:rPr>
          <w:rStyle w:val="CSIchar"/>
          <w:rFonts w:ascii="Arial" w:hAnsi="Arial" w:cs="Arial"/>
          <w:sz w:val="22"/>
          <w:szCs w:val="22"/>
          <w:shd w:val="clear" w:color="auto" w:fill="auto"/>
        </w:rPr>
        <w:t>ertigo</w:t>
      </w:r>
    </w:p>
    <w:p w14:paraId="47F69366" w14:textId="77777777" w:rsidR="006F7F10" w:rsidRPr="00747F8D" w:rsidRDefault="006F7F10"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Cardiac disorders</w:t>
      </w:r>
    </w:p>
    <w:p w14:paraId="13BC1996" w14:textId="02FD64B1"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Tachycardia, </w:t>
      </w:r>
      <w:r w:rsidR="00973ECD" w:rsidRPr="00747F8D">
        <w:rPr>
          <w:rStyle w:val="CSIchar"/>
          <w:rFonts w:ascii="Arial" w:hAnsi="Arial" w:cs="Arial"/>
          <w:sz w:val="22"/>
          <w:szCs w:val="22"/>
          <w:shd w:val="clear" w:color="auto" w:fill="auto"/>
        </w:rPr>
        <w:t>a</w:t>
      </w:r>
      <w:r w:rsidRPr="00747F8D">
        <w:rPr>
          <w:rStyle w:val="CSIchar"/>
          <w:rFonts w:ascii="Arial" w:hAnsi="Arial" w:cs="Arial"/>
          <w:sz w:val="22"/>
          <w:szCs w:val="22"/>
          <w:shd w:val="clear" w:color="auto" w:fill="auto"/>
        </w:rPr>
        <w:t xml:space="preserve">cute myocardial infarction, </w:t>
      </w:r>
      <w:r w:rsidR="00973ECD" w:rsidRPr="00747F8D">
        <w:rPr>
          <w:rStyle w:val="CSIchar"/>
          <w:rFonts w:ascii="Arial" w:hAnsi="Arial" w:cs="Arial"/>
          <w:sz w:val="22"/>
          <w:szCs w:val="22"/>
          <w:shd w:val="clear" w:color="auto" w:fill="auto"/>
        </w:rPr>
        <w:t>c</w:t>
      </w:r>
      <w:r w:rsidRPr="00747F8D">
        <w:rPr>
          <w:rStyle w:val="CSIchar"/>
          <w:rFonts w:ascii="Arial" w:hAnsi="Arial" w:cs="Arial"/>
          <w:sz w:val="22"/>
          <w:szCs w:val="22"/>
          <w:shd w:val="clear" w:color="auto" w:fill="auto"/>
        </w:rPr>
        <w:t xml:space="preserve">ardiovascular disorder, </w:t>
      </w:r>
      <w:r w:rsidR="00973ECD" w:rsidRPr="00747F8D">
        <w:rPr>
          <w:rStyle w:val="CSIchar"/>
          <w:rFonts w:ascii="Arial" w:hAnsi="Arial" w:cs="Arial"/>
          <w:sz w:val="22"/>
          <w:szCs w:val="22"/>
          <w:shd w:val="clear" w:color="auto" w:fill="auto"/>
        </w:rPr>
        <w:t>c</w:t>
      </w:r>
      <w:r w:rsidRPr="00747F8D">
        <w:rPr>
          <w:rStyle w:val="CSIchar"/>
          <w:rFonts w:ascii="Arial" w:hAnsi="Arial" w:cs="Arial"/>
          <w:sz w:val="22"/>
          <w:szCs w:val="22"/>
          <w:shd w:val="clear" w:color="auto" w:fill="auto"/>
        </w:rPr>
        <w:t xml:space="preserve">yanosis, </w:t>
      </w:r>
    </w:p>
    <w:p w14:paraId="5A90DC7B" w14:textId="57AE8849"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00973ECD" w:rsidRPr="00747F8D">
        <w:rPr>
          <w:rStyle w:val="CSIchar"/>
          <w:rFonts w:ascii="Arial" w:hAnsi="Arial" w:cs="Arial"/>
          <w:sz w:val="22"/>
          <w:szCs w:val="22"/>
          <w:shd w:val="clear" w:color="auto" w:fill="auto"/>
        </w:rPr>
        <w:t>s</w:t>
      </w:r>
      <w:r w:rsidRPr="00747F8D">
        <w:rPr>
          <w:rStyle w:val="CSIchar"/>
          <w:rFonts w:ascii="Arial" w:hAnsi="Arial" w:cs="Arial"/>
          <w:sz w:val="22"/>
          <w:szCs w:val="22"/>
          <w:shd w:val="clear" w:color="auto" w:fill="auto"/>
        </w:rPr>
        <w:t xml:space="preserve">inus tachycardia, </w:t>
      </w:r>
      <w:r w:rsidR="00973ECD" w:rsidRPr="00747F8D">
        <w:rPr>
          <w:rStyle w:val="CSIchar"/>
          <w:rFonts w:ascii="Arial" w:hAnsi="Arial" w:cs="Arial"/>
          <w:sz w:val="22"/>
          <w:szCs w:val="22"/>
          <w:shd w:val="clear" w:color="auto" w:fill="auto"/>
        </w:rPr>
        <w:t>e</w:t>
      </w:r>
      <w:r w:rsidRPr="00747F8D">
        <w:rPr>
          <w:rStyle w:val="CSIchar"/>
          <w:rFonts w:ascii="Arial" w:hAnsi="Arial" w:cs="Arial"/>
          <w:sz w:val="22"/>
          <w:szCs w:val="22"/>
          <w:shd w:val="clear" w:color="auto" w:fill="auto"/>
        </w:rPr>
        <w:t>lectrocardiogram QT prolonged</w:t>
      </w:r>
    </w:p>
    <w:p w14:paraId="4F6A66EA" w14:textId="77777777" w:rsidR="006F7F10" w:rsidRPr="00747F8D" w:rsidRDefault="006F7F10"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Vascular disorders</w:t>
      </w:r>
    </w:p>
    <w:p w14:paraId="58467A26" w14:textId="61E18D1F"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Deep vein thrombosis, </w:t>
      </w:r>
      <w:r w:rsidR="00973ECD" w:rsidRPr="00747F8D">
        <w:rPr>
          <w:rStyle w:val="CSIchar"/>
          <w:rFonts w:ascii="Arial" w:hAnsi="Arial" w:cs="Arial"/>
          <w:sz w:val="22"/>
          <w:szCs w:val="22"/>
          <w:shd w:val="clear" w:color="auto" w:fill="auto"/>
        </w:rPr>
        <w:t>embolism, h</w:t>
      </w:r>
      <w:r w:rsidRPr="00747F8D">
        <w:rPr>
          <w:rStyle w:val="CSIchar"/>
          <w:rFonts w:ascii="Arial" w:hAnsi="Arial" w:cs="Arial"/>
          <w:sz w:val="22"/>
          <w:szCs w:val="22"/>
          <w:shd w:val="clear" w:color="auto" w:fill="auto"/>
        </w:rPr>
        <w:t xml:space="preserve">ot flush, </w:t>
      </w:r>
      <w:r w:rsidR="00973ECD" w:rsidRPr="00747F8D">
        <w:rPr>
          <w:rStyle w:val="CSIchar"/>
          <w:rFonts w:ascii="Arial" w:hAnsi="Arial" w:cs="Arial"/>
          <w:sz w:val="22"/>
          <w:szCs w:val="22"/>
          <w:shd w:val="clear" w:color="auto" w:fill="auto"/>
        </w:rPr>
        <w:t>t</w:t>
      </w:r>
      <w:r w:rsidRPr="00747F8D">
        <w:rPr>
          <w:rStyle w:val="CSIchar"/>
          <w:rFonts w:ascii="Arial" w:hAnsi="Arial" w:cs="Arial"/>
          <w:sz w:val="22"/>
          <w:szCs w:val="22"/>
          <w:shd w:val="clear" w:color="auto" w:fill="auto"/>
        </w:rPr>
        <w:t xml:space="preserve">hrombophlebitis superficial, </w:t>
      </w:r>
    </w:p>
    <w:p w14:paraId="1D59E0C8" w14:textId="1F06F86D"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00973ECD" w:rsidRPr="00747F8D">
        <w:rPr>
          <w:rStyle w:val="CSIchar"/>
          <w:rFonts w:ascii="Arial" w:hAnsi="Arial" w:cs="Arial"/>
          <w:sz w:val="22"/>
          <w:szCs w:val="22"/>
          <w:shd w:val="clear" w:color="auto" w:fill="auto"/>
        </w:rPr>
        <w:t>flushing, h</w:t>
      </w:r>
      <w:r w:rsidRPr="00747F8D">
        <w:rPr>
          <w:rStyle w:val="CSIchar"/>
          <w:rFonts w:ascii="Arial" w:hAnsi="Arial" w:cs="Arial"/>
          <w:sz w:val="22"/>
          <w:szCs w:val="22"/>
          <w:shd w:val="clear" w:color="auto" w:fill="auto"/>
        </w:rPr>
        <w:t>aematoma</w:t>
      </w:r>
    </w:p>
    <w:p w14:paraId="555E66BF" w14:textId="77777777" w:rsidR="007B1F1F" w:rsidRDefault="007B1F1F">
      <w:pPr>
        <w:rPr>
          <w:rStyle w:val="CSIchar"/>
          <w:rFonts w:ascii="Arial" w:hAnsi="Arial" w:cs="Arial"/>
          <w:b/>
          <w:sz w:val="22"/>
          <w:szCs w:val="22"/>
          <w:shd w:val="clear" w:color="auto" w:fill="auto"/>
        </w:rPr>
      </w:pPr>
      <w:r>
        <w:rPr>
          <w:rStyle w:val="CSIchar"/>
          <w:rFonts w:ascii="Arial" w:hAnsi="Arial" w:cs="Arial"/>
          <w:b/>
          <w:sz w:val="22"/>
          <w:szCs w:val="22"/>
          <w:shd w:val="clear" w:color="auto" w:fill="auto"/>
        </w:rPr>
        <w:br w:type="page"/>
      </w:r>
    </w:p>
    <w:p w14:paraId="567295DB" w14:textId="00158A11" w:rsidR="006F7F10" w:rsidRPr="00747F8D" w:rsidRDefault="006F7F10"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lastRenderedPageBreak/>
        <w:t>Respiratory, thoracic and mediastinal disorders</w:t>
      </w:r>
    </w:p>
    <w:p w14:paraId="17340126" w14:textId="76A27BC4"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i/>
          <w:sz w:val="22"/>
          <w:szCs w:val="22"/>
          <w:shd w:val="clear" w:color="auto" w:fill="auto"/>
        </w:rPr>
        <w:t>Uncommon</w:t>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Pulmonary embolism, </w:t>
      </w:r>
      <w:r w:rsidR="00973ECD" w:rsidRPr="00747F8D">
        <w:rPr>
          <w:rStyle w:val="CSIchar"/>
          <w:rFonts w:ascii="Arial" w:hAnsi="Arial" w:cs="Arial"/>
          <w:sz w:val="22"/>
          <w:szCs w:val="22"/>
          <w:shd w:val="clear" w:color="auto" w:fill="auto"/>
        </w:rPr>
        <w:t>p</w:t>
      </w:r>
      <w:r w:rsidRPr="00747F8D">
        <w:rPr>
          <w:rStyle w:val="CSIchar"/>
          <w:rFonts w:ascii="Arial" w:hAnsi="Arial" w:cs="Arial"/>
          <w:sz w:val="22"/>
          <w:szCs w:val="22"/>
          <w:shd w:val="clear" w:color="auto" w:fill="auto"/>
        </w:rPr>
        <w:t xml:space="preserve">ulmonary infarction, </w:t>
      </w:r>
      <w:r w:rsidR="00973ECD" w:rsidRPr="00747F8D">
        <w:rPr>
          <w:rStyle w:val="CSIchar"/>
          <w:rFonts w:ascii="Arial" w:hAnsi="Arial" w:cs="Arial"/>
          <w:sz w:val="22"/>
          <w:szCs w:val="22"/>
          <w:shd w:val="clear" w:color="auto" w:fill="auto"/>
        </w:rPr>
        <w:t>nasal discomfort, o</w:t>
      </w:r>
      <w:r w:rsidRPr="00747F8D">
        <w:rPr>
          <w:rStyle w:val="CSIchar"/>
          <w:rFonts w:ascii="Arial" w:hAnsi="Arial" w:cs="Arial"/>
          <w:sz w:val="22"/>
          <w:szCs w:val="22"/>
          <w:shd w:val="clear" w:color="auto" w:fill="auto"/>
        </w:rPr>
        <w:t xml:space="preserve">ropharyngeal </w:t>
      </w:r>
    </w:p>
    <w:p w14:paraId="5BDB90CF" w14:textId="5C4422EF" w:rsidR="006F7F10" w:rsidRPr="00747F8D" w:rsidRDefault="006F7F10" w:rsidP="006F7F10">
      <w:pPr>
        <w:spacing w:line="300" w:lineRule="atLeast"/>
        <w:jc w:val="both"/>
        <w:rPr>
          <w:rStyle w:val="CSIchar"/>
          <w:rFonts w:ascii="Arial" w:hAnsi="Arial" w:cs="Arial"/>
          <w:sz w:val="22"/>
          <w:szCs w:val="22"/>
          <w:shd w:val="clear" w:color="auto" w:fill="auto"/>
        </w:rPr>
      </w:pP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r>
      <w:r w:rsidRPr="00747F8D">
        <w:rPr>
          <w:rStyle w:val="CSIchar"/>
          <w:rFonts w:ascii="Arial" w:hAnsi="Arial" w:cs="Arial"/>
          <w:sz w:val="22"/>
          <w:szCs w:val="22"/>
          <w:shd w:val="clear" w:color="auto" w:fill="auto"/>
        </w:rPr>
        <w:tab/>
        <w:t xml:space="preserve">blistering, </w:t>
      </w:r>
      <w:r w:rsidR="00973ECD" w:rsidRPr="00747F8D">
        <w:rPr>
          <w:rStyle w:val="CSIchar"/>
          <w:rFonts w:ascii="Arial" w:hAnsi="Arial" w:cs="Arial"/>
          <w:sz w:val="22"/>
          <w:szCs w:val="22"/>
          <w:shd w:val="clear" w:color="auto" w:fill="auto"/>
        </w:rPr>
        <w:t>o</w:t>
      </w:r>
      <w:r w:rsidRPr="00747F8D">
        <w:rPr>
          <w:rStyle w:val="CSIchar"/>
          <w:rFonts w:ascii="Arial" w:hAnsi="Arial" w:cs="Arial"/>
          <w:sz w:val="22"/>
          <w:szCs w:val="22"/>
          <w:shd w:val="clear" w:color="auto" w:fill="auto"/>
        </w:rPr>
        <w:t xml:space="preserve">ropharyngeal pain, </w:t>
      </w:r>
      <w:r w:rsidR="00973ECD" w:rsidRPr="00747F8D">
        <w:rPr>
          <w:rStyle w:val="CSIchar"/>
          <w:rFonts w:ascii="Arial" w:hAnsi="Arial" w:cs="Arial"/>
          <w:sz w:val="22"/>
          <w:szCs w:val="22"/>
          <w:shd w:val="clear" w:color="auto" w:fill="auto"/>
        </w:rPr>
        <w:t>s</w:t>
      </w:r>
      <w:r w:rsidRPr="00747F8D">
        <w:rPr>
          <w:rStyle w:val="CSIchar"/>
          <w:rFonts w:ascii="Arial" w:hAnsi="Arial" w:cs="Arial"/>
          <w:sz w:val="22"/>
          <w:szCs w:val="22"/>
          <w:shd w:val="clear" w:color="auto" w:fill="auto"/>
        </w:rPr>
        <w:t xml:space="preserve">inus disorder, </w:t>
      </w:r>
      <w:r w:rsidR="00973ECD" w:rsidRPr="00747F8D">
        <w:rPr>
          <w:rStyle w:val="CSIchar"/>
          <w:rFonts w:ascii="Arial" w:hAnsi="Arial" w:cs="Arial"/>
          <w:sz w:val="22"/>
          <w:szCs w:val="22"/>
          <w:shd w:val="clear" w:color="auto" w:fill="auto"/>
        </w:rPr>
        <w:t>s</w:t>
      </w:r>
      <w:r w:rsidRPr="00747F8D">
        <w:rPr>
          <w:rStyle w:val="CSIchar"/>
          <w:rFonts w:ascii="Arial" w:hAnsi="Arial" w:cs="Arial"/>
          <w:sz w:val="22"/>
          <w:szCs w:val="22"/>
          <w:shd w:val="clear" w:color="auto" w:fill="auto"/>
        </w:rPr>
        <w:t>leep apnoea syndrome</w:t>
      </w:r>
    </w:p>
    <w:p w14:paraId="5553BC65" w14:textId="0C715C83" w:rsidR="007F1764" w:rsidRPr="00747F8D" w:rsidRDefault="007F1764"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Gastrointestinal disorders</w:t>
      </w:r>
    </w:p>
    <w:p w14:paraId="5553BC68" w14:textId="6C74DA76" w:rsidR="007F1764" w:rsidRPr="00747F8D" w:rsidRDefault="007F1764" w:rsidP="007F1764">
      <w:pPr>
        <w:spacing w:line="300" w:lineRule="atLeast"/>
        <w:jc w:val="both"/>
        <w:rPr>
          <w:rFonts w:ascii="Arial" w:hAnsi="Arial" w:cs="Arial"/>
          <w:sz w:val="22"/>
          <w:szCs w:val="22"/>
        </w:rPr>
      </w:pPr>
      <w:r w:rsidRPr="00747F8D">
        <w:rPr>
          <w:rFonts w:ascii="Arial" w:hAnsi="Arial" w:cs="Arial"/>
          <w:i/>
          <w:sz w:val="22"/>
          <w:szCs w:val="22"/>
        </w:rPr>
        <w:t>Common</w:t>
      </w:r>
      <w:r w:rsidRPr="00747F8D">
        <w:rPr>
          <w:rFonts w:ascii="Arial" w:hAnsi="Arial" w:cs="Arial"/>
          <w:sz w:val="22"/>
          <w:szCs w:val="22"/>
        </w:rPr>
        <w:tab/>
      </w:r>
      <w:r w:rsidRPr="00747F8D">
        <w:rPr>
          <w:rFonts w:ascii="Arial" w:hAnsi="Arial" w:cs="Arial"/>
          <w:sz w:val="22"/>
          <w:szCs w:val="22"/>
        </w:rPr>
        <w:tab/>
        <w:t>Nausea</w:t>
      </w:r>
      <w:r w:rsidR="00B43EF1" w:rsidRPr="00747F8D">
        <w:rPr>
          <w:rFonts w:ascii="Arial" w:hAnsi="Arial" w:cs="Arial"/>
          <w:sz w:val="22"/>
          <w:szCs w:val="22"/>
        </w:rPr>
        <w:t xml:space="preserve">, </w:t>
      </w:r>
      <w:r w:rsidR="00F60B67" w:rsidRPr="00747F8D">
        <w:rPr>
          <w:rFonts w:ascii="Arial" w:hAnsi="Arial" w:cs="Arial"/>
          <w:sz w:val="22"/>
          <w:szCs w:val="22"/>
        </w:rPr>
        <w:t>d</w:t>
      </w:r>
      <w:r w:rsidRPr="00747F8D">
        <w:rPr>
          <w:rFonts w:ascii="Arial" w:hAnsi="Arial" w:cs="Arial"/>
          <w:sz w:val="22"/>
          <w:szCs w:val="22"/>
        </w:rPr>
        <w:t>iarrhoea</w:t>
      </w:r>
    </w:p>
    <w:p w14:paraId="21F76223" w14:textId="154AC804" w:rsidR="00F60B67" w:rsidRPr="00747F8D" w:rsidRDefault="00973ECD" w:rsidP="007F1764">
      <w:pPr>
        <w:spacing w:line="300" w:lineRule="atLeast"/>
        <w:jc w:val="both"/>
        <w:rPr>
          <w:rFonts w:ascii="Arial" w:hAnsi="Arial" w:cs="Arial"/>
          <w:sz w:val="22"/>
          <w:szCs w:val="22"/>
        </w:rPr>
      </w:pPr>
      <w:r w:rsidRPr="00747F8D">
        <w:rPr>
          <w:rFonts w:ascii="Arial" w:hAnsi="Arial" w:cs="Arial"/>
          <w:i/>
          <w:sz w:val="22"/>
          <w:szCs w:val="22"/>
        </w:rPr>
        <w:t>Unc</w:t>
      </w:r>
      <w:r w:rsidR="007F1764" w:rsidRPr="00747F8D">
        <w:rPr>
          <w:rFonts w:ascii="Arial" w:hAnsi="Arial" w:cs="Arial"/>
          <w:i/>
          <w:sz w:val="22"/>
          <w:szCs w:val="22"/>
        </w:rPr>
        <w:t>ommon</w:t>
      </w:r>
      <w:r w:rsidR="007F1764" w:rsidRPr="00747F8D">
        <w:rPr>
          <w:rFonts w:ascii="Arial" w:hAnsi="Arial" w:cs="Arial"/>
          <w:sz w:val="22"/>
          <w:szCs w:val="22"/>
        </w:rPr>
        <w:tab/>
      </w:r>
      <w:r w:rsidR="007F1764" w:rsidRPr="00747F8D">
        <w:rPr>
          <w:rFonts w:ascii="Arial" w:hAnsi="Arial" w:cs="Arial"/>
          <w:sz w:val="22"/>
          <w:szCs w:val="22"/>
        </w:rPr>
        <w:tab/>
        <w:t>Dry mouth</w:t>
      </w:r>
      <w:r w:rsidR="00B43EF1" w:rsidRPr="00747F8D">
        <w:rPr>
          <w:rFonts w:ascii="Arial" w:hAnsi="Arial" w:cs="Arial"/>
          <w:sz w:val="22"/>
          <w:szCs w:val="22"/>
        </w:rPr>
        <w:t xml:space="preserve">, </w:t>
      </w:r>
      <w:r w:rsidR="00F60B67" w:rsidRPr="00747F8D">
        <w:rPr>
          <w:rFonts w:ascii="Arial" w:hAnsi="Arial" w:cs="Arial"/>
          <w:sz w:val="22"/>
          <w:szCs w:val="22"/>
        </w:rPr>
        <w:t>v</w:t>
      </w:r>
      <w:r w:rsidR="007F1764" w:rsidRPr="00747F8D">
        <w:rPr>
          <w:rFonts w:ascii="Arial" w:hAnsi="Arial" w:cs="Arial"/>
          <w:sz w:val="22"/>
          <w:szCs w:val="22"/>
        </w:rPr>
        <w:t>omiting</w:t>
      </w:r>
      <w:r w:rsidRPr="00747F8D">
        <w:rPr>
          <w:rFonts w:ascii="Arial" w:hAnsi="Arial" w:cs="Arial"/>
          <w:sz w:val="22"/>
          <w:szCs w:val="22"/>
        </w:rPr>
        <w:t xml:space="preserve">, abdominal pain, </w:t>
      </w:r>
      <w:r w:rsidR="00F60B67" w:rsidRPr="00747F8D">
        <w:rPr>
          <w:rFonts w:ascii="Arial" w:hAnsi="Arial" w:cs="Arial"/>
          <w:sz w:val="22"/>
          <w:szCs w:val="22"/>
        </w:rPr>
        <w:t>g</w:t>
      </w:r>
      <w:r w:rsidRPr="00747F8D">
        <w:rPr>
          <w:rFonts w:ascii="Arial" w:hAnsi="Arial" w:cs="Arial"/>
          <w:sz w:val="22"/>
          <w:szCs w:val="22"/>
        </w:rPr>
        <w:t>lossodynia</w:t>
      </w:r>
      <w:r w:rsidR="00F60B67" w:rsidRPr="00747F8D">
        <w:rPr>
          <w:rFonts w:ascii="Arial" w:hAnsi="Arial" w:cs="Arial"/>
          <w:sz w:val="22"/>
          <w:szCs w:val="22"/>
        </w:rPr>
        <w:t>, m</w:t>
      </w:r>
      <w:r w:rsidRPr="00747F8D">
        <w:rPr>
          <w:rFonts w:ascii="Arial" w:hAnsi="Arial" w:cs="Arial"/>
          <w:sz w:val="22"/>
          <w:szCs w:val="22"/>
        </w:rPr>
        <w:t xml:space="preserve">outh haemorrhage, </w:t>
      </w:r>
    </w:p>
    <w:p w14:paraId="5553BC6B" w14:textId="445FAA47" w:rsidR="007F1764" w:rsidRPr="00747F8D" w:rsidRDefault="00F60B67" w:rsidP="00F60B67">
      <w:pPr>
        <w:spacing w:line="300" w:lineRule="atLeast"/>
        <w:ind w:left="2160"/>
        <w:jc w:val="both"/>
        <w:rPr>
          <w:rFonts w:ascii="Arial" w:hAnsi="Arial" w:cs="Arial"/>
          <w:sz w:val="22"/>
          <w:szCs w:val="22"/>
        </w:rPr>
      </w:pPr>
      <w:r w:rsidRPr="00747F8D">
        <w:rPr>
          <w:rFonts w:ascii="Arial" w:hAnsi="Arial" w:cs="Arial"/>
          <w:sz w:val="22"/>
          <w:szCs w:val="22"/>
        </w:rPr>
        <w:t>abdominal tenderness, f</w:t>
      </w:r>
      <w:r w:rsidR="00973ECD" w:rsidRPr="00747F8D">
        <w:rPr>
          <w:rFonts w:ascii="Arial" w:hAnsi="Arial" w:cs="Arial"/>
          <w:sz w:val="22"/>
          <w:szCs w:val="22"/>
        </w:rPr>
        <w:t xml:space="preserve">aeces discoloured, </w:t>
      </w:r>
      <w:r w:rsidRPr="00747F8D">
        <w:rPr>
          <w:rFonts w:ascii="Arial" w:hAnsi="Arial" w:cs="Arial"/>
          <w:sz w:val="22"/>
          <w:szCs w:val="22"/>
        </w:rPr>
        <w:t>flatulence, f</w:t>
      </w:r>
      <w:r w:rsidR="00973ECD" w:rsidRPr="00747F8D">
        <w:rPr>
          <w:rFonts w:ascii="Arial" w:hAnsi="Arial" w:cs="Arial"/>
          <w:sz w:val="22"/>
          <w:szCs w:val="22"/>
        </w:rPr>
        <w:t xml:space="preserve">ood poisoning, </w:t>
      </w:r>
      <w:r w:rsidRPr="00747F8D">
        <w:rPr>
          <w:rFonts w:ascii="Arial" w:hAnsi="Arial" w:cs="Arial"/>
          <w:sz w:val="22"/>
          <w:szCs w:val="22"/>
        </w:rPr>
        <w:t>f</w:t>
      </w:r>
      <w:r w:rsidR="00973ECD" w:rsidRPr="00747F8D">
        <w:rPr>
          <w:rFonts w:ascii="Arial" w:hAnsi="Arial" w:cs="Arial"/>
          <w:sz w:val="22"/>
          <w:szCs w:val="22"/>
        </w:rPr>
        <w:t xml:space="preserve">requent bowel movements, </w:t>
      </w:r>
      <w:r w:rsidRPr="00747F8D">
        <w:rPr>
          <w:rFonts w:ascii="Arial" w:hAnsi="Arial" w:cs="Arial"/>
          <w:sz w:val="22"/>
          <w:szCs w:val="22"/>
        </w:rPr>
        <w:t>h</w:t>
      </w:r>
      <w:r w:rsidR="00973ECD" w:rsidRPr="00747F8D">
        <w:rPr>
          <w:rFonts w:ascii="Arial" w:hAnsi="Arial" w:cs="Arial"/>
          <w:sz w:val="22"/>
          <w:szCs w:val="22"/>
        </w:rPr>
        <w:t xml:space="preserve">aematemesis, </w:t>
      </w:r>
      <w:r w:rsidRPr="00747F8D">
        <w:rPr>
          <w:rFonts w:ascii="Arial" w:hAnsi="Arial" w:cs="Arial"/>
          <w:sz w:val="22"/>
          <w:szCs w:val="22"/>
        </w:rPr>
        <w:t>o</w:t>
      </w:r>
      <w:r w:rsidR="00973ECD" w:rsidRPr="00747F8D">
        <w:rPr>
          <w:rFonts w:ascii="Arial" w:hAnsi="Arial" w:cs="Arial"/>
          <w:sz w:val="22"/>
          <w:szCs w:val="22"/>
        </w:rPr>
        <w:t>ral discomfort</w:t>
      </w:r>
    </w:p>
    <w:p w14:paraId="5553BC6D" w14:textId="77777777" w:rsidR="007F1764" w:rsidRPr="00E84537" w:rsidRDefault="007F1764" w:rsidP="00E84537">
      <w:pPr>
        <w:spacing w:before="120" w:line="300" w:lineRule="atLeast"/>
        <w:jc w:val="both"/>
        <w:rPr>
          <w:rStyle w:val="CSIchar"/>
          <w:rFonts w:ascii="Arial" w:hAnsi="Arial" w:cs="Arial"/>
          <w:b/>
          <w:sz w:val="22"/>
          <w:szCs w:val="22"/>
          <w:shd w:val="clear" w:color="auto" w:fill="auto"/>
        </w:rPr>
      </w:pPr>
      <w:r w:rsidRPr="00E84537">
        <w:rPr>
          <w:rStyle w:val="CSIchar"/>
          <w:rFonts w:ascii="Arial" w:hAnsi="Arial" w:cs="Arial"/>
          <w:b/>
          <w:sz w:val="22"/>
          <w:szCs w:val="22"/>
          <w:shd w:val="clear" w:color="auto" w:fill="auto"/>
        </w:rPr>
        <w:t>Hepatobiliary disorders</w:t>
      </w:r>
    </w:p>
    <w:p w14:paraId="03B70E5D" w14:textId="70E7EB8F" w:rsidR="000454E8" w:rsidRPr="00747F8D" w:rsidRDefault="007F1764" w:rsidP="000454E8">
      <w:pPr>
        <w:spacing w:line="300" w:lineRule="atLeast"/>
        <w:jc w:val="both"/>
        <w:rPr>
          <w:rFonts w:ascii="Arial" w:hAnsi="Arial" w:cs="Arial"/>
          <w:sz w:val="22"/>
          <w:szCs w:val="22"/>
        </w:rPr>
      </w:pPr>
      <w:r w:rsidRPr="00747F8D">
        <w:rPr>
          <w:rFonts w:ascii="Arial" w:hAnsi="Arial" w:cs="Arial"/>
          <w:i/>
          <w:sz w:val="22"/>
          <w:szCs w:val="22"/>
        </w:rPr>
        <w:t>Common</w:t>
      </w:r>
      <w:r w:rsidRPr="00747F8D">
        <w:rPr>
          <w:rFonts w:ascii="Arial" w:hAnsi="Arial" w:cs="Arial"/>
          <w:i/>
          <w:sz w:val="22"/>
          <w:szCs w:val="22"/>
        </w:rPr>
        <w:tab/>
      </w:r>
      <w:r w:rsidRPr="00747F8D">
        <w:rPr>
          <w:rFonts w:ascii="Arial" w:hAnsi="Arial" w:cs="Arial"/>
          <w:i/>
          <w:sz w:val="22"/>
          <w:szCs w:val="22"/>
        </w:rPr>
        <w:tab/>
      </w:r>
      <w:r w:rsidRPr="00747F8D">
        <w:rPr>
          <w:rFonts w:ascii="Arial" w:hAnsi="Arial" w:cs="Arial"/>
          <w:sz w:val="22"/>
          <w:szCs w:val="22"/>
        </w:rPr>
        <w:t>Increased</w:t>
      </w:r>
      <w:r w:rsidRPr="00747F8D">
        <w:rPr>
          <w:rFonts w:ascii="Arial" w:hAnsi="Arial" w:cs="Arial"/>
          <w:i/>
          <w:sz w:val="22"/>
          <w:szCs w:val="22"/>
        </w:rPr>
        <w:t xml:space="preserve"> </w:t>
      </w:r>
      <w:r w:rsidRPr="00747F8D">
        <w:rPr>
          <w:rFonts w:ascii="Arial" w:hAnsi="Arial" w:cs="Arial"/>
          <w:sz w:val="22"/>
          <w:szCs w:val="22"/>
        </w:rPr>
        <w:t>aspartate aminotransferase</w:t>
      </w:r>
      <w:r w:rsidR="000454E8" w:rsidRPr="00747F8D">
        <w:rPr>
          <w:rFonts w:ascii="Arial" w:hAnsi="Arial" w:cs="Arial"/>
          <w:sz w:val="22"/>
          <w:szCs w:val="22"/>
        </w:rPr>
        <w:t>*</w:t>
      </w:r>
      <w:r w:rsidR="00B43EF1" w:rsidRPr="00747F8D">
        <w:rPr>
          <w:rFonts w:ascii="Arial" w:hAnsi="Arial" w:cs="Arial"/>
          <w:sz w:val="22"/>
          <w:szCs w:val="22"/>
        </w:rPr>
        <w:t xml:space="preserve">, </w:t>
      </w:r>
      <w:r w:rsidR="00402C9E" w:rsidRPr="00747F8D">
        <w:rPr>
          <w:rFonts w:ascii="Arial" w:hAnsi="Arial" w:cs="Arial"/>
          <w:sz w:val="22"/>
          <w:szCs w:val="22"/>
        </w:rPr>
        <w:t>i</w:t>
      </w:r>
      <w:r w:rsidRPr="00747F8D">
        <w:rPr>
          <w:rFonts w:ascii="Arial" w:hAnsi="Arial" w:cs="Arial"/>
          <w:sz w:val="22"/>
          <w:szCs w:val="22"/>
        </w:rPr>
        <w:t>ncreased alanine aminotransferase</w:t>
      </w:r>
      <w:r w:rsidR="000454E8" w:rsidRPr="00747F8D">
        <w:rPr>
          <w:rFonts w:ascii="Arial" w:hAnsi="Arial" w:cs="Arial"/>
          <w:sz w:val="22"/>
          <w:szCs w:val="22"/>
        </w:rPr>
        <w:t xml:space="preserve">*, </w:t>
      </w:r>
    </w:p>
    <w:p w14:paraId="71D5C624" w14:textId="77777777" w:rsidR="00F60B67" w:rsidRPr="00747F8D" w:rsidRDefault="000454E8" w:rsidP="00F60B67">
      <w:pPr>
        <w:spacing w:line="300" w:lineRule="atLeast"/>
        <w:ind w:left="1440" w:firstLine="720"/>
        <w:jc w:val="both"/>
        <w:rPr>
          <w:rFonts w:ascii="Arial" w:hAnsi="Arial" w:cs="Arial"/>
          <w:sz w:val="22"/>
          <w:szCs w:val="22"/>
        </w:rPr>
      </w:pPr>
      <w:r w:rsidRPr="00747F8D">
        <w:rPr>
          <w:rFonts w:ascii="Arial" w:hAnsi="Arial" w:cs="Arial"/>
          <w:sz w:val="22"/>
          <w:szCs w:val="22"/>
        </w:rPr>
        <w:t>hyperbilirubinaemia, hepatic function abnormal</w:t>
      </w:r>
    </w:p>
    <w:p w14:paraId="73D4792D" w14:textId="311F529B" w:rsidR="00F60B67" w:rsidRPr="00747F8D" w:rsidRDefault="00F60B67" w:rsidP="00F60B67">
      <w:pPr>
        <w:spacing w:line="300" w:lineRule="atLeast"/>
        <w:ind w:left="2160"/>
        <w:jc w:val="both"/>
        <w:rPr>
          <w:rFonts w:ascii="Arial" w:hAnsi="Arial" w:cs="Arial"/>
          <w:i/>
          <w:sz w:val="22"/>
          <w:szCs w:val="22"/>
        </w:rPr>
      </w:pPr>
      <w:r w:rsidRPr="00747F8D">
        <w:rPr>
          <w:rFonts w:ascii="Arial" w:hAnsi="Arial" w:cs="Arial"/>
          <w:sz w:val="22"/>
          <w:szCs w:val="22"/>
        </w:rPr>
        <w:t>*</w:t>
      </w:r>
      <w:r w:rsidRPr="00747F8D">
        <w:rPr>
          <w:rFonts w:ascii="Arial" w:hAnsi="Arial" w:cs="Arial"/>
          <w:i/>
          <w:sz w:val="22"/>
          <w:szCs w:val="22"/>
        </w:rPr>
        <w:t>Increase of alanine aminotransferase and aspartate aminotransferase may occur simultaneously, although at a lower frequency.</w:t>
      </w:r>
    </w:p>
    <w:p w14:paraId="4AF12E8F" w14:textId="18282E9B" w:rsidR="000454E8" w:rsidRPr="00747F8D" w:rsidRDefault="000454E8" w:rsidP="000454E8">
      <w:pPr>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 xml:space="preserve"> </w:t>
      </w:r>
      <w:r w:rsidRPr="00747F8D">
        <w:rPr>
          <w:rFonts w:ascii="Arial" w:hAnsi="Arial" w:cs="Arial"/>
          <w:sz w:val="22"/>
          <w:szCs w:val="22"/>
        </w:rPr>
        <w:tab/>
      </w:r>
      <w:r w:rsidRPr="00747F8D">
        <w:rPr>
          <w:rFonts w:ascii="Arial" w:hAnsi="Arial" w:cs="Arial"/>
          <w:sz w:val="22"/>
          <w:szCs w:val="22"/>
        </w:rPr>
        <w:tab/>
        <w:t>Cholestasis, hepatic lesion, hepatitis</w:t>
      </w:r>
    </w:p>
    <w:p w14:paraId="5553BC72" w14:textId="77777777" w:rsidR="007F1764" w:rsidRPr="00747F8D" w:rsidRDefault="007F1764"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Skin and subcutaneous tissue disorders</w:t>
      </w:r>
    </w:p>
    <w:p w14:paraId="5553BC75" w14:textId="0C44D04D" w:rsidR="007F1764" w:rsidRPr="00747F8D" w:rsidRDefault="007F1764" w:rsidP="007F1764">
      <w:pPr>
        <w:spacing w:line="300" w:lineRule="atLeast"/>
        <w:jc w:val="both"/>
        <w:rPr>
          <w:rFonts w:ascii="Arial" w:hAnsi="Arial" w:cs="Arial"/>
          <w:sz w:val="22"/>
          <w:szCs w:val="22"/>
        </w:rPr>
      </w:pPr>
      <w:r w:rsidRPr="00747F8D">
        <w:rPr>
          <w:rFonts w:ascii="Arial" w:hAnsi="Arial" w:cs="Arial"/>
          <w:i/>
          <w:sz w:val="22"/>
          <w:szCs w:val="22"/>
        </w:rPr>
        <w:t>Common</w:t>
      </w:r>
      <w:r w:rsidRPr="00747F8D">
        <w:rPr>
          <w:rFonts w:ascii="Arial" w:hAnsi="Arial" w:cs="Arial"/>
          <w:sz w:val="22"/>
          <w:szCs w:val="22"/>
        </w:rPr>
        <w:tab/>
      </w:r>
      <w:r w:rsidRPr="00747F8D">
        <w:rPr>
          <w:rFonts w:ascii="Arial" w:hAnsi="Arial" w:cs="Arial"/>
          <w:sz w:val="22"/>
          <w:szCs w:val="22"/>
        </w:rPr>
        <w:tab/>
        <w:t>Alopecia</w:t>
      </w:r>
      <w:r w:rsidR="00B43EF1" w:rsidRPr="00747F8D">
        <w:rPr>
          <w:rFonts w:ascii="Arial" w:hAnsi="Arial" w:cs="Arial"/>
          <w:sz w:val="22"/>
          <w:szCs w:val="22"/>
        </w:rPr>
        <w:t xml:space="preserve">, </w:t>
      </w:r>
      <w:r w:rsidR="00F60B67" w:rsidRPr="00747F8D">
        <w:rPr>
          <w:rFonts w:ascii="Arial" w:hAnsi="Arial" w:cs="Arial"/>
          <w:sz w:val="22"/>
          <w:szCs w:val="22"/>
        </w:rPr>
        <w:t>r</w:t>
      </w:r>
      <w:r w:rsidRPr="00747F8D">
        <w:rPr>
          <w:rFonts w:ascii="Arial" w:hAnsi="Arial" w:cs="Arial"/>
          <w:sz w:val="22"/>
          <w:szCs w:val="22"/>
        </w:rPr>
        <w:t>ash</w:t>
      </w:r>
    </w:p>
    <w:p w14:paraId="6306401E" w14:textId="77777777" w:rsidR="00AC1FA5" w:rsidRPr="00747F8D" w:rsidRDefault="00AC1FA5" w:rsidP="007F1764">
      <w:pPr>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t xml:space="preserve">Hyperhidrosis, pruritus generalised, urticaria, dermatosis, petechiae, cold </w:t>
      </w:r>
    </w:p>
    <w:p w14:paraId="06F0CA57" w14:textId="77777777" w:rsidR="00AC1FA5" w:rsidRPr="00747F8D" w:rsidRDefault="00AC1FA5" w:rsidP="007F1764">
      <w:pPr>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 xml:space="preserve">sweat, erythema, melanosis, pigmentation disorder, skin discolouration, skin </w:t>
      </w:r>
    </w:p>
    <w:p w14:paraId="5553BC76" w14:textId="00B85419" w:rsidR="007F1764" w:rsidRPr="00747F8D" w:rsidRDefault="00AC1FA5" w:rsidP="007F1764">
      <w:pPr>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exfoliation</w:t>
      </w:r>
    </w:p>
    <w:p w14:paraId="5553BC77" w14:textId="77777777" w:rsidR="007F1764" w:rsidRPr="00747F8D" w:rsidRDefault="007F1764" w:rsidP="00E84537">
      <w:pPr>
        <w:spacing w:before="120" w:line="300" w:lineRule="atLeast"/>
        <w:jc w:val="both"/>
        <w:rPr>
          <w:rStyle w:val="CSIchar"/>
          <w:rFonts w:ascii="Arial" w:hAnsi="Arial" w:cs="Arial"/>
          <w:b/>
          <w:sz w:val="22"/>
          <w:szCs w:val="22"/>
          <w:shd w:val="clear" w:color="auto" w:fill="auto"/>
        </w:rPr>
      </w:pPr>
      <w:r w:rsidRPr="00747F8D">
        <w:rPr>
          <w:rStyle w:val="CSIchar"/>
          <w:rFonts w:ascii="Arial" w:hAnsi="Arial" w:cs="Arial"/>
          <w:b/>
          <w:sz w:val="22"/>
          <w:szCs w:val="22"/>
          <w:shd w:val="clear" w:color="auto" w:fill="auto"/>
        </w:rPr>
        <w:t>Musculoskeletal and connective tissue disorders</w:t>
      </w:r>
    </w:p>
    <w:p w14:paraId="5553BC7C" w14:textId="5CDF1A7B" w:rsidR="007F1764" w:rsidRPr="00747F8D" w:rsidRDefault="007F1764" w:rsidP="00AC1FA5">
      <w:pPr>
        <w:spacing w:line="300" w:lineRule="atLeast"/>
        <w:ind w:left="2160" w:hanging="2160"/>
        <w:jc w:val="both"/>
        <w:rPr>
          <w:rFonts w:ascii="Arial" w:hAnsi="Arial" w:cs="Arial"/>
          <w:sz w:val="22"/>
          <w:szCs w:val="22"/>
        </w:rPr>
      </w:pPr>
      <w:r w:rsidRPr="00747F8D">
        <w:rPr>
          <w:rFonts w:ascii="Arial" w:hAnsi="Arial" w:cs="Arial"/>
          <w:i/>
          <w:sz w:val="22"/>
          <w:szCs w:val="22"/>
        </w:rPr>
        <w:t>Common</w:t>
      </w:r>
      <w:r w:rsidRPr="00747F8D">
        <w:rPr>
          <w:rFonts w:ascii="Arial" w:hAnsi="Arial" w:cs="Arial"/>
          <w:sz w:val="22"/>
          <w:szCs w:val="22"/>
        </w:rPr>
        <w:tab/>
        <w:t>Back pain</w:t>
      </w:r>
      <w:r w:rsidR="00B43EF1" w:rsidRPr="00747F8D">
        <w:rPr>
          <w:rFonts w:ascii="Arial" w:hAnsi="Arial" w:cs="Arial"/>
          <w:sz w:val="22"/>
          <w:szCs w:val="22"/>
        </w:rPr>
        <w:t xml:space="preserve">, </w:t>
      </w:r>
      <w:r w:rsidR="00402C9E" w:rsidRPr="00747F8D">
        <w:rPr>
          <w:rFonts w:ascii="Arial" w:hAnsi="Arial" w:cs="Arial"/>
          <w:sz w:val="22"/>
          <w:szCs w:val="22"/>
        </w:rPr>
        <w:t>m</w:t>
      </w:r>
      <w:r w:rsidRPr="00747F8D">
        <w:rPr>
          <w:rFonts w:ascii="Arial" w:hAnsi="Arial" w:cs="Arial"/>
          <w:sz w:val="22"/>
          <w:szCs w:val="22"/>
        </w:rPr>
        <w:t>usculoskeletal pain</w:t>
      </w:r>
      <w:r w:rsidR="00B43EF1" w:rsidRPr="00747F8D">
        <w:rPr>
          <w:rFonts w:ascii="Arial" w:hAnsi="Arial" w:cs="Arial"/>
          <w:sz w:val="22"/>
          <w:szCs w:val="22"/>
        </w:rPr>
        <w:t xml:space="preserve">, </w:t>
      </w:r>
      <w:r w:rsidR="00402C9E" w:rsidRPr="00747F8D">
        <w:rPr>
          <w:rFonts w:ascii="Arial" w:hAnsi="Arial" w:cs="Arial"/>
          <w:sz w:val="22"/>
          <w:szCs w:val="22"/>
        </w:rPr>
        <w:t>m</w:t>
      </w:r>
      <w:r w:rsidRPr="00747F8D">
        <w:rPr>
          <w:rFonts w:ascii="Arial" w:hAnsi="Arial" w:cs="Arial"/>
          <w:sz w:val="22"/>
          <w:szCs w:val="22"/>
        </w:rPr>
        <w:t xml:space="preserve">uscle </w:t>
      </w:r>
      <w:r w:rsidR="00462BAF" w:rsidRPr="00747F8D">
        <w:rPr>
          <w:rFonts w:ascii="Arial" w:hAnsi="Arial" w:cs="Arial"/>
          <w:sz w:val="22"/>
          <w:szCs w:val="22"/>
        </w:rPr>
        <w:t>s</w:t>
      </w:r>
      <w:r w:rsidRPr="00747F8D">
        <w:rPr>
          <w:rFonts w:ascii="Arial" w:hAnsi="Arial" w:cs="Arial"/>
          <w:sz w:val="22"/>
          <w:szCs w:val="22"/>
        </w:rPr>
        <w:t>pa</w:t>
      </w:r>
      <w:r w:rsidR="00462BAF" w:rsidRPr="00747F8D">
        <w:rPr>
          <w:rFonts w:ascii="Arial" w:hAnsi="Arial" w:cs="Arial"/>
          <w:sz w:val="22"/>
          <w:szCs w:val="22"/>
        </w:rPr>
        <w:t>sm</w:t>
      </w:r>
      <w:r w:rsidR="00B43EF1" w:rsidRPr="00747F8D">
        <w:rPr>
          <w:rFonts w:ascii="Arial" w:hAnsi="Arial" w:cs="Arial"/>
          <w:sz w:val="22"/>
          <w:szCs w:val="22"/>
        </w:rPr>
        <w:t xml:space="preserve">, </w:t>
      </w:r>
      <w:r w:rsidR="00402C9E" w:rsidRPr="00747F8D">
        <w:rPr>
          <w:rFonts w:ascii="Arial" w:hAnsi="Arial" w:cs="Arial"/>
          <w:sz w:val="22"/>
          <w:szCs w:val="22"/>
        </w:rPr>
        <w:t>m</w:t>
      </w:r>
      <w:r w:rsidRPr="00747F8D">
        <w:rPr>
          <w:rFonts w:ascii="Arial" w:hAnsi="Arial" w:cs="Arial"/>
          <w:sz w:val="22"/>
          <w:szCs w:val="22"/>
        </w:rPr>
        <w:t>yalgia</w:t>
      </w:r>
      <w:r w:rsidR="00AC1FA5" w:rsidRPr="00747F8D">
        <w:rPr>
          <w:rFonts w:ascii="Arial" w:hAnsi="Arial" w:cs="Arial"/>
          <w:sz w:val="22"/>
          <w:szCs w:val="22"/>
        </w:rPr>
        <w:t>, bone pain</w:t>
      </w:r>
    </w:p>
    <w:p w14:paraId="5553BC7D" w14:textId="342729B9" w:rsidR="00867F68" w:rsidRPr="00747F8D" w:rsidRDefault="00AC1FA5" w:rsidP="00867F68">
      <w:pPr>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t>Muscular weakness</w:t>
      </w:r>
    </w:p>
    <w:p w14:paraId="7AD5A20B" w14:textId="77777777" w:rsidR="00D7277C" w:rsidRPr="00E84537" w:rsidRDefault="00D7277C" w:rsidP="00E84537">
      <w:pPr>
        <w:spacing w:before="120" w:line="300" w:lineRule="atLeast"/>
        <w:jc w:val="both"/>
        <w:rPr>
          <w:rStyle w:val="CSIchar"/>
          <w:rFonts w:ascii="Arial" w:hAnsi="Arial" w:cs="Arial"/>
          <w:b/>
          <w:sz w:val="22"/>
          <w:szCs w:val="22"/>
          <w:shd w:val="clear" w:color="auto" w:fill="auto"/>
        </w:rPr>
      </w:pPr>
      <w:r w:rsidRPr="00E84537">
        <w:rPr>
          <w:rStyle w:val="CSIchar"/>
          <w:rFonts w:ascii="Arial" w:hAnsi="Arial" w:cs="Arial"/>
          <w:b/>
          <w:sz w:val="22"/>
          <w:szCs w:val="22"/>
          <w:shd w:val="clear" w:color="auto" w:fill="auto"/>
        </w:rPr>
        <w:t>Renal and urinary disorders</w:t>
      </w:r>
    </w:p>
    <w:p w14:paraId="28A430A8" w14:textId="503A105A"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r>
      <w:r w:rsidR="00023E37" w:rsidRPr="00747F8D">
        <w:rPr>
          <w:rFonts w:ascii="Arial" w:hAnsi="Arial" w:cs="Arial"/>
          <w:sz w:val="22"/>
          <w:szCs w:val="22"/>
        </w:rPr>
        <w:t>Renal failure, l</w:t>
      </w:r>
      <w:r w:rsidRPr="00747F8D">
        <w:rPr>
          <w:rFonts w:ascii="Arial" w:hAnsi="Arial" w:cs="Arial"/>
          <w:sz w:val="22"/>
          <w:szCs w:val="22"/>
        </w:rPr>
        <w:t xml:space="preserve">eukocyturia, </w:t>
      </w:r>
      <w:r w:rsidR="00023E37" w:rsidRPr="00747F8D">
        <w:rPr>
          <w:rFonts w:ascii="Arial" w:hAnsi="Arial" w:cs="Arial"/>
          <w:sz w:val="22"/>
          <w:szCs w:val="22"/>
        </w:rPr>
        <w:t>l</w:t>
      </w:r>
      <w:r w:rsidRPr="00747F8D">
        <w:rPr>
          <w:rFonts w:ascii="Arial" w:hAnsi="Arial" w:cs="Arial"/>
          <w:sz w:val="22"/>
          <w:szCs w:val="22"/>
        </w:rPr>
        <w:t xml:space="preserve">upus nephritis, </w:t>
      </w:r>
      <w:r w:rsidR="00023E37" w:rsidRPr="00747F8D">
        <w:rPr>
          <w:rFonts w:ascii="Arial" w:hAnsi="Arial" w:cs="Arial"/>
          <w:sz w:val="22"/>
          <w:szCs w:val="22"/>
        </w:rPr>
        <w:t>n</w:t>
      </w:r>
      <w:r w:rsidRPr="00747F8D">
        <w:rPr>
          <w:rFonts w:ascii="Arial" w:hAnsi="Arial" w:cs="Arial"/>
          <w:sz w:val="22"/>
          <w:szCs w:val="22"/>
        </w:rPr>
        <w:t xml:space="preserve">octuria, </w:t>
      </w:r>
      <w:r w:rsidR="00023E37" w:rsidRPr="00747F8D">
        <w:rPr>
          <w:rFonts w:ascii="Arial" w:hAnsi="Arial" w:cs="Arial"/>
          <w:sz w:val="22"/>
          <w:szCs w:val="22"/>
        </w:rPr>
        <w:t>p</w:t>
      </w:r>
      <w:r w:rsidRPr="00747F8D">
        <w:rPr>
          <w:rFonts w:ascii="Arial" w:hAnsi="Arial" w:cs="Arial"/>
          <w:sz w:val="22"/>
          <w:szCs w:val="22"/>
        </w:rPr>
        <w:t xml:space="preserve">roteinuria, </w:t>
      </w:r>
      <w:r w:rsidR="00023E37" w:rsidRPr="00747F8D">
        <w:rPr>
          <w:rFonts w:ascii="Arial" w:hAnsi="Arial" w:cs="Arial"/>
          <w:sz w:val="22"/>
          <w:szCs w:val="22"/>
        </w:rPr>
        <w:t>b</w:t>
      </w:r>
      <w:r w:rsidRPr="00747F8D">
        <w:rPr>
          <w:rFonts w:ascii="Arial" w:hAnsi="Arial" w:cs="Arial"/>
          <w:sz w:val="22"/>
          <w:szCs w:val="22"/>
        </w:rPr>
        <w:t xml:space="preserve">lood urea </w:t>
      </w:r>
    </w:p>
    <w:p w14:paraId="23418335" w14:textId="45F1EA1B"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 xml:space="preserve">increased, </w:t>
      </w:r>
      <w:r w:rsidR="00023E37" w:rsidRPr="00747F8D">
        <w:rPr>
          <w:rFonts w:ascii="Arial" w:hAnsi="Arial" w:cs="Arial"/>
          <w:sz w:val="22"/>
          <w:szCs w:val="22"/>
        </w:rPr>
        <w:t>blood creatinine increased, u</w:t>
      </w:r>
      <w:r w:rsidRPr="00747F8D">
        <w:rPr>
          <w:rFonts w:ascii="Arial" w:hAnsi="Arial" w:cs="Arial"/>
          <w:sz w:val="22"/>
          <w:szCs w:val="22"/>
        </w:rPr>
        <w:t>rine protein/creatinine ratio increased</w:t>
      </w:r>
    </w:p>
    <w:p w14:paraId="50688A15" w14:textId="77777777" w:rsidR="00D7277C" w:rsidRPr="00E84537" w:rsidRDefault="00D7277C" w:rsidP="00E84537">
      <w:pPr>
        <w:spacing w:before="120" w:line="300" w:lineRule="atLeast"/>
        <w:jc w:val="both"/>
        <w:rPr>
          <w:rStyle w:val="CSIchar"/>
          <w:rFonts w:ascii="Arial" w:hAnsi="Arial" w:cs="Arial"/>
          <w:b/>
          <w:sz w:val="22"/>
          <w:szCs w:val="22"/>
          <w:shd w:val="clear" w:color="auto" w:fill="auto"/>
        </w:rPr>
      </w:pPr>
      <w:r w:rsidRPr="00E84537">
        <w:rPr>
          <w:rStyle w:val="CSIchar"/>
          <w:rFonts w:ascii="Arial" w:hAnsi="Arial" w:cs="Arial"/>
          <w:b/>
          <w:sz w:val="22"/>
          <w:szCs w:val="22"/>
          <w:shd w:val="clear" w:color="auto" w:fill="auto"/>
        </w:rPr>
        <w:t>Reproductive system and breast disorders</w:t>
      </w:r>
    </w:p>
    <w:p w14:paraId="141B1D26" w14:textId="6A58A24B"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Common</w:t>
      </w:r>
      <w:r w:rsidRPr="00747F8D">
        <w:rPr>
          <w:rFonts w:ascii="Arial" w:hAnsi="Arial" w:cs="Arial"/>
          <w:sz w:val="22"/>
          <w:szCs w:val="22"/>
        </w:rPr>
        <w:tab/>
      </w:r>
      <w:r w:rsidRPr="00747F8D">
        <w:rPr>
          <w:rFonts w:ascii="Arial" w:hAnsi="Arial" w:cs="Arial"/>
          <w:sz w:val="22"/>
          <w:szCs w:val="22"/>
        </w:rPr>
        <w:tab/>
        <w:t>Menorrhagia</w:t>
      </w:r>
    </w:p>
    <w:p w14:paraId="2053E558" w14:textId="77777777" w:rsidR="00D7277C" w:rsidRPr="00E84537" w:rsidRDefault="00D7277C" w:rsidP="00E84537">
      <w:pPr>
        <w:spacing w:before="120" w:line="300" w:lineRule="atLeast"/>
        <w:jc w:val="both"/>
        <w:rPr>
          <w:rStyle w:val="CSIchar"/>
          <w:rFonts w:ascii="Arial" w:hAnsi="Arial" w:cs="Arial"/>
          <w:b/>
          <w:sz w:val="22"/>
          <w:szCs w:val="22"/>
          <w:shd w:val="clear" w:color="auto" w:fill="auto"/>
        </w:rPr>
      </w:pPr>
      <w:r w:rsidRPr="00E84537">
        <w:rPr>
          <w:rStyle w:val="CSIchar"/>
          <w:rFonts w:ascii="Arial" w:hAnsi="Arial" w:cs="Arial"/>
          <w:b/>
          <w:sz w:val="22"/>
          <w:szCs w:val="22"/>
          <w:shd w:val="clear" w:color="auto" w:fill="auto"/>
        </w:rPr>
        <w:t>General disorders and administration site conditions</w:t>
      </w:r>
    </w:p>
    <w:p w14:paraId="507310BD" w14:textId="6E275E1A"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t xml:space="preserve">Chest pain, </w:t>
      </w:r>
      <w:r w:rsidR="00023E37" w:rsidRPr="00747F8D">
        <w:rPr>
          <w:rFonts w:ascii="Arial" w:hAnsi="Arial" w:cs="Arial"/>
          <w:sz w:val="22"/>
          <w:szCs w:val="22"/>
        </w:rPr>
        <w:t>f</w:t>
      </w:r>
      <w:r w:rsidRPr="00747F8D">
        <w:rPr>
          <w:rFonts w:ascii="Arial" w:hAnsi="Arial" w:cs="Arial"/>
          <w:sz w:val="22"/>
          <w:szCs w:val="22"/>
        </w:rPr>
        <w:t xml:space="preserve">eeling hot, </w:t>
      </w:r>
      <w:r w:rsidR="00023E37" w:rsidRPr="00747F8D">
        <w:rPr>
          <w:rFonts w:ascii="Arial" w:hAnsi="Arial" w:cs="Arial"/>
          <w:sz w:val="22"/>
          <w:szCs w:val="22"/>
        </w:rPr>
        <w:t>v</w:t>
      </w:r>
      <w:r w:rsidRPr="00747F8D">
        <w:rPr>
          <w:rFonts w:ascii="Arial" w:hAnsi="Arial" w:cs="Arial"/>
          <w:sz w:val="22"/>
          <w:szCs w:val="22"/>
        </w:rPr>
        <w:t xml:space="preserve">essel puncture site haemorrhage, </w:t>
      </w:r>
      <w:r w:rsidR="00023E37" w:rsidRPr="00747F8D">
        <w:rPr>
          <w:rFonts w:ascii="Arial" w:hAnsi="Arial" w:cs="Arial"/>
          <w:sz w:val="22"/>
          <w:szCs w:val="22"/>
        </w:rPr>
        <w:t>a</w:t>
      </w:r>
      <w:r w:rsidRPr="00747F8D">
        <w:rPr>
          <w:rFonts w:ascii="Arial" w:hAnsi="Arial" w:cs="Arial"/>
          <w:sz w:val="22"/>
          <w:szCs w:val="22"/>
        </w:rPr>
        <w:t xml:space="preserve">sthenia, </w:t>
      </w:r>
      <w:r w:rsidR="00023E37" w:rsidRPr="00747F8D">
        <w:rPr>
          <w:rFonts w:ascii="Arial" w:hAnsi="Arial" w:cs="Arial"/>
          <w:sz w:val="22"/>
          <w:szCs w:val="22"/>
        </w:rPr>
        <w:t>f</w:t>
      </w:r>
      <w:r w:rsidRPr="00747F8D">
        <w:rPr>
          <w:rFonts w:ascii="Arial" w:hAnsi="Arial" w:cs="Arial"/>
          <w:sz w:val="22"/>
          <w:szCs w:val="22"/>
        </w:rPr>
        <w:t xml:space="preserve">eeling </w:t>
      </w:r>
    </w:p>
    <w:p w14:paraId="7860A87F" w14:textId="21C5AB5D"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 xml:space="preserve">jittery, </w:t>
      </w:r>
      <w:r w:rsidR="00023E37" w:rsidRPr="00747F8D">
        <w:rPr>
          <w:rFonts w:ascii="Arial" w:hAnsi="Arial" w:cs="Arial"/>
          <w:sz w:val="22"/>
          <w:szCs w:val="22"/>
        </w:rPr>
        <w:t>i</w:t>
      </w:r>
      <w:r w:rsidRPr="00747F8D">
        <w:rPr>
          <w:rFonts w:ascii="Arial" w:hAnsi="Arial" w:cs="Arial"/>
          <w:sz w:val="22"/>
          <w:szCs w:val="22"/>
        </w:rPr>
        <w:t xml:space="preserve">nflammation of wound, </w:t>
      </w:r>
      <w:r w:rsidR="00023E37" w:rsidRPr="00747F8D">
        <w:rPr>
          <w:rFonts w:ascii="Arial" w:hAnsi="Arial" w:cs="Arial"/>
          <w:sz w:val="22"/>
          <w:szCs w:val="22"/>
        </w:rPr>
        <w:t>m</w:t>
      </w:r>
      <w:r w:rsidRPr="00747F8D">
        <w:rPr>
          <w:rFonts w:ascii="Arial" w:hAnsi="Arial" w:cs="Arial"/>
          <w:sz w:val="22"/>
          <w:szCs w:val="22"/>
        </w:rPr>
        <w:t xml:space="preserve">alaise, </w:t>
      </w:r>
      <w:r w:rsidR="00023E37" w:rsidRPr="00747F8D">
        <w:rPr>
          <w:rFonts w:ascii="Arial" w:hAnsi="Arial" w:cs="Arial"/>
          <w:sz w:val="22"/>
          <w:szCs w:val="22"/>
        </w:rPr>
        <w:t>p</w:t>
      </w:r>
      <w:r w:rsidRPr="00747F8D">
        <w:rPr>
          <w:rFonts w:ascii="Arial" w:hAnsi="Arial" w:cs="Arial"/>
          <w:sz w:val="22"/>
          <w:szCs w:val="22"/>
        </w:rPr>
        <w:t xml:space="preserve">yrexia, </w:t>
      </w:r>
      <w:r w:rsidR="00023E37" w:rsidRPr="00747F8D">
        <w:rPr>
          <w:rFonts w:ascii="Arial" w:hAnsi="Arial" w:cs="Arial"/>
          <w:sz w:val="22"/>
          <w:szCs w:val="22"/>
        </w:rPr>
        <w:t>s</w:t>
      </w:r>
      <w:r w:rsidRPr="00747F8D">
        <w:rPr>
          <w:rFonts w:ascii="Arial" w:hAnsi="Arial" w:cs="Arial"/>
          <w:sz w:val="22"/>
          <w:szCs w:val="22"/>
        </w:rPr>
        <w:t>ensation of foreign body</w:t>
      </w:r>
    </w:p>
    <w:p w14:paraId="6DECF5F4" w14:textId="77777777" w:rsidR="00D7277C" w:rsidRPr="00121347" w:rsidRDefault="00D7277C" w:rsidP="0021023A">
      <w:pPr>
        <w:keepNext/>
        <w:spacing w:before="120"/>
        <w:rPr>
          <w:rFonts w:ascii="Arial" w:hAnsi="Arial" w:cs="Arial"/>
          <w:b/>
          <w:sz w:val="22"/>
          <w:szCs w:val="22"/>
          <w:lang w:val="en-GB"/>
        </w:rPr>
      </w:pPr>
      <w:r w:rsidRPr="00121347">
        <w:rPr>
          <w:rFonts w:ascii="Arial" w:hAnsi="Arial" w:cs="Arial"/>
          <w:b/>
          <w:sz w:val="22"/>
          <w:szCs w:val="22"/>
          <w:lang w:val="en-GB"/>
        </w:rPr>
        <w:t>Investigations</w:t>
      </w:r>
    </w:p>
    <w:p w14:paraId="2B5DA789" w14:textId="051A7120" w:rsidR="00D7277C" w:rsidRPr="00747F8D" w:rsidRDefault="00D7277C" w:rsidP="00F60B67">
      <w:pPr>
        <w:widowControl w:val="0"/>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t xml:space="preserve">Blood albumin increased, </w:t>
      </w:r>
      <w:r w:rsidR="00023E37" w:rsidRPr="00747F8D">
        <w:rPr>
          <w:rFonts w:ascii="Arial" w:hAnsi="Arial" w:cs="Arial"/>
          <w:sz w:val="22"/>
          <w:szCs w:val="22"/>
        </w:rPr>
        <w:t>b</w:t>
      </w:r>
      <w:r w:rsidRPr="00747F8D">
        <w:rPr>
          <w:rFonts w:ascii="Arial" w:hAnsi="Arial" w:cs="Arial"/>
          <w:sz w:val="22"/>
          <w:szCs w:val="22"/>
        </w:rPr>
        <w:t xml:space="preserve">lood alkaline phosphatase increased, </w:t>
      </w:r>
      <w:r w:rsidR="00023E37" w:rsidRPr="00747F8D">
        <w:rPr>
          <w:rFonts w:ascii="Arial" w:hAnsi="Arial" w:cs="Arial"/>
          <w:sz w:val="22"/>
          <w:szCs w:val="22"/>
        </w:rPr>
        <w:t>p</w:t>
      </w:r>
      <w:r w:rsidRPr="00747F8D">
        <w:rPr>
          <w:rFonts w:ascii="Arial" w:hAnsi="Arial" w:cs="Arial"/>
          <w:sz w:val="22"/>
          <w:szCs w:val="22"/>
        </w:rPr>
        <w:t xml:space="preserve">rotein total </w:t>
      </w:r>
    </w:p>
    <w:p w14:paraId="625C3E90" w14:textId="01A15624" w:rsidR="00D7277C" w:rsidRPr="00747F8D" w:rsidRDefault="00D7277C" w:rsidP="00F60B67">
      <w:pPr>
        <w:widowControl w:val="0"/>
        <w:autoSpaceDE w:val="0"/>
        <w:autoSpaceDN w:val="0"/>
        <w:adjustRightInd w:val="0"/>
        <w:spacing w:line="300" w:lineRule="atLeast"/>
        <w:jc w:val="both"/>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 xml:space="preserve">increased, </w:t>
      </w:r>
      <w:r w:rsidR="00023E37" w:rsidRPr="00747F8D">
        <w:rPr>
          <w:rFonts w:ascii="Arial" w:hAnsi="Arial" w:cs="Arial"/>
          <w:sz w:val="22"/>
          <w:szCs w:val="22"/>
        </w:rPr>
        <w:t>b</w:t>
      </w:r>
      <w:r w:rsidRPr="00747F8D">
        <w:rPr>
          <w:rFonts w:ascii="Arial" w:hAnsi="Arial" w:cs="Arial"/>
          <w:sz w:val="22"/>
          <w:szCs w:val="22"/>
        </w:rPr>
        <w:t>lood albumin decreased, pH urine increased</w:t>
      </w:r>
    </w:p>
    <w:p w14:paraId="2A156297" w14:textId="77777777" w:rsidR="00D7277C" w:rsidRPr="00121347" w:rsidRDefault="00D7277C" w:rsidP="00121347">
      <w:pPr>
        <w:spacing w:before="120"/>
        <w:rPr>
          <w:rFonts w:ascii="Arial" w:hAnsi="Arial" w:cs="Arial"/>
          <w:b/>
          <w:sz w:val="22"/>
          <w:szCs w:val="22"/>
          <w:lang w:val="en-GB"/>
        </w:rPr>
      </w:pPr>
      <w:r w:rsidRPr="00121347">
        <w:rPr>
          <w:rFonts w:ascii="Arial" w:hAnsi="Arial" w:cs="Arial"/>
          <w:b/>
          <w:sz w:val="22"/>
          <w:szCs w:val="22"/>
          <w:lang w:val="en-GB"/>
        </w:rPr>
        <w:t>Injury, poisoning and procedural complications</w:t>
      </w:r>
    </w:p>
    <w:p w14:paraId="2B3CBA01" w14:textId="4779ED8D" w:rsidR="00D7277C" w:rsidRPr="00747F8D" w:rsidRDefault="00D7277C" w:rsidP="00D7277C">
      <w:pPr>
        <w:autoSpaceDE w:val="0"/>
        <w:autoSpaceDN w:val="0"/>
        <w:adjustRightInd w:val="0"/>
        <w:spacing w:line="300" w:lineRule="atLeast"/>
        <w:jc w:val="both"/>
        <w:rPr>
          <w:rFonts w:ascii="Arial" w:hAnsi="Arial" w:cs="Arial"/>
          <w:sz w:val="22"/>
          <w:szCs w:val="22"/>
        </w:rPr>
      </w:pPr>
      <w:r w:rsidRPr="00747F8D">
        <w:rPr>
          <w:rFonts w:ascii="Arial" w:hAnsi="Arial" w:cs="Arial"/>
          <w:i/>
          <w:sz w:val="22"/>
          <w:szCs w:val="22"/>
        </w:rPr>
        <w:t>Uncommon</w:t>
      </w:r>
      <w:r w:rsidRPr="00747F8D">
        <w:rPr>
          <w:rFonts w:ascii="Arial" w:hAnsi="Arial" w:cs="Arial"/>
          <w:sz w:val="22"/>
          <w:szCs w:val="22"/>
        </w:rPr>
        <w:tab/>
      </w:r>
      <w:r w:rsidRPr="00747F8D">
        <w:rPr>
          <w:rFonts w:ascii="Arial" w:hAnsi="Arial" w:cs="Arial"/>
          <w:sz w:val="22"/>
          <w:szCs w:val="22"/>
        </w:rPr>
        <w:tab/>
        <w:t>Sunburn</w:t>
      </w:r>
      <w:r w:rsidR="00023E37" w:rsidRPr="00747F8D">
        <w:rPr>
          <w:rFonts w:ascii="Arial" w:hAnsi="Arial" w:cs="Arial"/>
          <w:sz w:val="22"/>
          <w:szCs w:val="22"/>
        </w:rPr>
        <w:t xml:space="preserve">. </w:t>
      </w:r>
    </w:p>
    <w:p w14:paraId="5AD346ED" w14:textId="77777777" w:rsidR="00AC1FA5" w:rsidRPr="004553F8" w:rsidRDefault="00AC1FA5" w:rsidP="00867F68">
      <w:pPr>
        <w:autoSpaceDE w:val="0"/>
        <w:autoSpaceDN w:val="0"/>
        <w:adjustRightInd w:val="0"/>
        <w:spacing w:line="300" w:lineRule="atLeast"/>
        <w:jc w:val="both"/>
      </w:pPr>
    </w:p>
    <w:p w14:paraId="5553BC7E" w14:textId="0E9C679B" w:rsidR="007422A2" w:rsidRPr="004553F8" w:rsidRDefault="007422A2" w:rsidP="00E10A80">
      <w:pPr>
        <w:widowControl w:val="0"/>
        <w:autoSpaceDE w:val="0"/>
        <w:autoSpaceDN w:val="0"/>
        <w:adjustRightInd w:val="0"/>
        <w:spacing w:line="300" w:lineRule="atLeast"/>
        <w:jc w:val="both"/>
        <w:rPr>
          <w:color w:val="000000"/>
        </w:rPr>
      </w:pPr>
      <w:r w:rsidRPr="004553F8">
        <w:rPr>
          <w:color w:val="000000"/>
        </w:rPr>
        <w:t xml:space="preserve">In 3 controlled and 2 uncontrolled clinical studies, among adult chronic ITP patients receiving </w:t>
      </w:r>
      <w:r w:rsidRPr="004553F8">
        <w:rPr>
          <w:color w:val="000000"/>
        </w:rPr>
        <w:lastRenderedPageBreak/>
        <w:t xml:space="preserve">REVOLADE (n = 446), 17 subjects experienced a total of 19 TEEs, which included (in descending order of occurrence) deep vein thrombosis (n = 6), pulmonary embolism (n = 6), acute myocardial infarction (n = 2), cerebral infarction (n = 2), embolism (n = 1) (see </w:t>
      </w:r>
      <w:r w:rsidR="00561258" w:rsidRPr="00561258">
        <w:rPr>
          <w:color w:val="000000"/>
        </w:rPr>
        <w:t>PRECAUTIONS</w:t>
      </w:r>
      <w:r w:rsidRPr="004553F8">
        <w:rPr>
          <w:color w:val="000000"/>
        </w:rPr>
        <w:t>).</w:t>
      </w:r>
    </w:p>
    <w:p w14:paraId="674EBF01" w14:textId="77777777" w:rsidR="00531F76" w:rsidRDefault="00531F76">
      <w:pPr>
        <w:rPr>
          <w:rFonts w:ascii="Arial" w:hAnsi="Arial" w:cs="Arial"/>
          <w:b/>
          <w:lang w:val="en-GB" w:eastAsia="ja-JP"/>
        </w:rPr>
      </w:pPr>
      <w:r>
        <w:rPr>
          <w:rFonts w:ascii="Arial" w:hAnsi="Arial" w:cs="Arial"/>
          <w:b/>
          <w:lang w:val="en-GB" w:eastAsia="ja-JP"/>
        </w:rPr>
        <w:br w:type="page"/>
      </w:r>
    </w:p>
    <w:p w14:paraId="15142245" w14:textId="11F990C6" w:rsidR="00F60B67" w:rsidRPr="004138C8" w:rsidRDefault="00F60B67" w:rsidP="00F60B67">
      <w:pPr>
        <w:rPr>
          <w:rFonts w:ascii="Arial" w:hAnsi="Arial" w:cs="Arial"/>
          <w:b/>
          <w:lang w:val="en-GB" w:eastAsia="ja-JP"/>
        </w:rPr>
      </w:pPr>
      <w:r w:rsidRPr="004138C8">
        <w:rPr>
          <w:rFonts w:ascii="Arial" w:hAnsi="Arial" w:cs="Arial"/>
          <w:b/>
          <w:lang w:val="en-GB" w:eastAsia="ja-JP"/>
        </w:rPr>
        <w:lastRenderedPageBreak/>
        <w:t xml:space="preserve">Table </w:t>
      </w:r>
      <w:r w:rsidR="004138C8" w:rsidRPr="004138C8">
        <w:rPr>
          <w:rFonts w:ascii="Arial" w:hAnsi="Arial" w:cs="Arial"/>
          <w:b/>
          <w:lang w:val="en-GB" w:eastAsia="ja-JP"/>
        </w:rPr>
        <w:t>7</w:t>
      </w:r>
      <w:r w:rsidRPr="004138C8">
        <w:rPr>
          <w:rFonts w:ascii="Arial" w:hAnsi="Arial" w:cs="Arial"/>
          <w:b/>
          <w:lang w:val="en-GB" w:eastAsia="ja-JP"/>
        </w:rPr>
        <w:tab/>
      </w:r>
      <w:r w:rsidR="002606DF" w:rsidRPr="004138C8">
        <w:rPr>
          <w:rFonts w:ascii="Arial" w:hAnsi="Arial" w:cs="Arial"/>
          <w:b/>
          <w:lang w:val="en-GB" w:eastAsia="ja-JP"/>
        </w:rPr>
        <w:t xml:space="preserve">HCV </w:t>
      </w:r>
      <w:r w:rsidRPr="004138C8">
        <w:rPr>
          <w:rFonts w:ascii="Arial" w:hAnsi="Arial" w:cs="Arial"/>
          <w:b/>
          <w:lang w:val="en-GB" w:eastAsia="ja-JP"/>
        </w:rPr>
        <w:t xml:space="preserve">Study Population Adverse events (REVOLADE in Combination with </w:t>
      </w:r>
    </w:p>
    <w:p w14:paraId="5553BC80" w14:textId="580D5CBE" w:rsidR="00393D88" w:rsidRPr="004138C8" w:rsidRDefault="00F60B67" w:rsidP="00F60B67">
      <w:pPr>
        <w:rPr>
          <w:rFonts w:ascii="Arial" w:hAnsi="Arial" w:cs="Arial"/>
          <w:b/>
          <w:lang w:val="en-GB" w:eastAsia="ja-JP"/>
        </w:rPr>
      </w:pPr>
      <w:r w:rsidRPr="004138C8">
        <w:rPr>
          <w:rFonts w:ascii="Arial" w:hAnsi="Arial" w:cs="Arial"/>
          <w:b/>
          <w:lang w:val="en-GB" w:eastAsia="ja-JP"/>
        </w:rPr>
        <w:tab/>
      </w:r>
      <w:r w:rsidRPr="004138C8">
        <w:rPr>
          <w:rFonts w:ascii="Arial" w:hAnsi="Arial" w:cs="Arial"/>
          <w:b/>
          <w:lang w:val="en-GB" w:eastAsia="ja-JP"/>
        </w:rPr>
        <w:tab/>
      </w:r>
      <w:r w:rsidR="00AE6E1D" w:rsidRPr="004138C8">
        <w:rPr>
          <w:rFonts w:ascii="Arial" w:hAnsi="Arial" w:cs="Arial"/>
          <w:b/>
          <w:lang w:val="en-GB" w:eastAsia="ja-JP"/>
        </w:rPr>
        <w:t>a</w:t>
      </w:r>
      <w:r w:rsidRPr="004138C8">
        <w:rPr>
          <w:rFonts w:ascii="Arial" w:hAnsi="Arial" w:cs="Arial"/>
          <w:b/>
          <w:lang w:val="en-GB" w:eastAsia="ja-JP"/>
        </w:rPr>
        <w:t xml:space="preserve">ntiviral </w:t>
      </w:r>
      <w:r w:rsidR="00AE6E1D" w:rsidRPr="004138C8">
        <w:rPr>
          <w:rFonts w:ascii="Arial" w:hAnsi="Arial" w:cs="Arial"/>
          <w:b/>
          <w:lang w:val="en-GB" w:eastAsia="ja-JP"/>
        </w:rPr>
        <w:t>i</w:t>
      </w:r>
      <w:r w:rsidRPr="004138C8">
        <w:rPr>
          <w:rFonts w:ascii="Arial" w:hAnsi="Arial" w:cs="Arial"/>
          <w:b/>
          <w:lang w:val="en-GB" w:eastAsia="ja-JP"/>
        </w:rPr>
        <w:t xml:space="preserve">nterferon and </w:t>
      </w:r>
      <w:r w:rsidR="00AE6E1D" w:rsidRPr="004138C8">
        <w:rPr>
          <w:rFonts w:ascii="Arial" w:hAnsi="Arial" w:cs="Arial"/>
          <w:b/>
          <w:lang w:val="en-GB" w:eastAsia="ja-JP"/>
        </w:rPr>
        <w:t>r</w:t>
      </w:r>
      <w:r w:rsidRPr="004138C8">
        <w:rPr>
          <w:rFonts w:ascii="Arial" w:hAnsi="Arial" w:cs="Arial"/>
          <w:b/>
          <w:lang w:val="en-GB" w:eastAsia="ja-JP"/>
        </w:rPr>
        <w:t>ibavirin therapy)</w:t>
      </w:r>
    </w:p>
    <w:p w14:paraId="4257ED07" w14:textId="77777777" w:rsidR="00413239" w:rsidRPr="00747F8D" w:rsidRDefault="00413239" w:rsidP="00121347">
      <w:pPr>
        <w:spacing w:before="120"/>
        <w:rPr>
          <w:rFonts w:ascii="Arial" w:hAnsi="Arial" w:cs="Arial"/>
          <w:b/>
          <w:sz w:val="22"/>
          <w:szCs w:val="22"/>
          <w:lang w:val="en-GB"/>
        </w:rPr>
      </w:pPr>
      <w:r w:rsidRPr="00747F8D">
        <w:rPr>
          <w:rFonts w:ascii="Arial" w:hAnsi="Arial" w:cs="Arial"/>
          <w:b/>
          <w:sz w:val="22"/>
          <w:szCs w:val="22"/>
          <w:lang w:val="en-GB"/>
        </w:rPr>
        <w:t>Infections and infestations</w:t>
      </w:r>
    </w:p>
    <w:p w14:paraId="1FD1E660" w14:textId="062C754E" w:rsidR="00413239" w:rsidRPr="00747F8D" w:rsidRDefault="00413239" w:rsidP="00413239">
      <w:pPr>
        <w:spacing w:line="300" w:lineRule="atLeast"/>
        <w:rPr>
          <w:rFonts w:ascii="Arial" w:hAnsi="Arial" w:cs="Arial"/>
          <w:sz w:val="22"/>
          <w:szCs w:val="22"/>
          <w:lang w:val="en-GB"/>
        </w:rPr>
      </w:pPr>
      <w:r w:rsidRPr="00747F8D">
        <w:rPr>
          <w:rFonts w:ascii="Arial" w:hAnsi="Arial" w:cs="Arial"/>
          <w:sz w:val="22"/>
          <w:szCs w:val="22"/>
          <w:lang w:val="en-GB"/>
        </w:rPr>
        <w:t xml:space="preserve">Common </w:t>
      </w:r>
      <w:r w:rsidRPr="00747F8D">
        <w:rPr>
          <w:rFonts w:ascii="Arial" w:hAnsi="Arial" w:cs="Arial"/>
          <w:sz w:val="22"/>
          <w:szCs w:val="22"/>
          <w:lang w:val="en-GB"/>
        </w:rPr>
        <w:tab/>
      </w:r>
      <w:r w:rsidRPr="00747F8D">
        <w:rPr>
          <w:rFonts w:ascii="Arial" w:hAnsi="Arial" w:cs="Arial"/>
          <w:sz w:val="22"/>
          <w:szCs w:val="22"/>
          <w:lang w:val="en-GB"/>
        </w:rPr>
        <w:tab/>
        <w:t xml:space="preserve">Urinary tract infection, </w:t>
      </w:r>
      <w:r w:rsidR="002C0360" w:rsidRPr="00747F8D">
        <w:rPr>
          <w:rFonts w:ascii="Arial" w:hAnsi="Arial" w:cs="Arial"/>
          <w:sz w:val="22"/>
          <w:szCs w:val="22"/>
          <w:lang w:val="en-GB"/>
        </w:rPr>
        <w:t>u</w:t>
      </w:r>
      <w:r w:rsidRPr="00747F8D">
        <w:rPr>
          <w:rFonts w:ascii="Arial" w:hAnsi="Arial" w:cs="Arial"/>
          <w:sz w:val="22"/>
          <w:szCs w:val="22"/>
          <w:lang w:val="en-GB"/>
        </w:rPr>
        <w:t xml:space="preserve">pper respiratory tract infection, </w:t>
      </w:r>
      <w:r w:rsidR="002C0360" w:rsidRPr="00747F8D">
        <w:rPr>
          <w:rFonts w:ascii="Arial" w:hAnsi="Arial" w:cs="Arial"/>
          <w:sz w:val="22"/>
          <w:szCs w:val="22"/>
          <w:lang w:val="en-GB"/>
        </w:rPr>
        <w:t>b</w:t>
      </w:r>
      <w:r w:rsidRPr="00747F8D">
        <w:rPr>
          <w:rFonts w:ascii="Arial" w:hAnsi="Arial" w:cs="Arial"/>
          <w:sz w:val="22"/>
          <w:szCs w:val="22"/>
          <w:lang w:val="en-GB"/>
        </w:rPr>
        <w:t xml:space="preserve">ronchitis, </w:t>
      </w:r>
    </w:p>
    <w:p w14:paraId="510C5E44" w14:textId="0A78BCC2" w:rsidR="00413239" w:rsidRPr="00747F8D" w:rsidRDefault="00413239" w:rsidP="00413239">
      <w:pPr>
        <w:spacing w:line="300" w:lineRule="atLeast"/>
        <w:rPr>
          <w:rFonts w:ascii="Arial" w:hAnsi="Arial" w:cs="Arial"/>
          <w:sz w:val="22"/>
          <w:szCs w:val="22"/>
          <w:lang w:val="en-GB"/>
        </w:rPr>
      </w:pPr>
      <w:r w:rsidRPr="00747F8D">
        <w:rPr>
          <w:rFonts w:ascii="Arial" w:hAnsi="Arial" w:cs="Arial"/>
          <w:sz w:val="22"/>
          <w:szCs w:val="22"/>
          <w:lang w:val="en-GB"/>
        </w:rPr>
        <w:tab/>
      </w:r>
      <w:r w:rsidRPr="00747F8D">
        <w:rPr>
          <w:rFonts w:ascii="Arial" w:hAnsi="Arial" w:cs="Arial"/>
          <w:sz w:val="22"/>
          <w:szCs w:val="22"/>
          <w:lang w:val="en-GB"/>
        </w:rPr>
        <w:tab/>
      </w:r>
      <w:r w:rsidRPr="00747F8D">
        <w:rPr>
          <w:rFonts w:ascii="Arial" w:hAnsi="Arial" w:cs="Arial"/>
          <w:sz w:val="22"/>
          <w:szCs w:val="22"/>
          <w:lang w:val="en-GB"/>
        </w:rPr>
        <w:tab/>
      </w:r>
      <w:r w:rsidR="002C0360" w:rsidRPr="00747F8D">
        <w:rPr>
          <w:rFonts w:ascii="Arial" w:hAnsi="Arial" w:cs="Arial"/>
          <w:sz w:val="22"/>
          <w:szCs w:val="22"/>
          <w:lang w:val="en-GB"/>
        </w:rPr>
        <w:t>n</w:t>
      </w:r>
      <w:r w:rsidRPr="00747F8D">
        <w:rPr>
          <w:rFonts w:ascii="Arial" w:hAnsi="Arial" w:cs="Arial"/>
          <w:sz w:val="22"/>
          <w:szCs w:val="22"/>
          <w:lang w:val="en-GB"/>
        </w:rPr>
        <w:t xml:space="preserve">asopharyngitis, </w:t>
      </w:r>
      <w:r w:rsidR="002C0360" w:rsidRPr="00747F8D">
        <w:rPr>
          <w:rFonts w:ascii="Arial" w:hAnsi="Arial" w:cs="Arial"/>
          <w:sz w:val="22"/>
          <w:szCs w:val="22"/>
          <w:lang w:val="en-GB"/>
        </w:rPr>
        <w:t>i</w:t>
      </w:r>
      <w:r w:rsidRPr="00747F8D">
        <w:rPr>
          <w:rFonts w:ascii="Arial" w:hAnsi="Arial" w:cs="Arial"/>
          <w:sz w:val="22"/>
          <w:szCs w:val="22"/>
          <w:lang w:val="en-GB"/>
        </w:rPr>
        <w:t xml:space="preserve">nfluenza, </w:t>
      </w:r>
      <w:r w:rsidR="002C0360" w:rsidRPr="00747F8D">
        <w:rPr>
          <w:rFonts w:ascii="Arial" w:hAnsi="Arial" w:cs="Arial"/>
          <w:sz w:val="22"/>
          <w:szCs w:val="22"/>
          <w:lang w:val="en-GB"/>
        </w:rPr>
        <w:t>o</w:t>
      </w:r>
      <w:r w:rsidRPr="00747F8D">
        <w:rPr>
          <w:rFonts w:ascii="Arial" w:hAnsi="Arial" w:cs="Arial"/>
          <w:sz w:val="22"/>
          <w:szCs w:val="22"/>
          <w:lang w:val="en-GB"/>
        </w:rPr>
        <w:t xml:space="preserve">ral herpes, </w:t>
      </w:r>
      <w:r w:rsidR="002C0360" w:rsidRPr="00747F8D">
        <w:rPr>
          <w:rFonts w:ascii="Arial" w:hAnsi="Arial" w:cs="Arial"/>
          <w:sz w:val="22"/>
          <w:szCs w:val="22"/>
          <w:lang w:val="en-GB"/>
        </w:rPr>
        <w:t>g</w:t>
      </w:r>
      <w:r w:rsidRPr="00747F8D">
        <w:rPr>
          <w:rFonts w:ascii="Arial" w:hAnsi="Arial" w:cs="Arial"/>
          <w:sz w:val="22"/>
          <w:szCs w:val="22"/>
          <w:lang w:val="en-GB"/>
        </w:rPr>
        <w:t xml:space="preserve">astroenteritis, </w:t>
      </w:r>
      <w:r w:rsidR="002C0360" w:rsidRPr="00747F8D">
        <w:rPr>
          <w:rFonts w:ascii="Arial" w:hAnsi="Arial" w:cs="Arial"/>
          <w:sz w:val="22"/>
          <w:szCs w:val="22"/>
          <w:lang w:val="en-GB"/>
        </w:rPr>
        <w:t>p</w:t>
      </w:r>
      <w:r w:rsidRPr="00747F8D">
        <w:rPr>
          <w:rFonts w:ascii="Arial" w:hAnsi="Arial" w:cs="Arial"/>
          <w:sz w:val="22"/>
          <w:szCs w:val="22"/>
          <w:lang w:val="en-GB"/>
        </w:rPr>
        <w:t>haryngitis</w:t>
      </w:r>
    </w:p>
    <w:p w14:paraId="476DCFC2" w14:textId="1353B51B" w:rsidR="00413239" w:rsidRPr="00747F8D" w:rsidRDefault="00413239" w:rsidP="00121347">
      <w:pPr>
        <w:spacing w:before="120"/>
        <w:rPr>
          <w:rFonts w:ascii="Arial" w:hAnsi="Arial" w:cs="Arial"/>
          <w:b/>
          <w:sz w:val="22"/>
          <w:szCs w:val="22"/>
          <w:lang w:val="en-GB"/>
        </w:rPr>
      </w:pPr>
      <w:r w:rsidRPr="00747F8D">
        <w:rPr>
          <w:rFonts w:ascii="Arial" w:hAnsi="Arial" w:cs="Arial"/>
          <w:b/>
          <w:sz w:val="22"/>
          <w:szCs w:val="22"/>
          <w:lang w:val="en-GB"/>
        </w:rPr>
        <w:t>Neoplasms benign, malignant and unspecified (incl</w:t>
      </w:r>
      <w:r w:rsidR="00747F8D">
        <w:rPr>
          <w:rFonts w:ascii="Arial" w:hAnsi="Arial" w:cs="Arial"/>
          <w:b/>
          <w:sz w:val="22"/>
          <w:szCs w:val="22"/>
          <w:lang w:val="en-GB"/>
        </w:rPr>
        <w:t>uding</w:t>
      </w:r>
      <w:r w:rsidRPr="00747F8D">
        <w:rPr>
          <w:rFonts w:ascii="Arial" w:hAnsi="Arial" w:cs="Arial"/>
          <w:b/>
          <w:sz w:val="22"/>
          <w:szCs w:val="22"/>
          <w:lang w:val="en-GB"/>
        </w:rPr>
        <w:t xml:space="preserve"> cysts and polyps)</w:t>
      </w:r>
    </w:p>
    <w:p w14:paraId="23508D6C" w14:textId="429C0989" w:rsidR="00413239" w:rsidRPr="00747F8D" w:rsidRDefault="00413239" w:rsidP="00413239">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 xml:space="preserve"> </w:t>
      </w:r>
      <w:r w:rsidRPr="00747F8D">
        <w:rPr>
          <w:rFonts w:ascii="Arial" w:hAnsi="Arial" w:cs="Arial"/>
          <w:sz w:val="22"/>
          <w:szCs w:val="22"/>
          <w:lang w:val="en-GB"/>
        </w:rPr>
        <w:tab/>
      </w:r>
      <w:r w:rsidRPr="00747F8D">
        <w:rPr>
          <w:rFonts w:ascii="Arial" w:hAnsi="Arial" w:cs="Arial"/>
          <w:sz w:val="22"/>
          <w:szCs w:val="22"/>
          <w:lang w:val="en-GB"/>
        </w:rPr>
        <w:tab/>
        <w:t>Hepatic neoplasm malignant</w:t>
      </w:r>
    </w:p>
    <w:p w14:paraId="5553BC82" w14:textId="644E1C4F"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Blood and lymphatic system disorders</w:t>
      </w:r>
    </w:p>
    <w:p w14:paraId="5553BC84" w14:textId="77777777" w:rsidR="00384EA6" w:rsidRPr="00747F8D" w:rsidRDefault="00384EA6" w:rsidP="00384EA6">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Anaemia</w:t>
      </w:r>
    </w:p>
    <w:p w14:paraId="3CB13129" w14:textId="64D825C4" w:rsidR="004E59FE"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9964F8" w:rsidRPr="00747F8D">
        <w:rPr>
          <w:rFonts w:ascii="Arial" w:hAnsi="Arial" w:cs="Arial"/>
          <w:i/>
          <w:sz w:val="22"/>
          <w:szCs w:val="22"/>
        </w:rPr>
        <w:tab/>
      </w:r>
      <w:r w:rsidR="009964F8" w:rsidRPr="00747F8D">
        <w:rPr>
          <w:rFonts w:ascii="Arial" w:hAnsi="Arial" w:cs="Arial"/>
          <w:i/>
          <w:sz w:val="22"/>
          <w:szCs w:val="22"/>
        </w:rPr>
        <w:tab/>
      </w:r>
      <w:r w:rsidR="009964F8" w:rsidRPr="00747F8D">
        <w:rPr>
          <w:rFonts w:ascii="Arial" w:hAnsi="Arial" w:cs="Arial"/>
          <w:sz w:val="22"/>
          <w:szCs w:val="22"/>
        </w:rPr>
        <w:t>L</w:t>
      </w:r>
      <w:r w:rsidR="002C0360" w:rsidRPr="00747F8D">
        <w:rPr>
          <w:rFonts w:ascii="Arial" w:hAnsi="Arial" w:cs="Arial"/>
          <w:sz w:val="22"/>
          <w:szCs w:val="22"/>
        </w:rPr>
        <w:t>ymphopenia, h</w:t>
      </w:r>
      <w:r w:rsidR="009964F8" w:rsidRPr="00747F8D">
        <w:rPr>
          <w:rFonts w:ascii="Arial" w:hAnsi="Arial" w:cs="Arial"/>
          <w:sz w:val="22"/>
          <w:szCs w:val="22"/>
        </w:rPr>
        <w:t>aemolytic anaemia</w:t>
      </w:r>
    </w:p>
    <w:p w14:paraId="5553BC86" w14:textId="77777777"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Metabolism and nutrition disorders</w:t>
      </w:r>
    </w:p>
    <w:p w14:paraId="5553BC88" w14:textId="77777777"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Decreased appetite</w:t>
      </w:r>
    </w:p>
    <w:p w14:paraId="5553BC89" w14:textId="5896A091" w:rsidR="00384EA6"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2C0360" w:rsidRPr="00747F8D">
        <w:rPr>
          <w:rFonts w:ascii="Arial" w:hAnsi="Arial" w:cs="Arial"/>
          <w:sz w:val="22"/>
          <w:szCs w:val="22"/>
        </w:rPr>
        <w:tab/>
      </w:r>
      <w:r w:rsidR="002C0360" w:rsidRPr="00747F8D">
        <w:rPr>
          <w:rFonts w:ascii="Arial" w:hAnsi="Arial" w:cs="Arial"/>
          <w:sz w:val="22"/>
          <w:szCs w:val="22"/>
        </w:rPr>
        <w:tab/>
        <w:t>Hyperglycaemia, abnormal loss of weight</w:t>
      </w:r>
    </w:p>
    <w:p w14:paraId="5553BC8A" w14:textId="77777777"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Psychiatric disorders</w:t>
      </w:r>
    </w:p>
    <w:p w14:paraId="5553BC8C" w14:textId="77777777"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Insomnia</w:t>
      </w:r>
    </w:p>
    <w:p w14:paraId="666CCC09" w14:textId="1237DEE9" w:rsidR="00F42555"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A6210C" w:rsidRPr="00747F8D">
        <w:rPr>
          <w:rFonts w:ascii="Arial" w:hAnsi="Arial" w:cs="Arial"/>
          <w:i/>
          <w:sz w:val="22"/>
          <w:szCs w:val="22"/>
        </w:rPr>
        <w:tab/>
      </w:r>
      <w:r w:rsidR="00A6210C" w:rsidRPr="00747F8D">
        <w:rPr>
          <w:rFonts w:ascii="Arial" w:hAnsi="Arial" w:cs="Arial"/>
          <w:i/>
          <w:sz w:val="22"/>
          <w:szCs w:val="22"/>
        </w:rPr>
        <w:tab/>
      </w:r>
      <w:r w:rsidR="00A6210C" w:rsidRPr="00747F8D">
        <w:rPr>
          <w:rFonts w:ascii="Arial" w:hAnsi="Arial" w:cs="Arial"/>
          <w:sz w:val="22"/>
          <w:szCs w:val="22"/>
        </w:rPr>
        <w:t xml:space="preserve">Depression, </w:t>
      </w:r>
      <w:r w:rsidR="00053D4A" w:rsidRPr="00747F8D">
        <w:rPr>
          <w:rFonts w:ascii="Arial" w:hAnsi="Arial" w:cs="Arial"/>
          <w:sz w:val="22"/>
          <w:szCs w:val="22"/>
        </w:rPr>
        <w:t>a</w:t>
      </w:r>
      <w:r w:rsidR="00A6210C" w:rsidRPr="00747F8D">
        <w:rPr>
          <w:rFonts w:ascii="Arial" w:hAnsi="Arial" w:cs="Arial"/>
          <w:sz w:val="22"/>
          <w:szCs w:val="22"/>
        </w:rPr>
        <w:t xml:space="preserve">nxiety, </w:t>
      </w:r>
      <w:r w:rsidR="00053D4A" w:rsidRPr="00747F8D">
        <w:rPr>
          <w:rFonts w:ascii="Arial" w:hAnsi="Arial" w:cs="Arial"/>
          <w:sz w:val="22"/>
          <w:szCs w:val="22"/>
        </w:rPr>
        <w:t>s</w:t>
      </w:r>
      <w:r w:rsidR="00A6210C" w:rsidRPr="00747F8D">
        <w:rPr>
          <w:rFonts w:ascii="Arial" w:hAnsi="Arial" w:cs="Arial"/>
          <w:sz w:val="22"/>
          <w:szCs w:val="22"/>
        </w:rPr>
        <w:t xml:space="preserve">leep disorder, </w:t>
      </w:r>
      <w:r w:rsidR="00053D4A" w:rsidRPr="00747F8D">
        <w:rPr>
          <w:rFonts w:ascii="Arial" w:hAnsi="Arial" w:cs="Arial"/>
          <w:sz w:val="22"/>
          <w:szCs w:val="22"/>
        </w:rPr>
        <w:t>c</w:t>
      </w:r>
      <w:r w:rsidR="00A6210C" w:rsidRPr="00747F8D">
        <w:rPr>
          <w:rFonts w:ascii="Arial" w:hAnsi="Arial" w:cs="Arial"/>
          <w:sz w:val="22"/>
          <w:szCs w:val="22"/>
        </w:rPr>
        <w:t xml:space="preserve">onfusional state, </w:t>
      </w:r>
      <w:r w:rsidR="00053D4A" w:rsidRPr="00747F8D">
        <w:rPr>
          <w:rFonts w:ascii="Arial" w:hAnsi="Arial" w:cs="Arial"/>
          <w:sz w:val="22"/>
          <w:szCs w:val="22"/>
        </w:rPr>
        <w:t>a</w:t>
      </w:r>
      <w:r w:rsidR="00A6210C" w:rsidRPr="00747F8D">
        <w:rPr>
          <w:rFonts w:ascii="Arial" w:hAnsi="Arial" w:cs="Arial"/>
          <w:sz w:val="22"/>
          <w:szCs w:val="22"/>
        </w:rPr>
        <w:t>gitation</w:t>
      </w:r>
    </w:p>
    <w:p w14:paraId="5553BC8E" w14:textId="77777777"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Nervous systems disorders</w:t>
      </w:r>
    </w:p>
    <w:p w14:paraId="5553BC90" w14:textId="77777777"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Headache</w:t>
      </w:r>
    </w:p>
    <w:p w14:paraId="50D5CB01" w14:textId="7DFBBAC3" w:rsidR="00BE4ED7" w:rsidRPr="00747F8D" w:rsidRDefault="004216A0" w:rsidP="00BE4ED7">
      <w:pPr>
        <w:rPr>
          <w:rFonts w:ascii="Arial" w:hAnsi="Arial" w:cs="Arial"/>
          <w:sz w:val="22"/>
          <w:szCs w:val="22"/>
        </w:rPr>
      </w:pPr>
      <w:r w:rsidRPr="00747F8D">
        <w:rPr>
          <w:rFonts w:ascii="Arial" w:hAnsi="Arial" w:cs="Arial"/>
          <w:i/>
          <w:sz w:val="22"/>
          <w:szCs w:val="22"/>
        </w:rPr>
        <w:t>Common</w:t>
      </w:r>
      <w:r w:rsidR="00BE4ED7" w:rsidRPr="00747F8D">
        <w:rPr>
          <w:rFonts w:ascii="Arial" w:hAnsi="Arial" w:cs="Arial"/>
          <w:i/>
          <w:sz w:val="22"/>
          <w:szCs w:val="22"/>
        </w:rPr>
        <w:tab/>
      </w:r>
      <w:r w:rsidR="00BE4ED7" w:rsidRPr="00747F8D">
        <w:rPr>
          <w:rFonts w:ascii="Arial" w:hAnsi="Arial" w:cs="Arial"/>
          <w:i/>
          <w:sz w:val="22"/>
          <w:szCs w:val="22"/>
        </w:rPr>
        <w:tab/>
      </w:r>
      <w:r w:rsidR="00BE4ED7" w:rsidRPr="00747F8D">
        <w:rPr>
          <w:rFonts w:ascii="Arial" w:hAnsi="Arial" w:cs="Arial"/>
          <w:sz w:val="22"/>
          <w:szCs w:val="22"/>
        </w:rPr>
        <w:t xml:space="preserve">Dizziness, </w:t>
      </w:r>
      <w:r w:rsidR="00053D4A" w:rsidRPr="00747F8D">
        <w:rPr>
          <w:rFonts w:ascii="Arial" w:hAnsi="Arial" w:cs="Arial"/>
          <w:sz w:val="22"/>
          <w:szCs w:val="22"/>
        </w:rPr>
        <w:t>d</w:t>
      </w:r>
      <w:r w:rsidR="00BE4ED7" w:rsidRPr="00747F8D">
        <w:rPr>
          <w:rFonts w:ascii="Arial" w:hAnsi="Arial" w:cs="Arial"/>
          <w:sz w:val="22"/>
          <w:szCs w:val="22"/>
        </w:rPr>
        <w:t xml:space="preserve">isturbance in attention, </w:t>
      </w:r>
      <w:r w:rsidR="00053D4A" w:rsidRPr="00747F8D">
        <w:rPr>
          <w:rFonts w:ascii="Arial" w:hAnsi="Arial" w:cs="Arial"/>
          <w:sz w:val="22"/>
          <w:szCs w:val="22"/>
        </w:rPr>
        <w:t>d</w:t>
      </w:r>
      <w:r w:rsidR="00BE4ED7" w:rsidRPr="00747F8D">
        <w:rPr>
          <w:rFonts w:ascii="Arial" w:hAnsi="Arial" w:cs="Arial"/>
          <w:sz w:val="22"/>
          <w:szCs w:val="22"/>
        </w:rPr>
        <w:t xml:space="preserve">ysgeusia, </w:t>
      </w:r>
      <w:r w:rsidR="00053D4A" w:rsidRPr="00747F8D">
        <w:rPr>
          <w:rFonts w:ascii="Arial" w:hAnsi="Arial" w:cs="Arial"/>
          <w:sz w:val="22"/>
          <w:szCs w:val="22"/>
        </w:rPr>
        <w:t>h</w:t>
      </w:r>
      <w:r w:rsidR="00BE4ED7" w:rsidRPr="00747F8D">
        <w:rPr>
          <w:rFonts w:ascii="Arial" w:hAnsi="Arial" w:cs="Arial"/>
          <w:sz w:val="22"/>
          <w:szCs w:val="22"/>
        </w:rPr>
        <w:t xml:space="preserve">epatic encephalopathy, </w:t>
      </w:r>
    </w:p>
    <w:p w14:paraId="336BFD00" w14:textId="43214BD8" w:rsidR="00BE4ED7" w:rsidRPr="00747F8D" w:rsidRDefault="00BE4ED7" w:rsidP="00BE4ED7">
      <w:pPr>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r>
      <w:r w:rsidR="00053D4A" w:rsidRPr="00747F8D">
        <w:rPr>
          <w:rFonts w:ascii="Arial" w:hAnsi="Arial" w:cs="Arial"/>
          <w:sz w:val="22"/>
          <w:szCs w:val="22"/>
        </w:rPr>
        <w:t>l</w:t>
      </w:r>
      <w:r w:rsidRPr="00747F8D">
        <w:rPr>
          <w:rFonts w:ascii="Arial" w:hAnsi="Arial" w:cs="Arial"/>
          <w:sz w:val="22"/>
          <w:szCs w:val="22"/>
        </w:rPr>
        <w:t xml:space="preserve">ethargy, </w:t>
      </w:r>
      <w:r w:rsidR="00053D4A" w:rsidRPr="00747F8D">
        <w:rPr>
          <w:rFonts w:ascii="Arial" w:hAnsi="Arial" w:cs="Arial"/>
          <w:sz w:val="22"/>
          <w:szCs w:val="22"/>
        </w:rPr>
        <w:t>m</w:t>
      </w:r>
      <w:r w:rsidRPr="00747F8D">
        <w:rPr>
          <w:rFonts w:ascii="Arial" w:hAnsi="Arial" w:cs="Arial"/>
          <w:sz w:val="22"/>
          <w:szCs w:val="22"/>
        </w:rPr>
        <w:t xml:space="preserve">emory impairment, </w:t>
      </w:r>
      <w:r w:rsidR="00053D4A" w:rsidRPr="00747F8D">
        <w:rPr>
          <w:rFonts w:ascii="Arial" w:hAnsi="Arial" w:cs="Arial"/>
          <w:sz w:val="22"/>
          <w:szCs w:val="22"/>
        </w:rPr>
        <w:t>p</w:t>
      </w:r>
      <w:r w:rsidRPr="00747F8D">
        <w:rPr>
          <w:rFonts w:ascii="Arial" w:hAnsi="Arial" w:cs="Arial"/>
          <w:sz w:val="22"/>
          <w:szCs w:val="22"/>
        </w:rPr>
        <w:t>araesthesia</w:t>
      </w:r>
    </w:p>
    <w:p w14:paraId="0992CEA7" w14:textId="77777777" w:rsidR="00053D4A" w:rsidRPr="00747F8D" w:rsidRDefault="00053D4A" w:rsidP="00121347">
      <w:pPr>
        <w:spacing w:before="120"/>
        <w:rPr>
          <w:rFonts w:ascii="Arial" w:hAnsi="Arial" w:cs="Arial"/>
          <w:b/>
          <w:sz w:val="22"/>
          <w:szCs w:val="22"/>
          <w:lang w:val="en-GB"/>
        </w:rPr>
      </w:pPr>
      <w:r w:rsidRPr="00747F8D">
        <w:rPr>
          <w:rFonts w:ascii="Arial" w:hAnsi="Arial" w:cs="Arial"/>
          <w:b/>
          <w:sz w:val="22"/>
          <w:szCs w:val="22"/>
          <w:lang w:val="en-GB"/>
        </w:rPr>
        <w:t>Eye disorders</w:t>
      </w:r>
    </w:p>
    <w:p w14:paraId="2BCD9552" w14:textId="1806E1BF" w:rsidR="00053D4A" w:rsidRPr="00747F8D" w:rsidRDefault="00053D4A" w:rsidP="00053D4A">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 xml:space="preserve"> </w:t>
      </w:r>
      <w:r w:rsidRPr="00747F8D">
        <w:rPr>
          <w:rFonts w:ascii="Arial" w:hAnsi="Arial" w:cs="Arial"/>
          <w:sz w:val="22"/>
          <w:szCs w:val="22"/>
          <w:lang w:val="en-GB"/>
        </w:rPr>
        <w:tab/>
      </w:r>
      <w:r w:rsidRPr="00747F8D">
        <w:rPr>
          <w:rFonts w:ascii="Arial" w:hAnsi="Arial" w:cs="Arial"/>
          <w:sz w:val="22"/>
          <w:szCs w:val="22"/>
          <w:lang w:val="en-GB"/>
        </w:rPr>
        <w:tab/>
        <w:t>Cataract, retinal exudates, dry Eye, ocular icterus, retinal haemorrhage</w:t>
      </w:r>
    </w:p>
    <w:p w14:paraId="006B99A3" w14:textId="77777777" w:rsidR="00053D4A" w:rsidRPr="00747F8D" w:rsidRDefault="00053D4A" w:rsidP="00121347">
      <w:pPr>
        <w:spacing w:before="120"/>
        <w:rPr>
          <w:rFonts w:ascii="Arial" w:hAnsi="Arial" w:cs="Arial"/>
          <w:b/>
          <w:sz w:val="22"/>
          <w:szCs w:val="22"/>
          <w:lang w:val="en-GB"/>
        </w:rPr>
      </w:pPr>
      <w:r w:rsidRPr="00747F8D">
        <w:rPr>
          <w:rFonts w:ascii="Arial" w:hAnsi="Arial" w:cs="Arial"/>
          <w:b/>
          <w:sz w:val="22"/>
          <w:szCs w:val="22"/>
          <w:lang w:val="en-GB"/>
        </w:rPr>
        <w:t>Ear and labyrinth disorders</w:t>
      </w:r>
    </w:p>
    <w:p w14:paraId="6458AA0B" w14:textId="3A6145B1" w:rsidR="00053D4A" w:rsidRPr="00747F8D" w:rsidRDefault="00053D4A" w:rsidP="00053D4A">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 xml:space="preserve"> </w:t>
      </w:r>
      <w:r w:rsidRPr="00747F8D">
        <w:rPr>
          <w:rFonts w:ascii="Arial" w:hAnsi="Arial" w:cs="Arial"/>
          <w:sz w:val="22"/>
          <w:szCs w:val="22"/>
          <w:lang w:val="en-GB"/>
        </w:rPr>
        <w:tab/>
      </w:r>
      <w:r w:rsidRPr="00747F8D">
        <w:rPr>
          <w:rFonts w:ascii="Arial" w:hAnsi="Arial" w:cs="Arial"/>
          <w:sz w:val="22"/>
          <w:szCs w:val="22"/>
          <w:lang w:val="en-GB"/>
        </w:rPr>
        <w:tab/>
        <w:t>Vertigo</w:t>
      </w:r>
    </w:p>
    <w:p w14:paraId="2E198182" w14:textId="77777777" w:rsidR="00053D4A" w:rsidRPr="00747F8D" w:rsidRDefault="00053D4A" w:rsidP="00121347">
      <w:pPr>
        <w:spacing w:before="120"/>
        <w:rPr>
          <w:rFonts w:ascii="Arial" w:hAnsi="Arial" w:cs="Arial"/>
          <w:b/>
          <w:sz w:val="22"/>
          <w:szCs w:val="22"/>
          <w:lang w:val="en-GB"/>
        </w:rPr>
      </w:pPr>
      <w:r w:rsidRPr="00747F8D">
        <w:rPr>
          <w:rFonts w:ascii="Arial" w:hAnsi="Arial" w:cs="Arial"/>
          <w:b/>
          <w:sz w:val="22"/>
          <w:szCs w:val="22"/>
          <w:lang w:val="en-GB"/>
        </w:rPr>
        <w:t>Cardiac disorders</w:t>
      </w:r>
    </w:p>
    <w:p w14:paraId="41703999" w14:textId="40BB6FCB" w:rsidR="00053D4A" w:rsidRPr="00747F8D" w:rsidRDefault="00053D4A" w:rsidP="00053D4A">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 xml:space="preserve"> </w:t>
      </w:r>
      <w:r w:rsidRPr="00747F8D">
        <w:rPr>
          <w:rFonts w:ascii="Arial" w:hAnsi="Arial" w:cs="Arial"/>
          <w:sz w:val="22"/>
          <w:szCs w:val="22"/>
          <w:lang w:val="en-GB"/>
        </w:rPr>
        <w:tab/>
      </w:r>
      <w:r w:rsidRPr="00747F8D">
        <w:rPr>
          <w:rFonts w:ascii="Arial" w:hAnsi="Arial" w:cs="Arial"/>
          <w:sz w:val="22"/>
          <w:szCs w:val="22"/>
          <w:lang w:val="en-GB"/>
        </w:rPr>
        <w:tab/>
        <w:t>Palpitations</w:t>
      </w:r>
    </w:p>
    <w:p w14:paraId="5553BC92" w14:textId="095E86C4"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Respiratory, thoracic and mediastinal disorders</w:t>
      </w:r>
    </w:p>
    <w:p w14:paraId="5553BC94" w14:textId="77777777"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Cough</w:t>
      </w:r>
    </w:p>
    <w:p w14:paraId="5553BC95" w14:textId="582C279C" w:rsidR="00384EA6" w:rsidRPr="00747F8D" w:rsidRDefault="004216A0" w:rsidP="00384EA6">
      <w:pPr>
        <w:spacing w:line="300" w:lineRule="atLeast"/>
        <w:rPr>
          <w:rFonts w:ascii="Arial" w:hAnsi="Arial" w:cs="Arial"/>
          <w:i/>
          <w:sz w:val="22"/>
          <w:szCs w:val="22"/>
        </w:rPr>
      </w:pPr>
      <w:r w:rsidRPr="00747F8D">
        <w:rPr>
          <w:rFonts w:ascii="Arial" w:hAnsi="Arial" w:cs="Arial"/>
          <w:i/>
          <w:sz w:val="22"/>
          <w:szCs w:val="22"/>
        </w:rPr>
        <w:t>Common</w:t>
      </w:r>
      <w:r w:rsidR="009B6FF5" w:rsidRPr="00747F8D">
        <w:rPr>
          <w:rFonts w:ascii="Arial" w:hAnsi="Arial" w:cs="Arial"/>
          <w:sz w:val="22"/>
          <w:szCs w:val="22"/>
        </w:rPr>
        <w:t xml:space="preserve"> </w:t>
      </w:r>
      <w:r w:rsidR="009B6FF5" w:rsidRPr="00747F8D">
        <w:rPr>
          <w:rFonts w:ascii="Arial" w:hAnsi="Arial" w:cs="Arial"/>
          <w:sz w:val="22"/>
          <w:szCs w:val="22"/>
        </w:rPr>
        <w:tab/>
      </w:r>
      <w:r w:rsidR="009B6FF5" w:rsidRPr="00747F8D">
        <w:rPr>
          <w:rFonts w:ascii="Arial" w:hAnsi="Arial" w:cs="Arial"/>
          <w:sz w:val="22"/>
          <w:szCs w:val="22"/>
        </w:rPr>
        <w:tab/>
        <w:t>Dyspnoea, oropharyngeal pain, dyspnoea exertional, productive cough</w:t>
      </w:r>
    </w:p>
    <w:p w14:paraId="5553BC96" w14:textId="77777777" w:rsidR="00384EA6" w:rsidRPr="00747F8D" w:rsidRDefault="00384EA6" w:rsidP="0021023A">
      <w:pPr>
        <w:keepNext/>
        <w:spacing w:before="120"/>
        <w:rPr>
          <w:rFonts w:ascii="Arial" w:hAnsi="Arial" w:cs="Arial"/>
          <w:b/>
          <w:sz w:val="22"/>
          <w:szCs w:val="22"/>
          <w:lang w:val="en-GB"/>
        </w:rPr>
      </w:pPr>
      <w:r w:rsidRPr="00747F8D">
        <w:rPr>
          <w:rFonts w:ascii="Arial" w:hAnsi="Arial" w:cs="Arial"/>
          <w:b/>
          <w:sz w:val="22"/>
          <w:szCs w:val="22"/>
          <w:lang w:val="en-GB"/>
        </w:rPr>
        <w:t>Gastrointestinal disorders</w:t>
      </w:r>
    </w:p>
    <w:p w14:paraId="5553BC99" w14:textId="13ABCE9A" w:rsidR="00384EA6" w:rsidRPr="00747F8D" w:rsidRDefault="00384EA6" w:rsidP="0021023A">
      <w:pPr>
        <w:widowControl w:val="0"/>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Nausea</w:t>
      </w:r>
      <w:r w:rsidR="002606DF" w:rsidRPr="00747F8D">
        <w:rPr>
          <w:rFonts w:ascii="Arial" w:hAnsi="Arial" w:cs="Arial"/>
          <w:sz w:val="22"/>
          <w:szCs w:val="22"/>
          <w:lang w:val="en-GB"/>
        </w:rPr>
        <w:t xml:space="preserve">, </w:t>
      </w:r>
      <w:r w:rsidR="004021EB" w:rsidRPr="00747F8D">
        <w:rPr>
          <w:rFonts w:ascii="Arial" w:hAnsi="Arial" w:cs="Arial"/>
          <w:sz w:val="22"/>
          <w:szCs w:val="22"/>
          <w:lang w:val="en-GB"/>
        </w:rPr>
        <w:t>d</w:t>
      </w:r>
      <w:r w:rsidRPr="00747F8D">
        <w:rPr>
          <w:rFonts w:ascii="Arial" w:hAnsi="Arial" w:cs="Arial"/>
          <w:sz w:val="22"/>
          <w:szCs w:val="22"/>
          <w:lang w:val="en-GB"/>
        </w:rPr>
        <w:t>iarrhoea</w:t>
      </w:r>
    </w:p>
    <w:p w14:paraId="79636C91" w14:textId="77777777" w:rsidR="00CE23CA"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CE23CA" w:rsidRPr="00747F8D">
        <w:rPr>
          <w:rFonts w:ascii="Arial" w:hAnsi="Arial" w:cs="Arial"/>
          <w:i/>
          <w:sz w:val="22"/>
          <w:szCs w:val="22"/>
        </w:rPr>
        <w:tab/>
      </w:r>
      <w:r w:rsidR="00CE23CA" w:rsidRPr="00747F8D">
        <w:rPr>
          <w:rFonts w:ascii="Arial" w:hAnsi="Arial" w:cs="Arial"/>
          <w:i/>
          <w:sz w:val="22"/>
          <w:szCs w:val="22"/>
        </w:rPr>
        <w:tab/>
      </w:r>
      <w:r w:rsidR="00CE23CA" w:rsidRPr="00747F8D">
        <w:rPr>
          <w:rFonts w:ascii="Arial" w:hAnsi="Arial" w:cs="Arial"/>
          <w:sz w:val="22"/>
          <w:szCs w:val="22"/>
        </w:rPr>
        <w:t xml:space="preserve">Vomiting, ascites, abdominal pain, abdominal pain upper, dyspepsia, dry </w:t>
      </w:r>
    </w:p>
    <w:p w14:paraId="5553BC9A" w14:textId="06532D8B" w:rsidR="00384EA6" w:rsidRPr="00747F8D" w:rsidRDefault="00CE23CA" w:rsidP="00F60B67">
      <w:pPr>
        <w:widowControl w:val="0"/>
        <w:spacing w:line="300" w:lineRule="atLeast"/>
        <w:ind w:left="2160"/>
        <w:rPr>
          <w:rFonts w:ascii="Arial" w:hAnsi="Arial" w:cs="Arial"/>
          <w:sz w:val="22"/>
          <w:szCs w:val="22"/>
        </w:rPr>
      </w:pPr>
      <w:r w:rsidRPr="00747F8D">
        <w:rPr>
          <w:rFonts w:ascii="Arial" w:hAnsi="Arial" w:cs="Arial"/>
          <w:sz w:val="22"/>
          <w:szCs w:val="22"/>
        </w:rPr>
        <w:t>mouth, constipation, abdominal distension, toothache, stomatitis, gastrooesophagal reflux disease, haemorrhoids, abdominal discomfort, gastritis, varices oesophageal, aphthous stomatitis, oesophageal varices haemorrhage</w:t>
      </w:r>
    </w:p>
    <w:p w14:paraId="5553BC9B" w14:textId="77777777" w:rsidR="00384EA6" w:rsidRPr="00747F8D" w:rsidRDefault="00384EA6" w:rsidP="00E10A80">
      <w:pPr>
        <w:keepNext/>
        <w:spacing w:before="120"/>
        <w:rPr>
          <w:rFonts w:ascii="Arial" w:hAnsi="Arial" w:cs="Arial"/>
          <w:b/>
          <w:sz w:val="22"/>
          <w:szCs w:val="22"/>
          <w:lang w:val="en-GB"/>
        </w:rPr>
      </w:pPr>
      <w:r w:rsidRPr="00747F8D">
        <w:rPr>
          <w:rFonts w:ascii="Arial" w:hAnsi="Arial" w:cs="Arial"/>
          <w:b/>
          <w:sz w:val="22"/>
          <w:szCs w:val="22"/>
          <w:lang w:val="en-GB"/>
        </w:rPr>
        <w:t>Hepatobiliary disorders</w:t>
      </w:r>
    </w:p>
    <w:p w14:paraId="5553BC9D" w14:textId="24197DC2"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Hyperbilirubinaemia</w:t>
      </w:r>
      <w:r w:rsidR="00D417C6" w:rsidRPr="00747F8D">
        <w:rPr>
          <w:rFonts w:ascii="Arial" w:hAnsi="Arial" w:cs="Arial"/>
          <w:sz w:val="22"/>
          <w:szCs w:val="22"/>
          <w:lang w:val="en-GB"/>
        </w:rPr>
        <w:t>, jaundice, portal vein thrombosis, hepatic failure</w:t>
      </w:r>
    </w:p>
    <w:p w14:paraId="5553BC9F" w14:textId="77777777"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lastRenderedPageBreak/>
        <w:t>Skin and subcutaneous tissue disorders</w:t>
      </w:r>
    </w:p>
    <w:p w14:paraId="5553BCA2" w14:textId="7D370055" w:rsidR="00384EA6" w:rsidRPr="00747F8D" w:rsidRDefault="00384EA6" w:rsidP="00384EA6">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Pruritus</w:t>
      </w:r>
      <w:r w:rsidR="002606DF" w:rsidRPr="00747F8D">
        <w:rPr>
          <w:rFonts w:ascii="Arial" w:hAnsi="Arial" w:cs="Arial"/>
          <w:sz w:val="22"/>
          <w:szCs w:val="22"/>
          <w:lang w:val="en-GB"/>
        </w:rPr>
        <w:t xml:space="preserve">, </w:t>
      </w:r>
      <w:r w:rsidRPr="00747F8D">
        <w:rPr>
          <w:rFonts w:ascii="Arial" w:hAnsi="Arial" w:cs="Arial"/>
          <w:sz w:val="22"/>
          <w:szCs w:val="22"/>
          <w:lang w:val="en-GB"/>
        </w:rPr>
        <w:t>Alopecia</w:t>
      </w:r>
    </w:p>
    <w:p w14:paraId="3E07A09D" w14:textId="77777777" w:rsidR="00B27A5C"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B27A5C" w:rsidRPr="00747F8D">
        <w:rPr>
          <w:rFonts w:ascii="Arial" w:hAnsi="Arial" w:cs="Arial"/>
          <w:i/>
          <w:sz w:val="22"/>
          <w:szCs w:val="22"/>
        </w:rPr>
        <w:tab/>
      </w:r>
      <w:r w:rsidR="00B27A5C" w:rsidRPr="00747F8D">
        <w:rPr>
          <w:rFonts w:ascii="Arial" w:hAnsi="Arial" w:cs="Arial"/>
          <w:i/>
          <w:sz w:val="22"/>
          <w:szCs w:val="22"/>
        </w:rPr>
        <w:tab/>
      </w:r>
      <w:r w:rsidR="00B27A5C" w:rsidRPr="00747F8D">
        <w:rPr>
          <w:rFonts w:ascii="Arial" w:hAnsi="Arial" w:cs="Arial"/>
          <w:sz w:val="22"/>
          <w:szCs w:val="22"/>
        </w:rPr>
        <w:t xml:space="preserve">Rash, dry skin, eczema, rash pruritic, erythema, hyperhidrosis, pruritus </w:t>
      </w:r>
    </w:p>
    <w:p w14:paraId="5553BCA3" w14:textId="17E4EB81" w:rsidR="00384EA6" w:rsidRPr="00747F8D" w:rsidRDefault="00B27A5C" w:rsidP="00384EA6">
      <w:pPr>
        <w:spacing w:line="300" w:lineRule="atLeast"/>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generalised, night sweats, skin lesion</w:t>
      </w:r>
    </w:p>
    <w:p w14:paraId="5553BCA4" w14:textId="1DCD4FEA"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Musculosketal and connective tissue disorders</w:t>
      </w:r>
    </w:p>
    <w:p w14:paraId="5553BCA6" w14:textId="77777777" w:rsidR="00384EA6" w:rsidRPr="00747F8D" w:rsidRDefault="00384EA6" w:rsidP="00384EA6">
      <w:pPr>
        <w:spacing w:line="300" w:lineRule="atLeast"/>
        <w:rPr>
          <w:rFonts w:ascii="Arial" w:hAnsi="Arial" w:cs="Arial"/>
          <w:i/>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Myalgia</w:t>
      </w:r>
    </w:p>
    <w:p w14:paraId="18488249" w14:textId="77777777" w:rsidR="005F471A"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4021EB" w:rsidRPr="00747F8D">
        <w:rPr>
          <w:rFonts w:ascii="Arial" w:hAnsi="Arial" w:cs="Arial"/>
          <w:i/>
          <w:sz w:val="22"/>
          <w:szCs w:val="22"/>
        </w:rPr>
        <w:tab/>
      </w:r>
      <w:r w:rsidR="004021EB" w:rsidRPr="00747F8D">
        <w:rPr>
          <w:rFonts w:ascii="Arial" w:hAnsi="Arial" w:cs="Arial"/>
          <w:i/>
          <w:sz w:val="22"/>
          <w:szCs w:val="22"/>
        </w:rPr>
        <w:tab/>
      </w:r>
      <w:r w:rsidR="005F471A" w:rsidRPr="00747F8D">
        <w:rPr>
          <w:rFonts w:ascii="Arial" w:hAnsi="Arial" w:cs="Arial"/>
          <w:sz w:val="22"/>
          <w:szCs w:val="22"/>
        </w:rPr>
        <w:t xml:space="preserve">Arthralgia, muscle spasms, back pain, pain in extremity, musculoskeletal </w:t>
      </w:r>
    </w:p>
    <w:p w14:paraId="5553BCA7" w14:textId="557174E6" w:rsidR="00384EA6" w:rsidRPr="00747F8D" w:rsidRDefault="005F471A" w:rsidP="00384EA6">
      <w:pPr>
        <w:spacing w:line="300" w:lineRule="atLeast"/>
        <w:rPr>
          <w:rFonts w:ascii="Arial" w:hAnsi="Arial" w:cs="Arial"/>
          <w:sz w:val="22"/>
          <w:szCs w:val="22"/>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t>pain, bone pain</w:t>
      </w:r>
    </w:p>
    <w:p w14:paraId="16A96D21" w14:textId="77777777" w:rsidR="00B26C36" w:rsidRPr="00747F8D" w:rsidRDefault="00B26C36" w:rsidP="00121347">
      <w:pPr>
        <w:spacing w:before="120"/>
        <w:rPr>
          <w:rFonts w:ascii="Arial" w:hAnsi="Arial" w:cs="Arial"/>
          <w:b/>
          <w:sz w:val="22"/>
          <w:szCs w:val="22"/>
          <w:lang w:val="en-GB"/>
        </w:rPr>
      </w:pPr>
      <w:r w:rsidRPr="00747F8D">
        <w:rPr>
          <w:rFonts w:ascii="Arial" w:hAnsi="Arial" w:cs="Arial"/>
          <w:b/>
          <w:sz w:val="22"/>
          <w:szCs w:val="22"/>
          <w:lang w:val="en-GB"/>
        </w:rPr>
        <w:t>Renal and urinary disorders</w:t>
      </w:r>
    </w:p>
    <w:p w14:paraId="4A8F70E9" w14:textId="2F3FD53D" w:rsidR="00B26C36" w:rsidRPr="00747F8D" w:rsidRDefault="00B26C36" w:rsidP="00B26C36">
      <w:pPr>
        <w:spacing w:line="300" w:lineRule="atLeast"/>
        <w:rPr>
          <w:rFonts w:ascii="Arial" w:hAnsi="Arial" w:cs="Arial"/>
          <w:sz w:val="22"/>
          <w:szCs w:val="22"/>
          <w:lang w:val="en-GB"/>
        </w:rPr>
      </w:pPr>
      <w:r w:rsidRPr="00747F8D">
        <w:rPr>
          <w:rFonts w:ascii="Arial" w:hAnsi="Arial" w:cs="Arial"/>
          <w:i/>
          <w:sz w:val="22"/>
          <w:szCs w:val="22"/>
          <w:lang w:val="en-GB"/>
        </w:rPr>
        <w:t>Uncommon</w:t>
      </w:r>
      <w:r w:rsidRPr="00747F8D">
        <w:rPr>
          <w:rFonts w:ascii="Arial" w:hAnsi="Arial" w:cs="Arial"/>
          <w:sz w:val="22"/>
          <w:szCs w:val="22"/>
          <w:lang w:val="en-GB"/>
        </w:rPr>
        <w:t xml:space="preserve"> </w:t>
      </w:r>
      <w:r w:rsidRPr="00747F8D">
        <w:rPr>
          <w:rFonts w:ascii="Arial" w:hAnsi="Arial" w:cs="Arial"/>
          <w:sz w:val="22"/>
          <w:szCs w:val="22"/>
          <w:lang w:val="en-GB"/>
        </w:rPr>
        <w:tab/>
      </w:r>
      <w:r w:rsidRPr="00747F8D">
        <w:rPr>
          <w:rFonts w:ascii="Arial" w:hAnsi="Arial" w:cs="Arial"/>
          <w:sz w:val="22"/>
          <w:szCs w:val="22"/>
          <w:lang w:val="en-GB"/>
        </w:rPr>
        <w:tab/>
        <w:t>Dysuria</w:t>
      </w:r>
    </w:p>
    <w:p w14:paraId="5553BCA8" w14:textId="7BEB844A" w:rsidR="00384EA6" w:rsidRPr="00747F8D" w:rsidRDefault="00384EA6" w:rsidP="00121347">
      <w:pPr>
        <w:spacing w:before="120"/>
        <w:rPr>
          <w:rFonts w:ascii="Arial" w:hAnsi="Arial" w:cs="Arial"/>
          <w:b/>
          <w:sz w:val="22"/>
          <w:szCs w:val="22"/>
          <w:lang w:val="en-GB"/>
        </w:rPr>
      </w:pPr>
      <w:r w:rsidRPr="00747F8D">
        <w:rPr>
          <w:rFonts w:ascii="Arial" w:hAnsi="Arial" w:cs="Arial"/>
          <w:b/>
          <w:sz w:val="22"/>
          <w:szCs w:val="22"/>
          <w:lang w:val="en-GB"/>
        </w:rPr>
        <w:t>General disorders and administrative conditions</w:t>
      </w:r>
    </w:p>
    <w:p w14:paraId="654AECC0" w14:textId="6E9ED5F4" w:rsidR="00BE619C" w:rsidRPr="00747F8D" w:rsidRDefault="00384EA6" w:rsidP="00384EA6">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Fatigue</w:t>
      </w:r>
      <w:r w:rsidR="002606DF" w:rsidRPr="00747F8D">
        <w:rPr>
          <w:rFonts w:ascii="Arial" w:hAnsi="Arial" w:cs="Arial"/>
          <w:sz w:val="22"/>
          <w:szCs w:val="22"/>
          <w:lang w:val="en-GB"/>
        </w:rPr>
        <w:t xml:space="preserve">, </w:t>
      </w:r>
      <w:r w:rsidR="00BE619C" w:rsidRPr="00747F8D">
        <w:rPr>
          <w:rFonts w:ascii="Arial" w:hAnsi="Arial" w:cs="Arial"/>
          <w:sz w:val="22"/>
          <w:szCs w:val="22"/>
          <w:lang w:val="en-GB"/>
        </w:rPr>
        <w:t>p</w:t>
      </w:r>
      <w:r w:rsidRPr="00747F8D">
        <w:rPr>
          <w:rFonts w:ascii="Arial" w:hAnsi="Arial" w:cs="Arial"/>
          <w:sz w:val="22"/>
          <w:szCs w:val="22"/>
          <w:lang w:val="en-GB"/>
        </w:rPr>
        <w:t>yrexia</w:t>
      </w:r>
      <w:r w:rsidR="002606DF" w:rsidRPr="00747F8D">
        <w:rPr>
          <w:rFonts w:ascii="Arial" w:hAnsi="Arial" w:cs="Arial"/>
          <w:sz w:val="22"/>
          <w:szCs w:val="22"/>
          <w:lang w:val="en-GB"/>
        </w:rPr>
        <w:t xml:space="preserve">, </w:t>
      </w:r>
      <w:r w:rsidR="00BE619C" w:rsidRPr="00747F8D">
        <w:rPr>
          <w:rFonts w:ascii="Arial" w:hAnsi="Arial" w:cs="Arial"/>
          <w:sz w:val="22"/>
          <w:szCs w:val="22"/>
          <w:lang w:val="en-GB"/>
        </w:rPr>
        <w:t>c</w:t>
      </w:r>
      <w:r w:rsidRPr="00747F8D">
        <w:rPr>
          <w:rFonts w:ascii="Arial" w:hAnsi="Arial" w:cs="Arial"/>
          <w:sz w:val="22"/>
          <w:szCs w:val="22"/>
          <w:lang w:val="en-GB"/>
        </w:rPr>
        <w:t>hills</w:t>
      </w:r>
      <w:r w:rsidR="002606DF" w:rsidRPr="00747F8D">
        <w:rPr>
          <w:rFonts w:ascii="Arial" w:hAnsi="Arial" w:cs="Arial"/>
          <w:sz w:val="22"/>
          <w:szCs w:val="22"/>
          <w:lang w:val="en-GB"/>
        </w:rPr>
        <w:t xml:space="preserve">, </w:t>
      </w:r>
      <w:r w:rsidR="00BE619C" w:rsidRPr="00747F8D">
        <w:rPr>
          <w:rFonts w:ascii="Arial" w:hAnsi="Arial" w:cs="Arial"/>
          <w:sz w:val="22"/>
          <w:szCs w:val="22"/>
          <w:lang w:val="en-GB"/>
        </w:rPr>
        <w:t>a</w:t>
      </w:r>
      <w:r w:rsidRPr="00747F8D">
        <w:rPr>
          <w:rFonts w:ascii="Arial" w:hAnsi="Arial" w:cs="Arial"/>
          <w:sz w:val="22"/>
          <w:szCs w:val="22"/>
          <w:lang w:val="en-GB"/>
        </w:rPr>
        <w:t>sthenia</w:t>
      </w:r>
      <w:r w:rsidR="002606DF" w:rsidRPr="00747F8D">
        <w:rPr>
          <w:rFonts w:ascii="Arial" w:hAnsi="Arial" w:cs="Arial"/>
          <w:sz w:val="22"/>
          <w:szCs w:val="22"/>
          <w:lang w:val="en-GB"/>
        </w:rPr>
        <w:t xml:space="preserve">, </w:t>
      </w:r>
      <w:r w:rsidR="00BE619C" w:rsidRPr="00747F8D">
        <w:rPr>
          <w:rFonts w:ascii="Arial" w:hAnsi="Arial" w:cs="Arial"/>
          <w:sz w:val="22"/>
          <w:szCs w:val="22"/>
          <w:lang w:val="en-GB"/>
        </w:rPr>
        <w:t>o</w:t>
      </w:r>
      <w:r w:rsidRPr="00747F8D">
        <w:rPr>
          <w:rFonts w:ascii="Arial" w:hAnsi="Arial" w:cs="Arial"/>
          <w:sz w:val="22"/>
          <w:szCs w:val="22"/>
          <w:lang w:val="en-GB"/>
        </w:rPr>
        <w:t>edema peripheral</w:t>
      </w:r>
      <w:r w:rsidR="002606DF" w:rsidRPr="00747F8D">
        <w:rPr>
          <w:rFonts w:ascii="Arial" w:hAnsi="Arial" w:cs="Arial"/>
          <w:sz w:val="22"/>
          <w:szCs w:val="22"/>
          <w:lang w:val="en-GB"/>
        </w:rPr>
        <w:t xml:space="preserve">, </w:t>
      </w:r>
      <w:r w:rsidR="00BE619C" w:rsidRPr="00747F8D">
        <w:rPr>
          <w:rFonts w:ascii="Arial" w:hAnsi="Arial" w:cs="Arial"/>
          <w:sz w:val="22"/>
          <w:szCs w:val="22"/>
          <w:lang w:val="en-GB"/>
        </w:rPr>
        <w:t>i</w:t>
      </w:r>
      <w:r w:rsidRPr="00747F8D">
        <w:rPr>
          <w:rFonts w:ascii="Arial" w:hAnsi="Arial" w:cs="Arial"/>
          <w:sz w:val="22"/>
          <w:szCs w:val="22"/>
          <w:lang w:val="en-GB"/>
        </w:rPr>
        <w:t xml:space="preserve">nfluenza like </w:t>
      </w:r>
    </w:p>
    <w:p w14:paraId="5553BCAF" w14:textId="3F5D5B8F" w:rsidR="00384EA6" w:rsidRPr="00747F8D" w:rsidRDefault="00BE619C" w:rsidP="00384EA6">
      <w:pPr>
        <w:spacing w:line="300" w:lineRule="atLeast"/>
        <w:rPr>
          <w:rFonts w:ascii="Arial" w:hAnsi="Arial" w:cs="Arial"/>
          <w:sz w:val="22"/>
          <w:szCs w:val="22"/>
          <w:lang w:val="en-GB"/>
        </w:rPr>
      </w:pPr>
      <w:r w:rsidRPr="00747F8D">
        <w:rPr>
          <w:rFonts w:ascii="Arial" w:hAnsi="Arial" w:cs="Arial"/>
          <w:sz w:val="22"/>
          <w:szCs w:val="22"/>
          <w:lang w:val="en-GB"/>
        </w:rPr>
        <w:tab/>
      </w:r>
      <w:r w:rsidRPr="00747F8D">
        <w:rPr>
          <w:rFonts w:ascii="Arial" w:hAnsi="Arial" w:cs="Arial"/>
          <w:sz w:val="22"/>
          <w:szCs w:val="22"/>
          <w:lang w:val="en-GB"/>
        </w:rPr>
        <w:tab/>
      </w:r>
      <w:r w:rsidRPr="00747F8D">
        <w:rPr>
          <w:rFonts w:ascii="Arial" w:hAnsi="Arial" w:cs="Arial"/>
          <w:sz w:val="22"/>
          <w:szCs w:val="22"/>
          <w:lang w:val="en-GB"/>
        </w:rPr>
        <w:tab/>
      </w:r>
      <w:r w:rsidR="00384EA6" w:rsidRPr="00747F8D">
        <w:rPr>
          <w:rFonts w:ascii="Arial" w:hAnsi="Arial" w:cs="Arial"/>
          <w:sz w:val="22"/>
          <w:szCs w:val="22"/>
          <w:lang w:val="en-GB"/>
        </w:rPr>
        <w:t>illness</w:t>
      </w:r>
    </w:p>
    <w:p w14:paraId="06B15771" w14:textId="77777777" w:rsidR="00BE619C" w:rsidRPr="00747F8D" w:rsidRDefault="004216A0" w:rsidP="00384EA6">
      <w:pPr>
        <w:spacing w:line="300" w:lineRule="atLeast"/>
        <w:rPr>
          <w:rFonts w:ascii="Arial" w:hAnsi="Arial" w:cs="Arial"/>
          <w:sz w:val="22"/>
          <w:szCs w:val="22"/>
        </w:rPr>
      </w:pPr>
      <w:r w:rsidRPr="00747F8D">
        <w:rPr>
          <w:rFonts w:ascii="Arial" w:hAnsi="Arial" w:cs="Arial"/>
          <w:i/>
          <w:sz w:val="22"/>
          <w:szCs w:val="22"/>
        </w:rPr>
        <w:t>Common</w:t>
      </w:r>
      <w:r w:rsidR="00BE619C" w:rsidRPr="00747F8D">
        <w:rPr>
          <w:rFonts w:ascii="Arial" w:hAnsi="Arial" w:cs="Arial"/>
          <w:sz w:val="22"/>
          <w:szCs w:val="22"/>
        </w:rPr>
        <w:t xml:space="preserve"> </w:t>
      </w:r>
      <w:r w:rsidR="00BE619C" w:rsidRPr="00747F8D">
        <w:rPr>
          <w:rFonts w:ascii="Arial" w:hAnsi="Arial" w:cs="Arial"/>
          <w:sz w:val="22"/>
          <w:szCs w:val="22"/>
        </w:rPr>
        <w:tab/>
      </w:r>
      <w:r w:rsidR="00BE619C" w:rsidRPr="00747F8D">
        <w:rPr>
          <w:rFonts w:ascii="Arial" w:hAnsi="Arial" w:cs="Arial"/>
          <w:sz w:val="22"/>
          <w:szCs w:val="22"/>
        </w:rPr>
        <w:tab/>
        <w:t xml:space="preserve">Irritability, pain, malaise, injection site reaction, non-cardiac chest pain, </w:t>
      </w:r>
    </w:p>
    <w:p w14:paraId="4C6AD24F" w14:textId="07BA5F2A" w:rsidR="004216A0" w:rsidRPr="00871969" w:rsidRDefault="00BE619C" w:rsidP="00384EA6">
      <w:pPr>
        <w:spacing w:line="300" w:lineRule="atLeast"/>
        <w:rPr>
          <w:rFonts w:ascii="Arial" w:hAnsi="Arial" w:cs="Arial"/>
          <w:sz w:val="22"/>
          <w:szCs w:val="22"/>
          <w:lang w:val="en-GB"/>
        </w:rPr>
      </w:pPr>
      <w:r w:rsidRPr="00747F8D">
        <w:rPr>
          <w:rFonts w:ascii="Arial" w:hAnsi="Arial" w:cs="Arial"/>
          <w:sz w:val="22"/>
          <w:szCs w:val="22"/>
        </w:rPr>
        <w:tab/>
      </w:r>
      <w:r w:rsidRPr="00747F8D">
        <w:rPr>
          <w:rFonts w:ascii="Arial" w:hAnsi="Arial" w:cs="Arial"/>
          <w:sz w:val="22"/>
          <w:szCs w:val="22"/>
        </w:rPr>
        <w:tab/>
      </w:r>
      <w:r w:rsidRPr="00747F8D">
        <w:rPr>
          <w:rFonts w:ascii="Arial" w:hAnsi="Arial" w:cs="Arial"/>
          <w:sz w:val="22"/>
          <w:szCs w:val="22"/>
        </w:rPr>
        <w:tab/>
      </w:r>
      <w:r w:rsidRPr="00871969">
        <w:rPr>
          <w:rFonts w:ascii="Arial" w:hAnsi="Arial" w:cs="Arial"/>
          <w:sz w:val="22"/>
          <w:szCs w:val="22"/>
          <w:lang w:val="en-GB"/>
        </w:rPr>
        <w:t>oedema, injection site rash, chest discomfort, injection site pruritus</w:t>
      </w:r>
    </w:p>
    <w:p w14:paraId="37043784" w14:textId="77777777" w:rsidR="001A03CB" w:rsidRPr="00121347" w:rsidRDefault="001A03CB" w:rsidP="00121347">
      <w:pPr>
        <w:spacing w:before="120"/>
        <w:rPr>
          <w:rFonts w:ascii="Arial" w:hAnsi="Arial" w:cs="Arial"/>
          <w:b/>
          <w:sz w:val="22"/>
          <w:szCs w:val="22"/>
          <w:lang w:val="en-GB"/>
        </w:rPr>
      </w:pPr>
      <w:r w:rsidRPr="00121347">
        <w:rPr>
          <w:rFonts w:ascii="Arial" w:hAnsi="Arial" w:cs="Arial"/>
          <w:b/>
          <w:sz w:val="22"/>
          <w:szCs w:val="22"/>
          <w:lang w:val="en-GB"/>
        </w:rPr>
        <w:t>Investigations</w:t>
      </w:r>
    </w:p>
    <w:p w14:paraId="156A7FDF" w14:textId="77777777" w:rsidR="001A03CB" w:rsidRPr="00747F8D" w:rsidRDefault="001A03CB" w:rsidP="001A03CB">
      <w:pPr>
        <w:spacing w:line="300" w:lineRule="atLeast"/>
        <w:rPr>
          <w:rFonts w:ascii="Arial" w:hAnsi="Arial" w:cs="Arial"/>
          <w:sz w:val="22"/>
          <w:szCs w:val="22"/>
          <w:lang w:val="en-US"/>
        </w:rPr>
      </w:pPr>
      <w:r w:rsidRPr="00747F8D">
        <w:rPr>
          <w:rFonts w:ascii="Arial" w:hAnsi="Arial" w:cs="Arial"/>
          <w:i/>
          <w:sz w:val="22"/>
          <w:szCs w:val="22"/>
          <w:lang w:val="en-US"/>
        </w:rPr>
        <w:t>Common</w:t>
      </w:r>
      <w:r w:rsidRPr="00747F8D">
        <w:rPr>
          <w:rFonts w:ascii="Arial" w:hAnsi="Arial" w:cs="Arial"/>
          <w:sz w:val="22"/>
          <w:szCs w:val="22"/>
          <w:lang w:val="en-US"/>
        </w:rPr>
        <w:t xml:space="preserve"> </w:t>
      </w:r>
      <w:r w:rsidRPr="00747F8D">
        <w:rPr>
          <w:rFonts w:ascii="Arial" w:hAnsi="Arial" w:cs="Arial"/>
          <w:sz w:val="22"/>
          <w:szCs w:val="22"/>
          <w:lang w:val="en-US"/>
        </w:rPr>
        <w:tab/>
      </w:r>
      <w:r w:rsidRPr="00747F8D">
        <w:rPr>
          <w:rFonts w:ascii="Arial" w:hAnsi="Arial" w:cs="Arial"/>
          <w:sz w:val="22"/>
          <w:szCs w:val="22"/>
          <w:lang w:val="en-US"/>
        </w:rPr>
        <w:tab/>
        <w:t xml:space="preserve">Blood bilirubin increased, weight decreased, white blood cell count </w:t>
      </w:r>
    </w:p>
    <w:p w14:paraId="73149AB4" w14:textId="540563CD" w:rsidR="00F959D3" w:rsidRPr="00747F8D" w:rsidRDefault="001A03CB" w:rsidP="001A03CB">
      <w:pPr>
        <w:spacing w:line="300" w:lineRule="atLeast"/>
        <w:ind w:left="2160"/>
        <w:rPr>
          <w:rFonts w:ascii="Arial" w:hAnsi="Arial" w:cs="Arial"/>
          <w:sz w:val="22"/>
          <w:szCs w:val="22"/>
          <w:lang w:val="en-US"/>
        </w:rPr>
      </w:pPr>
      <w:r w:rsidRPr="00747F8D">
        <w:rPr>
          <w:rFonts w:ascii="Arial" w:hAnsi="Arial" w:cs="Arial"/>
          <w:sz w:val="22"/>
          <w:szCs w:val="22"/>
          <w:lang w:val="en-US"/>
        </w:rPr>
        <w:t>decreased, haemoglobin decreased, neutrophil count decreased, international normalised ratio (INR) increased, activated partial thromboplastin time prolonged, blood glucose increased, blood albumin decreased, electrocardiogram QT prolonged</w:t>
      </w:r>
    </w:p>
    <w:p w14:paraId="5AFC939B" w14:textId="77777777" w:rsidR="00360DE9" w:rsidRDefault="00360DE9" w:rsidP="00F60B67">
      <w:pPr>
        <w:rPr>
          <w:rFonts w:ascii="Arial" w:hAnsi="Arial" w:cs="Arial"/>
          <w:b/>
          <w:sz w:val="22"/>
          <w:szCs w:val="20"/>
          <w:lang w:val="en-GB" w:eastAsia="ja-JP"/>
        </w:rPr>
      </w:pPr>
    </w:p>
    <w:p w14:paraId="06891644" w14:textId="77777777" w:rsidR="007B1F1F" w:rsidRDefault="007B1F1F" w:rsidP="00F60B67">
      <w:pPr>
        <w:rPr>
          <w:rFonts w:ascii="Arial" w:hAnsi="Arial" w:cs="Arial"/>
          <w:b/>
          <w:lang w:val="en-GB" w:eastAsia="ja-JP"/>
        </w:rPr>
      </w:pPr>
    </w:p>
    <w:p w14:paraId="5553BCB1" w14:textId="2E33C8E2" w:rsidR="00E92A05" w:rsidRPr="004138C8" w:rsidRDefault="00F60B67" w:rsidP="00F60B67">
      <w:pPr>
        <w:rPr>
          <w:rFonts w:ascii="Arial" w:hAnsi="Arial" w:cs="Arial"/>
          <w:b/>
          <w:lang w:val="en-GB" w:eastAsia="ja-JP"/>
        </w:rPr>
      </w:pPr>
      <w:r w:rsidRPr="004138C8">
        <w:rPr>
          <w:rFonts w:ascii="Arial" w:hAnsi="Arial" w:cs="Arial"/>
          <w:b/>
          <w:lang w:val="en-GB" w:eastAsia="ja-JP"/>
        </w:rPr>
        <w:t xml:space="preserve">Table </w:t>
      </w:r>
      <w:r w:rsidR="004138C8" w:rsidRPr="004138C8">
        <w:rPr>
          <w:rFonts w:ascii="Arial" w:hAnsi="Arial" w:cs="Arial"/>
          <w:b/>
          <w:lang w:val="en-GB" w:eastAsia="ja-JP"/>
        </w:rPr>
        <w:t>8</w:t>
      </w:r>
      <w:r w:rsidRPr="004138C8">
        <w:rPr>
          <w:rFonts w:ascii="Arial" w:hAnsi="Arial" w:cs="Arial"/>
          <w:b/>
          <w:lang w:val="en-GB" w:eastAsia="ja-JP"/>
        </w:rPr>
        <w:t xml:space="preserve"> </w:t>
      </w:r>
      <w:r w:rsidRPr="004138C8">
        <w:rPr>
          <w:rFonts w:ascii="Arial" w:hAnsi="Arial" w:cs="Arial"/>
          <w:b/>
          <w:lang w:val="en-GB" w:eastAsia="ja-JP"/>
        </w:rPr>
        <w:tab/>
      </w:r>
      <w:r w:rsidR="002606DF" w:rsidRPr="004138C8">
        <w:rPr>
          <w:rFonts w:ascii="Arial" w:hAnsi="Arial" w:cs="Arial"/>
          <w:b/>
          <w:lang w:val="en-GB" w:eastAsia="ja-JP"/>
        </w:rPr>
        <w:t xml:space="preserve">SAA </w:t>
      </w:r>
      <w:r w:rsidRPr="004138C8">
        <w:rPr>
          <w:rFonts w:ascii="Arial" w:hAnsi="Arial" w:cs="Arial"/>
          <w:b/>
          <w:lang w:val="en-GB" w:eastAsia="ja-JP"/>
        </w:rPr>
        <w:t xml:space="preserve">Study Population Adverse Events </w:t>
      </w:r>
    </w:p>
    <w:p w14:paraId="5C6F5063" w14:textId="77777777" w:rsidR="002F607B" w:rsidRPr="00747F8D" w:rsidRDefault="002F607B" w:rsidP="00121347">
      <w:pPr>
        <w:spacing w:before="120"/>
        <w:rPr>
          <w:rFonts w:ascii="Arial" w:hAnsi="Arial" w:cs="Arial"/>
          <w:b/>
          <w:sz w:val="22"/>
          <w:szCs w:val="22"/>
          <w:lang w:val="en-GB"/>
        </w:rPr>
      </w:pPr>
      <w:r w:rsidRPr="00747F8D">
        <w:rPr>
          <w:rFonts w:ascii="Arial" w:hAnsi="Arial" w:cs="Arial"/>
          <w:b/>
          <w:sz w:val="22"/>
          <w:szCs w:val="22"/>
          <w:lang w:val="en-GB"/>
        </w:rPr>
        <w:t>Blood and lymphatic system disorders</w:t>
      </w:r>
    </w:p>
    <w:p w14:paraId="21B0DC28" w14:textId="11DDB7B2" w:rsidR="002F607B" w:rsidRPr="00747F8D" w:rsidRDefault="002F607B" w:rsidP="002F607B">
      <w:pPr>
        <w:spacing w:line="300" w:lineRule="atLeast"/>
        <w:rPr>
          <w:rFonts w:ascii="Arial" w:hAnsi="Arial" w:cs="Arial"/>
          <w:b/>
          <w:sz w:val="22"/>
          <w:szCs w:val="22"/>
          <w:lang w:val="en-GB"/>
        </w:rPr>
      </w:pPr>
      <w:r w:rsidRPr="00747F8D">
        <w:rPr>
          <w:rFonts w:ascii="Arial" w:hAnsi="Arial" w:cs="Arial"/>
          <w:i/>
          <w:sz w:val="22"/>
          <w:szCs w:val="22"/>
          <w:lang w:val="en-GB"/>
        </w:rPr>
        <w:t>Common</w:t>
      </w:r>
      <w:r w:rsidRPr="00747F8D">
        <w:rPr>
          <w:rFonts w:ascii="Arial" w:hAnsi="Arial" w:cs="Arial"/>
          <w:b/>
          <w:sz w:val="22"/>
          <w:szCs w:val="22"/>
          <w:lang w:val="en-GB"/>
        </w:rPr>
        <w:tab/>
      </w:r>
      <w:r w:rsidRPr="00747F8D">
        <w:rPr>
          <w:rFonts w:ascii="Arial" w:hAnsi="Arial" w:cs="Arial"/>
          <w:b/>
          <w:sz w:val="22"/>
          <w:szCs w:val="22"/>
          <w:lang w:val="en-GB"/>
        </w:rPr>
        <w:tab/>
      </w:r>
      <w:r w:rsidRPr="00747F8D">
        <w:rPr>
          <w:rFonts w:ascii="Arial" w:hAnsi="Arial" w:cs="Arial"/>
          <w:sz w:val="22"/>
          <w:szCs w:val="22"/>
          <w:lang w:val="en-GB"/>
        </w:rPr>
        <w:t>Neutropenia, splenic infarction</w:t>
      </w:r>
    </w:p>
    <w:p w14:paraId="1A469022" w14:textId="77777777" w:rsidR="002F607B" w:rsidRPr="00747F8D" w:rsidRDefault="002F607B" w:rsidP="00121347">
      <w:pPr>
        <w:spacing w:before="120"/>
        <w:rPr>
          <w:rFonts w:ascii="Arial" w:hAnsi="Arial" w:cs="Arial"/>
          <w:b/>
          <w:sz w:val="22"/>
          <w:szCs w:val="22"/>
          <w:lang w:val="en-GB"/>
        </w:rPr>
      </w:pPr>
      <w:r w:rsidRPr="00747F8D">
        <w:rPr>
          <w:rFonts w:ascii="Arial" w:hAnsi="Arial" w:cs="Arial"/>
          <w:b/>
          <w:sz w:val="22"/>
          <w:szCs w:val="22"/>
          <w:lang w:val="en-GB"/>
        </w:rPr>
        <w:t>Psychiatric disorders</w:t>
      </w:r>
    </w:p>
    <w:p w14:paraId="400633F8" w14:textId="77777777" w:rsidR="002F607B" w:rsidRPr="00747F8D" w:rsidRDefault="002F607B" w:rsidP="002F607B">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Insomnia</w:t>
      </w:r>
    </w:p>
    <w:p w14:paraId="38849454" w14:textId="193446A4" w:rsidR="002F607B" w:rsidRPr="00747F8D" w:rsidRDefault="002F607B" w:rsidP="002F607B">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r>
      <w:r w:rsidR="006A430D" w:rsidRPr="00747F8D">
        <w:rPr>
          <w:rFonts w:ascii="Arial" w:hAnsi="Arial" w:cs="Arial"/>
          <w:sz w:val="22"/>
          <w:szCs w:val="22"/>
          <w:lang w:val="en-GB"/>
        </w:rPr>
        <w:t>Anxiety, d</w:t>
      </w:r>
      <w:r w:rsidRPr="00747F8D">
        <w:rPr>
          <w:rFonts w:ascii="Arial" w:hAnsi="Arial" w:cs="Arial"/>
          <w:sz w:val="22"/>
          <w:szCs w:val="22"/>
          <w:lang w:val="en-GB"/>
        </w:rPr>
        <w:t>epression</w:t>
      </w:r>
    </w:p>
    <w:p w14:paraId="5553BCB3" w14:textId="513B3674"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Nervous systems disorders</w:t>
      </w:r>
    </w:p>
    <w:p w14:paraId="5553BCB5" w14:textId="74348505"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Headache</w:t>
      </w:r>
      <w:r w:rsidR="008C5532" w:rsidRPr="00747F8D">
        <w:rPr>
          <w:rFonts w:ascii="Arial" w:hAnsi="Arial" w:cs="Arial"/>
          <w:sz w:val="22"/>
          <w:szCs w:val="22"/>
          <w:lang w:val="en-GB"/>
        </w:rPr>
        <w:t xml:space="preserve">, </w:t>
      </w:r>
      <w:r w:rsidR="002F607B" w:rsidRPr="00747F8D">
        <w:rPr>
          <w:rFonts w:ascii="Arial" w:hAnsi="Arial" w:cs="Arial"/>
          <w:sz w:val="22"/>
          <w:szCs w:val="22"/>
          <w:lang w:val="en-GB"/>
        </w:rPr>
        <w:t>d</w:t>
      </w:r>
      <w:r w:rsidR="008C5532" w:rsidRPr="00747F8D">
        <w:rPr>
          <w:rFonts w:ascii="Arial" w:hAnsi="Arial" w:cs="Arial"/>
          <w:sz w:val="22"/>
          <w:szCs w:val="22"/>
          <w:lang w:val="en-GB"/>
        </w:rPr>
        <w:t>izziness</w:t>
      </w:r>
    </w:p>
    <w:p w14:paraId="5553BCB6" w14:textId="6456AB25" w:rsidR="00E92A05" w:rsidRPr="00747F8D" w:rsidRDefault="008C5532" w:rsidP="00E92A05">
      <w:pPr>
        <w:spacing w:line="300" w:lineRule="atLeast"/>
        <w:rPr>
          <w:rFonts w:ascii="Arial" w:hAnsi="Arial" w:cs="Arial"/>
          <w:i/>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Syncope</w:t>
      </w:r>
    </w:p>
    <w:p w14:paraId="20D0818C" w14:textId="67240F3A" w:rsidR="0021023A" w:rsidRPr="00747F8D" w:rsidRDefault="00707DFC" w:rsidP="0021023A">
      <w:pPr>
        <w:keepNext/>
        <w:spacing w:before="120"/>
        <w:rPr>
          <w:rFonts w:ascii="Arial" w:hAnsi="Arial" w:cs="Arial"/>
          <w:b/>
          <w:sz w:val="22"/>
          <w:szCs w:val="22"/>
          <w:lang w:val="en-GB"/>
        </w:rPr>
      </w:pPr>
      <w:r w:rsidRPr="00747F8D">
        <w:rPr>
          <w:rFonts w:ascii="Arial" w:hAnsi="Arial" w:cs="Arial"/>
          <w:b/>
          <w:sz w:val="22"/>
          <w:szCs w:val="22"/>
          <w:lang w:val="en-GB"/>
        </w:rPr>
        <w:t>Eye disorders</w:t>
      </w:r>
    </w:p>
    <w:p w14:paraId="378E9B64" w14:textId="77777777" w:rsidR="00707DFC" w:rsidRPr="00747F8D" w:rsidRDefault="00707DFC" w:rsidP="0021023A">
      <w:pPr>
        <w:widowControl w:val="0"/>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t>Dry eye, eye pruritus, cataract, ocular icterus, vision blurred, visual</w:t>
      </w:r>
    </w:p>
    <w:p w14:paraId="3D59C80B" w14:textId="41D26E11" w:rsidR="00707DFC" w:rsidRPr="00747F8D" w:rsidRDefault="00707DFC" w:rsidP="0021023A">
      <w:pPr>
        <w:widowControl w:val="0"/>
        <w:spacing w:line="300" w:lineRule="atLeast"/>
        <w:ind w:left="1440" w:firstLine="720"/>
        <w:rPr>
          <w:rFonts w:ascii="Arial" w:hAnsi="Arial" w:cs="Arial"/>
          <w:sz w:val="22"/>
          <w:szCs w:val="22"/>
          <w:lang w:val="en-GB"/>
        </w:rPr>
      </w:pPr>
      <w:r w:rsidRPr="00747F8D">
        <w:rPr>
          <w:rFonts w:ascii="Arial" w:hAnsi="Arial" w:cs="Arial"/>
          <w:sz w:val="22"/>
          <w:szCs w:val="22"/>
          <w:lang w:val="en-GB"/>
        </w:rPr>
        <w:t>impairment, vitreous floaters</w:t>
      </w:r>
    </w:p>
    <w:p w14:paraId="5553BCB7" w14:textId="385C2C1B"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Respiratory, thoracic and mediastinal disorders</w:t>
      </w:r>
    </w:p>
    <w:p w14:paraId="5553BCBC" w14:textId="09D27531"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Cough</w:t>
      </w:r>
      <w:r w:rsidR="002606DF" w:rsidRPr="00747F8D">
        <w:rPr>
          <w:rFonts w:ascii="Arial" w:hAnsi="Arial" w:cs="Arial"/>
          <w:sz w:val="22"/>
          <w:szCs w:val="22"/>
          <w:lang w:val="en-GB"/>
        </w:rPr>
        <w:t xml:space="preserve">, </w:t>
      </w:r>
      <w:r w:rsidR="00646BB2" w:rsidRPr="00747F8D">
        <w:rPr>
          <w:rFonts w:ascii="Arial" w:hAnsi="Arial" w:cs="Arial"/>
          <w:sz w:val="22"/>
          <w:szCs w:val="22"/>
          <w:lang w:val="en-GB"/>
        </w:rPr>
        <w:t>d</w:t>
      </w:r>
      <w:r w:rsidRPr="00747F8D">
        <w:rPr>
          <w:rFonts w:ascii="Arial" w:hAnsi="Arial" w:cs="Arial"/>
          <w:sz w:val="22"/>
          <w:szCs w:val="22"/>
          <w:lang w:val="en-GB"/>
        </w:rPr>
        <w:t>yspnoea</w:t>
      </w:r>
      <w:r w:rsidR="002606DF" w:rsidRPr="00747F8D">
        <w:rPr>
          <w:rFonts w:ascii="Arial" w:hAnsi="Arial" w:cs="Arial"/>
          <w:sz w:val="22"/>
          <w:szCs w:val="22"/>
          <w:lang w:val="en-GB"/>
        </w:rPr>
        <w:t xml:space="preserve">, </w:t>
      </w:r>
      <w:r w:rsidR="00646BB2" w:rsidRPr="00747F8D">
        <w:rPr>
          <w:rFonts w:ascii="Arial" w:hAnsi="Arial" w:cs="Arial"/>
          <w:sz w:val="22"/>
          <w:szCs w:val="22"/>
          <w:lang w:val="en-GB"/>
        </w:rPr>
        <w:t>o</w:t>
      </w:r>
      <w:r w:rsidRPr="00747F8D">
        <w:rPr>
          <w:rFonts w:ascii="Arial" w:hAnsi="Arial" w:cs="Arial"/>
          <w:sz w:val="22"/>
          <w:szCs w:val="22"/>
          <w:lang w:val="en-GB"/>
        </w:rPr>
        <w:t xml:space="preserve">ropharyngeal </w:t>
      </w:r>
      <w:r w:rsidR="00575995" w:rsidRPr="00747F8D">
        <w:rPr>
          <w:rFonts w:ascii="Arial" w:hAnsi="Arial" w:cs="Arial"/>
          <w:sz w:val="22"/>
          <w:szCs w:val="22"/>
          <w:lang w:val="en-GB"/>
        </w:rPr>
        <w:t>p</w:t>
      </w:r>
      <w:r w:rsidRPr="00747F8D">
        <w:rPr>
          <w:rFonts w:ascii="Arial" w:hAnsi="Arial" w:cs="Arial"/>
          <w:sz w:val="22"/>
          <w:szCs w:val="22"/>
          <w:lang w:val="en-GB"/>
        </w:rPr>
        <w:t>ain</w:t>
      </w:r>
      <w:r w:rsidR="002606DF" w:rsidRPr="00747F8D">
        <w:rPr>
          <w:rFonts w:ascii="Arial" w:hAnsi="Arial" w:cs="Arial"/>
          <w:sz w:val="22"/>
          <w:szCs w:val="22"/>
          <w:lang w:val="en-GB"/>
        </w:rPr>
        <w:t xml:space="preserve">, </w:t>
      </w:r>
      <w:r w:rsidR="00646BB2" w:rsidRPr="00747F8D">
        <w:rPr>
          <w:rFonts w:ascii="Arial" w:hAnsi="Arial" w:cs="Arial"/>
          <w:sz w:val="22"/>
          <w:szCs w:val="22"/>
          <w:lang w:val="en-GB"/>
        </w:rPr>
        <w:t>r</w:t>
      </w:r>
      <w:r w:rsidRPr="00747F8D">
        <w:rPr>
          <w:rFonts w:ascii="Arial" w:hAnsi="Arial" w:cs="Arial"/>
          <w:sz w:val="22"/>
          <w:szCs w:val="22"/>
          <w:lang w:val="en-GB"/>
        </w:rPr>
        <w:t>hinorrhoea</w:t>
      </w:r>
    </w:p>
    <w:p w14:paraId="0586C159" w14:textId="1DB4168D" w:rsidR="006A430D" w:rsidRPr="00747F8D" w:rsidRDefault="006A430D" w:rsidP="00E92A05">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t>Epitaxis</w:t>
      </w:r>
    </w:p>
    <w:p w14:paraId="5553BCBE" w14:textId="77777777"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Gastrointestinal disorders</w:t>
      </w:r>
    </w:p>
    <w:p w14:paraId="5553BCC2" w14:textId="36E96416"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lastRenderedPageBreak/>
        <w:t>Very Common</w:t>
      </w:r>
      <w:r w:rsidRPr="00747F8D">
        <w:rPr>
          <w:rFonts w:ascii="Arial" w:hAnsi="Arial" w:cs="Arial"/>
          <w:sz w:val="22"/>
          <w:szCs w:val="22"/>
          <w:lang w:val="en-GB"/>
        </w:rPr>
        <w:tab/>
      </w:r>
      <w:r w:rsidRPr="00747F8D">
        <w:rPr>
          <w:rFonts w:ascii="Arial" w:hAnsi="Arial" w:cs="Arial"/>
          <w:sz w:val="22"/>
          <w:szCs w:val="22"/>
          <w:lang w:val="en-GB"/>
        </w:rPr>
        <w:tab/>
        <w:t>Abdominal pain</w:t>
      </w:r>
      <w:r w:rsidR="002606DF" w:rsidRPr="00747F8D">
        <w:rPr>
          <w:rFonts w:ascii="Arial" w:hAnsi="Arial" w:cs="Arial"/>
          <w:sz w:val="22"/>
          <w:szCs w:val="22"/>
          <w:lang w:val="en-GB"/>
        </w:rPr>
        <w:t xml:space="preserve">, </w:t>
      </w:r>
      <w:r w:rsidR="00646BB2" w:rsidRPr="00747F8D">
        <w:rPr>
          <w:rFonts w:ascii="Arial" w:hAnsi="Arial" w:cs="Arial"/>
          <w:sz w:val="22"/>
          <w:szCs w:val="22"/>
          <w:lang w:val="en-GB"/>
        </w:rPr>
        <w:t>d</w:t>
      </w:r>
      <w:r w:rsidRPr="00747F8D">
        <w:rPr>
          <w:rFonts w:ascii="Arial" w:hAnsi="Arial" w:cs="Arial"/>
          <w:sz w:val="22"/>
          <w:szCs w:val="22"/>
          <w:lang w:val="en-GB"/>
        </w:rPr>
        <w:t>iarrhoea</w:t>
      </w:r>
      <w:r w:rsidR="002606DF" w:rsidRPr="00747F8D">
        <w:rPr>
          <w:rFonts w:ascii="Arial" w:hAnsi="Arial" w:cs="Arial"/>
          <w:sz w:val="22"/>
          <w:szCs w:val="22"/>
          <w:lang w:val="en-GB"/>
        </w:rPr>
        <w:t xml:space="preserve">, </w:t>
      </w:r>
      <w:r w:rsidR="00646BB2" w:rsidRPr="00747F8D">
        <w:rPr>
          <w:rFonts w:ascii="Arial" w:hAnsi="Arial" w:cs="Arial"/>
          <w:sz w:val="22"/>
          <w:szCs w:val="22"/>
          <w:lang w:val="en-GB"/>
        </w:rPr>
        <w:t>n</w:t>
      </w:r>
      <w:r w:rsidRPr="00747F8D">
        <w:rPr>
          <w:rFonts w:ascii="Arial" w:hAnsi="Arial" w:cs="Arial"/>
          <w:sz w:val="22"/>
          <w:szCs w:val="22"/>
          <w:lang w:val="en-GB"/>
        </w:rPr>
        <w:t>ausea</w:t>
      </w:r>
    </w:p>
    <w:p w14:paraId="5703E0C5" w14:textId="77777777" w:rsidR="00646BB2" w:rsidRPr="00747F8D" w:rsidRDefault="00646BB2" w:rsidP="00E92A05">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 xml:space="preserve">Gingival bleeding, oral mucosal blistering, oral pain, vomiting, abdominal </w:t>
      </w:r>
    </w:p>
    <w:p w14:paraId="06D8689B" w14:textId="77777777" w:rsidR="00646BB2" w:rsidRPr="00747F8D" w:rsidRDefault="00646BB2" w:rsidP="00E92A05">
      <w:pPr>
        <w:spacing w:line="300" w:lineRule="atLeast"/>
        <w:rPr>
          <w:rFonts w:ascii="Arial" w:hAnsi="Arial" w:cs="Arial"/>
          <w:sz w:val="22"/>
          <w:szCs w:val="22"/>
          <w:lang w:val="en-GB"/>
        </w:rPr>
      </w:pPr>
      <w:r w:rsidRPr="00747F8D">
        <w:rPr>
          <w:rFonts w:ascii="Arial" w:hAnsi="Arial" w:cs="Arial"/>
          <w:sz w:val="22"/>
          <w:szCs w:val="22"/>
          <w:lang w:val="en-GB"/>
        </w:rPr>
        <w:tab/>
      </w:r>
      <w:r w:rsidRPr="00747F8D">
        <w:rPr>
          <w:rFonts w:ascii="Arial" w:hAnsi="Arial" w:cs="Arial"/>
          <w:sz w:val="22"/>
          <w:szCs w:val="22"/>
          <w:lang w:val="en-GB"/>
        </w:rPr>
        <w:tab/>
      </w:r>
      <w:r w:rsidRPr="00747F8D">
        <w:rPr>
          <w:rFonts w:ascii="Arial" w:hAnsi="Arial" w:cs="Arial"/>
          <w:sz w:val="22"/>
          <w:szCs w:val="22"/>
          <w:lang w:val="en-GB"/>
        </w:rPr>
        <w:tab/>
        <w:t xml:space="preserve">discomfort, abdominal pain, constipation, abdominal distension, dysphagia, </w:t>
      </w:r>
    </w:p>
    <w:p w14:paraId="5553BCC3" w14:textId="1930C2C9" w:rsidR="00E92A05" w:rsidRPr="00747F8D" w:rsidRDefault="00646BB2" w:rsidP="00646BB2">
      <w:pPr>
        <w:spacing w:line="300" w:lineRule="atLeast"/>
        <w:ind w:left="2160"/>
        <w:rPr>
          <w:rFonts w:ascii="Arial" w:hAnsi="Arial" w:cs="Arial"/>
          <w:sz w:val="22"/>
          <w:szCs w:val="22"/>
          <w:lang w:val="en-GB"/>
        </w:rPr>
      </w:pPr>
      <w:r w:rsidRPr="00747F8D">
        <w:rPr>
          <w:rFonts w:ascii="Arial" w:hAnsi="Arial" w:cs="Arial"/>
          <w:sz w:val="22"/>
          <w:szCs w:val="22"/>
          <w:lang w:val="en-GB"/>
        </w:rPr>
        <w:t>faeces discoloured, swollen tongue, gastrointestinal motility disorder, flatulence</w:t>
      </w:r>
    </w:p>
    <w:p w14:paraId="5553BCC4" w14:textId="77777777"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Hepatobiliary disorders</w:t>
      </w:r>
    </w:p>
    <w:p w14:paraId="5553BCC6" w14:textId="77777777"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Transaminases increased</w:t>
      </w:r>
    </w:p>
    <w:p w14:paraId="1EA54326" w14:textId="44146412" w:rsidR="009F1511" w:rsidRPr="00747F8D" w:rsidRDefault="009F1511" w:rsidP="009F1511">
      <w:pPr>
        <w:widowControl w:val="0"/>
        <w:rPr>
          <w:rFonts w:ascii="Arial" w:hAnsi="Arial" w:cs="Arial"/>
          <w:i/>
          <w:sz w:val="22"/>
          <w:szCs w:val="22"/>
        </w:rPr>
      </w:pPr>
      <w:r w:rsidRPr="00747F8D">
        <w:rPr>
          <w:rFonts w:ascii="Arial" w:hAnsi="Arial" w:cs="Arial"/>
          <w:i/>
          <w:sz w:val="22"/>
          <w:szCs w:val="22"/>
        </w:rPr>
        <w:t>Common</w:t>
      </w:r>
      <w:r w:rsidRPr="00747F8D">
        <w:rPr>
          <w:rFonts w:ascii="Arial" w:hAnsi="Arial" w:cs="Arial"/>
          <w:i/>
          <w:sz w:val="22"/>
          <w:szCs w:val="22"/>
        </w:rPr>
        <w:tab/>
      </w:r>
      <w:r w:rsidRPr="00747F8D">
        <w:rPr>
          <w:rFonts w:ascii="Arial" w:hAnsi="Arial" w:cs="Arial"/>
          <w:i/>
          <w:sz w:val="22"/>
          <w:szCs w:val="22"/>
        </w:rPr>
        <w:tab/>
      </w:r>
      <w:r w:rsidRPr="00747F8D">
        <w:rPr>
          <w:rFonts w:ascii="Arial" w:hAnsi="Arial" w:cs="Arial"/>
          <w:sz w:val="22"/>
          <w:szCs w:val="22"/>
        </w:rPr>
        <w:t>Blood bilirubin increased (hyperbilirubinemia), jaundice</w:t>
      </w:r>
    </w:p>
    <w:p w14:paraId="5553BCC8" w14:textId="77777777"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Skin and subcutaneous tissue disorders</w:t>
      </w:r>
    </w:p>
    <w:p w14:paraId="5553BCCA" w14:textId="77777777"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Ecchymosis</w:t>
      </w:r>
    </w:p>
    <w:p w14:paraId="5553BCCB" w14:textId="30499E89" w:rsidR="00E92A05" w:rsidRPr="00747F8D" w:rsidRDefault="008F775C" w:rsidP="00E92A05">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 xml:space="preserve">Petechiae, </w:t>
      </w:r>
      <w:r w:rsidR="00747F8D">
        <w:rPr>
          <w:rFonts w:ascii="Arial" w:hAnsi="Arial" w:cs="Arial"/>
          <w:sz w:val="22"/>
          <w:szCs w:val="22"/>
          <w:lang w:val="en-GB"/>
        </w:rPr>
        <w:t>r</w:t>
      </w:r>
      <w:r w:rsidRPr="00747F8D">
        <w:rPr>
          <w:rFonts w:ascii="Arial" w:hAnsi="Arial" w:cs="Arial"/>
          <w:sz w:val="22"/>
          <w:szCs w:val="22"/>
          <w:lang w:val="en-GB"/>
        </w:rPr>
        <w:t xml:space="preserve">ash, </w:t>
      </w:r>
      <w:r w:rsidR="00747F8D">
        <w:rPr>
          <w:rFonts w:ascii="Arial" w:hAnsi="Arial" w:cs="Arial"/>
          <w:sz w:val="22"/>
          <w:szCs w:val="22"/>
          <w:lang w:val="en-GB"/>
        </w:rPr>
        <w:t>p</w:t>
      </w:r>
      <w:r w:rsidRPr="00747F8D">
        <w:rPr>
          <w:rFonts w:ascii="Arial" w:hAnsi="Arial" w:cs="Arial"/>
          <w:sz w:val="22"/>
          <w:szCs w:val="22"/>
          <w:lang w:val="en-GB"/>
        </w:rPr>
        <w:t xml:space="preserve">ruritus, </w:t>
      </w:r>
      <w:r w:rsidR="00747F8D">
        <w:rPr>
          <w:rFonts w:ascii="Arial" w:hAnsi="Arial" w:cs="Arial"/>
          <w:sz w:val="22"/>
          <w:szCs w:val="22"/>
          <w:lang w:val="en-GB"/>
        </w:rPr>
        <w:t>u</w:t>
      </w:r>
      <w:r w:rsidRPr="00747F8D">
        <w:rPr>
          <w:rFonts w:ascii="Arial" w:hAnsi="Arial" w:cs="Arial"/>
          <w:sz w:val="22"/>
          <w:szCs w:val="22"/>
          <w:lang w:val="en-GB"/>
        </w:rPr>
        <w:t xml:space="preserve">rticaria, </w:t>
      </w:r>
      <w:r w:rsidR="00747F8D">
        <w:rPr>
          <w:rFonts w:ascii="Arial" w:hAnsi="Arial" w:cs="Arial"/>
          <w:sz w:val="22"/>
          <w:szCs w:val="22"/>
          <w:lang w:val="en-GB"/>
        </w:rPr>
        <w:t>s</w:t>
      </w:r>
      <w:r w:rsidRPr="00747F8D">
        <w:rPr>
          <w:rFonts w:ascii="Arial" w:hAnsi="Arial" w:cs="Arial"/>
          <w:sz w:val="22"/>
          <w:szCs w:val="22"/>
          <w:lang w:val="en-GB"/>
        </w:rPr>
        <w:t xml:space="preserve">kin lesion, </w:t>
      </w:r>
      <w:r w:rsidR="00747F8D">
        <w:rPr>
          <w:rFonts w:ascii="Arial" w:hAnsi="Arial" w:cs="Arial"/>
          <w:sz w:val="22"/>
          <w:szCs w:val="22"/>
          <w:lang w:val="en-GB"/>
        </w:rPr>
        <w:t>r</w:t>
      </w:r>
      <w:r w:rsidRPr="00747F8D">
        <w:rPr>
          <w:rFonts w:ascii="Arial" w:hAnsi="Arial" w:cs="Arial"/>
          <w:sz w:val="22"/>
          <w:szCs w:val="22"/>
          <w:lang w:val="en-GB"/>
        </w:rPr>
        <w:t xml:space="preserve">ash </w:t>
      </w:r>
      <w:r w:rsidR="00747F8D">
        <w:rPr>
          <w:rFonts w:ascii="Arial" w:hAnsi="Arial" w:cs="Arial"/>
          <w:sz w:val="22"/>
          <w:szCs w:val="22"/>
          <w:lang w:val="en-GB"/>
        </w:rPr>
        <w:t>m</w:t>
      </w:r>
      <w:r w:rsidRPr="00747F8D">
        <w:rPr>
          <w:rFonts w:ascii="Arial" w:hAnsi="Arial" w:cs="Arial"/>
          <w:sz w:val="22"/>
          <w:szCs w:val="22"/>
          <w:lang w:val="en-GB"/>
        </w:rPr>
        <w:t>acular</w:t>
      </w:r>
    </w:p>
    <w:p w14:paraId="5553BCCC" w14:textId="77777777"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Musculosketal and connective tissue disorders</w:t>
      </w:r>
    </w:p>
    <w:p w14:paraId="5553BCD0" w14:textId="45A14279"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Arthralgia</w:t>
      </w:r>
      <w:r w:rsidR="002606DF" w:rsidRPr="00747F8D">
        <w:rPr>
          <w:rFonts w:ascii="Arial" w:hAnsi="Arial" w:cs="Arial"/>
          <w:sz w:val="22"/>
          <w:szCs w:val="22"/>
          <w:lang w:val="en-GB"/>
        </w:rPr>
        <w:t xml:space="preserve">, </w:t>
      </w:r>
      <w:r w:rsidR="00747F8D">
        <w:rPr>
          <w:rFonts w:ascii="Arial" w:hAnsi="Arial" w:cs="Arial"/>
          <w:sz w:val="22"/>
          <w:szCs w:val="22"/>
          <w:lang w:val="en-GB"/>
        </w:rPr>
        <w:t>m</w:t>
      </w:r>
      <w:r w:rsidRPr="00747F8D">
        <w:rPr>
          <w:rFonts w:ascii="Arial" w:hAnsi="Arial" w:cs="Arial"/>
          <w:sz w:val="22"/>
          <w:szCs w:val="22"/>
          <w:lang w:val="en-GB"/>
        </w:rPr>
        <w:t>uscle spasms</w:t>
      </w:r>
      <w:r w:rsidR="002606DF" w:rsidRPr="00747F8D">
        <w:rPr>
          <w:rFonts w:ascii="Arial" w:hAnsi="Arial" w:cs="Arial"/>
          <w:sz w:val="22"/>
          <w:szCs w:val="22"/>
          <w:lang w:val="en-GB"/>
        </w:rPr>
        <w:t xml:space="preserve">, </w:t>
      </w:r>
      <w:r w:rsidR="00747F8D">
        <w:rPr>
          <w:rFonts w:ascii="Arial" w:hAnsi="Arial" w:cs="Arial"/>
          <w:sz w:val="22"/>
          <w:szCs w:val="22"/>
          <w:lang w:val="en-GB"/>
        </w:rPr>
        <w:t>p</w:t>
      </w:r>
      <w:r w:rsidRPr="00747F8D">
        <w:rPr>
          <w:rFonts w:ascii="Arial" w:hAnsi="Arial" w:cs="Arial"/>
          <w:sz w:val="22"/>
          <w:szCs w:val="22"/>
          <w:lang w:val="en-GB"/>
        </w:rPr>
        <w:t>ain in extremity</w:t>
      </w:r>
    </w:p>
    <w:p w14:paraId="5553BCD1" w14:textId="77C92D12" w:rsidR="00E92A05" w:rsidRPr="00747F8D" w:rsidRDefault="007D2A06" w:rsidP="00E92A05">
      <w:pPr>
        <w:spacing w:line="300" w:lineRule="atLeast"/>
        <w:rPr>
          <w:rFonts w:ascii="Arial" w:hAnsi="Arial" w:cs="Arial"/>
          <w:b/>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rPr>
        <w:t>Back pain, myalgia, bone pain</w:t>
      </w:r>
    </w:p>
    <w:p w14:paraId="4C3F6C3A" w14:textId="77777777" w:rsidR="008E5DF7" w:rsidRPr="00747F8D" w:rsidRDefault="008E5DF7" w:rsidP="00121347">
      <w:pPr>
        <w:spacing w:before="120"/>
        <w:rPr>
          <w:rFonts w:ascii="Arial" w:hAnsi="Arial" w:cs="Arial"/>
          <w:b/>
          <w:sz w:val="22"/>
          <w:szCs w:val="22"/>
          <w:lang w:val="en-GB"/>
        </w:rPr>
      </w:pPr>
      <w:r w:rsidRPr="00747F8D">
        <w:rPr>
          <w:rFonts w:ascii="Arial" w:hAnsi="Arial" w:cs="Arial"/>
          <w:b/>
          <w:sz w:val="22"/>
          <w:szCs w:val="22"/>
          <w:lang w:val="en-GB"/>
        </w:rPr>
        <w:t>Renal and urinary disorders</w:t>
      </w:r>
    </w:p>
    <w:p w14:paraId="337D9AAF" w14:textId="0318AD81" w:rsidR="008E5DF7" w:rsidRPr="00747F8D" w:rsidRDefault="008E5DF7" w:rsidP="008E5DF7">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t>Chromaturia</w:t>
      </w:r>
    </w:p>
    <w:p w14:paraId="5553BCD2" w14:textId="74A4069C" w:rsidR="00E92A05" w:rsidRPr="00747F8D" w:rsidRDefault="00E92A05" w:rsidP="00121347">
      <w:pPr>
        <w:spacing w:before="120"/>
        <w:rPr>
          <w:rFonts w:ascii="Arial" w:hAnsi="Arial" w:cs="Arial"/>
          <w:b/>
          <w:sz w:val="22"/>
          <w:szCs w:val="22"/>
          <w:lang w:val="en-GB"/>
        </w:rPr>
      </w:pPr>
      <w:r w:rsidRPr="00747F8D">
        <w:rPr>
          <w:rFonts w:ascii="Arial" w:hAnsi="Arial" w:cs="Arial"/>
          <w:b/>
          <w:sz w:val="22"/>
          <w:szCs w:val="22"/>
          <w:lang w:val="en-GB"/>
        </w:rPr>
        <w:t>General disorders and administrative conditions</w:t>
      </w:r>
    </w:p>
    <w:p w14:paraId="5553BCD7" w14:textId="0176E2EE" w:rsidR="00E92A05" w:rsidRPr="00747F8D" w:rsidRDefault="00E92A05" w:rsidP="00E92A05">
      <w:pPr>
        <w:spacing w:line="300" w:lineRule="atLeast"/>
        <w:rPr>
          <w:rFonts w:ascii="Arial" w:hAnsi="Arial" w:cs="Arial"/>
          <w:sz w:val="22"/>
          <w:szCs w:val="22"/>
          <w:lang w:val="en-GB"/>
        </w:rPr>
      </w:pPr>
      <w:r w:rsidRPr="00747F8D">
        <w:rPr>
          <w:rFonts w:ascii="Arial" w:hAnsi="Arial" w:cs="Arial"/>
          <w:i/>
          <w:sz w:val="22"/>
          <w:szCs w:val="22"/>
          <w:lang w:val="en-GB"/>
        </w:rPr>
        <w:t>Very Common</w:t>
      </w:r>
      <w:r w:rsidRPr="00747F8D">
        <w:rPr>
          <w:rFonts w:ascii="Arial" w:hAnsi="Arial" w:cs="Arial"/>
          <w:sz w:val="22"/>
          <w:szCs w:val="22"/>
          <w:lang w:val="en-GB"/>
        </w:rPr>
        <w:tab/>
      </w:r>
      <w:r w:rsidRPr="00747F8D">
        <w:rPr>
          <w:rFonts w:ascii="Arial" w:hAnsi="Arial" w:cs="Arial"/>
          <w:sz w:val="22"/>
          <w:szCs w:val="22"/>
          <w:lang w:val="en-GB"/>
        </w:rPr>
        <w:tab/>
        <w:t>Fatigue</w:t>
      </w:r>
      <w:r w:rsidR="002606DF" w:rsidRPr="00747F8D">
        <w:rPr>
          <w:rFonts w:ascii="Arial" w:hAnsi="Arial" w:cs="Arial"/>
          <w:sz w:val="22"/>
          <w:szCs w:val="22"/>
          <w:lang w:val="en-GB"/>
        </w:rPr>
        <w:t xml:space="preserve">, </w:t>
      </w:r>
      <w:r w:rsidR="000F127F">
        <w:rPr>
          <w:rFonts w:ascii="Arial" w:hAnsi="Arial" w:cs="Arial"/>
          <w:sz w:val="22"/>
          <w:szCs w:val="22"/>
          <w:lang w:val="en-GB"/>
        </w:rPr>
        <w:t>f</w:t>
      </w:r>
      <w:r w:rsidRPr="00747F8D">
        <w:rPr>
          <w:rFonts w:ascii="Arial" w:hAnsi="Arial" w:cs="Arial"/>
          <w:sz w:val="22"/>
          <w:szCs w:val="22"/>
          <w:lang w:val="en-GB"/>
        </w:rPr>
        <w:t>ebrile neutropenia</w:t>
      </w:r>
      <w:r w:rsidR="002606DF" w:rsidRPr="00747F8D">
        <w:rPr>
          <w:rFonts w:ascii="Arial" w:hAnsi="Arial" w:cs="Arial"/>
          <w:sz w:val="22"/>
          <w:szCs w:val="22"/>
          <w:lang w:val="en-GB"/>
        </w:rPr>
        <w:t xml:space="preserve">, </w:t>
      </w:r>
      <w:r w:rsidR="000F127F">
        <w:rPr>
          <w:rFonts w:ascii="Arial" w:hAnsi="Arial" w:cs="Arial"/>
          <w:sz w:val="22"/>
          <w:szCs w:val="22"/>
          <w:lang w:val="en-GB"/>
        </w:rPr>
        <w:t>p</w:t>
      </w:r>
      <w:r w:rsidRPr="00747F8D">
        <w:rPr>
          <w:rFonts w:ascii="Arial" w:hAnsi="Arial" w:cs="Arial"/>
          <w:sz w:val="22"/>
          <w:szCs w:val="22"/>
          <w:lang w:val="en-GB"/>
        </w:rPr>
        <w:t>yrexia</w:t>
      </w:r>
    </w:p>
    <w:p w14:paraId="490CE5DE" w14:textId="2A5F1C91" w:rsidR="00AF3BA4" w:rsidRPr="00747F8D" w:rsidRDefault="008E5DF7" w:rsidP="00E92A05">
      <w:pPr>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t>Asthenia, oedema peripheral, chills, malaise</w:t>
      </w:r>
    </w:p>
    <w:p w14:paraId="0EDB600D" w14:textId="5BC1A8DB" w:rsidR="00AF3BA4" w:rsidRPr="00747F8D" w:rsidRDefault="00AF3BA4" w:rsidP="00121347">
      <w:pPr>
        <w:spacing w:before="120"/>
        <w:rPr>
          <w:rFonts w:ascii="Arial" w:hAnsi="Arial" w:cs="Arial"/>
          <w:b/>
          <w:sz w:val="22"/>
          <w:szCs w:val="22"/>
          <w:lang w:val="en-GB"/>
        </w:rPr>
      </w:pPr>
      <w:r w:rsidRPr="00747F8D">
        <w:rPr>
          <w:rFonts w:ascii="Arial" w:hAnsi="Arial" w:cs="Arial"/>
          <w:b/>
          <w:sz w:val="22"/>
          <w:szCs w:val="22"/>
          <w:lang w:val="en-GB"/>
        </w:rPr>
        <w:t>Metabolism and nutrition disorders</w:t>
      </w:r>
    </w:p>
    <w:p w14:paraId="5553BCD9" w14:textId="7CC90704" w:rsidR="00E92A05" w:rsidRPr="00747F8D" w:rsidRDefault="00AF3BA4" w:rsidP="00FB3E6F">
      <w:pPr>
        <w:widowControl w:val="0"/>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i/>
          <w:sz w:val="22"/>
          <w:szCs w:val="22"/>
          <w:lang w:val="en-GB"/>
        </w:rPr>
        <w:tab/>
      </w:r>
      <w:r w:rsidRPr="00747F8D">
        <w:rPr>
          <w:rFonts w:ascii="Arial" w:hAnsi="Arial" w:cs="Arial"/>
          <w:i/>
          <w:sz w:val="22"/>
          <w:szCs w:val="22"/>
          <w:lang w:val="en-GB"/>
        </w:rPr>
        <w:tab/>
      </w:r>
      <w:r w:rsidRPr="00747F8D">
        <w:rPr>
          <w:rFonts w:ascii="Arial" w:hAnsi="Arial" w:cs="Arial"/>
          <w:sz w:val="22"/>
          <w:szCs w:val="22"/>
          <w:lang w:val="en-GB"/>
        </w:rPr>
        <w:t>Iron overload, decreased appetite, hypoglycaemia, increased appetite</w:t>
      </w:r>
    </w:p>
    <w:p w14:paraId="1F64D1C8" w14:textId="77777777" w:rsidR="002A240D" w:rsidRPr="00747F8D" w:rsidRDefault="002A240D" w:rsidP="00121347">
      <w:pPr>
        <w:spacing w:before="120"/>
        <w:rPr>
          <w:rFonts w:ascii="Arial" w:hAnsi="Arial" w:cs="Arial"/>
          <w:b/>
          <w:sz w:val="22"/>
          <w:szCs w:val="22"/>
          <w:lang w:val="en-GB"/>
        </w:rPr>
      </w:pPr>
      <w:r w:rsidRPr="00747F8D">
        <w:rPr>
          <w:rFonts w:ascii="Arial" w:hAnsi="Arial" w:cs="Arial"/>
          <w:b/>
          <w:sz w:val="22"/>
          <w:szCs w:val="22"/>
          <w:lang w:val="en-GB"/>
        </w:rPr>
        <w:t>Investigations</w:t>
      </w:r>
    </w:p>
    <w:p w14:paraId="4F7D8DD1" w14:textId="4572B89F" w:rsidR="00AF3BA4" w:rsidRPr="00747F8D" w:rsidRDefault="002A240D" w:rsidP="002A240D">
      <w:pPr>
        <w:widowControl w:val="0"/>
        <w:spacing w:line="300" w:lineRule="atLeast"/>
        <w:rPr>
          <w:rFonts w:ascii="Arial" w:hAnsi="Arial" w:cs="Arial"/>
          <w:sz w:val="22"/>
          <w:szCs w:val="22"/>
          <w:lang w:val="en-GB"/>
        </w:rPr>
      </w:pPr>
      <w:r w:rsidRPr="00747F8D">
        <w:rPr>
          <w:rFonts w:ascii="Arial" w:hAnsi="Arial" w:cs="Arial"/>
          <w:i/>
          <w:sz w:val="22"/>
          <w:szCs w:val="22"/>
          <w:lang w:val="en-GB"/>
        </w:rPr>
        <w:t>Common</w:t>
      </w:r>
      <w:r w:rsidRPr="00747F8D">
        <w:rPr>
          <w:rFonts w:ascii="Arial" w:hAnsi="Arial" w:cs="Arial"/>
          <w:sz w:val="22"/>
          <w:szCs w:val="22"/>
          <w:lang w:val="en-GB"/>
        </w:rPr>
        <w:tab/>
      </w:r>
      <w:r w:rsidRPr="00747F8D">
        <w:rPr>
          <w:rFonts w:ascii="Arial" w:hAnsi="Arial" w:cs="Arial"/>
          <w:sz w:val="22"/>
          <w:szCs w:val="22"/>
          <w:lang w:val="en-GB"/>
        </w:rPr>
        <w:tab/>
        <w:t>Blood creatine phosphokinase increased</w:t>
      </w:r>
    </w:p>
    <w:p w14:paraId="35FCFC95" w14:textId="77777777" w:rsidR="002A240D" w:rsidRDefault="002A240D" w:rsidP="002606DF">
      <w:pPr>
        <w:widowControl w:val="0"/>
        <w:spacing w:line="300" w:lineRule="atLeast"/>
        <w:rPr>
          <w:lang w:val="en-GB"/>
        </w:rPr>
      </w:pPr>
    </w:p>
    <w:p w14:paraId="5553BCDA" w14:textId="57137D63" w:rsidR="00393D88" w:rsidRPr="00DE25E4" w:rsidRDefault="00E92A05" w:rsidP="004138C8">
      <w:pPr>
        <w:widowControl w:val="0"/>
        <w:spacing w:line="300" w:lineRule="atLeast"/>
        <w:jc w:val="both"/>
        <w:rPr>
          <w:lang w:val="en-GB"/>
        </w:rPr>
      </w:pPr>
      <w:r w:rsidRPr="00DE25E4">
        <w:rPr>
          <w:lang w:val="en-GB"/>
        </w:rPr>
        <w:t xml:space="preserve">In the single-arm, open-label trial in SAA, patients had bone marrow aspirates evaluated for cytogenetic abnormalities. </w:t>
      </w:r>
      <w:r w:rsidR="000541F9" w:rsidRPr="00DE25E4">
        <w:rPr>
          <w:lang w:val="en-GB"/>
        </w:rPr>
        <w:t>E</w:t>
      </w:r>
      <w:r w:rsidR="007A04E4" w:rsidRPr="00DE25E4">
        <w:rPr>
          <w:lang w:val="en-GB"/>
        </w:rPr>
        <w:t>ight</w:t>
      </w:r>
      <w:r w:rsidRPr="00DE25E4">
        <w:rPr>
          <w:lang w:val="en-GB"/>
        </w:rPr>
        <w:t xml:space="preserve"> patients had a new cytogenetic abnormality reported, including 5 patients who had changes in chromosome 7</w:t>
      </w:r>
      <w:r w:rsidR="00D8677D">
        <w:rPr>
          <w:lang w:val="en-GB"/>
        </w:rPr>
        <w:t xml:space="preserve"> (see PRECAUTIONS)</w:t>
      </w:r>
      <w:r w:rsidRPr="00DE25E4">
        <w:rPr>
          <w:lang w:val="en-GB"/>
        </w:rPr>
        <w:t>.</w:t>
      </w:r>
    </w:p>
    <w:p w14:paraId="5553BCDB" w14:textId="77777777" w:rsidR="00E92A05" w:rsidRPr="00DE25E4" w:rsidRDefault="00E92A05" w:rsidP="00E92A05">
      <w:pPr>
        <w:spacing w:line="300" w:lineRule="atLeast"/>
      </w:pPr>
    </w:p>
    <w:p w14:paraId="5553BCDC" w14:textId="77777777" w:rsidR="00DD77B2" w:rsidRPr="004553F8" w:rsidRDefault="00DD77B2" w:rsidP="004553F8">
      <w:pPr>
        <w:pStyle w:val="NoNumHead3"/>
        <w:rPr>
          <w:rFonts w:ascii="Times New Roman" w:hAnsi="Times New Roman"/>
          <w:u w:val="single"/>
        </w:rPr>
      </w:pPr>
      <w:r w:rsidRPr="004553F8">
        <w:rPr>
          <w:rFonts w:ascii="Times New Roman" w:hAnsi="Times New Roman"/>
          <w:u w:val="single"/>
        </w:rPr>
        <w:t>Post marketing data</w:t>
      </w:r>
    </w:p>
    <w:p w14:paraId="5553BCDD" w14:textId="77777777" w:rsidR="00640225" w:rsidRPr="004553F8" w:rsidRDefault="00640225" w:rsidP="00640225">
      <w:pPr>
        <w:jc w:val="both"/>
      </w:pPr>
      <w:r w:rsidRPr="004553F8">
        <w:t>The following adverse reactions have been reported during post-approval use of REVOLADE. These include spontaneous case reports as well as serious adverse events from registries, investigator sponsored studies, clinical pharmacology studies and exploratory studies in unapproved indications.</w:t>
      </w:r>
    </w:p>
    <w:p w14:paraId="5553BCDE" w14:textId="77777777" w:rsidR="00640225" w:rsidRPr="004553F8" w:rsidRDefault="00640225" w:rsidP="00640225">
      <w:pPr>
        <w:jc w:val="both"/>
      </w:pPr>
    </w:p>
    <w:p w14:paraId="5553BCDF" w14:textId="77777777" w:rsidR="00640225" w:rsidRPr="004553F8" w:rsidRDefault="00640225" w:rsidP="0021023A">
      <w:pPr>
        <w:keepNext/>
        <w:spacing w:after="120"/>
        <w:jc w:val="both"/>
        <w:rPr>
          <w:b/>
        </w:rPr>
      </w:pPr>
      <w:r w:rsidRPr="004553F8">
        <w:rPr>
          <w:b/>
        </w:rPr>
        <w:t>Vascular disorders</w:t>
      </w:r>
    </w:p>
    <w:p w14:paraId="5553BCE1" w14:textId="3F0B20AF" w:rsidR="00DD77B2" w:rsidRPr="004553F8" w:rsidRDefault="00640225" w:rsidP="006C4A20">
      <w:pPr>
        <w:autoSpaceDE w:val="0"/>
        <w:autoSpaceDN w:val="0"/>
        <w:adjustRightInd w:val="0"/>
        <w:rPr>
          <w:b/>
        </w:rPr>
      </w:pPr>
      <w:r w:rsidRPr="004553F8">
        <w:rPr>
          <w:i/>
        </w:rPr>
        <w:t>Rare</w:t>
      </w:r>
      <w:r w:rsidRPr="004553F8">
        <w:tab/>
      </w:r>
      <w:r w:rsidRPr="004553F8">
        <w:tab/>
        <w:t>Thrombotic microangiopathy with acute renal failure</w:t>
      </w:r>
      <w:r w:rsidR="00B43EF1">
        <w:t>.</w:t>
      </w:r>
    </w:p>
    <w:p w14:paraId="3282A9E3" w14:textId="3A52035A" w:rsidR="00F0067C" w:rsidRDefault="00F0067C">
      <w:pPr>
        <w:rPr>
          <w:rFonts w:eastAsiaTheme="minorHAnsi"/>
          <w:b/>
          <w:caps/>
          <w:sz w:val="30"/>
          <w:szCs w:val="20"/>
          <w:u w:val="single"/>
          <w:lang w:val="en-GB"/>
        </w:rPr>
      </w:pPr>
    </w:p>
    <w:p w14:paraId="5553BCE3" w14:textId="16A0D11B" w:rsidR="006C4A20" w:rsidRPr="004553F8" w:rsidRDefault="006C4A20" w:rsidP="006D75C7">
      <w:pPr>
        <w:pStyle w:val="Heading2"/>
        <w:spacing w:before="120" w:after="120" w:line="240" w:lineRule="auto"/>
        <w:jc w:val="left"/>
        <w:rPr>
          <w:rFonts w:eastAsiaTheme="minorHAnsi"/>
          <w:caps/>
          <w:sz w:val="30"/>
          <w:lang w:val="en-GB"/>
        </w:rPr>
      </w:pPr>
      <w:r w:rsidRPr="004553F8">
        <w:rPr>
          <w:rFonts w:eastAsiaTheme="minorHAnsi"/>
          <w:caps/>
          <w:sz w:val="30"/>
          <w:lang w:val="en-GB"/>
        </w:rPr>
        <w:lastRenderedPageBreak/>
        <w:t xml:space="preserve">DOSAGE </w:t>
      </w:r>
      <w:smartTag w:uri="urn:schemas-microsoft-com:office:smarttags" w:element="stockticker">
        <w:r w:rsidRPr="004553F8">
          <w:rPr>
            <w:rFonts w:eastAsiaTheme="minorHAnsi"/>
            <w:caps/>
            <w:sz w:val="30"/>
            <w:lang w:val="en-GB"/>
          </w:rPr>
          <w:t>AND</w:t>
        </w:r>
      </w:smartTag>
      <w:r w:rsidR="00913017" w:rsidRPr="004553F8">
        <w:rPr>
          <w:rFonts w:eastAsiaTheme="minorHAnsi"/>
          <w:caps/>
          <w:sz w:val="30"/>
          <w:lang w:val="en-GB"/>
        </w:rPr>
        <w:t xml:space="preserve"> ADMINISTRATION</w:t>
      </w:r>
    </w:p>
    <w:p w14:paraId="28F1B0F1" w14:textId="77777777" w:rsidR="00B43EF1" w:rsidRPr="00561258" w:rsidRDefault="00B43EF1" w:rsidP="00B43EF1">
      <w:pPr>
        <w:spacing w:after="120" w:line="300" w:lineRule="atLeast"/>
        <w:rPr>
          <w:b/>
          <w:u w:val="single"/>
          <w:lang w:val="en-GB"/>
        </w:rPr>
      </w:pPr>
      <w:r w:rsidRPr="00561258">
        <w:rPr>
          <w:b/>
          <w:u w:val="single"/>
          <w:lang w:val="en-GB"/>
        </w:rPr>
        <w:t>Dosage</w:t>
      </w:r>
    </w:p>
    <w:p w14:paraId="5553BCE6" w14:textId="588F752B" w:rsidR="00886762" w:rsidRPr="004553F8" w:rsidRDefault="00886762" w:rsidP="006D75C7">
      <w:pPr>
        <w:widowControl w:val="0"/>
        <w:spacing w:line="300" w:lineRule="atLeast"/>
        <w:jc w:val="both"/>
        <w:rPr>
          <w:lang w:val="en-US"/>
        </w:rPr>
      </w:pPr>
      <w:r w:rsidRPr="004553F8">
        <w:t>REVOLADE dosing regimens must be individualised based on the patient’s platelet counts</w:t>
      </w:r>
      <w:r w:rsidR="008C264E">
        <w:t xml:space="preserve">. </w:t>
      </w:r>
      <w:r w:rsidRPr="004553F8">
        <w:rPr>
          <w:lang w:val="en-US"/>
        </w:rPr>
        <w:t>In most patients, measurable elevations in platelet counts take 1-2 weeks (see</w:t>
      </w:r>
      <w:r w:rsidRPr="004553F8">
        <w:rPr>
          <w:i/>
          <w:lang w:val="en-US"/>
        </w:rPr>
        <w:t xml:space="preserve"> </w:t>
      </w:r>
      <w:r w:rsidR="008C630B" w:rsidRPr="008C630B">
        <w:rPr>
          <w:lang w:val="en-US" w:eastAsia="en-US"/>
        </w:rPr>
        <w:t>CLINICAL TRIALS</w:t>
      </w:r>
      <w:r w:rsidRPr="004553F8">
        <w:rPr>
          <w:lang w:val="en-US"/>
        </w:rPr>
        <w:t>).</w:t>
      </w:r>
    </w:p>
    <w:p w14:paraId="5553BCE7" w14:textId="7BAD10D5" w:rsidR="009F5C87" w:rsidRPr="004553F8" w:rsidRDefault="009F5C87" w:rsidP="004553F8">
      <w:pPr>
        <w:spacing w:line="300" w:lineRule="atLeast"/>
        <w:jc w:val="both"/>
        <w:rPr>
          <w:lang w:val="en-US"/>
        </w:rPr>
      </w:pPr>
    </w:p>
    <w:p w14:paraId="5553BCED" w14:textId="77777777" w:rsidR="00886762" w:rsidRPr="00561258" w:rsidRDefault="00886762" w:rsidP="006D75C7">
      <w:pPr>
        <w:widowControl w:val="0"/>
        <w:tabs>
          <w:tab w:val="left" w:pos="450"/>
        </w:tabs>
        <w:spacing w:after="120"/>
        <w:jc w:val="both"/>
        <w:rPr>
          <w:b/>
          <w:i/>
          <w:color w:val="000000"/>
          <w:u w:val="single"/>
        </w:rPr>
      </w:pPr>
      <w:r w:rsidRPr="00561258">
        <w:rPr>
          <w:b/>
          <w:i/>
          <w:color w:val="000000"/>
          <w:u w:val="single"/>
        </w:rPr>
        <w:t>Adults</w:t>
      </w:r>
    </w:p>
    <w:p w14:paraId="5553BCEE" w14:textId="77777777" w:rsidR="00273A19" w:rsidRPr="004553F8" w:rsidRDefault="00273A19" w:rsidP="004553F8">
      <w:pPr>
        <w:spacing w:after="120" w:line="300" w:lineRule="atLeast"/>
        <w:rPr>
          <w:b/>
        </w:rPr>
      </w:pPr>
      <w:r w:rsidRPr="004553F8">
        <w:rPr>
          <w:b/>
        </w:rPr>
        <w:t>Chronic immune (idiopathic) thrombocytopenia</w:t>
      </w:r>
    </w:p>
    <w:p w14:paraId="5553BCF0" w14:textId="76ABC1FE" w:rsidR="00026922" w:rsidRPr="004553F8" w:rsidRDefault="00026922" w:rsidP="007B1F1F">
      <w:pPr>
        <w:widowControl w:val="0"/>
        <w:spacing w:line="300" w:lineRule="atLeast"/>
        <w:jc w:val="both"/>
        <w:rPr>
          <w:rStyle w:val="CSI"/>
        </w:rPr>
      </w:pPr>
      <w:r w:rsidRPr="004553F8">
        <w:t xml:space="preserve">Use the lowest dose of </w:t>
      </w:r>
      <w:r w:rsidR="00EF71EB" w:rsidRPr="004553F8">
        <w:t>REVOLADE</w:t>
      </w:r>
      <w:r w:rsidRPr="004553F8">
        <w:t xml:space="preserve"> to achieve and maintain a platelet count </w:t>
      </w:r>
      <w:r w:rsidRPr="004553F8">
        <w:sym w:font="Symbol" w:char="F0B3"/>
      </w:r>
      <w:r w:rsidRPr="004553F8">
        <w:t> 50</w:t>
      </w:r>
      <w:r w:rsidR="00286D5B">
        <w:t xml:space="preserve"> x 10</w:t>
      </w:r>
      <w:r w:rsidR="00286D5B" w:rsidRPr="00286D5B">
        <w:rPr>
          <w:vertAlign w:val="superscript"/>
        </w:rPr>
        <w:t>9</w:t>
      </w:r>
      <w:r w:rsidRPr="004553F8">
        <w:t>/</w:t>
      </w:r>
      <w:r w:rsidR="00C00462">
        <w:t>L</w:t>
      </w:r>
      <w:r w:rsidRPr="004553F8">
        <w:t xml:space="preserve"> as necessary to reduce the risk for bleeding. </w:t>
      </w:r>
      <w:r w:rsidR="00EF71EB" w:rsidRPr="004553F8">
        <w:t xml:space="preserve"> </w:t>
      </w:r>
      <w:r w:rsidRPr="004553F8">
        <w:t xml:space="preserve">Dose adjustments are based upon the platelet count response. Do not use </w:t>
      </w:r>
      <w:r w:rsidR="00EF71EB" w:rsidRPr="004553F8">
        <w:t>REVOLADE</w:t>
      </w:r>
      <w:r w:rsidRPr="004553F8">
        <w:t xml:space="preserve"> in an attempt to normalise platelet counts</w:t>
      </w:r>
      <w:r w:rsidRPr="004553F8">
        <w:rPr>
          <w:i/>
        </w:rPr>
        <w:t>.</w:t>
      </w:r>
      <w:r w:rsidRPr="004553F8">
        <w:t xml:space="preserve"> In clinical studies, platelet counts generally increased within 1 to 2 weeks after starting </w:t>
      </w:r>
      <w:r w:rsidR="00EF71EB" w:rsidRPr="004553F8">
        <w:t>REVOLADE</w:t>
      </w:r>
      <w:r w:rsidRPr="004553F8">
        <w:t xml:space="preserve"> and decreased within 1 to 2 weeks after discontinuation.</w:t>
      </w:r>
    </w:p>
    <w:p w14:paraId="5553BCF1" w14:textId="77777777" w:rsidR="004F1C13" w:rsidRPr="00DE25E4" w:rsidRDefault="004F1C13" w:rsidP="00F004CB">
      <w:pPr>
        <w:spacing w:line="300" w:lineRule="atLeast"/>
        <w:rPr>
          <w:i/>
        </w:rPr>
      </w:pPr>
    </w:p>
    <w:p w14:paraId="5553BCF2" w14:textId="77777777" w:rsidR="004F1C13" w:rsidRPr="004553F8" w:rsidRDefault="004F1C13" w:rsidP="004553F8">
      <w:pPr>
        <w:spacing w:after="120" w:line="300" w:lineRule="atLeast"/>
        <w:rPr>
          <w:u w:val="single"/>
        </w:rPr>
      </w:pPr>
      <w:r w:rsidRPr="004553F8">
        <w:rPr>
          <w:u w:val="single"/>
        </w:rPr>
        <w:t>Initial Dose Regimen</w:t>
      </w:r>
    </w:p>
    <w:p w14:paraId="5553BCF5" w14:textId="67A26D6E" w:rsidR="00273A19" w:rsidRDefault="00886762" w:rsidP="006A7714">
      <w:pPr>
        <w:keepNext/>
        <w:spacing w:line="300" w:lineRule="atLeast"/>
        <w:jc w:val="both"/>
      </w:pPr>
      <w:r w:rsidRPr="004553F8">
        <w:t xml:space="preserve">The recommended starting dose of REVOLADE is 50 mg once daily.  </w:t>
      </w:r>
      <w:r w:rsidR="00BB7636" w:rsidRPr="006A7714">
        <w:t xml:space="preserve">For patients of East Asian ancestry (e.g. Chinese Japanese, Taiwanese, Korean or Thai), REVOLADE should be initiated at a reduced dose of 25 mg once daily (see </w:t>
      </w:r>
      <w:r w:rsidR="006A7714" w:rsidRPr="006A7714">
        <w:t>PHARMACOLOGY</w:t>
      </w:r>
      <w:r w:rsidR="006A7714">
        <w:t xml:space="preserve"> - </w:t>
      </w:r>
      <w:r w:rsidR="00BB7636" w:rsidRPr="006A7714">
        <w:t xml:space="preserve">Special </w:t>
      </w:r>
      <w:r w:rsidR="005F104C" w:rsidRPr="006A7714">
        <w:t>Patient P</w:t>
      </w:r>
      <w:r w:rsidR="00BB7636" w:rsidRPr="006A7714">
        <w:t>opulations).</w:t>
      </w:r>
    </w:p>
    <w:p w14:paraId="5A4B01CA" w14:textId="77777777" w:rsidR="006A7714" w:rsidRPr="004553F8" w:rsidRDefault="006A7714" w:rsidP="006A7714">
      <w:pPr>
        <w:keepNext/>
        <w:spacing w:line="300" w:lineRule="atLeast"/>
        <w:jc w:val="both"/>
      </w:pPr>
    </w:p>
    <w:p w14:paraId="5553BCF6" w14:textId="77777777" w:rsidR="00B81DFB" w:rsidRPr="004553F8" w:rsidRDefault="00B81DFB" w:rsidP="004553F8">
      <w:pPr>
        <w:spacing w:after="120" w:line="300" w:lineRule="atLeast"/>
        <w:rPr>
          <w:u w:val="single"/>
        </w:rPr>
      </w:pPr>
      <w:r w:rsidRPr="004553F8">
        <w:rPr>
          <w:u w:val="single"/>
        </w:rPr>
        <w:t>Monitoring and dose adjustment</w:t>
      </w:r>
    </w:p>
    <w:p w14:paraId="5553BCF7" w14:textId="13AE4E7C" w:rsidR="00B81DFB" w:rsidRPr="00DE25E4" w:rsidRDefault="00B81DFB" w:rsidP="00B81DFB">
      <w:pPr>
        <w:spacing w:line="300" w:lineRule="atLeast"/>
        <w:jc w:val="both"/>
        <w:rPr>
          <w:rStyle w:val="CSIchar"/>
        </w:rPr>
      </w:pPr>
      <w:r w:rsidRPr="004553F8">
        <w:rPr>
          <w:rStyle w:val="CSIchar"/>
          <w:shd w:val="clear" w:color="auto" w:fill="auto"/>
        </w:rPr>
        <w:t xml:space="preserve">After initiating </w:t>
      </w:r>
      <w:r w:rsidR="00C3518B" w:rsidRPr="004553F8">
        <w:rPr>
          <w:rStyle w:val="CSIchar"/>
          <w:shd w:val="clear" w:color="auto" w:fill="auto"/>
        </w:rPr>
        <w:t>REVOLADE</w:t>
      </w:r>
      <w:r w:rsidRPr="004553F8">
        <w:rPr>
          <w:rStyle w:val="CSIchar"/>
          <w:shd w:val="clear" w:color="auto" w:fill="auto"/>
        </w:rPr>
        <w:t>, adjust the dose to achieve and maintain a platelet count ≥ 50</w:t>
      </w:r>
      <w:r w:rsidR="006A7714">
        <w:rPr>
          <w:rStyle w:val="CSIchar"/>
          <w:shd w:val="clear" w:color="auto" w:fill="auto"/>
        </w:rPr>
        <w:t xml:space="preserve"> x 10</w:t>
      </w:r>
      <w:r w:rsidR="006A7714" w:rsidRPr="00D21376">
        <w:rPr>
          <w:rStyle w:val="CSIchar"/>
          <w:shd w:val="clear" w:color="auto" w:fill="auto"/>
          <w:vertAlign w:val="superscript"/>
        </w:rPr>
        <w:t>9</w:t>
      </w:r>
      <w:r w:rsidRPr="004553F8">
        <w:rPr>
          <w:rStyle w:val="CSIchar"/>
          <w:shd w:val="clear" w:color="auto" w:fill="auto"/>
        </w:rPr>
        <w:t>/</w:t>
      </w:r>
      <w:r w:rsidR="00C00462">
        <w:rPr>
          <w:rStyle w:val="CSIchar"/>
          <w:shd w:val="clear" w:color="auto" w:fill="auto"/>
        </w:rPr>
        <w:t>L</w:t>
      </w:r>
      <w:r w:rsidRPr="004553F8">
        <w:rPr>
          <w:rStyle w:val="CSIchar"/>
          <w:shd w:val="clear" w:color="auto" w:fill="auto"/>
        </w:rPr>
        <w:t xml:space="preserve"> as necessary to reduce the risk for bleeding</w:t>
      </w:r>
      <w:r w:rsidR="00C3518B" w:rsidRPr="004553F8">
        <w:rPr>
          <w:rStyle w:val="CSIchar"/>
          <w:shd w:val="clear" w:color="auto" w:fill="auto"/>
        </w:rPr>
        <w:t xml:space="preserve"> (see Table </w:t>
      </w:r>
      <w:r w:rsidR="004138C8">
        <w:rPr>
          <w:rStyle w:val="CSIchar"/>
          <w:shd w:val="clear" w:color="auto" w:fill="auto"/>
        </w:rPr>
        <w:t>9</w:t>
      </w:r>
      <w:r w:rsidR="00C3518B" w:rsidRPr="004553F8">
        <w:rPr>
          <w:rStyle w:val="CSIchar"/>
          <w:shd w:val="clear" w:color="auto" w:fill="auto"/>
        </w:rPr>
        <w:t>)</w:t>
      </w:r>
      <w:r w:rsidRPr="004553F8">
        <w:rPr>
          <w:rStyle w:val="CSIchar"/>
          <w:shd w:val="clear" w:color="auto" w:fill="auto"/>
        </w:rPr>
        <w:t xml:space="preserve">. </w:t>
      </w:r>
      <w:r w:rsidR="00C3518B" w:rsidRPr="004553F8">
        <w:rPr>
          <w:rStyle w:val="CSIchar"/>
          <w:shd w:val="clear" w:color="auto" w:fill="auto"/>
        </w:rPr>
        <w:t xml:space="preserve"> </w:t>
      </w:r>
      <w:r w:rsidRPr="004553F8">
        <w:rPr>
          <w:rStyle w:val="CSIchar"/>
          <w:shd w:val="clear" w:color="auto" w:fill="auto"/>
        </w:rPr>
        <w:t xml:space="preserve">Do not exceed a dose of 75 mg </w:t>
      </w:r>
      <w:r w:rsidRPr="00DE25E4">
        <w:rPr>
          <w:rStyle w:val="CSIchar"/>
          <w:shd w:val="clear" w:color="auto" w:fill="auto"/>
        </w:rPr>
        <w:t>daily.</w:t>
      </w:r>
    </w:p>
    <w:p w14:paraId="5553BCF8" w14:textId="77777777" w:rsidR="00B81DFB" w:rsidRPr="00DE25E4" w:rsidRDefault="00B81DFB" w:rsidP="00B81DFB">
      <w:pPr>
        <w:spacing w:line="300" w:lineRule="atLeast"/>
        <w:jc w:val="both"/>
        <w:rPr>
          <w:rStyle w:val="CSIchar"/>
          <w:b/>
          <w:i/>
        </w:rPr>
      </w:pPr>
    </w:p>
    <w:p w14:paraId="5553BCF9" w14:textId="2105B05C" w:rsidR="00B81DFB" w:rsidRPr="00DE25E4" w:rsidRDefault="00B81DFB" w:rsidP="00B81DFB">
      <w:pPr>
        <w:spacing w:line="300" w:lineRule="atLeast"/>
        <w:jc w:val="both"/>
        <w:rPr>
          <w:rStyle w:val="CSIchar"/>
        </w:rPr>
      </w:pPr>
      <w:r w:rsidRPr="004553F8">
        <w:rPr>
          <w:rStyle w:val="CSIchar"/>
          <w:shd w:val="clear" w:color="auto" w:fill="auto"/>
        </w:rPr>
        <w:t xml:space="preserve">Clinical haematology and liver function tests should be monitored regularly throughout therapy with </w:t>
      </w:r>
      <w:r w:rsidR="00C3518B" w:rsidRPr="004553F8">
        <w:rPr>
          <w:rStyle w:val="CSIchar"/>
          <w:shd w:val="clear" w:color="auto" w:fill="auto"/>
        </w:rPr>
        <w:t>REVOLADE</w:t>
      </w:r>
      <w:r w:rsidRPr="004553F8">
        <w:rPr>
          <w:rStyle w:val="CSIchar"/>
          <w:shd w:val="clear" w:color="auto" w:fill="auto"/>
        </w:rPr>
        <w:t xml:space="preserve"> and the dose of </w:t>
      </w:r>
      <w:r w:rsidR="00C3518B" w:rsidRPr="004553F8">
        <w:rPr>
          <w:rStyle w:val="CSIchar"/>
          <w:shd w:val="clear" w:color="auto" w:fill="auto"/>
        </w:rPr>
        <w:t>REVOLADE</w:t>
      </w:r>
      <w:r w:rsidRPr="004553F8">
        <w:rPr>
          <w:rStyle w:val="CSIchar"/>
          <w:shd w:val="clear" w:color="auto" w:fill="auto"/>
        </w:rPr>
        <w:t xml:space="preserve"> modified based on platelet counts as outlined in Table </w:t>
      </w:r>
      <w:r w:rsidR="00E10A80">
        <w:rPr>
          <w:rStyle w:val="CSIchar"/>
          <w:shd w:val="clear" w:color="auto" w:fill="auto"/>
        </w:rPr>
        <w:t>9</w:t>
      </w:r>
      <w:r w:rsidRPr="004553F8">
        <w:rPr>
          <w:rStyle w:val="CSIchar"/>
          <w:shd w:val="clear" w:color="auto" w:fill="auto"/>
        </w:rPr>
        <w:t xml:space="preserve">. </w:t>
      </w:r>
      <w:r w:rsidR="00C3518B" w:rsidRPr="004553F8">
        <w:rPr>
          <w:rStyle w:val="CSIchar"/>
          <w:shd w:val="clear" w:color="auto" w:fill="auto"/>
        </w:rPr>
        <w:t xml:space="preserve"> </w:t>
      </w:r>
      <w:r w:rsidRPr="004553F8">
        <w:rPr>
          <w:rStyle w:val="CSIchar"/>
          <w:shd w:val="clear" w:color="auto" w:fill="auto"/>
        </w:rPr>
        <w:t xml:space="preserve">During therapy with </w:t>
      </w:r>
      <w:r w:rsidR="00C3518B" w:rsidRPr="004553F8">
        <w:rPr>
          <w:rStyle w:val="CSIchar"/>
          <w:shd w:val="clear" w:color="auto" w:fill="auto"/>
        </w:rPr>
        <w:t>REVOLADE</w:t>
      </w:r>
      <w:r w:rsidR="004722A7">
        <w:rPr>
          <w:rStyle w:val="CSIchar"/>
          <w:shd w:val="clear" w:color="auto" w:fill="auto"/>
        </w:rPr>
        <w:t>,</w:t>
      </w:r>
      <w:r w:rsidRPr="004553F8">
        <w:rPr>
          <w:rStyle w:val="CSIchar"/>
          <w:shd w:val="clear" w:color="auto" w:fill="auto"/>
        </w:rPr>
        <w:t xml:space="preserve"> </w:t>
      </w:r>
      <w:r w:rsidR="00453C48" w:rsidRPr="00DE25E4">
        <w:rPr>
          <w:rStyle w:val="CSIchar"/>
          <w:shd w:val="clear" w:color="auto" w:fill="auto"/>
        </w:rPr>
        <w:t>full</w:t>
      </w:r>
      <w:r w:rsidR="00453C48" w:rsidRPr="004553F8">
        <w:rPr>
          <w:rStyle w:val="CSIchar"/>
          <w:shd w:val="clear" w:color="auto" w:fill="auto"/>
        </w:rPr>
        <w:t xml:space="preserve"> </w:t>
      </w:r>
      <w:r w:rsidRPr="004553F8">
        <w:rPr>
          <w:rStyle w:val="CSIchar"/>
          <w:shd w:val="clear" w:color="auto" w:fill="auto"/>
        </w:rPr>
        <w:t>blood counts (</w:t>
      </w:r>
      <w:r w:rsidR="00453C48" w:rsidRPr="00DE25E4">
        <w:rPr>
          <w:rStyle w:val="CSIchar"/>
          <w:shd w:val="clear" w:color="auto" w:fill="auto"/>
        </w:rPr>
        <w:t>F</w:t>
      </w:r>
      <w:r w:rsidRPr="00DE25E4">
        <w:rPr>
          <w:rStyle w:val="CSIchar"/>
          <w:shd w:val="clear" w:color="auto" w:fill="auto"/>
        </w:rPr>
        <w:t>BCs</w:t>
      </w:r>
      <w:r w:rsidRPr="004553F8">
        <w:rPr>
          <w:rStyle w:val="CSIchar"/>
          <w:shd w:val="clear" w:color="auto" w:fill="auto"/>
        </w:rPr>
        <w:t>), including platelet count and peripheral blood smears, should be assessed weekly until a stable platelet count (≥ 50</w:t>
      </w:r>
      <w:r w:rsidR="004722A7">
        <w:rPr>
          <w:rStyle w:val="CSIchar"/>
          <w:shd w:val="clear" w:color="auto" w:fill="auto"/>
        </w:rPr>
        <w:t xml:space="preserve"> x 10</w:t>
      </w:r>
      <w:r w:rsidR="004722A7" w:rsidRPr="004722A7">
        <w:rPr>
          <w:rStyle w:val="CSIchar"/>
          <w:shd w:val="clear" w:color="auto" w:fill="auto"/>
          <w:vertAlign w:val="superscript"/>
        </w:rPr>
        <w:t>9</w:t>
      </w:r>
      <w:r w:rsidRPr="004553F8">
        <w:rPr>
          <w:rStyle w:val="CSIchar"/>
          <w:shd w:val="clear" w:color="auto" w:fill="auto"/>
        </w:rPr>
        <w:t>/</w:t>
      </w:r>
      <w:r w:rsidR="00C00462">
        <w:rPr>
          <w:rStyle w:val="CSIchar"/>
          <w:shd w:val="clear" w:color="auto" w:fill="auto"/>
        </w:rPr>
        <w:t>L</w:t>
      </w:r>
      <w:r w:rsidRPr="004553F8">
        <w:rPr>
          <w:rStyle w:val="CSIchar"/>
          <w:shd w:val="clear" w:color="auto" w:fill="auto"/>
        </w:rPr>
        <w:t xml:space="preserve"> for at least 4 weeks) has been achieved. </w:t>
      </w:r>
      <w:r w:rsidR="00C3518B" w:rsidRPr="004553F8">
        <w:rPr>
          <w:rStyle w:val="CSIchar"/>
          <w:shd w:val="clear" w:color="auto" w:fill="auto"/>
        </w:rPr>
        <w:t xml:space="preserve"> </w:t>
      </w:r>
      <w:r w:rsidR="00453C48" w:rsidRPr="00DE25E4">
        <w:rPr>
          <w:rStyle w:val="CSIchar"/>
          <w:shd w:val="clear" w:color="auto" w:fill="auto"/>
        </w:rPr>
        <w:t>F</w:t>
      </w:r>
      <w:r w:rsidRPr="00DE25E4">
        <w:rPr>
          <w:rStyle w:val="CSIchar"/>
          <w:shd w:val="clear" w:color="auto" w:fill="auto"/>
        </w:rPr>
        <w:t>BCs</w:t>
      </w:r>
      <w:r w:rsidRPr="004553F8">
        <w:rPr>
          <w:rStyle w:val="CSIchar"/>
          <w:shd w:val="clear" w:color="auto" w:fill="auto"/>
        </w:rPr>
        <w:t xml:space="preserve"> including platelet count</w:t>
      </w:r>
      <w:r w:rsidR="000F409A" w:rsidRPr="004553F8">
        <w:rPr>
          <w:rStyle w:val="CSIchar"/>
          <w:shd w:val="clear" w:color="auto" w:fill="auto"/>
        </w:rPr>
        <w:t xml:space="preserve"> </w:t>
      </w:r>
      <w:r w:rsidRPr="004553F8">
        <w:rPr>
          <w:rStyle w:val="CSIchar"/>
          <w:shd w:val="clear" w:color="auto" w:fill="auto"/>
        </w:rPr>
        <w:t>and peripheral blood smears should be obtained monthly thereafter.</w:t>
      </w:r>
    </w:p>
    <w:p w14:paraId="5553BCFA" w14:textId="77777777" w:rsidR="00B81DFB" w:rsidRPr="004553F8" w:rsidRDefault="00B81DFB" w:rsidP="004553F8">
      <w:pPr>
        <w:spacing w:line="300" w:lineRule="atLeast"/>
        <w:jc w:val="both"/>
        <w:rPr>
          <w:rStyle w:val="CSIchar"/>
          <w:b/>
          <w:i/>
        </w:rPr>
      </w:pPr>
    </w:p>
    <w:p w14:paraId="08575C25" w14:textId="0A61584C" w:rsidR="00531F76" w:rsidRPr="00531F76" w:rsidRDefault="00531F76" w:rsidP="00531F76">
      <w:pPr>
        <w:widowControl w:val="0"/>
        <w:jc w:val="both"/>
        <w:rPr>
          <w:rStyle w:val="CSIchar"/>
          <w:sz w:val="16"/>
          <w:szCs w:val="16"/>
          <w:shd w:val="clear" w:color="auto" w:fill="auto"/>
        </w:rPr>
      </w:pPr>
    </w:p>
    <w:p w14:paraId="2F30C4CA" w14:textId="7FAB2567" w:rsidR="00531F76" w:rsidRPr="00FB3E6F" w:rsidRDefault="00531F76" w:rsidP="00531F76">
      <w:pPr>
        <w:keepNext/>
        <w:rPr>
          <w:rFonts w:ascii="Arial" w:hAnsi="Arial" w:cs="Arial"/>
          <w:b/>
        </w:rPr>
      </w:pPr>
      <w:r w:rsidRPr="00FB3E6F">
        <w:rPr>
          <w:rFonts w:ascii="Arial" w:hAnsi="Arial" w:cs="Arial"/>
          <w:b/>
        </w:rPr>
        <w:lastRenderedPageBreak/>
        <w:t>Table</w:t>
      </w:r>
      <w:r w:rsidR="0081067D">
        <w:rPr>
          <w:rFonts w:ascii="Arial" w:hAnsi="Arial" w:cs="Arial"/>
          <w:b/>
        </w:rPr>
        <w:t xml:space="preserve"> </w:t>
      </w:r>
      <w:r w:rsidR="00221997">
        <w:rPr>
          <w:rFonts w:ascii="Arial" w:hAnsi="Arial" w:cs="Arial"/>
          <w:b/>
        </w:rPr>
        <w:t>9</w:t>
      </w:r>
      <w:r w:rsidRPr="00FB3E6F">
        <w:rPr>
          <w:rFonts w:ascii="Arial" w:hAnsi="Arial" w:cs="Arial"/>
          <w:b/>
        </w:rPr>
        <w:tab/>
        <w:t>Dose adjustments for REVOLADE in ITP patients</w:t>
      </w:r>
    </w:p>
    <w:tbl>
      <w:tblPr>
        <w:tblW w:w="9904" w:type="dxa"/>
        <w:tblLook w:val="01E0" w:firstRow="1" w:lastRow="1" w:firstColumn="1" w:lastColumn="1" w:noHBand="0" w:noVBand="0"/>
      </w:tblPr>
      <w:tblGrid>
        <w:gridCol w:w="3681"/>
        <w:gridCol w:w="6223"/>
      </w:tblGrid>
      <w:tr w:rsidR="00531F76" w:rsidRPr="00561258" w14:paraId="4DBFB07C" w14:textId="77777777" w:rsidTr="00FC3E4E">
        <w:trPr>
          <w:tblHeader/>
        </w:trPr>
        <w:tc>
          <w:tcPr>
            <w:tcW w:w="3681" w:type="dxa"/>
            <w:tcBorders>
              <w:top w:val="single" w:sz="4" w:space="0" w:color="auto"/>
              <w:bottom w:val="single" w:sz="4" w:space="0" w:color="auto"/>
            </w:tcBorders>
            <w:shd w:val="clear" w:color="auto" w:fill="auto"/>
          </w:tcPr>
          <w:p w14:paraId="7CFA3745" w14:textId="77777777" w:rsidR="00531F76" w:rsidRPr="00561258" w:rsidRDefault="00531F76" w:rsidP="00FC3E4E">
            <w:pPr>
              <w:keepNext/>
              <w:spacing w:before="120" w:after="120" w:line="300" w:lineRule="atLeast"/>
              <w:jc w:val="center"/>
              <w:rPr>
                <w:rFonts w:ascii="Arial" w:hAnsi="Arial" w:cs="Arial"/>
                <w:b/>
                <w:sz w:val="22"/>
                <w:szCs w:val="22"/>
                <w:shd w:val="clear" w:color="auto" w:fill="FFFFFF"/>
              </w:rPr>
            </w:pPr>
            <w:r w:rsidRPr="00561258">
              <w:rPr>
                <w:rFonts w:ascii="Arial" w:hAnsi="Arial" w:cs="Arial"/>
                <w:b/>
                <w:sz w:val="22"/>
                <w:szCs w:val="22"/>
                <w:shd w:val="clear" w:color="auto" w:fill="FFFFFF"/>
              </w:rPr>
              <w:t>Platelet count</w:t>
            </w:r>
          </w:p>
        </w:tc>
        <w:tc>
          <w:tcPr>
            <w:tcW w:w="6223" w:type="dxa"/>
            <w:tcBorders>
              <w:top w:val="single" w:sz="4" w:space="0" w:color="auto"/>
              <w:bottom w:val="single" w:sz="4" w:space="0" w:color="auto"/>
            </w:tcBorders>
            <w:shd w:val="clear" w:color="auto" w:fill="auto"/>
          </w:tcPr>
          <w:p w14:paraId="2627539F" w14:textId="77777777" w:rsidR="00531F76" w:rsidRPr="00561258" w:rsidRDefault="00531F76" w:rsidP="00FC3E4E">
            <w:pPr>
              <w:keepNext/>
              <w:spacing w:before="120" w:after="120" w:line="300" w:lineRule="atLeast"/>
              <w:jc w:val="center"/>
              <w:rPr>
                <w:rFonts w:ascii="Arial" w:hAnsi="Arial" w:cs="Arial"/>
                <w:b/>
                <w:sz w:val="22"/>
                <w:szCs w:val="22"/>
                <w:shd w:val="clear" w:color="auto" w:fill="FFFFFF"/>
              </w:rPr>
            </w:pPr>
            <w:r w:rsidRPr="00561258">
              <w:rPr>
                <w:rFonts w:ascii="Arial" w:hAnsi="Arial" w:cs="Arial"/>
                <w:b/>
                <w:sz w:val="22"/>
                <w:szCs w:val="22"/>
                <w:shd w:val="clear" w:color="auto" w:fill="FFFFFF"/>
              </w:rPr>
              <w:t>Dose adjustment or response</w:t>
            </w:r>
          </w:p>
        </w:tc>
      </w:tr>
      <w:tr w:rsidR="00531F76" w:rsidRPr="00900738" w14:paraId="7643B0DF" w14:textId="77777777" w:rsidTr="00FC3E4E">
        <w:tc>
          <w:tcPr>
            <w:tcW w:w="3681" w:type="dxa"/>
            <w:tcBorders>
              <w:top w:val="single" w:sz="4" w:space="0" w:color="auto"/>
            </w:tcBorders>
            <w:shd w:val="clear" w:color="auto" w:fill="auto"/>
          </w:tcPr>
          <w:p w14:paraId="4DE267F4"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&lt; 50</w:t>
            </w:r>
            <w:r>
              <w:rPr>
                <w:rStyle w:val="CSIchar"/>
                <w:rFonts w:ascii="Arial" w:hAnsi="Arial" w:cs="Arial"/>
                <w:sz w:val="22"/>
                <w:szCs w:val="22"/>
                <w:shd w:val="clear" w:color="auto" w:fill="FFFFFF"/>
              </w:rPr>
              <w:t xml:space="preserve"> x 10</w:t>
            </w:r>
            <w:r w:rsidRPr="00561258">
              <w:rPr>
                <w:rStyle w:val="CSIchar"/>
                <w:rFonts w:ascii="Arial" w:hAnsi="Arial" w:cs="Arial"/>
                <w:sz w:val="22"/>
                <w:szCs w:val="22"/>
                <w:shd w:val="clear" w:color="auto" w:fill="FFFFFF"/>
                <w:vertAlign w:val="superscript"/>
              </w:rPr>
              <w:t>9</w:t>
            </w:r>
            <w:r w:rsidRPr="00900738">
              <w:rPr>
                <w:rStyle w:val="CSIchar"/>
                <w:rFonts w:ascii="Arial" w:hAnsi="Arial" w:cs="Arial"/>
                <w:sz w:val="22"/>
                <w:szCs w:val="22"/>
                <w:shd w:val="clear" w:color="auto" w:fill="FFFFFF"/>
              </w:rPr>
              <w:t>/</w:t>
            </w:r>
            <w:r>
              <w:rPr>
                <w:rStyle w:val="CSIchar"/>
                <w:rFonts w:ascii="Arial" w:hAnsi="Arial" w:cs="Arial"/>
                <w:sz w:val="22"/>
                <w:szCs w:val="22"/>
                <w:shd w:val="clear" w:color="auto" w:fill="FFFFFF"/>
              </w:rPr>
              <w:t>L</w:t>
            </w:r>
            <w:r w:rsidRPr="00900738">
              <w:rPr>
                <w:rStyle w:val="CSIchar"/>
                <w:rFonts w:ascii="Arial" w:hAnsi="Arial" w:cs="Arial"/>
                <w:sz w:val="22"/>
                <w:szCs w:val="22"/>
                <w:shd w:val="clear" w:color="auto" w:fill="FFFFFF"/>
              </w:rPr>
              <w:t xml:space="preserve"> following at least 2 weeks of therapy</w:t>
            </w:r>
          </w:p>
        </w:tc>
        <w:tc>
          <w:tcPr>
            <w:tcW w:w="6223" w:type="dxa"/>
            <w:tcBorders>
              <w:top w:val="single" w:sz="4" w:space="0" w:color="auto"/>
            </w:tcBorders>
            <w:shd w:val="clear" w:color="auto" w:fill="auto"/>
          </w:tcPr>
          <w:p w14:paraId="01BACC7E"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Increase daily dose by 25 mg to a maximum of 75 mg/day</w:t>
            </w:r>
            <w:r>
              <w:rPr>
                <w:rStyle w:val="CSIchar"/>
                <w:rFonts w:ascii="Arial" w:hAnsi="Arial" w:cs="Arial"/>
                <w:sz w:val="22"/>
                <w:szCs w:val="22"/>
                <w:shd w:val="clear" w:color="auto" w:fill="FFFFFF"/>
              </w:rPr>
              <w:t>**</w:t>
            </w:r>
            <w:r w:rsidRPr="00900738">
              <w:rPr>
                <w:rStyle w:val="CSIchar"/>
                <w:rFonts w:ascii="Arial" w:hAnsi="Arial" w:cs="Arial"/>
                <w:sz w:val="22"/>
                <w:szCs w:val="22"/>
                <w:shd w:val="clear" w:color="auto" w:fill="FFFFFF"/>
              </w:rPr>
              <w:t>.</w:t>
            </w:r>
          </w:p>
        </w:tc>
      </w:tr>
      <w:tr w:rsidR="00531F76" w:rsidRPr="00900738" w14:paraId="12AE9923" w14:textId="77777777" w:rsidTr="00FC3E4E">
        <w:tc>
          <w:tcPr>
            <w:tcW w:w="3681" w:type="dxa"/>
            <w:shd w:val="clear" w:color="auto" w:fill="auto"/>
          </w:tcPr>
          <w:p w14:paraId="1DE55693"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 200</w:t>
            </w:r>
            <w:r>
              <w:rPr>
                <w:rStyle w:val="CSIchar"/>
                <w:rFonts w:ascii="Arial" w:hAnsi="Arial" w:cs="Arial"/>
                <w:sz w:val="22"/>
                <w:szCs w:val="22"/>
                <w:shd w:val="clear" w:color="auto" w:fill="FFFFFF"/>
              </w:rPr>
              <w:t xml:space="preserve"> x 10</w:t>
            </w:r>
            <w:r w:rsidRPr="00561258">
              <w:rPr>
                <w:rStyle w:val="CSIchar"/>
                <w:rFonts w:ascii="Arial" w:hAnsi="Arial" w:cs="Arial"/>
                <w:sz w:val="22"/>
                <w:szCs w:val="22"/>
                <w:shd w:val="clear" w:color="auto" w:fill="FFFFFF"/>
                <w:vertAlign w:val="superscript"/>
              </w:rPr>
              <w:t>9</w:t>
            </w:r>
            <w:r w:rsidRPr="00900738">
              <w:rPr>
                <w:rStyle w:val="CSIchar"/>
                <w:rFonts w:ascii="Arial" w:hAnsi="Arial" w:cs="Arial"/>
                <w:sz w:val="22"/>
                <w:szCs w:val="22"/>
                <w:shd w:val="clear" w:color="auto" w:fill="FFFFFF"/>
              </w:rPr>
              <w:t>/</w:t>
            </w:r>
            <w:r>
              <w:rPr>
                <w:rStyle w:val="CSIchar"/>
                <w:rFonts w:ascii="Arial" w:hAnsi="Arial" w:cs="Arial"/>
                <w:sz w:val="22"/>
                <w:szCs w:val="22"/>
                <w:shd w:val="clear" w:color="auto" w:fill="FFFFFF"/>
              </w:rPr>
              <w:t>L</w:t>
            </w:r>
            <w:r w:rsidRPr="00900738">
              <w:rPr>
                <w:rStyle w:val="CSIchar"/>
                <w:rFonts w:ascii="Arial" w:hAnsi="Arial" w:cs="Arial"/>
                <w:sz w:val="22"/>
                <w:szCs w:val="22"/>
                <w:shd w:val="clear" w:color="auto" w:fill="FFFFFF"/>
              </w:rPr>
              <w:t xml:space="preserve"> to </w:t>
            </w:r>
            <w:r w:rsidRPr="00900738">
              <w:rPr>
                <w:rStyle w:val="CSIchar"/>
                <w:rFonts w:ascii="Arial" w:hAnsi="Arial" w:cs="Arial"/>
                <w:sz w:val="22"/>
                <w:szCs w:val="22"/>
                <w:shd w:val="clear" w:color="auto" w:fill="FFFFFF"/>
              </w:rPr>
              <w:sym w:font="Symbol" w:char="F0A3"/>
            </w:r>
            <w:r w:rsidRPr="00900738">
              <w:rPr>
                <w:rStyle w:val="CSIchar"/>
                <w:rFonts w:ascii="Arial" w:hAnsi="Arial" w:cs="Arial"/>
                <w:sz w:val="22"/>
                <w:szCs w:val="22"/>
                <w:shd w:val="clear" w:color="auto" w:fill="FFFFFF"/>
              </w:rPr>
              <w:t> 400</w:t>
            </w:r>
            <w:r>
              <w:rPr>
                <w:rStyle w:val="CSIchar"/>
                <w:rFonts w:ascii="Arial" w:hAnsi="Arial" w:cs="Arial"/>
                <w:sz w:val="22"/>
                <w:szCs w:val="22"/>
                <w:shd w:val="clear" w:color="auto" w:fill="FFFFFF"/>
              </w:rPr>
              <w:t xml:space="preserve"> x 10</w:t>
            </w:r>
            <w:r w:rsidRPr="00561258">
              <w:rPr>
                <w:rStyle w:val="CSIchar"/>
                <w:rFonts w:ascii="Arial" w:hAnsi="Arial" w:cs="Arial"/>
                <w:sz w:val="22"/>
                <w:szCs w:val="22"/>
                <w:shd w:val="clear" w:color="auto" w:fill="FFFFFF"/>
                <w:vertAlign w:val="superscript"/>
              </w:rPr>
              <w:t>9</w:t>
            </w:r>
            <w:r w:rsidRPr="00900738">
              <w:rPr>
                <w:rStyle w:val="CSIchar"/>
                <w:rFonts w:ascii="Arial" w:hAnsi="Arial" w:cs="Arial"/>
                <w:sz w:val="22"/>
                <w:szCs w:val="22"/>
                <w:shd w:val="clear" w:color="auto" w:fill="FFFFFF"/>
              </w:rPr>
              <w:t>/</w:t>
            </w:r>
            <w:r>
              <w:rPr>
                <w:rStyle w:val="CSIchar"/>
                <w:rFonts w:ascii="Arial" w:hAnsi="Arial" w:cs="Arial"/>
                <w:sz w:val="22"/>
                <w:szCs w:val="22"/>
                <w:shd w:val="clear" w:color="auto" w:fill="FFFFFF"/>
              </w:rPr>
              <w:t>L</w:t>
            </w:r>
          </w:p>
        </w:tc>
        <w:tc>
          <w:tcPr>
            <w:tcW w:w="6223" w:type="dxa"/>
            <w:shd w:val="clear" w:color="auto" w:fill="auto"/>
          </w:tcPr>
          <w:p w14:paraId="0236FDAD"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Decrease the daily dose by 25 mg. Wait 2 weeks to assess the effects of this and any subsequent dose adjustments</w:t>
            </w:r>
            <w:r>
              <w:rPr>
                <w:rStyle w:val="CSIchar"/>
                <w:rFonts w:ascii="Arial" w:hAnsi="Arial" w:cs="Arial"/>
                <w:sz w:val="22"/>
                <w:szCs w:val="22"/>
                <w:shd w:val="clear" w:color="auto" w:fill="FFFFFF"/>
              </w:rPr>
              <w:t>*</w:t>
            </w:r>
            <w:r w:rsidRPr="00900738">
              <w:rPr>
                <w:rStyle w:val="CSIchar"/>
                <w:rFonts w:ascii="Arial" w:hAnsi="Arial" w:cs="Arial"/>
                <w:sz w:val="22"/>
                <w:szCs w:val="22"/>
                <w:shd w:val="clear" w:color="auto" w:fill="FFFFFF"/>
              </w:rPr>
              <w:t>.</w:t>
            </w:r>
          </w:p>
        </w:tc>
      </w:tr>
      <w:tr w:rsidR="00531F76" w:rsidRPr="00900738" w14:paraId="6AF54FC0" w14:textId="77777777" w:rsidTr="00FC3E4E">
        <w:tc>
          <w:tcPr>
            <w:tcW w:w="3681" w:type="dxa"/>
            <w:tcBorders>
              <w:bottom w:val="single" w:sz="4" w:space="0" w:color="auto"/>
            </w:tcBorders>
            <w:shd w:val="clear" w:color="auto" w:fill="auto"/>
          </w:tcPr>
          <w:p w14:paraId="4F358B8A"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&gt; 400</w:t>
            </w:r>
            <w:r>
              <w:rPr>
                <w:rStyle w:val="CSIchar"/>
                <w:rFonts w:ascii="Arial" w:hAnsi="Arial" w:cs="Arial"/>
                <w:sz w:val="22"/>
                <w:szCs w:val="22"/>
                <w:shd w:val="clear" w:color="auto" w:fill="FFFFFF"/>
              </w:rPr>
              <w:t xml:space="preserve"> x 10</w:t>
            </w:r>
            <w:r w:rsidRPr="00561258">
              <w:rPr>
                <w:rStyle w:val="CSIchar"/>
                <w:rFonts w:ascii="Arial" w:hAnsi="Arial" w:cs="Arial"/>
                <w:sz w:val="22"/>
                <w:szCs w:val="22"/>
                <w:shd w:val="clear" w:color="auto" w:fill="FFFFFF"/>
                <w:vertAlign w:val="superscript"/>
              </w:rPr>
              <w:t>9</w:t>
            </w:r>
            <w:r w:rsidRPr="00900738">
              <w:rPr>
                <w:rStyle w:val="CSIchar"/>
                <w:rFonts w:ascii="Arial" w:hAnsi="Arial" w:cs="Arial"/>
                <w:sz w:val="22"/>
                <w:szCs w:val="22"/>
                <w:shd w:val="clear" w:color="auto" w:fill="FFFFFF"/>
              </w:rPr>
              <w:t>/</w:t>
            </w:r>
            <w:r>
              <w:rPr>
                <w:rStyle w:val="CSIchar"/>
                <w:rFonts w:ascii="Arial" w:hAnsi="Arial" w:cs="Arial"/>
                <w:sz w:val="22"/>
                <w:szCs w:val="22"/>
                <w:shd w:val="clear" w:color="auto" w:fill="FFFFFF"/>
              </w:rPr>
              <w:t>L</w:t>
            </w:r>
          </w:p>
        </w:tc>
        <w:tc>
          <w:tcPr>
            <w:tcW w:w="6223" w:type="dxa"/>
            <w:tcBorders>
              <w:bottom w:val="single" w:sz="4" w:space="0" w:color="auto"/>
            </w:tcBorders>
            <w:shd w:val="clear" w:color="auto" w:fill="auto"/>
          </w:tcPr>
          <w:p w14:paraId="543703F9"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 xml:space="preserve">Stop </w:t>
            </w:r>
            <w:r w:rsidRPr="00B3195A">
              <w:rPr>
                <w:rStyle w:val="CSIchar"/>
                <w:rFonts w:ascii="Arial" w:hAnsi="Arial" w:cs="Arial"/>
                <w:sz w:val="22"/>
                <w:szCs w:val="22"/>
                <w:shd w:val="clear" w:color="auto" w:fill="FFFFFF"/>
              </w:rPr>
              <w:t>REVOLADE. Increase</w:t>
            </w:r>
            <w:r w:rsidRPr="00900738">
              <w:rPr>
                <w:rStyle w:val="CSIchar"/>
                <w:rFonts w:ascii="Arial" w:hAnsi="Arial" w:cs="Arial"/>
                <w:sz w:val="22"/>
                <w:szCs w:val="22"/>
                <w:shd w:val="clear" w:color="auto" w:fill="FFFFFF"/>
              </w:rPr>
              <w:t xml:space="preserve"> the frequency of platelet monitoring to twice weekly.</w:t>
            </w:r>
          </w:p>
          <w:p w14:paraId="5DA0554D" w14:textId="77777777" w:rsidR="00531F76" w:rsidRPr="00900738" w:rsidRDefault="00531F76" w:rsidP="00FC3E4E">
            <w:pPr>
              <w:keepNext/>
              <w:spacing w:before="120" w:after="120" w:line="300" w:lineRule="atLeast"/>
              <w:jc w:val="both"/>
              <w:rPr>
                <w:rStyle w:val="CSIchar"/>
                <w:rFonts w:ascii="Arial" w:hAnsi="Arial" w:cs="Arial"/>
                <w:sz w:val="22"/>
                <w:szCs w:val="22"/>
                <w:shd w:val="clear" w:color="auto" w:fill="FFFFFF"/>
              </w:rPr>
            </w:pPr>
            <w:r w:rsidRPr="00900738">
              <w:rPr>
                <w:rStyle w:val="CSIchar"/>
                <w:rFonts w:ascii="Arial" w:hAnsi="Arial" w:cs="Arial"/>
                <w:sz w:val="22"/>
                <w:szCs w:val="22"/>
                <w:shd w:val="clear" w:color="auto" w:fill="FFFFFF"/>
              </w:rPr>
              <w:t>Once the platelet count is &lt; 150</w:t>
            </w:r>
            <w:r>
              <w:rPr>
                <w:rStyle w:val="CSIchar"/>
                <w:rFonts w:ascii="Arial" w:hAnsi="Arial" w:cs="Arial"/>
                <w:sz w:val="22"/>
                <w:szCs w:val="22"/>
                <w:shd w:val="clear" w:color="auto" w:fill="FFFFFF"/>
              </w:rPr>
              <w:t xml:space="preserve"> x 10</w:t>
            </w:r>
            <w:r w:rsidRPr="00561258">
              <w:rPr>
                <w:rStyle w:val="CSIchar"/>
                <w:rFonts w:ascii="Arial" w:hAnsi="Arial" w:cs="Arial"/>
                <w:sz w:val="22"/>
                <w:szCs w:val="22"/>
                <w:shd w:val="clear" w:color="auto" w:fill="FFFFFF"/>
                <w:vertAlign w:val="superscript"/>
              </w:rPr>
              <w:t>9</w:t>
            </w:r>
            <w:r w:rsidRPr="00900738">
              <w:rPr>
                <w:rStyle w:val="CSIchar"/>
                <w:rFonts w:ascii="Arial" w:hAnsi="Arial" w:cs="Arial"/>
                <w:sz w:val="22"/>
                <w:szCs w:val="22"/>
                <w:shd w:val="clear" w:color="auto" w:fill="FFFFFF"/>
              </w:rPr>
              <w:t>/</w:t>
            </w:r>
            <w:r>
              <w:rPr>
                <w:rStyle w:val="CSIchar"/>
                <w:rFonts w:ascii="Arial" w:hAnsi="Arial" w:cs="Arial"/>
                <w:sz w:val="22"/>
                <w:szCs w:val="22"/>
                <w:shd w:val="clear" w:color="auto" w:fill="FFFFFF"/>
              </w:rPr>
              <w:t>L</w:t>
            </w:r>
            <w:r w:rsidRPr="00900738">
              <w:rPr>
                <w:rStyle w:val="CSIchar"/>
                <w:rFonts w:ascii="Arial" w:hAnsi="Arial" w:cs="Arial"/>
                <w:sz w:val="22"/>
                <w:szCs w:val="22"/>
                <w:shd w:val="clear" w:color="auto" w:fill="FFFFFF"/>
              </w:rPr>
              <w:t>, reinitiate therapy at a lower daily dose</w:t>
            </w:r>
            <w:r>
              <w:rPr>
                <w:rStyle w:val="CSIchar"/>
                <w:rFonts w:ascii="Arial" w:hAnsi="Arial" w:cs="Arial"/>
                <w:sz w:val="22"/>
                <w:szCs w:val="22"/>
                <w:shd w:val="clear" w:color="auto" w:fill="FFFFFF"/>
              </w:rPr>
              <w:t>*.</w:t>
            </w:r>
          </w:p>
        </w:tc>
      </w:tr>
    </w:tbl>
    <w:p w14:paraId="25E40337" w14:textId="77777777" w:rsidR="00531F76" w:rsidRDefault="00531F76" w:rsidP="0021023A">
      <w:pPr>
        <w:spacing w:line="300" w:lineRule="atLeast"/>
        <w:jc w:val="both"/>
        <w:rPr>
          <w:rStyle w:val="CSIchar"/>
          <w:shd w:val="clear" w:color="auto" w:fill="auto"/>
        </w:rPr>
      </w:pPr>
    </w:p>
    <w:p w14:paraId="5553BD0C" w14:textId="756004C5" w:rsidR="005262EC" w:rsidRPr="000869DF" w:rsidRDefault="000869DF" w:rsidP="000869DF">
      <w:pPr>
        <w:pStyle w:val="CommentText"/>
        <w:spacing w:line="300" w:lineRule="atLeast"/>
        <w:ind w:left="360"/>
        <w:jc w:val="both"/>
        <w:rPr>
          <w:rFonts w:ascii="Arial" w:hAnsi="Arial" w:cs="Arial"/>
        </w:rPr>
      </w:pPr>
      <w:r>
        <w:rPr>
          <w:rFonts w:ascii="Arial" w:hAnsi="Arial" w:cs="Arial"/>
          <w:sz w:val="22"/>
          <w:szCs w:val="22"/>
        </w:rPr>
        <w:t xml:space="preserve">** </w:t>
      </w:r>
      <w:r w:rsidRPr="000869DF">
        <w:rPr>
          <w:rFonts w:ascii="Arial" w:hAnsi="Arial" w:cs="Arial"/>
        </w:rPr>
        <w:t>For patients taking 25 mg REVOLADE once every other day, increase the dose to 25 mg once daily</w:t>
      </w:r>
    </w:p>
    <w:p w14:paraId="0884B6DB" w14:textId="04132E5A" w:rsidR="000869DF" w:rsidRDefault="000869DF" w:rsidP="000869DF">
      <w:pPr>
        <w:pStyle w:val="CommentText"/>
        <w:spacing w:line="300" w:lineRule="atLeast"/>
        <w:ind w:left="360"/>
        <w:jc w:val="both"/>
        <w:rPr>
          <w:rFonts w:ascii="Arial" w:hAnsi="Arial" w:cs="Arial"/>
          <w:sz w:val="22"/>
          <w:szCs w:val="22"/>
        </w:rPr>
      </w:pPr>
      <w:r>
        <w:rPr>
          <w:rFonts w:ascii="Arial" w:hAnsi="Arial" w:cs="Arial"/>
          <w:sz w:val="22"/>
          <w:szCs w:val="22"/>
        </w:rPr>
        <w:t xml:space="preserve">* </w:t>
      </w:r>
      <w:r w:rsidRPr="000869DF">
        <w:rPr>
          <w:rFonts w:ascii="Arial" w:hAnsi="Arial" w:cs="Arial"/>
        </w:rPr>
        <w:t>For patients taking 25 mg REVOLADE</w:t>
      </w:r>
      <w:r>
        <w:rPr>
          <w:rFonts w:ascii="Arial" w:hAnsi="Arial" w:cs="Arial"/>
        </w:rPr>
        <w:t xml:space="preserve"> once daily, consideration should be given to dosing at 12.5 mg once daily or alternatively, a</w:t>
      </w:r>
      <w:r w:rsidR="00877DD2">
        <w:rPr>
          <w:rFonts w:ascii="Arial" w:hAnsi="Arial" w:cs="Arial"/>
        </w:rPr>
        <w:t>t a</w:t>
      </w:r>
      <w:r>
        <w:rPr>
          <w:rFonts w:ascii="Arial" w:hAnsi="Arial" w:cs="Arial"/>
        </w:rPr>
        <w:t xml:space="preserve"> dose of 25 mg once every other day </w:t>
      </w:r>
    </w:p>
    <w:p w14:paraId="0ACF3AA5" w14:textId="77777777" w:rsidR="00531F76" w:rsidRDefault="00531F76" w:rsidP="00531F76">
      <w:pPr>
        <w:jc w:val="both"/>
        <w:rPr>
          <w:rStyle w:val="CSIchar"/>
          <w:shd w:val="clear" w:color="auto" w:fill="auto"/>
        </w:rPr>
      </w:pPr>
    </w:p>
    <w:p w14:paraId="0D8C7ACE" w14:textId="77777777" w:rsidR="00531F76" w:rsidRDefault="00531F76" w:rsidP="00531F76">
      <w:pPr>
        <w:jc w:val="both"/>
        <w:rPr>
          <w:rStyle w:val="CSIchar"/>
          <w:shd w:val="clear" w:color="auto" w:fill="auto"/>
        </w:rPr>
      </w:pPr>
      <w:r w:rsidRPr="004553F8">
        <w:rPr>
          <w:rStyle w:val="CSIchar"/>
          <w:shd w:val="clear" w:color="auto" w:fill="auto"/>
        </w:rPr>
        <w:t>The lowest effective dosing regimen to maintain platelet counts should be used as clinically indicated.</w:t>
      </w:r>
    </w:p>
    <w:p w14:paraId="614FDB78" w14:textId="77777777" w:rsidR="00531F76" w:rsidRDefault="00531F76" w:rsidP="00531F76">
      <w:pPr>
        <w:rPr>
          <w:rStyle w:val="CSIchar"/>
          <w:shd w:val="clear" w:color="auto" w:fill="auto"/>
        </w:rPr>
      </w:pPr>
      <w:r w:rsidRPr="0021023A">
        <w:rPr>
          <w:rStyle w:val="CSIchar"/>
          <w:shd w:val="clear" w:color="auto" w:fill="auto"/>
        </w:rPr>
        <w:t>The standard dose adjustment, either decrease or increase, would be 25 mg once daily.  However, in a few patients a combination of different tablet strengths on different days may be required.</w:t>
      </w:r>
    </w:p>
    <w:p w14:paraId="4FA371FF" w14:textId="77777777" w:rsidR="00531F76" w:rsidRDefault="00531F76" w:rsidP="00531F76">
      <w:pPr>
        <w:spacing w:line="300" w:lineRule="atLeast"/>
        <w:jc w:val="both"/>
        <w:rPr>
          <w:rStyle w:val="CSIchar"/>
          <w:shd w:val="clear" w:color="auto" w:fill="auto"/>
        </w:rPr>
      </w:pPr>
    </w:p>
    <w:p w14:paraId="4C591096" w14:textId="77777777" w:rsidR="00531F76" w:rsidRDefault="00531F76" w:rsidP="00531F76">
      <w:pPr>
        <w:spacing w:line="300" w:lineRule="atLeast"/>
        <w:jc w:val="both"/>
        <w:rPr>
          <w:rStyle w:val="CSIchar"/>
          <w:shd w:val="clear" w:color="auto" w:fill="auto"/>
        </w:rPr>
      </w:pPr>
      <w:r w:rsidRPr="0021023A">
        <w:rPr>
          <w:rStyle w:val="CSIchar"/>
          <w:shd w:val="clear" w:color="auto" w:fill="auto"/>
        </w:rPr>
        <w:t>After any REVOLADE dose adjustment, platelet counts should be monitored at least weekly for 2 to 3 weeks.  Wait for at least 2 weeks to see the effect of any dose adjustment on the patient’s platelet response prior to considering another dose adjustment.  In patients with any liver cirrhosis (i.e. hepatic impairment), wait 3 weeks before increasing the dose (see DOSING AND ADMINISTRATION - Special populations, and PRECAUTIONS).</w:t>
      </w:r>
    </w:p>
    <w:p w14:paraId="1D839A80" w14:textId="77777777" w:rsidR="000869DF" w:rsidRDefault="000869DF" w:rsidP="004553F8">
      <w:pPr>
        <w:pStyle w:val="CommentText"/>
        <w:spacing w:line="300" w:lineRule="atLeast"/>
        <w:jc w:val="both"/>
        <w:rPr>
          <w:sz w:val="24"/>
        </w:rPr>
      </w:pPr>
    </w:p>
    <w:p w14:paraId="5553BD11" w14:textId="02B70AAC" w:rsidR="002A3D04" w:rsidRPr="004553F8" w:rsidRDefault="002A3D04" w:rsidP="004553F8">
      <w:pPr>
        <w:keepNext/>
        <w:spacing w:after="120" w:line="300" w:lineRule="atLeast"/>
        <w:jc w:val="both"/>
        <w:rPr>
          <w:u w:val="single"/>
        </w:rPr>
      </w:pPr>
      <w:r w:rsidRPr="004553F8">
        <w:rPr>
          <w:u w:val="single"/>
        </w:rPr>
        <w:t>Discontinuation</w:t>
      </w:r>
    </w:p>
    <w:p w14:paraId="5553BD13" w14:textId="77777777" w:rsidR="002A3D04" w:rsidRPr="004553F8" w:rsidRDefault="002A3D04" w:rsidP="004553F8">
      <w:pPr>
        <w:widowControl w:val="0"/>
        <w:spacing w:line="300" w:lineRule="atLeast"/>
        <w:jc w:val="both"/>
      </w:pPr>
      <w:r w:rsidRPr="004553F8">
        <w:t>Treatment with REVOLADE should be discontinued if the platelet count does not increase to a level sufficient to avoid clinically important bleeding after four weeks of REVOLADE therapy at 75 mg once daily.</w:t>
      </w:r>
    </w:p>
    <w:p w14:paraId="5553BD14" w14:textId="77777777" w:rsidR="002A3D04" w:rsidRPr="00DE25E4" w:rsidRDefault="002A3D04" w:rsidP="00B91426">
      <w:pPr>
        <w:spacing w:line="300" w:lineRule="atLeast"/>
      </w:pPr>
    </w:p>
    <w:p w14:paraId="5553BD15" w14:textId="77777777" w:rsidR="008D7808" w:rsidRPr="004553F8" w:rsidRDefault="008D7808" w:rsidP="004553F8">
      <w:pPr>
        <w:spacing w:after="120" w:line="300" w:lineRule="atLeast"/>
        <w:rPr>
          <w:b/>
        </w:rPr>
      </w:pPr>
      <w:r w:rsidRPr="004553F8">
        <w:rPr>
          <w:b/>
        </w:rPr>
        <w:t>Chronic hepatitis C associated thrombocytopenia</w:t>
      </w:r>
    </w:p>
    <w:p w14:paraId="5553BD17" w14:textId="4321099A" w:rsidR="009043D7" w:rsidRPr="004553F8" w:rsidRDefault="009043D7" w:rsidP="004553F8">
      <w:pPr>
        <w:spacing w:line="300" w:lineRule="atLeast"/>
        <w:jc w:val="both"/>
        <w:rPr>
          <w:lang w:val="en-GB"/>
        </w:rPr>
      </w:pPr>
      <w:r w:rsidRPr="004553F8">
        <w:rPr>
          <w:lang w:val="en-GB"/>
        </w:rPr>
        <w:t xml:space="preserve">When </w:t>
      </w:r>
      <w:r w:rsidR="004E1506" w:rsidRPr="004553F8">
        <w:rPr>
          <w:lang w:val="en-GB"/>
        </w:rPr>
        <w:t>REVOLADE</w:t>
      </w:r>
      <w:r w:rsidRPr="004553F8">
        <w:rPr>
          <w:lang w:val="en-GB"/>
        </w:rPr>
        <w:t xml:space="preserve"> is given in combination with antiviral therapies reference should be made to the full </w:t>
      </w:r>
      <w:r w:rsidR="003E24A1">
        <w:rPr>
          <w:lang w:val="en-GB"/>
        </w:rPr>
        <w:t>product</w:t>
      </w:r>
      <w:r w:rsidR="003E24A1" w:rsidRPr="004553F8">
        <w:rPr>
          <w:lang w:val="en-GB"/>
        </w:rPr>
        <w:t xml:space="preserve"> </w:t>
      </w:r>
      <w:r w:rsidRPr="004553F8">
        <w:rPr>
          <w:lang w:val="en-GB"/>
        </w:rPr>
        <w:t>information of the respective coadministered medicinal products for comprehensive details of administration.</w:t>
      </w:r>
    </w:p>
    <w:p w14:paraId="5553BD18" w14:textId="77777777" w:rsidR="009043D7" w:rsidRPr="00DE25E4" w:rsidRDefault="009043D7" w:rsidP="00B91426">
      <w:pPr>
        <w:spacing w:line="300" w:lineRule="atLeast"/>
        <w:jc w:val="both"/>
      </w:pPr>
    </w:p>
    <w:p w14:paraId="5553BD19" w14:textId="17463A08" w:rsidR="008D7808" w:rsidRPr="004553F8" w:rsidRDefault="008D7808" w:rsidP="004553F8">
      <w:pPr>
        <w:spacing w:line="300" w:lineRule="atLeast"/>
        <w:jc w:val="both"/>
      </w:pPr>
      <w:r w:rsidRPr="004553F8">
        <w:lastRenderedPageBreak/>
        <w:t xml:space="preserve">Use the lowest dose of </w:t>
      </w:r>
      <w:r w:rsidR="00B91426" w:rsidRPr="004553F8">
        <w:t>REVOLADE</w:t>
      </w:r>
      <w:r w:rsidRPr="004553F8">
        <w:t xml:space="preserve"> to achieve and maintain a platelet count necessary to initiate and optimise antiviral therapy. Dose adjustments are based upon the platelet count response. </w:t>
      </w:r>
      <w:r w:rsidR="00B91426" w:rsidRPr="004553F8">
        <w:t xml:space="preserve"> </w:t>
      </w:r>
      <w:r w:rsidRPr="004553F8">
        <w:t xml:space="preserve">Do not use </w:t>
      </w:r>
      <w:r w:rsidR="00B91426" w:rsidRPr="004553F8">
        <w:t>REVOLADE</w:t>
      </w:r>
      <w:r w:rsidRPr="004553F8">
        <w:t xml:space="preserve"> in an attempt to normalize platelet counts.</w:t>
      </w:r>
      <w:r w:rsidR="00B91426" w:rsidRPr="004553F8">
        <w:t xml:space="preserve"> </w:t>
      </w:r>
      <w:r w:rsidRPr="004553F8">
        <w:t>In clinical studies, platelet counts generally increased within 1 week</w:t>
      </w:r>
      <w:r w:rsidR="00E10A80">
        <w:t xml:space="preserve"> </w:t>
      </w:r>
      <w:r w:rsidR="003E24A1">
        <w:t>of</w:t>
      </w:r>
      <w:r w:rsidRPr="004553F8">
        <w:t xml:space="preserve"> starting </w:t>
      </w:r>
      <w:r w:rsidR="00B91426" w:rsidRPr="004553F8">
        <w:t>REVOLADE</w:t>
      </w:r>
      <w:r w:rsidRPr="004553F8">
        <w:t>.</w:t>
      </w:r>
    </w:p>
    <w:p w14:paraId="5553BD1A" w14:textId="77777777" w:rsidR="00B91426" w:rsidRPr="00DE25E4" w:rsidRDefault="00B91426" w:rsidP="00B91426">
      <w:pPr>
        <w:spacing w:line="300" w:lineRule="atLeast"/>
        <w:jc w:val="both"/>
        <w:rPr>
          <w:b/>
          <w:i/>
        </w:rPr>
      </w:pPr>
    </w:p>
    <w:p w14:paraId="5553BD1B" w14:textId="77777777" w:rsidR="008D7808" w:rsidRPr="004553F8" w:rsidRDefault="008D7808" w:rsidP="004553F8">
      <w:pPr>
        <w:spacing w:after="120" w:line="300" w:lineRule="atLeast"/>
        <w:jc w:val="both"/>
        <w:rPr>
          <w:u w:val="single"/>
        </w:rPr>
      </w:pPr>
      <w:r w:rsidRPr="004553F8">
        <w:rPr>
          <w:u w:val="single"/>
        </w:rPr>
        <w:t>Initial Dose Regimen</w:t>
      </w:r>
    </w:p>
    <w:p w14:paraId="01A31D76" w14:textId="49079214" w:rsidR="00B3195A" w:rsidRDefault="00D63FE0" w:rsidP="004553F8">
      <w:pPr>
        <w:spacing w:line="300" w:lineRule="atLeast"/>
        <w:jc w:val="both"/>
      </w:pPr>
      <w:r w:rsidRPr="003E24A1">
        <w:t>Initiate REVOLADE at a dose of 25 mg once daily.</w:t>
      </w:r>
      <w:r w:rsidRPr="004553F8">
        <w:t xml:space="preserve"> </w:t>
      </w:r>
      <w:r w:rsidR="003E24A1" w:rsidRPr="003E24A1">
        <w:t>F</w:t>
      </w:r>
      <w:r w:rsidR="008D7808" w:rsidRPr="003E24A1">
        <w:t xml:space="preserve">or </w:t>
      </w:r>
      <w:r w:rsidR="003E24A1" w:rsidRPr="003E24A1">
        <w:t xml:space="preserve">chronic </w:t>
      </w:r>
      <w:r w:rsidR="008D7808" w:rsidRPr="003E24A1">
        <w:t>H</w:t>
      </w:r>
      <w:r w:rsidR="00790818" w:rsidRPr="003E24A1">
        <w:t>C</w:t>
      </w:r>
      <w:r w:rsidR="008D7808" w:rsidRPr="003E24A1">
        <w:t xml:space="preserve">V patients of East Asian </w:t>
      </w:r>
      <w:r w:rsidR="008E77AC" w:rsidRPr="003E24A1">
        <w:t xml:space="preserve">ancestry </w:t>
      </w:r>
      <w:r w:rsidR="00790818" w:rsidRPr="003E24A1">
        <w:t xml:space="preserve">(e.g. Chinese Japanese, Taiwanese, Korean or Thai), </w:t>
      </w:r>
      <w:r w:rsidR="003E24A1">
        <w:t>REVOLADE should be initiated at a dose of 25 mg once daily (see PHARMACOLOGY and DOSAGE AND ADMINISTRATION – Special populations)</w:t>
      </w:r>
      <w:r w:rsidR="008D7808" w:rsidRPr="003E24A1">
        <w:t>.</w:t>
      </w:r>
    </w:p>
    <w:p w14:paraId="367775D2" w14:textId="77777777" w:rsidR="003E24A1" w:rsidRPr="004553F8" w:rsidRDefault="003E24A1" w:rsidP="004553F8">
      <w:pPr>
        <w:spacing w:line="300" w:lineRule="atLeast"/>
        <w:jc w:val="both"/>
      </w:pPr>
    </w:p>
    <w:p w14:paraId="5553BD1F" w14:textId="1E2D691A" w:rsidR="008D7808" w:rsidRPr="004553F8" w:rsidRDefault="008D7808" w:rsidP="0021023A">
      <w:pPr>
        <w:keepNext/>
        <w:spacing w:line="300" w:lineRule="atLeast"/>
        <w:jc w:val="both"/>
        <w:rPr>
          <w:u w:val="single"/>
        </w:rPr>
      </w:pPr>
      <w:r w:rsidRPr="004553F8">
        <w:rPr>
          <w:u w:val="single"/>
        </w:rPr>
        <w:t>Monitoring and dose adjustment</w:t>
      </w:r>
    </w:p>
    <w:p w14:paraId="5553BD21" w14:textId="148D8B69" w:rsidR="0078572E" w:rsidRPr="004553F8" w:rsidRDefault="0078572E" w:rsidP="0021023A">
      <w:pPr>
        <w:widowControl w:val="0"/>
        <w:spacing w:line="300" w:lineRule="atLeast"/>
        <w:jc w:val="both"/>
        <w:rPr>
          <w:lang w:val="en-GB"/>
        </w:rPr>
      </w:pPr>
      <w:r w:rsidRPr="004553F8">
        <w:rPr>
          <w:lang w:val="en-GB"/>
        </w:rPr>
        <w:t xml:space="preserve">Adjust the dose of REVOLADE in 25 mg increments every 2 weeks as necessary to achieve the target platelet count required to initiate antiviral therapy (see Table </w:t>
      </w:r>
      <w:r w:rsidR="004138C8">
        <w:rPr>
          <w:lang w:val="en-GB"/>
        </w:rPr>
        <w:t>10</w:t>
      </w:r>
      <w:r w:rsidRPr="004553F8">
        <w:rPr>
          <w:lang w:val="en-GB"/>
        </w:rPr>
        <w:t>). Monitor platelet counts every week prior to starting antiviral therapy.</w:t>
      </w:r>
    </w:p>
    <w:p w14:paraId="5553BD22" w14:textId="77777777" w:rsidR="0078572E" w:rsidRPr="00DE25E4" w:rsidRDefault="0078572E" w:rsidP="00B91426">
      <w:pPr>
        <w:spacing w:line="300" w:lineRule="atLeast"/>
        <w:jc w:val="both"/>
      </w:pPr>
    </w:p>
    <w:p w14:paraId="5553BD25" w14:textId="427ECF88" w:rsidR="008D7808" w:rsidRPr="006412D1" w:rsidRDefault="008D7808" w:rsidP="006D75C7">
      <w:pPr>
        <w:widowControl w:val="0"/>
        <w:spacing w:line="300" w:lineRule="atLeast"/>
        <w:jc w:val="both"/>
        <w:rPr>
          <w:strike/>
        </w:rPr>
      </w:pPr>
      <w:r w:rsidRPr="004553F8">
        <w:t xml:space="preserve">During antiviral therapy adjust the dose of </w:t>
      </w:r>
      <w:r w:rsidR="00B91426" w:rsidRPr="004553F8">
        <w:t>REVOLADE</w:t>
      </w:r>
      <w:r w:rsidRPr="004553F8">
        <w:t xml:space="preserve"> as necessary to avoid </w:t>
      </w:r>
      <w:r w:rsidR="00B8332F" w:rsidRPr="004553F8">
        <w:t>dose reduction of peginterferon</w:t>
      </w:r>
      <w:r w:rsidRPr="004553F8">
        <w:t xml:space="preserve">. </w:t>
      </w:r>
      <w:r w:rsidR="00B91426" w:rsidRPr="004553F8">
        <w:t xml:space="preserve"> </w:t>
      </w:r>
      <w:r w:rsidRPr="004553F8">
        <w:t>Monitor platelet counts weekly during antiviral therapy until a stable platelet count is achieved</w:t>
      </w:r>
      <w:r w:rsidR="00471CB3" w:rsidRPr="004553F8">
        <w:t xml:space="preserve">. </w:t>
      </w:r>
      <w:r w:rsidR="00453C48" w:rsidRPr="00DE25E4">
        <w:rPr>
          <w:lang w:val="en-GB"/>
        </w:rPr>
        <w:t>F</w:t>
      </w:r>
      <w:r w:rsidR="0059143C" w:rsidRPr="00DE25E4">
        <w:rPr>
          <w:lang w:val="en-GB"/>
        </w:rPr>
        <w:t>BCs</w:t>
      </w:r>
      <w:r w:rsidR="0059143C" w:rsidRPr="004553F8">
        <w:rPr>
          <w:lang w:val="en-GB"/>
        </w:rPr>
        <w:t>, including platelet counts and peripheral blood smears</w:t>
      </w:r>
      <w:r w:rsidR="00446F55">
        <w:rPr>
          <w:lang w:val="en-GB"/>
        </w:rPr>
        <w:t>,</w:t>
      </w:r>
      <w:r w:rsidR="0059143C" w:rsidRPr="004553F8">
        <w:rPr>
          <w:lang w:val="en-GB"/>
        </w:rPr>
        <w:t xml:space="preserve"> should be obtained monthly thereafter.</w:t>
      </w:r>
      <w:r w:rsidR="0021023A">
        <w:rPr>
          <w:lang w:val="en-GB"/>
        </w:rPr>
        <w:t xml:space="preserve"> </w:t>
      </w:r>
      <w:r w:rsidR="00B91426" w:rsidRPr="006412D1">
        <w:t xml:space="preserve">Do not exceed a dose of 100 </w:t>
      </w:r>
      <w:r w:rsidRPr="006412D1">
        <w:t xml:space="preserve">mg </w:t>
      </w:r>
      <w:r w:rsidR="00B91426" w:rsidRPr="006412D1">
        <w:t>REVOLADE</w:t>
      </w:r>
      <w:r w:rsidRPr="006412D1">
        <w:t xml:space="preserve"> once daily</w:t>
      </w:r>
      <w:r w:rsidR="002F302C" w:rsidRPr="006412D1">
        <w:t>.</w:t>
      </w:r>
    </w:p>
    <w:p w14:paraId="5553BD26" w14:textId="77777777" w:rsidR="00471CB3" w:rsidRPr="00DE25E4" w:rsidRDefault="00471CB3" w:rsidP="00B91426">
      <w:pPr>
        <w:spacing w:line="300" w:lineRule="atLeast"/>
        <w:jc w:val="both"/>
      </w:pPr>
    </w:p>
    <w:p w14:paraId="5553BD27" w14:textId="15EC6E19" w:rsidR="00B330E5" w:rsidRPr="004553F8" w:rsidRDefault="00B330E5" w:rsidP="004553F8">
      <w:pPr>
        <w:spacing w:line="300" w:lineRule="atLeast"/>
        <w:jc w:val="both"/>
        <w:rPr>
          <w:lang w:val="en-GB"/>
        </w:rPr>
      </w:pPr>
      <w:r w:rsidRPr="004553F8">
        <w:rPr>
          <w:lang w:val="en-GB"/>
        </w:rPr>
        <w:t xml:space="preserve">For specific dosage instructions for peginterferon alfa or ribavirin, refer to their respective </w:t>
      </w:r>
      <w:r w:rsidR="006412D1">
        <w:rPr>
          <w:lang w:val="en-GB"/>
        </w:rPr>
        <w:t>product</w:t>
      </w:r>
      <w:r w:rsidR="006412D1" w:rsidRPr="004553F8">
        <w:rPr>
          <w:lang w:val="en-GB"/>
        </w:rPr>
        <w:t xml:space="preserve"> </w:t>
      </w:r>
      <w:r w:rsidRPr="004553F8">
        <w:rPr>
          <w:lang w:val="en-GB"/>
        </w:rPr>
        <w:t>information.</w:t>
      </w:r>
    </w:p>
    <w:p w14:paraId="5553BD28" w14:textId="77777777" w:rsidR="008D7808" w:rsidRPr="00DE25E4" w:rsidRDefault="008D7808" w:rsidP="00B91426">
      <w:pPr>
        <w:spacing w:line="300" w:lineRule="atLeast"/>
        <w:jc w:val="both"/>
      </w:pPr>
    </w:p>
    <w:p w14:paraId="56E78F47" w14:textId="04CDFA46" w:rsidR="004138C8" w:rsidRDefault="008D7808" w:rsidP="00FE02FB">
      <w:pPr>
        <w:pStyle w:val="Caption"/>
        <w:keepNext/>
        <w:spacing w:after="0"/>
        <w:rPr>
          <w:rFonts w:ascii="Arial" w:hAnsi="Arial" w:cs="Arial"/>
        </w:rPr>
      </w:pPr>
      <w:r w:rsidRPr="004138C8">
        <w:rPr>
          <w:rFonts w:ascii="Arial" w:hAnsi="Arial" w:cs="Arial"/>
        </w:rPr>
        <w:lastRenderedPageBreak/>
        <w:t>Table</w:t>
      </w:r>
      <w:r w:rsidR="004138C8" w:rsidRPr="004138C8">
        <w:rPr>
          <w:rFonts w:ascii="Arial" w:hAnsi="Arial" w:cs="Arial"/>
        </w:rPr>
        <w:t xml:space="preserve"> 10</w:t>
      </w:r>
      <w:r w:rsidR="004727D2" w:rsidRPr="004138C8">
        <w:rPr>
          <w:rFonts w:ascii="Arial" w:hAnsi="Arial" w:cs="Arial"/>
        </w:rPr>
        <w:tab/>
      </w:r>
      <w:r w:rsidRPr="004138C8">
        <w:rPr>
          <w:rFonts w:ascii="Arial" w:hAnsi="Arial" w:cs="Arial"/>
        </w:rPr>
        <w:t xml:space="preserve">Dose adjustments of </w:t>
      </w:r>
      <w:r w:rsidR="00B91426" w:rsidRPr="004138C8">
        <w:rPr>
          <w:rFonts w:ascii="Arial" w:hAnsi="Arial" w:cs="Arial"/>
        </w:rPr>
        <w:t>REVOLADE</w:t>
      </w:r>
      <w:r w:rsidRPr="004138C8">
        <w:rPr>
          <w:rFonts w:ascii="Arial" w:hAnsi="Arial" w:cs="Arial"/>
        </w:rPr>
        <w:t xml:space="preserve"> </w:t>
      </w:r>
      <w:r w:rsidR="00B330E5" w:rsidRPr="004138C8">
        <w:rPr>
          <w:rFonts w:ascii="Arial" w:hAnsi="Arial" w:cs="Arial"/>
        </w:rPr>
        <w:t xml:space="preserve">in HCV patients </w:t>
      </w:r>
      <w:r w:rsidRPr="004138C8">
        <w:rPr>
          <w:rFonts w:ascii="Arial" w:hAnsi="Arial" w:cs="Arial"/>
        </w:rPr>
        <w:t xml:space="preserve">during antiviral </w:t>
      </w:r>
    </w:p>
    <w:p w14:paraId="5553BD29" w14:textId="344AFA1B" w:rsidR="008D7808" w:rsidRPr="004138C8" w:rsidRDefault="004138C8" w:rsidP="004138C8">
      <w:pPr>
        <w:pStyle w:val="Caption"/>
        <w:keepNext/>
        <w:spacing w:before="0" w:after="0"/>
        <w:rPr>
          <w:rFonts w:ascii="Arial" w:hAnsi="Arial" w:cs="Arial"/>
        </w:rPr>
      </w:pPr>
      <w:r>
        <w:rPr>
          <w:rFonts w:ascii="Arial" w:hAnsi="Arial" w:cs="Arial"/>
        </w:rPr>
        <w:tab/>
      </w:r>
      <w:r>
        <w:rPr>
          <w:rFonts w:ascii="Arial" w:hAnsi="Arial" w:cs="Arial"/>
        </w:rPr>
        <w:tab/>
      </w:r>
      <w:r w:rsidR="008D7808" w:rsidRPr="004138C8">
        <w:rPr>
          <w:rFonts w:ascii="Arial" w:hAnsi="Arial" w:cs="Arial"/>
        </w:rPr>
        <w:t>therapy</w:t>
      </w:r>
    </w:p>
    <w:p w14:paraId="5553BD2A" w14:textId="77777777" w:rsidR="008D7808" w:rsidRPr="008D7808" w:rsidRDefault="008D7808" w:rsidP="00FE02FB">
      <w:pPr>
        <w:keepNext/>
        <w:spacing w:line="300" w:lineRule="atLeast"/>
        <w:rPr>
          <w:rFonts w:ascii="Arial" w:hAnsi="Arial" w:cs="Arial"/>
          <w:sz w:val="22"/>
          <w:szCs w:val="22"/>
        </w:rPr>
      </w:pPr>
    </w:p>
    <w:tbl>
      <w:tblPr>
        <w:tblW w:w="9904" w:type="dxa"/>
        <w:tblLook w:val="01E0" w:firstRow="1" w:lastRow="1" w:firstColumn="1" w:lastColumn="1" w:noHBand="0" w:noVBand="0"/>
      </w:tblPr>
      <w:tblGrid>
        <w:gridCol w:w="3228"/>
        <w:gridCol w:w="6676"/>
      </w:tblGrid>
      <w:tr w:rsidR="008D7808" w:rsidRPr="004553F8" w14:paraId="5553BD2D" w14:textId="77777777" w:rsidTr="00B3195A">
        <w:trPr>
          <w:tblHeader/>
        </w:trPr>
        <w:tc>
          <w:tcPr>
            <w:tcW w:w="3228" w:type="dxa"/>
            <w:tcBorders>
              <w:top w:val="single" w:sz="4" w:space="0" w:color="auto"/>
              <w:bottom w:val="single" w:sz="4" w:space="0" w:color="auto"/>
            </w:tcBorders>
          </w:tcPr>
          <w:p w14:paraId="5553BD2B" w14:textId="313514A7" w:rsidR="008D7808" w:rsidRPr="004553F8" w:rsidRDefault="008D7808" w:rsidP="004553F8">
            <w:pPr>
              <w:keepNext/>
              <w:spacing w:before="120" w:after="120" w:line="300" w:lineRule="atLeast"/>
              <w:jc w:val="center"/>
              <w:rPr>
                <w:rFonts w:ascii="Arial" w:hAnsi="Arial" w:cs="Arial"/>
                <w:b/>
                <w:sz w:val="22"/>
                <w:szCs w:val="22"/>
              </w:rPr>
            </w:pPr>
            <w:r w:rsidRPr="004553F8">
              <w:rPr>
                <w:rFonts w:ascii="Arial" w:hAnsi="Arial" w:cs="Arial"/>
                <w:b/>
                <w:sz w:val="22"/>
                <w:szCs w:val="22"/>
              </w:rPr>
              <w:t>Platelet count</w:t>
            </w:r>
          </w:p>
        </w:tc>
        <w:tc>
          <w:tcPr>
            <w:tcW w:w="6676" w:type="dxa"/>
            <w:tcBorders>
              <w:top w:val="single" w:sz="4" w:space="0" w:color="auto"/>
              <w:bottom w:val="single" w:sz="4" w:space="0" w:color="auto"/>
            </w:tcBorders>
          </w:tcPr>
          <w:p w14:paraId="5553BD2C" w14:textId="77777777" w:rsidR="008D7808" w:rsidRPr="004553F8" w:rsidRDefault="008D7808" w:rsidP="004553F8">
            <w:pPr>
              <w:keepNext/>
              <w:spacing w:before="120" w:after="120" w:line="300" w:lineRule="atLeast"/>
              <w:jc w:val="center"/>
              <w:rPr>
                <w:rFonts w:ascii="Arial" w:hAnsi="Arial" w:cs="Arial"/>
                <w:b/>
                <w:sz w:val="22"/>
                <w:szCs w:val="22"/>
              </w:rPr>
            </w:pPr>
            <w:r w:rsidRPr="004553F8">
              <w:rPr>
                <w:rFonts w:ascii="Arial" w:hAnsi="Arial" w:cs="Arial"/>
                <w:b/>
                <w:sz w:val="22"/>
                <w:szCs w:val="22"/>
              </w:rPr>
              <w:t>Dose adjustment or response</w:t>
            </w:r>
          </w:p>
        </w:tc>
      </w:tr>
      <w:tr w:rsidR="008D7808" w:rsidRPr="008D7808" w14:paraId="5553BD30" w14:textId="77777777" w:rsidTr="00B3195A">
        <w:tc>
          <w:tcPr>
            <w:tcW w:w="3228" w:type="dxa"/>
            <w:tcBorders>
              <w:top w:val="single" w:sz="4" w:space="0" w:color="auto"/>
            </w:tcBorders>
          </w:tcPr>
          <w:p w14:paraId="5553BD2E" w14:textId="4540FA6D" w:rsidR="008D7808" w:rsidRPr="008D7808" w:rsidRDefault="00753FCF" w:rsidP="00561258">
            <w:pPr>
              <w:keepNext/>
              <w:spacing w:before="120" w:after="120" w:line="300" w:lineRule="atLeast"/>
              <w:jc w:val="both"/>
              <w:rPr>
                <w:rFonts w:ascii="Arial" w:hAnsi="Arial" w:cs="Arial"/>
                <w:sz w:val="22"/>
                <w:szCs w:val="22"/>
              </w:rPr>
            </w:pPr>
            <w:r>
              <w:rPr>
                <w:rFonts w:ascii="Arial" w:hAnsi="Arial" w:cs="Arial"/>
                <w:sz w:val="22"/>
                <w:szCs w:val="22"/>
              </w:rPr>
              <w:t>&lt; 50</w:t>
            </w:r>
            <w:r w:rsidR="00561258">
              <w:rPr>
                <w:rFonts w:ascii="Arial" w:hAnsi="Arial" w:cs="Arial"/>
                <w:sz w:val="22"/>
                <w:szCs w:val="22"/>
              </w:rPr>
              <w:t xml:space="preserve"> x 10</w:t>
            </w:r>
            <w:r w:rsidR="00561258" w:rsidRPr="00561258">
              <w:rPr>
                <w:rFonts w:ascii="Arial" w:hAnsi="Arial" w:cs="Arial"/>
                <w:sz w:val="22"/>
                <w:szCs w:val="22"/>
                <w:vertAlign w:val="superscript"/>
              </w:rPr>
              <w:t>9</w:t>
            </w:r>
            <w:r>
              <w:rPr>
                <w:rFonts w:ascii="Arial" w:hAnsi="Arial" w:cs="Arial"/>
                <w:sz w:val="22"/>
                <w:szCs w:val="22"/>
              </w:rPr>
              <w:t>/</w:t>
            </w:r>
            <w:r w:rsidR="00C00462">
              <w:rPr>
                <w:rFonts w:ascii="Arial" w:hAnsi="Arial" w:cs="Arial"/>
                <w:sz w:val="22"/>
                <w:szCs w:val="22"/>
              </w:rPr>
              <w:t>L</w:t>
            </w:r>
            <w:r>
              <w:rPr>
                <w:rFonts w:ascii="Arial" w:hAnsi="Arial" w:cs="Arial"/>
                <w:sz w:val="22"/>
                <w:szCs w:val="22"/>
              </w:rPr>
              <w:t xml:space="preserve"> following at least 2 </w:t>
            </w:r>
            <w:r w:rsidR="008D7808" w:rsidRPr="008D7808">
              <w:rPr>
                <w:rFonts w:ascii="Arial" w:hAnsi="Arial" w:cs="Arial"/>
                <w:sz w:val="22"/>
                <w:szCs w:val="22"/>
              </w:rPr>
              <w:t>weeks of therapy</w:t>
            </w:r>
          </w:p>
        </w:tc>
        <w:tc>
          <w:tcPr>
            <w:tcW w:w="6676" w:type="dxa"/>
            <w:tcBorders>
              <w:top w:val="single" w:sz="4" w:space="0" w:color="auto"/>
            </w:tcBorders>
          </w:tcPr>
          <w:p w14:paraId="5553BD2F" w14:textId="77777777" w:rsidR="008D7808" w:rsidRPr="008D7808" w:rsidRDefault="00753FCF" w:rsidP="004553F8">
            <w:pPr>
              <w:keepNext/>
              <w:spacing w:before="120" w:after="120" w:line="300" w:lineRule="atLeast"/>
              <w:jc w:val="both"/>
              <w:rPr>
                <w:rFonts w:ascii="Arial" w:hAnsi="Arial" w:cs="Arial"/>
                <w:sz w:val="22"/>
                <w:szCs w:val="22"/>
              </w:rPr>
            </w:pPr>
            <w:r>
              <w:rPr>
                <w:rFonts w:ascii="Arial" w:hAnsi="Arial" w:cs="Arial"/>
                <w:sz w:val="22"/>
                <w:szCs w:val="22"/>
              </w:rPr>
              <w:t xml:space="preserve">Increase daily dose by 25 mg to a maximum of 100 </w:t>
            </w:r>
            <w:r w:rsidR="008D7808" w:rsidRPr="008D7808">
              <w:rPr>
                <w:rFonts w:ascii="Arial" w:hAnsi="Arial" w:cs="Arial"/>
                <w:sz w:val="22"/>
                <w:szCs w:val="22"/>
              </w:rPr>
              <w:t>mg/day.</w:t>
            </w:r>
          </w:p>
        </w:tc>
      </w:tr>
      <w:tr w:rsidR="008D7808" w:rsidRPr="008D7808" w14:paraId="5553BD33" w14:textId="77777777" w:rsidTr="00B3195A">
        <w:tc>
          <w:tcPr>
            <w:tcW w:w="3228" w:type="dxa"/>
          </w:tcPr>
          <w:p w14:paraId="5553BD31" w14:textId="3CBB4FBA" w:rsidR="008D7808" w:rsidRPr="008D7808" w:rsidRDefault="00753FCF" w:rsidP="00561258">
            <w:pPr>
              <w:keepNext/>
              <w:spacing w:before="120" w:after="120" w:line="300" w:lineRule="atLeast"/>
              <w:jc w:val="both"/>
              <w:rPr>
                <w:rFonts w:ascii="Arial" w:hAnsi="Arial" w:cs="Arial"/>
                <w:sz w:val="22"/>
                <w:szCs w:val="22"/>
              </w:rPr>
            </w:pPr>
            <w:r>
              <w:rPr>
                <w:rFonts w:ascii="Arial" w:hAnsi="Arial" w:cs="Arial"/>
                <w:sz w:val="22"/>
                <w:szCs w:val="22"/>
              </w:rPr>
              <w:t xml:space="preserve">≥ </w:t>
            </w:r>
            <w:r w:rsidR="008D7808" w:rsidRPr="008D7808">
              <w:rPr>
                <w:rFonts w:ascii="Arial" w:hAnsi="Arial" w:cs="Arial"/>
                <w:sz w:val="22"/>
                <w:szCs w:val="22"/>
              </w:rPr>
              <w:t>200</w:t>
            </w:r>
            <w:r w:rsidR="00561258">
              <w:rPr>
                <w:rFonts w:ascii="Arial" w:hAnsi="Arial" w:cs="Arial"/>
                <w:sz w:val="22"/>
                <w:szCs w:val="22"/>
              </w:rPr>
              <w:t xml:space="preserve"> x 10</w:t>
            </w:r>
            <w:r w:rsidR="00561258" w:rsidRPr="00561258">
              <w:rPr>
                <w:rFonts w:ascii="Arial" w:hAnsi="Arial" w:cs="Arial"/>
                <w:sz w:val="22"/>
                <w:szCs w:val="22"/>
                <w:vertAlign w:val="superscript"/>
              </w:rPr>
              <w:t>9</w:t>
            </w:r>
            <w:r w:rsidR="008D7808" w:rsidRPr="008D7808">
              <w:rPr>
                <w:rFonts w:ascii="Arial" w:hAnsi="Arial" w:cs="Arial"/>
                <w:sz w:val="22"/>
                <w:szCs w:val="22"/>
              </w:rPr>
              <w:t>/</w:t>
            </w:r>
            <w:r w:rsidR="00C00462">
              <w:rPr>
                <w:rFonts w:ascii="Arial" w:hAnsi="Arial" w:cs="Arial"/>
                <w:sz w:val="22"/>
                <w:szCs w:val="22"/>
              </w:rPr>
              <w:t>µL</w:t>
            </w:r>
            <w:r w:rsidR="008D7808" w:rsidRPr="008D7808">
              <w:rPr>
                <w:rFonts w:ascii="Arial" w:hAnsi="Arial" w:cs="Arial"/>
                <w:sz w:val="22"/>
                <w:szCs w:val="22"/>
              </w:rPr>
              <w:t xml:space="preserve"> to </w:t>
            </w:r>
            <w:r w:rsidR="008D7808" w:rsidRPr="008D7808">
              <w:rPr>
                <w:rFonts w:ascii="Arial" w:hAnsi="Arial" w:cs="Arial"/>
                <w:sz w:val="22"/>
                <w:szCs w:val="22"/>
              </w:rPr>
              <w:sym w:font="Symbol" w:char="F0A3"/>
            </w:r>
            <w:r>
              <w:rPr>
                <w:rFonts w:ascii="Arial" w:hAnsi="Arial" w:cs="Arial"/>
                <w:sz w:val="22"/>
                <w:szCs w:val="22"/>
              </w:rPr>
              <w:t xml:space="preserve"> </w:t>
            </w:r>
            <w:r w:rsidR="008D7808" w:rsidRPr="008D7808">
              <w:rPr>
                <w:rFonts w:ascii="Arial" w:hAnsi="Arial" w:cs="Arial"/>
                <w:sz w:val="22"/>
                <w:szCs w:val="22"/>
              </w:rPr>
              <w:t>400</w:t>
            </w:r>
            <w:r w:rsidR="00561258">
              <w:rPr>
                <w:rFonts w:ascii="Arial" w:hAnsi="Arial" w:cs="Arial"/>
                <w:sz w:val="22"/>
                <w:szCs w:val="22"/>
              </w:rPr>
              <w:t xml:space="preserve"> x 10</w:t>
            </w:r>
            <w:r w:rsidR="00561258" w:rsidRPr="00561258">
              <w:rPr>
                <w:rFonts w:ascii="Arial" w:hAnsi="Arial" w:cs="Arial"/>
                <w:sz w:val="22"/>
                <w:szCs w:val="22"/>
                <w:vertAlign w:val="superscript"/>
              </w:rPr>
              <w:t>9</w:t>
            </w:r>
            <w:r w:rsidR="008D7808" w:rsidRPr="008D7808">
              <w:rPr>
                <w:rFonts w:ascii="Arial" w:hAnsi="Arial" w:cs="Arial"/>
                <w:sz w:val="22"/>
                <w:szCs w:val="22"/>
              </w:rPr>
              <w:t>/</w:t>
            </w:r>
            <w:r w:rsidR="00C00462">
              <w:rPr>
                <w:rFonts w:ascii="Arial" w:hAnsi="Arial" w:cs="Arial"/>
                <w:sz w:val="22"/>
                <w:szCs w:val="22"/>
              </w:rPr>
              <w:t>L</w:t>
            </w:r>
          </w:p>
        </w:tc>
        <w:tc>
          <w:tcPr>
            <w:tcW w:w="6676" w:type="dxa"/>
          </w:tcPr>
          <w:p w14:paraId="5553BD32" w14:textId="16250143" w:rsidR="008D7808" w:rsidRPr="008D7808" w:rsidRDefault="00753FCF" w:rsidP="004553F8">
            <w:pPr>
              <w:keepNext/>
              <w:spacing w:before="120" w:after="120" w:line="300" w:lineRule="atLeast"/>
              <w:jc w:val="both"/>
              <w:rPr>
                <w:rFonts w:ascii="Arial" w:hAnsi="Arial" w:cs="Arial"/>
                <w:sz w:val="22"/>
                <w:szCs w:val="22"/>
              </w:rPr>
            </w:pPr>
            <w:r>
              <w:rPr>
                <w:rFonts w:ascii="Arial" w:hAnsi="Arial" w:cs="Arial"/>
                <w:sz w:val="22"/>
                <w:szCs w:val="22"/>
              </w:rPr>
              <w:t xml:space="preserve">Decrease the daily dose by 25 mg. Wait 2 </w:t>
            </w:r>
            <w:r w:rsidR="008D7808" w:rsidRPr="008D7808">
              <w:rPr>
                <w:rFonts w:ascii="Arial" w:hAnsi="Arial" w:cs="Arial"/>
                <w:sz w:val="22"/>
                <w:szCs w:val="22"/>
              </w:rPr>
              <w:t>weeks to assess the effects of this and any subsequent dose adjustments</w:t>
            </w:r>
            <w:r w:rsidR="002C25DF">
              <w:rPr>
                <w:rFonts w:ascii="Arial" w:hAnsi="Arial" w:cs="Arial"/>
                <w:sz w:val="22"/>
                <w:szCs w:val="22"/>
              </w:rPr>
              <w:t>*</w:t>
            </w:r>
            <w:r w:rsidR="008D7808" w:rsidRPr="008D7808">
              <w:rPr>
                <w:rFonts w:ascii="Arial" w:hAnsi="Arial" w:cs="Arial"/>
                <w:sz w:val="22"/>
                <w:szCs w:val="22"/>
              </w:rPr>
              <w:t>.</w:t>
            </w:r>
          </w:p>
        </w:tc>
      </w:tr>
      <w:tr w:rsidR="008D7808" w:rsidRPr="008D7808" w14:paraId="5553BD37" w14:textId="77777777" w:rsidTr="00B3195A">
        <w:tc>
          <w:tcPr>
            <w:tcW w:w="3228" w:type="dxa"/>
            <w:tcBorders>
              <w:bottom w:val="single" w:sz="4" w:space="0" w:color="auto"/>
            </w:tcBorders>
          </w:tcPr>
          <w:p w14:paraId="5553BD34" w14:textId="6F48B83A" w:rsidR="008D7808" w:rsidRPr="008D7808" w:rsidRDefault="00DE2CED" w:rsidP="00561258">
            <w:pPr>
              <w:keepNext/>
              <w:spacing w:before="120" w:after="120" w:line="300" w:lineRule="atLeast"/>
              <w:jc w:val="both"/>
              <w:rPr>
                <w:rFonts w:ascii="Arial" w:hAnsi="Arial" w:cs="Arial"/>
                <w:sz w:val="22"/>
                <w:szCs w:val="22"/>
              </w:rPr>
            </w:pPr>
            <w:r>
              <w:rPr>
                <w:rFonts w:ascii="Arial" w:hAnsi="Arial" w:cs="Arial"/>
                <w:sz w:val="22"/>
                <w:szCs w:val="22"/>
              </w:rPr>
              <w:t xml:space="preserve">&gt; </w:t>
            </w:r>
            <w:r w:rsidR="008D7808" w:rsidRPr="008D7808">
              <w:rPr>
                <w:rFonts w:ascii="Arial" w:hAnsi="Arial" w:cs="Arial"/>
                <w:sz w:val="22"/>
                <w:szCs w:val="22"/>
              </w:rPr>
              <w:t>400</w:t>
            </w:r>
            <w:r w:rsidR="00561258">
              <w:rPr>
                <w:rFonts w:ascii="Arial" w:hAnsi="Arial" w:cs="Arial"/>
                <w:sz w:val="22"/>
                <w:szCs w:val="22"/>
              </w:rPr>
              <w:t xml:space="preserve"> x 10</w:t>
            </w:r>
            <w:r w:rsidR="00561258" w:rsidRPr="00561258">
              <w:rPr>
                <w:rFonts w:ascii="Arial" w:hAnsi="Arial" w:cs="Arial"/>
                <w:sz w:val="22"/>
                <w:szCs w:val="22"/>
                <w:vertAlign w:val="superscript"/>
              </w:rPr>
              <w:t>9</w:t>
            </w:r>
            <w:r w:rsidR="008D7808" w:rsidRPr="008D7808">
              <w:rPr>
                <w:rFonts w:ascii="Arial" w:hAnsi="Arial" w:cs="Arial"/>
                <w:sz w:val="22"/>
                <w:szCs w:val="22"/>
              </w:rPr>
              <w:t>/</w:t>
            </w:r>
            <w:r w:rsidR="00C00462">
              <w:rPr>
                <w:rFonts w:ascii="Arial" w:hAnsi="Arial" w:cs="Arial"/>
                <w:sz w:val="22"/>
                <w:szCs w:val="22"/>
              </w:rPr>
              <w:t>L</w:t>
            </w:r>
          </w:p>
        </w:tc>
        <w:tc>
          <w:tcPr>
            <w:tcW w:w="6676" w:type="dxa"/>
            <w:tcBorders>
              <w:bottom w:val="single" w:sz="4" w:space="0" w:color="auto"/>
            </w:tcBorders>
          </w:tcPr>
          <w:p w14:paraId="5553BD36" w14:textId="2557C231" w:rsidR="008D7808" w:rsidRPr="008D7808" w:rsidRDefault="008D7808" w:rsidP="00DD3320">
            <w:pPr>
              <w:keepNext/>
              <w:spacing w:before="120" w:after="120" w:line="300" w:lineRule="atLeast"/>
              <w:jc w:val="both"/>
              <w:rPr>
                <w:rFonts w:ascii="Arial" w:hAnsi="Arial" w:cs="Arial"/>
                <w:sz w:val="22"/>
                <w:szCs w:val="22"/>
              </w:rPr>
            </w:pPr>
            <w:r w:rsidRPr="008D7808">
              <w:rPr>
                <w:rFonts w:ascii="Arial" w:hAnsi="Arial" w:cs="Arial"/>
                <w:sz w:val="22"/>
                <w:szCs w:val="22"/>
              </w:rPr>
              <w:t xml:space="preserve">Stop </w:t>
            </w:r>
            <w:r w:rsidR="00753FCF">
              <w:rPr>
                <w:rFonts w:ascii="Arial" w:hAnsi="Arial" w:cs="Arial"/>
                <w:sz w:val="22"/>
                <w:szCs w:val="22"/>
              </w:rPr>
              <w:t>REVOLADE</w:t>
            </w:r>
            <w:r w:rsidR="00DD3320">
              <w:rPr>
                <w:rFonts w:ascii="Arial" w:hAnsi="Arial" w:cs="Arial"/>
                <w:sz w:val="22"/>
                <w:szCs w:val="22"/>
              </w:rPr>
              <w:t>. I</w:t>
            </w:r>
            <w:r w:rsidRPr="008D7808">
              <w:rPr>
                <w:rFonts w:ascii="Arial" w:hAnsi="Arial" w:cs="Arial"/>
                <w:sz w:val="22"/>
                <w:szCs w:val="22"/>
              </w:rPr>
              <w:t>ncrease the frequency of platelet monitoring to twice weekly.</w:t>
            </w:r>
            <w:r w:rsidR="00DD3320">
              <w:rPr>
                <w:rFonts w:ascii="Arial" w:hAnsi="Arial" w:cs="Arial"/>
                <w:sz w:val="22"/>
                <w:szCs w:val="22"/>
              </w:rPr>
              <w:t xml:space="preserve"> </w:t>
            </w:r>
            <w:r w:rsidRPr="008D7808">
              <w:rPr>
                <w:rFonts w:ascii="Arial" w:hAnsi="Arial" w:cs="Arial"/>
                <w:sz w:val="22"/>
                <w:szCs w:val="22"/>
              </w:rPr>
              <w:t xml:space="preserve">Once the platelet </w:t>
            </w:r>
            <w:r w:rsidR="00753FCF">
              <w:rPr>
                <w:rFonts w:ascii="Arial" w:hAnsi="Arial" w:cs="Arial"/>
                <w:sz w:val="22"/>
                <w:szCs w:val="22"/>
              </w:rPr>
              <w:t xml:space="preserve">count is &lt; </w:t>
            </w:r>
            <w:r w:rsidRPr="008D7808">
              <w:rPr>
                <w:rFonts w:ascii="Arial" w:hAnsi="Arial" w:cs="Arial"/>
                <w:sz w:val="22"/>
                <w:szCs w:val="22"/>
              </w:rPr>
              <w:t>150</w:t>
            </w:r>
            <w:r w:rsidR="00561258">
              <w:rPr>
                <w:rFonts w:ascii="Arial" w:hAnsi="Arial" w:cs="Arial"/>
                <w:sz w:val="22"/>
                <w:szCs w:val="22"/>
              </w:rPr>
              <w:t xml:space="preserve"> x 10</w:t>
            </w:r>
            <w:r w:rsidR="00561258" w:rsidRPr="00561258">
              <w:rPr>
                <w:rFonts w:ascii="Arial" w:hAnsi="Arial" w:cs="Arial"/>
                <w:sz w:val="22"/>
                <w:szCs w:val="22"/>
                <w:vertAlign w:val="superscript"/>
              </w:rPr>
              <w:t>9</w:t>
            </w:r>
            <w:r w:rsidRPr="008D7808">
              <w:rPr>
                <w:rFonts w:ascii="Arial" w:hAnsi="Arial" w:cs="Arial"/>
                <w:sz w:val="22"/>
                <w:szCs w:val="22"/>
              </w:rPr>
              <w:t>/</w:t>
            </w:r>
            <w:r w:rsidR="00C00462">
              <w:rPr>
                <w:rFonts w:ascii="Arial" w:hAnsi="Arial" w:cs="Arial"/>
                <w:sz w:val="22"/>
                <w:szCs w:val="22"/>
              </w:rPr>
              <w:t>L</w:t>
            </w:r>
            <w:r w:rsidRPr="008D7808">
              <w:rPr>
                <w:rFonts w:ascii="Arial" w:hAnsi="Arial" w:cs="Arial"/>
                <w:sz w:val="22"/>
                <w:szCs w:val="22"/>
              </w:rPr>
              <w:t>, reinitiate therapy at a lower daily dose*.</w:t>
            </w:r>
          </w:p>
        </w:tc>
      </w:tr>
    </w:tbl>
    <w:p w14:paraId="5553BD38" w14:textId="1E5A703C" w:rsidR="008D7808" w:rsidRPr="005262EC" w:rsidRDefault="00753FCF" w:rsidP="004553F8">
      <w:pPr>
        <w:keepNext/>
        <w:spacing w:line="300" w:lineRule="atLeast"/>
        <w:jc w:val="both"/>
        <w:rPr>
          <w:rFonts w:ascii="Arial" w:hAnsi="Arial" w:cs="Arial"/>
          <w:sz w:val="20"/>
          <w:szCs w:val="20"/>
        </w:rPr>
      </w:pPr>
      <w:r w:rsidRPr="005262EC">
        <w:rPr>
          <w:rFonts w:ascii="Arial" w:hAnsi="Arial" w:cs="Arial"/>
          <w:sz w:val="20"/>
          <w:szCs w:val="20"/>
        </w:rPr>
        <w:t xml:space="preserve">* For patients taking 25 </w:t>
      </w:r>
      <w:r w:rsidR="008D7808" w:rsidRPr="005262EC">
        <w:rPr>
          <w:rFonts w:ascii="Arial" w:hAnsi="Arial" w:cs="Arial"/>
          <w:sz w:val="20"/>
          <w:szCs w:val="20"/>
        </w:rPr>
        <w:t xml:space="preserve">mg </w:t>
      </w:r>
      <w:r w:rsidRPr="005262EC">
        <w:rPr>
          <w:rFonts w:ascii="Arial" w:hAnsi="Arial" w:cs="Arial"/>
          <w:sz w:val="20"/>
          <w:szCs w:val="20"/>
        </w:rPr>
        <w:t>REVOLADE</w:t>
      </w:r>
      <w:r w:rsidR="008D7808" w:rsidRPr="005262EC">
        <w:rPr>
          <w:rFonts w:ascii="Arial" w:hAnsi="Arial" w:cs="Arial"/>
          <w:sz w:val="20"/>
          <w:szCs w:val="20"/>
        </w:rPr>
        <w:t xml:space="preserve"> once daily, consideration should be given to reinitiating dosing at </w:t>
      </w:r>
      <w:r w:rsidRPr="005262EC">
        <w:rPr>
          <w:rFonts w:ascii="Arial" w:hAnsi="Arial" w:cs="Arial"/>
          <w:sz w:val="20"/>
          <w:szCs w:val="20"/>
        </w:rPr>
        <w:t xml:space="preserve">25 </w:t>
      </w:r>
      <w:r w:rsidR="008D7808" w:rsidRPr="005262EC">
        <w:rPr>
          <w:rFonts w:ascii="Arial" w:hAnsi="Arial" w:cs="Arial"/>
          <w:sz w:val="20"/>
          <w:szCs w:val="20"/>
        </w:rPr>
        <w:t>mg every other day.</w:t>
      </w:r>
    </w:p>
    <w:p w14:paraId="5553BD39" w14:textId="77777777" w:rsidR="008D7808" w:rsidRPr="008D7808" w:rsidRDefault="008D7808" w:rsidP="008C50AD">
      <w:pPr>
        <w:spacing w:line="300" w:lineRule="atLeast"/>
        <w:jc w:val="both"/>
        <w:rPr>
          <w:rFonts w:ascii="Arial" w:hAnsi="Arial" w:cs="Arial"/>
          <w:sz w:val="22"/>
          <w:szCs w:val="22"/>
        </w:rPr>
      </w:pPr>
    </w:p>
    <w:p w14:paraId="5553BD3A" w14:textId="77777777" w:rsidR="008D7808" w:rsidRPr="004553F8" w:rsidRDefault="008D7808" w:rsidP="004553F8">
      <w:pPr>
        <w:spacing w:after="120" w:line="300" w:lineRule="atLeast"/>
        <w:jc w:val="both"/>
        <w:rPr>
          <w:u w:val="single"/>
        </w:rPr>
      </w:pPr>
      <w:r w:rsidRPr="004553F8">
        <w:rPr>
          <w:u w:val="single"/>
        </w:rPr>
        <w:t>Discontinuation</w:t>
      </w:r>
    </w:p>
    <w:p w14:paraId="5553BD3C" w14:textId="77777777" w:rsidR="008D7808" w:rsidRPr="004553F8" w:rsidRDefault="008D7808" w:rsidP="004553F8">
      <w:pPr>
        <w:spacing w:line="300" w:lineRule="atLeast"/>
        <w:jc w:val="both"/>
      </w:pPr>
      <w:r w:rsidRPr="004553F8">
        <w:t xml:space="preserve">In patients with HCV genotype 1/4/6, </w:t>
      </w:r>
      <w:r w:rsidR="000D3B2D" w:rsidRPr="004553F8">
        <w:rPr>
          <w:lang w:val="en-GB"/>
        </w:rPr>
        <w:t xml:space="preserve">independent of the decision to continue interferon therapy, </w:t>
      </w:r>
      <w:r w:rsidRPr="004553F8">
        <w:t xml:space="preserve">discontinuation of </w:t>
      </w:r>
      <w:r w:rsidR="00753FCF" w:rsidRPr="004553F8">
        <w:t>REVOLADE</w:t>
      </w:r>
      <w:r w:rsidRPr="004553F8">
        <w:t xml:space="preserve"> therapy should be considered in patients who do not achieve virological response at week 12</w:t>
      </w:r>
      <w:r w:rsidR="00E82A60" w:rsidRPr="004553F8">
        <w:t>.</w:t>
      </w:r>
      <w:r w:rsidRPr="004553F8">
        <w:t xml:space="preserve"> </w:t>
      </w:r>
      <w:r w:rsidR="00E82A60" w:rsidRPr="004553F8">
        <w:t>I</w:t>
      </w:r>
      <w:r w:rsidRPr="004553F8">
        <w:t>f HCV-</w:t>
      </w:r>
      <w:r w:rsidR="00753FCF" w:rsidRPr="004553F8">
        <w:t xml:space="preserve">RNA remains detectable after 24 </w:t>
      </w:r>
      <w:r w:rsidR="00E82A60" w:rsidRPr="004553F8">
        <w:t>weeks of therapy, REVOLADE therapy should be discontinued.</w:t>
      </w:r>
    </w:p>
    <w:p w14:paraId="5553BD3D" w14:textId="77777777" w:rsidR="008D7808" w:rsidRPr="0068500B" w:rsidRDefault="008D7808" w:rsidP="008C50AD">
      <w:pPr>
        <w:spacing w:line="300" w:lineRule="atLeast"/>
        <w:jc w:val="both"/>
        <w:rPr>
          <w:szCs w:val="22"/>
        </w:rPr>
      </w:pPr>
    </w:p>
    <w:p w14:paraId="5553BD3E" w14:textId="6D0703BA" w:rsidR="008D7808" w:rsidRDefault="00753FCF" w:rsidP="00D214C7">
      <w:pPr>
        <w:widowControl w:val="0"/>
        <w:spacing w:line="300" w:lineRule="atLeast"/>
        <w:jc w:val="both"/>
      </w:pPr>
      <w:r w:rsidRPr="004553F8">
        <w:t>REVOLADE</w:t>
      </w:r>
      <w:r w:rsidR="008D7808" w:rsidRPr="004553F8">
        <w:t xml:space="preserve"> treatment should be terminated when antiviral therapy is discontinued.</w:t>
      </w:r>
      <w:r w:rsidR="00CA5E65" w:rsidRPr="004553F8">
        <w:t xml:space="preserve"> </w:t>
      </w:r>
      <w:r w:rsidR="00CA5E65" w:rsidRPr="004553F8">
        <w:rPr>
          <w:lang w:val="en-GB"/>
        </w:rPr>
        <w:t xml:space="preserve">Excessive platelet count responses, as outlined in Table </w:t>
      </w:r>
      <w:r w:rsidR="00FB3E6F">
        <w:rPr>
          <w:lang w:val="en-GB"/>
        </w:rPr>
        <w:t>10</w:t>
      </w:r>
      <w:r w:rsidR="00CA5E65" w:rsidRPr="004553F8">
        <w:rPr>
          <w:lang w:val="en-GB"/>
        </w:rPr>
        <w:t xml:space="preserve"> or important liver test abnormalities may also necessitate discontinuation of REVOLADE (see </w:t>
      </w:r>
      <w:r w:rsidR="004553F8" w:rsidRPr="004553F8">
        <w:rPr>
          <w:lang w:val="en-GB"/>
        </w:rPr>
        <w:t>PRECAUTIONS</w:t>
      </w:r>
      <w:r w:rsidR="00CA5E65" w:rsidRPr="004553F8">
        <w:rPr>
          <w:lang w:val="en-GB"/>
        </w:rPr>
        <w:t>).</w:t>
      </w:r>
      <w:r w:rsidR="00CA5E65" w:rsidRPr="004553F8">
        <w:t xml:space="preserve"> </w:t>
      </w:r>
    </w:p>
    <w:p w14:paraId="1C69B074" w14:textId="336D1F65" w:rsidR="00B14125" w:rsidRPr="00561258" w:rsidRDefault="00B14125" w:rsidP="00B14125">
      <w:pPr>
        <w:tabs>
          <w:tab w:val="left" w:pos="450"/>
        </w:tabs>
        <w:spacing w:before="120" w:after="120" w:line="300" w:lineRule="atLeast"/>
        <w:jc w:val="both"/>
        <w:rPr>
          <w:b/>
          <w:i/>
          <w:color w:val="000000"/>
          <w:u w:val="single"/>
        </w:rPr>
      </w:pPr>
      <w:r>
        <w:rPr>
          <w:b/>
          <w:i/>
          <w:color w:val="000000"/>
          <w:u w:val="single"/>
        </w:rPr>
        <w:t>Children</w:t>
      </w:r>
    </w:p>
    <w:p w14:paraId="09329CF3" w14:textId="058B1C5D" w:rsidR="00B14125" w:rsidRPr="004553F8" w:rsidRDefault="00B14125" w:rsidP="004553F8">
      <w:pPr>
        <w:spacing w:line="300" w:lineRule="atLeast"/>
        <w:jc w:val="both"/>
      </w:pPr>
      <w:r>
        <w:t>The safety and efficacy of REVOLADE in children with chronic HCV have not been established.</w:t>
      </w:r>
    </w:p>
    <w:p w14:paraId="5553BD3F" w14:textId="77777777" w:rsidR="008D7808" w:rsidRPr="0068500B" w:rsidRDefault="008D7808" w:rsidP="00B91426">
      <w:pPr>
        <w:spacing w:line="300" w:lineRule="atLeast"/>
        <w:rPr>
          <w:szCs w:val="22"/>
        </w:rPr>
      </w:pPr>
    </w:p>
    <w:p w14:paraId="5553BD40" w14:textId="77777777" w:rsidR="00453C48" w:rsidRPr="008C264E" w:rsidRDefault="00453C48" w:rsidP="0057169F">
      <w:pPr>
        <w:keepNext/>
        <w:keepLines/>
        <w:spacing w:after="120" w:line="300" w:lineRule="atLeast"/>
        <w:rPr>
          <w:b/>
        </w:rPr>
      </w:pPr>
      <w:r w:rsidRPr="008C264E">
        <w:rPr>
          <w:b/>
        </w:rPr>
        <w:t>Severe Aplastic Anaemia</w:t>
      </w:r>
    </w:p>
    <w:p w14:paraId="4AC1665E" w14:textId="77777777" w:rsidR="00B14125" w:rsidRPr="00561258" w:rsidRDefault="00B14125" w:rsidP="0057169F">
      <w:pPr>
        <w:keepLines/>
        <w:tabs>
          <w:tab w:val="left" w:pos="450"/>
        </w:tabs>
        <w:spacing w:before="120" w:after="120" w:line="300" w:lineRule="atLeast"/>
        <w:jc w:val="both"/>
        <w:rPr>
          <w:b/>
          <w:i/>
          <w:color w:val="000000"/>
          <w:u w:val="single"/>
        </w:rPr>
      </w:pPr>
      <w:r w:rsidRPr="00561258">
        <w:rPr>
          <w:b/>
          <w:i/>
          <w:color w:val="000000"/>
          <w:u w:val="single"/>
        </w:rPr>
        <w:t>Adults</w:t>
      </w:r>
    </w:p>
    <w:p w14:paraId="5553BD42" w14:textId="77777777" w:rsidR="00453C48" w:rsidRPr="00AC1A0F" w:rsidRDefault="00453C48" w:rsidP="0057169F">
      <w:pPr>
        <w:keepLines/>
        <w:widowControl w:val="0"/>
        <w:spacing w:after="120" w:line="300" w:lineRule="atLeast"/>
        <w:jc w:val="both"/>
        <w:rPr>
          <w:u w:val="single"/>
        </w:rPr>
      </w:pPr>
      <w:r w:rsidRPr="00AC1A0F">
        <w:rPr>
          <w:u w:val="single"/>
        </w:rPr>
        <w:t>Initial Dose Regimen</w:t>
      </w:r>
    </w:p>
    <w:p w14:paraId="5553BD45" w14:textId="6E05C07B" w:rsidR="00453C48" w:rsidRDefault="00453C48" w:rsidP="0057169F">
      <w:pPr>
        <w:widowControl w:val="0"/>
        <w:spacing w:line="300" w:lineRule="atLeast"/>
        <w:jc w:val="both"/>
        <w:rPr>
          <w:szCs w:val="22"/>
          <w:lang w:val="en-GB"/>
        </w:rPr>
      </w:pPr>
      <w:r w:rsidRPr="0068500B">
        <w:rPr>
          <w:szCs w:val="22"/>
          <w:lang w:val="en-GB"/>
        </w:rPr>
        <w:t>Initiate REVOLADE at a dose of 50 mg once daily.</w:t>
      </w:r>
      <w:r w:rsidR="0021023A">
        <w:rPr>
          <w:szCs w:val="22"/>
          <w:lang w:val="en-GB"/>
        </w:rPr>
        <w:t xml:space="preserve"> </w:t>
      </w:r>
      <w:r w:rsidR="00B14125">
        <w:rPr>
          <w:szCs w:val="22"/>
          <w:lang w:val="en-GB"/>
        </w:rPr>
        <w:t xml:space="preserve">For </w:t>
      </w:r>
      <w:r w:rsidR="00B14125" w:rsidRPr="00B14125">
        <w:rPr>
          <w:szCs w:val="22"/>
          <w:lang w:val="en-GB"/>
        </w:rPr>
        <w:t>patients of East Asian ancestry (e.g. Chinese Japanese, Taiwanese, Korean or Thai), REVOLADE should be initiated at a dose of 25 mg once daily (see PHARMACOLOGY and DOSAGE AND ADMINISTRATION – Special populations)</w:t>
      </w:r>
      <w:r w:rsidR="00B14125">
        <w:rPr>
          <w:szCs w:val="22"/>
          <w:lang w:val="en-GB"/>
        </w:rPr>
        <w:t>.</w:t>
      </w:r>
    </w:p>
    <w:p w14:paraId="3DB5AC97" w14:textId="77777777" w:rsidR="00B14125" w:rsidRPr="0068500B" w:rsidRDefault="00B14125" w:rsidP="00453C48">
      <w:pPr>
        <w:spacing w:line="300" w:lineRule="atLeast"/>
        <w:jc w:val="both"/>
        <w:rPr>
          <w:szCs w:val="22"/>
          <w:lang w:val="en-GB"/>
        </w:rPr>
      </w:pPr>
    </w:p>
    <w:p w14:paraId="5553BD46" w14:textId="77777777" w:rsidR="00453C48" w:rsidRPr="00AC1A0F" w:rsidRDefault="00453C48" w:rsidP="00AC1A0F">
      <w:pPr>
        <w:spacing w:after="120" w:line="300" w:lineRule="atLeast"/>
        <w:jc w:val="both"/>
        <w:rPr>
          <w:u w:val="single"/>
        </w:rPr>
      </w:pPr>
      <w:r w:rsidRPr="00AC1A0F">
        <w:rPr>
          <w:u w:val="single"/>
        </w:rPr>
        <w:t>Monitoring and dose adjustment</w:t>
      </w:r>
    </w:p>
    <w:p w14:paraId="5553BD48" w14:textId="4126EE88" w:rsidR="00453C48" w:rsidRPr="0068500B" w:rsidRDefault="00453C48" w:rsidP="00453C48">
      <w:pPr>
        <w:spacing w:line="300" w:lineRule="atLeast"/>
        <w:jc w:val="both"/>
        <w:rPr>
          <w:szCs w:val="22"/>
          <w:lang w:val="en-GB"/>
        </w:rPr>
      </w:pPr>
      <w:r w:rsidRPr="0068500B">
        <w:rPr>
          <w:szCs w:val="22"/>
          <w:lang w:val="en-GB"/>
        </w:rPr>
        <w:lastRenderedPageBreak/>
        <w:t xml:space="preserve">Haematological response requires dose titration, generally up to 150 mg, and may take up to 16 weeks after starting REVOLADE </w:t>
      </w:r>
      <w:r w:rsidRPr="00561258">
        <w:rPr>
          <w:szCs w:val="22"/>
          <w:lang w:val="en-GB"/>
        </w:rPr>
        <w:t xml:space="preserve">(see </w:t>
      </w:r>
      <w:r w:rsidR="00561258" w:rsidRPr="00561258">
        <w:rPr>
          <w:szCs w:val="22"/>
          <w:lang w:val="en-GB"/>
        </w:rPr>
        <w:t>CLINICAL STUDIES</w:t>
      </w:r>
      <w:r w:rsidRPr="00561258">
        <w:rPr>
          <w:szCs w:val="22"/>
          <w:lang w:val="en-GB"/>
        </w:rPr>
        <w:t>). Adjust</w:t>
      </w:r>
      <w:r w:rsidRPr="0068500B">
        <w:rPr>
          <w:szCs w:val="22"/>
          <w:lang w:val="en-GB"/>
        </w:rPr>
        <w:t xml:space="preserve"> the dose of REVOLADE in 50 mg increments every 2 weeks as necessary to achieve the target platelet count ≥ 50</w:t>
      </w:r>
      <w:r w:rsidR="00561258">
        <w:rPr>
          <w:szCs w:val="22"/>
          <w:lang w:val="en-GB"/>
        </w:rPr>
        <w:t xml:space="preserve"> x 10</w:t>
      </w:r>
      <w:r w:rsidR="00561258" w:rsidRPr="00561258">
        <w:rPr>
          <w:szCs w:val="22"/>
          <w:vertAlign w:val="superscript"/>
          <w:lang w:val="en-GB"/>
        </w:rPr>
        <w:t>9</w:t>
      </w:r>
      <w:r w:rsidRPr="0068500B">
        <w:rPr>
          <w:szCs w:val="22"/>
          <w:lang w:val="en-GB"/>
        </w:rPr>
        <w:t>/</w:t>
      </w:r>
      <w:r w:rsidR="00C00462">
        <w:rPr>
          <w:szCs w:val="22"/>
          <w:lang w:val="en-GB"/>
        </w:rPr>
        <w:t>L</w:t>
      </w:r>
      <w:r w:rsidRPr="0068500B">
        <w:rPr>
          <w:szCs w:val="22"/>
          <w:lang w:val="en-GB"/>
        </w:rPr>
        <w:t>. Do not exceed a dose of 150 mg daily. Monitor clinical haematology and liver tests regularly throughout therapy with REVOLADE and modify the dosage regimen of REVOLADE based on platelet counts as outlined in Table </w:t>
      </w:r>
      <w:r w:rsidR="00B3195A">
        <w:rPr>
          <w:szCs w:val="22"/>
          <w:lang w:val="en-GB"/>
        </w:rPr>
        <w:t>1</w:t>
      </w:r>
      <w:r w:rsidR="00E23457">
        <w:rPr>
          <w:szCs w:val="22"/>
          <w:lang w:val="en-GB"/>
        </w:rPr>
        <w:t>1</w:t>
      </w:r>
      <w:r w:rsidRPr="0068500B">
        <w:rPr>
          <w:szCs w:val="22"/>
          <w:lang w:val="en-GB"/>
        </w:rPr>
        <w:t>.</w:t>
      </w:r>
    </w:p>
    <w:p w14:paraId="5553BD49" w14:textId="77777777" w:rsidR="00453C48" w:rsidRPr="000D7D0E" w:rsidRDefault="00453C48" w:rsidP="00453C48">
      <w:pPr>
        <w:spacing w:line="300" w:lineRule="atLeast"/>
        <w:jc w:val="both"/>
        <w:rPr>
          <w:sz w:val="22"/>
          <w:szCs w:val="22"/>
          <w:lang w:val="en-GB"/>
        </w:rPr>
      </w:pPr>
    </w:p>
    <w:p w14:paraId="5553BD4A" w14:textId="0D99A9E8" w:rsidR="00453C48" w:rsidRPr="00E23457" w:rsidRDefault="0078311B" w:rsidP="00453C48">
      <w:pPr>
        <w:spacing w:after="240" w:line="300" w:lineRule="atLeast"/>
        <w:jc w:val="both"/>
        <w:rPr>
          <w:rFonts w:ascii="Arial" w:hAnsi="Arial" w:cs="Arial"/>
          <w:b/>
          <w:lang w:val="en-GB" w:eastAsia="en-GB"/>
        </w:rPr>
      </w:pPr>
      <w:r w:rsidRPr="00E23457">
        <w:rPr>
          <w:rFonts w:ascii="Arial" w:hAnsi="Arial" w:cs="Arial"/>
          <w:b/>
          <w:lang w:val="en-GB" w:eastAsia="en-GB"/>
        </w:rPr>
        <w:t>Table </w:t>
      </w:r>
      <w:r w:rsidR="00B3195A" w:rsidRPr="00E23457">
        <w:rPr>
          <w:rFonts w:ascii="Arial" w:hAnsi="Arial" w:cs="Arial"/>
          <w:b/>
          <w:lang w:val="en-GB" w:eastAsia="en-GB"/>
        </w:rPr>
        <w:t>1</w:t>
      </w:r>
      <w:r w:rsidR="00E23457" w:rsidRPr="00E23457">
        <w:rPr>
          <w:rFonts w:ascii="Arial" w:hAnsi="Arial" w:cs="Arial"/>
          <w:b/>
          <w:lang w:val="en-GB" w:eastAsia="en-GB"/>
        </w:rPr>
        <w:t>1</w:t>
      </w:r>
      <w:r w:rsidR="00453C48" w:rsidRPr="00E23457">
        <w:rPr>
          <w:rFonts w:ascii="Arial" w:hAnsi="Arial" w:cs="Arial"/>
          <w:b/>
          <w:lang w:val="en-GB" w:eastAsia="en-GB"/>
        </w:rPr>
        <w:t>: Dose adjustments of REVOLADE in patients with severe aplastic anaemia</w:t>
      </w:r>
    </w:p>
    <w:tbl>
      <w:tblPr>
        <w:tblW w:w="9904" w:type="dxa"/>
        <w:tblLook w:val="01E0" w:firstRow="1" w:lastRow="1" w:firstColumn="1" w:lastColumn="1" w:noHBand="0" w:noVBand="0"/>
      </w:tblPr>
      <w:tblGrid>
        <w:gridCol w:w="3168"/>
        <w:gridCol w:w="6736"/>
      </w:tblGrid>
      <w:tr w:rsidR="00453C48" w:rsidRPr="00453C48" w14:paraId="5553BD4D" w14:textId="77777777" w:rsidTr="00A00AD3">
        <w:trPr>
          <w:tblHeader/>
        </w:trPr>
        <w:tc>
          <w:tcPr>
            <w:tcW w:w="3168" w:type="dxa"/>
            <w:tcBorders>
              <w:top w:val="single" w:sz="4" w:space="0" w:color="auto"/>
              <w:bottom w:val="single" w:sz="4" w:space="0" w:color="auto"/>
            </w:tcBorders>
          </w:tcPr>
          <w:p w14:paraId="5553BD4B" w14:textId="77777777" w:rsidR="00453C48" w:rsidRPr="00453C48" w:rsidRDefault="00453C48" w:rsidP="00453C48">
            <w:pPr>
              <w:spacing w:line="300" w:lineRule="atLeast"/>
              <w:jc w:val="both"/>
              <w:rPr>
                <w:rFonts w:ascii="Arial" w:hAnsi="Arial" w:cs="Arial"/>
                <w:b/>
                <w:sz w:val="22"/>
                <w:szCs w:val="22"/>
                <w:lang w:val="en-GB"/>
              </w:rPr>
            </w:pPr>
            <w:r w:rsidRPr="00453C48">
              <w:rPr>
                <w:rFonts w:ascii="Arial" w:hAnsi="Arial" w:cs="Arial"/>
                <w:b/>
                <w:sz w:val="22"/>
                <w:szCs w:val="22"/>
                <w:lang w:val="en-GB"/>
              </w:rPr>
              <w:t>Platelet Count Result</w:t>
            </w:r>
          </w:p>
        </w:tc>
        <w:tc>
          <w:tcPr>
            <w:tcW w:w="6736" w:type="dxa"/>
            <w:tcBorders>
              <w:top w:val="single" w:sz="4" w:space="0" w:color="auto"/>
              <w:bottom w:val="single" w:sz="4" w:space="0" w:color="auto"/>
            </w:tcBorders>
          </w:tcPr>
          <w:p w14:paraId="5553BD4C" w14:textId="77777777" w:rsidR="00453C48" w:rsidRPr="00453C48" w:rsidRDefault="00453C48" w:rsidP="00453C48">
            <w:pPr>
              <w:spacing w:line="300" w:lineRule="atLeast"/>
              <w:jc w:val="both"/>
              <w:rPr>
                <w:rFonts w:ascii="Arial" w:hAnsi="Arial" w:cs="Arial"/>
                <w:b/>
                <w:sz w:val="22"/>
                <w:szCs w:val="22"/>
                <w:lang w:val="en-GB"/>
              </w:rPr>
            </w:pPr>
            <w:r w:rsidRPr="00453C48">
              <w:rPr>
                <w:rFonts w:ascii="Arial" w:hAnsi="Arial" w:cs="Arial"/>
                <w:b/>
                <w:sz w:val="22"/>
                <w:szCs w:val="22"/>
                <w:lang w:val="en-GB"/>
              </w:rPr>
              <w:t>Dose Adjustment or Response</w:t>
            </w:r>
          </w:p>
        </w:tc>
      </w:tr>
      <w:tr w:rsidR="00453C48" w:rsidRPr="00453C48" w14:paraId="5553BD50" w14:textId="77777777" w:rsidTr="00B3195A">
        <w:tc>
          <w:tcPr>
            <w:tcW w:w="3168" w:type="dxa"/>
            <w:tcBorders>
              <w:top w:val="single" w:sz="4" w:space="0" w:color="auto"/>
            </w:tcBorders>
          </w:tcPr>
          <w:p w14:paraId="5553BD4E" w14:textId="282AEBBC" w:rsidR="00453C48" w:rsidRPr="00453C48" w:rsidRDefault="00453C48" w:rsidP="00561258">
            <w:pPr>
              <w:spacing w:line="300" w:lineRule="atLeast"/>
              <w:jc w:val="both"/>
              <w:rPr>
                <w:rFonts w:ascii="Arial" w:hAnsi="Arial" w:cs="Arial"/>
                <w:sz w:val="22"/>
                <w:szCs w:val="22"/>
                <w:lang w:val="en-GB"/>
              </w:rPr>
            </w:pPr>
            <w:r w:rsidRPr="00453C48">
              <w:rPr>
                <w:rFonts w:ascii="Arial" w:hAnsi="Arial" w:cs="Arial"/>
                <w:sz w:val="22"/>
                <w:szCs w:val="22"/>
                <w:lang w:val="en-GB"/>
              </w:rPr>
              <w:t>&lt; 50</w:t>
            </w:r>
            <w:r w:rsidR="00561258">
              <w:rPr>
                <w:rFonts w:ascii="Arial" w:hAnsi="Arial" w:cs="Arial"/>
                <w:sz w:val="22"/>
                <w:szCs w:val="22"/>
                <w:lang w:val="en-GB"/>
              </w:rPr>
              <w:t xml:space="preserve"> x 10</w:t>
            </w:r>
            <w:r w:rsidR="00561258" w:rsidRPr="00561258">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r w:rsidRPr="00453C48">
              <w:rPr>
                <w:rFonts w:ascii="Arial" w:hAnsi="Arial" w:cs="Arial"/>
                <w:sz w:val="22"/>
                <w:szCs w:val="22"/>
                <w:lang w:val="en-GB"/>
              </w:rPr>
              <w:t xml:space="preserve"> following at least 2 weeks of therapy</w:t>
            </w:r>
          </w:p>
        </w:tc>
        <w:tc>
          <w:tcPr>
            <w:tcW w:w="6736" w:type="dxa"/>
            <w:tcBorders>
              <w:top w:val="single" w:sz="4" w:space="0" w:color="auto"/>
            </w:tcBorders>
          </w:tcPr>
          <w:p w14:paraId="27AB7565" w14:textId="77777777" w:rsidR="00453C48" w:rsidRDefault="00453C48" w:rsidP="00453C48">
            <w:pPr>
              <w:spacing w:line="300" w:lineRule="atLeast"/>
              <w:jc w:val="both"/>
              <w:rPr>
                <w:rFonts w:ascii="Arial" w:hAnsi="Arial" w:cs="Arial"/>
                <w:sz w:val="22"/>
                <w:szCs w:val="22"/>
                <w:lang w:val="en-GB"/>
              </w:rPr>
            </w:pPr>
            <w:r w:rsidRPr="00453C48">
              <w:rPr>
                <w:rFonts w:ascii="Arial" w:hAnsi="Arial" w:cs="Arial"/>
                <w:sz w:val="22"/>
                <w:szCs w:val="22"/>
                <w:lang w:val="en-GB"/>
              </w:rPr>
              <w:t>Increase daily dose by 50 mg to a maximum of 150 mg/day. For patients of East Asian ancestry or those with hepatic impairment taking 25 mg once daily, increase the dose to 50 mg daily before increasing the dose amount by 50 mg.</w:t>
            </w:r>
          </w:p>
          <w:p w14:paraId="5553BD4F" w14:textId="77777777" w:rsidR="00B3195A" w:rsidRPr="00453C48" w:rsidRDefault="00B3195A" w:rsidP="00453C48">
            <w:pPr>
              <w:spacing w:line="300" w:lineRule="atLeast"/>
              <w:jc w:val="both"/>
              <w:rPr>
                <w:rFonts w:ascii="Arial" w:hAnsi="Arial" w:cs="Arial"/>
                <w:sz w:val="22"/>
                <w:szCs w:val="22"/>
                <w:lang w:val="en-GB"/>
              </w:rPr>
            </w:pPr>
          </w:p>
        </w:tc>
      </w:tr>
      <w:tr w:rsidR="00453C48" w:rsidRPr="00453C48" w14:paraId="5553BD53" w14:textId="77777777" w:rsidTr="00B3195A">
        <w:tc>
          <w:tcPr>
            <w:tcW w:w="3168" w:type="dxa"/>
          </w:tcPr>
          <w:p w14:paraId="5553BD51" w14:textId="6BC56C02" w:rsidR="00453C48" w:rsidRPr="00453C48" w:rsidRDefault="00453C48" w:rsidP="00561258">
            <w:pPr>
              <w:spacing w:line="300" w:lineRule="atLeast"/>
              <w:jc w:val="both"/>
              <w:rPr>
                <w:rFonts w:ascii="Arial" w:hAnsi="Arial" w:cs="Arial"/>
                <w:sz w:val="22"/>
                <w:szCs w:val="22"/>
                <w:lang w:val="en-GB"/>
              </w:rPr>
            </w:pPr>
            <w:r w:rsidRPr="00453C48">
              <w:rPr>
                <w:rFonts w:ascii="Arial" w:hAnsi="Arial" w:cs="Arial"/>
                <w:sz w:val="22"/>
                <w:szCs w:val="22"/>
                <w:lang w:val="en-GB"/>
              </w:rPr>
              <w:t>≥ 200</w:t>
            </w:r>
            <w:r w:rsidR="00561258">
              <w:rPr>
                <w:rFonts w:ascii="Arial" w:hAnsi="Arial" w:cs="Arial"/>
                <w:sz w:val="22"/>
                <w:szCs w:val="22"/>
                <w:lang w:val="en-GB"/>
              </w:rPr>
              <w:t xml:space="preserve"> x 10</w:t>
            </w:r>
            <w:r w:rsidR="00561258" w:rsidRPr="00561258">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r w:rsidRPr="00453C48">
              <w:rPr>
                <w:rFonts w:ascii="Arial" w:hAnsi="Arial" w:cs="Arial"/>
                <w:sz w:val="22"/>
                <w:szCs w:val="22"/>
                <w:lang w:val="en-GB"/>
              </w:rPr>
              <w:t xml:space="preserve"> to ≤ 400</w:t>
            </w:r>
            <w:r w:rsidR="00561258">
              <w:rPr>
                <w:rFonts w:ascii="Arial" w:hAnsi="Arial" w:cs="Arial"/>
                <w:sz w:val="22"/>
                <w:szCs w:val="22"/>
                <w:lang w:val="en-GB"/>
              </w:rPr>
              <w:t xml:space="preserve"> x 10</w:t>
            </w:r>
            <w:r w:rsidR="00561258" w:rsidRPr="00561258">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r w:rsidRPr="00453C48">
              <w:rPr>
                <w:rFonts w:ascii="Arial" w:hAnsi="Arial" w:cs="Arial"/>
                <w:sz w:val="22"/>
                <w:szCs w:val="22"/>
                <w:lang w:val="en-GB"/>
              </w:rPr>
              <w:t xml:space="preserve"> at any time</w:t>
            </w:r>
          </w:p>
        </w:tc>
        <w:tc>
          <w:tcPr>
            <w:tcW w:w="6736" w:type="dxa"/>
          </w:tcPr>
          <w:p w14:paraId="77C3658D" w14:textId="77777777" w:rsidR="00453C48" w:rsidRDefault="00453C48" w:rsidP="00453C48">
            <w:pPr>
              <w:spacing w:line="300" w:lineRule="atLeast"/>
              <w:jc w:val="both"/>
              <w:rPr>
                <w:rFonts w:ascii="Arial" w:hAnsi="Arial" w:cs="Arial"/>
                <w:sz w:val="22"/>
                <w:szCs w:val="22"/>
                <w:lang w:val="en-GB"/>
              </w:rPr>
            </w:pPr>
            <w:r w:rsidRPr="00453C48">
              <w:rPr>
                <w:rFonts w:ascii="Arial" w:hAnsi="Arial" w:cs="Arial"/>
                <w:sz w:val="22"/>
                <w:szCs w:val="22"/>
                <w:lang w:val="en-GB"/>
              </w:rPr>
              <w:t>Decrease the daily dose by 50 mg. Wait 2 weeks to assess the effects of this and any subsequent dose adjustments.</w:t>
            </w:r>
          </w:p>
          <w:p w14:paraId="5553BD52" w14:textId="77777777" w:rsidR="00B3195A" w:rsidRPr="00453C48" w:rsidRDefault="00B3195A" w:rsidP="00453C48">
            <w:pPr>
              <w:spacing w:line="300" w:lineRule="atLeast"/>
              <w:jc w:val="both"/>
              <w:rPr>
                <w:rFonts w:ascii="Arial" w:hAnsi="Arial" w:cs="Arial"/>
                <w:sz w:val="22"/>
                <w:szCs w:val="22"/>
                <w:lang w:val="en-GB"/>
              </w:rPr>
            </w:pPr>
          </w:p>
        </w:tc>
      </w:tr>
      <w:tr w:rsidR="00453C48" w:rsidRPr="00453C48" w14:paraId="5553BD57" w14:textId="77777777" w:rsidTr="00B3195A">
        <w:tc>
          <w:tcPr>
            <w:tcW w:w="3168" w:type="dxa"/>
          </w:tcPr>
          <w:p w14:paraId="5553BD54" w14:textId="5AB1C824" w:rsidR="00453C48" w:rsidRPr="00453C48" w:rsidRDefault="00453C48" w:rsidP="00561258">
            <w:pPr>
              <w:spacing w:line="300" w:lineRule="atLeast"/>
              <w:jc w:val="both"/>
              <w:rPr>
                <w:rFonts w:ascii="Arial" w:hAnsi="Arial" w:cs="Arial"/>
                <w:sz w:val="22"/>
                <w:szCs w:val="22"/>
                <w:lang w:val="en-GB"/>
              </w:rPr>
            </w:pPr>
            <w:r w:rsidRPr="00453C48">
              <w:rPr>
                <w:rFonts w:ascii="Arial" w:hAnsi="Arial" w:cs="Arial"/>
                <w:sz w:val="22"/>
                <w:szCs w:val="22"/>
                <w:lang w:val="en-GB"/>
              </w:rPr>
              <w:t>&gt; 400</w:t>
            </w:r>
            <w:r w:rsidR="00561258">
              <w:rPr>
                <w:rFonts w:ascii="Arial" w:hAnsi="Arial" w:cs="Arial"/>
                <w:sz w:val="22"/>
                <w:szCs w:val="22"/>
                <w:lang w:val="en-GB"/>
              </w:rPr>
              <w:t xml:space="preserve"> x 10</w:t>
            </w:r>
            <w:r w:rsidR="00561258" w:rsidRPr="00561258">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p>
        </w:tc>
        <w:tc>
          <w:tcPr>
            <w:tcW w:w="6736" w:type="dxa"/>
          </w:tcPr>
          <w:p w14:paraId="5553BD55" w14:textId="77777777" w:rsidR="00453C48" w:rsidRPr="00453C48" w:rsidRDefault="00453C48" w:rsidP="00453C48">
            <w:pPr>
              <w:spacing w:line="300" w:lineRule="atLeast"/>
              <w:jc w:val="both"/>
              <w:rPr>
                <w:rFonts w:ascii="Arial" w:hAnsi="Arial" w:cs="Arial"/>
                <w:sz w:val="22"/>
                <w:szCs w:val="22"/>
                <w:lang w:val="en-GB"/>
              </w:rPr>
            </w:pPr>
            <w:r w:rsidRPr="00453C48">
              <w:rPr>
                <w:rFonts w:ascii="Arial" w:hAnsi="Arial" w:cs="Arial"/>
                <w:sz w:val="22"/>
                <w:szCs w:val="22"/>
                <w:lang w:val="en-GB"/>
              </w:rPr>
              <w:t xml:space="preserve">Stop </w:t>
            </w:r>
            <w:r>
              <w:rPr>
                <w:rFonts w:ascii="Arial" w:hAnsi="Arial" w:cs="Arial"/>
                <w:sz w:val="22"/>
                <w:szCs w:val="22"/>
                <w:lang w:val="en-GB"/>
              </w:rPr>
              <w:t>REVOLADE</w:t>
            </w:r>
            <w:r w:rsidRPr="00453C48">
              <w:rPr>
                <w:rFonts w:ascii="Arial" w:hAnsi="Arial" w:cs="Arial"/>
                <w:sz w:val="22"/>
                <w:szCs w:val="22"/>
                <w:lang w:val="en-GB"/>
              </w:rPr>
              <w:t xml:space="preserve"> for at least one week.</w:t>
            </w:r>
          </w:p>
          <w:p w14:paraId="1E1BC577" w14:textId="3B771E40" w:rsidR="00453C48" w:rsidRDefault="00453C48" w:rsidP="00453C48">
            <w:pPr>
              <w:spacing w:line="300" w:lineRule="atLeast"/>
              <w:jc w:val="both"/>
              <w:rPr>
                <w:rFonts w:ascii="Arial" w:hAnsi="Arial" w:cs="Arial"/>
                <w:sz w:val="22"/>
                <w:szCs w:val="22"/>
                <w:lang w:val="en-GB"/>
              </w:rPr>
            </w:pPr>
            <w:r w:rsidRPr="00453C48">
              <w:rPr>
                <w:rFonts w:ascii="Arial" w:hAnsi="Arial" w:cs="Arial"/>
                <w:sz w:val="22"/>
                <w:szCs w:val="22"/>
                <w:lang w:val="en-GB"/>
              </w:rPr>
              <w:t>Once the platelet count is &lt; 150</w:t>
            </w:r>
            <w:r w:rsidR="004D5871">
              <w:rPr>
                <w:rFonts w:ascii="Arial" w:hAnsi="Arial" w:cs="Arial"/>
                <w:sz w:val="22"/>
                <w:szCs w:val="22"/>
                <w:lang w:val="en-GB"/>
              </w:rPr>
              <w:t xml:space="preserve"> x 10</w:t>
            </w:r>
            <w:r w:rsidR="004D5871" w:rsidRPr="004D5871">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r w:rsidRPr="00453C48">
              <w:rPr>
                <w:rFonts w:ascii="Arial" w:hAnsi="Arial" w:cs="Arial"/>
                <w:sz w:val="22"/>
                <w:szCs w:val="22"/>
                <w:lang w:val="en-GB"/>
              </w:rPr>
              <w:t>, reinitiate therapy at a dose reduced by 50 mg.</w:t>
            </w:r>
          </w:p>
          <w:p w14:paraId="5553BD56" w14:textId="65CE7471" w:rsidR="00B3195A" w:rsidRPr="00453C48" w:rsidRDefault="00B3195A" w:rsidP="00453C48">
            <w:pPr>
              <w:spacing w:line="300" w:lineRule="atLeast"/>
              <w:jc w:val="both"/>
              <w:rPr>
                <w:rFonts w:ascii="Arial" w:hAnsi="Arial" w:cs="Arial"/>
                <w:sz w:val="22"/>
                <w:szCs w:val="22"/>
                <w:lang w:val="en-GB"/>
              </w:rPr>
            </w:pPr>
          </w:p>
        </w:tc>
      </w:tr>
      <w:tr w:rsidR="00453C48" w:rsidRPr="00453C48" w14:paraId="5553BD5A" w14:textId="77777777" w:rsidTr="00B3195A">
        <w:tc>
          <w:tcPr>
            <w:tcW w:w="3168" w:type="dxa"/>
            <w:tcBorders>
              <w:bottom w:val="single" w:sz="4" w:space="0" w:color="auto"/>
            </w:tcBorders>
          </w:tcPr>
          <w:p w14:paraId="5553BD58" w14:textId="507EC6A3" w:rsidR="00453C48" w:rsidRPr="00453C48" w:rsidRDefault="00453C48" w:rsidP="00561258">
            <w:pPr>
              <w:spacing w:line="300" w:lineRule="atLeast"/>
              <w:jc w:val="both"/>
              <w:rPr>
                <w:rFonts w:ascii="Arial" w:hAnsi="Arial" w:cs="Arial"/>
                <w:sz w:val="22"/>
                <w:szCs w:val="22"/>
                <w:lang w:val="en-GB"/>
              </w:rPr>
            </w:pPr>
            <w:r w:rsidRPr="00453C48">
              <w:rPr>
                <w:rFonts w:ascii="Arial" w:hAnsi="Arial" w:cs="Arial"/>
                <w:sz w:val="22"/>
                <w:szCs w:val="22"/>
                <w:lang w:val="en-GB"/>
              </w:rPr>
              <w:t>&gt; 400</w:t>
            </w:r>
            <w:r w:rsidR="00561258">
              <w:rPr>
                <w:rFonts w:ascii="Arial" w:hAnsi="Arial" w:cs="Arial"/>
                <w:sz w:val="22"/>
                <w:szCs w:val="22"/>
                <w:lang w:val="en-GB"/>
              </w:rPr>
              <w:t xml:space="preserve"> x 10</w:t>
            </w:r>
            <w:r w:rsidR="00561258" w:rsidRPr="00561258">
              <w:rPr>
                <w:rFonts w:ascii="Arial" w:hAnsi="Arial" w:cs="Arial"/>
                <w:sz w:val="22"/>
                <w:szCs w:val="22"/>
                <w:vertAlign w:val="superscript"/>
                <w:lang w:val="en-GB"/>
              </w:rPr>
              <w:t>9</w:t>
            </w:r>
            <w:r w:rsidRPr="00453C48">
              <w:rPr>
                <w:rFonts w:ascii="Arial" w:hAnsi="Arial" w:cs="Arial"/>
                <w:sz w:val="22"/>
                <w:szCs w:val="22"/>
                <w:lang w:val="en-GB"/>
              </w:rPr>
              <w:t>/</w:t>
            </w:r>
            <w:r w:rsidR="00C00462">
              <w:rPr>
                <w:rFonts w:ascii="Arial" w:hAnsi="Arial" w:cs="Arial"/>
                <w:sz w:val="22"/>
                <w:szCs w:val="22"/>
                <w:lang w:val="en-GB"/>
              </w:rPr>
              <w:t>L</w:t>
            </w:r>
            <w:r w:rsidRPr="00453C48">
              <w:rPr>
                <w:rFonts w:ascii="Arial" w:hAnsi="Arial" w:cs="Arial"/>
                <w:sz w:val="22"/>
                <w:szCs w:val="22"/>
                <w:lang w:val="en-GB"/>
              </w:rPr>
              <w:t xml:space="preserve"> after 2 weeks of therapy at lowest dose of eltrombopag</w:t>
            </w:r>
          </w:p>
        </w:tc>
        <w:tc>
          <w:tcPr>
            <w:tcW w:w="6736" w:type="dxa"/>
            <w:tcBorders>
              <w:bottom w:val="single" w:sz="4" w:space="0" w:color="auto"/>
            </w:tcBorders>
          </w:tcPr>
          <w:p w14:paraId="5553BD59" w14:textId="77777777" w:rsidR="00453C48" w:rsidRPr="00453C48" w:rsidRDefault="00453C48" w:rsidP="00453C48">
            <w:pPr>
              <w:spacing w:line="300" w:lineRule="atLeast"/>
              <w:jc w:val="both"/>
              <w:rPr>
                <w:rFonts w:ascii="Arial" w:hAnsi="Arial" w:cs="Arial"/>
                <w:sz w:val="22"/>
                <w:szCs w:val="22"/>
                <w:lang w:val="en-GB"/>
              </w:rPr>
            </w:pPr>
            <w:r w:rsidRPr="00453C48">
              <w:rPr>
                <w:rFonts w:ascii="Arial" w:hAnsi="Arial" w:cs="Arial"/>
                <w:sz w:val="22"/>
                <w:szCs w:val="22"/>
                <w:lang w:val="en-GB"/>
              </w:rPr>
              <w:t xml:space="preserve">Discontinue </w:t>
            </w:r>
            <w:r>
              <w:rPr>
                <w:rFonts w:ascii="Arial" w:hAnsi="Arial" w:cs="Arial"/>
                <w:sz w:val="22"/>
                <w:szCs w:val="22"/>
                <w:lang w:val="en-GB"/>
              </w:rPr>
              <w:t>REVOLADE</w:t>
            </w:r>
          </w:p>
        </w:tc>
      </w:tr>
    </w:tbl>
    <w:p w14:paraId="5553BD5B" w14:textId="77777777" w:rsidR="00453C48" w:rsidRPr="00453C48" w:rsidRDefault="00453C48" w:rsidP="00453C48">
      <w:pPr>
        <w:spacing w:line="300" w:lineRule="atLeast"/>
        <w:jc w:val="both"/>
        <w:rPr>
          <w:rFonts w:ascii="Arial" w:hAnsi="Arial" w:cs="Arial"/>
          <w:sz w:val="22"/>
          <w:szCs w:val="22"/>
          <w:lang w:val="en-GB"/>
        </w:rPr>
      </w:pPr>
    </w:p>
    <w:p w14:paraId="5553BD5C" w14:textId="77777777" w:rsidR="00453C48" w:rsidRPr="00984E1B" w:rsidRDefault="00453C48" w:rsidP="00984E1B">
      <w:pPr>
        <w:spacing w:after="120" w:line="300" w:lineRule="atLeast"/>
        <w:jc w:val="both"/>
        <w:rPr>
          <w:i/>
          <w:lang w:val="en-GB"/>
        </w:rPr>
      </w:pPr>
      <w:r w:rsidRPr="00984E1B">
        <w:rPr>
          <w:i/>
          <w:lang w:val="en-GB"/>
        </w:rPr>
        <w:t>Tapering for tri-lineage (white blood cells, red blood cells, and platelets) responders</w:t>
      </w:r>
    </w:p>
    <w:p w14:paraId="5553BD5E" w14:textId="46817BE9" w:rsidR="00453C48" w:rsidRDefault="00453C48" w:rsidP="00D214C7">
      <w:pPr>
        <w:widowControl w:val="0"/>
        <w:spacing w:line="300" w:lineRule="atLeast"/>
        <w:jc w:val="both"/>
        <w:rPr>
          <w:lang w:val="en-GB"/>
        </w:rPr>
      </w:pPr>
      <w:r w:rsidRPr="0068500B">
        <w:rPr>
          <w:lang w:val="en-GB"/>
        </w:rPr>
        <w:t>Once platelet count &gt; 50</w:t>
      </w:r>
      <w:r w:rsidR="00561258">
        <w:rPr>
          <w:lang w:val="en-GB"/>
        </w:rPr>
        <w:t xml:space="preserve"> x 10</w:t>
      </w:r>
      <w:r w:rsidR="00561258" w:rsidRPr="00561258">
        <w:rPr>
          <w:vertAlign w:val="superscript"/>
          <w:lang w:val="en-GB"/>
        </w:rPr>
        <w:t>9</w:t>
      </w:r>
      <w:r w:rsidRPr="0068500B">
        <w:rPr>
          <w:lang w:val="en-GB"/>
        </w:rPr>
        <w:t>/</w:t>
      </w:r>
      <w:r w:rsidR="00C00462">
        <w:rPr>
          <w:lang w:val="en-GB"/>
        </w:rPr>
        <w:t>L</w:t>
      </w:r>
      <w:r w:rsidRPr="0068500B">
        <w:rPr>
          <w:lang w:val="en-GB"/>
        </w:rPr>
        <w:t>, haemoglobin &gt; 10</w:t>
      </w:r>
      <w:r w:rsidR="00561258">
        <w:rPr>
          <w:lang w:val="en-GB"/>
        </w:rPr>
        <w:t>0</w:t>
      </w:r>
      <w:r w:rsidRPr="0068500B">
        <w:rPr>
          <w:lang w:val="en-GB"/>
        </w:rPr>
        <w:t> g/L in the absence of red blood cell (RBC) transfusion, and absolute neutrophil (ANC) &gt; 1 x 10</w:t>
      </w:r>
      <w:r w:rsidRPr="0068500B">
        <w:rPr>
          <w:vertAlign w:val="superscript"/>
          <w:lang w:val="en-GB"/>
        </w:rPr>
        <w:t>9</w:t>
      </w:r>
      <w:r w:rsidRPr="0068500B">
        <w:rPr>
          <w:lang w:val="en-GB"/>
        </w:rPr>
        <w:t>/L for more than 8 weeks, the dose of REVOLADE should be reduced by up to 50 %. If counts stay stable after 8 weeks at the reduced dose, then discontinue REVOLADE and monitor blood counts. If platelet counts drop to &lt; 30</w:t>
      </w:r>
      <w:r w:rsidR="00561258">
        <w:rPr>
          <w:lang w:val="en-GB"/>
        </w:rPr>
        <w:t xml:space="preserve"> x 10</w:t>
      </w:r>
      <w:r w:rsidR="00561258" w:rsidRPr="00561258">
        <w:rPr>
          <w:vertAlign w:val="superscript"/>
          <w:lang w:val="en-GB"/>
        </w:rPr>
        <w:t>9</w:t>
      </w:r>
      <w:r w:rsidRPr="0068500B">
        <w:rPr>
          <w:lang w:val="en-GB"/>
        </w:rPr>
        <w:t>/</w:t>
      </w:r>
      <w:r w:rsidR="00C00462">
        <w:rPr>
          <w:lang w:val="en-GB"/>
        </w:rPr>
        <w:t>L</w:t>
      </w:r>
      <w:r w:rsidRPr="0068500B">
        <w:rPr>
          <w:lang w:val="en-GB"/>
        </w:rPr>
        <w:t>, haemoglobin to &lt; 9</w:t>
      </w:r>
      <w:r w:rsidR="00561258">
        <w:rPr>
          <w:lang w:val="en-GB"/>
        </w:rPr>
        <w:t>0</w:t>
      </w:r>
      <w:r w:rsidRPr="0068500B">
        <w:rPr>
          <w:lang w:val="en-GB"/>
        </w:rPr>
        <w:t> g/L or ANC &lt; 0.5 x 10</w:t>
      </w:r>
      <w:r w:rsidRPr="0068500B">
        <w:rPr>
          <w:vertAlign w:val="superscript"/>
          <w:lang w:val="en-GB"/>
        </w:rPr>
        <w:t>9</w:t>
      </w:r>
      <w:r w:rsidRPr="0068500B">
        <w:rPr>
          <w:lang w:val="en-GB"/>
        </w:rPr>
        <w:t>/L, REVOLADE may be reinitiated at the previous dose.</w:t>
      </w:r>
    </w:p>
    <w:p w14:paraId="37F75FDC" w14:textId="77777777" w:rsidR="002606DF" w:rsidRPr="0068500B" w:rsidRDefault="002606DF" w:rsidP="00453C48">
      <w:pPr>
        <w:spacing w:line="300" w:lineRule="atLeast"/>
        <w:jc w:val="both"/>
        <w:rPr>
          <w:lang w:val="en-GB"/>
        </w:rPr>
      </w:pPr>
    </w:p>
    <w:p w14:paraId="5553BD60" w14:textId="77777777" w:rsidR="00453C48" w:rsidRPr="00AC1A0F" w:rsidRDefault="00453C48" w:rsidP="00AC1A0F">
      <w:pPr>
        <w:spacing w:after="120" w:line="300" w:lineRule="atLeast"/>
        <w:jc w:val="both"/>
        <w:rPr>
          <w:u w:val="single"/>
        </w:rPr>
      </w:pPr>
      <w:r w:rsidRPr="00AC1A0F">
        <w:rPr>
          <w:u w:val="single"/>
        </w:rPr>
        <w:t>Discontinuation</w:t>
      </w:r>
    </w:p>
    <w:p w14:paraId="5553BD62" w14:textId="5B17DC3B" w:rsidR="00453C48" w:rsidRPr="00561258" w:rsidRDefault="00453C48" w:rsidP="00453C48">
      <w:pPr>
        <w:spacing w:line="300" w:lineRule="atLeast"/>
        <w:jc w:val="both"/>
        <w:rPr>
          <w:lang w:val="en-GB"/>
        </w:rPr>
      </w:pPr>
      <w:r w:rsidRPr="0068500B">
        <w:rPr>
          <w:lang w:val="en-GB"/>
        </w:rPr>
        <w:t xml:space="preserve">If no haematological response has occurred after 16 weeks of therapy with REVOLADE, discontinue therapy. Consider REVOLADE discontinuation if new cytogenetic abnormalities are </w:t>
      </w:r>
      <w:r w:rsidRPr="00561258">
        <w:rPr>
          <w:lang w:val="en-GB"/>
        </w:rPr>
        <w:t xml:space="preserve">observed (see </w:t>
      </w:r>
      <w:r w:rsidR="00984E1B" w:rsidRPr="00561258">
        <w:rPr>
          <w:lang w:val="en-GB"/>
        </w:rPr>
        <w:t>ADVERSE EFFECTS</w:t>
      </w:r>
      <w:r w:rsidRPr="00561258">
        <w:rPr>
          <w:lang w:val="en-GB"/>
        </w:rPr>
        <w:t>).</w:t>
      </w:r>
      <w:r w:rsidRPr="0068500B">
        <w:rPr>
          <w:lang w:val="en-GB"/>
        </w:rPr>
        <w:t xml:space="preserve"> Excessive platelet count r</w:t>
      </w:r>
      <w:r w:rsidR="0078311B" w:rsidRPr="0068500B">
        <w:rPr>
          <w:lang w:val="en-GB"/>
        </w:rPr>
        <w:t>esponses (as outlined in Table </w:t>
      </w:r>
      <w:r w:rsidR="00871969">
        <w:rPr>
          <w:lang w:val="en-GB"/>
        </w:rPr>
        <w:t>1</w:t>
      </w:r>
      <w:r w:rsidR="00F4731B">
        <w:rPr>
          <w:lang w:val="en-GB"/>
        </w:rPr>
        <w:t>1</w:t>
      </w:r>
      <w:r w:rsidRPr="0068500B">
        <w:rPr>
          <w:lang w:val="en-GB"/>
        </w:rPr>
        <w:t xml:space="preserve">) or important liver test abnormalities also necessitate discontinuation of REVOLADE </w:t>
      </w:r>
      <w:r w:rsidR="003567E3" w:rsidRPr="00561258">
        <w:rPr>
          <w:lang w:val="en-GB"/>
        </w:rPr>
        <w:t xml:space="preserve">(see </w:t>
      </w:r>
      <w:r w:rsidR="00984E1B" w:rsidRPr="00561258">
        <w:rPr>
          <w:lang w:val="en-GB"/>
        </w:rPr>
        <w:t>PRECAUTIONS</w:t>
      </w:r>
      <w:r w:rsidRPr="00561258">
        <w:rPr>
          <w:lang w:val="en-GB"/>
        </w:rPr>
        <w:t>).</w:t>
      </w:r>
    </w:p>
    <w:p w14:paraId="64160E35" w14:textId="1ED4F676" w:rsidR="00B14125" w:rsidRPr="00B14125" w:rsidRDefault="00B14125" w:rsidP="00B14125">
      <w:pPr>
        <w:pStyle w:val="NoNumHead4"/>
        <w:spacing w:before="0" w:after="120" w:line="300" w:lineRule="atLeast"/>
        <w:jc w:val="both"/>
        <w:rPr>
          <w:rFonts w:ascii="Times New Roman" w:hAnsi="Times New Roman"/>
          <w:i/>
          <w:sz w:val="24"/>
        </w:rPr>
      </w:pPr>
      <w:r w:rsidRPr="00B14125">
        <w:rPr>
          <w:rFonts w:ascii="Times New Roman" w:hAnsi="Times New Roman"/>
          <w:i/>
          <w:sz w:val="24"/>
        </w:rPr>
        <w:lastRenderedPageBreak/>
        <w:t>Children</w:t>
      </w:r>
    </w:p>
    <w:p w14:paraId="3D2BEC42" w14:textId="256D028B" w:rsidR="00B14125" w:rsidRPr="004553F8" w:rsidRDefault="00B14125" w:rsidP="00B14125">
      <w:pPr>
        <w:spacing w:line="300" w:lineRule="atLeast"/>
        <w:jc w:val="both"/>
      </w:pPr>
      <w:r w:rsidRPr="004553F8">
        <w:t xml:space="preserve">The safety and efficacy of REVOLADE in children </w:t>
      </w:r>
      <w:r>
        <w:t xml:space="preserve">with SAA </w:t>
      </w:r>
      <w:r w:rsidRPr="004553F8">
        <w:t>have not been established.</w:t>
      </w:r>
    </w:p>
    <w:p w14:paraId="5553BD63" w14:textId="77777777" w:rsidR="008D7808" w:rsidRPr="0068500B" w:rsidRDefault="008D7808" w:rsidP="00886762">
      <w:pPr>
        <w:spacing w:line="300" w:lineRule="atLeast"/>
        <w:jc w:val="both"/>
      </w:pPr>
    </w:p>
    <w:p w14:paraId="5553BD64" w14:textId="545D764B" w:rsidR="00886762" w:rsidRPr="004553F8" w:rsidRDefault="002606DF" w:rsidP="004553F8">
      <w:pPr>
        <w:pStyle w:val="NoNumHead4"/>
        <w:spacing w:before="0" w:after="120" w:line="300" w:lineRule="atLeast"/>
        <w:jc w:val="both"/>
        <w:rPr>
          <w:rFonts w:ascii="Times New Roman" w:hAnsi="Times New Roman"/>
          <w:sz w:val="24"/>
          <w:u w:val="single"/>
        </w:rPr>
      </w:pPr>
      <w:r>
        <w:rPr>
          <w:rFonts w:ascii="Times New Roman" w:hAnsi="Times New Roman"/>
          <w:sz w:val="24"/>
          <w:szCs w:val="24"/>
          <w:u w:val="single"/>
        </w:rPr>
        <w:t xml:space="preserve">Special </w:t>
      </w:r>
      <w:r w:rsidR="00886762" w:rsidRPr="004553F8">
        <w:rPr>
          <w:rFonts w:ascii="Times New Roman" w:hAnsi="Times New Roman"/>
          <w:sz w:val="24"/>
          <w:u w:val="single"/>
        </w:rPr>
        <w:t>Populations</w:t>
      </w:r>
    </w:p>
    <w:p w14:paraId="5553BD69" w14:textId="77777777" w:rsidR="00886762" w:rsidRPr="004553F8" w:rsidRDefault="00886762" w:rsidP="004553F8">
      <w:pPr>
        <w:pStyle w:val="NoNumHead4"/>
        <w:spacing w:before="0" w:after="120" w:line="300" w:lineRule="atLeast"/>
        <w:jc w:val="both"/>
        <w:rPr>
          <w:rFonts w:ascii="Times New Roman" w:hAnsi="Times New Roman"/>
          <w:sz w:val="24"/>
        </w:rPr>
      </w:pPr>
      <w:r w:rsidRPr="004553F8">
        <w:rPr>
          <w:rFonts w:ascii="Times New Roman" w:hAnsi="Times New Roman"/>
          <w:sz w:val="24"/>
        </w:rPr>
        <w:t>Elderly</w:t>
      </w:r>
    </w:p>
    <w:p w14:paraId="5553BD6A" w14:textId="1FF3AB85" w:rsidR="00886762" w:rsidRPr="0068500B" w:rsidRDefault="00886762" w:rsidP="00886762">
      <w:pPr>
        <w:spacing w:line="300" w:lineRule="atLeast"/>
        <w:jc w:val="both"/>
      </w:pPr>
      <w:r w:rsidRPr="004553F8">
        <w:t xml:space="preserve">There are limited data on the use of REVOLADE in patients aged 65 years and older.  In the clinical studies of REVOLADE, overall no clinically significant differences in </w:t>
      </w:r>
      <w:r w:rsidR="001812E8" w:rsidRPr="004553F8">
        <w:t xml:space="preserve">efficacy and </w:t>
      </w:r>
      <w:r w:rsidRPr="004553F8">
        <w:t>safety of REVOLADE were observed between subjects aged at least 65 years and younger subjects.  Other reported clinical experience has not identified differences in responses between the elderly and younger patients, but greater sensitivity of some older individuals cannot be ruled out</w:t>
      </w:r>
      <w:r w:rsidR="00E048E3" w:rsidRPr="004553F8">
        <w:t xml:space="preserve"> </w:t>
      </w:r>
      <w:r w:rsidR="00E048E3" w:rsidRPr="004553F8">
        <w:rPr>
          <w:lang w:val="en-GB"/>
        </w:rPr>
        <w:t>(see</w:t>
      </w:r>
      <w:r w:rsidR="00E048E3" w:rsidRPr="004553F8">
        <w:rPr>
          <w:i/>
          <w:lang w:val="en-GB"/>
        </w:rPr>
        <w:t xml:space="preserve"> </w:t>
      </w:r>
      <w:r w:rsidR="00984E1B" w:rsidRPr="00984E1B">
        <w:rPr>
          <w:lang w:val="en-GB"/>
        </w:rPr>
        <w:t>PHARMACOLOGY</w:t>
      </w:r>
      <w:r w:rsidR="00561258">
        <w:rPr>
          <w:lang w:val="en-GB"/>
        </w:rPr>
        <w:t xml:space="preserve"> - </w:t>
      </w:r>
      <w:r w:rsidR="00E048E3" w:rsidRPr="00561258">
        <w:rPr>
          <w:lang w:val="en-GB"/>
        </w:rPr>
        <w:t>Special Patient Populations</w:t>
      </w:r>
      <w:r w:rsidR="00E048E3" w:rsidRPr="004553F8">
        <w:rPr>
          <w:lang w:val="en-GB"/>
        </w:rPr>
        <w:t>)</w:t>
      </w:r>
      <w:r w:rsidRPr="004553F8">
        <w:t>.</w:t>
      </w:r>
    </w:p>
    <w:p w14:paraId="5553BD6B" w14:textId="77777777" w:rsidR="003B5A3B" w:rsidRPr="004553F8" w:rsidRDefault="003B5A3B" w:rsidP="004553F8">
      <w:pPr>
        <w:spacing w:line="300" w:lineRule="atLeast"/>
        <w:jc w:val="both"/>
      </w:pPr>
    </w:p>
    <w:p w14:paraId="5553BD6C" w14:textId="77777777" w:rsidR="003B5A3B" w:rsidRPr="004553F8" w:rsidRDefault="003B5A3B" w:rsidP="004553F8">
      <w:pPr>
        <w:pStyle w:val="NoNumHead4"/>
        <w:spacing w:before="0" w:after="120" w:line="300" w:lineRule="atLeast"/>
        <w:jc w:val="both"/>
        <w:rPr>
          <w:rFonts w:ascii="Times New Roman" w:hAnsi="Times New Roman"/>
          <w:sz w:val="24"/>
        </w:rPr>
      </w:pPr>
      <w:r w:rsidRPr="004553F8">
        <w:rPr>
          <w:rFonts w:ascii="Times New Roman" w:hAnsi="Times New Roman"/>
          <w:sz w:val="24"/>
        </w:rPr>
        <w:t>Hepatic Impairment</w:t>
      </w:r>
    </w:p>
    <w:p w14:paraId="2C9ADD68" w14:textId="77777777" w:rsidR="00D816B4" w:rsidRDefault="005E7E89" w:rsidP="005E7E89">
      <w:pPr>
        <w:spacing w:line="300" w:lineRule="atLeast"/>
        <w:jc w:val="both"/>
        <w:rPr>
          <w:lang w:val="en-GB"/>
        </w:rPr>
      </w:pPr>
      <w:r>
        <w:rPr>
          <w:lang w:val="en-GB"/>
        </w:rPr>
        <w:t>ITP patients with liver cirrhosis (</w:t>
      </w:r>
      <w:r w:rsidRPr="005E7E89">
        <w:rPr>
          <w:lang w:val="en-GB"/>
        </w:rPr>
        <w:t>hepatic impairment</w:t>
      </w:r>
      <w:r>
        <w:rPr>
          <w:lang w:val="en-GB"/>
        </w:rPr>
        <w:t xml:space="preserve">, Child-Pugh score ≥ 5) should use REVOLADE with caution and close monitoring (see </w:t>
      </w:r>
      <w:r w:rsidRPr="005E7E89">
        <w:rPr>
          <w:lang w:val="en-GB"/>
        </w:rPr>
        <w:t>PHARMACOLOGY - Special Patient Populations</w:t>
      </w:r>
      <w:r>
        <w:rPr>
          <w:lang w:val="en-GB"/>
        </w:rPr>
        <w:t xml:space="preserve">). </w:t>
      </w:r>
    </w:p>
    <w:p w14:paraId="4658E8AE" w14:textId="77777777" w:rsidR="00D816B4" w:rsidRDefault="00D816B4" w:rsidP="005E7E89">
      <w:pPr>
        <w:spacing w:line="300" w:lineRule="atLeast"/>
        <w:jc w:val="both"/>
        <w:rPr>
          <w:lang w:val="en-GB"/>
        </w:rPr>
      </w:pPr>
    </w:p>
    <w:p w14:paraId="5550604B" w14:textId="4DE25052" w:rsidR="005E7E89" w:rsidRDefault="005E7E89" w:rsidP="005E7E89">
      <w:pPr>
        <w:spacing w:line="300" w:lineRule="atLeast"/>
        <w:jc w:val="both"/>
        <w:rPr>
          <w:lang w:val="en-GB"/>
        </w:rPr>
      </w:pPr>
      <w:r w:rsidRPr="0068500B">
        <w:rPr>
          <w:lang w:val="en-GB"/>
        </w:rPr>
        <w:t>Chronic HCV</w:t>
      </w:r>
      <w:r w:rsidRPr="004553F8">
        <w:rPr>
          <w:lang w:val="en-GB"/>
        </w:rPr>
        <w:t xml:space="preserve"> patients </w:t>
      </w:r>
      <w:r w:rsidR="00D816B4" w:rsidRPr="00D816B4">
        <w:rPr>
          <w:lang w:val="en-GB"/>
        </w:rPr>
        <w:t xml:space="preserve">with hepatic impairment </w:t>
      </w:r>
      <w:r w:rsidRPr="0068500B">
        <w:rPr>
          <w:lang w:val="en-GB"/>
        </w:rPr>
        <w:t>and severe aplastic anaemia patients</w:t>
      </w:r>
      <w:r w:rsidRPr="004553F8">
        <w:rPr>
          <w:lang w:val="en-GB"/>
        </w:rPr>
        <w:t xml:space="preserve"> with hepatic impairment should initiate REVOLADE at a dose of 25 mg once daily (see PHARMACOLOGY - Special Patient Populations).</w:t>
      </w:r>
    </w:p>
    <w:p w14:paraId="55CAED29" w14:textId="77777777" w:rsidR="00D816B4" w:rsidRPr="004553F8" w:rsidRDefault="00D816B4" w:rsidP="005E7E89">
      <w:pPr>
        <w:spacing w:line="300" w:lineRule="atLeast"/>
        <w:jc w:val="both"/>
        <w:rPr>
          <w:lang w:val="en-GB"/>
        </w:rPr>
      </w:pPr>
    </w:p>
    <w:p w14:paraId="5553BD6E" w14:textId="77777777" w:rsidR="00B575BF" w:rsidRPr="004553F8" w:rsidRDefault="00B575BF" w:rsidP="004553F8">
      <w:pPr>
        <w:spacing w:line="300" w:lineRule="atLeast"/>
        <w:jc w:val="both"/>
        <w:rPr>
          <w:lang w:val="en-GB"/>
        </w:rPr>
      </w:pPr>
      <w:r w:rsidRPr="004553F8">
        <w:rPr>
          <w:lang w:val="en-GB"/>
        </w:rPr>
        <w:t>If the use of REVOLADE is deemed necessary for ITP patients with hepatic impairment the starting dose must be 25 mg once daily. After initiating the dose of REVOLADE in patients with hepatic impairment wait 3 weeks before increasing the dose.</w:t>
      </w:r>
    </w:p>
    <w:p w14:paraId="5553BD6F" w14:textId="1683488E" w:rsidR="00B575BF" w:rsidRPr="0068500B" w:rsidRDefault="00B575BF" w:rsidP="00B575BF">
      <w:pPr>
        <w:spacing w:line="300" w:lineRule="atLeast"/>
        <w:jc w:val="both"/>
        <w:rPr>
          <w:lang w:val="en-GB"/>
        </w:rPr>
      </w:pPr>
    </w:p>
    <w:p w14:paraId="5553BD72" w14:textId="28A9C34C" w:rsidR="002B236F" w:rsidRPr="0068500B" w:rsidRDefault="00817345" w:rsidP="00886762">
      <w:pPr>
        <w:spacing w:line="300" w:lineRule="atLeast"/>
        <w:jc w:val="both"/>
        <w:rPr>
          <w:color w:val="000000"/>
        </w:rPr>
      </w:pPr>
      <w:r w:rsidRPr="004553F8">
        <w:rPr>
          <w:color w:val="000000"/>
        </w:rPr>
        <w:t xml:space="preserve">REVOLADE should not be used in patients with hepatic impairment (Child-Pugh score ≥ </w:t>
      </w:r>
      <w:r w:rsidR="00246593" w:rsidRPr="004553F8">
        <w:rPr>
          <w:color w:val="000000"/>
        </w:rPr>
        <w:t>5</w:t>
      </w:r>
      <w:r w:rsidRPr="004553F8">
        <w:rPr>
          <w:color w:val="000000"/>
        </w:rPr>
        <w:t>) unless the expected benefit outweighs the identified risk of portal venous thrombosis</w:t>
      </w:r>
      <w:r w:rsidR="002B236F" w:rsidRPr="004553F8">
        <w:rPr>
          <w:color w:val="000000"/>
        </w:rPr>
        <w:t xml:space="preserve"> </w:t>
      </w:r>
      <w:r w:rsidR="00D24FDC" w:rsidRPr="004553F8">
        <w:rPr>
          <w:lang w:val="en-GB"/>
        </w:rPr>
        <w:t xml:space="preserve">(see </w:t>
      </w:r>
      <w:r w:rsidR="00984E1B" w:rsidRPr="00984E1B">
        <w:rPr>
          <w:lang w:val="en-GB"/>
        </w:rPr>
        <w:t>PRECAUTIONS</w:t>
      </w:r>
      <w:r w:rsidR="00D24FDC" w:rsidRPr="0068500B">
        <w:rPr>
          <w:lang w:val="en-GB"/>
        </w:rPr>
        <w:t>)</w:t>
      </w:r>
      <w:r w:rsidRPr="0068500B">
        <w:rPr>
          <w:color w:val="000000"/>
        </w:rPr>
        <w:t>.</w:t>
      </w:r>
    </w:p>
    <w:p w14:paraId="5553BD73" w14:textId="77777777" w:rsidR="00817345" w:rsidRPr="0068500B" w:rsidRDefault="00817345" w:rsidP="00886762">
      <w:pPr>
        <w:spacing w:line="300" w:lineRule="atLeast"/>
        <w:jc w:val="both"/>
        <w:rPr>
          <w:color w:val="000000"/>
        </w:rPr>
      </w:pPr>
    </w:p>
    <w:p w14:paraId="5553BD74" w14:textId="4897CFD7" w:rsidR="00302C0E" w:rsidRDefault="00302C0E" w:rsidP="00886762">
      <w:pPr>
        <w:spacing w:line="300" w:lineRule="atLeast"/>
        <w:jc w:val="both"/>
      </w:pPr>
      <w:r w:rsidRPr="004553F8">
        <w:t xml:space="preserve">The risk of thromboembolic events (TEEs) has been found to be increased in patients with chronic liver disease treated with 75 mg REVOLADE once daily for two weeks in preparation for invasive procedures (see </w:t>
      </w:r>
      <w:r w:rsidR="00984E1B" w:rsidRPr="00984E1B">
        <w:t>PRECAUTIONS</w:t>
      </w:r>
      <w:r w:rsidR="003D4A10" w:rsidRPr="0068500B">
        <w:t>).</w:t>
      </w:r>
    </w:p>
    <w:p w14:paraId="3B493CB4" w14:textId="77777777" w:rsidR="006D75C7" w:rsidRPr="0068500B" w:rsidRDefault="006D75C7" w:rsidP="00886762">
      <w:pPr>
        <w:spacing w:line="300" w:lineRule="atLeast"/>
        <w:jc w:val="both"/>
      </w:pPr>
    </w:p>
    <w:p w14:paraId="5553BD76" w14:textId="77777777" w:rsidR="005E01F5" w:rsidRPr="004553F8" w:rsidRDefault="005E01F5" w:rsidP="004553F8">
      <w:pPr>
        <w:pStyle w:val="NoNumHead4"/>
        <w:spacing w:before="0" w:after="120" w:line="300" w:lineRule="atLeast"/>
        <w:jc w:val="both"/>
        <w:rPr>
          <w:rFonts w:ascii="Times New Roman" w:hAnsi="Times New Roman"/>
          <w:sz w:val="24"/>
        </w:rPr>
      </w:pPr>
      <w:r w:rsidRPr="004553F8">
        <w:rPr>
          <w:rFonts w:ascii="Times New Roman" w:hAnsi="Times New Roman"/>
          <w:sz w:val="24"/>
        </w:rPr>
        <w:t>Renal Impairment</w:t>
      </w:r>
    </w:p>
    <w:p w14:paraId="5553BD77" w14:textId="6ED08766" w:rsidR="005E01F5" w:rsidRDefault="005E01F5" w:rsidP="004553F8">
      <w:pPr>
        <w:widowControl w:val="0"/>
        <w:spacing w:line="300" w:lineRule="atLeast"/>
        <w:jc w:val="both"/>
        <w:rPr>
          <w:lang w:val="en-GB"/>
        </w:rPr>
      </w:pPr>
      <w:r w:rsidRPr="004553F8">
        <w:rPr>
          <w:lang w:val="en-GB"/>
        </w:rPr>
        <w:t xml:space="preserve">No dose adjustment is necessary in patients with renal impairment. </w:t>
      </w:r>
      <w:r w:rsidR="005E7E89">
        <w:rPr>
          <w:lang w:val="en-GB"/>
        </w:rPr>
        <w:t>However, because of limited clinical experience, p</w:t>
      </w:r>
      <w:r w:rsidRPr="004553F8">
        <w:rPr>
          <w:lang w:val="en-GB"/>
        </w:rPr>
        <w:t>atients with impaired renal function should use REVOLADE with caution and close monitoring</w:t>
      </w:r>
      <w:r w:rsidR="005E7E89">
        <w:rPr>
          <w:lang w:val="en-GB"/>
        </w:rPr>
        <w:t>;</w:t>
      </w:r>
      <w:r w:rsidRPr="004553F8">
        <w:rPr>
          <w:lang w:val="en-GB"/>
        </w:rPr>
        <w:t xml:space="preserve"> for example</w:t>
      </w:r>
      <w:r w:rsidR="005E7E89">
        <w:rPr>
          <w:lang w:val="en-GB"/>
        </w:rPr>
        <w:t>,</w:t>
      </w:r>
      <w:r w:rsidRPr="004553F8">
        <w:rPr>
          <w:lang w:val="en-GB"/>
        </w:rPr>
        <w:t xml:space="preserve"> by testing serum creatinine and/or performing urine analysis</w:t>
      </w:r>
      <w:r w:rsidRPr="0068500B">
        <w:rPr>
          <w:i/>
          <w:color w:val="FF0000"/>
          <w:lang w:val="en-GB"/>
        </w:rPr>
        <w:t xml:space="preserve"> </w:t>
      </w:r>
      <w:r w:rsidRPr="00561258">
        <w:rPr>
          <w:lang w:val="en-GB"/>
        </w:rPr>
        <w:t xml:space="preserve">(see </w:t>
      </w:r>
      <w:r w:rsidR="00561258" w:rsidRPr="00561258">
        <w:rPr>
          <w:lang w:val="en-GB"/>
        </w:rPr>
        <w:t>PHARMACOLOGY - Special Patient Populations</w:t>
      </w:r>
      <w:r w:rsidRPr="00561258">
        <w:rPr>
          <w:lang w:val="en-GB"/>
        </w:rPr>
        <w:t>).</w:t>
      </w:r>
      <w:r w:rsidRPr="004553F8">
        <w:rPr>
          <w:lang w:val="en-GB"/>
        </w:rPr>
        <w:t xml:space="preserve"> </w:t>
      </w:r>
    </w:p>
    <w:p w14:paraId="7FB8DA72" w14:textId="77777777" w:rsidR="00E60C99" w:rsidRPr="004553F8" w:rsidRDefault="00E60C99" w:rsidP="004553F8">
      <w:pPr>
        <w:widowControl w:val="0"/>
        <w:spacing w:line="300" w:lineRule="atLeast"/>
        <w:jc w:val="both"/>
      </w:pPr>
    </w:p>
    <w:p w14:paraId="5553BD79" w14:textId="77777777" w:rsidR="00886762" w:rsidRPr="004553F8" w:rsidRDefault="00886762" w:rsidP="004553F8">
      <w:pPr>
        <w:pStyle w:val="NoNumHead4"/>
        <w:spacing w:before="0" w:after="120" w:line="300" w:lineRule="atLeast"/>
        <w:jc w:val="both"/>
        <w:rPr>
          <w:rFonts w:ascii="Times New Roman" w:hAnsi="Times New Roman"/>
          <w:sz w:val="24"/>
        </w:rPr>
      </w:pPr>
      <w:r w:rsidRPr="004553F8">
        <w:rPr>
          <w:rFonts w:ascii="Times New Roman" w:hAnsi="Times New Roman"/>
          <w:sz w:val="24"/>
        </w:rPr>
        <w:lastRenderedPageBreak/>
        <w:t>East Asian Patients</w:t>
      </w:r>
    </w:p>
    <w:p w14:paraId="5553BD7A" w14:textId="5153EADE" w:rsidR="00416709" w:rsidRPr="004553F8" w:rsidRDefault="003B5A3B" w:rsidP="006D75C7">
      <w:pPr>
        <w:widowControl w:val="0"/>
        <w:jc w:val="both"/>
      </w:pPr>
      <w:r w:rsidRPr="004553F8">
        <w:t>F</w:t>
      </w:r>
      <w:r w:rsidR="00886762" w:rsidRPr="004553F8">
        <w:t>or patients of East Asian ancestry (such as Chinese, Japanese, Taiwanese</w:t>
      </w:r>
      <w:r w:rsidR="00CE70EF" w:rsidRPr="004553F8">
        <w:t>,</w:t>
      </w:r>
      <w:r w:rsidR="00886762" w:rsidRPr="004553F8">
        <w:t xml:space="preserve"> Korean</w:t>
      </w:r>
      <w:r w:rsidR="00CE70EF" w:rsidRPr="004553F8">
        <w:t>, or Thai</w:t>
      </w:r>
      <w:r w:rsidR="00886762" w:rsidRPr="004553F8">
        <w:t>)</w:t>
      </w:r>
      <w:r w:rsidRPr="004553F8">
        <w:t xml:space="preserve">, </w:t>
      </w:r>
      <w:r w:rsidR="001E3FA3" w:rsidRPr="0068500B">
        <w:rPr>
          <w:lang w:val="en-GB"/>
        </w:rPr>
        <w:t>including those with hepatic impairment</w:t>
      </w:r>
      <w:r w:rsidR="001E3FA3" w:rsidRPr="0068500B">
        <w:t xml:space="preserve">, </w:t>
      </w:r>
      <w:r w:rsidRPr="004553F8">
        <w:t>REVOLADE should be initiated at a dose of 25 mg once daily</w:t>
      </w:r>
      <w:r w:rsidR="00886762" w:rsidRPr="004553F8">
        <w:t xml:space="preserve"> (see</w:t>
      </w:r>
      <w:r w:rsidR="00886762" w:rsidRPr="004553F8">
        <w:rPr>
          <w:i/>
        </w:rPr>
        <w:t xml:space="preserve"> </w:t>
      </w:r>
      <w:r w:rsidR="00696CB2" w:rsidRPr="00984E1B">
        <w:t>PHARMACOLOGY</w:t>
      </w:r>
      <w:r w:rsidR="004553F8">
        <w:t xml:space="preserve"> </w:t>
      </w:r>
      <w:r w:rsidR="004553F8" w:rsidRPr="004553F8">
        <w:t xml:space="preserve">- </w:t>
      </w:r>
      <w:r w:rsidR="00CE70EF" w:rsidRPr="004553F8">
        <w:t>Special Patient Populations</w:t>
      </w:r>
      <w:r w:rsidR="00886762" w:rsidRPr="004553F8">
        <w:t xml:space="preserve">).  </w:t>
      </w:r>
    </w:p>
    <w:p w14:paraId="5553BD7B" w14:textId="45E34691" w:rsidR="00416709" w:rsidRPr="006B6DD3" w:rsidRDefault="00416709" w:rsidP="004553F8">
      <w:pPr>
        <w:spacing w:line="300" w:lineRule="atLeast"/>
        <w:jc w:val="both"/>
      </w:pPr>
    </w:p>
    <w:p w14:paraId="5553BD7E" w14:textId="77777777" w:rsidR="00886762" w:rsidRDefault="00886762" w:rsidP="0057169F">
      <w:pPr>
        <w:widowControl w:val="0"/>
        <w:spacing w:line="300" w:lineRule="atLeast"/>
        <w:jc w:val="both"/>
      </w:pPr>
      <w:r w:rsidRPr="00E12E40">
        <w:t>Patient platelet count should continue to be monitored and the standard criteria for further dose modification followed.</w:t>
      </w:r>
    </w:p>
    <w:p w14:paraId="4191E44A" w14:textId="77777777" w:rsidR="006D75C7" w:rsidRPr="00E12E40" w:rsidRDefault="006D75C7" w:rsidP="004553F8">
      <w:pPr>
        <w:spacing w:line="300" w:lineRule="atLeast"/>
        <w:jc w:val="both"/>
      </w:pPr>
    </w:p>
    <w:p w14:paraId="3CBC71A5" w14:textId="77777777" w:rsidR="00F80196" w:rsidRPr="00984E1B" w:rsidRDefault="00F80196" w:rsidP="00F80196">
      <w:pPr>
        <w:keepNext/>
        <w:spacing w:after="120" w:line="300" w:lineRule="atLeast"/>
        <w:jc w:val="both"/>
        <w:rPr>
          <w:b/>
          <w:i/>
          <w:u w:val="single"/>
          <w:lang w:val="en-GB" w:eastAsia="ja-JP"/>
        </w:rPr>
      </w:pPr>
      <w:r w:rsidRPr="00984E1B">
        <w:rPr>
          <w:b/>
          <w:i/>
          <w:u w:val="single"/>
          <w:lang w:val="en-GB" w:eastAsia="ja-JP"/>
        </w:rPr>
        <w:t>Administration</w:t>
      </w:r>
    </w:p>
    <w:p w14:paraId="2460AB7F" w14:textId="77777777" w:rsidR="00F80196" w:rsidRPr="00561258" w:rsidRDefault="00F80196" w:rsidP="00F80196">
      <w:pPr>
        <w:pStyle w:val="inst"/>
        <w:widowControl w:val="0"/>
        <w:spacing w:after="0"/>
        <w:jc w:val="both"/>
        <w:rPr>
          <w:sz w:val="24"/>
          <w:szCs w:val="24"/>
        </w:rPr>
      </w:pPr>
      <w:r w:rsidRPr="00561258">
        <w:rPr>
          <w:rFonts w:eastAsia="MS Mincho"/>
          <w:b w:val="0"/>
          <w:bCs w:val="0"/>
          <w:sz w:val="24"/>
          <w:szCs w:val="24"/>
        </w:rPr>
        <w:t xml:space="preserve">Swallow REVOLADE with a glass of water, </w:t>
      </w:r>
      <w:r w:rsidRPr="00561258">
        <w:rPr>
          <w:b w:val="0"/>
          <w:sz w:val="24"/>
          <w:szCs w:val="24"/>
        </w:rPr>
        <w:t>at least four hours before or after any products such as antacids, dairy products, or mineral supplements containing polyvalent cations (e.g. aluminium, calcium (see below</w:t>
      </w:r>
      <w:r>
        <w:rPr>
          <w:b w:val="0"/>
          <w:sz w:val="24"/>
          <w:szCs w:val="24"/>
        </w:rPr>
        <w:t xml:space="preserve"> paragraph</w:t>
      </w:r>
      <w:r w:rsidRPr="00561258">
        <w:rPr>
          <w:b w:val="0"/>
          <w:sz w:val="24"/>
          <w:szCs w:val="24"/>
        </w:rPr>
        <w:t>), iron, magnesium, selenium, and/or zinc) (see INTERACTIONS, Pharmacokinetics – Absorption</w:t>
      </w:r>
      <w:r w:rsidRPr="00561258">
        <w:rPr>
          <w:sz w:val="24"/>
          <w:szCs w:val="24"/>
        </w:rPr>
        <w:t>).</w:t>
      </w:r>
    </w:p>
    <w:p w14:paraId="2B9FF7D6" w14:textId="77777777" w:rsidR="00F80196" w:rsidRPr="00DE25E4" w:rsidRDefault="00F80196" w:rsidP="00F80196">
      <w:pPr>
        <w:spacing w:line="300" w:lineRule="atLeast"/>
        <w:jc w:val="both"/>
        <w:rPr>
          <w:i/>
        </w:rPr>
      </w:pPr>
    </w:p>
    <w:p w14:paraId="32F39845" w14:textId="77777777" w:rsidR="00F80196" w:rsidRPr="00FC11D9" w:rsidRDefault="00F80196" w:rsidP="00F80196">
      <w:pPr>
        <w:spacing w:line="300" w:lineRule="atLeast"/>
        <w:jc w:val="both"/>
        <w:rPr>
          <w:rFonts w:eastAsia="MS Mincho"/>
        </w:rPr>
      </w:pPr>
      <w:r w:rsidRPr="00DE25E4">
        <w:rPr>
          <w:rFonts w:eastAsia="MS Mincho"/>
        </w:rPr>
        <w:t xml:space="preserve">REVOLADE may be taken with food containing little (&lt; 50 mg) or preferably no calcium </w:t>
      </w:r>
      <w:r w:rsidRPr="00FC11D9">
        <w:rPr>
          <w:rFonts w:eastAsia="MS Mincho"/>
        </w:rPr>
        <w:t xml:space="preserve">(see INTERACTIONS, </w:t>
      </w:r>
      <w:r>
        <w:rPr>
          <w:rFonts w:eastAsia="MS Mincho"/>
        </w:rPr>
        <w:t xml:space="preserve">and PHARMACOLOGY - </w:t>
      </w:r>
      <w:r w:rsidRPr="00FC11D9">
        <w:rPr>
          <w:rFonts w:eastAsia="MS Mincho"/>
        </w:rPr>
        <w:t>Pharmacokinetics).</w:t>
      </w:r>
    </w:p>
    <w:p w14:paraId="013CADD3" w14:textId="77777777" w:rsidR="00F80196" w:rsidRDefault="00F80196" w:rsidP="00886762">
      <w:pPr>
        <w:spacing w:line="300" w:lineRule="atLeast"/>
        <w:jc w:val="both"/>
        <w:rPr>
          <w:rFonts w:cs="Arial"/>
        </w:rPr>
      </w:pPr>
    </w:p>
    <w:p w14:paraId="6295469D" w14:textId="77777777" w:rsidR="00F80196" w:rsidRPr="00F80196" w:rsidRDefault="006C4A20" w:rsidP="00F80196">
      <w:pPr>
        <w:pStyle w:val="Heading2"/>
        <w:spacing w:before="120" w:after="240" w:line="276" w:lineRule="auto"/>
        <w:jc w:val="left"/>
        <w:rPr>
          <w:rFonts w:eastAsiaTheme="minorHAnsi"/>
          <w:caps/>
          <w:sz w:val="30"/>
          <w:szCs w:val="30"/>
          <w:lang w:val="en-GB" w:eastAsia="ja-JP"/>
        </w:rPr>
      </w:pPr>
      <w:r w:rsidRPr="00F80196">
        <w:rPr>
          <w:rFonts w:eastAsiaTheme="minorHAnsi"/>
          <w:caps/>
          <w:sz w:val="30"/>
          <w:szCs w:val="30"/>
          <w:lang w:val="en-GB" w:eastAsia="ja-JP"/>
        </w:rPr>
        <w:t>O</w:t>
      </w:r>
      <w:smartTag w:uri="schemas-GSKSiteLocations-com/fourthcoffee" w:element="flavor">
        <w:r w:rsidRPr="00F80196">
          <w:rPr>
            <w:rFonts w:eastAsiaTheme="minorHAnsi"/>
            <w:caps/>
            <w:sz w:val="30"/>
            <w:szCs w:val="30"/>
            <w:lang w:val="en-GB" w:eastAsia="ja-JP"/>
          </w:rPr>
          <w:t>VER</w:t>
        </w:r>
      </w:smartTag>
      <w:r w:rsidRPr="00F80196">
        <w:rPr>
          <w:rFonts w:eastAsiaTheme="minorHAnsi"/>
          <w:caps/>
          <w:sz w:val="30"/>
          <w:szCs w:val="30"/>
          <w:lang w:val="en-GB" w:eastAsia="ja-JP"/>
        </w:rPr>
        <w:t>DOSAGE</w:t>
      </w:r>
    </w:p>
    <w:p w14:paraId="5553BD85" w14:textId="112363FF" w:rsidR="00D412FE" w:rsidRPr="00F80196" w:rsidRDefault="00D412FE" w:rsidP="00F80196">
      <w:pPr>
        <w:spacing w:line="300" w:lineRule="atLeast"/>
        <w:jc w:val="both"/>
        <w:rPr>
          <w:b/>
          <w:u w:val="single"/>
        </w:rPr>
      </w:pPr>
      <w:r w:rsidRPr="00F80196">
        <w:rPr>
          <w:b/>
          <w:u w:val="single"/>
          <w:lang w:val="en-GB" w:eastAsia="ja-JP"/>
        </w:rPr>
        <w:t>Symptoms</w:t>
      </w:r>
      <w:r w:rsidR="00F80196" w:rsidRPr="00F80196">
        <w:rPr>
          <w:b/>
          <w:u w:val="single"/>
          <w:lang w:val="en-GB" w:eastAsia="ja-JP"/>
        </w:rPr>
        <w:t xml:space="preserve"> </w:t>
      </w:r>
      <w:r w:rsidRPr="00F80196">
        <w:rPr>
          <w:b/>
          <w:u w:val="single"/>
        </w:rPr>
        <w:t>and Signs</w:t>
      </w:r>
    </w:p>
    <w:p w14:paraId="5553BD86" w14:textId="590DE9B5" w:rsidR="00D412FE" w:rsidRPr="00E12E40" w:rsidRDefault="00D412FE" w:rsidP="00E12E40">
      <w:pPr>
        <w:autoSpaceDE w:val="0"/>
        <w:autoSpaceDN w:val="0"/>
        <w:adjustRightInd w:val="0"/>
        <w:spacing w:line="300" w:lineRule="atLeast"/>
        <w:jc w:val="both"/>
        <w:rPr>
          <w:rFonts w:eastAsia="MS Mincho"/>
        </w:rPr>
      </w:pPr>
      <w:r w:rsidRPr="00E12E40">
        <w:t xml:space="preserve">In the clinical trials there was one report of overdose where the subject ingested 5000 mg of REVOLADE.  Reported adverse events included mild rash, transient bradycardia, fatigue and elevated transaminases.  </w:t>
      </w:r>
      <w:r w:rsidRPr="00E12E40">
        <w:rPr>
          <w:rFonts w:eastAsia="MS Mincho"/>
        </w:rPr>
        <w:t>Liver enzymes measured between Days 2 and 18 after ingestion peaked at 1.6</w:t>
      </w:r>
      <w:r w:rsidR="00B9471B">
        <w:rPr>
          <w:rFonts w:eastAsia="MS Mincho"/>
        </w:rPr>
        <w:t xml:space="preserve"> x </w:t>
      </w:r>
      <w:r w:rsidRPr="00E12E40">
        <w:rPr>
          <w:rFonts w:eastAsia="MS Mincho"/>
        </w:rPr>
        <w:t>ULN in AST, 3.9</w:t>
      </w:r>
      <w:r w:rsidR="00B9471B">
        <w:rPr>
          <w:rFonts w:eastAsia="MS Mincho"/>
        </w:rPr>
        <w:t xml:space="preserve"> x </w:t>
      </w:r>
      <w:r w:rsidRPr="00E12E40">
        <w:rPr>
          <w:rFonts w:eastAsia="MS Mincho"/>
        </w:rPr>
        <w:t xml:space="preserve">ULN in </w:t>
      </w:r>
      <w:smartTag w:uri="urn:schemas-microsoft-com:office:smarttags" w:element="stockticker">
        <w:r w:rsidRPr="00E12E40">
          <w:rPr>
            <w:rFonts w:eastAsia="MS Mincho"/>
          </w:rPr>
          <w:t>ALT</w:t>
        </w:r>
      </w:smartTag>
      <w:r w:rsidRPr="00E12E40">
        <w:rPr>
          <w:rFonts w:eastAsia="MS Mincho"/>
        </w:rPr>
        <w:t>, and 2.4</w:t>
      </w:r>
      <w:r w:rsidR="00B9471B">
        <w:rPr>
          <w:rFonts w:eastAsia="MS Mincho"/>
        </w:rPr>
        <w:t xml:space="preserve"> x </w:t>
      </w:r>
      <w:r w:rsidRPr="00E12E40">
        <w:rPr>
          <w:rFonts w:eastAsia="MS Mincho"/>
        </w:rPr>
        <w:t>ULN in total bilirubin.  The platelet counts were 672</w:t>
      </w:r>
      <w:r w:rsidR="00561258">
        <w:rPr>
          <w:rFonts w:eastAsia="MS Mincho"/>
        </w:rPr>
        <w:t xml:space="preserve"> x 10</w:t>
      </w:r>
      <w:r w:rsidR="00561258" w:rsidRPr="00561258">
        <w:rPr>
          <w:rFonts w:eastAsia="MS Mincho"/>
          <w:vertAlign w:val="superscript"/>
        </w:rPr>
        <w:t>9</w:t>
      </w:r>
      <w:r w:rsidRPr="00E12E40">
        <w:rPr>
          <w:rFonts w:eastAsia="MS Mincho"/>
        </w:rPr>
        <w:t>/</w:t>
      </w:r>
      <w:r w:rsidR="00C00462">
        <w:rPr>
          <w:rFonts w:eastAsia="MS Mincho"/>
        </w:rPr>
        <w:t>L</w:t>
      </w:r>
      <w:r w:rsidRPr="00E12E40">
        <w:rPr>
          <w:rFonts w:eastAsia="MS Mincho"/>
        </w:rPr>
        <w:t xml:space="preserve"> on day 18 after ingestion and the maximum platelet count was 929</w:t>
      </w:r>
      <w:r w:rsidR="00561258">
        <w:rPr>
          <w:rFonts w:eastAsia="MS Mincho"/>
        </w:rPr>
        <w:t xml:space="preserve"> x 10</w:t>
      </w:r>
      <w:r w:rsidR="00561258" w:rsidRPr="00561258">
        <w:rPr>
          <w:rFonts w:eastAsia="MS Mincho"/>
          <w:vertAlign w:val="superscript"/>
        </w:rPr>
        <w:t>9</w:t>
      </w:r>
      <w:r w:rsidRPr="00E12E40">
        <w:rPr>
          <w:rFonts w:eastAsia="MS Mincho"/>
        </w:rPr>
        <w:t>/</w:t>
      </w:r>
      <w:r w:rsidR="00C00462">
        <w:rPr>
          <w:rFonts w:eastAsia="MS Mincho"/>
        </w:rPr>
        <w:t>L</w:t>
      </w:r>
      <w:r w:rsidRPr="00E12E40">
        <w:rPr>
          <w:rFonts w:eastAsia="MS Mincho"/>
        </w:rPr>
        <w:t>.  All events resolved without sequelae following treatment.</w:t>
      </w:r>
    </w:p>
    <w:p w14:paraId="5553BD87" w14:textId="77777777" w:rsidR="001812E8" w:rsidRPr="0068500B" w:rsidRDefault="001812E8" w:rsidP="00D412FE">
      <w:pPr>
        <w:autoSpaceDE w:val="0"/>
        <w:autoSpaceDN w:val="0"/>
        <w:adjustRightInd w:val="0"/>
        <w:spacing w:line="300" w:lineRule="atLeast"/>
        <w:jc w:val="both"/>
        <w:rPr>
          <w:rFonts w:eastAsia="MS Mincho"/>
          <w:lang w:eastAsia="ja-JP"/>
        </w:rPr>
      </w:pPr>
    </w:p>
    <w:p w14:paraId="5553BD88" w14:textId="77777777" w:rsidR="00D412FE" w:rsidRPr="00E12E40" w:rsidRDefault="00D412FE" w:rsidP="00E12E40">
      <w:pPr>
        <w:pStyle w:val="NoNumHead4"/>
        <w:spacing w:before="0" w:after="120" w:line="300" w:lineRule="atLeast"/>
        <w:jc w:val="both"/>
        <w:rPr>
          <w:rFonts w:ascii="Times New Roman" w:hAnsi="Times New Roman"/>
          <w:sz w:val="24"/>
          <w:u w:val="single"/>
        </w:rPr>
      </w:pPr>
      <w:r w:rsidRPr="00E12E40">
        <w:rPr>
          <w:rFonts w:ascii="Times New Roman" w:hAnsi="Times New Roman"/>
          <w:sz w:val="24"/>
          <w:u w:val="single"/>
        </w:rPr>
        <w:t>Treatment</w:t>
      </w:r>
    </w:p>
    <w:p w14:paraId="5553BD89" w14:textId="4071866D" w:rsidR="00D412FE" w:rsidRPr="0068500B" w:rsidRDefault="00D412FE" w:rsidP="00D412FE">
      <w:pPr>
        <w:spacing w:line="300" w:lineRule="atLeast"/>
        <w:jc w:val="both"/>
        <w:rPr>
          <w:color w:val="000000"/>
        </w:rPr>
      </w:pPr>
      <w:r w:rsidRPr="00E12E40">
        <w:rPr>
          <w:color w:val="000000"/>
        </w:rPr>
        <w:t>In the event of overdose, platelet counts may increase excessively and result in thrombotic/thromboembolic complications.  In case of an overdose, consider oral administration of a metal cation-containing preparation, such as calcium, aluminium, or magnesium preparations to chelate eltrombopag and thus limit absorption.  Closely monitor platelet counts.  Reinitiate treatment with REVOLADE in accordance with dosing and administration recommendations (see</w:t>
      </w:r>
      <w:r w:rsidRPr="00E12E40">
        <w:rPr>
          <w:i/>
          <w:color w:val="000000"/>
        </w:rPr>
        <w:t xml:space="preserve"> </w:t>
      </w:r>
      <w:r w:rsidR="00D23C11" w:rsidRPr="00D23C11">
        <w:rPr>
          <w:color w:val="000000"/>
        </w:rPr>
        <w:t>DOSAGE AND ADMINISTRATION)</w:t>
      </w:r>
      <w:r w:rsidRPr="0068500B">
        <w:rPr>
          <w:color w:val="000000"/>
        </w:rPr>
        <w:t>.</w:t>
      </w:r>
    </w:p>
    <w:p w14:paraId="5553BD8A" w14:textId="77777777" w:rsidR="00D412FE" w:rsidRPr="00E12E40" w:rsidRDefault="00D412FE" w:rsidP="00E12E40">
      <w:pPr>
        <w:spacing w:line="300" w:lineRule="atLeast"/>
        <w:jc w:val="both"/>
        <w:rPr>
          <w:color w:val="000000"/>
        </w:rPr>
      </w:pPr>
    </w:p>
    <w:p w14:paraId="5553BD8B" w14:textId="77777777" w:rsidR="00AC7ED0" w:rsidRPr="00E12E40" w:rsidRDefault="00D412FE" w:rsidP="00D214C7">
      <w:pPr>
        <w:widowControl w:val="0"/>
        <w:spacing w:line="300" w:lineRule="atLeast"/>
        <w:jc w:val="both"/>
        <w:rPr>
          <w:color w:val="000000"/>
        </w:rPr>
      </w:pPr>
      <w:r w:rsidRPr="00E12E40">
        <w:rPr>
          <w:color w:val="000000"/>
        </w:rPr>
        <w:t xml:space="preserve">Because </w:t>
      </w:r>
      <w:r w:rsidR="005678C9" w:rsidRPr="00E12E40">
        <w:rPr>
          <w:color w:val="000000"/>
        </w:rPr>
        <w:t xml:space="preserve">REVOLADE </w:t>
      </w:r>
      <w:r w:rsidRPr="00E12E40">
        <w:rPr>
          <w:color w:val="000000"/>
        </w:rPr>
        <w:t>is not significantly renally excreted and is highly bound to plasma proteins, h</w:t>
      </w:r>
      <w:r w:rsidR="005678C9" w:rsidRPr="00E12E40">
        <w:rPr>
          <w:color w:val="000000"/>
        </w:rPr>
        <w:t>a</w:t>
      </w:r>
      <w:r w:rsidRPr="00E12E40">
        <w:rPr>
          <w:color w:val="000000"/>
        </w:rPr>
        <w:t>emodialysis would not be expected to be an effective method to enhance the elimination of eltrombopag.</w:t>
      </w:r>
    </w:p>
    <w:p w14:paraId="5553BD8C" w14:textId="77777777" w:rsidR="006C4A20" w:rsidRDefault="006C4A20" w:rsidP="00E12E40">
      <w:pPr>
        <w:autoSpaceDE w:val="0"/>
        <w:autoSpaceDN w:val="0"/>
        <w:adjustRightInd w:val="0"/>
        <w:rPr>
          <w:sz w:val="22"/>
        </w:rPr>
      </w:pPr>
    </w:p>
    <w:p w14:paraId="56DB0962" w14:textId="4A44CCB3" w:rsidR="005F0828" w:rsidRDefault="005F0828" w:rsidP="005F0828">
      <w:pPr>
        <w:spacing w:line="300" w:lineRule="atLeast"/>
        <w:jc w:val="both"/>
        <w:rPr>
          <w:color w:val="000000"/>
        </w:rPr>
      </w:pPr>
      <w:r w:rsidRPr="005F0828">
        <w:rPr>
          <w:color w:val="000000"/>
        </w:rPr>
        <w:lastRenderedPageBreak/>
        <w:t xml:space="preserve">Further management should be as clinically indicated or as recommended by the Poison Information Centre on </w:t>
      </w:r>
      <w:r>
        <w:rPr>
          <w:color w:val="000000"/>
        </w:rPr>
        <w:t xml:space="preserve">telephone number </w:t>
      </w:r>
      <w:r w:rsidRPr="005F0828">
        <w:rPr>
          <w:color w:val="000000"/>
        </w:rPr>
        <w:t>131126</w:t>
      </w:r>
      <w:r>
        <w:rPr>
          <w:color w:val="000000"/>
        </w:rPr>
        <w:t xml:space="preserve"> (local call in all areas). </w:t>
      </w:r>
    </w:p>
    <w:p w14:paraId="26497AB1" w14:textId="6002F3B1" w:rsidR="00F0067C" w:rsidRDefault="00F0067C">
      <w:pPr>
        <w:rPr>
          <w:rFonts w:eastAsiaTheme="minorHAnsi"/>
          <w:b/>
          <w:caps/>
          <w:sz w:val="30"/>
          <w:szCs w:val="20"/>
          <w:u w:val="single"/>
          <w:lang w:val="en-GB"/>
        </w:rPr>
      </w:pPr>
    </w:p>
    <w:p w14:paraId="5553BD8E" w14:textId="59BC4254" w:rsidR="006C4A20" w:rsidRPr="00E12E40" w:rsidRDefault="006C4A20" w:rsidP="00E12E40">
      <w:pPr>
        <w:pStyle w:val="Heading2"/>
        <w:spacing w:before="120" w:after="240" w:line="276" w:lineRule="auto"/>
        <w:jc w:val="left"/>
        <w:rPr>
          <w:rFonts w:eastAsiaTheme="minorHAnsi"/>
          <w:caps/>
          <w:sz w:val="30"/>
          <w:lang w:val="en-GB"/>
        </w:rPr>
      </w:pPr>
      <w:r w:rsidRPr="00E12E40">
        <w:rPr>
          <w:rFonts w:eastAsiaTheme="minorHAnsi"/>
          <w:caps/>
          <w:sz w:val="30"/>
          <w:lang w:val="en-GB"/>
        </w:rPr>
        <w:t xml:space="preserve">PRESENTATION </w:t>
      </w:r>
      <w:smartTag w:uri="urn:schemas-microsoft-com:office:smarttags" w:element="stockticker">
        <w:r w:rsidRPr="00E12E40">
          <w:rPr>
            <w:rFonts w:eastAsiaTheme="minorHAnsi"/>
            <w:caps/>
            <w:sz w:val="30"/>
            <w:lang w:val="en-GB"/>
          </w:rPr>
          <w:t>AND</w:t>
        </w:r>
      </w:smartTag>
      <w:r w:rsidRPr="00E12E40">
        <w:rPr>
          <w:rFonts w:eastAsiaTheme="minorHAnsi"/>
          <w:caps/>
          <w:sz w:val="30"/>
          <w:lang w:val="en-GB"/>
        </w:rPr>
        <w:t xml:space="preserve"> STORAGE CONDITIONS</w:t>
      </w:r>
    </w:p>
    <w:p w14:paraId="5553BD8F" w14:textId="05CBB6CC" w:rsidR="00913017" w:rsidRPr="00696CB2" w:rsidRDefault="00A620F8" w:rsidP="00696CB2">
      <w:pPr>
        <w:pStyle w:val="NoNumHead4"/>
        <w:spacing w:before="0" w:after="120" w:line="300" w:lineRule="atLeast"/>
        <w:jc w:val="both"/>
        <w:rPr>
          <w:rFonts w:ascii="Times New Roman" w:hAnsi="Times New Roman"/>
          <w:sz w:val="24"/>
          <w:szCs w:val="24"/>
          <w:u w:val="single"/>
        </w:rPr>
      </w:pPr>
      <w:r w:rsidRPr="00696CB2">
        <w:rPr>
          <w:rFonts w:ascii="Times New Roman" w:hAnsi="Times New Roman"/>
          <w:sz w:val="24"/>
          <w:szCs w:val="24"/>
          <w:u w:val="single"/>
        </w:rPr>
        <w:t>Presentation</w:t>
      </w:r>
      <w:r w:rsidR="00696CB2">
        <w:rPr>
          <w:rFonts w:ascii="Times New Roman" w:hAnsi="Times New Roman"/>
          <w:sz w:val="24"/>
          <w:szCs w:val="24"/>
          <w:u w:val="single"/>
        </w:rPr>
        <w:t>s</w:t>
      </w:r>
    </w:p>
    <w:p w14:paraId="26E81AFC" w14:textId="2509E4E7" w:rsidR="00696CB2" w:rsidRPr="00696CB2" w:rsidRDefault="0042465B" w:rsidP="0042465B">
      <w:pPr>
        <w:tabs>
          <w:tab w:val="right" w:pos="4464"/>
        </w:tabs>
        <w:spacing w:line="300" w:lineRule="atLeast"/>
        <w:jc w:val="both"/>
        <w:rPr>
          <w:b/>
        </w:rPr>
      </w:pPr>
      <w:r w:rsidRPr="00E12E40">
        <w:rPr>
          <w:b/>
        </w:rPr>
        <w:t>25 mg tablets</w:t>
      </w:r>
    </w:p>
    <w:p w14:paraId="5553BD90" w14:textId="234B919B" w:rsidR="0042465B" w:rsidRPr="00E12E40" w:rsidRDefault="00D23C11" w:rsidP="0008470C">
      <w:pPr>
        <w:widowControl w:val="0"/>
        <w:tabs>
          <w:tab w:val="right" w:pos="4464"/>
        </w:tabs>
        <w:spacing w:line="300" w:lineRule="atLeast"/>
        <w:jc w:val="both"/>
      </w:pPr>
      <w:r>
        <w:t>R</w:t>
      </w:r>
      <w:r w:rsidR="0042465B" w:rsidRPr="0068500B">
        <w:t>ound</w:t>
      </w:r>
      <w:r w:rsidR="0042465B" w:rsidRPr="00E12E40">
        <w:t>, biconvex, white, and film-coated, debossed with ‘GS NX3’ and ‘25’ on one side.</w:t>
      </w:r>
    </w:p>
    <w:p w14:paraId="47A186A0" w14:textId="044FACFB" w:rsidR="00696CB2" w:rsidRPr="00696CB2" w:rsidRDefault="0042465B" w:rsidP="0042465B">
      <w:pPr>
        <w:rPr>
          <w:b/>
        </w:rPr>
      </w:pPr>
      <w:r w:rsidRPr="00E12E40">
        <w:rPr>
          <w:b/>
        </w:rPr>
        <w:t>50 mg tablets</w:t>
      </w:r>
    </w:p>
    <w:p w14:paraId="5553BD92" w14:textId="00F7E6F2" w:rsidR="0042465B" w:rsidRPr="00E12E40" w:rsidRDefault="00696CB2" w:rsidP="00E12E40">
      <w:r>
        <w:t>R</w:t>
      </w:r>
      <w:r w:rsidR="0042465B" w:rsidRPr="0068500B">
        <w:t>ound</w:t>
      </w:r>
      <w:r w:rsidR="0042465B" w:rsidRPr="00E12E40">
        <w:t>, biconvex, brown, and film-coated, debossed with ‘GS UFU’ and ‘50’ on one side.</w:t>
      </w:r>
    </w:p>
    <w:p w14:paraId="5553BD93" w14:textId="7FABD280" w:rsidR="00841408" w:rsidRPr="0068500B" w:rsidRDefault="00841408" w:rsidP="0042465B"/>
    <w:p w14:paraId="1071F570" w14:textId="7DB776FA" w:rsidR="00696CB2" w:rsidRPr="00696CB2" w:rsidRDefault="00841408" w:rsidP="00E1206A">
      <w:pPr>
        <w:tabs>
          <w:tab w:val="right" w:pos="4464"/>
        </w:tabs>
        <w:jc w:val="both"/>
        <w:rPr>
          <w:b/>
        </w:rPr>
      </w:pPr>
      <w:r w:rsidRPr="00E12E40">
        <w:rPr>
          <w:b/>
        </w:rPr>
        <w:t>75 mg tablets</w:t>
      </w:r>
    </w:p>
    <w:p w14:paraId="5553BD94" w14:textId="24120735" w:rsidR="00841408" w:rsidRPr="00E12E40" w:rsidRDefault="00696CB2" w:rsidP="00E12E40">
      <w:pPr>
        <w:tabs>
          <w:tab w:val="right" w:pos="4464"/>
        </w:tabs>
        <w:jc w:val="both"/>
      </w:pPr>
      <w:r>
        <w:t>R</w:t>
      </w:r>
      <w:r w:rsidR="00841408" w:rsidRPr="0068500B">
        <w:t>ound</w:t>
      </w:r>
      <w:r w:rsidR="00841408" w:rsidRPr="00E12E40">
        <w:t>, biconvex, pink, and film-coated, debossed with ‘GS FSS’ and ‘75’ on one side.</w:t>
      </w:r>
    </w:p>
    <w:p w14:paraId="11E1203E" w14:textId="40C1A94C" w:rsidR="002606DF" w:rsidRPr="0068500B" w:rsidRDefault="002606DF" w:rsidP="00E1206A">
      <w:pPr>
        <w:tabs>
          <w:tab w:val="right" w:pos="4464"/>
        </w:tabs>
        <w:jc w:val="both"/>
      </w:pPr>
    </w:p>
    <w:p w14:paraId="5553BD9A" w14:textId="0C87E865" w:rsidR="00E25FB0" w:rsidRPr="00E12E40" w:rsidRDefault="00E25FB0" w:rsidP="00E12E40">
      <w:pPr>
        <w:pStyle w:val="NoNumHead4"/>
        <w:spacing w:before="0" w:after="120" w:line="300" w:lineRule="atLeast"/>
        <w:jc w:val="both"/>
        <w:rPr>
          <w:rFonts w:ascii="Times New Roman" w:hAnsi="Times New Roman"/>
          <w:sz w:val="24"/>
          <w:u w:val="single"/>
        </w:rPr>
      </w:pPr>
      <w:r w:rsidRPr="00E12E40">
        <w:rPr>
          <w:rFonts w:ascii="Times New Roman" w:hAnsi="Times New Roman"/>
          <w:sz w:val="24"/>
          <w:u w:val="single"/>
        </w:rPr>
        <w:t>Storage</w:t>
      </w:r>
    </w:p>
    <w:p w14:paraId="5553BD9B" w14:textId="77777777" w:rsidR="00E25FB0" w:rsidRPr="00E12E40" w:rsidRDefault="00E25FB0" w:rsidP="00E12E40">
      <w:pPr>
        <w:spacing w:line="300" w:lineRule="atLeast"/>
        <w:jc w:val="both"/>
        <w:rPr>
          <w:rStyle w:val="CSIchar"/>
          <w:shd w:val="clear" w:color="auto" w:fill="auto"/>
        </w:rPr>
      </w:pPr>
      <w:r w:rsidRPr="00E12E40">
        <w:rPr>
          <w:rStyle w:val="CSIchar"/>
          <w:shd w:val="clear" w:color="auto" w:fill="auto"/>
        </w:rPr>
        <w:t xml:space="preserve">Store </w:t>
      </w:r>
      <w:r w:rsidR="00AE39C4" w:rsidRPr="00E12E40">
        <w:rPr>
          <w:rStyle w:val="CSIchar"/>
          <w:shd w:val="clear" w:color="auto" w:fill="auto"/>
        </w:rPr>
        <w:t>below 30</w:t>
      </w:r>
      <w:r w:rsidRPr="00E12E40">
        <w:rPr>
          <w:rStyle w:val="CSIchar"/>
          <w:shd w:val="clear" w:color="auto" w:fill="auto"/>
        </w:rPr>
        <w:t>°C</w:t>
      </w:r>
      <w:r w:rsidR="00AE39C4" w:rsidRPr="00E12E40">
        <w:rPr>
          <w:rStyle w:val="CSIchar"/>
          <w:shd w:val="clear" w:color="auto" w:fill="auto"/>
        </w:rPr>
        <w:t>.</w:t>
      </w:r>
    </w:p>
    <w:p w14:paraId="0D81C9B0" w14:textId="77777777" w:rsidR="00E57DA2" w:rsidRPr="00E12E40" w:rsidRDefault="00E57DA2" w:rsidP="00E25FB0">
      <w:pPr>
        <w:spacing w:line="300" w:lineRule="atLeast"/>
        <w:jc w:val="both"/>
      </w:pPr>
    </w:p>
    <w:p w14:paraId="5553BD9D" w14:textId="77777777" w:rsidR="00E25FB0" w:rsidRPr="00E12E40" w:rsidRDefault="00E25FB0" w:rsidP="00E12E40">
      <w:pPr>
        <w:pStyle w:val="NoNumHead4"/>
        <w:spacing w:before="0" w:after="120" w:line="300" w:lineRule="atLeast"/>
        <w:jc w:val="both"/>
        <w:rPr>
          <w:rFonts w:ascii="Times New Roman" w:hAnsi="Times New Roman"/>
          <w:sz w:val="24"/>
          <w:u w:val="single"/>
        </w:rPr>
      </w:pPr>
      <w:r w:rsidRPr="00E12E40">
        <w:rPr>
          <w:rFonts w:ascii="Times New Roman" w:hAnsi="Times New Roman"/>
          <w:sz w:val="24"/>
          <w:u w:val="single"/>
        </w:rPr>
        <w:t>Nature and Contents of Container</w:t>
      </w:r>
    </w:p>
    <w:p w14:paraId="5553BD9E" w14:textId="7EB99B0C" w:rsidR="00E25FB0" w:rsidRPr="00E12E40" w:rsidRDefault="00AE39C4" w:rsidP="00E12E40">
      <w:pPr>
        <w:widowControl w:val="0"/>
        <w:autoSpaceDE w:val="0"/>
        <w:autoSpaceDN w:val="0"/>
        <w:adjustRightInd w:val="0"/>
        <w:spacing w:line="300" w:lineRule="atLeast"/>
        <w:jc w:val="both"/>
      </w:pPr>
      <w:r w:rsidRPr="00E12E40">
        <w:t>REVOLADE film-coated tablets are supplied in aluminium-aluminium foil blisters in packs of 14</w:t>
      </w:r>
      <w:r w:rsidR="00D23C11">
        <w:t>*</w:t>
      </w:r>
      <w:r w:rsidR="00E6622A" w:rsidRPr="00E12E40">
        <w:t>, 28 or 84</w:t>
      </w:r>
      <w:r w:rsidRPr="00E12E40">
        <w:t xml:space="preserve"> tablets</w:t>
      </w:r>
      <w:r w:rsidR="00E6622A" w:rsidRPr="00E12E40">
        <w:t>*</w:t>
      </w:r>
      <w:r w:rsidRPr="00E12E40">
        <w:t>.</w:t>
      </w:r>
    </w:p>
    <w:p w14:paraId="5553BD9F" w14:textId="77777777" w:rsidR="00F16776" w:rsidRPr="0068500B" w:rsidRDefault="00F16776" w:rsidP="00E25FB0">
      <w:pPr>
        <w:spacing w:line="300" w:lineRule="atLeast"/>
        <w:jc w:val="both"/>
        <w:rPr>
          <w:rFonts w:eastAsia="MS Mincho"/>
          <w:lang w:eastAsia="ja-JP"/>
        </w:rPr>
      </w:pPr>
    </w:p>
    <w:p w14:paraId="5553BDA0" w14:textId="5B3C579F" w:rsidR="00E6622A" w:rsidRPr="00E12E40" w:rsidRDefault="00A620F8" w:rsidP="00E12E40">
      <w:pPr>
        <w:spacing w:line="300" w:lineRule="atLeast"/>
        <w:jc w:val="both"/>
      </w:pPr>
      <w:r>
        <w:t>*</w:t>
      </w:r>
      <w:r w:rsidR="002D0D8B" w:rsidRPr="00E12E40">
        <w:t>Not all strengths and pack sizes may be distributed in Australia.</w:t>
      </w:r>
    </w:p>
    <w:p w14:paraId="049EAA5E" w14:textId="77777777" w:rsidR="002606DF" w:rsidRPr="00E12E40" w:rsidRDefault="002606DF" w:rsidP="00E12E40">
      <w:pPr>
        <w:spacing w:line="300" w:lineRule="atLeast"/>
        <w:jc w:val="both"/>
      </w:pPr>
    </w:p>
    <w:p w14:paraId="5553BDA2" w14:textId="77777777" w:rsidR="006C4A20" w:rsidRPr="00E12E40" w:rsidRDefault="006C4A20" w:rsidP="00E12E40">
      <w:pPr>
        <w:pStyle w:val="Heading2"/>
        <w:spacing w:before="120" w:after="240" w:line="276" w:lineRule="auto"/>
        <w:jc w:val="left"/>
        <w:rPr>
          <w:rFonts w:eastAsiaTheme="minorHAnsi"/>
          <w:caps/>
          <w:sz w:val="30"/>
          <w:lang w:val="en-GB"/>
        </w:rPr>
      </w:pPr>
      <w:r w:rsidRPr="00E12E40">
        <w:rPr>
          <w:rFonts w:eastAsiaTheme="minorHAnsi"/>
          <w:caps/>
          <w:sz w:val="30"/>
          <w:lang w:val="en-GB"/>
        </w:rPr>
        <w:t xml:space="preserve">NAME </w:t>
      </w:r>
      <w:smartTag w:uri="urn:schemas-microsoft-com:office:smarttags" w:element="stockticker">
        <w:r w:rsidRPr="00E12E40">
          <w:rPr>
            <w:rFonts w:eastAsiaTheme="minorHAnsi"/>
            <w:caps/>
            <w:sz w:val="30"/>
            <w:lang w:val="en-GB"/>
          </w:rPr>
          <w:t>AND</w:t>
        </w:r>
      </w:smartTag>
      <w:r w:rsidRPr="00E12E40">
        <w:rPr>
          <w:rFonts w:eastAsiaTheme="minorHAnsi"/>
          <w:caps/>
          <w:sz w:val="30"/>
          <w:lang w:val="en-GB"/>
        </w:rPr>
        <w:t xml:space="preserve"> ADDRESS OF THE SPONSOR</w:t>
      </w:r>
    </w:p>
    <w:p w14:paraId="5CA2544C" w14:textId="77777777" w:rsidR="00244DAA" w:rsidRPr="00E12E40" w:rsidRDefault="000C5777" w:rsidP="00E12E40">
      <w:pPr>
        <w:spacing w:line="276" w:lineRule="auto"/>
        <w:rPr>
          <w:rFonts w:eastAsiaTheme="minorHAnsi"/>
        </w:rPr>
      </w:pPr>
      <w:r w:rsidRPr="00E12E40">
        <w:rPr>
          <w:rFonts w:eastAsiaTheme="minorHAnsi"/>
        </w:rPr>
        <w:t>NOVARTIS Pharmaceuticals Australia Pty Limited</w:t>
      </w:r>
      <w:r w:rsidRPr="00E12E40">
        <w:rPr>
          <w:rFonts w:eastAsiaTheme="minorHAnsi"/>
        </w:rPr>
        <w:br/>
        <w:t>ABN 18 004 244 160</w:t>
      </w:r>
      <w:r w:rsidRPr="00E12E40">
        <w:rPr>
          <w:rFonts w:eastAsiaTheme="minorHAnsi"/>
        </w:rPr>
        <w:br/>
        <w:t>54 Waterloo Road</w:t>
      </w:r>
      <w:r w:rsidRPr="00E12E40">
        <w:rPr>
          <w:rFonts w:eastAsiaTheme="minorHAnsi"/>
        </w:rPr>
        <w:br/>
        <w:t>MACQUARIE PARK NSW 2113</w:t>
      </w:r>
    </w:p>
    <w:p w14:paraId="1A9012AD" w14:textId="5A88BE56" w:rsidR="00244DAA" w:rsidRDefault="00244DAA" w:rsidP="00244DAA">
      <w:pPr>
        <w:spacing w:after="200" w:line="276" w:lineRule="auto"/>
        <w:rPr>
          <w:lang w:eastAsia="en-US"/>
        </w:rPr>
      </w:pPr>
      <w:r w:rsidRPr="00244DAA">
        <w:rPr>
          <w:vertAlign w:val="superscript"/>
          <w:lang w:eastAsia="en-US"/>
        </w:rPr>
        <w:sym w:font="Symbol" w:char="F0D2"/>
      </w:r>
      <w:r w:rsidRPr="00244DAA">
        <w:rPr>
          <w:lang w:eastAsia="en-US"/>
        </w:rPr>
        <w:t xml:space="preserve"> = Registered Trademark</w:t>
      </w:r>
    </w:p>
    <w:p w14:paraId="0CA8325D" w14:textId="77777777" w:rsidR="0057169F" w:rsidRPr="00244DAA" w:rsidRDefault="0057169F" w:rsidP="0057169F">
      <w:pPr>
        <w:spacing w:line="300" w:lineRule="atLeast"/>
        <w:jc w:val="both"/>
      </w:pPr>
    </w:p>
    <w:p w14:paraId="5553BDAA" w14:textId="02A68705" w:rsidR="006C4A20" w:rsidRPr="00E12E40" w:rsidRDefault="006C4A20" w:rsidP="00E12E40">
      <w:pPr>
        <w:pStyle w:val="Heading2"/>
        <w:spacing w:before="120" w:after="240" w:line="276" w:lineRule="auto"/>
        <w:jc w:val="left"/>
        <w:rPr>
          <w:rFonts w:eastAsiaTheme="minorHAnsi"/>
          <w:caps/>
          <w:sz w:val="30"/>
          <w:lang w:val="en-GB"/>
        </w:rPr>
      </w:pPr>
      <w:r w:rsidRPr="00E12E40">
        <w:rPr>
          <w:rFonts w:eastAsiaTheme="minorHAnsi"/>
          <w:caps/>
          <w:sz w:val="30"/>
          <w:lang w:val="en-GB"/>
        </w:rPr>
        <w:t xml:space="preserve">POISON SCHEDULE OF THE MEDICINE </w:t>
      </w:r>
    </w:p>
    <w:p w14:paraId="5553BDAB" w14:textId="77777777" w:rsidR="00B117E6" w:rsidRDefault="00B117E6" w:rsidP="00E12E40">
      <w:pPr>
        <w:tabs>
          <w:tab w:val="left" w:pos="-720"/>
        </w:tabs>
        <w:spacing w:after="240"/>
        <w:ind w:right="879"/>
        <w:rPr>
          <w:rFonts w:eastAsiaTheme="minorHAnsi"/>
        </w:rPr>
      </w:pPr>
      <w:r w:rsidRPr="00E12E40">
        <w:rPr>
          <w:rFonts w:eastAsiaTheme="minorHAnsi"/>
        </w:rPr>
        <w:t>Schedule 4 – Prescription only medicine</w:t>
      </w:r>
    </w:p>
    <w:p w14:paraId="759D660F" w14:textId="77777777" w:rsidR="0057169F" w:rsidRPr="0057169F" w:rsidRDefault="0057169F" w:rsidP="0057169F">
      <w:pPr>
        <w:spacing w:line="300" w:lineRule="atLeast"/>
        <w:jc w:val="both"/>
      </w:pPr>
    </w:p>
    <w:p w14:paraId="09C8060A" w14:textId="51548787" w:rsidR="00364078" w:rsidRPr="00E12E40" w:rsidRDefault="003E558C" w:rsidP="00E12E40">
      <w:pPr>
        <w:pStyle w:val="Heading2"/>
        <w:spacing w:before="120" w:after="240" w:line="276" w:lineRule="auto"/>
        <w:jc w:val="left"/>
        <w:rPr>
          <w:rFonts w:eastAsiaTheme="minorHAnsi"/>
          <w:caps/>
          <w:sz w:val="30"/>
          <w:lang w:val="en-GB"/>
        </w:rPr>
      </w:pPr>
      <w:r w:rsidRPr="00E12E40">
        <w:rPr>
          <w:rFonts w:eastAsiaTheme="minorHAnsi"/>
          <w:caps/>
          <w:sz w:val="30"/>
          <w:lang w:val="en-GB"/>
        </w:rPr>
        <w:lastRenderedPageBreak/>
        <w:t>DATE OF FIRST INCLUSION IN THE AUSTRALIAN REGISTER OF THERAPEUTIC GOODS (THE ARTG</w:t>
      </w:r>
      <w:r w:rsidRPr="00C829B6">
        <w:rPr>
          <w:rFonts w:eastAsiaTheme="minorHAnsi"/>
          <w:caps/>
          <w:sz w:val="30"/>
          <w:szCs w:val="30"/>
          <w:lang w:val="en-GB" w:eastAsia="ja-JP"/>
        </w:rPr>
        <w:t>)</w:t>
      </w:r>
      <w:r w:rsidRPr="00E12E40">
        <w:rPr>
          <w:rFonts w:eastAsiaTheme="minorHAnsi"/>
          <w:caps/>
          <w:sz w:val="30"/>
          <w:lang w:val="en-GB"/>
        </w:rPr>
        <w:t xml:space="preserve"> </w:t>
      </w:r>
    </w:p>
    <w:p w14:paraId="5553BDAE" w14:textId="599C714B" w:rsidR="003E558C" w:rsidRPr="00E12E40" w:rsidRDefault="002B46E2" w:rsidP="00E12E40">
      <w:pPr>
        <w:tabs>
          <w:tab w:val="left" w:pos="-720"/>
        </w:tabs>
        <w:spacing w:after="240"/>
        <w:ind w:right="879"/>
        <w:rPr>
          <w:rFonts w:eastAsiaTheme="minorHAnsi"/>
        </w:rPr>
      </w:pPr>
      <w:r w:rsidRPr="00E12E40">
        <w:rPr>
          <w:rFonts w:eastAsiaTheme="minorHAnsi"/>
        </w:rPr>
        <w:t>16 July 2010</w:t>
      </w:r>
    </w:p>
    <w:p w14:paraId="5553BDAF" w14:textId="77777777" w:rsidR="003E558C" w:rsidRPr="00E12E40" w:rsidRDefault="003E558C" w:rsidP="00E12E40">
      <w:pPr>
        <w:spacing w:line="300" w:lineRule="atLeast"/>
        <w:jc w:val="both"/>
      </w:pPr>
    </w:p>
    <w:p w14:paraId="28602393" w14:textId="1F721E7C" w:rsidR="00C829B6" w:rsidRPr="00E12E40" w:rsidRDefault="003E558C" w:rsidP="00E12E40">
      <w:pPr>
        <w:pStyle w:val="Heading2"/>
        <w:spacing w:before="120" w:after="240" w:line="276" w:lineRule="auto"/>
        <w:jc w:val="left"/>
        <w:rPr>
          <w:rFonts w:eastAsiaTheme="minorHAnsi"/>
          <w:caps/>
          <w:sz w:val="30"/>
          <w:lang w:val="en-GB"/>
        </w:rPr>
      </w:pPr>
      <w:r w:rsidRPr="00E12E40">
        <w:rPr>
          <w:rFonts w:eastAsiaTheme="minorHAnsi"/>
          <w:caps/>
          <w:sz w:val="30"/>
          <w:lang w:val="en-GB"/>
        </w:rPr>
        <w:t>DATE OF MOST RECENT AMENDMENT</w:t>
      </w:r>
      <w:r w:rsidR="002E097B" w:rsidRPr="00E12E40">
        <w:rPr>
          <w:rFonts w:eastAsiaTheme="minorHAnsi"/>
          <w:caps/>
          <w:sz w:val="30"/>
          <w:lang w:val="en-GB"/>
        </w:rPr>
        <w:t xml:space="preserve"> </w:t>
      </w:r>
      <w:r w:rsidR="00C83264" w:rsidRPr="00E12E40">
        <w:rPr>
          <w:rFonts w:eastAsiaTheme="minorHAnsi"/>
          <w:caps/>
          <w:sz w:val="30"/>
          <w:lang w:val="en-GB"/>
        </w:rPr>
        <w:t xml:space="preserve"> </w:t>
      </w:r>
    </w:p>
    <w:p w14:paraId="7D20D53E" w14:textId="5A52D32C" w:rsidR="00A620F8" w:rsidRDefault="005A2B77" w:rsidP="003E558C">
      <w:r>
        <w:t>7 December 201</w:t>
      </w:r>
      <w:r w:rsidR="00E83C07">
        <w:t>5</w:t>
      </w:r>
    </w:p>
    <w:p w14:paraId="5DFA90C8" w14:textId="77777777" w:rsidR="00A620F8" w:rsidRDefault="00A620F8" w:rsidP="003E558C"/>
    <w:p w14:paraId="70912950" w14:textId="77777777" w:rsidR="00A620F8" w:rsidRDefault="00A620F8" w:rsidP="003E558C"/>
    <w:p w14:paraId="6390D211" w14:textId="77777777" w:rsidR="00166228" w:rsidRDefault="00166228" w:rsidP="00F16776">
      <w:pPr>
        <w:tabs>
          <w:tab w:val="right" w:pos="8550"/>
        </w:tabs>
        <w:ind w:right="878"/>
        <w:jc w:val="both"/>
        <w:rPr>
          <w:sz w:val="22"/>
          <w:szCs w:val="22"/>
        </w:rPr>
      </w:pPr>
    </w:p>
    <w:p w14:paraId="45D7BB1B" w14:textId="17F8FEBE" w:rsidR="00166228" w:rsidRPr="00E12E40" w:rsidRDefault="00166228" w:rsidP="00E12E40">
      <w:pPr>
        <w:pBdr>
          <w:top w:val="single" w:sz="4" w:space="1" w:color="auto"/>
        </w:pBdr>
        <w:tabs>
          <w:tab w:val="right" w:pos="8550"/>
        </w:tabs>
        <w:ind w:right="878"/>
        <w:jc w:val="both"/>
        <w:rPr>
          <w:sz w:val="22"/>
        </w:rPr>
      </w:pPr>
      <w:r w:rsidRPr="00E12E40">
        <w:rPr>
          <w:sz w:val="22"/>
        </w:rPr>
        <w:t>For internal use</w:t>
      </w:r>
      <w:r w:rsidR="00B75C1A">
        <w:rPr>
          <w:sz w:val="22"/>
        </w:rPr>
        <w:t xml:space="preserve"> </w:t>
      </w:r>
      <w:r w:rsidR="00FA3B9B" w:rsidRPr="00E12E40">
        <w:rPr>
          <w:sz w:val="22"/>
        </w:rPr>
        <w:t>only</w:t>
      </w:r>
    </w:p>
    <w:p w14:paraId="0031C7FD" w14:textId="3A4236E8" w:rsidR="00166228" w:rsidRPr="00E12E40" w:rsidRDefault="00FA3B9B" w:rsidP="00F16776">
      <w:pPr>
        <w:tabs>
          <w:tab w:val="right" w:pos="8550"/>
        </w:tabs>
        <w:ind w:right="878"/>
        <w:jc w:val="both"/>
        <w:rPr>
          <w:sz w:val="22"/>
        </w:rPr>
      </w:pPr>
      <w:r w:rsidRPr="00B75C1A">
        <w:rPr>
          <w:sz w:val="22"/>
          <w:szCs w:val="22"/>
        </w:rPr>
        <w:t>(rev</w:t>
      </w:r>
      <w:r w:rsidR="00846CD2">
        <w:rPr>
          <w:sz w:val="22"/>
          <w:szCs w:val="22"/>
        </w:rPr>
        <w:t>0712</w:t>
      </w:r>
      <w:r w:rsidRPr="00B75C1A">
        <w:rPr>
          <w:sz w:val="22"/>
          <w:szCs w:val="22"/>
        </w:rPr>
        <w:t>15</w:t>
      </w:r>
      <w:r w:rsidR="00B75C1A">
        <w:rPr>
          <w:sz w:val="22"/>
          <w:szCs w:val="22"/>
        </w:rPr>
        <w:t>i</w:t>
      </w:r>
      <w:r w:rsidRPr="00B75C1A">
        <w:rPr>
          <w:sz w:val="22"/>
          <w:szCs w:val="22"/>
        </w:rPr>
        <w:t>)</w:t>
      </w:r>
      <w:r w:rsidR="00B75C1A">
        <w:rPr>
          <w:sz w:val="22"/>
          <w:szCs w:val="22"/>
        </w:rPr>
        <w:t xml:space="preserve"> </w:t>
      </w:r>
      <w:r w:rsidR="00166228">
        <w:rPr>
          <w:sz w:val="22"/>
          <w:szCs w:val="22"/>
        </w:rPr>
        <w:t xml:space="preserve">is based on </w:t>
      </w:r>
      <w:r w:rsidR="00D214C7">
        <w:rPr>
          <w:sz w:val="22"/>
          <w:szCs w:val="22"/>
        </w:rPr>
        <w:t xml:space="preserve">the </w:t>
      </w:r>
      <w:r w:rsidR="00166228">
        <w:rPr>
          <w:sz w:val="22"/>
          <w:szCs w:val="22"/>
        </w:rPr>
        <w:t xml:space="preserve">Core Data Sheet dated </w:t>
      </w:r>
      <w:r w:rsidR="00AF03E0">
        <w:rPr>
          <w:sz w:val="22"/>
          <w:szCs w:val="22"/>
        </w:rPr>
        <w:t xml:space="preserve">30 April </w:t>
      </w:r>
      <w:r w:rsidR="00166228">
        <w:rPr>
          <w:sz w:val="22"/>
          <w:szCs w:val="22"/>
        </w:rPr>
        <w:t>201</w:t>
      </w:r>
      <w:r w:rsidR="00AF03E0">
        <w:rPr>
          <w:sz w:val="22"/>
          <w:szCs w:val="22"/>
        </w:rPr>
        <w:t>5</w:t>
      </w:r>
    </w:p>
    <w:sectPr w:rsidR="00166228" w:rsidRPr="00E12E40" w:rsidSect="00DF0794">
      <w:headerReference w:type="default" r:id="rId16"/>
      <w:footerReference w:type="even" r:id="rId17"/>
      <w:footerReference w:type="default" r:id="rId18"/>
      <w:headerReference w:type="first" r:id="rId19"/>
      <w:pgSz w:w="12240" w:h="15840"/>
      <w:pgMar w:top="1191" w:right="1134"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B5B59" w14:textId="77777777" w:rsidR="00FC3E4E" w:rsidRDefault="00FC3E4E">
      <w:r>
        <w:separator/>
      </w:r>
    </w:p>
  </w:endnote>
  <w:endnote w:type="continuationSeparator" w:id="0">
    <w:p w14:paraId="253A0C49" w14:textId="77777777" w:rsidR="00FC3E4E" w:rsidRDefault="00FC3E4E">
      <w:r>
        <w:continuationSeparator/>
      </w:r>
    </w:p>
  </w:endnote>
  <w:endnote w:type="continuationNotice" w:id="1">
    <w:p w14:paraId="73504812" w14:textId="77777777" w:rsidR="00FC3E4E" w:rsidRDefault="00FC3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BDC7" w14:textId="77777777" w:rsidR="00FC3E4E" w:rsidRDefault="00FC3E4E" w:rsidP="00CB41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3BDC8" w14:textId="77777777" w:rsidR="00FC3E4E" w:rsidRDefault="00FC3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7539330"/>
      <w:docPartObj>
        <w:docPartGallery w:val="Page Numbers (Bottom of Page)"/>
        <w:docPartUnique/>
      </w:docPartObj>
    </w:sdtPr>
    <w:sdtContent>
      <w:p w14:paraId="74C97887" w14:textId="77777777" w:rsidR="00FC3E4E" w:rsidRPr="005E2608" w:rsidRDefault="00FC3E4E" w:rsidP="00CB4136">
        <w:pPr>
          <w:pStyle w:val="Footer"/>
          <w:framePr w:wrap="around" w:vAnchor="text" w:hAnchor="margin" w:xAlign="center" w:y="1"/>
          <w:rPr>
            <w:sz w:val="22"/>
            <w:szCs w:val="22"/>
          </w:rPr>
        </w:pPr>
      </w:p>
      <w:sdt>
        <w:sdtPr>
          <w:rPr>
            <w:sz w:val="16"/>
            <w:szCs w:val="16"/>
          </w:rPr>
          <w:id w:val="-1769616900"/>
          <w:docPartObj>
            <w:docPartGallery w:val="Page Numbers (Top of Page)"/>
            <w:docPartUnique/>
          </w:docPartObj>
        </w:sdtPr>
        <w:sdtEndPr>
          <w:rPr>
            <w:sz w:val="22"/>
            <w:szCs w:val="22"/>
          </w:rPr>
        </w:sdtEndPr>
        <w:sdtContent>
          <w:p w14:paraId="54CD272F" w14:textId="77777777" w:rsidR="00FC3E4E" w:rsidRPr="0021023A" w:rsidRDefault="00FC3E4E">
            <w:pPr>
              <w:pStyle w:val="Footer"/>
              <w:jc w:val="right"/>
              <w:rPr>
                <w:sz w:val="16"/>
                <w:szCs w:val="16"/>
              </w:rPr>
            </w:pPr>
          </w:p>
          <w:p w14:paraId="4DC428AC" w14:textId="5D65221F" w:rsidR="00FC3E4E" w:rsidRPr="005E2608" w:rsidRDefault="00FC3E4E">
            <w:pPr>
              <w:pStyle w:val="Footer"/>
              <w:jc w:val="right"/>
              <w:rPr>
                <w:sz w:val="22"/>
                <w:szCs w:val="22"/>
              </w:rPr>
            </w:pPr>
            <w:r w:rsidRPr="005E2608">
              <w:rPr>
                <w:sz w:val="22"/>
                <w:szCs w:val="22"/>
              </w:rPr>
              <w:t xml:space="preserve">Page </w:t>
            </w:r>
            <w:r w:rsidRPr="005E2608">
              <w:rPr>
                <w:rStyle w:val="PageNumber"/>
                <w:sz w:val="22"/>
                <w:szCs w:val="22"/>
              </w:rPr>
              <w:fldChar w:fldCharType="begin"/>
            </w:r>
            <w:r w:rsidRPr="005E2608">
              <w:rPr>
                <w:rStyle w:val="PageNumber"/>
                <w:sz w:val="22"/>
                <w:szCs w:val="22"/>
              </w:rPr>
              <w:instrText xml:space="preserve">PAGE  </w:instrText>
            </w:r>
            <w:r w:rsidRPr="005E2608">
              <w:rPr>
                <w:rStyle w:val="PageNumber"/>
                <w:sz w:val="22"/>
                <w:szCs w:val="22"/>
              </w:rPr>
              <w:fldChar w:fldCharType="separate"/>
            </w:r>
            <w:r w:rsidR="008A2D2D">
              <w:rPr>
                <w:rStyle w:val="PageNumber"/>
                <w:noProof/>
                <w:sz w:val="22"/>
                <w:szCs w:val="22"/>
              </w:rPr>
              <w:t>2</w:t>
            </w:r>
            <w:r w:rsidRPr="005E2608">
              <w:rPr>
                <w:rStyle w:val="PageNumber"/>
                <w:sz w:val="22"/>
                <w:szCs w:val="22"/>
              </w:rPr>
              <w:fldChar w:fldCharType="end"/>
            </w:r>
            <w:r w:rsidRPr="005E2608">
              <w:rPr>
                <w:sz w:val="22"/>
                <w:szCs w:val="22"/>
              </w:rPr>
              <w:t xml:space="preserve"> of </w:t>
            </w:r>
            <w:r w:rsidRPr="005E2608">
              <w:rPr>
                <w:bCs/>
                <w:sz w:val="22"/>
                <w:szCs w:val="22"/>
              </w:rPr>
              <w:fldChar w:fldCharType="begin"/>
            </w:r>
            <w:r w:rsidRPr="005E2608">
              <w:rPr>
                <w:bCs/>
                <w:sz w:val="22"/>
                <w:szCs w:val="22"/>
              </w:rPr>
              <w:instrText xml:space="preserve"> NUMPAGES  </w:instrText>
            </w:r>
            <w:r w:rsidRPr="005E2608">
              <w:rPr>
                <w:bCs/>
                <w:sz w:val="22"/>
                <w:szCs w:val="22"/>
              </w:rPr>
              <w:fldChar w:fldCharType="separate"/>
            </w:r>
            <w:r w:rsidR="008A2D2D">
              <w:rPr>
                <w:bCs/>
                <w:noProof/>
                <w:sz w:val="22"/>
                <w:szCs w:val="22"/>
              </w:rPr>
              <w:t>37</w:t>
            </w:r>
            <w:r w:rsidRPr="005E2608">
              <w:rPr>
                <w:bCs/>
                <w:sz w:val="22"/>
                <w:szCs w:val="22"/>
              </w:rPr>
              <w:fldChar w:fldCharType="end"/>
            </w:r>
          </w:p>
        </w:sdtContent>
      </w:sdt>
    </w:sdtContent>
  </w:sdt>
  <w:p w14:paraId="5553BDC9" w14:textId="31240442" w:rsidR="00FC3E4E" w:rsidRPr="00CF4CFB" w:rsidRDefault="00FC3E4E" w:rsidP="00CB4136">
    <w:pPr>
      <w:pStyle w:val="Footer"/>
      <w:framePr w:wrap="around" w:vAnchor="text" w:hAnchor="margin" w:xAlign="center" w:y="1"/>
      <w:rPr>
        <w:rStyle w:val="PageNumber"/>
        <w:sz w:val="22"/>
        <w:szCs w:val="22"/>
      </w:rPr>
    </w:pPr>
  </w:p>
  <w:p w14:paraId="5553BDCA" w14:textId="77777777" w:rsidR="00FC3E4E" w:rsidRPr="00CB4136" w:rsidRDefault="00FC3E4E" w:rsidP="00320154">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07497" w14:textId="77777777" w:rsidR="00FC3E4E" w:rsidRDefault="00FC3E4E">
      <w:r>
        <w:separator/>
      </w:r>
    </w:p>
  </w:footnote>
  <w:footnote w:type="continuationSeparator" w:id="0">
    <w:p w14:paraId="176BEA8C" w14:textId="77777777" w:rsidR="00FC3E4E" w:rsidRDefault="00FC3E4E">
      <w:r>
        <w:continuationSeparator/>
      </w:r>
    </w:p>
  </w:footnote>
  <w:footnote w:type="continuationNotice" w:id="1">
    <w:p w14:paraId="3A31069A" w14:textId="77777777" w:rsidR="00FC3E4E" w:rsidRDefault="00FC3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C3E4E" w:rsidRPr="007912D0" w14:paraId="08AC1091" w14:textId="77777777" w:rsidTr="00FC3E4E">
      <w:tc>
        <w:tcPr>
          <w:tcW w:w="8720" w:type="dxa"/>
          <w:shd w:val="clear" w:color="auto" w:fill="E4F2E0"/>
        </w:tcPr>
        <w:p w14:paraId="4A6B125B" w14:textId="77777777" w:rsidR="00FC3E4E" w:rsidRPr="007912D0" w:rsidRDefault="00FC3E4E" w:rsidP="00FC3E4E">
          <w:pPr>
            <w:spacing w:before="40" w:after="40"/>
            <w:rPr>
              <w:b/>
              <w:sz w:val="20"/>
              <w:szCs w:val="20"/>
            </w:rPr>
          </w:pPr>
          <w:r w:rsidRPr="007912D0">
            <w:rPr>
              <w:b/>
              <w:sz w:val="20"/>
              <w:szCs w:val="20"/>
            </w:rPr>
            <w:t xml:space="preserve">Attachment 1: Product information AusPAR </w:t>
          </w:r>
          <w:proofErr w:type="spellStart"/>
          <w:r w:rsidRPr="007912D0">
            <w:rPr>
              <w:b/>
              <w:sz w:val="20"/>
              <w:szCs w:val="20"/>
            </w:rPr>
            <w:t>Revolade</w:t>
          </w:r>
          <w:proofErr w:type="spellEnd"/>
          <w:r w:rsidRPr="007912D0">
            <w:rPr>
              <w:b/>
              <w:sz w:val="20"/>
              <w:szCs w:val="20"/>
            </w:rPr>
            <w:t xml:space="preserve"> </w:t>
          </w:r>
          <w:proofErr w:type="spellStart"/>
          <w:r w:rsidRPr="007912D0">
            <w:rPr>
              <w:b/>
              <w:sz w:val="20"/>
              <w:szCs w:val="20"/>
            </w:rPr>
            <w:t>Eltrombopag</w:t>
          </w:r>
          <w:proofErr w:type="spellEnd"/>
          <w:r w:rsidRPr="007912D0">
            <w:rPr>
              <w:b/>
              <w:sz w:val="20"/>
              <w:szCs w:val="20"/>
            </w:rPr>
            <w:t xml:space="preserve"> Novartis Pharmaceuticals Australia Pty Ltd PM-2014-04303-1-4 Final 30 March 2016. This Product Information was approved at the time this AusPAR was published.</w:t>
          </w:r>
        </w:p>
      </w:tc>
    </w:tr>
  </w:tbl>
  <w:p w14:paraId="23E7D494" w14:textId="77777777" w:rsidR="00FC3E4E" w:rsidRDefault="00FC3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C3E4E" w:rsidRPr="007912D0" w14:paraId="4B29A422" w14:textId="77777777" w:rsidTr="00FC3E4E">
      <w:tc>
        <w:tcPr>
          <w:tcW w:w="8720" w:type="dxa"/>
          <w:shd w:val="clear" w:color="auto" w:fill="E4F2E0"/>
        </w:tcPr>
        <w:p w14:paraId="6DF42B2F" w14:textId="77777777" w:rsidR="00FC3E4E" w:rsidRPr="007912D0" w:rsidRDefault="00FC3E4E" w:rsidP="00FC3E4E">
          <w:pPr>
            <w:spacing w:before="40" w:after="40"/>
            <w:rPr>
              <w:b/>
              <w:sz w:val="20"/>
              <w:szCs w:val="20"/>
            </w:rPr>
          </w:pPr>
          <w:r w:rsidRPr="007912D0">
            <w:rPr>
              <w:b/>
              <w:sz w:val="20"/>
              <w:szCs w:val="20"/>
            </w:rPr>
            <w:t xml:space="preserve">Attachment 1: Product information AusPAR </w:t>
          </w:r>
          <w:proofErr w:type="spellStart"/>
          <w:r w:rsidRPr="007912D0">
            <w:rPr>
              <w:b/>
              <w:sz w:val="20"/>
              <w:szCs w:val="20"/>
            </w:rPr>
            <w:t>Revolade</w:t>
          </w:r>
          <w:proofErr w:type="spellEnd"/>
          <w:r w:rsidRPr="007912D0">
            <w:rPr>
              <w:b/>
              <w:sz w:val="20"/>
              <w:szCs w:val="20"/>
            </w:rPr>
            <w:t xml:space="preserve"> </w:t>
          </w:r>
          <w:proofErr w:type="spellStart"/>
          <w:r w:rsidRPr="007912D0">
            <w:rPr>
              <w:b/>
              <w:sz w:val="20"/>
              <w:szCs w:val="20"/>
            </w:rPr>
            <w:t>Eltrombopag</w:t>
          </w:r>
          <w:proofErr w:type="spellEnd"/>
          <w:r w:rsidRPr="007912D0">
            <w:rPr>
              <w:b/>
              <w:sz w:val="20"/>
              <w:szCs w:val="20"/>
            </w:rPr>
            <w:t xml:space="preserve"> Novartis Pharmaceuticals Australia Pty Ltd PM-2014-04303-1-4 Final 30 March 2016. This Product Information was approved at the time this AusPAR was published.</w:t>
          </w:r>
        </w:p>
      </w:tc>
    </w:tr>
  </w:tbl>
  <w:p w14:paraId="7409983A" w14:textId="77777777" w:rsidR="00FC3E4E" w:rsidRDefault="00FC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CC"/>
    <w:multiLevelType w:val="singleLevel"/>
    <w:tmpl w:val="8F9CD27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
    <w:nsid w:val="038B1CCF"/>
    <w:multiLevelType w:val="hybridMultilevel"/>
    <w:tmpl w:val="E81616D2"/>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8F14806"/>
    <w:multiLevelType w:val="hybridMultilevel"/>
    <w:tmpl w:val="BD24B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B0510C"/>
    <w:multiLevelType w:val="hybridMultilevel"/>
    <w:tmpl w:val="EA960F9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09DC64E1"/>
    <w:multiLevelType w:val="singleLevel"/>
    <w:tmpl w:val="5888E7EA"/>
    <w:lvl w:ilvl="0">
      <w:start w:val="1"/>
      <w:numFmt w:val="lowerLetter"/>
      <w:lvlText w:val="%1"/>
      <w:legacy w:legacy="1" w:legacySpace="0" w:legacyIndent="432"/>
      <w:lvlJc w:val="left"/>
      <w:pPr>
        <w:ind w:left="432" w:hanging="432"/>
      </w:pPr>
    </w:lvl>
  </w:abstractNum>
  <w:abstractNum w:abstractNumId="5">
    <w:nsid w:val="0B2F4B8A"/>
    <w:multiLevelType w:val="multilevel"/>
    <w:tmpl w:val="BE0EBB68"/>
    <w:numStyleLink w:val="GDSTablefootnotes"/>
  </w:abstractNum>
  <w:abstractNum w:abstractNumId="6">
    <w:nsid w:val="0CB36F14"/>
    <w:multiLevelType w:val="hybridMultilevel"/>
    <w:tmpl w:val="9C3C11C8"/>
    <w:lvl w:ilvl="0" w:tplc="525636EA">
      <w:start w:val="1"/>
      <w:numFmt w:val="decimal"/>
      <w:pStyle w:val="LBLListStyle1"/>
      <w:lvlText w:val="%1."/>
      <w:lvlJc w:val="left"/>
      <w:pPr>
        <w:tabs>
          <w:tab w:val="num" w:pos="480"/>
        </w:tabs>
        <w:ind w:left="4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B217F9"/>
    <w:multiLevelType w:val="hybridMultilevel"/>
    <w:tmpl w:val="05AAC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82291B"/>
    <w:multiLevelType w:val="hybridMultilevel"/>
    <w:tmpl w:val="646023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7C33660"/>
    <w:multiLevelType w:val="multilevel"/>
    <w:tmpl w:val="BE0EBB68"/>
    <w:numStyleLink w:val="GDSTablefootnotes"/>
  </w:abstractNum>
  <w:abstractNum w:abstractNumId="10">
    <w:nsid w:val="1D06177E"/>
    <w:multiLevelType w:val="hybridMultilevel"/>
    <w:tmpl w:val="F6802D3A"/>
    <w:lvl w:ilvl="0" w:tplc="BE287E60">
      <w:start w:val="1"/>
      <w:numFmt w:val="decimal"/>
      <w:lvlText w:val="%1."/>
      <w:lvlJc w:val="left"/>
      <w:pPr>
        <w:tabs>
          <w:tab w:val="num" w:pos="480"/>
        </w:tabs>
        <w:ind w:left="480" w:hanging="360"/>
      </w:pPr>
    </w:lvl>
    <w:lvl w:ilvl="1" w:tplc="A816FC38">
      <w:start w:val="1"/>
      <w:numFmt w:val="bullet"/>
      <w:lvlText w:val=""/>
      <w:lvlJc w:val="left"/>
      <w:pPr>
        <w:tabs>
          <w:tab w:val="num" w:pos="1080"/>
        </w:tabs>
        <w:ind w:left="1080" w:hanging="360"/>
      </w:pPr>
      <w:rPr>
        <w:rFonts w:ascii="Symbol" w:hAnsi="Symbol" w:hint="default"/>
      </w:rPr>
    </w:lvl>
    <w:lvl w:ilvl="2" w:tplc="BA9A40F4" w:tentative="1">
      <w:start w:val="1"/>
      <w:numFmt w:val="lowerRoman"/>
      <w:lvlText w:val="%3."/>
      <w:lvlJc w:val="right"/>
      <w:pPr>
        <w:tabs>
          <w:tab w:val="num" w:pos="1800"/>
        </w:tabs>
        <w:ind w:left="1800" w:hanging="180"/>
      </w:pPr>
    </w:lvl>
    <w:lvl w:ilvl="3" w:tplc="58AC330E" w:tentative="1">
      <w:start w:val="1"/>
      <w:numFmt w:val="decimal"/>
      <w:lvlText w:val="%4."/>
      <w:lvlJc w:val="left"/>
      <w:pPr>
        <w:tabs>
          <w:tab w:val="num" w:pos="2520"/>
        </w:tabs>
        <w:ind w:left="2520" w:hanging="360"/>
      </w:pPr>
    </w:lvl>
    <w:lvl w:ilvl="4" w:tplc="EEB42BF4" w:tentative="1">
      <w:start w:val="1"/>
      <w:numFmt w:val="lowerLetter"/>
      <w:lvlText w:val="%5."/>
      <w:lvlJc w:val="left"/>
      <w:pPr>
        <w:tabs>
          <w:tab w:val="num" w:pos="3240"/>
        </w:tabs>
        <w:ind w:left="3240" w:hanging="360"/>
      </w:pPr>
    </w:lvl>
    <w:lvl w:ilvl="5" w:tplc="A254D814" w:tentative="1">
      <w:start w:val="1"/>
      <w:numFmt w:val="lowerRoman"/>
      <w:lvlText w:val="%6."/>
      <w:lvlJc w:val="right"/>
      <w:pPr>
        <w:tabs>
          <w:tab w:val="num" w:pos="3960"/>
        </w:tabs>
        <w:ind w:left="3960" w:hanging="180"/>
      </w:pPr>
    </w:lvl>
    <w:lvl w:ilvl="6" w:tplc="1944A4CA" w:tentative="1">
      <w:start w:val="1"/>
      <w:numFmt w:val="decimal"/>
      <w:lvlText w:val="%7."/>
      <w:lvlJc w:val="left"/>
      <w:pPr>
        <w:tabs>
          <w:tab w:val="num" w:pos="4680"/>
        </w:tabs>
        <w:ind w:left="4680" w:hanging="360"/>
      </w:pPr>
    </w:lvl>
    <w:lvl w:ilvl="7" w:tplc="46B4EDFA" w:tentative="1">
      <w:start w:val="1"/>
      <w:numFmt w:val="lowerLetter"/>
      <w:lvlText w:val="%8."/>
      <w:lvlJc w:val="left"/>
      <w:pPr>
        <w:tabs>
          <w:tab w:val="num" w:pos="5400"/>
        </w:tabs>
        <w:ind w:left="5400" w:hanging="360"/>
      </w:pPr>
    </w:lvl>
    <w:lvl w:ilvl="8" w:tplc="2CE6FD78" w:tentative="1">
      <w:start w:val="1"/>
      <w:numFmt w:val="lowerRoman"/>
      <w:lvlText w:val="%9."/>
      <w:lvlJc w:val="right"/>
      <w:pPr>
        <w:tabs>
          <w:tab w:val="num" w:pos="6120"/>
        </w:tabs>
        <w:ind w:left="6120" w:hanging="180"/>
      </w:pPr>
    </w:lvl>
  </w:abstractNum>
  <w:abstractNum w:abstractNumId="11">
    <w:nsid w:val="215166AC"/>
    <w:multiLevelType w:val="singleLevel"/>
    <w:tmpl w:val="A3A44514"/>
    <w:lvl w:ilvl="0">
      <w:start w:val="1"/>
      <w:numFmt w:val="lowerLetter"/>
      <w:pStyle w:val="tablerefalpha"/>
      <w:lvlText w:val="%1."/>
      <w:lvlJc w:val="left"/>
      <w:pPr>
        <w:tabs>
          <w:tab w:val="num" w:pos="360"/>
        </w:tabs>
        <w:ind w:left="360" w:hanging="360"/>
      </w:pPr>
    </w:lvl>
  </w:abstractNum>
  <w:abstractNum w:abstractNumId="12">
    <w:nsid w:val="26EB40EC"/>
    <w:multiLevelType w:val="hybridMultilevel"/>
    <w:tmpl w:val="7018CC3A"/>
    <w:lvl w:ilvl="0" w:tplc="1C38E33E">
      <w:start w:val="2"/>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142F0F"/>
    <w:multiLevelType w:val="hybridMultilevel"/>
    <w:tmpl w:val="26C6D36E"/>
    <w:lvl w:ilvl="0" w:tplc="525636EA">
      <w:start w:val="1"/>
      <w:numFmt w:val="bullet"/>
      <w:lvlText w:val=""/>
      <w:lvlJc w:val="left"/>
      <w:pPr>
        <w:tabs>
          <w:tab w:val="num" w:pos="720"/>
        </w:tabs>
        <w:ind w:left="72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2A4D10E9"/>
    <w:multiLevelType w:val="hybridMultilevel"/>
    <w:tmpl w:val="F242677C"/>
    <w:lvl w:ilvl="0" w:tplc="D846B73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EE01A5"/>
    <w:multiLevelType w:val="multilevel"/>
    <w:tmpl w:val="BE0EBB68"/>
    <w:numStyleLink w:val="GDSTablefootnotes"/>
  </w:abstractNum>
  <w:abstractNum w:abstractNumId="16">
    <w:nsid w:val="2D235713"/>
    <w:multiLevelType w:val="multilevel"/>
    <w:tmpl w:val="BE0EBB68"/>
    <w:numStyleLink w:val="GDSTablefootnotes"/>
  </w:abstractNum>
  <w:abstractNum w:abstractNumId="17">
    <w:nsid w:val="3035190D"/>
    <w:multiLevelType w:val="singleLevel"/>
    <w:tmpl w:val="6EA66680"/>
    <w:lvl w:ilvl="0">
      <w:start w:val="1"/>
      <w:numFmt w:val="bullet"/>
      <w:pStyle w:val="listbull"/>
      <w:lvlText w:val=""/>
      <w:lvlJc w:val="left"/>
      <w:pPr>
        <w:tabs>
          <w:tab w:val="num" w:pos="1962"/>
        </w:tabs>
        <w:ind w:left="1962" w:hanging="432"/>
      </w:pPr>
      <w:rPr>
        <w:rFonts w:ascii="Symbol" w:hAnsi="Symbol" w:hint="default"/>
      </w:rPr>
    </w:lvl>
  </w:abstractNum>
  <w:abstractNum w:abstractNumId="18">
    <w:nsid w:val="36AD51AF"/>
    <w:multiLevelType w:val="hybridMultilevel"/>
    <w:tmpl w:val="F9746840"/>
    <w:lvl w:ilvl="0" w:tplc="41E2C9CC">
      <w:start w:val="1"/>
      <w:numFmt w:val="decimal"/>
      <w:lvlText w:val="%1."/>
      <w:lvlJc w:val="left"/>
      <w:pPr>
        <w:tabs>
          <w:tab w:val="num" w:pos="720"/>
        </w:tabs>
        <w:ind w:left="720" w:hanging="360"/>
      </w:pPr>
    </w:lvl>
    <w:lvl w:ilvl="1" w:tplc="51164C26" w:tentative="1">
      <w:start w:val="1"/>
      <w:numFmt w:val="lowerLetter"/>
      <w:lvlText w:val="%2."/>
      <w:lvlJc w:val="left"/>
      <w:pPr>
        <w:tabs>
          <w:tab w:val="num" w:pos="1440"/>
        </w:tabs>
        <w:ind w:left="1440" w:hanging="360"/>
      </w:pPr>
    </w:lvl>
    <w:lvl w:ilvl="2" w:tplc="9E42EE86" w:tentative="1">
      <w:start w:val="1"/>
      <w:numFmt w:val="lowerRoman"/>
      <w:lvlText w:val="%3."/>
      <w:lvlJc w:val="right"/>
      <w:pPr>
        <w:tabs>
          <w:tab w:val="num" w:pos="2160"/>
        </w:tabs>
        <w:ind w:left="2160" w:hanging="180"/>
      </w:pPr>
    </w:lvl>
    <w:lvl w:ilvl="3" w:tplc="44D04EF6" w:tentative="1">
      <w:start w:val="1"/>
      <w:numFmt w:val="decimal"/>
      <w:lvlText w:val="%4."/>
      <w:lvlJc w:val="left"/>
      <w:pPr>
        <w:tabs>
          <w:tab w:val="num" w:pos="2880"/>
        </w:tabs>
        <w:ind w:left="2880" w:hanging="360"/>
      </w:pPr>
    </w:lvl>
    <w:lvl w:ilvl="4" w:tplc="C00C1FB6" w:tentative="1">
      <w:start w:val="1"/>
      <w:numFmt w:val="lowerLetter"/>
      <w:lvlText w:val="%5."/>
      <w:lvlJc w:val="left"/>
      <w:pPr>
        <w:tabs>
          <w:tab w:val="num" w:pos="3600"/>
        </w:tabs>
        <w:ind w:left="3600" w:hanging="360"/>
      </w:pPr>
    </w:lvl>
    <w:lvl w:ilvl="5" w:tplc="F1D8A758" w:tentative="1">
      <w:start w:val="1"/>
      <w:numFmt w:val="lowerRoman"/>
      <w:lvlText w:val="%6."/>
      <w:lvlJc w:val="right"/>
      <w:pPr>
        <w:tabs>
          <w:tab w:val="num" w:pos="4320"/>
        </w:tabs>
        <w:ind w:left="4320" w:hanging="180"/>
      </w:pPr>
    </w:lvl>
    <w:lvl w:ilvl="6" w:tplc="865AC13A" w:tentative="1">
      <w:start w:val="1"/>
      <w:numFmt w:val="decimal"/>
      <w:lvlText w:val="%7."/>
      <w:lvlJc w:val="left"/>
      <w:pPr>
        <w:tabs>
          <w:tab w:val="num" w:pos="5040"/>
        </w:tabs>
        <w:ind w:left="5040" w:hanging="360"/>
      </w:pPr>
    </w:lvl>
    <w:lvl w:ilvl="7" w:tplc="41B0779A" w:tentative="1">
      <w:start w:val="1"/>
      <w:numFmt w:val="lowerLetter"/>
      <w:lvlText w:val="%8."/>
      <w:lvlJc w:val="left"/>
      <w:pPr>
        <w:tabs>
          <w:tab w:val="num" w:pos="5760"/>
        </w:tabs>
        <w:ind w:left="5760" w:hanging="360"/>
      </w:pPr>
    </w:lvl>
    <w:lvl w:ilvl="8" w:tplc="EB549356" w:tentative="1">
      <w:start w:val="1"/>
      <w:numFmt w:val="lowerRoman"/>
      <w:lvlText w:val="%9."/>
      <w:lvlJc w:val="right"/>
      <w:pPr>
        <w:tabs>
          <w:tab w:val="num" w:pos="6480"/>
        </w:tabs>
        <w:ind w:left="6480" w:hanging="180"/>
      </w:pPr>
    </w:lvl>
  </w:abstractNum>
  <w:abstractNum w:abstractNumId="19">
    <w:nsid w:val="3CEF5853"/>
    <w:multiLevelType w:val="multilevel"/>
    <w:tmpl w:val="BE0EBB68"/>
    <w:styleLink w:val="GDSTablefootnotes"/>
    <w:lvl w:ilvl="0">
      <w:start w:val="1"/>
      <w:numFmt w:val="lowerLetter"/>
      <w:lvlText w:val="%1. "/>
      <w:lvlJc w:val="left"/>
      <w:pPr>
        <w:tabs>
          <w:tab w:val="num" w:pos="360"/>
        </w:tabs>
        <w:ind w:left="360" w:hanging="360"/>
      </w:pPr>
      <w:rPr>
        <w:rFonts w:ascii="Arial Narrow" w:hAnsi="Arial Narrow" w:hint="default"/>
        <w:sz w:val="16"/>
        <w:szCs w:val="1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hint="default"/>
      </w:rPr>
    </w:lvl>
  </w:abstractNum>
  <w:abstractNum w:abstractNumId="21">
    <w:nsid w:val="4BE83ECD"/>
    <w:multiLevelType w:val="hybridMultilevel"/>
    <w:tmpl w:val="F124921C"/>
    <w:lvl w:ilvl="0" w:tplc="14B02870">
      <w:start w:val="1"/>
      <w:numFmt w:val="bullet"/>
      <w:pStyle w:val="LBLBulletStyle1"/>
      <w:lvlText w:val=""/>
      <w:lvlJc w:val="left"/>
      <w:pPr>
        <w:tabs>
          <w:tab w:val="num" w:pos="360"/>
        </w:tabs>
        <w:ind w:left="360" w:hanging="360"/>
      </w:pPr>
      <w:rPr>
        <w:rFonts w:ascii="Symbol" w:hAnsi="Symbol" w:hint="default"/>
      </w:rPr>
    </w:lvl>
    <w:lvl w:ilvl="1" w:tplc="A6F20394">
      <w:start w:val="1"/>
      <w:numFmt w:val="bullet"/>
      <w:lvlText w:val=""/>
      <w:lvlJc w:val="left"/>
      <w:pPr>
        <w:tabs>
          <w:tab w:val="num" w:pos="1080"/>
        </w:tabs>
        <w:ind w:left="1080" w:hanging="360"/>
      </w:pPr>
      <w:rPr>
        <w:rFonts w:ascii="Symbol" w:hAnsi="Symbol" w:hint="default"/>
      </w:rPr>
    </w:lvl>
    <w:lvl w:ilvl="2" w:tplc="C3D66A42" w:tentative="1">
      <w:start w:val="1"/>
      <w:numFmt w:val="bullet"/>
      <w:lvlText w:val=""/>
      <w:lvlJc w:val="left"/>
      <w:pPr>
        <w:tabs>
          <w:tab w:val="num" w:pos="1800"/>
        </w:tabs>
        <w:ind w:left="1800" w:hanging="360"/>
      </w:pPr>
      <w:rPr>
        <w:rFonts w:ascii="Wingdings" w:hAnsi="Wingdings" w:hint="default"/>
      </w:rPr>
    </w:lvl>
    <w:lvl w:ilvl="3" w:tplc="D53CEBE6" w:tentative="1">
      <w:start w:val="1"/>
      <w:numFmt w:val="bullet"/>
      <w:lvlText w:val=""/>
      <w:lvlJc w:val="left"/>
      <w:pPr>
        <w:tabs>
          <w:tab w:val="num" w:pos="2520"/>
        </w:tabs>
        <w:ind w:left="2520" w:hanging="360"/>
      </w:pPr>
      <w:rPr>
        <w:rFonts w:ascii="Symbol" w:hAnsi="Symbol" w:hint="default"/>
      </w:rPr>
    </w:lvl>
    <w:lvl w:ilvl="4" w:tplc="6E6243B2" w:tentative="1">
      <w:start w:val="1"/>
      <w:numFmt w:val="bullet"/>
      <w:lvlText w:val="o"/>
      <w:lvlJc w:val="left"/>
      <w:pPr>
        <w:tabs>
          <w:tab w:val="num" w:pos="3240"/>
        </w:tabs>
        <w:ind w:left="3240" w:hanging="360"/>
      </w:pPr>
      <w:rPr>
        <w:rFonts w:ascii="Courier New" w:hAnsi="Courier New" w:cs="Courier New" w:hint="default"/>
      </w:rPr>
    </w:lvl>
    <w:lvl w:ilvl="5" w:tplc="63D44DA2" w:tentative="1">
      <w:start w:val="1"/>
      <w:numFmt w:val="bullet"/>
      <w:lvlText w:val=""/>
      <w:lvlJc w:val="left"/>
      <w:pPr>
        <w:tabs>
          <w:tab w:val="num" w:pos="3960"/>
        </w:tabs>
        <w:ind w:left="3960" w:hanging="360"/>
      </w:pPr>
      <w:rPr>
        <w:rFonts w:ascii="Wingdings" w:hAnsi="Wingdings" w:hint="default"/>
      </w:rPr>
    </w:lvl>
    <w:lvl w:ilvl="6" w:tplc="A96055F6" w:tentative="1">
      <w:start w:val="1"/>
      <w:numFmt w:val="bullet"/>
      <w:lvlText w:val=""/>
      <w:lvlJc w:val="left"/>
      <w:pPr>
        <w:tabs>
          <w:tab w:val="num" w:pos="4680"/>
        </w:tabs>
        <w:ind w:left="4680" w:hanging="360"/>
      </w:pPr>
      <w:rPr>
        <w:rFonts w:ascii="Symbol" w:hAnsi="Symbol" w:hint="default"/>
      </w:rPr>
    </w:lvl>
    <w:lvl w:ilvl="7" w:tplc="2E9211EC" w:tentative="1">
      <w:start w:val="1"/>
      <w:numFmt w:val="bullet"/>
      <w:lvlText w:val="o"/>
      <w:lvlJc w:val="left"/>
      <w:pPr>
        <w:tabs>
          <w:tab w:val="num" w:pos="5400"/>
        </w:tabs>
        <w:ind w:left="5400" w:hanging="360"/>
      </w:pPr>
      <w:rPr>
        <w:rFonts w:ascii="Courier New" w:hAnsi="Courier New" w:cs="Courier New" w:hint="default"/>
      </w:rPr>
    </w:lvl>
    <w:lvl w:ilvl="8" w:tplc="D13440FC" w:tentative="1">
      <w:start w:val="1"/>
      <w:numFmt w:val="bullet"/>
      <w:lvlText w:val=""/>
      <w:lvlJc w:val="left"/>
      <w:pPr>
        <w:tabs>
          <w:tab w:val="num" w:pos="6120"/>
        </w:tabs>
        <w:ind w:left="6120" w:hanging="360"/>
      </w:pPr>
      <w:rPr>
        <w:rFonts w:ascii="Wingdings" w:hAnsi="Wingdings" w:hint="default"/>
      </w:rPr>
    </w:lvl>
  </w:abstractNum>
  <w:abstractNum w:abstractNumId="22">
    <w:nsid w:val="4F5109CC"/>
    <w:multiLevelType w:val="hybridMultilevel"/>
    <w:tmpl w:val="F52C3C0A"/>
    <w:lvl w:ilvl="0" w:tplc="21F2825C">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4B6B4A"/>
    <w:multiLevelType w:val="hybridMultilevel"/>
    <w:tmpl w:val="8404FF06"/>
    <w:lvl w:ilvl="0" w:tplc="0C090001">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29225AF"/>
    <w:multiLevelType w:val="hybridMultilevel"/>
    <w:tmpl w:val="D2F2277A"/>
    <w:lvl w:ilvl="0" w:tplc="0C09000F">
      <w:start w:val="1"/>
      <w:numFmt w:val="decimal"/>
      <w:lvlText w:val="%1."/>
      <w:lvlJc w:val="left"/>
      <w:pPr>
        <w:tabs>
          <w:tab w:val="num" w:pos="720"/>
        </w:tabs>
        <w:ind w:left="72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5">
    <w:nsid w:val="75C85A55"/>
    <w:multiLevelType w:val="singleLevel"/>
    <w:tmpl w:val="8A8ECA6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6">
    <w:nsid w:val="76B84858"/>
    <w:multiLevelType w:val="multilevel"/>
    <w:tmpl w:val="BE0EBB68"/>
    <w:numStyleLink w:val="GDSTablefootnotes"/>
  </w:abstractNum>
  <w:abstractNum w:abstractNumId="27">
    <w:nsid w:val="7ABF4E22"/>
    <w:multiLevelType w:val="hybridMultilevel"/>
    <w:tmpl w:val="3F10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4"/>
  </w:num>
  <w:num w:numId="5">
    <w:abstractNumId w:val="24"/>
  </w:num>
  <w:num w:numId="6">
    <w:abstractNumId w:val="21"/>
  </w:num>
  <w:num w:numId="7">
    <w:abstractNumId w:val="19"/>
  </w:num>
  <w:num w:numId="8">
    <w:abstractNumId w:val="26"/>
  </w:num>
  <w:num w:numId="9">
    <w:abstractNumId w:val="15"/>
  </w:num>
  <w:num w:numId="10">
    <w:abstractNumId w:val="16"/>
  </w:num>
  <w:num w:numId="11">
    <w:abstractNumId w:val="5"/>
  </w:num>
  <w:num w:numId="12">
    <w:abstractNumId w:val="9"/>
  </w:num>
  <w:num w:numId="13">
    <w:abstractNumId w:val="20"/>
  </w:num>
  <w:num w:numId="14">
    <w:abstractNumId w:val="22"/>
  </w:num>
  <w:num w:numId="15">
    <w:abstractNumId w:val="23"/>
  </w:num>
  <w:num w:numId="16">
    <w:abstractNumId w:val="3"/>
  </w:num>
  <w:num w:numId="17">
    <w:abstractNumId w:val="0"/>
  </w:num>
  <w:num w:numId="18">
    <w:abstractNumId w:val="25"/>
  </w:num>
  <w:num w:numId="19">
    <w:abstractNumId w:val="2"/>
  </w:num>
  <w:num w:numId="20">
    <w:abstractNumId w:val="18"/>
  </w:num>
  <w:num w:numId="21">
    <w:abstractNumId w:val="8"/>
  </w:num>
  <w:num w:numId="22">
    <w:abstractNumId w:val="17"/>
  </w:num>
  <w:num w:numId="23">
    <w:abstractNumId w:val="11"/>
  </w:num>
  <w:num w:numId="24">
    <w:abstractNumId w:val="14"/>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69"/>
    <w:rsid w:val="000000BD"/>
    <w:rsid w:val="00001A06"/>
    <w:rsid w:val="000037DD"/>
    <w:rsid w:val="00010FCB"/>
    <w:rsid w:val="00013537"/>
    <w:rsid w:val="00013DE2"/>
    <w:rsid w:val="0001408C"/>
    <w:rsid w:val="000164CC"/>
    <w:rsid w:val="000170A3"/>
    <w:rsid w:val="00017D1E"/>
    <w:rsid w:val="00020982"/>
    <w:rsid w:val="00022B3A"/>
    <w:rsid w:val="00023E37"/>
    <w:rsid w:val="00025723"/>
    <w:rsid w:val="00026922"/>
    <w:rsid w:val="000316C4"/>
    <w:rsid w:val="00031C30"/>
    <w:rsid w:val="00035F84"/>
    <w:rsid w:val="00036CC8"/>
    <w:rsid w:val="00040B7B"/>
    <w:rsid w:val="00040CD7"/>
    <w:rsid w:val="00043004"/>
    <w:rsid w:val="00043B6A"/>
    <w:rsid w:val="000454E8"/>
    <w:rsid w:val="00046F94"/>
    <w:rsid w:val="0004714A"/>
    <w:rsid w:val="00052033"/>
    <w:rsid w:val="00053D4A"/>
    <w:rsid w:val="000541F9"/>
    <w:rsid w:val="00054AE8"/>
    <w:rsid w:val="00054EC4"/>
    <w:rsid w:val="000553B9"/>
    <w:rsid w:val="00056AF1"/>
    <w:rsid w:val="00062881"/>
    <w:rsid w:val="00062AE6"/>
    <w:rsid w:val="000644CB"/>
    <w:rsid w:val="00064970"/>
    <w:rsid w:val="00065E16"/>
    <w:rsid w:val="00070875"/>
    <w:rsid w:val="00070C85"/>
    <w:rsid w:val="00073077"/>
    <w:rsid w:val="000755BA"/>
    <w:rsid w:val="0007579F"/>
    <w:rsid w:val="00075D97"/>
    <w:rsid w:val="00076104"/>
    <w:rsid w:val="00076157"/>
    <w:rsid w:val="00076740"/>
    <w:rsid w:val="00076985"/>
    <w:rsid w:val="000775DD"/>
    <w:rsid w:val="00080328"/>
    <w:rsid w:val="000811B6"/>
    <w:rsid w:val="000818A8"/>
    <w:rsid w:val="000825C8"/>
    <w:rsid w:val="00083556"/>
    <w:rsid w:val="0008470C"/>
    <w:rsid w:val="00084769"/>
    <w:rsid w:val="000857E1"/>
    <w:rsid w:val="000869DF"/>
    <w:rsid w:val="00086BEA"/>
    <w:rsid w:val="00091261"/>
    <w:rsid w:val="00091648"/>
    <w:rsid w:val="00092CDD"/>
    <w:rsid w:val="00092FBB"/>
    <w:rsid w:val="0009486B"/>
    <w:rsid w:val="000A2AC4"/>
    <w:rsid w:val="000A2B17"/>
    <w:rsid w:val="000A3D30"/>
    <w:rsid w:val="000A4CBD"/>
    <w:rsid w:val="000B0F71"/>
    <w:rsid w:val="000B1D11"/>
    <w:rsid w:val="000B1ED4"/>
    <w:rsid w:val="000B3C2C"/>
    <w:rsid w:val="000B3ED7"/>
    <w:rsid w:val="000B71FD"/>
    <w:rsid w:val="000B741B"/>
    <w:rsid w:val="000C0B88"/>
    <w:rsid w:val="000C1758"/>
    <w:rsid w:val="000C1F4E"/>
    <w:rsid w:val="000C4E39"/>
    <w:rsid w:val="000C5777"/>
    <w:rsid w:val="000D0F20"/>
    <w:rsid w:val="000D1E05"/>
    <w:rsid w:val="000D3105"/>
    <w:rsid w:val="000D3B2D"/>
    <w:rsid w:val="000D3E2D"/>
    <w:rsid w:val="000D4152"/>
    <w:rsid w:val="000D7D0E"/>
    <w:rsid w:val="000E009E"/>
    <w:rsid w:val="000E00BD"/>
    <w:rsid w:val="000E114D"/>
    <w:rsid w:val="000E3296"/>
    <w:rsid w:val="000E40CD"/>
    <w:rsid w:val="000F081A"/>
    <w:rsid w:val="000F127F"/>
    <w:rsid w:val="000F409A"/>
    <w:rsid w:val="000F5060"/>
    <w:rsid w:val="000F5114"/>
    <w:rsid w:val="00100F50"/>
    <w:rsid w:val="0010143E"/>
    <w:rsid w:val="0010165E"/>
    <w:rsid w:val="00102704"/>
    <w:rsid w:val="00102CD7"/>
    <w:rsid w:val="00112707"/>
    <w:rsid w:val="00113408"/>
    <w:rsid w:val="00113959"/>
    <w:rsid w:val="001154D3"/>
    <w:rsid w:val="00121347"/>
    <w:rsid w:val="00123CA0"/>
    <w:rsid w:val="001264FB"/>
    <w:rsid w:val="00126AA4"/>
    <w:rsid w:val="00130BC4"/>
    <w:rsid w:val="00130E9F"/>
    <w:rsid w:val="00134E26"/>
    <w:rsid w:val="001350BD"/>
    <w:rsid w:val="0013699A"/>
    <w:rsid w:val="00137AE3"/>
    <w:rsid w:val="00137E13"/>
    <w:rsid w:val="001408B6"/>
    <w:rsid w:val="0014152A"/>
    <w:rsid w:val="001456A7"/>
    <w:rsid w:val="00150F84"/>
    <w:rsid w:val="001517BD"/>
    <w:rsid w:val="00151CC0"/>
    <w:rsid w:val="00152357"/>
    <w:rsid w:val="00152DC2"/>
    <w:rsid w:val="00153172"/>
    <w:rsid w:val="001554ED"/>
    <w:rsid w:val="0015612E"/>
    <w:rsid w:val="00156E94"/>
    <w:rsid w:val="0015749A"/>
    <w:rsid w:val="001608A0"/>
    <w:rsid w:val="001611A2"/>
    <w:rsid w:val="0016237C"/>
    <w:rsid w:val="0016511D"/>
    <w:rsid w:val="00165BE5"/>
    <w:rsid w:val="0016602D"/>
    <w:rsid w:val="00166228"/>
    <w:rsid w:val="001708CC"/>
    <w:rsid w:val="001722ED"/>
    <w:rsid w:val="0018077E"/>
    <w:rsid w:val="001812E8"/>
    <w:rsid w:val="0018360A"/>
    <w:rsid w:val="001839B9"/>
    <w:rsid w:val="001850C3"/>
    <w:rsid w:val="001939EF"/>
    <w:rsid w:val="00195518"/>
    <w:rsid w:val="001A03CB"/>
    <w:rsid w:val="001A5144"/>
    <w:rsid w:val="001B109E"/>
    <w:rsid w:val="001B499C"/>
    <w:rsid w:val="001C235F"/>
    <w:rsid w:val="001C2A7D"/>
    <w:rsid w:val="001C5930"/>
    <w:rsid w:val="001C6DB2"/>
    <w:rsid w:val="001D0C92"/>
    <w:rsid w:val="001D18CF"/>
    <w:rsid w:val="001D24B1"/>
    <w:rsid w:val="001D2A85"/>
    <w:rsid w:val="001D2E4C"/>
    <w:rsid w:val="001D375D"/>
    <w:rsid w:val="001D4325"/>
    <w:rsid w:val="001D5CED"/>
    <w:rsid w:val="001D5FD1"/>
    <w:rsid w:val="001E19D6"/>
    <w:rsid w:val="001E3423"/>
    <w:rsid w:val="001E3FA3"/>
    <w:rsid w:val="001E4B7E"/>
    <w:rsid w:val="001E73C6"/>
    <w:rsid w:val="001F1594"/>
    <w:rsid w:val="001F2212"/>
    <w:rsid w:val="001F3B8F"/>
    <w:rsid w:val="00200419"/>
    <w:rsid w:val="00200A87"/>
    <w:rsid w:val="002069ED"/>
    <w:rsid w:val="0021023A"/>
    <w:rsid w:val="00210E29"/>
    <w:rsid w:val="00211FC3"/>
    <w:rsid w:val="00213444"/>
    <w:rsid w:val="00215213"/>
    <w:rsid w:val="00215D57"/>
    <w:rsid w:val="00216F23"/>
    <w:rsid w:val="002200C7"/>
    <w:rsid w:val="00221997"/>
    <w:rsid w:val="00221B12"/>
    <w:rsid w:val="00223518"/>
    <w:rsid w:val="00223A94"/>
    <w:rsid w:val="0022539A"/>
    <w:rsid w:val="00226D4E"/>
    <w:rsid w:val="00227ED7"/>
    <w:rsid w:val="002316B0"/>
    <w:rsid w:val="00233268"/>
    <w:rsid w:val="00234DE6"/>
    <w:rsid w:val="00234F3B"/>
    <w:rsid w:val="0024442A"/>
    <w:rsid w:val="00244A04"/>
    <w:rsid w:val="00244DAA"/>
    <w:rsid w:val="00245A73"/>
    <w:rsid w:val="00246593"/>
    <w:rsid w:val="00246E57"/>
    <w:rsid w:val="00253308"/>
    <w:rsid w:val="00253EE1"/>
    <w:rsid w:val="0025444F"/>
    <w:rsid w:val="002568E9"/>
    <w:rsid w:val="002606DF"/>
    <w:rsid w:val="00260706"/>
    <w:rsid w:val="00262109"/>
    <w:rsid w:val="002635B3"/>
    <w:rsid w:val="002635F3"/>
    <w:rsid w:val="00272E9C"/>
    <w:rsid w:val="00273A19"/>
    <w:rsid w:val="00274C44"/>
    <w:rsid w:val="00276052"/>
    <w:rsid w:val="002806A1"/>
    <w:rsid w:val="00281869"/>
    <w:rsid w:val="002841A0"/>
    <w:rsid w:val="00286D5B"/>
    <w:rsid w:val="00290189"/>
    <w:rsid w:val="002962F2"/>
    <w:rsid w:val="002A180F"/>
    <w:rsid w:val="002A240D"/>
    <w:rsid w:val="002A2769"/>
    <w:rsid w:val="002A3CA5"/>
    <w:rsid w:val="002A3D04"/>
    <w:rsid w:val="002A4BC3"/>
    <w:rsid w:val="002A4C9A"/>
    <w:rsid w:val="002A532F"/>
    <w:rsid w:val="002A66ED"/>
    <w:rsid w:val="002A76D8"/>
    <w:rsid w:val="002A7EA4"/>
    <w:rsid w:val="002B0669"/>
    <w:rsid w:val="002B236F"/>
    <w:rsid w:val="002B46E2"/>
    <w:rsid w:val="002B4D09"/>
    <w:rsid w:val="002B683B"/>
    <w:rsid w:val="002C0360"/>
    <w:rsid w:val="002C2093"/>
    <w:rsid w:val="002C25DF"/>
    <w:rsid w:val="002C2CEE"/>
    <w:rsid w:val="002C590F"/>
    <w:rsid w:val="002C62AE"/>
    <w:rsid w:val="002C6588"/>
    <w:rsid w:val="002D0D8B"/>
    <w:rsid w:val="002D2032"/>
    <w:rsid w:val="002D3A11"/>
    <w:rsid w:val="002D59DF"/>
    <w:rsid w:val="002E097B"/>
    <w:rsid w:val="002E24E0"/>
    <w:rsid w:val="002E3D3F"/>
    <w:rsid w:val="002E51FD"/>
    <w:rsid w:val="002E6C75"/>
    <w:rsid w:val="002F302C"/>
    <w:rsid w:val="002F5533"/>
    <w:rsid w:val="002F607B"/>
    <w:rsid w:val="002F610D"/>
    <w:rsid w:val="002F6E9F"/>
    <w:rsid w:val="0030022D"/>
    <w:rsid w:val="00302C0E"/>
    <w:rsid w:val="00304330"/>
    <w:rsid w:val="00304E7B"/>
    <w:rsid w:val="0031022F"/>
    <w:rsid w:val="003112E6"/>
    <w:rsid w:val="00316657"/>
    <w:rsid w:val="00320154"/>
    <w:rsid w:val="00320762"/>
    <w:rsid w:val="00323DC7"/>
    <w:rsid w:val="00326D3C"/>
    <w:rsid w:val="00330815"/>
    <w:rsid w:val="0033246F"/>
    <w:rsid w:val="003329C4"/>
    <w:rsid w:val="003330E9"/>
    <w:rsid w:val="00342B98"/>
    <w:rsid w:val="00343061"/>
    <w:rsid w:val="00345AD1"/>
    <w:rsid w:val="00345D40"/>
    <w:rsid w:val="003473B1"/>
    <w:rsid w:val="003474F6"/>
    <w:rsid w:val="00351152"/>
    <w:rsid w:val="00351E9A"/>
    <w:rsid w:val="00353A2C"/>
    <w:rsid w:val="003543CA"/>
    <w:rsid w:val="00356034"/>
    <w:rsid w:val="003567E3"/>
    <w:rsid w:val="00357EC8"/>
    <w:rsid w:val="00360DE9"/>
    <w:rsid w:val="00361C5F"/>
    <w:rsid w:val="003637BB"/>
    <w:rsid w:val="00364078"/>
    <w:rsid w:val="003645E6"/>
    <w:rsid w:val="003652FE"/>
    <w:rsid w:val="00366208"/>
    <w:rsid w:val="00371541"/>
    <w:rsid w:val="00376411"/>
    <w:rsid w:val="003779F2"/>
    <w:rsid w:val="00383BAD"/>
    <w:rsid w:val="00384EA6"/>
    <w:rsid w:val="00384F88"/>
    <w:rsid w:val="00390454"/>
    <w:rsid w:val="003912E5"/>
    <w:rsid w:val="00391DF0"/>
    <w:rsid w:val="00392463"/>
    <w:rsid w:val="00392466"/>
    <w:rsid w:val="0039278B"/>
    <w:rsid w:val="00393D88"/>
    <w:rsid w:val="0039520D"/>
    <w:rsid w:val="003A2EB4"/>
    <w:rsid w:val="003A306A"/>
    <w:rsid w:val="003A7247"/>
    <w:rsid w:val="003B03C8"/>
    <w:rsid w:val="003B13A4"/>
    <w:rsid w:val="003B5A3B"/>
    <w:rsid w:val="003B7540"/>
    <w:rsid w:val="003C17DB"/>
    <w:rsid w:val="003C2FD8"/>
    <w:rsid w:val="003C4759"/>
    <w:rsid w:val="003C5C30"/>
    <w:rsid w:val="003D0B4A"/>
    <w:rsid w:val="003D0BFD"/>
    <w:rsid w:val="003D202A"/>
    <w:rsid w:val="003D4A10"/>
    <w:rsid w:val="003D654B"/>
    <w:rsid w:val="003D7B76"/>
    <w:rsid w:val="003E2409"/>
    <w:rsid w:val="003E24A1"/>
    <w:rsid w:val="003E2C4E"/>
    <w:rsid w:val="003E4066"/>
    <w:rsid w:val="003E558C"/>
    <w:rsid w:val="003E6526"/>
    <w:rsid w:val="003E7B1A"/>
    <w:rsid w:val="003F2939"/>
    <w:rsid w:val="003F4DDE"/>
    <w:rsid w:val="003F5E95"/>
    <w:rsid w:val="003F7ECC"/>
    <w:rsid w:val="00400357"/>
    <w:rsid w:val="00400C73"/>
    <w:rsid w:val="00401526"/>
    <w:rsid w:val="004021EB"/>
    <w:rsid w:val="0040240F"/>
    <w:rsid w:val="00402C9E"/>
    <w:rsid w:val="00404382"/>
    <w:rsid w:val="0040517D"/>
    <w:rsid w:val="00410029"/>
    <w:rsid w:val="00413239"/>
    <w:rsid w:val="004133CC"/>
    <w:rsid w:val="004138C8"/>
    <w:rsid w:val="00413A32"/>
    <w:rsid w:val="00413BB9"/>
    <w:rsid w:val="00416709"/>
    <w:rsid w:val="004216A0"/>
    <w:rsid w:val="00421CE4"/>
    <w:rsid w:val="0042465B"/>
    <w:rsid w:val="004247A2"/>
    <w:rsid w:val="00425882"/>
    <w:rsid w:val="00433C08"/>
    <w:rsid w:val="00434B1B"/>
    <w:rsid w:val="00435AD0"/>
    <w:rsid w:val="004363E9"/>
    <w:rsid w:val="0043683F"/>
    <w:rsid w:val="0043709E"/>
    <w:rsid w:val="00441960"/>
    <w:rsid w:val="00441991"/>
    <w:rsid w:val="00443891"/>
    <w:rsid w:val="00444A02"/>
    <w:rsid w:val="0044568C"/>
    <w:rsid w:val="00446F55"/>
    <w:rsid w:val="004470B7"/>
    <w:rsid w:val="00452E9C"/>
    <w:rsid w:val="00453C48"/>
    <w:rsid w:val="0045512D"/>
    <w:rsid w:val="004553F8"/>
    <w:rsid w:val="0046116C"/>
    <w:rsid w:val="00461C4D"/>
    <w:rsid w:val="00461F7E"/>
    <w:rsid w:val="00462BAF"/>
    <w:rsid w:val="004633A3"/>
    <w:rsid w:val="00465D5F"/>
    <w:rsid w:val="00470335"/>
    <w:rsid w:val="004709AD"/>
    <w:rsid w:val="00471CB3"/>
    <w:rsid w:val="004722A7"/>
    <w:rsid w:val="004727D2"/>
    <w:rsid w:val="004730E2"/>
    <w:rsid w:val="0047359E"/>
    <w:rsid w:val="004737C6"/>
    <w:rsid w:val="00480E01"/>
    <w:rsid w:val="00490779"/>
    <w:rsid w:val="0049195F"/>
    <w:rsid w:val="0049292A"/>
    <w:rsid w:val="00493125"/>
    <w:rsid w:val="00493903"/>
    <w:rsid w:val="004979F2"/>
    <w:rsid w:val="004A00E7"/>
    <w:rsid w:val="004A1DFE"/>
    <w:rsid w:val="004A4AF6"/>
    <w:rsid w:val="004A6930"/>
    <w:rsid w:val="004B0D7F"/>
    <w:rsid w:val="004B1E34"/>
    <w:rsid w:val="004B4906"/>
    <w:rsid w:val="004C36C1"/>
    <w:rsid w:val="004C3E69"/>
    <w:rsid w:val="004C5532"/>
    <w:rsid w:val="004C783C"/>
    <w:rsid w:val="004C789D"/>
    <w:rsid w:val="004C7C13"/>
    <w:rsid w:val="004D24ED"/>
    <w:rsid w:val="004D5871"/>
    <w:rsid w:val="004D5BF3"/>
    <w:rsid w:val="004D5C68"/>
    <w:rsid w:val="004D6F9B"/>
    <w:rsid w:val="004E1506"/>
    <w:rsid w:val="004E1800"/>
    <w:rsid w:val="004E59FE"/>
    <w:rsid w:val="004F08D6"/>
    <w:rsid w:val="004F1C13"/>
    <w:rsid w:val="004F509E"/>
    <w:rsid w:val="005002DE"/>
    <w:rsid w:val="0050246D"/>
    <w:rsid w:val="00503499"/>
    <w:rsid w:val="00503515"/>
    <w:rsid w:val="00503BBD"/>
    <w:rsid w:val="00504D4B"/>
    <w:rsid w:val="005071A7"/>
    <w:rsid w:val="00510982"/>
    <w:rsid w:val="0051665E"/>
    <w:rsid w:val="00523DAC"/>
    <w:rsid w:val="005262EC"/>
    <w:rsid w:val="00527FCB"/>
    <w:rsid w:val="00531D78"/>
    <w:rsid w:val="00531F76"/>
    <w:rsid w:val="0053217A"/>
    <w:rsid w:val="00532C28"/>
    <w:rsid w:val="00533CD9"/>
    <w:rsid w:val="00535980"/>
    <w:rsid w:val="0053764A"/>
    <w:rsid w:val="005412A9"/>
    <w:rsid w:val="005443CA"/>
    <w:rsid w:val="00544D63"/>
    <w:rsid w:val="00545D92"/>
    <w:rsid w:val="0054619D"/>
    <w:rsid w:val="005463FB"/>
    <w:rsid w:val="00546C7D"/>
    <w:rsid w:val="00551529"/>
    <w:rsid w:val="0055158C"/>
    <w:rsid w:val="005517B9"/>
    <w:rsid w:val="00551D9B"/>
    <w:rsid w:val="00552E99"/>
    <w:rsid w:val="00555686"/>
    <w:rsid w:val="00555D59"/>
    <w:rsid w:val="00556582"/>
    <w:rsid w:val="0055674E"/>
    <w:rsid w:val="00557376"/>
    <w:rsid w:val="00561258"/>
    <w:rsid w:val="00562D63"/>
    <w:rsid w:val="0056668E"/>
    <w:rsid w:val="005678C9"/>
    <w:rsid w:val="005703E4"/>
    <w:rsid w:val="005714FC"/>
    <w:rsid w:val="0057169F"/>
    <w:rsid w:val="005722F0"/>
    <w:rsid w:val="00574467"/>
    <w:rsid w:val="00574FCE"/>
    <w:rsid w:val="005756C9"/>
    <w:rsid w:val="00575995"/>
    <w:rsid w:val="00575D96"/>
    <w:rsid w:val="005807F8"/>
    <w:rsid w:val="00581A1A"/>
    <w:rsid w:val="0059143C"/>
    <w:rsid w:val="0059715F"/>
    <w:rsid w:val="005A04B0"/>
    <w:rsid w:val="005A2B77"/>
    <w:rsid w:val="005A2FA8"/>
    <w:rsid w:val="005A3C8C"/>
    <w:rsid w:val="005A3FB2"/>
    <w:rsid w:val="005A4506"/>
    <w:rsid w:val="005B7175"/>
    <w:rsid w:val="005C2BE8"/>
    <w:rsid w:val="005C3661"/>
    <w:rsid w:val="005C6DFB"/>
    <w:rsid w:val="005D2049"/>
    <w:rsid w:val="005D3840"/>
    <w:rsid w:val="005D39AC"/>
    <w:rsid w:val="005D4780"/>
    <w:rsid w:val="005D7045"/>
    <w:rsid w:val="005E01F5"/>
    <w:rsid w:val="005E225C"/>
    <w:rsid w:val="005E2608"/>
    <w:rsid w:val="005E3D43"/>
    <w:rsid w:val="005E5F58"/>
    <w:rsid w:val="005E75A8"/>
    <w:rsid w:val="005E7E89"/>
    <w:rsid w:val="005F0828"/>
    <w:rsid w:val="005F0E45"/>
    <w:rsid w:val="005F104C"/>
    <w:rsid w:val="005F230D"/>
    <w:rsid w:val="005F3821"/>
    <w:rsid w:val="005F471A"/>
    <w:rsid w:val="006016C7"/>
    <w:rsid w:val="0060191E"/>
    <w:rsid w:val="006043E4"/>
    <w:rsid w:val="0060610E"/>
    <w:rsid w:val="00606CA3"/>
    <w:rsid w:val="00607A6E"/>
    <w:rsid w:val="00607C5E"/>
    <w:rsid w:val="00611AB5"/>
    <w:rsid w:val="006145D8"/>
    <w:rsid w:val="00617585"/>
    <w:rsid w:val="00620897"/>
    <w:rsid w:val="006259D3"/>
    <w:rsid w:val="00633C31"/>
    <w:rsid w:val="006344B8"/>
    <w:rsid w:val="00634E8A"/>
    <w:rsid w:val="006372D7"/>
    <w:rsid w:val="006376B7"/>
    <w:rsid w:val="006401EE"/>
    <w:rsid w:val="00640225"/>
    <w:rsid w:val="006412D1"/>
    <w:rsid w:val="006418E3"/>
    <w:rsid w:val="006457D3"/>
    <w:rsid w:val="00645B26"/>
    <w:rsid w:val="00646BB2"/>
    <w:rsid w:val="0065036F"/>
    <w:rsid w:val="00652261"/>
    <w:rsid w:val="006524C7"/>
    <w:rsid w:val="00654417"/>
    <w:rsid w:val="006558E8"/>
    <w:rsid w:val="00661EE2"/>
    <w:rsid w:val="00666384"/>
    <w:rsid w:val="0066762F"/>
    <w:rsid w:val="006732D8"/>
    <w:rsid w:val="00675446"/>
    <w:rsid w:val="00675800"/>
    <w:rsid w:val="006760E1"/>
    <w:rsid w:val="0067680C"/>
    <w:rsid w:val="00676D5A"/>
    <w:rsid w:val="006807CE"/>
    <w:rsid w:val="0068500B"/>
    <w:rsid w:val="00687036"/>
    <w:rsid w:val="006911FE"/>
    <w:rsid w:val="00693032"/>
    <w:rsid w:val="00696150"/>
    <w:rsid w:val="00696CB2"/>
    <w:rsid w:val="006A22C7"/>
    <w:rsid w:val="006A2DD0"/>
    <w:rsid w:val="006A430D"/>
    <w:rsid w:val="006A7714"/>
    <w:rsid w:val="006B023D"/>
    <w:rsid w:val="006B1715"/>
    <w:rsid w:val="006B3D6C"/>
    <w:rsid w:val="006B4F10"/>
    <w:rsid w:val="006B56BB"/>
    <w:rsid w:val="006B6DD3"/>
    <w:rsid w:val="006C10AD"/>
    <w:rsid w:val="006C15D8"/>
    <w:rsid w:val="006C4A20"/>
    <w:rsid w:val="006C62AE"/>
    <w:rsid w:val="006C66C7"/>
    <w:rsid w:val="006D14AE"/>
    <w:rsid w:val="006D2FE9"/>
    <w:rsid w:val="006D4775"/>
    <w:rsid w:val="006D75C7"/>
    <w:rsid w:val="006D7BF5"/>
    <w:rsid w:val="006E1183"/>
    <w:rsid w:val="006E4E57"/>
    <w:rsid w:val="006E69F2"/>
    <w:rsid w:val="006E7DCF"/>
    <w:rsid w:val="006F0BA1"/>
    <w:rsid w:val="006F0D07"/>
    <w:rsid w:val="006F3580"/>
    <w:rsid w:val="006F7F10"/>
    <w:rsid w:val="0070022D"/>
    <w:rsid w:val="00700249"/>
    <w:rsid w:val="00702550"/>
    <w:rsid w:val="00706272"/>
    <w:rsid w:val="0070635F"/>
    <w:rsid w:val="00707881"/>
    <w:rsid w:val="00707DFC"/>
    <w:rsid w:val="00711FC9"/>
    <w:rsid w:val="007123CF"/>
    <w:rsid w:val="007158BC"/>
    <w:rsid w:val="00715926"/>
    <w:rsid w:val="00721A09"/>
    <w:rsid w:val="00724BA9"/>
    <w:rsid w:val="00724E2F"/>
    <w:rsid w:val="00725CC3"/>
    <w:rsid w:val="007312F8"/>
    <w:rsid w:val="00731E04"/>
    <w:rsid w:val="007322A1"/>
    <w:rsid w:val="00734D55"/>
    <w:rsid w:val="007372B8"/>
    <w:rsid w:val="007422A2"/>
    <w:rsid w:val="00742F8F"/>
    <w:rsid w:val="00744CAE"/>
    <w:rsid w:val="007453B6"/>
    <w:rsid w:val="00746095"/>
    <w:rsid w:val="00747F8D"/>
    <w:rsid w:val="00750500"/>
    <w:rsid w:val="0075259D"/>
    <w:rsid w:val="007536A4"/>
    <w:rsid w:val="0075381E"/>
    <w:rsid w:val="007539B2"/>
    <w:rsid w:val="00753FCF"/>
    <w:rsid w:val="00756D06"/>
    <w:rsid w:val="0076074D"/>
    <w:rsid w:val="007630AE"/>
    <w:rsid w:val="0076799C"/>
    <w:rsid w:val="00767A89"/>
    <w:rsid w:val="00767F04"/>
    <w:rsid w:val="00770BCB"/>
    <w:rsid w:val="00772254"/>
    <w:rsid w:val="00775F74"/>
    <w:rsid w:val="00782E21"/>
    <w:rsid w:val="0078311B"/>
    <w:rsid w:val="007834AB"/>
    <w:rsid w:val="0078572E"/>
    <w:rsid w:val="00786267"/>
    <w:rsid w:val="007863FE"/>
    <w:rsid w:val="00786B6C"/>
    <w:rsid w:val="00787A49"/>
    <w:rsid w:val="00790818"/>
    <w:rsid w:val="00790B4B"/>
    <w:rsid w:val="00790FDC"/>
    <w:rsid w:val="00793422"/>
    <w:rsid w:val="00793FA0"/>
    <w:rsid w:val="00795E3A"/>
    <w:rsid w:val="007967BA"/>
    <w:rsid w:val="007A04E4"/>
    <w:rsid w:val="007A5360"/>
    <w:rsid w:val="007B1F1F"/>
    <w:rsid w:val="007B43CD"/>
    <w:rsid w:val="007B48F9"/>
    <w:rsid w:val="007B7A04"/>
    <w:rsid w:val="007C2883"/>
    <w:rsid w:val="007C67C3"/>
    <w:rsid w:val="007C6C02"/>
    <w:rsid w:val="007D234A"/>
    <w:rsid w:val="007D2894"/>
    <w:rsid w:val="007D2A06"/>
    <w:rsid w:val="007D2DF2"/>
    <w:rsid w:val="007E245A"/>
    <w:rsid w:val="007E2509"/>
    <w:rsid w:val="007E2A25"/>
    <w:rsid w:val="007E4D67"/>
    <w:rsid w:val="007E52CF"/>
    <w:rsid w:val="007F1764"/>
    <w:rsid w:val="00801AB0"/>
    <w:rsid w:val="0080692F"/>
    <w:rsid w:val="008069F7"/>
    <w:rsid w:val="00807F5C"/>
    <w:rsid w:val="0081067D"/>
    <w:rsid w:val="00812453"/>
    <w:rsid w:val="00815315"/>
    <w:rsid w:val="00815EE9"/>
    <w:rsid w:val="00816336"/>
    <w:rsid w:val="00817345"/>
    <w:rsid w:val="00817FB1"/>
    <w:rsid w:val="00824193"/>
    <w:rsid w:val="008242FA"/>
    <w:rsid w:val="00830F8A"/>
    <w:rsid w:val="008319E2"/>
    <w:rsid w:val="00832F10"/>
    <w:rsid w:val="0083330E"/>
    <w:rsid w:val="00833D8C"/>
    <w:rsid w:val="008345A0"/>
    <w:rsid w:val="00834A36"/>
    <w:rsid w:val="00834B27"/>
    <w:rsid w:val="00835355"/>
    <w:rsid w:val="00836E57"/>
    <w:rsid w:val="00841408"/>
    <w:rsid w:val="00841434"/>
    <w:rsid w:val="00843730"/>
    <w:rsid w:val="00845F39"/>
    <w:rsid w:val="008460BC"/>
    <w:rsid w:val="00846384"/>
    <w:rsid w:val="00846CD2"/>
    <w:rsid w:val="00852429"/>
    <w:rsid w:val="008535A1"/>
    <w:rsid w:val="008562CA"/>
    <w:rsid w:val="00860F9C"/>
    <w:rsid w:val="00862760"/>
    <w:rsid w:val="008673ED"/>
    <w:rsid w:val="00867F68"/>
    <w:rsid w:val="00870FB7"/>
    <w:rsid w:val="00871969"/>
    <w:rsid w:val="00872D6A"/>
    <w:rsid w:val="00877DD2"/>
    <w:rsid w:val="00880384"/>
    <w:rsid w:val="008808C4"/>
    <w:rsid w:val="00880A6F"/>
    <w:rsid w:val="008815B1"/>
    <w:rsid w:val="008821CF"/>
    <w:rsid w:val="00883F71"/>
    <w:rsid w:val="00886762"/>
    <w:rsid w:val="00892754"/>
    <w:rsid w:val="00893F00"/>
    <w:rsid w:val="00894297"/>
    <w:rsid w:val="008959F0"/>
    <w:rsid w:val="008A1814"/>
    <w:rsid w:val="008A2D2D"/>
    <w:rsid w:val="008A4FB1"/>
    <w:rsid w:val="008B01E3"/>
    <w:rsid w:val="008B0844"/>
    <w:rsid w:val="008B524D"/>
    <w:rsid w:val="008C1C74"/>
    <w:rsid w:val="008C264E"/>
    <w:rsid w:val="008C2C67"/>
    <w:rsid w:val="008C2EC6"/>
    <w:rsid w:val="008C50AD"/>
    <w:rsid w:val="008C52C9"/>
    <w:rsid w:val="008C5532"/>
    <w:rsid w:val="008C630B"/>
    <w:rsid w:val="008C7240"/>
    <w:rsid w:val="008D65DD"/>
    <w:rsid w:val="008D7808"/>
    <w:rsid w:val="008E0E47"/>
    <w:rsid w:val="008E11E3"/>
    <w:rsid w:val="008E34AD"/>
    <w:rsid w:val="008E3B75"/>
    <w:rsid w:val="008E3DC7"/>
    <w:rsid w:val="008E5DF7"/>
    <w:rsid w:val="008E7292"/>
    <w:rsid w:val="008E77AC"/>
    <w:rsid w:val="008F05F1"/>
    <w:rsid w:val="008F0F60"/>
    <w:rsid w:val="008F4684"/>
    <w:rsid w:val="008F7050"/>
    <w:rsid w:val="008F775C"/>
    <w:rsid w:val="00900738"/>
    <w:rsid w:val="00902C4D"/>
    <w:rsid w:val="00904076"/>
    <w:rsid w:val="009043D7"/>
    <w:rsid w:val="009117F1"/>
    <w:rsid w:val="00913017"/>
    <w:rsid w:val="00920CBF"/>
    <w:rsid w:val="00921048"/>
    <w:rsid w:val="00922CE6"/>
    <w:rsid w:val="0092397D"/>
    <w:rsid w:val="00924389"/>
    <w:rsid w:val="00926142"/>
    <w:rsid w:val="009276E1"/>
    <w:rsid w:val="00930E01"/>
    <w:rsid w:val="00931430"/>
    <w:rsid w:val="009316BF"/>
    <w:rsid w:val="009321D7"/>
    <w:rsid w:val="00934F26"/>
    <w:rsid w:val="00942AB5"/>
    <w:rsid w:val="00943E3B"/>
    <w:rsid w:val="00946432"/>
    <w:rsid w:val="00950979"/>
    <w:rsid w:val="009515B1"/>
    <w:rsid w:val="00955A2B"/>
    <w:rsid w:val="0095644C"/>
    <w:rsid w:val="00957543"/>
    <w:rsid w:val="00960A99"/>
    <w:rsid w:val="00961A36"/>
    <w:rsid w:val="009625ED"/>
    <w:rsid w:val="00963930"/>
    <w:rsid w:val="00963ADB"/>
    <w:rsid w:val="00965DC6"/>
    <w:rsid w:val="00967161"/>
    <w:rsid w:val="00967AFF"/>
    <w:rsid w:val="009703EE"/>
    <w:rsid w:val="00972460"/>
    <w:rsid w:val="0097341C"/>
    <w:rsid w:val="00973ECD"/>
    <w:rsid w:val="00976692"/>
    <w:rsid w:val="00980962"/>
    <w:rsid w:val="00982A6B"/>
    <w:rsid w:val="00984E1B"/>
    <w:rsid w:val="009866A2"/>
    <w:rsid w:val="009869D4"/>
    <w:rsid w:val="00986D3B"/>
    <w:rsid w:val="0098740B"/>
    <w:rsid w:val="00990C6A"/>
    <w:rsid w:val="0099164B"/>
    <w:rsid w:val="00992D48"/>
    <w:rsid w:val="00994A58"/>
    <w:rsid w:val="00995CE4"/>
    <w:rsid w:val="009964F8"/>
    <w:rsid w:val="0099671B"/>
    <w:rsid w:val="009A0B05"/>
    <w:rsid w:val="009A1ABC"/>
    <w:rsid w:val="009A2B13"/>
    <w:rsid w:val="009A652B"/>
    <w:rsid w:val="009B4052"/>
    <w:rsid w:val="009B6FF5"/>
    <w:rsid w:val="009C0BFB"/>
    <w:rsid w:val="009C4A98"/>
    <w:rsid w:val="009C75E7"/>
    <w:rsid w:val="009D655D"/>
    <w:rsid w:val="009D658B"/>
    <w:rsid w:val="009E0172"/>
    <w:rsid w:val="009E2222"/>
    <w:rsid w:val="009E2AB3"/>
    <w:rsid w:val="009E3B2B"/>
    <w:rsid w:val="009E7A46"/>
    <w:rsid w:val="009F1511"/>
    <w:rsid w:val="009F1BDC"/>
    <w:rsid w:val="009F488F"/>
    <w:rsid w:val="009F5141"/>
    <w:rsid w:val="009F5C87"/>
    <w:rsid w:val="009F797A"/>
    <w:rsid w:val="009F7F17"/>
    <w:rsid w:val="00A00AD3"/>
    <w:rsid w:val="00A01024"/>
    <w:rsid w:val="00A01AAE"/>
    <w:rsid w:val="00A0254A"/>
    <w:rsid w:val="00A0329C"/>
    <w:rsid w:val="00A035B3"/>
    <w:rsid w:val="00A03DF3"/>
    <w:rsid w:val="00A05E52"/>
    <w:rsid w:val="00A07095"/>
    <w:rsid w:val="00A10A53"/>
    <w:rsid w:val="00A155F4"/>
    <w:rsid w:val="00A1609E"/>
    <w:rsid w:val="00A20950"/>
    <w:rsid w:val="00A23298"/>
    <w:rsid w:val="00A251FF"/>
    <w:rsid w:val="00A2770F"/>
    <w:rsid w:val="00A27782"/>
    <w:rsid w:val="00A3208B"/>
    <w:rsid w:val="00A34EBA"/>
    <w:rsid w:val="00A37FFB"/>
    <w:rsid w:val="00A411C4"/>
    <w:rsid w:val="00A42E5E"/>
    <w:rsid w:val="00A43262"/>
    <w:rsid w:val="00A44EBE"/>
    <w:rsid w:val="00A4504D"/>
    <w:rsid w:val="00A45177"/>
    <w:rsid w:val="00A51C1C"/>
    <w:rsid w:val="00A53CF0"/>
    <w:rsid w:val="00A54CFC"/>
    <w:rsid w:val="00A56370"/>
    <w:rsid w:val="00A57204"/>
    <w:rsid w:val="00A613B3"/>
    <w:rsid w:val="00A620F8"/>
    <w:rsid w:val="00A6210C"/>
    <w:rsid w:val="00A627FA"/>
    <w:rsid w:val="00A65207"/>
    <w:rsid w:val="00A66F50"/>
    <w:rsid w:val="00A67F55"/>
    <w:rsid w:val="00A71809"/>
    <w:rsid w:val="00A72F9C"/>
    <w:rsid w:val="00A73D6F"/>
    <w:rsid w:val="00A75B69"/>
    <w:rsid w:val="00A762B3"/>
    <w:rsid w:val="00A764D4"/>
    <w:rsid w:val="00A814F3"/>
    <w:rsid w:val="00A8408C"/>
    <w:rsid w:val="00A86D57"/>
    <w:rsid w:val="00A879EA"/>
    <w:rsid w:val="00A910C0"/>
    <w:rsid w:val="00A9162B"/>
    <w:rsid w:val="00A932C4"/>
    <w:rsid w:val="00A94F31"/>
    <w:rsid w:val="00A97088"/>
    <w:rsid w:val="00AA249F"/>
    <w:rsid w:val="00AA48CF"/>
    <w:rsid w:val="00AA4FE6"/>
    <w:rsid w:val="00AA7A8C"/>
    <w:rsid w:val="00AB6A0B"/>
    <w:rsid w:val="00AC1A0F"/>
    <w:rsid w:val="00AC1FA5"/>
    <w:rsid w:val="00AC2413"/>
    <w:rsid w:val="00AC30F7"/>
    <w:rsid w:val="00AC3DB8"/>
    <w:rsid w:val="00AC44BA"/>
    <w:rsid w:val="00AC5F61"/>
    <w:rsid w:val="00AC79A0"/>
    <w:rsid w:val="00AC7ED0"/>
    <w:rsid w:val="00AD0D06"/>
    <w:rsid w:val="00AD110E"/>
    <w:rsid w:val="00AD1ACE"/>
    <w:rsid w:val="00AD3B77"/>
    <w:rsid w:val="00AD4C35"/>
    <w:rsid w:val="00AD516B"/>
    <w:rsid w:val="00AD77A9"/>
    <w:rsid w:val="00AE0156"/>
    <w:rsid w:val="00AE10CF"/>
    <w:rsid w:val="00AE115C"/>
    <w:rsid w:val="00AE14F9"/>
    <w:rsid w:val="00AE39C4"/>
    <w:rsid w:val="00AE4348"/>
    <w:rsid w:val="00AE4771"/>
    <w:rsid w:val="00AE48E7"/>
    <w:rsid w:val="00AE4ECD"/>
    <w:rsid w:val="00AE5E22"/>
    <w:rsid w:val="00AE6C6A"/>
    <w:rsid w:val="00AE6E1D"/>
    <w:rsid w:val="00AE74B7"/>
    <w:rsid w:val="00AE7EAA"/>
    <w:rsid w:val="00AF03E0"/>
    <w:rsid w:val="00AF0426"/>
    <w:rsid w:val="00AF34DE"/>
    <w:rsid w:val="00AF3BA4"/>
    <w:rsid w:val="00AF73F6"/>
    <w:rsid w:val="00AF793D"/>
    <w:rsid w:val="00B011E8"/>
    <w:rsid w:val="00B02F9C"/>
    <w:rsid w:val="00B0336C"/>
    <w:rsid w:val="00B05844"/>
    <w:rsid w:val="00B05CD4"/>
    <w:rsid w:val="00B064E7"/>
    <w:rsid w:val="00B06817"/>
    <w:rsid w:val="00B07A00"/>
    <w:rsid w:val="00B1136E"/>
    <w:rsid w:val="00B117E6"/>
    <w:rsid w:val="00B14125"/>
    <w:rsid w:val="00B16974"/>
    <w:rsid w:val="00B20B1A"/>
    <w:rsid w:val="00B2190C"/>
    <w:rsid w:val="00B21983"/>
    <w:rsid w:val="00B22414"/>
    <w:rsid w:val="00B24775"/>
    <w:rsid w:val="00B26C36"/>
    <w:rsid w:val="00B26F8C"/>
    <w:rsid w:val="00B27A5C"/>
    <w:rsid w:val="00B3195A"/>
    <w:rsid w:val="00B31CF5"/>
    <w:rsid w:val="00B330E5"/>
    <w:rsid w:val="00B35C52"/>
    <w:rsid w:val="00B3696B"/>
    <w:rsid w:val="00B36CEE"/>
    <w:rsid w:val="00B40A9D"/>
    <w:rsid w:val="00B43EF1"/>
    <w:rsid w:val="00B45E22"/>
    <w:rsid w:val="00B46345"/>
    <w:rsid w:val="00B47A44"/>
    <w:rsid w:val="00B525AE"/>
    <w:rsid w:val="00B52CD4"/>
    <w:rsid w:val="00B53B96"/>
    <w:rsid w:val="00B53CA2"/>
    <w:rsid w:val="00B54C75"/>
    <w:rsid w:val="00B5535C"/>
    <w:rsid w:val="00B575BF"/>
    <w:rsid w:val="00B60A16"/>
    <w:rsid w:val="00B61BE6"/>
    <w:rsid w:val="00B64C28"/>
    <w:rsid w:val="00B64FC0"/>
    <w:rsid w:val="00B65277"/>
    <w:rsid w:val="00B652C9"/>
    <w:rsid w:val="00B73F7F"/>
    <w:rsid w:val="00B75C1A"/>
    <w:rsid w:val="00B80EC2"/>
    <w:rsid w:val="00B80F9C"/>
    <w:rsid w:val="00B81DFB"/>
    <w:rsid w:val="00B8284D"/>
    <w:rsid w:val="00B82D22"/>
    <w:rsid w:val="00B8332F"/>
    <w:rsid w:val="00B849C0"/>
    <w:rsid w:val="00B8530B"/>
    <w:rsid w:val="00B91426"/>
    <w:rsid w:val="00B91FF9"/>
    <w:rsid w:val="00B9236D"/>
    <w:rsid w:val="00B93B06"/>
    <w:rsid w:val="00B94280"/>
    <w:rsid w:val="00B9471B"/>
    <w:rsid w:val="00B97746"/>
    <w:rsid w:val="00BA24BF"/>
    <w:rsid w:val="00BA38B3"/>
    <w:rsid w:val="00BB01F7"/>
    <w:rsid w:val="00BB317B"/>
    <w:rsid w:val="00BB74D7"/>
    <w:rsid w:val="00BB7636"/>
    <w:rsid w:val="00BC0C41"/>
    <w:rsid w:val="00BC245E"/>
    <w:rsid w:val="00BC369C"/>
    <w:rsid w:val="00BC36BF"/>
    <w:rsid w:val="00BC432E"/>
    <w:rsid w:val="00BC4876"/>
    <w:rsid w:val="00BD268F"/>
    <w:rsid w:val="00BD2E8D"/>
    <w:rsid w:val="00BD5AA0"/>
    <w:rsid w:val="00BD7F80"/>
    <w:rsid w:val="00BE0477"/>
    <w:rsid w:val="00BE2D86"/>
    <w:rsid w:val="00BE3849"/>
    <w:rsid w:val="00BE3AFB"/>
    <w:rsid w:val="00BE3FA2"/>
    <w:rsid w:val="00BE4ED7"/>
    <w:rsid w:val="00BE55C6"/>
    <w:rsid w:val="00BE5E80"/>
    <w:rsid w:val="00BE619C"/>
    <w:rsid w:val="00BE6718"/>
    <w:rsid w:val="00BF190D"/>
    <w:rsid w:val="00BF1E9B"/>
    <w:rsid w:val="00BF1EE3"/>
    <w:rsid w:val="00BF390E"/>
    <w:rsid w:val="00BF5389"/>
    <w:rsid w:val="00BF6E47"/>
    <w:rsid w:val="00C00063"/>
    <w:rsid w:val="00C00402"/>
    <w:rsid w:val="00C00462"/>
    <w:rsid w:val="00C00841"/>
    <w:rsid w:val="00C02082"/>
    <w:rsid w:val="00C02953"/>
    <w:rsid w:val="00C03E92"/>
    <w:rsid w:val="00C07064"/>
    <w:rsid w:val="00C10747"/>
    <w:rsid w:val="00C14B66"/>
    <w:rsid w:val="00C20841"/>
    <w:rsid w:val="00C210B5"/>
    <w:rsid w:val="00C21313"/>
    <w:rsid w:val="00C229F1"/>
    <w:rsid w:val="00C22C8D"/>
    <w:rsid w:val="00C23148"/>
    <w:rsid w:val="00C23F69"/>
    <w:rsid w:val="00C241F7"/>
    <w:rsid w:val="00C25242"/>
    <w:rsid w:val="00C25352"/>
    <w:rsid w:val="00C27CB4"/>
    <w:rsid w:val="00C3160D"/>
    <w:rsid w:val="00C31870"/>
    <w:rsid w:val="00C32742"/>
    <w:rsid w:val="00C3398E"/>
    <w:rsid w:val="00C34C2C"/>
    <w:rsid w:val="00C3518B"/>
    <w:rsid w:val="00C3591B"/>
    <w:rsid w:val="00C35BD8"/>
    <w:rsid w:val="00C37793"/>
    <w:rsid w:val="00C40F54"/>
    <w:rsid w:val="00C4163C"/>
    <w:rsid w:val="00C43B62"/>
    <w:rsid w:val="00C43CF8"/>
    <w:rsid w:val="00C462D4"/>
    <w:rsid w:val="00C51C15"/>
    <w:rsid w:val="00C57CDF"/>
    <w:rsid w:val="00C616EE"/>
    <w:rsid w:val="00C64742"/>
    <w:rsid w:val="00C700D3"/>
    <w:rsid w:val="00C71403"/>
    <w:rsid w:val="00C72E33"/>
    <w:rsid w:val="00C74DC5"/>
    <w:rsid w:val="00C771FD"/>
    <w:rsid w:val="00C829B6"/>
    <w:rsid w:val="00C82DFA"/>
    <w:rsid w:val="00C83264"/>
    <w:rsid w:val="00C8333E"/>
    <w:rsid w:val="00C83A12"/>
    <w:rsid w:val="00C84193"/>
    <w:rsid w:val="00C856BC"/>
    <w:rsid w:val="00C92B7B"/>
    <w:rsid w:val="00C94C7F"/>
    <w:rsid w:val="00C956B5"/>
    <w:rsid w:val="00C9643B"/>
    <w:rsid w:val="00CA3196"/>
    <w:rsid w:val="00CA5E65"/>
    <w:rsid w:val="00CA70D5"/>
    <w:rsid w:val="00CA7E10"/>
    <w:rsid w:val="00CB1B0F"/>
    <w:rsid w:val="00CB20E9"/>
    <w:rsid w:val="00CB38E1"/>
    <w:rsid w:val="00CB4136"/>
    <w:rsid w:val="00CB4C63"/>
    <w:rsid w:val="00CB4D28"/>
    <w:rsid w:val="00CB5085"/>
    <w:rsid w:val="00CB5B61"/>
    <w:rsid w:val="00CC695D"/>
    <w:rsid w:val="00CC7F80"/>
    <w:rsid w:val="00CD0722"/>
    <w:rsid w:val="00CD42B5"/>
    <w:rsid w:val="00CE0170"/>
    <w:rsid w:val="00CE209E"/>
    <w:rsid w:val="00CE23CA"/>
    <w:rsid w:val="00CE314C"/>
    <w:rsid w:val="00CE6023"/>
    <w:rsid w:val="00CE6CB0"/>
    <w:rsid w:val="00CE70EF"/>
    <w:rsid w:val="00CF3362"/>
    <w:rsid w:val="00CF439F"/>
    <w:rsid w:val="00CF4B8D"/>
    <w:rsid w:val="00CF4CFB"/>
    <w:rsid w:val="00CF57CF"/>
    <w:rsid w:val="00CF693D"/>
    <w:rsid w:val="00D04A7D"/>
    <w:rsid w:val="00D058B5"/>
    <w:rsid w:val="00D0617D"/>
    <w:rsid w:val="00D139B8"/>
    <w:rsid w:val="00D14B96"/>
    <w:rsid w:val="00D21376"/>
    <w:rsid w:val="00D214C7"/>
    <w:rsid w:val="00D2253F"/>
    <w:rsid w:val="00D22BD2"/>
    <w:rsid w:val="00D22FF7"/>
    <w:rsid w:val="00D23C11"/>
    <w:rsid w:val="00D24FDC"/>
    <w:rsid w:val="00D253DA"/>
    <w:rsid w:val="00D266D5"/>
    <w:rsid w:val="00D266EB"/>
    <w:rsid w:val="00D27043"/>
    <w:rsid w:val="00D31321"/>
    <w:rsid w:val="00D326B3"/>
    <w:rsid w:val="00D33E89"/>
    <w:rsid w:val="00D35882"/>
    <w:rsid w:val="00D35961"/>
    <w:rsid w:val="00D412FE"/>
    <w:rsid w:val="00D417C6"/>
    <w:rsid w:val="00D4677C"/>
    <w:rsid w:val="00D5029B"/>
    <w:rsid w:val="00D52433"/>
    <w:rsid w:val="00D52853"/>
    <w:rsid w:val="00D60F8E"/>
    <w:rsid w:val="00D6151A"/>
    <w:rsid w:val="00D62F18"/>
    <w:rsid w:val="00D63FE0"/>
    <w:rsid w:val="00D647CB"/>
    <w:rsid w:val="00D67503"/>
    <w:rsid w:val="00D70C4B"/>
    <w:rsid w:val="00D72311"/>
    <w:rsid w:val="00D7277C"/>
    <w:rsid w:val="00D72E80"/>
    <w:rsid w:val="00D80A4B"/>
    <w:rsid w:val="00D80E35"/>
    <w:rsid w:val="00D816B4"/>
    <w:rsid w:val="00D8232A"/>
    <w:rsid w:val="00D85655"/>
    <w:rsid w:val="00D86467"/>
    <w:rsid w:val="00D8677D"/>
    <w:rsid w:val="00D86EAF"/>
    <w:rsid w:val="00D93DAD"/>
    <w:rsid w:val="00D94472"/>
    <w:rsid w:val="00D95C01"/>
    <w:rsid w:val="00D97E3B"/>
    <w:rsid w:val="00DA0005"/>
    <w:rsid w:val="00DA080B"/>
    <w:rsid w:val="00DA0D67"/>
    <w:rsid w:val="00DA2AED"/>
    <w:rsid w:val="00DA2B8D"/>
    <w:rsid w:val="00DA49B6"/>
    <w:rsid w:val="00DA78F3"/>
    <w:rsid w:val="00DB1384"/>
    <w:rsid w:val="00DB30BC"/>
    <w:rsid w:val="00DB503D"/>
    <w:rsid w:val="00DB5C14"/>
    <w:rsid w:val="00DB62D7"/>
    <w:rsid w:val="00DB7B07"/>
    <w:rsid w:val="00DC1540"/>
    <w:rsid w:val="00DC3E66"/>
    <w:rsid w:val="00DC6BC4"/>
    <w:rsid w:val="00DD045F"/>
    <w:rsid w:val="00DD0FAB"/>
    <w:rsid w:val="00DD22D7"/>
    <w:rsid w:val="00DD3320"/>
    <w:rsid w:val="00DD4433"/>
    <w:rsid w:val="00DD677F"/>
    <w:rsid w:val="00DD77B2"/>
    <w:rsid w:val="00DE25E4"/>
    <w:rsid w:val="00DE2CED"/>
    <w:rsid w:val="00DE3051"/>
    <w:rsid w:val="00DE31C7"/>
    <w:rsid w:val="00DF0794"/>
    <w:rsid w:val="00DF0D1C"/>
    <w:rsid w:val="00DF46A0"/>
    <w:rsid w:val="00DF59CF"/>
    <w:rsid w:val="00DF5C7F"/>
    <w:rsid w:val="00DF62C3"/>
    <w:rsid w:val="00E00B73"/>
    <w:rsid w:val="00E048E3"/>
    <w:rsid w:val="00E06D08"/>
    <w:rsid w:val="00E06ED3"/>
    <w:rsid w:val="00E10A80"/>
    <w:rsid w:val="00E11B6A"/>
    <w:rsid w:val="00E1206A"/>
    <w:rsid w:val="00E12E40"/>
    <w:rsid w:val="00E170B3"/>
    <w:rsid w:val="00E2226C"/>
    <w:rsid w:val="00E222B1"/>
    <w:rsid w:val="00E2287D"/>
    <w:rsid w:val="00E23457"/>
    <w:rsid w:val="00E24BDB"/>
    <w:rsid w:val="00E2507A"/>
    <w:rsid w:val="00E25FB0"/>
    <w:rsid w:val="00E26781"/>
    <w:rsid w:val="00E2707A"/>
    <w:rsid w:val="00E27970"/>
    <w:rsid w:val="00E33BC0"/>
    <w:rsid w:val="00E40089"/>
    <w:rsid w:val="00E47D0D"/>
    <w:rsid w:val="00E511FD"/>
    <w:rsid w:val="00E514CA"/>
    <w:rsid w:val="00E53AF8"/>
    <w:rsid w:val="00E53D0F"/>
    <w:rsid w:val="00E54580"/>
    <w:rsid w:val="00E56249"/>
    <w:rsid w:val="00E56856"/>
    <w:rsid w:val="00E57DA2"/>
    <w:rsid w:val="00E60C99"/>
    <w:rsid w:val="00E62E6F"/>
    <w:rsid w:val="00E63AD1"/>
    <w:rsid w:val="00E6570D"/>
    <w:rsid w:val="00E6622A"/>
    <w:rsid w:val="00E66679"/>
    <w:rsid w:val="00E7033A"/>
    <w:rsid w:val="00E704CC"/>
    <w:rsid w:val="00E70867"/>
    <w:rsid w:val="00E71320"/>
    <w:rsid w:val="00E71504"/>
    <w:rsid w:val="00E747A0"/>
    <w:rsid w:val="00E75289"/>
    <w:rsid w:val="00E75E69"/>
    <w:rsid w:val="00E80F18"/>
    <w:rsid w:val="00E82A60"/>
    <w:rsid w:val="00E82A79"/>
    <w:rsid w:val="00E83C07"/>
    <w:rsid w:val="00E83C08"/>
    <w:rsid w:val="00E83ED7"/>
    <w:rsid w:val="00E84537"/>
    <w:rsid w:val="00E84A02"/>
    <w:rsid w:val="00E85564"/>
    <w:rsid w:val="00E85983"/>
    <w:rsid w:val="00E91528"/>
    <w:rsid w:val="00E92A05"/>
    <w:rsid w:val="00E94007"/>
    <w:rsid w:val="00E94847"/>
    <w:rsid w:val="00E94F4B"/>
    <w:rsid w:val="00E9750E"/>
    <w:rsid w:val="00E97DAC"/>
    <w:rsid w:val="00EA1F7E"/>
    <w:rsid w:val="00EA5EF3"/>
    <w:rsid w:val="00EA7260"/>
    <w:rsid w:val="00EB0CC0"/>
    <w:rsid w:val="00EB1F64"/>
    <w:rsid w:val="00EB3F3B"/>
    <w:rsid w:val="00EB40C4"/>
    <w:rsid w:val="00EB6422"/>
    <w:rsid w:val="00EC0255"/>
    <w:rsid w:val="00EC1A79"/>
    <w:rsid w:val="00EC34BE"/>
    <w:rsid w:val="00EC63D5"/>
    <w:rsid w:val="00EC6DC3"/>
    <w:rsid w:val="00EC7B9A"/>
    <w:rsid w:val="00ED0F79"/>
    <w:rsid w:val="00ED59F3"/>
    <w:rsid w:val="00ED6989"/>
    <w:rsid w:val="00ED798C"/>
    <w:rsid w:val="00ED7FC9"/>
    <w:rsid w:val="00EE19F7"/>
    <w:rsid w:val="00EE1E41"/>
    <w:rsid w:val="00EE230B"/>
    <w:rsid w:val="00EE4032"/>
    <w:rsid w:val="00EE513D"/>
    <w:rsid w:val="00EE691B"/>
    <w:rsid w:val="00EE7F52"/>
    <w:rsid w:val="00EF28DE"/>
    <w:rsid w:val="00EF29EE"/>
    <w:rsid w:val="00EF2C8F"/>
    <w:rsid w:val="00EF2DA2"/>
    <w:rsid w:val="00EF32E9"/>
    <w:rsid w:val="00EF42F9"/>
    <w:rsid w:val="00EF71EB"/>
    <w:rsid w:val="00F004CB"/>
    <w:rsid w:val="00F0067C"/>
    <w:rsid w:val="00F0318D"/>
    <w:rsid w:val="00F04E42"/>
    <w:rsid w:val="00F0670D"/>
    <w:rsid w:val="00F1152B"/>
    <w:rsid w:val="00F11F24"/>
    <w:rsid w:val="00F158B8"/>
    <w:rsid w:val="00F15F91"/>
    <w:rsid w:val="00F16776"/>
    <w:rsid w:val="00F17E2A"/>
    <w:rsid w:val="00F20A61"/>
    <w:rsid w:val="00F25F97"/>
    <w:rsid w:val="00F3139E"/>
    <w:rsid w:val="00F32202"/>
    <w:rsid w:val="00F40C09"/>
    <w:rsid w:val="00F41B5B"/>
    <w:rsid w:val="00F41E5A"/>
    <w:rsid w:val="00F42555"/>
    <w:rsid w:val="00F43494"/>
    <w:rsid w:val="00F455DB"/>
    <w:rsid w:val="00F4731B"/>
    <w:rsid w:val="00F502A9"/>
    <w:rsid w:val="00F5128B"/>
    <w:rsid w:val="00F53377"/>
    <w:rsid w:val="00F55586"/>
    <w:rsid w:val="00F60B67"/>
    <w:rsid w:val="00F60F3F"/>
    <w:rsid w:val="00F62E18"/>
    <w:rsid w:val="00F63295"/>
    <w:rsid w:val="00F657EF"/>
    <w:rsid w:val="00F71A6D"/>
    <w:rsid w:val="00F80196"/>
    <w:rsid w:val="00F817A9"/>
    <w:rsid w:val="00F81BC9"/>
    <w:rsid w:val="00F840F4"/>
    <w:rsid w:val="00F8456A"/>
    <w:rsid w:val="00F861BE"/>
    <w:rsid w:val="00F86BAC"/>
    <w:rsid w:val="00F921BD"/>
    <w:rsid w:val="00F935B0"/>
    <w:rsid w:val="00F959D3"/>
    <w:rsid w:val="00F97422"/>
    <w:rsid w:val="00F9769A"/>
    <w:rsid w:val="00FA170A"/>
    <w:rsid w:val="00FA353A"/>
    <w:rsid w:val="00FA3B9B"/>
    <w:rsid w:val="00FA64AF"/>
    <w:rsid w:val="00FB107C"/>
    <w:rsid w:val="00FB32EE"/>
    <w:rsid w:val="00FB3AE4"/>
    <w:rsid w:val="00FB3E6F"/>
    <w:rsid w:val="00FB4B2A"/>
    <w:rsid w:val="00FB5DF0"/>
    <w:rsid w:val="00FB7279"/>
    <w:rsid w:val="00FC06E4"/>
    <w:rsid w:val="00FC11D9"/>
    <w:rsid w:val="00FC1A3A"/>
    <w:rsid w:val="00FC1DA9"/>
    <w:rsid w:val="00FC3E4E"/>
    <w:rsid w:val="00FC7DB4"/>
    <w:rsid w:val="00FD1542"/>
    <w:rsid w:val="00FD2546"/>
    <w:rsid w:val="00FD25AF"/>
    <w:rsid w:val="00FD4831"/>
    <w:rsid w:val="00FD51CB"/>
    <w:rsid w:val="00FD5B36"/>
    <w:rsid w:val="00FD5CBA"/>
    <w:rsid w:val="00FD7418"/>
    <w:rsid w:val="00FD74DE"/>
    <w:rsid w:val="00FE02FB"/>
    <w:rsid w:val="00FE0457"/>
    <w:rsid w:val="00FE45B4"/>
    <w:rsid w:val="00FE45C5"/>
    <w:rsid w:val="00FE527E"/>
    <w:rsid w:val="00FE776D"/>
    <w:rsid w:val="00FE7F75"/>
    <w:rsid w:val="00FF1791"/>
    <w:rsid w:val="00FF1A23"/>
    <w:rsid w:val="00FF6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stockticker"/>
  <w:shapeDefaults>
    <o:shapedefaults v:ext="edit" spidmax="1027"/>
    <o:shapelayout v:ext="edit">
      <o:idmap v:ext="edit" data="1"/>
    </o:shapelayout>
  </w:shapeDefaults>
  <w:decimalSymbol w:val="."/>
  <w:listSeparator w:val=","/>
  <w14:docId w14:val="5553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20"/>
    <w:rPr>
      <w:sz w:val="24"/>
      <w:szCs w:val="24"/>
    </w:rPr>
  </w:style>
  <w:style w:type="paragraph" w:styleId="Heading1">
    <w:name w:val="heading 1"/>
    <w:basedOn w:val="Normal"/>
    <w:next w:val="Normal"/>
    <w:qFormat/>
    <w:rsid w:val="006C4A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622A"/>
    <w:pPr>
      <w:keepNext/>
      <w:spacing w:line="360" w:lineRule="atLeast"/>
      <w:jc w:val="both"/>
      <w:outlineLvl w:val="1"/>
    </w:pPr>
    <w:rPr>
      <w:b/>
      <w:szCs w:val="20"/>
      <w:u w:val="single"/>
    </w:rPr>
  </w:style>
  <w:style w:type="paragraph" w:styleId="Heading5">
    <w:name w:val="heading 5"/>
    <w:basedOn w:val="Normal"/>
    <w:next w:val="Normal"/>
    <w:qFormat/>
    <w:rsid w:val="00E6622A"/>
    <w:pPr>
      <w:keepNext/>
      <w:spacing w:before="40" w:after="40"/>
      <w:jc w:val="both"/>
      <w:outlineLvl w:val="4"/>
    </w:pPr>
    <w:rPr>
      <w:b/>
      <w:vanis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arCarChar">
    <w:name w:val="Char1 Char Char Car Car Char"/>
    <w:basedOn w:val="Normal"/>
    <w:rsid w:val="006C4A20"/>
    <w:pPr>
      <w:spacing w:after="160" w:line="240" w:lineRule="exact"/>
    </w:pPr>
    <w:rPr>
      <w:lang w:val="en-US" w:eastAsia="en-US"/>
    </w:rPr>
  </w:style>
  <w:style w:type="character" w:customStyle="1" w:styleId="CSIchar">
    <w:name w:val="CSIchar"/>
    <w:basedOn w:val="DefaultParagraphFont"/>
    <w:rsid w:val="006C4A20"/>
    <w:rPr>
      <w:bdr w:val="none" w:sz="0" w:space="0" w:color="auto"/>
      <w:shd w:val="clear" w:color="auto" w:fill="CCCCCC"/>
    </w:rPr>
  </w:style>
  <w:style w:type="paragraph" w:customStyle="1" w:styleId="NoNumHead2">
    <w:name w:val="NoNum:Head2"/>
    <w:basedOn w:val="Normal"/>
    <w:next w:val="Normal"/>
    <w:link w:val="NoNumHead2Char"/>
    <w:rsid w:val="006C4A20"/>
    <w:pPr>
      <w:keepNext/>
      <w:spacing w:before="120" w:after="240"/>
      <w:outlineLvl w:val="0"/>
    </w:pPr>
    <w:rPr>
      <w:rFonts w:ascii="Arial" w:hAnsi="Arial"/>
      <w:b/>
      <w:caps/>
      <w:sz w:val="26"/>
      <w:szCs w:val="26"/>
      <w:lang w:val="en-GB" w:eastAsia="ja-JP"/>
    </w:rPr>
  </w:style>
  <w:style w:type="character" w:customStyle="1" w:styleId="NoNumHead2Char">
    <w:name w:val="NoNum:Head2 Char"/>
    <w:basedOn w:val="DefaultParagraphFont"/>
    <w:link w:val="NoNumHead2"/>
    <w:rsid w:val="006C4A20"/>
    <w:rPr>
      <w:rFonts w:ascii="Arial" w:hAnsi="Arial"/>
      <w:b/>
      <w:caps/>
      <w:sz w:val="26"/>
      <w:szCs w:val="26"/>
      <w:lang w:val="en-GB" w:eastAsia="ja-JP" w:bidi="ar-SA"/>
    </w:rPr>
  </w:style>
  <w:style w:type="character" w:styleId="CommentReference">
    <w:name w:val="annotation reference"/>
    <w:basedOn w:val="DefaultParagraphFont"/>
    <w:rsid w:val="006C4A20"/>
    <w:rPr>
      <w:rFonts w:ascii="Arial" w:hAnsi="Arial"/>
      <w:vanish/>
      <w:color w:val="FF0000"/>
      <w:sz w:val="16"/>
    </w:rPr>
  </w:style>
  <w:style w:type="paragraph" w:customStyle="1" w:styleId="NoNumHead4">
    <w:name w:val="NoNum:Head4"/>
    <w:basedOn w:val="Normal"/>
    <w:next w:val="Normal"/>
    <w:rsid w:val="006C4A20"/>
    <w:pPr>
      <w:keepNext/>
      <w:spacing w:before="120" w:after="240"/>
      <w:outlineLvl w:val="0"/>
    </w:pPr>
    <w:rPr>
      <w:rFonts w:ascii="Arial" w:hAnsi="Arial"/>
      <w:b/>
      <w:sz w:val="22"/>
      <w:szCs w:val="22"/>
      <w:lang w:val="en-GB" w:eastAsia="ja-JP"/>
    </w:rPr>
  </w:style>
  <w:style w:type="paragraph" w:customStyle="1" w:styleId="NoNumHead3">
    <w:name w:val="NoNum:Head3"/>
    <w:basedOn w:val="Normal"/>
    <w:next w:val="Normal"/>
    <w:link w:val="NoNumHead3Char"/>
    <w:rsid w:val="006C4A20"/>
    <w:pPr>
      <w:keepNext/>
      <w:spacing w:before="120" w:after="240"/>
      <w:outlineLvl w:val="0"/>
    </w:pPr>
    <w:rPr>
      <w:rFonts w:ascii="Arial" w:hAnsi="Arial"/>
      <w:b/>
      <w:lang w:val="en-GB" w:eastAsia="ja-JP"/>
    </w:rPr>
  </w:style>
  <w:style w:type="character" w:customStyle="1" w:styleId="NoNumHead3Char">
    <w:name w:val="NoNum:Head3 Char"/>
    <w:basedOn w:val="DefaultParagraphFont"/>
    <w:link w:val="NoNumHead3"/>
    <w:rsid w:val="006C4A20"/>
    <w:rPr>
      <w:rFonts w:ascii="Arial" w:hAnsi="Arial"/>
      <w:b/>
      <w:sz w:val="24"/>
      <w:szCs w:val="24"/>
      <w:lang w:val="en-GB" w:eastAsia="ja-JP" w:bidi="ar-SA"/>
    </w:rPr>
  </w:style>
  <w:style w:type="paragraph" w:customStyle="1" w:styleId="NoNumHead5">
    <w:name w:val="NoNum:Head5"/>
    <w:basedOn w:val="NoNumHead4"/>
    <w:next w:val="Normal"/>
    <w:rsid w:val="006C4A20"/>
    <w:pPr>
      <w:spacing w:before="0"/>
    </w:pPr>
    <w:rPr>
      <w:i/>
    </w:rPr>
  </w:style>
  <w:style w:type="paragraph" w:customStyle="1" w:styleId="NoNumHead6GDS">
    <w:name w:val="NoNum:Head6 GDS"/>
    <w:basedOn w:val="Normal"/>
    <w:rsid w:val="006C4A20"/>
    <w:pPr>
      <w:keepNext/>
      <w:spacing w:after="240"/>
      <w:outlineLvl w:val="0"/>
    </w:pPr>
    <w:rPr>
      <w:b/>
      <w:i/>
      <w:szCs w:val="20"/>
      <w:lang w:val="en-GB" w:eastAsia="ja-JP"/>
    </w:rPr>
  </w:style>
  <w:style w:type="paragraph" w:customStyle="1" w:styleId="LBLListStyle1">
    <w:name w:val="LBL ListStyle 1"/>
    <w:basedOn w:val="Normal"/>
    <w:rsid w:val="006C4A20"/>
    <w:pPr>
      <w:numPr>
        <w:numId w:val="1"/>
      </w:numPr>
      <w:tabs>
        <w:tab w:val="left" w:pos="720"/>
        <w:tab w:val="left" w:pos="994"/>
      </w:tabs>
      <w:spacing w:line="320" w:lineRule="atLeast"/>
    </w:pPr>
    <w:rPr>
      <w:szCs w:val="20"/>
      <w:lang w:val="en-US" w:eastAsia="en-US"/>
    </w:rPr>
  </w:style>
  <w:style w:type="paragraph" w:styleId="CommentText">
    <w:name w:val="annotation text"/>
    <w:basedOn w:val="Normal"/>
    <w:link w:val="CommentTextChar"/>
    <w:rsid w:val="006C4A20"/>
    <w:rPr>
      <w:sz w:val="20"/>
      <w:szCs w:val="20"/>
    </w:rPr>
  </w:style>
  <w:style w:type="table" w:styleId="TableGrid">
    <w:name w:val="Table Grid"/>
    <w:basedOn w:val="TableNormal"/>
    <w:uiPriority w:val="59"/>
    <w:rsid w:val="006C4A20"/>
    <w:pPr>
      <w:tabs>
        <w:tab w:val="left" w:pos="274"/>
        <w:tab w:val="left" w:pos="547"/>
        <w:tab w:val="left" w:pos="821"/>
        <w:tab w:val="left" w:pos="1094"/>
      </w:tabs>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table"/>
    <w:basedOn w:val="Normal"/>
    <w:next w:val="Normal"/>
    <w:link w:val="captiontableChar"/>
    <w:rsid w:val="006C4A20"/>
    <w:pPr>
      <w:keepNext/>
      <w:spacing w:after="240"/>
      <w:ind w:left="1440" w:hanging="1440"/>
    </w:pPr>
    <w:rPr>
      <w:rFonts w:ascii="Arial" w:hAnsi="Arial"/>
      <w:b/>
      <w:sz w:val="22"/>
      <w:szCs w:val="20"/>
      <w:lang w:val="en-GB" w:eastAsia="ja-JP"/>
    </w:rPr>
  </w:style>
  <w:style w:type="paragraph" w:customStyle="1" w:styleId="listalpha">
    <w:name w:val="list:alpha"/>
    <w:basedOn w:val="Normal"/>
    <w:rsid w:val="006C4A20"/>
    <w:pPr>
      <w:spacing w:after="120"/>
      <w:ind w:left="432" w:hanging="432"/>
    </w:pPr>
    <w:rPr>
      <w:szCs w:val="20"/>
      <w:lang w:val="en-GB" w:eastAsia="ja-JP"/>
    </w:rPr>
  </w:style>
  <w:style w:type="paragraph" w:customStyle="1" w:styleId="tabletextNS">
    <w:name w:val="table:textNS"/>
    <w:basedOn w:val="Normal"/>
    <w:link w:val="tabletextNSChar"/>
    <w:rsid w:val="006C4A20"/>
    <w:rPr>
      <w:rFonts w:ascii="Arial Narrow" w:hAnsi="Arial Narrow"/>
      <w:szCs w:val="20"/>
      <w:lang w:val="en-GB" w:eastAsia="ja-JP"/>
    </w:rPr>
  </w:style>
  <w:style w:type="character" w:customStyle="1" w:styleId="LBLLevel3">
    <w:name w:val="LBLLevel 3"/>
    <w:basedOn w:val="DefaultParagraphFont"/>
    <w:rsid w:val="006C4A20"/>
    <w:rPr>
      <w:rFonts w:ascii="Arial" w:hAnsi="Arial"/>
      <w:u w:val="single"/>
    </w:rPr>
  </w:style>
  <w:style w:type="character" w:customStyle="1" w:styleId="LBLLevel4">
    <w:name w:val="LBLLevel 4"/>
    <w:rsid w:val="006C4A20"/>
    <w:rPr>
      <w:rFonts w:ascii="Arial" w:hAnsi="Arial" w:cs="Arial"/>
      <w:i/>
    </w:rPr>
  </w:style>
  <w:style w:type="character" w:customStyle="1" w:styleId="LBLTableFootnotesChar">
    <w:name w:val="LBL Table Footnotes Char"/>
    <w:basedOn w:val="DefaultParagraphFont"/>
    <w:link w:val="LBLTableFootnotes"/>
    <w:rsid w:val="006C4A20"/>
    <w:rPr>
      <w:sz w:val="24"/>
      <w:szCs w:val="24"/>
      <w:lang w:val="en-GB" w:eastAsia="en-US" w:bidi="ar-SA"/>
    </w:rPr>
  </w:style>
  <w:style w:type="paragraph" w:customStyle="1" w:styleId="LBLTableFootnotes">
    <w:name w:val="LBL Table Footnotes"/>
    <w:basedOn w:val="Normal"/>
    <w:link w:val="LBLTableFootnotesChar"/>
    <w:rsid w:val="006C4A20"/>
    <w:pPr>
      <w:keepNext/>
      <w:keepLines/>
      <w:tabs>
        <w:tab w:val="left" w:pos="720"/>
        <w:tab w:val="left" w:pos="994"/>
      </w:tabs>
      <w:spacing w:line="320" w:lineRule="atLeast"/>
    </w:pPr>
    <w:rPr>
      <w:lang w:val="en-GB" w:eastAsia="en-US"/>
    </w:rPr>
  </w:style>
  <w:style w:type="paragraph" w:customStyle="1" w:styleId="LBLBulletStyle1">
    <w:name w:val="LBL BulletStyle 1"/>
    <w:basedOn w:val="Normal"/>
    <w:rsid w:val="006C4A20"/>
    <w:pPr>
      <w:numPr>
        <w:numId w:val="6"/>
      </w:numPr>
      <w:tabs>
        <w:tab w:val="left" w:pos="720"/>
        <w:tab w:val="left" w:pos="994"/>
      </w:tabs>
      <w:spacing w:line="320" w:lineRule="atLeast"/>
    </w:pPr>
    <w:rPr>
      <w:szCs w:val="20"/>
      <w:lang w:val="en-GB" w:eastAsia="en-US"/>
    </w:rPr>
  </w:style>
  <w:style w:type="numbering" w:customStyle="1" w:styleId="GDSTablefootnotes">
    <w:name w:val="GDS Table footnotes"/>
    <w:basedOn w:val="NoList"/>
    <w:rsid w:val="006C4A20"/>
    <w:pPr>
      <w:numPr>
        <w:numId w:val="7"/>
      </w:numPr>
    </w:pPr>
  </w:style>
  <w:style w:type="paragraph" w:customStyle="1" w:styleId="NoNumHead1">
    <w:name w:val="NoNum:Head1"/>
    <w:basedOn w:val="Heading1"/>
    <w:next w:val="Normal"/>
    <w:link w:val="NoNumHead1Char"/>
    <w:rsid w:val="006C4A20"/>
    <w:pPr>
      <w:spacing w:before="120" w:after="240"/>
    </w:pPr>
    <w:rPr>
      <w:rFonts w:cs="Times New Roman"/>
      <w:bCs w:val="0"/>
      <w:caps/>
      <w:kern w:val="0"/>
      <w:sz w:val="28"/>
      <w:szCs w:val="24"/>
      <w:lang w:val="en-GB" w:eastAsia="ja-JP"/>
    </w:rPr>
  </w:style>
  <w:style w:type="character" w:customStyle="1" w:styleId="NoNumHead1Char">
    <w:name w:val="NoNum:Head1 Char"/>
    <w:basedOn w:val="DefaultParagraphFont"/>
    <w:link w:val="NoNumHead1"/>
    <w:rsid w:val="006C4A20"/>
    <w:rPr>
      <w:rFonts w:ascii="Arial" w:hAnsi="Arial"/>
      <w:b/>
      <w:caps/>
      <w:sz w:val="28"/>
      <w:szCs w:val="24"/>
      <w:lang w:val="en-GB" w:eastAsia="ja-JP" w:bidi="ar-SA"/>
    </w:rPr>
  </w:style>
  <w:style w:type="paragraph" w:customStyle="1" w:styleId="listindentbull">
    <w:name w:val="list:indent bull"/>
    <w:link w:val="listindentbullChar"/>
    <w:rsid w:val="006C4A20"/>
    <w:pPr>
      <w:numPr>
        <w:numId w:val="13"/>
      </w:numPr>
      <w:spacing w:after="120"/>
    </w:pPr>
    <w:rPr>
      <w:sz w:val="24"/>
      <w:lang w:val="en-GB" w:eastAsia="ja-JP"/>
    </w:rPr>
  </w:style>
  <w:style w:type="paragraph" w:styleId="BalloonText">
    <w:name w:val="Balloon Text"/>
    <w:basedOn w:val="Normal"/>
    <w:semiHidden/>
    <w:rsid w:val="008A4FB1"/>
    <w:rPr>
      <w:rFonts w:ascii="Tahoma" w:hAnsi="Tahoma" w:cs="Tahoma"/>
      <w:sz w:val="16"/>
      <w:szCs w:val="16"/>
    </w:rPr>
  </w:style>
  <w:style w:type="paragraph" w:styleId="CommentSubject">
    <w:name w:val="annotation subject"/>
    <w:basedOn w:val="CommentText"/>
    <w:next w:val="CommentText"/>
    <w:semiHidden/>
    <w:rsid w:val="00CE314C"/>
    <w:rPr>
      <w:b/>
      <w:bCs/>
    </w:rPr>
  </w:style>
  <w:style w:type="paragraph" w:customStyle="1" w:styleId="Default">
    <w:name w:val="Default"/>
    <w:rsid w:val="005A3FB2"/>
    <w:pPr>
      <w:autoSpaceDE w:val="0"/>
      <w:autoSpaceDN w:val="0"/>
      <w:adjustRightInd w:val="0"/>
    </w:pPr>
    <w:rPr>
      <w:color w:val="000000"/>
      <w:sz w:val="24"/>
      <w:szCs w:val="24"/>
    </w:rPr>
  </w:style>
  <w:style w:type="paragraph" w:styleId="Header">
    <w:name w:val="header"/>
    <w:basedOn w:val="Normal"/>
    <w:link w:val="HeaderChar"/>
    <w:uiPriority w:val="99"/>
    <w:rsid w:val="00746095"/>
    <w:pPr>
      <w:tabs>
        <w:tab w:val="center" w:pos="4153"/>
        <w:tab w:val="right" w:pos="8306"/>
      </w:tabs>
    </w:pPr>
  </w:style>
  <w:style w:type="paragraph" w:styleId="Footer">
    <w:name w:val="footer"/>
    <w:basedOn w:val="Normal"/>
    <w:link w:val="FooterChar"/>
    <w:uiPriority w:val="99"/>
    <w:rsid w:val="00746095"/>
    <w:pPr>
      <w:tabs>
        <w:tab w:val="center" w:pos="4153"/>
        <w:tab w:val="right" w:pos="8306"/>
      </w:tabs>
    </w:pPr>
  </w:style>
  <w:style w:type="character" w:styleId="PageNumber">
    <w:name w:val="page number"/>
    <w:basedOn w:val="DefaultParagraphFont"/>
    <w:rsid w:val="00746095"/>
  </w:style>
  <w:style w:type="paragraph" w:customStyle="1" w:styleId="captionfigure">
    <w:name w:val="caption:figure"/>
    <w:basedOn w:val="Normal"/>
    <w:next w:val="Normal"/>
    <w:rsid w:val="002D3A11"/>
    <w:pPr>
      <w:keepNext/>
      <w:spacing w:after="240"/>
      <w:ind w:left="1440" w:hanging="1440"/>
    </w:pPr>
    <w:rPr>
      <w:rFonts w:ascii="Arial" w:hAnsi="Arial"/>
      <w:b/>
      <w:sz w:val="22"/>
      <w:szCs w:val="20"/>
      <w:lang w:val="en-GB" w:eastAsia="en-GB"/>
    </w:rPr>
  </w:style>
  <w:style w:type="paragraph" w:customStyle="1" w:styleId="CharChar1CharCharCharCharCharChar1CharCharCharCharCharChar">
    <w:name w:val="Char Char1 Char Char Char Char Char Char1 Char Char Char Char Char Char"/>
    <w:basedOn w:val="Normal"/>
    <w:rsid w:val="002D3A11"/>
    <w:pPr>
      <w:widowControl w:val="0"/>
      <w:adjustRightInd w:val="0"/>
      <w:spacing w:after="160" w:line="240" w:lineRule="exact"/>
      <w:jc w:val="both"/>
      <w:textAlignment w:val="baseline"/>
    </w:pPr>
    <w:rPr>
      <w:rFonts w:ascii="Verdana" w:eastAsia="SimSun" w:hAnsi="Verdana"/>
      <w:sz w:val="20"/>
      <w:szCs w:val="20"/>
      <w:lang w:val="en-US" w:eastAsia="zh-CN"/>
    </w:rPr>
  </w:style>
  <w:style w:type="paragraph" w:customStyle="1" w:styleId="tableref">
    <w:name w:val="table:ref"/>
    <w:basedOn w:val="Normal"/>
    <w:rsid w:val="00BF6E47"/>
    <w:pPr>
      <w:tabs>
        <w:tab w:val="left" w:pos="360"/>
      </w:tabs>
      <w:ind w:left="360" w:hanging="360"/>
    </w:pPr>
    <w:rPr>
      <w:rFonts w:ascii="Arial Narrow" w:hAnsi="Arial Narrow"/>
      <w:sz w:val="20"/>
      <w:szCs w:val="20"/>
      <w:lang w:val="en-GB" w:eastAsia="en-GB"/>
    </w:rPr>
  </w:style>
  <w:style w:type="character" w:customStyle="1" w:styleId="tabletextNSChar">
    <w:name w:val="table:textNS Char"/>
    <w:basedOn w:val="DefaultParagraphFont"/>
    <w:link w:val="tabletextNS"/>
    <w:rsid w:val="00BF6E47"/>
    <w:rPr>
      <w:rFonts w:ascii="Arial Narrow" w:hAnsi="Arial Narrow"/>
      <w:sz w:val="24"/>
      <w:lang w:val="en-GB" w:eastAsia="ja-JP" w:bidi="ar-SA"/>
    </w:rPr>
  </w:style>
  <w:style w:type="character" w:customStyle="1" w:styleId="listindentbullChar">
    <w:name w:val="list:indent bull Char"/>
    <w:basedOn w:val="DefaultParagraphFont"/>
    <w:link w:val="listindentbull"/>
    <w:rsid w:val="00965DC6"/>
    <w:rPr>
      <w:sz w:val="24"/>
      <w:lang w:val="en-GB" w:eastAsia="ja-JP" w:bidi="ar-SA"/>
    </w:rPr>
  </w:style>
  <w:style w:type="table" w:customStyle="1" w:styleId="GSKTableStyle">
    <w:name w:val="GSK Table Style"/>
    <w:basedOn w:val="TableGrid"/>
    <w:rsid w:val="00C3398E"/>
    <w:pPr>
      <w:tabs>
        <w:tab w:val="clear" w:pos="274"/>
        <w:tab w:val="clear" w:pos="547"/>
        <w:tab w:val="clear" w:pos="821"/>
        <w:tab w:val="clear" w:pos="1094"/>
      </w:tabs>
      <w:spacing w:after="240" w:line="240" w:lineRule="auto"/>
    </w:pPr>
    <w:rPr>
      <w:rFonts w:ascii="Arial Narrow" w:hAnsi="Arial Narrow"/>
    </w:rPr>
    <w:tblPr/>
  </w:style>
  <w:style w:type="paragraph" w:customStyle="1" w:styleId="BullHead">
    <w:name w:val="Bull Head"/>
    <w:basedOn w:val="Normal"/>
    <w:autoRedefine/>
    <w:rsid w:val="00200A87"/>
    <w:pPr>
      <w:shd w:val="clear" w:color="000000" w:fill="FFFFFF"/>
      <w:tabs>
        <w:tab w:val="left" w:pos="562"/>
      </w:tabs>
      <w:spacing w:before="240" w:after="120" w:line="300" w:lineRule="atLeast"/>
      <w:jc w:val="both"/>
    </w:pPr>
    <w:rPr>
      <w:rFonts w:ascii="Arial" w:hAnsi="Arial" w:cs="Arial"/>
      <w:b/>
      <w:i/>
      <w:color w:val="000000"/>
      <w:sz w:val="22"/>
      <w:szCs w:val="22"/>
      <w:lang w:val="en-GB" w:eastAsia="en-US"/>
    </w:rPr>
  </w:style>
  <w:style w:type="paragraph" w:customStyle="1" w:styleId="BridgeheadGDS">
    <w:name w:val="Bridgehead GDS"/>
    <w:basedOn w:val="Normal"/>
    <w:autoRedefine/>
    <w:rsid w:val="00957543"/>
    <w:pPr>
      <w:keepNext/>
      <w:spacing w:after="240" w:line="300" w:lineRule="atLeast"/>
      <w:jc w:val="both"/>
      <w:outlineLvl w:val="0"/>
    </w:pPr>
    <w:rPr>
      <w:rFonts w:ascii="Arial" w:hAnsi="Arial" w:cs="Arial"/>
      <w:b/>
      <w:i/>
      <w:sz w:val="22"/>
      <w:szCs w:val="22"/>
      <w:lang w:val="en-GB" w:eastAsia="en-US"/>
    </w:rPr>
  </w:style>
  <w:style w:type="paragraph" w:customStyle="1" w:styleId="TableCell">
    <w:name w:val="TableCell"/>
    <w:basedOn w:val="Normal"/>
    <w:rsid w:val="0018077E"/>
    <w:rPr>
      <w:szCs w:val="20"/>
      <w:lang w:val="en-GB" w:eastAsia="en-US"/>
    </w:rPr>
  </w:style>
  <w:style w:type="character" w:styleId="Hyperlink">
    <w:name w:val="Hyperlink"/>
    <w:basedOn w:val="DefaultParagraphFont"/>
    <w:rsid w:val="008F7050"/>
    <w:rPr>
      <w:color w:val="0000FF"/>
      <w:u w:val="single"/>
    </w:rPr>
  </w:style>
  <w:style w:type="paragraph" w:styleId="Caption">
    <w:name w:val="caption"/>
    <w:basedOn w:val="Normal"/>
    <w:next w:val="Normal"/>
    <w:link w:val="CaptionChar"/>
    <w:qFormat/>
    <w:rsid w:val="006A22C7"/>
    <w:pPr>
      <w:spacing w:before="120" w:after="120"/>
    </w:pPr>
    <w:rPr>
      <w:b/>
      <w:lang w:val="en-GB" w:eastAsia="en-GB"/>
    </w:rPr>
  </w:style>
  <w:style w:type="character" w:customStyle="1" w:styleId="CaptionChar">
    <w:name w:val="Caption Char"/>
    <w:basedOn w:val="DefaultParagraphFont"/>
    <w:link w:val="Caption"/>
    <w:rsid w:val="006A22C7"/>
    <w:rPr>
      <w:b/>
      <w:sz w:val="24"/>
      <w:szCs w:val="24"/>
      <w:lang w:val="en-GB" w:eastAsia="en-GB" w:bidi="ar-SA"/>
    </w:rPr>
  </w:style>
  <w:style w:type="paragraph" w:customStyle="1" w:styleId="LBLLevel2">
    <w:name w:val="LBLLevel 2"/>
    <w:basedOn w:val="Normal"/>
    <w:next w:val="Normal"/>
    <w:link w:val="LBLLevel2Char"/>
    <w:rsid w:val="007A5360"/>
    <w:pPr>
      <w:tabs>
        <w:tab w:val="left" w:pos="720"/>
        <w:tab w:val="left" w:pos="990"/>
        <w:tab w:val="left" w:pos="1260"/>
      </w:tabs>
      <w:spacing w:line="320" w:lineRule="atLeast"/>
    </w:pPr>
    <w:rPr>
      <w:rFonts w:ascii="Arial" w:hAnsi="Arial"/>
      <w:b/>
      <w:lang w:val="en-US" w:eastAsia="en-US"/>
    </w:rPr>
  </w:style>
  <w:style w:type="character" w:customStyle="1" w:styleId="LBLLevel2Char">
    <w:name w:val="LBLLevel 2 Char"/>
    <w:basedOn w:val="DefaultParagraphFont"/>
    <w:link w:val="LBLLevel2"/>
    <w:rsid w:val="007A5360"/>
    <w:rPr>
      <w:rFonts w:ascii="Arial" w:hAnsi="Arial"/>
      <w:b/>
      <w:sz w:val="24"/>
      <w:szCs w:val="24"/>
      <w:lang w:val="en-US" w:eastAsia="en-US" w:bidi="ar-SA"/>
    </w:rPr>
  </w:style>
  <w:style w:type="paragraph" w:customStyle="1" w:styleId="listbull">
    <w:name w:val="list:bull"/>
    <w:basedOn w:val="listalpha"/>
    <w:rsid w:val="00886762"/>
    <w:pPr>
      <w:numPr>
        <w:numId w:val="22"/>
      </w:numPr>
    </w:pPr>
    <w:rPr>
      <w:lang w:eastAsia="en-GB"/>
    </w:rPr>
  </w:style>
  <w:style w:type="paragraph" w:customStyle="1" w:styleId="tablerefalpha">
    <w:name w:val="table:ref (alpha)"/>
    <w:basedOn w:val="Normal"/>
    <w:link w:val="tablerefalphaChar"/>
    <w:rsid w:val="0042465B"/>
    <w:pPr>
      <w:numPr>
        <w:numId w:val="23"/>
      </w:numPr>
    </w:pPr>
    <w:rPr>
      <w:rFonts w:ascii="Arial Narrow" w:hAnsi="Arial Narrow" w:cs="Arial Narrow"/>
      <w:lang w:val="en-GB" w:eastAsia="en-US"/>
    </w:rPr>
  </w:style>
  <w:style w:type="character" w:customStyle="1" w:styleId="tablerefalphaChar">
    <w:name w:val="table:ref (alpha) Char"/>
    <w:basedOn w:val="DefaultParagraphFont"/>
    <w:link w:val="tablerefalpha"/>
    <w:rsid w:val="0042465B"/>
    <w:rPr>
      <w:rFonts w:ascii="Arial Narrow" w:hAnsi="Arial Narrow" w:cs="Arial Narrow"/>
      <w:sz w:val="24"/>
      <w:szCs w:val="24"/>
      <w:lang w:val="en-GB" w:eastAsia="en-US" w:bidi="ar-SA"/>
    </w:rPr>
  </w:style>
  <w:style w:type="paragraph" w:customStyle="1" w:styleId="Text">
    <w:name w:val="Text"/>
    <w:basedOn w:val="Normal"/>
    <w:rsid w:val="00E6622A"/>
    <w:pPr>
      <w:spacing w:line="312" w:lineRule="exact"/>
    </w:pPr>
    <w:rPr>
      <w:rFonts w:ascii="Arial" w:hAnsi="Arial"/>
      <w:szCs w:val="20"/>
      <w:lang w:val="en-GB"/>
    </w:rPr>
  </w:style>
  <w:style w:type="paragraph" w:styleId="Title">
    <w:name w:val="Title"/>
    <w:basedOn w:val="Normal"/>
    <w:qFormat/>
    <w:rsid w:val="00E6622A"/>
    <w:pPr>
      <w:pBdr>
        <w:top w:val="single" w:sz="18" w:space="1" w:color="FF0000"/>
        <w:bottom w:val="single" w:sz="18" w:space="1" w:color="FF0000"/>
      </w:pBdr>
      <w:jc w:val="center"/>
    </w:pPr>
    <w:rPr>
      <w:rFonts w:ascii="Arial" w:hAnsi="Arial"/>
      <w:b/>
      <w:i/>
      <w:color w:val="FF0000"/>
      <w:sz w:val="36"/>
      <w:szCs w:val="20"/>
      <w:lang w:val="en-GB"/>
    </w:rPr>
  </w:style>
  <w:style w:type="paragraph" w:styleId="ListParagraph">
    <w:name w:val="List Paragraph"/>
    <w:basedOn w:val="Normal"/>
    <w:uiPriority w:val="34"/>
    <w:qFormat/>
    <w:rsid w:val="00620897"/>
    <w:pPr>
      <w:spacing w:line="320" w:lineRule="atLeast"/>
      <w:ind w:left="720"/>
    </w:pPr>
    <w:rPr>
      <w:rFonts w:eastAsia="Calibri"/>
      <w:lang w:val="en-GB" w:eastAsia="en-GB"/>
    </w:rPr>
  </w:style>
  <w:style w:type="character" w:customStyle="1" w:styleId="CSI">
    <w:name w:val="CSI"/>
    <w:basedOn w:val="DefaultParagraphFont"/>
    <w:uiPriority w:val="1"/>
    <w:qFormat/>
    <w:rsid w:val="00156E94"/>
    <w:rPr>
      <w:bdr w:val="none" w:sz="0" w:space="0" w:color="auto"/>
      <w:shd w:val="clear" w:color="auto" w:fill="BFBFBF"/>
    </w:rPr>
  </w:style>
  <w:style w:type="character" w:customStyle="1" w:styleId="captiontableChar">
    <w:name w:val="caption:table Char"/>
    <w:basedOn w:val="DefaultParagraphFont"/>
    <w:link w:val="captiontable"/>
    <w:rsid w:val="00393D88"/>
    <w:rPr>
      <w:rFonts w:ascii="Arial" w:hAnsi="Arial"/>
      <w:b/>
      <w:sz w:val="22"/>
      <w:lang w:val="en-GB" w:eastAsia="ja-JP"/>
    </w:rPr>
  </w:style>
  <w:style w:type="paragraph" w:customStyle="1" w:styleId="tabletext">
    <w:name w:val="table:text"/>
    <w:basedOn w:val="Normal"/>
    <w:rsid w:val="00C21313"/>
    <w:pPr>
      <w:spacing w:before="120" w:after="120"/>
    </w:pPr>
    <w:rPr>
      <w:rFonts w:ascii="Arial Narrow" w:hAnsi="Arial Narrow"/>
      <w:szCs w:val="20"/>
      <w:lang w:val="en-GB" w:eastAsia="en-GB"/>
    </w:rPr>
  </w:style>
  <w:style w:type="paragraph" w:styleId="Revision">
    <w:name w:val="Revision"/>
    <w:hidden/>
    <w:uiPriority w:val="99"/>
    <w:semiHidden/>
    <w:rsid w:val="00830F8A"/>
    <w:rPr>
      <w:sz w:val="24"/>
      <w:szCs w:val="24"/>
    </w:rPr>
  </w:style>
  <w:style w:type="character" w:styleId="FollowedHyperlink">
    <w:name w:val="FollowedHyperlink"/>
    <w:basedOn w:val="DefaultParagraphFont"/>
    <w:uiPriority w:val="99"/>
    <w:semiHidden/>
    <w:unhideWhenUsed/>
    <w:rsid w:val="008535A1"/>
    <w:rPr>
      <w:color w:val="800080" w:themeColor="followedHyperlink"/>
      <w:u w:val="single"/>
    </w:rPr>
  </w:style>
  <w:style w:type="character" w:customStyle="1" w:styleId="CommentTextChar">
    <w:name w:val="Comment Text Char"/>
    <w:basedOn w:val="DefaultParagraphFont"/>
    <w:link w:val="CommentText"/>
    <w:rsid w:val="0001408C"/>
  </w:style>
  <w:style w:type="character" w:customStyle="1" w:styleId="HeaderChar">
    <w:name w:val="Header Char"/>
    <w:basedOn w:val="DefaultParagraphFont"/>
    <w:link w:val="Header"/>
    <w:uiPriority w:val="99"/>
    <w:rsid w:val="008562CA"/>
    <w:rPr>
      <w:sz w:val="24"/>
      <w:szCs w:val="24"/>
    </w:rPr>
  </w:style>
  <w:style w:type="paragraph" w:customStyle="1" w:styleId="inst">
    <w:name w:val="inst"/>
    <w:basedOn w:val="Normal"/>
    <w:rsid w:val="00BD5AA0"/>
    <w:pPr>
      <w:spacing w:before="20" w:after="80" w:line="260" w:lineRule="exact"/>
    </w:pPr>
    <w:rPr>
      <w:b/>
      <w:bCs/>
      <w:sz w:val="20"/>
      <w:szCs w:val="20"/>
    </w:rPr>
  </w:style>
  <w:style w:type="character" w:customStyle="1" w:styleId="FooterChar">
    <w:name w:val="Footer Char"/>
    <w:basedOn w:val="DefaultParagraphFont"/>
    <w:link w:val="Footer"/>
    <w:uiPriority w:val="99"/>
    <w:rsid w:val="005E2608"/>
    <w:rPr>
      <w:sz w:val="24"/>
      <w:szCs w:val="24"/>
    </w:rPr>
  </w:style>
  <w:style w:type="character" w:styleId="PlaceholderText">
    <w:name w:val="Placeholder Text"/>
    <w:basedOn w:val="DefaultParagraphFont"/>
    <w:uiPriority w:val="99"/>
    <w:semiHidden/>
    <w:rsid w:val="008F0F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20"/>
    <w:rPr>
      <w:sz w:val="24"/>
      <w:szCs w:val="24"/>
    </w:rPr>
  </w:style>
  <w:style w:type="paragraph" w:styleId="Heading1">
    <w:name w:val="heading 1"/>
    <w:basedOn w:val="Normal"/>
    <w:next w:val="Normal"/>
    <w:qFormat/>
    <w:rsid w:val="006C4A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6622A"/>
    <w:pPr>
      <w:keepNext/>
      <w:spacing w:line="360" w:lineRule="atLeast"/>
      <w:jc w:val="both"/>
      <w:outlineLvl w:val="1"/>
    </w:pPr>
    <w:rPr>
      <w:b/>
      <w:szCs w:val="20"/>
      <w:u w:val="single"/>
    </w:rPr>
  </w:style>
  <w:style w:type="paragraph" w:styleId="Heading5">
    <w:name w:val="heading 5"/>
    <w:basedOn w:val="Normal"/>
    <w:next w:val="Normal"/>
    <w:qFormat/>
    <w:rsid w:val="00E6622A"/>
    <w:pPr>
      <w:keepNext/>
      <w:spacing w:before="40" w:after="40"/>
      <w:jc w:val="both"/>
      <w:outlineLvl w:val="4"/>
    </w:pPr>
    <w:rPr>
      <w:b/>
      <w:vanis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arCarChar">
    <w:name w:val="Char1 Char Char Car Car Char"/>
    <w:basedOn w:val="Normal"/>
    <w:rsid w:val="006C4A20"/>
    <w:pPr>
      <w:spacing w:after="160" w:line="240" w:lineRule="exact"/>
    </w:pPr>
    <w:rPr>
      <w:lang w:val="en-US" w:eastAsia="en-US"/>
    </w:rPr>
  </w:style>
  <w:style w:type="character" w:customStyle="1" w:styleId="CSIchar">
    <w:name w:val="CSIchar"/>
    <w:basedOn w:val="DefaultParagraphFont"/>
    <w:rsid w:val="006C4A20"/>
    <w:rPr>
      <w:bdr w:val="none" w:sz="0" w:space="0" w:color="auto"/>
      <w:shd w:val="clear" w:color="auto" w:fill="CCCCCC"/>
    </w:rPr>
  </w:style>
  <w:style w:type="paragraph" w:customStyle="1" w:styleId="NoNumHead2">
    <w:name w:val="NoNum:Head2"/>
    <w:basedOn w:val="Normal"/>
    <w:next w:val="Normal"/>
    <w:link w:val="NoNumHead2Char"/>
    <w:rsid w:val="006C4A20"/>
    <w:pPr>
      <w:keepNext/>
      <w:spacing w:before="120" w:after="240"/>
      <w:outlineLvl w:val="0"/>
    </w:pPr>
    <w:rPr>
      <w:rFonts w:ascii="Arial" w:hAnsi="Arial"/>
      <w:b/>
      <w:caps/>
      <w:sz w:val="26"/>
      <w:szCs w:val="26"/>
      <w:lang w:val="en-GB" w:eastAsia="ja-JP"/>
    </w:rPr>
  </w:style>
  <w:style w:type="character" w:customStyle="1" w:styleId="NoNumHead2Char">
    <w:name w:val="NoNum:Head2 Char"/>
    <w:basedOn w:val="DefaultParagraphFont"/>
    <w:link w:val="NoNumHead2"/>
    <w:rsid w:val="006C4A20"/>
    <w:rPr>
      <w:rFonts w:ascii="Arial" w:hAnsi="Arial"/>
      <w:b/>
      <w:caps/>
      <w:sz w:val="26"/>
      <w:szCs w:val="26"/>
      <w:lang w:val="en-GB" w:eastAsia="ja-JP" w:bidi="ar-SA"/>
    </w:rPr>
  </w:style>
  <w:style w:type="character" w:styleId="CommentReference">
    <w:name w:val="annotation reference"/>
    <w:basedOn w:val="DefaultParagraphFont"/>
    <w:rsid w:val="006C4A20"/>
    <w:rPr>
      <w:rFonts w:ascii="Arial" w:hAnsi="Arial"/>
      <w:vanish/>
      <w:color w:val="FF0000"/>
      <w:sz w:val="16"/>
    </w:rPr>
  </w:style>
  <w:style w:type="paragraph" w:customStyle="1" w:styleId="NoNumHead4">
    <w:name w:val="NoNum:Head4"/>
    <w:basedOn w:val="Normal"/>
    <w:next w:val="Normal"/>
    <w:rsid w:val="006C4A20"/>
    <w:pPr>
      <w:keepNext/>
      <w:spacing w:before="120" w:after="240"/>
      <w:outlineLvl w:val="0"/>
    </w:pPr>
    <w:rPr>
      <w:rFonts w:ascii="Arial" w:hAnsi="Arial"/>
      <w:b/>
      <w:sz w:val="22"/>
      <w:szCs w:val="22"/>
      <w:lang w:val="en-GB" w:eastAsia="ja-JP"/>
    </w:rPr>
  </w:style>
  <w:style w:type="paragraph" w:customStyle="1" w:styleId="NoNumHead3">
    <w:name w:val="NoNum:Head3"/>
    <w:basedOn w:val="Normal"/>
    <w:next w:val="Normal"/>
    <w:link w:val="NoNumHead3Char"/>
    <w:rsid w:val="006C4A20"/>
    <w:pPr>
      <w:keepNext/>
      <w:spacing w:before="120" w:after="240"/>
      <w:outlineLvl w:val="0"/>
    </w:pPr>
    <w:rPr>
      <w:rFonts w:ascii="Arial" w:hAnsi="Arial"/>
      <w:b/>
      <w:lang w:val="en-GB" w:eastAsia="ja-JP"/>
    </w:rPr>
  </w:style>
  <w:style w:type="character" w:customStyle="1" w:styleId="NoNumHead3Char">
    <w:name w:val="NoNum:Head3 Char"/>
    <w:basedOn w:val="DefaultParagraphFont"/>
    <w:link w:val="NoNumHead3"/>
    <w:rsid w:val="006C4A20"/>
    <w:rPr>
      <w:rFonts w:ascii="Arial" w:hAnsi="Arial"/>
      <w:b/>
      <w:sz w:val="24"/>
      <w:szCs w:val="24"/>
      <w:lang w:val="en-GB" w:eastAsia="ja-JP" w:bidi="ar-SA"/>
    </w:rPr>
  </w:style>
  <w:style w:type="paragraph" w:customStyle="1" w:styleId="NoNumHead5">
    <w:name w:val="NoNum:Head5"/>
    <w:basedOn w:val="NoNumHead4"/>
    <w:next w:val="Normal"/>
    <w:rsid w:val="006C4A20"/>
    <w:pPr>
      <w:spacing w:before="0"/>
    </w:pPr>
    <w:rPr>
      <w:i/>
    </w:rPr>
  </w:style>
  <w:style w:type="paragraph" w:customStyle="1" w:styleId="NoNumHead6GDS">
    <w:name w:val="NoNum:Head6 GDS"/>
    <w:basedOn w:val="Normal"/>
    <w:rsid w:val="006C4A20"/>
    <w:pPr>
      <w:keepNext/>
      <w:spacing w:after="240"/>
      <w:outlineLvl w:val="0"/>
    </w:pPr>
    <w:rPr>
      <w:b/>
      <w:i/>
      <w:szCs w:val="20"/>
      <w:lang w:val="en-GB" w:eastAsia="ja-JP"/>
    </w:rPr>
  </w:style>
  <w:style w:type="paragraph" w:customStyle="1" w:styleId="LBLListStyle1">
    <w:name w:val="LBL ListStyle 1"/>
    <w:basedOn w:val="Normal"/>
    <w:rsid w:val="006C4A20"/>
    <w:pPr>
      <w:numPr>
        <w:numId w:val="1"/>
      </w:numPr>
      <w:tabs>
        <w:tab w:val="left" w:pos="720"/>
        <w:tab w:val="left" w:pos="994"/>
      </w:tabs>
      <w:spacing w:line="320" w:lineRule="atLeast"/>
    </w:pPr>
    <w:rPr>
      <w:szCs w:val="20"/>
      <w:lang w:val="en-US" w:eastAsia="en-US"/>
    </w:rPr>
  </w:style>
  <w:style w:type="paragraph" w:styleId="CommentText">
    <w:name w:val="annotation text"/>
    <w:basedOn w:val="Normal"/>
    <w:link w:val="CommentTextChar"/>
    <w:rsid w:val="006C4A20"/>
    <w:rPr>
      <w:sz w:val="20"/>
      <w:szCs w:val="20"/>
    </w:rPr>
  </w:style>
  <w:style w:type="table" w:styleId="TableGrid">
    <w:name w:val="Table Grid"/>
    <w:basedOn w:val="TableNormal"/>
    <w:uiPriority w:val="59"/>
    <w:rsid w:val="006C4A20"/>
    <w:pPr>
      <w:tabs>
        <w:tab w:val="left" w:pos="274"/>
        <w:tab w:val="left" w:pos="547"/>
        <w:tab w:val="left" w:pos="821"/>
        <w:tab w:val="left" w:pos="1094"/>
      </w:tabs>
      <w:spacing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table"/>
    <w:basedOn w:val="Normal"/>
    <w:next w:val="Normal"/>
    <w:link w:val="captiontableChar"/>
    <w:rsid w:val="006C4A20"/>
    <w:pPr>
      <w:keepNext/>
      <w:spacing w:after="240"/>
      <w:ind w:left="1440" w:hanging="1440"/>
    </w:pPr>
    <w:rPr>
      <w:rFonts w:ascii="Arial" w:hAnsi="Arial"/>
      <w:b/>
      <w:sz w:val="22"/>
      <w:szCs w:val="20"/>
      <w:lang w:val="en-GB" w:eastAsia="ja-JP"/>
    </w:rPr>
  </w:style>
  <w:style w:type="paragraph" w:customStyle="1" w:styleId="listalpha">
    <w:name w:val="list:alpha"/>
    <w:basedOn w:val="Normal"/>
    <w:rsid w:val="006C4A20"/>
    <w:pPr>
      <w:spacing w:after="120"/>
      <w:ind w:left="432" w:hanging="432"/>
    </w:pPr>
    <w:rPr>
      <w:szCs w:val="20"/>
      <w:lang w:val="en-GB" w:eastAsia="ja-JP"/>
    </w:rPr>
  </w:style>
  <w:style w:type="paragraph" w:customStyle="1" w:styleId="tabletextNS">
    <w:name w:val="table:textNS"/>
    <w:basedOn w:val="Normal"/>
    <w:link w:val="tabletextNSChar"/>
    <w:rsid w:val="006C4A20"/>
    <w:rPr>
      <w:rFonts w:ascii="Arial Narrow" w:hAnsi="Arial Narrow"/>
      <w:szCs w:val="20"/>
      <w:lang w:val="en-GB" w:eastAsia="ja-JP"/>
    </w:rPr>
  </w:style>
  <w:style w:type="character" w:customStyle="1" w:styleId="LBLLevel3">
    <w:name w:val="LBLLevel 3"/>
    <w:basedOn w:val="DefaultParagraphFont"/>
    <w:rsid w:val="006C4A20"/>
    <w:rPr>
      <w:rFonts w:ascii="Arial" w:hAnsi="Arial"/>
      <w:u w:val="single"/>
    </w:rPr>
  </w:style>
  <w:style w:type="character" w:customStyle="1" w:styleId="LBLLevel4">
    <w:name w:val="LBLLevel 4"/>
    <w:rsid w:val="006C4A20"/>
    <w:rPr>
      <w:rFonts w:ascii="Arial" w:hAnsi="Arial" w:cs="Arial"/>
      <w:i/>
    </w:rPr>
  </w:style>
  <w:style w:type="character" w:customStyle="1" w:styleId="LBLTableFootnotesChar">
    <w:name w:val="LBL Table Footnotes Char"/>
    <w:basedOn w:val="DefaultParagraphFont"/>
    <w:link w:val="LBLTableFootnotes"/>
    <w:rsid w:val="006C4A20"/>
    <w:rPr>
      <w:sz w:val="24"/>
      <w:szCs w:val="24"/>
      <w:lang w:val="en-GB" w:eastAsia="en-US" w:bidi="ar-SA"/>
    </w:rPr>
  </w:style>
  <w:style w:type="paragraph" w:customStyle="1" w:styleId="LBLTableFootnotes">
    <w:name w:val="LBL Table Footnotes"/>
    <w:basedOn w:val="Normal"/>
    <w:link w:val="LBLTableFootnotesChar"/>
    <w:rsid w:val="006C4A20"/>
    <w:pPr>
      <w:keepNext/>
      <w:keepLines/>
      <w:tabs>
        <w:tab w:val="left" w:pos="720"/>
        <w:tab w:val="left" w:pos="994"/>
      </w:tabs>
      <w:spacing w:line="320" w:lineRule="atLeast"/>
    </w:pPr>
    <w:rPr>
      <w:lang w:val="en-GB" w:eastAsia="en-US"/>
    </w:rPr>
  </w:style>
  <w:style w:type="paragraph" w:customStyle="1" w:styleId="LBLBulletStyle1">
    <w:name w:val="LBL BulletStyle 1"/>
    <w:basedOn w:val="Normal"/>
    <w:rsid w:val="006C4A20"/>
    <w:pPr>
      <w:numPr>
        <w:numId w:val="6"/>
      </w:numPr>
      <w:tabs>
        <w:tab w:val="left" w:pos="720"/>
        <w:tab w:val="left" w:pos="994"/>
      </w:tabs>
      <w:spacing w:line="320" w:lineRule="atLeast"/>
    </w:pPr>
    <w:rPr>
      <w:szCs w:val="20"/>
      <w:lang w:val="en-GB" w:eastAsia="en-US"/>
    </w:rPr>
  </w:style>
  <w:style w:type="numbering" w:customStyle="1" w:styleId="GDSTablefootnotes">
    <w:name w:val="GDS Table footnotes"/>
    <w:basedOn w:val="NoList"/>
    <w:rsid w:val="006C4A20"/>
    <w:pPr>
      <w:numPr>
        <w:numId w:val="7"/>
      </w:numPr>
    </w:pPr>
  </w:style>
  <w:style w:type="paragraph" w:customStyle="1" w:styleId="NoNumHead1">
    <w:name w:val="NoNum:Head1"/>
    <w:basedOn w:val="Heading1"/>
    <w:next w:val="Normal"/>
    <w:link w:val="NoNumHead1Char"/>
    <w:rsid w:val="006C4A20"/>
    <w:pPr>
      <w:spacing w:before="120" w:after="240"/>
    </w:pPr>
    <w:rPr>
      <w:rFonts w:cs="Times New Roman"/>
      <w:bCs w:val="0"/>
      <w:caps/>
      <w:kern w:val="0"/>
      <w:sz w:val="28"/>
      <w:szCs w:val="24"/>
      <w:lang w:val="en-GB" w:eastAsia="ja-JP"/>
    </w:rPr>
  </w:style>
  <w:style w:type="character" w:customStyle="1" w:styleId="NoNumHead1Char">
    <w:name w:val="NoNum:Head1 Char"/>
    <w:basedOn w:val="DefaultParagraphFont"/>
    <w:link w:val="NoNumHead1"/>
    <w:rsid w:val="006C4A20"/>
    <w:rPr>
      <w:rFonts w:ascii="Arial" w:hAnsi="Arial"/>
      <w:b/>
      <w:caps/>
      <w:sz w:val="28"/>
      <w:szCs w:val="24"/>
      <w:lang w:val="en-GB" w:eastAsia="ja-JP" w:bidi="ar-SA"/>
    </w:rPr>
  </w:style>
  <w:style w:type="paragraph" w:customStyle="1" w:styleId="listindentbull">
    <w:name w:val="list:indent bull"/>
    <w:link w:val="listindentbullChar"/>
    <w:rsid w:val="006C4A20"/>
    <w:pPr>
      <w:numPr>
        <w:numId w:val="13"/>
      </w:numPr>
      <w:spacing w:after="120"/>
    </w:pPr>
    <w:rPr>
      <w:sz w:val="24"/>
      <w:lang w:val="en-GB" w:eastAsia="ja-JP"/>
    </w:rPr>
  </w:style>
  <w:style w:type="paragraph" w:styleId="BalloonText">
    <w:name w:val="Balloon Text"/>
    <w:basedOn w:val="Normal"/>
    <w:semiHidden/>
    <w:rsid w:val="008A4FB1"/>
    <w:rPr>
      <w:rFonts w:ascii="Tahoma" w:hAnsi="Tahoma" w:cs="Tahoma"/>
      <w:sz w:val="16"/>
      <w:szCs w:val="16"/>
    </w:rPr>
  </w:style>
  <w:style w:type="paragraph" w:styleId="CommentSubject">
    <w:name w:val="annotation subject"/>
    <w:basedOn w:val="CommentText"/>
    <w:next w:val="CommentText"/>
    <w:semiHidden/>
    <w:rsid w:val="00CE314C"/>
    <w:rPr>
      <w:b/>
      <w:bCs/>
    </w:rPr>
  </w:style>
  <w:style w:type="paragraph" w:customStyle="1" w:styleId="Default">
    <w:name w:val="Default"/>
    <w:rsid w:val="005A3FB2"/>
    <w:pPr>
      <w:autoSpaceDE w:val="0"/>
      <w:autoSpaceDN w:val="0"/>
      <w:adjustRightInd w:val="0"/>
    </w:pPr>
    <w:rPr>
      <w:color w:val="000000"/>
      <w:sz w:val="24"/>
      <w:szCs w:val="24"/>
    </w:rPr>
  </w:style>
  <w:style w:type="paragraph" w:styleId="Header">
    <w:name w:val="header"/>
    <w:basedOn w:val="Normal"/>
    <w:link w:val="HeaderChar"/>
    <w:uiPriority w:val="99"/>
    <w:rsid w:val="00746095"/>
    <w:pPr>
      <w:tabs>
        <w:tab w:val="center" w:pos="4153"/>
        <w:tab w:val="right" w:pos="8306"/>
      </w:tabs>
    </w:pPr>
  </w:style>
  <w:style w:type="paragraph" w:styleId="Footer">
    <w:name w:val="footer"/>
    <w:basedOn w:val="Normal"/>
    <w:link w:val="FooterChar"/>
    <w:uiPriority w:val="99"/>
    <w:rsid w:val="00746095"/>
    <w:pPr>
      <w:tabs>
        <w:tab w:val="center" w:pos="4153"/>
        <w:tab w:val="right" w:pos="8306"/>
      </w:tabs>
    </w:pPr>
  </w:style>
  <w:style w:type="character" w:styleId="PageNumber">
    <w:name w:val="page number"/>
    <w:basedOn w:val="DefaultParagraphFont"/>
    <w:rsid w:val="00746095"/>
  </w:style>
  <w:style w:type="paragraph" w:customStyle="1" w:styleId="captionfigure">
    <w:name w:val="caption:figure"/>
    <w:basedOn w:val="Normal"/>
    <w:next w:val="Normal"/>
    <w:rsid w:val="002D3A11"/>
    <w:pPr>
      <w:keepNext/>
      <w:spacing w:after="240"/>
      <w:ind w:left="1440" w:hanging="1440"/>
    </w:pPr>
    <w:rPr>
      <w:rFonts w:ascii="Arial" w:hAnsi="Arial"/>
      <w:b/>
      <w:sz w:val="22"/>
      <w:szCs w:val="20"/>
      <w:lang w:val="en-GB" w:eastAsia="en-GB"/>
    </w:rPr>
  </w:style>
  <w:style w:type="paragraph" w:customStyle="1" w:styleId="CharChar1CharCharCharCharCharChar1CharCharCharCharCharChar">
    <w:name w:val="Char Char1 Char Char Char Char Char Char1 Char Char Char Char Char Char"/>
    <w:basedOn w:val="Normal"/>
    <w:rsid w:val="002D3A11"/>
    <w:pPr>
      <w:widowControl w:val="0"/>
      <w:adjustRightInd w:val="0"/>
      <w:spacing w:after="160" w:line="240" w:lineRule="exact"/>
      <w:jc w:val="both"/>
      <w:textAlignment w:val="baseline"/>
    </w:pPr>
    <w:rPr>
      <w:rFonts w:ascii="Verdana" w:eastAsia="SimSun" w:hAnsi="Verdana"/>
      <w:sz w:val="20"/>
      <w:szCs w:val="20"/>
      <w:lang w:val="en-US" w:eastAsia="zh-CN"/>
    </w:rPr>
  </w:style>
  <w:style w:type="paragraph" w:customStyle="1" w:styleId="tableref">
    <w:name w:val="table:ref"/>
    <w:basedOn w:val="Normal"/>
    <w:rsid w:val="00BF6E47"/>
    <w:pPr>
      <w:tabs>
        <w:tab w:val="left" w:pos="360"/>
      </w:tabs>
      <w:ind w:left="360" w:hanging="360"/>
    </w:pPr>
    <w:rPr>
      <w:rFonts w:ascii="Arial Narrow" w:hAnsi="Arial Narrow"/>
      <w:sz w:val="20"/>
      <w:szCs w:val="20"/>
      <w:lang w:val="en-GB" w:eastAsia="en-GB"/>
    </w:rPr>
  </w:style>
  <w:style w:type="character" w:customStyle="1" w:styleId="tabletextNSChar">
    <w:name w:val="table:textNS Char"/>
    <w:basedOn w:val="DefaultParagraphFont"/>
    <w:link w:val="tabletextNS"/>
    <w:rsid w:val="00BF6E47"/>
    <w:rPr>
      <w:rFonts w:ascii="Arial Narrow" w:hAnsi="Arial Narrow"/>
      <w:sz w:val="24"/>
      <w:lang w:val="en-GB" w:eastAsia="ja-JP" w:bidi="ar-SA"/>
    </w:rPr>
  </w:style>
  <w:style w:type="character" w:customStyle="1" w:styleId="listindentbullChar">
    <w:name w:val="list:indent bull Char"/>
    <w:basedOn w:val="DefaultParagraphFont"/>
    <w:link w:val="listindentbull"/>
    <w:rsid w:val="00965DC6"/>
    <w:rPr>
      <w:sz w:val="24"/>
      <w:lang w:val="en-GB" w:eastAsia="ja-JP" w:bidi="ar-SA"/>
    </w:rPr>
  </w:style>
  <w:style w:type="table" w:customStyle="1" w:styleId="GSKTableStyle">
    <w:name w:val="GSK Table Style"/>
    <w:basedOn w:val="TableGrid"/>
    <w:rsid w:val="00C3398E"/>
    <w:pPr>
      <w:tabs>
        <w:tab w:val="clear" w:pos="274"/>
        <w:tab w:val="clear" w:pos="547"/>
        <w:tab w:val="clear" w:pos="821"/>
        <w:tab w:val="clear" w:pos="1094"/>
      </w:tabs>
      <w:spacing w:after="240" w:line="240" w:lineRule="auto"/>
    </w:pPr>
    <w:rPr>
      <w:rFonts w:ascii="Arial Narrow" w:hAnsi="Arial Narrow"/>
    </w:rPr>
    <w:tblPr/>
  </w:style>
  <w:style w:type="paragraph" w:customStyle="1" w:styleId="BullHead">
    <w:name w:val="Bull Head"/>
    <w:basedOn w:val="Normal"/>
    <w:autoRedefine/>
    <w:rsid w:val="00200A87"/>
    <w:pPr>
      <w:shd w:val="clear" w:color="000000" w:fill="FFFFFF"/>
      <w:tabs>
        <w:tab w:val="left" w:pos="562"/>
      </w:tabs>
      <w:spacing w:before="240" w:after="120" w:line="300" w:lineRule="atLeast"/>
      <w:jc w:val="both"/>
    </w:pPr>
    <w:rPr>
      <w:rFonts w:ascii="Arial" w:hAnsi="Arial" w:cs="Arial"/>
      <w:b/>
      <w:i/>
      <w:color w:val="000000"/>
      <w:sz w:val="22"/>
      <w:szCs w:val="22"/>
      <w:lang w:val="en-GB" w:eastAsia="en-US"/>
    </w:rPr>
  </w:style>
  <w:style w:type="paragraph" w:customStyle="1" w:styleId="BridgeheadGDS">
    <w:name w:val="Bridgehead GDS"/>
    <w:basedOn w:val="Normal"/>
    <w:autoRedefine/>
    <w:rsid w:val="00957543"/>
    <w:pPr>
      <w:keepNext/>
      <w:spacing w:after="240" w:line="300" w:lineRule="atLeast"/>
      <w:jc w:val="both"/>
      <w:outlineLvl w:val="0"/>
    </w:pPr>
    <w:rPr>
      <w:rFonts w:ascii="Arial" w:hAnsi="Arial" w:cs="Arial"/>
      <w:b/>
      <w:i/>
      <w:sz w:val="22"/>
      <w:szCs w:val="22"/>
      <w:lang w:val="en-GB" w:eastAsia="en-US"/>
    </w:rPr>
  </w:style>
  <w:style w:type="paragraph" w:customStyle="1" w:styleId="TableCell">
    <w:name w:val="TableCell"/>
    <w:basedOn w:val="Normal"/>
    <w:rsid w:val="0018077E"/>
    <w:rPr>
      <w:szCs w:val="20"/>
      <w:lang w:val="en-GB" w:eastAsia="en-US"/>
    </w:rPr>
  </w:style>
  <w:style w:type="character" w:styleId="Hyperlink">
    <w:name w:val="Hyperlink"/>
    <w:basedOn w:val="DefaultParagraphFont"/>
    <w:rsid w:val="008F7050"/>
    <w:rPr>
      <w:color w:val="0000FF"/>
      <w:u w:val="single"/>
    </w:rPr>
  </w:style>
  <w:style w:type="paragraph" w:styleId="Caption">
    <w:name w:val="caption"/>
    <w:basedOn w:val="Normal"/>
    <w:next w:val="Normal"/>
    <w:link w:val="CaptionChar"/>
    <w:qFormat/>
    <w:rsid w:val="006A22C7"/>
    <w:pPr>
      <w:spacing w:before="120" w:after="120"/>
    </w:pPr>
    <w:rPr>
      <w:b/>
      <w:lang w:val="en-GB" w:eastAsia="en-GB"/>
    </w:rPr>
  </w:style>
  <w:style w:type="character" w:customStyle="1" w:styleId="CaptionChar">
    <w:name w:val="Caption Char"/>
    <w:basedOn w:val="DefaultParagraphFont"/>
    <w:link w:val="Caption"/>
    <w:rsid w:val="006A22C7"/>
    <w:rPr>
      <w:b/>
      <w:sz w:val="24"/>
      <w:szCs w:val="24"/>
      <w:lang w:val="en-GB" w:eastAsia="en-GB" w:bidi="ar-SA"/>
    </w:rPr>
  </w:style>
  <w:style w:type="paragraph" w:customStyle="1" w:styleId="LBLLevel2">
    <w:name w:val="LBLLevel 2"/>
    <w:basedOn w:val="Normal"/>
    <w:next w:val="Normal"/>
    <w:link w:val="LBLLevel2Char"/>
    <w:rsid w:val="007A5360"/>
    <w:pPr>
      <w:tabs>
        <w:tab w:val="left" w:pos="720"/>
        <w:tab w:val="left" w:pos="990"/>
        <w:tab w:val="left" w:pos="1260"/>
      </w:tabs>
      <w:spacing w:line="320" w:lineRule="atLeast"/>
    </w:pPr>
    <w:rPr>
      <w:rFonts w:ascii="Arial" w:hAnsi="Arial"/>
      <w:b/>
      <w:lang w:val="en-US" w:eastAsia="en-US"/>
    </w:rPr>
  </w:style>
  <w:style w:type="character" w:customStyle="1" w:styleId="LBLLevel2Char">
    <w:name w:val="LBLLevel 2 Char"/>
    <w:basedOn w:val="DefaultParagraphFont"/>
    <w:link w:val="LBLLevel2"/>
    <w:rsid w:val="007A5360"/>
    <w:rPr>
      <w:rFonts w:ascii="Arial" w:hAnsi="Arial"/>
      <w:b/>
      <w:sz w:val="24"/>
      <w:szCs w:val="24"/>
      <w:lang w:val="en-US" w:eastAsia="en-US" w:bidi="ar-SA"/>
    </w:rPr>
  </w:style>
  <w:style w:type="paragraph" w:customStyle="1" w:styleId="listbull">
    <w:name w:val="list:bull"/>
    <w:basedOn w:val="listalpha"/>
    <w:rsid w:val="00886762"/>
    <w:pPr>
      <w:numPr>
        <w:numId w:val="22"/>
      </w:numPr>
    </w:pPr>
    <w:rPr>
      <w:lang w:eastAsia="en-GB"/>
    </w:rPr>
  </w:style>
  <w:style w:type="paragraph" w:customStyle="1" w:styleId="tablerefalpha">
    <w:name w:val="table:ref (alpha)"/>
    <w:basedOn w:val="Normal"/>
    <w:link w:val="tablerefalphaChar"/>
    <w:rsid w:val="0042465B"/>
    <w:pPr>
      <w:numPr>
        <w:numId w:val="23"/>
      </w:numPr>
    </w:pPr>
    <w:rPr>
      <w:rFonts w:ascii="Arial Narrow" w:hAnsi="Arial Narrow" w:cs="Arial Narrow"/>
      <w:lang w:val="en-GB" w:eastAsia="en-US"/>
    </w:rPr>
  </w:style>
  <w:style w:type="character" w:customStyle="1" w:styleId="tablerefalphaChar">
    <w:name w:val="table:ref (alpha) Char"/>
    <w:basedOn w:val="DefaultParagraphFont"/>
    <w:link w:val="tablerefalpha"/>
    <w:rsid w:val="0042465B"/>
    <w:rPr>
      <w:rFonts w:ascii="Arial Narrow" w:hAnsi="Arial Narrow" w:cs="Arial Narrow"/>
      <w:sz w:val="24"/>
      <w:szCs w:val="24"/>
      <w:lang w:val="en-GB" w:eastAsia="en-US" w:bidi="ar-SA"/>
    </w:rPr>
  </w:style>
  <w:style w:type="paragraph" w:customStyle="1" w:styleId="Text">
    <w:name w:val="Text"/>
    <w:basedOn w:val="Normal"/>
    <w:rsid w:val="00E6622A"/>
    <w:pPr>
      <w:spacing w:line="312" w:lineRule="exact"/>
    </w:pPr>
    <w:rPr>
      <w:rFonts w:ascii="Arial" w:hAnsi="Arial"/>
      <w:szCs w:val="20"/>
      <w:lang w:val="en-GB"/>
    </w:rPr>
  </w:style>
  <w:style w:type="paragraph" w:styleId="Title">
    <w:name w:val="Title"/>
    <w:basedOn w:val="Normal"/>
    <w:qFormat/>
    <w:rsid w:val="00E6622A"/>
    <w:pPr>
      <w:pBdr>
        <w:top w:val="single" w:sz="18" w:space="1" w:color="FF0000"/>
        <w:bottom w:val="single" w:sz="18" w:space="1" w:color="FF0000"/>
      </w:pBdr>
      <w:jc w:val="center"/>
    </w:pPr>
    <w:rPr>
      <w:rFonts w:ascii="Arial" w:hAnsi="Arial"/>
      <w:b/>
      <w:i/>
      <w:color w:val="FF0000"/>
      <w:sz w:val="36"/>
      <w:szCs w:val="20"/>
      <w:lang w:val="en-GB"/>
    </w:rPr>
  </w:style>
  <w:style w:type="paragraph" w:styleId="ListParagraph">
    <w:name w:val="List Paragraph"/>
    <w:basedOn w:val="Normal"/>
    <w:uiPriority w:val="34"/>
    <w:qFormat/>
    <w:rsid w:val="00620897"/>
    <w:pPr>
      <w:spacing w:line="320" w:lineRule="atLeast"/>
      <w:ind w:left="720"/>
    </w:pPr>
    <w:rPr>
      <w:rFonts w:eastAsia="Calibri"/>
      <w:lang w:val="en-GB" w:eastAsia="en-GB"/>
    </w:rPr>
  </w:style>
  <w:style w:type="character" w:customStyle="1" w:styleId="CSI">
    <w:name w:val="CSI"/>
    <w:basedOn w:val="DefaultParagraphFont"/>
    <w:uiPriority w:val="1"/>
    <w:qFormat/>
    <w:rsid w:val="00156E94"/>
    <w:rPr>
      <w:bdr w:val="none" w:sz="0" w:space="0" w:color="auto"/>
      <w:shd w:val="clear" w:color="auto" w:fill="BFBFBF"/>
    </w:rPr>
  </w:style>
  <w:style w:type="character" w:customStyle="1" w:styleId="captiontableChar">
    <w:name w:val="caption:table Char"/>
    <w:basedOn w:val="DefaultParagraphFont"/>
    <w:link w:val="captiontable"/>
    <w:rsid w:val="00393D88"/>
    <w:rPr>
      <w:rFonts w:ascii="Arial" w:hAnsi="Arial"/>
      <w:b/>
      <w:sz w:val="22"/>
      <w:lang w:val="en-GB" w:eastAsia="ja-JP"/>
    </w:rPr>
  </w:style>
  <w:style w:type="paragraph" w:customStyle="1" w:styleId="tabletext">
    <w:name w:val="table:text"/>
    <w:basedOn w:val="Normal"/>
    <w:rsid w:val="00C21313"/>
    <w:pPr>
      <w:spacing w:before="120" w:after="120"/>
    </w:pPr>
    <w:rPr>
      <w:rFonts w:ascii="Arial Narrow" w:hAnsi="Arial Narrow"/>
      <w:szCs w:val="20"/>
      <w:lang w:val="en-GB" w:eastAsia="en-GB"/>
    </w:rPr>
  </w:style>
  <w:style w:type="paragraph" w:styleId="Revision">
    <w:name w:val="Revision"/>
    <w:hidden/>
    <w:uiPriority w:val="99"/>
    <w:semiHidden/>
    <w:rsid w:val="00830F8A"/>
    <w:rPr>
      <w:sz w:val="24"/>
      <w:szCs w:val="24"/>
    </w:rPr>
  </w:style>
  <w:style w:type="character" w:styleId="FollowedHyperlink">
    <w:name w:val="FollowedHyperlink"/>
    <w:basedOn w:val="DefaultParagraphFont"/>
    <w:uiPriority w:val="99"/>
    <w:semiHidden/>
    <w:unhideWhenUsed/>
    <w:rsid w:val="008535A1"/>
    <w:rPr>
      <w:color w:val="800080" w:themeColor="followedHyperlink"/>
      <w:u w:val="single"/>
    </w:rPr>
  </w:style>
  <w:style w:type="character" w:customStyle="1" w:styleId="CommentTextChar">
    <w:name w:val="Comment Text Char"/>
    <w:basedOn w:val="DefaultParagraphFont"/>
    <w:link w:val="CommentText"/>
    <w:rsid w:val="0001408C"/>
  </w:style>
  <w:style w:type="character" w:customStyle="1" w:styleId="HeaderChar">
    <w:name w:val="Header Char"/>
    <w:basedOn w:val="DefaultParagraphFont"/>
    <w:link w:val="Header"/>
    <w:uiPriority w:val="99"/>
    <w:rsid w:val="008562CA"/>
    <w:rPr>
      <w:sz w:val="24"/>
      <w:szCs w:val="24"/>
    </w:rPr>
  </w:style>
  <w:style w:type="paragraph" w:customStyle="1" w:styleId="inst">
    <w:name w:val="inst"/>
    <w:basedOn w:val="Normal"/>
    <w:rsid w:val="00BD5AA0"/>
    <w:pPr>
      <w:spacing w:before="20" w:after="80" w:line="260" w:lineRule="exact"/>
    </w:pPr>
    <w:rPr>
      <w:b/>
      <w:bCs/>
      <w:sz w:val="20"/>
      <w:szCs w:val="20"/>
    </w:rPr>
  </w:style>
  <w:style w:type="character" w:customStyle="1" w:styleId="FooterChar">
    <w:name w:val="Footer Char"/>
    <w:basedOn w:val="DefaultParagraphFont"/>
    <w:link w:val="Footer"/>
    <w:uiPriority w:val="99"/>
    <w:rsid w:val="005E2608"/>
    <w:rPr>
      <w:sz w:val="24"/>
      <w:szCs w:val="24"/>
    </w:rPr>
  </w:style>
  <w:style w:type="character" w:styleId="PlaceholderText">
    <w:name w:val="Placeholder Text"/>
    <w:basedOn w:val="DefaultParagraphFont"/>
    <w:uiPriority w:val="99"/>
    <w:semiHidden/>
    <w:rsid w:val="008F0F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45">
      <w:bodyDiv w:val="1"/>
      <w:marLeft w:val="0"/>
      <w:marRight w:val="0"/>
      <w:marTop w:val="0"/>
      <w:marBottom w:val="0"/>
      <w:divBdr>
        <w:top w:val="none" w:sz="0" w:space="0" w:color="auto"/>
        <w:left w:val="none" w:sz="0" w:space="0" w:color="auto"/>
        <w:bottom w:val="none" w:sz="0" w:space="0" w:color="auto"/>
        <w:right w:val="none" w:sz="0" w:space="0" w:color="auto"/>
      </w:divBdr>
    </w:div>
    <w:div w:id="299115533">
      <w:bodyDiv w:val="1"/>
      <w:marLeft w:val="0"/>
      <w:marRight w:val="0"/>
      <w:marTop w:val="0"/>
      <w:marBottom w:val="0"/>
      <w:divBdr>
        <w:top w:val="none" w:sz="0" w:space="0" w:color="auto"/>
        <w:left w:val="none" w:sz="0" w:space="0" w:color="auto"/>
        <w:bottom w:val="none" w:sz="0" w:space="0" w:color="auto"/>
        <w:right w:val="none" w:sz="0" w:space="0" w:color="auto"/>
      </w:divBdr>
    </w:div>
    <w:div w:id="571626631">
      <w:bodyDiv w:val="1"/>
      <w:marLeft w:val="0"/>
      <w:marRight w:val="0"/>
      <w:marTop w:val="0"/>
      <w:marBottom w:val="0"/>
      <w:divBdr>
        <w:top w:val="none" w:sz="0" w:space="0" w:color="auto"/>
        <w:left w:val="none" w:sz="0" w:space="0" w:color="auto"/>
        <w:bottom w:val="none" w:sz="0" w:space="0" w:color="auto"/>
        <w:right w:val="none" w:sz="0" w:space="0" w:color="auto"/>
      </w:divBdr>
    </w:div>
    <w:div w:id="909074686">
      <w:bodyDiv w:val="1"/>
      <w:marLeft w:val="0"/>
      <w:marRight w:val="0"/>
      <w:marTop w:val="0"/>
      <w:marBottom w:val="0"/>
      <w:divBdr>
        <w:top w:val="none" w:sz="0" w:space="0" w:color="auto"/>
        <w:left w:val="none" w:sz="0" w:space="0" w:color="auto"/>
        <w:bottom w:val="none" w:sz="0" w:space="0" w:color="auto"/>
        <w:right w:val="none" w:sz="0" w:space="0" w:color="auto"/>
      </w:divBdr>
    </w:div>
    <w:div w:id="967858402">
      <w:bodyDiv w:val="1"/>
      <w:marLeft w:val="0"/>
      <w:marRight w:val="0"/>
      <w:marTop w:val="0"/>
      <w:marBottom w:val="0"/>
      <w:divBdr>
        <w:top w:val="none" w:sz="0" w:space="0" w:color="auto"/>
        <w:left w:val="none" w:sz="0" w:space="0" w:color="auto"/>
        <w:bottom w:val="none" w:sz="0" w:space="0" w:color="auto"/>
        <w:right w:val="none" w:sz="0" w:space="0" w:color="auto"/>
      </w:divBdr>
    </w:div>
    <w:div w:id="20408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Microsoft_Word_97_-_2003_Document1.doc"/><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p:properties xmlns:p="http://schemas.microsoft.com/office/2006/metadata/properties" xmlns:xsi="http://www.w3.org/2001/XMLSchema-instance">
  <documentManagement>
    <Image xmlns="4b8f162b-5636-4821-85da-331af8dff062">
      <Url xsi:nil="true"/>
      <Description xsi:nil="true"/>
    </Image>
    <Generic_x0020_Name xmlns="17bb8c82-f074-452f-b484-641a2ea4a283">Eltrombopag olamine</Generic_x0020_Name>
    <PI_x0020_Date xmlns="17bb8c82-f074-452f-b484-641a2ea4a283">2015-12-06T13:00:00+00:00</PI_x0020_Date>
    <Revision_x0020_Flag xmlns="17bb8c82-f074-452f-b484-641a2ea4a283" xsi:nil="true"/>
    <Dosage_x0020_Form xmlns="17bb8c82-f074-452f-b484-641a2ea4a283">Tablet, film coated</Dosage_x0020_Form>
    <Marketed xmlns="4b8f162b-5636-4821-85da-331af8dff062">true</Marketed>
    <Brand_x0020_Name xmlns="17bb8c82-f074-452f-b484-641a2ea4a283">Revolade</Brand_x0020_Name>
  </documentManagement>
</p:properties>
</file>

<file path=customXml/item4.xml><?xml version="1.0" encoding="utf-8"?>
<ct:contentTypeSchema xmlns:ct="http://schemas.microsoft.com/office/2006/metadata/contentType" xmlns:ma="http://schemas.microsoft.com/office/2006/metadata/properties/metaAttributes" ct:_="" ma:_="" ma:contentTypeName="PI Document" ma:contentTypeID="0x01010039983CF8680F544899597C3CF673966A006681E399D2676A4494415B5C34D2395C" ma:contentTypeVersion="8" ma:contentTypeDescription="PI Document Content Type" ma:contentTypeScope="" ma:versionID="ae6d61bf51b5e52cace6de957ed8ea97">
  <xsd:schema xmlns:xsd="http://www.w3.org/2001/XMLSchema" xmlns:p="http://schemas.microsoft.com/office/2006/metadata/properties" xmlns:ns2="17bb8c82-f074-452f-b484-641a2ea4a283" xmlns:ns3="4b8f162b-5636-4821-85da-331af8dff062" targetNamespace="http://schemas.microsoft.com/office/2006/metadata/properties" ma:root="true" ma:fieldsID="b2c203a00581eb0ba9fafbd06b2443a5" ns2:_="" ns3:_="">
    <xsd:import namespace="17bb8c82-f074-452f-b484-641a2ea4a283"/>
    <xsd:import namespace="4b8f162b-5636-4821-85da-331af8dff062"/>
    <xsd:element name="properties">
      <xsd:complexType>
        <xsd:sequence>
          <xsd:element name="documentManagement">
            <xsd:complexType>
              <xsd:all>
                <xsd:element ref="ns2:Revision_x0020_Flag" minOccurs="0"/>
                <xsd:element ref="ns2:Brand_x0020_Name" minOccurs="0"/>
                <xsd:element ref="ns2:Generic_x0020_Name" minOccurs="0"/>
                <xsd:element ref="ns2:PI_x0020_Date" minOccurs="0"/>
                <xsd:element ref="ns2:Dosage_x0020_Form" minOccurs="0"/>
                <xsd:element ref="ns3:Image" minOccurs="0"/>
                <xsd:element ref="ns3:Marketed" minOccurs="0"/>
              </xsd:all>
            </xsd:complexType>
          </xsd:element>
        </xsd:sequence>
      </xsd:complexType>
    </xsd:element>
  </xsd:schema>
  <xsd:schema xmlns:xsd="http://www.w3.org/2001/XMLSchema" xmlns:dms="http://schemas.microsoft.com/office/2006/documentManagement/types" targetNamespace="17bb8c82-f074-452f-b484-641a2ea4a283" elementFormDefault="qualified">
    <xsd:import namespace="http://schemas.microsoft.com/office/2006/documentManagement/types"/>
    <xsd:element name="Revision_x0020_Flag" ma:index="8" nillable="true" ma:displayName="Revision Flag" ma:default="" ma:format="Dropdown" ma:internalName="Revision_x0020_Flag">
      <xsd:simpleType>
        <xsd:restriction base="dms:Choice">
          <xsd:enumeration value="-"/>
          <xsd:enumeration value="Under Revision"/>
        </xsd:restriction>
      </xsd:simpleType>
    </xsd:element>
    <xsd:element name="Brand_x0020_Name" ma:index="9" nillable="true" ma:displayName="Brand" ma:default="Aclasta" ma:format="Dropdown" ma:internalName="Brand_x0020_Name">
      <xsd:simpleType>
        <xsd:union memberTypes="dms:Text">
          <xsd:simpleType>
            <xsd:restriction base="dms:Choice">
              <xsd:enumeration value="Aclasta"/>
              <xsd:enumeration value="Albuferon"/>
              <xsd:enumeration value="Aliskiren Portfolio"/>
              <xsd:enumeration value="Certican"/>
              <xsd:enumeration value="Cubicin"/>
              <xsd:enumeration value="Exelon"/>
              <xsd:enumeration value="Famvir"/>
              <xsd:enumeration value="Galvus"/>
              <xsd:enumeration value="Lescol XL"/>
              <xsd:enumeration value="Lucentis"/>
              <xsd:enumeration value="MS Portfolio"/>
              <xsd:enumeration value="Other CVM Pipeline Products"/>
              <xsd:enumeration value="Respiratory Portfolio"/>
              <xsd:enumeration value="Sebivo"/>
              <xsd:enumeration value="Stalevo"/>
              <xsd:enumeration value="Valsartan Portfolio"/>
            </xsd:restriction>
          </xsd:simpleType>
        </xsd:union>
      </xsd:simpleType>
    </xsd:element>
    <xsd:element name="Generic_x0020_Name" ma:index="10" nillable="true" ma:displayName="Generic Name" ma:internalName="Generic_x0020_Name">
      <xsd:simpleType>
        <xsd:restriction base="dms:Text">
          <xsd:maxLength value="255"/>
        </xsd:restriction>
      </xsd:simpleType>
    </xsd:element>
    <xsd:element name="PI_x0020_Date" ma:index="11" nillable="true" ma:displayName="PI Date" ma:format="DateOnly" ma:internalName="PI_x0020_Date">
      <xsd:simpleType>
        <xsd:restriction base="dms:DateTime"/>
      </xsd:simpleType>
    </xsd:element>
    <xsd:element name="Dosage_x0020_Form" ma:index="12" nillable="true" ma:displayName="Dosage Form" ma:default="Capsule, enteric" ma:format="Dropdown" ma:internalName="Dosage_x0020_Form">
      <xsd:simpleType>
        <xsd:union memberTypes="dms:Text">
          <xsd:simpleType>
            <xsd:restriction base="dms:Choice">
              <xsd:enumeration value="Capsule, enteric"/>
              <xsd:enumeration value="Capsule, hard"/>
              <xsd:enumeration value="Capsule, modified release"/>
              <xsd:enumeration value="Capsule, soft"/>
              <xsd:enumeration value="Capsule, other"/>
              <xsd:enumeration value="Cosmetic"/>
              <xsd:enumeration value="Cream"/>
              <xsd:enumeration value="Drug delivery system, transdermal"/>
              <xsd:enumeration value="Eye Drops"/>
              <xsd:enumeration value="Eye Drops, solution"/>
              <xsd:enumeration value="Eye Drops, suspension"/>
              <xsd:enumeration value="Gel, eye"/>
              <xsd:enumeration value="Gel"/>
              <xsd:enumeration value="Inhalation, powder for"/>
              <xsd:enumeration value="Inhalation, pressurised"/>
              <xsd:enumeration value="Inhalation"/>
              <xsd:enumeration value="Injection, concentrated"/>
              <xsd:enumeration value="Injection, diluent for"/>
              <xsd:enumeration value="Injection, powder for"/>
              <xsd:enumeration value="Injection, solution"/>
              <xsd:enumeration value="Injection, solvent for"/>
              <xsd:enumeration value="Injection"/>
              <xsd:enumeration value="Liquids"/>
              <xsd:enumeration value="Spray, nasal"/>
              <xsd:enumeration value="Nasal Drops"/>
              <xsd:enumeration value="Oral Liquid, powder for"/>
              <xsd:enumeration value="Oral Liquid, solution"/>
              <xsd:enumeration value="Oral Liquid, suspension"/>
              <xsd:enumeration value="Oral Liquid, syrup"/>
              <xsd:enumeration value="Oral Liquid"/>
              <xsd:enumeration value="Powder, oral"/>
              <xsd:enumeration value="Powder"/>
              <xsd:enumeration value="Solution, powder for irrigation"/>
              <xsd:enumeration value="Solution, powder for"/>
              <xsd:enumeration value="Solution"/>
              <xsd:enumeration value="Spray"/>
              <xsd:enumeration value="Suppository"/>
              <xsd:enumeration value="Tablet, dispersible"/>
              <xsd:enumeration value="Tablet, effervescent"/>
              <xsd:enumeration value="Tablet, enteric coated"/>
              <xsd:enumeration value="Tablet, film coated"/>
              <xsd:enumeration value="Tablet, modified release"/>
              <xsd:enumeration value="Tablet, sugar coated"/>
              <xsd:enumeration value="Tablet, uncoated"/>
            </xsd:restriction>
          </xsd:simpleType>
        </xsd:union>
      </xsd:simpleType>
    </xsd:element>
  </xsd:schema>
  <xsd:schema xmlns:xsd="http://www.w3.org/2001/XMLSchema" xmlns:dms="http://schemas.microsoft.com/office/2006/documentManagement/types" targetNamespace="4b8f162b-5636-4821-85da-331af8dff062" elementFormDefault="qualified">
    <xsd:import namespace="http://schemas.microsoft.com/office/2006/documentManagement/types"/>
    <xsd:element name="Image" ma:index="13" nillable="true" ma:displayName="-" ma:default=""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rketed" ma:index="14" nillable="true" ma:displayName="Marketed" ma:default="0" ma:internalName="Mark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F13C-F4A9-4236-B3EF-D70A991925F6}">
  <ds:schemaRefs>
    <ds:schemaRef ds:uri="http://schemas.microsoft.com/sharepoint/v3/contenttype/forms"/>
  </ds:schemaRefs>
</ds:datastoreItem>
</file>

<file path=customXml/itemProps2.xml><?xml version="1.0" encoding="utf-8"?>
<ds:datastoreItem xmlns:ds="http://schemas.openxmlformats.org/officeDocument/2006/customXml" ds:itemID="{63B4BE71-822F-4465-821F-38B09E1C80BE}">
  <ds:schemaRefs>
    <ds:schemaRef ds:uri="http://purl.org/dc/elements/1.1/"/>
    <ds:schemaRef ds:uri="http://purl.org/dc/dcmitype/"/>
    <ds:schemaRef ds:uri="4b8f162b-5636-4821-85da-331af8dff062"/>
    <ds:schemaRef ds:uri="http://purl.org/dc/terms/"/>
    <ds:schemaRef ds:uri="http://schemas.openxmlformats.org/package/2006/metadata/core-properties"/>
    <ds:schemaRef ds:uri="http://www.w3.org/XML/1998/namespace"/>
    <ds:schemaRef ds:uri="http://schemas.microsoft.com/office/2006/documentManagement/types"/>
    <ds:schemaRef ds:uri="17bb8c82-f074-452f-b484-641a2ea4a283"/>
    <ds:schemaRef ds:uri="http://schemas.microsoft.com/office/2006/metadata/properties"/>
  </ds:schemaRefs>
</ds:datastoreItem>
</file>

<file path=customXml/itemProps3.xml><?xml version="1.0" encoding="utf-8"?>
<ds:datastoreItem xmlns:ds="http://schemas.openxmlformats.org/officeDocument/2006/customXml" ds:itemID="{CBCE1877-DD38-4E95-95F7-B1C07A9F0BD6}">
  <ds:schemaRefs>
    <ds:schemaRef ds:uri="4b8f162b-5636-4821-85da-331af8dff062"/>
    <ds:schemaRef ds:uri="17bb8c82-f074-452f-b484-641a2ea4a283"/>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6AB9822-0AAF-4CE3-8C1A-116B75A7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8c82-f074-452f-b484-641a2ea4a283"/>
    <ds:schemaRef ds:uri="4b8f162b-5636-4821-85da-331af8dff0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C370835-4DEB-4424-8A57-8A3B0F8E383F}">
  <ds:schemaRefs>
    <ds:schemaRef ds:uri="http://schemas.microsoft.com/sharepoint/v3/contenttype/forms"/>
  </ds:schemaRefs>
</ds:datastoreItem>
</file>

<file path=customXml/itemProps6.xml><?xml version="1.0" encoding="utf-8"?>
<ds:datastoreItem xmlns:ds="http://schemas.openxmlformats.org/officeDocument/2006/customXml" ds:itemID="{35CCD1B3-C1E7-4549-82AC-2CA73339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11494</Words>
  <Characters>65517</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AusPAR Attachment 1: Product Information for Revolade</vt:lpstr>
    </vt:vector>
  </TitlesOfParts>
  <Company>GlaxoSmithKline</Company>
  <LinksUpToDate>false</LinksUpToDate>
  <CharactersWithSpaces>76858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Revolade</dc:title>
  <dc:subject>Prescription medicines</dc:subject>
  <dc:creator>bds23594</dc:creator>
  <cp:keywords>AusPARs</cp:keywords>
  <cp:lastModifiedBy>Lack, Janet</cp:lastModifiedBy>
  <cp:revision>2</cp:revision>
  <cp:lastPrinted>2015-12-07T22:47:00Z</cp:lastPrinted>
  <dcterms:created xsi:type="dcterms:W3CDTF">2016-04-05T01:06:00Z</dcterms:created>
  <dcterms:modified xsi:type="dcterms:W3CDTF">2016-04-05T01:06:00Z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0x01010039983CF8680F544899597C3CF673966A006681E399D2676A4494415B5C34D2395C</vt:lpwstr>
  </property>
</Properties>
</file>