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F74EEE" w:rsidP="00321D5D">
            <w:pPr>
              <w:rPr>
                <w:rFonts w:ascii="Arial" w:hAnsi="Arial" w:cs="Arial"/>
                <w:b/>
                <w:color w:val="002C47"/>
                <w:sz w:val="36"/>
                <w:szCs w:val="36"/>
              </w:rPr>
            </w:pPr>
            <w:r>
              <w:rPr>
                <w:rFonts w:ascii="Arial" w:hAnsi="Arial" w:cs="Arial"/>
                <w:b/>
                <w:color w:val="002C47"/>
                <w:sz w:val="36"/>
                <w:szCs w:val="36"/>
              </w:rPr>
              <w:t>22 November 201</w:t>
            </w:r>
            <w:r w:rsidR="00321D5D">
              <w:rPr>
                <w:rFonts w:ascii="Arial" w:hAnsi="Arial" w:cs="Arial"/>
                <w:b/>
                <w:color w:val="002C47"/>
                <w:sz w:val="36"/>
                <w:szCs w:val="36"/>
              </w:rPr>
              <w:t>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F74EEE" w:rsidRDefault="00E07F15" w:rsidP="00F74EEE">
            <w:pPr>
              <w:pStyle w:val="Title"/>
              <w:rPr>
                <w:color w:val="FFFFFF" w:themeColor="background1"/>
              </w:rPr>
            </w:pPr>
            <w:r w:rsidRPr="00F74EEE">
              <w:rPr>
                <w:color w:val="FFFFFF" w:themeColor="background1"/>
              </w:rPr>
              <w:t xml:space="preserve">Extract from the Clinical Evaluation Report for </w:t>
            </w:r>
            <w:r w:rsidR="00F74EEE" w:rsidRPr="00F74EEE">
              <w:rPr>
                <w:color w:val="FFFFFF" w:themeColor="background1"/>
              </w:rPr>
              <w:t>Eltrombopag</w:t>
            </w:r>
          </w:p>
        </w:tc>
      </w:tr>
      <w:tr w:rsidR="00E07F15" w:rsidRPr="00B64760" w:rsidTr="00E07F15">
        <w:tc>
          <w:tcPr>
            <w:tcW w:w="9079" w:type="dxa"/>
          </w:tcPr>
          <w:p w:rsidR="00E07F15" w:rsidRPr="00F74EEE" w:rsidRDefault="00E07F15" w:rsidP="00E07F15">
            <w:pPr>
              <w:pStyle w:val="Subtitle"/>
              <w:rPr>
                <w:color w:val="FFFFFF" w:themeColor="background1"/>
              </w:rPr>
            </w:pPr>
            <w:r w:rsidRPr="00F74EEE">
              <w:rPr>
                <w:color w:val="FFFFFF" w:themeColor="background1"/>
              </w:rPr>
              <w:t xml:space="preserve">Proprietary Product Name: </w:t>
            </w:r>
            <w:proofErr w:type="spellStart"/>
            <w:r w:rsidR="00F74EEE" w:rsidRPr="00F74EEE">
              <w:rPr>
                <w:color w:val="FFFFFF" w:themeColor="background1"/>
              </w:rPr>
              <w:t>Revolade</w:t>
            </w:r>
            <w:proofErr w:type="spellEnd"/>
          </w:p>
        </w:tc>
      </w:tr>
      <w:tr w:rsidR="00E07F15" w:rsidRPr="00B64760" w:rsidTr="00E07F15">
        <w:trPr>
          <w:trHeight w:val="486"/>
        </w:trPr>
        <w:tc>
          <w:tcPr>
            <w:tcW w:w="9079" w:type="dxa"/>
          </w:tcPr>
          <w:p w:rsidR="00E07F15" w:rsidRPr="00F74EEE" w:rsidRDefault="00E07F15" w:rsidP="00E07F15">
            <w:pPr>
              <w:pStyle w:val="Subtitle"/>
              <w:rPr>
                <w:color w:val="FFFFFF" w:themeColor="background1"/>
              </w:rPr>
            </w:pPr>
            <w:r w:rsidRPr="00F74EEE">
              <w:rPr>
                <w:color w:val="FFFFFF" w:themeColor="background1"/>
              </w:rPr>
              <w:t xml:space="preserve">Sponsor: </w:t>
            </w:r>
            <w:r w:rsidR="00F74EEE" w:rsidRPr="00F74EEE">
              <w:rPr>
                <w:color w:val="FFFFFF" w:themeColor="background1"/>
              </w:rPr>
              <w:t xml:space="preserve">GlaxoSmithKline </w:t>
            </w:r>
            <w:r w:rsidR="00E36BA2" w:rsidRPr="00E36BA2">
              <w:rPr>
                <w:color w:val="FFFFFF" w:themeColor="background1"/>
              </w:rPr>
              <w:t>Australia</w:t>
            </w:r>
            <w:r w:rsidR="00E36BA2">
              <w:rPr>
                <w:color w:val="FFFFFF" w:themeColor="background1"/>
              </w:rPr>
              <w:t xml:space="preserve"> </w:t>
            </w:r>
            <w:r w:rsidR="00F74EEE" w:rsidRPr="00F74EEE">
              <w:rPr>
                <w:color w:val="FFFFFF" w:themeColor="background1"/>
              </w:rPr>
              <w:t>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F46A4" w:rsidRDefault="00933248">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6875763" w:history="1">
            <w:r w:rsidR="00EF46A4" w:rsidRPr="00366D99">
              <w:rPr>
                <w:rStyle w:val="Hyperlink"/>
                <w:noProof/>
                <w:lang w:eastAsia="en-AU"/>
              </w:rPr>
              <w:t>1.</w:t>
            </w:r>
            <w:r w:rsidR="00EF46A4">
              <w:rPr>
                <w:rFonts w:asciiTheme="minorHAnsi" w:eastAsiaTheme="minorEastAsia" w:hAnsiTheme="minorHAnsi" w:cstheme="minorBidi"/>
                <w:b w:val="0"/>
                <w:noProof/>
                <w:sz w:val="22"/>
                <w:lang w:eastAsia="en-AU"/>
              </w:rPr>
              <w:tab/>
            </w:r>
            <w:r w:rsidR="00EF46A4" w:rsidRPr="00366D99">
              <w:rPr>
                <w:rStyle w:val="Hyperlink"/>
                <w:noProof/>
                <w:lang w:eastAsia="en-AU"/>
              </w:rPr>
              <w:t>Clinical rationale</w:t>
            </w:r>
            <w:r w:rsidR="00EF46A4">
              <w:rPr>
                <w:noProof/>
                <w:webHidden/>
              </w:rPr>
              <w:tab/>
            </w:r>
            <w:r w:rsidR="00EF46A4">
              <w:rPr>
                <w:noProof/>
                <w:webHidden/>
              </w:rPr>
              <w:fldChar w:fldCharType="begin"/>
            </w:r>
            <w:r w:rsidR="00EF46A4">
              <w:rPr>
                <w:noProof/>
                <w:webHidden/>
              </w:rPr>
              <w:instrText xml:space="preserve"> PAGEREF _Toc376875763 \h </w:instrText>
            </w:r>
            <w:r w:rsidR="00EF46A4">
              <w:rPr>
                <w:noProof/>
                <w:webHidden/>
              </w:rPr>
            </w:r>
            <w:r w:rsidR="00EF46A4">
              <w:rPr>
                <w:noProof/>
                <w:webHidden/>
              </w:rPr>
              <w:fldChar w:fldCharType="separate"/>
            </w:r>
            <w:r w:rsidR="00EF46A4">
              <w:rPr>
                <w:noProof/>
                <w:webHidden/>
              </w:rPr>
              <w:t>5</w:t>
            </w:r>
            <w:r w:rsidR="00EF46A4">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64" w:history="1">
            <w:r w:rsidRPr="00366D99">
              <w:rPr>
                <w:rStyle w:val="Hyperlink"/>
                <w:noProof/>
                <w:lang w:eastAsia="en-AU"/>
              </w:rPr>
              <w:t>2.</w:t>
            </w:r>
            <w:r>
              <w:rPr>
                <w:rFonts w:asciiTheme="minorHAnsi" w:eastAsiaTheme="minorEastAsia" w:hAnsiTheme="minorHAnsi" w:cstheme="minorBidi"/>
                <w:b w:val="0"/>
                <w:noProof/>
                <w:sz w:val="22"/>
                <w:lang w:eastAsia="en-AU"/>
              </w:rPr>
              <w:tab/>
            </w:r>
            <w:r w:rsidRPr="00366D9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_Toc376875764 \h </w:instrText>
            </w:r>
            <w:r>
              <w:rPr>
                <w:noProof/>
                <w:webHidden/>
              </w:rPr>
            </w:r>
            <w:r>
              <w:rPr>
                <w:noProof/>
                <w:webHidden/>
              </w:rPr>
              <w:fldChar w:fldCharType="separate"/>
            </w:r>
            <w:r>
              <w:rPr>
                <w:noProof/>
                <w:webHidden/>
              </w:rPr>
              <w:t>5</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65" w:history="1">
            <w:r w:rsidRPr="00366D99">
              <w:rPr>
                <w:rStyle w:val="Hyperlink"/>
                <w:noProof/>
              </w:rPr>
              <w:t>2.1.</w:t>
            </w:r>
            <w:r>
              <w:rPr>
                <w:rFonts w:asciiTheme="minorHAnsi" w:eastAsiaTheme="minorEastAsia" w:hAnsiTheme="minorHAnsi" w:cstheme="minorBidi"/>
                <w:noProof/>
                <w:lang w:eastAsia="en-AU"/>
              </w:rPr>
              <w:tab/>
            </w:r>
            <w:r w:rsidRPr="00366D99">
              <w:rPr>
                <w:rStyle w:val="Hyperlink"/>
                <w:noProof/>
              </w:rPr>
              <w:t>Scope of the clinical dossier</w:t>
            </w:r>
            <w:r>
              <w:rPr>
                <w:noProof/>
                <w:webHidden/>
              </w:rPr>
              <w:tab/>
            </w:r>
            <w:r>
              <w:rPr>
                <w:noProof/>
                <w:webHidden/>
              </w:rPr>
              <w:fldChar w:fldCharType="begin"/>
            </w:r>
            <w:r>
              <w:rPr>
                <w:noProof/>
                <w:webHidden/>
              </w:rPr>
              <w:instrText xml:space="preserve"> PAGEREF _Toc376875765 \h </w:instrText>
            </w:r>
            <w:r>
              <w:rPr>
                <w:noProof/>
                <w:webHidden/>
              </w:rPr>
            </w:r>
            <w:r>
              <w:rPr>
                <w:noProof/>
                <w:webHidden/>
              </w:rPr>
              <w:fldChar w:fldCharType="separate"/>
            </w:r>
            <w:r>
              <w:rPr>
                <w:noProof/>
                <w:webHidden/>
              </w:rPr>
              <w:t>5</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66" w:history="1">
            <w:r w:rsidRPr="00366D99">
              <w:rPr>
                <w:rStyle w:val="Hyperlink"/>
                <w:noProof/>
              </w:rPr>
              <w:t>2.2.</w:t>
            </w:r>
            <w:r>
              <w:rPr>
                <w:rFonts w:asciiTheme="minorHAnsi" w:eastAsiaTheme="minorEastAsia" w:hAnsiTheme="minorHAnsi" w:cstheme="minorBidi"/>
                <w:noProof/>
                <w:lang w:eastAsia="en-AU"/>
              </w:rPr>
              <w:tab/>
            </w:r>
            <w:r w:rsidRPr="00366D99">
              <w:rPr>
                <w:rStyle w:val="Hyperlink"/>
                <w:noProof/>
              </w:rPr>
              <w:t>Paediatric data</w:t>
            </w:r>
            <w:r>
              <w:rPr>
                <w:noProof/>
                <w:webHidden/>
              </w:rPr>
              <w:tab/>
            </w:r>
            <w:r>
              <w:rPr>
                <w:noProof/>
                <w:webHidden/>
              </w:rPr>
              <w:fldChar w:fldCharType="begin"/>
            </w:r>
            <w:r>
              <w:rPr>
                <w:noProof/>
                <w:webHidden/>
              </w:rPr>
              <w:instrText xml:space="preserve"> PAGEREF _Toc376875766 \h </w:instrText>
            </w:r>
            <w:r>
              <w:rPr>
                <w:noProof/>
                <w:webHidden/>
              </w:rPr>
            </w:r>
            <w:r>
              <w:rPr>
                <w:noProof/>
                <w:webHidden/>
              </w:rPr>
              <w:fldChar w:fldCharType="separate"/>
            </w:r>
            <w:r>
              <w:rPr>
                <w:noProof/>
                <w:webHidden/>
              </w:rPr>
              <w:t>5</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67" w:history="1">
            <w:r w:rsidRPr="00366D99">
              <w:rPr>
                <w:rStyle w:val="Hyperlink"/>
                <w:noProof/>
              </w:rPr>
              <w:t>2.3.</w:t>
            </w:r>
            <w:r>
              <w:rPr>
                <w:rFonts w:asciiTheme="minorHAnsi" w:eastAsiaTheme="minorEastAsia" w:hAnsiTheme="minorHAnsi" w:cstheme="minorBidi"/>
                <w:noProof/>
                <w:lang w:eastAsia="en-AU"/>
              </w:rPr>
              <w:tab/>
            </w:r>
            <w:r w:rsidRPr="00366D99">
              <w:rPr>
                <w:rStyle w:val="Hyperlink"/>
                <w:noProof/>
              </w:rPr>
              <w:t>Good clinical practice</w:t>
            </w:r>
            <w:r>
              <w:rPr>
                <w:noProof/>
                <w:webHidden/>
              </w:rPr>
              <w:tab/>
            </w:r>
            <w:r>
              <w:rPr>
                <w:noProof/>
                <w:webHidden/>
              </w:rPr>
              <w:fldChar w:fldCharType="begin"/>
            </w:r>
            <w:r>
              <w:rPr>
                <w:noProof/>
                <w:webHidden/>
              </w:rPr>
              <w:instrText xml:space="preserve"> PAGEREF _Toc376875767 \h </w:instrText>
            </w:r>
            <w:r>
              <w:rPr>
                <w:noProof/>
                <w:webHidden/>
              </w:rPr>
            </w:r>
            <w:r>
              <w:rPr>
                <w:noProof/>
                <w:webHidden/>
              </w:rPr>
              <w:fldChar w:fldCharType="separate"/>
            </w:r>
            <w:r>
              <w:rPr>
                <w:noProof/>
                <w:webHidden/>
              </w:rPr>
              <w:t>5</w:t>
            </w:r>
            <w:r>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68" w:history="1">
            <w:r w:rsidRPr="00366D99">
              <w:rPr>
                <w:rStyle w:val="Hyperlink"/>
                <w:noProof/>
              </w:rPr>
              <w:t>3.</w:t>
            </w:r>
            <w:r>
              <w:rPr>
                <w:rFonts w:asciiTheme="minorHAnsi" w:eastAsiaTheme="minorEastAsia" w:hAnsiTheme="minorHAnsi" w:cstheme="minorBidi"/>
                <w:b w:val="0"/>
                <w:noProof/>
                <w:sz w:val="22"/>
                <w:lang w:eastAsia="en-AU"/>
              </w:rPr>
              <w:tab/>
            </w:r>
            <w:r w:rsidRPr="00366D99">
              <w:rPr>
                <w:rStyle w:val="Hyperlink"/>
                <w:noProof/>
              </w:rPr>
              <w:t>Pharmacokinetics</w:t>
            </w:r>
            <w:r>
              <w:rPr>
                <w:noProof/>
                <w:webHidden/>
              </w:rPr>
              <w:tab/>
            </w:r>
            <w:r>
              <w:rPr>
                <w:noProof/>
                <w:webHidden/>
              </w:rPr>
              <w:fldChar w:fldCharType="begin"/>
            </w:r>
            <w:r>
              <w:rPr>
                <w:noProof/>
                <w:webHidden/>
              </w:rPr>
              <w:instrText xml:space="preserve"> PAGEREF _Toc376875768 \h </w:instrText>
            </w:r>
            <w:r>
              <w:rPr>
                <w:noProof/>
                <w:webHidden/>
              </w:rPr>
            </w:r>
            <w:r>
              <w:rPr>
                <w:noProof/>
                <w:webHidden/>
              </w:rPr>
              <w:fldChar w:fldCharType="separate"/>
            </w:r>
            <w:r>
              <w:rPr>
                <w:noProof/>
                <w:webHidden/>
              </w:rPr>
              <w:t>5</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69" w:history="1">
            <w:r w:rsidRPr="00366D99">
              <w:rPr>
                <w:rStyle w:val="Hyperlink"/>
                <w:noProof/>
              </w:rPr>
              <w:t>3.1.</w:t>
            </w:r>
            <w:r>
              <w:rPr>
                <w:rFonts w:asciiTheme="minorHAnsi" w:eastAsiaTheme="minorEastAsia" w:hAnsiTheme="minorHAnsi" w:cstheme="minorBidi"/>
                <w:noProof/>
                <w:lang w:eastAsia="en-AU"/>
              </w:rPr>
              <w:tab/>
            </w:r>
            <w:r w:rsidRPr="00366D99">
              <w:rPr>
                <w:rStyle w:val="Hyperlink"/>
                <w:noProof/>
              </w:rPr>
              <w:t>Studies providing pharmacokinetic data</w:t>
            </w:r>
            <w:r>
              <w:rPr>
                <w:noProof/>
                <w:webHidden/>
              </w:rPr>
              <w:tab/>
            </w:r>
            <w:r>
              <w:rPr>
                <w:noProof/>
                <w:webHidden/>
              </w:rPr>
              <w:fldChar w:fldCharType="begin"/>
            </w:r>
            <w:r>
              <w:rPr>
                <w:noProof/>
                <w:webHidden/>
              </w:rPr>
              <w:instrText xml:space="preserve"> PAGEREF _Toc376875769 \h </w:instrText>
            </w:r>
            <w:r>
              <w:rPr>
                <w:noProof/>
                <w:webHidden/>
              </w:rPr>
            </w:r>
            <w:r>
              <w:rPr>
                <w:noProof/>
                <w:webHidden/>
              </w:rPr>
              <w:fldChar w:fldCharType="separate"/>
            </w:r>
            <w:r>
              <w:rPr>
                <w:noProof/>
                <w:webHidden/>
              </w:rPr>
              <w:t>5</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70" w:history="1">
            <w:r w:rsidRPr="00366D99">
              <w:rPr>
                <w:rStyle w:val="Hyperlink"/>
                <w:noProof/>
              </w:rPr>
              <w:t>3.2.</w:t>
            </w:r>
            <w:r>
              <w:rPr>
                <w:rFonts w:asciiTheme="minorHAnsi" w:eastAsiaTheme="minorEastAsia" w:hAnsiTheme="minorHAnsi" w:cstheme="minorBidi"/>
                <w:noProof/>
                <w:lang w:eastAsia="en-AU"/>
              </w:rPr>
              <w:tab/>
            </w:r>
            <w:r w:rsidRPr="00366D99">
              <w:rPr>
                <w:rStyle w:val="Hyperlink"/>
                <w:noProof/>
              </w:rPr>
              <w:t>Summary of pharmacokinetics</w:t>
            </w:r>
            <w:r>
              <w:rPr>
                <w:noProof/>
                <w:webHidden/>
              </w:rPr>
              <w:tab/>
            </w:r>
            <w:r>
              <w:rPr>
                <w:noProof/>
                <w:webHidden/>
              </w:rPr>
              <w:fldChar w:fldCharType="begin"/>
            </w:r>
            <w:r>
              <w:rPr>
                <w:noProof/>
                <w:webHidden/>
              </w:rPr>
              <w:instrText xml:space="preserve"> PAGEREF _Toc376875770 \h </w:instrText>
            </w:r>
            <w:r>
              <w:rPr>
                <w:noProof/>
                <w:webHidden/>
              </w:rPr>
            </w:r>
            <w:r>
              <w:rPr>
                <w:noProof/>
                <w:webHidden/>
              </w:rPr>
              <w:fldChar w:fldCharType="separate"/>
            </w:r>
            <w:r>
              <w:rPr>
                <w:noProof/>
                <w:webHidden/>
              </w:rPr>
              <w:t>6</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71" w:history="1">
            <w:r w:rsidRPr="00366D99">
              <w:rPr>
                <w:rStyle w:val="Hyperlink"/>
                <w:noProof/>
              </w:rPr>
              <w:t>3.3.</w:t>
            </w:r>
            <w:r>
              <w:rPr>
                <w:rFonts w:asciiTheme="minorHAnsi" w:eastAsiaTheme="minorEastAsia" w:hAnsiTheme="minorHAnsi" w:cstheme="minorBidi"/>
                <w:noProof/>
                <w:lang w:eastAsia="en-AU"/>
              </w:rPr>
              <w:tab/>
            </w:r>
            <w:r w:rsidRPr="00366D99">
              <w:rPr>
                <w:rStyle w:val="Hyperlink"/>
                <w:noProof/>
              </w:rPr>
              <w:t>Evaluator’s overall conclusions on pharmacokinetics</w:t>
            </w:r>
            <w:r>
              <w:rPr>
                <w:noProof/>
                <w:webHidden/>
              </w:rPr>
              <w:tab/>
            </w:r>
            <w:r>
              <w:rPr>
                <w:noProof/>
                <w:webHidden/>
              </w:rPr>
              <w:fldChar w:fldCharType="begin"/>
            </w:r>
            <w:r>
              <w:rPr>
                <w:noProof/>
                <w:webHidden/>
              </w:rPr>
              <w:instrText xml:space="preserve"> PAGEREF _Toc376875771 \h </w:instrText>
            </w:r>
            <w:r>
              <w:rPr>
                <w:noProof/>
                <w:webHidden/>
              </w:rPr>
            </w:r>
            <w:r>
              <w:rPr>
                <w:noProof/>
                <w:webHidden/>
              </w:rPr>
              <w:fldChar w:fldCharType="separate"/>
            </w:r>
            <w:r>
              <w:rPr>
                <w:noProof/>
                <w:webHidden/>
              </w:rPr>
              <w:t>9</w:t>
            </w:r>
            <w:r>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72" w:history="1">
            <w:r w:rsidRPr="00366D99">
              <w:rPr>
                <w:rStyle w:val="Hyperlink"/>
                <w:noProof/>
              </w:rPr>
              <w:t>4.</w:t>
            </w:r>
            <w:r>
              <w:rPr>
                <w:rFonts w:asciiTheme="minorHAnsi" w:eastAsiaTheme="minorEastAsia" w:hAnsiTheme="minorHAnsi" w:cstheme="minorBidi"/>
                <w:b w:val="0"/>
                <w:noProof/>
                <w:sz w:val="22"/>
                <w:lang w:eastAsia="en-AU"/>
              </w:rPr>
              <w:tab/>
            </w:r>
            <w:r w:rsidRPr="00366D99">
              <w:rPr>
                <w:rStyle w:val="Hyperlink"/>
                <w:noProof/>
              </w:rPr>
              <w:t>Pharmacodynamics</w:t>
            </w:r>
            <w:r>
              <w:rPr>
                <w:noProof/>
                <w:webHidden/>
              </w:rPr>
              <w:tab/>
            </w:r>
            <w:r>
              <w:rPr>
                <w:noProof/>
                <w:webHidden/>
              </w:rPr>
              <w:fldChar w:fldCharType="begin"/>
            </w:r>
            <w:r>
              <w:rPr>
                <w:noProof/>
                <w:webHidden/>
              </w:rPr>
              <w:instrText xml:space="preserve"> PAGEREF _Toc376875772 \h </w:instrText>
            </w:r>
            <w:r>
              <w:rPr>
                <w:noProof/>
                <w:webHidden/>
              </w:rPr>
            </w:r>
            <w:r>
              <w:rPr>
                <w:noProof/>
                <w:webHidden/>
              </w:rPr>
              <w:fldChar w:fldCharType="separate"/>
            </w:r>
            <w:r>
              <w:rPr>
                <w:noProof/>
                <w:webHidden/>
              </w:rPr>
              <w:t>10</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73" w:history="1">
            <w:r w:rsidRPr="00366D99">
              <w:rPr>
                <w:rStyle w:val="Hyperlink"/>
                <w:noProof/>
              </w:rPr>
              <w:t>4.1.</w:t>
            </w:r>
            <w:r>
              <w:rPr>
                <w:rFonts w:asciiTheme="minorHAnsi" w:eastAsiaTheme="minorEastAsia" w:hAnsiTheme="minorHAnsi" w:cstheme="minorBidi"/>
                <w:noProof/>
                <w:lang w:eastAsia="en-AU"/>
              </w:rPr>
              <w:tab/>
            </w:r>
            <w:r w:rsidRPr="00366D99">
              <w:rPr>
                <w:rStyle w:val="Hyperlink"/>
                <w:noProof/>
              </w:rPr>
              <w:t>Studies providing pharmacodynamic data</w:t>
            </w:r>
            <w:r>
              <w:rPr>
                <w:noProof/>
                <w:webHidden/>
              </w:rPr>
              <w:tab/>
            </w:r>
            <w:r>
              <w:rPr>
                <w:noProof/>
                <w:webHidden/>
              </w:rPr>
              <w:fldChar w:fldCharType="begin"/>
            </w:r>
            <w:r>
              <w:rPr>
                <w:noProof/>
                <w:webHidden/>
              </w:rPr>
              <w:instrText xml:space="preserve"> PAGEREF _Toc376875773 \h </w:instrText>
            </w:r>
            <w:r>
              <w:rPr>
                <w:noProof/>
                <w:webHidden/>
              </w:rPr>
            </w:r>
            <w:r>
              <w:rPr>
                <w:noProof/>
                <w:webHidden/>
              </w:rPr>
              <w:fldChar w:fldCharType="separate"/>
            </w:r>
            <w:r>
              <w:rPr>
                <w:noProof/>
                <w:webHidden/>
              </w:rPr>
              <w:t>10</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74" w:history="1">
            <w:r w:rsidRPr="00366D99">
              <w:rPr>
                <w:rStyle w:val="Hyperlink"/>
                <w:noProof/>
              </w:rPr>
              <w:t>4.2.</w:t>
            </w:r>
            <w:r>
              <w:rPr>
                <w:rFonts w:asciiTheme="minorHAnsi" w:eastAsiaTheme="minorEastAsia" w:hAnsiTheme="minorHAnsi" w:cstheme="minorBidi"/>
                <w:noProof/>
                <w:lang w:eastAsia="en-AU"/>
              </w:rPr>
              <w:tab/>
            </w:r>
            <w:r w:rsidRPr="00366D99">
              <w:rPr>
                <w:rStyle w:val="Hyperlink"/>
                <w:noProof/>
              </w:rPr>
              <w:t>Summary of pharmacodynamics</w:t>
            </w:r>
            <w:r>
              <w:rPr>
                <w:noProof/>
                <w:webHidden/>
              </w:rPr>
              <w:tab/>
            </w:r>
            <w:r>
              <w:rPr>
                <w:noProof/>
                <w:webHidden/>
              </w:rPr>
              <w:fldChar w:fldCharType="begin"/>
            </w:r>
            <w:r>
              <w:rPr>
                <w:noProof/>
                <w:webHidden/>
              </w:rPr>
              <w:instrText xml:space="preserve"> PAGEREF _Toc376875774 \h </w:instrText>
            </w:r>
            <w:r>
              <w:rPr>
                <w:noProof/>
                <w:webHidden/>
              </w:rPr>
            </w:r>
            <w:r>
              <w:rPr>
                <w:noProof/>
                <w:webHidden/>
              </w:rPr>
              <w:fldChar w:fldCharType="separate"/>
            </w:r>
            <w:r>
              <w:rPr>
                <w:noProof/>
                <w:webHidden/>
              </w:rPr>
              <w:t>10</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75" w:history="1">
            <w:r w:rsidRPr="00366D99">
              <w:rPr>
                <w:rStyle w:val="Hyperlink"/>
                <w:noProof/>
              </w:rPr>
              <w:t>4.3.</w:t>
            </w:r>
            <w:r>
              <w:rPr>
                <w:rFonts w:asciiTheme="minorHAnsi" w:eastAsiaTheme="minorEastAsia" w:hAnsiTheme="minorHAnsi" w:cstheme="minorBidi"/>
                <w:noProof/>
                <w:lang w:eastAsia="en-AU"/>
              </w:rPr>
              <w:tab/>
            </w:r>
            <w:r w:rsidRPr="00366D99">
              <w:rPr>
                <w:rStyle w:val="Hyperlink"/>
                <w:noProof/>
              </w:rPr>
              <w:t>Evaluator’s overall conclusions on pharmacodynamics</w:t>
            </w:r>
            <w:r>
              <w:rPr>
                <w:noProof/>
                <w:webHidden/>
              </w:rPr>
              <w:tab/>
            </w:r>
            <w:r>
              <w:rPr>
                <w:noProof/>
                <w:webHidden/>
              </w:rPr>
              <w:fldChar w:fldCharType="begin"/>
            </w:r>
            <w:r>
              <w:rPr>
                <w:noProof/>
                <w:webHidden/>
              </w:rPr>
              <w:instrText xml:space="preserve"> PAGEREF _Toc376875775 \h </w:instrText>
            </w:r>
            <w:r>
              <w:rPr>
                <w:noProof/>
                <w:webHidden/>
              </w:rPr>
            </w:r>
            <w:r>
              <w:rPr>
                <w:noProof/>
                <w:webHidden/>
              </w:rPr>
              <w:fldChar w:fldCharType="separate"/>
            </w:r>
            <w:r>
              <w:rPr>
                <w:noProof/>
                <w:webHidden/>
              </w:rPr>
              <w:t>11</w:t>
            </w:r>
            <w:r>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76" w:history="1">
            <w:r w:rsidRPr="00366D99">
              <w:rPr>
                <w:rStyle w:val="Hyperlink"/>
                <w:noProof/>
              </w:rPr>
              <w:t>5.</w:t>
            </w:r>
            <w:r>
              <w:rPr>
                <w:rFonts w:asciiTheme="minorHAnsi" w:eastAsiaTheme="minorEastAsia" w:hAnsiTheme="minorHAnsi" w:cstheme="minorBidi"/>
                <w:b w:val="0"/>
                <w:noProof/>
                <w:sz w:val="22"/>
                <w:lang w:eastAsia="en-AU"/>
              </w:rPr>
              <w:tab/>
            </w:r>
            <w:r w:rsidRPr="00366D99">
              <w:rPr>
                <w:rStyle w:val="Hyperlink"/>
                <w:noProof/>
              </w:rPr>
              <w:t>Dosage selection for the pivotal studies</w:t>
            </w:r>
            <w:r>
              <w:rPr>
                <w:noProof/>
                <w:webHidden/>
              </w:rPr>
              <w:tab/>
            </w:r>
            <w:r>
              <w:rPr>
                <w:noProof/>
                <w:webHidden/>
              </w:rPr>
              <w:fldChar w:fldCharType="begin"/>
            </w:r>
            <w:r>
              <w:rPr>
                <w:noProof/>
                <w:webHidden/>
              </w:rPr>
              <w:instrText xml:space="preserve"> PAGEREF _Toc376875776 \h </w:instrText>
            </w:r>
            <w:r>
              <w:rPr>
                <w:noProof/>
                <w:webHidden/>
              </w:rPr>
            </w:r>
            <w:r>
              <w:rPr>
                <w:noProof/>
                <w:webHidden/>
              </w:rPr>
              <w:fldChar w:fldCharType="separate"/>
            </w:r>
            <w:r>
              <w:rPr>
                <w:noProof/>
                <w:webHidden/>
              </w:rPr>
              <w:t>12</w:t>
            </w:r>
            <w:r>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77" w:history="1">
            <w:r w:rsidRPr="00366D99">
              <w:rPr>
                <w:rStyle w:val="Hyperlink"/>
                <w:noProof/>
              </w:rPr>
              <w:t>6.</w:t>
            </w:r>
            <w:r>
              <w:rPr>
                <w:rFonts w:asciiTheme="minorHAnsi" w:eastAsiaTheme="minorEastAsia" w:hAnsiTheme="minorHAnsi" w:cstheme="minorBidi"/>
                <w:b w:val="0"/>
                <w:noProof/>
                <w:sz w:val="22"/>
                <w:lang w:eastAsia="en-AU"/>
              </w:rPr>
              <w:tab/>
            </w:r>
            <w:r w:rsidRPr="00366D99">
              <w:rPr>
                <w:rStyle w:val="Hyperlink"/>
                <w:noProof/>
              </w:rPr>
              <w:t>Clinical efficacy</w:t>
            </w:r>
            <w:r>
              <w:rPr>
                <w:noProof/>
                <w:webHidden/>
              </w:rPr>
              <w:tab/>
            </w:r>
            <w:r>
              <w:rPr>
                <w:noProof/>
                <w:webHidden/>
              </w:rPr>
              <w:fldChar w:fldCharType="begin"/>
            </w:r>
            <w:r>
              <w:rPr>
                <w:noProof/>
                <w:webHidden/>
              </w:rPr>
              <w:instrText xml:space="preserve"> PAGEREF _Toc376875777 \h </w:instrText>
            </w:r>
            <w:r>
              <w:rPr>
                <w:noProof/>
                <w:webHidden/>
              </w:rPr>
            </w:r>
            <w:r>
              <w:rPr>
                <w:noProof/>
                <w:webHidden/>
              </w:rPr>
              <w:fldChar w:fldCharType="separate"/>
            </w:r>
            <w:r>
              <w:rPr>
                <w:noProof/>
                <w:webHidden/>
              </w:rPr>
              <w:t>12</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78" w:history="1">
            <w:r w:rsidRPr="00366D99">
              <w:rPr>
                <w:rStyle w:val="Hyperlink"/>
                <w:noProof/>
              </w:rPr>
              <w:t>6.1.</w:t>
            </w:r>
            <w:r>
              <w:rPr>
                <w:rFonts w:asciiTheme="minorHAnsi" w:eastAsiaTheme="minorEastAsia" w:hAnsiTheme="minorHAnsi" w:cstheme="minorBidi"/>
                <w:noProof/>
                <w:lang w:eastAsia="en-AU"/>
              </w:rPr>
              <w:tab/>
            </w:r>
            <w:r w:rsidRPr="00366D99">
              <w:rPr>
                <w:rStyle w:val="Hyperlink"/>
                <w:noProof/>
              </w:rPr>
              <w:t>Treatment of thrombocytopenia  in adult patients with chronic hepatitis C virus (HCV) infection</w:t>
            </w:r>
            <w:r>
              <w:rPr>
                <w:noProof/>
                <w:webHidden/>
              </w:rPr>
              <w:tab/>
            </w:r>
            <w:r>
              <w:rPr>
                <w:noProof/>
                <w:webHidden/>
              </w:rPr>
              <w:fldChar w:fldCharType="begin"/>
            </w:r>
            <w:r>
              <w:rPr>
                <w:noProof/>
                <w:webHidden/>
              </w:rPr>
              <w:instrText xml:space="preserve"> PAGEREF _Toc376875778 \h </w:instrText>
            </w:r>
            <w:r>
              <w:rPr>
                <w:noProof/>
                <w:webHidden/>
              </w:rPr>
            </w:r>
            <w:r>
              <w:rPr>
                <w:noProof/>
                <w:webHidden/>
              </w:rPr>
              <w:fldChar w:fldCharType="separate"/>
            </w:r>
            <w:r>
              <w:rPr>
                <w:noProof/>
                <w:webHidden/>
              </w:rPr>
              <w:t>12</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79" w:history="1">
            <w:r w:rsidRPr="00366D99">
              <w:rPr>
                <w:rStyle w:val="Hyperlink"/>
                <w:noProof/>
              </w:rPr>
              <w:t>6.2.</w:t>
            </w:r>
            <w:r>
              <w:rPr>
                <w:rFonts w:asciiTheme="minorHAnsi" w:eastAsiaTheme="minorEastAsia" w:hAnsiTheme="minorHAnsi" w:cstheme="minorBidi"/>
                <w:noProof/>
                <w:lang w:eastAsia="en-AU"/>
              </w:rPr>
              <w:tab/>
            </w:r>
            <w:r w:rsidRPr="00366D99">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_Toc376875779 \h </w:instrText>
            </w:r>
            <w:r>
              <w:rPr>
                <w:noProof/>
                <w:webHidden/>
              </w:rPr>
            </w:r>
            <w:r>
              <w:rPr>
                <w:noProof/>
                <w:webHidden/>
              </w:rPr>
              <w:fldChar w:fldCharType="separate"/>
            </w:r>
            <w:r>
              <w:rPr>
                <w:noProof/>
                <w:webHidden/>
              </w:rPr>
              <w:t>19</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0" w:history="1">
            <w:r w:rsidRPr="00366D99">
              <w:rPr>
                <w:rStyle w:val="Hyperlink"/>
                <w:noProof/>
              </w:rPr>
              <w:t>6.3.</w:t>
            </w:r>
            <w:r>
              <w:rPr>
                <w:rFonts w:asciiTheme="minorHAnsi" w:eastAsiaTheme="minorEastAsia" w:hAnsiTheme="minorHAnsi" w:cstheme="minorBidi"/>
                <w:noProof/>
                <w:lang w:eastAsia="en-AU"/>
              </w:rPr>
              <w:tab/>
            </w:r>
            <w:r w:rsidRPr="00366D99">
              <w:rPr>
                <w:rStyle w:val="Hyperlink"/>
                <w:noProof/>
              </w:rPr>
              <w:t>Evaluator’s conclusions on clinical efficacy</w:t>
            </w:r>
            <w:r>
              <w:rPr>
                <w:noProof/>
                <w:webHidden/>
              </w:rPr>
              <w:tab/>
            </w:r>
            <w:r>
              <w:rPr>
                <w:noProof/>
                <w:webHidden/>
              </w:rPr>
              <w:fldChar w:fldCharType="begin"/>
            </w:r>
            <w:r>
              <w:rPr>
                <w:noProof/>
                <w:webHidden/>
              </w:rPr>
              <w:instrText xml:space="preserve"> PAGEREF _Toc376875780 \h </w:instrText>
            </w:r>
            <w:r>
              <w:rPr>
                <w:noProof/>
                <w:webHidden/>
              </w:rPr>
            </w:r>
            <w:r>
              <w:rPr>
                <w:noProof/>
                <w:webHidden/>
              </w:rPr>
              <w:fldChar w:fldCharType="separate"/>
            </w:r>
            <w:r>
              <w:rPr>
                <w:noProof/>
                <w:webHidden/>
              </w:rPr>
              <w:t>23</w:t>
            </w:r>
            <w:r>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81" w:history="1">
            <w:r w:rsidRPr="00366D99">
              <w:rPr>
                <w:rStyle w:val="Hyperlink"/>
                <w:noProof/>
              </w:rPr>
              <w:t>7.</w:t>
            </w:r>
            <w:r>
              <w:rPr>
                <w:rFonts w:asciiTheme="minorHAnsi" w:eastAsiaTheme="minorEastAsia" w:hAnsiTheme="minorHAnsi" w:cstheme="minorBidi"/>
                <w:b w:val="0"/>
                <w:noProof/>
                <w:sz w:val="22"/>
                <w:lang w:eastAsia="en-AU"/>
              </w:rPr>
              <w:tab/>
            </w:r>
            <w:r w:rsidRPr="00366D99">
              <w:rPr>
                <w:rStyle w:val="Hyperlink"/>
                <w:noProof/>
              </w:rPr>
              <w:t>Clinical safety</w:t>
            </w:r>
            <w:r>
              <w:rPr>
                <w:noProof/>
                <w:webHidden/>
              </w:rPr>
              <w:tab/>
            </w:r>
            <w:r>
              <w:rPr>
                <w:noProof/>
                <w:webHidden/>
              </w:rPr>
              <w:fldChar w:fldCharType="begin"/>
            </w:r>
            <w:r>
              <w:rPr>
                <w:noProof/>
                <w:webHidden/>
              </w:rPr>
              <w:instrText xml:space="preserve"> PAGEREF _Toc376875781 \h </w:instrText>
            </w:r>
            <w:r>
              <w:rPr>
                <w:noProof/>
                <w:webHidden/>
              </w:rPr>
            </w:r>
            <w:r>
              <w:rPr>
                <w:noProof/>
                <w:webHidden/>
              </w:rPr>
              <w:fldChar w:fldCharType="separate"/>
            </w:r>
            <w:r>
              <w:rPr>
                <w:noProof/>
                <w:webHidden/>
              </w:rPr>
              <w:t>24</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2" w:history="1">
            <w:r w:rsidRPr="00366D99">
              <w:rPr>
                <w:rStyle w:val="Hyperlink"/>
                <w:noProof/>
              </w:rPr>
              <w:t>7.1.</w:t>
            </w:r>
            <w:r>
              <w:rPr>
                <w:rFonts w:asciiTheme="minorHAnsi" w:eastAsiaTheme="minorEastAsia" w:hAnsiTheme="minorHAnsi" w:cstheme="minorBidi"/>
                <w:noProof/>
                <w:lang w:eastAsia="en-AU"/>
              </w:rPr>
              <w:tab/>
            </w:r>
            <w:r w:rsidRPr="00366D99">
              <w:rPr>
                <w:rStyle w:val="Hyperlink"/>
                <w:noProof/>
              </w:rPr>
              <w:t>Studies providing evaluable safety data</w:t>
            </w:r>
            <w:r>
              <w:rPr>
                <w:noProof/>
                <w:webHidden/>
              </w:rPr>
              <w:tab/>
            </w:r>
            <w:r>
              <w:rPr>
                <w:noProof/>
                <w:webHidden/>
              </w:rPr>
              <w:fldChar w:fldCharType="begin"/>
            </w:r>
            <w:r>
              <w:rPr>
                <w:noProof/>
                <w:webHidden/>
              </w:rPr>
              <w:instrText xml:space="preserve"> PAGEREF _Toc376875782 \h </w:instrText>
            </w:r>
            <w:r>
              <w:rPr>
                <w:noProof/>
                <w:webHidden/>
              </w:rPr>
            </w:r>
            <w:r>
              <w:rPr>
                <w:noProof/>
                <w:webHidden/>
              </w:rPr>
              <w:fldChar w:fldCharType="separate"/>
            </w:r>
            <w:r>
              <w:rPr>
                <w:noProof/>
                <w:webHidden/>
              </w:rPr>
              <w:t>24</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3" w:history="1">
            <w:r w:rsidRPr="00366D99">
              <w:rPr>
                <w:rStyle w:val="Hyperlink"/>
                <w:noProof/>
              </w:rPr>
              <w:t>7.2.</w:t>
            </w:r>
            <w:r>
              <w:rPr>
                <w:rFonts w:asciiTheme="minorHAnsi" w:eastAsiaTheme="minorEastAsia" w:hAnsiTheme="minorHAnsi" w:cstheme="minorBidi"/>
                <w:noProof/>
                <w:lang w:eastAsia="en-AU"/>
              </w:rPr>
              <w:tab/>
            </w:r>
            <w:r w:rsidRPr="00366D99">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_Toc376875783 \h </w:instrText>
            </w:r>
            <w:r>
              <w:rPr>
                <w:noProof/>
                <w:webHidden/>
              </w:rPr>
            </w:r>
            <w:r>
              <w:rPr>
                <w:noProof/>
                <w:webHidden/>
              </w:rPr>
              <w:fldChar w:fldCharType="separate"/>
            </w:r>
            <w:r>
              <w:rPr>
                <w:noProof/>
                <w:webHidden/>
              </w:rPr>
              <w:t>24</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4" w:history="1">
            <w:r w:rsidRPr="00366D99">
              <w:rPr>
                <w:rStyle w:val="Hyperlink"/>
                <w:noProof/>
              </w:rPr>
              <w:t>7.3.</w:t>
            </w:r>
            <w:r>
              <w:rPr>
                <w:rFonts w:asciiTheme="minorHAnsi" w:eastAsiaTheme="minorEastAsia" w:hAnsiTheme="minorHAnsi" w:cstheme="minorBidi"/>
                <w:noProof/>
                <w:lang w:eastAsia="en-AU"/>
              </w:rPr>
              <w:tab/>
            </w:r>
            <w:r w:rsidRPr="00366D99">
              <w:rPr>
                <w:rStyle w:val="Hyperlink"/>
                <w:noProof/>
              </w:rPr>
              <w:t>Patient exposure</w:t>
            </w:r>
            <w:r>
              <w:rPr>
                <w:noProof/>
                <w:webHidden/>
              </w:rPr>
              <w:tab/>
            </w:r>
            <w:r>
              <w:rPr>
                <w:noProof/>
                <w:webHidden/>
              </w:rPr>
              <w:fldChar w:fldCharType="begin"/>
            </w:r>
            <w:r>
              <w:rPr>
                <w:noProof/>
                <w:webHidden/>
              </w:rPr>
              <w:instrText xml:space="preserve"> PAGEREF _Toc376875784 \h </w:instrText>
            </w:r>
            <w:r>
              <w:rPr>
                <w:noProof/>
                <w:webHidden/>
              </w:rPr>
            </w:r>
            <w:r>
              <w:rPr>
                <w:noProof/>
                <w:webHidden/>
              </w:rPr>
              <w:fldChar w:fldCharType="separate"/>
            </w:r>
            <w:r>
              <w:rPr>
                <w:noProof/>
                <w:webHidden/>
              </w:rPr>
              <w:t>25</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5" w:history="1">
            <w:r w:rsidRPr="00366D99">
              <w:rPr>
                <w:rStyle w:val="Hyperlink"/>
                <w:noProof/>
              </w:rPr>
              <w:t>7.4.</w:t>
            </w:r>
            <w:r>
              <w:rPr>
                <w:rFonts w:asciiTheme="minorHAnsi" w:eastAsiaTheme="minorEastAsia" w:hAnsiTheme="minorHAnsi" w:cstheme="minorBidi"/>
                <w:noProof/>
                <w:lang w:eastAsia="en-AU"/>
              </w:rPr>
              <w:tab/>
            </w:r>
            <w:r w:rsidRPr="00366D99">
              <w:rPr>
                <w:rStyle w:val="Hyperlink"/>
                <w:noProof/>
              </w:rPr>
              <w:t>Adverse events</w:t>
            </w:r>
            <w:r>
              <w:rPr>
                <w:noProof/>
                <w:webHidden/>
              </w:rPr>
              <w:tab/>
            </w:r>
            <w:r>
              <w:rPr>
                <w:noProof/>
                <w:webHidden/>
              </w:rPr>
              <w:fldChar w:fldCharType="begin"/>
            </w:r>
            <w:r>
              <w:rPr>
                <w:noProof/>
                <w:webHidden/>
              </w:rPr>
              <w:instrText xml:space="preserve"> PAGEREF _Toc376875785 \h </w:instrText>
            </w:r>
            <w:r>
              <w:rPr>
                <w:noProof/>
                <w:webHidden/>
              </w:rPr>
            </w:r>
            <w:r>
              <w:rPr>
                <w:noProof/>
                <w:webHidden/>
              </w:rPr>
              <w:fldChar w:fldCharType="separate"/>
            </w:r>
            <w:r>
              <w:rPr>
                <w:noProof/>
                <w:webHidden/>
              </w:rPr>
              <w:t>26</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6" w:history="1">
            <w:r w:rsidRPr="00366D99">
              <w:rPr>
                <w:rStyle w:val="Hyperlink"/>
                <w:noProof/>
              </w:rPr>
              <w:t>7.5.</w:t>
            </w:r>
            <w:r>
              <w:rPr>
                <w:rFonts w:asciiTheme="minorHAnsi" w:eastAsiaTheme="minorEastAsia" w:hAnsiTheme="minorHAnsi" w:cstheme="minorBidi"/>
                <w:noProof/>
                <w:lang w:eastAsia="en-AU"/>
              </w:rPr>
              <w:tab/>
            </w:r>
            <w:r w:rsidRPr="00366D99">
              <w:rPr>
                <w:rStyle w:val="Hyperlink"/>
                <w:noProof/>
              </w:rPr>
              <w:t>Laboratory tests</w:t>
            </w:r>
            <w:r>
              <w:rPr>
                <w:noProof/>
                <w:webHidden/>
              </w:rPr>
              <w:tab/>
            </w:r>
            <w:r>
              <w:rPr>
                <w:noProof/>
                <w:webHidden/>
              </w:rPr>
              <w:fldChar w:fldCharType="begin"/>
            </w:r>
            <w:r>
              <w:rPr>
                <w:noProof/>
                <w:webHidden/>
              </w:rPr>
              <w:instrText xml:space="preserve"> PAGEREF _Toc376875786 \h </w:instrText>
            </w:r>
            <w:r>
              <w:rPr>
                <w:noProof/>
                <w:webHidden/>
              </w:rPr>
            </w:r>
            <w:r>
              <w:rPr>
                <w:noProof/>
                <w:webHidden/>
              </w:rPr>
              <w:fldChar w:fldCharType="separate"/>
            </w:r>
            <w:r>
              <w:rPr>
                <w:noProof/>
                <w:webHidden/>
              </w:rPr>
              <w:t>29</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7" w:history="1">
            <w:r w:rsidRPr="00366D99">
              <w:rPr>
                <w:rStyle w:val="Hyperlink"/>
                <w:noProof/>
              </w:rPr>
              <w:t>7.6.</w:t>
            </w:r>
            <w:r>
              <w:rPr>
                <w:rFonts w:asciiTheme="minorHAnsi" w:eastAsiaTheme="minorEastAsia" w:hAnsiTheme="minorHAnsi" w:cstheme="minorBidi"/>
                <w:noProof/>
                <w:lang w:eastAsia="en-AU"/>
              </w:rPr>
              <w:tab/>
            </w:r>
            <w:r w:rsidRPr="00366D99">
              <w:rPr>
                <w:rStyle w:val="Hyperlink"/>
                <w:noProof/>
              </w:rPr>
              <w:t>Postmarketing experience</w:t>
            </w:r>
            <w:r>
              <w:rPr>
                <w:noProof/>
                <w:webHidden/>
              </w:rPr>
              <w:tab/>
            </w:r>
            <w:r>
              <w:rPr>
                <w:noProof/>
                <w:webHidden/>
              </w:rPr>
              <w:fldChar w:fldCharType="begin"/>
            </w:r>
            <w:r>
              <w:rPr>
                <w:noProof/>
                <w:webHidden/>
              </w:rPr>
              <w:instrText xml:space="preserve"> PAGEREF _Toc376875787 \h </w:instrText>
            </w:r>
            <w:r>
              <w:rPr>
                <w:noProof/>
                <w:webHidden/>
              </w:rPr>
            </w:r>
            <w:r>
              <w:rPr>
                <w:noProof/>
                <w:webHidden/>
              </w:rPr>
              <w:fldChar w:fldCharType="separate"/>
            </w:r>
            <w:r>
              <w:rPr>
                <w:noProof/>
                <w:webHidden/>
              </w:rPr>
              <w:t>32</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8" w:history="1">
            <w:r w:rsidRPr="00366D99">
              <w:rPr>
                <w:rStyle w:val="Hyperlink"/>
                <w:noProof/>
              </w:rPr>
              <w:t>7.7.</w:t>
            </w:r>
            <w:r>
              <w:rPr>
                <w:rFonts w:asciiTheme="minorHAnsi" w:eastAsiaTheme="minorEastAsia" w:hAnsiTheme="minorHAnsi" w:cstheme="minorBidi"/>
                <w:noProof/>
                <w:lang w:eastAsia="en-AU"/>
              </w:rPr>
              <w:tab/>
            </w:r>
            <w:r w:rsidRPr="00366D9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_Toc376875788 \h </w:instrText>
            </w:r>
            <w:r>
              <w:rPr>
                <w:noProof/>
                <w:webHidden/>
              </w:rPr>
            </w:r>
            <w:r>
              <w:rPr>
                <w:noProof/>
                <w:webHidden/>
              </w:rPr>
              <w:fldChar w:fldCharType="separate"/>
            </w:r>
            <w:r>
              <w:rPr>
                <w:noProof/>
                <w:webHidden/>
              </w:rPr>
              <w:t>33</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89" w:history="1">
            <w:r w:rsidRPr="00366D99">
              <w:rPr>
                <w:rStyle w:val="Hyperlink"/>
                <w:noProof/>
              </w:rPr>
              <w:t>7.8.</w:t>
            </w:r>
            <w:r>
              <w:rPr>
                <w:rFonts w:asciiTheme="minorHAnsi" w:eastAsiaTheme="minorEastAsia" w:hAnsiTheme="minorHAnsi" w:cstheme="minorBidi"/>
                <w:noProof/>
                <w:lang w:eastAsia="en-AU"/>
              </w:rPr>
              <w:tab/>
            </w:r>
            <w:r w:rsidRPr="00366D99">
              <w:rPr>
                <w:rStyle w:val="Hyperlink"/>
                <w:noProof/>
              </w:rPr>
              <w:t>Other safety issues</w:t>
            </w:r>
            <w:r>
              <w:rPr>
                <w:noProof/>
                <w:webHidden/>
              </w:rPr>
              <w:tab/>
            </w:r>
            <w:r>
              <w:rPr>
                <w:noProof/>
                <w:webHidden/>
              </w:rPr>
              <w:fldChar w:fldCharType="begin"/>
            </w:r>
            <w:r>
              <w:rPr>
                <w:noProof/>
                <w:webHidden/>
              </w:rPr>
              <w:instrText xml:space="preserve"> PAGEREF _Toc376875789 \h </w:instrText>
            </w:r>
            <w:r>
              <w:rPr>
                <w:noProof/>
                <w:webHidden/>
              </w:rPr>
            </w:r>
            <w:r>
              <w:rPr>
                <w:noProof/>
                <w:webHidden/>
              </w:rPr>
              <w:fldChar w:fldCharType="separate"/>
            </w:r>
            <w:r>
              <w:rPr>
                <w:noProof/>
                <w:webHidden/>
              </w:rPr>
              <w:t>34</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90" w:history="1">
            <w:r w:rsidRPr="00366D99">
              <w:rPr>
                <w:rStyle w:val="Hyperlink"/>
                <w:noProof/>
              </w:rPr>
              <w:t>7.9.</w:t>
            </w:r>
            <w:r>
              <w:rPr>
                <w:rFonts w:asciiTheme="minorHAnsi" w:eastAsiaTheme="minorEastAsia" w:hAnsiTheme="minorHAnsi" w:cstheme="minorBidi"/>
                <w:noProof/>
                <w:lang w:eastAsia="en-AU"/>
              </w:rPr>
              <w:tab/>
            </w:r>
            <w:r w:rsidRPr="00366D99">
              <w:rPr>
                <w:rStyle w:val="Hyperlink"/>
                <w:noProof/>
              </w:rPr>
              <w:t>Evaluator’s overall conclusions on clinical safety</w:t>
            </w:r>
            <w:r>
              <w:rPr>
                <w:noProof/>
                <w:webHidden/>
              </w:rPr>
              <w:tab/>
            </w:r>
            <w:r>
              <w:rPr>
                <w:noProof/>
                <w:webHidden/>
              </w:rPr>
              <w:fldChar w:fldCharType="begin"/>
            </w:r>
            <w:r>
              <w:rPr>
                <w:noProof/>
                <w:webHidden/>
              </w:rPr>
              <w:instrText xml:space="preserve"> PAGEREF _Toc376875790 \h </w:instrText>
            </w:r>
            <w:r>
              <w:rPr>
                <w:noProof/>
                <w:webHidden/>
              </w:rPr>
            </w:r>
            <w:r>
              <w:rPr>
                <w:noProof/>
                <w:webHidden/>
              </w:rPr>
              <w:fldChar w:fldCharType="separate"/>
            </w:r>
            <w:r>
              <w:rPr>
                <w:noProof/>
                <w:webHidden/>
              </w:rPr>
              <w:t>35</w:t>
            </w:r>
            <w:r>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91" w:history="1">
            <w:r w:rsidRPr="00366D99">
              <w:rPr>
                <w:rStyle w:val="Hyperlink"/>
                <w:noProof/>
              </w:rPr>
              <w:t>8.</w:t>
            </w:r>
            <w:r>
              <w:rPr>
                <w:rFonts w:asciiTheme="minorHAnsi" w:eastAsiaTheme="minorEastAsia" w:hAnsiTheme="minorHAnsi" w:cstheme="minorBidi"/>
                <w:b w:val="0"/>
                <w:noProof/>
                <w:sz w:val="22"/>
                <w:lang w:eastAsia="en-AU"/>
              </w:rPr>
              <w:tab/>
            </w:r>
            <w:r w:rsidRPr="00366D99">
              <w:rPr>
                <w:rStyle w:val="Hyperlink"/>
                <w:noProof/>
              </w:rPr>
              <w:t>First round benefit-risk assessment</w:t>
            </w:r>
            <w:r>
              <w:rPr>
                <w:noProof/>
                <w:webHidden/>
              </w:rPr>
              <w:tab/>
            </w:r>
            <w:r>
              <w:rPr>
                <w:noProof/>
                <w:webHidden/>
              </w:rPr>
              <w:fldChar w:fldCharType="begin"/>
            </w:r>
            <w:r>
              <w:rPr>
                <w:noProof/>
                <w:webHidden/>
              </w:rPr>
              <w:instrText xml:space="preserve"> PAGEREF _Toc376875791 \h </w:instrText>
            </w:r>
            <w:r>
              <w:rPr>
                <w:noProof/>
                <w:webHidden/>
              </w:rPr>
            </w:r>
            <w:r>
              <w:rPr>
                <w:noProof/>
                <w:webHidden/>
              </w:rPr>
              <w:fldChar w:fldCharType="separate"/>
            </w:r>
            <w:r>
              <w:rPr>
                <w:noProof/>
                <w:webHidden/>
              </w:rPr>
              <w:t>36</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92" w:history="1">
            <w:r w:rsidRPr="00366D99">
              <w:rPr>
                <w:rStyle w:val="Hyperlink"/>
                <w:noProof/>
              </w:rPr>
              <w:t>8.1.</w:t>
            </w:r>
            <w:r>
              <w:rPr>
                <w:rFonts w:asciiTheme="minorHAnsi" w:eastAsiaTheme="minorEastAsia" w:hAnsiTheme="minorHAnsi" w:cstheme="minorBidi"/>
                <w:noProof/>
                <w:lang w:eastAsia="en-AU"/>
              </w:rPr>
              <w:tab/>
            </w:r>
            <w:r w:rsidRPr="00366D99">
              <w:rPr>
                <w:rStyle w:val="Hyperlink"/>
                <w:noProof/>
              </w:rPr>
              <w:t>First round assessment of benefits</w:t>
            </w:r>
            <w:r>
              <w:rPr>
                <w:noProof/>
                <w:webHidden/>
              </w:rPr>
              <w:tab/>
            </w:r>
            <w:r>
              <w:rPr>
                <w:noProof/>
                <w:webHidden/>
              </w:rPr>
              <w:fldChar w:fldCharType="begin"/>
            </w:r>
            <w:r>
              <w:rPr>
                <w:noProof/>
                <w:webHidden/>
              </w:rPr>
              <w:instrText xml:space="preserve"> PAGEREF _Toc376875792 \h </w:instrText>
            </w:r>
            <w:r>
              <w:rPr>
                <w:noProof/>
                <w:webHidden/>
              </w:rPr>
            </w:r>
            <w:r>
              <w:rPr>
                <w:noProof/>
                <w:webHidden/>
              </w:rPr>
              <w:fldChar w:fldCharType="separate"/>
            </w:r>
            <w:r>
              <w:rPr>
                <w:noProof/>
                <w:webHidden/>
              </w:rPr>
              <w:t>36</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93" w:history="1">
            <w:r w:rsidRPr="00366D99">
              <w:rPr>
                <w:rStyle w:val="Hyperlink"/>
                <w:noProof/>
              </w:rPr>
              <w:t>8.2.</w:t>
            </w:r>
            <w:r>
              <w:rPr>
                <w:rFonts w:asciiTheme="minorHAnsi" w:eastAsiaTheme="minorEastAsia" w:hAnsiTheme="minorHAnsi" w:cstheme="minorBidi"/>
                <w:noProof/>
                <w:lang w:eastAsia="en-AU"/>
              </w:rPr>
              <w:tab/>
            </w:r>
            <w:r w:rsidRPr="00366D99">
              <w:rPr>
                <w:rStyle w:val="Hyperlink"/>
                <w:noProof/>
              </w:rPr>
              <w:t>First round assessment of risks</w:t>
            </w:r>
            <w:r>
              <w:rPr>
                <w:noProof/>
                <w:webHidden/>
              </w:rPr>
              <w:tab/>
            </w:r>
            <w:r>
              <w:rPr>
                <w:noProof/>
                <w:webHidden/>
              </w:rPr>
              <w:fldChar w:fldCharType="begin"/>
            </w:r>
            <w:r>
              <w:rPr>
                <w:noProof/>
                <w:webHidden/>
              </w:rPr>
              <w:instrText xml:space="preserve"> PAGEREF _Toc376875793 \h </w:instrText>
            </w:r>
            <w:r>
              <w:rPr>
                <w:noProof/>
                <w:webHidden/>
              </w:rPr>
            </w:r>
            <w:r>
              <w:rPr>
                <w:noProof/>
                <w:webHidden/>
              </w:rPr>
              <w:fldChar w:fldCharType="separate"/>
            </w:r>
            <w:r>
              <w:rPr>
                <w:noProof/>
                <w:webHidden/>
              </w:rPr>
              <w:t>36</w:t>
            </w:r>
            <w:r>
              <w:rPr>
                <w:noProof/>
                <w:webHidden/>
              </w:rPr>
              <w:fldChar w:fldCharType="end"/>
            </w:r>
          </w:hyperlink>
        </w:p>
        <w:p w:rsidR="00EF46A4" w:rsidRDefault="00EF46A4">
          <w:pPr>
            <w:pStyle w:val="TOC3"/>
            <w:tabs>
              <w:tab w:val="left" w:pos="1760"/>
            </w:tabs>
            <w:rPr>
              <w:rFonts w:asciiTheme="minorHAnsi" w:eastAsiaTheme="minorEastAsia" w:hAnsiTheme="minorHAnsi" w:cstheme="minorBidi"/>
              <w:noProof/>
              <w:lang w:eastAsia="en-AU"/>
            </w:rPr>
          </w:pPr>
          <w:hyperlink w:anchor="_Toc376875794" w:history="1">
            <w:r w:rsidRPr="00366D99">
              <w:rPr>
                <w:rStyle w:val="Hyperlink"/>
                <w:noProof/>
              </w:rPr>
              <w:t>8.3.</w:t>
            </w:r>
            <w:r>
              <w:rPr>
                <w:rFonts w:asciiTheme="minorHAnsi" w:eastAsiaTheme="minorEastAsia" w:hAnsiTheme="minorHAnsi" w:cstheme="minorBidi"/>
                <w:noProof/>
                <w:lang w:eastAsia="en-AU"/>
              </w:rPr>
              <w:tab/>
            </w:r>
            <w:r w:rsidRPr="00366D99">
              <w:rPr>
                <w:rStyle w:val="Hyperlink"/>
                <w:noProof/>
              </w:rPr>
              <w:t>First round assessment of benefit-risk balance</w:t>
            </w:r>
            <w:r>
              <w:rPr>
                <w:noProof/>
                <w:webHidden/>
              </w:rPr>
              <w:tab/>
            </w:r>
            <w:r>
              <w:rPr>
                <w:noProof/>
                <w:webHidden/>
              </w:rPr>
              <w:fldChar w:fldCharType="begin"/>
            </w:r>
            <w:r>
              <w:rPr>
                <w:noProof/>
                <w:webHidden/>
              </w:rPr>
              <w:instrText xml:space="preserve"> PAGEREF _Toc376875794 \h </w:instrText>
            </w:r>
            <w:r>
              <w:rPr>
                <w:noProof/>
                <w:webHidden/>
              </w:rPr>
            </w:r>
            <w:r>
              <w:rPr>
                <w:noProof/>
                <w:webHidden/>
              </w:rPr>
              <w:fldChar w:fldCharType="separate"/>
            </w:r>
            <w:r>
              <w:rPr>
                <w:noProof/>
                <w:webHidden/>
              </w:rPr>
              <w:t>37</w:t>
            </w:r>
            <w:r>
              <w:rPr>
                <w:noProof/>
                <w:webHidden/>
              </w:rPr>
              <w:fldChar w:fldCharType="end"/>
            </w:r>
          </w:hyperlink>
        </w:p>
        <w:p w:rsidR="00EF46A4" w:rsidRDefault="00EF46A4">
          <w:pPr>
            <w:pStyle w:val="TOC2"/>
            <w:tabs>
              <w:tab w:val="left" w:pos="1100"/>
            </w:tabs>
            <w:rPr>
              <w:rFonts w:asciiTheme="minorHAnsi" w:eastAsiaTheme="minorEastAsia" w:hAnsiTheme="minorHAnsi" w:cstheme="minorBidi"/>
              <w:b w:val="0"/>
              <w:noProof/>
              <w:sz w:val="22"/>
              <w:lang w:eastAsia="en-AU"/>
            </w:rPr>
          </w:pPr>
          <w:hyperlink w:anchor="_Toc376875795" w:history="1">
            <w:r w:rsidRPr="00366D99">
              <w:rPr>
                <w:rStyle w:val="Hyperlink"/>
                <w:noProof/>
              </w:rPr>
              <w:t>9.</w:t>
            </w:r>
            <w:r>
              <w:rPr>
                <w:rFonts w:asciiTheme="minorHAnsi" w:eastAsiaTheme="minorEastAsia" w:hAnsiTheme="minorHAnsi" w:cstheme="minorBidi"/>
                <w:b w:val="0"/>
                <w:noProof/>
                <w:sz w:val="22"/>
                <w:lang w:eastAsia="en-AU"/>
              </w:rPr>
              <w:tab/>
            </w:r>
            <w:r w:rsidRPr="00366D99">
              <w:rPr>
                <w:rStyle w:val="Hyperlink"/>
                <w:noProof/>
              </w:rPr>
              <w:t>First round recommendation regarding authorisation</w:t>
            </w:r>
            <w:r>
              <w:rPr>
                <w:noProof/>
                <w:webHidden/>
              </w:rPr>
              <w:tab/>
            </w:r>
            <w:r>
              <w:rPr>
                <w:noProof/>
                <w:webHidden/>
              </w:rPr>
              <w:fldChar w:fldCharType="begin"/>
            </w:r>
            <w:r>
              <w:rPr>
                <w:noProof/>
                <w:webHidden/>
              </w:rPr>
              <w:instrText xml:space="preserve"> PAGEREF _Toc376875795 \h </w:instrText>
            </w:r>
            <w:r>
              <w:rPr>
                <w:noProof/>
                <w:webHidden/>
              </w:rPr>
            </w:r>
            <w:r>
              <w:rPr>
                <w:noProof/>
                <w:webHidden/>
              </w:rPr>
              <w:fldChar w:fldCharType="separate"/>
            </w:r>
            <w:r>
              <w:rPr>
                <w:noProof/>
                <w:webHidden/>
              </w:rPr>
              <w:t>37</w:t>
            </w:r>
            <w:r>
              <w:rPr>
                <w:noProof/>
                <w:webHidden/>
              </w:rPr>
              <w:fldChar w:fldCharType="end"/>
            </w:r>
          </w:hyperlink>
        </w:p>
        <w:p w:rsidR="00EF46A4" w:rsidRDefault="00EF46A4">
          <w:pPr>
            <w:pStyle w:val="TOC2"/>
            <w:tabs>
              <w:tab w:val="left" w:pos="1320"/>
            </w:tabs>
            <w:rPr>
              <w:rFonts w:asciiTheme="minorHAnsi" w:eastAsiaTheme="minorEastAsia" w:hAnsiTheme="minorHAnsi" w:cstheme="minorBidi"/>
              <w:b w:val="0"/>
              <w:noProof/>
              <w:sz w:val="22"/>
              <w:lang w:eastAsia="en-AU"/>
            </w:rPr>
          </w:pPr>
          <w:hyperlink w:anchor="_Toc376875796" w:history="1">
            <w:r w:rsidRPr="00366D99">
              <w:rPr>
                <w:rStyle w:val="Hyperlink"/>
                <w:noProof/>
              </w:rPr>
              <w:t>10.</w:t>
            </w:r>
            <w:r>
              <w:rPr>
                <w:rFonts w:asciiTheme="minorHAnsi" w:eastAsiaTheme="minorEastAsia" w:hAnsiTheme="minorHAnsi" w:cstheme="minorBidi"/>
                <w:b w:val="0"/>
                <w:noProof/>
                <w:sz w:val="22"/>
                <w:lang w:eastAsia="en-AU"/>
              </w:rPr>
              <w:tab/>
            </w:r>
            <w:r w:rsidRPr="00366D99">
              <w:rPr>
                <w:rStyle w:val="Hyperlink"/>
                <w:noProof/>
              </w:rPr>
              <w:t>Clinical questions</w:t>
            </w:r>
            <w:r>
              <w:rPr>
                <w:noProof/>
                <w:webHidden/>
              </w:rPr>
              <w:tab/>
            </w:r>
            <w:r>
              <w:rPr>
                <w:noProof/>
                <w:webHidden/>
              </w:rPr>
              <w:fldChar w:fldCharType="begin"/>
            </w:r>
            <w:r>
              <w:rPr>
                <w:noProof/>
                <w:webHidden/>
              </w:rPr>
              <w:instrText xml:space="preserve"> PAGEREF _Toc376875796 \h </w:instrText>
            </w:r>
            <w:r>
              <w:rPr>
                <w:noProof/>
                <w:webHidden/>
              </w:rPr>
            </w:r>
            <w:r>
              <w:rPr>
                <w:noProof/>
                <w:webHidden/>
              </w:rPr>
              <w:fldChar w:fldCharType="separate"/>
            </w:r>
            <w:r>
              <w:rPr>
                <w:noProof/>
                <w:webHidden/>
              </w:rPr>
              <w:t>38</w:t>
            </w:r>
            <w:r>
              <w:rPr>
                <w:noProof/>
                <w:webHidden/>
              </w:rPr>
              <w:fldChar w:fldCharType="end"/>
            </w:r>
          </w:hyperlink>
        </w:p>
        <w:p w:rsidR="00EF46A4" w:rsidRDefault="00EF46A4">
          <w:pPr>
            <w:pStyle w:val="TOC2"/>
            <w:tabs>
              <w:tab w:val="left" w:pos="1320"/>
            </w:tabs>
            <w:rPr>
              <w:rFonts w:asciiTheme="minorHAnsi" w:eastAsiaTheme="minorEastAsia" w:hAnsiTheme="minorHAnsi" w:cstheme="minorBidi"/>
              <w:b w:val="0"/>
              <w:noProof/>
              <w:sz w:val="22"/>
              <w:lang w:eastAsia="en-AU"/>
            </w:rPr>
          </w:pPr>
          <w:hyperlink w:anchor="_Toc376875797" w:history="1">
            <w:r w:rsidRPr="00366D99">
              <w:rPr>
                <w:rStyle w:val="Hyperlink"/>
                <w:noProof/>
              </w:rPr>
              <w:t>11.</w:t>
            </w:r>
            <w:r>
              <w:rPr>
                <w:rFonts w:asciiTheme="minorHAnsi" w:eastAsiaTheme="minorEastAsia" w:hAnsiTheme="minorHAnsi" w:cstheme="minorBidi"/>
                <w:b w:val="0"/>
                <w:noProof/>
                <w:sz w:val="22"/>
                <w:lang w:eastAsia="en-AU"/>
              </w:rPr>
              <w:tab/>
            </w:r>
            <w:r w:rsidRPr="00366D9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_Toc376875797 \h </w:instrText>
            </w:r>
            <w:r>
              <w:rPr>
                <w:noProof/>
                <w:webHidden/>
              </w:rPr>
            </w:r>
            <w:r>
              <w:rPr>
                <w:noProof/>
                <w:webHidden/>
              </w:rPr>
              <w:fldChar w:fldCharType="separate"/>
            </w:r>
            <w:r>
              <w:rPr>
                <w:noProof/>
                <w:webHidden/>
              </w:rPr>
              <w:t>38</w:t>
            </w:r>
            <w:r>
              <w:rPr>
                <w:noProof/>
                <w:webHidden/>
              </w:rPr>
              <w:fldChar w:fldCharType="end"/>
            </w:r>
          </w:hyperlink>
        </w:p>
        <w:p w:rsidR="00EF46A4" w:rsidRDefault="00EF46A4">
          <w:pPr>
            <w:pStyle w:val="TOC2"/>
            <w:tabs>
              <w:tab w:val="left" w:pos="1320"/>
            </w:tabs>
            <w:rPr>
              <w:rFonts w:asciiTheme="minorHAnsi" w:eastAsiaTheme="minorEastAsia" w:hAnsiTheme="minorHAnsi" w:cstheme="minorBidi"/>
              <w:b w:val="0"/>
              <w:noProof/>
              <w:sz w:val="22"/>
              <w:lang w:eastAsia="en-AU"/>
            </w:rPr>
          </w:pPr>
          <w:hyperlink w:anchor="_Toc376875798" w:history="1">
            <w:r w:rsidRPr="00366D99">
              <w:rPr>
                <w:rStyle w:val="Hyperlink"/>
                <w:noProof/>
              </w:rPr>
              <w:t>12.</w:t>
            </w:r>
            <w:r>
              <w:rPr>
                <w:rFonts w:asciiTheme="minorHAnsi" w:eastAsiaTheme="minorEastAsia" w:hAnsiTheme="minorHAnsi" w:cstheme="minorBidi"/>
                <w:b w:val="0"/>
                <w:noProof/>
                <w:sz w:val="22"/>
                <w:lang w:eastAsia="en-AU"/>
              </w:rPr>
              <w:tab/>
            </w:r>
            <w:r w:rsidRPr="00366D99">
              <w:rPr>
                <w:rStyle w:val="Hyperlink"/>
                <w:noProof/>
              </w:rPr>
              <w:t>References</w:t>
            </w:r>
            <w:r>
              <w:rPr>
                <w:noProof/>
                <w:webHidden/>
              </w:rPr>
              <w:tab/>
            </w:r>
            <w:r>
              <w:rPr>
                <w:noProof/>
                <w:webHidden/>
              </w:rPr>
              <w:fldChar w:fldCharType="begin"/>
            </w:r>
            <w:r>
              <w:rPr>
                <w:noProof/>
                <w:webHidden/>
              </w:rPr>
              <w:instrText xml:space="preserve"> PAGEREF _Toc376875798 \h </w:instrText>
            </w:r>
            <w:r>
              <w:rPr>
                <w:noProof/>
                <w:webHidden/>
              </w:rPr>
            </w:r>
            <w:r>
              <w:rPr>
                <w:noProof/>
                <w:webHidden/>
              </w:rPr>
              <w:fldChar w:fldCharType="separate"/>
            </w:r>
            <w:r>
              <w:rPr>
                <w:noProof/>
                <w:webHidden/>
              </w:rPr>
              <w:t>38</w:t>
            </w:r>
            <w:r>
              <w:rPr>
                <w:noProof/>
                <w:webHidden/>
              </w:rPr>
              <w:fldChar w:fldCharType="end"/>
            </w:r>
          </w:hyperlink>
        </w:p>
        <w:p w:rsidR="003A7F6C" w:rsidRPr="00B811C6" w:rsidRDefault="00933248" w:rsidP="00B811C6">
          <w:pPr>
            <w:pStyle w:val="TOC2"/>
          </w:pPr>
          <w:r>
            <w:fldChar w:fldCharType="end"/>
          </w:r>
        </w:p>
      </w:sdtContent>
    </w:sdt>
    <w:bookmarkStart w:id="2" w:name="_Toc314842482" w:displacedByCustomXml="prev"/>
    <w:p w:rsidR="00586F98" w:rsidRDefault="00586F98" w:rsidP="0043797D">
      <w:pPr>
        <w:pStyle w:val="Heading2"/>
        <w:pageBreakBefore/>
        <w:rPr>
          <w:lang w:eastAsia="en-AU"/>
        </w:rPr>
      </w:pPr>
      <w:bookmarkStart w:id="3" w:name="_Toc351718900"/>
      <w:bookmarkStart w:id="4" w:name="_Toc355338635"/>
      <w:bookmarkStart w:id="5" w:name="_Toc376875763"/>
      <w:r>
        <w:rPr>
          <w:lang w:eastAsia="en-AU"/>
        </w:rPr>
        <w:t>Clinical rationale</w:t>
      </w:r>
      <w:bookmarkEnd w:id="5"/>
    </w:p>
    <w:p w:rsidR="00F74EEE" w:rsidRPr="00E45A9B" w:rsidRDefault="00F74EEE" w:rsidP="00764BF0">
      <w:r>
        <w:t>E</w:t>
      </w:r>
      <w:r w:rsidRPr="00583CBF">
        <w:t>ltrombopag olamine is an orally bioavailable, small molecule thrombopoietin receptor (TPO-R)</w:t>
      </w:r>
      <w:r>
        <w:t xml:space="preserve"> </w:t>
      </w:r>
      <w:r w:rsidRPr="00583CBF">
        <w:t>agonist. TPO-R receptor agonists function in a similar manner to endogenous thrombopoietin (TPO), inducing proliferation and differentiation of megakaryocytes from bone marrow progenitor cells.</w:t>
      </w:r>
      <w:r>
        <w:rPr>
          <w:sz w:val="23"/>
          <w:szCs w:val="23"/>
        </w:rPr>
        <w:t xml:space="preserve"> E</w:t>
      </w:r>
      <w:r w:rsidRPr="00E45A9B">
        <w:t>ltrombopag works as a supportive care agent to increase the</w:t>
      </w:r>
      <w:r>
        <w:t xml:space="preserve"> </w:t>
      </w:r>
      <w:r w:rsidRPr="00E45A9B">
        <w:t>platelet count prior to and throughout interferon-based treatment of HCV infection,</w:t>
      </w:r>
      <w:r>
        <w:t xml:space="preserve"> to</w:t>
      </w:r>
      <w:r w:rsidRPr="00E45A9B">
        <w:t xml:space="preserve"> give patients with advanced fibrosis or cirrhosis an opportunity to initiate and help</w:t>
      </w:r>
      <w:r>
        <w:t xml:space="preserve"> </w:t>
      </w:r>
      <w:r w:rsidRPr="00E45A9B">
        <w:t>optimize and maintain the dose and duration of their antiviral therapy, thereby improving</w:t>
      </w:r>
      <w:r>
        <w:t xml:space="preserve"> </w:t>
      </w:r>
      <w:r w:rsidRPr="00E45A9B">
        <w:t xml:space="preserve">the likelihood of achieving </w:t>
      </w:r>
      <w:r>
        <w:t>sustained virologic response (</w:t>
      </w:r>
      <w:r w:rsidRPr="00E45A9B">
        <w:t>SVR</w:t>
      </w:r>
      <w:r>
        <w:t>)</w:t>
      </w:r>
      <w:r w:rsidRPr="00E45A9B">
        <w:t>.</w:t>
      </w:r>
      <w:r w:rsidRPr="00E45A9B">
        <w:rPr>
          <w:rFonts w:ascii="Times New Roman" w:hAnsi="Times New Roman"/>
          <w:sz w:val="24"/>
        </w:rPr>
        <w:t xml:space="preserve"> </w:t>
      </w:r>
      <w:r w:rsidRPr="00E45A9B">
        <w:t>The importance of SVR is reflected by a 4</w:t>
      </w:r>
      <w:r w:rsidR="00817DD7">
        <w:t xml:space="preserve"> to </w:t>
      </w:r>
      <w:r w:rsidRPr="00E45A9B">
        <w:t>10 fold</w:t>
      </w:r>
      <w:r>
        <w:t xml:space="preserve"> </w:t>
      </w:r>
      <w:r w:rsidRPr="00E45A9B">
        <w:t>decrease in mortality and a 2</w:t>
      </w:r>
      <w:r w:rsidR="00817DD7">
        <w:t xml:space="preserve"> to </w:t>
      </w:r>
      <w:r w:rsidRPr="00E45A9B">
        <w:t>4 fold decrease in the incidences of decompensated liver</w:t>
      </w:r>
      <w:r>
        <w:t xml:space="preserve"> </w:t>
      </w:r>
      <w:r w:rsidRPr="00E45A9B">
        <w:t>disease and hepatocellular carcinoma in HCV patients compared to patients with</w:t>
      </w:r>
      <w:r>
        <w:t xml:space="preserve"> </w:t>
      </w:r>
      <w:r w:rsidRPr="00E45A9B">
        <w:t>persistent HCV infection. Even for patients who have developed hepatic</w:t>
      </w:r>
      <w:r>
        <w:t xml:space="preserve"> </w:t>
      </w:r>
      <w:r w:rsidRPr="00E45A9B">
        <w:t>decompensation, achieving SVR prior to liver transplantation can improve outcomes after</w:t>
      </w:r>
      <w:r>
        <w:t xml:space="preserve"> </w:t>
      </w:r>
      <w:r w:rsidRPr="00E45A9B">
        <w:t>transplantation by avoiding HCV recurrence</w:t>
      </w:r>
      <w:r>
        <w:t>.</w:t>
      </w:r>
    </w:p>
    <w:p w:rsidR="00586F98" w:rsidRDefault="00586F98" w:rsidP="00764BF0">
      <w:pPr>
        <w:pStyle w:val="Heading2"/>
        <w:rPr>
          <w:lang w:eastAsia="en-AU"/>
        </w:rPr>
      </w:pPr>
      <w:bookmarkStart w:id="6" w:name="_Toc376875764"/>
      <w:r>
        <w:rPr>
          <w:lang w:eastAsia="en-AU"/>
        </w:rPr>
        <w:t>Contents of the clinical dossier</w:t>
      </w:r>
      <w:bookmarkEnd w:id="3"/>
      <w:bookmarkEnd w:id="4"/>
      <w:bookmarkEnd w:id="6"/>
    </w:p>
    <w:p w:rsidR="00586F98" w:rsidRDefault="00586F98" w:rsidP="00764BF0">
      <w:pPr>
        <w:pStyle w:val="Heading3"/>
      </w:pPr>
      <w:bookmarkStart w:id="7" w:name="_Toc376875765"/>
      <w:r>
        <w:t>Scope of the clinical dossier</w:t>
      </w:r>
      <w:bookmarkEnd w:id="7"/>
    </w:p>
    <w:p w:rsidR="00F74EEE" w:rsidRPr="00F74EEE" w:rsidRDefault="00F74EEE" w:rsidP="00764BF0">
      <w:r w:rsidRPr="00F74EEE">
        <w:t>The submission contained the following clinical information:</w:t>
      </w:r>
    </w:p>
    <w:p w:rsidR="00F74EEE" w:rsidRPr="00764BF0" w:rsidRDefault="00F74EEE" w:rsidP="00764BF0">
      <w:pPr>
        <w:pStyle w:val="ListBullet"/>
      </w:pPr>
      <w:r w:rsidRPr="00764BF0">
        <w:t>2 pivotal efficacy/safety studies.</w:t>
      </w:r>
    </w:p>
    <w:p w:rsidR="00F74EEE" w:rsidRPr="00764BF0" w:rsidRDefault="00F74EEE" w:rsidP="00764BF0">
      <w:pPr>
        <w:pStyle w:val="ListBullet"/>
      </w:pPr>
      <w:r w:rsidRPr="00764BF0">
        <w:t>1 other efficacy/safety studies.</w:t>
      </w:r>
    </w:p>
    <w:p w:rsidR="00F74EEE" w:rsidRPr="00764BF0" w:rsidRDefault="00F74EEE" w:rsidP="00764BF0">
      <w:pPr>
        <w:pStyle w:val="ListBullet"/>
      </w:pPr>
      <w:r w:rsidRPr="00764BF0">
        <w:t>Supporting information including pooled analyses and PSURs.</w:t>
      </w:r>
    </w:p>
    <w:p w:rsidR="00586F98" w:rsidRDefault="00586F98" w:rsidP="00586F98">
      <w:pPr>
        <w:pStyle w:val="Heading3"/>
      </w:pPr>
      <w:bookmarkStart w:id="8" w:name="_Toc376875766"/>
      <w:r>
        <w:t>Paediatric data</w:t>
      </w:r>
      <w:bookmarkEnd w:id="8"/>
    </w:p>
    <w:p w:rsidR="00F74EEE" w:rsidRDefault="00F74EEE" w:rsidP="00764BF0">
      <w:r>
        <w:t>The submission did not include paediatric data.</w:t>
      </w:r>
    </w:p>
    <w:p w:rsidR="00586F98" w:rsidRDefault="00586F98" w:rsidP="00586F98">
      <w:pPr>
        <w:pStyle w:val="Heading3"/>
      </w:pPr>
      <w:bookmarkStart w:id="9" w:name="_Toc376875767"/>
      <w:r>
        <w:t>Good clinical practice</w:t>
      </w:r>
      <w:bookmarkEnd w:id="9"/>
    </w:p>
    <w:p w:rsidR="00F74EEE" w:rsidRDefault="00F74EEE" w:rsidP="00764BF0">
      <w:bookmarkStart w:id="10" w:name="_Toc241374282"/>
      <w:bookmarkStart w:id="11" w:name="_Toc355338639"/>
      <w:r>
        <w:t>Information provided by the sponsor indicated that a</w:t>
      </w:r>
      <w:r w:rsidRPr="00885197">
        <w:t>ll studies were undertaken in accordance with standard operating procedures of the</w:t>
      </w:r>
      <w:r>
        <w:t xml:space="preserve"> sponsor</w:t>
      </w:r>
      <w:r w:rsidRPr="00885197">
        <w:t>, which comply with the principles of Good</w:t>
      </w:r>
      <w:r>
        <w:t xml:space="preserve"> </w:t>
      </w:r>
      <w:r w:rsidRPr="00885197">
        <w:t>Clinical Practice. All studies were conducted with the approval of Ethics Committees or</w:t>
      </w:r>
      <w:r>
        <w:t xml:space="preserve"> </w:t>
      </w:r>
      <w:r w:rsidRPr="00885197">
        <w:t>Institutional Review Boards. Informed consent was obtained for all subjects and the</w:t>
      </w:r>
      <w:r>
        <w:t xml:space="preserve"> </w:t>
      </w:r>
      <w:r w:rsidRPr="00885197">
        <w:t>studies were performed in accordance with the version of the Declaration of Helsinki that</w:t>
      </w:r>
      <w:r>
        <w:t xml:space="preserve"> </w:t>
      </w:r>
      <w:r w:rsidRPr="00885197">
        <w:t>applied at the time the studies were conducted. Where required</w:t>
      </w:r>
      <w:r w:rsidR="00817DD7">
        <w:t xml:space="preserve">, </w:t>
      </w:r>
      <w:r w:rsidRPr="00885197">
        <w:t>regulatory approval was</w:t>
      </w:r>
      <w:r>
        <w:t xml:space="preserve"> </w:t>
      </w:r>
      <w:r w:rsidRPr="00885197">
        <w:t>obtained from the relevant health</w:t>
      </w:r>
      <w:r>
        <w:t xml:space="preserve"> </w:t>
      </w:r>
      <w:r w:rsidRPr="00885197">
        <w:t>authorities.</w:t>
      </w:r>
    </w:p>
    <w:p w:rsidR="00586F98" w:rsidRDefault="00586F98" w:rsidP="00764BF0">
      <w:pPr>
        <w:pStyle w:val="Heading2"/>
      </w:pPr>
      <w:bookmarkStart w:id="12" w:name="_Toc376875768"/>
      <w:bookmarkEnd w:id="10"/>
      <w:r>
        <w:t>Pharmacokinetics</w:t>
      </w:r>
      <w:bookmarkEnd w:id="11"/>
      <w:bookmarkEnd w:id="12"/>
      <w:r>
        <w:t xml:space="preserve"> </w:t>
      </w:r>
    </w:p>
    <w:p w:rsidR="00F74EEE" w:rsidRDefault="00F74EEE" w:rsidP="00764BF0">
      <w:pPr>
        <w:pStyle w:val="Heading3"/>
      </w:pPr>
      <w:bookmarkStart w:id="13" w:name="_Ref271017296"/>
      <w:bookmarkStart w:id="14" w:name="_Ref271018924"/>
      <w:bookmarkStart w:id="15" w:name="_Ref271018934"/>
      <w:bookmarkStart w:id="16" w:name="_Toc272414614"/>
      <w:bookmarkStart w:id="17" w:name="_Toc290846238"/>
      <w:bookmarkStart w:id="18" w:name="_Toc290888775"/>
      <w:bookmarkStart w:id="19" w:name="_Toc376875769"/>
      <w:r>
        <w:t>Studies</w:t>
      </w:r>
      <w:bookmarkEnd w:id="13"/>
      <w:bookmarkEnd w:id="14"/>
      <w:bookmarkEnd w:id="15"/>
      <w:r>
        <w:t xml:space="preserve"> providing pharmacokinetic data</w:t>
      </w:r>
      <w:bookmarkEnd w:id="16"/>
      <w:bookmarkEnd w:id="17"/>
      <w:bookmarkEnd w:id="18"/>
      <w:bookmarkEnd w:id="19"/>
    </w:p>
    <w:p w:rsidR="00F74EEE" w:rsidRPr="004E27C2" w:rsidRDefault="00F74EEE" w:rsidP="00764BF0">
      <w:r w:rsidRPr="001A3B99">
        <w:t xml:space="preserve">Results from clinical </w:t>
      </w:r>
      <w:proofErr w:type="spellStart"/>
      <w:r w:rsidRPr="001A3B99">
        <w:t>biopharmaceutics</w:t>
      </w:r>
      <w:proofErr w:type="spellEnd"/>
      <w:r w:rsidRPr="001A3B99">
        <w:t xml:space="preserve"> studies were provided in the original </w:t>
      </w:r>
      <w:r w:rsidR="00817DD7">
        <w:t>marketing authorisation application (</w:t>
      </w:r>
      <w:r w:rsidRPr="001A3B99">
        <w:t>MAA</w:t>
      </w:r>
      <w:r w:rsidR="00817DD7">
        <w:t>)</w:t>
      </w:r>
      <w:r w:rsidRPr="001A3B99">
        <w:t xml:space="preserve"> to</w:t>
      </w:r>
      <w:r>
        <w:t xml:space="preserve"> </w:t>
      </w:r>
      <w:r w:rsidRPr="001A3B99">
        <w:t>support eltrombopag use in adult patients with chronic idiopathic thrombocytopenic</w:t>
      </w:r>
      <w:r>
        <w:t xml:space="preserve"> </w:t>
      </w:r>
      <w:r w:rsidRPr="001A3B99">
        <w:t xml:space="preserve">purpura. No additional clinical </w:t>
      </w:r>
      <w:proofErr w:type="spellStart"/>
      <w:r w:rsidRPr="001A3B99">
        <w:t>biopharmaceutics</w:t>
      </w:r>
      <w:proofErr w:type="spellEnd"/>
      <w:r w:rsidRPr="001A3B99">
        <w:t xml:space="preserve"> studies were completed for this</w:t>
      </w:r>
      <w:r>
        <w:t xml:space="preserve"> </w:t>
      </w:r>
      <w:r w:rsidRPr="001A3B99">
        <w:t>application.</w:t>
      </w:r>
      <w:r>
        <w:t xml:space="preserve"> Pharmacokinetic data provided was limited to some information on drug-drug </w:t>
      </w:r>
      <w:r w:rsidRPr="004E27C2">
        <w:t>interactions</w:t>
      </w:r>
      <w:r>
        <w:t xml:space="preserve"> (</w:t>
      </w:r>
      <w:r w:rsidRPr="004E27C2">
        <w:t>concurrent administration of</w:t>
      </w:r>
      <w:r>
        <w:t xml:space="preserve"> </w:t>
      </w:r>
      <w:r w:rsidRPr="004E27C2">
        <w:t>peginterferon alfa-2a + ribavirin or peginterferon alfa-2b + ribavirin</w:t>
      </w:r>
      <w:r>
        <w:t>) and some information on pharmacokinetics in the target patient population. For the latter, p</w:t>
      </w:r>
      <w:r w:rsidRPr="004E27C2">
        <w:t>lasma eltrombopag concentration-time data collected in 635 subjects with chronic HCV</w:t>
      </w:r>
      <w:r>
        <w:t xml:space="preserve"> </w:t>
      </w:r>
      <w:r w:rsidRPr="004E27C2">
        <w:t>infection in the Phase II study TPL102357 and the Phase III studies</w:t>
      </w:r>
      <w:r>
        <w:t xml:space="preserve"> </w:t>
      </w:r>
      <w:r w:rsidRPr="004E27C2">
        <w:t>TPL103922/ENABLE 1 and</w:t>
      </w:r>
      <w:r>
        <w:t xml:space="preserve"> </w:t>
      </w:r>
      <w:r w:rsidRPr="004E27C2">
        <w:t>TPL108390/ENABLE 2 were combined with data from 28</w:t>
      </w:r>
      <w:r>
        <w:t xml:space="preserve"> </w:t>
      </w:r>
      <w:r w:rsidRPr="004E27C2">
        <w:t>healthy adult subjects (from the Phase I study SB-497115/002</w:t>
      </w:r>
      <w:r>
        <w:t>, previously submitted</w:t>
      </w:r>
      <w:r w:rsidRPr="004E27C2">
        <w:t>) in a population PK</w:t>
      </w:r>
      <w:r>
        <w:t xml:space="preserve"> </w:t>
      </w:r>
      <w:r w:rsidRPr="004E27C2">
        <w:t>analysis.</w:t>
      </w:r>
    </w:p>
    <w:p w:rsidR="00F74EEE" w:rsidRDefault="00F74EEE" w:rsidP="00817DD7">
      <w:pPr>
        <w:pStyle w:val="Heading3"/>
      </w:pPr>
      <w:bookmarkStart w:id="20" w:name="_Ref269118175"/>
      <w:bookmarkStart w:id="21" w:name="_Toc272414616"/>
      <w:bookmarkStart w:id="22" w:name="_Toc290846239"/>
      <w:bookmarkStart w:id="23" w:name="_Toc290888776"/>
      <w:bookmarkStart w:id="24" w:name="_Toc376875770"/>
      <w:r>
        <w:t>Summary of pharmacokinetics</w:t>
      </w:r>
      <w:bookmarkEnd w:id="20"/>
      <w:bookmarkEnd w:id="21"/>
      <w:bookmarkEnd w:id="22"/>
      <w:bookmarkEnd w:id="23"/>
      <w:bookmarkEnd w:id="24"/>
    </w:p>
    <w:p w:rsidR="00F74EEE" w:rsidRDefault="00F74EEE" w:rsidP="00764BF0">
      <w:r>
        <w:t>The information in the following summary is derived from conventional pharmacokinetic studies unless otherwise stated.</w:t>
      </w:r>
    </w:p>
    <w:p w:rsidR="00F74EEE" w:rsidRPr="006622CE" w:rsidRDefault="00F74EEE" w:rsidP="00764BF0">
      <w:pPr>
        <w:pStyle w:val="Heading4"/>
      </w:pPr>
      <w:bookmarkStart w:id="25" w:name="_Toc272414617"/>
      <w:bookmarkStart w:id="26" w:name="_Toc290846240"/>
      <w:bookmarkStart w:id="27" w:name="_Toc290888777"/>
      <w:r w:rsidRPr="006622CE">
        <w:t>Physicochemical characteristics of the active substance</w:t>
      </w:r>
      <w:bookmarkEnd w:id="25"/>
      <w:bookmarkEnd w:id="26"/>
      <w:bookmarkEnd w:id="27"/>
    </w:p>
    <w:p w:rsidR="00F74EEE" w:rsidRPr="006622CE" w:rsidRDefault="00F74EEE" w:rsidP="00764BF0">
      <w:r w:rsidRPr="006622CE">
        <w:t xml:space="preserve">Eltrombopag is achiral but potentially shows </w:t>
      </w:r>
      <w:r w:rsidRPr="006622CE">
        <w:rPr>
          <w:i/>
          <w:iCs/>
        </w:rPr>
        <w:t xml:space="preserve">E/Z </w:t>
      </w:r>
      <w:r w:rsidRPr="006622CE">
        <w:t xml:space="preserve">isomerism around the hydrazone. It is reported to exist as the hydrogen-bonded, </w:t>
      </w:r>
      <w:r w:rsidRPr="006622CE">
        <w:rPr>
          <w:i/>
          <w:iCs/>
        </w:rPr>
        <w:t xml:space="preserve">Z </w:t>
      </w:r>
      <w:r w:rsidRPr="006622CE">
        <w:t xml:space="preserve">isomer in solution and in the solid state. </w:t>
      </w:r>
      <w:r>
        <w:t xml:space="preserve"> </w:t>
      </w:r>
      <w:r w:rsidRPr="006622CE">
        <w:t xml:space="preserve">The drug substance is the </w:t>
      </w:r>
      <w:proofErr w:type="spellStart"/>
      <w:r w:rsidRPr="006622CE">
        <w:t>bis</w:t>
      </w:r>
      <w:proofErr w:type="spellEnd"/>
      <w:r w:rsidRPr="006622CE">
        <w:t xml:space="preserve"> 2-aminoethanol (‘</w:t>
      </w:r>
      <w:proofErr w:type="spellStart"/>
      <w:r w:rsidRPr="006622CE">
        <w:t>olamine</w:t>
      </w:r>
      <w:proofErr w:type="spellEnd"/>
      <w:r w:rsidRPr="006622CE">
        <w:t xml:space="preserve">’) salt. The molar ratio of </w:t>
      </w:r>
      <w:proofErr w:type="spellStart"/>
      <w:r w:rsidRPr="006622CE">
        <w:t>eltrombopag</w:t>
      </w:r>
      <w:proofErr w:type="spellEnd"/>
      <w:r w:rsidRPr="006622CE">
        <w:t xml:space="preserve"> to </w:t>
      </w:r>
      <w:proofErr w:type="spellStart"/>
      <w:r w:rsidRPr="006622CE">
        <w:t>monoethanolamine</w:t>
      </w:r>
      <w:proofErr w:type="spellEnd"/>
      <w:r w:rsidRPr="006622CE">
        <w:t xml:space="preserve"> was monitored in clinical trial batches and has been consistent (circa 1: 2.02). </w:t>
      </w:r>
      <w:r>
        <w:t xml:space="preserve"> </w:t>
      </w:r>
      <w:r w:rsidRPr="006622CE">
        <w:t xml:space="preserve">Eltrombopag olamine is crystalline. It is thermally stable up to about 125ºC; only one </w:t>
      </w:r>
      <w:proofErr w:type="spellStart"/>
      <w:r w:rsidRPr="006622CE">
        <w:t>morphic</w:t>
      </w:r>
      <w:proofErr w:type="spellEnd"/>
      <w:r w:rsidRPr="006622CE">
        <w:t xml:space="preserve"> form is known. It is not hygroscopic. The solubility of the </w:t>
      </w:r>
      <w:proofErr w:type="spellStart"/>
      <w:r w:rsidRPr="006622CE">
        <w:t>bis</w:t>
      </w:r>
      <w:proofErr w:type="spellEnd"/>
      <w:r w:rsidRPr="006622CE">
        <w:t>-ethanolamine salt in water is markedly higher. The drug substance is synthetic. Impurity levels are low.</w:t>
      </w:r>
    </w:p>
    <w:p w:rsidR="00F74EEE" w:rsidRPr="002F0F52" w:rsidRDefault="00F74EEE" w:rsidP="00764BF0">
      <w:pPr>
        <w:pStyle w:val="Heading4"/>
      </w:pPr>
      <w:bookmarkStart w:id="28" w:name="_Ref271189106"/>
      <w:bookmarkStart w:id="29" w:name="_Ref271189143"/>
      <w:bookmarkStart w:id="30" w:name="_Toc272414618"/>
      <w:bookmarkStart w:id="31" w:name="_Toc290846241"/>
      <w:bookmarkStart w:id="32" w:name="_Toc290888778"/>
      <w:r w:rsidRPr="002F0F52">
        <w:t>Pharmacokinetics in healthy subjects</w:t>
      </w:r>
      <w:bookmarkEnd w:id="28"/>
      <w:bookmarkEnd w:id="29"/>
      <w:bookmarkEnd w:id="30"/>
      <w:bookmarkEnd w:id="31"/>
      <w:bookmarkEnd w:id="32"/>
    </w:p>
    <w:p w:rsidR="00F74EEE" w:rsidRPr="002F0F52" w:rsidRDefault="00F74EEE" w:rsidP="00817DD7">
      <w:pPr>
        <w:pStyle w:val="Heading5"/>
      </w:pPr>
      <w:bookmarkStart w:id="33" w:name="_Toc272414619"/>
      <w:bookmarkStart w:id="34" w:name="_Toc290846242"/>
      <w:bookmarkStart w:id="35" w:name="_Toc290888779"/>
      <w:r w:rsidRPr="002F0F52">
        <w:t>Absorption</w:t>
      </w:r>
      <w:bookmarkEnd w:id="33"/>
      <w:bookmarkEnd w:id="34"/>
      <w:bookmarkEnd w:id="35"/>
    </w:p>
    <w:p w:rsidR="00F74EEE" w:rsidRPr="00E675C1" w:rsidRDefault="00F74EEE" w:rsidP="00764BF0">
      <w:r>
        <w:t xml:space="preserve">Eltrombopag is absorbed with a peak concentration occurring 2 to 6 hours after oral administration. Administration of eltrombopag concomitantly with antacids and other products containing polyvalent </w:t>
      </w:r>
      <w:proofErr w:type="spellStart"/>
      <w:r>
        <w:t>cations</w:t>
      </w:r>
      <w:proofErr w:type="spellEnd"/>
      <w:r>
        <w:t xml:space="preserve"> such as dairy products and mineral supplements significantly reduces eltrombopag exposure.</w:t>
      </w:r>
    </w:p>
    <w:p w:rsidR="00F74EEE" w:rsidRPr="002F0F52" w:rsidRDefault="00F74EEE" w:rsidP="00817DD7">
      <w:pPr>
        <w:pStyle w:val="Heading5"/>
      </w:pPr>
      <w:bookmarkStart w:id="36" w:name="_Toc241374287"/>
      <w:bookmarkStart w:id="37" w:name="_Toc272414620"/>
      <w:bookmarkStart w:id="38" w:name="_Toc290846243"/>
      <w:bookmarkStart w:id="39" w:name="_Toc290888780"/>
      <w:r w:rsidRPr="002F0F52">
        <w:t>Bioavailability</w:t>
      </w:r>
      <w:bookmarkEnd w:id="36"/>
      <w:bookmarkEnd w:id="37"/>
      <w:bookmarkEnd w:id="38"/>
      <w:bookmarkEnd w:id="39"/>
    </w:p>
    <w:p w:rsidR="00F74EEE" w:rsidRPr="00E675C1" w:rsidRDefault="00F74EEE" w:rsidP="00764BF0">
      <w:r>
        <w:t xml:space="preserve">The absolute oral bioavailability of eltrombopag after administration to humans has not been established. Based on urinary excretion and metabolites eliminated in faeces, the oral absorption of drug-related material following administration of a single 75 mg eltrombopag solution dose was estimated to be at least 52 %. </w:t>
      </w:r>
    </w:p>
    <w:p w:rsidR="00F74EEE" w:rsidRPr="00BA137D" w:rsidRDefault="00F74EEE" w:rsidP="00764BF0">
      <w:pPr>
        <w:pStyle w:val="Heading5"/>
      </w:pPr>
      <w:bookmarkStart w:id="40" w:name="_Toc241374288"/>
      <w:bookmarkStart w:id="41" w:name="_Toc272414621"/>
      <w:bookmarkStart w:id="42" w:name="_Toc290846244"/>
      <w:bookmarkStart w:id="43" w:name="_Toc290888781"/>
      <w:r w:rsidRPr="00BA137D">
        <w:t>Distribution</w:t>
      </w:r>
      <w:bookmarkEnd w:id="40"/>
      <w:bookmarkEnd w:id="41"/>
      <w:bookmarkEnd w:id="42"/>
      <w:bookmarkEnd w:id="43"/>
    </w:p>
    <w:p w:rsidR="00F74EEE" w:rsidRDefault="00F74EEE" w:rsidP="00764BF0">
      <w:r>
        <w:t xml:space="preserve">Eltrombopag is highly bound to human plasma proteins (&gt; 99.9 %). Eltrombopag is a substrate for BCRP but is not a substrate for P-glycoprotein or OATP1B1. </w:t>
      </w:r>
    </w:p>
    <w:p w:rsidR="00F74EEE" w:rsidRPr="00BA137D" w:rsidRDefault="00F74EEE" w:rsidP="00764BF0">
      <w:pPr>
        <w:pStyle w:val="Heading5"/>
      </w:pPr>
      <w:bookmarkStart w:id="44" w:name="_Toc272414622"/>
      <w:bookmarkStart w:id="45" w:name="_Toc290846245"/>
      <w:bookmarkStart w:id="46" w:name="_Toc290888782"/>
      <w:r w:rsidRPr="00BA137D">
        <w:t>Metabolism</w:t>
      </w:r>
      <w:bookmarkEnd w:id="44"/>
      <w:bookmarkEnd w:id="45"/>
      <w:bookmarkEnd w:id="46"/>
    </w:p>
    <w:p w:rsidR="00F74EEE" w:rsidRDefault="00F74EEE" w:rsidP="00764BF0">
      <w:proofErr w:type="spellStart"/>
      <w:r w:rsidRPr="00BA137D">
        <w:t>El</w:t>
      </w:r>
      <w:r w:rsidR="00817DD7">
        <w:t>trombopag</w:t>
      </w:r>
      <w:proofErr w:type="spellEnd"/>
      <w:r w:rsidR="00817DD7">
        <w:t xml:space="preserve"> is primarily metabolis</w:t>
      </w:r>
      <w:r w:rsidRPr="00BA137D">
        <w:t xml:space="preserve">ed through cleavage, oxidation and conjugation with glucuronic acid, glutathione or cysteine. In a human radiolabel study, eltrombopag accounted for approximately 64 % of plasma radiocarbon </w:t>
      </w:r>
      <w:r w:rsidR="00817DD7">
        <w:t>are under the plasma concentration time curve (</w:t>
      </w:r>
      <w:r w:rsidRPr="00BA137D">
        <w:t>AUC</w:t>
      </w:r>
      <w:r>
        <w:t xml:space="preserve"> </w:t>
      </w:r>
      <w:r w:rsidRPr="00785F04">
        <w:rPr>
          <w:vertAlign w:val="subscript"/>
        </w:rPr>
        <w:t>0-∞</w:t>
      </w:r>
      <w:r w:rsidR="00817DD7">
        <w:rPr>
          <w:vertAlign w:val="subscript"/>
        </w:rPr>
        <w:t xml:space="preserve">). </w:t>
      </w:r>
      <w:r w:rsidRPr="00BA137D">
        <w:t xml:space="preserve">Minor metabolites, each accounting for &lt; 10 % of the plasma radioactivity, arising from glucuronidation and oxidation were also detected. Based on a human study with radiolabel eltrombopag, it is estimated that approximately 20 % of a dose is metabolised by oxidation. </w:t>
      </w:r>
      <w:r w:rsidRPr="00BA137D">
        <w:rPr>
          <w:i/>
          <w:iCs/>
        </w:rPr>
        <w:t xml:space="preserve">In vitro </w:t>
      </w:r>
      <w:r w:rsidRPr="00BA137D">
        <w:t xml:space="preserve">studies identified CYP1A2 and CYP2C8 as the isoenzymes responsible for oxidative metabolism, </w:t>
      </w:r>
      <w:proofErr w:type="spellStart"/>
      <w:r w:rsidRPr="00BA137D">
        <w:t>uridine</w:t>
      </w:r>
      <w:proofErr w:type="spellEnd"/>
      <w:r w:rsidRPr="00BA137D">
        <w:t xml:space="preserve"> </w:t>
      </w:r>
      <w:proofErr w:type="spellStart"/>
      <w:r w:rsidRPr="00BA137D">
        <w:t>diphosphoglucuronyl</w:t>
      </w:r>
      <w:proofErr w:type="spellEnd"/>
      <w:r w:rsidRPr="00BA137D">
        <w:t xml:space="preserve"> </w:t>
      </w:r>
      <w:proofErr w:type="spellStart"/>
      <w:r w:rsidRPr="00BA137D">
        <w:t>transferase</w:t>
      </w:r>
      <w:proofErr w:type="spellEnd"/>
      <w:r w:rsidRPr="00BA137D">
        <w:t xml:space="preserve"> UGT1A1 and UGT1A3 as the</w:t>
      </w:r>
      <w:r>
        <w:t xml:space="preserve"> </w:t>
      </w:r>
      <w:r w:rsidRPr="00BA137D">
        <w:t>3</w:t>
      </w:r>
      <w:r>
        <w:t xml:space="preserve"> </w:t>
      </w:r>
      <w:r w:rsidRPr="00BA137D">
        <w:t>isozymes responsible for glucuronidation and that bacteria in the lower gastrointestinal tract may be responsible for the cleavage pathways.</w:t>
      </w:r>
    </w:p>
    <w:p w:rsidR="00F74EEE" w:rsidRPr="00F42A76" w:rsidRDefault="00F74EEE" w:rsidP="00764BF0">
      <w:pPr>
        <w:pStyle w:val="Heading5"/>
      </w:pPr>
      <w:bookmarkStart w:id="47" w:name="_Toc241374289"/>
      <w:bookmarkStart w:id="48" w:name="_Toc272414623"/>
      <w:bookmarkStart w:id="49" w:name="_Toc290846246"/>
      <w:bookmarkStart w:id="50" w:name="_Toc290888783"/>
      <w:r w:rsidRPr="00F42A76">
        <w:t>E</w:t>
      </w:r>
      <w:bookmarkEnd w:id="47"/>
      <w:r w:rsidRPr="00F42A76">
        <w:t>xcretion</w:t>
      </w:r>
      <w:bookmarkEnd w:id="48"/>
      <w:bookmarkEnd w:id="49"/>
      <w:bookmarkEnd w:id="50"/>
    </w:p>
    <w:p w:rsidR="00F74EEE" w:rsidRDefault="00F74EEE" w:rsidP="00764BF0">
      <w:r>
        <w:t>Absorbed eltrombopag is extensively metabolised. The predominant route of eltrombopag excretion is via faeces (59 %) with 31 % of the dose found in the urine as metabolites. Unchanged parent compound (eltrombopag) is not detected in urine. Unchanged eltrombopag excreted in faeces accounts for approximately 20 % of the dose. The plasma elimination half-life of eltrombopag is approximately 21</w:t>
      </w:r>
      <w:r w:rsidR="00817DD7">
        <w:t xml:space="preserve"> to </w:t>
      </w:r>
      <w:r>
        <w:t>32 hours in healthy subjects and 26</w:t>
      </w:r>
      <w:r w:rsidR="00817DD7">
        <w:t xml:space="preserve"> to</w:t>
      </w:r>
      <w:r>
        <w:t xml:space="preserve">35 hours in ITP patients. </w:t>
      </w:r>
    </w:p>
    <w:p w:rsidR="00F74EEE" w:rsidRPr="001E7DC6" w:rsidRDefault="00F74EEE" w:rsidP="00764BF0">
      <w:pPr>
        <w:pStyle w:val="Heading4"/>
      </w:pPr>
      <w:bookmarkStart w:id="51" w:name="_Toc241374292"/>
      <w:bookmarkStart w:id="52" w:name="_Ref271189131"/>
      <w:bookmarkStart w:id="53" w:name="_Ref271189136"/>
      <w:bookmarkStart w:id="54" w:name="_Toc272414625"/>
      <w:bookmarkStart w:id="55" w:name="_Toc290846248"/>
      <w:bookmarkStart w:id="56" w:name="_Toc290888785"/>
      <w:r w:rsidRPr="001E7DC6">
        <w:t>Pharmacokinetics in the target population</w:t>
      </w:r>
      <w:bookmarkEnd w:id="51"/>
      <w:bookmarkEnd w:id="52"/>
      <w:bookmarkEnd w:id="53"/>
      <w:bookmarkEnd w:id="54"/>
      <w:bookmarkEnd w:id="55"/>
      <w:bookmarkEnd w:id="56"/>
    </w:p>
    <w:p w:rsidR="00F74EEE" w:rsidRDefault="00F74EEE" w:rsidP="00764BF0">
      <w:r w:rsidRPr="001E7DC6">
        <w:t>Plasma eltrombopag concentration-time data collected in 635 subjects with chronic HCV</w:t>
      </w:r>
      <w:r>
        <w:t xml:space="preserve"> </w:t>
      </w:r>
      <w:r w:rsidRPr="001E7DC6">
        <w:t>infection in the Phase II study TPL102357 and the Phase III studies TPL103922/ENABLE 1 and TPL108390/ENABLE 2 were combined with data from 28 healthy adult subjects (from the Phase I study SB-497115/002) in a population PK analysis. Plasma eltrombopag C</w:t>
      </w:r>
      <w:r w:rsidRPr="00052C97">
        <w:rPr>
          <w:vertAlign w:val="subscript"/>
        </w:rPr>
        <w:t>max</w:t>
      </w:r>
      <w:r w:rsidRPr="001E7DC6">
        <w:t xml:space="preserve"> and AUC</w:t>
      </w:r>
      <w:r>
        <w:t xml:space="preserve"> </w:t>
      </w:r>
      <w:r w:rsidRPr="00052C97">
        <w:rPr>
          <w:vertAlign w:val="subscript"/>
        </w:rPr>
        <w:t>0-</w:t>
      </w:r>
      <w:r w:rsidRPr="00052C97">
        <w:rPr>
          <w:rFonts w:cs="SymbolMT"/>
          <w:vertAlign w:val="subscript"/>
        </w:rPr>
        <w:t>τ</w:t>
      </w:r>
      <w:r w:rsidRPr="00052C97">
        <w:rPr>
          <w:vertAlign w:val="subscript"/>
        </w:rPr>
        <w:t xml:space="preserve"> </w:t>
      </w:r>
      <w:r w:rsidRPr="001E7DC6">
        <w:t xml:space="preserve">estimates for subjects with HCV enrolled in the Phase III studies are presented for each dose studied </w:t>
      </w:r>
      <w:r>
        <w:t>below.</w:t>
      </w:r>
    </w:p>
    <w:p w:rsidR="00817DD7" w:rsidRDefault="00817DD7" w:rsidP="00764BF0">
      <w:pPr>
        <w:pStyle w:val="TableTitle"/>
      </w:pPr>
      <w:r>
        <w:t xml:space="preserve">Table 1. </w:t>
      </w:r>
      <w:r w:rsidRPr="001E7DC6">
        <w:t>Plasma eltrombopag C</w:t>
      </w:r>
      <w:r w:rsidRPr="00052C97">
        <w:rPr>
          <w:vertAlign w:val="subscript"/>
        </w:rPr>
        <w:t>max</w:t>
      </w:r>
      <w:r w:rsidRPr="001E7DC6">
        <w:t xml:space="preserve"> and AUC</w:t>
      </w:r>
      <w:r>
        <w:t xml:space="preserve"> </w:t>
      </w:r>
      <w:r w:rsidRPr="00052C97">
        <w:rPr>
          <w:vertAlign w:val="subscript"/>
        </w:rPr>
        <w:t>0-</w:t>
      </w:r>
      <w:r w:rsidRPr="00052C97">
        <w:rPr>
          <w:rFonts w:cs="SymbolMT"/>
          <w:vertAlign w:val="subscript"/>
        </w:rPr>
        <w:t>τ</w:t>
      </w:r>
      <w:r w:rsidRPr="00052C97">
        <w:rPr>
          <w:vertAlign w:val="subscript"/>
        </w:rPr>
        <w:t xml:space="preserve"> </w:t>
      </w:r>
      <w:r w:rsidRPr="001E7DC6">
        <w:t>estimates for subjects with HCV enrolled in the Phase III studies</w:t>
      </w:r>
    </w:p>
    <w:p w:rsidR="00F74EEE" w:rsidRPr="001E7DC6" w:rsidRDefault="00F74EEE" w:rsidP="00764BF0">
      <w:r>
        <w:rPr>
          <w:noProof/>
          <w:lang w:eastAsia="en-AU"/>
        </w:rPr>
        <w:drawing>
          <wp:inline distT="0" distB="0" distL="0" distR="0">
            <wp:extent cx="4733925" cy="1200150"/>
            <wp:effectExtent l="19050" t="0" r="9525" b="0"/>
            <wp:docPr id="3" name="Picture 3" descr="Table 1. Plasma eltrombopag Cmax and AUC 0-τ estimates for subjects with HCV enrolled in the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a:blip>
                    <a:srcRect/>
                    <a:stretch>
                      <a:fillRect/>
                    </a:stretch>
                  </pic:blipFill>
                  <pic:spPr bwMode="auto">
                    <a:xfrm>
                      <a:off x="0" y="0"/>
                      <a:ext cx="4733925" cy="1200150"/>
                    </a:xfrm>
                    <a:prstGeom prst="rect">
                      <a:avLst/>
                    </a:prstGeom>
                    <a:noFill/>
                    <a:ln w="9525">
                      <a:noFill/>
                      <a:miter lim="800000"/>
                      <a:headEnd/>
                      <a:tailEnd/>
                    </a:ln>
                  </pic:spPr>
                </pic:pic>
              </a:graphicData>
            </a:graphic>
          </wp:inline>
        </w:drawing>
      </w:r>
    </w:p>
    <w:p w:rsidR="00F74EEE" w:rsidRPr="001E7DC6" w:rsidRDefault="00F74EEE" w:rsidP="00764BF0">
      <w:r w:rsidRPr="001E7DC6">
        <w:t>A 2-compartment model with absorption lag time, dual sequential first-order absorption</w:t>
      </w:r>
      <w:r>
        <w:t xml:space="preserve"> </w:t>
      </w:r>
      <w:r w:rsidRPr="001E7DC6">
        <w:t>and first-order elimination as the final base model adequately described the PK of</w:t>
      </w:r>
      <w:r>
        <w:t xml:space="preserve"> </w:t>
      </w:r>
      <w:r w:rsidRPr="001E7DC6">
        <w:t>eltrombopag following oral administration. The model also had correlation between</w:t>
      </w:r>
      <w:r>
        <w:t xml:space="preserve"> </w:t>
      </w:r>
      <w:r w:rsidRPr="001E7DC6">
        <w:t>Vc/F and CL/F, inter-individual variability (IIV) on Vc/F and CL/F and inter-occasion</w:t>
      </w:r>
      <w:r>
        <w:t xml:space="preserve"> </w:t>
      </w:r>
      <w:r w:rsidRPr="001E7DC6">
        <w:t>variability (IOV) on Ka and CL/F built into the base model. After completion of the</w:t>
      </w:r>
      <w:r>
        <w:t xml:space="preserve"> </w:t>
      </w:r>
      <w:r w:rsidRPr="001E7DC6">
        <w:t xml:space="preserve">covariate model development, </w:t>
      </w:r>
      <w:proofErr w:type="spellStart"/>
      <w:r w:rsidRPr="001E7DC6">
        <w:t>eltrombopag</w:t>
      </w:r>
      <w:proofErr w:type="spellEnd"/>
      <w:r w:rsidRPr="001E7DC6">
        <w:t xml:space="preserve"> </w:t>
      </w:r>
      <w:proofErr w:type="spellStart"/>
      <w:r w:rsidRPr="001E7DC6">
        <w:t>Vc</w:t>
      </w:r>
      <w:proofErr w:type="spellEnd"/>
      <w:r w:rsidRPr="001E7DC6">
        <w:t xml:space="preserve">/F and </w:t>
      </w:r>
      <w:proofErr w:type="spellStart"/>
      <w:r w:rsidRPr="001E7DC6">
        <w:t>Vp</w:t>
      </w:r>
      <w:proofErr w:type="spellEnd"/>
      <w:r w:rsidRPr="001E7DC6">
        <w:t xml:space="preserve">/F increased </w:t>
      </w:r>
      <w:proofErr w:type="spellStart"/>
      <w:r w:rsidRPr="001E7DC6">
        <w:t>allometrically</w:t>
      </w:r>
      <w:proofErr w:type="spellEnd"/>
      <w:r w:rsidRPr="001E7DC6">
        <w:t xml:space="preserve"> with</w:t>
      </w:r>
      <w:r>
        <w:t xml:space="preserve"> </w:t>
      </w:r>
      <w:r w:rsidRPr="001E7DC6">
        <w:t>body weight. East/Southeast Asian race, female gender, age greater than 60 years, high</w:t>
      </w:r>
      <w:r>
        <w:t xml:space="preserve"> </w:t>
      </w:r>
      <w:r w:rsidR="00817DD7">
        <w:t>aspartate aminotransferase (</w:t>
      </w:r>
      <w:r w:rsidRPr="001E7DC6">
        <w:t>AST</w:t>
      </w:r>
      <w:r w:rsidR="00817DD7">
        <w:t>)</w:t>
      </w:r>
      <w:r w:rsidRPr="001E7DC6">
        <w:t>, and severity of hepatic impairment, as assessed by Child-Pugh score</w:t>
      </w:r>
      <w:r w:rsidR="00817DD7">
        <w:rPr>
          <w:rStyle w:val="FootnoteReference"/>
        </w:rPr>
        <w:footnoteReference w:id="1"/>
      </w:r>
      <w:r w:rsidRPr="001E7DC6">
        <w:t>, were</w:t>
      </w:r>
      <w:r w:rsidR="00817DD7">
        <w:t xml:space="preserve"> </w:t>
      </w:r>
      <w:r w:rsidRPr="001E7DC6">
        <w:t xml:space="preserve">associated with lower plasma eltrombopag </w:t>
      </w:r>
      <w:r w:rsidR="00817DD7">
        <w:t>oral clearance (</w:t>
      </w:r>
      <w:r w:rsidRPr="001E7DC6">
        <w:t>CL/F</w:t>
      </w:r>
      <w:r w:rsidR="00817DD7">
        <w:t>)</w:t>
      </w:r>
      <w:r w:rsidRPr="001E7DC6">
        <w:t>. Central/South Asian race was</w:t>
      </w:r>
      <w:r>
        <w:t xml:space="preserve"> </w:t>
      </w:r>
      <w:r w:rsidRPr="001E7DC6">
        <w:t xml:space="preserve">associated with eltrombopag </w:t>
      </w:r>
      <w:r w:rsidR="00817DD7">
        <w:t>volume of distribution (</w:t>
      </w:r>
      <w:r w:rsidRPr="001E7DC6">
        <w:t>Vc/F</w:t>
      </w:r>
      <w:r w:rsidR="00817DD7">
        <w:t>)</w:t>
      </w:r>
      <w:r w:rsidRPr="001E7DC6">
        <w:t xml:space="preserve"> values 2.3</w:t>
      </w:r>
      <w:r w:rsidR="00817DD7">
        <w:t xml:space="preserve"> </w:t>
      </w:r>
      <w:r w:rsidRPr="001E7DC6">
        <w:t>fold those observed for subjects of other</w:t>
      </w:r>
      <w:r>
        <w:t xml:space="preserve"> </w:t>
      </w:r>
      <w:r w:rsidRPr="001E7DC6">
        <w:t>races.</w:t>
      </w:r>
    </w:p>
    <w:p w:rsidR="00F74EEE" w:rsidRPr="001E7DC6" w:rsidRDefault="00F74EEE" w:rsidP="00764BF0">
      <w:pPr>
        <w:pStyle w:val="Heading4"/>
      </w:pPr>
      <w:bookmarkStart w:id="57" w:name="_Toc241374293"/>
      <w:bookmarkStart w:id="58" w:name="_Toc272414626"/>
      <w:bookmarkStart w:id="59" w:name="_Toc290846249"/>
      <w:bookmarkStart w:id="60" w:name="_Toc290888786"/>
      <w:r w:rsidRPr="001E7DC6">
        <w:t>Pharmacokinetics in other special populations</w:t>
      </w:r>
      <w:bookmarkEnd w:id="57"/>
      <w:bookmarkEnd w:id="58"/>
      <w:bookmarkEnd w:id="59"/>
      <w:bookmarkEnd w:id="60"/>
    </w:p>
    <w:p w:rsidR="00F74EEE" w:rsidRPr="001E7DC6" w:rsidRDefault="00F74EEE" w:rsidP="00764BF0">
      <w:pPr>
        <w:pStyle w:val="Heading5"/>
      </w:pPr>
      <w:bookmarkStart w:id="61" w:name="_Toc272414627"/>
      <w:bookmarkStart w:id="62" w:name="_Toc290846250"/>
      <w:bookmarkStart w:id="63" w:name="_Toc290888787"/>
      <w:r w:rsidRPr="001E7DC6">
        <w:t>Pharmacokinetics in subjects with impaired hepatic function</w:t>
      </w:r>
      <w:bookmarkEnd w:id="61"/>
      <w:bookmarkEnd w:id="62"/>
      <w:bookmarkEnd w:id="63"/>
    </w:p>
    <w:p w:rsidR="00F74EEE" w:rsidRPr="007B6DBA" w:rsidRDefault="00F74EEE" w:rsidP="00764BF0">
      <w:r w:rsidRPr="007B6DBA">
        <w:t>The pharmacokinetics of eltrombopag has been studied after administration of eltrombopag to adult subjects with liver cirrhosis (hepatic impairment). Following the administration of a single 50 mg dose, the AUC</w:t>
      </w:r>
      <w:r>
        <w:t xml:space="preserve"> </w:t>
      </w:r>
      <w:r w:rsidRPr="00052C97">
        <w:rPr>
          <w:vertAlign w:val="subscript"/>
        </w:rPr>
        <w:t>0-∞</w:t>
      </w:r>
      <w:r w:rsidRPr="007B6DBA">
        <w:t xml:space="preserve"> of eltrombopag was increased by 41 % (90 % CI: 13 % decrease, 128 % increase) in subjects with mild hepatic impairment, 93 % (90 % CI: 19 %, 213 %) in subjects with moderate hepatic impairment, and 80 % (90 % CI: 11 %, 192 %) in subjects with severe hepatic impairment compared with healthy volunteers. There was substantial variability and significant overlap in exposures between subjects with hepatic impairment and healthy volunteers. </w:t>
      </w:r>
    </w:p>
    <w:p w:rsidR="00F74EEE" w:rsidRDefault="00F74EEE" w:rsidP="00764BF0">
      <w:pPr>
        <w:rPr>
          <w:bCs/>
        </w:rPr>
      </w:pPr>
      <w:r w:rsidRPr="007B6DBA">
        <w:t>A similar analysis was also conducted in 28 healthy adults and 635 patients with HCV. A majority of patients had Child-Pugh score of 5-6. Based on estimates from the population pharmacokinetic analysis, patients with HCV had higher plasma eltrombopag AUC</w:t>
      </w:r>
      <w:r w:rsidRPr="00052C97">
        <w:rPr>
          <w:vertAlign w:val="subscript"/>
        </w:rPr>
        <w:t>(0-τ)</w:t>
      </w:r>
      <w:r w:rsidRPr="007B6DBA">
        <w:t xml:space="preserve"> values as compared to</w:t>
      </w:r>
      <w:r>
        <w:t xml:space="preserve"> </w:t>
      </w:r>
      <w:r w:rsidRPr="007B6DBA">
        <w:t>healthy subjects and AUC</w:t>
      </w:r>
      <w:r>
        <w:t xml:space="preserve"> </w:t>
      </w:r>
      <w:r w:rsidRPr="00052C97">
        <w:rPr>
          <w:vertAlign w:val="subscript"/>
        </w:rPr>
        <w:t>0-τ</w:t>
      </w:r>
      <w:r w:rsidRPr="007B6DBA">
        <w:t xml:space="preserve"> increased with increasing Child-Pugh score, HCV patients with mild hepatic impairment had approximately 100-144 % higher plasma eltrombopag AUC</w:t>
      </w:r>
      <w:r>
        <w:t xml:space="preserve"> </w:t>
      </w:r>
      <w:r w:rsidRPr="00052C97">
        <w:rPr>
          <w:vertAlign w:val="subscript"/>
        </w:rPr>
        <w:t>0-τ</w:t>
      </w:r>
      <w:r>
        <w:rPr>
          <w:vertAlign w:val="subscript"/>
        </w:rPr>
        <w:t xml:space="preserve"> </w:t>
      </w:r>
      <w:r w:rsidRPr="007B6DBA">
        <w:t xml:space="preserve"> compared with healthy subjects. </w:t>
      </w:r>
    </w:p>
    <w:p w:rsidR="00F74EEE" w:rsidRPr="001E7DC6" w:rsidRDefault="00F74EEE" w:rsidP="00764BF0">
      <w:pPr>
        <w:pStyle w:val="Heading5"/>
      </w:pPr>
      <w:bookmarkStart w:id="64" w:name="_Toc272414628"/>
      <w:bookmarkStart w:id="65" w:name="_Toc290846251"/>
      <w:bookmarkStart w:id="66" w:name="_Toc290888788"/>
      <w:r w:rsidRPr="001E7DC6">
        <w:t>Pharmacokinetics in subjects with impaired renal function</w:t>
      </w:r>
      <w:bookmarkEnd w:id="64"/>
      <w:bookmarkEnd w:id="65"/>
      <w:bookmarkEnd w:id="66"/>
    </w:p>
    <w:p w:rsidR="00F74EEE" w:rsidRDefault="00F74EEE" w:rsidP="00764BF0">
      <w:pPr>
        <w:rPr>
          <w:bCs/>
        </w:rPr>
      </w:pPr>
      <w:r>
        <w:t>The pharmacokinetics of eltrombopag has been studied after administration of eltrombopag to adult patients with renal impairment. Following administration of a single 50 mg</w:t>
      </w:r>
      <w:r w:rsidR="00817DD7">
        <w:t xml:space="preserve"> </w:t>
      </w:r>
      <w:r>
        <w:t>dose, the AUC</w:t>
      </w:r>
      <w:r w:rsidRPr="00052C97">
        <w:rPr>
          <w:sz w:val="14"/>
          <w:szCs w:val="14"/>
        </w:rPr>
        <w:t>0-∞</w:t>
      </w:r>
      <w:r>
        <w:rPr>
          <w:sz w:val="14"/>
          <w:szCs w:val="14"/>
        </w:rPr>
        <w:t xml:space="preserve"> </w:t>
      </w:r>
      <w:r>
        <w:t>of eltrombopag was decreased by 32 % (90 % CI: 63 % decrease, 26 % increase) in patients with mild renal impairment,</w:t>
      </w:r>
      <w:r w:rsidR="00817DD7">
        <w:t xml:space="preserve"> by</w:t>
      </w:r>
      <w:r>
        <w:t xml:space="preserve"> 36 % (90 % CI: 66 % decrease, 19 % increase) in patients with moderate renal impairment and </w:t>
      </w:r>
      <w:r w:rsidR="00817DD7">
        <w:t xml:space="preserve">by </w:t>
      </w:r>
      <w:r>
        <w:t xml:space="preserve">60 % (90 % CI: 18 % decrease, 80 % decrease) in patients with severe renal impairment compared with healthy volunteers. There was a trend for reduced plasma eltrombopag exposure in patients with renal impairment but there was substantial variability and significant overlap in exposures between patients with renal impairment and healthy volunteers. </w:t>
      </w:r>
    </w:p>
    <w:p w:rsidR="00F74EEE" w:rsidRPr="00C024ED" w:rsidRDefault="00F74EEE" w:rsidP="00764BF0">
      <w:pPr>
        <w:pStyle w:val="Heading5"/>
      </w:pPr>
      <w:bookmarkStart w:id="67" w:name="_Toc272414629"/>
      <w:bookmarkStart w:id="68" w:name="_Toc290846252"/>
      <w:bookmarkStart w:id="69" w:name="_Toc290888789"/>
      <w:r w:rsidRPr="00C024ED">
        <w:t>Pharmacokinetics according to age</w:t>
      </w:r>
      <w:bookmarkEnd w:id="67"/>
      <w:bookmarkEnd w:id="68"/>
      <w:bookmarkEnd w:id="69"/>
    </w:p>
    <w:p w:rsidR="00F74EEE" w:rsidRDefault="00F74EEE" w:rsidP="00764BF0">
      <w:pPr>
        <w:rPr>
          <w:bCs/>
        </w:rPr>
      </w:pPr>
      <w:r>
        <w:t>The age difference of eltrombopag pharmacokinetics was evaluated using population pharmacokinetics analysis in 28 healthy subjects and 635 patients with HCV ranging from 19 to 74 years old. Based on model estimates, elderly (&gt; 60 years) patients had approximately 36% higher plasma eltrombopag AUC</w:t>
      </w:r>
      <w:r>
        <w:rPr>
          <w:sz w:val="14"/>
          <w:szCs w:val="14"/>
        </w:rPr>
        <w:t xml:space="preserve">(0-τ) </w:t>
      </w:r>
      <w:r>
        <w:t>as compared to younger patients.</w:t>
      </w:r>
    </w:p>
    <w:p w:rsidR="00F74EEE" w:rsidRPr="00C024ED" w:rsidRDefault="00F74EEE" w:rsidP="00764BF0">
      <w:pPr>
        <w:pStyle w:val="Heading5"/>
      </w:pPr>
      <w:bookmarkStart w:id="70" w:name="_Toc272414630"/>
      <w:bookmarkStart w:id="71" w:name="_Toc290846253"/>
      <w:bookmarkStart w:id="72" w:name="_Toc290888790"/>
      <w:r w:rsidRPr="00C024ED">
        <w:t xml:space="preserve">Pharmacokinetics related to </w:t>
      </w:r>
      <w:r>
        <w:t>ethnicity</w:t>
      </w:r>
      <w:r w:rsidRPr="00C024ED">
        <w:t xml:space="preserve"> factors</w:t>
      </w:r>
      <w:bookmarkEnd w:id="70"/>
      <w:bookmarkEnd w:id="71"/>
      <w:bookmarkEnd w:id="72"/>
    </w:p>
    <w:p w:rsidR="00F74EEE" w:rsidRDefault="00F74EEE" w:rsidP="00764BF0">
      <w:r w:rsidRPr="002A5002">
        <w:t>The influence of East Asian ethnicity on the pharmacokinetics of eltrombopag was evaluated using a population pharmacokinetic analysis in 111 healthy adults (31 East Asians) and 88 patients with ITP (18 East Asians). Based on estimates from the population pharmacokinetic analysis, East Asian (</w:t>
      </w:r>
      <w:r w:rsidR="00817DD7">
        <w:t>that is,</w:t>
      </w:r>
      <w:r w:rsidRPr="002A5002">
        <w:t xml:space="preserve"> Japanese, Chinese, Taiwanese and Korean) ITP patients had approximately 87 % higher plasma eltrombopag AUC</w:t>
      </w:r>
      <w:r>
        <w:t xml:space="preserve"> </w:t>
      </w:r>
      <w:r w:rsidRPr="00785F04">
        <w:rPr>
          <w:vertAlign w:val="subscript"/>
        </w:rPr>
        <w:t>0-τ</w:t>
      </w:r>
      <w:r w:rsidRPr="002A5002">
        <w:t xml:space="preserve"> values as compared to non-East Asian patients who were predominantly Caucasian, without adjustment for body weight differences. </w:t>
      </w:r>
    </w:p>
    <w:p w:rsidR="00F74EEE" w:rsidRDefault="00F74EEE" w:rsidP="00764BF0">
      <w:pPr>
        <w:rPr>
          <w:bCs/>
        </w:rPr>
      </w:pPr>
      <w:r w:rsidRPr="002A5002">
        <w:t>The influence of East Asian ethnicity on the pharmacokinetics of eltrombopag was evaluated using a population pharmacokinetic analysis in 635 patients with HCV (214 East Asians). On average, East Asian patients had approximately 55 % higher plasma eltrombopag AUC</w:t>
      </w:r>
      <w:r>
        <w:t xml:space="preserve"> </w:t>
      </w:r>
      <w:r w:rsidRPr="00785F04">
        <w:rPr>
          <w:vertAlign w:val="subscript"/>
        </w:rPr>
        <w:t>0-τ</w:t>
      </w:r>
      <w:r w:rsidRPr="002A5002">
        <w:t xml:space="preserve"> values as compared to patients of other races who were predominantly Caucasian</w:t>
      </w:r>
      <w:r>
        <w:t>.</w:t>
      </w:r>
    </w:p>
    <w:p w:rsidR="00F74EEE" w:rsidRPr="002A5002" w:rsidRDefault="00F74EEE" w:rsidP="00764BF0">
      <w:pPr>
        <w:pStyle w:val="Heading5"/>
      </w:pPr>
      <w:bookmarkStart w:id="73" w:name="_Toc272414631"/>
      <w:bookmarkStart w:id="74" w:name="_Toc290846254"/>
      <w:bookmarkStart w:id="75" w:name="_Toc290888791"/>
      <w:r w:rsidRPr="002A5002">
        <w:t>Pharmacokinetics related to gender</w:t>
      </w:r>
      <w:bookmarkEnd w:id="73"/>
      <w:bookmarkEnd w:id="74"/>
      <w:bookmarkEnd w:id="75"/>
    </w:p>
    <w:p w:rsidR="00F74EEE" w:rsidRDefault="00F74EEE" w:rsidP="00764BF0">
      <w:pPr>
        <w:rPr>
          <w:rFonts w:cs="Arial"/>
        </w:rPr>
      </w:pPr>
      <w:r w:rsidRPr="002A5002">
        <w:t xml:space="preserve">The influence of gender on the pharmacokinetics of eltrombopag was evaluated using a population pharmacokinetic analysis in 111 healthy adults (14 females) and 88 patients with ITP (57 females). Based on estimates from the population pharmacokinetic </w:t>
      </w:r>
      <w:r w:rsidRPr="002A5002">
        <w:rPr>
          <w:rFonts w:cs="Arial"/>
        </w:rPr>
        <w:t>analysis, female ITP patients had approximately 50 % higher plasma eltrombopag AUC</w:t>
      </w:r>
      <w:r>
        <w:rPr>
          <w:rFonts w:cs="Arial"/>
        </w:rPr>
        <w:t xml:space="preserve"> </w:t>
      </w:r>
      <w:r w:rsidRPr="00785F04">
        <w:rPr>
          <w:rFonts w:cs="Arial"/>
          <w:vertAlign w:val="subscript"/>
        </w:rPr>
        <w:t>0-τ</w:t>
      </w:r>
      <w:r w:rsidRPr="002A5002">
        <w:rPr>
          <w:rFonts w:cs="Arial"/>
        </w:rPr>
        <w:t xml:space="preserve"> as compared to male patients, without adjustment for body weight differences. </w:t>
      </w:r>
    </w:p>
    <w:p w:rsidR="00F74EEE" w:rsidRPr="002A5002" w:rsidRDefault="00F74EEE" w:rsidP="00764BF0">
      <w:pPr>
        <w:rPr>
          <w:bCs/>
        </w:rPr>
      </w:pPr>
      <w:r w:rsidRPr="002A5002">
        <w:t>The influence of gender on eltrombopag pharmacokinetics was evaluated using population pharmacokinetics analysis in 635 patients with HCV (260 females). Based on model estimates, female HCV patients had approximately 41 % higher plasma eltrombopag AUC</w:t>
      </w:r>
      <w:r>
        <w:t xml:space="preserve"> </w:t>
      </w:r>
      <w:r w:rsidRPr="00785F04">
        <w:rPr>
          <w:vertAlign w:val="subscript"/>
        </w:rPr>
        <w:t>0-τ</w:t>
      </w:r>
      <w:r w:rsidRPr="002A5002">
        <w:t xml:space="preserve"> as compared to male patients. </w:t>
      </w:r>
    </w:p>
    <w:p w:rsidR="00F74EEE" w:rsidRPr="00F23BB6" w:rsidRDefault="00F74EEE" w:rsidP="00764BF0">
      <w:pPr>
        <w:pStyle w:val="Heading4"/>
      </w:pPr>
      <w:bookmarkStart w:id="76" w:name="_Toc241374294"/>
      <w:bookmarkStart w:id="77" w:name="_Toc272414632"/>
      <w:bookmarkStart w:id="78" w:name="_Toc290846255"/>
      <w:bookmarkStart w:id="79" w:name="_Toc290888792"/>
      <w:r w:rsidRPr="00F23BB6">
        <w:t>Pharmacokinetic interactions</w:t>
      </w:r>
      <w:bookmarkEnd w:id="76"/>
      <w:bookmarkEnd w:id="77"/>
      <w:bookmarkEnd w:id="78"/>
      <w:bookmarkEnd w:id="79"/>
    </w:p>
    <w:p w:rsidR="00F74EEE" w:rsidRPr="00F23BB6" w:rsidRDefault="00F74EEE" w:rsidP="00764BF0">
      <w:pPr>
        <w:pStyle w:val="Heading5"/>
      </w:pPr>
      <w:bookmarkStart w:id="80" w:name="_Toc272414633"/>
      <w:bookmarkStart w:id="81" w:name="_Toc290846256"/>
      <w:bookmarkStart w:id="82" w:name="_Toc290888793"/>
      <w:r w:rsidRPr="00F23BB6">
        <w:t>Pharmacokinetic interactions demonstrated in human studies</w:t>
      </w:r>
      <w:bookmarkEnd w:id="80"/>
      <w:bookmarkEnd w:id="81"/>
      <w:bookmarkEnd w:id="82"/>
    </w:p>
    <w:p w:rsidR="00F74EEE" w:rsidRDefault="00F74EEE" w:rsidP="00764BF0">
      <w:r>
        <w:t xml:space="preserve">Information from the previous submission indicated that </w:t>
      </w:r>
      <w:r w:rsidRPr="00F23BB6">
        <w:t xml:space="preserve">eltrombopag has the potential to affect the pharmacokinetics of co-administered drugs that are substrates of CYP2C8, CYP2C9, UGTs, OATP1B1 or BCRP. As eltrombopag is a substrate of BCRP, inhibitors of this transporter could potentially affect eltrombopag pharmacokinetics. </w:t>
      </w:r>
      <w:r w:rsidRPr="005D069C">
        <w:t xml:space="preserve">A clinical drug-drug interaction study between </w:t>
      </w:r>
      <w:proofErr w:type="spellStart"/>
      <w:r w:rsidRPr="005D069C">
        <w:t>eltrombopag</w:t>
      </w:r>
      <w:proofErr w:type="spellEnd"/>
      <w:r w:rsidRPr="005D069C">
        <w:t xml:space="preserve"> and </w:t>
      </w:r>
      <w:proofErr w:type="spellStart"/>
      <w:r w:rsidRPr="005D069C">
        <w:t>boceprevir</w:t>
      </w:r>
      <w:proofErr w:type="spellEnd"/>
      <w:r w:rsidRPr="005D069C">
        <w:t xml:space="preserve"> or </w:t>
      </w:r>
      <w:proofErr w:type="spellStart"/>
      <w:r w:rsidRPr="005D069C">
        <w:t>telaprevir</w:t>
      </w:r>
      <w:proofErr w:type="spellEnd"/>
      <w:r>
        <w:t xml:space="preserve"> </w:t>
      </w:r>
      <w:r w:rsidRPr="005D069C">
        <w:t>has not been conducted.</w:t>
      </w:r>
      <w:r>
        <w:t xml:space="preserve">  From the efficacy studies provided, p</w:t>
      </w:r>
      <w:r w:rsidRPr="00E80610">
        <w:t>lasma eltrombopag exposure was not altered by concurrent administration of</w:t>
      </w:r>
      <w:r>
        <w:t xml:space="preserve"> </w:t>
      </w:r>
      <w:r w:rsidRPr="00E80610">
        <w:t>peginterferon alfa-2a + ribavirin or peginterferon alfa-2b + ribavirin, nor were plasma peginterferon alfa-2a and alfa-2b exposures altered by concurrent</w:t>
      </w:r>
      <w:r>
        <w:t xml:space="preserve"> </w:t>
      </w:r>
      <w:r w:rsidRPr="00E80610">
        <w:t>administration of eltrombopag.</w:t>
      </w:r>
    </w:p>
    <w:p w:rsidR="00F74EEE" w:rsidRPr="00F23BB6" w:rsidRDefault="00F74EEE" w:rsidP="00764BF0">
      <w:pPr>
        <w:pStyle w:val="Heading5"/>
      </w:pPr>
      <w:bookmarkStart w:id="83" w:name="_Toc272414634"/>
      <w:bookmarkStart w:id="84" w:name="_Toc290846257"/>
      <w:bookmarkStart w:id="85" w:name="_Toc290888794"/>
      <w:r w:rsidRPr="00F23BB6">
        <w:t>Clinical implications of in vitro findings</w:t>
      </w:r>
      <w:bookmarkEnd w:id="83"/>
      <w:bookmarkEnd w:id="84"/>
      <w:bookmarkEnd w:id="85"/>
    </w:p>
    <w:p w:rsidR="00F74EEE" w:rsidRDefault="00F74EEE" w:rsidP="00764BF0">
      <w:r w:rsidRPr="00A56439">
        <w:rPr>
          <w:i/>
          <w:iCs/>
        </w:rPr>
        <w:t>In vitro</w:t>
      </w:r>
      <w:r w:rsidRPr="00A56439">
        <w:t>, eltrombopag inhibited the human CYP2C8 and CYP2C9 isozymes with 50% ineffective concentration dose (IC</w:t>
      </w:r>
      <w:r w:rsidRPr="00EC097A">
        <w:rPr>
          <w:vertAlign w:val="subscript"/>
        </w:rPr>
        <w:t>50</w:t>
      </w:r>
      <w:r w:rsidRPr="00A56439">
        <w:t xml:space="preserve">) circa 20 </w:t>
      </w:r>
      <w:r w:rsidR="00EC097A">
        <w:t>µ</w:t>
      </w:r>
      <w:r w:rsidRPr="00A56439">
        <w:t xml:space="preserve">M, but no significant inhibition of CYP1A2, 2A6, 2C19, 2D6, 2E1, 3A4/5 or 4A9/11 was observed at 100 </w:t>
      </w:r>
      <w:r w:rsidR="00EC097A">
        <w:t>µ</w:t>
      </w:r>
      <w:r w:rsidRPr="00A56439">
        <w:t>M. Eltrombopag inhibited UGT1A9, 1A3, 1A1, 2B15, 1A6, 2B7 and 1A4 with IC</w:t>
      </w:r>
      <w:r w:rsidRPr="00EC097A">
        <w:rPr>
          <w:vertAlign w:val="subscript"/>
        </w:rPr>
        <w:t>50</w:t>
      </w:r>
      <w:r w:rsidRPr="00A56439">
        <w:t xml:space="preserve"> 3-30 </w:t>
      </w:r>
      <w:r w:rsidR="00EC097A">
        <w:t>µ</w:t>
      </w:r>
      <w:r w:rsidRPr="00A56439">
        <w:t xml:space="preserve">M. There was no induction of CYP1A2, 2B6 or 3A4 at concentrations up to 100 </w:t>
      </w:r>
      <w:r w:rsidR="00EC097A">
        <w:t>µ</w:t>
      </w:r>
      <w:r w:rsidRPr="00A56439">
        <w:t xml:space="preserve">M and eltrombopag was only a weak activator of human nuclear </w:t>
      </w:r>
      <w:proofErr w:type="spellStart"/>
      <w:r w:rsidRPr="00A56439">
        <w:t>pregnanex</w:t>
      </w:r>
      <w:proofErr w:type="spellEnd"/>
      <w:r w:rsidRPr="00A56439">
        <w:t xml:space="preserve"> receptor (PXR). </w:t>
      </w:r>
      <w:r>
        <w:t>As such, e</w:t>
      </w:r>
      <w:r w:rsidRPr="00A56439">
        <w:t>ltrombopag is not expected to</w:t>
      </w:r>
      <w:r>
        <w:t xml:space="preserve"> </w:t>
      </w:r>
      <w:r w:rsidRPr="00A56439">
        <w:t xml:space="preserve">significantly alter plasma </w:t>
      </w:r>
      <w:proofErr w:type="spellStart"/>
      <w:r w:rsidRPr="00A56439">
        <w:t>boceprevir</w:t>
      </w:r>
      <w:proofErr w:type="spellEnd"/>
      <w:r w:rsidRPr="00A56439">
        <w:t xml:space="preserve"> or </w:t>
      </w:r>
      <w:proofErr w:type="spellStart"/>
      <w:r w:rsidRPr="00A56439">
        <w:t>telaprevir</w:t>
      </w:r>
      <w:proofErr w:type="spellEnd"/>
      <w:r w:rsidRPr="00A56439">
        <w:t xml:space="preserve"> exposure because eltrombopag is not</w:t>
      </w:r>
      <w:r>
        <w:t xml:space="preserve"> </w:t>
      </w:r>
      <w:r w:rsidRPr="00A56439">
        <w:t>an inhibitor of CYP3A4 or P-glycoprotein (</w:t>
      </w:r>
      <w:proofErr w:type="spellStart"/>
      <w:r w:rsidRPr="00A56439">
        <w:t>Pgp</w:t>
      </w:r>
      <w:proofErr w:type="spellEnd"/>
      <w:r w:rsidRPr="00A56439">
        <w:t>), for which both HCV protease inhibitors</w:t>
      </w:r>
      <w:r>
        <w:t xml:space="preserve"> </w:t>
      </w:r>
      <w:r w:rsidRPr="00A56439">
        <w:t>are substrates and eltrombopag is not an inducer.</w:t>
      </w:r>
      <w:r>
        <w:t xml:space="preserve"> </w:t>
      </w:r>
      <w:proofErr w:type="spellStart"/>
      <w:r w:rsidRPr="00A56439">
        <w:t>Boceprevir</w:t>
      </w:r>
      <w:proofErr w:type="spellEnd"/>
      <w:r w:rsidRPr="00A56439">
        <w:t xml:space="preserve"> and </w:t>
      </w:r>
      <w:proofErr w:type="spellStart"/>
      <w:r w:rsidRPr="00A56439">
        <w:t>telaprevir</w:t>
      </w:r>
      <w:proofErr w:type="spellEnd"/>
      <w:r w:rsidRPr="00A56439">
        <w:t xml:space="preserve"> are not expected to significantly increase plasma eltrombopag</w:t>
      </w:r>
      <w:r>
        <w:t xml:space="preserve"> </w:t>
      </w:r>
      <w:r w:rsidRPr="00A56439">
        <w:t xml:space="preserve">exposure because eltrombopag is not a CYP3A4 or </w:t>
      </w:r>
      <w:proofErr w:type="spellStart"/>
      <w:r w:rsidRPr="00A56439">
        <w:t>Pgp</w:t>
      </w:r>
      <w:proofErr w:type="spellEnd"/>
      <w:r w:rsidRPr="00A56439">
        <w:t xml:space="preserve"> substrate, for which both HCV</w:t>
      </w:r>
      <w:r>
        <w:t xml:space="preserve"> </w:t>
      </w:r>
      <w:r w:rsidRPr="00A56439">
        <w:t>PIs are inhibitors and because eltrombopag is metaboli</w:t>
      </w:r>
      <w:r w:rsidR="00EC097A">
        <w:t>s</w:t>
      </w:r>
      <w:r w:rsidRPr="00A56439">
        <w:t>ed through multiple pathways.</w:t>
      </w:r>
      <w:r>
        <w:t xml:space="preserve"> </w:t>
      </w:r>
      <w:r w:rsidRPr="00A56439">
        <w:t xml:space="preserve">The reduced plasma exposures of some drugs co-administered with </w:t>
      </w:r>
      <w:proofErr w:type="spellStart"/>
      <w:r w:rsidRPr="00A56439">
        <w:t>telaprevir</w:t>
      </w:r>
      <w:proofErr w:type="spellEnd"/>
      <w:r w:rsidRPr="00A56439">
        <w:t xml:space="preserve"> suggest</w:t>
      </w:r>
      <w:r>
        <w:t xml:space="preserve"> </w:t>
      </w:r>
      <w:r w:rsidRPr="00A56439">
        <w:t xml:space="preserve">that </w:t>
      </w:r>
      <w:proofErr w:type="spellStart"/>
      <w:r w:rsidRPr="00A56439">
        <w:t>telaprevir</w:t>
      </w:r>
      <w:proofErr w:type="spellEnd"/>
      <w:r w:rsidRPr="00A56439">
        <w:t xml:space="preserve"> may induce drug metabolising enzymes, which could reduce plasma</w:t>
      </w:r>
      <w:r>
        <w:t xml:space="preserve"> </w:t>
      </w:r>
      <w:r w:rsidRPr="00A56439">
        <w:t xml:space="preserve">eltrombopag exposure. Any impact of </w:t>
      </w:r>
      <w:proofErr w:type="spellStart"/>
      <w:r w:rsidRPr="00A56439">
        <w:t>telaprevir</w:t>
      </w:r>
      <w:proofErr w:type="spellEnd"/>
      <w:r w:rsidRPr="00A56439">
        <w:t xml:space="preserve"> on plasma </w:t>
      </w:r>
      <w:proofErr w:type="spellStart"/>
      <w:r w:rsidRPr="00A56439">
        <w:t>eltrombopag</w:t>
      </w:r>
      <w:proofErr w:type="spellEnd"/>
      <w:r w:rsidRPr="00A56439">
        <w:t xml:space="preserve"> exposure is</w:t>
      </w:r>
      <w:r>
        <w:t xml:space="preserve"> </w:t>
      </w:r>
      <w:r w:rsidRPr="00A56439">
        <w:t>clinically manageable because the eltrombopag dose is titrated to platelet response.</w:t>
      </w:r>
    </w:p>
    <w:p w:rsidR="00F74EEE" w:rsidRDefault="00F74EEE" w:rsidP="00764BF0">
      <w:pPr>
        <w:pStyle w:val="Heading3"/>
      </w:pPr>
      <w:bookmarkStart w:id="86" w:name="_Toc241374296"/>
      <w:bookmarkStart w:id="87" w:name="_Ref269982040"/>
      <w:bookmarkStart w:id="88" w:name="_Ref271018704"/>
      <w:bookmarkStart w:id="89" w:name="_Ref271018755"/>
      <w:bookmarkStart w:id="90" w:name="_Toc272414635"/>
      <w:bookmarkStart w:id="91" w:name="_Toc290846258"/>
      <w:bookmarkStart w:id="92" w:name="_Toc290888795"/>
      <w:bookmarkStart w:id="93" w:name="_Toc376875771"/>
      <w:r>
        <w:t>Evaluator’s overall conclusions on pharmacokinetics</w:t>
      </w:r>
      <w:bookmarkEnd w:id="86"/>
      <w:bookmarkEnd w:id="87"/>
      <w:bookmarkEnd w:id="88"/>
      <w:bookmarkEnd w:id="89"/>
      <w:bookmarkEnd w:id="90"/>
      <w:bookmarkEnd w:id="91"/>
      <w:bookmarkEnd w:id="92"/>
      <w:bookmarkEnd w:id="93"/>
    </w:p>
    <w:p w:rsidR="00F74EEE" w:rsidRDefault="00F74EEE" w:rsidP="00764BF0">
      <w:r w:rsidRPr="00236BF1">
        <w:t xml:space="preserve">Eltrombopag was approved for use in </w:t>
      </w:r>
      <w:smartTag w:uri="urn:schemas-microsoft-com:office:smarttags" w:element="country-region">
        <w:smartTag w:uri="urn:schemas-microsoft-com:office:smarttags" w:element="place">
          <w:r w:rsidRPr="00236BF1">
            <w:t>Australia</w:t>
          </w:r>
        </w:smartTag>
      </w:smartTag>
      <w:r w:rsidRPr="00236BF1">
        <w:t xml:space="preserve"> in July 2010 (ARTG 158419/158356</w:t>
      </w:r>
      <w:r>
        <w:t>). As such, the pharmacokinetics for this medication have been extensively characterised and considered previously. In this application, additional information was provided on pharmacokinetics in the target population only. This information was obtained from the clinical efficacy studies and also encompassed the pharmacokinetics of the proposed new strengths, 75</w:t>
      </w:r>
      <w:r w:rsidR="00EC097A">
        <w:t xml:space="preserve"> </w:t>
      </w:r>
      <w:r>
        <w:t>mg and 100</w:t>
      </w:r>
      <w:r w:rsidR="00EC097A">
        <w:t xml:space="preserve"> </w:t>
      </w:r>
      <w:r>
        <w:t>mg.</w:t>
      </w:r>
    </w:p>
    <w:p w:rsidR="00F74EEE" w:rsidRDefault="00F74EEE" w:rsidP="00764BF0">
      <w:r>
        <w:t xml:space="preserve">Eltrombopag is absorbed with a peak concentration occurring 2 to 6 hours after oral administration. </w:t>
      </w:r>
      <w:r>
        <w:rPr>
          <w:i/>
          <w:iCs/>
        </w:rPr>
        <w:t xml:space="preserve"> </w:t>
      </w:r>
      <w:r>
        <w:t>The absolute oral bioavailability of eltrombopag after administration to humans has not been established. Based on urinary excretion and metabolites eliminated in faeces, the oral absorption of drug-related material following administration of a single 75 mg eltrombopag solution dose was estimated to be at least 52 %. Eltrombopag is highly bound to human plasma proteins (&gt; 99.9 %). Eltrombopag is a substrate for BCRP but is not a substrate for P-glycoprotein or OATP1B1. Eltrombop</w:t>
      </w:r>
      <w:r w:rsidR="00EC097A">
        <w:t>ag is primarily metabolis</w:t>
      </w:r>
      <w:r>
        <w:t>ed through cleavage, oxidation and conjugation with glucuronic acid, glutathione or cysteine. Minor metabolites, each accounting for &lt; 10 % of the plasma radioactivity, arising from glucuronidation and oxidation were also detected. Based on a human study with radiolabelled eltrombopag, it is estimated that approximately 20 % of a dose is metabolised by oxidation. Absorbed eltrombopag is extensively metabolised. The predominant route of eltrombopag excretion is via faeces (59 %) with 31 % of the dose found in the urine as metabolites. Unchanged parent compound (eltrombopag) is not detected in urine. Unchanged eltrombopag excreted in faeces accounts for approximately 20 % of the dose. The plasma elimination half-life of eltrombopag is approximately 21</w:t>
      </w:r>
      <w:r w:rsidR="00EC097A">
        <w:t xml:space="preserve"> to </w:t>
      </w:r>
      <w:r>
        <w:t xml:space="preserve">32 hours in healthy subjects and 26-35 hours in ITP patients. </w:t>
      </w:r>
    </w:p>
    <w:p w:rsidR="00F74EEE" w:rsidRDefault="00F74EEE" w:rsidP="00764BF0">
      <w:r w:rsidRPr="001E7DC6">
        <w:t>Plasma eltrombopag concentration-time data collected in 635 subjects with chronic HCV</w:t>
      </w:r>
      <w:r w:rsidR="00EC097A">
        <w:t xml:space="preserve"> </w:t>
      </w:r>
      <w:r w:rsidRPr="001E7DC6">
        <w:t>infection in the Phase II study TPL102357 and the Phase III studies TPL103922/ENABLE 1 and TPL108390/ENABLE 2 were combined with data from 28 healthy adult subjects (from the Phase I study SB-497115/002) in a population PK analysis.</w:t>
      </w:r>
      <w:r>
        <w:t xml:space="preserve"> </w:t>
      </w:r>
      <w:r w:rsidRPr="001E7DC6">
        <w:t>Plasma eltrombopag concentration</w:t>
      </w:r>
      <w:r>
        <w:t xml:space="preserve"> over </w:t>
      </w:r>
      <w:r w:rsidRPr="001E7DC6">
        <w:t>time</w:t>
      </w:r>
      <w:r>
        <w:t xml:space="preserve"> was accurately predicted for all dosages, including the proposed 75 mg and 10</w:t>
      </w:r>
      <w:r w:rsidR="00EC097A">
        <w:t>0 mg</w:t>
      </w:r>
      <w:r>
        <w:t xml:space="preserve"> tablets.</w:t>
      </w:r>
    </w:p>
    <w:p w:rsidR="00F74EEE" w:rsidRDefault="00F74EEE" w:rsidP="00764BF0">
      <w:r>
        <w:t xml:space="preserve">Pharmacokinetic data on special populations including renal impairment, hepatic impairment, race, gender and elderly population was provided. This appears to be consistent with previous experience with this medication. </w:t>
      </w:r>
    </w:p>
    <w:p w:rsidR="00F74EEE" w:rsidRDefault="00F74EEE" w:rsidP="00764BF0">
      <w:r>
        <w:t>E</w:t>
      </w:r>
      <w:r w:rsidRPr="00F23BB6">
        <w:t xml:space="preserve">ltrombopag has the potential to affect the pharmacokinetics of co-administered drugs that are substrates of CYP2C8, CYP2C9, UGTs, OATP1B1 or BCRP.  </w:t>
      </w:r>
      <w:r w:rsidRPr="005D069C">
        <w:t xml:space="preserve">A clinical drug-drug interaction study between </w:t>
      </w:r>
      <w:proofErr w:type="spellStart"/>
      <w:r w:rsidRPr="005D069C">
        <w:t>eltrombopag</w:t>
      </w:r>
      <w:proofErr w:type="spellEnd"/>
      <w:r w:rsidRPr="005D069C">
        <w:t xml:space="preserve"> and </w:t>
      </w:r>
      <w:proofErr w:type="spellStart"/>
      <w:r w:rsidRPr="005D069C">
        <w:t>boceprevir</w:t>
      </w:r>
      <w:proofErr w:type="spellEnd"/>
      <w:r w:rsidRPr="005D069C">
        <w:t xml:space="preserve"> or </w:t>
      </w:r>
      <w:proofErr w:type="spellStart"/>
      <w:r w:rsidRPr="005D069C">
        <w:t>telaprevir</w:t>
      </w:r>
      <w:proofErr w:type="spellEnd"/>
      <w:r>
        <w:t xml:space="preserve"> </w:t>
      </w:r>
      <w:r w:rsidRPr="005D069C">
        <w:t>has not been conducted.</w:t>
      </w:r>
      <w:r>
        <w:t xml:space="preserve">  From the efficacy studies provided, p</w:t>
      </w:r>
      <w:r w:rsidRPr="00E80610">
        <w:t>lasma eltrombopag exposure was not altered by concurrent administration of</w:t>
      </w:r>
      <w:r>
        <w:t xml:space="preserve"> </w:t>
      </w:r>
      <w:r w:rsidRPr="00E80610">
        <w:t xml:space="preserve">peginterferon alfa-2a + ribavirin or peginterferon alfa-2b + ribavirin </w:t>
      </w:r>
      <w:r w:rsidR="00EC097A">
        <w:t>and</w:t>
      </w:r>
      <w:r w:rsidRPr="00E80610">
        <w:t xml:space="preserve"> plasma peginterferon alfa-2a and alfa-2b exposures </w:t>
      </w:r>
      <w:r w:rsidR="00EC097A">
        <w:t xml:space="preserve">were not </w:t>
      </w:r>
      <w:r w:rsidRPr="00E80610">
        <w:t>altered by concurrent</w:t>
      </w:r>
      <w:r>
        <w:t xml:space="preserve"> </w:t>
      </w:r>
      <w:r w:rsidRPr="00E80610">
        <w:t>administration of eltrombopag.</w:t>
      </w:r>
    </w:p>
    <w:p w:rsidR="00586F98" w:rsidRDefault="00586F98" w:rsidP="00764BF0">
      <w:pPr>
        <w:pStyle w:val="Heading2"/>
      </w:pPr>
      <w:bookmarkStart w:id="94" w:name="_Toc376875772"/>
      <w:r>
        <w:t>Pharmacodynamics</w:t>
      </w:r>
      <w:bookmarkEnd w:id="94"/>
    </w:p>
    <w:p w:rsidR="00F74EEE" w:rsidRDefault="00F74EEE" w:rsidP="00764BF0">
      <w:pPr>
        <w:pStyle w:val="Heading3"/>
      </w:pPr>
      <w:bookmarkStart w:id="95" w:name="_Toc272414637"/>
      <w:bookmarkStart w:id="96" w:name="_Toc290846260"/>
      <w:bookmarkStart w:id="97" w:name="_Toc290888797"/>
      <w:bookmarkStart w:id="98" w:name="_Toc376875773"/>
      <w:r>
        <w:t>Studies providing pharmacodynamic data</w:t>
      </w:r>
      <w:bookmarkEnd w:id="95"/>
      <w:bookmarkEnd w:id="96"/>
      <w:bookmarkEnd w:id="97"/>
      <w:bookmarkEnd w:id="98"/>
    </w:p>
    <w:p w:rsidR="00F74EEE" w:rsidRDefault="00F74EEE" w:rsidP="00764BF0">
      <w:pPr>
        <w:rPr>
          <w:sz w:val="20"/>
          <w:szCs w:val="20"/>
        </w:rPr>
      </w:pPr>
      <w:r>
        <w:t>No specific pharmacodynamics studies were provided. Information on the pharmacodynamics of Eltrombopag was available from the previous submission. In addition, specific analyses were conducted to characterise the relationship between p</w:t>
      </w:r>
      <w:r w:rsidRPr="00CC7920">
        <w:rPr>
          <w:bCs/>
        </w:rPr>
        <w:t xml:space="preserve">lasma Eltrombopag </w:t>
      </w:r>
      <w:r>
        <w:rPr>
          <w:bCs/>
        </w:rPr>
        <w:t>e</w:t>
      </w:r>
      <w:r w:rsidRPr="00CC7920">
        <w:rPr>
          <w:bCs/>
        </w:rPr>
        <w:t>xposure and</w:t>
      </w:r>
      <w:r w:rsidR="00EC097A">
        <w:rPr>
          <w:bCs/>
        </w:rPr>
        <w:t xml:space="preserve"> </w:t>
      </w:r>
      <w:r>
        <w:rPr>
          <w:bCs/>
        </w:rPr>
        <w:t>p</w:t>
      </w:r>
      <w:r w:rsidRPr="00CC7920">
        <w:rPr>
          <w:bCs/>
        </w:rPr>
        <w:t xml:space="preserve">latelet </w:t>
      </w:r>
      <w:r>
        <w:rPr>
          <w:bCs/>
        </w:rPr>
        <w:t>r</w:t>
      </w:r>
      <w:r w:rsidRPr="00CC7920">
        <w:rPr>
          <w:bCs/>
        </w:rPr>
        <w:t xml:space="preserve">esponse in </w:t>
      </w:r>
      <w:r>
        <w:rPr>
          <w:bCs/>
        </w:rPr>
        <w:t>s</w:t>
      </w:r>
      <w:r w:rsidRPr="00CC7920">
        <w:rPr>
          <w:bCs/>
        </w:rPr>
        <w:t xml:space="preserve">ubjects with </w:t>
      </w:r>
      <w:r>
        <w:rPr>
          <w:bCs/>
        </w:rPr>
        <w:t>c</w:t>
      </w:r>
      <w:r w:rsidRPr="00CC7920">
        <w:rPr>
          <w:bCs/>
        </w:rPr>
        <w:t xml:space="preserve">hronic HCV </w:t>
      </w:r>
      <w:r>
        <w:rPr>
          <w:bCs/>
        </w:rPr>
        <w:t>i</w:t>
      </w:r>
      <w:r w:rsidRPr="00CC7920">
        <w:rPr>
          <w:bCs/>
        </w:rPr>
        <w:t>nfection</w:t>
      </w:r>
      <w:r>
        <w:rPr>
          <w:bCs/>
        </w:rPr>
        <w:t xml:space="preserve"> and the r</w:t>
      </w:r>
      <w:r w:rsidRPr="00CC7920">
        <w:rPr>
          <w:bCs/>
        </w:rPr>
        <w:t xml:space="preserve">elationship between </w:t>
      </w:r>
      <w:r>
        <w:rPr>
          <w:bCs/>
        </w:rPr>
        <w:t>p</w:t>
      </w:r>
      <w:r w:rsidRPr="00CC7920">
        <w:rPr>
          <w:bCs/>
        </w:rPr>
        <w:t xml:space="preserve">lasma Eltrombopag </w:t>
      </w:r>
      <w:r>
        <w:rPr>
          <w:bCs/>
        </w:rPr>
        <w:t>e</w:t>
      </w:r>
      <w:r w:rsidRPr="00CC7920">
        <w:rPr>
          <w:bCs/>
        </w:rPr>
        <w:t>xposure and QTc in</w:t>
      </w:r>
      <w:r>
        <w:rPr>
          <w:bCs/>
        </w:rPr>
        <w:t xml:space="preserve"> p</w:t>
      </w:r>
      <w:r w:rsidRPr="00CC7920">
        <w:rPr>
          <w:bCs/>
        </w:rPr>
        <w:t xml:space="preserve">atients with </w:t>
      </w:r>
      <w:r>
        <w:rPr>
          <w:bCs/>
        </w:rPr>
        <w:t>c</w:t>
      </w:r>
      <w:r w:rsidRPr="00CC7920">
        <w:rPr>
          <w:bCs/>
        </w:rPr>
        <w:t xml:space="preserve">hronic HCV </w:t>
      </w:r>
      <w:r>
        <w:rPr>
          <w:bCs/>
        </w:rPr>
        <w:t>i</w:t>
      </w:r>
      <w:r w:rsidRPr="00CC7920">
        <w:rPr>
          <w:bCs/>
        </w:rPr>
        <w:t>nfection</w:t>
      </w:r>
      <w:r>
        <w:rPr>
          <w:bCs/>
        </w:rPr>
        <w:t>.</w:t>
      </w:r>
      <w:r w:rsidRPr="00CC7920">
        <w:rPr>
          <w:bCs/>
        </w:rPr>
        <w:t xml:space="preserve"> </w:t>
      </w:r>
    </w:p>
    <w:p w:rsidR="00F74EEE" w:rsidRDefault="00F74EEE" w:rsidP="00EC097A">
      <w:pPr>
        <w:pStyle w:val="Heading3"/>
      </w:pPr>
      <w:bookmarkStart w:id="99" w:name="_Ref269119989"/>
      <w:bookmarkStart w:id="100" w:name="_Toc272414639"/>
      <w:bookmarkStart w:id="101" w:name="_Toc290846261"/>
      <w:bookmarkStart w:id="102" w:name="_Toc290888798"/>
      <w:bookmarkStart w:id="103" w:name="_Toc376875774"/>
      <w:r>
        <w:t>Summary of pharmacodynamics</w:t>
      </w:r>
      <w:bookmarkEnd w:id="99"/>
      <w:bookmarkEnd w:id="100"/>
      <w:bookmarkEnd w:id="101"/>
      <w:bookmarkEnd w:id="102"/>
      <w:bookmarkEnd w:id="103"/>
    </w:p>
    <w:p w:rsidR="00F74EEE" w:rsidRDefault="00F74EEE" w:rsidP="00764BF0">
      <w:r>
        <w:t>The information in the following summary is derived from conventional pharmacodynamic studies in humans unless otherwise stated.</w:t>
      </w:r>
    </w:p>
    <w:p w:rsidR="00F74EEE" w:rsidRPr="004427DD" w:rsidRDefault="00F74EEE" w:rsidP="00764BF0">
      <w:pPr>
        <w:pStyle w:val="Heading4"/>
      </w:pPr>
      <w:bookmarkStart w:id="104" w:name="_Toc241374299"/>
      <w:bookmarkStart w:id="105" w:name="_Toc272414640"/>
      <w:bookmarkStart w:id="106" w:name="_Toc290846262"/>
      <w:bookmarkStart w:id="107" w:name="_Toc290888799"/>
      <w:r w:rsidRPr="004427DD">
        <w:t>Mechanism of action</w:t>
      </w:r>
      <w:bookmarkEnd w:id="104"/>
      <w:bookmarkEnd w:id="105"/>
      <w:bookmarkEnd w:id="106"/>
      <w:bookmarkEnd w:id="107"/>
    </w:p>
    <w:p w:rsidR="00F74EEE" w:rsidRPr="004427DD" w:rsidRDefault="00F74EEE" w:rsidP="00764BF0">
      <w:r>
        <w:t xml:space="preserve"> </w:t>
      </w:r>
      <w:r w:rsidRPr="005F2622">
        <w:rPr>
          <w:i/>
          <w:iCs/>
        </w:rPr>
        <w:t>In vitro</w:t>
      </w:r>
      <w:r w:rsidRPr="005F2622">
        <w:t>, eltrombopag demonstrated TPO receptor activation by stimulation of both STAT-based interferon regulatory factor-1 promoter and the megakaryocytic-specific promoter, glycoprotein IIb, with a 50% effective concentration (EC</w:t>
      </w:r>
      <w:r w:rsidRPr="00EC097A">
        <w:rPr>
          <w:vertAlign w:val="subscript"/>
        </w:rPr>
        <w:t>50</w:t>
      </w:r>
      <w:r w:rsidRPr="005F2622">
        <w:t xml:space="preserve">) of 0.1-0.27 </w:t>
      </w:r>
      <w:r w:rsidR="00EC097A">
        <w:t>µ</w:t>
      </w:r>
      <w:r w:rsidRPr="005F2622">
        <w:t>M. The up-regulation of several</w:t>
      </w:r>
      <w:r>
        <w:t xml:space="preserve"> </w:t>
      </w:r>
      <w:r w:rsidRPr="005F2622">
        <w:t>megakaryocyte proliferation-associated genes was consistent with TPO receptor agonistic activity. Eltrombopag induced the proliferation of a TPO-dependent human megakaryocytic leukemia cell line with an EC</w:t>
      </w:r>
      <w:r w:rsidRPr="00EC097A">
        <w:rPr>
          <w:vertAlign w:val="subscript"/>
        </w:rPr>
        <w:t>50</w:t>
      </w:r>
      <w:r w:rsidRPr="005F2622">
        <w:t xml:space="preserve"> of 0.03 </w:t>
      </w:r>
      <w:r w:rsidR="00EC097A">
        <w:t>µ</w:t>
      </w:r>
      <w:r w:rsidRPr="005F2622">
        <w:t xml:space="preserve">M and induced the differentiation of CD34+ progenitor cells into megakaryocytes. However, eltrombopag did not affect platelet aggregation induced by adenosine 5'-diphosphate (ADP) and did not induce P-selectin expression, which are typical of endogenous TPO and </w:t>
      </w:r>
      <w:proofErr w:type="spellStart"/>
      <w:r w:rsidRPr="005F2622">
        <w:t>romiplostim</w:t>
      </w:r>
      <w:proofErr w:type="spellEnd"/>
      <w:r w:rsidRPr="005F2622">
        <w:t xml:space="preserve"> activity. </w:t>
      </w:r>
    </w:p>
    <w:p w:rsidR="00F74EEE" w:rsidRPr="004427DD" w:rsidRDefault="00F74EEE" w:rsidP="00EC097A">
      <w:pPr>
        <w:pStyle w:val="Heading4"/>
      </w:pPr>
      <w:bookmarkStart w:id="108" w:name="_Toc241374300"/>
      <w:bookmarkStart w:id="109" w:name="_Toc272414641"/>
      <w:bookmarkStart w:id="110" w:name="_Toc290846263"/>
      <w:bookmarkStart w:id="111" w:name="_Toc290888800"/>
      <w:r w:rsidRPr="004427DD">
        <w:t>Pharmacodynamic effects</w:t>
      </w:r>
      <w:bookmarkEnd w:id="108"/>
      <w:bookmarkEnd w:id="109"/>
      <w:bookmarkEnd w:id="110"/>
      <w:bookmarkEnd w:id="111"/>
    </w:p>
    <w:p w:rsidR="00F74EEE" w:rsidRPr="004427DD" w:rsidRDefault="00F74EEE" w:rsidP="00EC097A">
      <w:pPr>
        <w:pStyle w:val="Heading5"/>
      </w:pPr>
      <w:bookmarkStart w:id="112" w:name="_Toc272414642"/>
      <w:bookmarkStart w:id="113" w:name="_Toc290846264"/>
      <w:bookmarkStart w:id="114" w:name="_Toc290888801"/>
      <w:r w:rsidRPr="004427DD">
        <w:t>Primary pharmacodynamic effects</w:t>
      </w:r>
      <w:bookmarkEnd w:id="112"/>
      <w:bookmarkEnd w:id="113"/>
      <w:bookmarkEnd w:id="114"/>
    </w:p>
    <w:p w:rsidR="00F74EEE" w:rsidRPr="004427DD" w:rsidRDefault="00F74EEE" w:rsidP="00764BF0">
      <w:r>
        <w:t xml:space="preserve">Primary pharmacodynamics effects were characterised by </w:t>
      </w:r>
      <w:r w:rsidRPr="005F2622">
        <w:t>the relationship between p</w:t>
      </w:r>
      <w:r w:rsidRPr="005F2622">
        <w:rPr>
          <w:bCs/>
        </w:rPr>
        <w:t xml:space="preserve">lasma </w:t>
      </w:r>
      <w:r w:rsidR="00EC097A">
        <w:rPr>
          <w:bCs/>
        </w:rPr>
        <w:t>e</w:t>
      </w:r>
      <w:r w:rsidRPr="005F2622">
        <w:rPr>
          <w:bCs/>
        </w:rPr>
        <w:t>ltrombopag exposure and</w:t>
      </w:r>
      <w:r>
        <w:rPr>
          <w:bCs/>
        </w:rPr>
        <w:t xml:space="preserve"> </w:t>
      </w:r>
      <w:r w:rsidRPr="005F2622">
        <w:rPr>
          <w:bCs/>
        </w:rPr>
        <w:t>platelet response in subjects with chronic HCV infection</w:t>
      </w:r>
      <w:r>
        <w:rPr>
          <w:bCs/>
        </w:rPr>
        <w:t xml:space="preserve">. </w:t>
      </w:r>
      <w:r>
        <w:t xml:space="preserve"> </w:t>
      </w:r>
      <w:r w:rsidRPr="005F2622">
        <w:t>A 4-compartment life-span model, including three bone marrow compartments (one</w:t>
      </w:r>
      <w:r>
        <w:t xml:space="preserve"> </w:t>
      </w:r>
      <w:r w:rsidRPr="005F2622">
        <w:t>precursor production and two maturation compartments) and one blood platelet</w:t>
      </w:r>
      <w:r>
        <w:t xml:space="preserve"> </w:t>
      </w:r>
      <w:r w:rsidRPr="005F2622">
        <w:t>compartment, adequately described the stimulation of platelets by eltrombopag. In</w:t>
      </w:r>
      <w:r>
        <w:t xml:space="preserve"> </w:t>
      </w:r>
      <w:r w:rsidRPr="005F2622">
        <w:t>accordance with the mechanism of action, eltrombopag increased platelet counts in blood</w:t>
      </w:r>
      <w:r>
        <w:t xml:space="preserve"> </w:t>
      </w:r>
      <w:r w:rsidRPr="005F2622">
        <w:t>by stimulating the production rate of platelet precursors (KIN). The plasma eltrombopag</w:t>
      </w:r>
      <w:r>
        <w:t xml:space="preserve"> </w:t>
      </w:r>
      <w:r w:rsidRPr="005F2622">
        <w:t>concentration was related to the increase in KIN through an E</w:t>
      </w:r>
      <w:r w:rsidRPr="00AE7972">
        <w:rPr>
          <w:vertAlign w:val="subscript"/>
        </w:rPr>
        <w:t>max</w:t>
      </w:r>
      <w:r w:rsidRPr="005F2622">
        <w:t xml:space="preserve"> relationship, with 50%</w:t>
      </w:r>
      <w:r>
        <w:t xml:space="preserve"> </w:t>
      </w:r>
      <w:r w:rsidRPr="005F2622">
        <w:t>of maximum stimulation achieved at the eltrombopag concentration (EC</w:t>
      </w:r>
      <w:r w:rsidRPr="00EC097A">
        <w:rPr>
          <w:vertAlign w:val="subscript"/>
        </w:rPr>
        <w:t>50</w:t>
      </w:r>
      <w:r w:rsidRPr="005F2622">
        <w:t>) of 29 μg/mL.</w:t>
      </w:r>
      <w:r>
        <w:t xml:space="preserve"> </w:t>
      </w:r>
      <w:r w:rsidRPr="005F2622">
        <w:t>The estimated maximum effect was a 15.4</w:t>
      </w:r>
      <w:r w:rsidR="00EC097A">
        <w:t xml:space="preserve"> </w:t>
      </w:r>
      <w:r w:rsidRPr="005F2622">
        <w:t>fold increase in platelet production</w:t>
      </w:r>
      <w:r>
        <w:t xml:space="preserve">. </w:t>
      </w:r>
      <w:r w:rsidRPr="005F2622">
        <w:t xml:space="preserve"> </w:t>
      </w:r>
      <w:r w:rsidRPr="000E4F91">
        <w:t>Kinetic-pharmacodynamic (KPD) models with first-order absorption and elimination,</w:t>
      </w:r>
      <w:r>
        <w:t xml:space="preserve"> </w:t>
      </w:r>
      <w:r w:rsidRPr="000E4F91">
        <w:t>independently developed for peginterferon alfa-2a and peginterferon alfa-2b, described</w:t>
      </w:r>
      <w:r>
        <w:t xml:space="preserve"> </w:t>
      </w:r>
      <w:r w:rsidRPr="000E4F91">
        <w:t>the inhibition of platelet production by peginterferon. The inhibitory effect of</w:t>
      </w:r>
      <w:r>
        <w:t xml:space="preserve"> </w:t>
      </w:r>
      <w:r w:rsidRPr="000E4F91">
        <w:t>peginterferon on platelet production was linearly associated with peginterferon</w:t>
      </w:r>
      <w:r>
        <w:t xml:space="preserve"> </w:t>
      </w:r>
      <w:r w:rsidRPr="000E4F91">
        <w:t>concentrations</w:t>
      </w:r>
      <w:r>
        <w:t xml:space="preserve">. </w:t>
      </w:r>
      <w:r w:rsidRPr="000E4F91">
        <w:t xml:space="preserve"> In the clinical studies, rapid platelet count reduction occurred within the first 2 to 3 weeks</w:t>
      </w:r>
      <w:r>
        <w:t xml:space="preserve"> </w:t>
      </w:r>
      <w:r w:rsidRPr="000E4F91">
        <w:t>of initiation of peginterferon + ribavirin therapy, which was then followed by a gradual</w:t>
      </w:r>
      <w:r>
        <w:t xml:space="preserve"> </w:t>
      </w:r>
      <w:r w:rsidRPr="000E4F91">
        <w:t>reduction toward equilibrium in 5-6 weeks. During antiviral therapy, the model predicted that approximately 50% of subjects would</w:t>
      </w:r>
      <w:r>
        <w:t xml:space="preserve"> </w:t>
      </w:r>
      <w:r w:rsidRPr="000E4F91">
        <w:t>need at least one</w:t>
      </w:r>
      <w:r>
        <w:t xml:space="preserve"> </w:t>
      </w:r>
      <w:r w:rsidRPr="000E4F91">
        <w:t>eltrombopag dose adjustment to maintain platelet counts &gt;50 Gi/L and</w:t>
      </w:r>
      <w:r>
        <w:t xml:space="preserve"> </w:t>
      </w:r>
      <w:r w:rsidRPr="000E4F91">
        <w:t>&lt;200 Gi/L. Subjects were more likely to remain on a lower eltrombopag dose to</w:t>
      </w:r>
      <w:r>
        <w:t xml:space="preserve"> </w:t>
      </w:r>
      <w:r w:rsidRPr="000E4F91">
        <w:t>complete antiviral therapy with biweekly eltrombopag dose adjustment compared to</w:t>
      </w:r>
      <w:r>
        <w:t xml:space="preserve"> </w:t>
      </w:r>
      <w:r w:rsidRPr="000E4F91">
        <w:t xml:space="preserve">weekly dose adjustment. </w:t>
      </w:r>
    </w:p>
    <w:p w:rsidR="00F74EEE" w:rsidRPr="004427DD" w:rsidRDefault="00F74EEE" w:rsidP="00EC097A">
      <w:pPr>
        <w:pStyle w:val="Heading5"/>
      </w:pPr>
      <w:bookmarkStart w:id="115" w:name="_Toc272414643"/>
      <w:bookmarkStart w:id="116" w:name="_Toc290846265"/>
      <w:bookmarkStart w:id="117" w:name="_Toc290888802"/>
      <w:r w:rsidRPr="004427DD">
        <w:t>Secondary pharmacodynamic effects</w:t>
      </w:r>
      <w:bookmarkEnd w:id="115"/>
      <w:bookmarkEnd w:id="116"/>
      <w:bookmarkEnd w:id="117"/>
    </w:p>
    <w:p w:rsidR="00F74EEE" w:rsidRPr="004427DD" w:rsidRDefault="00F74EEE" w:rsidP="00764BF0">
      <w:r>
        <w:t xml:space="preserve">Secondary pharmacodynamics effects included </w:t>
      </w:r>
      <w:r w:rsidRPr="001E5685">
        <w:t>the relationship between plasma Eltrombopag exposure and QTc in patients with chronic HCV infection. Eltrombopag demonstrated no clinically significant effect on cardiac repolarisation in</w:t>
      </w:r>
      <w:r>
        <w:t xml:space="preserve"> </w:t>
      </w:r>
      <w:r w:rsidRPr="001E5685">
        <w:t>patients with HCV infection. The upper limit of the 90% CI for the mean difference in</w:t>
      </w:r>
      <w:r>
        <w:t xml:space="preserve"> </w:t>
      </w:r>
      <w:r w:rsidRPr="001E5685">
        <w:t>time-matched QTcF change from baseline with correction for placebo effect (</w:t>
      </w:r>
      <w:proofErr w:type="spellStart"/>
      <w:r w:rsidRPr="001E5685">
        <w:t>ddQTcF</w:t>
      </w:r>
      <w:proofErr w:type="spellEnd"/>
      <w:r w:rsidRPr="001E5685">
        <w:t>)</w:t>
      </w:r>
      <w:r>
        <w:t xml:space="preserve"> </w:t>
      </w:r>
      <w:r w:rsidRPr="001E5685">
        <w:t xml:space="preserve">was below 10 ms at all doses up to 100 mg </w:t>
      </w:r>
      <w:r w:rsidR="00EC097A">
        <w:t>once a day (</w:t>
      </w:r>
      <w:r w:rsidRPr="001E5685">
        <w:t>QD</w:t>
      </w:r>
      <w:r w:rsidR="00EC097A">
        <w:t>)</w:t>
      </w:r>
      <w:r w:rsidRPr="001E5685">
        <w:t xml:space="preserve"> and was predicted to be below 10</w:t>
      </w:r>
      <w:r w:rsidR="00EC097A">
        <w:t xml:space="preserve"> ms </w:t>
      </w:r>
      <w:r w:rsidRPr="001E5685">
        <w:t>at the supra-therapeutic dose of 200 mg QD</w:t>
      </w:r>
      <w:r>
        <w:t>.</w:t>
      </w:r>
    </w:p>
    <w:p w:rsidR="00F74EEE" w:rsidRPr="004427DD" w:rsidRDefault="00F74EEE" w:rsidP="00764BF0">
      <w:pPr>
        <w:pStyle w:val="Heading4"/>
      </w:pPr>
      <w:bookmarkStart w:id="118" w:name="_Toc272414644"/>
      <w:bookmarkStart w:id="119" w:name="_Toc290846266"/>
      <w:bookmarkStart w:id="120" w:name="_Toc290888803"/>
      <w:r w:rsidRPr="004427DD">
        <w:t>Time course of pharmacodynamic effects</w:t>
      </w:r>
      <w:bookmarkEnd w:id="118"/>
      <w:bookmarkEnd w:id="119"/>
      <w:bookmarkEnd w:id="120"/>
    </w:p>
    <w:p w:rsidR="00F74EEE" w:rsidRPr="004427DD" w:rsidRDefault="00F74EEE" w:rsidP="00764BF0">
      <w:r>
        <w:t>From the previous submission, t</w:t>
      </w:r>
      <w:r w:rsidRPr="004D375B">
        <w:t>he effect of eltrombopag on platelet counts was studied in healthy volunteers. Platelet count increased in a dose-depend</w:t>
      </w:r>
      <w:r>
        <w:t>e</w:t>
      </w:r>
      <w:r w:rsidRPr="004D375B">
        <w:t xml:space="preserve">nt manner after repeated doses. After 10 days of dosing, peak values were reached on Day 16 and counts returned to normal by Day 22. </w:t>
      </w:r>
      <w:r>
        <w:t xml:space="preserve"> </w:t>
      </w:r>
      <w:r w:rsidRPr="004D375B">
        <w:t xml:space="preserve">Platelet function tests (levels of activated </w:t>
      </w:r>
      <w:proofErr w:type="spellStart"/>
      <w:r w:rsidRPr="004D375B">
        <w:t>GPIIb</w:t>
      </w:r>
      <w:proofErr w:type="spellEnd"/>
      <w:r w:rsidRPr="004D375B">
        <w:t>/</w:t>
      </w:r>
      <w:proofErr w:type="spellStart"/>
      <w:r w:rsidRPr="004D375B">
        <w:t>IIIa</w:t>
      </w:r>
      <w:proofErr w:type="spellEnd"/>
      <w:r w:rsidRPr="004D375B">
        <w:t>, P-</w:t>
      </w:r>
      <w:proofErr w:type="spellStart"/>
      <w:r w:rsidRPr="004D375B">
        <w:t>selectin</w:t>
      </w:r>
      <w:proofErr w:type="spellEnd"/>
      <w:r w:rsidRPr="004D375B">
        <w:t xml:space="preserve">, </w:t>
      </w:r>
      <w:proofErr w:type="spellStart"/>
      <w:r w:rsidRPr="004D375B">
        <w:t>GPIb</w:t>
      </w:r>
      <w:proofErr w:type="spellEnd"/>
      <w:r w:rsidRPr="004D375B">
        <w:t xml:space="preserve"> and formation of leukocyte aggregates) suggested no increased or decreased platelet activation in eltrombopag-treated ITP subjects</w:t>
      </w:r>
      <w:r>
        <w:t xml:space="preserve"> </w:t>
      </w:r>
      <w:r w:rsidRPr="004D375B">
        <w:t>compared to untreated ITP subjects or normal volunteers. Platelets of eltrombopag</w:t>
      </w:r>
      <w:r w:rsidR="00EC097A">
        <w:t xml:space="preserve"> </w:t>
      </w:r>
      <w:r w:rsidRPr="004D375B">
        <w:t xml:space="preserve">treated subjects responded normally to stimulation with ADP. </w:t>
      </w:r>
    </w:p>
    <w:p w:rsidR="00F74EEE" w:rsidRPr="004427DD" w:rsidRDefault="00F74EEE" w:rsidP="00EC097A">
      <w:pPr>
        <w:pStyle w:val="Heading4"/>
      </w:pPr>
      <w:bookmarkStart w:id="121" w:name="_Toc272414645"/>
      <w:bookmarkStart w:id="122" w:name="_Toc290846267"/>
      <w:bookmarkStart w:id="123" w:name="_Toc290888804"/>
      <w:r w:rsidRPr="004427DD">
        <w:t>Relationship between drug concentration and pharmacodynamic effects</w:t>
      </w:r>
      <w:bookmarkEnd w:id="121"/>
      <w:bookmarkEnd w:id="122"/>
      <w:bookmarkEnd w:id="123"/>
    </w:p>
    <w:p w:rsidR="00F74EEE" w:rsidRPr="004427DD" w:rsidRDefault="00F74EEE" w:rsidP="00764BF0">
      <w:r>
        <w:t xml:space="preserve">Please refer above. </w:t>
      </w:r>
      <w:r w:rsidRPr="004D375B">
        <w:t>Simulations from the final eltrombopag PK/PD model support 25 mg once daily as the</w:t>
      </w:r>
      <w:r>
        <w:t xml:space="preserve"> </w:t>
      </w:r>
      <w:r w:rsidRPr="004D375B">
        <w:t>initial dose and biweekly dose escalation in 25 mg increments as an effective way for</w:t>
      </w:r>
      <w:r>
        <w:t xml:space="preserve"> </w:t>
      </w:r>
      <w:r w:rsidRPr="004D375B">
        <w:t>thrombocytopenic HCV patients to raise platelet counts to a sufficient level to allow</w:t>
      </w:r>
      <w:r>
        <w:t xml:space="preserve"> </w:t>
      </w:r>
      <w:r w:rsidRPr="004D375B">
        <w:t xml:space="preserve">initiation of antiviral therapy. The same eltrombopag starting dose </w:t>
      </w:r>
      <w:r>
        <w:t>was regarded a</w:t>
      </w:r>
      <w:r w:rsidRPr="004D375B">
        <w:t>s appropriate for all</w:t>
      </w:r>
      <w:r>
        <w:t xml:space="preserve"> </w:t>
      </w:r>
      <w:r w:rsidRPr="004D375B">
        <w:t>thrombocytopenic HCV patients regardless of race because similar platelet results were</w:t>
      </w:r>
      <w:r>
        <w:t xml:space="preserve"> </w:t>
      </w:r>
      <w:r w:rsidRPr="004D375B">
        <w:t>predicted across patient</w:t>
      </w:r>
      <w:r>
        <w:t xml:space="preserve"> </w:t>
      </w:r>
      <w:r w:rsidRPr="004D375B">
        <w:t>subpopulations.</w:t>
      </w:r>
    </w:p>
    <w:p w:rsidR="00F74EEE" w:rsidRPr="004427DD" w:rsidRDefault="00F74EEE" w:rsidP="00764BF0">
      <w:pPr>
        <w:pStyle w:val="Heading4"/>
      </w:pPr>
      <w:bookmarkStart w:id="124" w:name="_Toc241374304"/>
      <w:bookmarkStart w:id="125" w:name="_Toc272414646"/>
      <w:bookmarkStart w:id="126" w:name="_Toc290846268"/>
      <w:bookmarkStart w:id="127" w:name="_Toc290888805"/>
      <w:r w:rsidRPr="004427DD">
        <w:t>Genetic-, gender- and age-related differences in pharmacodynamic response</w:t>
      </w:r>
      <w:bookmarkEnd w:id="124"/>
      <w:bookmarkEnd w:id="125"/>
      <w:bookmarkEnd w:id="126"/>
      <w:bookmarkEnd w:id="127"/>
    </w:p>
    <w:p w:rsidR="00F74EEE" w:rsidRDefault="00F74EEE" w:rsidP="00764BF0">
      <w:r>
        <w:t>Pharmacokinetic differences for special populations are noted above. No specific differences in pharmacodynamic response for these groups were noted.</w:t>
      </w:r>
    </w:p>
    <w:p w:rsidR="00F74EEE" w:rsidRPr="004427DD" w:rsidRDefault="00F74EEE" w:rsidP="00764BF0">
      <w:pPr>
        <w:pStyle w:val="Heading4"/>
      </w:pPr>
      <w:bookmarkStart w:id="128" w:name="_Toc241374303"/>
      <w:bookmarkStart w:id="129" w:name="_Toc272414647"/>
      <w:bookmarkStart w:id="130" w:name="_Toc290846269"/>
      <w:bookmarkStart w:id="131" w:name="_Toc290888806"/>
      <w:r w:rsidRPr="004427DD">
        <w:t>Pharmacodynamic interactions</w:t>
      </w:r>
      <w:bookmarkEnd w:id="128"/>
      <w:bookmarkEnd w:id="129"/>
      <w:bookmarkEnd w:id="130"/>
      <w:bookmarkEnd w:id="131"/>
    </w:p>
    <w:p w:rsidR="00F74EEE" w:rsidRDefault="00F74EEE" w:rsidP="00764BF0">
      <w:r w:rsidRPr="006B5728">
        <w:t xml:space="preserve">Administration of eltrombopag 75 mg once daily for 5 days with a single 10 mg dose of the OATP1B1 and BCRP substrate rosuvastatin to 39 healthy adult subjects increased plasma rosuvastatin </w:t>
      </w:r>
      <w:r w:rsidR="00EC097A">
        <w:t>peak plasma concentration (</w:t>
      </w:r>
      <w:r w:rsidRPr="006B5728">
        <w:t>C</w:t>
      </w:r>
      <w:r w:rsidRPr="00AE7972">
        <w:rPr>
          <w:vertAlign w:val="subscript"/>
        </w:rPr>
        <w:t>max</w:t>
      </w:r>
      <w:r w:rsidR="00EC097A">
        <w:t>) 1</w:t>
      </w:r>
      <w:r w:rsidRPr="006B5728">
        <w:t>03 % (90 % CI: 82 %, 126 %) and AUC</w:t>
      </w:r>
      <w:r w:rsidRPr="00785F04">
        <w:rPr>
          <w:vertAlign w:val="subscript"/>
        </w:rPr>
        <w:t>0-∞</w:t>
      </w:r>
      <w:r w:rsidRPr="006B5728">
        <w:t xml:space="preserve"> 55 % (90 % CI: 42 %, 69 %). </w:t>
      </w:r>
      <w:r>
        <w:t>C</w:t>
      </w:r>
      <w:r w:rsidRPr="006B5728">
        <w:t xml:space="preserve">o-administration of single dose </w:t>
      </w:r>
      <w:r>
        <w:t>eltrombopag</w:t>
      </w:r>
      <w:r w:rsidRPr="006B5728">
        <w:t xml:space="preserve"> 100 mg with repeat dose LPV/RTV 400 /100 mg twice daily resulted in a reduction in </w:t>
      </w:r>
      <w:r>
        <w:t>eltrombopag</w:t>
      </w:r>
      <w:r w:rsidRPr="006B5728">
        <w:t xml:space="preserve"> plasma AUC</w:t>
      </w:r>
      <w:r w:rsidRPr="00AE7972">
        <w:rPr>
          <w:vertAlign w:val="subscript"/>
        </w:rPr>
        <w:t>0-∞</w:t>
      </w:r>
      <w:r w:rsidRPr="006B5728">
        <w:t xml:space="preserve"> by 17 % (90 % CI: 6.6 %, 26.6 %). Administration of a single dose of eltrombopag 75 mg with a polyvalent cation-containing antacid (1524 mg aluminium hydroxide and 1425 mg magnesium carbonate) decreased plasma eltrombopag AUC</w:t>
      </w:r>
      <w:r w:rsidRPr="00AE7972">
        <w:rPr>
          <w:vertAlign w:val="subscript"/>
        </w:rPr>
        <w:t>0-∞</w:t>
      </w:r>
      <w:r w:rsidRPr="006B5728">
        <w:t xml:space="preserve"> by 70 % (90 % CI: 64 %, 76 %)and C</w:t>
      </w:r>
      <w:r w:rsidRPr="00AE7972">
        <w:rPr>
          <w:vertAlign w:val="subscript"/>
        </w:rPr>
        <w:t>max</w:t>
      </w:r>
      <w:r w:rsidRPr="006B5728">
        <w:t xml:space="preserve"> by 70 % (90 % CI: 62 %, 76 %). </w:t>
      </w:r>
      <w:r w:rsidRPr="002A28B9">
        <w:t>A</w:t>
      </w:r>
      <w:r w:rsidR="00EC097A">
        <w:t xml:space="preserve">dministration of a single 50 mg </w:t>
      </w:r>
      <w:r w:rsidRPr="002A28B9">
        <w:t xml:space="preserve">dose of </w:t>
      </w:r>
      <w:r>
        <w:t>eltrombopag</w:t>
      </w:r>
      <w:r w:rsidRPr="002A28B9">
        <w:t xml:space="preserve"> with a standard high</w:t>
      </w:r>
      <w:r w:rsidR="00EC097A">
        <w:t xml:space="preserve"> </w:t>
      </w:r>
      <w:r w:rsidRPr="002A28B9">
        <w:t>calorie, high</w:t>
      </w:r>
      <w:r w:rsidR="00EC097A">
        <w:t xml:space="preserve"> </w:t>
      </w:r>
      <w:r w:rsidRPr="002A28B9">
        <w:t>fat breakfast that included dairy products reduced plasma eltrombopag AUC</w:t>
      </w:r>
      <w:r w:rsidRPr="00AE7972">
        <w:rPr>
          <w:vertAlign w:val="subscript"/>
        </w:rPr>
        <w:t>0</w:t>
      </w:r>
      <w:r w:rsidR="00EC097A">
        <w:rPr>
          <w:vertAlign w:val="subscript"/>
        </w:rPr>
        <w:noBreakHyphen/>
      </w:r>
      <w:r w:rsidRPr="00AE7972">
        <w:rPr>
          <w:vertAlign w:val="subscript"/>
        </w:rPr>
        <w:t>∞</w:t>
      </w:r>
      <w:r w:rsidRPr="002A28B9">
        <w:t xml:space="preserve"> by 59 % (90 % CI: 54 %, 64 %) and C</w:t>
      </w:r>
      <w:r w:rsidRPr="00AE7972">
        <w:rPr>
          <w:vertAlign w:val="subscript"/>
        </w:rPr>
        <w:t>max</w:t>
      </w:r>
      <w:r w:rsidRPr="002A28B9">
        <w:t xml:space="preserve"> by 65 % (90 % CI: 59 %, 70 %). </w:t>
      </w:r>
    </w:p>
    <w:p w:rsidR="00F74EEE" w:rsidRDefault="00F74EEE" w:rsidP="00764BF0">
      <w:pPr>
        <w:pStyle w:val="Heading3"/>
      </w:pPr>
      <w:bookmarkStart w:id="132" w:name="_Ref269983272"/>
      <w:bookmarkStart w:id="133" w:name="_Toc272414648"/>
      <w:bookmarkStart w:id="134" w:name="_Toc290846270"/>
      <w:bookmarkStart w:id="135" w:name="_Toc290888807"/>
      <w:bookmarkStart w:id="136" w:name="_Toc376875775"/>
      <w:r>
        <w:t>Evaluator’s overall conclusions on pharmacodynamics</w:t>
      </w:r>
      <w:bookmarkEnd w:id="132"/>
      <w:bookmarkEnd w:id="133"/>
      <w:bookmarkEnd w:id="134"/>
      <w:bookmarkEnd w:id="135"/>
      <w:bookmarkEnd w:id="136"/>
    </w:p>
    <w:p w:rsidR="00F74EEE" w:rsidRDefault="00F74EEE" w:rsidP="00764BF0">
      <w:r>
        <w:t xml:space="preserve">The mechanism of action of eltrombopag has been well characterised from previous submissions. Thrombopoietin (TPO) is the main cytokine involved in regulation of </w:t>
      </w:r>
      <w:proofErr w:type="spellStart"/>
      <w:r>
        <w:t>megakaryopoiesis</w:t>
      </w:r>
      <w:proofErr w:type="spellEnd"/>
      <w:r>
        <w:t xml:space="preserve"> and platelet production and is the endogenous ligand for the thrombopoietin receptor (TPO-R). Eltrombopag interacts with the transmembrane domain of the human TPO-R and initiates signaling cascades similar but not identical to that of endogenous thrombopoietin (TPO), inducing proliferation and differentiation of megakaryocytes from bone marrow progenitor cells. Eltrombopag differs from TPO with respect to the effects on platelet aggregation. Unlike TPO, eltrombopag treatment of normal human platelets does not enhance adenosine diphosphate (ADP)</w:t>
      </w:r>
      <w:r w:rsidR="00EC097A">
        <w:t xml:space="preserve"> </w:t>
      </w:r>
      <w:r>
        <w:t xml:space="preserve">induced aggregation or induce P-selectin expression. </w:t>
      </w:r>
      <w:r w:rsidR="00EC097A">
        <w:t>E</w:t>
      </w:r>
      <w:r>
        <w:t xml:space="preserve">ltrombopag does not antagonise platelet aggregation induced by ADP or collagen. </w:t>
      </w:r>
    </w:p>
    <w:p w:rsidR="00F74EEE" w:rsidRPr="00AE7972" w:rsidRDefault="00F74EEE" w:rsidP="00764BF0">
      <w:r w:rsidRPr="00AE7972">
        <w:t>To assess the pharmacodynamics of eltrombopag, a population PK/PD model was constructed in a step-wise fashion. Initially, a PK/PD model was developed based on data from eltromb</w:t>
      </w:r>
      <w:r w:rsidR="00EC097A">
        <w:t>opag mono-therapy to characteris</w:t>
      </w:r>
      <w:r w:rsidRPr="00AE7972">
        <w:t>e the stimulatory effect of eltrombopag on platelet counts. The model was then extended to incorporate the inhibitory effects of IFN (alfa-2a and alfa-2b) by including data from antiviral therapy in the model</w:t>
      </w:r>
      <w:r w:rsidR="00EC097A">
        <w:t>l</w:t>
      </w:r>
      <w:r w:rsidRPr="00AE7972">
        <w:t>ing. Due to a lack of serum concentrations of IFN alfa-2a and IFN alfa-2b in the majority of patients, a kinetic-pharmacodynamic (KPD)</w:t>
      </w:r>
      <w:r>
        <w:t xml:space="preserve"> </w:t>
      </w:r>
      <w:r w:rsidRPr="00AE7972">
        <w:t>modelling approach was used to characteri</w:t>
      </w:r>
      <w:r w:rsidR="00EC097A">
        <w:t>s</w:t>
      </w:r>
      <w:r w:rsidRPr="00AE7972">
        <w:t>e the inhibitory effect of IFN on platelet counts during antiviral therapy. The plasma eltrombopag concentration was related to the increase in KIN through an E</w:t>
      </w:r>
      <w:r w:rsidRPr="00785F04">
        <w:rPr>
          <w:vertAlign w:val="subscript"/>
        </w:rPr>
        <w:t>max</w:t>
      </w:r>
      <w:r w:rsidRPr="00AE7972">
        <w:t xml:space="preserve"> relationship, with 50% of maximum stimulation achieved at the eltrombopag concentration (EC</w:t>
      </w:r>
      <w:r w:rsidRPr="00EC097A">
        <w:rPr>
          <w:vertAlign w:val="subscript"/>
        </w:rPr>
        <w:t>50</w:t>
      </w:r>
      <w:r w:rsidRPr="00AE7972">
        <w:t>) of 29 μg/mL. The estimated maximum effect was a 15.4</w:t>
      </w:r>
      <w:r w:rsidR="00EC097A">
        <w:t xml:space="preserve"> to </w:t>
      </w:r>
      <w:r w:rsidRPr="00AE7972">
        <w:t>fold increase in platelet production. The inhibitory effect of peginterferon on platelet production was linearly associated with peginterferon concentrations. This modelling allowed for a prediction of required starting dose for eltrombopag and requirement for dose adjustment during treatment.  This modelling was then assessed in the pivotal efficacy studies.</w:t>
      </w:r>
    </w:p>
    <w:p w:rsidR="00F74EEE" w:rsidRDefault="00F74EEE" w:rsidP="00764BF0">
      <w:r>
        <w:t xml:space="preserve">Pharmacodynamic interactions were noted with </w:t>
      </w:r>
      <w:proofErr w:type="spellStart"/>
      <w:r>
        <w:t>Rosuvastatin</w:t>
      </w:r>
      <w:proofErr w:type="spellEnd"/>
      <w:r>
        <w:t xml:space="preserve">, </w:t>
      </w:r>
      <w:proofErr w:type="spellStart"/>
      <w:r>
        <w:t>Lopinavir</w:t>
      </w:r>
      <w:proofErr w:type="spellEnd"/>
      <w:r>
        <w:t>/</w:t>
      </w:r>
      <w:proofErr w:type="spellStart"/>
      <w:r>
        <w:t>ritonavir</w:t>
      </w:r>
      <w:proofErr w:type="spellEnd"/>
      <w:r>
        <w:t xml:space="preserve">, polyvalent </w:t>
      </w:r>
      <w:proofErr w:type="spellStart"/>
      <w:r>
        <w:t>cations</w:t>
      </w:r>
      <w:proofErr w:type="spellEnd"/>
      <w:r>
        <w:t xml:space="preserve"> and food interactions. </w:t>
      </w:r>
      <w:r w:rsidRPr="001E5685">
        <w:rPr>
          <w:bCs/>
        </w:rPr>
        <w:t>Eltrombopag demonstrated no clinically significant effect on cardiac repolarisation in</w:t>
      </w:r>
      <w:r>
        <w:rPr>
          <w:bCs/>
        </w:rPr>
        <w:t xml:space="preserve"> </w:t>
      </w:r>
      <w:r w:rsidRPr="001E5685">
        <w:rPr>
          <w:bCs/>
        </w:rPr>
        <w:t xml:space="preserve">patients with HCV infection. </w:t>
      </w:r>
    </w:p>
    <w:p w:rsidR="00586F98" w:rsidRDefault="00C22678" w:rsidP="00764BF0">
      <w:pPr>
        <w:pStyle w:val="Heading2"/>
      </w:pPr>
      <w:bookmarkStart w:id="137" w:name="_Toc376875776"/>
      <w:r>
        <w:t>Dosage selection for the pivotal studies</w:t>
      </w:r>
      <w:bookmarkEnd w:id="137"/>
    </w:p>
    <w:p w:rsidR="00F74EEE" w:rsidRDefault="00F74EEE" w:rsidP="00764BF0">
      <w:r w:rsidRPr="00867048">
        <w:t>The 25 mg starting dose of eltrombopag administered in ENABLE 1 and ENABLE 2 was</w:t>
      </w:r>
      <w:r>
        <w:t xml:space="preserve"> </w:t>
      </w:r>
      <w:r w:rsidRPr="00867048">
        <w:t>based on evidence from the Phase II program (Study TPL102357), in which 75% of</w:t>
      </w:r>
      <w:r>
        <w:t xml:space="preserve"> </w:t>
      </w:r>
      <w:r w:rsidRPr="00867048">
        <w:t>HCV-infected subjects receiving the lowest dose of eltrombopag (30 mg) achieved</w:t>
      </w:r>
      <w:r>
        <w:t xml:space="preserve"> </w:t>
      </w:r>
      <w:r w:rsidRPr="00867048">
        <w:t>platelet counts &gt;100 Gi/L after the initial 4</w:t>
      </w:r>
      <w:r w:rsidR="00EC097A">
        <w:t xml:space="preserve"> </w:t>
      </w:r>
      <w:r w:rsidRPr="00867048">
        <w:t>week pre-antiviral dosing period. Study</w:t>
      </w:r>
      <w:r>
        <w:t xml:space="preserve"> </w:t>
      </w:r>
      <w:r w:rsidRPr="00867048">
        <w:t>TPL102357 used eltrombopag doses of 30, 50 and 7</w:t>
      </w:r>
      <w:r w:rsidR="00EC097A">
        <w:t>5 mg</w:t>
      </w:r>
      <w:r w:rsidRPr="00867048">
        <w:t xml:space="preserve"> and not the 100 mg dose.</w:t>
      </w:r>
    </w:p>
    <w:p w:rsidR="00F74EEE" w:rsidRDefault="00F74EEE" w:rsidP="00764BF0">
      <w:r>
        <w:t>As noted above, p</w:t>
      </w:r>
      <w:r w:rsidRPr="00867048">
        <w:t>harmacokinetic (PK) and pharmacodynamic (PD) data showed that repeat, once daily</w:t>
      </w:r>
      <w:r>
        <w:t xml:space="preserve"> </w:t>
      </w:r>
      <w:r w:rsidRPr="00867048">
        <w:t>dosing led to platelet count increases after 8 days of dosing, and a maximal platelet count</w:t>
      </w:r>
      <w:r>
        <w:t xml:space="preserve"> </w:t>
      </w:r>
      <w:r w:rsidRPr="00867048">
        <w:t>response was achieved approximately 2 weeks after the start of dosing. A PK/PD model</w:t>
      </w:r>
      <w:r>
        <w:t xml:space="preserve"> </w:t>
      </w:r>
      <w:r w:rsidRPr="00867048">
        <w:t>estimated that 54% of subjects would require an eltrombopag dose of 100 mg to maintain</w:t>
      </w:r>
      <w:r>
        <w:t xml:space="preserve"> </w:t>
      </w:r>
      <w:r w:rsidRPr="00867048">
        <w:t>a platelet count &gt;80 Gi/L during peginterferon therapy.</w:t>
      </w:r>
      <w:r w:rsidR="00EC097A">
        <w:t xml:space="preserve"> </w:t>
      </w:r>
      <w:r w:rsidRPr="00867048">
        <w:t>Therefore, the 100 mg dose was introduced in the ENABLE 1 and</w:t>
      </w:r>
      <w:r>
        <w:t xml:space="preserve"> </w:t>
      </w:r>
      <w:r w:rsidRPr="00867048">
        <w:t>ENABLE 2 studies.</w:t>
      </w:r>
    </w:p>
    <w:p w:rsidR="00C22678" w:rsidRDefault="00C22678" w:rsidP="00764BF0">
      <w:pPr>
        <w:pStyle w:val="Heading2"/>
      </w:pPr>
      <w:bookmarkStart w:id="138" w:name="_Toc376875777"/>
      <w:r>
        <w:t>Clinical efficacy</w:t>
      </w:r>
      <w:bookmarkEnd w:id="138"/>
    </w:p>
    <w:p w:rsidR="00F74EEE" w:rsidRPr="003C0A48" w:rsidRDefault="00B35FAC" w:rsidP="00764BF0">
      <w:pPr>
        <w:pStyle w:val="Heading3"/>
      </w:pPr>
      <w:bookmarkStart w:id="139" w:name="_Ref271199564"/>
      <w:bookmarkStart w:id="140" w:name="_Toc272414651"/>
      <w:bookmarkStart w:id="141" w:name="_Toc290846273"/>
      <w:bookmarkStart w:id="142" w:name="_Toc290888810"/>
      <w:bookmarkStart w:id="143" w:name="_Toc376875778"/>
      <w:r>
        <w:t>T</w:t>
      </w:r>
      <w:r w:rsidR="00F74EEE" w:rsidRPr="00867048">
        <w:t>reatment of thrombocytopenia</w:t>
      </w:r>
      <w:r w:rsidR="00F74EEE">
        <w:t xml:space="preserve"> </w:t>
      </w:r>
      <w:r w:rsidR="00F74EEE" w:rsidRPr="00867048">
        <w:t xml:space="preserve"> in adult patients with chronic hepatitis C virus (HCV) infection</w:t>
      </w:r>
      <w:bookmarkEnd w:id="143"/>
      <w:r w:rsidR="00F74EEE" w:rsidRPr="00867048">
        <w:t xml:space="preserve"> </w:t>
      </w:r>
      <w:bookmarkEnd w:id="139"/>
      <w:bookmarkEnd w:id="140"/>
      <w:bookmarkEnd w:id="141"/>
      <w:bookmarkEnd w:id="142"/>
    </w:p>
    <w:p w:rsidR="00F74EEE" w:rsidRDefault="00F74EEE" w:rsidP="00EC097A">
      <w:pPr>
        <w:pStyle w:val="Heading4"/>
      </w:pPr>
      <w:bookmarkStart w:id="144" w:name="_Ref271037274"/>
      <w:bookmarkStart w:id="145" w:name="_Toc272414652"/>
      <w:bookmarkStart w:id="146" w:name="_Toc290846274"/>
      <w:bookmarkStart w:id="147" w:name="_Toc290888811"/>
      <w:r>
        <w:t>Pivotal efficacy studies</w:t>
      </w:r>
      <w:bookmarkEnd w:id="144"/>
      <w:bookmarkEnd w:id="145"/>
      <w:bookmarkEnd w:id="146"/>
      <w:bookmarkEnd w:id="147"/>
    </w:p>
    <w:p w:rsidR="00F74EEE" w:rsidRPr="003C0A48" w:rsidRDefault="00F74EEE" w:rsidP="00EC097A">
      <w:pPr>
        <w:pStyle w:val="Heading5"/>
      </w:pPr>
      <w:bookmarkStart w:id="148" w:name="_Ref243301615"/>
      <w:bookmarkStart w:id="149" w:name="_Ref271040927"/>
      <w:bookmarkStart w:id="150" w:name="_Ref271040932"/>
      <w:bookmarkStart w:id="151" w:name="_Toc272414653"/>
      <w:bookmarkStart w:id="152" w:name="_Toc290846275"/>
      <w:bookmarkStart w:id="153" w:name="_Toc290888812"/>
      <w:r w:rsidRPr="003C0A48">
        <w:t>S</w:t>
      </w:r>
      <w:r>
        <w:t xml:space="preserve">tudy </w:t>
      </w:r>
      <w:r w:rsidRPr="00867048">
        <w:t xml:space="preserve">TPL103922 (ENABLE 1) </w:t>
      </w:r>
      <w:bookmarkEnd w:id="148"/>
      <w:bookmarkEnd w:id="149"/>
      <w:bookmarkEnd w:id="150"/>
      <w:bookmarkEnd w:id="151"/>
      <w:bookmarkEnd w:id="152"/>
      <w:bookmarkEnd w:id="153"/>
    </w:p>
    <w:p w:rsidR="00F74EEE" w:rsidRDefault="00F74EEE" w:rsidP="00764BF0">
      <w:r>
        <w:t>This study was a r</w:t>
      </w:r>
      <w:r w:rsidRPr="0052462B">
        <w:t>andomised, placebo-controlled, multicentre study to assess the efficacy and</w:t>
      </w:r>
      <w:r>
        <w:t xml:space="preserve"> </w:t>
      </w:r>
      <w:r w:rsidRPr="0052462B">
        <w:t>safety of eltrombopag in thrombocytopenic subjects with hepatitis C virus (HCV)</w:t>
      </w:r>
      <w:r>
        <w:t xml:space="preserve"> </w:t>
      </w:r>
      <w:r w:rsidRPr="0052462B">
        <w:t xml:space="preserve">infection who </w:t>
      </w:r>
      <w:r>
        <w:t>we</w:t>
      </w:r>
      <w:r w:rsidRPr="0052462B">
        <w:t>re otherwise eligible to initiate antiviral therapy (peginterferon alfa-2a</w:t>
      </w:r>
      <w:r>
        <w:t xml:space="preserve"> </w:t>
      </w:r>
      <w:r w:rsidRPr="0052462B">
        <w:t>plus ribavirin)</w:t>
      </w:r>
      <w:r>
        <w:t xml:space="preserve">. The study was conducted between </w:t>
      </w:r>
      <w:r w:rsidRPr="0052462B">
        <w:t>30 Oct</w:t>
      </w:r>
      <w:r w:rsidR="00EC097A">
        <w:t>ober</w:t>
      </w:r>
      <w:r w:rsidRPr="0052462B">
        <w:t xml:space="preserve"> 2007</w:t>
      </w:r>
      <w:r>
        <w:t xml:space="preserve"> and</w:t>
      </w:r>
      <w:r w:rsidRPr="0052462B">
        <w:t xml:space="preserve"> 31</w:t>
      </w:r>
      <w:r w:rsidR="00EC097A">
        <w:t xml:space="preserve"> </w:t>
      </w:r>
      <w:r w:rsidRPr="0052462B">
        <w:t>Mar</w:t>
      </w:r>
      <w:r w:rsidR="00EC097A">
        <w:t>ch</w:t>
      </w:r>
      <w:r w:rsidRPr="0052462B">
        <w:t xml:space="preserve"> 2011</w:t>
      </w:r>
      <w:r>
        <w:t xml:space="preserve">. </w:t>
      </w:r>
    </w:p>
    <w:p w:rsidR="00F74EEE" w:rsidRDefault="00F74EEE" w:rsidP="00764BF0">
      <w:r>
        <w:t>The p</w:t>
      </w:r>
      <w:r w:rsidRPr="0052462B">
        <w:t>rimary objective</w:t>
      </w:r>
      <w:r>
        <w:t xml:space="preserve"> of the study was t</w:t>
      </w:r>
      <w:r w:rsidRPr="0052462B">
        <w:t>o evaluate the effect of eltrombopag treatment on</w:t>
      </w:r>
      <w:r>
        <w:t xml:space="preserve"> </w:t>
      </w:r>
      <w:r w:rsidRPr="0052462B">
        <w:t>Sustained Virologic Response (SVR) in thrombocytopenic subjects (platelets &lt;75 Gi/L)</w:t>
      </w:r>
      <w:r>
        <w:t xml:space="preserve"> </w:t>
      </w:r>
      <w:r w:rsidRPr="0052462B">
        <w:t>with HCV infection.</w:t>
      </w:r>
    </w:p>
    <w:p w:rsidR="00F74EEE" w:rsidRPr="0052462B" w:rsidRDefault="00F74EEE" w:rsidP="00764BF0">
      <w:r w:rsidRPr="0052462B">
        <w:t>Secondary Objectives</w:t>
      </w:r>
      <w:r>
        <w:t xml:space="preserve"> of the study were</w:t>
      </w:r>
      <w:r w:rsidR="00EC097A">
        <w:t xml:space="preserve"> to evaluate</w:t>
      </w:r>
      <w:r w:rsidR="00B35FAC">
        <w:t xml:space="preserve"> the</w:t>
      </w:r>
    </w:p>
    <w:p w:rsidR="00F74EEE" w:rsidRPr="00764BF0" w:rsidRDefault="00F74EEE" w:rsidP="00764BF0">
      <w:pPr>
        <w:pStyle w:val="ListBullet"/>
      </w:pPr>
      <w:r w:rsidRPr="00764BF0">
        <w:t xml:space="preserve">ability of </w:t>
      </w:r>
      <w:proofErr w:type="spellStart"/>
      <w:r w:rsidRPr="00764BF0">
        <w:t>eltrombopag</w:t>
      </w:r>
      <w:proofErr w:type="spellEnd"/>
      <w:r w:rsidRPr="00764BF0">
        <w:t xml:space="preserve"> to enable initiation of antiviral therapy in thrombocytopenic subjects with HCV infection.</w:t>
      </w:r>
    </w:p>
    <w:p w:rsidR="00F74EEE" w:rsidRPr="00764BF0" w:rsidRDefault="00F74EEE" w:rsidP="00764BF0">
      <w:pPr>
        <w:pStyle w:val="ListBullet"/>
      </w:pPr>
      <w:r w:rsidRPr="00764BF0">
        <w:t xml:space="preserve">effects of </w:t>
      </w:r>
      <w:proofErr w:type="spellStart"/>
      <w:r w:rsidRPr="00764BF0">
        <w:t>eltrombopag</w:t>
      </w:r>
      <w:proofErr w:type="spellEnd"/>
      <w:r w:rsidRPr="00764BF0">
        <w:t xml:space="preserve"> treatment on antiviral treatment outcome measures (rapid </w:t>
      </w:r>
      <w:proofErr w:type="spellStart"/>
      <w:r w:rsidRPr="00764BF0">
        <w:t>virologic</w:t>
      </w:r>
      <w:proofErr w:type="spellEnd"/>
      <w:r w:rsidRPr="00764BF0">
        <w:t xml:space="preserve"> response [RVR], early </w:t>
      </w:r>
      <w:proofErr w:type="spellStart"/>
      <w:r w:rsidRPr="00764BF0">
        <w:t>virologic</w:t>
      </w:r>
      <w:proofErr w:type="spellEnd"/>
      <w:r w:rsidRPr="00764BF0">
        <w:t xml:space="preserve"> response [EVR] and end of treatment response [ETR]) in thrombocytopenic subjects with HCV infection.</w:t>
      </w:r>
    </w:p>
    <w:p w:rsidR="00F74EEE" w:rsidRPr="00764BF0" w:rsidRDefault="00F74EEE" w:rsidP="00764BF0">
      <w:pPr>
        <w:pStyle w:val="ListBullet"/>
      </w:pPr>
      <w:r w:rsidRPr="00764BF0">
        <w:t xml:space="preserve">ability of </w:t>
      </w:r>
      <w:proofErr w:type="spellStart"/>
      <w:r w:rsidRPr="00764BF0">
        <w:t>eltrombopag</w:t>
      </w:r>
      <w:proofErr w:type="spellEnd"/>
      <w:r w:rsidRPr="00764BF0">
        <w:t xml:space="preserve"> to enable maintenance of antiviral therapy in  thrombocytopenic subjects with HCV infection.</w:t>
      </w:r>
    </w:p>
    <w:p w:rsidR="00F74EEE" w:rsidRPr="00764BF0" w:rsidRDefault="00F74EEE" w:rsidP="00764BF0">
      <w:pPr>
        <w:pStyle w:val="ListBullet"/>
      </w:pPr>
      <w:r w:rsidRPr="00764BF0">
        <w:t xml:space="preserve">effect of </w:t>
      </w:r>
      <w:proofErr w:type="spellStart"/>
      <w:r w:rsidRPr="00764BF0">
        <w:t>eltrombopag</w:t>
      </w:r>
      <w:proofErr w:type="spellEnd"/>
      <w:r w:rsidRPr="00764BF0">
        <w:t xml:space="preserve"> on platelet counts in thrombocytopenic subjects with HCV infection, before and during antiviral therapy.</w:t>
      </w:r>
    </w:p>
    <w:p w:rsidR="00F74EEE" w:rsidRPr="00764BF0" w:rsidRDefault="00F74EEE" w:rsidP="00764BF0">
      <w:pPr>
        <w:pStyle w:val="ListBullet"/>
      </w:pPr>
      <w:r w:rsidRPr="00764BF0">
        <w:t xml:space="preserve">safety and tolerability of </w:t>
      </w:r>
      <w:proofErr w:type="spellStart"/>
      <w:r w:rsidRPr="00764BF0">
        <w:t>eltrombopag</w:t>
      </w:r>
      <w:proofErr w:type="spellEnd"/>
      <w:r w:rsidRPr="00764BF0">
        <w:t xml:space="preserve"> when administered once daily in thrombocytopenic subjects with HCV infection.</w:t>
      </w:r>
    </w:p>
    <w:p w:rsidR="00F74EEE" w:rsidRPr="00764BF0" w:rsidRDefault="00F74EEE" w:rsidP="00764BF0">
      <w:pPr>
        <w:pStyle w:val="ListBullet"/>
      </w:pPr>
      <w:r w:rsidRPr="00764BF0">
        <w:t xml:space="preserve">impact of </w:t>
      </w:r>
      <w:proofErr w:type="spellStart"/>
      <w:r w:rsidRPr="00764BF0">
        <w:t>eltrombopag</w:t>
      </w:r>
      <w:proofErr w:type="spellEnd"/>
      <w:r w:rsidRPr="00764BF0">
        <w:t xml:space="preserve"> and interferon-based therapy on reported symptoms and health-related quality of life (</w:t>
      </w:r>
      <w:proofErr w:type="spellStart"/>
      <w:r w:rsidRPr="00764BF0">
        <w:t>HRQoL</w:t>
      </w:r>
      <w:proofErr w:type="spellEnd"/>
      <w:r w:rsidRPr="00764BF0">
        <w:t>) using the chronic liver disease questionnaire (CLDQ)-HCV and the Medical Outcomes Study Short-form 36 version 2 acute recall (SF-36v2) before, during, and after completion of therapy</w:t>
      </w:r>
      <w:r w:rsidR="00EC097A" w:rsidRPr="00764BF0">
        <w:t>,</w:t>
      </w:r>
    </w:p>
    <w:p w:rsidR="00EC097A" w:rsidRPr="002600A2" w:rsidRDefault="00EC097A" w:rsidP="0059229B">
      <w:pPr>
        <w:pStyle w:val="ListBullet"/>
        <w:numPr>
          <w:ilvl w:val="0"/>
          <w:numId w:val="0"/>
        </w:numPr>
        <w:ind w:left="360"/>
      </w:pPr>
      <w:r>
        <w:t>and to describe</w:t>
      </w:r>
      <w:r w:rsidR="00B35FAC">
        <w:t xml:space="preserve"> the</w:t>
      </w:r>
    </w:p>
    <w:p w:rsidR="00F74EEE" w:rsidRPr="0052462B" w:rsidRDefault="00F74EEE" w:rsidP="0059229B">
      <w:pPr>
        <w:pStyle w:val="ListBullet"/>
      </w:pPr>
      <w:r w:rsidRPr="0052462B">
        <w:t>pharmacokinetics (PK) of eltrombopag and explore the relationship</w:t>
      </w:r>
      <w:r>
        <w:t xml:space="preserve"> </w:t>
      </w:r>
      <w:r w:rsidRPr="0052462B">
        <w:t>between the PK of eltrombopag and relevant safety and efficacy endpoints.</w:t>
      </w:r>
    </w:p>
    <w:p w:rsidR="00F74EEE" w:rsidRDefault="00F74EEE" w:rsidP="0059229B">
      <w:pPr>
        <w:pStyle w:val="ListBullet"/>
      </w:pPr>
      <w:r w:rsidRPr="0052462B">
        <w:t>PK of peginterferon alfa-2a during concomitant dosing with</w:t>
      </w:r>
      <w:r>
        <w:t xml:space="preserve"> </w:t>
      </w:r>
      <w:r w:rsidRPr="0052462B">
        <w:t>eltrombopag.</w:t>
      </w:r>
    </w:p>
    <w:p w:rsidR="00F74EEE" w:rsidRDefault="00F74EEE" w:rsidP="0059229B">
      <w:r>
        <w:t xml:space="preserve">The study consisted of </w:t>
      </w:r>
      <w:r w:rsidRPr="00535C08">
        <w:t>an open-label (OL), Pre-Antiviral Treatment Phase (Part 1) and a</w:t>
      </w:r>
      <w:r>
        <w:t xml:space="preserve"> </w:t>
      </w:r>
      <w:r w:rsidRPr="00535C08">
        <w:t>randomised, double-blind (DB), placebo controlled, Antiviral Treatment Phase (Part 2).</w:t>
      </w:r>
      <w:r>
        <w:t xml:space="preserve"> </w:t>
      </w:r>
      <w:r w:rsidRPr="00535C08">
        <w:t>Subjects entered the study with a platelet count of &lt;75 Gi/L and were stratified at</w:t>
      </w:r>
      <w:r>
        <w:t xml:space="preserve"> </w:t>
      </w:r>
      <w:r w:rsidRPr="00535C08">
        <w:t xml:space="preserve">Baseline (Day 1) by platelet count (&lt;50 Gi/L and ≥50 Gi/L), screening HCV </w:t>
      </w:r>
      <w:r w:rsidR="00EB0442" w:rsidRPr="00EB0442">
        <w:t>ribonucleic acid</w:t>
      </w:r>
      <w:r w:rsidR="00EB0442">
        <w:t xml:space="preserve"> (</w:t>
      </w:r>
      <w:r w:rsidRPr="00535C08">
        <w:t>RNA</w:t>
      </w:r>
      <w:r w:rsidR="00EB0442">
        <w:t>)</w:t>
      </w:r>
      <w:r>
        <w:t xml:space="preserve"> </w:t>
      </w:r>
      <w:r w:rsidRPr="00535C08">
        <w:t>(&lt;800,000 IU/mL and ≥800,000 IU/mL) and genotype (genotype 2/3, and non-genotype</w:t>
      </w:r>
      <w:r>
        <w:t xml:space="preserve"> </w:t>
      </w:r>
      <w:r w:rsidRPr="00535C08">
        <w:t>2/3).</w:t>
      </w:r>
      <w:r>
        <w:t xml:space="preserve"> In Part 1, a</w:t>
      </w:r>
      <w:r w:rsidRPr="00535C08">
        <w:t>ll subjects received OL eltrombopag</w:t>
      </w:r>
      <w:r>
        <w:t xml:space="preserve"> </w:t>
      </w:r>
      <w:r w:rsidRPr="00535C08">
        <w:t>dosed once daily with the objective of increasing platelet counts to ≥90 Gi/L, the</w:t>
      </w:r>
      <w:r>
        <w:t xml:space="preserve"> </w:t>
      </w:r>
      <w:r w:rsidRPr="00535C08">
        <w:t>recommended platelet count for initiation of peginterferon alfa-2a according to the US</w:t>
      </w:r>
      <w:r>
        <w:t xml:space="preserve"> </w:t>
      </w:r>
      <w:r w:rsidRPr="00535C08">
        <w:t>and most international labels. Subjects started with a dose of eltrombopag (25 mg once</w:t>
      </w:r>
      <w:r>
        <w:t xml:space="preserve"> </w:t>
      </w:r>
      <w:r w:rsidRPr="00535C08">
        <w:t>daily) for 2 weeks. If after this time the platelet count was &lt;90 Gi/L, subjects underwent</w:t>
      </w:r>
      <w:r>
        <w:t xml:space="preserve"> </w:t>
      </w:r>
      <w:r w:rsidRPr="00535C08">
        <w:t>a sequential dose escalation to the next highest dose (50 mg once daily for up to 2</w:t>
      </w:r>
      <w:r>
        <w:t xml:space="preserve"> </w:t>
      </w:r>
      <w:r w:rsidRPr="00535C08">
        <w:t>weeks), with further dose escalations to 75 mg once daily (up to 2 weeks) and 100 mg</w:t>
      </w:r>
      <w:r w:rsidR="00EC097A">
        <w:t xml:space="preserve"> </w:t>
      </w:r>
      <w:r w:rsidRPr="00535C08">
        <w:t>once daily (up to a maximum of 3 weeks) to achieve a platelet count ≥90 Gi/L. Once</w:t>
      </w:r>
      <w:r>
        <w:t xml:space="preserve"> </w:t>
      </w:r>
      <w:r w:rsidRPr="00535C08">
        <w:t>subjects achieved platelet counts ≥90 Gi/L, they were eligible to enter the randomised</w:t>
      </w:r>
      <w:r>
        <w:t xml:space="preserve"> </w:t>
      </w:r>
      <w:r w:rsidRPr="00535C08">
        <w:t>part of the study (Part 2) and initiate antiviral therapy (peginterferon alfa-2a plus</w:t>
      </w:r>
      <w:r>
        <w:t xml:space="preserve"> </w:t>
      </w:r>
      <w:r w:rsidRPr="00535C08">
        <w:t>ribavirin). Subjects with platelet counts &lt;90 Gi/L after the 9 week Pre-Antiviral</w:t>
      </w:r>
      <w:r>
        <w:t xml:space="preserve"> </w:t>
      </w:r>
      <w:r w:rsidRPr="00535C08">
        <w:t>Treatment Phase were discontinued from eltrombopag and switched to post-treatment</w:t>
      </w:r>
      <w:r>
        <w:t xml:space="preserve"> </w:t>
      </w:r>
      <w:r w:rsidRPr="00535C08">
        <w:t>follow-up visits.</w:t>
      </w:r>
    </w:p>
    <w:p w:rsidR="00F74EEE" w:rsidRDefault="00F74EEE" w:rsidP="0059229B">
      <w:r>
        <w:t>In Part 2, s</w:t>
      </w:r>
      <w:r w:rsidRPr="00535C08">
        <w:t>ubjects were randomised 2:1 to either</w:t>
      </w:r>
      <w:r>
        <w:t xml:space="preserve"> </w:t>
      </w:r>
      <w:r w:rsidRPr="00535C08">
        <w:t>continue on the same dose of eltrombopag from Part 1 or received a matched placebo.</w:t>
      </w:r>
      <w:r>
        <w:t xml:space="preserve"> </w:t>
      </w:r>
      <w:r w:rsidRPr="00535C08">
        <w:t>Both treatments were given in combination with antiviral therapy for up to 48 weeks.</w:t>
      </w:r>
      <w:r>
        <w:t xml:space="preserve"> </w:t>
      </w:r>
      <w:r w:rsidRPr="00535C08">
        <w:t>Dose modifications of eltrombopag/matched placebo were permitted to maintain platelet</w:t>
      </w:r>
      <w:r>
        <w:t xml:space="preserve"> </w:t>
      </w:r>
      <w:r w:rsidRPr="00535C08">
        <w:t>counts at a level that enabled continuation of antiviral therapy, ideally at full dose, by</w:t>
      </w:r>
      <w:r>
        <w:t xml:space="preserve"> </w:t>
      </w:r>
      <w:r w:rsidRPr="00535C08">
        <w:t>allowing increases in the eltrombopag/matched placebo dose up to 100 mg once daily.</w:t>
      </w:r>
      <w:r>
        <w:t xml:space="preserve"> </w:t>
      </w:r>
      <w:r w:rsidRPr="00535C08">
        <w:t>Any dose modifications of peginterferon alfa-2a or ribavirin were performed as directed</w:t>
      </w:r>
      <w:r>
        <w:t xml:space="preserve"> </w:t>
      </w:r>
      <w:r w:rsidRPr="00535C08">
        <w:t>within the product labels.</w:t>
      </w:r>
    </w:p>
    <w:p w:rsidR="00F74EEE" w:rsidRDefault="00F74EEE" w:rsidP="0059229B">
      <w:r w:rsidRPr="00237416">
        <w:t xml:space="preserve">A total </w:t>
      </w:r>
      <w:r>
        <w:t xml:space="preserve">of </w:t>
      </w:r>
      <w:r w:rsidRPr="00237416">
        <w:t>716 subjects enrolled in Part 1. Of these, 715 subjects received at least one dose</w:t>
      </w:r>
      <w:r>
        <w:t xml:space="preserve"> </w:t>
      </w:r>
      <w:r w:rsidRPr="00237416">
        <w:t>of OL eltrombopag (Safety Population). A total of 682 subjects were randomised to DB</w:t>
      </w:r>
      <w:r>
        <w:t xml:space="preserve"> </w:t>
      </w:r>
      <w:r w:rsidRPr="00237416">
        <w:t>treatment (ITT Population), of which 681 subjects received at least one dose of DB study</w:t>
      </w:r>
      <w:r>
        <w:t xml:space="preserve"> </w:t>
      </w:r>
      <w:r w:rsidRPr="00237416">
        <w:t>medication (Safety DB Population). Forty-two subjects randomised to DB treatment had</w:t>
      </w:r>
      <w:r>
        <w:t xml:space="preserve"> </w:t>
      </w:r>
      <w:r w:rsidRPr="00237416">
        <w:t>protocol deviations and were therefore excluded from the PP Population.</w:t>
      </w:r>
      <w:r>
        <w:t xml:space="preserve"> Subjects were m</w:t>
      </w:r>
      <w:r w:rsidRPr="00C04306">
        <w:t xml:space="preserve">ale or female subjects aged </w:t>
      </w:r>
      <w:r w:rsidR="00B35FAC">
        <w:t>≥</w:t>
      </w:r>
      <w:r w:rsidRPr="00C04306">
        <w:t>18 years of</w:t>
      </w:r>
      <w:r w:rsidR="00B35FAC">
        <w:t xml:space="preserve"> </w:t>
      </w:r>
      <w:r w:rsidRPr="00C04306">
        <w:t>age with chronic HCV infection, a platelet count &lt;75 Gi/L, and who in the investigator’s</w:t>
      </w:r>
      <w:r>
        <w:t xml:space="preserve"> </w:t>
      </w:r>
      <w:r w:rsidRPr="00C04306">
        <w:t>opinion were appropriate candidates for peginterferon alfa-2a and ribavirin combination</w:t>
      </w:r>
      <w:r>
        <w:t xml:space="preserve"> </w:t>
      </w:r>
      <w:r w:rsidRPr="00C04306">
        <w:t>antiviral therapy, were eligible for enrolment in the study (Part 1).</w:t>
      </w:r>
    </w:p>
    <w:p w:rsidR="00B35FAC" w:rsidRDefault="00F74EEE" w:rsidP="0059229B">
      <w:r w:rsidRPr="003A5B7E">
        <w:t>For the primary endpoint, SVR rate was defined as the percentage of subjects with undetectable HCV-RNA at end of treatment and all subsequent planned visits up to 24 weeks after completing treatment (generally Week 48 or 72 for genotype 2/3, or Week 72 for non-genotype 2/3).</w:t>
      </w:r>
      <w:r w:rsidRPr="003A5B7E">
        <w:rPr>
          <w:rFonts w:cs="TimesNewRomanPSMT"/>
          <w:sz w:val="24"/>
        </w:rPr>
        <w:t xml:space="preserve"> </w:t>
      </w:r>
      <w:r w:rsidRPr="003A5B7E">
        <w:t>Secondary efficacy endpoints included: Platelet shift from baseline count to ≥90 Gi/L with OL eltrombopag; Assessment of platelet counts throughout the study; proportions of subjects requiring dose reductions and/or dose cessation of peginterferon alfa-2a and/or ribavirin therapy</w:t>
      </w:r>
      <w:r w:rsidR="00B35FAC">
        <w:t xml:space="preserve">; </w:t>
      </w:r>
      <w:r w:rsidRPr="003A5B7E">
        <w:t xml:space="preserve">Proportions of subjects achieving the following antiviral outcome measures </w:t>
      </w:r>
    </w:p>
    <w:p w:rsidR="00B35FAC" w:rsidRDefault="00F74EEE" w:rsidP="0059229B">
      <w:pPr>
        <w:pStyle w:val="Numberbullet0"/>
        <w:numPr>
          <w:ilvl w:val="0"/>
          <w:numId w:val="35"/>
        </w:numPr>
      </w:pPr>
      <w:r w:rsidRPr="003A5B7E">
        <w:t>undetectable HCV RNA after 12 weeks of antiviral treatment (</w:t>
      </w:r>
      <w:proofErr w:type="spellStart"/>
      <w:r w:rsidRPr="003A5B7E">
        <w:t>cEVR</w:t>
      </w:r>
      <w:proofErr w:type="spellEnd"/>
      <w:r w:rsidRPr="003A5B7E">
        <w:t xml:space="preserve">) </w:t>
      </w:r>
    </w:p>
    <w:p w:rsidR="00B35FAC" w:rsidRDefault="00F74EEE" w:rsidP="0059229B">
      <w:pPr>
        <w:pStyle w:val="Numberbullet0"/>
        <w:numPr>
          <w:ilvl w:val="0"/>
          <w:numId w:val="35"/>
        </w:numPr>
      </w:pPr>
      <w:r w:rsidRPr="003A5B7E">
        <w:t>clinically significant reduction in HCV RNA (</w:t>
      </w:r>
      <w:r w:rsidR="00B35FAC">
        <w:t>≥</w:t>
      </w:r>
      <w:r w:rsidRPr="003A5B7E">
        <w:t xml:space="preserve">2 log10 drop or undetectable) after 12 weeks of antiviral treatment (EVR); </w:t>
      </w:r>
    </w:p>
    <w:p w:rsidR="00B35FAC" w:rsidRDefault="00B35FAC" w:rsidP="0059229B">
      <w:pPr>
        <w:pStyle w:val="Numberbullet0"/>
        <w:numPr>
          <w:ilvl w:val="0"/>
          <w:numId w:val="35"/>
        </w:numPr>
      </w:pPr>
      <w:r>
        <w:t xml:space="preserve"> </w:t>
      </w:r>
      <w:r w:rsidR="00F74EEE" w:rsidRPr="003A5B7E">
        <w:t xml:space="preserve">undetectable HCV RNA after 4 weeks of antiviral treatment (RVR); and </w:t>
      </w:r>
    </w:p>
    <w:p w:rsidR="00F74EEE" w:rsidRPr="003A5B7E" w:rsidRDefault="00B35FAC" w:rsidP="0059229B">
      <w:pPr>
        <w:pStyle w:val="Numberbullet0"/>
        <w:numPr>
          <w:ilvl w:val="0"/>
          <w:numId w:val="35"/>
        </w:numPr>
      </w:pPr>
      <w:r>
        <w:t xml:space="preserve"> </w:t>
      </w:r>
      <w:r w:rsidR="00F74EEE" w:rsidRPr="003A5B7E">
        <w:t>undetectable HCV RNA at the end of antiviral treatment (ETR).</w:t>
      </w:r>
      <w:r w:rsidR="00F74EEE" w:rsidRPr="00B35FAC">
        <w:rPr>
          <w:rFonts w:cs="TimesNewRomanPSMT"/>
          <w:sz w:val="24"/>
        </w:rPr>
        <w:t xml:space="preserve"> </w:t>
      </w:r>
      <w:r w:rsidR="00F74EEE" w:rsidRPr="003A5B7E">
        <w:t>Safety endpoints included: Assessment of safety and tolerability of eltrombopag in comparison</w:t>
      </w:r>
      <w:r>
        <w:t xml:space="preserve"> </w:t>
      </w:r>
      <w:r w:rsidR="00F74EEE" w:rsidRPr="003A5B7E">
        <w:t>with placebo, as measured by the nature and frequency of adverse events (AEs), laboratory abnormalities, ocular examinations, 12-lead electrocardiograms (ECG), and clinical monitoring/observation.</w:t>
      </w:r>
    </w:p>
    <w:p w:rsidR="00F74EEE" w:rsidRDefault="00F74EEE" w:rsidP="0059229B">
      <w:r w:rsidRPr="00F73FFA">
        <w:t>A total of 675 subjects (450 on eltrombopag and 225 on placebo) were</w:t>
      </w:r>
      <w:r>
        <w:t xml:space="preserve"> </w:t>
      </w:r>
      <w:r w:rsidRPr="00F73FFA">
        <w:t>required to be randomised to provide a 92.5% power to detect a clinically meaningful</w:t>
      </w:r>
      <w:r>
        <w:t xml:space="preserve"> </w:t>
      </w:r>
      <w:r w:rsidRPr="00F73FFA">
        <w:t>absolute difference, assuming a 10% SVR rate for placebo and a two-sided significance</w:t>
      </w:r>
      <w:r>
        <w:t xml:space="preserve"> </w:t>
      </w:r>
      <w:r w:rsidRPr="00F73FFA">
        <w:t>level of 5%.</w:t>
      </w:r>
      <w:r w:rsidRPr="00F9636C">
        <w:rPr>
          <w:rFonts w:ascii="TimesNewRomanPSMT" w:hAnsi="TimesNewRomanPSMT" w:cs="TimesNewRomanPSMT"/>
          <w:sz w:val="24"/>
        </w:rPr>
        <w:t xml:space="preserve"> </w:t>
      </w:r>
      <w:r w:rsidRPr="00F9636C">
        <w:t>The primary analysis compared the proportion of subjects with SVR between</w:t>
      </w:r>
      <w:r>
        <w:t xml:space="preserve"> </w:t>
      </w:r>
      <w:r w:rsidRPr="00F9636C">
        <w:t>eltrombopag and placebo. Stratified Cochran-Mantel-Haenszel (CMH) chi-square test</w:t>
      </w:r>
      <w:r>
        <w:t xml:space="preserve"> </w:t>
      </w:r>
      <w:r w:rsidRPr="00F9636C">
        <w:t>statistics adjusting for HCV genotype, baseline platelet count stratum, and baseline HCV</w:t>
      </w:r>
      <w:r>
        <w:t xml:space="preserve"> </w:t>
      </w:r>
      <w:r w:rsidRPr="00F9636C">
        <w:t>RNA stratum was used to compare SVR rates between treatments.</w:t>
      </w:r>
      <w:r w:rsidRPr="00F9636C">
        <w:rPr>
          <w:rFonts w:ascii="TimesNewRomanPSMT" w:hAnsi="TimesNewRomanPSMT" w:cs="TimesNewRomanPSMT"/>
          <w:sz w:val="24"/>
        </w:rPr>
        <w:t xml:space="preserve"> </w:t>
      </w:r>
      <w:r w:rsidRPr="00F9636C">
        <w:t>The Wilcoxon rank sum test, adjusting for strata was used to analyse scores</w:t>
      </w:r>
      <w:r>
        <w:t xml:space="preserve"> </w:t>
      </w:r>
      <w:r w:rsidRPr="00F9636C">
        <w:t>between treatment groups.</w:t>
      </w:r>
    </w:p>
    <w:p w:rsidR="00F74EEE" w:rsidRDefault="00F74EEE" w:rsidP="0059229B">
      <w:r>
        <w:t>With regard to efficacy results, s</w:t>
      </w:r>
      <w:r w:rsidRPr="007C6FFB">
        <w:t>ix hundred and ninety-one (97%) subjects in the OL Phase achieved a platelet count</w:t>
      </w:r>
      <w:r>
        <w:t xml:space="preserve"> </w:t>
      </w:r>
      <w:r w:rsidRPr="007C6FFB">
        <w:t>(</w:t>
      </w:r>
      <w:r w:rsidR="00B35FAC">
        <w:t>≥</w:t>
      </w:r>
      <w:r w:rsidRPr="007C6FFB">
        <w:t>90 Gi/L) that would allow the initiation of antiviral therapy. The majority of subjects</w:t>
      </w:r>
      <w:r>
        <w:t xml:space="preserve"> </w:t>
      </w:r>
      <w:r w:rsidRPr="007C6FFB">
        <w:t xml:space="preserve">(85%) achieved platelet counts </w:t>
      </w:r>
      <w:r w:rsidR="00B35FAC">
        <w:t>≥</w:t>
      </w:r>
      <w:r w:rsidRPr="007C6FFB">
        <w:t>90 Gi/L within the first 4 weeks of treatment. Ninety</w:t>
      </w:r>
      <w:r>
        <w:t xml:space="preserve"> </w:t>
      </w:r>
      <w:r w:rsidRPr="007C6FFB">
        <w:t>five</w:t>
      </w:r>
      <w:r w:rsidR="00B35FAC">
        <w:t xml:space="preserve"> </w:t>
      </w:r>
      <w:r w:rsidRPr="007C6FFB">
        <w:t>percent of subjects who received eltrombopag in the OL phase initiated antiviral</w:t>
      </w:r>
      <w:r>
        <w:t xml:space="preserve"> </w:t>
      </w:r>
      <w:r w:rsidRPr="007C6FFB">
        <w:t>therapy in the DB Phase. Of these, 88% were receiving eltrombopag 2</w:t>
      </w:r>
      <w:r w:rsidR="00EC097A">
        <w:t>5 mg</w:t>
      </w:r>
      <w:r w:rsidRPr="007C6FFB">
        <w:t xml:space="preserve"> or 50 mg at</w:t>
      </w:r>
      <w:r>
        <w:t xml:space="preserve"> </w:t>
      </w:r>
      <w:r w:rsidRPr="007C6FFB">
        <w:t>randomisation.</w:t>
      </w:r>
      <w:r>
        <w:t xml:space="preserve"> </w:t>
      </w:r>
      <w:r w:rsidRPr="007C6FFB">
        <w:t>At baseline, the median platelet count was 59 Gi/L. Platelet counts began to rise</w:t>
      </w:r>
      <w:r>
        <w:t xml:space="preserve"> </w:t>
      </w:r>
      <w:r w:rsidRPr="007C6FFB">
        <w:t>following administration of 25 mg of eltrombopag to a median platelet count of 89 Gi/L</w:t>
      </w:r>
      <w:r>
        <w:t xml:space="preserve"> </w:t>
      </w:r>
      <w:r w:rsidRPr="007C6FFB">
        <w:t>by Week 2.</w:t>
      </w:r>
      <w:r>
        <w:t xml:space="preserve"> </w:t>
      </w:r>
      <w:r w:rsidRPr="007C6FFB">
        <w:t>Following antiviral treatment in the DB phase, a statistically greater proportion of</w:t>
      </w:r>
      <w:r>
        <w:t xml:space="preserve"> </w:t>
      </w:r>
      <w:r w:rsidRPr="007C6FFB">
        <w:t>eltrombopag subjects (23%) achieved SVR than did subjects in the control arm (14%;</w:t>
      </w:r>
      <w:r>
        <w:t xml:space="preserve"> </w:t>
      </w:r>
      <w:r w:rsidRPr="007C6FFB">
        <w:t>p=0.0064).</w:t>
      </w:r>
      <w:r>
        <w:t xml:space="preserve"> </w:t>
      </w:r>
      <w:r w:rsidRPr="007C6FFB">
        <w:t xml:space="preserve">EVR, </w:t>
      </w:r>
      <w:proofErr w:type="spellStart"/>
      <w:r w:rsidRPr="007C6FFB">
        <w:t>cEVR</w:t>
      </w:r>
      <w:proofErr w:type="spellEnd"/>
      <w:r w:rsidRPr="007C6FFB">
        <w:t>, ETR and SVR12 were statistically significantly higher in the eltrombopag</w:t>
      </w:r>
      <w:r>
        <w:t xml:space="preserve"> </w:t>
      </w:r>
      <w:r w:rsidRPr="007C6FFB">
        <w:t>group compared to the placebo group.</w:t>
      </w:r>
      <w:r>
        <w:t xml:space="preserve"> A summary of efficacy results appears below.</w:t>
      </w:r>
    </w:p>
    <w:p w:rsidR="00F74EEE" w:rsidRDefault="00B35FAC" w:rsidP="0059229B">
      <w:pPr>
        <w:pStyle w:val="TableTitle"/>
      </w:pPr>
      <w:r>
        <w:t>Table 2. Other Antiviral Endpoints (ITT Population).</w:t>
      </w:r>
    </w:p>
    <w:p w:rsidR="00F74EEE" w:rsidRPr="004B259C" w:rsidRDefault="00F74EEE" w:rsidP="0059229B">
      <w:r>
        <w:rPr>
          <w:noProof/>
          <w:lang w:eastAsia="en-AU"/>
        </w:rPr>
        <w:drawing>
          <wp:inline distT="0" distB="0" distL="0" distR="0">
            <wp:extent cx="4191000" cy="2561712"/>
            <wp:effectExtent l="19050" t="0" r="0" b="0"/>
            <wp:docPr id="4" name="Picture 4" descr="Table 2. Other Antiviral Endpoi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duotone>
                        <a:prstClr val="black"/>
                        <a:schemeClr val="bg1">
                          <a:tint val="45000"/>
                          <a:satMod val="400000"/>
                        </a:schemeClr>
                      </a:duotone>
                    </a:blip>
                    <a:srcRect t="8000" b="5000"/>
                    <a:stretch>
                      <a:fillRect/>
                    </a:stretch>
                  </pic:blipFill>
                  <pic:spPr bwMode="auto">
                    <a:xfrm>
                      <a:off x="0" y="0"/>
                      <a:ext cx="4191000" cy="2561712"/>
                    </a:xfrm>
                    <a:prstGeom prst="rect">
                      <a:avLst/>
                    </a:prstGeom>
                    <a:noFill/>
                    <a:ln w="9525">
                      <a:noFill/>
                      <a:miter lim="800000"/>
                      <a:headEnd/>
                      <a:tailEnd/>
                    </a:ln>
                  </pic:spPr>
                </pic:pic>
              </a:graphicData>
            </a:graphic>
          </wp:inline>
        </w:drawing>
      </w:r>
    </w:p>
    <w:p w:rsidR="00F74EEE" w:rsidRDefault="00F74EEE" w:rsidP="0059229B">
      <w:r w:rsidRPr="006008DD">
        <w:t>Adherence to antiviral therapy was defined as receiving at least 80% of the prescribed</w:t>
      </w:r>
      <w:r>
        <w:t xml:space="preserve"> </w:t>
      </w:r>
      <w:r w:rsidRPr="006008DD">
        <w:t>dose</w:t>
      </w:r>
      <w:r>
        <w:t xml:space="preserve"> </w:t>
      </w:r>
      <w:r w:rsidRPr="006008DD">
        <w:t>(investigator prescribed) of peginterferon alfa-2a and at least 80% of the prescribed</w:t>
      </w:r>
      <w:r>
        <w:t xml:space="preserve"> </w:t>
      </w:r>
      <w:r w:rsidRPr="006008DD">
        <w:t>dose</w:t>
      </w:r>
      <w:r>
        <w:t xml:space="preserve"> </w:t>
      </w:r>
      <w:r w:rsidRPr="006008DD">
        <w:t>(investigator prescribed) of ribavirin, for at least 80% of the planned duration. A</w:t>
      </w:r>
      <w:r>
        <w:t xml:space="preserve"> </w:t>
      </w:r>
      <w:r w:rsidRPr="006008DD">
        <w:t>higher proportion of eltrombopag subjects (246 subjects, 55%) were adherent to antiviral</w:t>
      </w:r>
      <w:r>
        <w:t xml:space="preserve"> </w:t>
      </w:r>
      <w:r w:rsidRPr="006008DD">
        <w:t>therapy compared with placebo subjects (102 subjects, 44%) (Treatment difference:</w:t>
      </w:r>
      <w:r>
        <w:t xml:space="preserve"> </w:t>
      </w:r>
      <w:r w:rsidRPr="006008DD">
        <w:t>11.7%; 95% CI: 4.2-19.3%; stratified CMH chi-square p=0.0066). Subjects who were</w:t>
      </w:r>
      <w:r>
        <w:t xml:space="preserve"> </w:t>
      </w:r>
      <w:r w:rsidRPr="006008DD">
        <w:t>adherent to antiviral therapy in both treatment groups were more likely to achieve SVR</w:t>
      </w:r>
      <w:r>
        <w:t xml:space="preserve"> </w:t>
      </w:r>
      <w:r w:rsidRPr="006008DD">
        <w:t>(p&lt;0.0001).</w:t>
      </w:r>
      <w:r>
        <w:t xml:space="preserve"> </w:t>
      </w:r>
      <w:r w:rsidRPr="006008DD">
        <w:t>More eltrombopag subjects (43%) had no antiviral dose reductions (peginterferon and/or</w:t>
      </w:r>
      <w:r>
        <w:t xml:space="preserve"> </w:t>
      </w:r>
      <w:r w:rsidRPr="006008DD">
        <w:t>ribavirin) compared with placebo subjects (28%). Eltrombopag treatment was associated</w:t>
      </w:r>
      <w:r>
        <w:t xml:space="preserve"> </w:t>
      </w:r>
      <w:r w:rsidRPr="006008DD">
        <w:t>with a significantly lower proportion of antiviral dose reductions. The median time to the</w:t>
      </w:r>
      <w:r>
        <w:t xml:space="preserve"> </w:t>
      </w:r>
      <w:r w:rsidRPr="006008DD">
        <w:t>first dose reduction was longer for eltrombopag subjects compared to placebo subjects for</w:t>
      </w:r>
      <w:r>
        <w:t xml:space="preserve"> </w:t>
      </w:r>
      <w:r w:rsidRPr="006008DD">
        <w:t>all dose levels.</w:t>
      </w:r>
    </w:p>
    <w:p w:rsidR="00F74EEE" w:rsidRDefault="00F74EEE" w:rsidP="0059229B">
      <w:r>
        <w:t>With regard to safety results,</w:t>
      </w:r>
      <w:r w:rsidRPr="006008DD">
        <w:t xml:space="preserve"> a similar proportion of subjects in the eltrombopag group</w:t>
      </w:r>
      <w:r>
        <w:t xml:space="preserve"> </w:t>
      </w:r>
      <w:r w:rsidRPr="006008DD">
        <w:t>reported at least one AE, drug related AE and (S)AE leading to withdrawal during the DB</w:t>
      </w:r>
      <w:r>
        <w:t xml:space="preserve"> </w:t>
      </w:r>
      <w:r w:rsidRPr="006008DD">
        <w:t xml:space="preserve">on-treatment+30 days follow-up period </w:t>
      </w:r>
      <w:r>
        <w:t>c</w:t>
      </w:r>
      <w:r w:rsidRPr="006008DD">
        <w:t>ompared to the placebo group. A higher proportion of subjects in the</w:t>
      </w:r>
      <w:r>
        <w:t xml:space="preserve"> </w:t>
      </w:r>
      <w:r w:rsidRPr="006008DD">
        <w:t>eltrombopag group (20%) reported at least one SAE than in the placebo group (15%).</w:t>
      </w:r>
      <w:r>
        <w:t xml:space="preserve"> </w:t>
      </w:r>
      <w:r w:rsidRPr="006008DD">
        <w:t>Compared to the placebo group (2%), a similar proportion of eltrombopag subjects (2%)</w:t>
      </w:r>
      <w:r>
        <w:t xml:space="preserve"> </w:t>
      </w:r>
      <w:r w:rsidRPr="006008DD">
        <w:t>died during the DB Phase.</w:t>
      </w:r>
      <w:r>
        <w:t xml:space="preserve"> A summary of safety results appears below.</w:t>
      </w:r>
    </w:p>
    <w:p w:rsidR="00B35FAC" w:rsidRDefault="00B35FAC" w:rsidP="0059229B">
      <w:pPr>
        <w:pStyle w:val="TableTitle"/>
      </w:pPr>
      <w:r>
        <w:t>Table 3. Overall Summary of Adverse Events During the OL Phase (Safety Population).</w:t>
      </w:r>
    </w:p>
    <w:p w:rsidR="00F74EEE" w:rsidRDefault="00F74EEE" w:rsidP="000A263C">
      <w:r>
        <w:rPr>
          <w:noProof/>
          <w:lang w:eastAsia="en-AU"/>
        </w:rPr>
        <w:drawing>
          <wp:inline distT="0" distB="0" distL="0" distR="0">
            <wp:extent cx="4600575" cy="1181100"/>
            <wp:effectExtent l="19050" t="0" r="9525" b="0"/>
            <wp:docPr id="5" name="Picture 5" descr="Table 3. Overall Summary of Adverse Events During the OL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duotone>
                        <a:prstClr val="black"/>
                        <a:schemeClr val="bg1">
                          <a:tint val="45000"/>
                          <a:satMod val="400000"/>
                        </a:schemeClr>
                      </a:duotone>
                    </a:blip>
                    <a:srcRect t="17333"/>
                    <a:stretch>
                      <a:fillRect/>
                    </a:stretch>
                  </pic:blipFill>
                  <pic:spPr bwMode="auto">
                    <a:xfrm>
                      <a:off x="0" y="0"/>
                      <a:ext cx="4600575" cy="1181100"/>
                    </a:xfrm>
                    <a:prstGeom prst="rect">
                      <a:avLst/>
                    </a:prstGeom>
                    <a:noFill/>
                    <a:ln w="9525">
                      <a:noFill/>
                      <a:miter lim="800000"/>
                      <a:headEnd/>
                      <a:tailEnd/>
                    </a:ln>
                  </pic:spPr>
                </pic:pic>
              </a:graphicData>
            </a:graphic>
          </wp:inline>
        </w:drawing>
      </w:r>
    </w:p>
    <w:p w:rsidR="000A263C" w:rsidRDefault="00B35FAC" w:rsidP="000A263C">
      <w:pPr>
        <w:pStyle w:val="TableTitle"/>
      </w:pPr>
      <w:r>
        <w:t>Table 4. Overall Summary of Adverse Events on treatment plus 30 days follow-up during the DB Phase (Safety Double-blind Population).</w:t>
      </w:r>
    </w:p>
    <w:p w:rsidR="00F74EEE" w:rsidRDefault="00F74EEE" w:rsidP="000A263C">
      <w:r>
        <w:rPr>
          <w:noProof/>
          <w:lang w:eastAsia="en-AU"/>
        </w:rPr>
        <w:drawing>
          <wp:inline distT="0" distB="0" distL="0" distR="0">
            <wp:extent cx="4638675" cy="1781175"/>
            <wp:effectExtent l="19050" t="0" r="9525" b="0"/>
            <wp:docPr id="6" name="Picture 6" descr="Table 4. Overall Summary of Adverse Events on treatment plus 30 days follow-up during the DB phase (Safety Double-blin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duotone>
                        <a:prstClr val="black"/>
                        <a:schemeClr val="bg1">
                          <a:tint val="45000"/>
                          <a:satMod val="400000"/>
                        </a:schemeClr>
                      </a:duotone>
                    </a:blip>
                    <a:srcRect t="17621"/>
                    <a:stretch>
                      <a:fillRect/>
                    </a:stretch>
                  </pic:blipFill>
                  <pic:spPr bwMode="auto">
                    <a:xfrm>
                      <a:off x="0" y="0"/>
                      <a:ext cx="4638675" cy="1781175"/>
                    </a:xfrm>
                    <a:prstGeom prst="rect">
                      <a:avLst/>
                    </a:prstGeom>
                    <a:noFill/>
                    <a:ln w="9525">
                      <a:noFill/>
                      <a:miter lim="800000"/>
                      <a:headEnd/>
                      <a:tailEnd/>
                    </a:ln>
                  </pic:spPr>
                </pic:pic>
              </a:graphicData>
            </a:graphic>
          </wp:inline>
        </w:drawing>
      </w:r>
    </w:p>
    <w:p w:rsidR="00F74EEE" w:rsidRPr="00867048" w:rsidRDefault="00F74EEE" w:rsidP="000A263C">
      <w:pPr>
        <w:pStyle w:val="Heading5"/>
      </w:pPr>
      <w:bookmarkStart w:id="154" w:name="_Toc290846276"/>
      <w:bookmarkStart w:id="155" w:name="_Toc290888813"/>
      <w:r w:rsidRPr="003C0A48">
        <w:t>S</w:t>
      </w:r>
      <w:r>
        <w:t xml:space="preserve">tudy </w:t>
      </w:r>
      <w:r w:rsidRPr="00867048">
        <w:t>TPL108390</w:t>
      </w:r>
      <w:r>
        <w:t xml:space="preserve"> </w:t>
      </w:r>
      <w:r w:rsidRPr="00867048">
        <w:t>(ENABLE 2)</w:t>
      </w:r>
    </w:p>
    <w:bookmarkEnd w:id="154"/>
    <w:bookmarkEnd w:id="155"/>
    <w:p w:rsidR="00F74EEE" w:rsidRDefault="00F74EEE" w:rsidP="000A263C">
      <w:r w:rsidRPr="00B4386C">
        <w:t>This study was a randomised, placebo-controlled, multicentre study to assess the efficacy and safety of eltrombopag in thrombocytopenic subjects with hepatitis C virus (HCV) infection who were otherwise eligible to initiate antiviral therapy (peginterferon alfa-2</w:t>
      </w:r>
      <w:r>
        <w:t>b</w:t>
      </w:r>
      <w:r w:rsidRPr="00B4386C">
        <w:t xml:space="preserve"> plus ribavirin). The study was conducted between 30 Oct</w:t>
      </w:r>
      <w:r w:rsidR="00B35FAC">
        <w:t>ober</w:t>
      </w:r>
      <w:r w:rsidRPr="00B4386C">
        <w:t xml:space="preserve"> 2007 and </w:t>
      </w:r>
      <w:r>
        <w:t>23 Aug</w:t>
      </w:r>
      <w:r w:rsidR="00B35FAC">
        <w:t>ust</w:t>
      </w:r>
      <w:r w:rsidRPr="00B4386C">
        <w:t xml:space="preserve"> 2011. </w:t>
      </w:r>
      <w:r>
        <w:t xml:space="preserve">The primary and secondary objectives were identical to those in study </w:t>
      </w:r>
      <w:r w:rsidRPr="00B4386C">
        <w:t>TPL103922 (ENABLE 1)</w:t>
      </w:r>
      <w:r>
        <w:t xml:space="preserve">. </w:t>
      </w:r>
      <w:r w:rsidRPr="00B4386C">
        <w:t>This was a multicentre two-part study, consisting of an open-label (OL),Pre-Antiviral Treatment Phase (Part 1) and a randomised, double-blind (DB), placebo</w:t>
      </w:r>
      <w:r>
        <w:t xml:space="preserve"> </w:t>
      </w:r>
      <w:r w:rsidRPr="00B4386C">
        <w:t>controlled, Antiviral Treatment Phase (Part 2). Subjects entered the study with a platelet</w:t>
      </w:r>
      <w:r>
        <w:t xml:space="preserve"> </w:t>
      </w:r>
      <w:r w:rsidRPr="00B4386C">
        <w:t>count of &lt;75 Gi/L and were stratified at Baseline (Day 1) by platelet count (&lt;50 Gi/L and</w:t>
      </w:r>
      <w:r>
        <w:t xml:space="preserve"> </w:t>
      </w:r>
      <w:r w:rsidRPr="00B4386C">
        <w:t xml:space="preserve">≥50 Gi/L), screening HCV RNA (&lt;800,000 IU/mL and </w:t>
      </w:r>
      <w:r w:rsidR="00B35FAC">
        <w:t>≥</w:t>
      </w:r>
      <w:r w:rsidRPr="00B4386C">
        <w:t>800,000 IU/mL) and genotype</w:t>
      </w:r>
      <w:r>
        <w:t xml:space="preserve"> </w:t>
      </w:r>
      <w:r w:rsidRPr="00B4386C">
        <w:t xml:space="preserve">(genotype 2/3, and </w:t>
      </w:r>
      <w:r>
        <w:t xml:space="preserve"> g</w:t>
      </w:r>
      <w:r w:rsidRPr="00B4386C">
        <w:t>enotype non-2/3).</w:t>
      </w:r>
      <w:r>
        <w:t xml:space="preserve"> With the exception of the </w:t>
      </w:r>
      <w:r w:rsidRPr="00B4386C">
        <w:t>antiviral therapy (peginterferon alfa-</w:t>
      </w:r>
      <w:r>
        <w:t xml:space="preserve"> </w:t>
      </w:r>
      <w:r w:rsidRPr="00B4386C">
        <w:t>2b plus</w:t>
      </w:r>
      <w:r>
        <w:t xml:space="preserve"> </w:t>
      </w:r>
      <w:r w:rsidRPr="00B4386C">
        <w:t>ribavirin)</w:t>
      </w:r>
      <w:r>
        <w:t xml:space="preserve">, the methodology was exactly the same as for </w:t>
      </w:r>
      <w:r w:rsidRPr="00B4386C">
        <w:t>study TPL103922 (ENABLE 1).</w:t>
      </w:r>
      <w:r w:rsidR="00B35FAC">
        <w:t xml:space="preserve"> </w:t>
      </w:r>
    </w:p>
    <w:p w:rsidR="00F74EEE" w:rsidRDefault="00F74EEE" w:rsidP="000A263C">
      <w:r w:rsidRPr="00B4386C">
        <w:t>A total of 805 subjects enrolled in Part 1. All 805 subjects received at least 1 dose of OL</w:t>
      </w:r>
      <w:r>
        <w:t xml:space="preserve"> </w:t>
      </w:r>
      <w:r w:rsidRPr="00B4386C">
        <w:t>eltrombopag (Safety Population). A total of 759 subjects were randomised to DB</w:t>
      </w:r>
      <w:r>
        <w:t xml:space="preserve"> </w:t>
      </w:r>
      <w:r w:rsidRPr="00B4386C">
        <w:t>treatment (ITT Population), of which 758 subjects received at least one dose of DB study</w:t>
      </w:r>
      <w:r>
        <w:t xml:space="preserve"> </w:t>
      </w:r>
      <w:r w:rsidRPr="00B4386C">
        <w:t>medication (Safety DB Population). Forty-one subjects randomised to DB treatment had</w:t>
      </w:r>
      <w:r>
        <w:t xml:space="preserve"> </w:t>
      </w:r>
      <w:r w:rsidRPr="00B4386C">
        <w:t>protocol deviations and were therefore excluded from the PP</w:t>
      </w:r>
      <w:r>
        <w:t xml:space="preserve"> </w:t>
      </w:r>
      <w:r w:rsidRPr="00B4386C">
        <w:t>Population.</w:t>
      </w:r>
      <w:r>
        <w:t xml:space="preserve"> Primary, secondary and safety endpoints were the same as for </w:t>
      </w:r>
      <w:r w:rsidRPr="00B4386C">
        <w:t>study TPL103922 (ENABLE 1).</w:t>
      </w:r>
      <w:r>
        <w:t xml:space="preserve"> </w:t>
      </w:r>
      <w:r w:rsidRPr="00B4386C">
        <w:t>A total of 675 subjects (450 on eltrombopag and 225 on placebo) were</w:t>
      </w:r>
      <w:r>
        <w:t xml:space="preserve"> </w:t>
      </w:r>
      <w:r w:rsidRPr="00B4386C">
        <w:t>required to be randomised to provide a 92.5% power to detect a clinically meaningful</w:t>
      </w:r>
      <w:r>
        <w:t xml:space="preserve"> </w:t>
      </w:r>
      <w:r w:rsidRPr="00B4386C">
        <w:t>absolute difference of 10%, assuming a 10% SVR rate for placebo and a two-sided</w:t>
      </w:r>
      <w:r>
        <w:t xml:space="preserve"> </w:t>
      </w:r>
      <w:r w:rsidRPr="00B4386C">
        <w:t>significance level of 5%</w:t>
      </w:r>
      <w:r>
        <w:t xml:space="preserve">. Statistical methods were otherwise the same as for </w:t>
      </w:r>
      <w:r w:rsidRPr="00B4386C">
        <w:t>study TPL103922 (ENABLE 1).</w:t>
      </w:r>
      <w:r>
        <w:t xml:space="preserve"> </w:t>
      </w:r>
    </w:p>
    <w:p w:rsidR="00F74EEE" w:rsidRPr="00B4386C" w:rsidRDefault="00F74EEE" w:rsidP="000A263C">
      <w:r>
        <w:t>With regard to efficacy results, s</w:t>
      </w:r>
      <w:r w:rsidRPr="00B4386C">
        <w:t>even hundred and seventy-three (96%) subjects in the OL Phase achieved a platelet</w:t>
      </w:r>
      <w:r>
        <w:t xml:space="preserve"> </w:t>
      </w:r>
      <w:r w:rsidRPr="00B4386C">
        <w:t>count (</w:t>
      </w:r>
      <w:r w:rsidR="00B35FAC">
        <w:t>≥</w:t>
      </w:r>
      <w:r w:rsidRPr="00B4386C">
        <w:t>100 Gi/L) that would allow the initiation of antiviral therapy. The majority of</w:t>
      </w:r>
      <w:r>
        <w:t xml:space="preserve"> </w:t>
      </w:r>
      <w:r w:rsidRPr="00B4386C">
        <w:t xml:space="preserve">subjects (78%) achieved a platelet count </w:t>
      </w:r>
      <w:r w:rsidR="00B35FAC">
        <w:t>≥</w:t>
      </w:r>
      <w:r w:rsidRPr="00B4386C">
        <w:t>100 Gi/L within the first 4 weeks of treatment.</w:t>
      </w:r>
    </w:p>
    <w:p w:rsidR="00F74EEE" w:rsidRPr="00B4386C" w:rsidRDefault="00F74EEE" w:rsidP="000A263C">
      <w:r w:rsidRPr="00B4386C">
        <w:t>Ninety-four percent of subjects who received eltrombopag in the OL phase initiated</w:t>
      </w:r>
      <w:r>
        <w:t xml:space="preserve"> </w:t>
      </w:r>
      <w:r w:rsidRPr="00B4386C">
        <w:t>antiviral therapy in the DB Phase. Of these, 81% were receiving eltrombopag 25 mg or</w:t>
      </w:r>
      <w:r>
        <w:t xml:space="preserve"> </w:t>
      </w:r>
      <w:r w:rsidRPr="00B4386C">
        <w:t>50 mg at randomisation.</w:t>
      </w:r>
    </w:p>
    <w:p w:rsidR="00F74EEE" w:rsidRPr="00B4386C" w:rsidRDefault="00F74EEE" w:rsidP="000A263C">
      <w:r w:rsidRPr="00B4386C">
        <w:t>At baseline, the median platelet count was 59 Gi/L. Platelet counts began to rise</w:t>
      </w:r>
      <w:r>
        <w:t xml:space="preserve"> </w:t>
      </w:r>
      <w:r w:rsidRPr="00B4386C">
        <w:t>following administration of 25 mg of eltrombopag to a median platelet count of 93 Gi/L</w:t>
      </w:r>
      <w:r>
        <w:t xml:space="preserve"> </w:t>
      </w:r>
      <w:r w:rsidRPr="00B4386C">
        <w:t>by Week 2.</w:t>
      </w:r>
    </w:p>
    <w:p w:rsidR="00F74EEE" w:rsidRDefault="00F74EEE" w:rsidP="00F74EEE">
      <w:pPr>
        <w:autoSpaceDE w:val="0"/>
        <w:autoSpaceDN w:val="0"/>
        <w:adjustRightInd w:val="0"/>
      </w:pPr>
      <w:r w:rsidRPr="00B4386C">
        <w:t>Following antiviral treatment in the DB phase, a statistically greater proportion of</w:t>
      </w:r>
      <w:r>
        <w:t xml:space="preserve"> </w:t>
      </w:r>
      <w:r w:rsidRPr="00B4386C">
        <w:t>eltrombopag subjects (19%) achieved SVR than did placebo subjects (13%; p=0.0202).</w:t>
      </w:r>
      <w:r>
        <w:t xml:space="preserve"> </w:t>
      </w:r>
      <w:r w:rsidRPr="00B4386C">
        <w:t xml:space="preserve">EVR, </w:t>
      </w:r>
      <w:proofErr w:type="spellStart"/>
      <w:r w:rsidRPr="00B4386C">
        <w:t>cEVR</w:t>
      </w:r>
      <w:proofErr w:type="spellEnd"/>
      <w:r w:rsidRPr="00B4386C">
        <w:t>, ETR and SVR12 were statistically higher in the eltrombopag group</w:t>
      </w:r>
      <w:r>
        <w:t xml:space="preserve"> </w:t>
      </w:r>
      <w:r w:rsidRPr="00B4386C">
        <w:t>compared to the placebo group.</w:t>
      </w:r>
      <w:r w:rsidRPr="00F175AC">
        <w:t xml:space="preserve"> A summary of efficacy results appears below.</w:t>
      </w:r>
    </w:p>
    <w:p w:rsidR="00B35FAC" w:rsidRPr="00F175AC" w:rsidRDefault="00B35FAC" w:rsidP="000A263C">
      <w:pPr>
        <w:pStyle w:val="TableTitle"/>
      </w:pPr>
      <w:r>
        <w:t>Table 5. Other Antiviral Endpoints (ITT Population).</w:t>
      </w:r>
    </w:p>
    <w:p w:rsidR="00F74EEE" w:rsidRDefault="00F74EEE" w:rsidP="000A263C">
      <w:r>
        <w:rPr>
          <w:noProof/>
          <w:lang w:eastAsia="en-AU"/>
        </w:rPr>
        <w:drawing>
          <wp:inline distT="0" distB="0" distL="0" distR="0">
            <wp:extent cx="4714875" cy="2759678"/>
            <wp:effectExtent l="19050" t="0" r="9525" b="0"/>
            <wp:docPr id="7" name="Picture 7" descr="Table 5. Other Antiviral Endpoi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duotone>
                        <a:prstClr val="black"/>
                        <a:schemeClr val="bg1">
                          <a:tint val="45000"/>
                          <a:satMod val="400000"/>
                        </a:schemeClr>
                      </a:duotone>
                    </a:blip>
                    <a:srcRect t="8738" b="3560"/>
                    <a:stretch>
                      <a:fillRect/>
                    </a:stretch>
                  </pic:blipFill>
                  <pic:spPr bwMode="auto">
                    <a:xfrm>
                      <a:off x="0" y="0"/>
                      <a:ext cx="4714875" cy="2759678"/>
                    </a:xfrm>
                    <a:prstGeom prst="rect">
                      <a:avLst/>
                    </a:prstGeom>
                    <a:noFill/>
                    <a:ln w="9525">
                      <a:noFill/>
                      <a:miter lim="800000"/>
                      <a:headEnd/>
                      <a:tailEnd/>
                    </a:ln>
                  </pic:spPr>
                </pic:pic>
              </a:graphicData>
            </a:graphic>
          </wp:inline>
        </w:drawing>
      </w:r>
    </w:p>
    <w:p w:rsidR="00F74EEE" w:rsidRDefault="00F74EEE" w:rsidP="000A263C">
      <w:r w:rsidRPr="00F175AC">
        <w:t>Adherence to antiviral therapy was defined as receiving at least 80% of the prescribed</w:t>
      </w:r>
      <w:r>
        <w:t xml:space="preserve"> </w:t>
      </w:r>
      <w:r w:rsidRPr="00F175AC">
        <w:t>dose (investigator prescribed)of peginterferon alfa-2b and at least 80% of the prescribed</w:t>
      </w:r>
      <w:r>
        <w:t xml:space="preserve"> </w:t>
      </w:r>
      <w:r w:rsidRPr="00F175AC">
        <w:t>dose (investigator prescribed)of ribavirin, for at least 80% of the planned duration. A</w:t>
      </w:r>
      <w:r>
        <w:t xml:space="preserve"> </w:t>
      </w:r>
      <w:r w:rsidRPr="00F175AC">
        <w:t>higher proportion of eltrombopag subjects (261 subjects, 52%) were adherent to antiviral</w:t>
      </w:r>
      <w:r>
        <w:t xml:space="preserve"> </w:t>
      </w:r>
      <w:r w:rsidRPr="00F175AC">
        <w:t>therapy compared with placebo subjects (84 subjects, 33%) and this difference was</w:t>
      </w:r>
      <w:r>
        <w:t xml:space="preserve"> </w:t>
      </w:r>
      <w:r w:rsidRPr="00F175AC">
        <w:t>statistically significant (Treatment difference: 17.4%; 95% CI: 10.5, 24.2%; p&lt;0.0001).</w:t>
      </w:r>
      <w:r>
        <w:t xml:space="preserve"> </w:t>
      </w:r>
      <w:r w:rsidRPr="00F175AC">
        <w:t>Subjects who were adherent to antiviral therapy in both treatment groups were more</w:t>
      </w:r>
      <w:r>
        <w:t xml:space="preserve"> </w:t>
      </w:r>
      <w:r w:rsidRPr="00F175AC">
        <w:t>likely to achieve SVR (p&lt;0.0001).</w:t>
      </w:r>
      <w:r>
        <w:t xml:space="preserve"> </w:t>
      </w:r>
      <w:r w:rsidRPr="00F175AC">
        <w:t>A greater proportion of eltrombopag subjects (46%) had no antiviral dose reductions</w:t>
      </w:r>
      <w:r>
        <w:t xml:space="preserve"> </w:t>
      </w:r>
      <w:r w:rsidRPr="00F175AC">
        <w:t>(peginterferon and/or ribavirin) compared with placebo subjects (27%). Eltrombopag</w:t>
      </w:r>
      <w:r>
        <w:t xml:space="preserve"> </w:t>
      </w:r>
      <w:r w:rsidRPr="00F175AC">
        <w:t>treatment was associated with a significantly lower proportion of antiviral dose reduction.</w:t>
      </w:r>
      <w:r>
        <w:t xml:space="preserve"> </w:t>
      </w:r>
      <w:r w:rsidRPr="00F175AC">
        <w:t>A lower proportion of eltrombopag subjects had peginterferon dose reductions (41%) at</w:t>
      </w:r>
      <w:r>
        <w:t xml:space="preserve"> </w:t>
      </w:r>
      <w:r w:rsidRPr="00F175AC">
        <w:t>any dose level than placebo subjects (68%). The median time to the first and second</w:t>
      </w:r>
      <w:r>
        <w:t xml:space="preserve"> </w:t>
      </w:r>
      <w:r w:rsidRPr="00F175AC">
        <w:t xml:space="preserve">peginterferon alfa-2b dose reductions was longer for eltrombopag </w:t>
      </w:r>
      <w:r>
        <w:t xml:space="preserve"> s</w:t>
      </w:r>
      <w:r w:rsidRPr="00F175AC">
        <w:t>ubjects.</w:t>
      </w:r>
    </w:p>
    <w:p w:rsidR="00F74EEE" w:rsidRDefault="00F74EEE" w:rsidP="000A263C">
      <w:r>
        <w:t xml:space="preserve">With regard to safety results, </w:t>
      </w:r>
      <w:r w:rsidRPr="00F175AC">
        <w:t>a similar proportion of subjects in the eltrombopag group</w:t>
      </w:r>
      <w:r>
        <w:t xml:space="preserve"> </w:t>
      </w:r>
      <w:r w:rsidRPr="00F175AC">
        <w:t>reported at least one AE, drug related AE and (S)AE leading to withdrawal during the DB</w:t>
      </w:r>
      <w:r>
        <w:t xml:space="preserve"> </w:t>
      </w:r>
      <w:r w:rsidRPr="00F175AC">
        <w:t xml:space="preserve">on-treatment+30 days follow-up period </w:t>
      </w:r>
      <w:r>
        <w:t>c</w:t>
      </w:r>
      <w:r w:rsidRPr="00F175AC">
        <w:t>ompared to the placebo group. A higher proportion of subjects in the</w:t>
      </w:r>
      <w:r>
        <w:t xml:space="preserve"> </w:t>
      </w:r>
      <w:r w:rsidRPr="00F175AC">
        <w:t>eltrombopag group (20%) reported at least one SAE than in the placebo group (15%).</w:t>
      </w:r>
      <w:r>
        <w:t xml:space="preserve"> </w:t>
      </w:r>
      <w:r w:rsidRPr="00F175AC">
        <w:t>One percent of placebo subjects and 3% of eltrombopag subjects experienced a fatal</w:t>
      </w:r>
      <w:r>
        <w:t xml:space="preserve"> </w:t>
      </w:r>
      <w:r w:rsidRPr="00F175AC">
        <w:t xml:space="preserve">event during the DB on-treatment+30 days follow-up period. A summary of </w:t>
      </w:r>
      <w:r w:rsidR="00F27ED2">
        <w:t xml:space="preserve">the </w:t>
      </w:r>
      <w:r w:rsidRPr="00F175AC">
        <w:t>safety results appears below.</w:t>
      </w:r>
    </w:p>
    <w:p w:rsidR="00F27ED2" w:rsidRDefault="00F27ED2" w:rsidP="000A263C">
      <w:pPr>
        <w:pStyle w:val="TableTitle"/>
      </w:pPr>
      <w:r>
        <w:t>Table 6. Overall summary of Adverse Events during the OL Phase (Safety Population).</w:t>
      </w:r>
    </w:p>
    <w:p w:rsidR="00F74EEE" w:rsidRDefault="00F74EEE" w:rsidP="000A263C">
      <w:r>
        <w:rPr>
          <w:noProof/>
          <w:lang w:eastAsia="en-AU"/>
        </w:rPr>
        <w:drawing>
          <wp:inline distT="0" distB="0" distL="0" distR="0">
            <wp:extent cx="4295775" cy="1409700"/>
            <wp:effectExtent l="19050" t="0" r="9525" b="0"/>
            <wp:docPr id="8" name="Picture 8" descr="Table 6. Overall summary of Adverse Events during the OL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duotone>
                        <a:prstClr val="black"/>
                        <a:schemeClr val="bg1">
                          <a:tint val="45000"/>
                          <a:satMod val="400000"/>
                        </a:schemeClr>
                      </a:duotone>
                    </a:blip>
                    <a:srcRect t="14451"/>
                    <a:stretch>
                      <a:fillRect/>
                    </a:stretch>
                  </pic:blipFill>
                  <pic:spPr bwMode="auto">
                    <a:xfrm>
                      <a:off x="0" y="0"/>
                      <a:ext cx="4295775" cy="1409700"/>
                    </a:xfrm>
                    <a:prstGeom prst="rect">
                      <a:avLst/>
                    </a:prstGeom>
                    <a:noFill/>
                    <a:ln w="9525">
                      <a:noFill/>
                      <a:miter lim="800000"/>
                      <a:headEnd/>
                      <a:tailEnd/>
                    </a:ln>
                  </pic:spPr>
                </pic:pic>
              </a:graphicData>
            </a:graphic>
          </wp:inline>
        </w:drawing>
      </w:r>
    </w:p>
    <w:p w:rsidR="00F74EEE" w:rsidRDefault="00F27ED2" w:rsidP="000A263C">
      <w:pPr>
        <w:pStyle w:val="TableTitle"/>
      </w:pPr>
      <w:r>
        <w:t>Table 7. Overall Summary of Adverse Events on treatment plus 30 days follow-up during the DB Phase (Safety Double-blind Population).</w:t>
      </w:r>
    </w:p>
    <w:p w:rsidR="00F74EEE" w:rsidRDefault="00F74EEE" w:rsidP="000A263C">
      <w:r>
        <w:rPr>
          <w:noProof/>
          <w:lang w:eastAsia="en-AU"/>
        </w:rPr>
        <w:drawing>
          <wp:inline distT="0" distB="0" distL="0" distR="0">
            <wp:extent cx="4333875" cy="1914525"/>
            <wp:effectExtent l="19050" t="0" r="9525" b="0"/>
            <wp:docPr id="9" name="Picture 9" descr="Table 7. Overall Summary of Adverse Events on treatment plus 30 days follow-up during the DB Phase (Safety Double-blin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duotone>
                        <a:prstClr val="black"/>
                        <a:schemeClr val="bg1">
                          <a:tint val="45000"/>
                          <a:satMod val="400000"/>
                        </a:schemeClr>
                      </a:duotone>
                    </a:blip>
                    <a:srcRect t="15546"/>
                    <a:stretch>
                      <a:fillRect/>
                    </a:stretch>
                  </pic:blipFill>
                  <pic:spPr bwMode="auto">
                    <a:xfrm>
                      <a:off x="0" y="0"/>
                      <a:ext cx="4333875" cy="1914525"/>
                    </a:xfrm>
                    <a:prstGeom prst="rect">
                      <a:avLst/>
                    </a:prstGeom>
                    <a:noFill/>
                    <a:ln w="9525">
                      <a:noFill/>
                      <a:miter lim="800000"/>
                      <a:headEnd/>
                      <a:tailEnd/>
                    </a:ln>
                  </pic:spPr>
                </pic:pic>
              </a:graphicData>
            </a:graphic>
          </wp:inline>
        </w:drawing>
      </w:r>
    </w:p>
    <w:p w:rsidR="00F74EEE" w:rsidRDefault="00F74EEE" w:rsidP="000A263C">
      <w:pPr>
        <w:pStyle w:val="Heading4"/>
      </w:pPr>
      <w:bookmarkStart w:id="156" w:name="_Ref271037188"/>
      <w:bookmarkStart w:id="157" w:name="_Ref271037210"/>
      <w:bookmarkStart w:id="158" w:name="_Toc272414655"/>
      <w:bookmarkStart w:id="159" w:name="_Toc290846277"/>
      <w:bookmarkStart w:id="160" w:name="_Toc290888814"/>
      <w:bookmarkStart w:id="161" w:name="_Toc241374311"/>
      <w:bookmarkStart w:id="162" w:name="_Ref243294291"/>
      <w:r>
        <w:t>Other efficacy studies</w:t>
      </w:r>
      <w:bookmarkEnd w:id="156"/>
      <w:bookmarkEnd w:id="157"/>
      <w:bookmarkEnd w:id="158"/>
      <w:bookmarkEnd w:id="159"/>
      <w:bookmarkEnd w:id="160"/>
    </w:p>
    <w:p w:rsidR="00F74EEE" w:rsidRPr="002600A2" w:rsidRDefault="00F74EEE" w:rsidP="000A263C">
      <w:pPr>
        <w:pStyle w:val="Heading5"/>
      </w:pPr>
      <w:bookmarkStart w:id="163" w:name="_Toc290846278"/>
      <w:bookmarkStart w:id="164" w:name="_Toc290888815"/>
      <w:bookmarkEnd w:id="161"/>
      <w:bookmarkEnd w:id="162"/>
      <w:r w:rsidRPr="002600A2">
        <w:t xml:space="preserve">Study TPL102357 </w:t>
      </w:r>
      <w:bookmarkEnd w:id="163"/>
      <w:bookmarkEnd w:id="164"/>
    </w:p>
    <w:p w:rsidR="00F74EEE" w:rsidRDefault="00F74EEE" w:rsidP="000A263C">
      <w:r>
        <w:t>This study was a</w:t>
      </w:r>
      <w:r w:rsidR="00F27ED2">
        <w:t xml:space="preserve"> double-blind, randomis</w:t>
      </w:r>
      <w:r w:rsidRPr="00C51EE2">
        <w:t>ed, placebo-controlled, multi-centre, dose-ranging,</w:t>
      </w:r>
      <w:r>
        <w:t xml:space="preserve"> </w:t>
      </w:r>
      <w:r w:rsidR="00F27ED2">
        <w:t>parallel group, P</w:t>
      </w:r>
      <w:r w:rsidRPr="00C51EE2">
        <w:t>hase II study to assess efficacy, safety/tolerability and pharmacokinetics</w:t>
      </w:r>
      <w:r>
        <w:t xml:space="preserve"> </w:t>
      </w:r>
      <w:r w:rsidRPr="00C51EE2">
        <w:t>of a</w:t>
      </w:r>
      <w:r>
        <w:t xml:space="preserve"> </w:t>
      </w:r>
      <w:r w:rsidRPr="00C51EE2">
        <w:t>thrombopoietin receptor agonist, SB-497115-GR (eltrombopag), when administered</w:t>
      </w:r>
      <w:r>
        <w:t xml:space="preserve"> </w:t>
      </w:r>
      <w:r w:rsidRPr="00C51EE2">
        <w:t>as 30, 50, and 7</w:t>
      </w:r>
      <w:r w:rsidR="00EC097A">
        <w:t>5 mg</w:t>
      </w:r>
      <w:r w:rsidRPr="00C51EE2">
        <w:t xml:space="preserve"> once daily for 16 weeks in subjects with chronic hepatitis C-related</w:t>
      </w:r>
      <w:r>
        <w:t xml:space="preserve"> </w:t>
      </w:r>
      <w:r w:rsidRPr="00C51EE2">
        <w:t>thrombocytopenia who are potential candidates for antiviral treatment with pegylated</w:t>
      </w:r>
      <w:r>
        <w:t xml:space="preserve"> </w:t>
      </w:r>
      <w:r w:rsidRPr="00C51EE2">
        <w:t>interferon and ribavirin</w:t>
      </w:r>
      <w:r>
        <w:t xml:space="preserve">. The study was conducted between </w:t>
      </w:r>
      <w:r w:rsidRPr="00C51EE2">
        <w:t>05</w:t>
      </w:r>
      <w:r>
        <w:t xml:space="preserve"> </w:t>
      </w:r>
      <w:r w:rsidRPr="00C51EE2">
        <w:t>Apr2005</w:t>
      </w:r>
      <w:r>
        <w:t xml:space="preserve"> and </w:t>
      </w:r>
      <w:r w:rsidRPr="00C51EE2">
        <w:t>20</w:t>
      </w:r>
      <w:r>
        <w:t xml:space="preserve"> </w:t>
      </w:r>
      <w:r w:rsidRPr="00C51EE2">
        <w:t>Oct2006</w:t>
      </w:r>
      <w:r>
        <w:t xml:space="preserve">. </w:t>
      </w:r>
      <w:r w:rsidRPr="00C51EE2">
        <w:t>The primary objective was to evaluate the effect of eltrombopag on platelet</w:t>
      </w:r>
      <w:r>
        <w:t xml:space="preserve"> </w:t>
      </w:r>
      <w:r w:rsidRPr="00C51EE2">
        <w:t>counts when administered once daily for 4 weeks (Part 1, pre-antiviral phase) to subjects</w:t>
      </w:r>
      <w:r>
        <w:t xml:space="preserve"> </w:t>
      </w:r>
      <w:r w:rsidRPr="00C51EE2">
        <w:t>with chronic hepatitis C virus (HCV)-related thrombocytopenia, prior to receiving</w:t>
      </w:r>
      <w:r>
        <w:t xml:space="preserve"> </w:t>
      </w:r>
      <w:r w:rsidRPr="00C51EE2">
        <w:t>antiviral therapy.</w:t>
      </w:r>
    </w:p>
    <w:p w:rsidR="00F74EEE" w:rsidRPr="00C51EE2" w:rsidRDefault="00F74EEE" w:rsidP="000A263C">
      <w:r w:rsidRPr="00C51EE2">
        <w:t>Secondary objectives of the study were</w:t>
      </w:r>
      <w:r w:rsidR="00F27ED2">
        <w:t xml:space="preserve"> to evaluate the</w:t>
      </w:r>
      <w:r w:rsidRPr="00C51EE2">
        <w:t>:</w:t>
      </w:r>
    </w:p>
    <w:p w:rsidR="00F74EEE" w:rsidRPr="000A263C" w:rsidRDefault="00F74EEE" w:rsidP="000A263C">
      <w:pPr>
        <w:pStyle w:val="ListBullet"/>
      </w:pPr>
      <w:r w:rsidRPr="000A263C">
        <w:t xml:space="preserve">effects of </w:t>
      </w:r>
      <w:proofErr w:type="spellStart"/>
      <w:r w:rsidRPr="000A263C">
        <w:t>eltrombopag</w:t>
      </w:r>
      <w:proofErr w:type="spellEnd"/>
      <w:r w:rsidRPr="000A263C">
        <w:t xml:space="preserve"> on platelet counts when administered once daily for 12 weeks (Part 2) to subjects with chronic HCV-related thrombocytopenia, during antiviral therapy.</w:t>
      </w:r>
    </w:p>
    <w:p w:rsidR="00F74EEE" w:rsidRPr="000A263C" w:rsidRDefault="00F74EEE" w:rsidP="000A263C">
      <w:pPr>
        <w:pStyle w:val="ListBullet"/>
      </w:pPr>
      <w:r w:rsidRPr="000A263C">
        <w:t xml:space="preserve">effects of </w:t>
      </w:r>
      <w:proofErr w:type="spellStart"/>
      <w:r w:rsidRPr="000A263C">
        <w:t>eltrombopag</w:t>
      </w:r>
      <w:proofErr w:type="spellEnd"/>
      <w:r w:rsidRPr="000A263C">
        <w:t xml:space="preserve"> on markers of </w:t>
      </w:r>
      <w:proofErr w:type="spellStart"/>
      <w:r w:rsidRPr="000A263C">
        <w:t>thrombopoiesis</w:t>
      </w:r>
      <w:proofErr w:type="spellEnd"/>
      <w:r w:rsidRPr="000A263C">
        <w:t>, when administered once daily for 16 weeks to subjects with chronic HCV-related thrombocytopenia.</w:t>
      </w:r>
    </w:p>
    <w:p w:rsidR="00F74EEE" w:rsidRPr="000A263C" w:rsidRDefault="00F74EEE" w:rsidP="000A263C">
      <w:pPr>
        <w:pStyle w:val="ListBullet"/>
      </w:pPr>
      <w:r w:rsidRPr="000A263C">
        <w:t xml:space="preserve">effects of </w:t>
      </w:r>
      <w:proofErr w:type="spellStart"/>
      <w:r w:rsidRPr="000A263C">
        <w:t>eltrombopag</w:t>
      </w:r>
      <w:proofErr w:type="spellEnd"/>
      <w:r w:rsidRPr="000A263C">
        <w:t xml:space="preserve"> on antiviral treatment outcome measures during and after antiviral therapy in subjects with chronic HCV.</w:t>
      </w:r>
    </w:p>
    <w:p w:rsidR="00F74EEE" w:rsidRPr="000A263C" w:rsidRDefault="00F74EEE" w:rsidP="000A263C">
      <w:pPr>
        <w:pStyle w:val="ListBullet"/>
      </w:pPr>
      <w:r w:rsidRPr="000A263C">
        <w:t xml:space="preserve">safety and tolerability of </w:t>
      </w:r>
      <w:proofErr w:type="spellStart"/>
      <w:r w:rsidRPr="000A263C">
        <w:t>eltrombopag</w:t>
      </w:r>
      <w:proofErr w:type="spellEnd"/>
      <w:r w:rsidRPr="000A263C">
        <w:t xml:space="preserve"> when administered once daily for 16 weeks to subjects with chronic HCV.</w:t>
      </w:r>
    </w:p>
    <w:p w:rsidR="00F74EEE" w:rsidRPr="000A263C" w:rsidRDefault="00F74EEE" w:rsidP="000A263C">
      <w:pPr>
        <w:pStyle w:val="ListBullet"/>
      </w:pPr>
      <w:r w:rsidRPr="000A263C">
        <w:t xml:space="preserve">population pharmacokinetic profile of </w:t>
      </w:r>
      <w:proofErr w:type="spellStart"/>
      <w:r w:rsidRPr="000A263C">
        <w:t>eltrombopag</w:t>
      </w:r>
      <w:proofErr w:type="spellEnd"/>
      <w:r w:rsidRPr="000A263C">
        <w:t xml:space="preserve"> when administered once daily for 16 weeks to subjects with chronic HCV.</w:t>
      </w:r>
    </w:p>
    <w:p w:rsidR="00F74EEE" w:rsidRPr="00C31D1A" w:rsidRDefault="00F74EEE" w:rsidP="000A263C">
      <w:r w:rsidRPr="00962E5A">
        <w:t>The st</w:t>
      </w:r>
      <w:r w:rsidR="00F27ED2">
        <w:t>udy was a double-blind, randomis</w:t>
      </w:r>
      <w:r w:rsidRPr="00962E5A">
        <w:t>ed, placebo-controlled,</w:t>
      </w:r>
      <w:r>
        <w:t xml:space="preserve"> </w:t>
      </w:r>
      <w:r w:rsidRPr="00962E5A">
        <w:t>multi-center, dose-ranging, parallel group study in HCV-infected subjects with platelet</w:t>
      </w:r>
      <w:r>
        <w:t xml:space="preserve"> </w:t>
      </w:r>
      <w:r w:rsidRPr="00962E5A">
        <w:t>counts between 20,000 to 70,000 platelets/</w:t>
      </w:r>
      <w:r w:rsidR="00F27ED2">
        <w:t>µ</w:t>
      </w:r>
      <w:r w:rsidRPr="00962E5A">
        <w:t>L (20 to &lt;70Gi/L) who were eligible to begin</w:t>
      </w:r>
      <w:r>
        <w:t xml:space="preserve"> </w:t>
      </w:r>
      <w:r w:rsidRPr="00962E5A">
        <w:t>treatment with peginterferon and ribavirin. Stratification was according to baseline</w:t>
      </w:r>
      <w:r>
        <w:t xml:space="preserve"> </w:t>
      </w:r>
      <w:r w:rsidRPr="00962E5A">
        <w:t>platelet count (20 to &lt;50Gi/L and ≥50 to &lt;70Gi/L).</w:t>
      </w:r>
      <w:r w:rsidRPr="00E66E3B">
        <w:rPr>
          <w:rFonts w:ascii="TimesNewRomanPSMT" w:hAnsi="TimesNewRomanPSMT" w:cs="TimesNewRomanPSMT"/>
          <w:sz w:val="24"/>
        </w:rPr>
        <w:t xml:space="preserve"> </w:t>
      </w:r>
      <w:r w:rsidRPr="00E66E3B">
        <w:t>The study was conducted in two phases, Parts 1 and 2. In Part 1, study subjects were</w:t>
      </w:r>
      <w:r>
        <w:t xml:space="preserve"> </w:t>
      </w:r>
      <w:r w:rsidR="00F27ED2">
        <w:t>randomis</w:t>
      </w:r>
      <w:r w:rsidRPr="00E66E3B">
        <w:t>ed to eltrombopag (30, 50 or 7</w:t>
      </w:r>
      <w:r w:rsidR="00EC097A">
        <w:t>5 mg</w:t>
      </w:r>
      <w:r w:rsidRPr="00E66E3B">
        <w:t xml:space="preserve"> daily) or placebo for 4 weeks. Subjects</w:t>
      </w:r>
      <w:r>
        <w:t xml:space="preserve"> </w:t>
      </w:r>
      <w:r w:rsidRPr="00E66E3B">
        <w:t>who successfully completed Part 1 (achieved a platelet count ≥70Gi/L for Pegasys or</w:t>
      </w:r>
      <w:r>
        <w:t xml:space="preserve"> </w:t>
      </w:r>
      <w:r w:rsidRPr="00E66E3B">
        <w:t>platelet count ≥100Gi/L for PEG-</w:t>
      </w:r>
      <w:proofErr w:type="spellStart"/>
      <w:r w:rsidRPr="00E66E3B">
        <w:t>Intron</w:t>
      </w:r>
      <w:proofErr w:type="spellEnd"/>
      <w:r w:rsidRPr="00E66E3B">
        <w:t xml:space="preserve"> at Day 28) proceeded to Part 2. In Part 2,</w:t>
      </w:r>
      <w:r>
        <w:t xml:space="preserve"> </w:t>
      </w:r>
      <w:r w:rsidRPr="00E66E3B">
        <w:t>subjects received an additional 8-12 weeks of eltrombopag or placebo administered daily</w:t>
      </w:r>
      <w:r>
        <w:t xml:space="preserve"> </w:t>
      </w:r>
      <w:r w:rsidRPr="00E66E3B">
        <w:t>with antiviral therapy (peginterferon and ribavirin). At the completion of Part 2, subjects</w:t>
      </w:r>
      <w:r>
        <w:t xml:space="preserve"> </w:t>
      </w:r>
      <w:r w:rsidRPr="00E66E3B">
        <w:t>could continue to receive antiviral therapy per standard of care at the discretion of the</w:t>
      </w:r>
      <w:r>
        <w:t xml:space="preserve"> </w:t>
      </w:r>
      <w:r w:rsidRPr="00E66E3B">
        <w:t>investigator. Platelet counts were measured throughout the study and 4 weeks after the</w:t>
      </w:r>
      <w:r>
        <w:t xml:space="preserve"> </w:t>
      </w:r>
      <w:r w:rsidRPr="00E66E3B">
        <w:t>last dose of double-blind study medication.</w:t>
      </w:r>
      <w:r>
        <w:t xml:space="preserve"> </w:t>
      </w:r>
    </w:p>
    <w:p w:rsidR="00F74EEE" w:rsidRDefault="00F74EEE" w:rsidP="000A263C">
      <w:r>
        <w:t xml:space="preserve">Subjects were </w:t>
      </w:r>
      <w:r w:rsidRPr="00E66E3B">
        <w:t xml:space="preserve"> male and female subjects </w:t>
      </w:r>
      <w:r>
        <w:t xml:space="preserve">who </w:t>
      </w:r>
      <w:r w:rsidRPr="00E66E3B">
        <w:t>were</w:t>
      </w:r>
      <w:r>
        <w:t xml:space="preserve"> </w:t>
      </w:r>
      <w:r w:rsidR="00F27ED2">
        <w:t>≥</w:t>
      </w:r>
      <w:r w:rsidRPr="00E66E3B">
        <w:t>18 years of age with chronic HCV (defined as the presence of HCV antibodies and</w:t>
      </w:r>
      <w:r>
        <w:t xml:space="preserve"> </w:t>
      </w:r>
      <w:r w:rsidRPr="00E66E3B">
        <w:t xml:space="preserve">detectable HCV RNA [ribonucleic acid]) who had compensated liver disease and </w:t>
      </w:r>
      <w:r>
        <w:t xml:space="preserve">pre-existing </w:t>
      </w:r>
      <w:r w:rsidRPr="00E66E3B">
        <w:t>thrombocytopenia (defined as a platelet count of 20 to &lt;70Gi/L). Subjects were</w:t>
      </w:r>
      <w:r>
        <w:t xml:space="preserve"> </w:t>
      </w:r>
      <w:r w:rsidRPr="00E66E3B">
        <w:t>required to have a liver biopsy indicative of chronic hepatitis or radiographic evidence of</w:t>
      </w:r>
      <w:r>
        <w:t xml:space="preserve"> </w:t>
      </w:r>
      <w:r w:rsidRPr="00E66E3B">
        <w:t>cirrhosis or endoscopic evidence of portal hypertension.</w:t>
      </w:r>
      <w:r>
        <w:t xml:space="preserve"> </w:t>
      </w:r>
      <w:r w:rsidRPr="00E66E3B">
        <w:t>A total of 74 subjects were randomi</w:t>
      </w:r>
      <w:r w:rsidR="00F27ED2">
        <w:t>s</w:t>
      </w:r>
      <w:r w:rsidRPr="00E66E3B">
        <w:t>ed to treatment.</w:t>
      </w:r>
      <w:r>
        <w:t xml:space="preserve"> </w:t>
      </w:r>
      <w:r w:rsidRPr="00E66E3B">
        <w:t>The primary assessment for efficacy was platelet count. The</w:t>
      </w:r>
      <w:r>
        <w:t xml:space="preserve"> </w:t>
      </w:r>
      <w:r w:rsidRPr="00E66E3B">
        <w:t>primary efficacy endpoint was a shift from baseline platelet count (between 20 to</w:t>
      </w:r>
      <w:r>
        <w:t xml:space="preserve"> </w:t>
      </w:r>
      <w:r w:rsidRPr="00E66E3B">
        <w:t xml:space="preserve">&lt;70Gi/L) to </w:t>
      </w:r>
      <w:r w:rsidR="00F27ED2">
        <w:t>≥</w:t>
      </w:r>
      <w:r w:rsidRPr="00E66E3B">
        <w:t>100Gi/L after the first 4 weeks of dosing. Secondary endpoints included</w:t>
      </w:r>
      <w:r>
        <w:t xml:space="preserve"> </w:t>
      </w:r>
      <w:r w:rsidRPr="00E66E3B">
        <w:t>safety and tolerability, the ability to maintain peginterferon therapy during the antiviral</w:t>
      </w:r>
      <w:r>
        <w:t xml:space="preserve"> </w:t>
      </w:r>
      <w:r w:rsidRPr="00E66E3B">
        <w:t>treatment phase, and pharmacokinetic analysis.</w:t>
      </w:r>
      <w:r>
        <w:t xml:space="preserve"> </w:t>
      </w:r>
      <w:r w:rsidRPr="00E66E3B">
        <w:t>The planned sample size for the study was 160 subjects, with 40 subjects randomi</w:t>
      </w:r>
      <w:r w:rsidR="00F27ED2">
        <w:t>s</w:t>
      </w:r>
      <w:r w:rsidRPr="00E66E3B">
        <w:t>ed to</w:t>
      </w:r>
      <w:r>
        <w:t xml:space="preserve"> </w:t>
      </w:r>
      <w:r w:rsidRPr="00E66E3B">
        <w:t>each treatment group. The sample size was estimated assuming a placebo response rate</w:t>
      </w:r>
      <w:r>
        <w:t xml:space="preserve"> </w:t>
      </w:r>
      <w:r w:rsidRPr="00E66E3B">
        <w:t>of 20% and an active response rate of 60%. The power to detect the anticipated treatment</w:t>
      </w:r>
      <w:r>
        <w:t xml:space="preserve"> </w:t>
      </w:r>
      <w:r w:rsidRPr="00E66E3B">
        <w:t xml:space="preserve">effect was 90% at the overall 5% level of </w:t>
      </w:r>
      <w:r>
        <w:t>s</w:t>
      </w:r>
      <w:r w:rsidRPr="00E66E3B">
        <w:t>ignificance (two-sided).</w:t>
      </w:r>
    </w:p>
    <w:p w:rsidR="00F74EEE" w:rsidRDefault="00F74EEE" w:rsidP="000A263C">
      <w:r>
        <w:t>With regard to efficacy results, b</w:t>
      </w:r>
      <w:r w:rsidRPr="00923E9A">
        <w:t>ased on subjects evaluable for efficacy, eltrombopag increased</w:t>
      </w:r>
      <w:r>
        <w:t xml:space="preserve"> </w:t>
      </w:r>
      <w:r w:rsidRPr="00923E9A">
        <w:t xml:space="preserve">platelet counts to </w:t>
      </w:r>
      <w:r w:rsidR="00F27ED2">
        <w:t>≥</w:t>
      </w:r>
      <w:r w:rsidRPr="00923E9A">
        <w:t>100Gi/L at Week 4 in a dose-dependent manner; 0/18 (0%, placebo),</w:t>
      </w:r>
      <w:r>
        <w:t xml:space="preserve"> </w:t>
      </w:r>
      <w:r w:rsidRPr="00923E9A">
        <w:t>9/12 (75%, 3</w:t>
      </w:r>
      <w:r w:rsidR="00EC097A">
        <w:t>0 mg</w:t>
      </w:r>
      <w:r w:rsidRPr="00923E9A">
        <w:t>), 15/19 (79%, 5</w:t>
      </w:r>
      <w:r w:rsidR="00EC097A">
        <w:t>0 mg</w:t>
      </w:r>
      <w:r w:rsidRPr="00923E9A">
        <w:t>), and 20/21 (95%, 7</w:t>
      </w:r>
      <w:r w:rsidR="00EC097A">
        <w:t>5 mg</w:t>
      </w:r>
      <w:r w:rsidRPr="00923E9A">
        <w:t>) evaluable subjects</w:t>
      </w:r>
      <w:r>
        <w:t xml:space="preserve"> </w:t>
      </w:r>
      <w:r w:rsidRPr="00923E9A">
        <w:t>achieved the primary endpoint (p&lt;0.0001 for treatment effect). The median platelet</w:t>
      </w:r>
      <w:r>
        <w:t xml:space="preserve"> </w:t>
      </w:r>
      <w:r w:rsidRPr="00923E9A">
        <w:t>counts after 4 weeks treatment were 53 Gi/L in the placebo group, 125Gi/L in the 3</w:t>
      </w:r>
      <w:r w:rsidR="00EC097A">
        <w:t>0 mg</w:t>
      </w:r>
      <w:r>
        <w:t xml:space="preserve"> </w:t>
      </w:r>
      <w:r w:rsidRPr="00923E9A">
        <w:t>group, 212Gi/L in the 5</w:t>
      </w:r>
      <w:r w:rsidR="00EC097A">
        <w:t>0 mg</w:t>
      </w:r>
      <w:r w:rsidRPr="00923E9A">
        <w:t xml:space="preserve"> group and 204Gi/L in the 7</w:t>
      </w:r>
      <w:r w:rsidR="00EC097A">
        <w:t>5 mg</w:t>
      </w:r>
      <w:r w:rsidRPr="00923E9A">
        <w:t xml:space="preserve"> group.</w:t>
      </w:r>
      <w:r>
        <w:t xml:space="preserve"> </w:t>
      </w:r>
      <w:r w:rsidRPr="00923E9A">
        <w:t>The highest response rate was observed in the eltrombopag 7</w:t>
      </w:r>
      <w:r w:rsidR="00EC097A">
        <w:t>5 mg</w:t>
      </w:r>
      <w:r w:rsidRPr="00923E9A">
        <w:t xml:space="preserve"> group. </w:t>
      </w:r>
      <w:r>
        <w:t xml:space="preserve"> A</w:t>
      </w:r>
      <w:r w:rsidRPr="00923E9A">
        <w:t>lthough</w:t>
      </w:r>
      <w:r>
        <w:t xml:space="preserve"> </w:t>
      </w:r>
      <w:r w:rsidRPr="00923E9A">
        <w:t>subjects in both baseline strata responded to treatment with eltrombopag, subjects with a</w:t>
      </w:r>
      <w:r w:rsidR="00F27ED2">
        <w:t xml:space="preserve"> </w:t>
      </w:r>
      <w:r w:rsidRPr="00923E9A">
        <w:t>baseline platelet count of 50 to &lt;70Gi/L had higher response rates compared to subjects</w:t>
      </w:r>
      <w:r>
        <w:t xml:space="preserve"> </w:t>
      </w:r>
      <w:r w:rsidRPr="00923E9A">
        <w:t>with a baseline platelet count of 20 to 50Gi/L. At the end of 4 weeks treatment with</w:t>
      </w:r>
      <w:r>
        <w:t xml:space="preserve"> </w:t>
      </w:r>
      <w:r w:rsidRPr="00923E9A">
        <w:t>eltrombopag, the proportion of subjects with platelet levels &gt;200Gi/L increased in a</w:t>
      </w:r>
      <w:r>
        <w:t xml:space="preserve"> </w:t>
      </w:r>
      <w:r w:rsidRPr="00923E9A">
        <w:t>dose-dependent manner and no subject in the placebo group had platelet levels of</w:t>
      </w:r>
      <w:r>
        <w:t xml:space="preserve"> </w:t>
      </w:r>
      <w:r w:rsidRPr="00923E9A">
        <w:t>&gt;200Gi/L.</w:t>
      </w:r>
    </w:p>
    <w:p w:rsidR="00F74EEE" w:rsidRPr="00C31D1A" w:rsidRDefault="00F74EEE" w:rsidP="000A263C">
      <w:r>
        <w:t>With regard to safety results, t</w:t>
      </w:r>
      <w:r w:rsidRPr="00923E9A">
        <w:t>he overall incidence of adverse events for the entire study (including</w:t>
      </w:r>
      <w:r>
        <w:t xml:space="preserve"> </w:t>
      </w:r>
      <w:r w:rsidRPr="00923E9A">
        <w:t>both Parts 1 and 2 and the follow-up period) was higher in the eltrombopag-treatment</w:t>
      </w:r>
      <w:r>
        <w:t xml:space="preserve"> </w:t>
      </w:r>
      <w:r w:rsidRPr="00923E9A">
        <w:t>groups than in the placebo-treatment group. In Part 1, the incidence of adverse events</w:t>
      </w:r>
      <w:r>
        <w:t xml:space="preserve"> </w:t>
      </w:r>
      <w:r w:rsidRPr="00923E9A">
        <w:t>was similar across all 4 treatment groups. The most frequently occurring adverse events</w:t>
      </w:r>
      <w:r>
        <w:t xml:space="preserve"> </w:t>
      </w:r>
      <w:r w:rsidRPr="00923E9A">
        <w:t>occurring with eltrombopag during Part 1 of the study were headache, dry mouth, upper</w:t>
      </w:r>
      <w:r>
        <w:t xml:space="preserve"> </w:t>
      </w:r>
      <w:r w:rsidRPr="00923E9A">
        <w:t>abdominal pain and nausea, which were predominantly of mild severity. None of the</w:t>
      </w:r>
      <w:r>
        <w:t xml:space="preserve"> </w:t>
      </w:r>
      <w:r w:rsidRPr="00923E9A">
        <w:t>adverse events occurred in a dose</w:t>
      </w:r>
      <w:r w:rsidR="00F27ED2">
        <w:t xml:space="preserve"> </w:t>
      </w:r>
      <w:r w:rsidRPr="00923E9A">
        <w:t>dependent manner. In the antiviral phase, adverse</w:t>
      </w:r>
      <w:r>
        <w:t xml:space="preserve"> </w:t>
      </w:r>
      <w:r w:rsidRPr="00923E9A">
        <w:t>events were consistent with those associated with peginterferon-based therapy.</w:t>
      </w:r>
      <w:r>
        <w:t xml:space="preserve"> </w:t>
      </w:r>
      <w:r w:rsidRPr="00923E9A">
        <w:t>One death occurred in a subject randomi</w:t>
      </w:r>
      <w:r w:rsidR="00F27ED2">
        <w:t>s</w:t>
      </w:r>
      <w:r w:rsidRPr="00923E9A">
        <w:t>ed to treatment with placebo. The death was</w:t>
      </w:r>
      <w:r>
        <w:t xml:space="preserve"> </w:t>
      </w:r>
      <w:r w:rsidRPr="00923E9A">
        <w:t>associated with serious adverse events (SAEs) of abdominal pain and renal failure. The</w:t>
      </w:r>
      <w:r>
        <w:t xml:space="preserve"> </w:t>
      </w:r>
      <w:r w:rsidRPr="00923E9A">
        <w:t>investigator considered the death unrelated to study medication. Other SAEs that</w:t>
      </w:r>
      <w:r>
        <w:t xml:space="preserve"> </w:t>
      </w:r>
      <w:r w:rsidRPr="00923E9A">
        <w:t>occurred during the treatment phase of the study included thrombocytopenia (3</w:t>
      </w:r>
      <w:r w:rsidR="00EC097A">
        <w:t>0 mg</w:t>
      </w:r>
      <w:r>
        <w:t xml:space="preserve"> </w:t>
      </w:r>
      <w:r w:rsidRPr="00923E9A">
        <w:t>treatment group) during the antiviral phase, ascites (3</w:t>
      </w:r>
      <w:r w:rsidR="00EC097A">
        <w:t>0 mg</w:t>
      </w:r>
      <w:r w:rsidRPr="00923E9A">
        <w:t xml:space="preserve"> treatment group) during the</w:t>
      </w:r>
      <w:r>
        <w:t xml:space="preserve"> </w:t>
      </w:r>
      <w:r w:rsidRPr="00923E9A">
        <w:t>antiviral phase, and retinal exudates (7</w:t>
      </w:r>
      <w:r w:rsidR="00EC097A">
        <w:t>5 mg</w:t>
      </w:r>
      <w:r w:rsidRPr="00923E9A">
        <w:t xml:space="preserve"> treatment group) during the antiviral phase.</w:t>
      </w:r>
      <w:r>
        <w:t xml:space="preserve"> </w:t>
      </w:r>
      <w:r w:rsidRPr="00923E9A">
        <w:t>Neither the ascites nor the retinal</w:t>
      </w:r>
      <w:r>
        <w:t xml:space="preserve"> </w:t>
      </w:r>
      <w:r w:rsidRPr="00923E9A">
        <w:t>exudates were considered by the investigator as related to study medication</w:t>
      </w:r>
      <w:r>
        <w:t xml:space="preserve"> </w:t>
      </w:r>
      <w:r w:rsidRPr="00923E9A">
        <w:t>administration. During the post-treatment follow-up period, 2 subjects had SAEs of</w:t>
      </w:r>
      <w:r>
        <w:t xml:space="preserve"> </w:t>
      </w:r>
      <w:r w:rsidRPr="00923E9A">
        <w:t>cataracts (3</w:t>
      </w:r>
      <w:r w:rsidR="00EC097A">
        <w:t>0 mg</w:t>
      </w:r>
      <w:r w:rsidRPr="00923E9A">
        <w:t xml:space="preserve"> and 7</w:t>
      </w:r>
      <w:r w:rsidR="00EC097A">
        <w:t>5 mg</w:t>
      </w:r>
      <w:r w:rsidRPr="00923E9A">
        <w:t xml:space="preserve"> treatment groups) and one subject had an SAE of myositis</w:t>
      </w:r>
      <w:r>
        <w:t xml:space="preserve"> </w:t>
      </w:r>
      <w:r w:rsidRPr="00923E9A">
        <w:t>(5</w:t>
      </w:r>
      <w:r w:rsidR="00EC097A">
        <w:t>0 mg</w:t>
      </w:r>
      <w:r w:rsidRPr="00923E9A">
        <w:t xml:space="preserve"> treatment group).</w:t>
      </w:r>
    </w:p>
    <w:p w:rsidR="00F74EEE" w:rsidRDefault="00F74EEE" w:rsidP="000A263C">
      <w:pPr>
        <w:pStyle w:val="Heading3"/>
      </w:pPr>
      <w:bookmarkStart w:id="165" w:name="_Toc241374312"/>
      <w:bookmarkStart w:id="166" w:name="_Toc272414656"/>
      <w:bookmarkStart w:id="167" w:name="_Toc290846281"/>
      <w:bookmarkStart w:id="168" w:name="_Toc290888818"/>
      <w:bookmarkStart w:id="169" w:name="_Toc376875779"/>
      <w:r>
        <w:t>Analyses performed across trials (pooled analyses and meta-analyses)</w:t>
      </w:r>
      <w:bookmarkEnd w:id="165"/>
      <w:bookmarkEnd w:id="166"/>
      <w:bookmarkEnd w:id="167"/>
      <w:bookmarkEnd w:id="168"/>
      <w:bookmarkEnd w:id="169"/>
    </w:p>
    <w:p w:rsidR="00F74EEE" w:rsidRDefault="00F74EEE" w:rsidP="000A263C">
      <w:r>
        <w:t xml:space="preserve">Pooled data was available for the 2 pivotal studies, </w:t>
      </w:r>
      <w:r w:rsidRPr="00151659">
        <w:t>TPL103922 (ENABLE 1)</w:t>
      </w:r>
      <w:r>
        <w:t xml:space="preserve"> and </w:t>
      </w:r>
      <w:r w:rsidRPr="00151659">
        <w:t>TPL108390 (ENABLE 2)</w:t>
      </w:r>
      <w:r>
        <w:t>. Given the almost identical design of these 2 studies, pooled data was available for both the primary and secondary efficacy endpoints as follows:</w:t>
      </w:r>
    </w:p>
    <w:p w:rsidR="00F74EEE" w:rsidRDefault="00F74EEE" w:rsidP="000A263C">
      <w:r>
        <w:t>For the primary efficacy endpoint,</w:t>
      </w:r>
      <w:r w:rsidRPr="00151659">
        <w:t xml:space="preserve"> the pooled results</w:t>
      </w:r>
      <w:r>
        <w:t xml:space="preserve"> demonstrated</w:t>
      </w:r>
      <w:r w:rsidRPr="00151659">
        <w:t xml:space="preserve"> a clinically meaningful and statistically significantly greater</w:t>
      </w:r>
      <w:r>
        <w:t xml:space="preserve"> </w:t>
      </w:r>
      <w:r w:rsidRPr="00151659">
        <w:t>proportion of patients treated with eltrombopag achieved SVR compared to the placebo</w:t>
      </w:r>
      <w:r>
        <w:t xml:space="preserve"> </w:t>
      </w:r>
      <w:r w:rsidRPr="00151659">
        <w:t>arm (placebo: 13%; eltrombopag: 21%; p=0.0004)</w:t>
      </w:r>
      <w:r>
        <w:t>. Results are included below.</w:t>
      </w:r>
    </w:p>
    <w:p w:rsidR="00F27ED2" w:rsidRDefault="00F27ED2" w:rsidP="000A263C">
      <w:pPr>
        <w:pStyle w:val="TableTitle"/>
      </w:pPr>
      <w:r>
        <w:t>Table 8. Primary analysis. Sustained Virologic Responses (ITT Population).</w:t>
      </w:r>
    </w:p>
    <w:p w:rsidR="00F74EEE" w:rsidRDefault="00F74EEE" w:rsidP="000A263C">
      <w:r>
        <w:rPr>
          <w:noProof/>
          <w:lang w:eastAsia="en-AU"/>
        </w:rPr>
        <w:drawing>
          <wp:inline distT="0" distB="0" distL="0" distR="0">
            <wp:extent cx="4391025" cy="1524000"/>
            <wp:effectExtent l="19050" t="0" r="9525" b="0"/>
            <wp:docPr id="10" name="Picture 10" descr="Table 8. Primary analysis. Sustained Virologic Respons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duotone>
                        <a:prstClr val="black"/>
                        <a:schemeClr val="bg1">
                          <a:tint val="45000"/>
                          <a:satMod val="400000"/>
                        </a:schemeClr>
                      </a:duotone>
                    </a:blip>
                    <a:srcRect l="1253" t="13402" r="2505" b="4124"/>
                    <a:stretch>
                      <a:fillRect/>
                    </a:stretch>
                  </pic:blipFill>
                  <pic:spPr bwMode="auto">
                    <a:xfrm>
                      <a:off x="0" y="0"/>
                      <a:ext cx="4391025" cy="1524000"/>
                    </a:xfrm>
                    <a:prstGeom prst="rect">
                      <a:avLst/>
                    </a:prstGeom>
                    <a:noFill/>
                    <a:ln w="9525">
                      <a:noFill/>
                      <a:miter lim="800000"/>
                      <a:headEnd/>
                      <a:tailEnd/>
                    </a:ln>
                  </pic:spPr>
                </pic:pic>
              </a:graphicData>
            </a:graphic>
          </wp:inline>
        </w:drawing>
      </w:r>
    </w:p>
    <w:p w:rsidR="00F27ED2" w:rsidRDefault="00F27ED2" w:rsidP="000A263C">
      <w:pPr>
        <w:pStyle w:val="TableTitle"/>
      </w:pPr>
      <w:r>
        <w:t>Table 9. Univariate Analysis of Sustained Virologic Response for Actual Strata for Subjects with Successful Responses (Pooled Data, ITT Population).</w:t>
      </w:r>
    </w:p>
    <w:p w:rsidR="00F74EEE" w:rsidRDefault="00F74EEE" w:rsidP="000A263C">
      <w:r>
        <w:rPr>
          <w:noProof/>
          <w:lang w:eastAsia="en-AU"/>
        </w:rPr>
        <w:drawing>
          <wp:inline distT="0" distB="0" distL="0" distR="0">
            <wp:extent cx="4400550" cy="2076450"/>
            <wp:effectExtent l="19050" t="0" r="0" b="0"/>
            <wp:docPr id="11" name="Picture 11" descr="Table 9. Univariate Analysis of Sustained Virologic Response for Actual Strata for Subjects with Successful Responses (Pooled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duotone>
                        <a:prstClr val="black"/>
                        <a:schemeClr val="bg1">
                          <a:tint val="45000"/>
                          <a:satMod val="400000"/>
                        </a:schemeClr>
                      </a:duotone>
                    </a:blip>
                    <a:srcRect l="1071" t="18440" b="4255"/>
                    <a:stretch>
                      <a:fillRect/>
                    </a:stretch>
                  </pic:blipFill>
                  <pic:spPr bwMode="auto">
                    <a:xfrm>
                      <a:off x="0" y="0"/>
                      <a:ext cx="4400550" cy="2076450"/>
                    </a:xfrm>
                    <a:prstGeom prst="rect">
                      <a:avLst/>
                    </a:prstGeom>
                    <a:noFill/>
                    <a:ln w="9525">
                      <a:noFill/>
                      <a:miter lim="800000"/>
                      <a:headEnd/>
                      <a:tailEnd/>
                    </a:ln>
                  </pic:spPr>
                </pic:pic>
              </a:graphicData>
            </a:graphic>
          </wp:inline>
        </w:drawing>
      </w:r>
    </w:p>
    <w:p w:rsidR="00F74EEE" w:rsidRDefault="00F74EEE" w:rsidP="000A263C">
      <w:r>
        <w:t>For the secondary efficacy endpoint, t</w:t>
      </w:r>
      <w:r w:rsidRPr="002760AE">
        <w:t>he response to eltrombopag during OL treatment (Part 1) was similar in both studies</w:t>
      </w:r>
      <w:r>
        <w:t xml:space="preserve"> </w:t>
      </w:r>
      <w:r w:rsidRPr="002760AE">
        <w:t>with 97% and 96% of subjects in ENABLE 1 and ENABLE 2, respectively, achieving a</w:t>
      </w:r>
      <w:r>
        <w:t xml:space="preserve"> </w:t>
      </w:r>
      <w:r w:rsidRPr="002760AE">
        <w:t>platelet count that would allow the initiation of antiviral therapy. Platelet counts began to</w:t>
      </w:r>
      <w:r w:rsidR="00F27ED2">
        <w:t xml:space="preserve"> </w:t>
      </w:r>
      <w:r w:rsidRPr="002760AE">
        <w:t>rise within the first week of treatment with eltrombopag, and the median time to achieve</w:t>
      </w:r>
      <w:r>
        <w:t xml:space="preserve"> </w:t>
      </w:r>
      <w:r w:rsidRPr="002760AE">
        <w:t>the target platelet count (</w:t>
      </w:r>
      <w:r w:rsidR="00F27ED2">
        <w:t>≥</w:t>
      </w:r>
      <w:r w:rsidRPr="002760AE">
        <w:t xml:space="preserve">90 Gi/L for ENABLE 1 or </w:t>
      </w:r>
      <w:r w:rsidR="00F27ED2">
        <w:t>≥</w:t>
      </w:r>
      <w:r w:rsidRPr="002760AE">
        <w:t>100 Gi/L for ENABLE 2) was</w:t>
      </w:r>
      <w:r>
        <w:t xml:space="preserve"> </w:t>
      </w:r>
      <w:r w:rsidRPr="002760AE">
        <w:t>about 2 weeks, with over 75% of subjects achieving these target platelet counts within the</w:t>
      </w:r>
      <w:r>
        <w:t xml:space="preserve"> </w:t>
      </w:r>
      <w:r w:rsidRPr="002760AE">
        <w:t>first 4 weeks of treatment</w:t>
      </w:r>
      <w:r>
        <w:t xml:space="preserve">. </w:t>
      </w:r>
    </w:p>
    <w:p w:rsidR="00F74EEE" w:rsidRDefault="00F74EEE" w:rsidP="000A263C">
      <w:pPr>
        <w:rPr>
          <w:rFonts w:ascii="Times New Roman" w:hAnsi="Times New Roman"/>
          <w:color w:val="000000"/>
          <w:sz w:val="24"/>
        </w:rPr>
      </w:pPr>
      <w:r>
        <w:t xml:space="preserve">During the DB phase, </w:t>
      </w:r>
      <w:r w:rsidRPr="002760AE">
        <w:t>there was a statistically significant benefit observed between the</w:t>
      </w:r>
      <w:r>
        <w:t xml:space="preserve"> </w:t>
      </w:r>
      <w:r w:rsidRPr="002760AE">
        <w:t xml:space="preserve">treatment groups for other antiviral milestones such as EVR, </w:t>
      </w:r>
      <w:proofErr w:type="spellStart"/>
      <w:r w:rsidRPr="002760AE">
        <w:t>cEVR</w:t>
      </w:r>
      <w:proofErr w:type="spellEnd"/>
      <w:r w:rsidRPr="002760AE">
        <w:t>, ETR, and SVR12</w:t>
      </w:r>
      <w:r>
        <w:t>.</w:t>
      </w:r>
      <w:r w:rsidRPr="002760AE">
        <w:t xml:space="preserve"> At the end of treatment, 48% (ENABLE 1) and 38% (ENABLE 2) of subjects</w:t>
      </w:r>
      <w:r>
        <w:t xml:space="preserve"> </w:t>
      </w:r>
      <w:r w:rsidRPr="002760AE">
        <w:t>randomi</w:t>
      </w:r>
      <w:r w:rsidR="00F27ED2">
        <w:t>s</w:t>
      </w:r>
      <w:r w:rsidRPr="002760AE">
        <w:t>ed to the eltrombopag arm were HCV RNA negative, significantly more than in</w:t>
      </w:r>
      <w:r>
        <w:t xml:space="preserve"> </w:t>
      </w:r>
      <w:r w:rsidRPr="002760AE">
        <w:t>the respective placebo arms (37% for ENABLE 1and 23% for ENABLE 2). However, due to the limited efficacy of the antiviral regimen,</w:t>
      </w:r>
      <w:r>
        <w:t xml:space="preserve"> </w:t>
      </w:r>
      <w:r w:rsidRPr="002760AE">
        <w:t>approximately 50% of subjects in both treatment groups had relapsed at the time SVR</w:t>
      </w:r>
      <w:r>
        <w:t xml:space="preserve"> </w:t>
      </w:r>
      <w:r w:rsidRPr="002760AE">
        <w:t>was assessed 6 months late</w:t>
      </w:r>
      <w:r>
        <w:t>r.</w:t>
      </w:r>
      <w:r w:rsidRPr="002760AE">
        <w:rPr>
          <w:rFonts w:ascii="Times New Roman" w:hAnsi="Times New Roman"/>
          <w:color w:val="000000"/>
          <w:sz w:val="24"/>
        </w:rPr>
        <w:t xml:space="preserve"> </w:t>
      </w:r>
      <w:r w:rsidRPr="002760AE">
        <w:t>In both studies, eltrombopag treatment was associated with a significantly lower</w:t>
      </w:r>
      <w:r>
        <w:t xml:space="preserve"> </w:t>
      </w:r>
      <w:r w:rsidRPr="002760AE">
        <w:t>proportion of antiviral dose reductions (peginterferon and/or ribavirin) compared with</w:t>
      </w:r>
      <w:r>
        <w:t xml:space="preserve"> </w:t>
      </w:r>
      <w:r w:rsidRPr="002760AE">
        <w:t>placebo subjects. A greater proportion of eltrombopag-treated subjects had no</w:t>
      </w:r>
      <w:r>
        <w:t xml:space="preserve"> </w:t>
      </w:r>
      <w:r w:rsidRPr="002760AE">
        <w:t>dose reductions compared with placebo</w:t>
      </w:r>
      <w:r w:rsidR="00F27ED2">
        <w:t xml:space="preserve"> </w:t>
      </w:r>
      <w:r w:rsidRPr="002760AE">
        <w:t>treated subjects</w:t>
      </w:r>
      <w:r>
        <w:t>.</w:t>
      </w:r>
      <w:r w:rsidRPr="002760AE">
        <w:rPr>
          <w:rFonts w:ascii="Times New Roman" w:hAnsi="Times New Roman"/>
          <w:sz w:val="24"/>
        </w:rPr>
        <w:t xml:space="preserve"> </w:t>
      </w:r>
      <w:r w:rsidRPr="002760AE">
        <w:t>In the pooled analysis, a higher proportion of eltrombopag subjects (45%) completely</w:t>
      </w:r>
      <w:r>
        <w:t xml:space="preserve"> </w:t>
      </w:r>
      <w:r w:rsidRPr="002760AE">
        <w:t>avoided any antiviral therapy dose reduction compared with placebo subjects (27%), with</w:t>
      </w:r>
      <w:r>
        <w:t xml:space="preserve"> </w:t>
      </w:r>
      <w:r w:rsidRPr="002760AE">
        <w:t>a treatment difference of 17.1% (95% CI = 12.0, 22.1, p&lt;0.0001)</w:t>
      </w:r>
      <w:r>
        <w:t>.</w:t>
      </w:r>
      <w:r w:rsidRPr="002760AE">
        <w:rPr>
          <w:rFonts w:ascii="Times New Roman" w:hAnsi="Times New Roman"/>
          <w:color w:val="000000"/>
          <w:sz w:val="24"/>
        </w:rPr>
        <w:t xml:space="preserve"> </w:t>
      </w:r>
    </w:p>
    <w:p w:rsidR="00F74EEE" w:rsidRDefault="00F74EEE" w:rsidP="000A263C">
      <w:r w:rsidRPr="002760AE">
        <w:t>The median time to the first peginterferon dose reduction was longer for eltrombopag</w:t>
      </w:r>
      <w:r>
        <w:t xml:space="preserve"> </w:t>
      </w:r>
      <w:r w:rsidRPr="002760AE">
        <w:t>subjects compared to placebo subjects in both studies (hazard ratio of 0.41 [95% CI =</w:t>
      </w:r>
      <w:r>
        <w:t xml:space="preserve"> </w:t>
      </w:r>
      <w:r w:rsidRPr="002760AE">
        <w:t>0.33, 0.52] for ENABLE 1 and 0.39 [95% CI = 0.30, 0.49] for ENABLE 2; 2-sided</w:t>
      </w:r>
      <w:r>
        <w:t xml:space="preserve"> </w:t>
      </w:r>
      <w:r w:rsidRPr="002760AE">
        <w:t>stratified log rank test, p&lt;0.0001). The differences were most</w:t>
      </w:r>
      <w:r>
        <w:t xml:space="preserve"> </w:t>
      </w:r>
      <w:r w:rsidRPr="002760AE">
        <w:t>pronounced during the first 12 weeks of antiviral therapy in both studies</w:t>
      </w:r>
      <w:r>
        <w:t xml:space="preserve">. </w:t>
      </w:r>
      <w:r w:rsidRPr="002760AE">
        <w:t>The proportion of subjects in both studies who prematurely discontinued antiviral therapy</w:t>
      </w:r>
      <w:r>
        <w:t xml:space="preserve"> </w:t>
      </w:r>
      <w:r w:rsidRPr="002760AE">
        <w:t>(peginterferon and/or ribavirin) was significantly lower in the eltrombopag group (41%</w:t>
      </w:r>
      <w:r>
        <w:t xml:space="preserve"> </w:t>
      </w:r>
      <w:r w:rsidRPr="002760AE">
        <w:t>and 48%) compared to the placebo group (56% and 65%, respectively; p=0.0001 for</w:t>
      </w:r>
      <w:r>
        <w:t xml:space="preserve"> </w:t>
      </w:r>
      <w:r w:rsidRPr="002760AE">
        <w:t>ENABLE 1 and p&lt;0.0001 for ENABLE 2). For the pooled data, significantly fewer</w:t>
      </w:r>
      <w:r>
        <w:t xml:space="preserve"> </w:t>
      </w:r>
      <w:r w:rsidRPr="002760AE">
        <w:t>subjects treated with eltrombopag</w:t>
      </w:r>
      <w:r>
        <w:t xml:space="preserve"> </w:t>
      </w:r>
      <w:r w:rsidRPr="002760AE">
        <w:t>prematurely discontinued antiviral therapy compared</w:t>
      </w:r>
      <w:r>
        <w:t xml:space="preserve"> </w:t>
      </w:r>
      <w:r w:rsidRPr="002760AE">
        <w:t>to the placebo group (45% versus 60%, p&lt;0.0001)</w:t>
      </w:r>
      <w:r>
        <w:t xml:space="preserve">. </w:t>
      </w:r>
      <w:r w:rsidRPr="002760AE">
        <w:t>The median platelet counts at the start of antiviral therapy were similar in both treatment</w:t>
      </w:r>
      <w:r>
        <w:t xml:space="preserve"> </w:t>
      </w:r>
      <w:r w:rsidRPr="002760AE">
        <w:t>groups for both studies (128 to 140 Gi/L) and the same overall pattern of platelet</w:t>
      </w:r>
      <w:r>
        <w:t xml:space="preserve"> </w:t>
      </w:r>
      <w:r w:rsidRPr="002760AE">
        <w:t>response was observed in both studies. Median platelet counts began falling</w:t>
      </w:r>
      <w:r>
        <w:t xml:space="preserve"> </w:t>
      </w:r>
      <w:r w:rsidRPr="002760AE">
        <w:t>after initiation of antiviral therapy and stabilizing within approximately 4 weeks. Median</w:t>
      </w:r>
      <w:r>
        <w:t xml:space="preserve"> </w:t>
      </w:r>
      <w:r w:rsidRPr="002760AE">
        <w:t>platelet counts remained near the Week 4 values (placebo: 48 Gi/L; eltrombopag: 97</w:t>
      </w:r>
      <w:r>
        <w:t xml:space="preserve"> </w:t>
      </w:r>
      <w:r w:rsidRPr="002760AE">
        <w:t>Gi/L) for the remainder of DB treatment in both studies</w:t>
      </w:r>
      <w:r>
        <w:t>.</w:t>
      </w:r>
    </w:p>
    <w:p w:rsidR="00F74EEE" w:rsidRDefault="00F74EEE" w:rsidP="000A263C">
      <w:r w:rsidRPr="002760AE">
        <w:t xml:space="preserve">Results </w:t>
      </w:r>
      <w:r>
        <w:t xml:space="preserve">for secondary efficacy endpoints </w:t>
      </w:r>
      <w:r w:rsidRPr="002760AE">
        <w:t>are included below.</w:t>
      </w:r>
    </w:p>
    <w:p w:rsidR="007F748D" w:rsidRPr="002760AE" w:rsidRDefault="007F748D" w:rsidP="000A263C">
      <w:pPr>
        <w:pStyle w:val="TableTitle"/>
      </w:pPr>
      <w:r>
        <w:t>Table 10. Initiation of Antiviral Therapy (Safety population).</w:t>
      </w:r>
    </w:p>
    <w:p w:rsidR="00F74EEE" w:rsidRDefault="00F74EEE" w:rsidP="000A263C">
      <w:r>
        <w:rPr>
          <w:noProof/>
          <w:lang w:eastAsia="en-AU"/>
        </w:rPr>
        <w:drawing>
          <wp:inline distT="0" distB="0" distL="0" distR="0">
            <wp:extent cx="4371975" cy="2733675"/>
            <wp:effectExtent l="19050" t="0" r="9525" b="0"/>
            <wp:docPr id="12" name="Picture 12" descr="Table 10. Initiation of Antiviral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duotone>
                        <a:prstClr val="black"/>
                        <a:schemeClr val="bg1">
                          <a:tint val="45000"/>
                          <a:satMod val="400000"/>
                        </a:schemeClr>
                      </a:duotone>
                    </a:blip>
                    <a:srcRect l="1263" t="7812" r="2105" b="2500"/>
                    <a:stretch>
                      <a:fillRect/>
                    </a:stretch>
                  </pic:blipFill>
                  <pic:spPr bwMode="auto">
                    <a:xfrm>
                      <a:off x="0" y="0"/>
                      <a:ext cx="4371975" cy="2733675"/>
                    </a:xfrm>
                    <a:prstGeom prst="rect">
                      <a:avLst/>
                    </a:prstGeom>
                    <a:noFill/>
                    <a:ln w="9525">
                      <a:noFill/>
                      <a:miter lim="800000"/>
                      <a:headEnd/>
                      <a:tailEnd/>
                    </a:ln>
                  </pic:spPr>
                </pic:pic>
              </a:graphicData>
            </a:graphic>
          </wp:inline>
        </w:drawing>
      </w:r>
    </w:p>
    <w:p w:rsidR="007F748D" w:rsidRDefault="007F748D" w:rsidP="000A263C">
      <w:pPr>
        <w:pStyle w:val="TableTitle"/>
      </w:pPr>
      <w:r>
        <w:t>Table 11. Other Antiviral Endpoints (ITT Population).</w:t>
      </w:r>
    </w:p>
    <w:p w:rsidR="00F74EEE" w:rsidRDefault="00F74EEE" w:rsidP="000A263C">
      <w:r>
        <w:rPr>
          <w:noProof/>
          <w:lang w:eastAsia="en-AU"/>
        </w:rPr>
        <w:drawing>
          <wp:inline distT="0" distB="0" distL="0" distR="0">
            <wp:extent cx="4429125" cy="1676400"/>
            <wp:effectExtent l="19050" t="0" r="9525" b="0"/>
            <wp:docPr id="13" name="Picture 13" descr="Table 11. Other Antiviral Endpoi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duotone>
                        <a:prstClr val="black"/>
                        <a:schemeClr val="bg1">
                          <a:tint val="45000"/>
                          <a:satMod val="400000"/>
                        </a:schemeClr>
                      </a:duotone>
                    </a:blip>
                    <a:srcRect l="1274" t="12438"/>
                    <a:stretch>
                      <a:fillRect/>
                    </a:stretch>
                  </pic:blipFill>
                  <pic:spPr bwMode="auto">
                    <a:xfrm>
                      <a:off x="0" y="0"/>
                      <a:ext cx="4429125" cy="1676400"/>
                    </a:xfrm>
                    <a:prstGeom prst="rect">
                      <a:avLst/>
                    </a:prstGeom>
                    <a:noFill/>
                    <a:ln w="9525">
                      <a:noFill/>
                      <a:miter lim="800000"/>
                      <a:headEnd/>
                      <a:tailEnd/>
                    </a:ln>
                  </pic:spPr>
                </pic:pic>
              </a:graphicData>
            </a:graphic>
          </wp:inline>
        </w:drawing>
      </w:r>
    </w:p>
    <w:p w:rsidR="007F748D" w:rsidRDefault="007F748D" w:rsidP="000A263C">
      <w:pPr>
        <w:pStyle w:val="TableTitle"/>
      </w:pPr>
      <w:r>
        <w:t>Table 12. Summary of Antiviral Therapy Dose Reductions (ITT Population).</w:t>
      </w:r>
    </w:p>
    <w:p w:rsidR="00F74EEE" w:rsidRDefault="00F74EEE" w:rsidP="000A263C">
      <w:r>
        <w:rPr>
          <w:noProof/>
          <w:lang w:eastAsia="en-AU"/>
        </w:rPr>
        <w:drawing>
          <wp:inline distT="0" distB="0" distL="0" distR="0">
            <wp:extent cx="4352925" cy="2038350"/>
            <wp:effectExtent l="19050" t="0" r="9525" b="0"/>
            <wp:docPr id="14" name="Picture 14" descr="Table 12. Summary of Antiviral Therapy Dose Reduc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duotone>
                        <a:prstClr val="black"/>
                        <a:schemeClr val="bg1">
                          <a:tint val="45000"/>
                          <a:satMod val="400000"/>
                        </a:schemeClr>
                      </a:duotone>
                    </a:blip>
                    <a:srcRect l="1474" t="10833" r="2316"/>
                    <a:stretch>
                      <a:fillRect/>
                    </a:stretch>
                  </pic:blipFill>
                  <pic:spPr bwMode="auto">
                    <a:xfrm>
                      <a:off x="0" y="0"/>
                      <a:ext cx="4352925" cy="2038350"/>
                    </a:xfrm>
                    <a:prstGeom prst="rect">
                      <a:avLst/>
                    </a:prstGeom>
                    <a:noFill/>
                    <a:ln w="9525">
                      <a:noFill/>
                      <a:miter lim="800000"/>
                      <a:headEnd/>
                      <a:tailEnd/>
                    </a:ln>
                  </pic:spPr>
                </pic:pic>
              </a:graphicData>
            </a:graphic>
          </wp:inline>
        </w:drawing>
      </w:r>
    </w:p>
    <w:p w:rsidR="00F74EEE" w:rsidRDefault="007F748D" w:rsidP="000A263C">
      <w:pPr>
        <w:pStyle w:val="FigureTitle"/>
      </w:pPr>
      <w:r>
        <w:t>Figure 1. Median Time to First Peginterferon Dose Reduction (Pooled data, ITT Population).</w:t>
      </w:r>
    </w:p>
    <w:p w:rsidR="00F74EEE" w:rsidRDefault="00F74EEE" w:rsidP="000A263C">
      <w:r>
        <w:rPr>
          <w:noProof/>
          <w:lang w:eastAsia="en-AU"/>
        </w:rPr>
        <w:drawing>
          <wp:inline distT="0" distB="0" distL="0" distR="0">
            <wp:extent cx="4581525" cy="2532204"/>
            <wp:effectExtent l="19050" t="0" r="9525" b="0"/>
            <wp:docPr id="15" name="Picture 15" descr="Figure 1. Median Time to First Peginterferon Dose Reduction (Pooled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duotone>
                        <a:prstClr val="black"/>
                        <a:schemeClr val="bg1">
                          <a:tint val="45000"/>
                          <a:satMod val="400000"/>
                        </a:schemeClr>
                      </a:duotone>
                    </a:blip>
                    <a:srcRect l="4828" t="15018" r="5747" b="6227"/>
                    <a:stretch>
                      <a:fillRect/>
                    </a:stretch>
                  </pic:blipFill>
                  <pic:spPr bwMode="auto">
                    <a:xfrm>
                      <a:off x="0" y="0"/>
                      <a:ext cx="4583621" cy="2533362"/>
                    </a:xfrm>
                    <a:prstGeom prst="rect">
                      <a:avLst/>
                    </a:prstGeom>
                    <a:noFill/>
                    <a:ln w="9525">
                      <a:noFill/>
                      <a:miter lim="800000"/>
                      <a:headEnd/>
                      <a:tailEnd/>
                    </a:ln>
                  </pic:spPr>
                </pic:pic>
              </a:graphicData>
            </a:graphic>
          </wp:inline>
        </w:drawing>
      </w:r>
    </w:p>
    <w:p w:rsidR="007F748D" w:rsidRDefault="007F748D" w:rsidP="007F748D">
      <w:pPr>
        <w:pStyle w:val="FigureTitle"/>
      </w:pPr>
      <w:r>
        <w:t>Figure 2. Median Platelet Counts during DB eltrombopag Treatment (Pooled data, ITT Population).</w:t>
      </w:r>
    </w:p>
    <w:p w:rsidR="00F74EEE" w:rsidRDefault="00F74EEE" w:rsidP="000A263C">
      <w:r>
        <w:rPr>
          <w:noProof/>
          <w:lang w:eastAsia="en-AU"/>
        </w:rPr>
        <w:drawing>
          <wp:inline distT="0" distB="0" distL="0" distR="0">
            <wp:extent cx="5269970" cy="2628900"/>
            <wp:effectExtent l="19050" t="0" r="6880" b="0"/>
            <wp:docPr id="16" name="Picture 16" descr="Figure 2. Median Platelet Counts during DB eltrombopag Treatment (Pooled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duotone>
                        <a:prstClr val="black"/>
                        <a:schemeClr val="bg1">
                          <a:tint val="45000"/>
                          <a:satMod val="400000"/>
                        </a:schemeClr>
                      </a:duotone>
                    </a:blip>
                    <a:srcRect l="2857" t="16487" r="1978" b="6093"/>
                    <a:stretch>
                      <a:fillRect/>
                    </a:stretch>
                  </pic:blipFill>
                  <pic:spPr bwMode="auto">
                    <a:xfrm>
                      <a:off x="0" y="0"/>
                      <a:ext cx="5269970" cy="2628900"/>
                    </a:xfrm>
                    <a:prstGeom prst="rect">
                      <a:avLst/>
                    </a:prstGeom>
                    <a:noFill/>
                    <a:ln w="9525">
                      <a:noFill/>
                      <a:miter lim="800000"/>
                      <a:headEnd/>
                      <a:tailEnd/>
                    </a:ln>
                  </pic:spPr>
                </pic:pic>
              </a:graphicData>
            </a:graphic>
          </wp:inline>
        </w:drawing>
      </w:r>
    </w:p>
    <w:p w:rsidR="00F74EEE" w:rsidRPr="003C0A48" w:rsidRDefault="00F74EEE" w:rsidP="000A263C">
      <w:pPr>
        <w:pStyle w:val="Heading3"/>
      </w:pPr>
      <w:bookmarkStart w:id="170" w:name="_Ref271126605"/>
      <w:bookmarkStart w:id="171" w:name="_Toc272414657"/>
      <w:bookmarkStart w:id="172" w:name="_Toc290846282"/>
      <w:bookmarkStart w:id="173" w:name="_Toc290888819"/>
      <w:bookmarkStart w:id="174" w:name="_Toc376875780"/>
      <w:r w:rsidRPr="003C0A48">
        <w:t>Evaluator’s conclusions on clinical efficacy</w:t>
      </w:r>
      <w:bookmarkEnd w:id="174"/>
      <w:r w:rsidRPr="003C0A48">
        <w:t xml:space="preserve"> </w:t>
      </w:r>
      <w:bookmarkEnd w:id="170"/>
      <w:bookmarkEnd w:id="171"/>
      <w:bookmarkEnd w:id="172"/>
      <w:bookmarkEnd w:id="173"/>
    </w:p>
    <w:p w:rsidR="00F74EEE" w:rsidRDefault="00F74EEE" w:rsidP="000A263C">
      <w:r w:rsidRPr="00CD13AD">
        <w:t xml:space="preserve">Information on clinical efficacy for the proposed indication was provided by 2 pivotal studies, ENABLE 1 and ENABLE 2, as well as one supporting study, TPL102357. The pivotal studies </w:t>
      </w:r>
      <w:r w:rsidRPr="00CD13AD">
        <w:rPr>
          <w:color w:val="000000"/>
        </w:rPr>
        <w:t>had identical study designs and differed only in the pegylated interferon (peginterferon) used. They were global, multicenter, two-part studies</w:t>
      </w:r>
      <w:r w:rsidR="007F748D">
        <w:rPr>
          <w:color w:val="000000"/>
        </w:rPr>
        <w:t xml:space="preserve"> that used a randomis</w:t>
      </w:r>
      <w:r w:rsidRPr="00CD13AD">
        <w:rPr>
          <w:color w:val="000000"/>
        </w:rPr>
        <w:t>ed withdrawal design. They</w:t>
      </w:r>
      <w:r w:rsidR="007F748D">
        <w:rPr>
          <w:color w:val="000000"/>
        </w:rPr>
        <w:t xml:space="preserve"> </w:t>
      </w:r>
      <w:r w:rsidRPr="00CD13AD">
        <w:rPr>
          <w:color w:val="000000"/>
        </w:rPr>
        <w:t>consisted of an open-label (OL), Pre-Antiviral Treatment Phase (Part 1) and a randomi</w:t>
      </w:r>
      <w:r w:rsidR="007F748D">
        <w:rPr>
          <w:color w:val="000000"/>
        </w:rPr>
        <w:t>s</w:t>
      </w:r>
      <w:r w:rsidRPr="00CD13AD">
        <w:rPr>
          <w:color w:val="000000"/>
        </w:rPr>
        <w:t>ed, double-blind (DB), placebo-controlled, Antiviral Treatment Phase (Part 2). Subjects entered the studies with a platelet count of &lt;75 Gi/L and were stratified at baseline by platelet count, level of HCV RNA at screening and HCV genotype.</w:t>
      </w:r>
      <w:r w:rsidRPr="00CD13AD">
        <w:t xml:space="preserve"> </w:t>
      </w:r>
    </w:p>
    <w:p w:rsidR="00F74EEE" w:rsidRDefault="00F74EEE" w:rsidP="000A263C">
      <w:r w:rsidRPr="00CD13AD">
        <w:t>During Part 1, all subjects in ENABLE 1 and ENABLE 2 received eltrombopag dosed</w:t>
      </w:r>
      <w:r>
        <w:t xml:space="preserve"> </w:t>
      </w:r>
      <w:r w:rsidRPr="00CD13AD">
        <w:t>once daily with the objective of increasing platelet counts to the required threshold to</w:t>
      </w:r>
      <w:r>
        <w:t xml:space="preserve"> </w:t>
      </w:r>
      <w:r w:rsidRPr="00CD13AD">
        <w:t>initiate antiviral therapy (</w:t>
      </w:r>
      <w:r w:rsidR="007F748D">
        <w:rPr>
          <w:rFonts w:cs="SymbolMT"/>
        </w:rPr>
        <w:t>≥</w:t>
      </w:r>
      <w:r w:rsidRPr="00CD13AD">
        <w:t>90 Gi/L to initiate peginterferon alfa-2a plus ribavirin in</w:t>
      </w:r>
      <w:r>
        <w:t xml:space="preserve"> </w:t>
      </w:r>
      <w:r w:rsidRPr="00CD13AD">
        <w:t xml:space="preserve">ENABLE 1 and </w:t>
      </w:r>
      <w:r w:rsidR="007F748D">
        <w:rPr>
          <w:rFonts w:cs="SymbolMT"/>
        </w:rPr>
        <w:t>≥</w:t>
      </w:r>
      <w:r w:rsidRPr="00CD13AD">
        <w:t>100 Gi/L to initiate peginterferon alfa-2b plus ribavirin in ENABLE 2).</w:t>
      </w:r>
      <w:r>
        <w:t xml:space="preserve"> </w:t>
      </w:r>
      <w:r w:rsidRPr="00CD13AD">
        <w:t>The starting dose of eltrombopag was 25 mg once daily for 2 weeks. Dose escalations</w:t>
      </w:r>
      <w:r>
        <w:t xml:space="preserve"> </w:t>
      </w:r>
      <w:r w:rsidRPr="00CD13AD">
        <w:t>could occur every 2 weeks up to a maximum of 100 mg eltrombopag. The maximal time</w:t>
      </w:r>
      <w:r>
        <w:t xml:space="preserve"> </w:t>
      </w:r>
      <w:r w:rsidRPr="00CD13AD">
        <w:t>subjects could receive open-label eltrombopag wa</w:t>
      </w:r>
      <w:r w:rsidR="007F748D">
        <w:t>s 9 weeks. Subjects not randomis</w:t>
      </w:r>
      <w:r w:rsidRPr="00CD13AD">
        <w:t>ed to</w:t>
      </w:r>
      <w:r>
        <w:t xml:space="preserve"> </w:t>
      </w:r>
      <w:r w:rsidRPr="00CD13AD">
        <w:t>Part 2 were withdrawn from OL eltrombopag and asked to attend the post-treatment</w:t>
      </w:r>
      <w:r>
        <w:t xml:space="preserve"> </w:t>
      </w:r>
      <w:r w:rsidRPr="00CD13AD">
        <w:t>follow-up visits.</w:t>
      </w:r>
      <w:r>
        <w:t xml:space="preserve"> </w:t>
      </w:r>
      <w:r w:rsidRPr="00CD13AD">
        <w:t>Once eligible for Part 2, subjects in ENA</w:t>
      </w:r>
      <w:r w:rsidR="007F748D">
        <w:t>BLE 1 and ENABLE 2 were randomis</w:t>
      </w:r>
      <w:r w:rsidRPr="00CD13AD">
        <w:t>ed 2:1 to</w:t>
      </w:r>
      <w:r>
        <w:t xml:space="preserve"> </w:t>
      </w:r>
      <w:r w:rsidRPr="00CD13AD">
        <w:t>either continue on the same dose of eltrombopag from OL treatment or receive a matched</w:t>
      </w:r>
      <w:r>
        <w:t xml:space="preserve"> </w:t>
      </w:r>
      <w:r w:rsidRPr="00CD13AD">
        <w:t>placebo. These DB treatments were given in combination with antiviral therapy for up to</w:t>
      </w:r>
      <w:r w:rsidR="007F748D">
        <w:t xml:space="preserve"> </w:t>
      </w:r>
      <w:r w:rsidRPr="00CD13AD">
        <w:t>48 weeks (dependent on HCV genotype).</w:t>
      </w:r>
      <w:r>
        <w:t xml:space="preserve"> </w:t>
      </w:r>
      <w:r w:rsidRPr="00CD13AD">
        <w:t>All subjects in ENABLE 1 and ENABLE 2 were to attend post-treatment follow-up visits</w:t>
      </w:r>
      <w:r>
        <w:t xml:space="preserve"> </w:t>
      </w:r>
      <w:r w:rsidR="007F748D">
        <w:t xml:space="preserve">up to 24 weeks. At the 24 </w:t>
      </w:r>
      <w:r w:rsidRPr="00CD13AD">
        <w:t>week follow-up visit, SVR was assessed to determine the</w:t>
      </w:r>
      <w:r>
        <w:t xml:space="preserve"> </w:t>
      </w:r>
      <w:r w:rsidRPr="00CD13AD">
        <w:t>benefit of the completed treatment regimen.</w:t>
      </w:r>
    </w:p>
    <w:p w:rsidR="00F74EEE" w:rsidRDefault="00F74EEE" w:rsidP="000A263C">
      <w:pPr>
        <w:rPr>
          <w:color w:val="000000"/>
        </w:rPr>
      </w:pPr>
      <w:r w:rsidRPr="00887913">
        <w:t xml:space="preserve">Guidance on assessment of treatment regimes for chronic hepatitis C is provided in </w:t>
      </w:r>
      <w:r w:rsidR="00EB0442">
        <w:t>the European Union</w:t>
      </w:r>
      <w:r w:rsidRPr="00887913">
        <w:t xml:space="preserve"> </w:t>
      </w:r>
      <w:r w:rsidRPr="007F748D">
        <w:rPr>
          <w:i/>
        </w:rPr>
        <w:t>Guideline on clinical evaluation of medicinal products for the treatment of chronic hepatitis C</w:t>
      </w:r>
      <w:r w:rsidRPr="00887913">
        <w:t>.</w:t>
      </w:r>
      <w:r w:rsidR="007F748D">
        <w:rPr>
          <w:rStyle w:val="FootnoteReference"/>
        </w:rPr>
        <w:footnoteReference w:id="2"/>
      </w:r>
      <w:r w:rsidRPr="00887913">
        <w:t xml:space="preserve">  While there is no specific guidance on supportive agents such as eltrombopag , the overall principles in terms of response of HCV to treatment are applicable.  The design of the pivotal studies was consistent with these guidelines. As such, s</w:t>
      </w:r>
      <w:r w:rsidRPr="00887913">
        <w:rPr>
          <w:color w:val="000000"/>
        </w:rPr>
        <w:t>ustained virologic response (SVR) was chosen as the primary endpoint for the pivotal studies. A subject was classified as having achieved SVR only if the subject was a responder at the end of treatment and all</w:t>
      </w:r>
      <w:r>
        <w:rPr>
          <w:color w:val="000000"/>
        </w:rPr>
        <w:t xml:space="preserve"> </w:t>
      </w:r>
      <w:r w:rsidRPr="00887913">
        <w:rPr>
          <w:color w:val="000000"/>
        </w:rPr>
        <w:t>subsequent planned visits through to 24 weeks follow-up after completing treatment (for HCV genotype subgroups, 24 weeks after completing treatment corresponds to Week 48 for genotype 2/3, and Week 72 for genotype non 2/3 or genotype 2/3 who received 48 weeks of</w:t>
      </w:r>
      <w:r>
        <w:rPr>
          <w:color w:val="000000"/>
        </w:rPr>
        <w:t xml:space="preserve"> </w:t>
      </w:r>
      <w:r w:rsidRPr="00887913">
        <w:rPr>
          <w:color w:val="000000"/>
        </w:rPr>
        <w:t>treatment) and if a subject had a positive HCV RNA (“blip”) between two visits with undetectable HCV RNA, the subject was considered a sustained virologic responder provided that the detectable HCV RNA was of the same order of magnitude as the limit of detection.</w:t>
      </w:r>
      <w:r>
        <w:rPr>
          <w:color w:val="000000"/>
        </w:rPr>
        <w:t xml:space="preserve"> Both pivotal studies were adequately powered to provide statistically meaningful results.</w:t>
      </w:r>
    </w:p>
    <w:p w:rsidR="00F74EEE" w:rsidRDefault="00F74EEE" w:rsidP="000A263C">
      <w:r w:rsidRPr="006C0F10">
        <w:rPr>
          <w:color w:val="000000"/>
        </w:rPr>
        <w:t xml:space="preserve"> </w:t>
      </w:r>
      <w:r w:rsidRPr="006C0F10">
        <w:t>Both studies demonstrated that a greater proportion of eltrombopag subjects achieved</w:t>
      </w:r>
      <w:r>
        <w:t xml:space="preserve"> </w:t>
      </w:r>
      <w:r w:rsidRPr="006C0F10">
        <w:t>SVR than did placebo subjects and this result was statistically significant. In the pooled results, a clinically meaningful and statistically significantly greater proportion of patients treated with eltrombopag achieved SVR compared to the placebo arm (placebo: 13%; eltrombopag: 21%; p=0.0004). The response to eltrombopag during OL treatment (Part 1) was similar in both studies with 97% and 96% of subjects in ENABLE 1 and ENABLE 2, respectively, achieving a</w:t>
      </w:r>
      <w:r>
        <w:t xml:space="preserve"> </w:t>
      </w:r>
      <w:r w:rsidRPr="006C0F10">
        <w:t>platelet count that would allow the initiation of antiviral therapy. Platelet counts began to</w:t>
      </w:r>
      <w:r>
        <w:t xml:space="preserve"> </w:t>
      </w:r>
      <w:r w:rsidRPr="006C0F10">
        <w:t>rise within the first week of treatment with eltrombopag and the median time to achieve</w:t>
      </w:r>
      <w:r>
        <w:t xml:space="preserve"> </w:t>
      </w:r>
      <w:r w:rsidRPr="006C0F10">
        <w:t>the target platelet count (</w:t>
      </w:r>
      <w:r w:rsidR="00EB0442">
        <w:rPr>
          <w:rFonts w:cs="SymbolMT"/>
        </w:rPr>
        <w:t>≥</w:t>
      </w:r>
      <w:r w:rsidRPr="006C0F10">
        <w:t xml:space="preserve">90 Gi/L for ENABLE 1 or </w:t>
      </w:r>
      <w:r w:rsidR="00EB0442">
        <w:rPr>
          <w:rFonts w:cs="SymbolMT"/>
        </w:rPr>
        <w:t>≥</w:t>
      </w:r>
      <w:r w:rsidRPr="006C0F10">
        <w:t>100 Gi/L for ENABLE 2) was</w:t>
      </w:r>
      <w:r>
        <w:t xml:space="preserve"> </w:t>
      </w:r>
      <w:r w:rsidRPr="006C0F10">
        <w:t>about 2 weeks, with over 75% of subjects achieving these target platelet counts within the</w:t>
      </w:r>
      <w:r>
        <w:t xml:space="preserve"> </w:t>
      </w:r>
      <w:r w:rsidRPr="006C0F10">
        <w:t>first 4 weeks of treatment. At the end of treatment, 48% (ENABLE 1) and 38% (ENABLE 2) of subjects</w:t>
      </w:r>
      <w:r>
        <w:t xml:space="preserve"> </w:t>
      </w:r>
      <w:r w:rsidRPr="006C0F10">
        <w:t>randomi</w:t>
      </w:r>
      <w:r w:rsidR="00EB0442">
        <w:t>s</w:t>
      </w:r>
      <w:r w:rsidRPr="006C0F10">
        <w:t>ed to the eltrombopag arm were HCV RNA negative, significantly more than in the respective placebo arms (37% for ENABLE 1and 23% for ENABLE 2).</w:t>
      </w:r>
    </w:p>
    <w:p w:rsidR="00F74EEE" w:rsidRDefault="00F74EEE" w:rsidP="009E6E04">
      <w:r>
        <w:t>TPL102357  was a</w:t>
      </w:r>
      <w:r w:rsidR="00EB0442">
        <w:t xml:space="preserve"> double-blind, randomis</w:t>
      </w:r>
      <w:r w:rsidRPr="00C51EE2">
        <w:t>ed, placebo-controlled, multi-centre, dose-ranging,</w:t>
      </w:r>
      <w:r>
        <w:t xml:space="preserve"> </w:t>
      </w:r>
      <w:r w:rsidR="00EB0442">
        <w:t>parallel group, P</w:t>
      </w:r>
      <w:r w:rsidRPr="00C51EE2">
        <w:t>hase II study to assess efficacy, safety/tolerability, and pharmacokinetics</w:t>
      </w:r>
      <w:r>
        <w:t xml:space="preserve"> </w:t>
      </w:r>
      <w:r w:rsidRPr="00C51EE2">
        <w:t>of a</w:t>
      </w:r>
      <w:r>
        <w:t xml:space="preserve"> </w:t>
      </w:r>
      <w:r w:rsidRPr="00C51EE2">
        <w:t>thrombopoietin receptor agonist, SB-497115-GR (eltrombopag), when administered</w:t>
      </w:r>
      <w:r>
        <w:t xml:space="preserve"> </w:t>
      </w:r>
      <w:r w:rsidRPr="00C51EE2">
        <w:t>as 30, 50, and 7</w:t>
      </w:r>
      <w:r w:rsidR="00EC097A">
        <w:t>5 mg</w:t>
      </w:r>
      <w:r w:rsidRPr="00C51EE2">
        <w:t xml:space="preserve"> once daily for 16 weeks in subjects with chronic hepatitis C-related</w:t>
      </w:r>
      <w:r>
        <w:t xml:space="preserve"> </w:t>
      </w:r>
      <w:r w:rsidRPr="00C51EE2">
        <w:t>thrombocytopenia who are potential candidates for antiviral treatment with pegylated</w:t>
      </w:r>
      <w:r>
        <w:t xml:space="preserve"> </w:t>
      </w:r>
      <w:r w:rsidRPr="00C51EE2">
        <w:t>interferon and ribavirin</w:t>
      </w:r>
      <w:r>
        <w:t>. A total of 74 subjects were enrolled, despite the statistical plan allowing for 160 subjects. No rationale for this was stated and only limited information on this study was provided. E</w:t>
      </w:r>
      <w:r w:rsidRPr="00923E9A">
        <w:t>ltrombopag increased</w:t>
      </w:r>
      <w:r>
        <w:t xml:space="preserve"> </w:t>
      </w:r>
      <w:r w:rsidRPr="00923E9A">
        <w:t xml:space="preserve">platelet counts to </w:t>
      </w:r>
      <w:r w:rsidR="00EB0442">
        <w:t>≥</w:t>
      </w:r>
      <w:r w:rsidRPr="00923E9A">
        <w:t>100Gi/L at Week 4 in a dose-dependent manner; 0/18 (0%, placebo),</w:t>
      </w:r>
      <w:r>
        <w:t xml:space="preserve"> </w:t>
      </w:r>
      <w:r w:rsidRPr="00923E9A">
        <w:t>9/12 (75%, 3</w:t>
      </w:r>
      <w:r w:rsidR="00EC097A">
        <w:t>0 mg</w:t>
      </w:r>
      <w:r w:rsidRPr="00923E9A">
        <w:t>), 15/19 (79%, 5</w:t>
      </w:r>
      <w:r w:rsidR="00EC097A">
        <w:t>0 mg</w:t>
      </w:r>
      <w:r w:rsidRPr="00923E9A">
        <w:t>) and 20/21 (95%, 7</w:t>
      </w:r>
      <w:r w:rsidR="00EC097A">
        <w:t>5 mg</w:t>
      </w:r>
      <w:r w:rsidRPr="00923E9A">
        <w:t>) evaluable subjects</w:t>
      </w:r>
      <w:r>
        <w:t xml:space="preserve"> </w:t>
      </w:r>
      <w:r w:rsidRPr="00923E9A">
        <w:t>achieved the primary endpoint (p&lt;0.0001 for treatment effect).</w:t>
      </w:r>
      <w:r>
        <w:t xml:space="preserve">  Given the above statistical limitations, this should be interpreted with caution.</w:t>
      </w:r>
    </w:p>
    <w:p w:rsidR="00C22678" w:rsidRDefault="00C22678" w:rsidP="009E6E04">
      <w:pPr>
        <w:pStyle w:val="Heading2"/>
      </w:pPr>
      <w:bookmarkStart w:id="175" w:name="_Toc376875781"/>
      <w:r>
        <w:t>Clinical safety</w:t>
      </w:r>
      <w:bookmarkEnd w:id="175"/>
    </w:p>
    <w:p w:rsidR="00F74EEE" w:rsidRPr="00F74EEE" w:rsidRDefault="00EB0442" w:rsidP="009E6E04">
      <w:pPr>
        <w:pStyle w:val="Heading3"/>
      </w:pPr>
      <w:bookmarkStart w:id="176" w:name="_Toc376875782"/>
      <w:r>
        <w:t>S</w:t>
      </w:r>
      <w:r w:rsidR="00F74EEE" w:rsidRPr="00F74EEE">
        <w:t>tudies providing evaluable safety data</w:t>
      </w:r>
      <w:bookmarkEnd w:id="176"/>
    </w:p>
    <w:p w:rsidR="00F74EEE" w:rsidRPr="00F74EEE" w:rsidRDefault="00F74EEE" w:rsidP="009E6E04">
      <w:bookmarkStart w:id="177" w:name="_Ref268776745"/>
      <w:r w:rsidRPr="00F74EEE">
        <w:t>The following studies provided evaluable safety data:</w:t>
      </w:r>
    </w:p>
    <w:p w:rsidR="00F74EEE" w:rsidRPr="00F74EEE" w:rsidRDefault="00F74EEE" w:rsidP="009E6E04">
      <w:pPr>
        <w:pStyle w:val="ListBullet"/>
      </w:pPr>
      <w:r w:rsidRPr="00F74EEE">
        <w:t>Pivotal efficacy studies</w:t>
      </w:r>
      <w:bookmarkEnd w:id="177"/>
    </w:p>
    <w:p w:rsidR="00F74EEE" w:rsidRPr="00F74EEE" w:rsidRDefault="00F74EEE" w:rsidP="009E6E04">
      <w:r w:rsidRPr="00F74EEE">
        <w:t>In the pivotal efficacy studies, the following safety data were collected:</w:t>
      </w:r>
    </w:p>
    <w:p w:rsidR="00F74EEE" w:rsidRPr="00F74EEE" w:rsidRDefault="00F74EEE" w:rsidP="009E6E04">
      <w:r w:rsidRPr="00F74EEE">
        <w:t>Assessment of safety and tolerability of eltrombopag in comparison with placebo, as measured by the nature and frequency of adverse events (AEs), laboratory abnormalities, ocular examinations, 12-lead electrocardiograms (ECG).</w:t>
      </w:r>
    </w:p>
    <w:p w:rsidR="00F74EEE" w:rsidRPr="00F74EEE" w:rsidRDefault="00F74EEE" w:rsidP="009E6E04">
      <w:pPr>
        <w:pStyle w:val="ListBullet"/>
      </w:pPr>
      <w:r w:rsidRPr="00F74EEE">
        <w:t>Pivotal studies that assessed safety as a primary outcome</w:t>
      </w:r>
    </w:p>
    <w:p w:rsidR="00F74EEE" w:rsidRPr="00F74EEE" w:rsidRDefault="00F74EEE" w:rsidP="009E6E04">
      <w:r w:rsidRPr="00F74EEE">
        <w:t>Not applicable.</w:t>
      </w:r>
    </w:p>
    <w:p w:rsidR="00F74EEE" w:rsidRPr="00F74EEE" w:rsidRDefault="00F74EEE" w:rsidP="009E6E04">
      <w:pPr>
        <w:pStyle w:val="ListBullet"/>
      </w:pPr>
      <w:r w:rsidRPr="00F74EEE">
        <w:t>Dose-response and non-pivotal efficacy studies</w:t>
      </w:r>
    </w:p>
    <w:p w:rsidR="00F74EEE" w:rsidRPr="00F74EEE" w:rsidRDefault="00F74EEE" w:rsidP="009E6E04">
      <w:r w:rsidRPr="00F74EEE">
        <w:t>The dose-response and non-pivotal efficacy studies provided safety data, as follows:</w:t>
      </w:r>
    </w:p>
    <w:p w:rsidR="00F74EEE" w:rsidRPr="00F74EEE" w:rsidRDefault="00F74EEE" w:rsidP="009E6E04">
      <w:r w:rsidRPr="00F74EEE">
        <w:t>Study TPL 102357 provided data on monitoring of adverse events and laboratory analyses performed throughout the course of the study, including complete blood counts with differentials, blood chemistries, urinalysis, electrocardiograms, vital signs, spleen examinations and qualitative and quantitative toxicities associated with this treatment regimen. Ocular examinations were completed throughout the study. Subjects completed a follow-up visit 4 weeks after the last eltrombopag dose. Subjects were also followed up 6 months post last dose of study medication for assessment of any ocular changes. In addition, blood samples were collected for pharmacokinetic analysis.</w:t>
      </w:r>
    </w:p>
    <w:p w:rsidR="00F74EEE" w:rsidRPr="00F74EEE" w:rsidRDefault="00F74EEE" w:rsidP="009E6E04">
      <w:pPr>
        <w:pStyle w:val="ListBullet"/>
      </w:pPr>
      <w:r w:rsidRPr="00F74EEE">
        <w:t>Other studies evaluable for safety only</w:t>
      </w:r>
    </w:p>
    <w:p w:rsidR="00F74EEE" w:rsidRPr="00F74EEE" w:rsidRDefault="00F74EEE" w:rsidP="009E6E04">
      <w:r w:rsidRPr="00F74EEE">
        <w:t>Not applicable.</w:t>
      </w:r>
    </w:p>
    <w:p w:rsidR="00F74EEE" w:rsidRPr="00F74EEE" w:rsidRDefault="00F74EEE" w:rsidP="009E6E04">
      <w:pPr>
        <w:pStyle w:val="Heading3"/>
      </w:pPr>
      <w:bookmarkStart w:id="178" w:name="_Ref269204367"/>
      <w:bookmarkStart w:id="179" w:name="_Ref271195835"/>
      <w:bookmarkStart w:id="180" w:name="_Ref271195841"/>
      <w:bookmarkStart w:id="181" w:name="_Toc272414660"/>
      <w:bookmarkStart w:id="182" w:name="_Toc290846285"/>
      <w:bookmarkStart w:id="183" w:name="_Toc290888822"/>
      <w:bookmarkStart w:id="184" w:name="_Toc376875783"/>
      <w:r w:rsidRPr="00F74EEE">
        <w:t>Pivotal studies that assessed safety as a primary outcome</w:t>
      </w:r>
      <w:bookmarkEnd w:id="178"/>
      <w:bookmarkEnd w:id="179"/>
      <w:bookmarkEnd w:id="180"/>
      <w:bookmarkEnd w:id="181"/>
      <w:bookmarkEnd w:id="182"/>
      <w:bookmarkEnd w:id="183"/>
      <w:bookmarkEnd w:id="184"/>
    </w:p>
    <w:p w:rsidR="00F74EEE" w:rsidRPr="00F74EEE" w:rsidRDefault="00F74EEE" w:rsidP="009E6E04">
      <w:r w:rsidRPr="00F74EEE">
        <w:t>Not applicable.</w:t>
      </w:r>
    </w:p>
    <w:p w:rsidR="00F74EEE" w:rsidRDefault="00F74EEE" w:rsidP="009E6E04">
      <w:pPr>
        <w:pStyle w:val="Heading3"/>
      </w:pPr>
      <w:bookmarkStart w:id="185" w:name="_Toc241374318"/>
      <w:bookmarkStart w:id="186" w:name="_Ref271196630"/>
      <w:bookmarkStart w:id="187" w:name="_Toc272414662"/>
      <w:bookmarkStart w:id="188" w:name="_Toc290846300"/>
      <w:bookmarkStart w:id="189" w:name="_Toc290888837"/>
      <w:bookmarkStart w:id="190" w:name="_Toc376875784"/>
      <w:r w:rsidRPr="00F74EEE">
        <w:t>Patient exposure</w:t>
      </w:r>
      <w:bookmarkEnd w:id="185"/>
      <w:bookmarkEnd w:id="186"/>
      <w:bookmarkEnd w:id="187"/>
      <w:bookmarkEnd w:id="188"/>
      <w:bookmarkEnd w:id="189"/>
      <w:bookmarkEnd w:id="190"/>
    </w:p>
    <w:p w:rsidR="00EB0442" w:rsidRPr="00EB0442" w:rsidRDefault="00EB0442" w:rsidP="009E6E04">
      <w:pPr>
        <w:pStyle w:val="TableTitle"/>
        <w:rPr>
          <w:lang w:eastAsia="ja-JP"/>
        </w:rPr>
      </w:pPr>
      <w:r>
        <w:rPr>
          <w:lang w:eastAsia="ja-JP"/>
        </w:rPr>
        <w:t>Table 13. Tabulation of subjects contributing to the Safety Analysis of eltrombopag.</w:t>
      </w:r>
    </w:p>
    <w:p w:rsidR="00F74EEE" w:rsidRDefault="00F74EEE" w:rsidP="009E6E04">
      <w:r w:rsidRPr="00F74EEE">
        <w:rPr>
          <w:noProof/>
          <w:lang w:eastAsia="en-AU"/>
        </w:rPr>
        <w:drawing>
          <wp:inline distT="0" distB="0" distL="0" distR="0">
            <wp:extent cx="4410075" cy="990600"/>
            <wp:effectExtent l="19050" t="0" r="9525" b="0"/>
            <wp:docPr id="2" name="Picture 17" descr="Table 13. Tabulation of subjects contributing to the Safety Analysis of eltrombo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duotone>
                        <a:prstClr val="black"/>
                        <a:schemeClr val="bg1">
                          <a:tint val="45000"/>
                          <a:satMod val="400000"/>
                        </a:schemeClr>
                      </a:duotone>
                      <a:lum bright="-11000" contrast="25000"/>
                    </a:blip>
                    <a:srcRect l="1053" t="24490" r="1474" b="4762"/>
                    <a:stretch>
                      <a:fillRect/>
                    </a:stretch>
                  </pic:blipFill>
                  <pic:spPr bwMode="auto">
                    <a:xfrm>
                      <a:off x="0" y="0"/>
                      <a:ext cx="4410075" cy="990600"/>
                    </a:xfrm>
                    <a:prstGeom prst="rect">
                      <a:avLst/>
                    </a:prstGeom>
                    <a:noFill/>
                    <a:ln w="9525">
                      <a:noFill/>
                      <a:miter lim="800000"/>
                      <a:headEnd/>
                      <a:tailEnd/>
                    </a:ln>
                  </pic:spPr>
                </pic:pic>
              </a:graphicData>
            </a:graphic>
          </wp:inline>
        </w:drawing>
      </w:r>
    </w:p>
    <w:p w:rsidR="00EB0442" w:rsidRPr="00F74EEE" w:rsidRDefault="00EB0442" w:rsidP="009E6E04">
      <w:pPr>
        <w:pStyle w:val="TableTitle"/>
      </w:pPr>
      <w:r>
        <w:t>Table 14. Description and dosing of studies evaluating eltrombopag therapy in HCV.</w:t>
      </w:r>
    </w:p>
    <w:p w:rsidR="00F74EEE" w:rsidRDefault="00F74EEE" w:rsidP="009E6E04">
      <w:r w:rsidRPr="00F74EEE">
        <w:rPr>
          <w:noProof/>
          <w:lang w:eastAsia="en-AU"/>
        </w:rPr>
        <w:drawing>
          <wp:inline distT="0" distB="0" distL="0" distR="0">
            <wp:extent cx="4352925" cy="5476875"/>
            <wp:effectExtent l="19050" t="0" r="9525" b="0"/>
            <wp:docPr id="24" name="Picture 18" descr="Table 14. Description and dosing of studies evaluating eltrombopag therapy in H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duotone>
                        <a:prstClr val="black"/>
                        <a:schemeClr val="bg1">
                          <a:tint val="45000"/>
                          <a:satMod val="400000"/>
                        </a:schemeClr>
                      </a:duotone>
                      <a:lum bright="-13000" contrast="48000"/>
                    </a:blip>
                    <a:srcRect l="2141" t="6090" b="1763"/>
                    <a:stretch>
                      <a:fillRect/>
                    </a:stretch>
                  </pic:blipFill>
                  <pic:spPr bwMode="auto">
                    <a:xfrm>
                      <a:off x="0" y="0"/>
                      <a:ext cx="4352925" cy="5476875"/>
                    </a:xfrm>
                    <a:prstGeom prst="rect">
                      <a:avLst/>
                    </a:prstGeom>
                    <a:noFill/>
                    <a:ln w="9525">
                      <a:noFill/>
                      <a:miter lim="800000"/>
                      <a:headEnd/>
                      <a:tailEnd/>
                    </a:ln>
                  </pic:spPr>
                </pic:pic>
              </a:graphicData>
            </a:graphic>
          </wp:inline>
        </w:drawing>
      </w:r>
    </w:p>
    <w:p w:rsidR="00EB0442" w:rsidRPr="00F74EEE" w:rsidRDefault="00EB0442" w:rsidP="009E6E04">
      <w:pPr>
        <w:pStyle w:val="TableTitle"/>
      </w:pPr>
      <w:r>
        <w:t>Table 15. Safety populations</w:t>
      </w:r>
    </w:p>
    <w:p w:rsidR="00F74EEE" w:rsidRPr="00F74EEE" w:rsidRDefault="00F74EEE" w:rsidP="009E6E04">
      <w:r w:rsidRPr="00F74EEE">
        <w:rPr>
          <w:noProof/>
          <w:lang w:eastAsia="en-AU"/>
        </w:rPr>
        <w:drawing>
          <wp:inline distT="0" distB="0" distL="0" distR="0">
            <wp:extent cx="4381500" cy="1476375"/>
            <wp:effectExtent l="19050" t="0" r="0" b="0"/>
            <wp:docPr id="25" name="Picture 19" descr="Table 15.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duotone>
                        <a:prstClr val="black"/>
                        <a:schemeClr val="bg1">
                          <a:tint val="45000"/>
                          <a:satMod val="400000"/>
                        </a:schemeClr>
                      </a:duotone>
                      <a:lum bright="-16000" contrast="55000"/>
                    </a:blip>
                    <a:srcRect l="1053" t="13408" r="2105"/>
                    <a:stretch>
                      <a:fillRect/>
                    </a:stretch>
                  </pic:blipFill>
                  <pic:spPr bwMode="auto">
                    <a:xfrm>
                      <a:off x="0" y="0"/>
                      <a:ext cx="4381500" cy="1476375"/>
                    </a:xfrm>
                    <a:prstGeom prst="rect">
                      <a:avLst/>
                    </a:prstGeom>
                    <a:noFill/>
                    <a:ln w="9525">
                      <a:noFill/>
                      <a:miter lim="800000"/>
                      <a:headEnd/>
                      <a:tailEnd/>
                    </a:ln>
                  </pic:spPr>
                </pic:pic>
              </a:graphicData>
            </a:graphic>
          </wp:inline>
        </w:drawing>
      </w:r>
    </w:p>
    <w:p w:rsidR="00F74EEE" w:rsidRPr="00F74EEE" w:rsidRDefault="00F74EEE" w:rsidP="00955D0F">
      <w:pPr>
        <w:pStyle w:val="Heading3"/>
      </w:pPr>
      <w:bookmarkStart w:id="191" w:name="_Toc241374319"/>
      <w:bookmarkStart w:id="192" w:name="_Ref271044764"/>
      <w:bookmarkStart w:id="193" w:name="_Toc272414663"/>
      <w:bookmarkStart w:id="194" w:name="_Toc290846301"/>
      <w:bookmarkStart w:id="195" w:name="_Toc290888838"/>
      <w:bookmarkStart w:id="196" w:name="_Toc376875785"/>
      <w:r w:rsidRPr="00F74EEE">
        <w:t>Adverse events</w:t>
      </w:r>
      <w:bookmarkEnd w:id="191"/>
      <w:bookmarkEnd w:id="192"/>
      <w:bookmarkEnd w:id="193"/>
      <w:bookmarkEnd w:id="194"/>
      <w:bookmarkEnd w:id="195"/>
      <w:bookmarkEnd w:id="196"/>
    </w:p>
    <w:p w:rsidR="00F74EEE" w:rsidRPr="00F74EEE" w:rsidRDefault="00F74EEE" w:rsidP="00955D0F">
      <w:pPr>
        <w:pStyle w:val="Heading4"/>
      </w:pPr>
      <w:bookmarkStart w:id="197" w:name="_Ref272317284"/>
      <w:bookmarkStart w:id="198" w:name="_Ref272333565"/>
      <w:bookmarkStart w:id="199" w:name="_Toc272414664"/>
      <w:bookmarkStart w:id="200" w:name="_Toc290846302"/>
      <w:bookmarkStart w:id="201" w:name="_Toc290888839"/>
      <w:r w:rsidRPr="00F74EEE">
        <w:t>All adverse events (irrespective of relationship to study treatment)</w:t>
      </w:r>
      <w:bookmarkEnd w:id="197"/>
      <w:bookmarkEnd w:id="198"/>
      <w:bookmarkEnd w:id="199"/>
      <w:bookmarkEnd w:id="200"/>
      <w:bookmarkEnd w:id="201"/>
    </w:p>
    <w:p w:rsidR="00F74EEE" w:rsidRPr="00F74EEE" w:rsidRDefault="00F74EEE" w:rsidP="00955D0F">
      <w:pPr>
        <w:pStyle w:val="Heading5"/>
      </w:pPr>
      <w:r w:rsidRPr="00F74EEE">
        <w:t>Pivotal studies</w:t>
      </w:r>
    </w:p>
    <w:p w:rsidR="00F74EEE" w:rsidRDefault="00F74EEE" w:rsidP="009E6E04">
      <w:r w:rsidRPr="00F74EEE">
        <w:t xml:space="preserve">In the OL Phase, headache was the only AE that occurred in </w:t>
      </w:r>
      <w:r w:rsidR="00955D0F">
        <w:t>≥</w:t>
      </w:r>
      <w:r w:rsidRPr="00F74EEE">
        <w:t xml:space="preserve">5% of subjects. The incidence of AEs in the on-treatment plus 30 days follow-up period was similar between the treatment groups. The most common AEs included anaemia, neutropaenia, pyrexia, fatigue, headache, nausea, diarrhoea, decreased appetite and influenza like illness. The distribution of AEs by maximum </w:t>
      </w:r>
      <w:r w:rsidR="00B90940" w:rsidRPr="00B90940">
        <w:t xml:space="preserve">Division of Acquired Immunodeficiency Syndrome </w:t>
      </w:r>
      <w:r w:rsidR="00B90940">
        <w:t>(</w:t>
      </w:r>
      <w:r w:rsidRPr="00F74EEE">
        <w:t>DAIDS</w:t>
      </w:r>
      <w:r w:rsidR="00B90940">
        <w:t>)</w:t>
      </w:r>
      <w:r w:rsidRPr="00F74EEE">
        <w:t xml:space="preserve"> Grade was similar between treatment groups, although the proportion of subjects reporting maximum Grade 3/Grade 4 AEs up to 30 days post-treatment was 5% higher on placebo (54%) than on eltrombopag (49%). This difference was mainly due to Grade 3/Grade 4 events of thrombocytopenia (placebo: 27%; eltrombopag: 5%) Results are included below.</w:t>
      </w:r>
    </w:p>
    <w:p w:rsidR="00955D0F" w:rsidRPr="00F74EEE" w:rsidRDefault="00955D0F" w:rsidP="009E6E04">
      <w:pPr>
        <w:pStyle w:val="TableTitle"/>
      </w:pPr>
      <w:r>
        <w:t>Table 16. Adverse events on-treatment plus 30 days follow-up occurring in 10% or more subjects in the eltrombopag group and higher than placebo group (Safety DB population).</w:t>
      </w:r>
    </w:p>
    <w:p w:rsidR="00F74EEE" w:rsidRPr="00F74EEE" w:rsidRDefault="00F74EEE" w:rsidP="009E6E04">
      <w:r w:rsidRPr="00F74EEE">
        <w:rPr>
          <w:noProof/>
          <w:lang w:eastAsia="en-AU"/>
        </w:rPr>
        <w:drawing>
          <wp:inline distT="0" distB="0" distL="0" distR="0">
            <wp:extent cx="4591050" cy="2886075"/>
            <wp:effectExtent l="19050" t="0" r="0" b="0"/>
            <wp:docPr id="26" name="Picture 20" descr="Table 16. Adverse events on-treatment plus 30 days follow-up occurring in 10% or more subjects in the eltrombopag group and higher than placebo group (Safety DB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lum bright="-21000" contrast="46000"/>
                    </a:blip>
                    <a:srcRect t="13673" r="2033" b="5094"/>
                    <a:stretch>
                      <a:fillRect/>
                    </a:stretch>
                  </pic:blipFill>
                  <pic:spPr bwMode="auto">
                    <a:xfrm>
                      <a:off x="0" y="0"/>
                      <a:ext cx="4591050" cy="2886075"/>
                    </a:xfrm>
                    <a:prstGeom prst="rect">
                      <a:avLst/>
                    </a:prstGeom>
                    <a:noFill/>
                    <a:ln w="9525">
                      <a:noFill/>
                      <a:miter lim="800000"/>
                      <a:headEnd/>
                      <a:tailEnd/>
                    </a:ln>
                  </pic:spPr>
                </pic:pic>
              </a:graphicData>
            </a:graphic>
          </wp:inline>
        </w:drawing>
      </w:r>
    </w:p>
    <w:p w:rsidR="00F74EEE" w:rsidRPr="00F74EEE" w:rsidRDefault="00F74EEE" w:rsidP="00BB1D82">
      <w:pPr>
        <w:pStyle w:val="Heading5"/>
      </w:pPr>
      <w:r w:rsidRPr="00F74EEE">
        <w:t>Other studies</w:t>
      </w:r>
    </w:p>
    <w:p w:rsidR="00F74EEE" w:rsidRPr="00F74EEE" w:rsidRDefault="00F74EEE" w:rsidP="0060276D">
      <w:r w:rsidRPr="00F74EEE">
        <w:t>The overall incidence of adverse events for TPL102357 (including both Parts 1 and 2 and the follow-up period</w:t>
      </w:r>
      <w:r w:rsidR="00955D0F">
        <w:t xml:space="preserve">) was higher in the eltrombopag </w:t>
      </w:r>
      <w:r w:rsidRPr="00F74EEE">
        <w:t>treatment groups than in the placebo</w:t>
      </w:r>
      <w:r w:rsidR="00955D0F">
        <w:t xml:space="preserve"> </w:t>
      </w:r>
      <w:r w:rsidRPr="00F74EEE">
        <w:t>treatment group. In Part 1, the incidence of adverse events was similar across all 4 treatment groups. The most frequently occurring adverse events occurring with eltrombopag during Part 1 of the study were headache, dry mouth, upper abdominal pain and nausea, which were predominantly of mild severity. None of the adverse events occurred in a dose-dependent manner. In the antiviral phase, adverse events were consistent with those associated with peginterferon-based therapy.</w:t>
      </w:r>
    </w:p>
    <w:p w:rsidR="00F74EEE" w:rsidRPr="00F74EEE" w:rsidRDefault="00F74EEE" w:rsidP="0060276D">
      <w:pPr>
        <w:pStyle w:val="Heading4"/>
      </w:pPr>
      <w:bookmarkStart w:id="202" w:name="_Toc241374320"/>
      <w:bookmarkStart w:id="203" w:name="_Ref272333507"/>
      <w:bookmarkStart w:id="204" w:name="_Toc272414666"/>
      <w:bookmarkStart w:id="205" w:name="_Toc290846304"/>
      <w:bookmarkStart w:id="206" w:name="_Toc290888841"/>
      <w:r w:rsidRPr="00F74EEE">
        <w:t>Deaths and other serious adverse events</w:t>
      </w:r>
      <w:bookmarkEnd w:id="202"/>
      <w:bookmarkEnd w:id="203"/>
      <w:bookmarkEnd w:id="204"/>
      <w:bookmarkEnd w:id="205"/>
      <w:bookmarkEnd w:id="206"/>
    </w:p>
    <w:p w:rsidR="00F74EEE" w:rsidRPr="00F74EEE" w:rsidRDefault="00F74EEE" w:rsidP="0060276D">
      <w:pPr>
        <w:pStyle w:val="Heading5"/>
      </w:pPr>
      <w:r w:rsidRPr="00F74EEE">
        <w:t>Pivotal studies</w:t>
      </w:r>
    </w:p>
    <w:p w:rsidR="00F74EEE" w:rsidRPr="00F74EEE" w:rsidRDefault="00F74EEE" w:rsidP="0060276D">
      <w:r w:rsidRPr="00F74EEE">
        <w:t xml:space="preserve">There were 2 AEs reported during the OL Phase with a fatal outcome: one subject with </w:t>
      </w:r>
      <w:proofErr w:type="spellStart"/>
      <w:r w:rsidRPr="00F74EEE">
        <w:t>hepatorenal</w:t>
      </w:r>
      <w:proofErr w:type="spellEnd"/>
      <w:r w:rsidRPr="00F74EEE">
        <w:t xml:space="preserve"> syndrome died on Day 46 of treatment and one subject died from a hepatic neoplasm more than one year after study completion. Both events were considered unrelated to eltrombopag.</w:t>
      </w:r>
    </w:p>
    <w:p w:rsidR="00F74EEE" w:rsidRPr="00F74EEE" w:rsidRDefault="00F74EEE" w:rsidP="0060276D">
      <w:r w:rsidRPr="00F74EEE">
        <w:t xml:space="preserve">In the DB phase, there was a 3% incidence of death in the placebo group in ENABLE 1, compared to 2% in the eltrombopag arm. In ENABLE 2, there was a 2% incidence of death in the placebo group, compared to 4% in the eltrombopag group. For the pooled data from the 2 Phase III studies, 39 subjects (3%) with 57 fatal AEs died during the on-treatment plus 6 months follow-up period: 10 (2%) in the placebo group and 29 (3%) in the eltrombopag group. Of these, 8 of the subjects in the placebo group (80%) and 22 of the subjects in the eltrombopag group (76%) had a baseline MELD score </w:t>
      </w:r>
      <w:r w:rsidR="00955D0F">
        <w:t>≥</w:t>
      </w:r>
      <w:r w:rsidRPr="00F74EEE">
        <w:t xml:space="preserve">10. The most common causes of death in both treatment groups for both studies were events suggestive of hepatic decompensation, such as hepatic failure, </w:t>
      </w:r>
      <w:proofErr w:type="spellStart"/>
      <w:r w:rsidRPr="00F74EEE">
        <w:t>variceal</w:t>
      </w:r>
      <w:proofErr w:type="spellEnd"/>
      <w:r w:rsidRPr="00F74EEE">
        <w:t xml:space="preserve"> bleeding, </w:t>
      </w:r>
      <w:proofErr w:type="spellStart"/>
      <w:r w:rsidRPr="00F74EEE">
        <w:t>ascites</w:t>
      </w:r>
      <w:proofErr w:type="spellEnd"/>
      <w:r w:rsidRPr="00F74EEE">
        <w:t xml:space="preserve">, </w:t>
      </w:r>
      <w:r w:rsidR="00955D0F">
        <w:t>gastrointestinal (</w:t>
      </w:r>
      <w:r w:rsidRPr="00F74EEE">
        <w:t>GI</w:t>
      </w:r>
      <w:r w:rsidR="00955D0F">
        <w:t>)</w:t>
      </w:r>
      <w:r w:rsidRPr="00F74EEE">
        <w:t xml:space="preserve"> bleeding and infections. Seven placebo</w:t>
      </w:r>
      <w:r w:rsidR="00955D0F">
        <w:t xml:space="preserve"> </w:t>
      </w:r>
      <w:r w:rsidRPr="00F74EEE">
        <w:t xml:space="preserve">treated subjects (1%) and </w:t>
      </w:r>
      <w:r w:rsidR="00955D0F">
        <w:t xml:space="preserve">23 eltrombopag </w:t>
      </w:r>
      <w:r w:rsidRPr="00F74EEE">
        <w:t xml:space="preserve">treated subjects (2%) had AEs with fatal outcome that started during the on-treatment plus 30 days timeframe. Most of these deaths (62%) were not related to any IP and only 1 death was considered related solely to DB treatment. The incidence of deaths, taking into account the observation time, was similar between both treatment arms (placebo: 2.3/100 patient years, 95% CI [0.88,3.72]; eltrombopag: 2.93/100 patient years, 95% CI [1.86,4.00]). Furthermore, in the HCV genotype 2/3 subgroup, for which the treatment duration was very similar between the treatment groups (about 6 months), the death rates were similar (placebo: 3%; eltrombopag: 2%). </w:t>
      </w:r>
    </w:p>
    <w:p w:rsidR="00F74EEE" w:rsidRPr="00F74EEE" w:rsidRDefault="00F74EEE" w:rsidP="0060276D">
      <w:r w:rsidRPr="00F74EEE">
        <w:t>For other SAE, seventeen subjects (1%) reported 18 SAEs during the OL Phase. The only SAEs that occurred in more than 1 subject were malignant hepatic neoplasm (3 subjects) and pneumonia (2 subjects).There was a 5% higher incidence of SAEs in the eltrombopag group (20%) compared</w:t>
      </w:r>
      <w:r w:rsidR="00955D0F">
        <w:t xml:space="preserve"> </w:t>
      </w:r>
      <w:r w:rsidRPr="00F74EEE">
        <w:t xml:space="preserve">with the placebo group (15%) in the on-treatment plus 30 days follow-up period, for both of the ENABLE studies and also for the pooled data set. The most common SAE in both treatment groups was hepatic neoplasms. SAEs related to the </w:t>
      </w:r>
      <w:r w:rsidR="00955D0F">
        <w:t>G</w:t>
      </w:r>
      <w:r w:rsidRPr="00F74EEE">
        <w:t xml:space="preserve">astrointestinal (GI) and </w:t>
      </w:r>
      <w:r w:rsidR="00955D0F">
        <w:t>H</w:t>
      </w:r>
      <w:r w:rsidRPr="00F74EEE">
        <w:t xml:space="preserve">epatobiliary disorders system organ classes (SOC) occurred </w:t>
      </w:r>
      <w:r w:rsidR="00955D0F">
        <w:t>≥</w:t>
      </w:r>
      <w:r w:rsidRPr="00F74EEE">
        <w:t>2% more frequently in the eltrombopag group compared with the placebo group. SAEs related to GI disorders occurred in 6% of eltrombopag subjects and</w:t>
      </w:r>
      <w:r w:rsidR="00955D0F">
        <w:t xml:space="preserve"> </w:t>
      </w:r>
      <w:r w:rsidRPr="00F74EEE">
        <w:t xml:space="preserve">4% of placebo subjects; SAEs related to </w:t>
      </w:r>
      <w:r w:rsidR="00955D0F">
        <w:t>H</w:t>
      </w:r>
      <w:r w:rsidRPr="00F74EEE">
        <w:t>epatobiliary disorders occurred in 3% of eltrombopag subjects and &lt;1% of placebo subjects. All other SAEs by SOC occurred at differences of 1% or less between treatment groups. When SAEs were analy</w:t>
      </w:r>
      <w:r w:rsidR="00955D0F">
        <w:t>s</w:t>
      </w:r>
      <w:r w:rsidRPr="00F74EEE">
        <w:t>ed based on observation time (on-treatment plus 30 days), the incidence rates (IR) were similar between the treatment groups (placebo: 28.76/100 PY, CI [22.12, 35.40]; eltrombopag: 31.47/100 PY, CI [26.98, 35.96]). A summary of SAE appears below.</w:t>
      </w:r>
    </w:p>
    <w:p w:rsidR="00F74EEE" w:rsidRPr="00F74EEE" w:rsidRDefault="00955D0F" w:rsidP="0060276D">
      <w:pPr>
        <w:pStyle w:val="TableTitle"/>
      </w:pPr>
      <w:r>
        <w:t>Table 17. Serious Adverse Events on-treatment plus 30 days follow-up during DB Phase in 0.5% or more if subjects in either treatment group (Safety DB Population).</w:t>
      </w:r>
    </w:p>
    <w:p w:rsidR="00F74EEE" w:rsidRPr="00F74EEE" w:rsidRDefault="00F74EEE" w:rsidP="0060276D">
      <w:r w:rsidRPr="00F74EEE">
        <w:rPr>
          <w:noProof/>
          <w:lang w:eastAsia="en-AU"/>
        </w:rPr>
        <w:drawing>
          <wp:inline distT="0" distB="0" distL="0" distR="0">
            <wp:extent cx="4476750" cy="2362200"/>
            <wp:effectExtent l="19050" t="0" r="0" b="0"/>
            <wp:docPr id="27" name="Picture 21" descr="Table 17. Serious Adverse Events on-treatment plus 30 days follow-up during DB Phase in 0.5% or more if subjects in either treatment group (Safety DB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duotone>
                        <a:prstClr val="black"/>
                        <a:schemeClr val="bg1">
                          <a:tint val="45000"/>
                          <a:satMod val="400000"/>
                        </a:schemeClr>
                      </a:duotone>
                    </a:blip>
                    <a:srcRect t="16772" b="4747"/>
                    <a:stretch>
                      <a:fillRect/>
                    </a:stretch>
                  </pic:blipFill>
                  <pic:spPr bwMode="auto">
                    <a:xfrm>
                      <a:off x="0" y="0"/>
                      <a:ext cx="4476750" cy="2362200"/>
                    </a:xfrm>
                    <a:prstGeom prst="rect">
                      <a:avLst/>
                    </a:prstGeom>
                    <a:noFill/>
                    <a:ln w="9525">
                      <a:noFill/>
                      <a:miter lim="800000"/>
                      <a:headEnd/>
                      <a:tailEnd/>
                    </a:ln>
                  </pic:spPr>
                </pic:pic>
              </a:graphicData>
            </a:graphic>
          </wp:inline>
        </w:drawing>
      </w:r>
    </w:p>
    <w:p w:rsidR="00F74EEE" w:rsidRPr="00F74EEE" w:rsidRDefault="00F74EEE" w:rsidP="0060276D">
      <w:pPr>
        <w:pStyle w:val="Heading5"/>
      </w:pPr>
      <w:r w:rsidRPr="00F74EEE">
        <w:t>Other studies</w:t>
      </w:r>
    </w:p>
    <w:p w:rsidR="00F74EEE" w:rsidRPr="00F74EEE" w:rsidRDefault="00F74EEE" w:rsidP="0060276D">
      <w:r w:rsidRPr="00F74EEE">
        <w:t>In TPL102357, one deat</w:t>
      </w:r>
      <w:r w:rsidR="00955D0F">
        <w:t>h occurred in a subject randomis</w:t>
      </w:r>
      <w:r w:rsidRPr="00F74EEE">
        <w:t>ed to treatment with placebo. The death was associated with serious adverse events (SAEs) of abdominal pain and renal failure. The investigator considered the death unrelated to study medication. Other SAEs that occurred during the treatment phase of the study included thrombocytopenia (3</w:t>
      </w:r>
      <w:r w:rsidR="00EC097A">
        <w:t>0 mg</w:t>
      </w:r>
      <w:r w:rsidRPr="00F74EEE">
        <w:t xml:space="preserve"> treatment group) during the antiviral phase, ascites (3</w:t>
      </w:r>
      <w:r w:rsidR="00EC097A">
        <w:t>0 mg</w:t>
      </w:r>
      <w:r w:rsidRPr="00F74EEE">
        <w:t xml:space="preserve"> treatment group) during the antiviral phase and retinal exudates (7</w:t>
      </w:r>
      <w:r w:rsidR="00EC097A">
        <w:t>5 mg</w:t>
      </w:r>
      <w:r w:rsidRPr="00F74EEE">
        <w:t xml:space="preserve"> treatment group) during the antiviral phase. Neither the ascites nor the retinal exudates were considered by the investigator as related to study medication administration. During the post-treatment follow-up period, 2 subjects had SAEs of cataracts (3</w:t>
      </w:r>
      <w:r w:rsidR="00EC097A">
        <w:t>0 mg</w:t>
      </w:r>
      <w:r w:rsidRPr="00F74EEE">
        <w:t xml:space="preserve"> and 7</w:t>
      </w:r>
      <w:r w:rsidR="00EC097A">
        <w:t>5 mg</w:t>
      </w:r>
      <w:r w:rsidRPr="00F74EEE">
        <w:t xml:space="preserve"> treatment groups) and one subject had an SAE of myositis (5</w:t>
      </w:r>
      <w:r w:rsidR="00EC097A">
        <w:t>0 mg</w:t>
      </w:r>
      <w:r w:rsidRPr="00F74EEE">
        <w:t xml:space="preserve"> treatment group).</w:t>
      </w:r>
    </w:p>
    <w:p w:rsidR="00F74EEE" w:rsidRPr="00F74EEE" w:rsidRDefault="00F74EEE" w:rsidP="0060276D">
      <w:pPr>
        <w:pStyle w:val="Heading4"/>
      </w:pPr>
      <w:bookmarkStart w:id="207" w:name="_Toc241374325"/>
      <w:bookmarkStart w:id="208" w:name="_Ref272333477"/>
      <w:bookmarkStart w:id="209" w:name="_Toc272414667"/>
      <w:bookmarkStart w:id="210" w:name="_Toc290846305"/>
      <w:bookmarkStart w:id="211" w:name="_Toc290888842"/>
      <w:r w:rsidRPr="00F74EEE">
        <w:t>Discontinuation due to adverse events</w:t>
      </w:r>
      <w:bookmarkEnd w:id="207"/>
      <w:bookmarkEnd w:id="208"/>
      <w:bookmarkEnd w:id="209"/>
      <w:bookmarkEnd w:id="210"/>
      <w:bookmarkEnd w:id="211"/>
    </w:p>
    <w:p w:rsidR="00F74EEE" w:rsidRPr="00F74EEE" w:rsidRDefault="00F74EEE" w:rsidP="00955D0F">
      <w:pPr>
        <w:pStyle w:val="Heading5"/>
      </w:pPr>
      <w:r w:rsidRPr="00F74EEE">
        <w:t>Pivotal studies</w:t>
      </w:r>
    </w:p>
    <w:p w:rsidR="00F74EEE" w:rsidRPr="00F74EEE" w:rsidRDefault="00F74EEE" w:rsidP="0060276D">
      <w:r w:rsidRPr="00F74EEE">
        <w:t xml:space="preserve">Fourteen subjects (&lt;1%) reported 27 AEs leading to permanent discontinuation of eltrombopag during the OL Phase. The only events occurring in 2 or more subjects were increased </w:t>
      </w:r>
      <w:r w:rsidR="00955D0F">
        <w:t>alanine aminotransferase (</w:t>
      </w:r>
      <w:r w:rsidRPr="00F74EEE">
        <w:t>ALT</w:t>
      </w:r>
      <w:r w:rsidR="00955D0F">
        <w:t>)</w:t>
      </w:r>
      <w:r w:rsidRPr="00F74EEE">
        <w:t xml:space="preserve">, increased </w:t>
      </w:r>
      <w:r w:rsidR="00955D0F">
        <w:t>aspartate aminotransferase (</w:t>
      </w:r>
      <w:r w:rsidRPr="00F74EEE">
        <w:t>AST</w:t>
      </w:r>
      <w:r w:rsidR="00955D0F">
        <w:t>)</w:t>
      </w:r>
      <w:r w:rsidRPr="00F74EEE">
        <w:t xml:space="preserve"> and peripheral oedema. During the DB phase, a greater proportion of placebo subjects (29%) discontinued investigational product due to an AE compared with eltrombopag treated subjects (22%). The difference was mainly due to events of thrombocytopenia. Other haematological toxicities, which are expected with antiviral treatment, were the most common reasons for discontinuation in both treatment groups and the incidences were similar across the</w:t>
      </w:r>
      <w:r w:rsidR="00955D0F">
        <w:t xml:space="preserve"> </w:t>
      </w:r>
      <w:r w:rsidRPr="00F74EEE">
        <w:t>treatment groups. The Phase III studies followed the approved labels for peginterferon and ribavirin for therapy discontinuation due to hematologic toxicities (anaemia, thrombocytopenia, and neutropaenia).</w:t>
      </w:r>
    </w:p>
    <w:p w:rsidR="00F74EEE" w:rsidRPr="00F74EEE" w:rsidRDefault="00F74EEE" w:rsidP="00955D0F">
      <w:pPr>
        <w:pStyle w:val="Heading5"/>
      </w:pPr>
      <w:r w:rsidRPr="00F74EEE">
        <w:t>Other studies</w:t>
      </w:r>
    </w:p>
    <w:p w:rsidR="00F74EEE" w:rsidRPr="00F74EEE" w:rsidRDefault="00F74EEE" w:rsidP="0060276D">
      <w:r w:rsidRPr="00F74EEE">
        <w:t>Limited information only was provided.</w:t>
      </w:r>
    </w:p>
    <w:p w:rsidR="00F74EEE" w:rsidRPr="00F74EEE" w:rsidRDefault="00F74EEE" w:rsidP="00955D0F">
      <w:pPr>
        <w:pStyle w:val="Heading3"/>
      </w:pPr>
      <w:bookmarkStart w:id="212" w:name="_Toc241374321"/>
      <w:bookmarkStart w:id="213" w:name="_Ref271044780"/>
      <w:bookmarkStart w:id="214" w:name="_Ref271196640"/>
      <w:bookmarkStart w:id="215" w:name="_Ref272333085"/>
      <w:bookmarkStart w:id="216" w:name="_Toc272414668"/>
      <w:bookmarkStart w:id="217" w:name="_Toc290846306"/>
      <w:bookmarkStart w:id="218" w:name="_Toc290888843"/>
      <w:bookmarkStart w:id="219" w:name="_Toc376875786"/>
      <w:r w:rsidRPr="00F74EEE">
        <w:t>Laboratory tests</w:t>
      </w:r>
      <w:bookmarkEnd w:id="212"/>
      <w:bookmarkEnd w:id="213"/>
      <w:bookmarkEnd w:id="214"/>
      <w:bookmarkEnd w:id="215"/>
      <w:bookmarkEnd w:id="216"/>
      <w:bookmarkEnd w:id="217"/>
      <w:bookmarkEnd w:id="218"/>
      <w:bookmarkEnd w:id="219"/>
    </w:p>
    <w:p w:rsidR="00F74EEE" w:rsidRPr="00F74EEE" w:rsidRDefault="00F74EEE" w:rsidP="00955D0F">
      <w:pPr>
        <w:pStyle w:val="Heading4"/>
      </w:pPr>
      <w:bookmarkStart w:id="220" w:name="_Toc272414669"/>
      <w:bookmarkStart w:id="221" w:name="_Toc290846307"/>
      <w:bookmarkStart w:id="222" w:name="_Toc290888844"/>
      <w:r w:rsidRPr="00F74EEE">
        <w:t>Liver function</w:t>
      </w:r>
      <w:bookmarkEnd w:id="220"/>
      <w:bookmarkEnd w:id="221"/>
      <w:bookmarkEnd w:id="222"/>
    </w:p>
    <w:p w:rsidR="00F74EEE" w:rsidRPr="00F74EEE" w:rsidRDefault="00F74EEE" w:rsidP="00955D0F">
      <w:pPr>
        <w:pStyle w:val="Heading5"/>
      </w:pPr>
      <w:r w:rsidRPr="00F74EEE">
        <w:t>Pivotal studies</w:t>
      </w:r>
    </w:p>
    <w:p w:rsidR="00F74EEE" w:rsidRPr="00F74EEE" w:rsidRDefault="00F74EEE" w:rsidP="0060276D">
      <w:r w:rsidRPr="00F74EEE">
        <w:t>There was a frequent occurrence of indirect bilirubin elevations observed in ENABLE</w:t>
      </w:r>
      <w:r w:rsidR="00955D0F">
        <w:t xml:space="preserve"> </w:t>
      </w:r>
      <w:r w:rsidRPr="00F74EEE">
        <w:t>study participants receiving eltrombopag.  Eltrombopag is known to inhibit UGT1A1,</w:t>
      </w:r>
      <w:r w:rsidR="00955D0F">
        <w:t xml:space="preserve"> </w:t>
      </w:r>
      <w:r w:rsidRPr="00F74EEE">
        <w:t>the enzyme responsible for glucuronidation of bilirubin in humans. Eltrombopag is also</w:t>
      </w:r>
      <w:r w:rsidR="00955D0F">
        <w:t xml:space="preserve"> </w:t>
      </w:r>
      <w:r w:rsidRPr="00F74EEE">
        <w:t xml:space="preserve">an inhibitor of OATP1B1, which is one of the hepatic transporters for bilirubin. Indirect hyperbilirubinaemia is likely to be exacerbated by co-administration of ribavirin, which also induces haemolytic anaemia in up to 40% of HCV patients receiving antiviral therapy. Consequently, a higher incidence of bilirubin elevations occurred in the eltrombopag group compared to the placebo group. Elevations of direct bilirubin in conjunction with ALT occurred more often in placebo subjects than in the eltrombopag group. </w:t>
      </w:r>
    </w:p>
    <w:p w:rsidR="00F74EEE" w:rsidRDefault="00F74EEE" w:rsidP="0060276D">
      <w:r w:rsidRPr="00F74EEE">
        <w:t>There was no evidence to indicate eltrombopag as a cause for  drug-induced liver toxicity (DILI</w:t>
      </w:r>
      <w:r w:rsidR="00955D0F">
        <w:t>).</w:t>
      </w:r>
      <w:r w:rsidRPr="00F74EEE">
        <w:t xml:space="preserve"> With the exception of bilirubin abnormalities (largely due to increases in indirect bilirubin) the distribution of all other combinations of laboratory abnormalities and the pattern of liver chemistry abnormalities were similar in the treatment groups, despite the longer observation period and the higher doses of antiviral therapy with peginterferon and ribavirin for eltrombopag-treated subjects. Few subjects in either treatment group met the protocol specified criteria for discontinuation of study medication due to liver chemistry elevations during the on-treatment plus 30 days followup period (placebo: 3 subjects; eltrombopag: 3 subjects). Results are included below.</w:t>
      </w:r>
    </w:p>
    <w:p w:rsidR="00955D0F" w:rsidRPr="00F74EEE" w:rsidRDefault="00955D0F" w:rsidP="0060276D">
      <w:pPr>
        <w:pStyle w:val="TableTitle"/>
      </w:pPr>
      <w:r>
        <w:t>Table 18. Hepatobiliary parameters on-treatment plus 30 days follow-up during DB Phase (Safety DB Phase).</w:t>
      </w:r>
    </w:p>
    <w:p w:rsidR="00F74EEE" w:rsidRPr="00F74EEE" w:rsidRDefault="00F74EEE" w:rsidP="00DC2314">
      <w:r w:rsidRPr="00F74EEE">
        <w:rPr>
          <w:noProof/>
          <w:lang w:eastAsia="en-AU"/>
        </w:rPr>
        <w:drawing>
          <wp:inline distT="0" distB="0" distL="0" distR="0">
            <wp:extent cx="4267200" cy="3286125"/>
            <wp:effectExtent l="19050" t="0" r="0" b="0"/>
            <wp:docPr id="28" name="Picture 22" descr="Table 18. Hepatobiliary parameters on-treatment plus 30 days follow-up during DB Phase (Safety DB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duotone>
                        <a:prstClr val="black"/>
                        <a:schemeClr val="bg1">
                          <a:tint val="45000"/>
                          <a:satMod val="400000"/>
                        </a:schemeClr>
                      </a:duotone>
                      <a:lum bright="-9000" contrast="-32000"/>
                    </a:blip>
                    <a:srcRect t="8929" b="3061"/>
                    <a:stretch>
                      <a:fillRect/>
                    </a:stretch>
                  </pic:blipFill>
                  <pic:spPr bwMode="auto">
                    <a:xfrm>
                      <a:off x="0" y="0"/>
                      <a:ext cx="4267200" cy="3286125"/>
                    </a:xfrm>
                    <a:prstGeom prst="rect">
                      <a:avLst/>
                    </a:prstGeom>
                    <a:noFill/>
                    <a:ln w="9525">
                      <a:noFill/>
                      <a:miter lim="800000"/>
                      <a:headEnd/>
                      <a:tailEnd/>
                    </a:ln>
                  </pic:spPr>
                </pic:pic>
              </a:graphicData>
            </a:graphic>
          </wp:inline>
        </w:drawing>
      </w:r>
    </w:p>
    <w:p w:rsidR="00F74EEE" w:rsidRPr="00F74EEE" w:rsidRDefault="00F74EEE" w:rsidP="00F74EEE">
      <w:r w:rsidRPr="00F74EEE">
        <w:t>A 6% higher proportion of subjects experienced an event suggestive of hepatic decompensation in the eltrombopag treatment group compared with the placebo group, particularly events of ascites and hepatic encephalopathy. Compared with the placebo group, a lower proportion of the events in the eltrombopag group were fatal, led to withdrawal of study medication or led to withdrawal from study. A higher proportion of events suggestive of hepatic decompensation were reported as</w:t>
      </w:r>
      <w:r w:rsidR="00B90940">
        <w:t xml:space="preserve"> </w:t>
      </w:r>
      <w:r w:rsidRPr="00F74EEE">
        <w:t xml:space="preserve">resolved in the eltrombopag group. </w:t>
      </w:r>
    </w:p>
    <w:p w:rsidR="00F74EEE" w:rsidRPr="00F74EEE" w:rsidRDefault="00F74EEE" w:rsidP="00DC2314">
      <w:pPr>
        <w:pStyle w:val="Heading5"/>
      </w:pPr>
      <w:r w:rsidRPr="00F74EEE">
        <w:t>Other studies</w:t>
      </w:r>
    </w:p>
    <w:p w:rsidR="00F74EEE" w:rsidRPr="00F74EEE" w:rsidRDefault="00F74EEE" w:rsidP="00DC2314">
      <w:r w:rsidRPr="00F74EEE">
        <w:t>Limited information only was provided.</w:t>
      </w:r>
    </w:p>
    <w:p w:rsidR="00F74EEE" w:rsidRPr="00F74EEE" w:rsidRDefault="00F74EEE" w:rsidP="00B90940">
      <w:pPr>
        <w:pStyle w:val="Heading4"/>
      </w:pPr>
      <w:bookmarkStart w:id="223" w:name="_Toc272414670"/>
      <w:bookmarkStart w:id="224" w:name="_Toc290846308"/>
      <w:bookmarkStart w:id="225" w:name="_Toc290888845"/>
      <w:r w:rsidRPr="00F74EEE">
        <w:t>Kidney function</w:t>
      </w:r>
      <w:bookmarkEnd w:id="223"/>
      <w:bookmarkEnd w:id="224"/>
      <w:bookmarkEnd w:id="225"/>
    </w:p>
    <w:p w:rsidR="00F74EEE" w:rsidRPr="00F74EEE" w:rsidRDefault="00F74EEE" w:rsidP="00B90940">
      <w:pPr>
        <w:pStyle w:val="Heading5"/>
      </w:pPr>
      <w:r w:rsidRPr="00F74EEE">
        <w:t>Pivotal studies</w:t>
      </w:r>
    </w:p>
    <w:p w:rsidR="00F74EEE" w:rsidRPr="00F74EEE" w:rsidRDefault="00F74EEE" w:rsidP="00F74EEE">
      <w:r w:rsidRPr="00F74EEE">
        <w:t>Based upon AE, electrolyte and renal monitoring data, there was no evidence for</w:t>
      </w:r>
      <w:r w:rsidR="00B90940">
        <w:t xml:space="preserve"> </w:t>
      </w:r>
      <w:r w:rsidRPr="00F74EEE">
        <w:t>clinically relevant eltrombopag-related renal toxicity.</w:t>
      </w:r>
    </w:p>
    <w:p w:rsidR="00F74EEE" w:rsidRPr="00F74EEE" w:rsidRDefault="00F74EEE" w:rsidP="00B90940">
      <w:pPr>
        <w:pStyle w:val="Heading5"/>
      </w:pPr>
      <w:r w:rsidRPr="00F74EEE">
        <w:t>Other studies</w:t>
      </w:r>
    </w:p>
    <w:p w:rsidR="00F74EEE" w:rsidRPr="00F74EEE" w:rsidRDefault="00F74EEE" w:rsidP="00DC2314">
      <w:r w:rsidRPr="00F74EEE">
        <w:t>Limited information only was provided.</w:t>
      </w:r>
    </w:p>
    <w:p w:rsidR="00F74EEE" w:rsidRPr="00F74EEE" w:rsidRDefault="00F74EEE" w:rsidP="00DC2314">
      <w:pPr>
        <w:pStyle w:val="Heading4"/>
      </w:pPr>
      <w:bookmarkStart w:id="226" w:name="_Toc272414671"/>
      <w:bookmarkStart w:id="227" w:name="_Toc290846309"/>
      <w:bookmarkStart w:id="228" w:name="_Toc290888846"/>
      <w:r w:rsidRPr="00F74EEE">
        <w:t>Other clinical chemistry</w:t>
      </w:r>
      <w:bookmarkEnd w:id="226"/>
      <w:bookmarkEnd w:id="227"/>
      <w:bookmarkEnd w:id="228"/>
    </w:p>
    <w:p w:rsidR="00F74EEE" w:rsidRPr="00F74EEE" w:rsidRDefault="00F74EEE" w:rsidP="00B90940">
      <w:pPr>
        <w:pStyle w:val="Heading5"/>
      </w:pPr>
      <w:r w:rsidRPr="00F74EEE">
        <w:t>Pivotal studies</w:t>
      </w:r>
    </w:p>
    <w:p w:rsidR="00F74EEE" w:rsidRPr="00F74EEE" w:rsidRDefault="00F74EEE" w:rsidP="00F74EEE">
      <w:r w:rsidRPr="00F74EEE">
        <w:t>No significant trends were identified.</w:t>
      </w:r>
    </w:p>
    <w:p w:rsidR="00F74EEE" w:rsidRPr="00F74EEE" w:rsidRDefault="00F74EEE" w:rsidP="00B90940">
      <w:pPr>
        <w:pStyle w:val="Heading5"/>
      </w:pPr>
      <w:r w:rsidRPr="00F74EEE">
        <w:t>Other studies</w:t>
      </w:r>
    </w:p>
    <w:p w:rsidR="00F74EEE" w:rsidRPr="00F74EEE" w:rsidRDefault="00F74EEE" w:rsidP="00DC2314">
      <w:r w:rsidRPr="00F74EEE">
        <w:t>Limited information only was provided.</w:t>
      </w:r>
    </w:p>
    <w:p w:rsidR="00F74EEE" w:rsidRPr="00F74EEE" w:rsidRDefault="00F74EEE" w:rsidP="00B90940">
      <w:pPr>
        <w:pStyle w:val="Heading4"/>
      </w:pPr>
      <w:bookmarkStart w:id="229" w:name="_Toc272414672"/>
      <w:bookmarkStart w:id="230" w:name="_Toc290846310"/>
      <w:bookmarkStart w:id="231" w:name="_Toc290888847"/>
      <w:r w:rsidRPr="00F74EEE">
        <w:t>Haematology</w:t>
      </w:r>
      <w:bookmarkEnd w:id="229"/>
      <w:bookmarkEnd w:id="230"/>
      <w:bookmarkEnd w:id="231"/>
    </w:p>
    <w:p w:rsidR="00F74EEE" w:rsidRPr="00F74EEE" w:rsidRDefault="00F74EEE" w:rsidP="00B90940">
      <w:pPr>
        <w:pStyle w:val="Heading5"/>
      </w:pPr>
      <w:r w:rsidRPr="00F74EEE">
        <w:t>Pivotal studies</w:t>
      </w:r>
    </w:p>
    <w:p w:rsidR="00F74EEE" w:rsidRPr="00F74EEE" w:rsidRDefault="00F74EEE" w:rsidP="00DC2314">
      <w:r w:rsidRPr="00F74EEE">
        <w:t xml:space="preserve">No significant new trends were identified. Overall, abnormalities in the haematology parameters were balanced between treatment groups with the exception of increases to Division of AIDS (DAIDS) Grade 4 lymphocytes, which occurred more frequently with eltrombopag than placebo subjects. </w:t>
      </w:r>
    </w:p>
    <w:p w:rsidR="00F74EEE" w:rsidRPr="00F74EEE" w:rsidRDefault="00F74EEE" w:rsidP="00B90940">
      <w:pPr>
        <w:pStyle w:val="Heading5"/>
      </w:pPr>
      <w:r w:rsidRPr="00F74EEE">
        <w:t>Other studies</w:t>
      </w:r>
    </w:p>
    <w:p w:rsidR="00F74EEE" w:rsidRPr="00F74EEE" w:rsidRDefault="00F74EEE" w:rsidP="00F74EEE">
      <w:r w:rsidRPr="00F74EEE">
        <w:t>Limited information only was provided.</w:t>
      </w:r>
    </w:p>
    <w:p w:rsidR="00F74EEE" w:rsidRPr="00F74EEE" w:rsidRDefault="00F74EEE" w:rsidP="00B90940">
      <w:pPr>
        <w:pStyle w:val="Heading4"/>
      </w:pPr>
      <w:bookmarkStart w:id="232" w:name="_Toc272414675"/>
      <w:bookmarkStart w:id="233" w:name="_Toc290846313"/>
      <w:bookmarkStart w:id="234" w:name="_Toc290888850"/>
      <w:r w:rsidRPr="00F74EEE">
        <w:t>Electrocardiograph</w:t>
      </w:r>
      <w:bookmarkEnd w:id="232"/>
      <w:bookmarkEnd w:id="233"/>
      <w:bookmarkEnd w:id="234"/>
    </w:p>
    <w:p w:rsidR="00F74EEE" w:rsidRPr="00F74EEE" w:rsidRDefault="00F74EEE" w:rsidP="00B90940">
      <w:pPr>
        <w:pStyle w:val="Heading5"/>
      </w:pPr>
      <w:r w:rsidRPr="00F74EEE">
        <w:t>Pivotal studies</w:t>
      </w:r>
    </w:p>
    <w:p w:rsidR="00F74EEE" w:rsidRPr="00F74EEE" w:rsidRDefault="00F74EEE" w:rsidP="00F74EEE">
      <w:r w:rsidRPr="00F74EEE">
        <w:t xml:space="preserve">During the DB Phase of the study, subjects were instructed to have a 12-lead </w:t>
      </w:r>
      <w:r w:rsidR="00B90940">
        <w:t>electrocardiogram (</w:t>
      </w:r>
      <w:r w:rsidRPr="00F74EEE">
        <w:t>ECG</w:t>
      </w:r>
      <w:r w:rsidR="00B90940">
        <w:t>)</w:t>
      </w:r>
      <w:r w:rsidRPr="00F74EEE">
        <w:t xml:space="preserve"> at antiviral baseline, every 12 weeks during treatment, at their end-of-treatment/withdrawal visit and 24 week follow-up visit. There were 3 possible results regarding the interpretation of the ECGs: “</w:t>
      </w:r>
      <w:smartTag w:uri="urn:schemas-microsoft-com:office:smarttags" w:element="City">
        <w:smartTag w:uri="urn:schemas-microsoft-com:office:smarttags" w:element="place">
          <w:r w:rsidRPr="00F74EEE">
            <w:t>Normal</w:t>
          </w:r>
        </w:smartTag>
      </w:smartTag>
      <w:r w:rsidRPr="00F74EEE">
        <w:t>”, or “Abnormal - not clinically significant”, or “Abnormal - clinically significant”. Whether or not a finding was clinically significant was determined by the investigator. Most subjects who had an ECG recorded at antiviral baseline had normal or abnormal, not clinically significant results. The pattern of ECG results during the DB Phase was similar between the treatment groups, with most subjects having a worst post</w:t>
      </w:r>
      <w:r w:rsidR="00B90940">
        <w:t xml:space="preserve"> </w:t>
      </w:r>
      <w:r w:rsidRPr="00F74EEE">
        <w:t xml:space="preserve">baseline ECG reading of ‘normal’ or ‘abnormal – not clinically significant’ (82% for both placebo and eltrombopag subjects). </w:t>
      </w:r>
    </w:p>
    <w:p w:rsidR="00F74EEE" w:rsidRPr="00F74EEE" w:rsidRDefault="00F74EEE" w:rsidP="00DC2314">
      <w:r w:rsidRPr="00F74EEE">
        <w:t>From information provided by the sponsor, eltrombopag ha</w:t>
      </w:r>
      <w:r w:rsidR="00B90940">
        <w:t>d no effect on cardiac repolarisation in a previous T</w:t>
      </w:r>
      <w:r w:rsidRPr="00F74EEE">
        <w:t>horough QTc study conducted in healthy subjects receiving eltrombopag doses of 50 mg and 150 mg once daily for 5 days. Because patients with HCV infection achieve higher plasma eltrombopag exposure than healthy subjects and patients with liver disease are more susceptible to QTc prolongation, assessment of the potential impact of eltrombopag on the QTc interval in subjects with HCV was incorporated into the Phase III clinical trials (TPL103922 and TPL108390)</w:t>
      </w:r>
      <w:r w:rsidR="00B90940">
        <w:t>.</w:t>
      </w:r>
      <w:r w:rsidRPr="00F74EEE">
        <w:t xml:space="preserve"> Based on the final Cp-</w:t>
      </w:r>
      <w:proofErr w:type="spellStart"/>
      <w:r w:rsidRPr="00F74EEE">
        <w:t>ddQTcF</w:t>
      </w:r>
      <w:proofErr w:type="spellEnd"/>
      <w:r w:rsidRPr="00F74EEE">
        <w:t xml:space="preserve"> model, simulations were performed to predict </w:t>
      </w:r>
      <w:proofErr w:type="spellStart"/>
      <w:r w:rsidRPr="00F74EEE">
        <w:t>ddQTcF</w:t>
      </w:r>
      <w:proofErr w:type="spellEnd"/>
      <w:r w:rsidRPr="00F74EEE">
        <w:t xml:space="preserve"> at maximum plasma concentration (C</w:t>
      </w:r>
      <w:r w:rsidRPr="00F74EEE">
        <w:rPr>
          <w:vertAlign w:val="subscript"/>
        </w:rPr>
        <w:t>max</w:t>
      </w:r>
      <w:r w:rsidRPr="00F74EEE">
        <w:t xml:space="preserve">) for therapeutic and supratherapeutic eltrombopag doses. The results of simulation, indicated that the upper bound of the 90% CI for the mean </w:t>
      </w:r>
      <w:proofErr w:type="spellStart"/>
      <w:r w:rsidRPr="00F74EEE">
        <w:t>ddQTcF</w:t>
      </w:r>
      <w:proofErr w:type="spellEnd"/>
      <w:r w:rsidRPr="00F74EEE">
        <w:t xml:space="preserve"> was &lt;10</w:t>
      </w:r>
      <w:r w:rsidR="00EC097A">
        <w:t xml:space="preserve"> ms </w:t>
      </w:r>
      <w:r w:rsidRPr="00F74EEE">
        <w:t>at therapeutic doses from 25 mg to 100 mg QD</w:t>
      </w:r>
      <w:r w:rsidR="00B90940">
        <w:t>,</w:t>
      </w:r>
      <w:r w:rsidRPr="00F74EEE">
        <w:t xml:space="preserve"> and at dose of 200 mg QD, a supratherapeutic dose that is twice the maximum eltrombopag dose administrated in subjects with HCV. These results suggest that eltrombopag will not have a clinically significant effect on </w:t>
      </w:r>
      <w:proofErr w:type="spellStart"/>
      <w:r w:rsidRPr="00F74EEE">
        <w:t>ddQTcF</w:t>
      </w:r>
      <w:proofErr w:type="spellEnd"/>
      <w:r w:rsidRPr="00F74EEE">
        <w:t xml:space="preserve"> at a dose up to 200 mg QD.</w:t>
      </w:r>
    </w:p>
    <w:p w:rsidR="00F74EEE" w:rsidRPr="00F74EEE" w:rsidRDefault="00F74EEE" w:rsidP="00B90940">
      <w:pPr>
        <w:pStyle w:val="Heading5"/>
      </w:pPr>
      <w:r w:rsidRPr="00F74EEE">
        <w:t>Other studies</w:t>
      </w:r>
    </w:p>
    <w:p w:rsidR="00F74EEE" w:rsidRPr="00F74EEE" w:rsidRDefault="00F74EEE" w:rsidP="00F74EEE">
      <w:r w:rsidRPr="00F74EEE">
        <w:t>Limited information only was provided.</w:t>
      </w:r>
    </w:p>
    <w:p w:rsidR="00F74EEE" w:rsidRPr="00F74EEE" w:rsidRDefault="00F74EEE" w:rsidP="00B90940">
      <w:pPr>
        <w:pStyle w:val="Heading4"/>
      </w:pPr>
      <w:bookmarkStart w:id="235" w:name="_Toc272414676"/>
      <w:bookmarkStart w:id="236" w:name="_Toc290846314"/>
      <w:bookmarkStart w:id="237" w:name="_Toc290888851"/>
      <w:r w:rsidRPr="00F74EEE">
        <w:t>Vital signs</w:t>
      </w:r>
      <w:bookmarkEnd w:id="235"/>
      <w:bookmarkEnd w:id="236"/>
      <w:bookmarkEnd w:id="237"/>
    </w:p>
    <w:p w:rsidR="00F74EEE" w:rsidRPr="00F74EEE" w:rsidRDefault="00F74EEE" w:rsidP="00B90940">
      <w:pPr>
        <w:pStyle w:val="Heading5"/>
      </w:pPr>
      <w:r w:rsidRPr="00F74EEE">
        <w:t>Pivotal studies</w:t>
      </w:r>
    </w:p>
    <w:p w:rsidR="00F74EEE" w:rsidRPr="00F74EEE" w:rsidRDefault="00F74EEE" w:rsidP="00F74EEE">
      <w:r w:rsidRPr="00F74EEE">
        <w:t>No significant trends were identified.</w:t>
      </w:r>
    </w:p>
    <w:p w:rsidR="00F74EEE" w:rsidRPr="00F74EEE" w:rsidRDefault="00F74EEE" w:rsidP="00B90940">
      <w:pPr>
        <w:pStyle w:val="Heading5"/>
      </w:pPr>
      <w:r w:rsidRPr="00F74EEE">
        <w:t>Other studies</w:t>
      </w:r>
    </w:p>
    <w:p w:rsidR="00F74EEE" w:rsidRPr="00F74EEE" w:rsidRDefault="00F74EEE" w:rsidP="00F74EEE">
      <w:r w:rsidRPr="00F74EEE">
        <w:t>Limited information only was provided.</w:t>
      </w:r>
    </w:p>
    <w:p w:rsidR="00F74EEE" w:rsidRPr="00F74EEE" w:rsidRDefault="00F74EEE" w:rsidP="00B90940">
      <w:pPr>
        <w:pStyle w:val="Heading4"/>
      </w:pPr>
      <w:bookmarkStart w:id="238" w:name="_Toc272414677"/>
      <w:bookmarkStart w:id="239" w:name="_Toc290846315"/>
      <w:bookmarkStart w:id="240" w:name="_Toc290888852"/>
      <w:r w:rsidRPr="00F74EEE">
        <w:t>Thromboembolic events</w:t>
      </w:r>
      <w:bookmarkEnd w:id="238"/>
      <w:bookmarkEnd w:id="239"/>
      <w:bookmarkEnd w:id="240"/>
    </w:p>
    <w:p w:rsidR="00F74EEE" w:rsidRPr="00F74EEE" w:rsidRDefault="00F74EEE" w:rsidP="00B90940">
      <w:pPr>
        <w:pStyle w:val="Heading5"/>
      </w:pPr>
      <w:r w:rsidRPr="00F74EEE">
        <w:t>Pivotal studies</w:t>
      </w:r>
    </w:p>
    <w:p w:rsidR="00F74EEE" w:rsidRPr="00F74EEE" w:rsidRDefault="00F74EEE" w:rsidP="00DC2314">
      <w:r w:rsidRPr="00F74EEE">
        <w:t xml:space="preserve">There were more </w:t>
      </w:r>
      <w:smartTag w:uri="urn:schemas-microsoft-com:office:smarttags" w:element="place">
        <w:r w:rsidRPr="00F74EEE">
          <w:t>TEEs</w:t>
        </w:r>
      </w:smartTag>
      <w:r w:rsidRPr="00F74EEE">
        <w:t xml:space="preserve"> (both arterial and venous) reported in the eltrombopag group compared to the placebo group. During the on-treatment plus 30 days follow-up period, 5 placebo subjects (1%) experienced events compared to 31 subjects (3%) in the eltrombopag group. Portal vein thrombosis was the most common TEE in both treatment groups (placebo: 2 subjects; eltrombopag: 12 subjects). Approximately 40% of all </w:t>
      </w:r>
      <w:smartTag w:uri="urn:schemas-microsoft-com:office:smarttags" w:element="place">
        <w:r w:rsidRPr="00F74EEE">
          <w:t>TEEs</w:t>
        </w:r>
      </w:smartTag>
      <w:r w:rsidRPr="00F74EEE">
        <w:t xml:space="preserve"> were detected as part of scheduled regular surveillance (Doppler of portal vein, ocular surveillance), and were not associated with clinical symptoms. The majority of TEEs in eltrombopag subjects resolved and most </w:t>
      </w:r>
      <w:proofErr w:type="spellStart"/>
      <w:r w:rsidRPr="00F74EEE">
        <w:t>on</w:t>
      </w:r>
      <w:r w:rsidR="00B90940">
        <w:noBreakHyphen/>
        <w:t>t</w:t>
      </w:r>
      <w:r w:rsidRPr="00F74EEE">
        <w:t>reatment</w:t>
      </w:r>
      <w:proofErr w:type="spellEnd"/>
      <w:r w:rsidR="00B90940">
        <w:t xml:space="preserve"> </w:t>
      </w:r>
      <w:r w:rsidRPr="00F74EEE">
        <w:t xml:space="preserve">events did not lead to discontinuation from antiviral treatment. Approximately one-third of the events in both treatment groups were reported as SAEs; there was 1 fatal event in the placebo group and 2 fatal events in the eltrombopag group due to suspected or confirmed </w:t>
      </w:r>
      <w:smartTag w:uri="urn:schemas-microsoft-com:office:smarttags" w:element="place">
        <w:r w:rsidRPr="00F74EEE">
          <w:t>TEEs</w:t>
        </w:r>
      </w:smartTag>
      <w:r w:rsidRPr="00F74EEE">
        <w:t xml:space="preserve">. No specific relationship between the TEE event and time on-treatment or high proximal platelet counts was observed. Some subjects had additional risk factors for </w:t>
      </w:r>
      <w:smartTag w:uri="urn:schemas-microsoft-com:office:smarttags" w:element="place">
        <w:r w:rsidRPr="00F74EEE">
          <w:t>TEEs</w:t>
        </w:r>
      </w:smartTag>
      <w:r w:rsidRPr="00F74EEE">
        <w:t xml:space="preserve"> such as coronary or peripheral artery disease and tobacco use; in others the events were associated with other underlying disease or treatment factors such as hepatic coma, recent diuretic treatment, severe diarrhoea or vascular catheter placement. Subjects with baseline MELD score </w:t>
      </w:r>
      <w:r w:rsidR="00B90940">
        <w:t>≥</w:t>
      </w:r>
      <w:r w:rsidRPr="00F74EEE">
        <w:t xml:space="preserve">10 or albumin </w:t>
      </w:r>
      <w:r w:rsidR="00B90940">
        <w:t>≤</w:t>
      </w:r>
      <w:r w:rsidRPr="00F74EEE">
        <w:t>35 g/L had a higher incidence of thrombotic events compared to subjects with baseline MELD score &lt;10 or albumin &gt;35 g/L. Portal vein thrombosis events were the largest contributor to this higher incidence of thrombotic events in patients with poor baseline liver function.</w:t>
      </w:r>
    </w:p>
    <w:p w:rsidR="00F74EEE" w:rsidRPr="00F74EEE" w:rsidRDefault="00F74EEE" w:rsidP="00B90940">
      <w:pPr>
        <w:pStyle w:val="Heading5"/>
      </w:pPr>
      <w:r w:rsidRPr="00F74EEE">
        <w:t>Other studies</w:t>
      </w:r>
    </w:p>
    <w:p w:rsidR="00F74EEE" w:rsidRPr="00F74EEE" w:rsidRDefault="00F74EEE" w:rsidP="00F74EEE">
      <w:r w:rsidRPr="00F74EEE">
        <w:t xml:space="preserve">No </w:t>
      </w:r>
      <w:smartTag w:uri="urn:schemas-microsoft-com:office:smarttags" w:element="place">
        <w:r w:rsidRPr="00F74EEE">
          <w:t>TEEs</w:t>
        </w:r>
      </w:smartTag>
      <w:r w:rsidRPr="00F74EEE">
        <w:t xml:space="preserve"> occurred at any time during the open-label or antiviral parts of the Phase II study.</w:t>
      </w:r>
    </w:p>
    <w:p w:rsidR="00F74EEE" w:rsidRPr="00F74EEE" w:rsidRDefault="00F74EEE" w:rsidP="00B90940">
      <w:pPr>
        <w:pStyle w:val="Heading4"/>
      </w:pPr>
      <w:bookmarkStart w:id="241" w:name="_Toc272414678"/>
      <w:bookmarkStart w:id="242" w:name="_Toc290846316"/>
      <w:bookmarkStart w:id="243" w:name="_Toc290888853"/>
      <w:r w:rsidRPr="00F74EEE">
        <w:t>Cataracts</w:t>
      </w:r>
      <w:bookmarkEnd w:id="241"/>
      <w:bookmarkEnd w:id="242"/>
      <w:bookmarkEnd w:id="243"/>
    </w:p>
    <w:p w:rsidR="00F74EEE" w:rsidRPr="00F74EEE" w:rsidRDefault="00F74EEE" w:rsidP="00B90940">
      <w:pPr>
        <w:pStyle w:val="Heading5"/>
      </w:pPr>
      <w:r w:rsidRPr="00F74EEE">
        <w:t>Pivotal studies</w:t>
      </w:r>
    </w:p>
    <w:p w:rsidR="00F74EEE" w:rsidRPr="00F74EEE" w:rsidRDefault="00F74EEE" w:rsidP="00F74EEE">
      <w:r w:rsidRPr="00F74EEE">
        <w:t>There was a higher overall occurrence of cataract events in the eltrombopag group (8%) compared with the placebo group (5%). Similar results were seen for the genotype non-2/3 subgroup for bilateral incidence (placebo: &lt;1%; eltrombopag: 3%) and bilateral progression (placebo: &lt;1%; eltrombopag: 2%). However, no meaningful difference was observed in the occurrence of cataract events for the genotype 2/3 subgroup, in which there was a similar duration of treatment between the placebo group and the eltrombopag group.</w:t>
      </w:r>
    </w:p>
    <w:p w:rsidR="00F74EEE" w:rsidRPr="00F74EEE" w:rsidRDefault="00F74EEE" w:rsidP="00B90940">
      <w:pPr>
        <w:pStyle w:val="Heading5"/>
      </w:pPr>
      <w:r w:rsidRPr="00F74EEE">
        <w:t>Other studies</w:t>
      </w:r>
    </w:p>
    <w:p w:rsidR="00F74EEE" w:rsidRPr="00F74EEE" w:rsidRDefault="00F74EEE" w:rsidP="00F74EEE">
      <w:r w:rsidRPr="00F74EEE">
        <w:t>Ocular examinations identified 4 subjects with cataracts. Three of these subjects had cataracts prior to the first ocular examination (in one subject a pre-existing cataract was observed post treatment) and 1 subject had a post-baseline report of cataract. In general, no pattern was observed in regard to the relationship to dose or duration of treatment with study medication. All four subjects with reports of cataract had documented risk factors for cataract development. Of the 3 cataract cases that were identified prior to initiation of study medication, cataracts were reported to progress in two subjects (3</w:t>
      </w:r>
      <w:r w:rsidR="00EC097A">
        <w:t>0 mg</w:t>
      </w:r>
      <w:r w:rsidRPr="00F74EEE">
        <w:t xml:space="preserve"> and 7</w:t>
      </w:r>
      <w:r w:rsidR="00EC097A">
        <w:t>5 mg</w:t>
      </w:r>
      <w:r w:rsidRPr="00F74EEE">
        <w:t xml:space="preserve"> treatment groups) over the duration of the assessment period.</w:t>
      </w:r>
    </w:p>
    <w:p w:rsidR="00F74EEE" w:rsidRPr="00F74EEE" w:rsidRDefault="00634ED8" w:rsidP="00634ED8">
      <w:pPr>
        <w:pStyle w:val="Heading3"/>
      </w:pPr>
      <w:bookmarkStart w:id="244" w:name="_Toc241374326"/>
      <w:bookmarkStart w:id="245" w:name="_Ref272333048"/>
      <w:bookmarkStart w:id="246" w:name="_Toc272414679"/>
      <w:bookmarkStart w:id="247" w:name="_Toc290846317"/>
      <w:bookmarkStart w:id="248" w:name="_Toc290888854"/>
      <w:bookmarkStart w:id="249" w:name="_Toc376875787"/>
      <w:r>
        <w:t>Post</w:t>
      </w:r>
      <w:r w:rsidR="00F74EEE" w:rsidRPr="00F74EEE">
        <w:t>marketing experience</w:t>
      </w:r>
      <w:bookmarkEnd w:id="244"/>
      <w:bookmarkEnd w:id="245"/>
      <w:bookmarkEnd w:id="246"/>
      <w:bookmarkEnd w:id="247"/>
      <w:bookmarkEnd w:id="248"/>
      <w:bookmarkEnd w:id="249"/>
    </w:p>
    <w:p w:rsidR="00F74EEE" w:rsidRPr="00F74EEE" w:rsidRDefault="00F74EEE" w:rsidP="00DC2314">
      <w:r w:rsidRPr="00F74EEE">
        <w:t xml:space="preserve">Eltrombopag was first approved for marketing in the </w:t>
      </w:r>
      <w:smartTag w:uri="urn:schemas-microsoft-com:office:smarttags" w:element="country-region">
        <w:smartTag w:uri="urn:schemas-microsoft-com:office:smarttags" w:element="place">
          <w:r w:rsidRPr="00F74EEE">
            <w:t>US</w:t>
          </w:r>
        </w:smartTag>
      </w:smartTag>
      <w:r w:rsidRPr="00F74EEE">
        <w:t xml:space="preserve"> on 20 November 2008 for the treatment of thrombocytopenia in patients with chronic immune (idiopathic) thrombocytopenic purpura (ITP). Based on latest data available from IMS (Intercontinental Medical Statistics) Health data, it is estimated that approximately 6,664 patient years of eltrombopag treatment have been prescribed worldwide as of December 2011. This calculation is based on available sales information volume and assumes a once-daily dose of 12.5 mg, 25 mg, 50 mg, or 75 mg tablets.</w:t>
      </w:r>
    </w:p>
    <w:p w:rsidR="00F74EEE" w:rsidRDefault="00F74EEE" w:rsidP="00DC2314">
      <w:r w:rsidRPr="00F74EEE">
        <w:t>As of 31 March 2012, there were 2261 spontaneous and post marketing cases received from marketed use of eltrombopag. A total of 5215 spontaneous and post marketing AEs (serious and non</w:t>
      </w:r>
      <w:r w:rsidR="00634ED8">
        <w:t xml:space="preserve"> </w:t>
      </w:r>
      <w:r w:rsidRPr="00F74EEE">
        <w:t>serious) have been received from the marketed use of eltrombopag (2261 cases). A summary of adverse events appears below.</w:t>
      </w:r>
    </w:p>
    <w:p w:rsidR="00634ED8" w:rsidRPr="00F74EEE" w:rsidRDefault="00634ED8" w:rsidP="00DC2314">
      <w:pPr>
        <w:pStyle w:val="TableTitle"/>
      </w:pPr>
      <w:r>
        <w:t>Table 19. Ten most frequent reported adverse events from spontaneous and postmarketing surveillance cases.</w:t>
      </w:r>
    </w:p>
    <w:p w:rsidR="00F74EEE" w:rsidRPr="00F74EEE" w:rsidRDefault="00F74EEE" w:rsidP="00DC2314">
      <w:r w:rsidRPr="00F74EEE">
        <w:rPr>
          <w:noProof/>
          <w:lang w:eastAsia="en-AU"/>
        </w:rPr>
        <w:drawing>
          <wp:inline distT="0" distB="0" distL="0" distR="0">
            <wp:extent cx="5381625" cy="2286000"/>
            <wp:effectExtent l="19050" t="0" r="9525" b="0"/>
            <wp:docPr id="29" name="Picture 23" descr="Table 19. Ten most frequent reported adverse events from spontaneous and postmarketing surveillanc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duotone>
                        <a:prstClr val="black"/>
                        <a:schemeClr val="bg1">
                          <a:tint val="45000"/>
                          <a:satMod val="400000"/>
                        </a:schemeClr>
                      </a:duotone>
                    </a:blip>
                    <a:srcRect t="15101" b="4362"/>
                    <a:stretch>
                      <a:fillRect/>
                    </a:stretch>
                  </pic:blipFill>
                  <pic:spPr bwMode="auto">
                    <a:xfrm>
                      <a:off x="0" y="0"/>
                      <a:ext cx="5381625" cy="2286000"/>
                    </a:xfrm>
                    <a:prstGeom prst="rect">
                      <a:avLst/>
                    </a:prstGeom>
                    <a:noFill/>
                    <a:ln w="9525">
                      <a:noFill/>
                      <a:miter lim="800000"/>
                      <a:headEnd/>
                      <a:tailEnd/>
                    </a:ln>
                  </pic:spPr>
                </pic:pic>
              </a:graphicData>
            </a:graphic>
          </wp:inline>
        </w:drawing>
      </w:r>
    </w:p>
    <w:p w:rsidR="00F74EEE" w:rsidRPr="00F74EEE" w:rsidRDefault="00F74EEE" w:rsidP="00DC2314">
      <w:r w:rsidRPr="00F74EEE">
        <w:t>As of 31 March 2012, there were 489 cases with a fatal outcome out of the 2261 cases reported from marketed usage of eltrombopag. A review of these cases of death reveals no significant new safety findings associated with the use of eltrombopag. In terms of hepatotoxicity, there were 206 cases identified in this search of the worldwide clinical safety database from 20 November 2008 through 31 March 2012. In general, most cases describe mild and transient elevations in liver function parameters, which resolved or improved following eltrombopag discontinuation or dose reduction. Some cases were of severe liver injury or liver failure in the setting of other co-morbid</w:t>
      </w:r>
      <w:r w:rsidR="00634ED8">
        <w:t xml:space="preserve"> </w:t>
      </w:r>
      <w:r w:rsidRPr="00F74EEE">
        <w:t xml:space="preserve">conditions such as sepsis leading to multi-organ failure or worsening liver function in patients with pre-existing liver disease (hepatitis, cirrhosis). </w:t>
      </w:r>
    </w:p>
    <w:p w:rsidR="00F74EEE" w:rsidRPr="00F74EEE" w:rsidRDefault="00F74EEE" w:rsidP="00DC2314">
      <w:r w:rsidRPr="00F74EEE">
        <w:t>There were 210 cases reviewed that pertained to thromboembolic events from first approval of eltrombopag for chronic ITP in 20 November 2008 through 31 March 2012. The most frequently</w:t>
      </w:r>
      <w:r w:rsidR="00634ED8">
        <w:t xml:space="preserve"> </w:t>
      </w:r>
      <w:r w:rsidRPr="00F74EEE">
        <w:t>reported events in these 210 cases were deep vein thrombosis (58), pulmonary embolism (48), myocardial infarction (22), thrombosis (20), cerebrovascular accident (15), acute myocardial infarction (9), and portal vein thrombosis (9). The outcomes of the 210 cases were improved/resolved (81), resolved with sequelae (3), unresolved (24), worse (1), fatal (34), and unknown (67). The patients with a fatal thromboembolic event had multiple co morbidities including congestive heart failure, leukemia, diabetes, hypertension, coronary artery disease, carotid arterial stenosis, and hyperlipidemia. In conclusion,</w:t>
      </w:r>
      <w:r w:rsidR="00634ED8">
        <w:t xml:space="preserve"> an overall review of cases of </w:t>
      </w:r>
      <w:r w:rsidRPr="00F74EEE">
        <w:t>thromboembolic events does not suggest any new trends or changes in incidence or severity of TEEs.</w:t>
      </w:r>
    </w:p>
    <w:p w:rsidR="00F74EEE" w:rsidRPr="00F74EEE" w:rsidRDefault="00F74EEE" w:rsidP="00DC2314">
      <w:pPr>
        <w:pStyle w:val="Heading3"/>
      </w:pPr>
      <w:bookmarkStart w:id="250" w:name="_Ref272333005"/>
      <w:bookmarkStart w:id="251" w:name="_Toc272414680"/>
      <w:bookmarkStart w:id="252" w:name="_Toc290846318"/>
      <w:bookmarkStart w:id="253" w:name="_Toc290888855"/>
      <w:bookmarkStart w:id="254" w:name="_Toc376875788"/>
      <w:r w:rsidRPr="00F74EEE">
        <w:t>Safety issues with the potential for major regulatory imp</w:t>
      </w:r>
      <w:bookmarkEnd w:id="250"/>
      <w:bookmarkEnd w:id="251"/>
      <w:r w:rsidRPr="00F74EEE">
        <w:t>act</w:t>
      </w:r>
      <w:bookmarkEnd w:id="252"/>
      <w:bookmarkEnd w:id="253"/>
      <w:bookmarkEnd w:id="254"/>
    </w:p>
    <w:p w:rsidR="00F74EEE" w:rsidRPr="00F74EEE" w:rsidRDefault="00F74EEE" w:rsidP="00634ED8">
      <w:pPr>
        <w:pStyle w:val="Heading4"/>
      </w:pPr>
      <w:bookmarkStart w:id="255" w:name="_Toc272414681"/>
      <w:bookmarkStart w:id="256" w:name="_Toc290846319"/>
      <w:bookmarkStart w:id="257" w:name="_Toc290888856"/>
      <w:r w:rsidRPr="00F74EEE">
        <w:t>Liver toxicity</w:t>
      </w:r>
      <w:bookmarkEnd w:id="255"/>
      <w:bookmarkEnd w:id="256"/>
      <w:bookmarkEnd w:id="257"/>
    </w:p>
    <w:p w:rsidR="00F74EEE" w:rsidRPr="00F74EEE" w:rsidRDefault="00F74EEE" w:rsidP="00DC2314">
      <w:r w:rsidRPr="00F74EEE">
        <w:t>During the DB Phase on-treatment plus 30 day follow-up period, a higher proportion of eltrombopag subjects reported hepatobiliary events compared with placebo subjects. However, the proportion of AEs that led to withdrawal or were considered serious were similar for eltrombopag treated and placebo treated subjects. In addition, the majority of AEs resolved in both treatment groups.</w:t>
      </w:r>
    </w:p>
    <w:p w:rsidR="00F74EEE" w:rsidRPr="00F74EEE" w:rsidRDefault="00F74EEE" w:rsidP="00DC2314">
      <w:r w:rsidRPr="00F74EEE">
        <w:t>In this patient population, 2 types of hepatobiliary events were noted to be of particular relevance: DILI and events suggestive of hepatic decompensation. The data do not indicate eltrombopag as a cause for DILI in this study. DILI requires evidence of hepatocellular injury (</w:t>
      </w:r>
      <w:r w:rsidR="00634ED8">
        <w:t>that is,</w:t>
      </w:r>
      <w:r w:rsidRPr="00F74EEE">
        <w:t xml:space="preserve"> greater incidence of ALT &gt;3xULN in the treatment group than in the control group. A greater incidence of ALT &gt;3x ULN was observed in the placebo group than in the eltrombopag group.</w:t>
      </w:r>
    </w:p>
    <w:p w:rsidR="00F74EEE" w:rsidRPr="00F74EEE" w:rsidRDefault="00F74EEE" w:rsidP="00DC2314">
      <w:r w:rsidRPr="00F74EEE">
        <w:t>The safety results from this section show that hepatobiliary adverse events, events suggestive of hepatic decompensation and hepatobiliary laboratory abnormalities are common in the patient population studied, as expected for patients with HCV-induced liver cirrhosis. Safety findings reported more frequently on the eltrombopag-treatment group included events suggestive of hepatic decompensation, such as ascites and hepatic encephalopathy. The incidence of other events suggestive of hepatic decompensation (HCC and death), was similar between the treatment groups</w:t>
      </w:r>
      <w:r w:rsidR="00634ED8">
        <w:t xml:space="preserve">. It should be noted, however, </w:t>
      </w:r>
      <w:r w:rsidRPr="00F74EEE">
        <w:t xml:space="preserve">that hepatic decompensation is a known risk in cirrhotic HCV patients receiving pegylated interferon and that subjects in the eltrombopag group received </w:t>
      </w:r>
      <w:r w:rsidR="00634ED8">
        <w:t>≥</w:t>
      </w:r>
      <w:r w:rsidRPr="00F74EEE">
        <w:t>60% more peginterferon and the median observation time for the eltrombopag group is longer than for subjects in the placebo-treatment group. In addition, events showing a higher frequency in the eltrombopag-treatment group can be observed as a complication of antiviral treatment with peginterferon and ribavirin and represent known complications of chronic HCV-infections occurring over time in patients with HCV-induced liver cirrhosis.</w:t>
      </w:r>
    </w:p>
    <w:p w:rsidR="00F74EEE" w:rsidRPr="00F74EEE" w:rsidRDefault="00F74EEE" w:rsidP="00EF46A4">
      <w:r w:rsidRPr="00F74EEE">
        <w:t xml:space="preserve">Overall,  eltrombopag treated subjects were similar to placebo treated subjects with respect to several measures of hepatic function and prognosis, including </w:t>
      </w:r>
      <w:r w:rsidR="00634ED8">
        <w:t>Child-Pugh (</w:t>
      </w:r>
      <w:r w:rsidRPr="00F74EEE">
        <w:t>CP</w:t>
      </w:r>
      <w:r w:rsidR="00634ED8">
        <w:t>)</w:t>
      </w:r>
      <w:r w:rsidRPr="00F74EEE">
        <w:t xml:space="preserve"> score, serum albumin values, INR </w:t>
      </w:r>
      <w:r w:rsidR="00634ED8">
        <w:t xml:space="preserve">(prothrombin time ratio) </w:t>
      </w:r>
      <w:r w:rsidRPr="00F74EEE">
        <w:t xml:space="preserve">values, total bilirubin values and </w:t>
      </w:r>
      <w:r w:rsidR="00634ED8">
        <w:t>model for end-stage liver disease (</w:t>
      </w:r>
      <w:r w:rsidRPr="00F74EEE">
        <w:t>MELD</w:t>
      </w:r>
      <w:r w:rsidR="00634ED8">
        <w:rPr>
          <w:rStyle w:val="FootnoteReference"/>
        </w:rPr>
        <w:footnoteReference w:id="3"/>
      </w:r>
      <w:r w:rsidR="00634ED8">
        <w:t>)</w:t>
      </w:r>
      <w:r w:rsidRPr="00F74EEE">
        <w:t xml:space="preserve"> score.</w:t>
      </w:r>
    </w:p>
    <w:p w:rsidR="00F74EEE" w:rsidRPr="00F74EEE" w:rsidRDefault="00F74EEE" w:rsidP="00EF46A4">
      <w:pPr>
        <w:pStyle w:val="Heading4"/>
      </w:pPr>
      <w:bookmarkStart w:id="258" w:name="_Toc272414682"/>
      <w:bookmarkStart w:id="259" w:name="_Toc290846320"/>
      <w:bookmarkStart w:id="260" w:name="_Toc290888857"/>
      <w:r w:rsidRPr="00F74EEE">
        <w:t>Haematological toxicity</w:t>
      </w:r>
      <w:bookmarkEnd w:id="258"/>
      <w:bookmarkEnd w:id="259"/>
      <w:bookmarkEnd w:id="260"/>
    </w:p>
    <w:p w:rsidR="00F74EEE" w:rsidRPr="00F74EEE" w:rsidRDefault="00F74EEE" w:rsidP="00DC2314">
      <w:r w:rsidRPr="00F74EEE">
        <w:t>No significant haematological toxicity was noted for eltrombopag.</w:t>
      </w:r>
    </w:p>
    <w:p w:rsidR="00F74EEE" w:rsidRPr="00F74EEE" w:rsidRDefault="00F74EEE" w:rsidP="00EF46A4">
      <w:pPr>
        <w:pStyle w:val="Heading4"/>
      </w:pPr>
      <w:bookmarkStart w:id="261" w:name="_Toc272414683"/>
      <w:bookmarkStart w:id="262" w:name="_Toc290846321"/>
      <w:bookmarkStart w:id="263" w:name="_Toc290888858"/>
      <w:r w:rsidRPr="00F74EEE">
        <w:t>Serious skin reactions</w:t>
      </w:r>
      <w:bookmarkEnd w:id="261"/>
      <w:bookmarkEnd w:id="262"/>
      <w:bookmarkEnd w:id="263"/>
    </w:p>
    <w:p w:rsidR="00F74EEE" w:rsidRPr="00F74EEE" w:rsidRDefault="00F74EEE" w:rsidP="00DC2314">
      <w:r w:rsidRPr="00F74EEE">
        <w:t>No significant trend of skin reactions was noted.</w:t>
      </w:r>
    </w:p>
    <w:p w:rsidR="00F74EEE" w:rsidRPr="00F74EEE" w:rsidRDefault="00F74EEE" w:rsidP="00EF46A4">
      <w:pPr>
        <w:pStyle w:val="Heading4"/>
      </w:pPr>
      <w:bookmarkStart w:id="264" w:name="_Toc272414684"/>
      <w:bookmarkStart w:id="265" w:name="_Toc290846322"/>
      <w:bookmarkStart w:id="266" w:name="_Toc290888859"/>
      <w:r w:rsidRPr="00F74EEE">
        <w:t>Cardiovascular safety</w:t>
      </w:r>
      <w:bookmarkEnd w:id="264"/>
      <w:bookmarkEnd w:id="265"/>
      <w:bookmarkEnd w:id="266"/>
    </w:p>
    <w:p w:rsidR="00F74EEE" w:rsidRPr="00F74EEE" w:rsidRDefault="00F74EEE" w:rsidP="00EF46A4">
      <w:r w:rsidRPr="00F74EEE">
        <w:t>Most subjects who had an ECG recorded at antiviral baseline had normal or abnormal, not clinically significant results. The pattern of ECG results during the DB Phase was similar between the treatment groups, with most subjects having a worst post</w:t>
      </w:r>
      <w:r w:rsidR="00634ED8">
        <w:t xml:space="preserve"> </w:t>
      </w:r>
      <w:r w:rsidRPr="00F74EEE">
        <w:t xml:space="preserve">baseline ECG reading of ‘normal’ or ‘abnormal – not clinically significant’ (82% for both placebo and eltrombopag subjects). A greater proportion of eltrombopag subjects were considered to have a clinically significant change from baseline compared with placebo subjects. </w:t>
      </w:r>
    </w:p>
    <w:p w:rsidR="00F74EEE" w:rsidRPr="00F74EEE" w:rsidRDefault="00F74EEE" w:rsidP="00DC2314">
      <w:r w:rsidRPr="00F74EEE">
        <w:t>Assessment of the potential impact of eltrombopag on the QTc interval in subjects with HCV was incorporated into the Phase III clinical trials (TPL103922 and TPL108390). As a result, eltrombopag is predicted to have no clinically significant effect on QTc intervals at either therapeutic or supratherapeutic dose in HCV subjects.</w:t>
      </w:r>
    </w:p>
    <w:p w:rsidR="00F74EEE" w:rsidRPr="00F74EEE" w:rsidRDefault="00F74EEE" w:rsidP="00DC2314">
      <w:pPr>
        <w:pStyle w:val="Heading4"/>
      </w:pPr>
      <w:bookmarkStart w:id="267" w:name="_Toc241374323"/>
      <w:bookmarkStart w:id="268" w:name="_Toc272414685"/>
      <w:bookmarkStart w:id="269" w:name="_Toc290846323"/>
      <w:bookmarkStart w:id="270" w:name="_Toc290888860"/>
      <w:r w:rsidRPr="00F74EEE">
        <w:t>Unwanted immunological events</w:t>
      </w:r>
      <w:bookmarkEnd w:id="267"/>
      <w:bookmarkEnd w:id="268"/>
      <w:bookmarkEnd w:id="269"/>
      <w:bookmarkEnd w:id="270"/>
    </w:p>
    <w:p w:rsidR="00F74EEE" w:rsidRPr="00F74EEE" w:rsidRDefault="00F74EEE" w:rsidP="00F74EEE">
      <w:r w:rsidRPr="00F74EEE">
        <w:t>No significant trend of unwanted immunological events was noted.</w:t>
      </w:r>
    </w:p>
    <w:p w:rsidR="00F74EEE" w:rsidRPr="00F74EEE" w:rsidRDefault="00F74EEE" w:rsidP="00DC2314">
      <w:pPr>
        <w:pStyle w:val="Heading3"/>
      </w:pPr>
      <w:bookmarkStart w:id="271" w:name="_Toc272414686"/>
      <w:bookmarkStart w:id="272" w:name="_Ref273005527"/>
      <w:bookmarkStart w:id="273" w:name="_Toc290846324"/>
      <w:bookmarkStart w:id="274" w:name="_Toc290888861"/>
      <w:bookmarkStart w:id="275" w:name="_Toc376875789"/>
      <w:r w:rsidRPr="00F74EEE">
        <w:t>Other safety issues</w:t>
      </w:r>
      <w:bookmarkEnd w:id="271"/>
      <w:bookmarkEnd w:id="272"/>
      <w:bookmarkEnd w:id="273"/>
      <w:bookmarkEnd w:id="274"/>
      <w:bookmarkEnd w:id="275"/>
    </w:p>
    <w:p w:rsidR="00F74EEE" w:rsidRPr="00F74EEE" w:rsidRDefault="00F74EEE" w:rsidP="00DC2314">
      <w:pPr>
        <w:pStyle w:val="Heading4"/>
      </w:pPr>
      <w:bookmarkStart w:id="276" w:name="_Toc241374322"/>
      <w:bookmarkStart w:id="277" w:name="_Ref272331212"/>
      <w:bookmarkStart w:id="278" w:name="_Toc272414687"/>
      <w:bookmarkStart w:id="279" w:name="_Toc290846325"/>
      <w:bookmarkStart w:id="280" w:name="_Toc290888862"/>
      <w:r w:rsidRPr="00F74EEE">
        <w:t>Safety in special populations</w:t>
      </w:r>
      <w:bookmarkEnd w:id="276"/>
      <w:bookmarkEnd w:id="277"/>
      <w:bookmarkEnd w:id="278"/>
      <w:bookmarkEnd w:id="279"/>
      <w:bookmarkEnd w:id="280"/>
    </w:p>
    <w:p w:rsidR="00F74EEE" w:rsidRPr="00F74EEE" w:rsidRDefault="00F74EEE" w:rsidP="00F74EEE">
      <w:r w:rsidRPr="00F74EEE">
        <w:t>The pooled safety analyses were evaluated for the impact of intrinsic factors on AE incidence. Subgroup analyses were performed for the on-treatment plus 30 days post-treatment follow-up period for subjects in the Safety DB Population for the following:</w:t>
      </w:r>
    </w:p>
    <w:p w:rsidR="00F74EEE" w:rsidRPr="00DC2314" w:rsidRDefault="00F74EEE" w:rsidP="00DC2314">
      <w:pPr>
        <w:pStyle w:val="ListBullet"/>
      </w:pPr>
      <w:r w:rsidRPr="00DC2314">
        <w:t>HCV Genotype: non-2/3 (n=990, 69%), 2/3 (n=445, 31%)</w:t>
      </w:r>
    </w:p>
    <w:p w:rsidR="00F74EEE" w:rsidRPr="00DC2314" w:rsidRDefault="00F74EEE" w:rsidP="00DC2314">
      <w:pPr>
        <w:pStyle w:val="ListBullet"/>
      </w:pPr>
      <w:r w:rsidRPr="00DC2314">
        <w:t xml:space="preserve">Baseline MELD Score: &lt;10 (n=805, 56%), </w:t>
      </w:r>
      <w:r w:rsidR="00634ED8" w:rsidRPr="00DC2314">
        <w:t>≥</w:t>
      </w:r>
      <w:r w:rsidRPr="00DC2314">
        <w:t>10 (n=613, 43%)</w:t>
      </w:r>
    </w:p>
    <w:p w:rsidR="00F74EEE" w:rsidRPr="00DC2314" w:rsidRDefault="00F74EEE" w:rsidP="00DC2314">
      <w:pPr>
        <w:pStyle w:val="ListBullet"/>
      </w:pPr>
      <w:r w:rsidRPr="00DC2314">
        <w:t xml:space="preserve">Baseline albumin: </w:t>
      </w:r>
      <w:r w:rsidR="00634ED8" w:rsidRPr="00DC2314">
        <w:t>≤</w:t>
      </w:r>
      <w:r w:rsidRPr="00DC2314">
        <w:t>35 g/L (n=414, 29%), &gt;35 g/L (n=1025, 71%)</w:t>
      </w:r>
    </w:p>
    <w:p w:rsidR="00F74EEE" w:rsidRPr="00DC2314" w:rsidRDefault="00F74EEE" w:rsidP="00DC2314">
      <w:pPr>
        <w:pStyle w:val="ListBullet"/>
      </w:pPr>
      <w:r w:rsidRPr="00DC2314">
        <w:t>Fibrosis Score: F0/F1/F2 (n=125, 9%), F3/F4 (n=1141, 79%)</w:t>
      </w:r>
    </w:p>
    <w:p w:rsidR="00F74EEE" w:rsidRPr="00DC2314" w:rsidRDefault="00F74EEE" w:rsidP="00DC2314">
      <w:pPr>
        <w:pStyle w:val="ListBullet"/>
      </w:pPr>
      <w:r w:rsidRPr="00DC2314">
        <w:t xml:space="preserve">Age: &lt;65 years (n=1340, 93%), </w:t>
      </w:r>
      <w:r w:rsidR="00634ED8" w:rsidRPr="00DC2314">
        <w:t>≥</w:t>
      </w:r>
      <w:r w:rsidRPr="00DC2314">
        <w:t>65 years (n=99, 7%)</w:t>
      </w:r>
    </w:p>
    <w:p w:rsidR="00F74EEE" w:rsidRPr="00DC2314" w:rsidRDefault="00F74EEE" w:rsidP="00DC2314">
      <w:pPr>
        <w:pStyle w:val="ListBullet"/>
      </w:pPr>
      <w:r w:rsidRPr="00DC2314">
        <w:t>Gender: Female (n=537, 37%), Male (n=902, 63%)</w:t>
      </w:r>
    </w:p>
    <w:p w:rsidR="00F74EEE" w:rsidRPr="00DC2314" w:rsidRDefault="00F74EEE" w:rsidP="00DC2314">
      <w:pPr>
        <w:pStyle w:val="ListBullet"/>
      </w:pPr>
      <w:r w:rsidRPr="00DC2314">
        <w:t>Race: Eastern Asian heritage (n=145, 10%), other Asian heritage (n=186, 13%),</w:t>
      </w:r>
    </w:p>
    <w:p w:rsidR="00F74EEE" w:rsidRPr="00DC2314" w:rsidRDefault="00F74EEE" w:rsidP="00DC2314">
      <w:pPr>
        <w:pStyle w:val="ListBullet"/>
      </w:pPr>
      <w:r w:rsidRPr="00DC2314">
        <w:t>White and other (n=1108, 77%)</w:t>
      </w:r>
    </w:p>
    <w:p w:rsidR="00F74EEE" w:rsidRPr="00DC2314" w:rsidRDefault="00634ED8" w:rsidP="00DC2314">
      <w:pPr>
        <w:pStyle w:val="ListBullet"/>
      </w:pPr>
      <w:r w:rsidRPr="00DC2314">
        <w:t>Body mass index (</w:t>
      </w:r>
      <w:r w:rsidR="00F74EEE" w:rsidRPr="00DC2314">
        <w:t>BMI</w:t>
      </w:r>
      <w:r w:rsidRPr="00DC2314">
        <w:t>)</w:t>
      </w:r>
      <w:r w:rsidR="00F74EEE" w:rsidRPr="00DC2314">
        <w:t>: &lt;30 (n=1026, 71%),</w:t>
      </w:r>
      <w:r w:rsidRPr="00DC2314">
        <w:t xml:space="preserve"> ≥</w:t>
      </w:r>
      <w:r w:rsidR="00F74EEE" w:rsidRPr="00DC2314">
        <w:t>30 (n=406, 28%)</w:t>
      </w:r>
    </w:p>
    <w:p w:rsidR="00F74EEE" w:rsidRPr="00F74EEE" w:rsidRDefault="00F74EEE" w:rsidP="00DC2314">
      <w:r w:rsidRPr="00F74EEE">
        <w:t>Subgroup analyses for the intrinsic factors age, gender, race, fibrosis score, and BMI did not show any meaningful differences from the overall Safety DB Population results. Patients with poor liver function at baseline (</w:t>
      </w:r>
      <w:r w:rsidR="00FD5E1D">
        <w:t>that is,</w:t>
      </w:r>
      <w:r w:rsidRPr="00F74EEE">
        <w:t xml:space="preserve"> MELD score </w:t>
      </w:r>
      <w:r w:rsidR="00FD5E1D">
        <w:t>≥</w:t>
      </w:r>
      <w:r w:rsidRPr="00F74EEE">
        <w:t xml:space="preserve">10 or albumin </w:t>
      </w:r>
      <w:r w:rsidR="00FD5E1D">
        <w:t>≤</w:t>
      </w:r>
      <w:r w:rsidRPr="00F74EEE">
        <w:t xml:space="preserve">35 g/L) were noted to be at an increased risk for adverse events. </w:t>
      </w:r>
    </w:p>
    <w:p w:rsidR="00F74EEE" w:rsidRPr="00F74EEE" w:rsidRDefault="00F74EEE" w:rsidP="00DC2314">
      <w:r w:rsidRPr="00F74EEE">
        <w:t>Subjects with HCV genotype non-2/3 showed a safety profile very similar to the overall</w:t>
      </w:r>
      <w:r w:rsidR="00FD5E1D">
        <w:t xml:space="preserve"> </w:t>
      </w:r>
      <w:r w:rsidRPr="00F74EEE">
        <w:t>Safety DB Population but had a generally worse overall safety profile when compared with subjects with HCV genotype 2/3. For genotype 2/3 subjects, there were no clinically meaningful differences in the overall safety profile between the 2 treatment groups. The overall incidence of AEs was higher in the HCV genotype non-2/3 subgroup (97%) compared with the HCV genotype 2/3 subgroup (91%). Anaemia, pyrexia, fatigue, nausea, diarrhoea, oedema peripheral and blood bilirubin increased were reported more frequently (</w:t>
      </w:r>
      <w:r w:rsidR="00FD5E1D">
        <w:t>≥</w:t>
      </w:r>
      <w:r w:rsidRPr="00F74EEE">
        <w:t>5% difference in treatment incidence) in the</w:t>
      </w:r>
      <w:r w:rsidR="00FD5E1D">
        <w:t xml:space="preserve"> </w:t>
      </w:r>
      <w:r w:rsidRPr="00F74EEE">
        <w:t>eltrombopag group compared with the placebo group for the HCV genotype non-2/3 group. For the HCV genotype 2/3 group, influenza-like illness, diarrh</w:t>
      </w:r>
      <w:r w:rsidR="00FD5E1D">
        <w:t>o</w:t>
      </w:r>
      <w:r w:rsidRPr="00F74EEE">
        <w:t>ea, and asthenia were reported more frequently (</w:t>
      </w:r>
      <w:r w:rsidR="00FD5E1D">
        <w:t>≥</w:t>
      </w:r>
      <w:r w:rsidRPr="00F74EEE">
        <w:t>5% difference in treatment incidence) in the eltrombopag group compared with the placebo group. In the HCV genotype non-2/3 subgroup, more subjects died in the eltrombopag group (17 subjects, 3%) than in the placebo group (2 subjects, &lt;1%). The incidence of deaths was similar between treatment groups for subjects with HCV genotype 2/3 (eltrombopag 2%, placebo 3%).</w:t>
      </w:r>
    </w:p>
    <w:p w:rsidR="00F74EEE" w:rsidRPr="00F74EEE" w:rsidRDefault="00F74EEE" w:rsidP="00DC2314">
      <w:pPr>
        <w:pStyle w:val="Heading4"/>
      </w:pPr>
      <w:bookmarkStart w:id="281" w:name="_Toc241374324"/>
      <w:bookmarkStart w:id="282" w:name="_Ref272331214"/>
      <w:bookmarkStart w:id="283" w:name="_Toc272414688"/>
      <w:bookmarkStart w:id="284" w:name="_Toc290846326"/>
      <w:bookmarkStart w:id="285" w:name="_Toc290888863"/>
      <w:r w:rsidRPr="00F74EEE">
        <w:t>Safety related to drug-drug interactions and other interactions</w:t>
      </w:r>
      <w:bookmarkEnd w:id="281"/>
      <w:bookmarkEnd w:id="282"/>
      <w:bookmarkEnd w:id="283"/>
      <w:bookmarkEnd w:id="284"/>
      <w:bookmarkEnd w:id="285"/>
    </w:p>
    <w:p w:rsidR="00F74EEE" w:rsidRPr="00F74EEE" w:rsidRDefault="00F74EEE" w:rsidP="00DC2314">
      <w:r w:rsidRPr="00F74EEE">
        <w:t xml:space="preserve">When eltrombopag and rosuvastatin were coadministered in a clinical drug interaction study, there was increased plasma rosuvastatin exposure. </w:t>
      </w:r>
      <w:proofErr w:type="spellStart"/>
      <w:r w:rsidRPr="00F74EEE">
        <w:t>Eltrombopag</w:t>
      </w:r>
      <w:proofErr w:type="spellEnd"/>
      <w:r w:rsidRPr="00F74EEE">
        <w:t xml:space="preserve"> </w:t>
      </w:r>
      <w:proofErr w:type="spellStart"/>
      <w:r w:rsidRPr="00F74EEE">
        <w:t>chelates</w:t>
      </w:r>
      <w:proofErr w:type="spellEnd"/>
      <w:r w:rsidRPr="00F74EEE">
        <w:t xml:space="preserve"> with polyvalent </w:t>
      </w:r>
      <w:proofErr w:type="spellStart"/>
      <w:r w:rsidRPr="00F74EEE">
        <w:t>cations</w:t>
      </w:r>
      <w:proofErr w:type="spellEnd"/>
      <w:r w:rsidRPr="00F74EEE">
        <w:t xml:space="preserve"> such as</w:t>
      </w:r>
      <w:r w:rsidR="00FD5E1D">
        <w:t xml:space="preserve"> </w:t>
      </w:r>
      <w:r w:rsidRPr="00F74EEE">
        <w:t>aluminium, calcium, iron, magnesium, selenium and zinc. Administration of a single 50 mg</w:t>
      </w:r>
      <w:r w:rsidR="00FD5E1D">
        <w:t xml:space="preserve"> </w:t>
      </w:r>
      <w:r w:rsidRPr="00F74EEE">
        <w:t>dose of eltrombopag with a standard high</w:t>
      </w:r>
      <w:r w:rsidR="00FD5E1D">
        <w:t xml:space="preserve"> calorie, high </w:t>
      </w:r>
      <w:r w:rsidRPr="00F74EEE">
        <w:t>fat breakfast that included dairy products reduced plasma eltrombopag AUC</w:t>
      </w:r>
      <w:r w:rsidRPr="00F74EEE">
        <w:rPr>
          <w:vertAlign w:val="subscript"/>
        </w:rPr>
        <w:t>0-∞</w:t>
      </w:r>
      <w:r w:rsidRPr="00F74EEE">
        <w:t xml:space="preserve"> by 59% (90% CI: 54%, 64%)and C</w:t>
      </w:r>
      <w:r w:rsidRPr="00F74EEE">
        <w:rPr>
          <w:vertAlign w:val="subscript"/>
        </w:rPr>
        <w:t>max</w:t>
      </w:r>
      <w:r w:rsidRPr="00F74EEE">
        <w:t xml:space="preserve"> by 65% (90% CI: 59%, 70%).</w:t>
      </w:r>
    </w:p>
    <w:p w:rsidR="00F74EEE" w:rsidRPr="00F74EEE" w:rsidRDefault="00F74EEE" w:rsidP="00FD5E1D">
      <w:pPr>
        <w:pStyle w:val="Heading4"/>
      </w:pPr>
      <w:bookmarkStart w:id="286" w:name="_Toc272414689"/>
      <w:bookmarkStart w:id="287" w:name="_Toc290846327"/>
      <w:bookmarkStart w:id="288" w:name="_Toc290888864"/>
      <w:r w:rsidRPr="00F74EEE">
        <w:t>Thromboembolic events</w:t>
      </w:r>
      <w:bookmarkEnd w:id="286"/>
      <w:bookmarkEnd w:id="287"/>
      <w:bookmarkEnd w:id="288"/>
    </w:p>
    <w:p w:rsidR="00F74EEE" w:rsidRPr="00F74EEE" w:rsidRDefault="00F74EEE" w:rsidP="00DC2314">
      <w:r w:rsidRPr="00F74EEE">
        <w:t xml:space="preserve">A 2% higher incidence of </w:t>
      </w:r>
      <w:smartTag w:uri="urn:schemas-microsoft-com:office:smarttags" w:element="place">
        <w:r w:rsidRPr="00F74EEE">
          <w:t>TEEs</w:t>
        </w:r>
      </w:smartTag>
      <w:r w:rsidRPr="00F74EEE">
        <w:t xml:space="preserve"> was observed in subjects treated in the eltrombopag treatment group compared with the placebo group. No specific temporal relationship between start of treatment and event of TEE was observed. Some subjects had additional risk factors for TEE such as coronary or peripheral artery disease and tobacco use, in others the events were associated with other underlying disease or treatment factors such as hepatic coma, recent diuretic treatment, severe diarrh</w:t>
      </w:r>
      <w:r w:rsidR="00FD5E1D">
        <w:t>o</w:t>
      </w:r>
      <w:r w:rsidRPr="00F74EEE">
        <w:t xml:space="preserve">ea or catheter placement. The majority of </w:t>
      </w:r>
      <w:smartTag w:uri="urn:schemas-microsoft-com:office:smarttags" w:element="place">
        <w:r w:rsidRPr="00F74EEE">
          <w:t>TEEs</w:t>
        </w:r>
      </w:smartTag>
      <w:r w:rsidRPr="00F74EEE">
        <w:t xml:space="preserve"> resolved and did not lead to discontinuation from antiviral treatment. </w:t>
      </w:r>
    </w:p>
    <w:p w:rsidR="00F74EEE" w:rsidRPr="00F74EEE" w:rsidRDefault="00F74EEE" w:rsidP="00FD5E1D">
      <w:pPr>
        <w:pStyle w:val="Heading4"/>
      </w:pPr>
      <w:bookmarkStart w:id="289" w:name="_Toc272414690"/>
      <w:bookmarkStart w:id="290" w:name="_Toc290846328"/>
      <w:bookmarkStart w:id="291" w:name="_Toc290888865"/>
      <w:r w:rsidRPr="00F74EEE">
        <w:t>Cataracts</w:t>
      </w:r>
      <w:bookmarkEnd w:id="289"/>
      <w:bookmarkEnd w:id="290"/>
      <w:bookmarkEnd w:id="291"/>
    </w:p>
    <w:p w:rsidR="00F74EEE" w:rsidRPr="00F74EEE" w:rsidRDefault="00F74EEE" w:rsidP="00DC2314">
      <w:r w:rsidRPr="00F74EEE">
        <w:t xml:space="preserve">There was a higher incidence of progression of pre-existing baseline cataracts in the eltrombopag treatment group (4%) compared with the placebo group (2%), and a higher incidence of subjects with incident cataracts in the eltrombopag group (4%) compared with the placebo group (2%). Similar results were seen for the genotype non-2/3 subgroup (bilateral incidence (eltrombopag: 3%, placebo: &lt;1%) and bilateral progression (eltrombopag: 2%, placebo: &lt;1%), but this was not seen for the genotype 2/3 subgroup, in which there was a similar duration of treatment between the placebo group and the eltrombopag group. </w:t>
      </w:r>
    </w:p>
    <w:p w:rsidR="00F74EEE" w:rsidRPr="00F74EEE" w:rsidRDefault="00F74EEE" w:rsidP="00DC2314">
      <w:pPr>
        <w:pStyle w:val="Heading3"/>
      </w:pPr>
      <w:bookmarkStart w:id="292" w:name="_Toc241374328"/>
      <w:bookmarkStart w:id="293" w:name="_Toc272414691"/>
      <w:bookmarkStart w:id="294" w:name="_Toc290846329"/>
      <w:bookmarkStart w:id="295" w:name="_Toc290888866"/>
      <w:bookmarkStart w:id="296" w:name="_Toc376875790"/>
      <w:r w:rsidRPr="00F74EEE">
        <w:t>Evaluator’s overall conclusions on clinical safety</w:t>
      </w:r>
      <w:bookmarkEnd w:id="292"/>
      <w:bookmarkEnd w:id="293"/>
      <w:bookmarkEnd w:id="294"/>
      <w:bookmarkEnd w:id="295"/>
      <w:bookmarkEnd w:id="296"/>
    </w:p>
    <w:p w:rsidR="00F74EEE" w:rsidRPr="00F74EEE" w:rsidRDefault="00F74EEE" w:rsidP="00DC2314">
      <w:r w:rsidRPr="00F74EEE">
        <w:t>Information on clinical safety was available from the pivotal efficacy studies, supporting efficacy study, information previously submitted to TGA  and post-marketing surveillance data submitted by the sponsor. There were no specific safety studies submitted.</w:t>
      </w:r>
    </w:p>
    <w:p w:rsidR="00F74EEE" w:rsidRPr="00F74EEE" w:rsidRDefault="00F74EEE" w:rsidP="00DC2314">
      <w:r w:rsidRPr="00F74EEE">
        <w:t>Interpretation of the safety profile was complicated by the overall health status of the target population, especially those subjects with more severe baseline liver impairment and requiring more intensive therapy (and hence with more side-effects of treatment). In addition, the results from the efficacy studies indicated a proportion of patients who would have been unable to be treated previously because of low platelet counts, who could now be treated more aggressively.  Given the role of eltrombopag, as a supportive care agent, patients would tend to receive more intensive anti-viral treatment and hence be more prone to side-effects.</w:t>
      </w:r>
    </w:p>
    <w:p w:rsidR="00F74EEE" w:rsidRDefault="00F74EEE" w:rsidP="00DC2314">
      <w:r w:rsidRPr="00F74EEE">
        <w:t xml:space="preserve">The incidence of AEs in the on-treatment plus 30 days follow-up period was similar between the treatment groups. The most common AEs included anaemia, neutropaenia, pyrexia, fatigue, headache, nausea, diarrhoea, decreased appetite and influenza like illness. In terms of SAE, there was a 5% higher incidence of SAEs in the eltrombopag group (20%) compared with the placebo group (15%) in the on-treatment plus 30 days follow-up period, for both of the ENABLE studies and also for the pooled data set. The most common SAE in both treatment groups was hepatic neoplasms. SAEs related to the GI and </w:t>
      </w:r>
      <w:r w:rsidR="00FD5E1D">
        <w:t>H</w:t>
      </w:r>
      <w:r w:rsidRPr="00F74EEE">
        <w:t xml:space="preserve">epatobiliary disorders system organ classes (SOC) occurred </w:t>
      </w:r>
      <w:r w:rsidR="00FD5E1D">
        <w:t>≥</w:t>
      </w:r>
      <w:r w:rsidRPr="00F74EEE">
        <w:t xml:space="preserve">2% more frequently in the eltrombopag group compared with the placebo group. </w:t>
      </w:r>
    </w:p>
    <w:p w:rsidR="00F74EEE" w:rsidRPr="00F74EEE" w:rsidRDefault="00F74EEE" w:rsidP="00DC2314">
      <w:r w:rsidRPr="00F74EEE">
        <w:t xml:space="preserve">With regard to deaths, for the pooled data from the 2 Phase III studies, 39 subjects (3%) with 57 fatal AEs died during the on-treatment plus 6 months follow-up period: 10 (2%) in the placebo group and 29 (3%) in the eltrombopag group. Of these, 8 of the subjects in the placebo group (80%) and 22 of the subjects in the eltrombopag group (76%) had a baseline MELD score </w:t>
      </w:r>
      <w:r w:rsidR="00FD5E1D">
        <w:t>≥</w:t>
      </w:r>
      <w:r w:rsidRPr="00F74EEE">
        <w:t xml:space="preserve">10. The most common causes of death in both treatment groups for both studies were events suggestive of hepatic decompensation, such as hepatic failure, </w:t>
      </w:r>
      <w:proofErr w:type="spellStart"/>
      <w:r w:rsidRPr="00F74EEE">
        <w:t>variceal</w:t>
      </w:r>
      <w:proofErr w:type="spellEnd"/>
      <w:r w:rsidRPr="00F74EEE">
        <w:t xml:space="preserve"> bleeding, </w:t>
      </w:r>
      <w:proofErr w:type="spellStart"/>
      <w:r w:rsidRPr="00F74EEE">
        <w:t>ascites</w:t>
      </w:r>
      <w:proofErr w:type="spellEnd"/>
      <w:r w:rsidRPr="00F74EEE">
        <w:t>, GI bleeding, and infections.</w:t>
      </w:r>
    </w:p>
    <w:p w:rsidR="00F74EEE" w:rsidRPr="00F74EEE" w:rsidRDefault="00F74EEE" w:rsidP="00DC2314">
      <w:r w:rsidRPr="00F74EEE">
        <w:t xml:space="preserve">Thromboembolic/thrombotic complications were observed more frequently in the eltrombopag treatment group than in the placebo treatment group. Reported </w:t>
      </w:r>
      <w:smartTag w:uri="urn:schemas-microsoft-com:office:smarttags" w:element="place">
        <w:r w:rsidRPr="00F74EEE">
          <w:t>TEEs</w:t>
        </w:r>
      </w:smartTag>
      <w:r w:rsidRPr="00F74EEE">
        <w:t xml:space="preserve"> included both arterial and venous events, including portal vein thrombosis. The majority of </w:t>
      </w:r>
      <w:smartTag w:uri="urn:schemas-microsoft-com:office:smarttags" w:element="place">
        <w:r w:rsidRPr="00F74EEE">
          <w:t>TEEs</w:t>
        </w:r>
      </w:smartTag>
      <w:r w:rsidRPr="00F74EEE">
        <w:t xml:space="preserve"> in eltrombopag subjects resolved and most on-treatment events did not lead to discontinuation from antiviral treatment.</w:t>
      </w:r>
    </w:p>
    <w:p w:rsidR="00F74EEE" w:rsidRPr="00F74EEE" w:rsidRDefault="00F74EEE" w:rsidP="00DC2314">
      <w:r w:rsidRPr="00F74EEE">
        <w:t>Events suggestive of hepatic decompensation were observed in the ENABLE study population, and more commonly in eltrombopag-treated subjects. Subjects with poor liver function at baseline had a greater risk of hepatic decompensation. Given that hepatic decompensation is a known risk in cirrhotic HCV patients receiving peginterferon therapy, this result is not unexpected.</w:t>
      </w:r>
    </w:p>
    <w:p w:rsidR="00F74EEE" w:rsidRPr="00F74EEE" w:rsidRDefault="00F74EEE" w:rsidP="00DC2314">
      <w:r w:rsidRPr="00F74EEE">
        <w:t>The incidence and progression of cataracts occurred more frequently in the eltrombopag treatment group compared to the placebo treatment group. This has previously been recognised in the original application.</w:t>
      </w:r>
    </w:p>
    <w:p w:rsidR="00F74EEE" w:rsidRPr="00F74EEE" w:rsidRDefault="00FD5E1D" w:rsidP="00DC2314">
      <w:r>
        <w:t>In terms of post</w:t>
      </w:r>
      <w:r w:rsidR="00F74EEE" w:rsidRPr="00F74EEE">
        <w:t xml:space="preserve">marketing surveillance, approximately 6,664 patient years of eltrombopag treatment have been prescribed worldwide as of December 2011. A total of 5215 spontaneous and post marketing AEs (serious and </w:t>
      </w:r>
      <w:proofErr w:type="spellStart"/>
      <w:r w:rsidR="00F74EEE" w:rsidRPr="00F74EEE">
        <w:t>nonserious</w:t>
      </w:r>
      <w:proofErr w:type="spellEnd"/>
      <w:r w:rsidR="00F74EEE" w:rsidRPr="00F74EEE">
        <w:t>) have been received from the marketed use of eltrombopag (2261 cases). No significant trends were identified that would impact on the safety profile of eltrombopag.</w:t>
      </w:r>
    </w:p>
    <w:p w:rsidR="00C22678" w:rsidRDefault="00C22678" w:rsidP="00C22678">
      <w:pPr>
        <w:pStyle w:val="Heading2"/>
      </w:pPr>
      <w:bookmarkStart w:id="297" w:name="_Toc376875791"/>
      <w:r>
        <w:t>First round benefit-risk assessment</w:t>
      </w:r>
      <w:bookmarkEnd w:id="297"/>
    </w:p>
    <w:p w:rsidR="00F74EEE" w:rsidRPr="00F74EEE" w:rsidRDefault="00FD5E1D" w:rsidP="00FD5E1D">
      <w:pPr>
        <w:pStyle w:val="Heading3"/>
      </w:pPr>
      <w:bookmarkStart w:id="298" w:name="_Toc376875792"/>
      <w:r>
        <w:t>F</w:t>
      </w:r>
      <w:r w:rsidR="00F74EEE" w:rsidRPr="00F74EEE">
        <w:t>irst round assessment of benefits</w:t>
      </w:r>
      <w:bookmarkEnd w:id="298"/>
    </w:p>
    <w:p w:rsidR="00F74EEE" w:rsidRPr="00F74EEE" w:rsidRDefault="00F74EEE" w:rsidP="00EF46A4">
      <w:r w:rsidRPr="00F74EEE">
        <w:t xml:space="preserve">The benefits of </w:t>
      </w:r>
      <w:proofErr w:type="spellStart"/>
      <w:r w:rsidRPr="00F74EEE">
        <w:t>eltrombopag</w:t>
      </w:r>
      <w:proofErr w:type="spellEnd"/>
      <w:r w:rsidRPr="00F74EEE">
        <w:t xml:space="preserve"> in the proposed usage are:</w:t>
      </w:r>
    </w:p>
    <w:p w:rsidR="00F74EEE" w:rsidRPr="00F74EEE" w:rsidRDefault="00F74EEE" w:rsidP="00EF46A4">
      <w:proofErr w:type="spellStart"/>
      <w:r w:rsidRPr="00F74EEE">
        <w:t>Eltrombopag</w:t>
      </w:r>
      <w:proofErr w:type="spellEnd"/>
      <w:r w:rsidRPr="00F74EEE">
        <w:t xml:space="preserve"> enabled the introduction of antiviral therapy in 95% of study subjects who would otherwise have been ineligible or poor candidates for </w:t>
      </w:r>
      <w:proofErr w:type="spellStart"/>
      <w:r w:rsidRPr="00F74EEE">
        <w:t>peginterferon</w:t>
      </w:r>
      <w:proofErr w:type="spellEnd"/>
      <w:r w:rsidRPr="00F74EEE">
        <w:t xml:space="preserve">-based therapy. Both ENABLE studies met the primary endpoint: the pooled ENABLE data showed that the addition of </w:t>
      </w:r>
      <w:proofErr w:type="spellStart"/>
      <w:r w:rsidRPr="00F74EEE">
        <w:t>eltrombopag</w:t>
      </w:r>
      <w:proofErr w:type="spellEnd"/>
      <w:r w:rsidRPr="00F74EEE">
        <w:t xml:space="preserve"> to standard antiviral therapy resulted in a statistically significant and clinically meaningful improvement in SVR (21%) compared with standard antiviral therapy + placebo (13%) (p=0.0004). The benefit offered by </w:t>
      </w:r>
      <w:proofErr w:type="spellStart"/>
      <w:r w:rsidRPr="00F74EEE">
        <w:t>eltrombopag</w:t>
      </w:r>
      <w:proofErr w:type="spellEnd"/>
      <w:r w:rsidRPr="00F74EEE">
        <w:t xml:space="preserve"> treatment is that 1 out of 5 patients who were previously ineligible or poor candidates for antiviral therapy achieved SVR and now have the opportunity to experience the long-term benefits of SVR.</w:t>
      </w:r>
    </w:p>
    <w:p w:rsidR="00F74EEE" w:rsidRPr="00F74EEE" w:rsidRDefault="00F74EEE" w:rsidP="00F74EEE">
      <w:r w:rsidRPr="00F74EEE">
        <w:t xml:space="preserve">The results were robust and similar across all 3 stratification factors (baseline platelet count, HCV genotype, viral load). There was no meaningful difference in the SVR rates for subjects with &lt;50 </w:t>
      </w:r>
      <w:proofErr w:type="spellStart"/>
      <w:r w:rsidRPr="00F74EEE">
        <w:t>Gi</w:t>
      </w:r>
      <w:proofErr w:type="spellEnd"/>
      <w:r w:rsidRPr="00F74EEE">
        <w:t xml:space="preserve">/L compared to subjects </w:t>
      </w:r>
      <w:r w:rsidR="00FD5E1D">
        <w:t>≥</w:t>
      </w:r>
      <w:r w:rsidRPr="00F74EEE">
        <w:t xml:space="preserve">50 </w:t>
      </w:r>
      <w:proofErr w:type="spellStart"/>
      <w:r w:rsidRPr="00F74EEE">
        <w:t>Gi</w:t>
      </w:r>
      <w:proofErr w:type="spellEnd"/>
      <w:r w:rsidRPr="00F74EEE">
        <w:t xml:space="preserve">/L. As expected, the SVR rates were higher for HCV genotype 2/3 compared to HCV genotype non-2/3. However, </w:t>
      </w:r>
      <w:proofErr w:type="spellStart"/>
      <w:r w:rsidRPr="00F74EEE">
        <w:t>eltrombopag</w:t>
      </w:r>
      <w:proofErr w:type="spellEnd"/>
      <w:r w:rsidRPr="00F74EEE">
        <w:t>-supported antiviral therapy nearly doubled the SVR rate from 8% to 15% for HCV genotype non-2/3 subjects.</w:t>
      </w:r>
    </w:p>
    <w:p w:rsidR="00F74EEE" w:rsidRPr="00F74EEE" w:rsidRDefault="00F74EEE" w:rsidP="00FD5E1D">
      <w:pPr>
        <w:pStyle w:val="Heading3"/>
      </w:pPr>
      <w:bookmarkStart w:id="299" w:name="_Toc236802596"/>
      <w:bookmarkStart w:id="300" w:name="_Toc241374334"/>
      <w:bookmarkStart w:id="301" w:name="_Ref272160964"/>
      <w:bookmarkStart w:id="302" w:name="_Toc272414694"/>
      <w:bookmarkStart w:id="303" w:name="_Toc290846332"/>
      <w:bookmarkStart w:id="304" w:name="_Toc290888869"/>
      <w:bookmarkStart w:id="305" w:name="_Toc376875793"/>
      <w:r w:rsidRPr="00F74EEE">
        <w:t>First round assessment of risks</w:t>
      </w:r>
      <w:bookmarkEnd w:id="299"/>
      <w:bookmarkEnd w:id="300"/>
      <w:bookmarkEnd w:id="301"/>
      <w:bookmarkEnd w:id="302"/>
      <w:bookmarkEnd w:id="303"/>
      <w:bookmarkEnd w:id="304"/>
      <w:bookmarkEnd w:id="305"/>
    </w:p>
    <w:p w:rsidR="00F74EEE" w:rsidRPr="00F74EEE" w:rsidRDefault="00F74EEE" w:rsidP="00F74EEE">
      <w:r w:rsidRPr="00F74EEE">
        <w:t>The risks of eltrombopag in the proposed usage are:</w:t>
      </w:r>
    </w:p>
    <w:p w:rsidR="00F74EEE" w:rsidRPr="00F74EEE" w:rsidRDefault="00F74EEE" w:rsidP="00EF46A4">
      <w:r w:rsidRPr="00F74EEE">
        <w:t xml:space="preserve">The safety profile observed in the ENABLE studies is consistent with the </w:t>
      </w:r>
      <w:proofErr w:type="spellStart"/>
      <w:r w:rsidRPr="00F74EEE">
        <w:t>peginterferon</w:t>
      </w:r>
      <w:proofErr w:type="spellEnd"/>
      <w:r w:rsidRPr="00F74EEE">
        <w:t>/</w:t>
      </w:r>
      <w:proofErr w:type="spellStart"/>
      <w:r w:rsidRPr="00F74EEE">
        <w:t>ribavirin</w:t>
      </w:r>
      <w:proofErr w:type="spellEnd"/>
      <w:r w:rsidRPr="00F74EEE">
        <w:t xml:space="preserve"> safety profile and the established safety profile of </w:t>
      </w:r>
      <w:proofErr w:type="spellStart"/>
      <w:r w:rsidRPr="00F74EEE">
        <w:t>eltrombopag</w:t>
      </w:r>
      <w:proofErr w:type="spellEnd"/>
      <w:r w:rsidRPr="00F74EEE">
        <w:t>. Thrombotic/</w:t>
      </w:r>
      <w:proofErr w:type="spellStart"/>
      <w:r w:rsidRPr="00F74EEE">
        <w:t>thromboembolic</w:t>
      </w:r>
      <w:proofErr w:type="spellEnd"/>
      <w:r w:rsidRPr="00F74EEE">
        <w:t xml:space="preserve"> events, including portal vein thrombosis and occurrence of cataracts are already described in the </w:t>
      </w:r>
      <w:proofErr w:type="spellStart"/>
      <w:r w:rsidRPr="00F74EEE">
        <w:t>eltrombopag</w:t>
      </w:r>
      <w:proofErr w:type="spellEnd"/>
      <w:r w:rsidRPr="00F74EEE">
        <w:t xml:space="preserve"> label. Thrombotic events were reported 2% more frequently in the </w:t>
      </w:r>
      <w:proofErr w:type="spellStart"/>
      <w:r w:rsidRPr="00F74EEE">
        <w:t>eltrombopag</w:t>
      </w:r>
      <w:proofErr w:type="spellEnd"/>
      <w:r w:rsidRPr="00F74EEE">
        <w:t xml:space="preserve"> group compared to the placebo group. There was no clear correlation between platelet counts, duration of treatment with </w:t>
      </w:r>
      <w:proofErr w:type="spellStart"/>
      <w:r w:rsidRPr="00F74EEE">
        <w:t>eltrombopag</w:t>
      </w:r>
      <w:proofErr w:type="spellEnd"/>
      <w:r w:rsidRPr="00F74EEE">
        <w:t xml:space="preserve"> or other direct </w:t>
      </w:r>
      <w:proofErr w:type="spellStart"/>
      <w:r w:rsidRPr="00F74EEE">
        <w:t>eltrombopag</w:t>
      </w:r>
      <w:proofErr w:type="spellEnd"/>
      <w:r w:rsidRPr="00F74EEE">
        <w:t>-specific risk factors and reports of thrombotic events.</w:t>
      </w:r>
    </w:p>
    <w:p w:rsidR="00F74EEE" w:rsidRPr="00F74EEE" w:rsidRDefault="00F74EEE" w:rsidP="00F74EEE">
      <w:r w:rsidRPr="00F74EEE">
        <w:t xml:space="preserve">Hepatic </w:t>
      </w:r>
      <w:proofErr w:type="spellStart"/>
      <w:r w:rsidRPr="00F74EEE">
        <w:t>decompensation</w:t>
      </w:r>
      <w:proofErr w:type="spellEnd"/>
      <w:r w:rsidRPr="00F74EEE">
        <w:t xml:space="preserve"> is a known side effect of interferon therapy in patients with cirrhosis and was observed in the pivotal studies.</w:t>
      </w:r>
    </w:p>
    <w:p w:rsidR="00F74EEE" w:rsidRPr="00F74EEE" w:rsidRDefault="00F74EEE" w:rsidP="00EF46A4">
      <w:r w:rsidRPr="00F74EEE">
        <w:t xml:space="preserve">The safety profile was largely influenced by the degree of liver impairment prior to initiating treatment. Subjects with more severe baseline liver impairment had a higher incidence of hepatic </w:t>
      </w:r>
      <w:proofErr w:type="spellStart"/>
      <w:r w:rsidRPr="00F74EEE">
        <w:t>decompensation</w:t>
      </w:r>
      <w:proofErr w:type="spellEnd"/>
      <w:r w:rsidRPr="00F74EEE">
        <w:t xml:space="preserve"> and </w:t>
      </w:r>
      <w:proofErr w:type="spellStart"/>
      <w:r w:rsidRPr="00F74EEE">
        <w:t>thromboembolic</w:t>
      </w:r>
      <w:proofErr w:type="spellEnd"/>
      <w:r w:rsidRPr="00F74EEE">
        <w:t xml:space="preserve"> events.</w:t>
      </w:r>
    </w:p>
    <w:p w:rsidR="00F74EEE" w:rsidRPr="00F74EEE" w:rsidRDefault="00F74EEE" w:rsidP="00FD5E1D">
      <w:pPr>
        <w:pStyle w:val="Heading3"/>
      </w:pPr>
      <w:bookmarkStart w:id="306" w:name="_Toc236802597"/>
      <w:bookmarkStart w:id="307" w:name="_Toc241374335"/>
      <w:bookmarkStart w:id="308" w:name="_Toc272414695"/>
      <w:bookmarkStart w:id="309" w:name="_Toc290846333"/>
      <w:bookmarkStart w:id="310" w:name="_Toc290888870"/>
      <w:bookmarkStart w:id="311" w:name="_Toc376875794"/>
      <w:r w:rsidRPr="00F74EEE">
        <w:t>First round assessment of benefit-risk balance</w:t>
      </w:r>
      <w:bookmarkEnd w:id="306"/>
      <w:bookmarkEnd w:id="307"/>
      <w:bookmarkEnd w:id="308"/>
      <w:bookmarkEnd w:id="309"/>
      <w:bookmarkEnd w:id="310"/>
      <w:bookmarkEnd w:id="311"/>
    </w:p>
    <w:p w:rsidR="00F74EEE" w:rsidRPr="00F74EEE" w:rsidRDefault="00F74EEE" w:rsidP="00F74EEE">
      <w:r w:rsidRPr="00F74EEE">
        <w:t xml:space="preserve">The benefit-risk balance of </w:t>
      </w:r>
      <w:proofErr w:type="spellStart"/>
      <w:r w:rsidRPr="00F74EEE">
        <w:t>eltrombopag</w:t>
      </w:r>
      <w:proofErr w:type="spellEnd"/>
      <w:r w:rsidRPr="00F74EEE">
        <w:t xml:space="preserve">, given the proposed usage, </w:t>
      </w:r>
      <w:r w:rsidR="00FD5E1D">
        <w:t xml:space="preserve">was considered to be </w:t>
      </w:r>
      <w:r w:rsidRPr="00F74EEE">
        <w:t>favourable.</w:t>
      </w:r>
    </w:p>
    <w:p w:rsidR="00C22678" w:rsidRDefault="00C22678" w:rsidP="00C22678">
      <w:pPr>
        <w:pStyle w:val="Heading2"/>
      </w:pPr>
      <w:bookmarkStart w:id="312" w:name="_Toc376875795"/>
      <w:r>
        <w:t>First round recommendation regarding authorisation</w:t>
      </w:r>
      <w:bookmarkEnd w:id="312"/>
    </w:p>
    <w:p w:rsidR="00F74EEE" w:rsidRDefault="00FD5E1D" w:rsidP="00EF46A4">
      <w:proofErr w:type="spellStart"/>
      <w:r>
        <w:t>E</w:t>
      </w:r>
      <w:r w:rsidR="00F74EEE" w:rsidRPr="00236BF1">
        <w:t>ltrombopag</w:t>
      </w:r>
      <w:proofErr w:type="spellEnd"/>
      <w:r w:rsidR="00F74EEE" w:rsidRPr="00236BF1">
        <w:t xml:space="preserve"> was approved for use in Australia in July 2010 (ARTG 158419/158356</w:t>
      </w:r>
      <w:r w:rsidR="00F74EEE">
        <w:t>) for</w:t>
      </w:r>
      <w:r w:rsidR="00F74EEE" w:rsidRPr="00236BF1">
        <w:t xml:space="preserve"> </w:t>
      </w:r>
      <w:r w:rsidR="00F74EEE">
        <w:t>t</w:t>
      </w:r>
      <w:r w:rsidR="00F74EEE" w:rsidRPr="00CC618F">
        <w:t xml:space="preserve">reatment of adult patients with chronic immune (idiopathic) </w:t>
      </w:r>
      <w:proofErr w:type="spellStart"/>
      <w:r w:rsidR="00F74EEE" w:rsidRPr="00CC618F">
        <w:t>thrombocytopaenic</w:t>
      </w:r>
      <w:proofErr w:type="spellEnd"/>
      <w:r w:rsidR="00F74EEE" w:rsidRPr="00CC618F">
        <w:t xml:space="preserve"> </w:t>
      </w:r>
      <w:proofErr w:type="spellStart"/>
      <w:r w:rsidR="00F74EEE" w:rsidRPr="00CC618F">
        <w:t>purpura</w:t>
      </w:r>
      <w:proofErr w:type="spellEnd"/>
      <w:r w:rsidR="00F74EEE" w:rsidRPr="00CC618F">
        <w:t xml:space="preserve"> (ITP) who have had an inadequate response, or are intolerant, to corticosteroids and </w:t>
      </w:r>
      <w:proofErr w:type="spellStart"/>
      <w:r w:rsidR="00F74EEE" w:rsidRPr="00CC618F">
        <w:t>immunoglobulins</w:t>
      </w:r>
      <w:proofErr w:type="spellEnd"/>
      <w:r w:rsidR="00F74EEE">
        <w:t>. This application seeks to extend the application to</w:t>
      </w:r>
      <w:r w:rsidR="00F74EEE" w:rsidRPr="002406B7">
        <w:rPr>
          <w:bCs/>
          <w:iCs/>
        </w:rPr>
        <w:t xml:space="preserve"> the</w:t>
      </w:r>
      <w:r w:rsidR="00F74EEE">
        <w:rPr>
          <w:bCs/>
          <w:iCs/>
        </w:rPr>
        <w:t xml:space="preserve"> </w:t>
      </w:r>
      <w:r w:rsidR="00F74EEE" w:rsidRPr="002406B7">
        <w:rPr>
          <w:bCs/>
          <w:iCs/>
        </w:rPr>
        <w:t>treatment of thrombocytopenia adult patients with chronic hepatitis C virus (HCV) infection</w:t>
      </w:r>
      <w:r w:rsidR="00F74EEE">
        <w:rPr>
          <w:bCs/>
          <w:iCs/>
        </w:rPr>
        <w:t xml:space="preserve"> t</w:t>
      </w:r>
      <w:r w:rsidR="00F74EEE" w:rsidRPr="002406B7">
        <w:rPr>
          <w:bCs/>
          <w:iCs/>
        </w:rPr>
        <w:t>o enable the initiation of interferon-based therapy</w:t>
      </w:r>
      <w:r w:rsidR="00F74EEE">
        <w:rPr>
          <w:bCs/>
          <w:iCs/>
        </w:rPr>
        <w:t xml:space="preserve"> and also during</w:t>
      </w:r>
      <w:r w:rsidR="00F74EEE" w:rsidRPr="002406B7">
        <w:rPr>
          <w:bCs/>
          <w:iCs/>
        </w:rPr>
        <w:t xml:space="preserve"> interferon-based therapy</w:t>
      </w:r>
      <w:r w:rsidR="00F74EEE">
        <w:rPr>
          <w:bCs/>
          <w:iCs/>
        </w:rPr>
        <w:t xml:space="preserve">.  </w:t>
      </w:r>
      <w:r w:rsidR="00F74EEE" w:rsidRPr="007D1158">
        <w:rPr>
          <w:bCs/>
          <w:iCs/>
        </w:rPr>
        <w:t xml:space="preserve">As such, </w:t>
      </w:r>
      <w:proofErr w:type="spellStart"/>
      <w:r w:rsidR="00F74EEE" w:rsidRPr="007D1158">
        <w:t>eltrombopag</w:t>
      </w:r>
      <w:proofErr w:type="spellEnd"/>
      <w:r w:rsidR="00F74EEE" w:rsidRPr="007D1158">
        <w:t xml:space="preserve"> treatment would raise platelet counts to allow thrombocytopenic HCV subjects to become eligible for the initiation of interferon-based antiviral therapy; and would allow continuation of antiviral therapy at higher doses with less need for thrombocytopenia-induced dose reductions of interferon, thereby increasing the likelihood of achieving SVR .</w:t>
      </w:r>
    </w:p>
    <w:p w:rsidR="00F74EEE" w:rsidRDefault="00F74EEE" w:rsidP="00F74EEE">
      <w:pPr>
        <w:autoSpaceDE w:val="0"/>
        <w:autoSpaceDN w:val="0"/>
        <w:adjustRightInd w:val="0"/>
        <w:rPr>
          <w:bCs/>
          <w:iCs/>
        </w:rPr>
      </w:pPr>
      <w:r>
        <w:rPr>
          <w:bCs/>
          <w:iCs/>
        </w:rPr>
        <w:t xml:space="preserve">The pharmacokinetics and </w:t>
      </w:r>
      <w:proofErr w:type="spellStart"/>
      <w:r>
        <w:rPr>
          <w:bCs/>
          <w:iCs/>
        </w:rPr>
        <w:t>pharmacodynamics</w:t>
      </w:r>
      <w:proofErr w:type="spellEnd"/>
      <w:r>
        <w:rPr>
          <w:bCs/>
          <w:iCs/>
        </w:rPr>
        <w:t xml:space="preserve"> of </w:t>
      </w:r>
      <w:proofErr w:type="spellStart"/>
      <w:r>
        <w:rPr>
          <w:bCs/>
          <w:iCs/>
        </w:rPr>
        <w:t>eltrombopag</w:t>
      </w:r>
      <w:proofErr w:type="spellEnd"/>
      <w:r>
        <w:rPr>
          <w:bCs/>
          <w:iCs/>
        </w:rPr>
        <w:t xml:space="preserve"> have previously been well characterised. Additional information was provided on pharmacokinetics in the target population, including the proposed new dosage strengths of 75 mg and 100 mg as well as </w:t>
      </w:r>
      <w:proofErr w:type="spellStart"/>
      <w:r>
        <w:rPr>
          <w:bCs/>
          <w:iCs/>
        </w:rPr>
        <w:t>pharmacodynamic</w:t>
      </w:r>
      <w:proofErr w:type="spellEnd"/>
      <w:r>
        <w:rPr>
          <w:bCs/>
          <w:iCs/>
        </w:rPr>
        <w:t xml:space="preserve"> modelling in HCV. There were no unexpected trends or adverse findings.</w:t>
      </w:r>
    </w:p>
    <w:p w:rsidR="00F74EEE" w:rsidRDefault="00F74EEE" w:rsidP="00EF46A4">
      <w:r>
        <w:t xml:space="preserve">There is no specific </w:t>
      </w:r>
      <w:r w:rsidR="00FD5E1D">
        <w:t>European Medicines Agency (</w:t>
      </w:r>
      <w:r>
        <w:t>EMA</w:t>
      </w:r>
      <w:r w:rsidR="00FD5E1D">
        <w:t>)</w:t>
      </w:r>
      <w:r>
        <w:t xml:space="preserve"> guidance on thrombopoietin agonists, although the need for this has been recognised. EMA guidance does exist on the clinical evaluation of medicinal products for the treatment of chronic hepatitis C. The pivotal efficacy studies reflected this guidance and were appropriately designed and powered to be clinically meaningful. </w:t>
      </w:r>
      <w:r w:rsidRPr="006C0F10">
        <w:t>Both studies demonstrated that a greater proportion of eltrombopag subjects achieved</w:t>
      </w:r>
      <w:r>
        <w:t xml:space="preserve"> </w:t>
      </w:r>
      <w:r w:rsidRPr="006C0F10">
        <w:t>SVR than did placebo subjects and this result was statistically significant.</w:t>
      </w:r>
      <w:r>
        <w:t xml:space="preserve"> </w:t>
      </w:r>
      <w:r w:rsidRPr="006C0F10">
        <w:t>The response to eltrombopag during OL treatment was similar in both studies with 97% and 96% of subjects in ENABLE 1 and ENABLE 2, respectively, achieving a</w:t>
      </w:r>
      <w:r>
        <w:t xml:space="preserve"> </w:t>
      </w:r>
      <w:r w:rsidRPr="006C0F10">
        <w:t>platelet count that would allow the initiation of antiviral therapy. Platelet counts began to</w:t>
      </w:r>
      <w:r>
        <w:t xml:space="preserve"> </w:t>
      </w:r>
      <w:r w:rsidRPr="006C0F10">
        <w:t>rise within the first week of treatment with eltrombopag, and the median time to achieve</w:t>
      </w:r>
      <w:r>
        <w:t xml:space="preserve"> </w:t>
      </w:r>
      <w:r w:rsidRPr="006C0F10">
        <w:t>the target platelet count was</w:t>
      </w:r>
      <w:r>
        <w:t xml:space="preserve"> </w:t>
      </w:r>
      <w:r w:rsidRPr="006C0F10">
        <w:t>about 2 weeks, with over 75% of subjects achieving these target platelet counts within the</w:t>
      </w:r>
      <w:r>
        <w:t xml:space="preserve"> </w:t>
      </w:r>
      <w:r w:rsidRPr="006C0F10">
        <w:t>first 4 weeks of treatment. At the end of treatment, 48% (ENABLE 1) and 38% (ENABLE 2) of subjects</w:t>
      </w:r>
      <w:r>
        <w:t xml:space="preserve"> </w:t>
      </w:r>
      <w:r w:rsidR="00FD5E1D">
        <w:t>randomis</w:t>
      </w:r>
      <w:r w:rsidRPr="006C0F10">
        <w:t>ed to the eltrombopag arm were HCV RNA negative, significantly more than in the respective placebo arms (37% for ENABLE 1and 23% for ENABLE 2).</w:t>
      </w:r>
    </w:p>
    <w:p w:rsidR="00F74EEE" w:rsidRDefault="00F74EEE" w:rsidP="00EF46A4">
      <w:r>
        <w:t xml:space="preserve">Interpretation of safety results was complicated by the nature of the target population and the impact of a supportive agent (eltrombopag), allowing for more intensive anti-viral treatment than would otherwise be possible. Nonetheless, the safety profile was comparable between treatment and placebo groups. </w:t>
      </w:r>
      <w:r w:rsidRPr="004D2B88">
        <w:t>Thromboembolic/thrombotic complications were observed more frequently in the eltrombopag treatment group than in the placebo treatment group</w:t>
      </w:r>
      <w:r>
        <w:t xml:space="preserve">. </w:t>
      </w:r>
      <w:r w:rsidRPr="004D2B88">
        <w:t>Events suggestive of hepatic decompensation were observed more commonly in eltrombopag</w:t>
      </w:r>
      <w:r w:rsidR="00FD5E1D">
        <w:t xml:space="preserve"> </w:t>
      </w:r>
      <w:r w:rsidRPr="004D2B88">
        <w:t>treated subjects. Subjects with poor liver function at baseline had a greater risk of hepatic decompensation.</w:t>
      </w:r>
      <w:r>
        <w:t xml:space="preserve"> </w:t>
      </w:r>
      <w:r w:rsidRPr="004D2B88">
        <w:t>The incidence and progression of cataracts occurred more frequently in the</w:t>
      </w:r>
      <w:r>
        <w:t xml:space="preserve"> </w:t>
      </w:r>
      <w:r w:rsidRPr="004D2B88">
        <w:t>eltrombopag treatment group compared to the placebo treatment group.</w:t>
      </w:r>
      <w:r>
        <w:t xml:space="preserve"> None of these issues were unexpected and surveillance for these conditions is recommended during treatment.  Given the nature of the target population, all patients undergoing this treatment for this condition will require close surveillance to reduce morbidity and mortality from both the condition itself and any medication-related effects.</w:t>
      </w:r>
    </w:p>
    <w:p w:rsidR="00F74EEE" w:rsidRDefault="00F74EEE" w:rsidP="00EF46A4">
      <w:r>
        <w:t>Overall, this medication has an acceptable benefit-</w:t>
      </w:r>
      <w:r w:rsidR="00FD5E1D">
        <w:t>risk profile, and registration wa</w:t>
      </w:r>
      <w:r>
        <w:t xml:space="preserve">s recommended for the proposed indication. </w:t>
      </w:r>
    </w:p>
    <w:p w:rsidR="00C22678" w:rsidRDefault="00C22678" w:rsidP="00C22678">
      <w:pPr>
        <w:pStyle w:val="Heading2"/>
      </w:pPr>
      <w:bookmarkStart w:id="313" w:name="_Toc376875796"/>
      <w:r>
        <w:t>Clinical questions</w:t>
      </w:r>
      <w:bookmarkEnd w:id="313"/>
    </w:p>
    <w:p w:rsidR="00C22678" w:rsidRPr="00586F98" w:rsidRDefault="00F74EEE" w:rsidP="00EF46A4">
      <w:pPr>
        <w:rPr>
          <w:lang w:eastAsia="ja-JP"/>
        </w:rPr>
      </w:pPr>
      <w:r>
        <w:rPr>
          <w:lang w:eastAsia="ja-JP"/>
        </w:rPr>
        <w:t>No questions were raised by the evaluator.</w:t>
      </w:r>
    </w:p>
    <w:p w:rsidR="00C618F7" w:rsidRDefault="00C618F7" w:rsidP="00EF46A4">
      <w:pPr>
        <w:pStyle w:val="Heading2"/>
      </w:pPr>
      <w:bookmarkStart w:id="314" w:name="_Toc376875797"/>
      <w:r>
        <w:t>Second round evaluation of clinical data submitted in response to questions</w:t>
      </w:r>
      <w:bookmarkEnd w:id="314"/>
    </w:p>
    <w:p w:rsidR="00FD5E1D" w:rsidRPr="00FD5E1D" w:rsidRDefault="00FD5E1D" w:rsidP="00EF46A4">
      <w:pPr>
        <w:rPr>
          <w:lang w:eastAsia="ja-JP"/>
        </w:rPr>
      </w:pPr>
      <w:r>
        <w:rPr>
          <w:lang w:eastAsia="ja-JP"/>
        </w:rPr>
        <w:t>N</w:t>
      </w:r>
      <w:r w:rsidR="002D0BEA">
        <w:rPr>
          <w:lang w:eastAsia="ja-JP"/>
        </w:rPr>
        <w:t>o</w:t>
      </w:r>
      <w:r>
        <w:rPr>
          <w:lang w:eastAsia="ja-JP"/>
        </w:rPr>
        <w:t xml:space="preserve"> second round evaluation was conducted.</w:t>
      </w:r>
    </w:p>
    <w:p w:rsidR="00C618F7" w:rsidRDefault="00C618F7" w:rsidP="00EF46A4">
      <w:pPr>
        <w:pStyle w:val="Heading2"/>
      </w:pPr>
      <w:bookmarkStart w:id="315" w:name="_Toc376875798"/>
      <w:r>
        <w:t>References</w:t>
      </w:r>
      <w:bookmarkEnd w:id="315"/>
    </w:p>
    <w:p w:rsidR="00C618F7" w:rsidRPr="00586F98" w:rsidRDefault="00FD5E1D" w:rsidP="00EF46A4">
      <w:pPr>
        <w:rPr>
          <w:lang w:eastAsia="ja-JP"/>
        </w:rPr>
      </w:pPr>
      <w:r>
        <w:rPr>
          <w:lang w:eastAsia="ja-JP"/>
        </w:rPr>
        <w:t>Nil.</w:t>
      </w:r>
    </w:p>
    <w:bookmarkEnd w:id="1"/>
    <w:bookmarkEnd w:id="0"/>
    <w:bookmarkEnd w:id="2"/>
    <w:p w:rsidR="003D1E62" w:rsidRPr="001D043B" w:rsidRDefault="008E7846" w:rsidP="002666AC">
      <w:pPr>
        <w:sectPr w:rsidR="003D1E62" w:rsidRPr="001D043B" w:rsidSect="008D770F">
          <w:headerReference w:type="even" r:id="rId35"/>
          <w:headerReference w:type="default" r:id="rId36"/>
          <w:footerReference w:type="default" r:id="rId37"/>
          <w:headerReference w:type="first" r:id="rId38"/>
          <w:footerReference w:type="first" r:id="rId39"/>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CA9" w:rsidRDefault="00910CA9" w:rsidP="00C40A36">
      <w:pPr>
        <w:spacing w:after="0"/>
      </w:pPr>
      <w:r>
        <w:separator/>
      </w:r>
    </w:p>
  </w:endnote>
  <w:endnote w:type="continuationSeparator" w:id="0">
    <w:p w:rsidR="00910CA9" w:rsidRDefault="00910CA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MT">
    <w:altName w:val="Times New Roman"/>
    <w:panose1 w:val="00000000000000000000"/>
    <w:charset w:val="A1"/>
    <w:family w:val="auto"/>
    <w:notTrueType/>
    <w:pitch w:val="default"/>
    <w:sig w:usb0="00000083" w:usb1="00000000" w:usb2="00000000" w:usb3="00000000" w:csb0="00000009"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10CA9" w:rsidRPr="00487162" w:rsidTr="0053625B">
      <w:trPr>
        <w:trHeight w:val="269"/>
      </w:trPr>
      <w:tc>
        <w:tcPr>
          <w:tcW w:w="7938" w:type="dxa"/>
          <w:tcMar>
            <w:top w:w="142" w:type="dxa"/>
            <w:bottom w:w="0" w:type="dxa"/>
          </w:tcMar>
        </w:tcPr>
        <w:p w:rsidR="00910CA9" w:rsidRPr="00487162" w:rsidRDefault="00910CA9" w:rsidP="00F74EEE">
          <w:pPr>
            <w:pStyle w:val="Footer"/>
          </w:pPr>
          <w:r>
            <w:t>Submission</w:t>
          </w:r>
          <w:r w:rsidRPr="00487162">
            <w:t xml:space="preserve"> PM-20</w:t>
          </w:r>
          <w:r>
            <w:t>12</w:t>
          </w:r>
          <w:r w:rsidRPr="00487162">
            <w:t>-</w:t>
          </w:r>
          <w:r>
            <w:t xml:space="preserve">01934-3-2 Extract from the Clinical Evaluation Report for </w:t>
          </w:r>
          <w:proofErr w:type="spellStart"/>
          <w:r w:rsidRPr="000A263C">
            <w:t>Eltrombopag</w:t>
          </w:r>
          <w:proofErr w:type="spellEnd"/>
          <w:r>
            <w:t xml:space="preserve"> (</w:t>
          </w:r>
          <w:proofErr w:type="spellStart"/>
          <w:r>
            <w:t>Revolade</w:t>
          </w:r>
          <w:proofErr w:type="spellEnd"/>
          <w:r>
            <w:t>)</w:t>
          </w:r>
        </w:p>
      </w:tc>
      <w:tc>
        <w:tcPr>
          <w:tcW w:w="923" w:type="dxa"/>
          <w:tcMar>
            <w:top w:w="142" w:type="dxa"/>
            <w:bottom w:w="0" w:type="dxa"/>
          </w:tcMar>
        </w:tcPr>
        <w:p w:rsidR="00910CA9" w:rsidRPr="00487162" w:rsidRDefault="00910CA9" w:rsidP="00D855D4">
          <w:pPr>
            <w:pStyle w:val="Footer"/>
            <w:jc w:val="right"/>
          </w:pPr>
          <w:r w:rsidRPr="00487162">
            <w:t xml:space="preserve">Page </w:t>
          </w:r>
          <w:r>
            <w:t>2</w:t>
          </w:r>
          <w:r w:rsidRPr="00487162">
            <w:t xml:space="preserve"> of </w:t>
          </w:r>
          <w:fldSimple w:instr=" NUMPAGES  \* Arabic ">
            <w:r w:rsidR="00EF46A4">
              <w:rPr>
                <w:noProof/>
              </w:rPr>
              <w:t>39</w:t>
            </w:r>
          </w:fldSimple>
        </w:p>
      </w:tc>
    </w:tr>
  </w:tbl>
  <w:p w:rsidR="00910CA9" w:rsidRDefault="00910CA9"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910CA9" w:rsidRPr="00487162" w:rsidTr="00586F98">
      <w:trPr>
        <w:trHeight w:val="269"/>
      </w:trPr>
      <w:tc>
        <w:tcPr>
          <w:tcW w:w="7655" w:type="dxa"/>
          <w:tcMar>
            <w:top w:w="142" w:type="dxa"/>
            <w:bottom w:w="0" w:type="dxa"/>
          </w:tcMar>
        </w:tcPr>
        <w:p w:rsidR="00910CA9" w:rsidRPr="00487162" w:rsidRDefault="00910CA9" w:rsidP="00D855D4">
          <w:pPr>
            <w:pStyle w:val="Footer"/>
          </w:pPr>
          <w:r>
            <w:t>Submission</w:t>
          </w:r>
          <w:r w:rsidRPr="00487162">
            <w:t xml:space="preserve"> PM-20</w:t>
          </w:r>
          <w:r>
            <w:t>12</w:t>
          </w:r>
          <w:r w:rsidRPr="00487162">
            <w:t>-</w:t>
          </w:r>
          <w:r>
            <w:t xml:space="preserve">01934-3-2 Extract from the Clinical Evaluation Report for </w:t>
          </w:r>
          <w:proofErr w:type="spellStart"/>
          <w:r w:rsidRPr="000A263C">
            <w:t>Eltrombopag</w:t>
          </w:r>
          <w:proofErr w:type="spellEnd"/>
          <w:r>
            <w:t xml:space="preserve"> (</w:t>
          </w:r>
          <w:proofErr w:type="spellStart"/>
          <w:r>
            <w:t>Revolade</w:t>
          </w:r>
          <w:proofErr w:type="spellEnd"/>
          <w:r>
            <w:t>)</w:t>
          </w:r>
        </w:p>
      </w:tc>
      <w:tc>
        <w:tcPr>
          <w:tcW w:w="1206" w:type="dxa"/>
          <w:tcMar>
            <w:top w:w="142" w:type="dxa"/>
            <w:bottom w:w="0" w:type="dxa"/>
          </w:tcMar>
        </w:tcPr>
        <w:p w:rsidR="00910CA9" w:rsidRPr="00487162" w:rsidRDefault="00910CA9" w:rsidP="00E45619">
          <w:pPr>
            <w:pStyle w:val="Footer"/>
            <w:jc w:val="right"/>
          </w:pPr>
          <w:r w:rsidRPr="00487162">
            <w:t xml:space="preserve">Page </w:t>
          </w:r>
          <w:fldSimple w:instr="PAGE">
            <w:r w:rsidR="00EF46A4">
              <w:rPr>
                <w:noProof/>
              </w:rPr>
              <w:t>38</w:t>
            </w:r>
          </w:fldSimple>
          <w:r w:rsidRPr="00487162">
            <w:t xml:space="preserve"> of </w:t>
          </w:r>
          <w:fldSimple w:instr=" NUMPAGES  \* Arabic ">
            <w:r w:rsidR="00EF46A4">
              <w:rPr>
                <w:noProof/>
              </w:rPr>
              <w:t>39</w:t>
            </w:r>
          </w:fldSimple>
        </w:p>
      </w:tc>
    </w:tr>
  </w:tbl>
  <w:p w:rsidR="00910CA9" w:rsidRDefault="00910CA9"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10CA9" w:rsidRPr="00487162" w:rsidTr="00E45619">
      <w:trPr>
        <w:trHeight w:val="269"/>
      </w:trPr>
      <w:tc>
        <w:tcPr>
          <w:tcW w:w="4519" w:type="dxa"/>
          <w:tcBorders>
            <w:top w:val="single" w:sz="4" w:space="0" w:color="auto"/>
          </w:tcBorders>
          <w:tcMar>
            <w:top w:w="142" w:type="dxa"/>
            <w:bottom w:w="0" w:type="dxa"/>
          </w:tcMar>
        </w:tcPr>
        <w:p w:rsidR="00910CA9" w:rsidRPr="00487162" w:rsidRDefault="00910CA9" w:rsidP="00FE1DEE">
          <w:pPr>
            <w:pStyle w:val="Footer"/>
          </w:pPr>
          <w:r w:rsidRPr="00487162">
            <w:t>Document title, Part #, Section # - Section title</w:t>
          </w:r>
        </w:p>
        <w:p w:rsidR="00910CA9" w:rsidRPr="00487162" w:rsidRDefault="00910CA9" w:rsidP="00FE1DEE">
          <w:pPr>
            <w:pStyle w:val="Footer"/>
          </w:pPr>
          <w:r w:rsidRPr="00487162">
            <w:t>V1.0 October 2010</w:t>
          </w:r>
        </w:p>
      </w:tc>
      <w:tc>
        <w:tcPr>
          <w:tcW w:w="4342" w:type="dxa"/>
          <w:tcBorders>
            <w:top w:val="single" w:sz="4" w:space="0" w:color="auto"/>
          </w:tcBorders>
          <w:tcMar>
            <w:top w:w="142" w:type="dxa"/>
            <w:bottom w:w="0" w:type="dxa"/>
          </w:tcMar>
        </w:tcPr>
        <w:p w:rsidR="00910CA9" w:rsidRPr="00487162" w:rsidRDefault="00910CA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39</w:t>
            </w:r>
          </w:fldSimple>
        </w:p>
      </w:tc>
    </w:tr>
  </w:tbl>
  <w:p w:rsidR="00910CA9" w:rsidRDefault="00910C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910CA9" w:rsidRPr="00487162" w:rsidTr="008D770F">
              <w:trPr>
                <w:trHeight w:hRule="exact" w:val="564"/>
              </w:trPr>
              <w:tc>
                <w:tcPr>
                  <w:tcW w:w="9175" w:type="dxa"/>
                </w:tcPr>
                <w:p w:rsidR="00910CA9" w:rsidRPr="00487162" w:rsidRDefault="00910CA9" w:rsidP="008E7846">
                  <w:pPr>
                    <w:pStyle w:val="TGASignoff"/>
                  </w:pPr>
                  <w:r w:rsidRPr="00487162">
                    <w:t>Therapeutic Goods Administration</w:t>
                  </w:r>
                </w:p>
              </w:tc>
            </w:tr>
            <w:tr w:rsidR="00910CA9" w:rsidRPr="00487162" w:rsidTr="00E45619">
              <w:trPr>
                <w:trHeight w:val="1221"/>
              </w:trPr>
              <w:tc>
                <w:tcPr>
                  <w:tcW w:w="9175" w:type="dxa"/>
                  <w:tcMar>
                    <w:top w:w="28" w:type="dxa"/>
                  </w:tcMar>
                </w:tcPr>
                <w:p w:rsidR="00910CA9" w:rsidRPr="00487162" w:rsidRDefault="00910CA9" w:rsidP="00E45619">
                  <w:pPr>
                    <w:pStyle w:val="Address"/>
                  </w:pPr>
                  <w:r w:rsidRPr="00487162">
                    <w:t>PO Box 100 Woden ACT 2606 Australia</w:t>
                  </w:r>
                </w:p>
                <w:p w:rsidR="00910CA9" w:rsidRPr="00487162" w:rsidRDefault="00910CA9"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910CA9" w:rsidRPr="008D770F" w:rsidRDefault="00910CA9" w:rsidP="008D770F">
                  <w:pPr>
                    <w:pStyle w:val="Address"/>
                    <w:spacing w:line="260" w:lineRule="atLeast"/>
                    <w:rPr>
                      <w:b/>
                      <w:color w:val="0000FF"/>
                      <w:u w:val="single"/>
                    </w:rPr>
                  </w:pPr>
                  <w:hyperlink r:id="rId2" w:history="1">
                    <w:r w:rsidRPr="007C06C7">
                      <w:rPr>
                        <w:rStyle w:val="Hyperlink"/>
                        <w:b/>
                      </w:rPr>
                      <w:t>http://www.tga.gov.au</w:t>
                    </w:r>
                  </w:hyperlink>
                </w:p>
              </w:tc>
            </w:tr>
          </w:tbl>
          <w:p w:rsidR="00910CA9" w:rsidRDefault="00910CA9"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10CA9" w:rsidTr="0010601F">
      <w:trPr>
        <w:trHeight w:val="108"/>
      </w:trPr>
      <w:tc>
        <w:tcPr>
          <w:tcW w:w="8875" w:type="dxa"/>
          <w:gridSpan w:val="2"/>
          <w:tcBorders>
            <w:bottom w:val="single" w:sz="4" w:space="0" w:color="auto"/>
          </w:tcBorders>
          <w:tcMar>
            <w:right w:w="284" w:type="dxa"/>
          </w:tcMar>
        </w:tcPr>
        <w:p w:rsidR="00910CA9" w:rsidRDefault="00910CA9" w:rsidP="006E08B3">
          <w:pPr>
            <w:pStyle w:val="Heading3"/>
          </w:pPr>
          <w:r>
            <w:t>Copyright</w:t>
          </w:r>
        </w:p>
        <w:p w:rsidR="00910CA9" w:rsidRDefault="00910CA9" w:rsidP="006E08B3">
          <w:r>
            <w:rPr>
              <w:rFonts w:cs="Arial"/>
            </w:rPr>
            <w:t>©</w:t>
          </w:r>
          <w:r>
            <w:t xml:space="preserve"> Commonwealth of Australia [add year]</w:t>
          </w:r>
        </w:p>
        <w:p w:rsidR="00910CA9" w:rsidRDefault="00910CA9" w:rsidP="006E08B3"/>
        <w:p w:rsidR="00910CA9" w:rsidRDefault="00910C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10CA9" w:rsidRDefault="00910CA9" w:rsidP="006E08B3"/>
        <w:p w:rsidR="00910CA9" w:rsidRDefault="00910CA9" w:rsidP="006E08B3">
          <w:pPr>
            <w:pStyle w:val="Heading3"/>
          </w:pPr>
          <w:r>
            <w:t>Confidentiality</w:t>
          </w:r>
        </w:p>
        <w:p w:rsidR="00910CA9" w:rsidRDefault="00910C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10CA9" w:rsidRDefault="00910CA9" w:rsidP="006E08B3"/>
        <w:p w:rsidR="00910CA9" w:rsidRDefault="00910CA9" w:rsidP="006E08B3">
          <w:r>
            <w:t>For submission made by individuals, all personal details, other than your name, will be removed from your submission before it is published on the TGA’s Internet site.</w:t>
          </w:r>
        </w:p>
        <w:p w:rsidR="00910CA9" w:rsidRDefault="00910CA9" w:rsidP="006E08B3"/>
        <w:p w:rsidR="00910CA9" w:rsidRDefault="00910CA9" w:rsidP="006E08B3">
          <w:r>
            <w:t>In addition, a list of parties making submissions will be published. If you do not wish to be identified with your submission you must specifically request this in the space provided ib the submission coversheet.</w:t>
          </w:r>
        </w:p>
      </w:tc>
    </w:tr>
    <w:tr w:rsidR="00910CA9" w:rsidTr="0010601F">
      <w:trPr>
        <w:trHeight w:val="417"/>
      </w:trPr>
      <w:tc>
        <w:tcPr>
          <w:tcW w:w="4519" w:type="dxa"/>
          <w:tcBorders>
            <w:top w:val="single" w:sz="4" w:space="0" w:color="auto"/>
          </w:tcBorders>
          <w:tcMar>
            <w:top w:w="142" w:type="dxa"/>
            <w:bottom w:w="0" w:type="dxa"/>
          </w:tcMar>
        </w:tcPr>
        <w:p w:rsidR="00910CA9" w:rsidRDefault="00910CA9" w:rsidP="006E08B3">
          <w:r>
            <w:t>Document title, Part #, Section # - Section title</w:t>
          </w:r>
        </w:p>
        <w:p w:rsidR="00910CA9" w:rsidRDefault="00910CA9" w:rsidP="006E08B3">
          <w:r>
            <w:t>V1.0 October 2010</w:t>
          </w:r>
        </w:p>
      </w:tc>
      <w:tc>
        <w:tcPr>
          <w:tcW w:w="4356" w:type="dxa"/>
          <w:tcBorders>
            <w:top w:val="single" w:sz="4" w:space="0" w:color="auto"/>
          </w:tcBorders>
          <w:tcMar>
            <w:top w:w="142" w:type="dxa"/>
            <w:bottom w:w="0" w:type="dxa"/>
          </w:tcMar>
        </w:tcPr>
        <w:p w:rsidR="00910CA9" w:rsidRDefault="00910CA9" w:rsidP="006E08B3">
          <w:pPr>
            <w:jc w:val="right"/>
          </w:pPr>
          <w:r>
            <w:t xml:space="preserve">Page </w:t>
          </w:r>
          <w:fldSimple w:instr=" PAGE   \* MERGEFORMAT ">
            <w:r>
              <w:rPr>
                <w:noProof/>
              </w:rPr>
              <w:t>1</w:t>
            </w:r>
          </w:fldSimple>
          <w:r>
            <w:t xml:space="preserve"> of </w:t>
          </w:r>
          <w:fldSimple w:instr=" NUMPAGES  \* Arabic ">
            <w:r>
              <w:rPr>
                <w:noProof/>
              </w:rPr>
              <w:t>39</w:t>
            </w:r>
          </w:fldSimple>
          <w:r>
            <w:t xml:space="preserve">  </w:t>
          </w:r>
        </w:p>
      </w:tc>
    </w:tr>
  </w:tbl>
  <w:p w:rsidR="00910CA9" w:rsidRDefault="00910CA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CA9" w:rsidRDefault="00910CA9" w:rsidP="00C40A36">
      <w:pPr>
        <w:spacing w:after="0"/>
      </w:pPr>
      <w:r>
        <w:separator/>
      </w:r>
    </w:p>
  </w:footnote>
  <w:footnote w:type="continuationSeparator" w:id="0">
    <w:p w:rsidR="00910CA9" w:rsidRDefault="00910CA9" w:rsidP="00C40A36">
      <w:pPr>
        <w:spacing w:after="0"/>
      </w:pPr>
      <w:r>
        <w:continuationSeparator/>
      </w:r>
    </w:p>
  </w:footnote>
  <w:footnote w:id="1">
    <w:p w:rsidR="00910CA9" w:rsidRPr="00764BF0" w:rsidRDefault="00910CA9">
      <w:pPr>
        <w:pStyle w:val="FootnoteText"/>
        <w:rPr>
          <w:sz w:val="18"/>
          <w:szCs w:val="18"/>
        </w:rPr>
      </w:pPr>
      <w:r w:rsidRPr="00764BF0">
        <w:rPr>
          <w:rStyle w:val="FootnoteReference"/>
          <w:sz w:val="18"/>
          <w:szCs w:val="18"/>
        </w:rPr>
        <w:footnoteRef/>
      </w:r>
      <w:r w:rsidRPr="00764BF0">
        <w:rPr>
          <w:sz w:val="18"/>
          <w:szCs w:val="18"/>
        </w:rPr>
        <w:t xml:space="preserve"> The </w:t>
      </w:r>
      <w:r w:rsidRPr="00764BF0">
        <w:rPr>
          <w:b/>
          <w:bCs/>
          <w:sz w:val="18"/>
          <w:szCs w:val="18"/>
        </w:rPr>
        <w:t>Child-Pugh score</w:t>
      </w:r>
      <w:r w:rsidRPr="00764BF0">
        <w:rPr>
          <w:sz w:val="18"/>
          <w:szCs w:val="18"/>
        </w:rPr>
        <w:t xml:space="preserve"> is used to assess the prognosis of chronic liver disease. The score employs five clinical measures of liver disease. Each measure is scored 1-3, with 3 indicating most severe derangement.</w:t>
      </w:r>
    </w:p>
  </w:footnote>
  <w:footnote w:id="2">
    <w:p w:rsidR="00910CA9" w:rsidRPr="000A263C" w:rsidRDefault="00910CA9" w:rsidP="00EB0442">
      <w:pPr>
        <w:pStyle w:val="FootnoteText"/>
        <w:ind w:left="142" w:hanging="142"/>
        <w:rPr>
          <w:sz w:val="18"/>
          <w:szCs w:val="18"/>
        </w:rPr>
      </w:pPr>
      <w:r w:rsidRPr="000A263C">
        <w:rPr>
          <w:rStyle w:val="FootnoteReference"/>
          <w:sz w:val="18"/>
          <w:szCs w:val="18"/>
        </w:rPr>
        <w:footnoteRef/>
      </w:r>
      <w:r w:rsidRPr="000A263C">
        <w:rPr>
          <w:sz w:val="18"/>
          <w:szCs w:val="18"/>
        </w:rPr>
        <w:t>EMEA/CHMP/51240/2011. &lt;http://www.ema.europa.eu/docs/en_GB/document_library/Scientific_guideline/2011/02/WC500102109.pdf&gt;</w:t>
      </w:r>
    </w:p>
  </w:footnote>
  <w:footnote w:id="3">
    <w:p w:rsidR="00910CA9" w:rsidRPr="00DC2314" w:rsidRDefault="00910CA9">
      <w:pPr>
        <w:pStyle w:val="FootnoteText"/>
        <w:rPr>
          <w:sz w:val="18"/>
          <w:szCs w:val="18"/>
        </w:rPr>
      </w:pPr>
      <w:r w:rsidRPr="00DC2314">
        <w:rPr>
          <w:rStyle w:val="FootnoteReference"/>
          <w:sz w:val="18"/>
          <w:szCs w:val="18"/>
        </w:rPr>
        <w:footnoteRef/>
      </w:r>
      <w:r w:rsidRPr="00DC2314">
        <w:rPr>
          <w:sz w:val="18"/>
          <w:szCs w:val="18"/>
        </w:rPr>
        <w:t xml:space="preserve"> A score that is used to rank the urgency for liver transplant. The worse your liver works, the higher your MELD score and the higher your position on the transplant list.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-1089515</wp:posOffset>
          </wp:positionH>
          <wp:positionV relativeFrom="paragraph">
            <wp:posOffset>-585470</wp:posOffset>
          </wp:positionV>
          <wp:extent cx="7568736"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10CA9" w:rsidRDefault="00910CA9"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9" w:rsidRDefault="00910CA9" w:rsidP="006E08B3">
    <w:r>
      <w:t>Therapeutic Goods Administration</w:t>
    </w:r>
  </w:p>
  <w:p w:rsidR="00910CA9" w:rsidRDefault="00910CA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CFC3333"/>
    <w:multiLevelType w:val="multilevel"/>
    <w:tmpl w:val="BE368E54"/>
    <w:lvl w:ilvl="0">
      <w:start w:val="1"/>
      <w:numFmt w:val="lowerRoman"/>
      <w:lvlText w:val="%1."/>
      <w:lvlJc w:val="righ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23621F54"/>
    <w:multiLevelType w:val="multilevel"/>
    <w:tmpl w:val="23E08A5C"/>
    <w:lvl w:ilvl="0">
      <w:start w:val="1"/>
      <w:numFmt w:val="lowerRoman"/>
      <w:lvlText w:val="(%1)"/>
      <w:lvlJc w:val="left"/>
      <w:pPr>
        <w:ind w:left="360" w:hanging="360"/>
      </w:pPr>
      <w:rPr>
        <w:rFonts w:ascii="Cambria" w:hAnsi="Cambria" w:hint="default"/>
        <w:b w:val="0"/>
        <w:i w:val="0"/>
        <w:sz w:val="22"/>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7A3053D8"/>
    <w:multiLevelType w:val="hybridMultilevel"/>
    <w:tmpl w:val="72EC64C4"/>
    <w:lvl w:ilvl="0" w:tplc="209683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9"/>
  </w:num>
  <w:num w:numId="27">
    <w:abstractNumId w:val="10"/>
  </w:num>
  <w:num w:numId="28">
    <w:abstractNumId w:val="11"/>
  </w:num>
  <w:num w:numId="29">
    <w:abstractNumId w:val="12"/>
  </w:num>
  <w:num w:numId="30">
    <w:abstractNumId w:val="12"/>
  </w:num>
  <w:num w:numId="31">
    <w:abstractNumId w:val="12"/>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3"/>
  </w:num>
  <w:num w:numId="34">
    <w:abstractNumId w:val="7"/>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69634">
      <o:colormenu v:ext="edit" fillcolor="none [3206]"/>
    </o:shapedefaults>
  </w:hdrShapeDefaults>
  <w:footnotePr>
    <w:footnote w:id="-1"/>
    <w:footnote w:id="0"/>
  </w:footnotePr>
  <w:endnotePr>
    <w:endnote w:id="-1"/>
    <w:endnote w:id="0"/>
  </w:endnotePr>
  <w:compat/>
  <w:rsids>
    <w:rsidRoot w:val="00817DD7"/>
    <w:rsid w:val="00002031"/>
    <w:rsid w:val="00004734"/>
    <w:rsid w:val="00006B22"/>
    <w:rsid w:val="0001276A"/>
    <w:rsid w:val="000246AE"/>
    <w:rsid w:val="00025C67"/>
    <w:rsid w:val="00040ACB"/>
    <w:rsid w:val="0005559E"/>
    <w:rsid w:val="00077775"/>
    <w:rsid w:val="00082E81"/>
    <w:rsid w:val="00090471"/>
    <w:rsid w:val="000A0C01"/>
    <w:rsid w:val="000A263C"/>
    <w:rsid w:val="000A3AED"/>
    <w:rsid w:val="000A63AF"/>
    <w:rsid w:val="000B3532"/>
    <w:rsid w:val="000B3A75"/>
    <w:rsid w:val="000C690F"/>
    <w:rsid w:val="000D1295"/>
    <w:rsid w:val="000D391B"/>
    <w:rsid w:val="000D3D6D"/>
    <w:rsid w:val="000D4FC7"/>
    <w:rsid w:val="000F02F9"/>
    <w:rsid w:val="000F3664"/>
    <w:rsid w:val="000F4869"/>
    <w:rsid w:val="000F5B42"/>
    <w:rsid w:val="000F6E6F"/>
    <w:rsid w:val="001017DD"/>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59F1"/>
    <w:rsid w:val="001F49EB"/>
    <w:rsid w:val="001F6B54"/>
    <w:rsid w:val="001F6CBA"/>
    <w:rsid w:val="00201D4E"/>
    <w:rsid w:val="002076C9"/>
    <w:rsid w:val="00220B8A"/>
    <w:rsid w:val="002257F3"/>
    <w:rsid w:val="00233456"/>
    <w:rsid w:val="002339A5"/>
    <w:rsid w:val="00241BFF"/>
    <w:rsid w:val="00257848"/>
    <w:rsid w:val="002666AC"/>
    <w:rsid w:val="0027084A"/>
    <w:rsid w:val="00286434"/>
    <w:rsid w:val="00286C59"/>
    <w:rsid w:val="00292113"/>
    <w:rsid w:val="002942D1"/>
    <w:rsid w:val="0029501A"/>
    <w:rsid w:val="002B1638"/>
    <w:rsid w:val="002C63ED"/>
    <w:rsid w:val="002D0BEA"/>
    <w:rsid w:val="002D6161"/>
    <w:rsid w:val="002E4C9A"/>
    <w:rsid w:val="002F11F8"/>
    <w:rsid w:val="002F3F56"/>
    <w:rsid w:val="002F44B5"/>
    <w:rsid w:val="002F4C25"/>
    <w:rsid w:val="00311AC0"/>
    <w:rsid w:val="00321D5D"/>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0839"/>
    <w:rsid w:val="004A7E13"/>
    <w:rsid w:val="004B7B76"/>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86F98"/>
    <w:rsid w:val="0059229B"/>
    <w:rsid w:val="00592F6E"/>
    <w:rsid w:val="00593AD1"/>
    <w:rsid w:val="005A68B6"/>
    <w:rsid w:val="005C5570"/>
    <w:rsid w:val="005C79A4"/>
    <w:rsid w:val="005D5442"/>
    <w:rsid w:val="0060276D"/>
    <w:rsid w:val="00603F32"/>
    <w:rsid w:val="00620406"/>
    <w:rsid w:val="00632398"/>
    <w:rsid w:val="00634ED8"/>
    <w:rsid w:val="00640DC3"/>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4BF0"/>
    <w:rsid w:val="007652FF"/>
    <w:rsid w:val="00770EF1"/>
    <w:rsid w:val="00773EF7"/>
    <w:rsid w:val="00774E1D"/>
    <w:rsid w:val="0077675A"/>
    <w:rsid w:val="00780355"/>
    <w:rsid w:val="00785721"/>
    <w:rsid w:val="00793A59"/>
    <w:rsid w:val="007B6E9F"/>
    <w:rsid w:val="007C1216"/>
    <w:rsid w:val="007C1AF7"/>
    <w:rsid w:val="007E6E27"/>
    <w:rsid w:val="007F748D"/>
    <w:rsid w:val="00805D27"/>
    <w:rsid w:val="00817DD7"/>
    <w:rsid w:val="00821776"/>
    <w:rsid w:val="008321F5"/>
    <w:rsid w:val="00832369"/>
    <w:rsid w:val="00834660"/>
    <w:rsid w:val="00836BC2"/>
    <w:rsid w:val="008414A0"/>
    <w:rsid w:val="0085641B"/>
    <w:rsid w:val="00857136"/>
    <w:rsid w:val="00861E6E"/>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4B6C"/>
    <w:rsid w:val="008C51A9"/>
    <w:rsid w:val="008D770F"/>
    <w:rsid w:val="008E7846"/>
    <w:rsid w:val="008F1CCC"/>
    <w:rsid w:val="008F2967"/>
    <w:rsid w:val="008F6943"/>
    <w:rsid w:val="00902A21"/>
    <w:rsid w:val="00910CA9"/>
    <w:rsid w:val="009147E4"/>
    <w:rsid w:val="00920330"/>
    <w:rsid w:val="009219D7"/>
    <w:rsid w:val="00922D53"/>
    <w:rsid w:val="00923B70"/>
    <w:rsid w:val="00924482"/>
    <w:rsid w:val="00930237"/>
    <w:rsid w:val="00933248"/>
    <w:rsid w:val="00946EA5"/>
    <w:rsid w:val="0095160F"/>
    <w:rsid w:val="00955D0F"/>
    <w:rsid w:val="00963C08"/>
    <w:rsid w:val="0098585A"/>
    <w:rsid w:val="0098669D"/>
    <w:rsid w:val="009A4CED"/>
    <w:rsid w:val="009A690D"/>
    <w:rsid w:val="009B1D12"/>
    <w:rsid w:val="009B416B"/>
    <w:rsid w:val="009C4BD5"/>
    <w:rsid w:val="009D7B77"/>
    <w:rsid w:val="009E0BB0"/>
    <w:rsid w:val="009E3FBB"/>
    <w:rsid w:val="009E6E04"/>
    <w:rsid w:val="00A102E4"/>
    <w:rsid w:val="00A12C42"/>
    <w:rsid w:val="00A14DF7"/>
    <w:rsid w:val="00A235D9"/>
    <w:rsid w:val="00A3246D"/>
    <w:rsid w:val="00A329E6"/>
    <w:rsid w:val="00A36FA7"/>
    <w:rsid w:val="00A475B7"/>
    <w:rsid w:val="00A47AF7"/>
    <w:rsid w:val="00A47C3E"/>
    <w:rsid w:val="00A50226"/>
    <w:rsid w:val="00A60BAD"/>
    <w:rsid w:val="00A964D1"/>
    <w:rsid w:val="00AA0ED0"/>
    <w:rsid w:val="00AA3499"/>
    <w:rsid w:val="00AB2355"/>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FAC"/>
    <w:rsid w:val="00B37D17"/>
    <w:rsid w:val="00B4175E"/>
    <w:rsid w:val="00B452CE"/>
    <w:rsid w:val="00B54C25"/>
    <w:rsid w:val="00B76B91"/>
    <w:rsid w:val="00B77EB1"/>
    <w:rsid w:val="00B811C6"/>
    <w:rsid w:val="00B85A87"/>
    <w:rsid w:val="00B90940"/>
    <w:rsid w:val="00B92E08"/>
    <w:rsid w:val="00B96EBE"/>
    <w:rsid w:val="00BB1D82"/>
    <w:rsid w:val="00BC622A"/>
    <w:rsid w:val="00BD45E3"/>
    <w:rsid w:val="00BE0A78"/>
    <w:rsid w:val="00BE32D5"/>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2314"/>
    <w:rsid w:val="00DC6E02"/>
    <w:rsid w:val="00DE02AE"/>
    <w:rsid w:val="00DF1D7F"/>
    <w:rsid w:val="00DF4BE4"/>
    <w:rsid w:val="00E02FB4"/>
    <w:rsid w:val="00E07F15"/>
    <w:rsid w:val="00E20571"/>
    <w:rsid w:val="00E235F7"/>
    <w:rsid w:val="00E23659"/>
    <w:rsid w:val="00E239D4"/>
    <w:rsid w:val="00E26130"/>
    <w:rsid w:val="00E2741C"/>
    <w:rsid w:val="00E36BA2"/>
    <w:rsid w:val="00E40B22"/>
    <w:rsid w:val="00E45619"/>
    <w:rsid w:val="00E4588F"/>
    <w:rsid w:val="00E46DA3"/>
    <w:rsid w:val="00E51BB1"/>
    <w:rsid w:val="00E53F4F"/>
    <w:rsid w:val="00E55FCF"/>
    <w:rsid w:val="00E624A5"/>
    <w:rsid w:val="00E7344E"/>
    <w:rsid w:val="00E936E3"/>
    <w:rsid w:val="00EB0442"/>
    <w:rsid w:val="00EB0798"/>
    <w:rsid w:val="00EB40AD"/>
    <w:rsid w:val="00EB586E"/>
    <w:rsid w:val="00EB5FC8"/>
    <w:rsid w:val="00EC097A"/>
    <w:rsid w:val="00ED3CAD"/>
    <w:rsid w:val="00ED5A41"/>
    <w:rsid w:val="00EE1DE8"/>
    <w:rsid w:val="00EF46A4"/>
    <w:rsid w:val="00EF7474"/>
    <w:rsid w:val="00F033EC"/>
    <w:rsid w:val="00F04F68"/>
    <w:rsid w:val="00F12670"/>
    <w:rsid w:val="00F14B27"/>
    <w:rsid w:val="00F17333"/>
    <w:rsid w:val="00F27ED2"/>
    <w:rsid w:val="00F3148D"/>
    <w:rsid w:val="00F325C5"/>
    <w:rsid w:val="00F32FE0"/>
    <w:rsid w:val="00F35298"/>
    <w:rsid w:val="00F47333"/>
    <w:rsid w:val="00F47E37"/>
    <w:rsid w:val="00F53C07"/>
    <w:rsid w:val="00F54B65"/>
    <w:rsid w:val="00F640B6"/>
    <w:rsid w:val="00F74EEE"/>
    <w:rsid w:val="00F80E40"/>
    <w:rsid w:val="00F848D9"/>
    <w:rsid w:val="00FA5B82"/>
    <w:rsid w:val="00FA639E"/>
    <w:rsid w:val="00FC25E4"/>
    <w:rsid w:val="00FC4EF7"/>
    <w:rsid w:val="00FD5E1D"/>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963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Default">
    <w:name w:val="Default"/>
    <w:uiPriority w:val="99"/>
    <w:rsid w:val="00F74EEE"/>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FootnoteText">
    <w:name w:val="footnote text"/>
    <w:basedOn w:val="Normal"/>
    <w:link w:val="FootnoteTextChar"/>
    <w:uiPriority w:val="99"/>
    <w:semiHidden/>
    <w:unhideWhenUsed/>
    <w:rsid w:val="00817DD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17DD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817DD7"/>
    <w:rPr>
      <w:vertAlign w:val="superscript"/>
    </w:rPr>
  </w:style>
  <w:style w:type="paragraph" w:styleId="ListParagraph">
    <w:name w:val="List Paragraph"/>
    <w:basedOn w:val="Normal"/>
    <w:uiPriority w:val="34"/>
    <w:rsid w:val="00B35FA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4.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3.xml"/><Relationship Id="rId43"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892\t0N31LDS.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8A7CB-1732-4888-BE0C-14420B568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t0N31LDS.DOTX</Template>
  <TotalTime>94</TotalTime>
  <Pages>39</Pages>
  <Words>15113</Words>
  <Characters>86146</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Eltrombopag</vt:lpstr>
    </vt:vector>
  </TitlesOfParts>
  <Company>Department of Health Therapeutic Goods Administration</Company>
  <LinksUpToDate>false</LinksUpToDate>
  <CharactersWithSpaces>101057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Eltrombopag</dc:title>
  <dc:subject>prescription medicine regulation</dc:subject>
  <dc:creator>Therapeutic Goods Administration</dc:creator>
  <cp:keywords>clinical, evaluation, report, medicine, assessment, regulation, australia, eltrombopag, olamine, revolade, glaxosmithkline</cp:keywords>
  <cp:lastModifiedBy>Searson, Lisa</cp:lastModifiedBy>
  <cp:revision>5</cp:revision>
  <cp:lastPrinted>2010-12-20T22:59:00Z</cp:lastPrinted>
  <dcterms:created xsi:type="dcterms:W3CDTF">2013-12-02T23:08:00Z</dcterms:created>
  <dcterms:modified xsi:type="dcterms:W3CDTF">2014-01-07T05:33:00Z</dcterms:modified>
  <cp:category>External publication</cp:category>
</cp:coreProperties>
</file>