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May 2018"/>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E405F" w:rsidP="00096AA7">
            <w:pPr>
              <w:rPr>
                <w:rFonts w:ascii="Arial" w:hAnsi="Arial" w:cs="Arial"/>
                <w:b/>
                <w:color w:val="002C47"/>
                <w:sz w:val="36"/>
                <w:szCs w:val="36"/>
              </w:rPr>
            </w:pPr>
            <w:r>
              <w:rPr>
                <w:rFonts w:ascii="Arial" w:hAnsi="Arial" w:cs="Arial"/>
                <w:b/>
                <w:color w:val="002C47"/>
                <w:sz w:val="36"/>
                <w:szCs w:val="36"/>
              </w:rPr>
              <w:t xml:space="preserve">May </w:t>
            </w:r>
            <w:r w:rsidR="009D4C76">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Description w:val="May 2018"/>
      </w:tblPr>
      <w:tblGrid>
        <w:gridCol w:w="9079"/>
      </w:tblGrid>
      <w:tr w:rsidR="0032583B" w:rsidRPr="00A964D1" w:rsidTr="0032583B">
        <w:trPr>
          <w:trHeight w:val="868"/>
        </w:trPr>
        <w:tc>
          <w:tcPr>
            <w:tcW w:w="9079" w:type="dxa"/>
          </w:tcPr>
          <w:p w:rsidR="0032583B" w:rsidRPr="00A964D1" w:rsidRDefault="0032583B" w:rsidP="009D4C76">
            <w:pPr>
              <w:pStyle w:val="Title"/>
              <w:rPr>
                <w:color w:val="FFFFFF" w:themeColor="background1"/>
              </w:rPr>
            </w:pPr>
            <w:r w:rsidRPr="00A964D1">
              <w:rPr>
                <w:color w:val="FFFFFF" w:themeColor="background1"/>
              </w:rPr>
              <w:t xml:space="preserve">Australian Public Assessment Report for </w:t>
            </w:r>
            <w:r w:rsidR="009D4C76">
              <w:rPr>
                <w:color w:val="FFFFFF" w:themeColor="background1"/>
              </w:rPr>
              <w:t>Eluxadoline</w:t>
            </w:r>
          </w:p>
        </w:tc>
      </w:tr>
      <w:tr w:rsidR="0032583B" w:rsidRPr="00B64760" w:rsidTr="0032583B">
        <w:tc>
          <w:tcPr>
            <w:tcW w:w="9079" w:type="dxa"/>
          </w:tcPr>
          <w:p w:rsidR="0032583B" w:rsidRPr="008E7846" w:rsidRDefault="0032583B" w:rsidP="009E405F">
            <w:pPr>
              <w:pStyle w:val="Subtitle"/>
              <w:ind w:left="0"/>
              <w:rPr>
                <w:color w:val="FFFFFF" w:themeColor="background1"/>
              </w:rPr>
            </w:pPr>
            <w:r w:rsidRPr="008E7846">
              <w:rPr>
                <w:color w:val="FFFFFF" w:themeColor="background1"/>
              </w:rPr>
              <w:t xml:space="preserve">Proprietary Product Name: </w:t>
            </w:r>
            <w:r w:rsidR="009D4C76">
              <w:rPr>
                <w:color w:val="FFFFFF" w:themeColor="background1"/>
              </w:rPr>
              <w:t>Viberzi</w:t>
            </w:r>
          </w:p>
        </w:tc>
      </w:tr>
      <w:tr w:rsidR="0032583B" w:rsidRPr="00B64760" w:rsidTr="0032583B">
        <w:trPr>
          <w:trHeight w:val="486"/>
        </w:trPr>
        <w:tc>
          <w:tcPr>
            <w:tcW w:w="9079" w:type="dxa"/>
          </w:tcPr>
          <w:p w:rsidR="0032583B" w:rsidRPr="008E7846" w:rsidRDefault="0032583B" w:rsidP="009E405F">
            <w:pPr>
              <w:pStyle w:val="Subtitle"/>
              <w:ind w:left="0"/>
              <w:rPr>
                <w:color w:val="FFFFFF" w:themeColor="background1"/>
              </w:rPr>
            </w:pPr>
            <w:r w:rsidRPr="008E7846">
              <w:rPr>
                <w:color w:val="FFFFFF" w:themeColor="background1"/>
              </w:rPr>
              <w:t xml:space="preserve">Sponsor: </w:t>
            </w:r>
            <w:r w:rsidR="00A41068">
              <w:rPr>
                <w:color w:val="FFFFFF" w:themeColor="background1"/>
              </w:rPr>
              <w:t xml:space="preserve">Allergan </w:t>
            </w:r>
            <w:r w:rsidR="009D4C76">
              <w:rPr>
                <w:color w:val="FFFFFF" w:themeColor="background1"/>
              </w:rPr>
              <w:t>Australia Pty Ltd</w:t>
            </w:r>
            <w:r w:rsidRPr="008E7846">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F81B46">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4"/>
          <w:headerReference w:type="default" r:id="rId15"/>
          <w:footerReference w:type="even" r:id="rId16"/>
          <w:footerReference w:type="default" r:id="rId17"/>
          <w:headerReference w:type="first" r:id="rId18"/>
          <w:footerReference w:type="first" r:id="rId19"/>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12EF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0009693" w:history="1">
            <w:r w:rsidR="00912EF1" w:rsidRPr="00737873">
              <w:rPr>
                <w:rStyle w:val="Hyperlink"/>
                <w:noProof/>
              </w:rPr>
              <w:t>Common abbreviations</w:t>
            </w:r>
            <w:r w:rsidR="00912EF1">
              <w:rPr>
                <w:noProof/>
                <w:webHidden/>
              </w:rPr>
              <w:tab/>
            </w:r>
            <w:r w:rsidR="00912EF1">
              <w:rPr>
                <w:noProof/>
                <w:webHidden/>
              </w:rPr>
              <w:fldChar w:fldCharType="begin"/>
            </w:r>
            <w:r w:rsidR="00912EF1">
              <w:rPr>
                <w:noProof/>
                <w:webHidden/>
              </w:rPr>
              <w:instrText xml:space="preserve"> PAGEREF _Toc510009693 \h </w:instrText>
            </w:r>
            <w:r w:rsidR="00912EF1">
              <w:rPr>
                <w:noProof/>
                <w:webHidden/>
              </w:rPr>
            </w:r>
            <w:r w:rsidR="00912EF1">
              <w:rPr>
                <w:noProof/>
                <w:webHidden/>
              </w:rPr>
              <w:fldChar w:fldCharType="separate"/>
            </w:r>
            <w:r w:rsidR="00AE578E">
              <w:rPr>
                <w:noProof/>
                <w:webHidden/>
              </w:rPr>
              <w:t>5</w:t>
            </w:r>
            <w:r w:rsidR="00912EF1">
              <w:rPr>
                <w:noProof/>
                <w:webHidden/>
              </w:rPr>
              <w:fldChar w:fldCharType="end"/>
            </w:r>
          </w:hyperlink>
        </w:p>
        <w:p w:rsidR="00912EF1" w:rsidRDefault="00444545">
          <w:pPr>
            <w:pStyle w:val="TOC2"/>
            <w:rPr>
              <w:rFonts w:asciiTheme="minorHAnsi" w:eastAsiaTheme="minorEastAsia" w:hAnsiTheme="minorHAnsi" w:cstheme="minorBidi"/>
              <w:b w:val="0"/>
              <w:noProof/>
              <w:sz w:val="22"/>
              <w:lang w:eastAsia="en-AU"/>
            </w:rPr>
          </w:pPr>
          <w:hyperlink w:anchor="_Toc510009694" w:history="1">
            <w:r w:rsidR="00912EF1" w:rsidRPr="00737873">
              <w:rPr>
                <w:rStyle w:val="Hyperlink"/>
                <w:noProof/>
              </w:rPr>
              <w:t>I. Introduction to product submission</w:t>
            </w:r>
            <w:r w:rsidR="00912EF1">
              <w:rPr>
                <w:noProof/>
                <w:webHidden/>
              </w:rPr>
              <w:tab/>
            </w:r>
            <w:r w:rsidR="00912EF1">
              <w:rPr>
                <w:noProof/>
                <w:webHidden/>
              </w:rPr>
              <w:fldChar w:fldCharType="begin"/>
            </w:r>
            <w:r w:rsidR="00912EF1">
              <w:rPr>
                <w:noProof/>
                <w:webHidden/>
              </w:rPr>
              <w:instrText xml:space="preserve"> PAGEREF _Toc510009694 \h </w:instrText>
            </w:r>
            <w:r w:rsidR="00912EF1">
              <w:rPr>
                <w:noProof/>
                <w:webHidden/>
              </w:rPr>
            </w:r>
            <w:r w:rsidR="00912EF1">
              <w:rPr>
                <w:noProof/>
                <w:webHidden/>
              </w:rPr>
              <w:fldChar w:fldCharType="separate"/>
            </w:r>
            <w:r w:rsidR="00AE578E">
              <w:rPr>
                <w:noProof/>
                <w:webHidden/>
              </w:rPr>
              <w:t>6</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695" w:history="1">
            <w:r w:rsidR="00912EF1" w:rsidRPr="00737873">
              <w:rPr>
                <w:rStyle w:val="Hyperlink"/>
                <w:noProof/>
                <w:lang w:eastAsia="en-AU"/>
              </w:rPr>
              <w:t>Submission details</w:t>
            </w:r>
            <w:r w:rsidR="00912EF1">
              <w:rPr>
                <w:noProof/>
                <w:webHidden/>
              </w:rPr>
              <w:tab/>
            </w:r>
            <w:r w:rsidR="00912EF1">
              <w:rPr>
                <w:noProof/>
                <w:webHidden/>
              </w:rPr>
              <w:fldChar w:fldCharType="begin"/>
            </w:r>
            <w:r w:rsidR="00912EF1">
              <w:rPr>
                <w:noProof/>
                <w:webHidden/>
              </w:rPr>
              <w:instrText xml:space="preserve"> PAGEREF _Toc510009695 \h </w:instrText>
            </w:r>
            <w:r w:rsidR="00912EF1">
              <w:rPr>
                <w:noProof/>
                <w:webHidden/>
              </w:rPr>
            </w:r>
            <w:r w:rsidR="00912EF1">
              <w:rPr>
                <w:noProof/>
                <w:webHidden/>
              </w:rPr>
              <w:fldChar w:fldCharType="separate"/>
            </w:r>
            <w:r w:rsidR="00AE578E">
              <w:rPr>
                <w:noProof/>
                <w:webHidden/>
              </w:rPr>
              <w:t>6</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696" w:history="1">
            <w:r w:rsidR="00912EF1" w:rsidRPr="00737873">
              <w:rPr>
                <w:rStyle w:val="Hyperlink"/>
                <w:noProof/>
              </w:rPr>
              <w:t>Product background</w:t>
            </w:r>
            <w:r w:rsidR="00912EF1">
              <w:rPr>
                <w:noProof/>
                <w:webHidden/>
              </w:rPr>
              <w:tab/>
            </w:r>
            <w:r w:rsidR="00912EF1">
              <w:rPr>
                <w:noProof/>
                <w:webHidden/>
              </w:rPr>
              <w:fldChar w:fldCharType="begin"/>
            </w:r>
            <w:r w:rsidR="00912EF1">
              <w:rPr>
                <w:noProof/>
                <w:webHidden/>
              </w:rPr>
              <w:instrText xml:space="preserve"> PAGEREF _Toc510009696 \h </w:instrText>
            </w:r>
            <w:r w:rsidR="00912EF1">
              <w:rPr>
                <w:noProof/>
                <w:webHidden/>
              </w:rPr>
            </w:r>
            <w:r w:rsidR="00912EF1">
              <w:rPr>
                <w:noProof/>
                <w:webHidden/>
              </w:rPr>
              <w:fldChar w:fldCharType="separate"/>
            </w:r>
            <w:r w:rsidR="00AE578E">
              <w:rPr>
                <w:noProof/>
                <w:webHidden/>
              </w:rPr>
              <w:t>6</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697" w:history="1">
            <w:r w:rsidR="00912EF1" w:rsidRPr="00737873">
              <w:rPr>
                <w:rStyle w:val="Hyperlink"/>
                <w:noProof/>
              </w:rPr>
              <w:t>Regulatory status</w:t>
            </w:r>
            <w:r w:rsidR="00912EF1">
              <w:rPr>
                <w:noProof/>
                <w:webHidden/>
              </w:rPr>
              <w:tab/>
            </w:r>
            <w:r w:rsidR="00912EF1">
              <w:rPr>
                <w:noProof/>
                <w:webHidden/>
              </w:rPr>
              <w:fldChar w:fldCharType="begin"/>
            </w:r>
            <w:r w:rsidR="00912EF1">
              <w:rPr>
                <w:noProof/>
                <w:webHidden/>
              </w:rPr>
              <w:instrText xml:space="preserve"> PAGEREF _Toc510009697 \h </w:instrText>
            </w:r>
            <w:r w:rsidR="00912EF1">
              <w:rPr>
                <w:noProof/>
                <w:webHidden/>
              </w:rPr>
            </w:r>
            <w:r w:rsidR="00912EF1">
              <w:rPr>
                <w:noProof/>
                <w:webHidden/>
              </w:rPr>
              <w:fldChar w:fldCharType="separate"/>
            </w:r>
            <w:r w:rsidR="00AE578E">
              <w:rPr>
                <w:noProof/>
                <w:webHidden/>
              </w:rPr>
              <w:t>8</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698" w:history="1">
            <w:r w:rsidR="00912EF1" w:rsidRPr="00737873">
              <w:rPr>
                <w:rStyle w:val="Hyperlink"/>
                <w:noProof/>
              </w:rPr>
              <w:t>Product Information</w:t>
            </w:r>
            <w:r w:rsidR="00912EF1">
              <w:rPr>
                <w:noProof/>
                <w:webHidden/>
              </w:rPr>
              <w:tab/>
            </w:r>
            <w:r w:rsidR="00912EF1">
              <w:rPr>
                <w:noProof/>
                <w:webHidden/>
              </w:rPr>
              <w:fldChar w:fldCharType="begin"/>
            </w:r>
            <w:r w:rsidR="00912EF1">
              <w:rPr>
                <w:noProof/>
                <w:webHidden/>
              </w:rPr>
              <w:instrText xml:space="preserve"> PAGEREF _Toc510009698 \h </w:instrText>
            </w:r>
            <w:r w:rsidR="00912EF1">
              <w:rPr>
                <w:noProof/>
                <w:webHidden/>
              </w:rPr>
            </w:r>
            <w:r w:rsidR="00912EF1">
              <w:rPr>
                <w:noProof/>
                <w:webHidden/>
              </w:rPr>
              <w:fldChar w:fldCharType="separate"/>
            </w:r>
            <w:r w:rsidR="00AE578E">
              <w:rPr>
                <w:noProof/>
                <w:webHidden/>
              </w:rPr>
              <w:t>8</w:t>
            </w:r>
            <w:r w:rsidR="00912EF1">
              <w:rPr>
                <w:noProof/>
                <w:webHidden/>
              </w:rPr>
              <w:fldChar w:fldCharType="end"/>
            </w:r>
          </w:hyperlink>
        </w:p>
        <w:p w:rsidR="00912EF1" w:rsidRDefault="00444545">
          <w:pPr>
            <w:pStyle w:val="TOC2"/>
            <w:rPr>
              <w:rFonts w:asciiTheme="minorHAnsi" w:eastAsiaTheme="minorEastAsia" w:hAnsiTheme="minorHAnsi" w:cstheme="minorBidi"/>
              <w:b w:val="0"/>
              <w:noProof/>
              <w:sz w:val="22"/>
              <w:lang w:eastAsia="en-AU"/>
            </w:rPr>
          </w:pPr>
          <w:hyperlink w:anchor="_Toc510009699" w:history="1">
            <w:r w:rsidR="00912EF1" w:rsidRPr="00737873">
              <w:rPr>
                <w:rStyle w:val="Hyperlink"/>
                <w:noProof/>
              </w:rPr>
              <w:t>II. Quality findings</w:t>
            </w:r>
            <w:r w:rsidR="00912EF1">
              <w:rPr>
                <w:noProof/>
                <w:webHidden/>
              </w:rPr>
              <w:tab/>
            </w:r>
            <w:r w:rsidR="00912EF1">
              <w:rPr>
                <w:noProof/>
                <w:webHidden/>
              </w:rPr>
              <w:fldChar w:fldCharType="begin"/>
            </w:r>
            <w:r w:rsidR="00912EF1">
              <w:rPr>
                <w:noProof/>
                <w:webHidden/>
              </w:rPr>
              <w:instrText xml:space="preserve"> PAGEREF _Toc510009699 \h </w:instrText>
            </w:r>
            <w:r w:rsidR="00912EF1">
              <w:rPr>
                <w:noProof/>
                <w:webHidden/>
              </w:rPr>
            </w:r>
            <w:r w:rsidR="00912EF1">
              <w:rPr>
                <w:noProof/>
                <w:webHidden/>
              </w:rPr>
              <w:fldChar w:fldCharType="separate"/>
            </w:r>
            <w:r w:rsidR="00AE578E">
              <w:rPr>
                <w:noProof/>
                <w:webHidden/>
              </w:rPr>
              <w:t>8</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00" w:history="1">
            <w:r w:rsidR="00912EF1" w:rsidRPr="00737873">
              <w:rPr>
                <w:rStyle w:val="Hyperlink"/>
                <w:noProof/>
              </w:rPr>
              <w:t>Introduction</w:t>
            </w:r>
            <w:r w:rsidR="00912EF1">
              <w:rPr>
                <w:noProof/>
                <w:webHidden/>
              </w:rPr>
              <w:tab/>
            </w:r>
            <w:r w:rsidR="00912EF1">
              <w:rPr>
                <w:noProof/>
                <w:webHidden/>
              </w:rPr>
              <w:fldChar w:fldCharType="begin"/>
            </w:r>
            <w:r w:rsidR="00912EF1">
              <w:rPr>
                <w:noProof/>
                <w:webHidden/>
              </w:rPr>
              <w:instrText xml:space="preserve"> PAGEREF _Toc510009700 \h </w:instrText>
            </w:r>
            <w:r w:rsidR="00912EF1">
              <w:rPr>
                <w:noProof/>
                <w:webHidden/>
              </w:rPr>
            </w:r>
            <w:r w:rsidR="00912EF1">
              <w:rPr>
                <w:noProof/>
                <w:webHidden/>
              </w:rPr>
              <w:fldChar w:fldCharType="separate"/>
            </w:r>
            <w:r w:rsidR="00AE578E">
              <w:rPr>
                <w:noProof/>
                <w:webHidden/>
              </w:rPr>
              <w:t>8</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01" w:history="1">
            <w:r w:rsidR="00912EF1" w:rsidRPr="00737873">
              <w:rPr>
                <w:rStyle w:val="Hyperlink"/>
                <w:noProof/>
              </w:rPr>
              <w:t>Drug substance (active ingredient)</w:t>
            </w:r>
            <w:r w:rsidR="00912EF1">
              <w:rPr>
                <w:noProof/>
                <w:webHidden/>
              </w:rPr>
              <w:tab/>
            </w:r>
            <w:r w:rsidR="00912EF1">
              <w:rPr>
                <w:noProof/>
                <w:webHidden/>
              </w:rPr>
              <w:fldChar w:fldCharType="begin"/>
            </w:r>
            <w:r w:rsidR="00912EF1">
              <w:rPr>
                <w:noProof/>
                <w:webHidden/>
              </w:rPr>
              <w:instrText xml:space="preserve"> PAGEREF _Toc510009701 \h </w:instrText>
            </w:r>
            <w:r w:rsidR="00912EF1">
              <w:rPr>
                <w:noProof/>
                <w:webHidden/>
              </w:rPr>
            </w:r>
            <w:r w:rsidR="00912EF1">
              <w:rPr>
                <w:noProof/>
                <w:webHidden/>
              </w:rPr>
              <w:fldChar w:fldCharType="separate"/>
            </w:r>
            <w:r w:rsidR="00AE578E">
              <w:rPr>
                <w:noProof/>
                <w:webHidden/>
              </w:rPr>
              <w:t>9</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02" w:history="1">
            <w:r w:rsidR="00912EF1" w:rsidRPr="00737873">
              <w:rPr>
                <w:rStyle w:val="Hyperlink"/>
                <w:noProof/>
              </w:rPr>
              <w:t>Drug product</w:t>
            </w:r>
            <w:r w:rsidR="00912EF1">
              <w:rPr>
                <w:noProof/>
                <w:webHidden/>
              </w:rPr>
              <w:tab/>
            </w:r>
            <w:r w:rsidR="00912EF1">
              <w:rPr>
                <w:noProof/>
                <w:webHidden/>
              </w:rPr>
              <w:fldChar w:fldCharType="begin"/>
            </w:r>
            <w:r w:rsidR="00912EF1">
              <w:rPr>
                <w:noProof/>
                <w:webHidden/>
              </w:rPr>
              <w:instrText xml:space="preserve"> PAGEREF _Toc510009702 \h </w:instrText>
            </w:r>
            <w:r w:rsidR="00912EF1">
              <w:rPr>
                <w:noProof/>
                <w:webHidden/>
              </w:rPr>
            </w:r>
            <w:r w:rsidR="00912EF1">
              <w:rPr>
                <w:noProof/>
                <w:webHidden/>
              </w:rPr>
              <w:fldChar w:fldCharType="separate"/>
            </w:r>
            <w:r w:rsidR="00AE578E">
              <w:rPr>
                <w:noProof/>
                <w:webHidden/>
              </w:rPr>
              <w:t>9</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03" w:history="1">
            <w:r w:rsidR="00912EF1" w:rsidRPr="00737873">
              <w:rPr>
                <w:rStyle w:val="Hyperlink"/>
                <w:noProof/>
              </w:rPr>
              <w:t>Biopharmaceutics</w:t>
            </w:r>
            <w:r w:rsidR="00912EF1">
              <w:rPr>
                <w:noProof/>
                <w:webHidden/>
              </w:rPr>
              <w:tab/>
            </w:r>
            <w:r w:rsidR="00912EF1">
              <w:rPr>
                <w:noProof/>
                <w:webHidden/>
              </w:rPr>
              <w:fldChar w:fldCharType="begin"/>
            </w:r>
            <w:r w:rsidR="00912EF1">
              <w:rPr>
                <w:noProof/>
                <w:webHidden/>
              </w:rPr>
              <w:instrText xml:space="preserve"> PAGEREF _Toc510009703 \h </w:instrText>
            </w:r>
            <w:r w:rsidR="00912EF1">
              <w:rPr>
                <w:noProof/>
                <w:webHidden/>
              </w:rPr>
            </w:r>
            <w:r w:rsidR="00912EF1">
              <w:rPr>
                <w:noProof/>
                <w:webHidden/>
              </w:rPr>
              <w:fldChar w:fldCharType="separate"/>
            </w:r>
            <w:r w:rsidR="00AE578E">
              <w:rPr>
                <w:noProof/>
                <w:webHidden/>
              </w:rPr>
              <w:t>11</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04" w:history="1">
            <w:r w:rsidR="00912EF1" w:rsidRPr="00737873">
              <w:rPr>
                <w:rStyle w:val="Hyperlink"/>
                <w:noProof/>
              </w:rPr>
              <w:t>Quality summary and conclusions</w:t>
            </w:r>
            <w:r w:rsidR="00912EF1">
              <w:rPr>
                <w:noProof/>
                <w:webHidden/>
              </w:rPr>
              <w:tab/>
            </w:r>
            <w:r w:rsidR="00912EF1">
              <w:rPr>
                <w:noProof/>
                <w:webHidden/>
              </w:rPr>
              <w:fldChar w:fldCharType="begin"/>
            </w:r>
            <w:r w:rsidR="00912EF1">
              <w:rPr>
                <w:noProof/>
                <w:webHidden/>
              </w:rPr>
              <w:instrText xml:space="preserve"> PAGEREF _Toc510009704 \h </w:instrText>
            </w:r>
            <w:r w:rsidR="00912EF1">
              <w:rPr>
                <w:noProof/>
                <w:webHidden/>
              </w:rPr>
            </w:r>
            <w:r w:rsidR="00912EF1">
              <w:rPr>
                <w:noProof/>
                <w:webHidden/>
              </w:rPr>
              <w:fldChar w:fldCharType="separate"/>
            </w:r>
            <w:r w:rsidR="00AE578E">
              <w:rPr>
                <w:noProof/>
                <w:webHidden/>
              </w:rPr>
              <w:t>12</w:t>
            </w:r>
            <w:r w:rsidR="00912EF1">
              <w:rPr>
                <w:noProof/>
                <w:webHidden/>
              </w:rPr>
              <w:fldChar w:fldCharType="end"/>
            </w:r>
          </w:hyperlink>
        </w:p>
        <w:p w:rsidR="00912EF1" w:rsidRDefault="00444545">
          <w:pPr>
            <w:pStyle w:val="TOC2"/>
            <w:rPr>
              <w:rFonts w:asciiTheme="minorHAnsi" w:eastAsiaTheme="minorEastAsia" w:hAnsiTheme="minorHAnsi" w:cstheme="minorBidi"/>
              <w:b w:val="0"/>
              <w:noProof/>
              <w:sz w:val="22"/>
              <w:lang w:eastAsia="en-AU"/>
            </w:rPr>
          </w:pPr>
          <w:hyperlink w:anchor="_Toc510009705" w:history="1">
            <w:r w:rsidR="00912EF1" w:rsidRPr="00737873">
              <w:rPr>
                <w:rStyle w:val="Hyperlink"/>
                <w:noProof/>
              </w:rPr>
              <w:t>III. Nonclinical findings</w:t>
            </w:r>
            <w:r w:rsidR="00912EF1">
              <w:rPr>
                <w:noProof/>
                <w:webHidden/>
              </w:rPr>
              <w:tab/>
            </w:r>
            <w:r w:rsidR="00912EF1">
              <w:rPr>
                <w:noProof/>
                <w:webHidden/>
              </w:rPr>
              <w:fldChar w:fldCharType="begin"/>
            </w:r>
            <w:r w:rsidR="00912EF1">
              <w:rPr>
                <w:noProof/>
                <w:webHidden/>
              </w:rPr>
              <w:instrText xml:space="preserve"> PAGEREF _Toc510009705 \h </w:instrText>
            </w:r>
            <w:r w:rsidR="00912EF1">
              <w:rPr>
                <w:noProof/>
                <w:webHidden/>
              </w:rPr>
            </w:r>
            <w:r w:rsidR="00912EF1">
              <w:rPr>
                <w:noProof/>
                <w:webHidden/>
              </w:rPr>
              <w:fldChar w:fldCharType="separate"/>
            </w:r>
            <w:r w:rsidR="00AE578E">
              <w:rPr>
                <w:noProof/>
                <w:webHidden/>
              </w:rPr>
              <w:t>12</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06" w:history="1">
            <w:r w:rsidR="00912EF1" w:rsidRPr="00737873">
              <w:rPr>
                <w:rStyle w:val="Hyperlink"/>
                <w:noProof/>
              </w:rPr>
              <w:t>Introduction</w:t>
            </w:r>
            <w:r w:rsidR="00912EF1">
              <w:rPr>
                <w:noProof/>
                <w:webHidden/>
              </w:rPr>
              <w:tab/>
            </w:r>
            <w:r w:rsidR="00912EF1">
              <w:rPr>
                <w:noProof/>
                <w:webHidden/>
              </w:rPr>
              <w:fldChar w:fldCharType="begin"/>
            </w:r>
            <w:r w:rsidR="00912EF1">
              <w:rPr>
                <w:noProof/>
                <w:webHidden/>
              </w:rPr>
              <w:instrText xml:space="preserve"> PAGEREF _Toc510009706 \h </w:instrText>
            </w:r>
            <w:r w:rsidR="00912EF1">
              <w:rPr>
                <w:noProof/>
                <w:webHidden/>
              </w:rPr>
            </w:r>
            <w:r w:rsidR="00912EF1">
              <w:rPr>
                <w:noProof/>
                <w:webHidden/>
              </w:rPr>
              <w:fldChar w:fldCharType="separate"/>
            </w:r>
            <w:r w:rsidR="00AE578E">
              <w:rPr>
                <w:noProof/>
                <w:webHidden/>
              </w:rPr>
              <w:t>12</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07" w:history="1">
            <w:r w:rsidR="00912EF1" w:rsidRPr="00737873">
              <w:rPr>
                <w:rStyle w:val="Hyperlink"/>
                <w:noProof/>
              </w:rPr>
              <w:t>Pharmacology</w:t>
            </w:r>
            <w:r w:rsidR="00912EF1">
              <w:rPr>
                <w:noProof/>
                <w:webHidden/>
              </w:rPr>
              <w:tab/>
            </w:r>
            <w:r w:rsidR="00912EF1">
              <w:rPr>
                <w:noProof/>
                <w:webHidden/>
              </w:rPr>
              <w:fldChar w:fldCharType="begin"/>
            </w:r>
            <w:r w:rsidR="00912EF1">
              <w:rPr>
                <w:noProof/>
                <w:webHidden/>
              </w:rPr>
              <w:instrText xml:space="preserve"> PAGEREF _Toc510009707 \h </w:instrText>
            </w:r>
            <w:r w:rsidR="00912EF1">
              <w:rPr>
                <w:noProof/>
                <w:webHidden/>
              </w:rPr>
            </w:r>
            <w:r w:rsidR="00912EF1">
              <w:rPr>
                <w:noProof/>
                <w:webHidden/>
              </w:rPr>
              <w:fldChar w:fldCharType="separate"/>
            </w:r>
            <w:r w:rsidR="00AE578E">
              <w:rPr>
                <w:noProof/>
                <w:webHidden/>
              </w:rPr>
              <w:t>13</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08" w:history="1">
            <w:r w:rsidR="00912EF1" w:rsidRPr="00737873">
              <w:rPr>
                <w:rStyle w:val="Hyperlink"/>
                <w:noProof/>
              </w:rPr>
              <w:t>Pharmacokinetics</w:t>
            </w:r>
            <w:r w:rsidR="00912EF1">
              <w:rPr>
                <w:noProof/>
                <w:webHidden/>
              </w:rPr>
              <w:tab/>
            </w:r>
            <w:r w:rsidR="00912EF1">
              <w:rPr>
                <w:noProof/>
                <w:webHidden/>
              </w:rPr>
              <w:fldChar w:fldCharType="begin"/>
            </w:r>
            <w:r w:rsidR="00912EF1">
              <w:rPr>
                <w:noProof/>
                <w:webHidden/>
              </w:rPr>
              <w:instrText xml:space="preserve"> PAGEREF _Toc510009708 \h </w:instrText>
            </w:r>
            <w:r w:rsidR="00912EF1">
              <w:rPr>
                <w:noProof/>
                <w:webHidden/>
              </w:rPr>
            </w:r>
            <w:r w:rsidR="00912EF1">
              <w:rPr>
                <w:noProof/>
                <w:webHidden/>
              </w:rPr>
              <w:fldChar w:fldCharType="separate"/>
            </w:r>
            <w:r w:rsidR="00AE578E">
              <w:rPr>
                <w:noProof/>
                <w:webHidden/>
              </w:rPr>
              <w:t>14</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09" w:history="1">
            <w:r w:rsidR="00912EF1" w:rsidRPr="00737873">
              <w:rPr>
                <w:rStyle w:val="Hyperlink"/>
                <w:noProof/>
              </w:rPr>
              <w:t>Toxicology</w:t>
            </w:r>
            <w:r w:rsidR="00912EF1">
              <w:rPr>
                <w:noProof/>
                <w:webHidden/>
              </w:rPr>
              <w:tab/>
            </w:r>
            <w:r w:rsidR="00912EF1">
              <w:rPr>
                <w:noProof/>
                <w:webHidden/>
              </w:rPr>
              <w:fldChar w:fldCharType="begin"/>
            </w:r>
            <w:r w:rsidR="00912EF1">
              <w:rPr>
                <w:noProof/>
                <w:webHidden/>
              </w:rPr>
              <w:instrText xml:space="preserve"> PAGEREF _Toc510009709 \h </w:instrText>
            </w:r>
            <w:r w:rsidR="00912EF1">
              <w:rPr>
                <w:noProof/>
                <w:webHidden/>
              </w:rPr>
            </w:r>
            <w:r w:rsidR="00912EF1">
              <w:rPr>
                <w:noProof/>
                <w:webHidden/>
              </w:rPr>
              <w:fldChar w:fldCharType="separate"/>
            </w:r>
            <w:r w:rsidR="00AE578E">
              <w:rPr>
                <w:noProof/>
                <w:webHidden/>
              </w:rPr>
              <w:t>15</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10" w:history="1">
            <w:r w:rsidR="00912EF1" w:rsidRPr="00737873">
              <w:rPr>
                <w:rStyle w:val="Hyperlink"/>
                <w:noProof/>
              </w:rPr>
              <w:t>Nonclinical summary and conclusions</w:t>
            </w:r>
            <w:r w:rsidR="00912EF1">
              <w:rPr>
                <w:noProof/>
                <w:webHidden/>
              </w:rPr>
              <w:tab/>
            </w:r>
            <w:r w:rsidR="00912EF1">
              <w:rPr>
                <w:noProof/>
                <w:webHidden/>
              </w:rPr>
              <w:fldChar w:fldCharType="begin"/>
            </w:r>
            <w:r w:rsidR="00912EF1">
              <w:rPr>
                <w:noProof/>
                <w:webHidden/>
              </w:rPr>
              <w:instrText xml:space="preserve"> PAGEREF _Toc510009710 \h </w:instrText>
            </w:r>
            <w:r w:rsidR="00912EF1">
              <w:rPr>
                <w:noProof/>
                <w:webHidden/>
              </w:rPr>
            </w:r>
            <w:r w:rsidR="00912EF1">
              <w:rPr>
                <w:noProof/>
                <w:webHidden/>
              </w:rPr>
              <w:fldChar w:fldCharType="separate"/>
            </w:r>
            <w:r w:rsidR="00AE578E">
              <w:rPr>
                <w:noProof/>
                <w:webHidden/>
              </w:rPr>
              <w:t>21</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11" w:history="1">
            <w:r w:rsidR="00912EF1" w:rsidRPr="00737873">
              <w:rPr>
                <w:rStyle w:val="Hyperlink"/>
                <w:noProof/>
              </w:rPr>
              <w:t>Nonclinical Conclusions and recommendation</w:t>
            </w:r>
            <w:r w:rsidR="00912EF1">
              <w:rPr>
                <w:noProof/>
                <w:webHidden/>
              </w:rPr>
              <w:tab/>
            </w:r>
            <w:r w:rsidR="00912EF1">
              <w:rPr>
                <w:noProof/>
                <w:webHidden/>
              </w:rPr>
              <w:fldChar w:fldCharType="begin"/>
            </w:r>
            <w:r w:rsidR="00912EF1">
              <w:rPr>
                <w:noProof/>
                <w:webHidden/>
              </w:rPr>
              <w:instrText xml:space="preserve"> PAGEREF _Toc510009711 \h </w:instrText>
            </w:r>
            <w:r w:rsidR="00912EF1">
              <w:rPr>
                <w:noProof/>
                <w:webHidden/>
              </w:rPr>
            </w:r>
            <w:r w:rsidR="00912EF1">
              <w:rPr>
                <w:noProof/>
                <w:webHidden/>
              </w:rPr>
              <w:fldChar w:fldCharType="separate"/>
            </w:r>
            <w:r w:rsidR="00AE578E">
              <w:rPr>
                <w:noProof/>
                <w:webHidden/>
              </w:rPr>
              <w:t>23</w:t>
            </w:r>
            <w:r w:rsidR="00912EF1">
              <w:rPr>
                <w:noProof/>
                <w:webHidden/>
              </w:rPr>
              <w:fldChar w:fldCharType="end"/>
            </w:r>
          </w:hyperlink>
        </w:p>
        <w:p w:rsidR="00912EF1" w:rsidRDefault="00444545">
          <w:pPr>
            <w:pStyle w:val="TOC2"/>
            <w:rPr>
              <w:rFonts w:asciiTheme="minorHAnsi" w:eastAsiaTheme="minorEastAsia" w:hAnsiTheme="minorHAnsi" w:cstheme="minorBidi"/>
              <w:b w:val="0"/>
              <w:noProof/>
              <w:sz w:val="22"/>
              <w:lang w:eastAsia="en-AU"/>
            </w:rPr>
          </w:pPr>
          <w:hyperlink w:anchor="_Toc510009712" w:history="1">
            <w:r w:rsidR="00912EF1" w:rsidRPr="00737873">
              <w:rPr>
                <w:rStyle w:val="Hyperlink"/>
                <w:noProof/>
              </w:rPr>
              <w:t>IV. Clinical findings</w:t>
            </w:r>
            <w:r w:rsidR="00912EF1">
              <w:rPr>
                <w:noProof/>
                <w:webHidden/>
              </w:rPr>
              <w:tab/>
            </w:r>
            <w:r w:rsidR="00912EF1">
              <w:rPr>
                <w:noProof/>
                <w:webHidden/>
              </w:rPr>
              <w:fldChar w:fldCharType="begin"/>
            </w:r>
            <w:r w:rsidR="00912EF1">
              <w:rPr>
                <w:noProof/>
                <w:webHidden/>
              </w:rPr>
              <w:instrText xml:space="preserve"> PAGEREF _Toc510009712 \h </w:instrText>
            </w:r>
            <w:r w:rsidR="00912EF1">
              <w:rPr>
                <w:noProof/>
                <w:webHidden/>
              </w:rPr>
            </w:r>
            <w:r w:rsidR="00912EF1">
              <w:rPr>
                <w:noProof/>
                <w:webHidden/>
              </w:rPr>
              <w:fldChar w:fldCharType="separate"/>
            </w:r>
            <w:r w:rsidR="00AE578E">
              <w:rPr>
                <w:noProof/>
                <w:webHidden/>
              </w:rPr>
              <w:t>23</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13" w:history="1">
            <w:r w:rsidR="00912EF1" w:rsidRPr="00737873">
              <w:rPr>
                <w:rStyle w:val="Hyperlink"/>
                <w:noProof/>
              </w:rPr>
              <w:t>Introduction</w:t>
            </w:r>
            <w:r w:rsidR="00912EF1">
              <w:rPr>
                <w:noProof/>
                <w:webHidden/>
              </w:rPr>
              <w:tab/>
            </w:r>
            <w:r w:rsidR="00912EF1">
              <w:rPr>
                <w:noProof/>
                <w:webHidden/>
              </w:rPr>
              <w:fldChar w:fldCharType="begin"/>
            </w:r>
            <w:r w:rsidR="00912EF1">
              <w:rPr>
                <w:noProof/>
                <w:webHidden/>
              </w:rPr>
              <w:instrText xml:space="preserve"> PAGEREF _Toc510009713 \h </w:instrText>
            </w:r>
            <w:r w:rsidR="00912EF1">
              <w:rPr>
                <w:noProof/>
                <w:webHidden/>
              </w:rPr>
            </w:r>
            <w:r w:rsidR="00912EF1">
              <w:rPr>
                <w:noProof/>
                <w:webHidden/>
              </w:rPr>
              <w:fldChar w:fldCharType="separate"/>
            </w:r>
            <w:r w:rsidR="00AE578E">
              <w:rPr>
                <w:noProof/>
                <w:webHidden/>
              </w:rPr>
              <w:t>23</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14" w:history="1">
            <w:r w:rsidR="00912EF1" w:rsidRPr="00737873">
              <w:rPr>
                <w:rStyle w:val="Hyperlink"/>
                <w:noProof/>
              </w:rPr>
              <w:t>Pharmacokinetics</w:t>
            </w:r>
            <w:r w:rsidR="00912EF1">
              <w:rPr>
                <w:noProof/>
                <w:webHidden/>
              </w:rPr>
              <w:tab/>
            </w:r>
            <w:r w:rsidR="00912EF1">
              <w:rPr>
                <w:noProof/>
                <w:webHidden/>
              </w:rPr>
              <w:fldChar w:fldCharType="begin"/>
            </w:r>
            <w:r w:rsidR="00912EF1">
              <w:rPr>
                <w:noProof/>
                <w:webHidden/>
              </w:rPr>
              <w:instrText xml:space="preserve"> PAGEREF _Toc510009714 \h </w:instrText>
            </w:r>
            <w:r w:rsidR="00912EF1">
              <w:rPr>
                <w:noProof/>
                <w:webHidden/>
              </w:rPr>
            </w:r>
            <w:r w:rsidR="00912EF1">
              <w:rPr>
                <w:noProof/>
                <w:webHidden/>
              </w:rPr>
              <w:fldChar w:fldCharType="separate"/>
            </w:r>
            <w:r w:rsidR="00AE578E">
              <w:rPr>
                <w:noProof/>
                <w:webHidden/>
              </w:rPr>
              <w:t>26</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15" w:history="1">
            <w:r w:rsidR="00912EF1" w:rsidRPr="00737873">
              <w:rPr>
                <w:rStyle w:val="Hyperlink"/>
                <w:noProof/>
              </w:rPr>
              <w:t>Pharmacodynamics</w:t>
            </w:r>
            <w:r w:rsidR="00912EF1">
              <w:rPr>
                <w:noProof/>
                <w:webHidden/>
              </w:rPr>
              <w:tab/>
            </w:r>
            <w:r w:rsidR="00912EF1">
              <w:rPr>
                <w:noProof/>
                <w:webHidden/>
              </w:rPr>
              <w:fldChar w:fldCharType="begin"/>
            </w:r>
            <w:r w:rsidR="00912EF1">
              <w:rPr>
                <w:noProof/>
                <w:webHidden/>
              </w:rPr>
              <w:instrText xml:space="preserve"> PAGEREF _Toc510009715 \h </w:instrText>
            </w:r>
            <w:r w:rsidR="00912EF1">
              <w:rPr>
                <w:noProof/>
                <w:webHidden/>
              </w:rPr>
            </w:r>
            <w:r w:rsidR="00912EF1">
              <w:rPr>
                <w:noProof/>
                <w:webHidden/>
              </w:rPr>
              <w:fldChar w:fldCharType="separate"/>
            </w:r>
            <w:r w:rsidR="00AE578E">
              <w:rPr>
                <w:noProof/>
                <w:webHidden/>
              </w:rPr>
              <w:t>28</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16" w:history="1">
            <w:r w:rsidR="00912EF1" w:rsidRPr="00737873">
              <w:rPr>
                <w:rStyle w:val="Hyperlink"/>
                <w:noProof/>
              </w:rPr>
              <w:t>Dosage selection for the pivotal studies</w:t>
            </w:r>
            <w:r w:rsidR="00912EF1">
              <w:rPr>
                <w:noProof/>
                <w:webHidden/>
              </w:rPr>
              <w:tab/>
            </w:r>
            <w:r w:rsidR="00912EF1">
              <w:rPr>
                <w:noProof/>
                <w:webHidden/>
              </w:rPr>
              <w:fldChar w:fldCharType="begin"/>
            </w:r>
            <w:r w:rsidR="00912EF1">
              <w:rPr>
                <w:noProof/>
                <w:webHidden/>
              </w:rPr>
              <w:instrText xml:space="preserve"> PAGEREF _Toc510009716 \h </w:instrText>
            </w:r>
            <w:r w:rsidR="00912EF1">
              <w:rPr>
                <w:noProof/>
                <w:webHidden/>
              </w:rPr>
            </w:r>
            <w:r w:rsidR="00912EF1">
              <w:rPr>
                <w:noProof/>
                <w:webHidden/>
              </w:rPr>
              <w:fldChar w:fldCharType="separate"/>
            </w:r>
            <w:r w:rsidR="00AE578E">
              <w:rPr>
                <w:noProof/>
                <w:webHidden/>
              </w:rPr>
              <w:t>28</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17" w:history="1">
            <w:r w:rsidR="00912EF1" w:rsidRPr="00737873">
              <w:rPr>
                <w:rStyle w:val="Hyperlink"/>
                <w:noProof/>
              </w:rPr>
              <w:t>Efficacy</w:t>
            </w:r>
            <w:r w:rsidR="00912EF1">
              <w:rPr>
                <w:noProof/>
                <w:webHidden/>
              </w:rPr>
              <w:tab/>
            </w:r>
            <w:r w:rsidR="00912EF1">
              <w:rPr>
                <w:noProof/>
                <w:webHidden/>
              </w:rPr>
              <w:fldChar w:fldCharType="begin"/>
            </w:r>
            <w:r w:rsidR="00912EF1">
              <w:rPr>
                <w:noProof/>
                <w:webHidden/>
              </w:rPr>
              <w:instrText xml:space="preserve"> PAGEREF _Toc510009717 \h </w:instrText>
            </w:r>
            <w:r w:rsidR="00912EF1">
              <w:rPr>
                <w:noProof/>
                <w:webHidden/>
              </w:rPr>
            </w:r>
            <w:r w:rsidR="00912EF1">
              <w:rPr>
                <w:noProof/>
                <w:webHidden/>
              </w:rPr>
              <w:fldChar w:fldCharType="separate"/>
            </w:r>
            <w:r w:rsidR="00AE578E">
              <w:rPr>
                <w:noProof/>
                <w:webHidden/>
              </w:rPr>
              <w:t>29</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18" w:history="1">
            <w:r w:rsidR="00912EF1" w:rsidRPr="00737873">
              <w:rPr>
                <w:rStyle w:val="Hyperlink"/>
                <w:noProof/>
              </w:rPr>
              <w:t>Safety</w:t>
            </w:r>
            <w:r w:rsidR="00912EF1">
              <w:rPr>
                <w:noProof/>
                <w:webHidden/>
              </w:rPr>
              <w:tab/>
            </w:r>
            <w:r w:rsidR="00912EF1">
              <w:rPr>
                <w:noProof/>
                <w:webHidden/>
              </w:rPr>
              <w:fldChar w:fldCharType="begin"/>
            </w:r>
            <w:r w:rsidR="00912EF1">
              <w:rPr>
                <w:noProof/>
                <w:webHidden/>
              </w:rPr>
              <w:instrText xml:space="preserve"> PAGEREF _Toc510009718 \h </w:instrText>
            </w:r>
            <w:r w:rsidR="00912EF1">
              <w:rPr>
                <w:noProof/>
                <w:webHidden/>
              </w:rPr>
            </w:r>
            <w:r w:rsidR="00912EF1">
              <w:rPr>
                <w:noProof/>
                <w:webHidden/>
              </w:rPr>
              <w:fldChar w:fldCharType="separate"/>
            </w:r>
            <w:r w:rsidR="00AE578E">
              <w:rPr>
                <w:noProof/>
                <w:webHidden/>
              </w:rPr>
              <w:t>32</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19" w:history="1">
            <w:r w:rsidR="00912EF1" w:rsidRPr="00737873">
              <w:rPr>
                <w:rStyle w:val="Hyperlink"/>
                <w:noProof/>
              </w:rPr>
              <w:t>First Round Benefit-Risk Assessment</w:t>
            </w:r>
            <w:r w:rsidR="00912EF1">
              <w:rPr>
                <w:noProof/>
                <w:webHidden/>
              </w:rPr>
              <w:tab/>
            </w:r>
            <w:r w:rsidR="00912EF1">
              <w:rPr>
                <w:noProof/>
                <w:webHidden/>
              </w:rPr>
              <w:fldChar w:fldCharType="begin"/>
            </w:r>
            <w:r w:rsidR="00912EF1">
              <w:rPr>
                <w:noProof/>
                <w:webHidden/>
              </w:rPr>
              <w:instrText xml:space="preserve"> PAGEREF _Toc510009719 \h </w:instrText>
            </w:r>
            <w:r w:rsidR="00912EF1">
              <w:rPr>
                <w:noProof/>
                <w:webHidden/>
              </w:rPr>
            </w:r>
            <w:r w:rsidR="00912EF1">
              <w:rPr>
                <w:noProof/>
                <w:webHidden/>
              </w:rPr>
              <w:fldChar w:fldCharType="separate"/>
            </w:r>
            <w:r w:rsidR="00AE578E">
              <w:rPr>
                <w:noProof/>
                <w:webHidden/>
              </w:rPr>
              <w:t>41</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20" w:history="1">
            <w:r w:rsidR="00912EF1" w:rsidRPr="00737873">
              <w:rPr>
                <w:rStyle w:val="Hyperlink"/>
                <w:noProof/>
              </w:rPr>
              <w:t>First Round Recommendation Regarding Authorisation</w:t>
            </w:r>
            <w:r w:rsidR="00912EF1">
              <w:rPr>
                <w:noProof/>
                <w:webHidden/>
              </w:rPr>
              <w:tab/>
            </w:r>
            <w:r w:rsidR="00912EF1">
              <w:rPr>
                <w:noProof/>
                <w:webHidden/>
              </w:rPr>
              <w:fldChar w:fldCharType="begin"/>
            </w:r>
            <w:r w:rsidR="00912EF1">
              <w:rPr>
                <w:noProof/>
                <w:webHidden/>
              </w:rPr>
              <w:instrText xml:space="preserve"> PAGEREF _Toc510009720 \h </w:instrText>
            </w:r>
            <w:r w:rsidR="00912EF1">
              <w:rPr>
                <w:noProof/>
                <w:webHidden/>
              </w:rPr>
            </w:r>
            <w:r w:rsidR="00912EF1">
              <w:rPr>
                <w:noProof/>
                <w:webHidden/>
              </w:rPr>
              <w:fldChar w:fldCharType="separate"/>
            </w:r>
            <w:r w:rsidR="00AE578E">
              <w:rPr>
                <w:noProof/>
                <w:webHidden/>
              </w:rPr>
              <w:t>43</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21" w:history="1">
            <w:r w:rsidR="00912EF1" w:rsidRPr="00737873">
              <w:rPr>
                <w:rStyle w:val="Hyperlink"/>
                <w:noProof/>
              </w:rPr>
              <w:t>Second Round Evaluation of clinical data submitted in response to questions</w:t>
            </w:r>
            <w:r w:rsidR="00912EF1">
              <w:rPr>
                <w:noProof/>
                <w:webHidden/>
              </w:rPr>
              <w:tab/>
            </w:r>
            <w:r w:rsidR="00912EF1">
              <w:rPr>
                <w:noProof/>
                <w:webHidden/>
              </w:rPr>
              <w:fldChar w:fldCharType="begin"/>
            </w:r>
            <w:r w:rsidR="00912EF1">
              <w:rPr>
                <w:noProof/>
                <w:webHidden/>
              </w:rPr>
              <w:instrText xml:space="preserve"> PAGEREF _Toc510009721 \h </w:instrText>
            </w:r>
            <w:r w:rsidR="00912EF1">
              <w:rPr>
                <w:noProof/>
                <w:webHidden/>
              </w:rPr>
            </w:r>
            <w:r w:rsidR="00912EF1">
              <w:rPr>
                <w:noProof/>
                <w:webHidden/>
              </w:rPr>
              <w:fldChar w:fldCharType="separate"/>
            </w:r>
            <w:r w:rsidR="00AE578E">
              <w:rPr>
                <w:noProof/>
                <w:webHidden/>
              </w:rPr>
              <w:t>44</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22" w:history="1">
            <w:r w:rsidR="00912EF1" w:rsidRPr="00737873">
              <w:rPr>
                <w:rStyle w:val="Hyperlink"/>
                <w:noProof/>
              </w:rPr>
              <w:t>Second Round Benefit-Risk Assessment</w:t>
            </w:r>
            <w:r w:rsidR="00912EF1">
              <w:rPr>
                <w:noProof/>
                <w:webHidden/>
              </w:rPr>
              <w:tab/>
            </w:r>
            <w:r w:rsidR="00912EF1">
              <w:rPr>
                <w:noProof/>
                <w:webHidden/>
              </w:rPr>
              <w:fldChar w:fldCharType="begin"/>
            </w:r>
            <w:r w:rsidR="00912EF1">
              <w:rPr>
                <w:noProof/>
                <w:webHidden/>
              </w:rPr>
              <w:instrText xml:space="preserve"> PAGEREF _Toc510009722 \h </w:instrText>
            </w:r>
            <w:r w:rsidR="00912EF1">
              <w:rPr>
                <w:noProof/>
                <w:webHidden/>
              </w:rPr>
            </w:r>
            <w:r w:rsidR="00912EF1">
              <w:rPr>
                <w:noProof/>
                <w:webHidden/>
              </w:rPr>
              <w:fldChar w:fldCharType="separate"/>
            </w:r>
            <w:r w:rsidR="00AE578E">
              <w:rPr>
                <w:noProof/>
                <w:webHidden/>
              </w:rPr>
              <w:t>44</w:t>
            </w:r>
            <w:r w:rsidR="00912EF1">
              <w:rPr>
                <w:noProof/>
                <w:webHidden/>
              </w:rPr>
              <w:fldChar w:fldCharType="end"/>
            </w:r>
          </w:hyperlink>
        </w:p>
        <w:p w:rsidR="00912EF1" w:rsidRDefault="00444545">
          <w:pPr>
            <w:pStyle w:val="TOC2"/>
            <w:rPr>
              <w:rFonts w:asciiTheme="minorHAnsi" w:eastAsiaTheme="minorEastAsia" w:hAnsiTheme="minorHAnsi" w:cstheme="minorBidi"/>
              <w:b w:val="0"/>
              <w:noProof/>
              <w:sz w:val="22"/>
              <w:lang w:eastAsia="en-AU"/>
            </w:rPr>
          </w:pPr>
          <w:hyperlink w:anchor="_Toc510009723" w:history="1">
            <w:r w:rsidR="00912EF1" w:rsidRPr="00737873">
              <w:rPr>
                <w:rStyle w:val="Hyperlink"/>
                <w:noProof/>
              </w:rPr>
              <w:t>V. Pharmacovigilance findings</w:t>
            </w:r>
            <w:r w:rsidR="00912EF1">
              <w:rPr>
                <w:noProof/>
                <w:webHidden/>
              </w:rPr>
              <w:tab/>
            </w:r>
            <w:r w:rsidR="00912EF1">
              <w:rPr>
                <w:noProof/>
                <w:webHidden/>
              </w:rPr>
              <w:fldChar w:fldCharType="begin"/>
            </w:r>
            <w:r w:rsidR="00912EF1">
              <w:rPr>
                <w:noProof/>
                <w:webHidden/>
              </w:rPr>
              <w:instrText xml:space="preserve"> PAGEREF _Toc510009723 \h </w:instrText>
            </w:r>
            <w:r w:rsidR="00912EF1">
              <w:rPr>
                <w:noProof/>
                <w:webHidden/>
              </w:rPr>
            </w:r>
            <w:r w:rsidR="00912EF1">
              <w:rPr>
                <w:noProof/>
                <w:webHidden/>
              </w:rPr>
              <w:fldChar w:fldCharType="separate"/>
            </w:r>
            <w:r w:rsidR="00AE578E">
              <w:rPr>
                <w:noProof/>
                <w:webHidden/>
              </w:rPr>
              <w:t>45</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24" w:history="1">
            <w:r w:rsidR="00912EF1" w:rsidRPr="00737873">
              <w:rPr>
                <w:rStyle w:val="Hyperlink"/>
                <w:noProof/>
                <w:lang w:eastAsia="en-AU"/>
              </w:rPr>
              <w:t>Risk management plan</w:t>
            </w:r>
            <w:r w:rsidR="00912EF1">
              <w:rPr>
                <w:noProof/>
                <w:webHidden/>
              </w:rPr>
              <w:tab/>
            </w:r>
            <w:r w:rsidR="00912EF1">
              <w:rPr>
                <w:noProof/>
                <w:webHidden/>
              </w:rPr>
              <w:fldChar w:fldCharType="begin"/>
            </w:r>
            <w:r w:rsidR="00912EF1">
              <w:rPr>
                <w:noProof/>
                <w:webHidden/>
              </w:rPr>
              <w:instrText xml:space="preserve"> PAGEREF _Toc510009724 \h </w:instrText>
            </w:r>
            <w:r w:rsidR="00912EF1">
              <w:rPr>
                <w:noProof/>
                <w:webHidden/>
              </w:rPr>
            </w:r>
            <w:r w:rsidR="00912EF1">
              <w:rPr>
                <w:noProof/>
                <w:webHidden/>
              </w:rPr>
              <w:fldChar w:fldCharType="separate"/>
            </w:r>
            <w:r w:rsidR="00AE578E">
              <w:rPr>
                <w:noProof/>
                <w:webHidden/>
              </w:rPr>
              <w:t>45</w:t>
            </w:r>
            <w:r w:rsidR="00912EF1">
              <w:rPr>
                <w:noProof/>
                <w:webHidden/>
              </w:rPr>
              <w:fldChar w:fldCharType="end"/>
            </w:r>
          </w:hyperlink>
        </w:p>
        <w:p w:rsidR="00912EF1" w:rsidRDefault="00444545">
          <w:pPr>
            <w:pStyle w:val="TOC2"/>
            <w:rPr>
              <w:rFonts w:asciiTheme="minorHAnsi" w:eastAsiaTheme="minorEastAsia" w:hAnsiTheme="minorHAnsi" w:cstheme="minorBidi"/>
              <w:b w:val="0"/>
              <w:noProof/>
              <w:sz w:val="22"/>
              <w:lang w:eastAsia="en-AU"/>
            </w:rPr>
          </w:pPr>
          <w:hyperlink w:anchor="_Toc510009725" w:history="1">
            <w:r w:rsidR="00912EF1" w:rsidRPr="00737873">
              <w:rPr>
                <w:rStyle w:val="Hyperlink"/>
                <w:noProof/>
              </w:rPr>
              <w:t>VI. Overall conclusion and risk/benefit assessment</w:t>
            </w:r>
            <w:r w:rsidR="00912EF1">
              <w:rPr>
                <w:noProof/>
                <w:webHidden/>
              </w:rPr>
              <w:tab/>
            </w:r>
            <w:r w:rsidR="00912EF1">
              <w:rPr>
                <w:noProof/>
                <w:webHidden/>
              </w:rPr>
              <w:fldChar w:fldCharType="begin"/>
            </w:r>
            <w:r w:rsidR="00912EF1">
              <w:rPr>
                <w:noProof/>
                <w:webHidden/>
              </w:rPr>
              <w:instrText xml:space="preserve"> PAGEREF _Toc510009725 \h </w:instrText>
            </w:r>
            <w:r w:rsidR="00912EF1">
              <w:rPr>
                <w:noProof/>
                <w:webHidden/>
              </w:rPr>
            </w:r>
            <w:r w:rsidR="00912EF1">
              <w:rPr>
                <w:noProof/>
                <w:webHidden/>
              </w:rPr>
              <w:fldChar w:fldCharType="separate"/>
            </w:r>
            <w:r w:rsidR="00AE578E">
              <w:rPr>
                <w:noProof/>
                <w:webHidden/>
              </w:rPr>
              <w:t>46</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26" w:history="1">
            <w:r w:rsidR="00912EF1" w:rsidRPr="00737873">
              <w:rPr>
                <w:rStyle w:val="Hyperlink"/>
                <w:noProof/>
              </w:rPr>
              <w:t>Quality</w:t>
            </w:r>
            <w:r w:rsidR="00912EF1">
              <w:rPr>
                <w:noProof/>
                <w:webHidden/>
              </w:rPr>
              <w:tab/>
            </w:r>
            <w:r w:rsidR="00912EF1">
              <w:rPr>
                <w:noProof/>
                <w:webHidden/>
              </w:rPr>
              <w:fldChar w:fldCharType="begin"/>
            </w:r>
            <w:r w:rsidR="00912EF1">
              <w:rPr>
                <w:noProof/>
                <w:webHidden/>
              </w:rPr>
              <w:instrText xml:space="preserve"> PAGEREF _Toc510009726 \h </w:instrText>
            </w:r>
            <w:r w:rsidR="00912EF1">
              <w:rPr>
                <w:noProof/>
                <w:webHidden/>
              </w:rPr>
            </w:r>
            <w:r w:rsidR="00912EF1">
              <w:rPr>
                <w:noProof/>
                <w:webHidden/>
              </w:rPr>
              <w:fldChar w:fldCharType="separate"/>
            </w:r>
            <w:r w:rsidR="00AE578E">
              <w:rPr>
                <w:noProof/>
                <w:webHidden/>
              </w:rPr>
              <w:t>46</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27" w:history="1">
            <w:r w:rsidR="00912EF1" w:rsidRPr="00737873">
              <w:rPr>
                <w:rStyle w:val="Hyperlink"/>
                <w:noProof/>
              </w:rPr>
              <w:t>Nonclinical</w:t>
            </w:r>
            <w:r w:rsidR="00912EF1">
              <w:rPr>
                <w:noProof/>
                <w:webHidden/>
              </w:rPr>
              <w:tab/>
            </w:r>
            <w:r w:rsidR="00912EF1">
              <w:rPr>
                <w:noProof/>
                <w:webHidden/>
              </w:rPr>
              <w:fldChar w:fldCharType="begin"/>
            </w:r>
            <w:r w:rsidR="00912EF1">
              <w:rPr>
                <w:noProof/>
                <w:webHidden/>
              </w:rPr>
              <w:instrText xml:space="preserve"> PAGEREF _Toc510009727 \h </w:instrText>
            </w:r>
            <w:r w:rsidR="00912EF1">
              <w:rPr>
                <w:noProof/>
                <w:webHidden/>
              </w:rPr>
            </w:r>
            <w:r w:rsidR="00912EF1">
              <w:rPr>
                <w:noProof/>
                <w:webHidden/>
              </w:rPr>
              <w:fldChar w:fldCharType="separate"/>
            </w:r>
            <w:r w:rsidR="00AE578E">
              <w:rPr>
                <w:noProof/>
                <w:webHidden/>
              </w:rPr>
              <w:t>46</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28" w:history="1">
            <w:r w:rsidR="00912EF1" w:rsidRPr="00737873">
              <w:rPr>
                <w:rStyle w:val="Hyperlink"/>
                <w:noProof/>
              </w:rPr>
              <w:t>Clinical</w:t>
            </w:r>
            <w:r w:rsidR="00912EF1">
              <w:rPr>
                <w:noProof/>
                <w:webHidden/>
              </w:rPr>
              <w:tab/>
            </w:r>
            <w:r w:rsidR="00912EF1">
              <w:rPr>
                <w:noProof/>
                <w:webHidden/>
              </w:rPr>
              <w:fldChar w:fldCharType="begin"/>
            </w:r>
            <w:r w:rsidR="00912EF1">
              <w:rPr>
                <w:noProof/>
                <w:webHidden/>
              </w:rPr>
              <w:instrText xml:space="preserve"> PAGEREF _Toc510009728 \h </w:instrText>
            </w:r>
            <w:r w:rsidR="00912EF1">
              <w:rPr>
                <w:noProof/>
                <w:webHidden/>
              </w:rPr>
            </w:r>
            <w:r w:rsidR="00912EF1">
              <w:rPr>
                <w:noProof/>
                <w:webHidden/>
              </w:rPr>
              <w:fldChar w:fldCharType="separate"/>
            </w:r>
            <w:r w:rsidR="00AE578E">
              <w:rPr>
                <w:noProof/>
                <w:webHidden/>
              </w:rPr>
              <w:t>47</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29" w:history="1">
            <w:r w:rsidR="00912EF1" w:rsidRPr="00737873">
              <w:rPr>
                <w:rStyle w:val="Hyperlink"/>
                <w:noProof/>
                <w:lang w:eastAsia="en-AU"/>
              </w:rPr>
              <w:t>Risk management plan</w:t>
            </w:r>
            <w:r w:rsidR="00912EF1">
              <w:rPr>
                <w:noProof/>
                <w:webHidden/>
              </w:rPr>
              <w:tab/>
            </w:r>
            <w:r w:rsidR="00912EF1">
              <w:rPr>
                <w:noProof/>
                <w:webHidden/>
              </w:rPr>
              <w:fldChar w:fldCharType="begin"/>
            </w:r>
            <w:r w:rsidR="00912EF1">
              <w:rPr>
                <w:noProof/>
                <w:webHidden/>
              </w:rPr>
              <w:instrText xml:space="preserve"> PAGEREF _Toc510009729 \h </w:instrText>
            </w:r>
            <w:r w:rsidR="00912EF1">
              <w:rPr>
                <w:noProof/>
                <w:webHidden/>
              </w:rPr>
            </w:r>
            <w:r w:rsidR="00912EF1">
              <w:rPr>
                <w:noProof/>
                <w:webHidden/>
              </w:rPr>
              <w:fldChar w:fldCharType="separate"/>
            </w:r>
            <w:r w:rsidR="00AE578E">
              <w:rPr>
                <w:noProof/>
                <w:webHidden/>
              </w:rPr>
              <w:t>47</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30" w:history="1">
            <w:r w:rsidR="00912EF1" w:rsidRPr="00737873">
              <w:rPr>
                <w:rStyle w:val="Hyperlink"/>
                <w:noProof/>
              </w:rPr>
              <w:t>Risk-benefit analysis</w:t>
            </w:r>
            <w:r w:rsidR="00912EF1">
              <w:rPr>
                <w:noProof/>
                <w:webHidden/>
              </w:rPr>
              <w:tab/>
            </w:r>
            <w:r w:rsidR="00912EF1">
              <w:rPr>
                <w:noProof/>
                <w:webHidden/>
              </w:rPr>
              <w:fldChar w:fldCharType="begin"/>
            </w:r>
            <w:r w:rsidR="00912EF1">
              <w:rPr>
                <w:noProof/>
                <w:webHidden/>
              </w:rPr>
              <w:instrText xml:space="preserve"> PAGEREF _Toc510009730 \h </w:instrText>
            </w:r>
            <w:r w:rsidR="00912EF1">
              <w:rPr>
                <w:noProof/>
                <w:webHidden/>
              </w:rPr>
            </w:r>
            <w:r w:rsidR="00912EF1">
              <w:rPr>
                <w:noProof/>
                <w:webHidden/>
              </w:rPr>
              <w:fldChar w:fldCharType="separate"/>
            </w:r>
            <w:r w:rsidR="00AE578E">
              <w:rPr>
                <w:noProof/>
                <w:webHidden/>
              </w:rPr>
              <w:t>47</w:t>
            </w:r>
            <w:r w:rsidR="00912EF1">
              <w:rPr>
                <w:noProof/>
                <w:webHidden/>
              </w:rPr>
              <w:fldChar w:fldCharType="end"/>
            </w:r>
          </w:hyperlink>
        </w:p>
        <w:p w:rsidR="00912EF1" w:rsidRDefault="00444545">
          <w:pPr>
            <w:pStyle w:val="TOC3"/>
            <w:rPr>
              <w:rFonts w:asciiTheme="minorHAnsi" w:eastAsiaTheme="minorEastAsia" w:hAnsiTheme="minorHAnsi" w:cstheme="minorBidi"/>
              <w:noProof/>
              <w:lang w:eastAsia="en-AU"/>
            </w:rPr>
          </w:pPr>
          <w:hyperlink w:anchor="_Toc510009731" w:history="1">
            <w:r w:rsidR="00912EF1" w:rsidRPr="00737873">
              <w:rPr>
                <w:rStyle w:val="Hyperlink"/>
                <w:noProof/>
              </w:rPr>
              <w:t>Outcome</w:t>
            </w:r>
            <w:r w:rsidR="00912EF1">
              <w:rPr>
                <w:noProof/>
                <w:webHidden/>
              </w:rPr>
              <w:tab/>
            </w:r>
            <w:r w:rsidR="00912EF1">
              <w:rPr>
                <w:noProof/>
                <w:webHidden/>
              </w:rPr>
              <w:fldChar w:fldCharType="begin"/>
            </w:r>
            <w:r w:rsidR="00912EF1">
              <w:rPr>
                <w:noProof/>
                <w:webHidden/>
              </w:rPr>
              <w:instrText xml:space="preserve"> PAGEREF _Toc510009731 \h </w:instrText>
            </w:r>
            <w:r w:rsidR="00912EF1">
              <w:rPr>
                <w:noProof/>
                <w:webHidden/>
              </w:rPr>
            </w:r>
            <w:r w:rsidR="00912EF1">
              <w:rPr>
                <w:noProof/>
                <w:webHidden/>
              </w:rPr>
              <w:fldChar w:fldCharType="separate"/>
            </w:r>
            <w:r w:rsidR="00AE578E">
              <w:rPr>
                <w:noProof/>
                <w:webHidden/>
              </w:rPr>
              <w:t>63</w:t>
            </w:r>
            <w:r w:rsidR="00912EF1">
              <w:rPr>
                <w:noProof/>
                <w:webHidden/>
              </w:rPr>
              <w:fldChar w:fldCharType="end"/>
            </w:r>
          </w:hyperlink>
        </w:p>
        <w:p w:rsidR="00912EF1" w:rsidRDefault="00444545" w:rsidP="00F4311D">
          <w:pPr>
            <w:pStyle w:val="TOC2"/>
            <w:rPr>
              <w:rFonts w:asciiTheme="minorHAnsi" w:eastAsiaTheme="minorEastAsia" w:hAnsiTheme="minorHAnsi" w:cstheme="minorBidi"/>
              <w:b w:val="0"/>
              <w:noProof/>
              <w:sz w:val="22"/>
              <w:lang w:eastAsia="en-AU"/>
            </w:rPr>
          </w:pPr>
          <w:hyperlink w:anchor="_Toc510009732" w:history="1"/>
          <w:hyperlink w:anchor="_Toc510009733" w:history="1">
            <w:r w:rsidR="00912EF1" w:rsidRPr="00737873">
              <w:rPr>
                <w:rStyle w:val="Hyperlink"/>
                <w:noProof/>
                <w:lang w:eastAsia="en-AU"/>
              </w:rPr>
              <w:t xml:space="preserve">Attachment </w:t>
            </w:r>
            <w:r w:rsidR="00D87A8A">
              <w:rPr>
                <w:rStyle w:val="Hyperlink"/>
                <w:noProof/>
                <w:lang w:eastAsia="en-AU"/>
              </w:rPr>
              <w:t>1</w:t>
            </w:r>
            <w:r w:rsidR="00912EF1" w:rsidRPr="00737873">
              <w:rPr>
                <w:rStyle w:val="Hyperlink"/>
                <w:noProof/>
                <w:lang w:eastAsia="en-AU"/>
              </w:rPr>
              <w:t>. Extract from the Clinical Evaluation Report</w:t>
            </w:r>
            <w:r w:rsidR="00912EF1">
              <w:rPr>
                <w:noProof/>
                <w:webHidden/>
              </w:rPr>
              <w:tab/>
            </w:r>
            <w:r w:rsidR="00912EF1">
              <w:rPr>
                <w:noProof/>
                <w:webHidden/>
              </w:rPr>
              <w:fldChar w:fldCharType="begin"/>
            </w:r>
            <w:r w:rsidR="00912EF1">
              <w:rPr>
                <w:noProof/>
                <w:webHidden/>
              </w:rPr>
              <w:instrText xml:space="preserve"> PAGEREF _Toc510009733 \h </w:instrText>
            </w:r>
            <w:r w:rsidR="00912EF1">
              <w:rPr>
                <w:noProof/>
                <w:webHidden/>
              </w:rPr>
            </w:r>
            <w:r w:rsidR="00912EF1">
              <w:rPr>
                <w:noProof/>
                <w:webHidden/>
              </w:rPr>
              <w:fldChar w:fldCharType="separate"/>
            </w:r>
            <w:r w:rsidR="00AE578E">
              <w:rPr>
                <w:noProof/>
                <w:webHidden/>
              </w:rPr>
              <w:t>63</w:t>
            </w:r>
            <w:r w:rsidR="00912EF1">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510009693"/>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Description w:val="Common abbreviations"/>
      </w:tblPr>
      <w:tblGrid>
        <w:gridCol w:w="1809"/>
        <w:gridCol w:w="6911"/>
      </w:tblGrid>
      <w:tr w:rsidR="00FD119B" w:rsidRPr="00BF09F1"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BF09F1" w:rsidRDefault="00FD119B" w:rsidP="00BF09F1">
            <w:pPr>
              <w:rPr>
                <w:sz w:val="20"/>
                <w:szCs w:val="20"/>
                <w:lang w:eastAsia="en-US"/>
              </w:rPr>
            </w:pPr>
            <w:r w:rsidRPr="00BF09F1">
              <w:rPr>
                <w:sz w:val="20"/>
                <w:szCs w:val="20"/>
                <w:lang w:eastAsia="en-US"/>
              </w:rPr>
              <w:t>Abbreviation</w:t>
            </w:r>
          </w:p>
        </w:tc>
        <w:tc>
          <w:tcPr>
            <w:tcW w:w="6911" w:type="dxa"/>
          </w:tcPr>
          <w:p w:rsidR="00FD119B" w:rsidRPr="00BF09F1" w:rsidRDefault="00FD119B" w:rsidP="00BF09F1">
            <w:pPr>
              <w:rPr>
                <w:sz w:val="20"/>
                <w:szCs w:val="20"/>
                <w:lang w:eastAsia="en-US"/>
              </w:rPr>
            </w:pPr>
            <w:r w:rsidRPr="00BF09F1">
              <w:rPr>
                <w:sz w:val="20"/>
                <w:szCs w:val="20"/>
                <w:lang w:eastAsia="en-US"/>
              </w:rPr>
              <w:t>Meaning</w:t>
            </w:r>
          </w:p>
        </w:tc>
      </w:tr>
      <w:tr w:rsidR="00F54294" w:rsidRPr="00BF09F1" w:rsidTr="00662E29">
        <w:tc>
          <w:tcPr>
            <w:tcW w:w="1809" w:type="dxa"/>
          </w:tcPr>
          <w:p w:rsidR="00F54294" w:rsidRDefault="00F54294" w:rsidP="00BF09F1">
            <w:pPr>
              <w:rPr>
                <w:sz w:val="20"/>
                <w:szCs w:val="20"/>
              </w:rPr>
            </w:pPr>
            <w:r>
              <w:rPr>
                <w:sz w:val="20"/>
                <w:szCs w:val="20"/>
              </w:rPr>
              <w:t>5-HT3</w:t>
            </w:r>
          </w:p>
        </w:tc>
        <w:tc>
          <w:tcPr>
            <w:tcW w:w="6911" w:type="dxa"/>
          </w:tcPr>
          <w:p w:rsidR="00F54294" w:rsidRPr="00F54294" w:rsidRDefault="00F54294" w:rsidP="002B650D">
            <w:r w:rsidRPr="002B650D">
              <w:t>Serotonin 3 receptor</w:t>
            </w:r>
          </w:p>
        </w:tc>
      </w:tr>
      <w:tr w:rsidR="00F54294" w:rsidRPr="00BF09F1" w:rsidTr="00662E29">
        <w:tc>
          <w:tcPr>
            <w:tcW w:w="1809" w:type="dxa"/>
          </w:tcPr>
          <w:p w:rsidR="00F54294" w:rsidRDefault="00F54294" w:rsidP="00BF09F1">
            <w:pPr>
              <w:rPr>
                <w:sz w:val="20"/>
                <w:szCs w:val="20"/>
              </w:rPr>
            </w:pPr>
            <w:r>
              <w:rPr>
                <w:sz w:val="20"/>
                <w:szCs w:val="20"/>
              </w:rPr>
              <w:t>ACM</w:t>
            </w:r>
          </w:p>
        </w:tc>
        <w:tc>
          <w:tcPr>
            <w:tcW w:w="6911" w:type="dxa"/>
          </w:tcPr>
          <w:p w:rsidR="00F54294" w:rsidRPr="00F54294" w:rsidRDefault="00F54294" w:rsidP="002B650D">
            <w:r w:rsidRPr="002B650D">
              <w:t>Advisory Committee</w:t>
            </w:r>
            <w:r w:rsidRPr="00F54294">
              <w:t xml:space="preserve"> on Medicines</w:t>
            </w:r>
          </w:p>
        </w:tc>
      </w:tr>
      <w:tr w:rsidR="00F54294" w:rsidRPr="00BF09F1" w:rsidTr="00662E29">
        <w:tc>
          <w:tcPr>
            <w:tcW w:w="1809" w:type="dxa"/>
          </w:tcPr>
          <w:p w:rsidR="00F54294" w:rsidRDefault="00F54294" w:rsidP="00BF09F1">
            <w:pPr>
              <w:rPr>
                <w:sz w:val="20"/>
                <w:szCs w:val="20"/>
              </w:rPr>
            </w:pPr>
            <w:r>
              <w:rPr>
                <w:sz w:val="20"/>
                <w:szCs w:val="20"/>
              </w:rPr>
              <w:t>AE</w:t>
            </w:r>
          </w:p>
        </w:tc>
        <w:tc>
          <w:tcPr>
            <w:tcW w:w="6911" w:type="dxa"/>
          </w:tcPr>
          <w:p w:rsidR="00F54294" w:rsidRPr="00F54294" w:rsidRDefault="00F54294" w:rsidP="002B650D">
            <w:r w:rsidRPr="002B650D">
              <w:t>Adverse event</w:t>
            </w:r>
          </w:p>
        </w:tc>
      </w:tr>
      <w:tr w:rsidR="00F54294" w:rsidRPr="00BF09F1" w:rsidTr="00662E29">
        <w:tc>
          <w:tcPr>
            <w:tcW w:w="1809" w:type="dxa"/>
          </w:tcPr>
          <w:p w:rsidR="00F54294" w:rsidRDefault="00F54294" w:rsidP="00BF09F1">
            <w:pPr>
              <w:rPr>
                <w:sz w:val="20"/>
                <w:szCs w:val="20"/>
              </w:rPr>
            </w:pPr>
            <w:r>
              <w:rPr>
                <w:sz w:val="20"/>
                <w:szCs w:val="20"/>
              </w:rPr>
              <w:t>ALP</w:t>
            </w:r>
          </w:p>
        </w:tc>
        <w:tc>
          <w:tcPr>
            <w:tcW w:w="6911" w:type="dxa"/>
          </w:tcPr>
          <w:p w:rsidR="00F54294" w:rsidRPr="00F54294" w:rsidRDefault="00F54294" w:rsidP="002B650D">
            <w:r w:rsidRPr="002B650D">
              <w:t xml:space="preserve">Alkaline </w:t>
            </w:r>
            <w:r w:rsidR="00074C31" w:rsidRPr="002B650D">
              <w:t>phosphatase</w:t>
            </w:r>
          </w:p>
        </w:tc>
      </w:tr>
      <w:tr w:rsidR="00F54294" w:rsidRPr="00BF09F1" w:rsidTr="00662E29">
        <w:tc>
          <w:tcPr>
            <w:tcW w:w="1809" w:type="dxa"/>
          </w:tcPr>
          <w:p w:rsidR="00F54294" w:rsidRDefault="00F54294" w:rsidP="00BF09F1">
            <w:pPr>
              <w:rPr>
                <w:sz w:val="20"/>
                <w:szCs w:val="20"/>
              </w:rPr>
            </w:pPr>
            <w:r>
              <w:rPr>
                <w:sz w:val="20"/>
                <w:szCs w:val="20"/>
              </w:rPr>
              <w:t>ALT</w:t>
            </w:r>
          </w:p>
        </w:tc>
        <w:tc>
          <w:tcPr>
            <w:tcW w:w="6911" w:type="dxa"/>
          </w:tcPr>
          <w:p w:rsidR="00F54294" w:rsidRPr="00F54294" w:rsidRDefault="00F54294" w:rsidP="002B650D">
            <w:r w:rsidRPr="002B650D">
              <w:t>Alanine aminotransferase</w:t>
            </w:r>
          </w:p>
        </w:tc>
      </w:tr>
      <w:tr w:rsidR="00F54294" w:rsidRPr="00BF09F1" w:rsidTr="00662E29">
        <w:tc>
          <w:tcPr>
            <w:tcW w:w="1809" w:type="dxa"/>
          </w:tcPr>
          <w:p w:rsidR="00F54294" w:rsidRDefault="00F54294" w:rsidP="00BF09F1">
            <w:pPr>
              <w:rPr>
                <w:sz w:val="20"/>
                <w:szCs w:val="20"/>
              </w:rPr>
            </w:pPr>
            <w:r>
              <w:rPr>
                <w:sz w:val="20"/>
                <w:szCs w:val="20"/>
              </w:rPr>
              <w:t>API</w:t>
            </w:r>
          </w:p>
        </w:tc>
        <w:tc>
          <w:tcPr>
            <w:tcW w:w="6911" w:type="dxa"/>
          </w:tcPr>
          <w:p w:rsidR="00F54294" w:rsidRPr="00F54294" w:rsidRDefault="00F54294" w:rsidP="002B650D">
            <w:r w:rsidRPr="002B650D">
              <w:t>Active pharmaceutical ingredient</w:t>
            </w:r>
          </w:p>
        </w:tc>
      </w:tr>
      <w:tr w:rsidR="00F54294" w:rsidRPr="00BF09F1" w:rsidTr="00662E29">
        <w:tc>
          <w:tcPr>
            <w:tcW w:w="1809" w:type="dxa"/>
          </w:tcPr>
          <w:p w:rsidR="00F54294" w:rsidRPr="00BF09F1" w:rsidRDefault="00F54294" w:rsidP="00BF09F1">
            <w:pPr>
              <w:rPr>
                <w:sz w:val="20"/>
                <w:szCs w:val="20"/>
              </w:rPr>
            </w:pPr>
            <w:r w:rsidRPr="00BF09F1">
              <w:rPr>
                <w:bCs/>
                <w:sz w:val="20"/>
                <w:szCs w:val="20"/>
              </w:rPr>
              <w:t>ARCI</w:t>
            </w:r>
          </w:p>
        </w:tc>
        <w:tc>
          <w:tcPr>
            <w:tcW w:w="6911" w:type="dxa"/>
          </w:tcPr>
          <w:p w:rsidR="00F54294" w:rsidRPr="00F54294" w:rsidRDefault="00F54294" w:rsidP="002B650D">
            <w:r w:rsidRPr="002B650D">
              <w:t>Addiction Research Centre Inventory</w:t>
            </w:r>
          </w:p>
        </w:tc>
      </w:tr>
      <w:tr w:rsidR="00F54294" w:rsidRPr="00BF09F1" w:rsidTr="00662E29">
        <w:tc>
          <w:tcPr>
            <w:tcW w:w="1809" w:type="dxa"/>
          </w:tcPr>
          <w:p w:rsidR="00F54294" w:rsidRDefault="00F54294" w:rsidP="00BF09F1">
            <w:pPr>
              <w:rPr>
                <w:sz w:val="20"/>
                <w:szCs w:val="20"/>
              </w:rPr>
            </w:pPr>
            <w:r>
              <w:rPr>
                <w:sz w:val="20"/>
                <w:szCs w:val="20"/>
              </w:rPr>
              <w:t>ARGPM</w:t>
            </w:r>
          </w:p>
        </w:tc>
        <w:tc>
          <w:tcPr>
            <w:tcW w:w="6911" w:type="dxa"/>
          </w:tcPr>
          <w:p w:rsidR="00F54294" w:rsidRPr="00F54294" w:rsidRDefault="00F54294" w:rsidP="002B650D">
            <w:r w:rsidRPr="002B650D">
              <w:t>Australian Regulatory Guidelines for Prescription Medicines</w:t>
            </w:r>
          </w:p>
        </w:tc>
      </w:tr>
      <w:tr w:rsidR="00F54294" w:rsidRPr="00BF09F1" w:rsidTr="00662E29">
        <w:tc>
          <w:tcPr>
            <w:tcW w:w="1809" w:type="dxa"/>
          </w:tcPr>
          <w:p w:rsidR="00F54294" w:rsidRDefault="00F54294" w:rsidP="00BF09F1">
            <w:pPr>
              <w:rPr>
                <w:sz w:val="20"/>
                <w:szCs w:val="20"/>
              </w:rPr>
            </w:pPr>
            <w:r>
              <w:rPr>
                <w:sz w:val="20"/>
                <w:szCs w:val="20"/>
              </w:rPr>
              <w:t>ASA</w:t>
            </w:r>
          </w:p>
        </w:tc>
        <w:tc>
          <w:tcPr>
            <w:tcW w:w="6911" w:type="dxa"/>
          </w:tcPr>
          <w:p w:rsidR="00F54294" w:rsidRPr="00F54294" w:rsidRDefault="00F54294" w:rsidP="002B650D">
            <w:r w:rsidRPr="002B650D">
              <w:t xml:space="preserve">Australian </w:t>
            </w:r>
            <w:r w:rsidRPr="00F54294">
              <w:t>Specific Annex</w:t>
            </w:r>
          </w:p>
        </w:tc>
      </w:tr>
      <w:tr w:rsidR="00F54294" w:rsidRPr="00BF09F1" w:rsidTr="00662E29">
        <w:tc>
          <w:tcPr>
            <w:tcW w:w="1809" w:type="dxa"/>
          </w:tcPr>
          <w:p w:rsidR="00F54294" w:rsidRDefault="00F54294" w:rsidP="00BF09F1">
            <w:pPr>
              <w:rPr>
                <w:sz w:val="20"/>
                <w:szCs w:val="20"/>
              </w:rPr>
            </w:pPr>
            <w:r>
              <w:rPr>
                <w:sz w:val="20"/>
                <w:szCs w:val="20"/>
              </w:rPr>
              <w:t>AST</w:t>
            </w:r>
          </w:p>
        </w:tc>
        <w:tc>
          <w:tcPr>
            <w:tcW w:w="6911" w:type="dxa"/>
          </w:tcPr>
          <w:p w:rsidR="00F54294" w:rsidRPr="00F54294" w:rsidRDefault="00F54294" w:rsidP="002B650D">
            <w:r w:rsidRPr="002B650D">
              <w:t>Aspartate aminotransferase</w:t>
            </w:r>
          </w:p>
        </w:tc>
      </w:tr>
      <w:tr w:rsidR="00F54294" w:rsidRPr="00BF09F1" w:rsidTr="00662E29">
        <w:tc>
          <w:tcPr>
            <w:tcW w:w="1809" w:type="dxa"/>
          </w:tcPr>
          <w:p w:rsidR="00F54294" w:rsidRDefault="00F54294" w:rsidP="00BF09F1">
            <w:pPr>
              <w:rPr>
                <w:sz w:val="20"/>
                <w:szCs w:val="20"/>
              </w:rPr>
            </w:pPr>
            <w:r>
              <w:t>AUC</w:t>
            </w:r>
            <w:r w:rsidRPr="005809C6">
              <w:rPr>
                <w:vertAlign w:val="subscript"/>
              </w:rPr>
              <w:t>0-24h</w:t>
            </w:r>
          </w:p>
        </w:tc>
        <w:tc>
          <w:tcPr>
            <w:tcW w:w="6911" w:type="dxa"/>
          </w:tcPr>
          <w:p w:rsidR="00F54294" w:rsidRPr="00F54294" w:rsidRDefault="00F54294" w:rsidP="002B650D">
            <w:r w:rsidRPr="002B650D">
              <w:t>Area under the plasma concentration versus time curve between time 0 and</w:t>
            </w:r>
            <w:r w:rsidRPr="00F54294">
              <w:t xml:space="preserve"> 24 hours</w:t>
            </w:r>
          </w:p>
        </w:tc>
      </w:tr>
      <w:tr w:rsidR="00F54294" w:rsidRPr="00BF09F1" w:rsidTr="00662E29">
        <w:tc>
          <w:tcPr>
            <w:tcW w:w="1809" w:type="dxa"/>
          </w:tcPr>
          <w:p w:rsidR="00F54294" w:rsidRDefault="00F54294" w:rsidP="00BF09F1">
            <w:pPr>
              <w:rPr>
                <w:sz w:val="20"/>
                <w:szCs w:val="20"/>
              </w:rPr>
            </w:pPr>
            <w:r>
              <w:t>AUC</w:t>
            </w:r>
            <w:r w:rsidRPr="00192749">
              <w:rPr>
                <w:vertAlign w:val="subscript"/>
              </w:rPr>
              <w:t>0-7h</w:t>
            </w:r>
          </w:p>
        </w:tc>
        <w:tc>
          <w:tcPr>
            <w:tcW w:w="6911" w:type="dxa"/>
          </w:tcPr>
          <w:p w:rsidR="00F54294" w:rsidRPr="00F54294" w:rsidRDefault="00F54294" w:rsidP="002B650D">
            <w:r w:rsidRPr="002B650D">
              <w:t>Area under the plasma concentration versus time curve between time 0 and 7 hours</w:t>
            </w:r>
          </w:p>
        </w:tc>
      </w:tr>
      <w:tr w:rsidR="00F54294" w:rsidRPr="00BF09F1" w:rsidTr="00662E29">
        <w:tc>
          <w:tcPr>
            <w:tcW w:w="1809" w:type="dxa"/>
          </w:tcPr>
          <w:p w:rsidR="00F54294" w:rsidRDefault="00F54294" w:rsidP="00BF09F1">
            <w:pPr>
              <w:rPr>
                <w:sz w:val="20"/>
                <w:szCs w:val="20"/>
              </w:rPr>
            </w:pPr>
            <w:r>
              <w:t>AUC</w:t>
            </w:r>
            <w:r w:rsidRPr="00C87895">
              <w:rPr>
                <w:vertAlign w:val="subscript"/>
              </w:rPr>
              <w:t>0-t</w:t>
            </w:r>
          </w:p>
        </w:tc>
        <w:tc>
          <w:tcPr>
            <w:tcW w:w="6911" w:type="dxa"/>
          </w:tcPr>
          <w:p w:rsidR="00F54294" w:rsidRPr="00F54294" w:rsidRDefault="00F54294" w:rsidP="002B650D">
            <w:r w:rsidRPr="002B650D">
              <w:t xml:space="preserve">Area under the </w:t>
            </w:r>
            <w:r w:rsidRPr="00F54294">
              <w:t>plasma concentration versus time curve between time 0 and time t</w:t>
            </w:r>
          </w:p>
        </w:tc>
      </w:tr>
      <w:tr w:rsidR="00F54294" w:rsidRPr="00BF09F1" w:rsidTr="00662E29">
        <w:tc>
          <w:tcPr>
            <w:tcW w:w="1809" w:type="dxa"/>
          </w:tcPr>
          <w:p w:rsidR="00F54294" w:rsidRDefault="00F54294" w:rsidP="00BF09F1">
            <w:pPr>
              <w:rPr>
                <w:sz w:val="20"/>
                <w:szCs w:val="20"/>
              </w:rPr>
            </w:pPr>
            <w:r w:rsidRPr="00F91E14">
              <w:rPr>
                <w:sz w:val="20"/>
                <w:szCs w:val="20"/>
              </w:rPr>
              <w:t>AUC</w:t>
            </w:r>
            <w:r w:rsidRPr="00F91E14">
              <w:rPr>
                <w:sz w:val="20"/>
                <w:szCs w:val="20"/>
                <w:vertAlign w:val="subscript"/>
              </w:rPr>
              <w:t>0-α</w:t>
            </w:r>
          </w:p>
        </w:tc>
        <w:tc>
          <w:tcPr>
            <w:tcW w:w="6911" w:type="dxa"/>
          </w:tcPr>
          <w:p w:rsidR="00F54294" w:rsidRPr="00F54294" w:rsidRDefault="00F54294" w:rsidP="002B650D">
            <w:r w:rsidRPr="002B650D">
              <w:t>Area under the plasma concentration versus time curve between time 0 and time alpha</w:t>
            </w:r>
          </w:p>
        </w:tc>
      </w:tr>
      <w:tr w:rsidR="00F54294" w:rsidRPr="00BF09F1" w:rsidTr="00662E29">
        <w:tc>
          <w:tcPr>
            <w:tcW w:w="1809" w:type="dxa"/>
          </w:tcPr>
          <w:p w:rsidR="00F54294" w:rsidRPr="00F91E14" w:rsidRDefault="00F54294" w:rsidP="00BF09F1">
            <w:pPr>
              <w:rPr>
                <w:sz w:val="20"/>
                <w:szCs w:val="20"/>
              </w:rPr>
            </w:pPr>
            <w:r w:rsidRPr="00096F1E">
              <w:rPr>
                <w:sz w:val="20"/>
                <w:szCs w:val="20"/>
              </w:rPr>
              <w:t>AUC</w:t>
            </w:r>
            <w:r w:rsidRPr="00096F1E">
              <w:rPr>
                <w:sz w:val="20"/>
                <w:szCs w:val="20"/>
                <w:vertAlign w:val="subscript"/>
              </w:rPr>
              <w:t>last</w:t>
            </w:r>
          </w:p>
        </w:tc>
        <w:tc>
          <w:tcPr>
            <w:tcW w:w="6911" w:type="dxa"/>
          </w:tcPr>
          <w:p w:rsidR="00F54294" w:rsidRPr="00F54294" w:rsidRDefault="00F54294" w:rsidP="002B650D">
            <w:r w:rsidRPr="002B650D">
              <w:t>A</w:t>
            </w:r>
            <w:r w:rsidRPr="00F54294">
              <w:t>rea under the plasma concentration versus time curve from time 0 until last measurable concentration</w:t>
            </w:r>
          </w:p>
        </w:tc>
      </w:tr>
      <w:tr w:rsidR="00F54294" w:rsidRPr="00BF09F1" w:rsidTr="00662E29">
        <w:tc>
          <w:tcPr>
            <w:tcW w:w="1809" w:type="dxa"/>
          </w:tcPr>
          <w:p w:rsidR="00F54294" w:rsidRDefault="00F54294" w:rsidP="00BF09F1">
            <w:pPr>
              <w:rPr>
                <w:sz w:val="20"/>
                <w:szCs w:val="20"/>
              </w:rPr>
            </w:pPr>
            <w:r>
              <w:rPr>
                <w:sz w:val="20"/>
                <w:szCs w:val="20"/>
              </w:rPr>
              <w:t>BCS</w:t>
            </w:r>
          </w:p>
        </w:tc>
        <w:tc>
          <w:tcPr>
            <w:tcW w:w="6911" w:type="dxa"/>
          </w:tcPr>
          <w:p w:rsidR="00F54294" w:rsidRPr="00F54294" w:rsidRDefault="00F54294" w:rsidP="002B650D">
            <w:r w:rsidRPr="002B650D">
              <w:t>Biopharmaceutics Classification System</w:t>
            </w:r>
          </w:p>
        </w:tc>
      </w:tr>
      <w:tr w:rsidR="00F54294" w:rsidRPr="00BF09F1" w:rsidTr="00662E29">
        <w:tc>
          <w:tcPr>
            <w:tcW w:w="1809" w:type="dxa"/>
          </w:tcPr>
          <w:p w:rsidR="00F54294" w:rsidRDefault="00F54294" w:rsidP="00BF09F1">
            <w:pPr>
              <w:rPr>
                <w:sz w:val="20"/>
                <w:szCs w:val="20"/>
              </w:rPr>
            </w:pPr>
            <w:r>
              <w:rPr>
                <w:sz w:val="20"/>
                <w:szCs w:val="20"/>
              </w:rPr>
              <w:t>bd</w:t>
            </w:r>
          </w:p>
        </w:tc>
        <w:tc>
          <w:tcPr>
            <w:tcW w:w="6911" w:type="dxa"/>
          </w:tcPr>
          <w:p w:rsidR="00F54294" w:rsidRPr="00F54294" w:rsidRDefault="00F54294" w:rsidP="002B650D">
            <w:r w:rsidRPr="002B650D">
              <w:t>Twice a day</w:t>
            </w:r>
            <w:r w:rsidR="00F10A79">
              <w:t xml:space="preserve"> (</w:t>
            </w:r>
            <w:r w:rsidR="00E4543A">
              <w:t>Latin</w:t>
            </w:r>
            <w:r w:rsidR="00F10A79">
              <w:t>: bis die)</w:t>
            </w:r>
          </w:p>
        </w:tc>
      </w:tr>
      <w:tr w:rsidR="00F54294" w:rsidRPr="00BF09F1" w:rsidTr="00662E29">
        <w:tc>
          <w:tcPr>
            <w:tcW w:w="1809" w:type="dxa"/>
          </w:tcPr>
          <w:p w:rsidR="00F54294" w:rsidRPr="00BF09F1" w:rsidRDefault="00F54294" w:rsidP="00BF09F1">
            <w:pPr>
              <w:rPr>
                <w:sz w:val="20"/>
                <w:szCs w:val="20"/>
              </w:rPr>
            </w:pPr>
            <w:r w:rsidRPr="00BF09F1">
              <w:rPr>
                <w:sz w:val="20"/>
                <w:szCs w:val="20"/>
              </w:rPr>
              <w:t>BSS</w:t>
            </w:r>
          </w:p>
        </w:tc>
        <w:tc>
          <w:tcPr>
            <w:tcW w:w="6911" w:type="dxa"/>
          </w:tcPr>
          <w:p w:rsidR="00F54294" w:rsidRPr="00F54294" w:rsidRDefault="00F54294" w:rsidP="002B650D">
            <w:r w:rsidRPr="002B650D">
              <w:t>Bristol Stool Score</w:t>
            </w:r>
            <w:r w:rsidRPr="00F54294" w:rsidDel="006D34D4">
              <w:t xml:space="preserve"> The patient-reported BSS consistency score was based on a 1 to 7 scale where 1 corresponded to a hard stool and 7 corresponded to watery diarrhoea</w:t>
            </w:r>
            <w:r w:rsidRPr="00F54294" w:rsidDel="00E85D4A">
              <w:t>.</w:t>
            </w:r>
          </w:p>
        </w:tc>
      </w:tr>
      <w:tr w:rsidR="00F54294" w:rsidRPr="00BF09F1" w:rsidTr="00662E29">
        <w:tc>
          <w:tcPr>
            <w:tcW w:w="1809" w:type="dxa"/>
          </w:tcPr>
          <w:p w:rsidR="00F54294" w:rsidRDefault="00F54294" w:rsidP="00BF09F1">
            <w:pPr>
              <w:rPr>
                <w:sz w:val="20"/>
                <w:szCs w:val="20"/>
              </w:rPr>
            </w:pPr>
            <w:r>
              <w:rPr>
                <w:sz w:val="20"/>
                <w:szCs w:val="20"/>
              </w:rPr>
              <w:t>CB1</w:t>
            </w:r>
          </w:p>
        </w:tc>
        <w:tc>
          <w:tcPr>
            <w:tcW w:w="6911" w:type="dxa"/>
          </w:tcPr>
          <w:p w:rsidR="00F54294" w:rsidRPr="00F54294" w:rsidRDefault="00F54294" w:rsidP="002B650D">
            <w:r w:rsidRPr="002B650D">
              <w:t>Cannabinoid B1 receptor</w:t>
            </w:r>
          </w:p>
        </w:tc>
      </w:tr>
      <w:tr w:rsidR="00F54294" w:rsidRPr="00BF09F1" w:rsidTr="00662E29">
        <w:tc>
          <w:tcPr>
            <w:tcW w:w="1809" w:type="dxa"/>
          </w:tcPr>
          <w:p w:rsidR="00F54294" w:rsidRDefault="00F54294" w:rsidP="00BF09F1">
            <w:pPr>
              <w:rPr>
                <w:sz w:val="20"/>
                <w:szCs w:val="20"/>
              </w:rPr>
            </w:pPr>
            <w:r>
              <w:rPr>
                <w:sz w:val="20"/>
                <w:szCs w:val="20"/>
              </w:rPr>
              <w:t>CB2</w:t>
            </w:r>
          </w:p>
        </w:tc>
        <w:tc>
          <w:tcPr>
            <w:tcW w:w="6911" w:type="dxa"/>
          </w:tcPr>
          <w:p w:rsidR="00F54294" w:rsidRPr="00F54294" w:rsidRDefault="00F54294" w:rsidP="002B650D">
            <w:r w:rsidRPr="002B650D">
              <w:t>Cannabinoid B2 receptor</w:t>
            </w:r>
          </w:p>
        </w:tc>
      </w:tr>
      <w:tr w:rsidR="00F54294" w:rsidRPr="00BF09F1" w:rsidTr="00662E29">
        <w:tc>
          <w:tcPr>
            <w:tcW w:w="1809" w:type="dxa"/>
          </w:tcPr>
          <w:p w:rsidR="00F54294" w:rsidRDefault="00F54294" w:rsidP="00BF09F1">
            <w:pPr>
              <w:rPr>
                <w:sz w:val="20"/>
                <w:szCs w:val="20"/>
              </w:rPr>
            </w:pPr>
            <w:r>
              <w:rPr>
                <w:sz w:val="20"/>
                <w:szCs w:val="20"/>
              </w:rPr>
              <w:t>CCDS</w:t>
            </w:r>
          </w:p>
        </w:tc>
        <w:tc>
          <w:tcPr>
            <w:tcW w:w="6911" w:type="dxa"/>
          </w:tcPr>
          <w:p w:rsidR="00F54294" w:rsidRPr="00F54294" w:rsidRDefault="00F54294" w:rsidP="002B650D">
            <w:r w:rsidRPr="002B650D">
              <w:t>Company Core Data Sheet</w:t>
            </w:r>
          </w:p>
        </w:tc>
      </w:tr>
      <w:tr w:rsidR="00F54294" w:rsidRPr="00BF09F1" w:rsidTr="00662E29">
        <w:tc>
          <w:tcPr>
            <w:tcW w:w="1809" w:type="dxa"/>
          </w:tcPr>
          <w:p w:rsidR="00F54294" w:rsidRDefault="00F54294" w:rsidP="00BF09F1">
            <w:pPr>
              <w:rPr>
                <w:sz w:val="20"/>
                <w:szCs w:val="20"/>
              </w:rPr>
            </w:pPr>
            <w:r>
              <w:rPr>
                <w:sz w:val="20"/>
                <w:szCs w:val="20"/>
              </w:rPr>
              <w:lastRenderedPageBreak/>
              <w:t>CCK</w:t>
            </w:r>
          </w:p>
        </w:tc>
        <w:tc>
          <w:tcPr>
            <w:tcW w:w="6911" w:type="dxa"/>
          </w:tcPr>
          <w:p w:rsidR="00F54294" w:rsidRPr="00F54294" w:rsidRDefault="00F54294" w:rsidP="002B650D">
            <w:r w:rsidRPr="002B650D">
              <w:t>Cholecystokinin</w:t>
            </w:r>
          </w:p>
        </w:tc>
      </w:tr>
      <w:tr w:rsidR="00F54294" w:rsidRPr="00BF09F1" w:rsidTr="00662E29">
        <w:tc>
          <w:tcPr>
            <w:tcW w:w="1809" w:type="dxa"/>
          </w:tcPr>
          <w:p w:rsidR="00F54294" w:rsidRDefault="00F54294" w:rsidP="00BF09F1">
            <w:pPr>
              <w:rPr>
                <w:sz w:val="20"/>
                <w:szCs w:val="20"/>
              </w:rPr>
            </w:pPr>
            <w:r>
              <w:t>C</w:t>
            </w:r>
            <w:r w:rsidRPr="00C87895">
              <w:rPr>
                <w:vertAlign w:val="subscript"/>
              </w:rPr>
              <w:t>max</w:t>
            </w:r>
          </w:p>
        </w:tc>
        <w:tc>
          <w:tcPr>
            <w:tcW w:w="6911" w:type="dxa"/>
          </w:tcPr>
          <w:p w:rsidR="00F54294" w:rsidRPr="00F54294" w:rsidRDefault="00F54294" w:rsidP="002B650D">
            <w:r w:rsidRPr="002B650D">
              <w:t>Peak plasma concentration</w:t>
            </w:r>
          </w:p>
        </w:tc>
      </w:tr>
      <w:tr w:rsidR="00F54294" w:rsidRPr="00BF09F1" w:rsidTr="00662E29">
        <w:tc>
          <w:tcPr>
            <w:tcW w:w="1809" w:type="dxa"/>
          </w:tcPr>
          <w:p w:rsidR="00F54294" w:rsidRPr="00BF09F1" w:rsidRDefault="00F54294" w:rsidP="00BF09F1">
            <w:pPr>
              <w:rPr>
                <w:sz w:val="20"/>
                <w:szCs w:val="20"/>
              </w:rPr>
            </w:pPr>
            <w:r w:rsidRPr="00BF09F1">
              <w:rPr>
                <w:sz w:val="20"/>
                <w:szCs w:val="20"/>
              </w:rPr>
              <w:t>CMH</w:t>
            </w:r>
          </w:p>
        </w:tc>
        <w:tc>
          <w:tcPr>
            <w:tcW w:w="6911" w:type="dxa"/>
          </w:tcPr>
          <w:p w:rsidR="00F54294" w:rsidRPr="002B650D" w:rsidRDefault="00F54294" w:rsidP="002B650D">
            <w:r w:rsidRPr="009E405F">
              <w:rPr>
                <w:lang w:eastAsia="en-US"/>
              </w:rPr>
              <w:t>Cochran-Mantel-Haenszel Analysis</w:t>
            </w:r>
          </w:p>
        </w:tc>
      </w:tr>
      <w:tr w:rsidR="00F54294" w:rsidRPr="00BF09F1" w:rsidTr="00662E29">
        <w:tc>
          <w:tcPr>
            <w:tcW w:w="1809" w:type="dxa"/>
          </w:tcPr>
          <w:p w:rsidR="00F54294" w:rsidRDefault="00F54294" w:rsidP="00BF09F1">
            <w:pPr>
              <w:rPr>
                <w:sz w:val="20"/>
                <w:szCs w:val="20"/>
              </w:rPr>
            </w:pPr>
            <w:r>
              <w:rPr>
                <w:sz w:val="20"/>
                <w:szCs w:val="20"/>
              </w:rPr>
              <w:t>CMI</w:t>
            </w:r>
          </w:p>
        </w:tc>
        <w:tc>
          <w:tcPr>
            <w:tcW w:w="6911" w:type="dxa"/>
          </w:tcPr>
          <w:p w:rsidR="00F54294" w:rsidRPr="00F54294" w:rsidRDefault="00F54294" w:rsidP="002B650D">
            <w:r w:rsidRPr="002B650D">
              <w:t>Consumer Medicines Information</w:t>
            </w:r>
          </w:p>
        </w:tc>
      </w:tr>
      <w:tr w:rsidR="00F54294" w:rsidRPr="00BF09F1" w:rsidTr="00662E29">
        <w:tc>
          <w:tcPr>
            <w:tcW w:w="1809" w:type="dxa"/>
          </w:tcPr>
          <w:p w:rsidR="00F54294" w:rsidRDefault="00F54294" w:rsidP="00BF09F1">
            <w:pPr>
              <w:rPr>
                <w:sz w:val="20"/>
                <w:szCs w:val="20"/>
              </w:rPr>
            </w:pPr>
            <w:r>
              <w:rPr>
                <w:sz w:val="20"/>
                <w:szCs w:val="20"/>
              </w:rPr>
              <w:t>CNS</w:t>
            </w:r>
          </w:p>
        </w:tc>
        <w:tc>
          <w:tcPr>
            <w:tcW w:w="6911" w:type="dxa"/>
          </w:tcPr>
          <w:p w:rsidR="00F54294" w:rsidRPr="00F54294" w:rsidRDefault="00F54294" w:rsidP="002B650D">
            <w:r w:rsidRPr="002B650D">
              <w:t>Central nervous system</w:t>
            </w:r>
          </w:p>
        </w:tc>
      </w:tr>
      <w:tr w:rsidR="00F54294" w:rsidRPr="00BF09F1" w:rsidTr="00662E29">
        <w:tc>
          <w:tcPr>
            <w:tcW w:w="1809" w:type="dxa"/>
          </w:tcPr>
          <w:p w:rsidR="00F54294" w:rsidRDefault="00F54294" w:rsidP="00BF09F1">
            <w:pPr>
              <w:rPr>
                <w:sz w:val="20"/>
                <w:szCs w:val="20"/>
              </w:rPr>
            </w:pPr>
            <w:r>
              <w:rPr>
                <w:sz w:val="20"/>
                <w:szCs w:val="20"/>
              </w:rPr>
              <w:t>CYP450</w:t>
            </w:r>
          </w:p>
        </w:tc>
        <w:tc>
          <w:tcPr>
            <w:tcW w:w="6911" w:type="dxa"/>
          </w:tcPr>
          <w:p w:rsidR="00F54294" w:rsidRPr="00F54294" w:rsidRDefault="00F54294" w:rsidP="002B650D">
            <w:r w:rsidRPr="002B650D">
              <w:t>Cytochrome</w:t>
            </w:r>
            <w:r w:rsidRPr="00F54294">
              <w:t xml:space="preserve"> P450</w:t>
            </w:r>
          </w:p>
        </w:tc>
      </w:tr>
      <w:tr w:rsidR="00F54294" w:rsidRPr="00BF09F1" w:rsidTr="00662E29">
        <w:tc>
          <w:tcPr>
            <w:tcW w:w="1809" w:type="dxa"/>
          </w:tcPr>
          <w:p w:rsidR="00F54294" w:rsidRDefault="00F54294" w:rsidP="00BF09F1">
            <w:pPr>
              <w:rPr>
                <w:sz w:val="20"/>
                <w:szCs w:val="20"/>
              </w:rPr>
            </w:pPr>
            <w:r>
              <w:rPr>
                <w:sz w:val="20"/>
                <w:szCs w:val="20"/>
              </w:rPr>
              <w:t>DEREK</w:t>
            </w:r>
          </w:p>
        </w:tc>
        <w:tc>
          <w:tcPr>
            <w:tcW w:w="6911" w:type="dxa"/>
          </w:tcPr>
          <w:p w:rsidR="00F54294" w:rsidRPr="00F54294" w:rsidRDefault="00F54294" w:rsidP="002B650D">
            <w:r w:rsidRPr="002B650D">
              <w:t>Deductive estimate of risk from existing knowledge (analysis)</w:t>
            </w:r>
          </w:p>
        </w:tc>
      </w:tr>
      <w:tr w:rsidR="00F54294" w:rsidRPr="00BF09F1" w:rsidTr="00662E29">
        <w:tc>
          <w:tcPr>
            <w:tcW w:w="1809" w:type="dxa"/>
          </w:tcPr>
          <w:p w:rsidR="00F54294" w:rsidRDefault="00F54294" w:rsidP="00BF09F1">
            <w:pPr>
              <w:rPr>
                <w:sz w:val="20"/>
                <w:szCs w:val="20"/>
              </w:rPr>
            </w:pPr>
            <w:r>
              <w:rPr>
                <w:sz w:val="20"/>
                <w:szCs w:val="20"/>
              </w:rPr>
              <w:t>DLP</w:t>
            </w:r>
          </w:p>
        </w:tc>
        <w:tc>
          <w:tcPr>
            <w:tcW w:w="6911" w:type="dxa"/>
          </w:tcPr>
          <w:p w:rsidR="00F54294" w:rsidRPr="00F54294" w:rsidRDefault="00F54294" w:rsidP="002B650D">
            <w:r w:rsidRPr="002B650D">
              <w:t>Data lock point</w:t>
            </w:r>
          </w:p>
        </w:tc>
      </w:tr>
      <w:tr w:rsidR="00F54294" w:rsidRPr="00BF09F1" w:rsidTr="00662E29">
        <w:tc>
          <w:tcPr>
            <w:tcW w:w="1809" w:type="dxa"/>
          </w:tcPr>
          <w:p w:rsidR="00F54294" w:rsidRDefault="00F54294" w:rsidP="00BF09F1">
            <w:pPr>
              <w:rPr>
                <w:sz w:val="20"/>
                <w:szCs w:val="20"/>
              </w:rPr>
            </w:pPr>
            <w:r>
              <w:rPr>
                <w:sz w:val="20"/>
                <w:szCs w:val="20"/>
              </w:rPr>
              <w:t>DOR</w:t>
            </w:r>
          </w:p>
        </w:tc>
        <w:tc>
          <w:tcPr>
            <w:tcW w:w="6911" w:type="dxa"/>
          </w:tcPr>
          <w:p w:rsidR="00F54294" w:rsidRPr="00F54294" w:rsidRDefault="005F0089" w:rsidP="002B650D">
            <w:r>
              <w:t>Delta-opioid receptor/</w:t>
            </w:r>
            <w:r w:rsidR="00F54294" w:rsidRPr="002B650D">
              <w:t>δ-opioid receptor</w:t>
            </w:r>
          </w:p>
        </w:tc>
      </w:tr>
      <w:tr w:rsidR="00F54294" w:rsidRPr="00BF09F1" w:rsidTr="00662E29">
        <w:tc>
          <w:tcPr>
            <w:tcW w:w="1809" w:type="dxa"/>
          </w:tcPr>
          <w:p w:rsidR="00F54294" w:rsidRDefault="00F54294" w:rsidP="00BF09F1">
            <w:pPr>
              <w:rPr>
                <w:sz w:val="20"/>
                <w:szCs w:val="20"/>
              </w:rPr>
            </w:pPr>
            <w:r>
              <w:rPr>
                <w:sz w:val="20"/>
                <w:szCs w:val="20"/>
              </w:rPr>
              <w:t>ECG</w:t>
            </w:r>
          </w:p>
        </w:tc>
        <w:tc>
          <w:tcPr>
            <w:tcW w:w="6911" w:type="dxa"/>
          </w:tcPr>
          <w:p w:rsidR="00F54294" w:rsidRPr="00F54294" w:rsidRDefault="00F54294" w:rsidP="002B650D">
            <w:r w:rsidRPr="002B650D">
              <w:t>Electrocardiogram</w:t>
            </w:r>
          </w:p>
        </w:tc>
      </w:tr>
      <w:tr w:rsidR="00F54294" w:rsidRPr="00BF09F1" w:rsidTr="00662E29">
        <w:tc>
          <w:tcPr>
            <w:tcW w:w="1809" w:type="dxa"/>
          </w:tcPr>
          <w:p w:rsidR="00F54294" w:rsidRPr="00F91E14" w:rsidRDefault="00F54294" w:rsidP="00BF09F1">
            <w:pPr>
              <w:rPr>
                <w:sz w:val="20"/>
                <w:szCs w:val="20"/>
              </w:rPr>
            </w:pPr>
            <w:r>
              <w:t>ED</w:t>
            </w:r>
            <w:r w:rsidRPr="00F4311D">
              <w:rPr>
                <w:vertAlign w:val="subscript"/>
              </w:rPr>
              <w:t>50</w:t>
            </w:r>
          </w:p>
        </w:tc>
        <w:tc>
          <w:tcPr>
            <w:tcW w:w="6911" w:type="dxa"/>
          </w:tcPr>
          <w:p w:rsidR="00F54294" w:rsidRPr="00F54294" w:rsidRDefault="00F54294" w:rsidP="002B650D">
            <w:r w:rsidRPr="002B650D">
              <w:t>Half maximal effective dose</w:t>
            </w:r>
          </w:p>
        </w:tc>
      </w:tr>
      <w:tr w:rsidR="00F54294" w:rsidRPr="00BF09F1" w:rsidTr="00662E29">
        <w:tc>
          <w:tcPr>
            <w:tcW w:w="1809" w:type="dxa"/>
          </w:tcPr>
          <w:p w:rsidR="00F54294" w:rsidRPr="00BF09F1" w:rsidRDefault="00F54294" w:rsidP="00BF09F1">
            <w:pPr>
              <w:rPr>
                <w:sz w:val="20"/>
                <w:szCs w:val="20"/>
              </w:rPr>
            </w:pPr>
            <w:r>
              <w:rPr>
                <w:sz w:val="20"/>
                <w:szCs w:val="20"/>
              </w:rPr>
              <w:t>EMA</w:t>
            </w:r>
          </w:p>
        </w:tc>
        <w:tc>
          <w:tcPr>
            <w:tcW w:w="6911" w:type="dxa"/>
          </w:tcPr>
          <w:p w:rsidR="00F54294" w:rsidRPr="00F54294" w:rsidRDefault="00F54294" w:rsidP="002B650D">
            <w:r w:rsidRPr="002B650D">
              <w:t>European Medicines Agency</w:t>
            </w:r>
          </w:p>
        </w:tc>
      </w:tr>
      <w:tr w:rsidR="00F54294" w:rsidRPr="00BF09F1" w:rsidTr="00662E29">
        <w:tc>
          <w:tcPr>
            <w:tcW w:w="1809" w:type="dxa"/>
          </w:tcPr>
          <w:p w:rsidR="00F54294" w:rsidRDefault="00F54294" w:rsidP="00BF09F1">
            <w:pPr>
              <w:rPr>
                <w:sz w:val="20"/>
                <w:szCs w:val="20"/>
              </w:rPr>
            </w:pPr>
            <w:r>
              <w:rPr>
                <w:sz w:val="20"/>
                <w:szCs w:val="20"/>
              </w:rPr>
              <w:t>EOT</w:t>
            </w:r>
          </w:p>
        </w:tc>
        <w:tc>
          <w:tcPr>
            <w:tcW w:w="6911" w:type="dxa"/>
          </w:tcPr>
          <w:p w:rsidR="00F54294" w:rsidRPr="00F54294" w:rsidRDefault="00F54294" w:rsidP="002B650D">
            <w:r w:rsidRPr="002B650D">
              <w:t>End of Treatment</w:t>
            </w:r>
          </w:p>
        </w:tc>
      </w:tr>
      <w:tr w:rsidR="00F54294" w:rsidRPr="00BF09F1" w:rsidTr="00662E29">
        <w:tc>
          <w:tcPr>
            <w:tcW w:w="1809" w:type="dxa"/>
          </w:tcPr>
          <w:p w:rsidR="00F54294" w:rsidRDefault="00F54294" w:rsidP="00BF09F1">
            <w:pPr>
              <w:rPr>
                <w:sz w:val="20"/>
                <w:szCs w:val="20"/>
              </w:rPr>
            </w:pPr>
            <w:r>
              <w:rPr>
                <w:sz w:val="20"/>
                <w:szCs w:val="20"/>
              </w:rPr>
              <w:t>EU</w:t>
            </w:r>
          </w:p>
        </w:tc>
        <w:tc>
          <w:tcPr>
            <w:tcW w:w="6911" w:type="dxa"/>
          </w:tcPr>
          <w:p w:rsidR="00F54294" w:rsidRPr="00F54294" w:rsidRDefault="00F54294" w:rsidP="002B650D">
            <w:r w:rsidRPr="002B650D">
              <w:t>European Union</w:t>
            </w:r>
          </w:p>
        </w:tc>
      </w:tr>
      <w:tr w:rsidR="00F54294" w:rsidRPr="00BF09F1" w:rsidTr="00662E29">
        <w:tc>
          <w:tcPr>
            <w:tcW w:w="1809" w:type="dxa"/>
          </w:tcPr>
          <w:p w:rsidR="00F54294" w:rsidRDefault="00F54294" w:rsidP="00BF09F1">
            <w:pPr>
              <w:rPr>
                <w:sz w:val="20"/>
                <w:szCs w:val="20"/>
              </w:rPr>
            </w:pPr>
            <w:r>
              <w:rPr>
                <w:sz w:val="20"/>
                <w:szCs w:val="20"/>
              </w:rPr>
              <w:t>F1</w:t>
            </w:r>
          </w:p>
        </w:tc>
        <w:tc>
          <w:tcPr>
            <w:tcW w:w="6911" w:type="dxa"/>
          </w:tcPr>
          <w:p w:rsidR="00F54294" w:rsidRPr="00F54294" w:rsidRDefault="00F54294" w:rsidP="002B650D">
            <w:r w:rsidRPr="002B650D">
              <w:t>First filial generation</w:t>
            </w:r>
          </w:p>
        </w:tc>
      </w:tr>
      <w:tr w:rsidR="00F54294" w:rsidRPr="00BF09F1" w:rsidTr="00662E29">
        <w:tc>
          <w:tcPr>
            <w:tcW w:w="1809" w:type="dxa"/>
          </w:tcPr>
          <w:p w:rsidR="00F54294" w:rsidRDefault="00F54294" w:rsidP="00BF09F1">
            <w:pPr>
              <w:rPr>
                <w:sz w:val="20"/>
                <w:szCs w:val="20"/>
              </w:rPr>
            </w:pPr>
            <w:r w:rsidRPr="00C92BCC">
              <w:t>FAERS</w:t>
            </w:r>
          </w:p>
        </w:tc>
        <w:tc>
          <w:tcPr>
            <w:tcW w:w="6911" w:type="dxa"/>
          </w:tcPr>
          <w:p w:rsidR="00F54294" w:rsidRPr="00F54294" w:rsidRDefault="00F54294" w:rsidP="002B650D">
            <w:r w:rsidRPr="002B650D">
              <w:t>Federal Adverse Events Reporting System</w:t>
            </w:r>
          </w:p>
        </w:tc>
      </w:tr>
      <w:tr w:rsidR="00F54294" w:rsidRPr="00BF09F1" w:rsidTr="00662E29">
        <w:tc>
          <w:tcPr>
            <w:tcW w:w="1809" w:type="dxa"/>
          </w:tcPr>
          <w:p w:rsidR="00F54294" w:rsidRDefault="00F54294" w:rsidP="00BF09F1">
            <w:pPr>
              <w:rPr>
                <w:sz w:val="20"/>
                <w:szCs w:val="20"/>
              </w:rPr>
            </w:pPr>
            <w:r>
              <w:rPr>
                <w:sz w:val="20"/>
                <w:szCs w:val="20"/>
              </w:rPr>
              <w:t>FDA</w:t>
            </w:r>
          </w:p>
        </w:tc>
        <w:tc>
          <w:tcPr>
            <w:tcW w:w="6911" w:type="dxa"/>
          </w:tcPr>
          <w:p w:rsidR="00F54294" w:rsidRPr="00F54294" w:rsidRDefault="00F54294" w:rsidP="002B650D">
            <w:r w:rsidRPr="002B650D">
              <w:t>Food and Drug Administration (United States)</w:t>
            </w:r>
          </w:p>
        </w:tc>
      </w:tr>
      <w:tr w:rsidR="00F54294" w:rsidRPr="00BF09F1" w:rsidTr="00662E29">
        <w:tc>
          <w:tcPr>
            <w:tcW w:w="1809" w:type="dxa"/>
          </w:tcPr>
          <w:p w:rsidR="00F54294" w:rsidRPr="00BF09F1" w:rsidRDefault="00F54294" w:rsidP="00BF09F1">
            <w:pPr>
              <w:rPr>
                <w:sz w:val="20"/>
                <w:szCs w:val="20"/>
              </w:rPr>
            </w:pPr>
            <w:r w:rsidRPr="00BF09F1">
              <w:rPr>
                <w:sz w:val="20"/>
                <w:szCs w:val="20"/>
              </w:rPr>
              <w:t>Fe</w:t>
            </w:r>
          </w:p>
        </w:tc>
        <w:tc>
          <w:tcPr>
            <w:tcW w:w="6911" w:type="dxa"/>
          </w:tcPr>
          <w:p w:rsidR="00F54294" w:rsidRPr="005F0089" w:rsidRDefault="00F54294" w:rsidP="002B650D">
            <w:r w:rsidRPr="002B650D">
              <w:t>F</w:t>
            </w:r>
            <w:r w:rsidRPr="00F54294">
              <w:t>raction of dose excreted</w:t>
            </w:r>
            <w:r w:rsidRPr="00F54294" w:rsidDel="00E85D4A">
              <w:t xml:space="preserve"> </w:t>
            </w:r>
            <w:r w:rsidRPr="00F54294" w:rsidDel="00013114">
              <w:t>in urine</w:t>
            </w:r>
          </w:p>
        </w:tc>
      </w:tr>
      <w:tr w:rsidR="00F54294" w:rsidRPr="00BF09F1" w:rsidTr="00662E29">
        <w:tc>
          <w:tcPr>
            <w:tcW w:w="1809" w:type="dxa"/>
          </w:tcPr>
          <w:p w:rsidR="00F54294" w:rsidRDefault="00F54294" w:rsidP="00BF09F1">
            <w:pPr>
              <w:rPr>
                <w:sz w:val="20"/>
                <w:szCs w:val="20"/>
              </w:rPr>
            </w:pPr>
            <w:r>
              <w:rPr>
                <w:sz w:val="20"/>
                <w:szCs w:val="20"/>
              </w:rPr>
              <w:t>GCP</w:t>
            </w:r>
          </w:p>
        </w:tc>
        <w:tc>
          <w:tcPr>
            <w:tcW w:w="6911" w:type="dxa"/>
          </w:tcPr>
          <w:p w:rsidR="00F54294" w:rsidRPr="00F54294" w:rsidRDefault="00F54294" w:rsidP="002B650D">
            <w:r w:rsidRPr="002B650D">
              <w:t>Good Clinical Practice</w:t>
            </w:r>
          </w:p>
        </w:tc>
      </w:tr>
      <w:tr w:rsidR="00F54294" w:rsidRPr="00BF09F1" w:rsidTr="00662E29">
        <w:tc>
          <w:tcPr>
            <w:tcW w:w="1809" w:type="dxa"/>
          </w:tcPr>
          <w:p w:rsidR="00F54294" w:rsidRDefault="00F54294" w:rsidP="00BF09F1">
            <w:pPr>
              <w:rPr>
                <w:sz w:val="20"/>
                <w:szCs w:val="20"/>
              </w:rPr>
            </w:pPr>
            <w:r>
              <w:rPr>
                <w:sz w:val="20"/>
                <w:szCs w:val="20"/>
              </w:rPr>
              <w:t>GD</w:t>
            </w:r>
          </w:p>
        </w:tc>
        <w:tc>
          <w:tcPr>
            <w:tcW w:w="6911" w:type="dxa"/>
          </w:tcPr>
          <w:p w:rsidR="00F54294" w:rsidRPr="00F54294" w:rsidRDefault="00F54294" w:rsidP="002B650D">
            <w:r w:rsidRPr="002B650D">
              <w:t>Gestation Day</w:t>
            </w:r>
          </w:p>
        </w:tc>
      </w:tr>
      <w:tr w:rsidR="00F54294" w:rsidRPr="00BF09F1" w:rsidTr="00662E29">
        <w:tc>
          <w:tcPr>
            <w:tcW w:w="1809" w:type="dxa"/>
          </w:tcPr>
          <w:p w:rsidR="00F54294" w:rsidRDefault="00F54294" w:rsidP="00BF09F1">
            <w:pPr>
              <w:rPr>
                <w:sz w:val="20"/>
                <w:szCs w:val="20"/>
              </w:rPr>
            </w:pPr>
            <w:r>
              <w:rPr>
                <w:sz w:val="20"/>
                <w:szCs w:val="20"/>
              </w:rPr>
              <w:t>GLP</w:t>
            </w:r>
          </w:p>
        </w:tc>
        <w:tc>
          <w:tcPr>
            <w:tcW w:w="6911" w:type="dxa"/>
          </w:tcPr>
          <w:p w:rsidR="00F54294" w:rsidRPr="00F54294" w:rsidRDefault="00F54294" w:rsidP="002B650D">
            <w:r w:rsidRPr="002B650D">
              <w:t>Good Laboratory Practice</w:t>
            </w:r>
          </w:p>
        </w:tc>
      </w:tr>
      <w:tr w:rsidR="00F54294" w:rsidRPr="00BF09F1" w:rsidTr="00662E29">
        <w:tc>
          <w:tcPr>
            <w:tcW w:w="1809" w:type="dxa"/>
          </w:tcPr>
          <w:p w:rsidR="00F54294" w:rsidRPr="00BF09F1" w:rsidRDefault="00F54294" w:rsidP="00BF09F1">
            <w:pPr>
              <w:rPr>
                <w:sz w:val="20"/>
                <w:szCs w:val="20"/>
                <w:lang w:eastAsia="ja-JP"/>
              </w:rPr>
            </w:pPr>
            <w:r>
              <w:rPr>
                <w:sz w:val="20"/>
                <w:szCs w:val="20"/>
                <w:lang w:eastAsia="ja-JP"/>
              </w:rPr>
              <w:t>IBS</w:t>
            </w:r>
          </w:p>
        </w:tc>
        <w:tc>
          <w:tcPr>
            <w:tcW w:w="6911" w:type="dxa"/>
          </w:tcPr>
          <w:p w:rsidR="00F54294" w:rsidRPr="009E405F" w:rsidRDefault="00F54294" w:rsidP="002B650D">
            <w:r w:rsidRPr="009E405F">
              <w:rPr>
                <w:lang w:eastAsia="en-US"/>
              </w:rPr>
              <w:t>Irritable bowel syndrome</w:t>
            </w:r>
          </w:p>
        </w:tc>
      </w:tr>
      <w:tr w:rsidR="00F54294" w:rsidRPr="00BF09F1" w:rsidTr="00662E29">
        <w:tc>
          <w:tcPr>
            <w:tcW w:w="1809" w:type="dxa"/>
          </w:tcPr>
          <w:p w:rsidR="00F54294" w:rsidRPr="00BF09F1" w:rsidRDefault="00F54294" w:rsidP="00BF09F1">
            <w:pPr>
              <w:rPr>
                <w:sz w:val="20"/>
                <w:szCs w:val="20"/>
                <w:lang w:eastAsia="ja-JP"/>
              </w:rPr>
            </w:pPr>
            <w:r>
              <w:rPr>
                <w:sz w:val="20"/>
                <w:szCs w:val="20"/>
                <w:lang w:eastAsia="ja-JP"/>
              </w:rPr>
              <w:t>IBS-c</w:t>
            </w:r>
          </w:p>
        </w:tc>
        <w:tc>
          <w:tcPr>
            <w:tcW w:w="6911" w:type="dxa"/>
          </w:tcPr>
          <w:p w:rsidR="00F54294" w:rsidRPr="009E405F" w:rsidRDefault="00F54294" w:rsidP="002B650D">
            <w:r w:rsidRPr="009E405F">
              <w:rPr>
                <w:lang w:eastAsia="en-US"/>
              </w:rPr>
              <w:t>Irritable bowel syndrome, constipation predominant</w:t>
            </w:r>
          </w:p>
        </w:tc>
      </w:tr>
      <w:tr w:rsidR="00F54294" w:rsidRPr="00BF09F1" w:rsidTr="00662E29">
        <w:tc>
          <w:tcPr>
            <w:tcW w:w="1809" w:type="dxa"/>
          </w:tcPr>
          <w:p w:rsidR="00F54294" w:rsidRPr="00BF09F1" w:rsidRDefault="00F54294" w:rsidP="00BF09F1">
            <w:pPr>
              <w:rPr>
                <w:sz w:val="20"/>
                <w:szCs w:val="20"/>
              </w:rPr>
            </w:pPr>
            <w:r w:rsidRPr="00BF09F1">
              <w:rPr>
                <w:sz w:val="20"/>
                <w:szCs w:val="20"/>
                <w:lang w:eastAsia="ja-JP"/>
              </w:rPr>
              <w:t>IBS-d</w:t>
            </w:r>
          </w:p>
        </w:tc>
        <w:tc>
          <w:tcPr>
            <w:tcW w:w="6911" w:type="dxa"/>
          </w:tcPr>
          <w:p w:rsidR="00F54294" w:rsidRPr="002B650D" w:rsidRDefault="00F54294" w:rsidP="002B650D">
            <w:r w:rsidRPr="009E405F">
              <w:rPr>
                <w:lang w:eastAsia="en-US"/>
              </w:rPr>
              <w:t>Irritable bowel syndrome, diarrhoea predominant</w:t>
            </w:r>
          </w:p>
        </w:tc>
      </w:tr>
      <w:tr w:rsidR="00F54294" w:rsidRPr="00BF09F1" w:rsidTr="009E405F">
        <w:trPr>
          <w:cantSplit/>
        </w:trPr>
        <w:tc>
          <w:tcPr>
            <w:tcW w:w="1809" w:type="dxa"/>
          </w:tcPr>
          <w:p w:rsidR="00F54294" w:rsidRDefault="00F54294" w:rsidP="00BF09F1">
            <w:pPr>
              <w:rPr>
                <w:sz w:val="20"/>
                <w:szCs w:val="20"/>
                <w:lang w:eastAsia="ja-JP"/>
              </w:rPr>
            </w:pPr>
            <w:r>
              <w:rPr>
                <w:sz w:val="20"/>
                <w:szCs w:val="20"/>
                <w:lang w:eastAsia="ja-JP"/>
              </w:rPr>
              <w:t>IBS-m</w:t>
            </w:r>
          </w:p>
        </w:tc>
        <w:tc>
          <w:tcPr>
            <w:tcW w:w="6911" w:type="dxa"/>
          </w:tcPr>
          <w:p w:rsidR="00F54294" w:rsidRPr="009E405F" w:rsidRDefault="00F54294" w:rsidP="002B650D">
            <w:r w:rsidRPr="009E405F">
              <w:rPr>
                <w:lang w:eastAsia="en-US"/>
              </w:rPr>
              <w:t>Irritable bowel syndrome, mixed diarrhoea and constipation symptoms</w:t>
            </w:r>
          </w:p>
        </w:tc>
      </w:tr>
      <w:tr w:rsidR="00F54294" w:rsidRPr="00BF09F1" w:rsidTr="00662E29">
        <w:tc>
          <w:tcPr>
            <w:tcW w:w="1809" w:type="dxa"/>
          </w:tcPr>
          <w:p w:rsidR="00F54294" w:rsidRDefault="00F54294" w:rsidP="00BF09F1">
            <w:pPr>
              <w:rPr>
                <w:sz w:val="20"/>
                <w:szCs w:val="20"/>
                <w:lang w:eastAsia="ja-JP"/>
              </w:rPr>
            </w:pPr>
            <w:r>
              <w:rPr>
                <w:sz w:val="20"/>
                <w:szCs w:val="20"/>
                <w:lang w:eastAsia="ja-JP"/>
              </w:rPr>
              <w:lastRenderedPageBreak/>
              <w:t>IBS-u</w:t>
            </w:r>
          </w:p>
        </w:tc>
        <w:tc>
          <w:tcPr>
            <w:tcW w:w="6911" w:type="dxa"/>
          </w:tcPr>
          <w:p w:rsidR="00F54294" w:rsidRPr="009E405F" w:rsidRDefault="00F54294" w:rsidP="002B650D">
            <w:r w:rsidRPr="009E405F">
              <w:rPr>
                <w:lang w:eastAsia="en-US"/>
              </w:rPr>
              <w:t>Irritable bowel syndrome, unspecified</w:t>
            </w:r>
          </w:p>
        </w:tc>
      </w:tr>
      <w:tr w:rsidR="00F54294" w:rsidRPr="00BF09F1" w:rsidTr="00662E29">
        <w:tc>
          <w:tcPr>
            <w:tcW w:w="1809" w:type="dxa"/>
          </w:tcPr>
          <w:p w:rsidR="00F54294" w:rsidRDefault="00F54294" w:rsidP="00BF09F1">
            <w:pPr>
              <w:rPr>
                <w:sz w:val="20"/>
                <w:szCs w:val="20"/>
              </w:rPr>
            </w:pPr>
            <w:r>
              <w:rPr>
                <w:sz w:val="20"/>
                <w:szCs w:val="20"/>
              </w:rPr>
              <w:t>ICH</w:t>
            </w:r>
          </w:p>
        </w:tc>
        <w:tc>
          <w:tcPr>
            <w:tcW w:w="6911" w:type="dxa"/>
          </w:tcPr>
          <w:p w:rsidR="00F54294" w:rsidRPr="002B650D" w:rsidRDefault="00F54294" w:rsidP="002B650D">
            <w:r w:rsidRPr="002B650D">
              <w:t>International Conference on Harmonisation</w:t>
            </w:r>
          </w:p>
        </w:tc>
      </w:tr>
      <w:tr w:rsidR="00F54294" w:rsidRPr="00BF09F1" w:rsidTr="00662E29">
        <w:tc>
          <w:tcPr>
            <w:tcW w:w="1809" w:type="dxa"/>
          </w:tcPr>
          <w:p w:rsidR="00F54294" w:rsidRDefault="00F54294" w:rsidP="00BF09F1">
            <w:pPr>
              <w:rPr>
                <w:sz w:val="20"/>
                <w:szCs w:val="20"/>
              </w:rPr>
            </w:pPr>
            <w:r>
              <w:rPr>
                <w:sz w:val="20"/>
                <w:szCs w:val="20"/>
              </w:rPr>
              <w:t>IP</w:t>
            </w:r>
          </w:p>
        </w:tc>
        <w:tc>
          <w:tcPr>
            <w:tcW w:w="6911" w:type="dxa"/>
          </w:tcPr>
          <w:p w:rsidR="00F54294" w:rsidRPr="002B650D" w:rsidRDefault="00F54294" w:rsidP="002B650D">
            <w:r w:rsidRPr="002B650D">
              <w:t>Intraperitoneal</w:t>
            </w:r>
          </w:p>
        </w:tc>
      </w:tr>
      <w:tr w:rsidR="00F54294" w:rsidRPr="00BF09F1" w:rsidTr="00662E29">
        <w:tc>
          <w:tcPr>
            <w:tcW w:w="1809" w:type="dxa"/>
          </w:tcPr>
          <w:p w:rsidR="00F54294" w:rsidRDefault="00F54294" w:rsidP="00BF09F1">
            <w:pPr>
              <w:rPr>
                <w:sz w:val="20"/>
                <w:szCs w:val="20"/>
              </w:rPr>
            </w:pPr>
            <w:r>
              <w:rPr>
                <w:sz w:val="20"/>
                <w:szCs w:val="20"/>
              </w:rPr>
              <w:t>IV</w:t>
            </w:r>
          </w:p>
        </w:tc>
        <w:tc>
          <w:tcPr>
            <w:tcW w:w="6911" w:type="dxa"/>
          </w:tcPr>
          <w:p w:rsidR="00F54294" w:rsidRPr="002B650D" w:rsidRDefault="00F54294" w:rsidP="002B650D">
            <w:r w:rsidRPr="002B650D">
              <w:t>Intravenous/intravenously</w:t>
            </w:r>
          </w:p>
        </w:tc>
      </w:tr>
      <w:tr w:rsidR="00F54294" w:rsidRPr="00BF09F1" w:rsidTr="00662E29">
        <w:tc>
          <w:tcPr>
            <w:tcW w:w="1809" w:type="dxa"/>
          </w:tcPr>
          <w:p w:rsidR="00F54294" w:rsidRDefault="00F54294" w:rsidP="00BF09F1">
            <w:pPr>
              <w:rPr>
                <w:sz w:val="20"/>
                <w:szCs w:val="20"/>
              </w:rPr>
            </w:pPr>
            <w:r>
              <w:rPr>
                <w:sz w:val="20"/>
                <w:szCs w:val="20"/>
              </w:rPr>
              <w:t>KOL</w:t>
            </w:r>
          </w:p>
        </w:tc>
        <w:tc>
          <w:tcPr>
            <w:tcW w:w="6911" w:type="dxa"/>
          </w:tcPr>
          <w:p w:rsidR="00F54294" w:rsidRPr="002B650D" w:rsidRDefault="00F54294" w:rsidP="002B650D">
            <w:r w:rsidRPr="002B650D">
              <w:t>Key Opinion Leader</w:t>
            </w:r>
          </w:p>
        </w:tc>
      </w:tr>
      <w:tr w:rsidR="00F54294" w:rsidRPr="00BF09F1" w:rsidTr="00662E29">
        <w:tc>
          <w:tcPr>
            <w:tcW w:w="1809" w:type="dxa"/>
          </w:tcPr>
          <w:p w:rsidR="00F54294" w:rsidRPr="00F91E14" w:rsidRDefault="00F54294" w:rsidP="00BF09F1">
            <w:pPr>
              <w:rPr>
                <w:sz w:val="20"/>
                <w:szCs w:val="20"/>
              </w:rPr>
            </w:pPr>
            <w:r>
              <w:rPr>
                <w:sz w:val="20"/>
                <w:szCs w:val="20"/>
              </w:rPr>
              <w:t>KOR</w:t>
            </w:r>
          </w:p>
        </w:tc>
        <w:tc>
          <w:tcPr>
            <w:tcW w:w="6911" w:type="dxa"/>
          </w:tcPr>
          <w:p w:rsidR="00F54294" w:rsidRPr="002B650D" w:rsidRDefault="00F54294" w:rsidP="002B650D">
            <w:r w:rsidRPr="002B650D">
              <w:t>Kappa-opioid receptor</w:t>
            </w:r>
            <w:r w:rsidR="005F0089">
              <w:t>/k-opioid receptor</w:t>
            </w:r>
          </w:p>
        </w:tc>
      </w:tr>
      <w:tr w:rsidR="00F54294" w:rsidRPr="00BF09F1" w:rsidTr="00662E29">
        <w:tc>
          <w:tcPr>
            <w:tcW w:w="1809" w:type="dxa"/>
          </w:tcPr>
          <w:p w:rsidR="00F54294" w:rsidRDefault="00F54294" w:rsidP="00BF09F1">
            <w:pPr>
              <w:rPr>
                <w:sz w:val="20"/>
                <w:szCs w:val="20"/>
              </w:rPr>
            </w:pPr>
            <w:r>
              <w:rPr>
                <w:sz w:val="20"/>
                <w:szCs w:val="20"/>
              </w:rPr>
              <w:t>LD</w:t>
            </w:r>
          </w:p>
        </w:tc>
        <w:tc>
          <w:tcPr>
            <w:tcW w:w="6911" w:type="dxa"/>
          </w:tcPr>
          <w:p w:rsidR="00F54294" w:rsidRPr="002B650D" w:rsidRDefault="00F54294" w:rsidP="002B650D">
            <w:r w:rsidRPr="002B650D">
              <w:t>Lactation Day</w:t>
            </w:r>
          </w:p>
        </w:tc>
      </w:tr>
      <w:tr w:rsidR="00F54294" w:rsidRPr="00BF09F1" w:rsidTr="00662E29">
        <w:tc>
          <w:tcPr>
            <w:tcW w:w="1809" w:type="dxa"/>
          </w:tcPr>
          <w:p w:rsidR="00F54294" w:rsidRDefault="00F54294" w:rsidP="00BF09F1">
            <w:pPr>
              <w:rPr>
                <w:sz w:val="20"/>
                <w:szCs w:val="20"/>
              </w:rPr>
            </w:pPr>
            <w:r>
              <w:rPr>
                <w:sz w:val="20"/>
                <w:szCs w:val="20"/>
              </w:rPr>
              <w:t>LFT</w:t>
            </w:r>
          </w:p>
        </w:tc>
        <w:tc>
          <w:tcPr>
            <w:tcW w:w="6911" w:type="dxa"/>
          </w:tcPr>
          <w:p w:rsidR="00F54294" w:rsidRPr="002B650D" w:rsidRDefault="00F54294" w:rsidP="002B650D">
            <w:r w:rsidRPr="002B650D">
              <w:t>Liver function test</w:t>
            </w:r>
          </w:p>
        </w:tc>
      </w:tr>
      <w:tr w:rsidR="00F54294" w:rsidRPr="00BF09F1" w:rsidTr="00662E29">
        <w:tc>
          <w:tcPr>
            <w:tcW w:w="1809" w:type="dxa"/>
          </w:tcPr>
          <w:p w:rsidR="00F54294" w:rsidRDefault="00F54294" w:rsidP="00BF09F1">
            <w:pPr>
              <w:rPr>
                <w:sz w:val="20"/>
                <w:szCs w:val="20"/>
              </w:rPr>
            </w:pPr>
            <w:r>
              <w:rPr>
                <w:sz w:val="20"/>
                <w:szCs w:val="20"/>
              </w:rPr>
              <w:t>LLOQ</w:t>
            </w:r>
          </w:p>
        </w:tc>
        <w:tc>
          <w:tcPr>
            <w:tcW w:w="6911" w:type="dxa"/>
          </w:tcPr>
          <w:p w:rsidR="00F54294" w:rsidRPr="002B650D" w:rsidRDefault="00F54294" w:rsidP="002B650D">
            <w:r w:rsidRPr="002B650D">
              <w:t>Lower limit of quantification</w:t>
            </w:r>
          </w:p>
        </w:tc>
      </w:tr>
      <w:tr w:rsidR="00F54294" w:rsidRPr="00BF09F1" w:rsidTr="00662E29">
        <w:tc>
          <w:tcPr>
            <w:tcW w:w="1809" w:type="dxa"/>
          </w:tcPr>
          <w:p w:rsidR="00F54294" w:rsidRDefault="00F54294" w:rsidP="00BF09F1">
            <w:pPr>
              <w:rPr>
                <w:sz w:val="20"/>
                <w:szCs w:val="20"/>
              </w:rPr>
            </w:pPr>
            <w:r>
              <w:rPr>
                <w:sz w:val="20"/>
                <w:szCs w:val="20"/>
              </w:rPr>
              <w:t>M1</w:t>
            </w:r>
          </w:p>
        </w:tc>
        <w:tc>
          <w:tcPr>
            <w:tcW w:w="6911" w:type="dxa"/>
          </w:tcPr>
          <w:p w:rsidR="00F54294" w:rsidRPr="002B650D" w:rsidRDefault="00F54294" w:rsidP="002B650D">
            <w:r w:rsidRPr="002B650D">
              <w:t>Muscarinic 1 receptor</w:t>
            </w:r>
          </w:p>
        </w:tc>
      </w:tr>
      <w:tr w:rsidR="00F54294" w:rsidRPr="00BF09F1" w:rsidTr="00662E29">
        <w:tc>
          <w:tcPr>
            <w:tcW w:w="1809" w:type="dxa"/>
          </w:tcPr>
          <w:p w:rsidR="00F54294" w:rsidRPr="00F91E14" w:rsidRDefault="00F54294" w:rsidP="00BF09F1">
            <w:pPr>
              <w:rPr>
                <w:sz w:val="20"/>
                <w:szCs w:val="20"/>
              </w:rPr>
            </w:pPr>
            <w:r>
              <w:rPr>
                <w:sz w:val="20"/>
                <w:szCs w:val="20"/>
              </w:rPr>
              <w:t>M2</w:t>
            </w:r>
          </w:p>
        </w:tc>
        <w:tc>
          <w:tcPr>
            <w:tcW w:w="6911" w:type="dxa"/>
          </w:tcPr>
          <w:p w:rsidR="00F54294" w:rsidRPr="002B650D" w:rsidRDefault="00F54294" w:rsidP="002B650D">
            <w:r w:rsidRPr="002B650D">
              <w:t>Eluxadoline metabolite</w:t>
            </w:r>
          </w:p>
        </w:tc>
      </w:tr>
      <w:tr w:rsidR="00F54294" w:rsidRPr="00BF09F1" w:rsidTr="00662E29">
        <w:tc>
          <w:tcPr>
            <w:tcW w:w="1809" w:type="dxa"/>
          </w:tcPr>
          <w:p w:rsidR="00F54294" w:rsidRDefault="00F54294" w:rsidP="00BF09F1">
            <w:pPr>
              <w:rPr>
                <w:sz w:val="20"/>
                <w:szCs w:val="20"/>
              </w:rPr>
            </w:pPr>
            <w:r>
              <w:rPr>
                <w:sz w:val="20"/>
                <w:szCs w:val="20"/>
              </w:rPr>
              <w:t>MedDRA</w:t>
            </w:r>
          </w:p>
        </w:tc>
        <w:tc>
          <w:tcPr>
            <w:tcW w:w="6911" w:type="dxa"/>
          </w:tcPr>
          <w:p w:rsidR="00F54294" w:rsidRPr="002B650D" w:rsidRDefault="00F54294" w:rsidP="002B650D">
            <w:r w:rsidRPr="002B650D">
              <w:t>Medical Dictionary for Regulatory Affairs</w:t>
            </w:r>
          </w:p>
        </w:tc>
      </w:tr>
      <w:tr w:rsidR="00F54294" w:rsidRPr="00BF09F1" w:rsidTr="00662E29">
        <w:tc>
          <w:tcPr>
            <w:tcW w:w="1809" w:type="dxa"/>
          </w:tcPr>
          <w:p w:rsidR="00F54294" w:rsidRDefault="00F54294" w:rsidP="00BF09F1">
            <w:pPr>
              <w:rPr>
                <w:sz w:val="20"/>
                <w:szCs w:val="20"/>
              </w:rPr>
            </w:pPr>
            <w:r>
              <w:rPr>
                <w:sz w:val="20"/>
                <w:szCs w:val="20"/>
              </w:rPr>
              <w:t>MOR</w:t>
            </w:r>
          </w:p>
        </w:tc>
        <w:tc>
          <w:tcPr>
            <w:tcW w:w="6911" w:type="dxa"/>
          </w:tcPr>
          <w:p w:rsidR="00F54294" w:rsidRPr="002B650D" w:rsidRDefault="00F54294" w:rsidP="002B650D">
            <w:r>
              <w:t>Mu-opioid receptor/</w:t>
            </w:r>
            <w:r w:rsidRPr="002B650D">
              <w:t>μ-opioid receptor</w:t>
            </w:r>
          </w:p>
        </w:tc>
      </w:tr>
      <w:tr w:rsidR="00F54294" w:rsidRPr="00BF09F1" w:rsidTr="00662E29">
        <w:tc>
          <w:tcPr>
            <w:tcW w:w="1809" w:type="dxa"/>
          </w:tcPr>
          <w:p w:rsidR="00F54294" w:rsidRDefault="00F54294" w:rsidP="00BF09F1">
            <w:pPr>
              <w:rPr>
                <w:sz w:val="20"/>
                <w:szCs w:val="20"/>
              </w:rPr>
            </w:pPr>
            <w:r>
              <w:rPr>
                <w:sz w:val="20"/>
                <w:szCs w:val="20"/>
              </w:rPr>
              <w:t>MRHD</w:t>
            </w:r>
          </w:p>
        </w:tc>
        <w:tc>
          <w:tcPr>
            <w:tcW w:w="6911" w:type="dxa"/>
          </w:tcPr>
          <w:p w:rsidR="00F54294" w:rsidRPr="002B650D" w:rsidRDefault="00F54294" w:rsidP="002B650D">
            <w:r w:rsidRPr="002B650D">
              <w:t>Maximum recommended human dose</w:t>
            </w:r>
          </w:p>
        </w:tc>
      </w:tr>
      <w:tr w:rsidR="00F54294" w:rsidRPr="00BF09F1" w:rsidTr="00662E29">
        <w:tc>
          <w:tcPr>
            <w:tcW w:w="1809" w:type="dxa"/>
          </w:tcPr>
          <w:p w:rsidR="00F54294" w:rsidRDefault="00F54294" w:rsidP="00BF09F1">
            <w:pPr>
              <w:rPr>
                <w:sz w:val="20"/>
                <w:szCs w:val="20"/>
              </w:rPr>
            </w:pPr>
            <w:r>
              <w:rPr>
                <w:sz w:val="20"/>
                <w:szCs w:val="20"/>
              </w:rPr>
              <w:t>N</w:t>
            </w:r>
          </w:p>
        </w:tc>
        <w:tc>
          <w:tcPr>
            <w:tcW w:w="6911" w:type="dxa"/>
          </w:tcPr>
          <w:p w:rsidR="00F54294" w:rsidRPr="002B650D" w:rsidRDefault="00F10A79" w:rsidP="002B650D">
            <w:r>
              <w:t>Number</w:t>
            </w:r>
          </w:p>
        </w:tc>
      </w:tr>
      <w:tr w:rsidR="00F54294" w:rsidRPr="00BF09F1" w:rsidTr="00662E29">
        <w:tc>
          <w:tcPr>
            <w:tcW w:w="1809" w:type="dxa"/>
          </w:tcPr>
          <w:p w:rsidR="00F54294" w:rsidRDefault="00F54294" w:rsidP="00BF09F1">
            <w:pPr>
              <w:rPr>
                <w:sz w:val="20"/>
                <w:szCs w:val="20"/>
              </w:rPr>
            </w:pPr>
            <w:r>
              <w:rPr>
                <w:sz w:val="20"/>
                <w:szCs w:val="20"/>
              </w:rPr>
              <w:t>NMDA</w:t>
            </w:r>
          </w:p>
        </w:tc>
        <w:tc>
          <w:tcPr>
            <w:tcW w:w="6911" w:type="dxa"/>
          </w:tcPr>
          <w:p w:rsidR="00F54294" w:rsidRPr="002B650D" w:rsidRDefault="00F54294" w:rsidP="002B650D">
            <w:r w:rsidRPr="002B650D">
              <w:t>N-methyl-D-aspartate receptor</w:t>
            </w:r>
          </w:p>
        </w:tc>
      </w:tr>
      <w:tr w:rsidR="00F54294" w:rsidRPr="00BF09F1" w:rsidTr="00662E29">
        <w:tc>
          <w:tcPr>
            <w:tcW w:w="1809" w:type="dxa"/>
          </w:tcPr>
          <w:p w:rsidR="00F54294" w:rsidRDefault="00F54294" w:rsidP="00BF09F1">
            <w:pPr>
              <w:rPr>
                <w:sz w:val="20"/>
                <w:szCs w:val="20"/>
              </w:rPr>
            </w:pPr>
            <w:r>
              <w:rPr>
                <w:sz w:val="20"/>
                <w:szCs w:val="20"/>
              </w:rPr>
              <w:t>NOAEL</w:t>
            </w:r>
          </w:p>
        </w:tc>
        <w:tc>
          <w:tcPr>
            <w:tcW w:w="6911" w:type="dxa"/>
          </w:tcPr>
          <w:p w:rsidR="00F54294" w:rsidRPr="002B650D" w:rsidRDefault="00F54294" w:rsidP="002B650D">
            <w:r w:rsidRPr="002B650D">
              <w:t>No observable adverse effect level</w:t>
            </w:r>
          </w:p>
        </w:tc>
      </w:tr>
      <w:tr w:rsidR="00F54294" w:rsidRPr="00BF09F1" w:rsidTr="00662E29">
        <w:tc>
          <w:tcPr>
            <w:tcW w:w="1809" w:type="dxa"/>
          </w:tcPr>
          <w:p w:rsidR="00F54294" w:rsidRPr="00F91E14" w:rsidRDefault="00F54294" w:rsidP="00BF09F1">
            <w:pPr>
              <w:rPr>
                <w:sz w:val="20"/>
                <w:szCs w:val="20"/>
              </w:rPr>
            </w:pPr>
            <w:r>
              <w:rPr>
                <w:sz w:val="20"/>
                <w:szCs w:val="20"/>
              </w:rPr>
              <w:t>OR</w:t>
            </w:r>
          </w:p>
        </w:tc>
        <w:tc>
          <w:tcPr>
            <w:tcW w:w="6911" w:type="dxa"/>
          </w:tcPr>
          <w:p w:rsidR="00F54294" w:rsidRPr="002B650D" w:rsidRDefault="00F54294" w:rsidP="002B650D">
            <w:r w:rsidRPr="002B650D">
              <w:t>Opioid receptor</w:t>
            </w:r>
          </w:p>
        </w:tc>
      </w:tr>
      <w:tr w:rsidR="00F54294" w:rsidRPr="00BF09F1" w:rsidTr="00662E29">
        <w:tc>
          <w:tcPr>
            <w:tcW w:w="1809" w:type="dxa"/>
          </w:tcPr>
          <w:p w:rsidR="00F54294" w:rsidRDefault="00F54294" w:rsidP="00BF09F1">
            <w:pPr>
              <w:rPr>
                <w:sz w:val="20"/>
                <w:szCs w:val="20"/>
              </w:rPr>
            </w:pPr>
            <w:r>
              <w:rPr>
                <w:sz w:val="20"/>
                <w:szCs w:val="20"/>
              </w:rPr>
              <w:t>PI</w:t>
            </w:r>
          </w:p>
        </w:tc>
        <w:tc>
          <w:tcPr>
            <w:tcW w:w="6911" w:type="dxa"/>
          </w:tcPr>
          <w:p w:rsidR="00F54294" w:rsidRPr="002B650D" w:rsidRDefault="00F54294" w:rsidP="002B650D">
            <w:r w:rsidRPr="002B650D">
              <w:t>Product Information</w:t>
            </w:r>
          </w:p>
        </w:tc>
      </w:tr>
      <w:tr w:rsidR="00F54294" w:rsidRPr="00BF09F1" w:rsidTr="00662E29">
        <w:tc>
          <w:tcPr>
            <w:tcW w:w="1809" w:type="dxa"/>
          </w:tcPr>
          <w:p w:rsidR="00F54294" w:rsidRDefault="00F54294" w:rsidP="00BF09F1">
            <w:pPr>
              <w:rPr>
                <w:sz w:val="20"/>
                <w:szCs w:val="20"/>
              </w:rPr>
            </w:pPr>
            <w:r>
              <w:rPr>
                <w:sz w:val="20"/>
                <w:szCs w:val="20"/>
              </w:rPr>
              <w:t>PIP</w:t>
            </w:r>
          </w:p>
        </w:tc>
        <w:tc>
          <w:tcPr>
            <w:tcW w:w="6911" w:type="dxa"/>
          </w:tcPr>
          <w:p w:rsidR="00F54294" w:rsidRPr="002B650D" w:rsidRDefault="00F54294" w:rsidP="002B650D">
            <w:r w:rsidRPr="002B650D">
              <w:t>Paediatric Investigation Plan</w:t>
            </w:r>
          </w:p>
        </w:tc>
      </w:tr>
      <w:tr w:rsidR="00F54294" w:rsidRPr="00BF09F1" w:rsidTr="00662E29">
        <w:tc>
          <w:tcPr>
            <w:tcW w:w="1809" w:type="dxa"/>
          </w:tcPr>
          <w:p w:rsidR="00F54294" w:rsidRPr="00F91E14" w:rsidRDefault="00F54294" w:rsidP="00BF09F1">
            <w:pPr>
              <w:rPr>
                <w:sz w:val="20"/>
                <w:szCs w:val="20"/>
              </w:rPr>
            </w:pPr>
            <w:r>
              <w:rPr>
                <w:sz w:val="20"/>
                <w:szCs w:val="20"/>
              </w:rPr>
              <w:t>PO</w:t>
            </w:r>
          </w:p>
        </w:tc>
        <w:tc>
          <w:tcPr>
            <w:tcW w:w="6911" w:type="dxa"/>
          </w:tcPr>
          <w:p w:rsidR="00F54294" w:rsidRPr="002B650D" w:rsidRDefault="00F54294" w:rsidP="002B650D">
            <w:r w:rsidRPr="002B650D">
              <w:t>Orally (</w:t>
            </w:r>
            <w:r w:rsidR="00E86699">
              <w:t>Latin</w:t>
            </w:r>
            <w:r w:rsidR="00F10A79">
              <w:t xml:space="preserve">: </w:t>
            </w:r>
            <w:r w:rsidRPr="002B650D">
              <w:t>per os)</w:t>
            </w:r>
          </w:p>
        </w:tc>
      </w:tr>
      <w:tr w:rsidR="00F54294" w:rsidRPr="00BF09F1" w:rsidTr="00662E29">
        <w:tc>
          <w:tcPr>
            <w:tcW w:w="1809" w:type="dxa"/>
          </w:tcPr>
          <w:p w:rsidR="00F54294" w:rsidRDefault="00F54294" w:rsidP="00BF09F1">
            <w:pPr>
              <w:rPr>
                <w:sz w:val="20"/>
                <w:szCs w:val="20"/>
              </w:rPr>
            </w:pPr>
            <w:r>
              <w:rPr>
                <w:sz w:val="20"/>
                <w:szCs w:val="20"/>
              </w:rPr>
              <w:t>PSUR</w:t>
            </w:r>
          </w:p>
        </w:tc>
        <w:tc>
          <w:tcPr>
            <w:tcW w:w="6911" w:type="dxa"/>
          </w:tcPr>
          <w:p w:rsidR="00F54294" w:rsidRPr="002B650D" w:rsidRDefault="00F54294" w:rsidP="002B650D">
            <w:r w:rsidRPr="002B650D">
              <w:t>Periodic Safety Update Report</w:t>
            </w:r>
          </w:p>
        </w:tc>
      </w:tr>
      <w:tr w:rsidR="00F54294" w:rsidRPr="00BF09F1" w:rsidTr="00662E29">
        <w:tc>
          <w:tcPr>
            <w:tcW w:w="1809" w:type="dxa"/>
          </w:tcPr>
          <w:p w:rsidR="00F54294" w:rsidRDefault="00F54294" w:rsidP="00BF09F1">
            <w:pPr>
              <w:rPr>
                <w:sz w:val="20"/>
                <w:szCs w:val="20"/>
              </w:rPr>
            </w:pPr>
            <w:r>
              <w:rPr>
                <w:sz w:val="20"/>
                <w:szCs w:val="20"/>
              </w:rPr>
              <w:t>RMP</w:t>
            </w:r>
          </w:p>
        </w:tc>
        <w:tc>
          <w:tcPr>
            <w:tcW w:w="6911" w:type="dxa"/>
          </w:tcPr>
          <w:p w:rsidR="00F54294" w:rsidRPr="002B650D" w:rsidRDefault="00F54294" w:rsidP="002B650D">
            <w:r w:rsidRPr="002B650D">
              <w:t>Risk Management Plan</w:t>
            </w:r>
          </w:p>
        </w:tc>
      </w:tr>
      <w:tr w:rsidR="00F54294" w:rsidRPr="00BF09F1" w:rsidTr="00662E29">
        <w:tc>
          <w:tcPr>
            <w:tcW w:w="1809" w:type="dxa"/>
          </w:tcPr>
          <w:p w:rsidR="00F54294" w:rsidRDefault="00F54294" w:rsidP="00BF09F1">
            <w:pPr>
              <w:rPr>
                <w:sz w:val="20"/>
                <w:szCs w:val="20"/>
              </w:rPr>
            </w:pPr>
            <w:r>
              <w:rPr>
                <w:sz w:val="20"/>
                <w:szCs w:val="20"/>
              </w:rPr>
              <w:t>SAE</w:t>
            </w:r>
          </w:p>
        </w:tc>
        <w:tc>
          <w:tcPr>
            <w:tcW w:w="6911" w:type="dxa"/>
          </w:tcPr>
          <w:p w:rsidR="00F54294" w:rsidRPr="002B650D" w:rsidRDefault="00F54294" w:rsidP="002B650D">
            <w:r w:rsidRPr="002B650D">
              <w:t>Serious adverse event</w:t>
            </w:r>
          </w:p>
        </w:tc>
      </w:tr>
      <w:tr w:rsidR="00F54294" w:rsidRPr="00BF09F1" w:rsidTr="00662E29">
        <w:tc>
          <w:tcPr>
            <w:tcW w:w="1809" w:type="dxa"/>
          </w:tcPr>
          <w:p w:rsidR="00F54294" w:rsidRDefault="00F54294" w:rsidP="00BF09F1">
            <w:pPr>
              <w:rPr>
                <w:sz w:val="20"/>
                <w:szCs w:val="20"/>
              </w:rPr>
            </w:pPr>
            <w:r>
              <w:rPr>
                <w:sz w:val="20"/>
                <w:szCs w:val="20"/>
              </w:rPr>
              <w:t>SC</w:t>
            </w:r>
          </w:p>
        </w:tc>
        <w:tc>
          <w:tcPr>
            <w:tcW w:w="6911" w:type="dxa"/>
          </w:tcPr>
          <w:p w:rsidR="00F54294" w:rsidRPr="00F54294" w:rsidRDefault="00F54294" w:rsidP="002B650D">
            <w:r w:rsidRPr="002B650D">
              <w:t>Subcutaneous/subcutaneously</w:t>
            </w:r>
          </w:p>
        </w:tc>
      </w:tr>
      <w:tr w:rsidR="00F54294" w:rsidRPr="00BF09F1" w:rsidDel="006D34D4" w:rsidTr="00662E29">
        <w:tc>
          <w:tcPr>
            <w:tcW w:w="1809" w:type="dxa"/>
          </w:tcPr>
          <w:p w:rsidR="00F54294" w:rsidRPr="00BF09F1" w:rsidDel="006D34D4" w:rsidRDefault="00F54294" w:rsidP="00BF09F1">
            <w:pPr>
              <w:rPr>
                <w:sz w:val="20"/>
                <w:szCs w:val="20"/>
              </w:rPr>
            </w:pPr>
            <w:r w:rsidDel="006D34D4">
              <w:rPr>
                <w:sz w:val="20"/>
                <w:szCs w:val="20"/>
              </w:rPr>
              <w:t>SO</w:t>
            </w:r>
          </w:p>
        </w:tc>
        <w:tc>
          <w:tcPr>
            <w:tcW w:w="6911" w:type="dxa"/>
          </w:tcPr>
          <w:p w:rsidR="00F54294" w:rsidRPr="00F54294" w:rsidDel="006D34D4" w:rsidRDefault="00F54294" w:rsidP="002B650D">
            <w:r w:rsidRPr="002B650D" w:rsidDel="006D34D4">
              <w:t>Sphincter of Oddi</w:t>
            </w:r>
          </w:p>
        </w:tc>
      </w:tr>
      <w:tr w:rsidR="00F54294" w:rsidRPr="00BF09F1" w:rsidTr="00662E29">
        <w:tc>
          <w:tcPr>
            <w:tcW w:w="1809" w:type="dxa"/>
          </w:tcPr>
          <w:p w:rsidR="00F54294" w:rsidRDefault="00F54294" w:rsidP="00BF09F1">
            <w:pPr>
              <w:rPr>
                <w:sz w:val="20"/>
                <w:szCs w:val="20"/>
              </w:rPr>
            </w:pPr>
            <w:r>
              <w:rPr>
                <w:sz w:val="20"/>
                <w:szCs w:val="20"/>
              </w:rPr>
              <w:lastRenderedPageBreak/>
              <w:t>SSRI</w:t>
            </w:r>
          </w:p>
        </w:tc>
        <w:tc>
          <w:tcPr>
            <w:tcW w:w="6911" w:type="dxa"/>
          </w:tcPr>
          <w:p w:rsidR="00F54294" w:rsidRPr="00F54294" w:rsidRDefault="00F54294" w:rsidP="002B650D">
            <w:r w:rsidRPr="002B650D">
              <w:t>Selective serotonin reuptake inhibitor</w:t>
            </w:r>
          </w:p>
        </w:tc>
      </w:tr>
      <w:tr w:rsidR="00F54294" w:rsidRPr="00BF09F1" w:rsidTr="00662E29">
        <w:tc>
          <w:tcPr>
            <w:tcW w:w="1809" w:type="dxa"/>
          </w:tcPr>
          <w:p w:rsidR="00F54294" w:rsidRDefault="00F54294" w:rsidP="00BF09F1">
            <w:pPr>
              <w:rPr>
                <w:sz w:val="20"/>
                <w:szCs w:val="20"/>
              </w:rPr>
            </w:pPr>
            <w:r>
              <w:rPr>
                <w:sz w:val="20"/>
                <w:szCs w:val="20"/>
              </w:rPr>
              <w:t>TCA</w:t>
            </w:r>
          </w:p>
        </w:tc>
        <w:tc>
          <w:tcPr>
            <w:tcW w:w="6911" w:type="dxa"/>
          </w:tcPr>
          <w:p w:rsidR="00F54294" w:rsidRPr="00F54294" w:rsidRDefault="00F54294" w:rsidP="002B650D">
            <w:r w:rsidRPr="002B650D">
              <w:t>Tricyclic</w:t>
            </w:r>
            <w:r w:rsidRPr="00F54294">
              <w:t xml:space="preserve"> antidepressant</w:t>
            </w:r>
          </w:p>
        </w:tc>
      </w:tr>
      <w:tr w:rsidR="00F54294" w:rsidRPr="00BF09F1" w:rsidTr="00662E29">
        <w:tc>
          <w:tcPr>
            <w:tcW w:w="1809" w:type="dxa"/>
          </w:tcPr>
          <w:p w:rsidR="00F54294" w:rsidRPr="00F91E14" w:rsidRDefault="00F54294" w:rsidP="00BF09F1">
            <w:pPr>
              <w:rPr>
                <w:sz w:val="20"/>
                <w:szCs w:val="20"/>
              </w:rPr>
            </w:pPr>
            <w:r>
              <w:t>T</w:t>
            </w:r>
            <w:r w:rsidRPr="00F55481">
              <w:rPr>
                <w:vertAlign w:val="subscript"/>
              </w:rPr>
              <w:t>max</w:t>
            </w:r>
          </w:p>
        </w:tc>
        <w:tc>
          <w:tcPr>
            <w:tcW w:w="6911" w:type="dxa"/>
          </w:tcPr>
          <w:p w:rsidR="00F54294" w:rsidRPr="00F54294" w:rsidRDefault="00F54294" w:rsidP="002B650D">
            <w:r w:rsidRPr="002B650D">
              <w:t>Time to peak plasma concentration</w:t>
            </w:r>
          </w:p>
        </w:tc>
      </w:tr>
      <w:tr w:rsidR="00F54294" w:rsidRPr="00BF09F1" w:rsidTr="00662E29">
        <w:tc>
          <w:tcPr>
            <w:tcW w:w="1809" w:type="dxa"/>
          </w:tcPr>
          <w:p w:rsidR="00F54294" w:rsidRDefault="00F54294" w:rsidP="00BF09F1">
            <w:pPr>
              <w:rPr>
                <w:sz w:val="20"/>
                <w:szCs w:val="20"/>
              </w:rPr>
            </w:pPr>
            <w:r>
              <w:rPr>
                <w:sz w:val="20"/>
                <w:szCs w:val="20"/>
              </w:rPr>
              <w:t>ULN</w:t>
            </w:r>
          </w:p>
        </w:tc>
        <w:tc>
          <w:tcPr>
            <w:tcW w:w="6911" w:type="dxa"/>
          </w:tcPr>
          <w:p w:rsidR="00F54294" w:rsidRPr="00F54294" w:rsidRDefault="00F54294" w:rsidP="002B650D">
            <w:r w:rsidRPr="002B650D">
              <w:t>Upper limit of normal</w:t>
            </w:r>
          </w:p>
        </w:tc>
      </w:tr>
      <w:tr w:rsidR="00F54294" w:rsidRPr="00BF09F1" w:rsidTr="00662E29">
        <w:tc>
          <w:tcPr>
            <w:tcW w:w="1809" w:type="dxa"/>
          </w:tcPr>
          <w:p w:rsidR="00F54294" w:rsidRDefault="00F54294" w:rsidP="00BF09F1">
            <w:pPr>
              <w:rPr>
                <w:sz w:val="20"/>
                <w:szCs w:val="20"/>
              </w:rPr>
            </w:pPr>
            <w:r>
              <w:rPr>
                <w:sz w:val="20"/>
                <w:szCs w:val="20"/>
              </w:rPr>
              <w:t>US</w:t>
            </w:r>
          </w:p>
        </w:tc>
        <w:tc>
          <w:tcPr>
            <w:tcW w:w="6911" w:type="dxa"/>
          </w:tcPr>
          <w:p w:rsidR="00F54294" w:rsidRPr="00F54294" w:rsidRDefault="00F54294" w:rsidP="002B650D">
            <w:r w:rsidRPr="002B650D">
              <w:t>United States (of America)</w:t>
            </w:r>
          </w:p>
        </w:tc>
      </w:tr>
      <w:tr w:rsidR="00F54294" w:rsidRPr="00BF09F1" w:rsidTr="00662E29">
        <w:tc>
          <w:tcPr>
            <w:tcW w:w="1809" w:type="dxa"/>
          </w:tcPr>
          <w:p w:rsidR="00F54294" w:rsidRDefault="00F54294" w:rsidP="00BF09F1">
            <w:pPr>
              <w:rPr>
                <w:sz w:val="20"/>
                <w:szCs w:val="20"/>
              </w:rPr>
            </w:pPr>
            <w:r>
              <w:rPr>
                <w:sz w:val="20"/>
                <w:szCs w:val="20"/>
              </w:rPr>
              <w:t>USPI</w:t>
            </w:r>
          </w:p>
        </w:tc>
        <w:tc>
          <w:tcPr>
            <w:tcW w:w="6911" w:type="dxa"/>
          </w:tcPr>
          <w:p w:rsidR="00F54294" w:rsidRPr="00F54294" w:rsidRDefault="00F54294" w:rsidP="002B650D">
            <w:r w:rsidRPr="002B650D">
              <w:t>United States Prescribing Information</w:t>
            </w:r>
          </w:p>
        </w:tc>
      </w:tr>
      <w:tr w:rsidR="00F54294" w:rsidRPr="00BF09F1" w:rsidTr="00662E29">
        <w:tc>
          <w:tcPr>
            <w:tcW w:w="1809" w:type="dxa"/>
          </w:tcPr>
          <w:p w:rsidR="00F54294" w:rsidRDefault="00F54294" w:rsidP="00BF09F1">
            <w:pPr>
              <w:rPr>
                <w:sz w:val="20"/>
                <w:szCs w:val="20"/>
              </w:rPr>
            </w:pPr>
            <w:r>
              <w:rPr>
                <w:sz w:val="20"/>
                <w:szCs w:val="20"/>
              </w:rPr>
              <w:t>w/w</w:t>
            </w:r>
          </w:p>
        </w:tc>
        <w:tc>
          <w:tcPr>
            <w:tcW w:w="6911" w:type="dxa"/>
          </w:tcPr>
          <w:p w:rsidR="00F54294" w:rsidRPr="00F54294" w:rsidRDefault="00F54294" w:rsidP="002B650D">
            <w:r w:rsidRPr="002B650D">
              <w:t>Weight/weight</w:t>
            </w:r>
          </w:p>
        </w:tc>
      </w:tr>
      <w:tr w:rsidR="00F54294" w:rsidRPr="00BF09F1" w:rsidTr="00662E29">
        <w:tc>
          <w:tcPr>
            <w:tcW w:w="1809" w:type="dxa"/>
          </w:tcPr>
          <w:p w:rsidR="00F54294" w:rsidRPr="00BF09F1" w:rsidRDefault="00F54294" w:rsidP="00BF09F1">
            <w:pPr>
              <w:rPr>
                <w:sz w:val="20"/>
                <w:szCs w:val="20"/>
              </w:rPr>
            </w:pPr>
            <w:r w:rsidRPr="00BF09F1">
              <w:rPr>
                <w:sz w:val="20"/>
                <w:szCs w:val="20"/>
              </w:rPr>
              <w:t>Xu</w:t>
            </w:r>
          </w:p>
        </w:tc>
        <w:tc>
          <w:tcPr>
            <w:tcW w:w="6911" w:type="dxa"/>
          </w:tcPr>
          <w:p w:rsidR="00F54294" w:rsidRPr="00F54294" w:rsidRDefault="00F54294" w:rsidP="002B650D">
            <w:r w:rsidRPr="002B650D">
              <w:t>T</w:t>
            </w:r>
            <w:r w:rsidRPr="00F54294">
              <w:t>otal amount of radioactivity excreted in urine or faeces</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8" w:name="_Toc510009694"/>
      <w:r>
        <w:lastRenderedPageBreak/>
        <w:t>I.</w:t>
      </w:r>
      <w:r w:rsidR="008E7846">
        <w:t xml:space="preserve"> Introduction to product submission</w:t>
      </w:r>
      <w:bookmarkEnd w:id="8"/>
      <w:bookmarkEnd w:id="2"/>
      <w:bookmarkEnd w:id="0"/>
    </w:p>
    <w:p w:rsidR="008E7846" w:rsidRDefault="008E7846" w:rsidP="008E7846">
      <w:pPr>
        <w:pStyle w:val="Heading3"/>
        <w:rPr>
          <w:lang w:eastAsia="en-AU"/>
        </w:rPr>
      </w:pPr>
      <w:bookmarkStart w:id="9" w:name="_Toc247691502"/>
      <w:bookmarkStart w:id="10" w:name="_Toc314842483"/>
      <w:bookmarkStart w:id="11" w:name="_Toc510009695"/>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444545">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9D4C76">
            <w:r w:rsidRPr="003D1E62">
              <w:t xml:space="preserve">New </w:t>
            </w:r>
            <w:r w:rsidR="001B5C90">
              <w:t>c</w:t>
            </w:r>
            <w:r w:rsidRPr="003D1E62">
              <w:t xml:space="preserve">hemical </w:t>
            </w:r>
            <w:r w:rsidR="001B5C90">
              <w:t>e</w:t>
            </w:r>
            <w:r w:rsidR="009D4C76">
              <w:t>ntity</w:t>
            </w:r>
          </w:p>
        </w:tc>
      </w:tr>
      <w:tr w:rsidR="008E7846" w:rsidRPr="003D1E62" w:rsidTr="00444545">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9D4C76" w:rsidP="001B5C90">
            <w:r>
              <w:t>W</w:t>
            </w:r>
            <w:r w:rsidR="008E7846" w:rsidRPr="003D1E62">
              <w:t>ithdrawn</w:t>
            </w:r>
          </w:p>
        </w:tc>
      </w:tr>
      <w:tr w:rsidR="008E7846" w:rsidRPr="003D1E62" w:rsidTr="00444545">
        <w:trPr>
          <w:trHeight w:hRule="exact" w:val="454"/>
        </w:trPr>
        <w:tc>
          <w:tcPr>
            <w:tcW w:w="2907" w:type="dxa"/>
          </w:tcPr>
          <w:p w:rsidR="008E7846" w:rsidRPr="003D1E62" w:rsidRDefault="008E7846" w:rsidP="00DF6BE1">
            <w:pPr>
              <w:rPr>
                <w:i/>
              </w:rPr>
            </w:pPr>
            <w:r w:rsidRPr="003D1E62">
              <w:rPr>
                <w:i/>
              </w:rPr>
              <w:t xml:space="preserve">Date of </w:t>
            </w:r>
            <w:r w:rsidR="00DF6BE1">
              <w:rPr>
                <w:i/>
              </w:rPr>
              <w:t>withdrawal</w:t>
            </w:r>
          </w:p>
        </w:tc>
        <w:tc>
          <w:tcPr>
            <w:tcW w:w="6590" w:type="dxa"/>
            <w:gridSpan w:val="2"/>
          </w:tcPr>
          <w:p w:rsidR="008E7846" w:rsidRPr="003D1E62" w:rsidRDefault="00DF6BE1" w:rsidP="001B5C90">
            <w:r>
              <w:t>24 November 2017</w:t>
            </w:r>
          </w:p>
        </w:tc>
      </w:tr>
      <w:tr w:rsidR="00ED2922" w:rsidRPr="003D1E62" w:rsidTr="00444545">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DF6BE1" w:rsidP="00EC463D">
            <w:pPr>
              <w:rPr>
                <w:i/>
              </w:rPr>
            </w:pPr>
            <w:r>
              <w:t>Not applicable</w:t>
            </w:r>
          </w:p>
        </w:tc>
      </w:tr>
      <w:tr w:rsidR="008E7846" w:rsidRPr="00487162" w:rsidTr="00444545">
        <w:trPr>
          <w:gridAfter w:val="1"/>
          <w:wAfter w:w="283" w:type="dxa"/>
        </w:trPr>
        <w:tc>
          <w:tcPr>
            <w:tcW w:w="2907" w:type="dxa"/>
          </w:tcPr>
          <w:p w:rsidR="008E7846" w:rsidRPr="00487162" w:rsidRDefault="001B5C90" w:rsidP="00E45619">
            <w:pPr>
              <w:rPr>
                <w:i/>
              </w:rPr>
            </w:pPr>
            <w:r>
              <w:rPr>
                <w:i/>
              </w:rPr>
              <w:t>Active ingredient:</w:t>
            </w:r>
          </w:p>
        </w:tc>
        <w:tc>
          <w:tcPr>
            <w:tcW w:w="6307" w:type="dxa"/>
          </w:tcPr>
          <w:p w:rsidR="008E7846" w:rsidRPr="00487162" w:rsidRDefault="009D4C76" w:rsidP="00E45619">
            <w:r w:rsidRPr="009D4C76">
              <w:t>Eluxadoline</w:t>
            </w:r>
          </w:p>
        </w:tc>
      </w:tr>
      <w:tr w:rsidR="008E7846" w:rsidRPr="00487162" w:rsidTr="00444545">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name:</w:t>
            </w:r>
          </w:p>
        </w:tc>
        <w:tc>
          <w:tcPr>
            <w:tcW w:w="6307" w:type="dxa"/>
          </w:tcPr>
          <w:p w:rsidR="008E7846" w:rsidRPr="00487162" w:rsidRDefault="009D4C76" w:rsidP="00E45619">
            <w:r w:rsidRPr="009D4C76">
              <w:t>Viberzi</w:t>
            </w:r>
          </w:p>
        </w:tc>
      </w:tr>
      <w:tr w:rsidR="008E7846" w:rsidRPr="00487162" w:rsidTr="00444545">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A41068" w:rsidP="00E45619">
            <w:r>
              <w:t>Allergan</w:t>
            </w:r>
            <w:r w:rsidRPr="009D4C76">
              <w:t xml:space="preserve"> </w:t>
            </w:r>
            <w:r w:rsidR="009D4C76" w:rsidRPr="009D4C76">
              <w:t>Australia Pty Ltd</w:t>
            </w:r>
          </w:p>
          <w:p w:rsidR="004C482D" w:rsidRPr="00487162" w:rsidRDefault="004C482D" w:rsidP="005F0089">
            <w:r>
              <w:t>810 Pacific Highway</w:t>
            </w:r>
            <w:r w:rsidR="005F0089">
              <w:br/>
            </w:r>
            <w:r>
              <w:t>Gordon</w:t>
            </w:r>
            <w:r w:rsidR="00E86699">
              <w:t xml:space="preserve"> </w:t>
            </w:r>
            <w:r>
              <w:t>NSW 2072</w:t>
            </w:r>
          </w:p>
        </w:tc>
      </w:tr>
      <w:tr w:rsidR="008E7846" w:rsidRPr="00487162" w:rsidTr="00444545">
        <w:trPr>
          <w:gridAfter w:val="1"/>
          <w:wAfter w:w="283" w:type="dxa"/>
        </w:trPr>
        <w:tc>
          <w:tcPr>
            <w:tcW w:w="2907" w:type="dxa"/>
          </w:tcPr>
          <w:p w:rsidR="008E7846" w:rsidRPr="00487162" w:rsidRDefault="001B5C90" w:rsidP="00E45619">
            <w:pPr>
              <w:rPr>
                <w:i/>
              </w:rPr>
            </w:pPr>
            <w:r>
              <w:rPr>
                <w:i/>
              </w:rPr>
              <w:t>Dose form:</w:t>
            </w:r>
          </w:p>
        </w:tc>
        <w:tc>
          <w:tcPr>
            <w:tcW w:w="6307" w:type="dxa"/>
          </w:tcPr>
          <w:p w:rsidR="008E7846" w:rsidRPr="00487162" w:rsidRDefault="00A146D6" w:rsidP="008336A5">
            <w:r w:rsidRPr="00A146D6">
              <w:t>Immediate release film coated tablets</w:t>
            </w:r>
          </w:p>
        </w:tc>
      </w:tr>
      <w:tr w:rsidR="008E7846" w:rsidRPr="00487162" w:rsidTr="00444545">
        <w:trPr>
          <w:gridAfter w:val="1"/>
          <w:wAfter w:w="283" w:type="dxa"/>
        </w:trPr>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8336A5" w:rsidP="008336A5">
            <w:r w:rsidRPr="008336A5">
              <w:t>7</w:t>
            </w:r>
            <w:r w:rsidR="00746A5C">
              <w:t>5 mg</w:t>
            </w:r>
            <w:r w:rsidRPr="008336A5">
              <w:t xml:space="preserve"> </w:t>
            </w:r>
            <w:r>
              <w:t>and</w:t>
            </w:r>
            <w:r w:rsidRPr="008336A5">
              <w:t xml:space="preserve"> 10</w:t>
            </w:r>
            <w:r w:rsidR="00746A5C">
              <w:t>0 mg</w:t>
            </w:r>
          </w:p>
        </w:tc>
      </w:tr>
      <w:tr w:rsidR="008E7846" w:rsidRPr="00487162" w:rsidTr="00444545">
        <w:trPr>
          <w:gridAfter w:val="1"/>
          <w:wAfter w:w="283" w:type="dxa"/>
        </w:trPr>
        <w:tc>
          <w:tcPr>
            <w:tcW w:w="2907" w:type="dxa"/>
          </w:tcPr>
          <w:p w:rsidR="008E7846" w:rsidRPr="00487162" w:rsidRDefault="008E7846" w:rsidP="00E45619">
            <w:pPr>
              <w:rPr>
                <w:i/>
              </w:rPr>
            </w:pPr>
            <w:r w:rsidRPr="00487162">
              <w:rPr>
                <w:i/>
              </w:rPr>
              <w:t>Containers:</w:t>
            </w:r>
          </w:p>
        </w:tc>
        <w:tc>
          <w:tcPr>
            <w:tcW w:w="6307" w:type="dxa"/>
          </w:tcPr>
          <w:p w:rsidR="008E7846" w:rsidRPr="00487162" w:rsidRDefault="00047FA2" w:rsidP="00047FA2">
            <w:r>
              <w:t>A</w:t>
            </w:r>
            <w:r w:rsidR="00A146D6" w:rsidRPr="00A146D6">
              <w:t>luminium blister packs</w:t>
            </w:r>
            <w:r w:rsidR="005F0089">
              <w:t>;</w:t>
            </w:r>
            <w:r w:rsidR="00A146D6" w:rsidRPr="00A146D6">
              <w:t xml:space="preserve"> </w:t>
            </w:r>
            <w:r>
              <w:t>plastic</w:t>
            </w:r>
            <w:r w:rsidR="00A146D6" w:rsidRPr="00A146D6">
              <w:t xml:space="preserve"> bottles closed with child resistant screw caps fitted with induction seal liners</w:t>
            </w:r>
          </w:p>
        </w:tc>
      </w:tr>
      <w:tr w:rsidR="008E7846" w:rsidRPr="00487162" w:rsidTr="00444545">
        <w:trPr>
          <w:gridAfter w:val="1"/>
          <w:wAfter w:w="283" w:type="dxa"/>
        </w:trPr>
        <w:tc>
          <w:tcPr>
            <w:tcW w:w="2907" w:type="dxa"/>
          </w:tcPr>
          <w:p w:rsidR="008E7846" w:rsidRPr="00DF6BE1" w:rsidRDefault="008E7846" w:rsidP="00E45619">
            <w:pPr>
              <w:rPr>
                <w:i/>
              </w:rPr>
            </w:pPr>
            <w:r w:rsidRPr="00DF6BE1">
              <w:rPr>
                <w:i/>
              </w:rPr>
              <w:t>Pack sizes:</w:t>
            </w:r>
          </w:p>
        </w:tc>
        <w:tc>
          <w:tcPr>
            <w:tcW w:w="6307" w:type="dxa"/>
          </w:tcPr>
          <w:p w:rsidR="008E7846" w:rsidRPr="00DF6BE1" w:rsidRDefault="00A146D6" w:rsidP="00047FA2">
            <w:r w:rsidRPr="00DF6BE1">
              <w:t xml:space="preserve">28, 56 </w:t>
            </w:r>
            <w:r w:rsidR="00047FA2">
              <w:t>and 168 ta</w:t>
            </w:r>
            <w:r w:rsidRPr="00DF6BE1">
              <w:t>blets plus starter pack of 8 tablets (blisters); 60</w:t>
            </w:r>
            <w:r w:rsidR="005F0089">
              <w:t> </w:t>
            </w:r>
            <w:r w:rsidRPr="00DF6BE1">
              <w:t>tablets (bottles)</w:t>
            </w:r>
          </w:p>
        </w:tc>
      </w:tr>
      <w:tr w:rsidR="008E7846" w:rsidRPr="00487162" w:rsidTr="00444545">
        <w:trPr>
          <w:gridAfter w:val="1"/>
          <w:wAfter w:w="283" w:type="dxa"/>
        </w:trPr>
        <w:tc>
          <w:tcPr>
            <w:tcW w:w="2907" w:type="dxa"/>
          </w:tcPr>
          <w:p w:rsidR="008E7846" w:rsidRPr="00DF6BE1" w:rsidRDefault="008E7846" w:rsidP="001B5C90">
            <w:pPr>
              <w:rPr>
                <w:i/>
              </w:rPr>
            </w:pPr>
            <w:r w:rsidRPr="00DF6BE1">
              <w:rPr>
                <w:i/>
              </w:rPr>
              <w:t xml:space="preserve">Approved </w:t>
            </w:r>
            <w:r w:rsidR="001B5C90" w:rsidRPr="00DF6BE1">
              <w:rPr>
                <w:i/>
              </w:rPr>
              <w:t>t</w:t>
            </w:r>
            <w:r w:rsidRPr="00DF6BE1">
              <w:rPr>
                <w:i/>
              </w:rPr>
              <w:t>herapeutic use:</w:t>
            </w:r>
          </w:p>
        </w:tc>
        <w:tc>
          <w:tcPr>
            <w:tcW w:w="6307" w:type="dxa"/>
          </w:tcPr>
          <w:p w:rsidR="008E7846" w:rsidRPr="00DF6BE1" w:rsidRDefault="00DF6BE1" w:rsidP="00E45619">
            <w:pPr>
              <w:rPr>
                <w:rFonts w:eastAsia="MS Mincho"/>
                <w:lang w:eastAsia="ja-JP"/>
              </w:rPr>
            </w:pPr>
            <w:r w:rsidRPr="00DF6BE1">
              <w:t>Not applicable</w:t>
            </w:r>
          </w:p>
        </w:tc>
      </w:tr>
      <w:tr w:rsidR="008E7846" w:rsidRPr="00487162" w:rsidTr="00444545">
        <w:trPr>
          <w:gridAfter w:val="1"/>
          <w:wAfter w:w="283" w:type="dxa"/>
        </w:trPr>
        <w:tc>
          <w:tcPr>
            <w:tcW w:w="2907" w:type="dxa"/>
          </w:tcPr>
          <w:p w:rsidR="008E7846" w:rsidRPr="00DF6BE1" w:rsidRDefault="008E7846" w:rsidP="00E45619">
            <w:pPr>
              <w:rPr>
                <w:i/>
              </w:rPr>
            </w:pPr>
            <w:r w:rsidRPr="00DF6BE1">
              <w:rPr>
                <w:i/>
              </w:rPr>
              <w:t>Route(s) of administration:</w:t>
            </w:r>
          </w:p>
        </w:tc>
        <w:tc>
          <w:tcPr>
            <w:tcW w:w="6307" w:type="dxa"/>
          </w:tcPr>
          <w:p w:rsidR="008E7846" w:rsidRPr="00DF6BE1" w:rsidRDefault="008336A5" w:rsidP="00E45619">
            <w:r w:rsidRPr="00DF6BE1">
              <w:t>Oral (PO)</w:t>
            </w:r>
          </w:p>
        </w:tc>
      </w:tr>
      <w:tr w:rsidR="008E7846" w:rsidRPr="00487162" w:rsidTr="00444545">
        <w:trPr>
          <w:gridAfter w:val="1"/>
          <w:wAfter w:w="283" w:type="dxa"/>
        </w:trPr>
        <w:tc>
          <w:tcPr>
            <w:tcW w:w="2907" w:type="dxa"/>
          </w:tcPr>
          <w:p w:rsidR="008E7846" w:rsidRPr="00DF6BE1" w:rsidRDefault="008E7846" w:rsidP="00E45619">
            <w:pPr>
              <w:rPr>
                <w:i/>
              </w:rPr>
            </w:pPr>
            <w:r w:rsidRPr="00DF6BE1">
              <w:rPr>
                <w:i/>
              </w:rPr>
              <w:t>Dosage:</w:t>
            </w:r>
          </w:p>
        </w:tc>
        <w:tc>
          <w:tcPr>
            <w:tcW w:w="6307" w:type="dxa"/>
          </w:tcPr>
          <w:p w:rsidR="008E7846" w:rsidRPr="00DF6BE1" w:rsidRDefault="00DF6BE1" w:rsidP="00E45619">
            <w:r w:rsidRPr="00DF6BE1">
              <w:t>Not applicable</w:t>
            </w:r>
          </w:p>
        </w:tc>
      </w:tr>
      <w:tr w:rsidR="008E7846" w:rsidRPr="00487162" w:rsidTr="00444545">
        <w:trPr>
          <w:gridAfter w:val="1"/>
          <w:wAfter w:w="283" w:type="dxa"/>
        </w:trPr>
        <w:tc>
          <w:tcPr>
            <w:tcW w:w="2907" w:type="dxa"/>
          </w:tcPr>
          <w:p w:rsidR="008E7846" w:rsidRPr="00DF6BE1" w:rsidRDefault="008E7846" w:rsidP="001B5C90">
            <w:pPr>
              <w:rPr>
                <w:i/>
              </w:rPr>
            </w:pPr>
            <w:r w:rsidRPr="00DF6BE1">
              <w:rPr>
                <w:i/>
              </w:rPr>
              <w:t xml:space="preserve">ARTG </w:t>
            </w:r>
            <w:r w:rsidR="001B5C90" w:rsidRPr="00DF6BE1">
              <w:rPr>
                <w:i/>
              </w:rPr>
              <w:t>n</w:t>
            </w:r>
            <w:r w:rsidRPr="00DF6BE1">
              <w:rPr>
                <w:i/>
              </w:rPr>
              <w:t>umber</w:t>
            </w:r>
            <w:r w:rsidR="001B5C90" w:rsidRPr="00DF6BE1">
              <w:rPr>
                <w:i/>
              </w:rPr>
              <w:t>:</w:t>
            </w:r>
          </w:p>
        </w:tc>
        <w:tc>
          <w:tcPr>
            <w:tcW w:w="6307" w:type="dxa"/>
          </w:tcPr>
          <w:p w:rsidR="008E7846" w:rsidRPr="00DF6BE1" w:rsidRDefault="00DF6BE1" w:rsidP="00E45619">
            <w:r w:rsidRPr="00DF6BE1">
              <w:t>Not applicable</w:t>
            </w:r>
          </w:p>
        </w:tc>
      </w:tr>
    </w:tbl>
    <w:p w:rsidR="008E7846" w:rsidRDefault="008E7846" w:rsidP="008E7846">
      <w:pPr>
        <w:pStyle w:val="Heading3"/>
      </w:pPr>
      <w:bookmarkStart w:id="12" w:name="_Toc247691503"/>
      <w:bookmarkStart w:id="13" w:name="_Toc314842484"/>
      <w:bookmarkStart w:id="14" w:name="_Toc510009696"/>
      <w:r>
        <w:t>Product background</w:t>
      </w:r>
      <w:bookmarkEnd w:id="12"/>
      <w:bookmarkEnd w:id="13"/>
      <w:bookmarkEnd w:id="14"/>
    </w:p>
    <w:p w:rsidR="005F1690" w:rsidRDefault="00940A89" w:rsidP="00940A89">
      <w:r w:rsidRPr="00940A89">
        <w:t>This AusPAR describes the application by the sponsor</w:t>
      </w:r>
      <w:r w:rsidR="00591078">
        <w:t>,</w:t>
      </w:r>
      <w:r w:rsidRPr="00940A89">
        <w:t xml:space="preserve"> </w:t>
      </w:r>
      <w:r w:rsidR="000B640B">
        <w:t>Allergan Australia Pty Ltd</w:t>
      </w:r>
      <w:r w:rsidR="00591078">
        <w:t>,</w:t>
      </w:r>
      <w:r w:rsidR="000B640B">
        <w:t xml:space="preserve"> to register a new chemical entity, eluxadoline (</w:t>
      </w:r>
      <w:r w:rsidR="00047FA2">
        <w:t>Viberzi</w:t>
      </w:r>
      <w:r w:rsidR="000B640B">
        <w:t xml:space="preserve">), proposed </w:t>
      </w:r>
      <w:r w:rsidR="00047FA2">
        <w:t>with the following indications:</w:t>
      </w:r>
    </w:p>
    <w:p w:rsidR="00047FA2" w:rsidRPr="00047FA2" w:rsidRDefault="00047FA2" w:rsidP="00047FA2">
      <w:pPr>
        <w:ind w:left="720"/>
        <w:rPr>
          <w:i/>
        </w:rPr>
      </w:pPr>
      <w:proofErr w:type="spellStart"/>
      <w:r w:rsidRPr="00047FA2">
        <w:rPr>
          <w:i/>
        </w:rPr>
        <w:t>Eluxadoline</w:t>
      </w:r>
      <w:proofErr w:type="spellEnd"/>
      <w:r w:rsidRPr="00047FA2">
        <w:rPr>
          <w:i/>
        </w:rPr>
        <w:t xml:space="preserve"> (</w:t>
      </w:r>
      <w:proofErr w:type="spellStart"/>
      <w:r w:rsidRPr="00047FA2">
        <w:rPr>
          <w:i/>
        </w:rPr>
        <w:t>Viberzi</w:t>
      </w:r>
      <w:proofErr w:type="spellEnd"/>
      <w:r w:rsidRPr="00047FA2">
        <w:rPr>
          <w:i/>
        </w:rPr>
        <w:t>) is indicated in adults for the treatment of irritable bowel syndrome with diarrhoea (</w:t>
      </w:r>
      <w:r w:rsidR="00B05B61">
        <w:rPr>
          <w:i/>
        </w:rPr>
        <w:t>IBS-d</w:t>
      </w:r>
      <w:r w:rsidRPr="00047FA2">
        <w:rPr>
          <w:i/>
        </w:rPr>
        <w:t>).</w:t>
      </w:r>
    </w:p>
    <w:p w:rsidR="00405DF1" w:rsidRDefault="00BF690B" w:rsidP="00BF09F1">
      <w:pPr>
        <w:pStyle w:val="ListBullet"/>
        <w:numPr>
          <w:ilvl w:val="0"/>
          <w:numId w:val="0"/>
        </w:numPr>
      </w:pPr>
      <w:r>
        <w:t xml:space="preserve">2 </w:t>
      </w:r>
      <w:r w:rsidR="00047FA2">
        <w:t xml:space="preserve">strengths </w:t>
      </w:r>
      <w:r w:rsidR="00591078">
        <w:t>of the product were</w:t>
      </w:r>
      <w:r w:rsidR="00047FA2">
        <w:t xml:space="preserve"> proposed as follows:</w:t>
      </w:r>
    </w:p>
    <w:p w:rsidR="00405DF1" w:rsidRDefault="00405DF1" w:rsidP="00662E29">
      <w:pPr>
        <w:pStyle w:val="ListBullet"/>
      </w:pPr>
      <w:r>
        <w:t>10</w:t>
      </w:r>
      <w:r w:rsidR="00746A5C">
        <w:t>0 mg</w:t>
      </w:r>
      <w:r>
        <w:t xml:space="preserve"> strength</w:t>
      </w:r>
    </w:p>
    <w:p w:rsidR="00405DF1" w:rsidRDefault="00405DF1" w:rsidP="00662E29">
      <w:pPr>
        <w:pStyle w:val="ListBullet2"/>
      </w:pPr>
      <w:r>
        <w:t>The recommended dosage of Viberzi is 10</w:t>
      </w:r>
      <w:r w:rsidR="00746A5C">
        <w:t>0 mg</w:t>
      </w:r>
      <w:r>
        <w:t xml:space="preserve"> taken orally twice daily with food.</w:t>
      </w:r>
    </w:p>
    <w:p w:rsidR="00405DF1" w:rsidRDefault="00405DF1" w:rsidP="00662E29">
      <w:pPr>
        <w:pStyle w:val="ListBullet"/>
      </w:pPr>
      <w:r>
        <w:t>7</w:t>
      </w:r>
      <w:r w:rsidR="00746A5C">
        <w:t>5 mg</w:t>
      </w:r>
      <w:r>
        <w:t xml:space="preserve"> strength</w:t>
      </w:r>
    </w:p>
    <w:p w:rsidR="00405DF1" w:rsidRDefault="00405DF1" w:rsidP="00662E29">
      <w:pPr>
        <w:pStyle w:val="ListBullet2"/>
      </w:pPr>
      <w:r>
        <w:t>The recommended dosage of Viberzi is 7</w:t>
      </w:r>
      <w:r w:rsidR="00746A5C">
        <w:t>5 mg</w:t>
      </w:r>
      <w:r>
        <w:t xml:space="preserve"> taken orally twice daily with food in patients who:</w:t>
      </w:r>
    </w:p>
    <w:p w:rsidR="00405DF1" w:rsidRDefault="00405DF1" w:rsidP="00662E29">
      <w:pPr>
        <w:pStyle w:val="ListBullet3"/>
      </w:pPr>
      <w:r>
        <w:lastRenderedPageBreak/>
        <w:t>do not have a gallbladder,</w:t>
      </w:r>
    </w:p>
    <w:p w:rsidR="00405DF1" w:rsidRDefault="00405DF1" w:rsidP="00662E29">
      <w:pPr>
        <w:pStyle w:val="ListBullet3"/>
      </w:pPr>
      <w:r>
        <w:t>are unable to tolerate the 10</w:t>
      </w:r>
      <w:r w:rsidR="00746A5C">
        <w:t>0 mg</w:t>
      </w:r>
      <w:r>
        <w:t xml:space="preserve"> dose,</w:t>
      </w:r>
    </w:p>
    <w:p w:rsidR="00405DF1" w:rsidRDefault="00405DF1" w:rsidP="00662E29">
      <w:pPr>
        <w:pStyle w:val="ListBullet3"/>
      </w:pPr>
      <w:r>
        <w:t>have mild (Child-Pugh Class A) or moderate (Child-Pugh Class B) hepatic impairment,</w:t>
      </w:r>
    </w:p>
    <w:p w:rsidR="00405DF1" w:rsidRDefault="00405DF1" w:rsidP="00662E29">
      <w:pPr>
        <w:pStyle w:val="ListBullet3"/>
      </w:pPr>
      <w:proofErr w:type="gramStart"/>
      <w:r>
        <w:t>are</w:t>
      </w:r>
      <w:proofErr w:type="gramEnd"/>
      <w:r>
        <w:t xml:space="preserve"> receiving concomitant OATP1B1 inhibitors.</w:t>
      </w:r>
    </w:p>
    <w:p w:rsidR="005F1690" w:rsidRDefault="002B7188" w:rsidP="00AD0259">
      <w:r>
        <w:t xml:space="preserve">Extensive expression of opioid receptors in the </w:t>
      </w:r>
      <w:r w:rsidR="00591078">
        <w:t>gastrointestinal (</w:t>
      </w:r>
      <w:r>
        <w:t>GI</w:t>
      </w:r>
      <w:r w:rsidR="00591078">
        <w:t>)</w:t>
      </w:r>
      <w:r>
        <w:t xml:space="preserve"> tract plays a key role in regulating gastrointestinal motility, secretion and visceral sensation.</w:t>
      </w:r>
    </w:p>
    <w:p w:rsidR="00102037" w:rsidRDefault="00102037" w:rsidP="00102037">
      <w:r>
        <w:t>Irritable bowel syndrome (IBS) is a functional GI disorder that is characterised by symptoms of abdominal discomfort or pain associated with altered bowel movement characteristics.</w:t>
      </w:r>
      <w:bookmarkStart w:id="15" w:name="_Ref510002842"/>
      <w:r>
        <w:rPr>
          <w:rStyle w:val="FootnoteReference"/>
        </w:rPr>
        <w:footnoteReference w:id="1"/>
      </w:r>
      <w:bookmarkEnd w:id="15"/>
      <w:r>
        <w:t xml:space="preserve"> Different subtypes of IBS are classified according to predominating bowel symptoms, which include chronic or recurrent: diarrhoea (IBS-d); constipation (IBS-c); a mixture of constipation and diarrhoea (IBS-m); or unspecified (IBS-u). Common to a form of IBS is abdominal pain or discomfort that may be linked to local reflexes within the bowel.</w:t>
      </w:r>
      <w:r w:rsidRPr="00C92BCC">
        <w:rPr>
          <w:vertAlign w:val="superscript"/>
        </w:rPr>
        <w:fldChar w:fldCharType="begin"/>
      </w:r>
      <w:r w:rsidRPr="00C92BCC">
        <w:rPr>
          <w:vertAlign w:val="superscript"/>
        </w:rPr>
        <w:instrText xml:space="preserve"> NOTEREF _Ref510002842 \h </w:instrText>
      </w:r>
      <w:r>
        <w:rPr>
          <w:vertAlign w:val="superscript"/>
        </w:rPr>
        <w:instrText xml:space="preserve"> \* MERGEFORMAT </w:instrText>
      </w:r>
      <w:r w:rsidRPr="00C92BCC">
        <w:rPr>
          <w:vertAlign w:val="superscript"/>
        </w:rPr>
      </w:r>
      <w:r w:rsidRPr="00C92BCC">
        <w:rPr>
          <w:vertAlign w:val="superscript"/>
        </w:rPr>
        <w:fldChar w:fldCharType="separate"/>
      </w:r>
      <w:r w:rsidR="008D57E9">
        <w:rPr>
          <w:vertAlign w:val="superscript"/>
        </w:rPr>
        <w:t>1</w:t>
      </w:r>
      <w:r w:rsidRPr="00C92BCC">
        <w:rPr>
          <w:vertAlign w:val="superscript"/>
        </w:rPr>
        <w:fldChar w:fldCharType="end"/>
      </w:r>
    </w:p>
    <w:p w:rsidR="00102037" w:rsidRDefault="00102037" w:rsidP="00102037">
      <w:r>
        <w:t xml:space="preserve">As noted in </w:t>
      </w:r>
      <w:r w:rsidRPr="00584325">
        <w:t>the European Medicines Agency (EMA) final IBS guideline issued 25</w:t>
      </w:r>
      <w:r w:rsidR="001D6407">
        <w:t> </w:t>
      </w:r>
      <w:r w:rsidRPr="00584325">
        <w:t>September 2014</w:t>
      </w:r>
      <w:r w:rsidRPr="00584325">
        <w:rPr>
          <w:rStyle w:val="FootnoteReference"/>
        </w:rPr>
        <w:footnoteReference w:id="2"/>
      </w:r>
      <w:r w:rsidRPr="00584325">
        <w:t>, treatment options for IBS-d are limited, with current pharmacological therapies</w:t>
      </w:r>
      <w:r>
        <w:t xml:space="preserve"> aimed at treating the individual symptoms with the rationale of modulating intestinal motility, decreasing visceral sensitivity, or treating associated disorders, such as anxiety and/or depression. Pharmacological management of IBS worldwide includes antispasmodic agents, antidepressants including tricyclic antidepressants (TCAs) and selective serotonin reuptake inhibitors (SSRIs), and, in patients with IBS-d, anti</w:t>
      </w:r>
      <w:r w:rsidR="001D6407">
        <w:t>-</w:t>
      </w:r>
      <w:r>
        <w:t xml:space="preserve">motility agents for diarrhoea. </w:t>
      </w:r>
      <w:r w:rsidR="00E4543A">
        <w:t>However,</w:t>
      </w:r>
      <w:r>
        <w:t xml:space="preserve"> none of these agents treat all of the important symptoms of IBS-d and none are indicated specifically for IBS-d, and the strength of evidence supporting their use in this condition is variable. Currently, there are no approved IBS-d medicines in the European Union. The selective serotonin</w:t>
      </w:r>
      <w:r w:rsidR="001D6407">
        <w:t xml:space="preserve"> 3 receptor</w:t>
      </w:r>
      <w:r>
        <w:t xml:space="preserve"> </w:t>
      </w:r>
      <w:r w:rsidR="001D6407">
        <w:t>(</w:t>
      </w:r>
      <w:r>
        <w:t>5-HT3</w:t>
      </w:r>
      <w:r w:rsidR="001D6407">
        <w:t>)</w:t>
      </w:r>
      <w:r>
        <w:t xml:space="preserve"> antagonist alosetron is approved for the treatment of chronic IBS-d in the United States</w:t>
      </w:r>
      <w:r w:rsidR="00014C5E">
        <w:t xml:space="preserve"> (US)</w:t>
      </w:r>
      <w:r>
        <w:t>, but only for women with severe IBS-d and under restricted distribution due to safety concerns. Alosetron is associated with a high incidence rate of constipation (&gt; 20%) in IBS-d patients.</w:t>
      </w:r>
    </w:p>
    <w:p w:rsidR="00102037" w:rsidRDefault="00102037" w:rsidP="00102037">
      <w:r>
        <w:t>Loperamide, a peripherally restricted μ</w:t>
      </w:r>
      <w:r w:rsidR="001D6407">
        <w:t>-opioid receptor</w:t>
      </w:r>
      <w:r>
        <w:t xml:space="preserve"> </w:t>
      </w:r>
      <w:r w:rsidR="00A02404">
        <w:t xml:space="preserve">(MOR) </w:t>
      </w:r>
      <w:r>
        <w:t xml:space="preserve">agonist is approved in the European Union </w:t>
      </w:r>
      <w:r w:rsidR="00014C5E">
        <w:t xml:space="preserve">(EU) </w:t>
      </w:r>
      <w:r>
        <w:t xml:space="preserve">and the </w:t>
      </w:r>
      <w:r w:rsidR="00014C5E">
        <w:t xml:space="preserve">US </w:t>
      </w:r>
      <w:r>
        <w:t>as an antidiarrheal; however, it shows limited effectiveness in treating the abdominal pain and global symptoms of IBS-d.</w:t>
      </w:r>
      <w:r>
        <w:rPr>
          <w:rStyle w:val="FootnoteReference"/>
        </w:rPr>
        <w:footnoteReference w:id="3"/>
      </w:r>
      <w:r w:rsidR="001D6407">
        <w:rPr>
          <w:vertAlign w:val="superscript"/>
        </w:rPr>
        <w:t>,</w:t>
      </w:r>
      <w:r w:rsidR="001D6407">
        <w:rPr>
          <w:rStyle w:val="FootnoteReference"/>
        </w:rPr>
        <w:footnoteReference w:id="4"/>
      </w:r>
      <w:r w:rsidR="001D6407">
        <w:rPr>
          <w:vertAlign w:val="superscript"/>
        </w:rPr>
        <w:t>,</w:t>
      </w:r>
      <w:r w:rsidR="001D6407">
        <w:rPr>
          <w:rStyle w:val="FootnoteReference"/>
        </w:rPr>
        <w:footnoteReference w:id="5"/>
      </w:r>
      <w:r>
        <w:t xml:space="preserve"> Thus, there is a need for new agents with favourable safety and tolerability profiles that are effective in providing sustained relief at the same time for the variety of symptoms such as abdominal pain, abdominal discomfort, diarrhoea, abdominal bloating and bowel urgency associated with IBS-d.</w:t>
      </w:r>
    </w:p>
    <w:p w:rsidR="00102037" w:rsidRDefault="00102037" w:rsidP="00102037">
      <w:r>
        <w:t>The beneficial effects of eluxadoline in treating IBS-d arise via local action within the GI tract, where the extensive expression of opioid receptors plays a key role in regulating GI motility, secretion, and visceral sensation.</w:t>
      </w:r>
      <w:bookmarkStart w:id="16" w:name="_Ref510009264"/>
      <w:r>
        <w:rPr>
          <w:rStyle w:val="FootnoteReference"/>
        </w:rPr>
        <w:footnoteReference w:id="6"/>
      </w:r>
      <w:bookmarkEnd w:id="16"/>
      <w:r w:rsidR="00014C5E">
        <w:rPr>
          <w:vertAlign w:val="superscript"/>
        </w:rPr>
        <w:t>,</w:t>
      </w:r>
      <w:r w:rsidR="00014C5E">
        <w:rPr>
          <w:rStyle w:val="FootnoteReference"/>
        </w:rPr>
        <w:footnoteReference w:id="7"/>
      </w:r>
      <w:r w:rsidR="00014C5E">
        <w:rPr>
          <w:vertAlign w:val="superscript"/>
        </w:rPr>
        <w:t>,</w:t>
      </w:r>
      <w:r w:rsidR="00014C5E">
        <w:rPr>
          <w:rStyle w:val="FootnoteReference"/>
        </w:rPr>
        <w:footnoteReference w:id="8"/>
      </w:r>
      <w:r>
        <w:t xml:space="preserve"> Pharmacological agents with mixed </w:t>
      </w:r>
      <w:r w:rsidR="00A02404">
        <w:t>MOR</w:t>
      </w:r>
      <w:r>
        <w:t xml:space="preserve"> </w:t>
      </w:r>
      <w:r>
        <w:lastRenderedPageBreak/>
        <w:t>agonism/δ</w:t>
      </w:r>
      <w:r w:rsidR="00933F49">
        <w:t xml:space="preserve"> (delta) </w:t>
      </w:r>
      <w:r w:rsidR="00A02404">
        <w:t>opioid receptor (D</w:t>
      </w:r>
      <w:r>
        <w:t>OR</w:t>
      </w:r>
      <w:r w:rsidR="00A02404">
        <w:t>)</w:t>
      </w:r>
      <w:r>
        <w:t xml:space="preserve"> antagonism possess increased analgesic potency with different GI effects as compared to pure </w:t>
      </w:r>
      <w:r w:rsidR="00A02404">
        <w:t>M</w:t>
      </w:r>
      <w:r>
        <w:t>OR agonists.</w:t>
      </w:r>
      <w:r>
        <w:rPr>
          <w:rStyle w:val="FootnoteReference"/>
        </w:rPr>
        <w:footnoteReference w:id="9"/>
      </w:r>
      <w:r w:rsidR="00014C5E">
        <w:rPr>
          <w:vertAlign w:val="superscript"/>
        </w:rPr>
        <w:t>,</w:t>
      </w:r>
      <w:r w:rsidR="00014C5E">
        <w:rPr>
          <w:rStyle w:val="FootnoteReference"/>
        </w:rPr>
        <w:footnoteReference w:id="10"/>
      </w:r>
      <w:r>
        <w:t xml:space="preserve"> While centrally acting mixed </w:t>
      </w:r>
      <w:r w:rsidR="00A02404">
        <w:t>M</w:t>
      </w:r>
      <w:r>
        <w:t>OR agonist/</w:t>
      </w:r>
      <w:r w:rsidR="00A02404">
        <w:t>D</w:t>
      </w:r>
      <w:r>
        <w:t xml:space="preserve">OR antagonist compounds have been investigated for potential analgesic advantages over pure </w:t>
      </w:r>
      <w:r w:rsidR="00A02404">
        <w:t>M</w:t>
      </w:r>
      <w:r>
        <w:t>OR agonists, eluxadoline was developed specifically because of its very low oral bioavailability and its beneficial local GI effects. The low bioavailability of eluxadoline may reduce systemic side effects as well as the potential for abuse and dependence.</w:t>
      </w:r>
    </w:p>
    <w:p w:rsidR="00102037" w:rsidRDefault="00102037" w:rsidP="00102037">
      <w:r>
        <w:t>In vitro, eluxadoline reduces contractility of intestinal tissue and inhibits neurogenically mediated secretion. In vivo, eluxadoline reduces GI transit and faecal output in stressed and non-stressed mice over a wide dose-range without fully inhibiting GI transit.</w:t>
      </w:r>
    </w:p>
    <w:p w:rsidR="008E7846" w:rsidRPr="003F31A2" w:rsidRDefault="00386150" w:rsidP="008E7846">
      <w:pPr>
        <w:pStyle w:val="Heading3"/>
      </w:pPr>
      <w:bookmarkStart w:id="17" w:name="_Toc314842485"/>
      <w:bookmarkStart w:id="18" w:name="_Toc247691504"/>
      <w:bookmarkStart w:id="19" w:name="_Toc510009697"/>
      <w:r>
        <w:t>Regulatory s</w:t>
      </w:r>
      <w:r w:rsidR="008E7846">
        <w:t>tatus</w:t>
      </w:r>
      <w:bookmarkEnd w:id="17"/>
      <w:bookmarkEnd w:id="18"/>
      <w:bookmarkEnd w:id="19"/>
    </w:p>
    <w:p w:rsidR="005F1690" w:rsidRDefault="00940A89" w:rsidP="00290DA2">
      <w:bookmarkStart w:id="20" w:name="_Toc247691505"/>
      <w:bookmarkStart w:id="21" w:name="_Toc314842486"/>
      <w:r w:rsidRPr="00940A89">
        <w:t>Th</w:t>
      </w:r>
      <w:r w:rsidR="00290DA2">
        <w:t xml:space="preserve">is </w:t>
      </w:r>
      <w:r w:rsidR="001D5491">
        <w:t xml:space="preserve">is </w:t>
      </w:r>
      <w:r w:rsidR="00290DA2">
        <w:t>an application to register a new chemical entity in Australia.</w:t>
      </w:r>
    </w:p>
    <w:p w:rsidR="00290DA2" w:rsidRDefault="00290DA2" w:rsidP="00290DA2">
      <w:r>
        <w:t>This product was approved by the</w:t>
      </w:r>
      <w:r w:rsidR="006640CA">
        <w:t xml:space="preserve"> </w:t>
      </w:r>
      <w:r w:rsidR="00014C5E">
        <w:t>US</w:t>
      </w:r>
      <w:r w:rsidR="00F40682">
        <w:t xml:space="preserve"> Food and Drug Administration (</w:t>
      </w:r>
      <w:r>
        <w:t>FDA</w:t>
      </w:r>
      <w:r w:rsidR="00F40682">
        <w:t>)</w:t>
      </w:r>
      <w:r>
        <w:t xml:space="preserve"> on 27</w:t>
      </w:r>
      <w:r w:rsidR="00014C5E">
        <w:t> </w:t>
      </w:r>
      <w:r>
        <w:t>May</w:t>
      </w:r>
      <w:r w:rsidR="00014C5E">
        <w:t> </w:t>
      </w:r>
      <w:r>
        <w:t xml:space="preserve">2015.The approved indication in the US is </w:t>
      </w:r>
      <w:r w:rsidR="007066C7">
        <w:t>‘</w:t>
      </w:r>
      <w:r w:rsidR="00047FA2" w:rsidRPr="002B7188">
        <w:rPr>
          <w:i/>
        </w:rPr>
        <w:t>Viberzi</w:t>
      </w:r>
      <w:r w:rsidRPr="002B7188">
        <w:rPr>
          <w:i/>
        </w:rPr>
        <w:t xml:space="preserve"> is a mu-opioid receptor agonist, indicated in adults for the treatment of irritable bowel syndrome with diarrhoea (</w:t>
      </w:r>
      <w:r w:rsidR="00B05B61">
        <w:rPr>
          <w:i/>
        </w:rPr>
        <w:t>IBS-d</w:t>
      </w:r>
      <w:r w:rsidRPr="002B7188">
        <w:rPr>
          <w:i/>
        </w:rPr>
        <w:t>)</w:t>
      </w:r>
      <w:r w:rsidR="007066C7">
        <w:t>’</w:t>
      </w:r>
      <w:r>
        <w:t>.</w:t>
      </w:r>
    </w:p>
    <w:p w:rsidR="00290DA2" w:rsidRDefault="00290DA2" w:rsidP="001D5491">
      <w:r>
        <w:t>Similar application</w:t>
      </w:r>
      <w:r w:rsidR="001D5491">
        <w:t>s</w:t>
      </w:r>
      <w:r>
        <w:t xml:space="preserve"> have also been approved in the EU, Canada, Iceland and Norway (see Table 1</w:t>
      </w:r>
      <w:r w:rsidR="00014C5E">
        <w:t>, below</w:t>
      </w:r>
      <w:r>
        <w:t>).</w:t>
      </w:r>
    </w:p>
    <w:p w:rsidR="00290DA2" w:rsidRDefault="00290DA2" w:rsidP="001D5491">
      <w:pPr>
        <w:pStyle w:val="TableTitle"/>
      </w:pPr>
      <w:r>
        <w:t>Table 1: International regulatory status</w:t>
      </w:r>
    </w:p>
    <w:p w:rsidR="00290DA2" w:rsidRDefault="00290DA2" w:rsidP="00290DA2">
      <w:pPr>
        <w:pStyle w:val="ListBullet"/>
        <w:numPr>
          <w:ilvl w:val="0"/>
          <w:numId w:val="0"/>
        </w:numPr>
        <w:ind w:left="360" w:hanging="360"/>
      </w:pPr>
      <w:r>
        <w:rPr>
          <w:noProof/>
          <w:lang w:eastAsia="en-AU"/>
        </w:rPr>
        <w:drawing>
          <wp:inline distT="0" distB="0" distL="0" distR="0" wp14:anchorId="537FC34B" wp14:editId="6773F487">
            <wp:extent cx="4867422" cy="1526109"/>
            <wp:effectExtent l="0" t="0" r="0" b="0"/>
            <wp:docPr id="1" name="Picture 1"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t="7101"/>
                    <a:stretch/>
                  </pic:blipFill>
                  <pic:spPr bwMode="auto">
                    <a:xfrm>
                      <a:off x="0" y="0"/>
                      <a:ext cx="4883119" cy="1531031"/>
                    </a:xfrm>
                    <a:prstGeom prst="rect">
                      <a:avLst/>
                    </a:prstGeom>
                    <a:ln>
                      <a:noFill/>
                    </a:ln>
                    <a:extLst>
                      <a:ext uri="{53640926-AAD7-44D8-BBD7-CCE9431645EC}">
                        <a14:shadowObscured xmlns:a14="http://schemas.microsoft.com/office/drawing/2010/main"/>
                      </a:ext>
                    </a:extLst>
                  </pic:spPr>
                </pic:pic>
              </a:graphicData>
            </a:graphic>
          </wp:inline>
        </w:drawing>
      </w:r>
    </w:p>
    <w:p w:rsidR="00AC04B2" w:rsidRDefault="008E7846" w:rsidP="00AC04B2">
      <w:pPr>
        <w:pStyle w:val="Heading2"/>
      </w:pPr>
      <w:bookmarkStart w:id="22" w:name="_Toc247691506"/>
      <w:bookmarkStart w:id="23" w:name="_Toc314842487"/>
      <w:bookmarkStart w:id="24" w:name="_Toc510009699"/>
      <w:bookmarkEnd w:id="20"/>
      <w:bookmarkEnd w:id="21"/>
      <w:r>
        <w:lastRenderedPageBreak/>
        <w:t xml:space="preserve">II. </w:t>
      </w:r>
      <w:bookmarkStart w:id="25" w:name="_Toc507501096"/>
      <w:r w:rsidR="00AC04B2">
        <w:t>Registration timeline</w:t>
      </w:r>
      <w:bookmarkEnd w:id="25"/>
    </w:p>
    <w:p w:rsidR="00AC04B2" w:rsidRDefault="00AC04B2" w:rsidP="00AC04B2">
      <w:pPr>
        <w:pStyle w:val="Tabletitle0"/>
      </w:pPr>
      <w:r>
        <w:t>Table 2: Registration timeline for Submission PM-2016-0</w:t>
      </w:r>
      <w:r w:rsidR="00A235EC">
        <w:t>2313</w:t>
      </w:r>
      <w:r>
        <w:t>-1-1</w:t>
      </w:r>
    </w:p>
    <w:tbl>
      <w:tblPr>
        <w:tblStyle w:val="TableTGAblue"/>
        <w:tblW w:w="0" w:type="auto"/>
        <w:tblLook w:val="04A0" w:firstRow="1" w:lastRow="0" w:firstColumn="1" w:lastColumn="0" w:noHBand="0" w:noVBand="1"/>
        <w:tblDescription w:val="Table 2: Registration timeline for Submission PM-2016-02313-1-1"/>
      </w:tblPr>
      <w:tblGrid>
        <w:gridCol w:w="6204"/>
        <w:gridCol w:w="2516"/>
      </w:tblGrid>
      <w:tr w:rsidR="00AC04B2" w:rsidRPr="00C633D6" w:rsidTr="00AC04B2">
        <w:trPr>
          <w:cnfStyle w:val="100000000000" w:firstRow="1" w:lastRow="0" w:firstColumn="0" w:lastColumn="0" w:oddVBand="0" w:evenVBand="0" w:oddHBand="0" w:evenHBand="0" w:firstRowFirstColumn="0" w:firstRowLastColumn="0" w:lastRowFirstColumn="0" w:lastRowLastColumn="0"/>
        </w:trPr>
        <w:tc>
          <w:tcPr>
            <w:tcW w:w="6204" w:type="dxa"/>
          </w:tcPr>
          <w:p w:rsidR="00AC04B2" w:rsidRPr="00E74A4F" w:rsidRDefault="00AC04B2" w:rsidP="00AC04B2">
            <w:pPr>
              <w:rPr>
                <w:sz w:val="20"/>
                <w:szCs w:val="20"/>
              </w:rPr>
            </w:pPr>
            <w:r w:rsidRPr="00E74A4F">
              <w:rPr>
                <w:sz w:val="20"/>
                <w:szCs w:val="20"/>
              </w:rPr>
              <w:t>Description</w:t>
            </w:r>
          </w:p>
        </w:tc>
        <w:tc>
          <w:tcPr>
            <w:tcW w:w="2516" w:type="dxa"/>
          </w:tcPr>
          <w:p w:rsidR="00AC04B2" w:rsidRPr="00AC04B2" w:rsidRDefault="00AC04B2" w:rsidP="00AC04B2">
            <w:pPr>
              <w:rPr>
                <w:sz w:val="20"/>
                <w:szCs w:val="20"/>
              </w:rPr>
            </w:pPr>
            <w:r w:rsidRPr="00AC04B2">
              <w:rPr>
                <w:sz w:val="20"/>
                <w:szCs w:val="20"/>
              </w:rPr>
              <w:t>Date</w:t>
            </w:r>
          </w:p>
        </w:tc>
      </w:tr>
      <w:tr w:rsidR="00AC04B2" w:rsidRPr="008D5479" w:rsidTr="00AC04B2">
        <w:tc>
          <w:tcPr>
            <w:tcW w:w="6204" w:type="dxa"/>
          </w:tcPr>
          <w:p w:rsidR="00AC04B2" w:rsidRPr="00E74A4F" w:rsidRDefault="00AC04B2" w:rsidP="00AC04B2">
            <w:pPr>
              <w:keepNext/>
              <w:rPr>
                <w:sz w:val="20"/>
                <w:szCs w:val="20"/>
              </w:rPr>
            </w:pPr>
            <w:r w:rsidRPr="00E74A4F">
              <w:rPr>
                <w:sz w:val="20"/>
                <w:szCs w:val="20"/>
              </w:rPr>
              <w:t xml:space="preserve">Submission dossier accepted and </w:t>
            </w:r>
            <w:r w:rsidR="00032D0D">
              <w:rPr>
                <w:sz w:val="20"/>
                <w:szCs w:val="20"/>
              </w:rPr>
              <w:t>First</w:t>
            </w:r>
            <w:r w:rsidRPr="00E74A4F">
              <w:rPr>
                <w:sz w:val="20"/>
                <w:szCs w:val="20"/>
              </w:rPr>
              <w:t xml:space="preserve"> round evaluation commenced</w:t>
            </w:r>
          </w:p>
        </w:tc>
        <w:tc>
          <w:tcPr>
            <w:tcW w:w="2516" w:type="dxa"/>
          </w:tcPr>
          <w:p w:rsidR="00AC04B2" w:rsidRPr="00AC04B2" w:rsidRDefault="00EC6D4A" w:rsidP="00AC04B2">
            <w:pPr>
              <w:keepNext/>
              <w:rPr>
                <w:color w:val="auto"/>
                <w:sz w:val="20"/>
                <w:szCs w:val="20"/>
              </w:rPr>
            </w:pPr>
            <w:r>
              <w:rPr>
                <w:color w:val="auto"/>
                <w:sz w:val="20"/>
                <w:szCs w:val="20"/>
              </w:rPr>
              <w:t>30 September 2016</w:t>
            </w:r>
          </w:p>
        </w:tc>
      </w:tr>
      <w:tr w:rsidR="00AC04B2" w:rsidRPr="008D5479" w:rsidTr="00AC04B2">
        <w:tc>
          <w:tcPr>
            <w:tcW w:w="6204" w:type="dxa"/>
          </w:tcPr>
          <w:p w:rsidR="00AC04B2" w:rsidRPr="00E74A4F" w:rsidRDefault="00032D0D" w:rsidP="00AC04B2">
            <w:pPr>
              <w:keepNext/>
              <w:rPr>
                <w:sz w:val="20"/>
                <w:szCs w:val="20"/>
              </w:rPr>
            </w:pPr>
            <w:r>
              <w:rPr>
                <w:sz w:val="20"/>
                <w:szCs w:val="20"/>
              </w:rPr>
              <w:t>First</w:t>
            </w:r>
            <w:r w:rsidR="00AC04B2" w:rsidRPr="00E74A4F">
              <w:rPr>
                <w:sz w:val="20"/>
                <w:szCs w:val="20"/>
              </w:rPr>
              <w:t xml:space="preserve"> round evaluation completed</w:t>
            </w:r>
          </w:p>
        </w:tc>
        <w:tc>
          <w:tcPr>
            <w:tcW w:w="2516" w:type="dxa"/>
          </w:tcPr>
          <w:p w:rsidR="00AC04B2" w:rsidRPr="00AC04B2" w:rsidRDefault="00B44C9E" w:rsidP="00AC04B2">
            <w:pPr>
              <w:keepNext/>
              <w:rPr>
                <w:color w:val="auto"/>
                <w:sz w:val="20"/>
                <w:szCs w:val="20"/>
              </w:rPr>
            </w:pPr>
            <w:r>
              <w:rPr>
                <w:color w:val="auto"/>
                <w:sz w:val="20"/>
                <w:szCs w:val="20"/>
              </w:rPr>
              <w:t>7 March 2017</w:t>
            </w:r>
          </w:p>
        </w:tc>
      </w:tr>
      <w:tr w:rsidR="00AC04B2" w:rsidRPr="00F0799B" w:rsidTr="00AC04B2">
        <w:tc>
          <w:tcPr>
            <w:tcW w:w="6204" w:type="dxa"/>
          </w:tcPr>
          <w:p w:rsidR="00AC04B2" w:rsidRPr="00E74A4F" w:rsidRDefault="00AC04B2" w:rsidP="00AC04B2">
            <w:pPr>
              <w:keepNext/>
              <w:rPr>
                <w:sz w:val="20"/>
                <w:szCs w:val="20"/>
              </w:rPr>
            </w:pPr>
            <w:r w:rsidRPr="00E74A4F">
              <w:rPr>
                <w:sz w:val="20"/>
                <w:szCs w:val="20"/>
              </w:rPr>
              <w:t xml:space="preserve">Sponsor provides responses on questions raised in </w:t>
            </w:r>
            <w:r w:rsidR="00125E65">
              <w:rPr>
                <w:sz w:val="20"/>
                <w:szCs w:val="20"/>
              </w:rPr>
              <w:t>First</w:t>
            </w:r>
            <w:r w:rsidRPr="00E74A4F">
              <w:rPr>
                <w:sz w:val="20"/>
                <w:szCs w:val="20"/>
              </w:rPr>
              <w:t xml:space="preserve"> round evaluation</w:t>
            </w:r>
          </w:p>
        </w:tc>
        <w:tc>
          <w:tcPr>
            <w:tcW w:w="2516" w:type="dxa"/>
          </w:tcPr>
          <w:p w:rsidR="00AC04B2" w:rsidRPr="00AC04B2" w:rsidRDefault="00F40682" w:rsidP="00AC04B2">
            <w:pPr>
              <w:keepNext/>
              <w:rPr>
                <w:color w:val="auto"/>
                <w:sz w:val="20"/>
                <w:szCs w:val="20"/>
              </w:rPr>
            </w:pPr>
            <w:r>
              <w:rPr>
                <w:color w:val="auto"/>
                <w:sz w:val="20"/>
                <w:szCs w:val="20"/>
              </w:rPr>
              <w:t xml:space="preserve">4 </w:t>
            </w:r>
            <w:r w:rsidR="006570AF">
              <w:rPr>
                <w:color w:val="auto"/>
                <w:sz w:val="20"/>
                <w:szCs w:val="20"/>
              </w:rPr>
              <w:t>May 2017</w:t>
            </w:r>
          </w:p>
        </w:tc>
      </w:tr>
      <w:tr w:rsidR="00AC04B2" w:rsidRPr="00F0799B" w:rsidTr="00AC04B2">
        <w:tc>
          <w:tcPr>
            <w:tcW w:w="6204" w:type="dxa"/>
          </w:tcPr>
          <w:p w:rsidR="00AC04B2" w:rsidRPr="00E74A4F" w:rsidRDefault="00032D0D" w:rsidP="00AC04B2">
            <w:pPr>
              <w:keepNext/>
              <w:rPr>
                <w:sz w:val="20"/>
                <w:szCs w:val="20"/>
              </w:rPr>
            </w:pPr>
            <w:r>
              <w:rPr>
                <w:sz w:val="20"/>
                <w:szCs w:val="20"/>
              </w:rPr>
              <w:t>Second</w:t>
            </w:r>
            <w:r w:rsidR="00AC04B2" w:rsidRPr="00E74A4F">
              <w:rPr>
                <w:sz w:val="20"/>
                <w:szCs w:val="20"/>
              </w:rPr>
              <w:t xml:space="preserve"> round evaluation completed</w:t>
            </w:r>
          </w:p>
        </w:tc>
        <w:tc>
          <w:tcPr>
            <w:tcW w:w="2516" w:type="dxa"/>
          </w:tcPr>
          <w:p w:rsidR="00AC04B2" w:rsidRPr="00AC04B2" w:rsidRDefault="00467E7D" w:rsidP="00AC04B2">
            <w:pPr>
              <w:keepNext/>
              <w:rPr>
                <w:color w:val="auto"/>
                <w:sz w:val="20"/>
                <w:szCs w:val="20"/>
              </w:rPr>
            </w:pPr>
            <w:r>
              <w:rPr>
                <w:color w:val="auto"/>
                <w:sz w:val="20"/>
                <w:szCs w:val="20"/>
              </w:rPr>
              <w:t>10 July</w:t>
            </w:r>
            <w:r w:rsidR="00B44C9E">
              <w:rPr>
                <w:color w:val="auto"/>
                <w:sz w:val="20"/>
                <w:szCs w:val="20"/>
              </w:rPr>
              <w:t xml:space="preserve"> 2017</w:t>
            </w:r>
          </w:p>
        </w:tc>
      </w:tr>
      <w:tr w:rsidR="00AC04B2" w:rsidRPr="00F0799B" w:rsidTr="00AC04B2">
        <w:tc>
          <w:tcPr>
            <w:tcW w:w="6204" w:type="dxa"/>
          </w:tcPr>
          <w:p w:rsidR="00AC04B2" w:rsidRPr="00E74A4F" w:rsidRDefault="00AC04B2" w:rsidP="00AC04B2">
            <w:pPr>
              <w:keepNext/>
              <w:rPr>
                <w:sz w:val="20"/>
                <w:szCs w:val="20"/>
              </w:rPr>
            </w:pPr>
            <w:r w:rsidRPr="00E74A4F">
              <w:rPr>
                <w:sz w:val="20"/>
                <w:szCs w:val="20"/>
              </w:rPr>
              <w:t>Request for Advisory Committee advice and/or Delegate’s Overview</w:t>
            </w:r>
          </w:p>
        </w:tc>
        <w:tc>
          <w:tcPr>
            <w:tcW w:w="2516" w:type="dxa"/>
          </w:tcPr>
          <w:p w:rsidR="00AC04B2" w:rsidRPr="00AC04B2" w:rsidRDefault="00EC6D4A" w:rsidP="00AC04B2">
            <w:pPr>
              <w:keepNext/>
              <w:rPr>
                <w:color w:val="auto"/>
                <w:sz w:val="20"/>
                <w:szCs w:val="20"/>
              </w:rPr>
            </w:pPr>
            <w:r>
              <w:rPr>
                <w:color w:val="auto"/>
                <w:sz w:val="20"/>
                <w:szCs w:val="20"/>
              </w:rPr>
              <w:t xml:space="preserve">4 September 2017 </w:t>
            </w:r>
          </w:p>
        </w:tc>
      </w:tr>
      <w:tr w:rsidR="00AC04B2" w:rsidRPr="00F0799B" w:rsidTr="00AC04B2">
        <w:tc>
          <w:tcPr>
            <w:tcW w:w="6204" w:type="dxa"/>
          </w:tcPr>
          <w:p w:rsidR="00AC04B2" w:rsidRPr="00E74A4F" w:rsidRDefault="00AC04B2" w:rsidP="00AC04B2">
            <w:pPr>
              <w:keepNext/>
              <w:rPr>
                <w:sz w:val="20"/>
                <w:szCs w:val="20"/>
              </w:rPr>
            </w:pPr>
            <w:r w:rsidRPr="00E74A4F">
              <w:rPr>
                <w:sz w:val="20"/>
                <w:szCs w:val="20"/>
              </w:rPr>
              <w:t>Sponsor’s response to Delegate’s Overview</w:t>
            </w:r>
          </w:p>
        </w:tc>
        <w:tc>
          <w:tcPr>
            <w:tcW w:w="2516" w:type="dxa"/>
          </w:tcPr>
          <w:p w:rsidR="00AC04B2" w:rsidRPr="00AC04B2" w:rsidRDefault="00EC6D4A" w:rsidP="00AC04B2">
            <w:pPr>
              <w:keepNext/>
              <w:rPr>
                <w:color w:val="auto"/>
                <w:sz w:val="20"/>
                <w:szCs w:val="20"/>
              </w:rPr>
            </w:pPr>
            <w:r>
              <w:rPr>
                <w:color w:val="auto"/>
                <w:sz w:val="20"/>
                <w:szCs w:val="20"/>
              </w:rPr>
              <w:t>19 September 2017</w:t>
            </w:r>
          </w:p>
        </w:tc>
      </w:tr>
      <w:tr w:rsidR="00AC04B2" w:rsidRPr="00F0799B" w:rsidTr="00AC04B2">
        <w:trPr>
          <w:trHeight w:val="618"/>
        </w:trPr>
        <w:tc>
          <w:tcPr>
            <w:tcW w:w="6204" w:type="dxa"/>
          </w:tcPr>
          <w:p w:rsidR="00AC04B2" w:rsidRPr="00E74A4F" w:rsidRDefault="00AC04B2" w:rsidP="00AC04B2">
            <w:pPr>
              <w:keepNext/>
              <w:rPr>
                <w:sz w:val="20"/>
                <w:szCs w:val="20"/>
              </w:rPr>
            </w:pPr>
            <w:r w:rsidRPr="00E74A4F">
              <w:rPr>
                <w:sz w:val="20"/>
                <w:szCs w:val="20"/>
              </w:rPr>
              <w:t>Advisory Committee meeting</w:t>
            </w:r>
          </w:p>
        </w:tc>
        <w:tc>
          <w:tcPr>
            <w:tcW w:w="2516" w:type="dxa"/>
          </w:tcPr>
          <w:p w:rsidR="00AC04B2" w:rsidRPr="00AC04B2" w:rsidRDefault="00EC6D4A" w:rsidP="00AC04B2">
            <w:pPr>
              <w:keepNext/>
              <w:rPr>
                <w:color w:val="auto"/>
                <w:sz w:val="20"/>
                <w:szCs w:val="20"/>
              </w:rPr>
            </w:pPr>
            <w:r>
              <w:rPr>
                <w:color w:val="auto"/>
                <w:sz w:val="20"/>
                <w:szCs w:val="20"/>
              </w:rPr>
              <w:t>5-6 October 2017</w:t>
            </w:r>
          </w:p>
        </w:tc>
      </w:tr>
      <w:tr w:rsidR="00AC04B2" w:rsidRPr="00F0799B" w:rsidTr="00AC04B2">
        <w:tc>
          <w:tcPr>
            <w:tcW w:w="6204" w:type="dxa"/>
          </w:tcPr>
          <w:p w:rsidR="00AC04B2" w:rsidRPr="00E74A4F" w:rsidRDefault="00AC04B2" w:rsidP="00AC04B2">
            <w:pPr>
              <w:keepNext/>
              <w:rPr>
                <w:sz w:val="20"/>
                <w:szCs w:val="20"/>
              </w:rPr>
            </w:pPr>
            <w:r>
              <w:rPr>
                <w:sz w:val="20"/>
                <w:szCs w:val="20"/>
              </w:rPr>
              <w:t xml:space="preserve">Date of </w:t>
            </w:r>
            <w:r w:rsidR="001528E5">
              <w:rPr>
                <w:sz w:val="20"/>
                <w:szCs w:val="20"/>
              </w:rPr>
              <w:t xml:space="preserve">application </w:t>
            </w:r>
            <w:r>
              <w:rPr>
                <w:sz w:val="20"/>
                <w:szCs w:val="20"/>
              </w:rPr>
              <w:t>withdrawal</w:t>
            </w:r>
          </w:p>
        </w:tc>
        <w:tc>
          <w:tcPr>
            <w:tcW w:w="2516" w:type="dxa"/>
          </w:tcPr>
          <w:p w:rsidR="00AC04B2" w:rsidRPr="00AC04B2" w:rsidRDefault="00AC04B2" w:rsidP="00AC04B2">
            <w:pPr>
              <w:rPr>
                <w:sz w:val="20"/>
                <w:szCs w:val="20"/>
              </w:rPr>
            </w:pPr>
            <w:r w:rsidRPr="00AC04B2">
              <w:rPr>
                <w:sz w:val="20"/>
                <w:szCs w:val="20"/>
              </w:rPr>
              <w:t>24 November 2017</w:t>
            </w:r>
          </w:p>
        </w:tc>
      </w:tr>
      <w:tr w:rsidR="00AC04B2" w:rsidRPr="00F0799B" w:rsidTr="00AC04B2">
        <w:tc>
          <w:tcPr>
            <w:tcW w:w="6204" w:type="dxa"/>
          </w:tcPr>
          <w:p w:rsidR="00AC04B2" w:rsidRPr="00E74A4F" w:rsidRDefault="00AC04B2" w:rsidP="00AC04B2">
            <w:pPr>
              <w:keepNext/>
              <w:rPr>
                <w:sz w:val="20"/>
                <w:szCs w:val="20"/>
              </w:rPr>
            </w:pPr>
            <w:r w:rsidRPr="00E74A4F">
              <w:rPr>
                <w:sz w:val="20"/>
                <w:szCs w:val="20"/>
              </w:rPr>
              <w:t>Entry onto ARTG</w:t>
            </w:r>
          </w:p>
        </w:tc>
        <w:tc>
          <w:tcPr>
            <w:tcW w:w="2516" w:type="dxa"/>
          </w:tcPr>
          <w:p w:rsidR="00AC04B2" w:rsidRPr="00AC04B2" w:rsidRDefault="00AC04B2" w:rsidP="00AC04B2">
            <w:pPr>
              <w:rPr>
                <w:sz w:val="20"/>
                <w:szCs w:val="20"/>
              </w:rPr>
            </w:pPr>
            <w:r w:rsidRPr="00AC04B2">
              <w:rPr>
                <w:sz w:val="20"/>
                <w:szCs w:val="20"/>
              </w:rPr>
              <w:t>Not applicable</w:t>
            </w:r>
          </w:p>
        </w:tc>
      </w:tr>
      <w:tr w:rsidR="00AC04B2" w:rsidRPr="008D5479" w:rsidTr="00AC04B2">
        <w:tc>
          <w:tcPr>
            <w:tcW w:w="6204" w:type="dxa"/>
          </w:tcPr>
          <w:p w:rsidR="00AC04B2" w:rsidRPr="002A6578" w:rsidRDefault="00AC04B2" w:rsidP="00AC04B2">
            <w:pPr>
              <w:keepNext/>
              <w:rPr>
                <w:sz w:val="20"/>
                <w:szCs w:val="20"/>
              </w:rPr>
            </w:pPr>
            <w:r w:rsidRPr="002A6578">
              <w:rPr>
                <w:sz w:val="20"/>
                <w:szCs w:val="20"/>
              </w:rPr>
              <w:t xml:space="preserve">Number of TGA working days from </w:t>
            </w:r>
            <w:r>
              <w:rPr>
                <w:sz w:val="20"/>
                <w:szCs w:val="20"/>
              </w:rPr>
              <w:t xml:space="preserve">commencement of </w:t>
            </w:r>
            <w:r w:rsidR="00E4543A">
              <w:rPr>
                <w:sz w:val="20"/>
                <w:szCs w:val="20"/>
              </w:rPr>
              <w:t xml:space="preserve">evaluation </w:t>
            </w:r>
            <w:r w:rsidR="00E4543A" w:rsidRPr="002A6578">
              <w:rPr>
                <w:sz w:val="20"/>
                <w:szCs w:val="20"/>
              </w:rPr>
              <w:t>to</w:t>
            </w:r>
            <w:r w:rsidRPr="002A6578">
              <w:rPr>
                <w:sz w:val="20"/>
                <w:szCs w:val="20"/>
              </w:rPr>
              <w:t xml:space="preserve"> registration decision*</w:t>
            </w:r>
          </w:p>
        </w:tc>
        <w:tc>
          <w:tcPr>
            <w:tcW w:w="2516" w:type="dxa"/>
          </w:tcPr>
          <w:p w:rsidR="00AC04B2" w:rsidRPr="00AC04B2" w:rsidRDefault="00B44C9E" w:rsidP="00AC04B2">
            <w:pPr>
              <w:keepNext/>
              <w:rPr>
                <w:color w:val="auto"/>
                <w:sz w:val="20"/>
                <w:szCs w:val="20"/>
              </w:rPr>
            </w:pPr>
            <w:r>
              <w:rPr>
                <w:color w:val="auto"/>
                <w:sz w:val="20"/>
                <w:szCs w:val="20"/>
              </w:rPr>
              <w:t>213</w:t>
            </w:r>
          </w:p>
        </w:tc>
      </w:tr>
    </w:tbl>
    <w:p w:rsidR="00AC04B2" w:rsidRPr="008D5479" w:rsidRDefault="00AC04B2" w:rsidP="00AC04B2">
      <w:pPr>
        <w:pStyle w:val="TableDescription"/>
        <w:keepNext/>
      </w:pPr>
      <w:r>
        <w:t>* Statutory timeframe: 255 working days.</w:t>
      </w:r>
    </w:p>
    <w:p w:rsidR="008E7846" w:rsidRPr="003602A9" w:rsidRDefault="00AC04B2" w:rsidP="008E7846">
      <w:pPr>
        <w:pStyle w:val="Heading2"/>
        <w:ind w:left="-11"/>
      </w:pPr>
      <w:r>
        <w:t xml:space="preserve">III. </w:t>
      </w:r>
      <w:r w:rsidR="008E7846">
        <w:t>Quality</w:t>
      </w:r>
      <w:bookmarkEnd w:id="1"/>
      <w:r w:rsidR="008E7846">
        <w:t xml:space="preserve"> findings</w:t>
      </w:r>
      <w:bookmarkEnd w:id="22"/>
      <w:bookmarkEnd w:id="23"/>
      <w:bookmarkEnd w:id="24"/>
    </w:p>
    <w:p w:rsidR="00940A89" w:rsidRDefault="00940A89" w:rsidP="00940A89">
      <w:pPr>
        <w:pStyle w:val="Heading3"/>
      </w:pPr>
      <w:bookmarkStart w:id="26" w:name="_Toc510009700"/>
      <w:bookmarkStart w:id="27" w:name="_Toc247691507"/>
      <w:bookmarkStart w:id="28" w:name="_Toc314842488"/>
      <w:r w:rsidRPr="00940A89">
        <w:t>Introduction</w:t>
      </w:r>
      <w:bookmarkEnd w:id="26"/>
    </w:p>
    <w:p w:rsidR="005F1690" w:rsidRDefault="00A146D6" w:rsidP="00A146D6">
      <w:r>
        <w:t xml:space="preserve">In the present submission, </w:t>
      </w:r>
      <w:r w:rsidR="00591078">
        <w:t xml:space="preserve">the sponsor </w:t>
      </w:r>
      <w:r>
        <w:t xml:space="preserve">seeks to register immediate release film coated tablets containing </w:t>
      </w:r>
      <w:r w:rsidR="00933F49">
        <w:t xml:space="preserve">eluxadoline </w:t>
      </w:r>
      <w:r>
        <w:t xml:space="preserve">75 mg and 100 mg under the trade name </w:t>
      </w:r>
      <w:r w:rsidR="00047FA2">
        <w:t>Viberzi</w:t>
      </w:r>
      <w:r>
        <w:t xml:space="preserve"> to be administered </w:t>
      </w:r>
      <w:r w:rsidR="002B7188">
        <w:t>twice a day (bd)</w:t>
      </w:r>
      <w:r>
        <w:t xml:space="preserve"> with food at a recommended maximum daily dose of 200</w:t>
      </w:r>
      <w:r w:rsidR="00125E65">
        <w:t> </w:t>
      </w:r>
      <w:r>
        <w:t>mg.</w:t>
      </w:r>
    </w:p>
    <w:p w:rsidR="00A146D6" w:rsidRPr="00A146D6" w:rsidRDefault="00A146D6" w:rsidP="00A146D6">
      <w:r>
        <w:t xml:space="preserve">The trade name </w:t>
      </w:r>
      <w:proofErr w:type="spellStart"/>
      <w:r w:rsidR="00047FA2">
        <w:t>Viberzi</w:t>
      </w:r>
      <w:proofErr w:type="spellEnd"/>
      <w:r>
        <w:t xml:space="preserve"> has been accepted by the Delegate.</w:t>
      </w:r>
    </w:p>
    <w:p w:rsidR="008E7846" w:rsidRDefault="008E7846" w:rsidP="00940A89">
      <w:pPr>
        <w:pStyle w:val="Heading3"/>
      </w:pPr>
      <w:bookmarkStart w:id="29" w:name="_Toc510009701"/>
      <w:r w:rsidRPr="008751DC">
        <w:t xml:space="preserve">Drug </w:t>
      </w:r>
      <w:r>
        <w:t>s</w:t>
      </w:r>
      <w:r w:rsidRPr="008751DC">
        <w:t>ubstance</w:t>
      </w:r>
      <w:r>
        <w:t xml:space="preserve"> (active ingredient)</w:t>
      </w:r>
      <w:bookmarkEnd w:id="27"/>
      <w:bookmarkEnd w:id="28"/>
      <w:bookmarkEnd w:id="29"/>
    </w:p>
    <w:p w:rsidR="00A146D6" w:rsidRDefault="00A146D6" w:rsidP="00A146D6">
      <w:r>
        <w:t xml:space="preserve">Eluxadoline or </w:t>
      </w:r>
      <w:r w:rsidR="00C9570E" w:rsidRPr="00C9570E">
        <w:rPr>
          <w:lang w:val="en-US"/>
        </w:rPr>
        <w:t>5-[[[(2S)-2-amino-3-[4-(aminocarbonyl)-2,6-dimethylphenyl]-1-oxopropyl][(1S)-1-(4-phenyl-1H-imidazol-2-yl)ethyl]amino]methyl]-2-methoxybenzoic acid</w:t>
      </w:r>
      <w:r w:rsidR="00C9570E" w:rsidRPr="00C9570E" w:rsidDel="00C9570E">
        <w:t xml:space="preserve"> </w:t>
      </w:r>
      <w:r>
        <w:t>The absolute configuration of eluxadoline was confirmed by chemical synthesis of all 4 of the possible configurational isomers of the substance, starting with each configuration of the starting materials</w:t>
      </w:r>
      <w:r w:rsidR="00125E65">
        <w:t xml:space="preserve">. </w:t>
      </w:r>
      <w:r>
        <w:t>The chiral purity is controlled</w:t>
      </w:r>
      <w:r w:rsidR="003D659A">
        <w:t>.</w:t>
      </w:r>
    </w:p>
    <w:p w:rsidR="00A146D6" w:rsidRDefault="00A146D6" w:rsidP="00A146D6">
      <w:r>
        <w:t>The drug substance is manu</w:t>
      </w:r>
      <w:r w:rsidR="0071098C">
        <w:t>factured in a 5-step synthesis.</w:t>
      </w:r>
    </w:p>
    <w:p w:rsidR="00717A4B" w:rsidRDefault="00717A4B" w:rsidP="00717A4B">
      <w:r>
        <w:lastRenderedPageBreak/>
        <w:t xml:space="preserve">Eluxadoline exhibits stereoisomerism due to the presence of </w:t>
      </w:r>
      <w:r w:rsidR="00125E65">
        <w:t>2</w:t>
      </w:r>
      <w:r>
        <w:t xml:space="preserve"> chiral centres possessing S</w:t>
      </w:r>
      <w:proofErr w:type="gramStart"/>
      <w:r>
        <w:t>,S</w:t>
      </w:r>
      <w:proofErr w:type="gramEnd"/>
      <w:r>
        <w:t xml:space="preserve"> configuration. Enantiomeric purity is controlled routinely by chiral HPLC.</w:t>
      </w:r>
    </w:p>
    <w:p w:rsidR="00717A4B" w:rsidRDefault="00717A4B" w:rsidP="00717A4B">
      <w:r>
        <w:t>Polymorphism has been observed for the active substance. Polymorph screening studies determined that Form I is the only non-solvated, crystalline form of the active substance. Form I converts to the tri-hydrate at higher humidity. The hydrated form re-converts to Form I as it loses water. No other anhydrous form has been identified.</w:t>
      </w:r>
    </w:p>
    <w:p w:rsidR="00A146D6" w:rsidRDefault="0071098C" w:rsidP="00A146D6">
      <w:r>
        <w:t>E</w:t>
      </w:r>
      <w:r w:rsidR="00A146D6">
        <w:t xml:space="preserve">luxadoline is likely to be </w:t>
      </w:r>
      <w:r w:rsidRPr="0071098C">
        <w:t xml:space="preserve">Biopharmaceutics Classification System </w:t>
      </w:r>
      <w:r>
        <w:t>(</w:t>
      </w:r>
      <w:r w:rsidR="00A146D6">
        <w:t>BCS</w:t>
      </w:r>
      <w:r>
        <w:t>)</w:t>
      </w:r>
      <w:r w:rsidR="00A146D6">
        <w:t xml:space="preserve"> Class </w:t>
      </w:r>
      <w:r w:rsidR="00125E65">
        <w:t>III</w:t>
      </w:r>
      <w:r w:rsidR="00A146D6">
        <w:t>, (</w:t>
      </w:r>
      <w:r w:rsidR="00D5695B">
        <w:t>that is,</w:t>
      </w:r>
      <w:r w:rsidR="00A146D6">
        <w:t xml:space="preserve"> high solubility, low permeability), </w:t>
      </w:r>
      <w:r w:rsidR="00662E29">
        <w:t>as defined in US FDA Guidelines</w:t>
      </w:r>
      <w:r w:rsidR="00A146D6">
        <w:t>.</w:t>
      </w:r>
    </w:p>
    <w:p w:rsidR="005F1690" w:rsidRDefault="00A146D6" w:rsidP="00A146D6">
      <w:r>
        <w:t xml:space="preserve">Because eluxadoline is a BCS Class </w:t>
      </w:r>
      <w:r w:rsidR="00125E65">
        <w:t>III</w:t>
      </w:r>
      <w:r>
        <w:t xml:space="preserve"> drug substance and is soluble in 0.1 N HCl, its particle size distribution was expected to have minimal clinical significance or impact on the dissolution and/or disintegration rates of the finished products.</w:t>
      </w:r>
    </w:p>
    <w:p w:rsidR="00A146D6" w:rsidRDefault="00A146D6" w:rsidP="00A146D6">
      <w:r>
        <w:t>Only one potential impurity is c</w:t>
      </w:r>
      <w:r w:rsidR="00D5695B">
        <w:t>ontrolled in the drug substance</w:t>
      </w:r>
      <w:r w:rsidR="007A0E9D">
        <w:t>.</w:t>
      </w:r>
      <w:r>
        <w:t xml:space="preserve"> The revised limit has been accepted on the advice of </w:t>
      </w:r>
      <w:r w:rsidR="0046342F">
        <w:t>the TGA’s nonclinical section</w:t>
      </w:r>
      <w:r>
        <w:t>.</w:t>
      </w:r>
    </w:p>
    <w:p w:rsidR="00A146D6" w:rsidRDefault="00AC7E13" w:rsidP="00A146D6">
      <w:r>
        <w:t>T</w:t>
      </w:r>
      <w:r w:rsidR="00A146D6">
        <w:t>he chiral integrity of the drug substance is assured by the route of synthesis</w:t>
      </w:r>
      <w:r>
        <w:t>.</w:t>
      </w:r>
    </w:p>
    <w:p w:rsidR="008E7846" w:rsidRDefault="00A146D6" w:rsidP="00A146D6">
      <w:r>
        <w:t xml:space="preserve">A number of issues relating to the quality control of the eluxadoline drug substance were raised with the applicant; all </w:t>
      </w:r>
      <w:r w:rsidR="0046342F">
        <w:t xml:space="preserve">of which </w:t>
      </w:r>
      <w:r>
        <w:t>have been resolved.</w:t>
      </w:r>
    </w:p>
    <w:p w:rsidR="008E7846" w:rsidRDefault="008E7846" w:rsidP="008E7846">
      <w:pPr>
        <w:pStyle w:val="Heading3"/>
      </w:pPr>
      <w:bookmarkStart w:id="30" w:name="_Toc247691508"/>
      <w:bookmarkStart w:id="31" w:name="_Toc314842490"/>
      <w:bookmarkStart w:id="32" w:name="_Toc510009702"/>
      <w:r w:rsidRPr="008751DC">
        <w:t xml:space="preserve">Drug </w:t>
      </w:r>
      <w:r>
        <w:t>p</w:t>
      </w:r>
      <w:r w:rsidRPr="008751DC">
        <w:t>roduct</w:t>
      </w:r>
      <w:bookmarkEnd w:id="30"/>
      <w:bookmarkEnd w:id="31"/>
      <w:bookmarkEnd w:id="32"/>
    </w:p>
    <w:p w:rsidR="00A146D6" w:rsidRDefault="00A146D6" w:rsidP="00A146D6">
      <w:r>
        <w:t>Both strength tablets are capsule shaped film-coated tablets. The 75 mg tablets are pale</w:t>
      </w:r>
      <w:r w:rsidR="00125E65">
        <w:t xml:space="preserve"> </w:t>
      </w:r>
      <w:r>
        <w:t xml:space="preserve">yellow to light tan in colour and are debossed with </w:t>
      </w:r>
      <w:r w:rsidR="007066C7">
        <w:t>‘</w:t>
      </w:r>
      <w:r>
        <w:t>FX75</w:t>
      </w:r>
      <w:r w:rsidR="007066C7">
        <w:t>’</w:t>
      </w:r>
      <w:r>
        <w:t xml:space="preserve"> on one side, whilst the 100 mg tablets are pink-orange to peach in colour and are debossed with </w:t>
      </w:r>
      <w:r w:rsidR="007066C7">
        <w:t>‘</w:t>
      </w:r>
      <w:r>
        <w:t>FX100</w:t>
      </w:r>
      <w:r w:rsidR="007066C7">
        <w:t>’</w:t>
      </w:r>
      <w:r>
        <w:t xml:space="preserve"> on one side. These will be packaged in </w:t>
      </w:r>
      <w:r w:rsidR="0071098C">
        <w:t>plastic</w:t>
      </w:r>
      <w:r>
        <w:t xml:space="preserve"> bottles with polypropylene child-resistant caps (packs of 60 tablets) and in aluminium blisters (packs of 28, 56 and 168 tablets, and a starter pack of 8 tablets).</w:t>
      </w:r>
    </w:p>
    <w:p w:rsidR="00A146D6" w:rsidRDefault="00A146D6" w:rsidP="00A146D6">
      <w:r>
        <w:t>Since eluxadoline is intended to be a locally acting drug that exerts its intended effect in the GI tract, formulation development concentrated on creating a tablet formulation that dissolved both rapidly and completely.</w:t>
      </w:r>
    </w:p>
    <w:p w:rsidR="00A146D6" w:rsidRDefault="0071098C" w:rsidP="00A146D6">
      <w:r>
        <w:t>T</w:t>
      </w:r>
      <w:r w:rsidR="00A146D6">
        <w:t xml:space="preserve">he </w:t>
      </w:r>
      <w:r>
        <w:t xml:space="preserve">suitability of </w:t>
      </w:r>
      <w:r w:rsidR="005543B6">
        <w:t xml:space="preserve">the </w:t>
      </w:r>
      <w:r w:rsidR="00A146D6">
        <w:t>proposed dose-propo</w:t>
      </w:r>
      <w:r w:rsidR="005543B6">
        <w:t xml:space="preserve">rtional commercial formulation </w:t>
      </w:r>
      <w:r w:rsidR="00A146D6">
        <w:t>was demonstrated in the development stage at pilot scale from a low of 25 mg to a high of 100</w:t>
      </w:r>
      <w:r w:rsidR="00125E65">
        <w:t> </w:t>
      </w:r>
      <w:r w:rsidR="00A146D6">
        <w:t xml:space="preserve">mg dosage strengths. The </w:t>
      </w:r>
      <w:r w:rsidR="006D40F4">
        <w:t>Phase III</w:t>
      </w:r>
      <w:r w:rsidR="00A146D6">
        <w:t xml:space="preserve"> clinical trials </w:t>
      </w:r>
      <w:r w:rsidR="005543B6">
        <w:t>(but not the Phase I and II</w:t>
      </w:r>
      <w:r w:rsidR="007A0E9D">
        <w:t xml:space="preserve"> studies</w:t>
      </w:r>
      <w:r w:rsidR="005543B6">
        <w:t xml:space="preserve">) </w:t>
      </w:r>
      <w:r w:rsidR="00A146D6">
        <w:t>were all conducted using tablets having a formulation proportional to the commercial formulations.</w:t>
      </w:r>
    </w:p>
    <w:p w:rsidR="005543B6" w:rsidRDefault="00A146D6" w:rsidP="00A146D6">
      <w:r>
        <w:t>The dissolution meth</w:t>
      </w:r>
      <w:r w:rsidR="005543B6">
        <w:t xml:space="preserve">od proposed for commercial use </w:t>
      </w:r>
      <w:r>
        <w:t>was shown to be discriminatory by comparison of the profiles of tablets manufactured with and without disintegrants.</w:t>
      </w:r>
    </w:p>
    <w:p w:rsidR="00A146D6" w:rsidRDefault="00A146D6" w:rsidP="00A146D6">
      <w:r>
        <w:t>Since eluxadoline is a mixed μ</w:t>
      </w:r>
      <w:r w:rsidR="005543B6">
        <w:t xml:space="preserve"> </w:t>
      </w:r>
      <w:r>
        <w:t>opioid receptor agonist and δ</w:t>
      </w:r>
      <w:r w:rsidR="005543B6">
        <w:t xml:space="preserve"> </w:t>
      </w:r>
      <w:r>
        <w:t xml:space="preserve">opioid receptor antagonist, an assessment of the abuse potential was undertaken. Although the oral bioavailability is low, this did not preclude the possibility of abuse through alternative routes of administration such as injection or snorting. Four in vitro studies were therefore conducted to determine the ease and feasibility of preparing eluxadoline for such </w:t>
      </w:r>
      <w:proofErr w:type="gramStart"/>
      <w:r>
        <w:t>abuse</w:t>
      </w:r>
      <w:r w:rsidR="007E4136">
        <w:t>.</w:t>
      </w:r>
      <w:r>
        <w:t>,</w:t>
      </w:r>
      <w:proofErr w:type="gramEnd"/>
      <w:r>
        <w:t xml:space="preserve"> the salient points of which are summarised below:</w:t>
      </w:r>
    </w:p>
    <w:p w:rsidR="00A146D6" w:rsidRDefault="00A146D6" w:rsidP="009E405F">
      <w:pPr>
        <w:pStyle w:val="ListBullet"/>
      </w:pPr>
      <w:r>
        <w:t>Although eluxadoline was not designed to possess abuse deterrent properties, it presents a unique profile of physicochemical fe</w:t>
      </w:r>
      <w:r w:rsidR="005543B6">
        <w:t>atures that may limit its abuse</w:t>
      </w:r>
      <w:r w:rsidR="00F3045C">
        <w:t>.</w:t>
      </w:r>
    </w:p>
    <w:p w:rsidR="00A146D6" w:rsidRDefault="00F3045C" w:rsidP="00662E29">
      <w:pPr>
        <w:pStyle w:val="ListBullet"/>
      </w:pPr>
      <w:r>
        <w:t>It has l</w:t>
      </w:r>
      <w:r w:rsidR="00A146D6">
        <w:t>imited solubility in solvents commonly used for injection.</w:t>
      </w:r>
    </w:p>
    <w:p w:rsidR="00A146D6" w:rsidRDefault="00A146D6" w:rsidP="00662E29">
      <w:pPr>
        <w:pStyle w:val="ListBullet"/>
      </w:pPr>
      <w:r>
        <w:t>The bulky size of the tablets coupled with low solubility of the drug substance could also limit use by the intranasal route.</w:t>
      </w:r>
    </w:p>
    <w:p w:rsidR="00A146D6" w:rsidRDefault="00A146D6" w:rsidP="00662E29">
      <w:pPr>
        <w:pStyle w:val="ListBullet"/>
      </w:pPr>
      <w:r>
        <w:lastRenderedPageBreak/>
        <w:t xml:space="preserve">Simulated smoking studies also indicated that the smoking route is not a viable means of administration of the </w:t>
      </w:r>
      <w:r w:rsidR="005543B6">
        <w:t xml:space="preserve">active </w:t>
      </w:r>
      <w:r w:rsidR="000F77DE">
        <w:t>pharmaceutical</w:t>
      </w:r>
      <w:r w:rsidR="005543B6">
        <w:t xml:space="preserve"> ingredient (</w:t>
      </w:r>
      <w:r>
        <w:t>API</w:t>
      </w:r>
      <w:r w:rsidR="005543B6">
        <w:t>)</w:t>
      </w:r>
      <w:r>
        <w:t xml:space="preserve"> due to thermal decomposition during the process.</w:t>
      </w:r>
    </w:p>
    <w:p w:rsidR="00A146D6" w:rsidRDefault="00A146D6" w:rsidP="00662E29">
      <w:pPr>
        <w:pStyle w:val="ListBullet"/>
      </w:pPr>
      <w:r>
        <w:t>Whilst extraction studies with highly acidic or basic solvents were successful in dissolving API in small volumes that potentially could be injected, these solvents would likely produce significant adverse effects if injected directly, thus requiring additional complex manipulations before the extracted product could be administered.</w:t>
      </w:r>
    </w:p>
    <w:p w:rsidR="00A146D6" w:rsidRDefault="00A146D6" w:rsidP="00662E29">
      <w:pPr>
        <w:pStyle w:val="ListBullet"/>
      </w:pPr>
      <w:r>
        <w:t xml:space="preserve">No condition, including the combined use of strong acid, near boiling extraction temperature, and extraction of multiple ground tablets, provided any evidence that extraction could produce the necessary concentration of API </w:t>
      </w:r>
      <w:r w:rsidR="00F3045C">
        <w:t>t</w:t>
      </w:r>
      <w:r>
        <w:t xml:space="preserve">hat would serve as </w:t>
      </w:r>
      <w:proofErr w:type="gramStart"/>
      <w:r>
        <w:t>a reinforcement</w:t>
      </w:r>
      <w:proofErr w:type="gramEnd"/>
      <w:r>
        <w:t xml:space="preserve"> in humans. The maximum achievable concentration under any condition was approximately 30 mg/mL</w:t>
      </w:r>
      <w:r w:rsidR="00F3045C">
        <w:t>,</w:t>
      </w:r>
      <w:r>
        <w:t xml:space="preserve"> but most extraction schemes produced considerably lower concentrations. A variety of factors were identified in these laboratory assessments that served to continually limit the concentration of the API in the extractions fluids, with the most important being the low solubility of the API in various solvents; however a number of other factors also limited its extraction, including the inhibiting effect of formulation excipients on extraction of API from ground or intact tablets, physical loss of solution during preparation for intravenous injection (</w:t>
      </w:r>
      <w:r w:rsidR="005543B6">
        <w:t xml:space="preserve">‘ability to </w:t>
      </w:r>
      <w:r>
        <w:t>syringe</w:t>
      </w:r>
      <w:r w:rsidR="005543B6">
        <w:t>’</w:t>
      </w:r>
      <w:r>
        <w:t xml:space="preserve"> studies indicated losses of 30</w:t>
      </w:r>
      <w:r w:rsidR="00F3045C">
        <w:t xml:space="preserve"> to </w:t>
      </w:r>
      <w:r>
        <w:t>43%), instability of the API to heat, and formation of suspended particles during extraction that produced highly variable results.</w:t>
      </w:r>
    </w:p>
    <w:p w:rsidR="00A146D6" w:rsidRDefault="00A146D6" w:rsidP="00A146D6">
      <w:r>
        <w:t>Other factors limiting the abuse potential of the tablets were also addressed in the dossier:</w:t>
      </w:r>
    </w:p>
    <w:p w:rsidR="00A146D6" w:rsidRDefault="00F3045C" w:rsidP="00662E29">
      <w:pPr>
        <w:pStyle w:val="ListBullet"/>
      </w:pPr>
      <w:r>
        <w:t>It has a</w:t>
      </w:r>
      <w:r w:rsidR="00A146D6">
        <w:t xml:space="preserve"> bad flavour which would be predicted to limit intranasal or buccal/sublingual administration.</w:t>
      </w:r>
    </w:p>
    <w:p w:rsidR="00A146D6" w:rsidRDefault="00A146D6" w:rsidP="00662E29">
      <w:pPr>
        <w:pStyle w:val="ListBullet"/>
      </w:pPr>
      <w:r>
        <w:t>The tablet mass (824 mg for the 100 mg tablet) potentially limits the potential for abuse by snorting crushed tablets.</w:t>
      </w:r>
    </w:p>
    <w:p w:rsidR="00A146D6" w:rsidRDefault="00A146D6" w:rsidP="00662E29">
      <w:pPr>
        <w:pStyle w:val="ListBullet"/>
      </w:pPr>
      <w:r>
        <w:t>Whilst high volumes o</w:t>
      </w:r>
      <w:r w:rsidR="005543B6">
        <w:t>f aqueous solvents can solubilis</w:t>
      </w:r>
      <w:r>
        <w:t>e the majority of the API (albeit not in pure form) fro</w:t>
      </w:r>
      <w:r w:rsidR="000F77DE">
        <w:t>m the tablets, production of a drug of abuse</w:t>
      </w:r>
      <w:r>
        <w:t xml:space="preserve"> would be extremely difficult and time</w:t>
      </w:r>
      <w:r w:rsidR="00F3045C">
        <w:t xml:space="preserve"> </w:t>
      </w:r>
      <w:r>
        <w:t>consuming.</w:t>
      </w:r>
    </w:p>
    <w:p w:rsidR="00A146D6" w:rsidRDefault="00A146D6" w:rsidP="00662E29">
      <w:pPr>
        <w:pStyle w:val="ListBullet"/>
      </w:pPr>
      <w:r>
        <w:t xml:space="preserve">Heating (to speed the drying process) results in a baked on yellow material that cannot be manipulated to produce a powder or any solid for injection, snorting, </w:t>
      </w:r>
      <w:r w:rsidR="00F3045C">
        <w:t>and so on</w:t>
      </w:r>
      <w:r>
        <w:t>.</w:t>
      </w:r>
    </w:p>
    <w:p w:rsidR="00A146D6" w:rsidRDefault="00A146D6" w:rsidP="00662E29">
      <w:pPr>
        <w:pStyle w:val="ListBullet"/>
      </w:pPr>
      <w:r>
        <w:t>Thermal decomposition eliminates the potential for smoking administration</w:t>
      </w:r>
      <w:r w:rsidR="00F3045C">
        <w:t>.</w:t>
      </w:r>
    </w:p>
    <w:p w:rsidR="00A146D6" w:rsidRDefault="00A146D6" w:rsidP="00A146D6">
      <w:r>
        <w:t>No degradants arising from the finished products were identified. No epimerisation of the stereogenic centres were observed during stability trials of forced degradation studies conducted on the tablets.</w:t>
      </w:r>
    </w:p>
    <w:p w:rsidR="00940A89" w:rsidRPr="00940A89" w:rsidRDefault="00A146D6" w:rsidP="00A146D6">
      <w:r>
        <w:t xml:space="preserve">The stability data support a shelf life of 24 months stored below 25°C for the tablets packaged in either the bottles or the aluminium blisters proposed for Australia. A number of issues relating to the quality control of the tablets were raised with </w:t>
      </w:r>
      <w:r w:rsidR="00F00018">
        <w:t>the sponsor</w:t>
      </w:r>
      <w:r>
        <w:t>, all of which have been resolved.</w:t>
      </w:r>
    </w:p>
    <w:p w:rsidR="008E7846" w:rsidRDefault="008E7846" w:rsidP="008E7846">
      <w:pPr>
        <w:pStyle w:val="Heading3"/>
      </w:pPr>
      <w:bookmarkStart w:id="33" w:name="_Toc314842491"/>
      <w:bookmarkStart w:id="34" w:name="_Toc510009703"/>
      <w:r>
        <w:t>Biopharmaceutics</w:t>
      </w:r>
      <w:bookmarkEnd w:id="33"/>
      <w:bookmarkEnd w:id="34"/>
    </w:p>
    <w:p w:rsidR="00A146D6" w:rsidRDefault="00A146D6" w:rsidP="00A146D6">
      <w:r>
        <w:t xml:space="preserve">Neither an absolute bioavailability study nor a relative bioavailability (compared with an oral solution or suspension of defined particle size) was provided, as stipulated for a </w:t>
      </w:r>
      <w:r w:rsidR="00F3045C">
        <w:t>n</w:t>
      </w:r>
      <w:r>
        <w:t xml:space="preserve">ew </w:t>
      </w:r>
      <w:r w:rsidR="00F3045C">
        <w:t>c</w:t>
      </w:r>
      <w:r>
        <w:t xml:space="preserve">hemical </w:t>
      </w:r>
      <w:r w:rsidR="00F3045C">
        <w:t>e</w:t>
      </w:r>
      <w:r>
        <w:t xml:space="preserve">ntity in Section 15.4 of Guidance 15 </w:t>
      </w:r>
      <w:r w:rsidR="007066C7">
        <w:t>‘</w:t>
      </w:r>
      <w:r>
        <w:t>Biopharmaceutic Studies</w:t>
      </w:r>
      <w:r w:rsidR="007066C7">
        <w:t>’</w:t>
      </w:r>
      <w:r>
        <w:t xml:space="preserve"> from the </w:t>
      </w:r>
      <w:r w:rsidR="00D4621C">
        <w:t>Australian Regulatory Guidelines for Prescription Medicines (</w:t>
      </w:r>
      <w:r>
        <w:t>ARGPM</w:t>
      </w:r>
      <w:r w:rsidR="00D4621C">
        <w:t>)</w:t>
      </w:r>
      <w:r>
        <w:t>. However, a justification was provided for the omission, clinical and non-clinical aspects of which are acceptable.</w:t>
      </w:r>
    </w:p>
    <w:p w:rsidR="00A146D6" w:rsidRDefault="00F91E14" w:rsidP="007E4136">
      <w:r>
        <w:lastRenderedPageBreak/>
        <w:t xml:space="preserve">2 </w:t>
      </w:r>
      <w:r w:rsidR="00A146D6">
        <w:t>food effect studies were conducted in support of the submission; Studies EDI-1002 and CPS-1009. Details of these are presented below.</w:t>
      </w:r>
    </w:p>
    <w:p w:rsidR="00A146D6" w:rsidRDefault="00A146D6" w:rsidP="00647592">
      <w:pPr>
        <w:pStyle w:val="Heading4"/>
      </w:pPr>
      <w:r>
        <w:t xml:space="preserve">Food </w:t>
      </w:r>
      <w:r w:rsidR="00F91E14">
        <w:t>e</w:t>
      </w:r>
      <w:r>
        <w:t xml:space="preserve">ffect </w:t>
      </w:r>
      <w:r w:rsidR="00F91E14">
        <w:t>s</w:t>
      </w:r>
      <w:r>
        <w:t>tudy (Study EDI-1002)</w:t>
      </w:r>
    </w:p>
    <w:p w:rsidR="00A146D6" w:rsidRDefault="00A146D6">
      <w:r>
        <w:t>The study was a single</w:t>
      </w:r>
      <w:r w:rsidR="00F91E14">
        <w:t xml:space="preserve"> </w:t>
      </w:r>
      <w:r>
        <w:t xml:space="preserve">dose, </w:t>
      </w:r>
      <w:r w:rsidR="00C87895">
        <w:t>randomised</w:t>
      </w:r>
      <w:r>
        <w:t>, 2-way crossover study for which the primary objective was to compare the pharmacokinetic profiles of eluxadoline tablets after a high fat/high calorie breakfast v</w:t>
      </w:r>
      <w:r w:rsidR="00F91E14">
        <w:t>ersu</w:t>
      </w:r>
      <w:r>
        <w:t xml:space="preserve">s the fasted state. The secondary objective of the study was safety related. The mean results and the assessment of bioequivalence in respect of eluxadoline </w:t>
      </w:r>
      <w:r w:rsidR="00C87895">
        <w:t>peak plasma concentration (C</w:t>
      </w:r>
      <w:r w:rsidR="00C87895" w:rsidRPr="00C87895">
        <w:rPr>
          <w:vertAlign w:val="subscript"/>
        </w:rPr>
        <w:t>max</w:t>
      </w:r>
      <w:r w:rsidR="00C87895">
        <w:t xml:space="preserve">) </w:t>
      </w:r>
      <w:r>
        <w:t xml:space="preserve">and </w:t>
      </w:r>
      <w:r w:rsidR="00C87895">
        <w:t>area under the plasma concentration versus time curve between time 0 and time t (</w:t>
      </w:r>
      <w:r>
        <w:t>AUC</w:t>
      </w:r>
      <w:r w:rsidRPr="00C87895">
        <w:rPr>
          <w:vertAlign w:val="subscript"/>
        </w:rPr>
        <w:t>0-t</w:t>
      </w:r>
      <w:r w:rsidR="00C87895">
        <w:t xml:space="preserve">) </w:t>
      </w:r>
      <w:r>
        <w:t xml:space="preserve">and </w:t>
      </w:r>
      <w:r w:rsidR="0065429A">
        <w:t>a</w:t>
      </w:r>
      <w:r w:rsidR="0065429A" w:rsidRPr="0065429A">
        <w:t xml:space="preserve">rea under the plasma concentration versus time curve between time 0 and time alpha </w:t>
      </w:r>
      <w:r w:rsidR="0065429A">
        <w:t>(</w:t>
      </w:r>
      <w:r>
        <w:t>AUC</w:t>
      </w:r>
      <w:r w:rsidRPr="00C87895">
        <w:rPr>
          <w:vertAlign w:val="subscript"/>
        </w:rPr>
        <w:t>0-</w:t>
      </w:r>
      <w:r w:rsidR="00C87895" w:rsidRPr="00C87895">
        <w:rPr>
          <w:vertAlign w:val="subscript"/>
        </w:rPr>
        <w:t>α</w:t>
      </w:r>
      <w:r w:rsidR="0065429A">
        <w:t xml:space="preserve">) </w:t>
      </w:r>
      <w:r>
        <w:t>are reproduced below.</w:t>
      </w:r>
    </w:p>
    <w:p w:rsidR="00A146D6" w:rsidRDefault="00A146D6">
      <w:r>
        <w:t xml:space="preserve">The </w:t>
      </w:r>
      <w:r w:rsidR="00F55481">
        <w:t>sponsor’s</w:t>
      </w:r>
      <w:r>
        <w:t xml:space="preserve"> 90% confidence intervals of the geometric mean ratios for each of the primary pharmacokinetic parameters did not fall within the pre-established range for bioequivalence as defined in the Study Protocol. The Study Report concludes:</w:t>
      </w:r>
    </w:p>
    <w:p w:rsidR="00A146D6" w:rsidRDefault="00A146D6" w:rsidP="00647592">
      <w:pPr>
        <w:pStyle w:val="ListBullet"/>
      </w:pPr>
      <w:r>
        <w:t xml:space="preserve">The absorption of eluxadoline (tablet formulation) was rapid under fasting conditions, with a median </w:t>
      </w:r>
      <w:r w:rsidR="00F55481">
        <w:t xml:space="preserve">time to </w:t>
      </w:r>
      <w:r w:rsidR="0065429A">
        <w:t xml:space="preserve">peak plasma concentration </w:t>
      </w:r>
      <w:r w:rsidR="00F55481">
        <w:t>(T</w:t>
      </w:r>
      <w:r w:rsidR="00F55481" w:rsidRPr="00F55481">
        <w:rPr>
          <w:vertAlign w:val="subscript"/>
        </w:rPr>
        <w:t>max</w:t>
      </w:r>
      <w:r w:rsidR="00F55481">
        <w:t xml:space="preserve">) </w:t>
      </w:r>
      <w:r>
        <w:t>value of 2 h. However, when eluxadoline was administered within 30 minutes of a high</w:t>
      </w:r>
      <w:r w:rsidR="0065429A">
        <w:t xml:space="preserve"> </w:t>
      </w:r>
      <w:r>
        <w:t xml:space="preserve">fat meal, there was a delay in reaching </w:t>
      </w:r>
      <w:r w:rsidR="00C87895">
        <w:t>C</w:t>
      </w:r>
      <w:r w:rsidR="00C87895" w:rsidRPr="00C87895">
        <w:rPr>
          <w:vertAlign w:val="subscript"/>
        </w:rPr>
        <w:t>max</w:t>
      </w:r>
      <w:r>
        <w:t xml:space="preserve"> with the resultant median </w:t>
      </w:r>
      <w:r w:rsidR="00F55481">
        <w:t>T</w:t>
      </w:r>
      <w:r w:rsidR="00F55481" w:rsidRPr="00F55481">
        <w:rPr>
          <w:vertAlign w:val="subscript"/>
        </w:rPr>
        <w:t>max</w:t>
      </w:r>
      <w:r>
        <w:t xml:space="preserve"> value being 4 h.</w:t>
      </w:r>
    </w:p>
    <w:p w:rsidR="00A146D6" w:rsidRDefault="00A146D6" w:rsidP="00647592">
      <w:pPr>
        <w:pStyle w:val="ListBullet"/>
      </w:pPr>
      <w:r>
        <w:t>The presence of food probably delays gastric emptying, thereby delaying absorption of eluxadoline.</w:t>
      </w:r>
    </w:p>
    <w:p w:rsidR="00A146D6" w:rsidRDefault="00A146D6" w:rsidP="00647592">
      <w:pPr>
        <w:pStyle w:val="ListBullet"/>
      </w:pPr>
      <w:r>
        <w:t xml:space="preserve">In general, individual </w:t>
      </w:r>
      <w:r w:rsidR="00C87895">
        <w:t>C</w:t>
      </w:r>
      <w:r w:rsidR="00C87895" w:rsidRPr="00C87895">
        <w:rPr>
          <w:vertAlign w:val="subscript"/>
        </w:rPr>
        <w:t>max</w:t>
      </w:r>
      <w:r>
        <w:t xml:space="preserve"> values were considerably lower for most subjects in the fed state compared with the fasted state.</w:t>
      </w:r>
    </w:p>
    <w:p w:rsidR="00A146D6" w:rsidRDefault="00A146D6" w:rsidP="00647592">
      <w:pPr>
        <w:pStyle w:val="ListBullet"/>
      </w:pPr>
      <w:r>
        <w:t xml:space="preserve">Individual </w:t>
      </w:r>
      <w:r w:rsidR="0065429A">
        <w:t>a</w:t>
      </w:r>
      <w:r w:rsidR="0065429A" w:rsidRPr="0065429A">
        <w:t>rea under the plasma concentration versus time curve</w:t>
      </w:r>
      <w:r w:rsidR="0065429A">
        <w:t xml:space="preserve"> </w:t>
      </w:r>
      <w:r w:rsidR="00096F1E">
        <w:t>from time 0 until last measurable</w:t>
      </w:r>
      <w:r w:rsidR="0065429A">
        <w:t xml:space="preserve"> concentration</w:t>
      </w:r>
      <w:r w:rsidR="0065429A" w:rsidRPr="0065429A">
        <w:t xml:space="preserve"> </w:t>
      </w:r>
      <w:r w:rsidR="0065429A">
        <w:t>(</w:t>
      </w:r>
      <w:r w:rsidR="00C87895">
        <w:t>AUC</w:t>
      </w:r>
      <w:r w:rsidR="00C87895" w:rsidRPr="00C87895">
        <w:rPr>
          <w:vertAlign w:val="subscript"/>
        </w:rPr>
        <w:t>last</w:t>
      </w:r>
      <w:r w:rsidR="0065429A">
        <w:t xml:space="preserve">) </w:t>
      </w:r>
      <w:r>
        <w:t xml:space="preserve">values were lower for most subjects, with mean </w:t>
      </w:r>
      <w:r w:rsidR="00C87895">
        <w:t>AUC</w:t>
      </w:r>
      <w:r w:rsidR="00C87895" w:rsidRPr="00C87895">
        <w:rPr>
          <w:vertAlign w:val="subscript"/>
        </w:rPr>
        <w:t>last</w:t>
      </w:r>
      <w:r>
        <w:t xml:space="preserve"> being lower in the fed state than in the fasted state.</w:t>
      </w:r>
    </w:p>
    <w:p w:rsidR="00A146D6" w:rsidRDefault="00A146D6" w:rsidP="00A146D6">
      <w:r>
        <w:t xml:space="preserve">The </w:t>
      </w:r>
      <w:r w:rsidR="00F55481">
        <w:t>sponsor’s</w:t>
      </w:r>
      <w:r>
        <w:t xml:space="preserve"> results were subsequently verified by the evaluator and the conclusions are accepted.</w:t>
      </w:r>
    </w:p>
    <w:p w:rsidR="00A146D6" w:rsidRDefault="00A146D6" w:rsidP="00662E29">
      <w:pPr>
        <w:pStyle w:val="Heading4"/>
      </w:pPr>
      <w:r>
        <w:t xml:space="preserve">Pivotal </w:t>
      </w:r>
      <w:r w:rsidR="00096F1E">
        <w:t>f</w:t>
      </w:r>
      <w:r>
        <w:t xml:space="preserve">ood </w:t>
      </w:r>
      <w:r w:rsidR="00096F1E">
        <w:t>e</w:t>
      </w:r>
      <w:r>
        <w:t xml:space="preserve">ffect </w:t>
      </w:r>
      <w:r w:rsidR="00096F1E">
        <w:t>s</w:t>
      </w:r>
      <w:r>
        <w:t>tudy (Study CPS-1009)</w:t>
      </w:r>
    </w:p>
    <w:p w:rsidR="00A146D6" w:rsidRDefault="00A146D6" w:rsidP="00A146D6">
      <w:r>
        <w:t>The study was a Phase I, single</w:t>
      </w:r>
      <w:r w:rsidR="00096F1E">
        <w:t xml:space="preserve"> </w:t>
      </w:r>
      <w:r>
        <w:t xml:space="preserve">dose, </w:t>
      </w:r>
      <w:r w:rsidR="00C87895">
        <w:t>randomised</w:t>
      </w:r>
      <w:r>
        <w:t>, 2-way crossover study to compare the pharmacokinetic profiles of eluxadoline tablets in the fed state after the high fat/high calorie breakfast v</w:t>
      </w:r>
      <w:r w:rsidR="00F55481">
        <w:t>ersu</w:t>
      </w:r>
      <w:r>
        <w:t>s the fasted state. The secondary objective of the study was safety related.</w:t>
      </w:r>
    </w:p>
    <w:p w:rsidR="00A146D6" w:rsidRDefault="00A146D6" w:rsidP="00A146D6">
      <w:r>
        <w:t>The summary of pharmacokinetic parameters for fed and fasted states is reproduced below.</w:t>
      </w:r>
    </w:p>
    <w:p w:rsidR="00A146D6" w:rsidRDefault="00A146D6" w:rsidP="00A146D6">
      <w:r>
        <w:t xml:space="preserve">The </w:t>
      </w:r>
      <w:r w:rsidR="00F55481">
        <w:t>sponsor’s</w:t>
      </w:r>
      <w:r>
        <w:t xml:space="preserve"> 90% confidence intervals of the geometric mean ratios for each of the primary pharmacokinetic parameters (reproduced below) did not fall within the pre</w:t>
      </w:r>
      <w:r w:rsidR="00A7664C">
        <w:noBreakHyphen/>
      </w:r>
      <w:r>
        <w:t>established range for bioequivalence as defined in the Study Protocol.</w:t>
      </w:r>
    </w:p>
    <w:p w:rsidR="00A146D6" w:rsidRDefault="00A146D6" w:rsidP="00A146D6">
      <w:r>
        <w:t xml:space="preserve">The statistical analysis of the difference between median </w:t>
      </w:r>
      <w:r w:rsidR="00F55481">
        <w:t>T</w:t>
      </w:r>
      <w:r w:rsidR="00F55481" w:rsidRPr="00F55481">
        <w:rPr>
          <w:vertAlign w:val="subscript"/>
        </w:rPr>
        <w:t>max</w:t>
      </w:r>
      <w:r>
        <w:t xml:space="preserve"> </w:t>
      </w:r>
      <w:r w:rsidR="00F00018">
        <w:t>values</w:t>
      </w:r>
      <w:r>
        <w:t xml:space="preserve"> indicates that there was no statistically significant difference in </w:t>
      </w:r>
      <w:r w:rsidR="00F55481">
        <w:t>T</w:t>
      </w:r>
      <w:r w:rsidR="00F55481" w:rsidRPr="00F55481">
        <w:rPr>
          <w:vertAlign w:val="subscript"/>
        </w:rPr>
        <w:t>max</w:t>
      </w:r>
      <w:r>
        <w:t xml:space="preserve"> between the 2 treatment conditions.</w:t>
      </w:r>
    </w:p>
    <w:p w:rsidR="00A146D6" w:rsidRDefault="00A146D6" w:rsidP="00A146D6">
      <w:r>
        <w:t>The Study Report concluded:</w:t>
      </w:r>
    </w:p>
    <w:p w:rsidR="005F1690" w:rsidRDefault="00A146D6" w:rsidP="00662E29">
      <w:pPr>
        <w:pStyle w:val="ListBullet"/>
      </w:pPr>
      <w:r>
        <w:t>High</w:t>
      </w:r>
      <w:r w:rsidR="00A7664C">
        <w:t xml:space="preserve"> </w:t>
      </w:r>
      <w:r>
        <w:t>fat meal conditions decreased the total and peak exposures of eluxadoline by 60% and 50%, respectively.</w:t>
      </w:r>
    </w:p>
    <w:p w:rsidR="00A146D6" w:rsidRDefault="00A146D6" w:rsidP="00662E29">
      <w:pPr>
        <w:pStyle w:val="ListBullet"/>
      </w:pPr>
      <w:r>
        <w:t xml:space="preserve">There was no statistically significant difference in </w:t>
      </w:r>
      <w:r w:rsidR="00F55481">
        <w:t>T</w:t>
      </w:r>
      <w:r w:rsidR="00F55481" w:rsidRPr="00F55481">
        <w:rPr>
          <w:vertAlign w:val="subscript"/>
        </w:rPr>
        <w:t>max</w:t>
      </w:r>
      <w:r>
        <w:t xml:space="preserve"> between fasting and high-fat meal conditions.</w:t>
      </w:r>
    </w:p>
    <w:p w:rsidR="008E7846" w:rsidRDefault="00A146D6" w:rsidP="00A146D6">
      <w:r>
        <w:lastRenderedPageBreak/>
        <w:t xml:space="preserve">The </w:t>
      </w:r>
      <w:r w:rsidR="00F55481">
        <w:t>sponsor’s</w:t>
      </w:r>
      <w:r>
        <w:t xml:space="preserve"> results were confirmed by the evaluator.</w:t>
      </w:r>
    </w:p>
    <w:p w:rsidR="008E7846" w:rsidRPr="008751DC" w:rsidRDefault="008E7846" w:rsidP="008E7846">
      <w:pPr>
        <w:pStyle w:val="Heading3"/>
      </w:pPr>
      <w:bookmarkStart w:id="35" w:name="_Toc247691509"/>
      <w:bookmarkStart w:id="36" w:name="_Toc314842493"/>
      <w:bookmarkStart w:id="37" w:name="_Toc510009704"/>
      <w:r>
        <w:t>Quality s</w:t>
      </w:r>
      <w:r w:rsidRPr="008751DC">
        <w:t>ummary</w:t>
      </w:r>
      <w:r>
        <w:t xml:space="preserve"> and conclusions</w:t>
      </w:r>
      <w:bookmarkEnd w:id="35"/>
      <w:bookmarkEnd w:id="36"/>
      <w:bookmarkEnd w:id="37"/>
    </w:p>
    <w:p w:rsidR="00662E29" w:rsidRPr="00E51CE4" w:rsidRDefault="00662E29" w:rsidP="00662E29">
      <w:r>
        <w:t>There are no objections to registration from a quality or biopharmaceutics perspective.</w:t>
      </w:r>
    </w:p>
    <w:p w:rsidR="008E7846" w:rsidRDefault="008E7846" w:rsidP="008E7846">
      <w:pPr>
        <w:pStyle w:val="Heading2"/>
      </w:pPr>
      <w:bookmarkStart w:id="38" w:name="_Toc196046439"/>
      <w:bookmarkStart w:id="39" w:name="_Toc247691510"/>
      <w:bookmarkStart w:id="40" w:name="_Toc314842494"/>
      <w:bookmarkStart w:id="41" w:name="_Toc510009705"/>
      <w:r>
        <w:t>I</w:t>
      </w:r>
      <w:r w:rsidR="00AC04B2">
        <w:t>V</w:t>
      </w:r>
      <w:r>
        <w:t>. Nonclinical</w:t>
      </w:r>
      <w:bookmarkEnd w:id="38"/>
      <w:r>
        <w:t xml:space="preserve"> findings</w:t>
      </w:r>
      <w:bookmarkEnd w:id="39"/>
      <w:bookmarkEnd w:id="40"/>
      <w:bookmarkEnd w:id="41"/>
    </w:p>
    <w:p w:rsidR="008E7846" w:rsidRDefault="008E7846" w:rsidP="00940A89">
      <w:pPr>
        <w:pStyle w:val="Heading3"/>
      </w:pPr>
      <w:bookmarkStart w:id="42" w:name="_Toc247691511"/>
      <w:bookmarkStart w:id="43" w:name="_Toc314842495"/>
      <w:bookmarkStart w:id="44" w:name="_Toc510009706"/>
      <w:r>
        <w:t>Introduction</w:t>
      </w:r>
      <w:bookmarkEnd w:id="42"/>
      <w:bookmarkEnd w:id="43"/>
      <w:bookmarkEnd w:id="44"/>
    </w:p>
    <w:p w:rsidR="00A146D6" w:rsidRDefault="00A146D6" w:rsidP="00662E29">
      <w:pPr>
        <w:pStyle w:val="Heading4"/>
      </w:pPr>
      <w:r>
        <w:t>General comments</w:t>
      </w:r>
    </w:p>
    <w:p w:rsidR="004334C7" w:rsidRPr="004334C7" w:rsidRDefault="00A7664C" w:rsidP="00A146D6">
      <w:r>
        <w:t>2</w:t>
      </w:r>
      <w:r w:rsidRPr="009F1075">
        <w:t xml:space="preserve"> </w:t>
      </w:r>
      <w:r w:rsidR="009C30CD">
        <w:t xml:space="preserve">US </w:t>
      </w:r>
      <w:r w:rsidR="000B640B" w:rsidRPr="009F1075">
        <w:t xml:space="preserve">FDA reports </w:t>
      </w:r>
      <w:r w:rsidR="00A146D6" w:rsidRPr="009F1075">
        <w:t>form</w:t>
      </w:r>
      <w:r w:rsidR="00B2741C" w:rsidRPr="009F1075">
        <w:t xml:space="preserve"> the basis of this evaluation. The </w:t>
      </w:r>
      <w:r w:rsidR="009F1075" w:rsidRPr="009F1075">
        <w:t xml:space="preserve">sponsor’s TGA </w:t>
      </w:r>
      <w:r w:rsidR="00B2741C" w:rsidRPr="009F1075">
        <w:t>submission also included additional s</w:t>
      </w:r>
      <w:r w:rsidR="00A146D6" w:rsidRPr="009F1075">
        <w:t>tudies not considered by the FDA</w:t>
      </w:r>
      <w:r w:rsidR="00B2741C" w:rsidRPr="009F1075">
        <w:t>.</w:t>
      </w:r>
    </w:p>
    <w:p w:rsidR="008E7846" w:rsidRDefault="008E7846" w:rsidP="008E7846">
      <w:pPr>
        <w:pStyle w:val="Heading3"/>
      </w:pPr>
      <w:bookmarkStart w:id="45" w:name="_Toc247691512"/>
      <w:bookmarkStart w:id="46" w:name="_Toc314842496"/>
      <w:bookmarkStart w:id="47" w:name="_Toc510009707"/>
      <w:r w:rsidRPr="00020030">
        <w:t>Pharmacology</w:t>
      </w:r>
      <w:bookmarkEnd w:id="45"/>
      <w:bookmarkEnd w:id="46"/>
      <w:bookmarkEnd w:id="47"/>
    </w:p>
    <w:p w:rsidR="00A146D6" w:rsidRDefault="00A146D6" w:rsidP="000B640B">
      <w:pPr>
        <w:pStyle w:val="Heading4"/>
      </w:pPr>
      <w:r>
        <w:t>Primary pharmacology</w:t>
      </w:r>
    </w:p>
    <w:p w:rsidR="00A146D6" w:rsidRDefault="00A146D6" w:rsidP="00A146D6">
      <w:r>
        <w:t xml:space="preserve">The sponsor has submitted </w:t>
      </w:r>
      <w:r w:rsidR="00A7664C">
        <w:t xml:space="preserve">12 </w:t>
      </w:r>
      <w:r>
        <w:t>studies (6 in vitro; 6 in vivo</w:t>
      </w:r>
      <w:r w:rsidR="00A7664C">
        <w:t xml:space="preserve"> studies</w:t>
      </w:r>
      <w:r>
        <w:t>)</w:t>
      </w:r>
      <w:proofErr w:type="gramStart"/>
      <w:r>
        <w:t>,</w:t>
      </w:r>
      <w:proofErr w:type="gramEnd"/>
      <w:r>
        <w:t xml:space="preserve"> of which </w:t>
      </w:r>
      <w:r w:rsidR="00A7664C">
        <w:t xml:space="preserve">3 </w:t>
      </w:r>
      <w:r>
        <w:t xml:space="preserve">new </w:t>
      </w:r>
      <w:r w:rsidRPr="00F4311D">
        <w:t>in vitro</w:t>
      </w:r>
      <w:r w:rsidR="000B640B">
        <w:t xml:space="preserve"> </w:t>
      </w:r>
      <w:r>
        <w:t>studies were not evaluated or included in the FDA report. The studies investigated the binding</w:t>
      </w:r>
      <w:r w:rsidR="000B640B">
        <w:t xml:space="preserve"> </w:t>
      </w:r>
      <w:r>
        <w:t xml:space="preserve">affinity and activity of eluxadoline to the opioid receptor (OR). The in vitro studies demonstrated that eluxadoline could be a potent </w:t>
      </w:r>
      <w:r w:rsidR="00A7664C">
        <w:t>M</w:t>
      </w:r>
      <w:r>
        <w:t xml:space="preserve">OR agonist and </w:t>
      </w:r>
      <w:r w:rsidR="00A7664C">
        <w:t>D</w:t>
      </w:r>
      <w:r>
        <w:t>OR antagonist. Studies in mice found that eluxadoline (</w:t>
      </w:r>
      <w:r w:rsidR="00A7664C">
        <w:t xml:space="preserve">half maximal </w:t>
      </w:r>
      <w:r w:rsidR="00F55481">
        <w:t>effective dose (</w:t>
      </w:r>
      <w:r>
        <w:t>ED</w:t>
      </w:r>
      <w:r w:rsidRPr="00F4311D">
        <w:rPr>
          <w:vertAlign w:val="subscript"/>
        </w:rPr>
        <w:t>50</w:t>
      </w:r>
      <w:r w:rsidR="00F55481">
        <w:t>)</w:t>
      </w:r>
      <w:r w:rsidR="00A7664C">
        <w:t xml:space="preserve"> was</w:t>
      </w:r>
      <w:r>
        <w:t xml:space="preserve"> </w:t>
      </w:r>
      <w:r w:rsidR="00810AB9">
        <w:t>approximately</w:t>
      </w:r>
      <w:r w:rsidR="00CE557B">
        <w:t xml:space="preserve"> </w:t>
      </w:r>
      <w:r>
        <w:t xml:space="preserve">40.4 mg/kg; </w:t>
      </w:r>
      <w:r w:rsidR="00F55481">
        <w:t>orally (</w:t>
      </w:r>
      <w:r>
        <w:t>PO</w:t>
      </w:r>
      <w:r w:rsidR="00F55481">
        <w:t>)</w:t>
      </w:r>
      <w:r>
        <w:t>) was an inhibitor of propulsive upper GI motility, but compared to loperamide (ED</w:t>
      </w:r>
      <w:r w:rsidRPr="00F4311D">
        <w:rPr>
          <w:vertAlign w:val="subscript"/>
        </w:rPr>
        <w:t>50</w:t>
      </w:r>
      <w:r>
        <w:t xml:space="preserve">: </w:t>
      </w:r>
      <w:r w:rsidR="00810AB9">
        <w:t>approximately</w:t>
      </w:r>
      <w:r w:rsidR="00CE557B">
        <w:t xml:space="preserve"> </w:t>
      </w:r>
      <w:r>
        <w:t>2.3 mg/kg; PO), with eluxadoline being less potent and did not prevent gastric emptying. Furthermore, eluxadoline was shown to be active in reversing the hyperalgesic responses to colorectal distention (rat model of acute, zymosan-induced colitis). In isolated guinea pig ileum, eluxadoline inhibited concentration-dependent contractions. In a stressed mouse model, eluxadoline was able to normali</w:t>
      </w:r>
      <w:r w:rsidR="00450B6F">
        <w:t>s</w:t>
      </w:r>
      <w:r>
        <w:t xml:space="preserve">e GI motility. </w:t>
      </w:r>
      <w:r w:rsidR="00450B6F">
        <w:t xml:space="preserve">3 </w:t>
      </w:r>
      <w:r>
        <w:t>new in vitro studies submitted found that eluxadoline:</w:t>
      </w:r>
    </w:p>
    <w:p w:rsidR="00A146D6" w:rsidRDefault="00A146D6" w:rsidP="000B640B">
      <w:pPr>
        <w:pStyle w:val="ListBullet"/>
      </w:pPr>
      <w:r>
        <w:t xml:space="preserve">Was inactive of the twitch contraction amplitude in the hamster vas deferens assay, exerting antagonist activity at the </w:t>
      </w:r>
      <w:r w:rsidR="00243F94">
        <w:t>D</w:t>
      </w:r>
      <w:r>
        <w:t>OR;</w:t>
      </w:r>
    </w:p>
    <w:p w:rsidR="00A146D6" w:rsidRDefault="00A146D6" w:rsidP="000B640B">
      <w:pPr>
        <w:pStyle w:val="ListBullet"/>
      </w:pPr>
      <w:r>
        <w:t>Exhibited weak</w:t>
      </w:r>
      <w:r w:rsidR="00933F49">
        <w:t xml:space="preserve"> </w:t>
      </w:r>
      <w:r w:rsidR="00036AF7">
        <w:t>kappa-opioid receptor (K</w:t>
      </w:r>
      <w:r>
        <w:t>OR</w:t>
      </w:r>
      <w:r w:rsidR="00036AF7">
        <w:t>)</w:t>
      </w:r>
      <w:r>
        <w:t xml:space="preserve"> agonist activity;</w:t>
      </w:r>
    </w:p>
    <w:p w:rsidR="00A146D6" w:rsidRDefault="00A146D6" w:rsidP="000B640B">
      <w:pPr>
        <w:pStyle w:val="ListBullet"/>
      </w:pPr>
      <w:r>
        <w:t xml:space="preserve">Exhibits potency and efficacy in G-protein activity and β-arrestin recruitment assays in cells that expressed only </w:t>
      </w:r>
      <w:r w:rsidR="00036AF7">
        <w:t>MORs</w:t>
      </w:r>
      <w:r>
        <w:t>.</w:t>
      </w:r>
    </w:p>
    <w:p w:rsidR="00A146D6" w:rsidRDefault="00A146D6" w:rsidP="000B640B">
      <w:pPr>
        <w:pStyle w:val="Heading4"/>
      </w:pPr>
      <w:r>
        <w:t>Secondary pharmacodynamics and safety pharmacology</w:t>
      </w:r>
    </w:p>
    <w:p w:rsidR="00A146D6" w:rsidRDefault="00036AF7" w:rsidP="00A146D6">
      <w:r>
        <w:t xml:space="preserve">7 </w:t>
      </w:r>
      <w:r w:rsidR="00A146D6">
        <w:t xml:space="preserve">secondary pharmacodynamic studies were submitted which were all evaluated in the FDA report. The studies included investigating 50 receptor/ion channel binding screens of eluxadoline and its M2 metabolite (found in all species tested), as well as investigations on the activity of M2 at the OR. However, there was no similar metabolite found in human plasma, with only one glucuronidated metabolite identified in urine from human studies (refer to clinical report). Within the studies submitted for evaluation, the interaction of eluxadoline with receptors associated with abuse was investigated in cannabinoid </w:t>
      </w:r>
      <w:r w:rsidR="003933CA">
        <w:t>B1 and B2 (</w:t>
      </w:r>
      <w:r w:rsidR="00A146D6">
        <w:t>CB1 and CB2</w:t>
      </w:r>
      <w:r w:rsidR="003933CA">
        <w:t>)</w:t>
      </w:r>
      <w:r w:rsidR="00F10A79">
        <w:t>;</w:t>
      </w:r>
      <w:r w:rsidR="00A146D6">
        <w:t xml:space="preserve"> </w:t>
      </w:r>
      <w:r w:rsidR="003933CA" w:rsidRPr="003933CA">
        <w:t>N-methyl-D-aspartate (NMDA)</w:t>
      </w:r>
      <w:r w:rsidR="00F10A79">
        <w:t>; and</w:t>
      </w:r>
      <w:r w:rsidR="00A146D6">
        <w:t xml:space="preserve"> nicotinic neuronal α4β2, neuronal α7, and muscle-type receptors. Overall, in vitro studies found that eluxadoline did not inhibit or stimulate these receptors associated with abuse potential, and had no significant </w:t>
      </w:r>
      <w:r w:rsidR="00A146D6">
        <w:lastRenderedPageBreak/>
        <w:t xml:space="preserve">agonist or antagonist activity at human muscarinic 1 (M1) receptors. In vitro investigations on the activity of the M2 metabolite on receptor binding indicated that M2 had lower affinity to bind to </w:t>
      </w:r>
      <w:r w:rsidR="000228D4">
        <w:t>D</w:t>
      </w:r>
      <w:r w:rsidR="00A146D6">
        <w:t xml:space="preserve">OR and </w:t>
      </w:r>
      <w:r w:rsidR="000228D4">
        <w:t>M</w:t>
      </w:r>
      <w:r w:rsidR="00A146D6">
        <w:t xml:space="preserve">OR than eluxadoline. An in vivo von Frey study in rats induced with pancreatitis was conducted since opiates have a potential to cause spasm of the sphincter of </w:t>
      </w:r>
      <w:r w:rsidR="000F77DE">
        <w:t>Oddi</w:t>
      </w:r>
      <w:r w:rsidR="00A146D6">
        <w:t xml:space="preserve"> and the study investigated whether eluxadoline exacerbated the pain associated with pancreatitis. The study found that eluxadoline did not alter the response rate to von Frey stimulation compared to control</w:t>
      </w:r>
      <w:r w:rsidR="000B640B">
        <w:t xml:space="preserve"> </w:t>
      </w:r>
      <w:r w:rsidR="00A146D6">
        <w:t>observations.</w:t>
      </w:r>
    </w:p>
    <w:p w:rsidR="00A146D6" w:rsidRDefault="001A087B" w:rsidP="00A146D6">
      <w:r>
        <w:t xml:space="preserve">17 </w:t>
      </w:r>
      <w:r w:rsidR="00A146D6">
        <w:t xml:space="preserve">safety pharmacology studies were submitted and </w:t>
      </w:r>
      <w:r>
        <w:t xml:space="preserve">14 </w:t>
      </w:r>
      <w:r w:rsidR="00A146D6">
        <w:t>were evaluated by the FDA.</w:t>
      </w:r>
      <w:r w:rsidR="00192749">
        <w:t xml:space="preserve"> </w:t>
      </w:r>
      <w:r w:rsidR="00A146D6">
        <w:t>In vivo studies following PO administration found that eluxadoline was very well tolerated in animals tested, with observed effects limited to the GI tract. Systemic administration of eluxadoline to animals elicited treatment-related effects consistent with an opioid</w:t>
      </w:r>
      <w:r w:rsidR="000B640B">
        <w:t xml:space="preserve">. </w:t>
      </w:r>
      <w:r w:rsidR="00192749">
        <w:t>Intravenous (</w:t>
      </w:r>
      <w:r w:rsidR="000B640B">
        <w:t>IV</w:t>
      </w:r>
      <w:r w:rsidR="00192749">
        <w:t>)</w:t>
      </w:r>
      <w:r w:rsidR="000B640B">
        <w:t xml:space="preserve"> infusion of eluxadoline in </w:t>
      </w:r>
      <w:r w:rsidR="00A146D6">
        <w:t>guinea pigs and dogs showed cardio</w:t>
      </w:r>
      <w:r w:rsidR="000F77DE">
        <w:t>-</w:t>
      </w:r>
      <w:r w:rsidR="00A146D6">
        <w:t>h</w:t>
      </w:r>
      <w:r w:rsidR="000F77DE">
        <w:t>a</w:t>
      </w:r>
      <w:r w:rsidR="00A146D6">
        <w:t>emodynamic effects, which were very pronounced in conscious dogs, but coincided with behavioural findings. A study administering IV eluxadoline (</w:t>
      </w:r>
      <w:r w:rsidR="00192749">
        <w:t xml:space="preserve">≤ </w:t>
      </w:r>
      <w:r w:rsidR="00A146D6">
        <w:t>0.143 mg/kg) in an</w:t>
      </w:r>
      <w:r>
        <w:t>a</w:t>
      </w:r>
      <w:r w:rsidR="00A146D6">
        <w:t>estheti</w:t>
      </w:r>
      <w:r>
        <w:t>s</w:t>
      </w:r>
      <w:r w:rsidR="00A146D6">
        <w:t xml:space="preserve">ed dogs, found no notable effects, with higher exposures observing a slight tendency for aortic diastolic and systolic blood pressure decreases. Another study observed a decrease in arterial blood pressure not associated with an effect on heart rate following </w:t>
      </w:r>
      <w:r w:rsidR="003933CA">
        <w:t>subcutaneously (</w:t>
      </w:r>
      <w:r w:rsidR="00A146D6">
        <w:t>SC</w:t>
      </w:r>
      <w:r w:rsidR="003933CA">
        <w:t>)</w:t>
      </w:r>
      <w:r w:rsidR="00A146D6">
        <w:t xml:space="preserve"> administration (5</w:t>
      </w:r>
      <w:r>
        <w:t xml:space="preserve"> to </w:t>
      </w:r>
      <w:r w:rsidR="00A146D6">
        <w:t>30 mg/kg from 30</w:t>
      </w:r>
      <w:r>
        <w:t xml:space="preserve"> to </w:t>
      </w:r>
      <w:r w:rsidR="00A146D6">
        <w:t>300 min</w:t>
      </w:r>
      <w:r w:rsidR="00876BF0">
        <w:t>utes</w:t>
      </w:r>
      <w:r w:rsidR="00A146D6">
        <w:t xml:space="preserve"> post-dose) in conscious telemetered monkeys. Overall, studies found that eluxadoline was not a significant agonist or antagonist of off-target receptors and did not elicit notable electrophysiological effects in cardiovascular safety studies (</w:t>
      </w:r>
      <w:r w:rsidR="00192749">
        <w:t xml:space="preserve">≤ </w:t>
      </w:r>
      <w:r w:rsidR="00A146D6">
        <w:t xml:space="preserve">10 </w:t>
      </w:r>
      <w:r w:rsidR="00192749">
        <w:t>µ</w:t>
      </w:r>
      <w:r w:rsidR="00A146D6">
        <w:t>M).</w:t>
      </w:r>
    </w:p>
    <w:p w:rsidR="00A146D6" w:rsidRDefault="00A146D6" w:rsidP="00A146D6">
      <w:r>
        <w:t xml:space="preserve">The </w:t>
      </w:r>
      <w:r w:rsidR="00226AC5">
        <w:t xml:space="preserve">3 </w:t>
      </w:r>
      <w:r>
        <w:t xml:space="preserve">new </w:t>
      </w:r>
      <w:r w:rsidR="00226AC5">
        <w:t>central nervous system (</w:t>
      </w:r>
      <w:r>
        <w:t>CNS</w:t>
      </w:r>
      <w:r w:rsidR="00226AC5">
        <w:t>)</w:t>
      </w:r>
      <w:r>
        <w:t xml:space="preserve"> studies submitted found that eluxadoline:</w:t>
      </w:r>
    </w:p>
    <w:p w:rsidR="00A146D6" w:rsidRDefault="00A146D6" w:rsidP="000B640B">
      <w:pPr>
        <w:pStyle w:val="Numberbullet0"/>
      </w:pPr>
      <w:r>
        <w:t xml:space="preserve">Mice lacked </w:t>
      </w:r>
      <w:r w:rsidR="00876BF0">
        <w:t>M</w:t>
      </w:r>
      <w:r>
        <w:t>OR agonist-like withdrawal effects post-dose, indicating that physical dependence does not occur after administration (</w:t>
      </w:r>
      <w:r w:rsidR="00226AC5">
        <w:t>s</w:t>
      </w:r>
      <w:r>
        <w:t>ingle PO dose, 300</w:t>
      </w:r>
      <w:r w:rsidR="00226AC5">
        <w:t> </w:t>
      </w:r>
      <w:r>
        <w:t>mg/kg);</w:t>
      </w:r>
    </w:p>
    <w:p w:rsidR="00A146D6" w:rsidRDefault="00A146D6" w:rsidP="000B640B">
      <w:pPr>
        <w:pStyle w:val="Numberbullet0"/>
      </w:pPr>
      <w:r>
        <w:t>Rats demonstrated no treatment-related neurobehavioral or clinical signs (</w:t>
      </w:r>
      <w:r w:rsidR="00226AC5">
        <w:t xml:space="preserve">single </w:t>
      </w:r>
      <w:r>
        <w:t>PO dose</w:t>
      </w:r>
      <w:r w:rsidR="000B640B">
        <w:t xml:space="preserve"> </w:t>
      </w:r>
      <w:r w:rsidR="00192749">
        <w:t xml:space="preserve">≤ </w:t>
      </w:r>
      <w:r>
        <w:t xml:space="preserve">500 mg/kg; hypoactivity at </w:t>
      </w:r>
      <w:r w:rsidR="00E124D1">
        <w:t>≥</w:t>
      </w:r>
      <w:r w:rsidR="00785F4E">
        <w:t xml:space="preserve"> </w:t>
      </w:r>
      <w:r>
        <w:t>1000 mg/kg);</w:t>
      </w:r>
    </w:p>
    <w:p w:rsidR="004334C7" w:rsidRPr="004334C7" w:rsidRDefault="00A146D6" w:rsidP="000B640B">
      <w:pPr>
        <w:pStyle w:val="Numberbullet0"/>
      </w:pPr>
      <w:r>
        <w:t>Effects observed in Rhesus monkey suggest the likelihood of shared behavioural effects with morphine-like (µ-opioid) agonists, with potentially toxic/lethal effects when IV administered.</w:t>
      </w:r>
    </w:p>
    <w:p w:rsidR="008E7846" w:rsidRDefault="008E7846" w:rsidP="008E7846">
      <w:pPr>
        <w:pStyle w:val="Heading3"/>
      </w:pPr>
      <w:bookmarkStart w:id="48" w:name="_Toc247691513"/>
      <w:bookmarkStart w:id="49" w:name="_Toc314842497"/>
      <w:bookmarkStart w:id="50" w:name="_Toc510009708"/>
      <w:r>
        <w:t>Pharmacokinetics</w:t>
      </w:r>
      <w:bookmarkEnd w:id="48"/>
      <w:bookmarkEnd w:id="49"/>
      <w:bookmarkEnd w:id="50"/>
    </w:p>
    <w:p w:rsidR="00154CBD" w:rsidRDefault="00154CBD" w:rsidP="009E405F">
      <w:pPr>
        <w:pStyle w:val="Heading4"/>
      </w:pPr>
      <w:r>
        <w:t>Summary of pharmacokinetics</w:t>
      </w:r>
    </w:p>
    <w:p w:rsidR="00154CBD" w:rsidRPr="00154CBD" w:rsidRDefault="00154CBD" w:rsidP="009E405F">
      <w:pPr>
        <w:pStyle w:val="Heading5"/>
      </w:pPr>
      <w:r>
        <w:t>Absorption</w:t>
      </w:r>
    </w:p>
    <w:p w:rsidR="00A146D6" w:rsidRDefault="00A146D6" w:rsidP="00A146D6">
      <w:bookmarkStart w:id="51" w:name="_Toc247691514"/>
      <w:bookmarkStart w:id="52" w:name="_Toc314842498"/>
      <w:r>
        <w:t>Single oral administration of eluxadoline to mice, rats, and cynomolgus monkeys showed moderate to rapid absorption (</w:t>
      </w:r>
      <w:r w:rsidR="00F55481">
        <w:t>T</w:t>
      </w:r>
      <w:r w:rsidR="00F55481" w:rsidRPr="00F55481">
        <w:rPr>
          <w:vertAlign w:val="subscript"/>
        </w:rPr>
        <w:t>max</w:t>
      </w:r>
      <w:r>
        <w:t xml:space="preserve"> 0.5</w:t>
      </w:r>
      <w:r w:rsidR="00154CBD">
        <w:t xml:space="preserve"> to </w:t>
      </w:r>
      <w:r>
        <w:t>7.75 h) with low bioavailability (</w:t>
      </w:r>
      <w:r w:rsidR="00192749">
        <w:t xml:space="preserve">≤ </w:t>
      </w:r>
      <w:r>
        <w:t>0.83%). Studies in animals showed that eluxadoline had a low oral systemic exposure possibly due to limited absorption from the GI tract and a significant first-pass effect.</w:t>
      </w:r>
    </w:p>
    <w:p w:rsidR="00154CBD" w:rsidRDefault="00A146D6" w:rsidP="009E405F">
      <w:pPr>
        <w:pStyle w:val="Heading5"/>
      </w:pPr>
      <w:r w:rsidRPr="009E405F">
        <w:rPr>
          <w:rFonts w:eastAsia="Cambria"/>
        </w:rPr>
        <w:t>Distribution</w:t>
      </w:r>
    </w:p>
    <w:p w:rsidR="00A146D6" w:rsidRDefault="00A146D6" w:rsidP="00A146D6">
      <w:r>
        <w:t>Studies evaluated in the FDA report found that eluxadoline showed moderate plasma protein binding in all species tested (68.5% (dog) to 87.8% (mice) which was similar to results obtained by analysis of plasma samples from humans (82%). The one new</w:t>
      </w:r>
      <w:r w:rsidR="00192749">
        <w:t xml:space="preserve"> </w:t>
      </w:r>
      <w:r>
        <w:t xml:space="preserve">distribution study submitted showed that eluxadoline had negligible partitioning into red blood cells. GI tract tissues of rats showed the highest exposure to total radioactivity following PO or SC administration with </w:t>
      </w:r>
      <w:r w:rsidRPr="00192749">
        <w:rPr>
          <w:vertAlign w:val="superscript"/>
        </w:rPr>
        <w:t>14</w:t>
      </w:r>
      <w:r>
        <w:t xml:space="preserve">C-eluxadoline, with the greatest proportion of unchanged eluxadoline found in the GI contents. A study in male pigmented Long Evans rats using whole-body autoradiography showed that a single PO dose (50 mg/kg) of eluxadoline was poorly absorbed and hence, was not well distributed to the tissues. </w:t>
      </w:r>
      <w:r>
        <w:lastRenderedPageBreak/>
        <w:t>Distribution in blood, plasma and other tissues showed that maximum concentrations were reached at 3 h, with total radioactivity declining rapidly (</w:t>
      </w:r>
      <w:r w:rsidR="00192749">
        <w:t>≤ lower limit of quantification (</w:t>
      </w:r>
      <w:r>
        <w:t>LLOQ</w:t>
      </w:r>
      <w:r w:rsidR="00192749">
        <w:t>)</w:t>
      </w:r>
      <w:r>
        <w:t xml:space="preserve">) by 24 h post-dose. For non-pigmented tissues, the stomach and urinary bladder tissue showed </w:t>
      </w:r>
      <w:r w:rsidR="00154CBD" w:rsidRPr="00154CBD">
        <w:t>Area under the plasma concentration versus time curve between time 0 and 7 hours</w:t>
      </w:r>
      <w:r w:rsidR="00154CBD">
        <w:t xml:space="preserve"> (</w:t>
      </w:r>
      <w:r>
        <w:t>AUC</w:t>
      </w:r>
      <w:r w:rsidRPr="00192749">
        <w:rPr>
          <w:vertAlign w:val="subscript"/>
        </w:rPr>
        <w:t>0-7h</w:t>
      </w:r>
      <w:r w:rsidR="00154CBD">
        <w:t xml:space="preserve">) </w:t>
      </w:r>
      <w:r>
        <w:t xml:space="preserve">values that were </w:t>
      </w:r>
      <w:r w:rsidR="00E124D1">
        <w:t xml:space="preserve">≥ </w:t>
      </w:r>
      <w:r>
        <w:t>10</w:t>
      </w:r>
      <w:r w:rsidR="00192749">
        <w:t xml:space="preserve"> times</w:t>
      </w:r>
      <w:r>
        <w:t xml:space="preserve"> higher than blood, with adrenal gland, pancreas, kidney cortex, kidney medulla, liver, spleen found to have 2</w:t>
      </w:r>
      <w:r w:rsidR="00BF45A4">
        <w:t xml:space="preserve"> to </w:t>
      </w:r>
      <w:r w:rsidR="00192749">
        <w:t>8</w:t>
      </w:r>
      <w:r w:rsidR="001A0C9A">
        <w:t> </w:t>
      </w:r>
      <w:r w:rsidR="00192749">
        <w:t>times</w:t>
      </w:r>
      <w:r>
        <w:t xml:space="preserve"> higher </w:t>
      </w:r>
      <w:r w:rsidR="001A0C9A">
        <w:t xml:space="preserve">repetition time </w:t>
      </w:r>
      <w:r>
        <w:t>than blood. Pregnant rats administered SC eluxadoline showed, in non-procreative tissues, the highest AUC</w:t>
      </w:r>
      <w:r w:rsidRPr="00192749">
        <w:rPr>
          <w:vertAlign w:val="subscript"/>
        </w:rPr>
        <w:t>0-7h</w:t>
      </w:r>
      <w:r>
        <w:t xml:space="preserve"> values of total radioactivity higher than blood were in the kidney cortex (4</w:t>
      </w:r>
      <w:r w:rsidR="001A0C9A">
        <w:t xml:space="preserve"> </w:t>
      </w:r>
      <w:r w:rsidR="00192749">
        <w:t>x</w:t>
      </w:r>
      <w:r>
        <w:t>), kidney medulla (3</w:t>
      </w:r>
      <w:r w:rsidR="001A0C9A">
        <w:t xml:space="preserve"> </w:t>
      </w:r>
      <w:r w:rsidR="00192749">
        <w:t>x</w:t>
      </w:r>
      <w:r>
        <w:t>) and liver (2</w:t>
      </w:r>
      <w:r w:rsidR="001A0C9A">
        <w:t xml:space="preserve"> </w:t>
      </w:r>
      <w:r w:rsidR="00192749">
        <w:t>x</w:t>
      </w:r>
      <w:r>
        <w:t>). The highest tissue-to-blood AUC</w:t>
      </w:r>
      <w:r w:rsidRPr="00192749">
        <w:rPr>
          <w:vertAlign w:val="subscript"/>
        </w:rPr>
        <w:t>0-7h</w:t>
      </w:r>
      <w:r>
        <w:t xml:space="preserve"> ratios in procreative tissues were noted in the uterine epithelium and lumen (1.6</w:t>
      </w:r>
      <w:r w:rsidR="00192749">
        <w:t xml:space="preserve"> </w:t>
      </w:r>
      <w:proofErr w:type="gramStart"/>
      <w:r w:rsidR="00192749">
        <w:t>x</w:t>
      </w:r>
      <w:proofErr w:type="gramEnd"/>
      <w:r>
        <w:t>).</w:t>
      </w:r>
    </w:p>
    <w:p w:rsidR="001A0C9A" w:rsidRDefault="00A146D6" w:rsidP="009E405F">
      <w:pPr>
        <w:pStyle w:val="Heading5"/>
      </w:pPr>
      <w:r w:rsidRPr="009E405F">
        <w:rPr>
          <w:rFonts w:eastAsia="Cambria"/>
        </w:rPr>
        <w:t>Metabolism</w:t>
      </w:r>
    </w:p>
    <w:p w:rsidR="00A146D6" w:rsidRDefault="00A146D6" w:rsidP="00A146D6">
      <w:r w:rsidRPr="00F4311D">
        <w:t>In vitro</w:t>
      </w:r>
      <w:r>
        <w:t xml:space="preserve"> metabolism studies using human hepatocytes identified no metabolites. The major metabolite identified in human intestinal microsomal incubations was M11. Two new bioanalytical studies were submitted analysing plasma from rats and monkeys following administration of eluxadoline. The studies found that S</w:t>
      </w:r>
      <w:proofErr w:type="gramStart"/>
      <w:r>
        <w:t>,S</w:t>
      </w:r>
      <w:proofErr w:type="gramEnd"/>
      <w:r>
        <w:t>-eluxadoline was not bio-transformed into S,R-eluxadoline at quantifiable levels (&lt;</w:t>
      </w:r>
      <w:r w:rsidR="005F724D">
        <w:t xml:space="preserve"> </w:t>
      </w:r>
      <w:r>
        <w:t>0.500 ng/mL for</w:t>
      </w:r>
      <w:r w:rsidR="003933CA">
        <w:t xml:space="preserve"> </w:t>
      </w:r>
      <w:r>
        <w:t>S,S-eluxadoline and &lt;</w:t>
      </w:r>
      <w:r w:rsidR="005F724D">
        <w:t xml:space="preserve"> </w:t>
      </w:r>
      <w:r>
        <w:t>0.100 ng/mL S,R-eluxadoline) in either species.</w:t>
      </w:r>
    </w:p>
    <w:p w:rsidR="001A0C9A" w:rsidRDefault="00A146D6" w:rsidP="009E405F">
      <w:pPr>
        <w:pStyle w:val="Heading5"/>
      </w:pPr>
      <w:r w:rsidRPr="009E405F">
        <w:rPr>
          <w:rFonts w:eastAsia="Cambria"/>
        </w:rPr>
        <w:t>Excretion</w:t>
      </w:r>
    </w:p>
    <w:p w:rsidR="00A146D6" w:rsidRDefault="00A146D6" w:rsidP="00A146D6">
      <w:r w:rsidRPr="00F4311D">
        <w:t>In vivo</w:t>
      </w:r>
      <w:r>
        <w:t xml:space="preserve"> studies showed that most of the eluxadoline administered was excreted in faeces unchanged, with </w:t>
      </w:r>
      <w:r w:rsidR="001A0C9A">
        <w:t xml:space="preserve">the metabolite </w:t>
      </w:r>
      <w:r>
        <w:t>M11 found to be excreted in the urine of rat, primates and humans, as well as in plasma samples from monkeys. Rats PO or SC administered eluxadoline showed rapid primary excretion in faeces (PO: 97.1%; SC: 90.1%) an</w:t>
      </w:r>
      <w:r w:rsidR="003933CA">
        <w:t>d urine (PO: 0.54%; SC:</w:t>
      </w:r>
      <w:r w:rsidR="001A0C9A">
        <w:t> </w:t>
      </w:r>
      <w:r w:rsidR="003933CA">
        <w:t>7.29%)</w:t>
      </w:r>
      <w:r>
        <w:t>.</w:t>
      </w:r>
    </w:p>
    <w:p w:rsidR="00A146D6" w:rsidRDefault="00A146D6" w:rsidP="00A146D6">
      <w:r>
        <w:t xml:space="preserve">Following </w:t>
      </w:r>
      <w:r w:rsidR="001A0C9A">
        <w:t xml:space="preserve">PO </w:t>
      </w:r>
      <w:r>
        <w:t>administration in rats, eluxadoline is excreted in the milk of lactating rats in a less than 1:1 ratio compared to plasma.</w:t>
      </w:r>
    </w:p>
    <w:p w:rsidR="00A146D6" w:rsidRDefault="00A146D6" w:rsidP="000B640B">
      <w:pPr>
        <w:pStyle w:val="Heading4"/>
      </w:pPr>
      <w:r>
        <w:t>Pharmacokinetic drug interactions</w:t>
      </w:r>
    </w:p>
    <w:p w:rsidR="003933CA" w:rsidRDefault="00A146D6" w:rsidP="00A146D6">
      <w:r>
        <w:t>The FDA report evaluated studies profiling cytochrome P450 (CYP450) which show that eluxadoline, at clinically relevant concentrations, has low potential for drug-drug interactions based on in vitro results indicating a lack of potential for reversible CYP inhibition (for CYP1A2, CYP2A6, CYP2B6,</w:t>
      </w:r>
      <w:r w:rsidR="003933CA">
        <w:t xml:space="preserve"> </w:t>
      </w:r>
      <w:r>
        <w:t>CYP2C9, CYP2C19, CYP3A4, CYP2D6)</w:t>
      </w:r>
      <w:r w:rsidR="006B12F3">
        <w:rPr>
          <w:rStyle w:val="FootnoteReference"/>
        </w:rPr>
        <w:footnoteReference w:id="11"/>
      </w:r>
      <w:r>
        <w:t>, and/or lack of induction (for CYP1A2, CYP3A4, CYP2C9,</w:t>
      </w:r>
      <w:r w:rsidR="003933CA">
        <w:t xml:space="preserve"> </w:t>
      </w:r>
      <w:r>
        <w:t>CYP2C19), and it also did not induce CYP mRNAs in cryopreserved hepatocytes (</w:t>
      </w:r>
      <w:r w:rsidR="00192749">
        <w:t xml:space="preserve">≤ </w:t>
      </w:r>
      <w:r>
        <w:t>30 µM). A study using the major human CYP450 isozymes showed that eluxadoline had some potential for the mechanism-based inactivation of CYP3A4. In vitro results suggest that eluxadoline has very low passive permeability and does not significantly cross membranes when analysed in drug efflux transporter assays using Madin-Darby canine kidney II (MDCKII) cells</w:t>
      </w:r>
      <w:r w:rsidR="003933CA">
        <w:t>.</w:t>
      </w:r>
    </w:p>
    <w:p w:rsidR="00A146D6" w:rsidRDefault="00A146D6" w:rsidP="00A146D6">
      <w:r>
        <w:t xml:space="preserve">Eluxadoline was shown to be transported by </w:t>
      </w:r>
      <w:r w:rsidR="003933CA">
        <w:t>organic anion transporter 3 (</w:t>
      </w:r>
      <w:r>
        <w:t>OAT3</w:t>
      </w:r>
      <w:r w:rsidR="003933CA">
        <w:t>)</w:t>
      </w:r>
      <w:r>
        <w:t>,</w:t>
      </w:r>
      <w:r w:rsidR="003933CA">
        <w:t xml:space="preserve"> </w:t>
      </w:r>
      <w:r w:rsidR="003933CA" w:rsidRPr="003933CA">
        <w:t xml:space="preserve">organic anion transporting polypeptide 1B1 (OATP1B1) </w:t>
      </w:r>
      <w:r>
        <w:t xml:space="preserve">and </w:t>
      </w:r>
      <w:r w:rsidR="000B653A" w:rsidRPr="00E124D1">
        <w:t xml:space="preserve">bile salt export pump </w:t>
      </w:r>
      <w:r w:rsidR="000B653A">
        <w:t>(</w:t>
      </w:r>
      <w:r>
        <w:t>BSEP</w:t>
      </w:r>
      <w:r w:rsidR="00E124D1">
        <w:t>)</w:t>
      </w:r>
      <w:r>
        <w:t xml:space="preserve"> at the highest concentration tested (400 ng/mL), but not transported by OAT1, </w:t>
      </w:r>
      <w:r w:rsidR="00E124D1" w:rsidRPr="00E124D1">
        <w:t xml:space="preserve">organic cation transporters </w:t>
      </w:r>
      <w:r w:rsidR="00E124D1">
        <w:t>1 and 2 (</w:t>
      </w:r>
      <w:r>
        <w:t>OCT1</w:t>
      </w:r>
      <w:r w:rsidR="00E124D1">
        <w:t xml:space="preserve"> and</w:t>
      </w:r>
      <w:r>
        <w:t xml:space="preserve"> OCT2</w:t>
      </w:r>
      <w:r w:rsidR="00E124D1">
        <w:t>)</w:t>
      </w:r>
      <w:r>
        <w:t xml:space="preserve">, OATP1B3, </w:t>
      </w:r>
      <w:r w:rsidR="000B653A">
        <w:t>m</w:t>
      </w:r>
      <w:r w:rsidR="000B653A" w:rsidRPr="00E124D1">
        <w:t>ulti</w:t>
      </w:r>
      <w:r w:rsidR="00E124D1" w:rsidRPr="00E124D1">
        <w:t>-</w:t>
      </w:r>
      <w:r w:rsidR="000B653A">
        <w:t>d</w:t>
      </w:r>
      <w:r w:rsidR="000B653A" w:rsidRPr="00E124D1">
        <w:t xml:space="preserve">rug </w:t>
      </w:r>
      <w:r w:rsidR="000B653A">
        <w:t>r</w:t>
      </w:r>
      <w:r w:rsidR="000B653A" w:rsidRPr="00E124D1">
        <w:t xml:space="preserve">esistance </w:t>
      </w:r>
      <w:r w:rsidR="00E124D1" w:rsidRPr="00E124D1">
        <w:t xml:space="preserve">1 </w:t>
      </w:r>
      <w:r w:rsidR="00E124D1">
        <w:t>(</w:t>
      </w:r>
      <w:r>
        <w:t>P-gp</w:t>
      </w:r>
      <w:r w:rsidR="00E124D1">
        <w:t>)</w:t>
      </w:r>
      <w:r>
        <w:t xml:space="preserve"> or </w:t>
      </w:r>
      <w:r w:rsidR="00E124D1">
        <w:t>breast cancer resistance protein (</w:t>
      </w:r>
      <w:r>
        <w:t>BCRP</w:t>
      </w:r>
      <w:r w:rsidR="00E124D1">
        <w:t>)</w:t>
      </w:r>
      <w:r>
        <w:t xml:space="preserve">. Furthermore, </w:t>
      </w:r>
      <w:r w:rsidR="000B653A">
        <w:t>m</w:t>
      </w:r>
      <w:r w:rsidR="000B653A" w:rsidRPr="00E124D1">
        <w:t>ulti</w:t>
      </w:r>
      <w:r w:rsidR="00E124D1" w:rsidRPr="00E124D1">
        <w:t>-</w:t>
      </w:r>
      <w:r w:rsidR="000B653A">
        <w:t>d</w:t>
      </w:r>
      <w:r w:rsidR="000B653A" w:rsidRPr="00E124D1">
        <w:t xml:space="preserve">rug </w:t>
      </w:r>
      <w:r w:rsidR="00E124D1">
        <w:t>transporter 2 (</w:t>
      </w:r>
      <w:r>
        <w:t>MRP2</w:t>
      </w:r>
      <w:r w:rsidR="00E124D1">
        <w:t xml:space="preserve">) </w:t>
      </w:r>
      <w:r>
        <w:t>dependent vesicular accumulation of eluxadoline was observed at all concentrations (4</w:t>
      </w:r>
      <w:r w:rsidR="003933CA">
        <w:t xml:space="preserve"> </w:t>
      </w:r>
      <w:r w:rsidR="001A0C9A">
        <w:t>to</w:t>
      </w:r>
      <w:r w:rsidR="00D97D3D">
        <w:t xml:space="preserve"> </w:t>
      </w:r>
      <w:r>
        <w:t>400 ng/mL) tested, suggesting that eluxadoline may be a substrate of MRP2. In vitro, eluxadoline (400 ng/mL) did not significantly inhibit BCRP, BSEP, MRP2, OCT1, OCT2, OAT1, OAT3 or OATP1B3</w:t>
      </w:r>
      <w:r w:rsidR="00E124D1">
        <w:t xml:space="preserve"> </w:t>
      </w:r>
      <w:r>
        <w:t xml:space="preserve">mediated transport of probe substrates, but showed transport </w:t>
      </w:r>
      <w:r>
        <w:lastRenderedPageBreak/>
        <w:t>inhibition of probe substrates of OATP1B1 (32.6%) and P-gp (6.25%) in comparison to control.</w:t>
      </w:r>
    </w:p>
    <w:p w:rsidR="00A146D6" w:rsidRDefault="00A146D6" w:rsidP="00A146D6">
      <w:r>
        <w:t>In summary, eluxadoline at clinical concentrations may have potential for drug interactions through its properties of being a substrate and an inhibitor of OATP1B1 and a substrate of MRP2.</w:t>
      </w:r>
    </w:p>
    <w:p w:rsidR="001B5C90" w:rsidRDefault="008E7846" w:rsidP="001B5C90">
      <w:pPr>
        <w:pStyle w:val="Heading3"/>
      </w:pPr>
      <w:bookmarkStart w:id="53" w:name="_Toc510009709"/>
      <w:r>
        <w:t>Toxicology</w:t>
      </w:r>
      <w:bookmarkEnd w:id="51"/>
      <w:bookmarkEnd w:id="52"/>
      <w:bookmarkEnd w:id="53"/>
    </w:p>
    <w:p w:rsidR="00A146D6" w:rsidRDefault="00A146D6" w:rsidP="000B640B">
      <w:pPr>
        <w:pStyle w:val="Heading4"/>
      </w:pPr>
      <w:r>
        <w:t>Acute toxicity</w:t>
      </w:r>
    </w:p>
    <w:p w:rsidR="00A146D6" w:rsidRDefault="00A146D6" w:rsidP="00A146D6">
      <w:r>
        <w:t xml:space="preserve">The sponsor did not submit any new nonclinical acute toxicity studies for evaluation. The FDA report evaluates and discusses an in vivo study in mice which found that PO administration of 100 mg/kg of eluxadoline produced no treatment-related clinical signs or mortality, and </w:t>
      </w:r>
      <w:r w:rsidR="00E124D1">
        <w:t>intraperitoneal (</w:t>
      </w:r>
      <w:r>
        <w:t>IP</w:t>
      </w:r>
      <w:r w:rsidR="00E124D1">
        <w:t>)</w:t>
      </w:r>
      <w:r>
        <w:t xml:space="preserve"> administration</w:t>
      </w:r>
      <w:r w:rsidR="000B640B">
        <w:t xml:space="preserve"> </w:t>
      </w:r>
      <w:r>
        <w:t>(</w:t>
      </w:r>
      <w:r w:rsidR="00192749">
        <w:t xml:space="preserve">≤ </w:t>
      </w:r>
      <w:r>
        <w:t xml:space="preserve">500 mg/kg) of eluxadoline was well tolerated. However, IP administered eluxadoline </w:t>
      </w:r>
      <w:r w:rsidR="00E124D1">
        <w:t xml:space="preserve">≥ </w:t>
      </w:r>
      <w:r>
        <w:t xml:space="preserve">125 mg/kg produced </w:t>
      </w:r>
      <w:r w:rsidR="00E124D1">
        <w:t>central nervous system (</w:t>
      </w:r>
      <w:r>
        <w:t>CNS</w:t>
      </w:r>
      <w:r w:rsidR="00E124D1">
        <w:t>)</w:t>
      </w:r>
      <w:r>
        <w:t xml:space="preserve"> signs including decreased activity and increased activity with or without circling</w:t>
      </w:r>
      <w:r w:rsidR="000B640B">
        <w:t xml:space="preserve"> </w:t>
      </w:r>
      <w:r>
        <w:t>(</w:t>
      </w:r>
      <w:r w:rsidR="00E124D1">
        <w:t xml:space="preserve">≥ </w:t>
      </w:r>
      <w:r>
        <w:t>25</w:t>
      </w:r>
      <w:r w:rsidR="00746A5C">
        <w:t>0 mg</w:t>
      </w:r>
      <w:r>
        <w:t>/kg).</w:t>
      </w:r>
    </w:p>
    <w:p w:rsidR="00A146D6" w:rsidRDefault="00A146D6" w:rsidP="00A146D6">
      <w:r>
        <w:t xml:space="preserve">Furthermore, an </w:t>
      </w:r>
      <w:r w:rsidRPr="00F4311D">
        <w:t>in vivo</w:t>
      </w:r>
      <w:r>
        <w:t xml:space="preserve"> study in rats showed decreased faeces in females </w:t>
      </w:r>
      <w:r w:rsidR="00847FD4">
        <w:t xml:space="preserve">when </w:t>
      </w:r>
      <w:r>
        <w:t>administered</w:t>
      </w:r>
      <w:r w:rsidR="000B640B">
        <w:t xml:space="preserve"> </w:t>
      </w:r>
      <w:r>
        <w:t>2000 mg/kg of eluxadoline</w:t>
      </w:r>
      <w:r w:rsidR="00847FD4">
        <w:t xml:space="preserve"> PO</w:t>
      </w:r>
      <w:r>
        <w:t>. Mortality was observed following IP administration (</w:t>
      </w:r>
      <w:r w:rsidR="002F2130">
        <w:t>m</w:t>
      </w:r>
      <w:r>
        <w:t>ales:</w:t>
      </w:r>
      <w:r w:rsidR="002F2130">
        <w:t> </w:t>
      </w:r>
      <w:r w:rsidR="00E124D1">
        <w:t>≥ </w:t>
      </w:r>
      <w:r>
        <w:t>125 mg/kg;</w:t>
      </w:r>
      <w:r w:rsidR="000B640B">
        <w:t xml:space="preserve"> </w:t>
      </w:r>
      <w:r w:rsidR="002F2130">
        <w:t>f</w:t>
      </w:r>
      <w:r>
        <w:t xml:space="preserve">emales: 250 mg/kg), with clinical observations noted at all doses, as well as decreased faeces (31.25 mg/kg; </w:t>
      </w:r>
      <w:r w:rsidR="00E124D1">
        <w:t xml:space="preserve">≥ </w:t>
      </w:r>
      <w:r>
        <w:t>125 mg/kg), ataxia, decreased activity, and mydriasis (</w:t>
      </w:r>
      <w:r w:rsidR="00E124D1">
        <w:t>≥ </w:t>
      </w:r>
      <w:r>
        <w:t>62.5 mg/kg), and decreases in the depth and rate of respiration (</w:t>
      </w:r>
      <w:r w:rsidR="00E124D1">
        <w:t>≥</w:t>
      </w:r>
      <w:r w:rsidR="002F2130">
        <w:t> </w:t>
      </w:r>
      <w:r>
        <w:t>125</w:t>
      </w:r>
      <w:r w:rsidR="002F2130">
        <w:t> </w:t>
      </w:r>
      <w:r>
        <w:t>mg/kg).</w:t>
      </w:r>
    </w:p>
    <w:p w:rsidR="00A146D6" w:rsidRDefault="00A146D6" w:rsidP="000B640B">
      <w:pPr>
        <w:pStyle w:val="Heading4"/>
      </w:pPr>
      <w:r>
        <w:t>Repeat-dose toxicity</w:t>
      </w:r>
    </w:p>
    <w:p w:rsidR="00A146D6" w:rsidRDefault="0008268B" w:rsidP="00A146D6">
      <w:r>
        <w:t xml:space="preserve">16 repeat-dose toxicity studies were submitted, which included repeat PO dose studies in mice (non-pivotal: 28 days; and 3 months), rats (5 and 28 days; 3 and 6 months) and monkeys (5, 7 and 28 days; 3, and 9 months) and 14 studies were evaluated by the FDA. </w:t>
      </w:r>
      <w:r w:rsidR="002F2130">
        <w:t xml:space="preserve">2 </w:t>
      </w:r>
      <w:r w:rsidR="00A146D6">
        <w:t>new repeat-dose toxicity studies were</w:t>
      </w:r>
      <w:r w:rsidR="000B640B">
        <w:t xml:space="preserve"> </w:t>
      </w:r>
      <w:r w:rsidR="00A146D6">
        <w:t>submitted which included one rat (PO administration; 28 day) and one monkey (IV administration; 7 day) study.</w:t>
      </w:r>
    </w:p>
    <w:p w:rsidR="00A146D6" w:rsidRDefault="00A146D6" w:rsidP="000B640B">
      <w:pPr>
        <w:pStyle w:val="Heading5"/>
      </w:pPr>
      <w:r>
        <w:t>Rats</w:t>
      </w:r>
    </w:p>
    <w:p w:rsidR="00A146D6" w:rsidRDefault="00A146D6" w:rsidP="00A146D6">
      <w:r>
        <w:t>The investigative tolerance study evaluated in the FDA report found that dose escalating administration of eluxadoline PO (</w:t>
      </w:r>
      <w:r w:rsidR="00192749">
        <w:t xml:space="preserve">≤ </w:t>
      </w:r>
      <w:r>
        <w:t>500 mg/kg) or SC (</w:t>
      </w:r>
      <w:r w:rsidR="00192749">
        <w:t xml:space="preserve">≤ </w:t>
      </w:r>
      <w:r>
        <w:t>75 mg/kg) for 5 consecutive days produced reduced faeces 24 h post-dose with lower mean triglycerides, food filled stomachs and firm f</w:t>
      </w:r>
      <w:r w:rsidR="000F77DE">
        <w:t>a</w:t>
      </w:r>
      <w:r>
        <w:t>ecal matter in the colon. The study showed no meaningful difference in gene expression in the liver tissue after PO (500 mg/kg) or SC (525 or 75 mg/kg) routes, with no induction in CYP mRNAs observed in human hepatocytes (</w:t>
      </w:r>
      <w:r w:rsidR="00192749">
        <w:t xml:space="preserve">≤ </w:t>
      </w:r>
      <w:r>
        <w:t>30 µM).</w:t>
      </w:r>
    </w:p>
    <w:p w:rsidR="00A146D6" w:rsidRDefault="00A146D6" w:rsidP="00A146D6">
      <w:r>
        <w:t>Intravenously administering eluxadoline in rats for 14 consecutive days (</w:t>
      </w:r>
      <w:r w:rsidR="00192749">
        <w:t xml:space="preserve">≤ </w:t>
      </w:r>
      <w:r>
        <w:t>20 mg/kg/day) was evaluated in the FDA report which showed that eluxadoline was well tolerated with no treatment- related effects on survival, ophthalmology, haematology, coagulation, clinical chemistry, urinalysis parameters, or macroscopic and microscopic pathology. Drug class clinical findings were observed at higher concentrations (10</w:t>
      </w:r>
      <w:r w:rsidR="002F2130">
        <w:t xml:space="preserve"> to </w:t>
      </w:r>
      <w:r>
        <w:t>20 mg/kg/day) with administration of eluxadoline showing a lack of any adverse related effects. One new 28 day study in rats showed that doses of</w:t>
      </w:r>
      <w:r w:rsidR="000B640B">
        <w:t xml:space="preserve"> </w:t>
      </w:r>
      <w:r w:rsidR="00192749">
        <w:t xml:space="preserve">≤ </w:t>
      </w:r>
      <w:r>
        <w:t xml:space="preserve">1000 mg/kg/day PO or </w:t>
      </w:r>
      <w:r w:rsidR="00192749">
        <w:t xml:space="preserve">≤ </w:t>
      </w:r>
      <w:r>
        <w:t>1000/5 mg/kg/day PO/SC) were well tolerated during the dosing period with slight irritation at the SC injection site, with slight decreases in body weight and food consumption at the higher doses, which were not considered to be adverse.</w:t>
      </w:r>
    </w:p>
    <w:p w:rsidR="00A146D6" w:rsidRDefault="00A146D6" w:rsidP="00A146D6">
      <w:r>
        <w:t>A 13</w:t>
      </w:r>
      <w:r w:rsidR="00076679">
        <w:t>-</w:t>
      </w:r>
      <w:r>
        <w:t>week study in rats evaluated in the FDA report found that eluxadoline was well tolerated when orally administered (</w:t>
      </w:r>
      <w:r w:rsidR="00192749">
        <w:t xml:space="preserve">≤ </w:t>
      </w:r>
      <w:r>
        <w:t xml:space="preserve">1000 mg/kg; </w:t>
      </w:r>
      <w:r w:rsidR="00CC5FB4">
        <w:t>No observable adverse effect level (</w:t>
      </w:r>
      <w:r>
        <w:t>NOAEL</w:t>
      </w:r>
      <w:r w:rsidR="00CC5FB4">
        <w:t>)</w:t>
      </w:r>
      <w:r>
        <w:t xml:space="preserve">), as well as when administered in a combination of oral and SC administrations </w:t>
      </w:r>
      <w:r>
        <w:lastRenderedPageBreak/>
        <w:t>(</w:t>
      </w:r>
      <w:r w:rsidR="00192749">
        <w:t xml:space="preserve">≤ </w:t>
      </w:r>
      <w:r>
        <w:t xml:space="preserve">200/5 mg/kg; NOAEL), with slight local irritation at the SC injection site. </w:t>
      </w:r>
      <w:r w:rsidR="0008268B">
        <w:t>Furthermore, rats administered eluxadoline PO daily for 26 weeks showed it was well tolerated and found no test article-related effects on mortality, body weight, food consumption, ophthalmological findings, clinical observations, haematology, coagulation, clinical chemistry, or urinalysis parameters, or in macroscopic, organ weight, and microscopic evaluations in either sex.</w:t>
      </w:r>
    </w:p>
    <w:p w:rsidR="00A146D6" w:rsidRDefault="00A146D6" w:rsidP="000B640B">
      <w:pPr>
        <w:pStyle w:val="Heading5"/>
      </w:pPr>
      <w:r>
        <w:t>Monkeys</w:t>
      </w:r>
    </w:p>
    <w:p w:rsidR="00A146D6" w:rsidRDefault="00A146D6" w:rsidP="00A146D6">
      <w:r>
        <w:t xml:space="preserve">One new 7 day study in </w:t>
      </w:r>
      <w:r w:rsidR="000B653A">
        <w:t xml:space="preserve">cynomolgus </w:t>
      </w:r>
      <w:r>
        <w:t>monkeys IV administered eluxadoline showed no observable treatment</w:t>
      </w:r>
      <w:r w:rsidR="00CC5FB4">
        <w:t xml:space="preserve"> </w:t>
      </w:r>
      <w:r>
        <w:t>related clinical signs (</w:t>
      </w:r>
      <w:r w:rsidR="00192749">
        <w:t xml:space="preserve">≤ </w:t>
      </w:r>
      <w:r>
        <w:t>5 mg/kg/day). The highest dose,</w:t>
      </w:r>
      <w:r w:rsidR="000B640B">
        <w:t xml:space="preserve"> </w:t>
      </w:r>
      <w:r w:rsidR="00CC5FB4">
        <w:t>40</w:t>
      </w:r>
      <w:r w:rsidR="002F2130">
        <w:t xml:space="preserve"> then </w:t>
      </w:r>
      <w:r w:rsidR="00CC5FB4">
        <w:t>30</w:t>
      </w:r>
      <w:r w:rsidR="002F2130">
        <w:t> </w:t>
      </w:r>
      <w:r w:rsidR="00CC5FB4">
        <w:t>mg/kg/day, (d</w:t>
      </w:r>
      <w:r>
        <w:t xml:space="preserve">ose reduced from 40 to 30 on Day 2) was associated with clinical signs in both sexes (decreased activity, ataxia, eyelids partially/completely closed, pupil constriction, inappetence and difficult/shallow breathing), with no treatment-related changes in clinical pathology and no treatment-related macroscopic findings observed post-mortem. A study evaluated in the FDA report IV administered eluxadoline in </w:t>
      </w:r>
      <w:r w:rsidR="005F24CC">
        <w:t>c</w:t>
      </w:r>
      <w:r>
        <w:t>ynomolgus monkeys for 14 consecutive days (</w:t>
      </w:r>
      <w:r w:rsidR="00192749">
        <w:t xml:space="preserve">≤ </w:t>
      </w:r>
      <w:r>
        <w:t>20 mg/kg/day) found no treatment-related effects on survival, body weights, ophthalmology, haematology, coagulation, clinical chemistry, urinalysis, macroscopic, organ weights or microscopic evaluations.</w:t>
      </w:r>
    </w:p>
    <w:p w:rsidR="00A146D6" w:rsidRDefault="00A146D6" w:rsidP="00A146D6">
      <w:r>
        <w:t xml:space="preserve">Alterations in </w:t>
      </w:r>
      <w:r w:rsidR="005809C6">
        <w:t>electrocardiogram (</w:t>
      </w:r>
      <w:r>
        <w:t>ECG</w:t>
      </w:r>
      <w:r w:rsidR="005809C6">
        <w:t>)</w:t>
      </w:r>
      <w:r>
        <w:t xml:space="preserve"> parameters were observed in treated animals including a reversible slowing of the heart rate in all doses post-dose but were not considered adverse.</w:t>
      </w:r>
    </w:p>
    <w:p w:rsidR="00A146D6" w:rsidRDefault="00A146D6" w:rsidP="00A146D6">
      <w:r>
        <w:t>Additionally, a 3 month cynomolgus monkey study evaluated in the FDA report found that eluxadoline was well tolerated when administered via PO (</w:t>
      </w:r>
      <w:r w:rsidR="00192749">
        <w:t xml:space="preserve">≤ </w:t>
      </w:r>
      <w:r>
        <w:t>200 mg/kg/day) or PO/SC</w:t>
      </w:r>
      <w:r w:rsidR="000B640B">
        <w:t xml:space="preserve"> </w:t>
      </w:r>
      <w:r>
        <w:t>(</w:t>
      </w:r>
      <w:r w:rsidR="005809C6">
        <w:t>≤ </w:t>
      </w:r>
      <w:r>
        <w:t>200/25 mg/kg/day). Study results showed no treatment–related clinical signs or changes in food consumption, body weight, clinical pathology findings, ophthalmology findings or electrocardiogram parameters. Furthermore, the 39</w:t>
      </w:r>
      <w:r w:rsidR="005809C6">
        <w:t xml:space="preserve"> </w:t>
      </w:r>
      <w:r>
        <w:t xml:space="preserve">week study using </w:t>
      </w:r>
      <w:r w:rsidR="00F93B63">
        <w:t>c</w:t>
      </w:r>
      <w:r>
        <w:t>ynomolgus monkeys showed that PO eluxadoline (</w:t>
      </w:r>
      <w:r w:rsidR="00192749">
        <w:t xml:space="preserve">≤ </w:t>
      </w:r>
      <w:r>
        <w:t>200 mg/kg/day) had no adverse treatment-related effects on mortality, clinical findings, body weight, ophthalmological findings, urinalysis parameters, electrocardiographic examinations or any macro- and microscopic findings in either gender.</w:t>
      </w:r>
    </w:p>
    <w:p w:rsidR="00A146D6" w:rsidRDefault="00A146D6" w:rsidP="000B640B">
      <w:pPr>
        <w:pStyle w:val="Heading5"/>
      </w:pPr>
      <w:r>
        <w:t>Relative exposure</w:t>
      </w:r>
    </w:p>
    <w:p w:rsidR="00A146D6" w:rsidRDefault="00A146D6" w:rsidP="00A146D6">
      <w:r>
        <w:t>The 13</w:t>
      </w:r>
      <w:r w:rsidR="00F93B63">
        <w:t xml:space="preserve"> </w:t>
      </w:r>
      <w:r>
        <w:t>week study in rats achieved very high systemic levels with SC boosts (200/5</w:t>
      </w:r>
      <w:r w:rsidR="00F93B63">
        <w:t> </w:t>
      </w:r>
      <w:r>
        <w:t xml:space="preserve">mg/kg; </w:t>
      </w:r>
      <w:r w:rsidR="00C87895">
        <w:t>C</w:t>
      </w:r>
      <w:r w:rsidR="00C87895" w:rsidRPr="00C87895">
        <w:rPr>
          <w:vertAlign w:val="subscript"/>
        </w:rPr>
        <w:t>max</w:t>
      </w:r>
      <w:r>
        <w:t xml:space="preserve">: 654 ng/mL; </w:t>
      </w:r>
      <w:r w:rsidR="00EF0446">
        <w:t>a</w:t>
      </w:r>
      <w:r w:rsidR="00EF0446" w:rsidRPr="00EF0446">
        <w:t>rea under the plasma concentration versus time curve between time 0 and</w:t>
      </w:r>
      <w:r w:rsidR="00EF0446">
        <w:t xml:space="preserve"> 24</w:t>
      </w:r>
      <w:r w:rsidR="00EF0446" w:rsidRPr="00EF0446">
        <w:t xml:space="preserve"> hours </w:t>
      </w:r>
      <w:r w:rsidR="00EF0446">
        <w:t>(</w:t>
      </w:r>
      <w:r>
        <w:t>AUC</w:t>
      </w:r>
      <w:r w:rsidRPr="005809C6">
        <w:rPr>
          <w:vertAlign w:val="subscript"/>
        </w:rPr>
        <w:t>0-24h</w:t>
      </w:r>
      <w:r w:rsidR="00EF0446">
        <w:t xml:space="preserve">): </w:t>
      </w:r>
      <w:r>
        <w:t>3495 ng.h/mL) which were greater than 216 and 74</w:t>
      </w:r>
      <w:r w:rsidR="00EF0446">
        <w:t> </w:t>
      </w:r>
      <w:r>
        <w:t>fold the values (</w:t>
      </w:r>
      <w:r w:rsidR="00C87895">
        <w:t>C</w:t>
      </w:r>
      <w:r w:rsidR="00C87895" w:rsidRPr="00C87895">
        <w:rPr>
          <w:vertAlign w:val="subscript"/>
        </w:rPr>
        <w:t>max</w:t>
      </w:r>
      <w:r>
        <w:t>: 3.03 ng/mL and AUC</w:t>
      </w:r>
      <w:r w:rsidRPr="00881916">
        <w:rPr>
          <w:vertAlign w:val="subscript"/>
        </w:rPr>
        <w:t>0-24h</w:t>
      </w:r>
      <w:r>
        <w:t xml:space="preserve">: 47.08 ng.h/mL respectively) of </w:t>
      </w:r>
      <w:r w:rsidR="00EF0446">
        <w:t xml:space="preserve">the </w:t>
      </w:r>
      <w:r>
        <w:t>h</w:t>
      </w:r>
      <w:r w:rsidR="005809C6">
        <w:t>uman therapeutic dose (100 mg bd</w:t>
      </w:r>
      <w:r>
        <w:t>; Cl</w:t>
      </w:r>
      <w:r w:rsidR="005809C6">
        <w:t>inical Study CPS-1008) (</w:t>
      </w:r>
      <w:r w:rsidR="00EF0446">
        <w:t xml:space="preserve">see </w:t>
      </w:r>
      <w:r w:rsidR="005809C6">
        <w:t xml:space="preserve">Table </w:t>
      </w:r>
      <w:r w:rsidR="00AC04B2">
        <w:t>3</w:t>
      </w:r>
      <w:r w:rsidR="00EF0446">
        <w:t>, below</w:t>
      </w:r>
      <w:r>
        <w:t>). The 9 month study in cynomolgus monkeys achieved adequate levels of eluxadoline exposure at the highest concentration used compared to the maximal human therapeutic dose.</w:t>
      </w:r>
    </w:p>
    <w:p w:rsidR="00A146D6" w:rsidRDefault="005809C6" w:rsidP="00E60473">
      <w:pPr>
        <w:pStyle w:val="Tabletitle0"/>
      </w:pPr>
      <w:r>
        <w:t xml:space="preserve">Table </w:t>
      </w:r>
      <w:r w:rsidR="00AC04B2">
        <w:t>3</w:t>
      </w:r>
      <w:r w:rsidR="00A146D6">
        <w:t>: Relative exposure in pivotal repeat-dose toxicity and carcinogenicity studies</w:t>
      </w:r>
    </w:p>
    <w:tbl>
      <w:tblPr>
        <w:tblW w:w="8931" w:type="dxa"/>
        <w:tblInd w:w="10" w:type="dxa"/>
        <w:tblLayout w:type="fixed"/>
        <w:tblCellMar>
          <w:left w:w="0" w:type="dxa"/>
          <w:right w:w="0" w:type="dxa"/>
        </w:tblCellMar>
        <w:tblLook w:val="0000" w:firstRow="0" w:lastRow="0" w:firstColumn="0" w:lastColumn="0" w:noHBand="0" w:noVBand="0"/>
      </w:tblPr>
      <w:tblGrid>
        <w:gridCol w:w="1411"/>
        <w:gridCol w:w="2275"/>
        <w:gridCol w:w="1843"/>
        <w:gridCol w:w="1559"/>
        <w:gridCol w:w="1843"/>
      </w:tblGrid>
      <w:tr w:rsidR="005809C6" w:rsidRPr="005809C6" w:rsidTr="009E405F">
        <w:trPr>
          <w:cantSplit/>
          <w:trHeight w:val="720"/>
          <w:tblHeader/>
        </w:trPr>
        <w:tc>
          <w:tcPr>
            <w:tcW w:w="1411" w:type="dxa"/>
            <w:tcBorders>
              <w:top w:val="single" w:sz="8" w:space="0" w:color="000000"/>
              <w:left w:val="single" w:sz="8" w:space="0" w:color="000000"/>
              <w:bottom w:val="single" w:sz="8" w:space="0" w:color="000000"/>
              <w:right w:val="single" w:sz="4" w:space="0" w:color="000000"/>
            </w:tcBorders>
            <w:shd w:val="clear" w:color="auto" w:fill="0070C0"/>
          </w:tcPr>
          <w:p w:rsidR="00C65F34" w:rsidRPr="005809C6" w:rsidRDefault="00C65F34" w:rsidP="009E405F">
            <w:pPr>
              <w:spacing w:after="0" w:line="360" w:lineRule="auto"/>
              <w:jc w:val="center"/>
              <w:rPr>
                <w:b/>
                <w:color w:val="FFFFFF" w:themeColor="background1"/>
                <w:sz w:val="18"/>
                <w:szCs w:val="18"/>
              </w:rPr>
            </w:pPr>
            <w:r w:rsidRPr="005809C6">
              <w:rPr>
                <w:b/>
                <w:color w:val="FFFFFF" w:themeColor="background1"/>
                <w:sz w:val="18"/>
                <w:szCs w:val="18"/>
              </w:rPr>
              <w:t>Species</w:t>
            </w:r>
          </w:p>
        </w:tc>
        <w:tc>
          <w:tcPr>
            <w:tcW w:w="2275" w:type="dxa"/>
            <w:tcBorders>
              <w:top w:val="single" w:sz="8" w:space="0" w:color="000000"/>
              <w:left w:val="single" w:sz="4" w:space="0" w:color="000000"/>
              <w:bottom w:val="single" w:sz="8" w:space="0" w:color="000000"/>
              <w:right w:val="single" w:sz="4" w:space="0" w:color="000000"/>
            </w:tcBorders>
            <w:shd w:val="clear" w:color="auto" w:fill="0070C0"/>
          </w:tcPr>
          <w:p w:rsidR="00C35916" w:rsidRDefault="00C65F34" w:rsidP="009E405F">
            <w:pPr>
              <w:spacing w:after="0" w:line="360" w:lineRule="auto"/>
              <w:jc w:val="center"/>
              <w:rPr>
                <w:b/>
                <w:color w:val="FFFFFF" w:themeColor="background1"/>
                <w:sz w:val="18"/>
                <w:szCs w:val="18"/>
              </w:rPr>
            </w:pPr>
            <w:r w:rsidRPr="005809C6">
              <w:rPr>
                <w:b/>
                <w:color w:val="FFFFFF" w:themeColor="background1"/>
                <w:sz w:val="18"/>
                <w:szCs w:val="18"/>
              </w:rPr>
              <w:t>Study duration</w:t>
            </w:r>
          </w:p>
          <w:p w:rsidR="00C65F34" w:rsidRPr="005809C6" w:rsidRDefault="007A0E9D" w:rsidP="009E405F">
            <w:pPr>
              <w:spacing w:after="0" w:line="360" w:lineRule="auto"/>
              <w:jc w:val="center"/>
              <w:rPr>
                <w:b/>
                <w:color w:val="FFFFFF" w:themeColor="background1"/>
                <w:sz w:val="18"/>
                <w:szCs w:val="18"/>
              </w:rPr>
            </w:pPr>
            <w:r>
              <w:rPr>
                <w:b/>
                <w:color w:val="FFFFFF" w:themeColor="background1"/>
                <w:sz w:val="18"/>
                <w:szCs w:val="18"/>
              </w:rPr>
              <w:t>(</w:t>
            </w:r>
            <w:r w:rsidR="00C65F34" w:rsidRPr="005809C6">
              <w:rPr>
                <w:b/>
                <w:color w:val="FFFFFF" w:themeColor="background1"/>
                <w:sz w:val="18"/>
                <w:szCs w:val="18"/>
              </w:rPr>
              <w:t xml:space="preserve">Study </w:t>
            </w:r>
            <w:r w:rsidR="00C35916">
              <w:rPr>
                <w:b/>
                <w:color w:val="FFFFFF" w:themeColor="background1"/>
                <w:sz w:val="18"/>
                <w:szCs w:val="18"/>
              </w:rPr>
              <w:t>ID</w:t>
            </w:r>
            <w:r>
              <w:rPr>
                <w:b/>
                <w:color w:val="FFFFFF" w:themeColor="background1"/>
                <w:sz w:val="18"/>
                <w:szCs w:val="18"/>
              </w:rPr>
              <w:t>)</w:t>
            </w:r>
          </w:p>
        </w:tc>
        <w:tc>
          <w:tcPr>
            <w:tcW w:w="1843" w:type="dxa"/>
            <w:tcBorders>
              <w:top w:val="single" w:sz="8" w:space="0" w:color="000000"/>
              <w:left w:val="single" w:sz="4" w:space="0" w:color="000000"/>
              <w:bottom w:val="single" w:sz="8" w:space="0" w:color="000000"/>
              <w:right w:val="single" w:sz="4" w:space="0" w:color="000000"/>
            </w:tcBorders>
            <w:shd w:val="clear" w:color="auto" w:fill="0070C0"/>
          </w:tcPr>
          <w:p w:rsidR="00C35916" w:rsidRDefault="00C65F34" w:rsidP="009E405F">
            <w:pPr>
              <w:spacing w:after="0" w:line="360" w:lineRule="auto"/>
              <w:jc w:val="center"/>
              <w:rPr>
                <w:b/>
                <w:color w:val="FFFFFF" w:themeColor="background1"/>
                <w:sz w:val="18"/>
                <w:szCs w:val="18"/>
              </w:rPr>
            </w:pPr>
            <w:r w:rsidRPr="005809C6">
              <w:rPr>
                <w:b/>
                <w:color w:val="FFFFFF" w:themeColor="background1"/>
                <w:sz w:val="18"/>
                <w:szCs w:val="18"/>
              </w:rPr>
              <w:t>Dose</w:t>
            </w:r>
          </w:p>
          <w:p w:rsidR="00C65F34" w:rsidRPr="005809C6" w:rsidRDefault="00C65F34" w:rsidP="009E405F">
            <w:pPr>
              <w:spacing w:after="0" w:line="360" w:lineRule="auto"/>
              <w:jc w:val="center"/>
              <w:rPr>
                <w:b/>
                <w:color w:val="FFFFFF" w:themeColor="background1"/>
                <w:sz w:val="18"/>
                <w:szCs w:val="18"/>
              </w:rPr>
            </w:pPr>
            <w:r w:rsidRPr="005809C6">
              <w:rPr>
                <w:b/>
                <w:color w:val="FFFFFF" w:themeColor="background1"/>
                <w:sz w:val="18"/>
                <w:szCs w:val="18"/>
              </w:rPr>
              <w:t>(mg/kg/day PO/SC)</w:t>
            </w:r>
          </w:p>
        </w:tc>
        <w:tc>
          <w:tcPr>
            <w:tcW w:w="1559" w:type="dxa"/>
            <w:tcBorders>
              <w:top w:val="single" w:sz="8" w:space="0" w:color="000000"/>
              <w:left w:val="single" w:sz="4" w:space="0" w:color="000000"/>
              <w:bottom w:val="single" w:sz="8" w:space="0" w:color="000000"/>
              <w:right w:val="single" w:sz="4" w:space="0" w:color="000000"/>
            </w:tcBorders>
            <w:shd w:val="clear" w:color="auto" w:fill="0070C0"/>
          </w:tcPr>
          <w:p w:rsidR="00C65F34" w:rsidRPr="005809C6" w:rsidRDefault="00C65F34" w:rsidP="009E405F">
            <w:pPr>
              <w:spacing w:after="0" w:line="360" w:lineRule="auto"/>
              <w:jc w:val="center"/>
              <w:rPr>
                <w:b/>
                <w:color w:val="FFFFFF" w:themeColor="background1"/>
                <w:position w:val="1"/>
                <w:sz w:val="18"/>
                <w:szCs w:val="18"/>
              </w:rPr>
            </w:pPr>
            <w:r w:rsidRPr="005809C6">
              <w:rPr>
                <w:b/>
                <w:color w:val="FFFFFF" w:themeColor="background1"/>
                <w:position w:val="1"/>
                <w:sz w:val="18"/>
                <w:szCs w:val="18"/>
              </w:rPr>
              <w:t>AUC</w:t>
            </w:r>
            <w:r w:rsidRPr="005809C6">
              <w:rPr>
                <w:b/>
                <w:color w:val="FFFFFF" w:themeColor="background1"/>
                <w:sz w:val="18"/>
                <w:szCs w:val="18"/>
                <w:vertAlign w:val="subscript"/>
              </w:rPr>
              <w:t>0–24h</w:t>
            </w:r>
            <w:r w:rsidRPr="005809C6">
              <w:rPr>
                <w:b/>
                <w:color w:val="FFFFFF" w:themeColor="background1"/>
                <w:position w:val="1"/>
                <w:sz w:val="18"/>
                <w:szCs w:val="18"/>
              </w:rPr>
              <w:t>^</w:t>
            </w:r>
          </w:p>
          <w:p w:rsidR="00C65F34" w:rsidRPr="005809C6" w:rsidRDefault="00C65F34" w:rsidP="009E405F">
            <w:pPr>
              <w:spacing w:after="0" w:line="360" w:lineRule="auto"/>
              <w:jc w:val="center"/>
              <w:rPr>
                <w:b/>
                <w:color w:val="FFFFFF" w:themeColor="background1"/>
                <w:sz w:val="18"/>
                <w:szCs w:val="18"/>
              </w:rPr>
            </w:pPr>
            <w:r w:rsidRPr="005809C6">
              <w:rPr>
                <w:b/>
                <w:color w:val="FFFFFF" w:themeColor="background1"/>
                <w:sz w:val="18"/>
                <w:szCs w:val="18"/>
              </w:rPr>
              <w:t>(ng∙h/mL)</w:t>
            </w:r>
          </w:p>
        </w:tc>
        <w:tc>
          <w:tcPr>
            <w:tcW w:w="1843" w:type="dxa"/>
            <w:tcBorders>
              <w:top w:val="single" w:sz="8" w:space="0" w:color="000000"/>
              <w:left w:val="single" w:sz="4" w:space="0" w:color="000000"/>
              <w:bottom w:val="single" w:sz="8" w:space="0" w:color="000000"/>
              <w:right w:val="single" w:sz="8" w:space="0" w:color="000000"/>
            </w:tcBorders>
            <w:shd w:val="clear" w:color="auto" w:fill="0070C0"/>
          </w:tcPr>
          <w:p w:rsidR="00C65F34" w:rsidRPr="005809C6" w:rsidRDefault="00C65F34" w:rsidP="009E405F">
            <w:pPr>
              <w:spacing w:after="0" w:line="360" w:lineRule="auto"/>
              <w:jc w:val="center"/>
              <w:rPr>
                <w:b/>
                <w:color w:val="FFFFFF" w:themeColor="background1"/>
                <w:position w:val="5"/>
                <w:sz w:val="18"/>
                <w:szCs w:val="18"/>
              </w:rPr>
            </w:pPr>
            <w:r w:rsidRPr="005809C6">
              <w:rPr>
                <w:b/>
                <w:color w:val="FFFFFF" w:themeColor="background1"/>
                <w:sz w:val="18"/>
                <w:szCs w:val="18"/>
              </w:rPr>
              <w:t>Exposure ratio</w:t>
            </w:r>
            <w:r w:rsidRPr="005809C6">
              <w:rPr>
                <w:b/>
                <w:color w:val="FFFFFF" w:themeColor="background1"/>
                <w:position w:val="5"/>
                <w:sz w:val="18"/>
                <w:szCs w:val="18"/>
              </w:rPr>
              <w:t>#</w:t>
            </w:r>
          </w:p>
        </w:tc>
      </w:tr>
      <w:tr w:rsidR="00C65F34" w:rsidRPr="00E60473" w:rsidTr="009E405F">
        <w:trPr>
          <w:trHeight w:val="277"/>
        </w:trPr>
        <w:tc>
          <w:tcPr>
            <w:tcW w:w="1411" w:type="dxa"/>
            <w:vMerge w:val="restart"/>
            <w:tcBorders>
              <w:top w:val="single" w:sz="8" w:space="0" w:color="000000"/>
              <w:left w:val="single" w:sz="8" w:space="0" w:color="000000"/>
              <w:bottom w:val="single" w:sz="4" w:space="0" w:color="000000"/>
              <w:right w:val="single" w:sz="4" w:space="0" w:color="000000"/>
            </w:tcBorders>
            <w:vAlign w:val="center"/>
          </w:tcPr>
          <w:p w:rsidR="00C65F34" w:rsidRPr="005809C6" w:rsidRDefault="00C65F34" w:rsidP="00C35916">
            <w:pPr>
              <w:spacing w:before="0" w:after="0" w:line="360" w:lineRule="auto"/>
              <w:jc w:val="center"/>
              <w:rPr>
                <w:sz w:val="18"/>
                <w:szCs w:val="18"/>
              </w:rPr>
            </w:pPr>
            <w:r w:rsidRPr="005809C6">
              <w:rPr>
                <w:sz w:val="18"/>
                <w:szCs w:val="18"/>
              </w:rPr>
              <w:t>Mouse</w:t>
            </w:r>
            <w:r w:rsidR="00FF1E01">
              <w:rPr>
                <w:sz w:val="18"/>
                <w:szCs w:val="18"/>
              </w:rPr>
              <w:t xml:space="preserve"> </w:t>
            </w:r>
            <w:r w:rsidRPr="005809C6">
              <w:rPr>
                <w:sz w:val="18"/>
                <w:szCs w:val="18"/>
              </w:rPr>
              <w:t>(CD-1)</w:t>
            </w:r>
          </w:p>
        </w:tc>
        <w:tc>
          <w:tcPr>
            <w:tcW w:w="2275" w:type="dxa"/>
            <w:vMerge w:val="restart"/>
            <w:tcBorders>
              <w:top w:val="single" w:sz="8" w:space="0" w:color="000000"/>
              <w:left w:val="single" w:sz="4" w:space="0" w:color="000000"/>
              <w:bottom w:val="single" w:sz="2" w:space="0" w:color="000000"/>
              <w:right w:val="single" w:sz="4" w:space="0" w:color="000000"/>
            </w:tcBorders>
            <w:vAlign w:val="center"/>
          </w:tcPr>
          <w:p w:rsidR="00C65F34" w:rsidRPr="005809C6" w:rsidRDefault="00C65F34" w:rsidP="00C35916">
            <w:pPr>
              <w:spacing w:before="0" w:after="0" w:line="360" w:lineRule="auto"/>
              <w:jc w:val="center"/>
              <w:rPr>
                <w:sz w:val="18"/>
                <w:szCs w:val="18"/>
              </w:rPr>
            </w:pPr>
            <w:r w:rsidRPr="005809C6">
              <w:rPr>
                <w:sz w:val="18"/>
                <w:szCs w:val="18"/>
              </w:rPr>
              <w:t>3 months</w:t>
            </w:r>
            <w:r w:rsidR="00C35916">
              <w:rPr>
                <w:sz w:val="18"/>
                <w:szCs w:val="18"/>
              </w:rPr>
              <w:t xml:space="preserve"> </w:t>
            </w:r>
            <w:r w:rsidR="007A0E9D">
              <w:rPr>
                <w:sz w:val="18"/>
                <w:szCs w:val="18"/>
              </w:rPr>
              <w:t>(</w:t>
            </w:r>
            <w:r w:rsidRPr="005809C6">
              <w:rPr>
                <w:sz w:val="18"/>
                <w:szCs w:val="18"/>
              </w:rPr>
              <w:t>Study</w:t>
            </w:r>
            <w:r w:rsidR="00FF1E01">
              <w:rPr>
                <w:sz w:val="18"/>
                <w:szCs w:val="18"/>
              </w:rPr>
              <w:t> </w:t>
            </w:r>
            <w:r w:rsidRPr="005809C6">
              <w:rPr>
                <w:sz w:val="18"/>
                <w:szCs w:val="18"/>
              </w:rPr>
              <w:t>1808-006</w:t>
            </w:r>
            <w:r w:rsidR="007A0E9D">
              <w:rPr>
                <w:sz w:val="18"/>
                <w:szCs w:val="18"/>
              </w:rPr>
              <w:t>)</w:t>
            </w:r>
          </w:p>
        </w:tc>
        <w:tc>
          <w:tcPr>
            <w:tcW w:w="1843" w:type="dxa"/>
            <w:tcBorders>
              <w:top w:val="single" w:sz="8"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500</w:t>
            </w:r>
          </w:p>
        </w:tc>
        <w:tc>
          <w:tcPr>
            <w:tcW w:w="1559" w:type="dxa"/>
            <w:tcBorders>
              <w:top w:val="single" w:sz="8"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142.9</w:t>
            </w:r>
          </w:p>
        </w:tc>
        <w:tc>
          <w:tcPr>
            <w:tcW w:w="1843" w:type="dxa"/>
            <w:tcBorders>
              <w:top w:val="single" w:sz="8"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3.0</w:t>
            </w:r>
          </w:p>
        </w:tc>
      </w:tr>
      <w:tr w:rsidR="00C65F34" w:rsidRPr="00E60473" w:rsidTr="009E405F">
        <w:trPr>
          <w:trHeight w:val="282"/>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single" w:sz="2"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1000</w:t>
            </w:r>
          </w:p>
        </w:tc>
        <w:tc>
          <w:tcPr>
            <w:tcW w:w="1559"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228.6</w:t>
            </w:r>
          </w:p>
        </w:tc>
        <w:tc>
          <w:tcPr>
            <w:tcW w:w="1843" w:type="dxa"/>
            <w:tcBorders>
              <w:top w:val="dotted" w:sz="2"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4.9</w:t>
            </w:r>
          </w:p>
        </w:tc>
      </w:tr>
      <w:tr w:rsidR="00C65F34" w:rsidRPr="00E60473" w:rsidTr="009E405F">
        <w:trPr>
          <w:trHeight w:val="285"/>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single" w:sz="2"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single"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1500</w:t>
            </w:r>
          </w:p>
        </w:tc>
        <w:tc>
          <w:tcPr>
            <w:tcW w:w="1559" w:type="dxa"/>
            <w:tcBorders>
              <w:top w:val="dotted" w:sz="2" w:space="0" w:color="000000"/>
              <w:left w:val="single" w:sz="4" w:space="0" w:color="000000"/>
              <w:bottom w:val="single"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252.7</w:t>
            </w:r>
          </w:p>
        </w:tc>
        <w:tc>
          <w:tcPr>
            <w:tcW w:w="1843" w:type="dxa"/>
            <w:tcBorders>
              <w:top w:val="dotted" w:sz="2" w:space="0" w:color="000000"/>
              <w:left w:val="single" w:sz="4" w:space="0" w:color="000000"/>
              <w:bottom w:val="single"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5.4</w:t>
            </w:r>
          </w:p>
        </w:tc>
      </w:tr>
      <w:tr w:rsidR="00C65F34" w:rsidRPr="00E60473" w:rsidTr="009E405F">
        <w:trPr>
          <w:trHeight w:val="281"/>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val="restart"/>
            <w:tcBorders>
              <w:top w:val="single" w:sz="2" w:space="0" w:color="000000"/>
              <w:left w:val="single" w:sz="4" w:space="0" w:color="000000"/>
              <w:bottom w:val="single" w:sz="4" w:space="0" w:color="000000"/>
              <w:right w:val="single" w:sz="4" w:space="0" w:color="000000"/>
            </w:tcBorders>
            <w:vAlign w:val="center"/>
          </w:tcPr>
          <w:p w:rsidR="00C65F34" w:rsidRPr="005809C6" w:rsidRDefault="00C65F34" w:rsidP="00FF1E01">
            <w:pPr>
              <w:spacing w:before="0" w:after="0" w:line="360" w:lineRule="auto"/>
              <w:jc w:val="center"/>
              <w:rPr>
                <w:sz w:val="18"/>
                <w:szCs w:val="18"/>
              </w:rPr>
            </w:pPr>
            <w:r w:rsidRPr="005809C6">
              <w:rPr>
                <w:sz w:val="18"/>
                <w:szCs w:val="18"/>
              </w:rPr>
              <w:t xml:space="preserve">2 years </w:t>
            </w:r>
            <w:r w:rsidR="007A0E9D">
              <w:rPr>
                <w:sz w:val="18"/>
                <w:szCs w:val="18"/>
              </w:rPr>
              <w:t>(</w:t>
            </w:r>
            <w:r w:rsidRPr="005809C6">
              <w:rPr>
                <w:sz w:val="18"/>
                <w:szCs w:val="18"/>
              </w:rPr>
              <w:t>Carcinogenicity; Study</w:t>
            </w:r>
            <w:r w:rsidR="00FF1E01">
              <w:rPr>
                <w:sz w:val="18"/>
                <w:szCs w:val="18"/>
              </w:rPr>
              <w:t> </w:t>
            </w:r>
            <w:r w:rsidRPr="005809C6">
              <w:rPr>
                <w:sz w:val="18"/>
                <w:szCs w:val="18"/>
              </w:rPr>
              <w:t>1808-009</w:t>
            </w:r>
            <w:r w:rsidR="007A0E9D">
              <w:rPr>
                <w:sz w:val="18"/>
                <w:szCs w:val="18"/>
              </w:rPr>
              <w:t>)</w:t>
            </w:r>
          </w:p>
        </w:tc>
        <w:tc>
          <w:tcPr>
            <w:tcW w:w="1843" w:type="dxa"/>
            <w:tcBorders>
              <w:top w:val="single"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150</w:t>
            </w:r>
          </w:p>
        </w:tc>
        <w:tc>
          <w:tcPr>
            <w:tcW w:w="1559" w:type="dxa"/>
            <w:tcBorders>
              <w:top w:val="single"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68.9</w:t>
            </w:r>
          </w:p>
        </w:tc>
        <w:tc>
          <w:tcPr>
            <w:tcW w:w="1843" w:type="dxa"/>
            <w:tcBorders>
              <w:top w:val="single" w:sz="2"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1.5</w:t>
            </w:r>
          </w:p>
        </w:tc>
      </w:tr>
      <w:tr w:rsidR="00C65F34" w:rsidRPr="00E60473" w:rsidTr="009E405F">
        <w:trPr>
          <w:trHeight w:val="282"/>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500</w:t>
            </w:r>
          </w:p>
        </w:tc>
        <w:tc>
          <w:tcPr>
            <w:tcW w:w="1559"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129.8</w:t>
            </w:r>
          </w:p>
        </w:tc>
        <w:tc>
          <w:tcPr>
            <w:tcW w:w="1843" w:type="dxa"/>
            <w:tcBorders>
              <w:top w:val="dotted" w:sz="2"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2.8</w:t>
            </w:r>
          </w:p>
        </w:tc>
      </w:tr>
      <w:tr w:rsidR="00C65F34" w:rsidRPr="00E60473" w:rsidTr="009E405F">
        <w:trPr>
          <w:trHeight w:val="288"/>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1500</w:t>
            </w:r>
          </w:p>
        </w:tc>
        <w:tc>
          <w:tcPr>
            <w:tcW w:w="1559" w:type="dxa"/>
            <w:tcBorders>
              <w:top w:val="dotted" w:sz="2" w:space="0" w:color="000000"/>
              <w:left w:val="single" w:sz="4"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325.1</w:t>
            </w:r>
          </w:p>
        </w:tc>
        <w:tc>
          <w:tcPr>
            <w:tcW w:w="1843" w:type="dxa"/>
            <w:tcBorders>
              <w:top w:val="dotted" w:sz="2" w:space="0" w:color="000000"/>
              <w:left w:val="single" w:sz="4" w:space="0" w:color="000000"/>
              <w:bottom w:val="single" w:sz="4"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6.9</w:t>
            </w:r>
          </w:p>
        </w:tc>
      </w:tr>
      <w:tr w:rsidR="00C65F34" w:rsidRPr="00E60473" w:rsidTr="009E405F">
        <w:trPr>
          <w:trHeight w:val="278"/>
        </w:trPr>
        <w:tc>
          <w:tcPr>
            <w:tcW w:w="1411" w:type="dxa"/>
            <w:vMerge w:val="restart"/>
            <w:tcBorders>
              <w:top w:val="single" w:sz="4" w:space="0" w:color="000000"/>
              <w:left w:val="single" w:sz="8" w:space="0" w:color="000000"/>
              <w:bottom w:val="single" w:sz="4" w:space="0" w:color="000000"/>
              <w:right w:val="single" w:sz="4" w:space="0" w:color="000000"/>
            </w:tcBorders>
            <w:vAlign w:val="center"/>
          </w:tcPr>
          <w:p w:rsidR="00C65F34" w:rsidRPr="005809C6" w:rsidRDefault="00C65F34" w:rsidP="00EF0446">
            <w:pPr>
              <w:spacing w:before="0" w:after="0" w:line="360" w:lineRule="auto"/>
              <w:jc w:val="center"/>
              <w:rPr>
                <w:sz w:val="18"/>
                <w:szCs w:val="18"/>
              </w:rPr>
            </w:pPr>
            <w:r w:rsidRPr="005809C6">
              <w:rPr>
                <w:sz w:val="18"/>
                <w:szCs w:val="18"/>
              </w:rPr>
              <w:lastRenderedPageBreak/>
              <w:t>Rat</w:t>
            </w:r>
            <w:r w:rsidR="00EF0446">
              <w:rPr>
                <w:sz w:val="18"/>
                <w:szCs w:val="18"/>
              </w:rPr>
              <w:t xml:space="preserve"> </w:t>
            </w:r>
            <w:r w:rsidRPr="005809C6">
              <w:rPr>
                <w:sz w:val="18"/>
                <w:szCs w:val="18"/>
              </w:rPr>
              <w:t>(SD)</w:t>
            </w:r>
          </w:p>
        </w:tc>
        <w:tc>
          <w:tcPr>
            <w:tcW w:w="2275" w:type="dxa"/>
            <w:vMerge w:val="restart"/>
            <w:tcBorders>
              <w:top w:val="single" w:sz="4" w:space="0" w:color="000000"/>
              <w:left w:val="single" w:sz="4" w:space="0" w:color="000000"/>
              <w:bottom w:val="single" w:sz="2" w:space="0" w:color="000000"/>
              <w:right w:val="single" w:sz="4" w:space="0" w:color="000000"/>
            </w:tcBorders>
            <w:vAlign w:val="center"/>
          </w:tcPr>
          <w:p w:rsidR="00C65F34" w:rsidRPr="005809C6" w:rsidRDefault="00C65F34" w:rsidP="003D6938">
            <w:pPr>
              <w:spacing w:before="0" w:after="0" w:line="360" w:lineRule="auto"/>
              <w:jc w:val="center"/>
              <w:rPr>
                <w:sz w:val="18"/>
                <w:szCs w:val="18"/>
              </w:rPr>
            </w:pPr>
            <w:r w:rsidRPr="005809C6">
              <w:rPr>
                <w:sz w:val="18"/>
                <w:szCs w:val="18"/>
              </w:rPr>
              <w:t xml:space="preserve">3 months </w:t>
            </w:r>
            <w:r w:rsidR="007A0E9D">
              <w:rPr>
                <w:sz w:val="18"/>
                <w:szCs w:val="18"/>
              </w:rPr>
              <w:t>(</w:t>
            </w:r>
            <w:r w:rsidRPr="005809C6">
              <w:rPr>
                <w:sz w:val="18"/>
                <w:szCs w:val="18"/>
              </w:rPr>
              <w:t>Study</w:t>
            </w:r>
            <w:r w:rsidR="00FF1E01">
              <w:rPr>
                <w:sz w:val="18"/>
                <w:szCs w:val="18"/>
              </w:rPr>
              <w:t> </w:t>
            </w:r>
            <w:r w:rsidRPr="005809C6">
              <w:rPr>
                <w:sz w:val="18"/>
                <w:szCs w:val="18"/>
              </w:rPr>
              <w:t>TOX8677</w:t>
            </w:r>
            <w:r w:rsidR="007A0E9D">
              <w:rPr>
                <w:sz w:val="18"/>
                <w:szCs w:val="18"/>
              </w:rPr>
              <w:t>)</w:t>
            </w:r>
          </w:p>
        </w:tc>
        <w:tc>
          <w:tcPr>
            <w:tcW w:w="1843" w:type="dxa"/>
            <w:tcBorders>
              <w:top w:val="single" w:sz="4"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200/0</w:t>
            </w:r>
          </w:p>
        </w:tc>
        <w:tc>
          <w:tcPr>
            <w:tcW w:w="1559" w:type="dxa"/>
            <w:tcBorders>
              <w:top w:val="single" w:sz="4"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95.6</w:t>
            </w:r>
          </w:p>
        </w:tc>
        <w:tc>
          <w:tcPr>
            <w:tcW w:w="1843" w:type="dxa"/>
            <w:tcBorders>
              <w:top w:val="single" w:sz="4"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2.0</w:t>
            </w:r>
          </w:p>
        </w:tc>
      </w:tr>
      <w:tr w:rsidR="00C65F34" w:rsidRPr="00E60473" w:rsidTr="009E405F">
        <w:trPr>
          <w:trHeight w:val="282"/>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single" w:sz="2"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200/5</w:t>
            </w:r>
          </w:p>
        </w:tc>
        <w:tc>
          <w:tcPr>
            <w:tcW w:w="1559"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3495.0</w:t>
            </w:r>
          </w:p>
        </w:tc>
        <w:tc>
          <w:tcPr>
            <w:tcW w:w="1843" w:type="dxa"/>
            <w:tcBorders>
              <w:top w:val="dotted" w:sz="2"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74</w:t>
            </w:r>
          </w:p>
        </w:tc>
      </w:tr>
      <w:tr w:rsidR="00C65F34" w:rsidRPr="00E60473" w:rsidTr="009E405F">
        <w:trPr>
          <w:trHeight w:val="285"/>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single" w:sz="2"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single"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1000/0</w:t>
            </w:r>
          </w:p>
        </w:tc>
        <w:tc>
          <w:tcPr>
            <w:tcW w:w="1559" w:type="dxa"/>
            <w:tcBorders>
              <w:top w:val="dotted" w:sz="2" w:space="0" w:color="000000"/>
              <w:left w:val="single" w:sz="4" w:space="0" w:color="000000"/>
              <w:bottom w:val="single"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425.5</w:t>
            </w:r>
          </w:p>
        </w:tc>
        <w:tc>
          <w:tcPr>
            <w:tcW w:w="1843" w:type="dxa"/>
            <w:tcBorders>
              <w:top w:val="dotted" w:sz="2" w:space="0" w:color="000000"/>
              <w:left w:val="single" w:sz="4" w:space="0" w:color="000000"/>
              <w:bottom w:val="single"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9.0</w:t>
            </w:r>
          </w:p>
        </w:tc>
      </w:tr>
      <w:tr w:rsidR="00C65F34" w:rsidRPr="00E60473" w:rsidTr="009E405F">
        <w:trPr>
          <w:trHeight w:val="280"/>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val="restart"/>
            <w:tcBorders>
              <w:top w:val="single" w:sz="2" w:space="0" w:color="000000"/>
              <w:left w:val="single" w:sz="4" w:space="0" w:color="000000"/>
              <w:bottom w:val="single" w:sz="4" w:space="0" w:color="000000"/>
              <w:right w:val="single" w:sz="4" w:space="0" w:color="000000"/>
            </w:tcBorders>
            <w:vAlign w:val="center"/>
          </w:tcPr>
          <w:p w:rsidR="00C65F34" w:rsidRPr="005809C6" w:rsidRDefault="00C65F34" w:rsidP="003D6938">
            <w:pPr>
              <w:spacing w:before="0" w:after="0" w:line="360" w:lineRule="auto"/>
              <w:jc w:val="center"/>
              <w:rPr>
                <w:sz w:val="18"/>
                <w:szCs w:val="18"/>
              </w:rPr>
            </w:pPr>
            <w:r w:rsidRPr="005809C6">
              <w:rPr>
                <w:sz w:val="18"/>
                <w:szCs w:val="18"/>
              </w:rPr>
              <w:t xml:space="preserve">2 years </w:t>
            </w:r>
            <w:r w:rsidR="007A0E9D">
              <w:rPr>
                <w:sz w:val="18"/>
                <w:szCs w:val="18"/>
              </w:rPr>
              <w:t>(</w:t>
            </w:r>
            <w:r w:rsidRPr="005809C6">
              <w:rPr>
                <w:sz w:val="18"/>
                <w:szCs w:val="18"/>
              </w:rPr>
              <w:t>Carcinogenicity; Study</w:t>
            </w:r>
            <w:r w:rsidR="00FF1E01">
              <w:rPr>
                <w:sz w:val="18"/>
                <w:szCs w:val="18"/>
              </w:rPr>
              <w:t> </w:t>
            </w:r>
            <w:r w:rsidRPr="005809C6">
              <w:rPr>
                <w:sz w:val="18"/>
                <w:szCs w:val="18"/>
              </w:rPr>
              <w:t>1808-008</w:t>
            </w:r>
            <w:r w:rsidR="007A0E9D">
              <w:rPr>
                <w:sz w:val="18"/>
                <w:szCs w:val="18"/>
              </w:rPr>
              <w:t>)</w:t>
            </w:r>
          </w:p>
        </w:tc>
        <w:tc>
          <w:tcPr>
            <w:tcW w:w="1843" w:type="dxa"/>
            <w:tcBorders>
              <w:top w:val="single"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150</w:t>
            </w:r>
          </w:p>
        </w:tc>
        <w:tc>
          <w:tcPr>
            <w:tcW w:w="1559" w:type="dxa"/>
            <w:tcBorders>
              <w:top w:val="single"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360.8</w:t>
            </w:r>
          </w:p>
        </w:tc>
        <w:tc>
          <w:tcPr>
            <w:tcW w:w="1843" w:type="dxa"/>
            <w:tcBorders>
              <w:top w:val="single" w:sz="2"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7.7</w:t>
            </w:r>
          </w:p>
        </w:tc>
      </w:tr>
      <w:tr w:rsidR="00C65F34" w:rsidRPr="00E60473" w:rsidTr="009E405F">
        <w:trPr>
          <w:trHeight w:val="282"/>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500</w:t>
            </w:r>
          </w:p>
        </w:tc>
        <w:tc>
          <w:tcPr>
            <w:tcW w:w="1559"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620.4</w:t>
            </w:r>
          </w:p>
        </w:tc>
        <w:tc>
          <w:tcPr>
            <w:tcW w:w="1843" w:type="dxa"/>
            <w:tcBorders>
              <w:top w:val="dotted" w:sz="2"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13.2</w:t>
            </w:r>
          </w:p>
        </w:tc>
      </w:tr>
      <w:tr w:rsidR="00C65F34" w:rsidRPr="00E60473" w:rsidTr="009E405F">
        <w:trPr>
          <w:trHeight w:val="287"/>
        </w:trPr>
        <w:tc>
          <w:tcPr>
            <w:tcW w:w="1411" w:type="dxa"/>
            <w:vMerge/>
            <w:tcBorders>
              <w:top w:val="nil"/>
              <w:left w:val="single" w:sz="8"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1500</w:t>
            </w:r>
          </w:p>
        </w:tc>
        <w:tc>
          <w:tcPr>
            <w:tcW w:w="1559" w:type="dxa"/>
            <w:tcBorders>
              <w:top w:val="dotted" w:sz="2" w:space="0" w:color="000000"/>
              <w:left w:val="single" w:sz="4" w:space="0" w:color="000000"/>
              <w:bottom w:val="single" w:sz="4"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872.5</w:t>
            </w:r>
          </w:p>
        </w:tc>
        <w:tc>
          <w:tcPr>
            <w:tcW w:w="1843" w:type="dxa"/>
            <w:tcBorders>
              <w:top w:val="dotted" w:sz="2" w:space="0" w:color="000000"/>
              <w:left w:val="single" w:sz="4" w:space="0" w:color="000000"/>
              <w:bottom w:val="single" w:sz="4"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18.5</w:t>
            </w:r>
          </w:p>
        </w:tc>
      </w:tr>
      <w:tr w:rsidR="00C65F34" w:rsidRPr="00E60473" w:rsidTr="009E405F">
        <w:trPr>
          <w:trHeight w:val="267"/>
        </w:trPr>
        <w:tc>
          <w:tcPr>
            <w:tcW w:w="1411" w:type="dxa"/>
            <w:vMerge w:val="restart"/>
            <w:tcBorders>
              <w:top w:val="single" w:sz="4" w:space="0" w:color="000000"/>
              <w:left w:val="single" w:sz="8" w:space="0" w:color="000000"/>
              <w:bottom w:val="double" w:sz="2" w:space="0" w:color="000000"/>
              <w:right w:val="single" w:sz="4" w:space="0" w:color="000000"/>
            </w:tcBorders>
            <w:vAlign w:val="center"/>
          </w:tcPr>
          <w:p w:rsidR="00C65F34" w:rsidRPr="005809C6" w:rsidRDefault="00C65F34" w:rsidP="003D6938">
            <w:pPr>
              <w:spacing w:before="0" w:after="0" w:line="360" w:lineRule="auto"/>
              <w:jc w:val="center"/>
              <w:rPr>
                <w:sz w:val="18"/>
                <w:szCs w:val="18"/>
              </w:rPr>
            </w:pPr>
            <w:r w:rsidRPr="005809C6">
              <w:rPr>
                <w:sz w:val="18"/>
                <w:szCs w:val="18"/>
              </w:rPr>
              <w:t>Monkey</w:t>
            </w:r>
            <w:r w:rsidR="003D6938">
              <w:rPr>
                <w:sz w:val="18"/>
                <w:szCs w:val="18"/>
              </w:rPr>
              <w:t xml:space="preserve"> </w:t>
            </w:r>
            <w:r w:rsidRPr="005809C6">
              <w:rPr>
                <w:sz w:val="18"/>
                <w:szCs w:val="18"/>
              </w:rPr>
              <w:t>(</w:t>
            </w:r>
            <w:r w:rsidR="00C35916">
              <w:rPr>
                <w:sz w:val="18"/>
                <w:szCs w:val="18"/>
              </w:rPr>
              <w:t>c</w:t>
            </w:r>
            <w:r w:rsidRPr="005809C6">
              <w:rPr>
                <w:sz w:val="18"/>
                <w:szCs w:val="18"/>
              </w:rPr>
              <w:t>ynomolgus)</w:t>
            </w:r>
          </w:p>
        </w:tc>
        <w:tc>
          <w:tcPr>
            <w:tcW w:w="2275" w:type="dxa"/>
            <w:vMerge w:val="restart"/>
            <w:tcBorders>
              <w:top w:val="single" w:sz="4" w:space="0" w:color="000000"/>
              <w:left w:val="single" w:sz="4" w:space="0" w:color="000000"/>
              <w:bottom w:val="double" w:sz="2" w:space="0" w:color="000000"/>
              <w:right w:val="single" w:sz="4" w:space="0" w:color="000000"/>
            </w:tcBorders>
            <w:vAlign w:val="center"/>
          </w:tcPr>
          <w:p w:rsidR="00C65F34" w:rsidRPr="005809C6" w:rsidRDefault="00C65F34" w:rsidP="00FF1E01">
            <w:pPr>
              <w:spacing w:before="0" w:after="0" w:line="360" w:lineRule="auto"/>
              <w:jc w:val="center"/>
              <w:rPr>
                <w:sz w:val="18"/>
                <w:szCs w:val="18"/>
              </w:rPr>
            </w:pPr>
            <w:r w:rsidRPr="005809C6">
              <w:rPr>
                <w:sz w:val="18"/>
                <w:szCs w:val="18"/>
              </w:rPr>
              <w:t>9 months</w:t>
            </w:r>
            <w:r w:rsidR="00C35916">
              <w:rPr>
                <w:sz w:val="18"/>
                <w:szCs w:val="18"/>
              </w:rPr>
              <w:t xml:space="preserve"> </w:t>
            </w:r>
            <w:r w:rsidR="007A0E9D">
              <w:rPr>
                <w:sz w:val="18"/>
                <w:szCs w:val="18"/>
              </w:rPr>
              <w:t>(</w:t>
            </w:r>
            <w:r w:rsidRPr="005809C6">
              <w:rPr>
                <w:sz w:val="18"/>
                <w:szCs w:val="18"/>
              </w:rPr>
              <w:t>Study</w:t>
            </w:r>
            <w:r w:rsidR="00FF1E01">
              <w:rPr>
                <w:sz w:val="18"/>
                <w:szCs w:val="18"/>
              </w:rPr>
              <w:t> </w:t>
            </w:r>
            <w:r w:rsidRPr="005809C6">
              <w:rPr>
                <w:sz w:val="18"/>
                <w:szCs w:val="18"/>
              </w:rPr>
              <w:t>1808-004</w:t>
            </w:r>
            <w:r w:rsidR="007A0E9D">
              <w:rPr>
                <w:sz w:val="18"/>
                <w:szCs w:val="18"/>
              </w:rPr>
              <w:t>)</w:t>
            </w:r>
          </w:p>
        </w:tc>
        <w:tc>
          <w:tcPr>
            <w:tcW w:w="1843" w:type="dxa"/>
            <w:tcBorders>
              <w:top w:val="single" w:sz="4"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50</w:t>
            </w:r>
          </w:p>
        </w:tc>
        <w:tc>
          <w:tcPr>
            <w:tcW w:w="1559" w:type="dxa"/>
            <w:tcBorders>
              <w:top w:val="single" w:sz="4"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126.2</w:t>
            </w:r>
          </w:p>
        </w:tc>
        <w:tc>
          <w:tcPr>
            <w:tcW w:w="1843" w:type="dxa"/>
            <w:tcBorders>
              <w:top w:val="single" w:sz="4"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2.7</w:t>
            </w:r>
          </w:p>
        </w:tc>
      </w:tr>
      <w:tr w:rsidR="00C65F34" w:rsidRPr="00E60473" w:rsidTr="009E405F">
        <w:trPr>
          <w:trHeight w:val="262"/>
        </w:trPr>
        <w:tc>
          <w:tcPr>
            <w:tcW w:w="1411" w:type="dxa"/>
            <w:vMerge/>
            <w:tcBorders>
              <w:top w:val="nil"/>
              <w:left w:val="single" w:sz="8" w:space="0" w:color="000000"/>
              <w:bottom w:val="double" w:sz="2"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double" w:sz="2"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100</w:t>
            </w:r>
          </w:p>
        </w:tc>
        <w:tc>
          <w:tcPr>
            <w:tcW w:w="1559" w:type="dxa"/>
            <w:tcBorders>
              <w:top w:val="dotted" w:sz="2" w:space="0" w:color="000000"/>
              <w:left w:val="single" w:sz="4" w:space="0" w:color="000000"/>
              <w:bottom w:val="dotted"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189.3</w:t>
            </w:r>
          </w:p>
        </w:tc>
        <w:tc>
          <w:tcPr>
            <w:tcW w:w="1843" w:type="dxa"/>
            <w:tcBorders>
              <w:top w:val="dotted" w:sz="2" w:space="0" w:color="000000"/>
              <w:left w:val="single" w:sz="4" w:space="0" w:color="000000"/>
              <w:bottom w:val="dotted"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4.0</w:t>
            </w:r>
          </w:p>
        </w:tc>
      </w:tr>
      <w:tr w:rsidR="00C65F34" w:rsidRPr="00E60473" w:rsidTr="009E405F">
        <w:trPr>
          <w:trHeight w:val="277"/>
        </w:trPr>
        <w:tc>
          <w:tcPr>
            <w:tcW w:w="1411" w:type="dxa"/>
            <w:vMerge/>
            <w:tcBorders>
              <w:top w:val="nil"/>
              <w:left w:val="single" w:sz="8" w:space="0" w:color="000000"/>
              <w:bottom w:val="double" w:sz="2"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2275" w:type="dxa"/>
            <w:vMerge/>
            <w:tcBorders>
              <w:top w:val="nil"/>
              <w:left w:val="single" w:sz="4" w:space="0" w:color="000000"/>
              <w:bottom w:val="double" w:sz="2" w:space="0" w:color="000000"/>
              <w:right w:val="single" w:sz="4" w:space="0" w:color="000000"/>
            </w:tcBorders>
          </w:tcPr>
          <w:p w:rsidR="00C65F34" w:rsidRPr="005809C6" w:rsidRDefault="00C65F34" w:rsidP="005809C6">
            <w:pPr>
              <w:spacing w:before="0" w:after="0" w:line="360" w:lineRule="auto"/>
              <w:jc w:val="center"/>
              <w:rPr>
                <w:sz w:val="18"/>
                <w:szCs w:val="18"/>
              </w:rPr>
            </w:pPr>
          </w:p>
        </w:tc>
        <w:tc>
          <w:tcPr>
            <w:tcW w:w="1843" w:type="dxa"/>
            <w:tcBorders>
              <w:top w:val="dotted" w:sz="2" w:space="0" w:color="000000"/>
              <w:left w:val="single" w:sz="4" w:space="0" w:color="000000"/>
              <w:bottom w:val="double"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200</w:t>
            </w:r>
          </w:p>
        </w:tc>
        <w:tc>
          <w:tcPr>
            <w:tcW w:w="1559" w:type="dxa"/>
            <w:tcBorders>
              <w:top w:val="dotted" w:sz="2" w:space="0" w:color="000000"/>
              <w:left w:val="single" w:sz="4" w:space="0" w:color="000000"/>
              <w:bottom w:val="double" w:sz="2"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328.1</w:t>
            </w:r>
          </w:p>
        </w:tc>
        <w:tc>
          <w:tcPr>
            <w:tcW w:w="1843" w:type="dxa"/>
            <w:tcBorders>
              <w:top w:val="dotted" w:sz="2" w:space="0" w:color="000000"/>
              <w:left w:val="single" w:sz="4" w:space="0" w:color="000000"/>
              <w:bottom w:val="double" w:sz="2" w:space="0" w:color="000000"/>
              <w:right w:val="single" w:sz="8" w:space="0" w:color="000000"/>
            </w:tcBorders>
          </w:tcPr>
          <w:p w:rsidR="00C65F34" w:rsidRPr="005809C6" w:rsidRDefault="00C65F34" w:rsidP="005809C6">
            <w:pPr>
              <w:spacing w:before="0" w:after="0" w:line="360" w:lineRule="auto"/>
              <w:jc w:val="center"/>
              <w:rPr>
                <w:sz w:val="18"/>
                <w:szCs w:val="18"/>
              </w:rPr>
            </w:pPr>
            <w:r w:rsidRPr="005809C6">
              <w:rPr>
                <w:sz w:val="18"/>
                <w:szCs w:val="18"/>
              </w:rPr>
              <w:t>7.0</w:t>
            </w:r>
          </w:p>
        </w:tc>
      </w:tr>
      <w:tr w:rsidR="00C65F34" w:rsidRPr="00E60473" w:rsidTr="009E405F">
        <w:trPr>
          <w:trHeight w:val="771"/>
        </w:trPr>
        <w:tc>
          <w:tcPr>
            <w:tcW w:w="1411" w:type="dxa"/>
            <w:tcBorders>
              <w:top w:val="double" w:sz="2" w:space="0" w:color="000000"/>
              <w:left w:val="single" w:sz="8" w:space="0" w:color="000000"/>
              <w:bottom w:val="single" w:sz="8" w:space="0" w:color="000000"/>
              <w:right w:val="single" w:sz="4" w:space="0" w:color="000000"/>
            </w:tcBorders>
            <w:vAlign w:val="center"/>
          </w:tcPr>
          <w:p w:rsidR="00C65F34" w:rsidRPr="005809C6" w:rsidRDefault="00C65F34" w:rsidP="003D6938">
            <w:pPr>
              <w:spacing w:before="0" w:after="0" w:line="360" w:lineRule="auto"/>
              <w:jc w:val="center"/>
              <w:rPr>
                <w:sz w:val="18"/>
                <w:szCs w:val="18"/>
              </w:rPr>
            </w:pPr>
            <w:r w:rsidRPr="005809C6">
              <w:rPr>
                <w:sz w:val="18"/>
                <w:szCs w:val="18"/>
              </w:rPr>
              <w:t>Human</w:t>
            </w:r>
            <w:r w:rsidR="003D6938">
              <w:rPr>
                <w:sz w:val="18"/>
                <w:szCs w:val="18"/>
              </w:rPr>
              <w:t xml:space="preserve"> </w:t>
            </w:r>
            <w:r w:rsidRPr="005809C6">
              <w:rPr>
                <w:sz w:val="18"/>
                <w:szCs w:val="18"/>
              </w:rPr>
              <w:t>(healthy volunteers)</w:t>
            </w:r>
          </w:p>
        </w:tc>
        <w:tc>
          <w:tcPr>
            <w:tcW w:w="2275" w:type="dxa"/>
            <w:tcBorders>
              <w:top w:val="double" w:sz="2" w:space="0" w:color="000000"/>
              <w:left w:val="single" w:sz="4" w:space="0" w:color="000000"/>
              <w:bottom w:val="single" w:sz="8" w:space="0" w:color="000000"/>
              <w:right w:val="single" w:sz="4" w:space="0" w:color="000000"/>
            </w:tcBorders>
            <w:vAlign w:val="center"/>
          </w:tcPr>
          <w:p w:rsidR="00C65F34" w:rsidRPr="005809C6" w:rsidRDefault="00C65F34" w:rsidP="00C35916">
            <w:pPr>
              <w:spacing w:before="0" w:after="0" w:line="360" w:lineRule="auto"/>
              <w:jc w:val="center"/>
              <w:rPr>
                <w:sz w:val="18"/>
                <w:szCs w:val="18"/>
              </w:rPr>
            </w:pPr>
            <w:r w:rsidRPr="005809C6">
              <w:rPr>
                <w:sz w:val="18"/>
                <w:szCs w:val="18"/>
              </w:rPr>
              <w:t xml:space="preserve">Steady state </w:t>
            </w:r>
            <w:r w:rsidR="007A0E9D">
              <w:rPr>
                <w:sz w:val="18"/>
                <w:szCs w:val="18"/>
              </w:rPr>
              <w:t>(</w:t>
            </w:r>
            <w:r w:rsidRPr="005809C6">
              <w:rPr>
                <w:sz w:val="18"/>
                <w:szCs w:val="18"/>
              </w:rPr>
              <w:t>Study</w:t>
            </w:r>
            <w:r w:rsidR="00FF1E01">
              <w:rPr>
                <w:sz w:val="18"/>
                <w:szCs w:val="18"/>
              </w:rPr>
              <w:t xml:space="preserve"> </w:t>
            </w:r>
            <w:r w:rsidRPr="005809C6">
              <w:rPr>
                <w:sz w:val="18"/>
                <w:szCs w:val="18"/>
              </w:rPr>
              <w:t>EDI</w:t>
            </w:r>
            <w:r w:rsidR="007E41B7">
              <w:rPr>
                <w:sz w:val="18"/>
                <w:szCs w:val="18"/>
              </w:rPr>
              <w:t>-</w:t>
            </w:r>
            <w:r w:rsidRPr="005809C6">
              <w:rPr>
                <w:sz w:val="18"/>
                <w:szCs w:val="18"/>
              </w:rPr>
              <w:t>1001</w:t>
            </w:r>
            <w:r w:rsidR="007A0E9D">
              <w:rPr>
                <w:sz w:val="18"/>
                <w:szCs w:val="18"/>
              </w:rPr>
              <w:t>)</w:t>
            </w:r>
            <w:r w:rsidRPr="005809C6">
              <w:rPr>
                <w:sz w:val="18"/>
                <w:szCs w:val="18"/>
              </w:rPr>
              <w:t xml:space="preserve"> </w:t>
            </w:r>
            <w:r w:rsidR="007A0E9D">
              <w:rPr>
                <w:sz w:val="18"/>
                <w:szCs w:val="18"/>
              </w:rPr>
              <w:t>(</w:t>
            </w:r>
            <w:r w:rsidRPr="005809C6">
              <w:rPr>
                <w:sz w:val="18"/>
                <w:szCs w:val="18"/>
              </w:rPr>
              <w:t>Study</w:t>
            </w:r>
            <w:r w:rsidR="00FF1E01">
              <w:rPr>
                <w:sz w:val="18"/>
                <w:szCs w:val="18"/>
              </w:rPr>
              <w:t> </w:t>
            </w:r>
            <w:r w:rsidRPr="005809C6">
              <w:rPr>
                <w:sz w:val="18"/>
                <w:szCs w:val="18"/>
              </w:rPr>
              <w:t>CPS-1008</w:t>
            </w:r>
            <w:r w:rsidR="007A0E9D">
              <w:rPr>
                <w:sz w:val="18"/>
                <w:szCs w:val="18"/>
              </w:rPr>
              <w:t>)</w:t>
            </w:r>
          </w:p>
        </w:tc>
        <w:tc>
          <w:tcPr>
            <w:tcW w:w="1843" w:type="dxa"/>
            <w:tcBorders>
              <w:top w:val="double" w:sz="2" w:space="0" w:color="000000"/>
              <w:left w:val="single" w:sz="4" w:space="0" w:color="000000"/>
              <w:bottom w:val="single" w:sz="8" w:space="0" w:color="000000"/>
              <w:right w:val="single" w:sz="4" w:space="0" w:color="000000"/>
            </w:tcBorders>
          </w:tcPr>
          <w:p w:rsidR="00C65F34" w:rsidRPr="005809C6" w:rsidRDefault="00C65F34" w:rsidP="005809C6">
            <w:pPr>
              <w:spacing w:before="0" w:after="0" w:line="360" w:lineRule="auto"/>
              <w:jc w:val="center"/>
              <w:rPr>
                <w:sz w:val="18"/>
                <w:szCs w:val="18"/>
              </w:rPr>
            </w:pPr>
            <w:r w:rsidRPr="005809C6">
              <w:rPr>
                <w:sz w:val="18"/>
                <w:szCs w:val="18"/>
              </w:rPr>
              <w:t>100 mg</w:t>
            </w:r>
          </w:p>
          <w:p w:rsidR="00C65F34" w:rsidRPr="005809C6" w:rsidRDefault="007A0E9D" w:rsidP="004720F5">
            <w:pPr>
              <w:spacing w:before="0" w:after="0" w:line="360" w:lineRule="auto"/>
              <w:jc w:val="center"/>
              <w:rPr>
                <w:sz w:val="18"/>
                <w:szCs w:val="18"/>
              </w:rPr>
            </w:pPr>
            <w:r>
              <w:rPr>
                <w:sz w:val="18"/>
                <w:szCs w:val="18"/>
              </w:rPr>
              <w:t>(</w:t>
            </w:r>
            <w:r w:rsidR="00C65F34" w:rsidRPr="005809C6">
              <w:rPr>
                <w:sz w:val="18"/>
                <w:szCs w:val="18"/>
              </w:rPr>
              <w:t xml:space="preserve">100 mg </w:t>
            </w:r>
            <w:r w:rsidR="004720F5">
              <w:rPr>
                <w:sz w:val="18"/>
                <w:szCs w:val="18"/>
              </w:rPr>
              <w:t>bd</w:t>
            </w:r>
            <w:r>
              <w:rPr>
                <w:sz w:val="18"/>
                <w:szCs w:val="18"/>
              </w:rPr>
              <w:t>)</w:t>
            </w:r>
          </w:p>
        </w:tc>
        <w:tc>
          <w:tcPr>
            <w:tcW w:w="1559" w:type="dxa"/>
            <w:tcBorders>
              <w:top w:val="double" w:sz="2" w:space="0" w:color="000000"/>
              <w:left w:val="single" w:sz="4" w:space="0" w:color="000000"/>
              <w:bottom w:val="single" w:sz="8" w:space="0" w:color="000000"/>
              <w:right w:val="single" w:sz="4" w:space="0" w:color="000000"/>
            </w:tcBorders>
          </w:tcPr>
          <w:p w:rsidR="00C65F34" w:rsidRPr="005809C6" w:rsidRDefault="00C65F34" w:rsidP="00C35916">
            <w:pPr>
              <w:spacing w:before="0" w:after="0" w:line="360" w:lineRule="auto"/>
              <w:jc w:val="center"/>
              <w:rPr>
                <w:position w:val="4"/>
                <w:sz w:val="18"/>
                <w:szCs w:val="18"/>
              </w:rPr>
            </w:pPr>
            <w:r w:rsidRPr="005809C6">
              <w:rPr>
                <w:sz w:val="18"/>
                <w:szCs w:val="18"/>
              </w:rPr>
              <w:t>23.54</w:t>
            </w:r>
            <w:r w:rsidR="00C35916">
              <w:rPr>
                <w:position w:val="4"/>
                <w:sz w:val="18"/>
                <w:szCs w:val="18"/>
              </w:rPr>
              <w:t>a</w:t>
            </w:r>
            <w:r w:rsidR="00C35916" w:rsidRPr="005809C6">
              <w:rPr>
                <w:position w:val="4"/>
                <w:sz w:val="18"/>
                <w:szCs w:val="18"/>
              </w:rPr>
              <w:t xml:space="preserve"> </w:t>
            </w:r>
            <w:r w:rsidR="007A0E9D">
              <w:rPr>
                <w:sz w:val="18"/>
                <w:szCs w:val="18"/>
              </w:rPr>
              <w:t>(</w:t>
            </w:r>
            <w:r w:rsidRPr="005809C6">
              <w:rPr>
                <w:sz w:val="18"/>
                <w:szCs w:val="18"/>
              </w:rPr>
              <w:t>47.08</w:t>
            </w:r>
            <w:r w:rsidR="007A0E9D">
              <w:rPr>
                <w:sz w:val="18"/>
                <w:szCs w:val="18"/>
              </w:rPr>
              <w:t>)</w:t>
            </w:r>
            <w:r w:rsidR="00C35916">
              <w:rPr>
                <w:position w:val="4"/>
                <w:sz w:val="18"/>
                <w:szCs w:val="18"/>
              </w:rPr>
              <w:t>a</w:t>
            </w:r>
          </w:p>
        </w:tc>
        <w:tc>
          <w:tcPr>
            <w:tcW w:w="1843" w:type="dxa"/>
            <w:tcBorders>
              <w:top w:val="double" w:sz="2" w:space="0" w:color="000000"/>
              <w:left w:val="single" w:sz="4" w:space="0" w:color="000000"/>
              <w:bottom w:val="single" w:sz="8" w:space="0" w:color="000000"/>
              <w:right w:val="single" w:sz="8" w:space="0" w:color="000000"/>
            </w:tcBorders>
          </w:tcPr>
          <w:p w:rsidR="00C65F34" w:rsidRPr="005809C6" w:rsidRDefault="00C65F34" w:rsidP="005809C6">
            <w:pPr>
              <w:spacing w:before="0" w:after="0" w:line="360" w:lineRule="auto"/>
              <w:jc w:val="center"/>
              <w:rPr>
                <w:sz w:val="18"/>
                <w:szCs w:val="18"/>
              </w:rPr>
            </w:pPr>
          </w:p>
          <w:p w:rsidR="00C65F34" w:rsidRPr="005809C6" w:rsidRDefault="00C65F34" w:rsidP="005809C6">
            <w:pPr>
              <w:spacing w:before="0" w:after="0" w:line="360" w:lineRule="auto"/>
              <w:jc w:val="center"/>
              <w:rPr>
                <w:w w:val="101"/>
                <w:sz w:val="18"/>
                <w:szCs w:val="18"/>
              </w:rPr>
            </w:pPr>
            <w:r w:rsidRPr="005809C6">
              <w:rPr>
                <w:w w:val="101"/>
                <w:sz w:val="18"/>
                <w:szCs w:val="18"/>
              </w:rPr>
              <w:t>–</w:t>
            </w:r>
          </w:p>
        </w:tc>
      </w:tr>
    </w:tbl>
    <w:p w:rsidR="00C65F34" w:rsidRDefault="00C65F34" w:rsidP="005809C6">
      <w:pPr>
        <w:pStyle w:val="TableDescription"/>
      </w:pPr>
      <w:r>
        <w:rPr>
          <w:position w:val="3"/>
          <w:sz w:val="12"/>
          <w:szCs w:val="12"/>
        </w:rPr>
        <w:t xml:space="preserve"># </w:t>
      </w:r>
      <w:r>
        <w:t>= animal</w:t>
      </w:r>
      <w:r w:rsidR="000F77DE">
        <w:t>: human</w:t>
      </w:r>
      <w:r>
        <w:t xml:space="preserve"> plasma AUC</w:t>
      </w:r>
      <w:r>
        <w:rPr>
          <w:vertAlign w:val="subscript"/>
        </w:rPr>
        <w:t>0–24h</w:t>
      </w:r>
      <w:r>
        <w:t>; ^ = data are for the sexes combined at the last sampling occasion;</w:t>
      </w:r>
    </w:p>
    <w:p w:rsidR="00C65F34" w:rsidRDefault="00C35916" w:rsidP="005809C6">
      <w:pPr>
        <w:pStyle w:val="TableDescription"/>
      </w:pPr>
      <w:r w:rsidRPr="009E405F">
        <w:t>a)</w:t>
      </w:r>
      <w:r w:rsidR="00C65F34">
        <w:rPr>
          <w:position w:val="4"/>
          <w:sz w:val="12"/>
          <w:szCs w:val="12"/>
        </w:rPr>
        <w:t xml:space="preserve"> </w:t>
      </w:r>
      <w:r w:rsidR="00C65F34">
        <w:t xml:space="preserve">Derived from results from </w:t>
      </w:r>
      <w:r>
        <w:t xml:space="preserve">clinical </w:t>
      </w:r>
      <w:r w:rsidR="00C65F34">
        <w:t>Study CPS-1008 (Day 1: 23.54 ng.h/mL; Healthy volunteers; n</w:t>
      </w:r>
      <w:r w:rsidR="007A0E9D">
        <w:t xml:space="preserve"> </w:t>
      </w:r>
      <w:r w:rsidR="00C65F34">
        <w:t>=</w:t>
      </w:r>
      <w:r w:rsidR="007A0E9D">
        <w:t xml:space="preserve"> </w:t>
      </w:r>
      <w:r w:rsidR="00C65F34">
        <w:t xml:space="preserve">59), following a 100 mg dose; for the MRHD (200 mg/day), 2 </w:t>
      </w:r>
      <w:r w:rsidR="00C65F34">
        <w:rPr>
          <w:rFonts w:ascii="Symbol" w:hAnsi="Symbol" w:cs="Symbol"/>
        </w:rPr>
        <w:t></w:t>
      </w:r>
      <w:r w:rsidR="00C65F34">
        <w:rPr>
          <w:rFonts w:ascii="Times New Roman" w:hAnsi="Times New Roman"/>
        </w:rPr>
        <w:t xml:space="preserve"> </w:t>
      </w:r>
      <w:r w:rsidR="00C65F34">
        <w:t>AUC</w:t>
      </w:r>
      <w:r w:rsidR="00C65F34">
        <w:rPr>
          <w:vertAlign w:val="subscript"/>
        </w:rPr>
        <w:t>0-</w:t>
      </w:r>
      <w:r w:rsidR="00C65F34">
        <w:rPr>
          <w:rFonts w:ascii="Symbol" w:hAnsi="Symbol" w:cs="Symbol"/>
          <w:vertAlign w:val="subscript"/>
        </w:rPr>
        <w:t></w:t>
      </w:r>
      <w:r w:rsidR="00C65F34">
        <w:rPr>
          <w:rFonts w:ascii="Times New Roman" w:hAnsi="Times New Roman"/>
        </w:rPr>
        <w:t xml:space="preserve"> </w:t>
      </w:r>
      <w:r w:rsidR="00C65F34">
        <w:t>= 47.08 ng.h/mL.</w:t>
      </w:r>
    </w:p>
    <w:p w:rsidR="00A146D6" w:rsidRDefault="00A146D6" w:rsidP="000B640B">
      <w:pPr>
        <w:pStyle w:val="Heading4"/>
      </w:pPr>
      <w:r>
        <w:t>Major toxicities</w:t>
      </w:r>
    </w:p>
    <w:p w:rsidR="00A146D6" w:rsidRDefault="00A146D6" w:rsidP="00A146D6">
      <w:r>
        <w:t xml:space="preserve">There were no major toxicities noted when assessing the studies that have already been evaluated in the FDA report, as well as the new studies submitted. Studies showed that eluxadoline was well tolerated in mice, rats and monkeys at exposures </w:t>
      </w:r>
      <w:r w:rsidR="00E124D1">
        <w:t xml:space="preserve">≥ </w:t>
      </w:r>
      <w:r>
        <w:t>10</w:t>
      </w:r>
      <w:r w:rsidR="00E204B4">
        <w:t xml:space="preserve"> </w:t>
      </w:r>
      <w:r>
        <w:t xml:space="preserve">fold greater than the anticipated clinical exposure at the </w:t>
      </w:r>
      <w:r w:rsidR="004B2534">
        <w:t>maximum recommended human dose (</w:t>
      </w:r>
      <w:r>
        <w:t>MRHD</w:t>
      </w:r>
      <w:r w:rsidR="004B2534">
        <w:t>)</w:t>
      </w:r>
      <w:r>
        <w:t>. Administration via SC or IV, in all animals tested, revealed slight to moderate local irritation at the injection site which may be due to either the vehicle or eluxadoline. However, since the proposed clinical administration route is oral, these observations at the injection site have little relevance for the current submission. Observations of slight decreases in body weight and food consumption at the high doses of eluxadoline (rats: PO and PO/SC administration), as well as alterations in ECG parameters (monkeys: PO administration) were not considered to be adverse and most observations were reversible after a designated recovery period. Overall, eluxadoline was well tolerated in the animals used for experimentation with minimal and reversible treatment-related observations.</w:t>
      </w:r>
    </w:p>
    <w:p w:rsidR="00A146D6" w:rsidRDefault="00A146D6" w:rsidP="000B640B">
      <w:pPr>
        <w:pStyle w:val="Heading4"/>
      </w:pPr>
      <w:r>
        <w:t>Genotoxicity</w:t>
      </w:r>
    </w:p>
    <w:p w:rsidR="00A146D6" w:rsidRDefault="00A146D6" w:rsidP="00A146D6">
      <w:r>
        <w:t xml:space="preserve">No new genotoxicity studies were submitted. </w:t>
      </w:r>
      <w:r w:rsidR="00E204B4">
        <w:t xml:space="preserve">5 </w:t>
      </w:r>
      <w:r>
        <w:t xml:space="preserve">genotoxicity studies (4 </w:t>
      </w:r>
      <w:r w:rsidRPr="00881916">
        <w:t>in vitro</w:t>
      </w:r>
      <w:r>
        <w:t>; 1</w:t>
      </w:r>
      <w:r w:rsidR="00E204B4">
        <w:t> </w:t>
      </w:r>
      <w:r w:rsidRPr="00881916">
        <w:t>in</w:t>
      </w:r>
      <w:r w:rsidR="00E204B4">
        <w:t> </w:t>
      </w:r>
      <w:r w:rsidRPr="00881916">
        <w:t>vivo</w:t>
      </w:r>
      <w:r>
        <w:t xml:space="preserve">) were evaluated in the FDA report which showed that eluxadoline was not genotoxic in the </w:t>
      </w:r>
      <w:r w:rsidRPr="00881916">
        <w:t>in vitro</w:t>
      </w:r>
      <w:r w:rsidR="000B640B">
        <w:t xml:space="preserve"> </w:t>
      </w:r>
      <w:r>
        <w:t xml:space="preserve">bacterial/microsomal assay, the mouse lymphoma assay, human peripheral lymphocyte assay or in the </w:t>
      </w:r>
      <w:r w:rsidRPr="00881916">
        <w:t>in vivo</w:t>
      </w:r>
      <w:r>
        <w:t xml:space="preserve"> mouse bone marrow micronucleus assay. A DEREK </w:t>
      </w:r>
      <w:r w:rsidR="00C7619D">
        <w:t>(</w:t>
      </w:r>
      <w:r w:rsidR="00C7619D" w:rsidRPr="00C7619D">
        <w:t>deductive estimate of risk from existing knowledge</w:t>
      </w:r>
      <w:r w:rsidR="000F77DE">
        <w:t>) analysis</w:t>
      </w:r>
      <w:r>
        <w:t xml:space="preserve"> showed no potential genotoxic impurities in the synthesis of eluxadoline.</w:t>
      </w:r>
    </w:p>
    <w:p w:rsidR="00A146D6" w:rsidRDefault="00A146D6" w:rsidP="000B640B">
      <w:pPr>
        <w:pStyle w:val="Heading4"/>
      </w:pPr>
      <w:r>
        <w:lastRenderedPageBreak/>
        <w:t>Carcinogenicity</w:t>
      </w:r>
    </w:p>
    <w:p w:rsidR="00A146D6" w:rsidRPr="009E405F" w:rsidRDefault="00A146D6" w:rsidP="00A146D6">
      <w:pPr>
        <w:rPr>
          <w:vertAlign w:val="superscript"/>
        </w:rPr>
      </w:pPr>
      <w:r>
        <w:t xml:space="preserve">No new carcinogenicity studies were submitted. </w:t>
      </w:r>
      <w:r w:rsidRPr="00BE2F4F">
        <w:t xml:space="preserve">Two 104 week studies were evaluated in the FDA report </w:t>
      </w:r>
      <w:r w:rsidR="000F77DE">
        <w:t>and</w:t>
      </w:r>
      <w:r w:rsidRPr="00BE2F4F">
        <w:t xml:space="preserve"> were in accordance to </w:t>
      </w:r>
      <w:r w:rsidR="00E204B4">
        <w:t xml:space="preserve">International Conference on Harmonisation (ICH) </w:t>
      </w:r>
      <w:r w:rsidR="00C7619D" w:rsidRPr="00BE2F4F">
        <w:t>G</w:t>
      </w:r>
      <w:r w:rsidRPr="00BE2F4F">
        <w:t xml:space="preserve">uidelines S1, S1A, S1B and </w:t>
      </w:r>
      <w:r w:rsidR="000F77DE" w:rsidRPr="00BE2F4F">
        <w:t>S1C (</w:t>
      </w:r>
      <w:r w:rsidRPr="00BE2F4F">
        <w:t>R2).</w:t>
      </w:r>
      <w:r w:rsidR="00A37AC8" w:rsidRPr="00BE2F4F">
        <w:rPr>
          <w:rStyle w:val="FootnoteReference"/>
        </w:rPr>
        <w:footnoteReference w:id="12"/>
      </w:r>
    </w:p>
    <w:p w:rsidR="00A146D6" w:rsidRDefault="00A146D6" w:rsidP="00A146D6">
      <w:r>
        <w:t>Mice were PO administered 150, 500 and 1500 mg/kg/day of eluxadoline daily for 104</w:t>
      </w:r>
      <w:r w:rsidR="00472EB6">
        <w:t> </w:t>
      </w:r>
      <w:r>
        <w:t>weeks with no treatment-related mortalities throughout the experimental period, and no adverse clinical or mass findings related to treatment. Furthermore, treatment with eluxadoline showed no significant effects on survival, body weights, food consumption, ophthalmology, haematology, gross pathology, or histopathology, indicating that daily PO administration of eluxadoline had no oncogenic effect.</w:t>
      </w:r>
    </w:p>
    <w:p w:rsidR="00A146D6" w:rsidRDefault="00A146D6" w:rsidP="00A146D6">
      <w:r>
        <w:t xml:space="preserve">Similarly, a study </w:t>
      </w:r>
      <w:r w:rsidR="000F77DE">
        <w:t>of rats and</w:t>
      </w:r>
      <w:r>
        <w:t xml:space="preserve"> daily PO administered 150, 500 and 1500 mg/kg/day eluxadoline for 104 weeks showed no significant adverse treatment-related clinical or mass findings, or effects on survival, body weights, food consumption, ophthalmology, haematology, gross pathology or histopathology. Administration of eluxadoline in rats did not produce any statistically significant increase in the incidence of tumour progression or any gender differentiation.</w:t>
      </w:r>
    </w:p>
    <w:p w:rsidR="00A146D6" w:rsidRDefault="00A146D6" w:rsidP="00A146D6">
      <w:r>
        <w:t xml:space="preserve">Overall, </w:t>
      </w:r>
      <w:r w:rsidR="00472EB6">
        <w:t>t</w:t>
      </w:r>
      <w:r>
        <w:t xml:space="preserve">he </w:t>
      </w:r>
      <w:r w:rsidR="00472EB6">
        <w:t xml:space="preserve">2 </w:t>
      </w:r>
      <w:r>
        <w:t>carcinogenicity studies evaluated by the FDA provided no evidence of carcinogenic potential.</w:t>
      </w:r>
    </w:p>
    <w:p w:rsidR="00A146D6" w:rsidRDefault="00A146D6" w:rsidP="000B640B">
      <w:pPr>
        <w:pStyle w:val="Heading4"/>
      </w:pPr>
      <w:r>
        <w:t>Reproductive toxicity</w:t>
      </w:r>
    </w:p>
    <w:p w:rsidR="00A146D6" w:rsidRDefault="00283A93" w:rsidP="00A146D6">
      <w:r>
        <w:t xml:space="preserve">6 </w:t>
      </w:r>
      <w:r w:rsidR="00A146D6">
        <w:t xml:space="preserve">reproductive toxicity studies were submitted with </w:t>
      </w:r>
      <w:r w:rsidR="004347E5">
        <w:t xml:space="preserve">4 </w:t>
      </w:r>
      <w:r w:rsidR="00A146D6">
        <w:t>evaluated in the FDA report</w:t>
      </w:r>
      <w:r w:rsidR="000B640B">
        <w:t xml:space="preserve"> </w:t>
      </w:r>
      <w:r w:rsidR="00A146D6">
        <w:t>(</w:t>
      </w:r>
      <w:r w:rsidR="004347E5">
        <w:t>f</w:t>
      </w:r>
      <w:r w:rsidR="00A146D6">
        <w:t xml:space="preserve">ertility: 1 rat study; </w:t>
      </w:r>
      <w:r w:rsidR="004347E5">
        <w:t>e</w:t>
      </w:r>
      <w:r w:rsidR="00A146D6">
        <w:t xml:space="preserve">mbryofetal: 1 rat and 1 rabbit study; </w:t>
      </w:r>
      <w:r w:rsidR="004347E5">
        <w:t>p</w:t>
      </w:r>
      <w:r w:rsidR="00A146D6">
        <w:t xml:space="preserve">ostnatal development: 1 rat study). </w:t>
      </w:r>
      <w:r w:rsidR="004347E5">
        <w:t xml:space="preserve">2 </w:t>
      </w:r>
      <w:r w:rsidR="00A146D6">
        <w:t xml:space="preserve">new non-pivotal embryofetal development studies were submitted, </w:t>
      </w:r>
      <w:r w:rsidR="004347E5">
        <w:t xml:space="preserve">1 </w:t>
      </w:r>
      <w:r w:rsidR="00A146D6">
        <w:t xml:space="preserve">in rats and </w:t>
      </w:r>
      <w:r w:rsidR="004347E5">
        <w:t xml:space="preserve">1 </w:t>
      </w:r>
      <w:r w:rsidR="00A146D6">
        <w:t>using rabbits.</w:t>
      </w:r>
    </w:p>
    <w:p w:rsidR="00A146D6" w:rsidRDefault="00A146D6" w:rsidP="000B640B">
      <w:pPr>
        <w:pStyle w:val="Heading5"/>
      </w:pPr>
      <w:r>
        <w:t>Fertility</w:t>
      </w:r>
    </w:p>
    <w:p w:rsidR="00A146D6" w:rsidRDefault="00A146D6" w:rsidP="00A146D6">
      <w:r>
        <w:t>The rat study evaluated in the FDA report administered eluxadoline (</w:t>
      </w:r>
      <w:r w:rsidR="00192749">
        <w:t xml:space="preserve">≤ </w:t>
      </w:r>
      <w:r>
        <w:t>1000 mg/kg/day) for 28 days (</w:t>
      </w:r>
      <w:r w:rsidR="00C7619D">
        <w:t>males</w:t>
      </w:r>
      <w:r>
        <w:t>) or 14 days (</w:t>
      </w:r>
      <w:r w:rsidR="00C7619D">
        <w:t>females</w:t>
      </w:r>
      <w:r>
        <w:t xml:space="preserve">) prior to pairing to both sexes and through to </w:t>
      </w:r>
      <w:r w:rsidR="004347E5">
        <w:t>G</w:t>
      </w:r>
      <w:r>
        <w:t xml:space="preserve">estation </w:t>
      </w:r>
      <w:r w:rsidR="004347E5">
        <w:t>D</w:t>
      </w:r>
      <w:r>
        <w:t>ay</w:t>
      </w:r>
      <w:r w:rsidR="004347E5">
        <w:t xml:space="preserve"> (GD)</w:t>
      </w:r>
      <w:r>
        <w:t xml:space="preserve"> 7 in females.</w:t>
      </w:r>
    </w:p>
    <w:p w:rsidR="00A146D6" w:rsidRDefault="00A146D6" w:rsidP="00A146D6">
      <w:r>
        <w:t>Results showed no significant treatment related findings on any of the parameters measured in both sexes. Toxicokinetic measurements were not conducted in this study.</w:t>
      </w:r>
    </w:p>
    <w:p w:rsidR="00A146D6" w:rsidRDefault="00A146D6" w:rsidP="00A146D6">
      <w:r>
        <w:t>The study indicates that treatment with eluxadoline in rats has no significant effects on fertility.</w:t>
      </w:r>
    </w:p>
    <w:p w:rsidR="00A146D6" w:rsidRDefault="00A146D6" w:rsidP="00383E78">
      <w:pPr>
        <w:pStyle w:val="Heading5"/>
      </w:pPr>
      <w:r>
        <w:t>Embryofetal development</w:t>
      </w:r>
    </w:p>
    <w:p w:rsidR="00A146D6" w:rsidRDefault="00A146D6" w:rsidP="00A146D6">
      <w:r>
        <w:t>A new dose-ranging rat study investigating embryofetal development which daily administered eluxadoline to dams (GD</w:t>
      </w:r>
      <w:r w:rsidR="007E41B7">
        <w:t xml:space="preserve"> </w:t>
      </w:r>
      <w:r>
        <w:t>6</w:t>
      </w:r>
      <w:r w:rsidR="004347E5">
        <w:t xml:space="preserve"> to GD</w:t>
      </w:r>
      <w:r w:rsidR="007E41B7">
        <w:t xml:space="preserve"> </w:t>
      </w:r>
      <w:r>
        <w:t xml:space="preserve">7; PO: </w:t>
      </w:r>
      <w:r w:rsidR="00192749">
        <w:t xml:space="preserve">≤ </w:t>
      </w:r>
      <w:r>
        <w:t>1000 mg/kg/day; PO/SC:</w:t>
      </w:r>
      <w:r w:rsidR="004347E5">
        <w:t> </w:t>
      </w:r>
      <w:r w:rsidR="00192749">
        <w:t>≤</w:t>
      </w:r>
      <w:r w:rsidR="004347E5">
        <w:t> </w:t>
      </w:r>
      <w:r>
        <w:t>1000/5</w:t>
      </w:r>
      <w:r w:rsidR="004347E5">
        <w:t> </w:t>
      </w:r>
      <w:r>
        <w:t>mg/kg/day) found that there was considerable inter- and intragroup variation with maternal body weight gain, with the</w:t>
      </w:r>
      <w:r w:rsidR="00383E78">
        <w:t xml:space="preserve"> </w:t>
      </w:r>
      <w:r>
        <w:t>corrected mean maternal weight gain found to be significantly lower in the groups receiving the higher doses compared to control. Furthermore, dams administered eluxadoline had reduced food consumption compared to control with no dose</w:t>
      </w:r>
      <w:r w:rsidR="00C7619D">
        <w:t xml:space="preserve"> </w:t>
      </w:r>
      <w:r>
        <w:t xml:space="preserve">related pattern observed. Administration of eluxadoline to dams had no observed effects on litter values or fetal observations. The FDA report evaluated a study investigating rats administered eluxadoline (PO: </w:t>
      </w:r>
      <w:r w:rsidR="00192749">
        <w:t xml:space="preserve">≤ </w:t>
      </w:r>
      <w:r>
        <w:t>1000 mg/kg/day; PO/SC: 1000/5 mg/kg/day) during GD</w:t>
      </w:r>
      <w:r w:rsidR="007E41B7">
        <w:t xml:space="preserve"> </w:t>
      </w:r>
      <w:r>
        <w:t>6</w:t>
      </w:r>
      <w:r w:rsidR="004347E5">
        <w:t xml:space="preserve"> to GD</w:t>
      </w:r>
      <w:r w:rsidR="007E41B7">
        <w:t xml:space="preserve"> </w:t>
      </w:r>
      <w:r>
        <w:t>7. Results showed no significant treatment</w:t>
      </w:r>
      <w:r w:rsidR="004347E5">
        <w:t xml:space="preserve"> </w:t>
      </w:r>
      <w:r>
        <w:t>related on</w:t>
      </w:r>
      <w:r w:rsidR="00383E78">
        <w:t xml:space="preserve"> </w:t>
      </w:r>
      <w:r>
        <w:t xml:space="preserve">parameters measured, except for an increase in the incidence of the skeletal variant ‘wavy ribs’ in fetuses of dams administered eluxadoline. However, the skeletal </w:t>
      </w:r>
      <w:r>
        <w:lastRenderedPageBreak/>
        <w:t>variant observation in fetuses did not persist postnatally and was considered to be a non</w:t>
      </w:r>
      <w:r w:rsidR="001544B4">
        <w:noBreakHyphen/>
      </w:r>
      <w:r>
        <w:t>specific response unrelated to treatment.</w:t>
      </w:r>
    </w:p>
    <w:p w:rsidR="00A146D6" w:rsidRDefault="00A146D6" w:rsidP="00A146D6">
      <w:r>
        <w:t>A new dose</w:t>
      </w:r>
      <w:r w:rsidR="007E41B7">
        <w:t xml:space="preserve"> </w:t>
      </w:r>
      <w:r>
        <w:t>ranging study was submitted which administered eluxadoline (PO:</w:t>
      </w:r>
      <w:r w:rsidR="007E41B7">
        <w:t> </w:t>
      </w:r>
      <w:r w:rsidR="00192749">
        <w:t>≤</w:t>
      </w:r>
      <w:r w:rsidR="007E41B7">
        <w:t> </w:t>
      </w:r>
      <w:r>
        <w:t>100</w:t>
      </w:r>
      <w:r w:rsidR="007E41B7">
        <w:t>0 </w:t>
      </w:r>
      <w:r>
        <w:t xml:space="preserve">mg/kg/day; PO/SC: </w:t>
      </w:r>
      <w:r w:rsidR="00192749">
        <w:t xml:space="preserve">≤ </w:t>
      </w:r>
      <w:r>
        <w:t>1000/5 mg/kg/day) to rabbits on GD</w:t>
      </w:r>
      <w:r w:rsidR="007E41B7">
        <w:t xml:space="preserve"> </w:t>
      </w:r>
      <w:r>
        <w:t>6</w:t>
      </w:r>
      <w:r w:rsidR="004347E5">
        <w:t xml:space="preserve"> to GD</w:t>
      </w:r>
      <w:r w:rsidR="007E41B7">
        <w:t xml:space="preserve"> </w:t>
      </w:r>
      <w:r w:rsidR="00C7619D">
        <w:t>1</w:t>
      </w:r>
      <w:r>
        <w:t>9. The study showed that maternal body weight gain was variable between groups with most animals exhibiting reduced faecal output. The dams administered eluxadoline during gestation showed no significant effects on litter values or fetal observations. Another study in pregnant rabbits daily administered eluxadoline</w:t>
      </w:r>
      <w:r w:rsidR="00383E78">
        <w:t xml:space="preserve"> </w:t>
      </w:r>
      <w:r>
        <w:t>(GD</w:t>
      </w:r>
      <w:r w:rsidR="007E41B7">
        <w:t xml:space="preserve"> </w:t>
      </w:r>
      <w:r>
        <w:t>6</w:t>
      </w:r>
      <w:r w:rsidR="00712DA2">
        <w:t xml:space="preserve"> to GD</w:t>
      </w:r>
      <w:r w:rsidR="007E41B7">
        <w:t xml:space="preserve"> </w:t>
      </w:r>
      <w:r>
        <w:t xml:space="preserve">19; PO: </w:t>
      </w:r>
      <w:r w:rsidR="00192749">
        <w:t xml:space="preserve">≤ </w:t>
      </w:r>
      <w:r>
        <w:t>1000 mg/kg/day; PO/SC: 1000/5 mg/kg/day) evaluated by the FDA, found no significant treatment-related effects on any of the parameters examined, which included fetal parameters. However, the study showed an increase in the incidence of additional ribs and lumbar vertebrae (PO:</w:t>
      </w:r>
      <w:r w:rsidR="004347E5">
        <w:t> </w:t>
      </w:r>
      <w:r>
        <w:t>300 mg/kg/day; SC: 1000/5 mg/kg/day) which was considered to be related to maternal toxicity.</w:t>
      </w:r>
    </w:p>
    <w:p w:rsidR="00A146D6" w:rsidRDefault="00A146D6" w:rsidP="00A146D6">
      <w:r>
        <w:t>Overall, the studies indicate that treatment with eluxadoline in rats or rabbits has no significant effects on embryofetal development.</w:t>
      </w:r>
    </w:p>
    <w:p w:rsidR="00A146D6" w:rsidRDefault="00A146D6" w:rsidP="009E405F">
      <w:pPr>
        <w:pStyle w:val="Heading5"/>
      </w:pPr>
      <w:r>
        <w:t>Pre/postnatal development</w:t>
      </w:r>
    </w:p>
    <w:p w:rsidR="00A146D6" w:rsidRDefault="00A146D6" w:rsidP="00A146D6">
      <w:r>
        <w:t>The sponsor conducted one study investigating pre/postnatal development in rats administered 100, 300 and 1000 mg/kg/day PO (GD</w:t>
      </w:r>
      <w:r w:rsidR="0025608B">
        <w:t xml:space="preserve"> </w:t>
      </w:r>
      <w:r>
        <w:t>6</w:t>
      </w:r>
      <w:r w:rsidR="00712DA2">
        <w:t xml:space="preserve"> to </w:t>
      </w:r>
      <w:proofErr w:type="spellStart"/>
      <w:r w:rsidR="00712DA2">
        <w:t>L</w:t>
      </w:r>
      <w:r w:rsidR="005438A2">
        <w:t>acation</w:t>
      </w:r>
      <w:proofErr w:type="spellEnd"/>
      <w:r w:rsidR="005438A2">
        <w:t xml:space="preserve"> </w:t>
      </w:r>
      <w:r w:rsidR="00712DA2">
        <w:t>D</w:t>
      </w:r>
      <w:r w:rsidR="005438A2">
        <w:t>ay (</w:t>
      </w:r>
      <w:r>
        <w:t>LD</w:t>
      </w:r>
      <w:r w:rsidR="005438A2">
        <w:t xml:space="preserve">) </w:t>
      </w:r>
      <w:r>
        <w:t>20), which was discussed in the FDA report. Administration of eluxadoline (</w:t>
      </w:r>
      <w:r w:rsidR="00192749">
        <w:t xml:space="preserve">≤ </w:t>
      </w:r>
      <w:r>
        <w:t xml:space="preserve">1000 mg/kg/day) showed no significant treatment-related effects on survival or any of the parameters measured in parental females. Similarly, no treatment-related effects were observed from parturition, </w:t>
      </w:r>
      <w:r w:rsidR="00712DA2">
        <w:t>first filial generation (</w:t>
      </w:r>
      <w:r>
        <w:t>F1</w:t>
      </w:r>
      <w:r w:rsidR="00712DA2">
        <w:t>)</w:t>
      </w:r>
      <w:r>
        <w:t xml:space="preserve"> litter size data, </w:t>
      </w:r>
      <w:r w:rsidR="000F77DE">
        <w:t>and F1</w:t>
      </w:r>
      <w:r>
        <w:t xml:space="preserve"> pups pre- or post-weaning. Macroscopic evaluations of the parental females or F1 animals showed no</w:t>
      </w:r>
      <w:r w:rsidR="00383E78">
        <w:t xml:space="preserve"> </w:t>
      </w:r>
      <w:r>
        <w:t>significant treatment-related effects. Eluxadoline was found to be excreted in the milk of the lactating rats at all doses, at concentrations (LD</w:t>
      </w:r>
      <w:r w:rsidR="0025608B">
        <w:t xml:space="preserve"> </w:t>
      </w:r>
      <w:r>
        <w:t>12) of 2.78, 5.49 and 44 ng/mL, respectively. Toxicokinetic measurements were not conducted in this study.</w:t>
      </w:r>
    </w:p>
    <w:p w:rsidR="00A146D6" w:rsidRDefault="00A146D6" w:rsidP="00A146D6">
      <w:r>
        <w:t>Overall, administration of eluxadoline to parental females indicates no significant treatment-related effects on F1 pups.</w:t>
      </w:r>
    </w:p>
    <w:p w:rsidR="00A146D6" w:rsidRDefault="00A146D6" w:rsidP="00383E78">
      <w:pPr>
        <w:pStyle w:val="Heading5"/>
      </w:pPr>
      <w:r>
        <w:t>Relative exposure</w:t>
      </w:r>
    </w:p>
    <w:p w:rsidR="00A146D6" w:rsidRDefault="00A146D6" w:rsidP="005438A2">
      <w:pPr>
        <w:pStyle w:val="Tabletitle0"/>
      </w:pPr>
      <w:r>
        <w:t xml:space="preserve">Table </w:t>
      </w:r>
      <w:r w:rsidR="00AC04B2">
        <w:t>4</w:t>
      </w:r>
      <w:r>
        <w:t>: Relative exposure in pivotal reproductive toxicity studies</w:t>
      </w:r>
    </w:p>
    <w:tbl>
      <w:tblPr>
        <w:tblW w:w="8789" w:type="dxa"/>
        <w:tblInd w:w="10" w:type="dxa"/>
        <w:tblLayout w:type="fixed"/>
        <w:tblCellMar>
          <w:left w:w="0" w:type="dxa"/>
          <w:right w:w="0" w:type="dxa"/>
        </w:tblCellMar>
        <w:tblLook w:val="0000" w:firstRow="0" w:lastRow="0" w:firstColumn="0" w:lastColumn="0" w:noHBand="0" w:noVBand="0"/>
      </w:tblPr>
      <w:tblGrid>
        <w:gridCol w:w="1985"/>
        <w:gridCol w:w="1981"/>
        <w:gridCol w:w="1988"/>
        <w:gridCol w:w="1701"/>
        <w:gridCol w:w="1134"/>
      </w:tblGrid>
      <w:tr w:rsidR="005438A2" w:rsidRPr="005438A2" w:rsidTr="009E405F">
        <w:trPr>
          <w:cantSplit/>
          <w:trHeight w:val="864"/>
          <w:tblHeader/>
        </w:trPr>
        <w:tc>
          <w:tcPr>
            <w:tcW w:w="1985" w:type="dxa"/>
            <w:tcBorders>
              <w:top w:val="single" w:sz="8" w:space="0" w:color="000000"/>
              <w:left w:val="single" w:sz="8" w:space="0" w:color="000000"/>
              <w:bottom w:val="single" w:sz="8" w:space="0" w:color="000000"/>
              <w:right w:val="single" w:sz="4" w:space="0" w:color="000000"/>
            </w:tcBorders>
            <w:shd w:val="clear" w:color="auto" w:fill="0070C0"/>
            <w:vAlign w:val="center"/>
          </w:tcPr>
          <w:p w:rsidR="00C65F34" w:rsidRPr="005438A2" w:rsidRDefault="00C65F34" w:rsidP="00537F43">
            <w:pPr>
              <w:spacing w:before="0" w:after="0" w:line="360" w:lineRule="auto"/>
              <w:jc w:val="center"/>
              <w:rPr>
                <w:b/>
                <w:color w:val="FFFFFF" w:themeColor="background1"/>
                <w:sz w:val="20"/>
                <w:szCs w:val="20"/>
              </w:rPr>
            </w:pPr>
            <w:r w:rsidRPr="005438A2">
              <w:rPr>
                <w:b/>
                <w:color w:val="FFFFFF" w:themeColor="background1"/>
                <w:sz w:val="20"/>
                <w:szCs w:val="20"/>
              </w:rPr>
              <w:t>Species</w:t>
            </w:r>
          </w:p>
        </w:tc>
        <w:tc>
          <w:tcPr>
            <w:tcW w:w="1981" w:type="dxa"/>
            <w:tcBorders>
              <w:top w:val="single" w:sz="8" w:space="0" w:color="000000"/>
              <w:left w:val="single" w:sz="4" w:space="0" w:color="000000"/>
              <w:bottom w:val="single" w:sz="8" w:space="0" w:color="000000"/>
              <w:right w:val="single" w:sz="4" w:space="0" w:color="000000"/>
            </w:tcBorders>
            <w:shd w:val="clear" w:color="auto" w:fill="0070C0"/>
            <w:vAlign w:val="center"/>
          </w:tcPr>
          <w:p w:rsidR="00C65F34" w:rsidRPr="005438A2" w:rsidRDefault="00C65F34" w:rsidP="00537F43">
            <w:pPr>
              <w:spacing w:before="0" w:after="0" w:line="360" w:lineRule="auto"/>
              <w:jc w:val="center"/>
              <w:rPr>
                <w:b/>
                <w:color w:val="FFFFFF" w:themeColor="background1"/>
                <w:sz w:val="20"/>
                <w:szCs w:val="20"/>
              </w:rPr>
            </w:pPr>
            <w:r w:rsidRPr="005438A2">
              <w:rPr>
                <w:b/>
                <w:color w:val="FFFFFF" w:themeColor="background1"/>
                <w:sz w:val="20"/>
                <w:szCs w:val="20"/>
              </w:rPr>
              <w:t xml:space="preserve">Study </w:t>
            </w:r>
            <w:r w:rsidR="007A0E9D">
              <w:rPr>
                <w:b/>
                <w:color w:val="FFFFFF" w:themeColor="background1"/>
                <w:sz w:val="20"/>
                <w:szCs w:val="20"/>
              </w:rPr>
              <w:t>(</w:t>
            </w:r>
            <w:r w:rsidRPr="005438A2">
              <w:rPr>
                <w:b/>
                <w:color w:val="FFFFFF" w:themeColor="background1"/>
                <w:sz w:val="20"/>
                <w:szCs w:val="20"/>
              </w:rPr>
              <w:t xml:space="preserve">Study </w:t>
            </w:r>
            <w:r w:rsidR="00537F43">
              <w:rPr>
                <w:b/>
                <w:color w:val="FFFFFF" w:themeColor="background1"/>
                <w:sz w:val="20"/>
                <w:szCs w:val="20"/>
              </w:rPr>
              <w:t>ID</w:t>
            </w:r>
            <w:r w:rsidR="007A0E9D">
              <w:rPr>
                <w:b/>
                <w:color w:val="FFFFFF" w:themeColor="background1"/>
                <w:sz w:val="20"/>
                <w:szCs w:val="20"/>
              </w:rPr>
              <w:t>)</w:t>
            </w:r>
          </w:p>
        </w:tc>
        <w:tc>
          <w:tcPr>
            <w:tcW w:w="1988" w:type="dxa"/>
            <w:tcBorders>
              <w:top w:val="single" w:sz="8" w:space="0" w:color="000000"/>
              <w:left w:val="single" w:sz="4" w:space="0" w:color="000000"/>
              <w:bottom w:val="single" w:sz="8" w:space="0" w:color="000000"/>
              <w:right w:val="single" w:sz="4" w:space="0" w:color="000000"/>
            </w:tcBorders>
            <w:shd w:val="clear" w:color="auto" w:fill="0070C0"/>
            <w:vAlign w:val="center"/>
          </w:tcPr>
          <w:p w:rsidR="00537F43" w:rsidRDefault="00C65F34" w:rsidP="0070320B">
            <w:pPr>
              <w:spacing w:before="0" w:after="0" w:line="360" w:lineRule="auto"/>
              <w:jc w:val="center"/>
              <w:rPr>
                <w:b/>
                <w:color w:val="FFFFFF" w:themeColor="background1"/>
                <w:sz w:val="20"/>
                <w:szCs w:val="20"/>
              </w:rPr>
            </w:pPr>
            <w:r w:rsidRPr="005438A2">
              <w:rPr>
                <w:b/>
                <w:color w:val="FFFFFF" w:themeColor="background1"/>
                <w:sz w:val="20"/>
                <w:szCs w:val="20"/>
              </w:rPr>
              <w:t>Dose</w:t>
            </w:r>
          </w:p>
          <w:p w:rsidR="00C65F34" w:rsidRPr="005438A2" w:rsidRDefault="00C65F34" w:rsidP="003B6E12">
            <w:pPr>
              <w:spacing w:before="0" w:after="0" w:line="360" w:lineRule="auto"/>
              <w:jc w:val="center"/>
              <w:rPr>
                <w:b/>
                <w:color w:val="FFFFFF" w:themeColor="background1"/>
                <w:sz w:val="20"/>
                <w:szCs w:val="20"/>
              </w:rPr>
            </w:pPr>
            <w:r w:rsidRPr="005438A2">
              <w:rPr>
                <w:b/>
                <w:color w:val="FFFFFF" w:themeColor="background1"/>
                <w:sz w:val="20"/>
                <w:szCs w:val="20"/>
              </w:rPr>
              <w:t>(mg/kg/day PO/SC)</w:t>
            </w:r>
          </w:p>
        </w:tc>
        <w:tc>
          <w:tcPr>
            <w:tcW w:w="1701" w:type="dxa"/>
            <w:tcBorders>
              <w:top w:val="single" w:sz="8" w:space="0" w:color="000000"/>
              <w:left w:val="single" w:sz="4" w:space="0" w:color="000000"/>
              <w:bottom w:val="single" w:sz="8" w:space="0" w:color="000000"/>
              <w:right w:val="single" w:sz="4" w:space="0" w:color="000000"/>
            </w:tcBorders>
            <w:shd w:val="clear" w:color="auto" w:fill="0070C0"/>
            <w:vAlign w:val="center"/>
          </w:tcPr>
          <w:p w:rsidR="00C65F34" w:rsidRPr="005438A2" w:rsidRDefault="00C65F34" w:rsidP="007D116E">
            <w:pPr>
              <w:spacing w:before="0" w:after="0" w:line="360" w:lineRule="auto"/>
              <w:jc w:val="center"/>
              <w:rPr>
                <w:b/>
                <w:color w:val="FFFFFF" w:themeColor="background1"/>
                <w:position w:val="1"/>
                <w:sz w:val="20"/>
                <w:szCs w:val="20"/>
              </w:rPr>
            </w:pPr>
            <w:r w:rsidRPr="005438A2">
              <w:rPr>
                <w:b/>
                <w:color w:val="FFFFFF" w:themeColor="background1"/>
                <w:position w:val="1"/>
                <w:sz w:val="20"/>
                <w:szCs w:val="20"/>
              </w:rPr>
              <w:t>AUC</w:t>
            </w:r>
            <w:r w:rsidRPr="005438A2">
              <w:rPr>
                <w:b/>
                <w:color w:val="FFFFFF" w:themeColor="background1"/>
                <w:sz w:val="20"/>
                <w:szCs w:val="20"/>
                <w:vertAlign w:val="subscript"/>
              </w:rPr>
              <w:t>0–24h</w:t>
            </w:r>
            <w:r w:rsidRPr="005438A2">
              <w:rPr>
                <w:b/>
                <w:color w:val="FFFFFF" w:themeColor="background1"/>
                <w:position w:val="1"/>
                <w:sz w:val="20"/>
                <w:szCs w:val="20"/>
              </w:rPr>
              <w:t>^</w:t>
            </w:r>
          </w:p>
          <w:p w:rsidR="00C65F34" w:rsidRPr="005438A2" w:rsidRDefault="00C65F34" w:rsidP="00286F60">
            <w:pPr>
              <w:spacing w:before="0" w:after="0" w:line="360" w:lineRule="auto"/>
              <w:jc w:val="center"/>
              <w:rPr>
                <w:b/>
                <w:color w:val="FFFFFF" w:themeColor="background1"/>
                <w:sz w:val="20"/>
                <w:szCs w:val="20"/>
              </w:rPr>
            </w:pPr>
            <w:r w:rsidRPr="005438A2">
              <w:rPr>
                <w:b/>
                <w:color w:val="FFFFFF" w:themeColor="background1"/>
                <w:sz w:val="20"/>
                <w:szCs w:val="20"/>
              </w:rPr>
              <w:t>(ng∙h/mL)</w:t>
            </w:r>
          </w:p>
        </w:tc>
        <w:tc>
          <w:tcPr>
            <w:tcW w:w="1134" w:type="dxa"/>
            <w:tcBorders>
              <w:top w:val="single" w:sz="8" w:space="0" w:color="000000"/>
              <w:left w:val="single" w:sz="4" w:space="0" w:color="000000"/>
              <w:bottom w:val="single" w:sz="8" w:space="0" w:color="000000"/>
              <w:right w:val="single" w:sz="8" w:space="0" w:color="000000"/>
            </w:tcBorders>
            <w:shd w:val="clear" w:color="auto" w:fill="0070C0"/>
            <w:vAlign w:val="center"/>
          </w:tcPr>
          <w:p w:rsidR="00C65F34" w:rsidRPr="005438A2" w:rsidRDefault="00C65F34" w:rsidP="00286F60">
            <w:pPr>
              <w:spacing w:before="0" w:after="0" w:line="360" w:lineRule="auto"/>
              <w:jc w:val="center"/>
              <w:rPr>
                <w:b/>
                <w:color w:val="FFFFFF" w:themeColor="background1"/>
                <w:position w:val="5"/>
                <w:sz w:val="20"/>
                <w:szCs w:val="20"/>
              </w:rPr>
            </w:pPr>
            <w:r w:rsidRPr="005438A2">
              <w:rPr>
                <w:b/>
                <w:color w:val="FFFFFF" w:themeColor="background1"/>
                <w:sz w:val="20"/>
                <w:szCs w:val="20"/>
              </w:rPr>
              <w:t>Exposure</w:t>
            </w:r>
            <w:r w:rsidR="00537F43">
              <w:rPr>
                <w:b/>
                <w:color w:val="FFFFFF" w:themeColor="background1"/>
                <w:sz w:val="20"/>
                <w:szCs w:val="20"/>
              </w:rPr>
              <w:t xml:space="preserve"> </w:t>
            </w:r>
            <w:r w:rsidRPr="005438A2">
              <w:rPr>
                <w:b/>
                <w:color w:val="FFFFFF" w:themeColor="background1"/>
                <w:sz w:val="20"/>
                <w:szCs w:val="20"/>
              </w:rPr>
              <w:t>ratio</w:t>
            </w:r>
            <w:r w:rsidRPr="005438A2">
              <w:rPr>
                <w:b/>
                <w:color w:val="FFFFFF" w:themeColor="background1"/>
                <w:position w:val="5"/>
                <w:sz w:val="20"/>
                <w:szCs w:val="20"/>
              </w:rPr>
              <w:t>#</w:t>
            </w:r>
          </w:p>
        </w:tc>
      </w:tr>
      <w:tr w:rsidR="00C65F34" w:rsidTr="009E405F">
        <w:trPr>
          <w:trHeight w:val="277"/>
        </w:trPr>
        <w:tc>
          <w:tcPr>
            <w:tcW w:w="1985" w:type="dxa"/>
            <w:vMerge w:val="restart"/>
            <w:tcBorders>
              <w:top w:val="single" w:sz="8" w:space="0" w:color="000000"/>
              <w:left w:val="single" w:sz="8" w:space="0" w:color="000000"/>
              <w:bottom w:val="single" w:sz="4" w:space="0" w:color="000000"/>
              <w:right w:val="single" w:sz="4" w:space="0" w:color="000000"/>
            </w:tcBorders>
            <w:vAlign w:val="center"/>
          </w:tcPr>
          <w:p w:rsidR="00C65F34" w:rsidRPr="005438A2" w:rsidRDefault="00C65F34" w:rsidP="00537F43">
            <w:pPr>
              <w:spacing w:before="0" w:after="0" w:line="360" w:lineRule="auto"/>
              <w:jc w:val="center"/>
              <w:rPr>
                <w:sz w:val="20"/>
                <w:szCs w:val="20"/>
              </w:rPr>
            </w:pPr>
            <w:r w:rsidRPr="005438A2">
              <w:rPr>
                <w:sz w:val="20"/>
                <w:szCs w:val="20"/>
              </w:rPr>
              <w:t>Rat</w:t>
            </w:r>
            <w:r w:rsidR="0025608B">
              <w:rPr>
                <w:sz w:val="20"/>
                <w:szCs w:val="20"/>
              </w:rPr>
              <w:t xml:space="preserve"> </w:t>
            </w:r>
            <w:r w:rsidRPr="005438A2">
              <w:rPr>
                <w:sz w:val="20"/>
                <w:szCs w:val="20"/>
              </w:rPr>
              <w:t>(SD)</w:t>
            </w:r>
          </w:p>
        </w:tc>
        <w:tc>
          <w:tcPr>
            <w:tcW w:w="1981" w:type="dxa"/>
            <w:vMerge w:val="restart"/>
            <w:tcBorders>
              <w:top w:val="single" w:sz="8" w:space="0" w:color="000000"/>
              <w:left w:val="single" w:sz="4" w:space="0" w:color="000000"/>
              <w:bottom w:val="single" w:sz="4" w:space="0" w:color="000000"/>
              <w:right w:val="single" w:sz="4" w:space="0" w:color="000000"/>
            </w:tcBorders>
            <w:vAlign w:val="center"/>
          </w:tcPr>
          <w:p w:rsidR="00C65F34" w:rsidRPr="005438A2" w:rsidRDefault="00C65F34" w:rsidP="0025608B">
            <w:pPr>
              <w:spacing w:before="0" w:after="0" w:line="360" w:lineRule="auto"/>
              <w:jc w:val="center"/>
              <w:rPr>
                <w:sz w:val="20"/>
                <w:szCs w:val="20"/>
              </w:rPr>
            </w:pPr>
            <w:r w:rsidRPr="005438A2">
              <w:rPr>
                <w:sz w:val="20"/>
                <w:szCs w:val="20"/>
              </w:rPr>
              <w:t>Embryofetal</w:t>
            </w:r>
            <w:r w:rsidR="00537F43">
              <w:rPr>
                <w:sz w:val="20"/>
                <w:szCs w:val="20"/>
              </w:rPr>
              <w:t xml:space="preserve"> </w:t>
            </w:r>
            <w:r w:rsidRPr="005438A2">
              <w:rPr>
                <w:spacing w:val="-3"/>
                <w:sz w:val="20"/>
                <w:szCs w:val="20"/>
              </w:rPr>
              <w:t>development</w:t>
            </w:r>
            <w:r w:rsidR="00537F43">
              <w:rPr>
                <w:spacing w:val="-3"/>
                <w:sz w:val="20"/>
                <w:szCs w:val="20"/>
              </w:rPr>
              <w:t xml:space="preserve"> </w:t>
            </w:r>
            <w:r w:rsidR="007A0E9D">
              <w:rPr>
                <w:sz w:val="20"/>
                <w:szCs w:val="20"/>
              </w:rPr>
              <w:t>(</w:t>
            </w:r>
            <w:r w:rsidRPr="005438A2">
              <w:rPr>
                <w:sz w:val="20"/>
                <w:szCs w:val="20"/>
              </w:rPr>
              <w:t>Study</w:t>
            </w:r>
            <w:r w:rsidR="0025608B">
              <w:rPr>
                <w:sz w:val="20"/>
                <w:szCs w:val="20"/>
              </w:rPr>
              <w:t> </w:t>
            </w:r>
            <w:r w:rsidRPr="005438A2">
              <w:rPr>
                <w:sz w:val="20"/>
                <w:szCs w:val="20"/>
              </w:rPr>
              <w:t>TOX8398</w:t>
            </w:r>
            <w:r w:rsidR="007A0E9D">
              <w:rPr>
                <w:sz w:val="20"/>
                <w:szCs w:val="20"/>
              </w:rPr>
              <w:t>)</w:t>
            </w:r>
          </w:p>
        </w:tc>
        <w:tc>
          <w:tcPr>
            <w:tcW w:w="1988" w:type="dxa"/>
            <w:tcBorders>
              <w:top w:val="single" w:sz="8" w:space="0" w:color="000000"/>
              <w:left w:val="single" w:sz="4" w:space="0" w:color="000000"/>
              <w:bottom w:val="dotted"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100</w:t>
            </w:r>
          </w:p>
        </w:tc>
        <w:tc>
          <w:tcPr>
            <w:tcW w:w="1701" w:type="dxa"/>
            <w:tcBorders>
              <w:top w:val="single" w:sz="8" w:space="0" w:color="000000"/>
              <w:left w:val="single" w:sz="4" w:space="0" w:color="000000"/>
              <w:bottom w:val="dotted"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43.9</w:t>
            </w:r>
          </w:p>
        </w:tc>
        <w:tc>
          <w:tcPr>
            <w:tcW w:w="1134" w:type="dxa"/>
            <w:tcBorders>
              <w:top w:val="single" w:sz="8" w:space="0" w:color="000000"/>
              <w:left w:val="single" w:sz="4" w:space="0" w:color="000000"/>
              <w:bottom w:val="dotted" w:sz="2" w:space="0" w:color="000000"/>
              <w:right w:val="single" w:sz="8" w:space="0" w:color="000000"/>
            </w:tcBorders>
          </w:tcPr>
          <w:p w:rsidR="00C65F34" w:rsidRPr="005438A2" w:rsidRDefault="00C65F34" w:rsidP="005438A2">
            <w:pPr>
              <w:spacing w:before="0" w:after="0" w:line="360" w:lineRule="auto"/>
              <w:jc w:val="center"/>
              <w:rPr>
                <w:sz w:val="20"/>
                <w:szCs w:val="20"/>
              </w:rPr>
            </w:pPr>
            <w:r w:rsidRPr="005438A2">
              <w:rPr>
                <w:sz w:val="20"/>
                <w:szCs w:val="20"/>
              </w:rPr>
              <w:t>0.9</w:t>
            </w:r>
          </w:p>
        </w:tc>
      </w:tr>
      <w:tr w:rsidR="00C65F34" w:rsidTr="009E405F">
        <w:trPr>
          <w:trHeight w:val="283"/>
        </w:trPr>
        <w:tc>
          <w:tcPr>
            <w:tcW w:w="1985" w:type="dxa"/>
            <w:vMerge/>
            <w:tcBorders>
              <w:top w:val="nil"/>
              <w:left w:val="single" w:sz="8" w:space="0" w:color="000000"/>
              <w:bottom w:val="single" w:sz="4" w:space="0" w:color="000000"/>
              <w:right w:val="single" w:sz="4" w:space="0" w:color="000000"/>
            </w:tcBorders>
            <w:vAlign w:val="center"/>
          </w:tcPr>
          <w:p w:rsidR="00C65F34" w:rsidRPr="005438A2" w:rsidRDefault="00C65F34" w:rsidP="00286F60">
            <w:pPr>
              <w:spacing w:before="0" w:after="0" w:line="360" w:lineRule="auto"/>
              <w:jc w:val="center"/>
              <w:rPr>
                <w:sz w:val="20"/>
                <w:szCs w:val="20"/>
              </w:rPr>
            </w:pPr>
          </w:p>
        </w:tc>
        <w:tc>
          <w:tcPr>
            <w:tcW w:w="1981" w:type="dxa"/>
            <w:vMerge/>
            <w:tcBorders>
              <w:top w:val="nil"/>
              <w:left w:val="single" w:sz="4" w:space="0" w:color="000000"/>
              <w:bottom w:val="single" w:sz="4" w:space="0" w:color="000000"/>
              <w:right w:val="single" w:sz="4" w:space="0" w:color="000000"/>
            </w:tcBorders>
            <w:vAlign w:val="center"/>
          </w:tcPr>
          <w:p w:rsidR="00C65F34" w:rsidRPr="005438A2" w:rsidRDefault="00C65F34" w:rsidP="00286F60">
            <w:pPr>
              <w:spacing w:before="0" w:after="0" w:line="360" w:lineRule="auto"/>
              <w:jc w:val="center"/>
              <w:rPr>
                <w:sz w:val="20"/>
                <w:szCs w:val="20"/>
              </w:rPr>
            </w:pPr>
          </w:p>
        </w:tc>
        <w:tc>
          <w:tcPr>
            <w:tcW w:w="1988" w:type="dxa"/>
            <w:tcBorders>
              <w:top w:val="dotted" w:sz="2" w:space="0" w:color="000000"/>
              <w:left w:val="single" w:sz="4" w:space="0" w:color="000000"/>
              <w:bottom w:val="dotted"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300</w:t>
            </w:r>
          </w:p>
        </w:tc>
        <w:tc>
          <w:tcPr>
            <w:tcW w:w="1701" w:type="dxa"/>
            <w:tcBorders>
              <w:top w:val="dotted" w:sz="2" w:space="0" w:color="000000"/>
              <w:left w:val="single" w:sz="4" w:space="0" w:color="000000"/>
              <w:bottom w:val="dotted"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71.8</w:t>
            </w:r>
          </w:p>
        </w:tc>
        <w:tc>
          <w:tcPr>
            <w:tcW w:w="1134" w:type="dxa"/>
            <w:tcBorders>
              <w:top w:val="dotted" w:sz="2" w:space="0" w:color="000000"/>
              <w:left w:val="single" w:sz="4" w:space="0" w:color="000000"/>
              <w:bottom w:val="dotted" w:sz="2" w:space="0" w:color="000000"/>
              <w:right w:val="single" w:sz="8" w:space="0" w:color="000000"/>
            </w:tcBorders>
          </w:tcPr>
          <w:p w:rsidR="00C65F34" w:rsidRPr="005438A2" w:rsidRDefault="00C65F34" w:rsidP="005438A2">
            <w:pPr>
              <w:spacing w:before="0" w:after="0" w:line="360" w:lineRule="auto"/>
              <w:jc w:val="center"/>
              <w:rPr>
                <w:sz w:val="20"/>
                <w:szCs w:val="20"/>
              </w:rPr>
            </w:pPr>
            <w:r w:rsidRPr="005438A2">
              <w:rPr>
                <w:sz w:val="20"/>
                <w:szCs w:val="20"/>
              </w:rPr>
              <w:t>1.5</w:t>
            </w:r>
          </w:p>
        </w:tc>
      </w:tr>
      <w:tr w:rsidR="00C65F34" w:rsidTr="009E405F">
        <w:trPr>
          <w:trHeight w:val="287"/>
        </w:trPr>
        <w:tc>
          <w:tcPr>
            <w:tcW w:w="1985" w:type="dxa"/>
            <w:vMerge/>
            <w:tcBorders>
              <w:top w:val="nil"/>
              <w:left w:val="single" w:sz="8" w:space="0" w:color="000000"/>
              <w:bottom w:val="single" w:sz="4" w:space="0" w:color="000000"/>
              <w:right w:val="single" w:sz="4" w:space="0" w:color="000000"/>
            </w:tcBorders>
            <w:vAlign w:val="center"/>
          </w:tcPr>
          <w:p w:rsidR="00C65F34" w:rsidRPr="005438A2" w:rsidRDefault="00C65F34" w:rsidP="00286F60">
            <w:pPr>
              <w:spacing w:before="0" w:after="0" w:line="360" w:lineRule="auto"/>
              <w:jc w:val="center"/>
              <w:rPr>
                <w:sz w:val="20"/>
                <w:szCs w:val="20"/>
              </w:rPr>
            </w:pPr>
          </w:p>
        </w:tc>
        <w:tc>
          <w:tcPr>
            <w:tcW w:w="1981" w:type="dxa"/>
            <w:vMerge/>
            <w:tcBorders>
              <w:top w:val="nil"/>
              <w:left w:val="single" w:sz="4" w:space="0" w:color="000000"/>
              <w:bottom w:val="single" w:sz="4" w:space="0" w:color="000000"/>
              <w:right w:val="single" w:sz="4" w:space="0" w:color="000000"/>
            </w:tcBorders>
            <w:vAlign w:val="center"/>
          </w:tcPr>
          <w:p w:rsidR="00C65F34" w:rsidRPr="005438A2" w:rsidRDefault="00C65F34" w:rsidP="00286F60">
            <w:pPr>
              <w:spacing w:before="0" w:after="0" w:line="360" w:lineRule="auto"/>
              <w:jc w:val="center"/>
              <w:rPr>
                <w:sz w:val="20"/>
                <w:szCs w:val="20"/>
              </w:rPr>
            </w:pPr>
          </w:p>
        </w:tc>
        <w:tc>
          <w:tcPr>
            <w:tcW w:w="1988" w:type="dxa"/>
            <w:tcBorders>
              <w:top w:val="dotted" w:sz="2" w:space="0" w:color="000000"/>
              <w:left w:val="single" w:sz="4" w:space="0" w:color="000000"/>
              <w:bottom w:val="single" w:sz="4"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1000/5</w:t>
            </w:r>
          </w:p>
        </w:tc>
        <w:tc>
          <w:tcPr>
            <w:tcW w:w="1701" w:type="dxa"/>
            <w:tcBorders>
              <w:top w:val="dotted" w:sz="2" w:space="0" w:color="000000"/>
              <w:left w:val="single" w:sz="4" w:space="0" w:color="000000"/>
              <w:bottom w:val="single" w:sz="4"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1230.0</w:t>
            </w:r>
          </w:p>
        </w:tc>
        <w:tc>
          <w:tcPr>
            <w:tcW w:w="1134" w:type="dxa"/>
            <w:tcBorders>
              <w:top w:val="dotted" w:sz="2" w:space="0" w:color="000000"/>
              <w:left w:val="single" w:sz="4" w:space="0" w:color="000000"/>
              <w:bottom w:val="single" w:sz="4" w:space="0" w:color="000000"/>
              <w:right w:val="single" w:sz="8" w:space="0" w:color="000000"/>
            </w:tcBorders>
          </w:tcPr>
          <w:p w:rsidR="00C65F34" w:rsidRPr="005438A2" w:rsidRDefault="00C65F34" w:rsidP="005438A2">
            <w:pPr>
              <w:spacing w:before="0" w:after="0" w:line="360" w:lineRule="auto"/>
              <w:jc w:val="center"/>
              <w:rPr>
                <w:sz w:val="20"/>
                <w:szCs w:val="20"/>
              </w:rPr>
            </w:pPr>
            <w:r w:rsidRPr="005438A2">
              <w:rPr>
                <w:sz w:val="20"/>
                <w:szCs w:val="20"/>
              </w:rPr>
              <w:t>26</w:t>
            </w:r>
          </w:p>
        </w:tc>
      </w:tr>
      <w:tr w:rsidR="00C65F34" w:rsidTr="009E405F">
        <w:trPr>
          <w:trHeight w:val="268"/>
        </w:trPr>
        <w:tc>
          <w:tcPr>
            <w:tcW w:w="1985" w:type="dxa"/>
            <w:vMerge w:val="restart"/>
            <w:tcBorders>
              <w:top w:val="single" w:sz="4" w:space="0" w:color="000000"/>
              <w:left w:val="single" w:sz="8" w:space="0" w:color="000000"/>
              <w:bottom w:val="double" w:sz="2" w:space="0" w:color="000000"/>
              <w:right w:val="single" w:sz="4" w:space="0" w:color="000000"/>
            </w:tcBorders>
            <w:vAlign w:val="center"/>
          </w:tcPr>
          <w:p w:rsidR="00C65F34" w:rsidRPr="005438A2" w:rsidRDefault="00C65F34" w:rsidP="00537F43">
            <w:pPr>
              <w:spacing w:before="0" w:after="0" w:line="360" w:lineRule="auto"/>
              <w:jc w:val="center"/>
              <w:rPr>
                <w:sz w:val="20"/>
                <w:szCs w:val="20"/>
              </w:rPr>
            </w:pPr>
            <w:r w:rsidRPr="005438A2">
              <w:rPr>
                <w:sz w:val="20"/>
                <w:szCs w:val="20"/>
              </w:rPr>
              <w:t>Rabbit</w:t>
            </w:r>
            <w:r w:rsidR="0025608B">
              <w:rPr>
                <w:sz w:val="20"/>
                <w:szCs w:val="20"/>
              </w:rPr>
              <w:t xml:space="preserve"> </w:t>
            </w:r>
            <w:r w:rsidRPr="005438A2">
              <w:rPr>
                <w:sz w:val="20"/>
                <w:szCs w:val="20"/>
              </w:rPr>
              <w:t>(NZW)</w:t>
            </w:r>
          </w:p>
        </w:tc>
        <w:tc>
          <w:tcPr>
            <w:tcW w:w="1981" w:type="dxa"/>
            <w:vMerge w:val="restart"/>
            <w:tcBorders>
              <w:top w:val="single" w:sz="4" w:space="0" w:color="000000"/>
              <w:left w:val="single" w:sz="4" w:space="0" w:color="000000"/>
              <w:bottom w:val="double" w:sz="2" w:space="0" w:color="000000"/>
              <w:right w:val="single" w:sz="4" w:space="0" w:color="000000"/>
            </w:tcBorders>
            <w:vAlign w:val="center"/>
          </w:tcPr>
          <w:p w:rsidR="00C65F34" w:rsidRPr="005438A2" w:rsidRDefault="00C65F34" w:rsidP="00537F43">
            <w:pPr>
              <w:spacing w:before="0" w:after="0" w:line="360" w:lineRule="auto"/>
              <w:jc w:val="center"/>
              <w:rPr>
                <w:sz w:val="20"/>
                <w:szCs w:val="20"/>
              </w:rPr>
            </w:pPr>
            <w:r w:rsidRPr="005438A2">
              <w:rPr>
                <w:sz w:val="20"/>
                <w:szCs w:val="20"/>
              </w:rPr>
              <w:t>Embryofetal</w:t>
            </w:r>
            <w:r w:rsidR="00537F43">
              <w:rPr>
                <w:sz w:val="20"/>
                <w:szCs w:val="20"/>
              </w:rPr>
              <w:t xml:space="preserve"> </w:t>
            </w:r>
            <w:r w:rsidRPr="005438A2">
              <w:rPr>
                <w:spacing w:val="-3"/>
                <w:sz w:val="20"/>
                <w:szCs w:val="20"/>
              </w:rPr>
              <w:t>development</w:t>
            </w:r>
            <w:r w:rsidR="00537F43">
              <w:rPr>
                <w:spacing w:val="-3"/>
                <w:sz w:val="20"/>
                <w:szCs w:val="20"/>
              </w:rPr>
              <w:t xml:space="preserve"> </w:t>
            </w:r>
            <w:r w:rsidR="007A0E9D">
              <w:rPr>
                <w:sz w:val="20"/>
                <w:szCs w:val="20"/>
              </w:rPr>
              <w:t>(</w:t>
            </w:r>
            <w:r w:rsidRPr="005438A2">
              <w:rPr>
                <w:sz w:val="20"/>
                <w:szCs w:val="20"/>
              </w:rPr>
              <w:t>Study</w:t>
            </w:r>
            <w:r w:rsidR="00537F43">
              <w:rPr>
                <w:sz w:val="20"/>
                <w:szCs w:val="20"/>
              </w:rPr>
              <w:t> </w:t>
            </w:r>
            <w:r w:rsidRPr="005438A2">
              <w:rPr>
                <w:sz w:val="20"/>
                <w:szCs w:val="20"/>
              </w:rPr>
              <w:t>TOX8376</w:t>
            </w:r>
            <w:r w:rsidR="007A0E9D">
              <w:rPr>
                <w:sz w:val="20"/>
                <w:szCs w:val="20"/>
              </w:rPr>
              <w:t>)</w:t>
            </w:r>
          </w:p>
        </w:tc>
        <w:tc>
          <w:tcPr>
            <w:tcW w:w="1988" w:type="dxa"/>
            <w:tcBorders>
              <w:top w:val="single" w:sz="4" w:space="0" w:color="000000"/>
              <w:left w:val="single" w:sz="4" w:space="0" w:color="000000"/>
              <w:bottom w:val="dotted"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100</w:t>
            </w:r>
          </w:p>
        </w:tc>
        <w:tc>
          <w:tcPr>
            <w:tcW w:w="1701" w:type="dxa"/>
            <w:tcBorders>
              <w:top w:val="single" w:sz="4" w:space="0" w:color="000000"/>
              <w:left w:val="single" w:sz="4" w:space="0" w:color="000000"/>
              <w:bottom w:val="dotted"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124.0</w:t>
            </w:r>
          </w:p>
        </w:tc>
        <w:tc>
          <w:tcPr>
            <w:tcW w:w="1134" w:type="dxa"/>
            <w:tcBorders>
              <w:top w:val="single" w:sz="4" w:space="0" w:color="000000"/>
              <w:left w:val="single" w:sz="4" w:space="0" w:color="000000"/>
              <w:bottom w:val="dotted" w:sz="2" w:space="0" w:color="000000"/>
              <w:right w:val="single" w:sz="8" w:space="0" w:color="000000"/>
            </w:tcBorders>
          </w:tcPr>
          <w:p w:rsidR="00C65F34" w:rsidRPr="005438A2" w:rsidRDefault="00C65F34" w:rsidP="005438A2">
            <w:pPr>
              <w:spacing w:before="0" w:after="0" w:line="360" w:lineRule="auto"/>
              <w:jc w:val="center"/>
              <w:rPr>
                <w:sz w:val="20"/>
                <w:szCs w:val="20"/>
              </w:rPr>
            </w:pPr>
            <w:r w:rsidRPr="005438A2">
              <w:rPr>
                <w:sz w:val="20"/>
                <w:szCs w:val="20"/>
              </w:rPr>
              <w:t>2.6</w:t>
            </w:r>
          </w:p>
        </w:tc>
      </w:tr>
      <w:tr w:rsidR="00C65F34" w:rsidTr="009E405F">
        <w:trPr>
          <w:trHeight w:val="262"/>
        </w:trPr>
        <w:tc>
          <w:tcPr>
            <w:tcW w:w="1985" w:type="dxa"/>
            <w:vMerge/>
            <w:tcBorders>
              <w:top w:val="nil"/>
              <w:left w:val="single" w:sz="8" w:space="0" w:color="000000"/>
              <w:bottom w:val="double" w:sz="2" w:space="0" w:color="000000"/>
              <w:right w:val="single" w:sz="4" w:space="0" w:color="000000"/>
            </w:tcBorders>
          </w:tcPr>
          <w:p w:rsidR="00C65F34" w:rsidRPr="005438A2" w:rsidRDefault="00C65F34" w:rsidP="005438A2">
            <w:pPr>
              <w:spacing w:before="0" w:after="0" w:line="360" w:lineRule="auto"/>
              <w:jc w:val="center"/>
              <w:rPr>
                <w:sz w:val="20"/>
                <w:szCs w:val="20"/>
              </w:rPr>
            </w:pPr>
          </w:p>
        </w:tc>
        <w:tc>
          <w:tcPr>
            <w:tcW w:w="1981" w:type="dxa"/>
            <w:vMerge/>
            <w:tcBorders>
              <w:top w:val="nil"/>
              <w:left w:val="single" w:sz="4" w:space="0" w:color="000000"/>
              <w:bottom w:val="double" w:sz="2" w:space="0" w:color="000000"/>
              <w:right w:val="single" w:sz="4" w:space="0" w:color="000000"/>
            </w:tcBorders>
          </w:tcPr>
          <w:p w:rsidR="00C65F34" w:rsidRPr="005438A2" w:rsidRDefault="00C65F34" w:rsidP="005438A2">
            <w:pPr>
              <w:spacing w:before="0" w:after="0" w:line="360" w:lineRule="auto"/>
              <w:jc w:val="center"/>
              <w:rPr>
                <w:sz w:val="20"/>
                <w:szCs w:val="20"/>
              </w:rPr>
            </w:pPr>
          </w:p>
        </w:tc>
        <w:tc>
          <w:tcPr>
            <w:tcW w:w="1988" w:type="dxa"/>
            <w:tcBorders>
              <w:top w:val="dotted" w:sz="2" w:space="0" w:color="000000"/>
              <w:left w:val="single" w:sz="4" w:space="0" w:color="000000"/>
              <w:bottom w:val="dotted"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300</w:t>
            </w:r>
          </w:p>
        </w:tc>
        <w:tc>
          <w:tcPr>
            <w:tcW w:w="1701" w:type="dxa"/>
            <w:tcBorders>
              <w:top w:val="dotted" w:sz="2" w:space="0" w:color="000000"/>
              <w:left w:val="single" w:sz="4" w:space="0" w:color="000000"/>
              <w:bottom w:val="dotted"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369.0</w:t>
            </w:r>
          </w:p>
        </w:tc>
        <w:tc>
          <w:tcPr>
            <w:tcW w:w="1134" w:type="dxa"/>
            <w:tcBorders>
              <w:top w:val="dotted" w:sz="2" w:space="0" w:color="000000"/>
              <w:left w:val="single" w:sz="4" w:space="0" w:color="000000"/>
              <w:bottom w:val="dotted" w:sz="2" w:space="0" w:color="000000"/>
              <w:right w:val="single" w:sz="8" w:space="0" w:color="000000"/>
            </w:tcBorders>
          </w:tcPr>
          <w:p w:rsidR="00C65F34" w:rsidRPr="005438A2" w:rsidRDefault="00C65F34" w:rsidP="005438A2">
            <w:pPr>
              <w:spacing w:before="0" w:after="0" w:line="360" w:lineRule="auto"/>
              <w:jc w:val="center"/>
              <w:rPr>
                <w:sz w:val="20"/>
                <w:szCs w:val="20"/>
              </w:rPr>
            </w:pPr>
            <w:r w:rsidRPr="005438A2">
              <w:rPr>
                <w:sz w:val="20"/>
                <w:szCs w:val="20"/>
              </w:rPr>
              <w:t>7.8</w:t>
            </w:r>
          </w:p>
        </w:tc>
      </w:tr>
      <w:tr w:rsidR="00C65F34" w:rsidTr="009E405F">
        <w:trPr>
          <w:trHeight w:val="277"/>
        </w:trPr>
        <w:tc>
          <w:tcPr>
            <w:tcW w:w="1985" w:type="dxa"/>
            <w:vMerge/>
            <w:tcBorders>
              <w:top w:val="nil"/>
              <w:left w:val="single" w:sz="8" w:space="0" w:color="000000"/>
              <w:bottom w:val="double" w:sz="2" w:space="0" w:color="000000"/>
              <w:right w:val="single" w:sz="4" w:space="0" w:color="000000"/>
            </w:tcBorders>
          </w:tcPr>
          <w:p w:rsidR="00C65F34" w:rsidRPr="005438A2" w:rsidRDefault="00C65F34" w:rsidP="005438A2">
            <w:pPr>
              <w:spacing w:before="0" w:after="0" w:line="360" w:lineRule="auto"/>
              <w:jc w:val="center"/>
              <w:rPr>
                <w:sz w:val="20"/>
                <w:szCs w:val="20"/>
              </w:rPr>
            </w:pPr>
          </w:p>
        </w:tc>
        <w:tc>
          <w:tcPr>
            <w:tcW w:w="1981" w:type="dxa"/>
            <w:vMerge/>
            <w:tcBorders>
              <w:top w:val="nil"/>
              <w:left w:val="single" w:sz="4" w:space="0" w:color="000000"/>
              <w:bottom w:val="double" w:sz="2" w:space="0" w:color="000000"/>
              <w:right w:val="single" w:sz="4" w:space="0" w:color="000000"/>
            </w:tcBorders>
          </w:tcPr>
          <w:p w:rsidR="00C65F34" w:rsidRPr="005438A2" w:rsidRDefault="00C65F34" w:rsidP="005438A2">
            <w:pPr>
              <w:spacing w:before="0" w:after="0" w:line="360" w:lineRule="auto"/>
              <w:jc w:val="center"/>
              <w:rPr>
                <w:sz w:val="20"/>
                <w:szCs w:val="20"/>
              </w:rPr>
            </w:pPr>
          </w:p>
        </w:tc>
        <w:tc>
          <w:tcPr>
            <w:tcW w:w="1988" w:type="dxa"/>
            <w:tcBorders>
              <w:top w:val="dotted" w:sz="2" w:space="0" w:color="000000"/>
              <w:left w:val="single" w:sz="4" w:space="0" w:color="000000"/>
              <w:bottom w:val="double"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1000/5</w:t>
            </w:r>
          </w:p>
        </w:tc>
        <w:tc>
          <w:tcPr>
            <w:tcW w:w="1701" w:type="dxa"/>
            <w:tcBorders>
              <w:top w:val="dotted" w:sz="2" w:space="0" w:color="000000"/>
              <w:left w:val="single" w:sz="4" w:space="0" w:color="000000"/>
              <w:bottom w:val="double" w:sz="2"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2750.0</w:t>
            </w:r>
          </w:p>
        </w:tc>
        <w:tc>
          <w:tcPr>
            <w:tcW w:w="1134" w:type="dxa"/>
            <w:tcBorders>
              <w:top w:val="dotted" w:sz="2" w:space="0" w:color="000000"/>
              <w:left w:val="single" w:sz="4" w:space="0" w:color="000000"/>
              <w:bottom w:val="double" w:sz="2" w:space="0" w:color="000000"/>
              <w:right w:val="single" w:sz="8" w:space="0" w:color="000000"/>
            </w:tcBorders>
          </w:tcPr>
          <w:p w:rsidR="00C65F34" w:rsidRPr="005438A2" w:rsidRDefault="00C65F34" w:rsidP="005438A2">
            <w:pPr>
              <w:spacing w:before="0" w:after="0" w:line="360" w:lineRule="auto"/>
              <w:jc w:val="center"/>
              <w:rPr>
                <w:sz w:val="20"/>
                <w:szCs w:val="20"/>
              </w:rPr>
            </w:pPr>
            <w:r w:rsidRPr="005438A2">
              <w:rPr>
                <w:sz w:val="20"/>
                <w:szCs w:val="20"/>
              </w:rPr>
              <w:t>58</w:t>
            </w:r>
          </w:p>
        </w:tc>
      </w:tr>
      <w:tr w:rsidR="00C65F34" w:rsidTr="009E405F">
        <w:trPr>
          <w:trHeight w:val="772"/>
        </w:trPr>
        <w:tc>
          <w:tcPr>
            <w:tcW w:w="1985" w:type="dxa"/>
            <w:tcBorders>
              <w:top w:val="double" w:sz="2" w:space="0" w:color="000000"/>
              <w:left w:val="single" w:sz="8" w:space="0" w:color="000000"/>
              <w:bottom w:val="single" w:sz="8" w:space="0" w:color="000000"/>
              <w:right w:val="single" w:sz="4" w:space="0" w:color="000000"/>
            </w:tcBorders>
            <w:vAlign w:val="center"/>
          </w:tcPr>
          <w:p w:rsidR="00C65F34" w:rsidRPr="005438A2" w:rsidRDefault="00C65F34" w:rsidP="00537F43">
            <w:pPr>
              <w:spacing w:before="0" w:after="0" w:line="360" w:lineRule="auto"/>
              <w:jc w:val="center"/>
              <w:rPr>
                <w:sz w:val="20"/>
                <w:szCs w:val="20"/>
              </w:rPr>
            </w:pPr>
            <w:r w:rsidRPr="005438A2">
              <w:rPr>
                <w:sz w:val="20"/>
                <w:szCs w:val="20"/>
              </w:rPr>
              <w:t>Human</w:t>
            </w:r>
            <w:r w:rsidR="00537F43">
              <w:rPr>
                <w:sz w:val="20"/>
                <w:szCs w:val="20"/>
              </w:rPr>
              <w:t xml:space="preserve"> </w:t>
            </w:r>
            <w:r w:rsidRPr="005438A2">
              <w:rPr>
                <w:sz w:val="20"/>
                <w:szCs w:val="20"/>
              </w:rPr>
              <w:t>(healthy volunteers)</w:t>
            </w:r>
          </w:p>
        </w:tc>
        <w:tc>
          <w:tcPr>
            <w:tcW w:w="1981" w:type="dxa"/>
            <w:tcBorders>
              <w:top w:val="double" w:sz="2" w:space="0" w:color="000000"/>
              <w:left w:val="single" w:sz="4" w:space="0" w:color="000000"/>
              <w:bottom w:val="single" w:sz="8" w:space="0" w:color="000000"/>
              <w:right w:val="single" w:sz="4" w:space="0" w:color="000000"/>
            </w:tcBorders>
            <w:vAlign w:val="center"/>
          </w:tcPr>
          <w:p w:rsidR="00C65F34" w:rsidRPr="005438A2" w:rsidRDefault="00C65F34" w:rsidP="00537F43">
            <w:pPr>
              <w:spacing w:before="0" w:after="0" w:line="360" w:lineRule="auto"/>
              <w:jc w:val="center"/>
              <w:rPr>
                <w:sz w:val="20"/>
                <w:szCs w:val="20"/>
              </w:rPr>
            </w:pPr>
            <w:r w:rsidRPr="005438A2">
              <w:rPr>
                <w:sz w:val="20"/>
                <w:szCs w:val="20"/>
              </w:rPr>
              <w:t xml:space="preserve">Steady state </w:t>
            </w:r>
            <w:r w:rsidR="007A0E9D">
              <w:rPr>
                <w:sz w:val="20"/>
                <w:szCs w:val="20"/>
              </w:rPr>
              <w:t>(</w:t>
            </w:r>
            <w:r w:rsidRPr="005438A2">
              <w:rPr>
                <w:sz w:val="20"/>
                <w:szCs w:val="20"/>
              </w:rPr>
              <w:t>Study</w:t>
            </w:r>
            <w:r w:rsidR="00537F43">
              <w:rPr>
                <w:sz w:val="20"/>
                <w:szCs w:val="20"/>
              </w:rPr>
              <w:t> </w:t>
            </w:r>
            <w:r w:rsidRPr="005438A2">
              <w:rPr>
                <w:sz w:val="20"/>
                <w:szCs w:val="20"/>
              </w:rPr>
              <w:t>EDI-1001</w:t>
            </w:r>
            <w:r w:rsidR="007A0E9D">
              <w:rPr>
                <w:sz w:val="20"/>
                <w:szCs w:val="20"/>
              </w:rPr>
              <w:t>)</w:t>
            </w:r>
            <w:r w:rsidRPr="005438A2">
              <w:rPr>
                <w:sz w:val="20"/>
                <w:szCs w:val="20"/>
              </w:rPr>
              <w:t xml:space="preserve"> </w:t>
            </w:r>
            <w:r w:rsidR="007A0E9D">
              <w:rPr>
                <w:sz w:val="20"/>
                <w:szCs w:val="20"/>
              </w:rPr>
              <w:t>(</w:t>
            </w:r>
            <w:r w:rsidRPr="005438A2">
              <w:rPr>
                <w:sz w:val="20"/>
                <w:szCs w:val="20"/>
              </w:rPr>
              <w:t>Study CPS-1008</w:t>
            </w:r>
            <w:r w:rsidR="007A0E9D">
              <w:rPr>
                <w:sz w:val="20"/>
                <w:szCs w:val="20"/>
              </w:rPr>
              <w:t>)</w:t>
            </w:r>
          </w:p>
        </w:tc>
        <w:tc>
          <w:tcPr>
            <w:tcW w:w="1988" w:type="dxa"/>
            <w:tcBorders>
              <w:top w:val="double" w:sz="2" w:space="0" w:color="000000"/>
              <w:left w:val="single" w:sz="4" w:space="0" w:color="000000"/>
              <w:bottom w:val="single" w:sz="8" w:space="0" w:color="000000"/>
              <w:right w:val="single" w:sz="4" w:space="0" w:color="000000"/>
            </w:tcBorders>
          </w:tcPr>
          <w:p w:rsidR="00C65F34" w:rsidRPr="005438A2" w:rsidRDefault="00C65F34" w:rsidP="005438A2">
            <w:pPr>
              <w:spacing w:before="0" w:after="0" w:line="360" w:lineRule="auto"/>
              <w:jc w:val="center"/>
              <w:rPr>
                <w:sz w:val="20"/>
                <w:szCs w:val="20"/>
              </w:rPr>
            </w:pPr>
            <w:r w:rsidRPr="005438A2">
              <w:rPr>
                <w:sz w:val="20"/>
                <w:szCs w:val="20"/>
              </w:rPr>
              <w:t>100 mg</w:t>
            </w:r>
          </w:p>
          <w:p w:rsidR="00C65F34" w:rsidRPr="005438A2" w:rsidRDefault="007A0E9D" w:rsidP="004E58BE">
            <w:pPr>
              <w:spacing w:before="0" w:after="0" w:line="360" w:lineRule="auto"/>
              <w:jc w:val="center"/>
              <w:rPr>
                <w:sz w:val="20"/>
                <w:szCs w:val="20"/>
              </w:rPr>
            </w:pPr>
            <w:r>
              <w:rPr>
                <w:sz w:val="20"/>
                <w:szCs w:val="20"/>
              </w:rPr>
              <w:t>(</w:t>
            </w:r>
            <w:r w:rsidR="00C65F34" w:rsidRPr="005438A2">
              <w:rPr>
                <w:sz w:val="20"/>
                <w:szCs w:val="20"/>
              </w:rPr>
              <w:t xml:space="preserve">100 mg </w:t>
            </w:r>
            <w:r w:rsidR="004E58BE">
              <w:rPr>
                <w:sz w:val="20"/>
                <w:szCs w:val="20"/>
              </w:rPr>
              <w:t>bd</w:t>
            </w:r>
            <w:r>
              <w:rPr>
                <w:sz w:val="20"/>
                <w:szCs w:val="20"/>
              </w:rPr>
              <w:t>)</w:t>
            </w:r>
          </w:p>
        </w:tc>
        <w:tc>
          <w:tcPr>
            <w:tcW w:w="1701" w:type="dxa"/>
            <w:tcBorders>
              <w:top w:val="double" w:sz="2" w:space="0" w:color="000000"/>
              <w:left w:val="single" w:sz="4" w:space="0" w:color="000000"/>
              <w:bottom w:val="single" w:sz="8" w:space="0" w:color="000000"/>
              <w:right w:val="single" w:sz="4" w:space="0" w:color="000000"/>
            </w:tcBorders>
          </w:tcPr>
          <w:p w:rsidR="00C65F34" w:rsidRPr="005438A2" w:rsidRDefault="00C65F34" w:rsidP="004B3447">
            <w:pPr>
              <w:spacing w:before="0" w:after="0" w:line="360" w:lineRule="auto"/>
              <w:jc w:val="center"/>
              <w:rPr>
                <w:position w:val="4"/>
                <w:sz w:val="20"/>
                <w:szCs w:val="20"/>
              </w:rPr>
            </w:pPr>
            <w:r w:rsidRPr="005438A2">
              <w:rPr>
                <w:sz w:val="20"/>
                <w:szCs w:val="20"/>
              </w:rPr>
              <w:t>23.54</w:t>
            </w:r>
            <w:r w:rsidR="004B3447">
              <w:rPr>
                <w:position w:val="4"/>
                <w:sz w:val="20"/>
                <w:szCs w:val="20"/>
              </w:rPr>
              <w:t>a</w:t>
            </w:r>
            <w:r w:rsidR="004B3447" w:rsidRPr="005438A2">
              <w:rPr>
                <w:position w:val="4"/>
                <w:sz w:val="20"/>
                <w:szCs w:val="20"/>
              </w:rPr>
              <w:t xml:space="preserve"> </w:t>
            </w:r>
            <w:r w:rsidR="007A0E9D">
              <w:rPr>
                <w:sz w:val="20"/>
                <w:szCs w:val="20"/>
              </w:rPr>
              <w:t>(</w:t>
            </w:r>
            <w:r w:rsidRPr="005438A2">
              <w:rPr>
                <w:sz w:val="20"/>
                <w:szCs w:val="20"/>
              </w:rPr>
              <w:t>47.08</w:t>
            </w:r>
            <w:r w:rsidR="007A0E9D">
              <w:rPr>
                <w:sz w:val="20"/>
                <w:szCs w:val="20"/>
              </w:rPr>
              <w:t>)</w:t>
            </w:r>
            <w:r w:rsidR="004B3447">
              <w:rPr>
                <w:position w:val="4"/>
                <w:sz w:val="20"/>
                <w:szCs w:val="20"/>
              </w:rPr>
              <w:t>a</w:t>
            </w:r>
          </w:p>
        </w:tc>
        <w:tc>
          <w:tcPr>
            <w:tcW w:w="1134" w:type="dxa"/>
            <w:tcBorders>
              <w:top w:val="double" w:sz="2" w:space="0" w:color="000000"/>
              <w:left w:val="single" w:sz="4" w:space="0" w:color="000000"/>
              <w:bottom w:val="single" w:sz="8" w:space="0" w:color="000000"/>
              <w:right w:val="single" w:sz="8" w:space="0" w:color="000000"/>
            </w:tcBorders>
          </w:tcPr>
          <w:p w:rsidR="00C65F34" w:rsidRPr="005438A2" w:rsidRDefault="00C65F34" w:rsidP="009E405F">
            <w:pPr>
              <w:spacing w:before="0" w:after="0" w:line="360" w:lineRule="auto"/>
              <w:rPr>
                <w:w w:val="101"/>
                <w:sz w:val="20"/>
                <w:szCs w:val="20"/>
              </w:rPr>
            </w:pPr>
          </w:p>
        </w:tc>
      </w:tr>
    </w:tbl>
    <w:p w:rsidR="00C65F34" w:rsidRDefault="00C65F34" w:rsidP="005438A2">
      <w:pPr>
        <w:pStyle w:val="TableDescription"/>
        <w:rPr>
          <w:spacing w:val="-3"/>
        </w:rPr>
      </w:pPr>
      <w:r>
        <w:rPr>
          <w:position w:val="3"/>
          <w:sz w:val="12"/>
          <w:szCs w:val="12"/>
        </w:rPr>
        <w:t>#</w:t>
      </w:r>
      <w:r w:rsidR="00785F4E">
        <w:rPr>
          <w:position w:val="3"/>
          <w:sz w:val="12"/>
          <w:szCs w:val="12"/>
        </w:rPr>
        <w:t xml:space="preserve"> </w:t>
      </w:r>
      <w:r>
        <w:t>= animal</w:t>
      </w:r>
      <w:r w:rsidR="000F77DE">
        <w:t>: human</w:t>
      </w:r>
      <w:r>
        <w:rPr>
          <w:spacing w:val="-17"/>
        </w:rPr>
        <w:t xml:space="preserve"> </w:t>
      </w:r>
      <w:r>
        <w:rPr>
          <w:spacing w:val="-3"/>
        </w:rPr>
        <w:t>plasma</w:t>
      </w:r>
      <w:r>
        <w:rPr>
          <w:spacing w:val="1"/>
        </w:rPr>
        <w:t xml:space="preserve"> </w:t>
      </w:r>
      <w:r>
        <w:t>AUC</w:t>
      </w:r>
      <w:r>
        <w:rPr>
          <w:vertAlign w:val="subscript"/>
        </w:rPr>
        <w:t>0–24h</w:t>
      </w:r>
      <w:r w:rsidR="004B3447">
        <w:t>;</w:t>
      </w:r>
      <w:r w:rsidR="004B3447">
        <w:rPr>
          <w:vertAlign w:val="subscript"/>
        </w:rPr>
        <w:t xml:space="preserve"> </w:t>
      </w:r>
      <w:r>
        <w:t xml:space="preserve">^ = data </w:t>
      </w:r>
      <w:r>
        <w:rPr>
          <w:spacing w:val="-3"/>
        </w:rPr>
        <w:t xml:space="preserve">are </w:t>
      </w:r>
      <w:r>
        <w:t xml:space="preserve">for the </w:t>
      </w:r>
      <w:r>
        <w:rPr>
          <w:spacing w:val="-3"/>
        </w:rPr>
        <w:t xml:space="preserve">sexes </w:t>
      </w:r>
      <w:r>
        <w:t>combined at the last sampling</w:t>
      </w:r>
      <w:r>
        <w:rPr>
          <w:spacing w:val="-10"/>
        </w:rPr>
        <w:t xml:space="preserve"> </w:t>
      </w:r>
      <w:r>
        <w:rPr>
          <w:spacing w:val="-3"/>
        </w:rPr>
        <w:t>occasion</w:t>
      </w:r>
      <w:r w:rsidR="004B3447">
        <w:rPr>
          <w:spacing w:val="-3"/>
        </w:rPr>
        <w:t>;</w:t>
      </w:r>
    </w:p>
    <w:p w:rsidR="00A146D6" w:rsidRDefault="004B3447" w:rsidP="005438A2">
      <w:pPr>
        <w:pStyle w:val="TableDescription"/>
      </w:pPr>
      <w:proofErr w:type="gramStart"/>
      <w:r w:rsidRPr="009E405F">
        <w:t>a</w:t>
      </w:r>
      <w:proofErr w:type="gramEnd"/>
      <w:r w:rsidR="0025608B">
        <w:t>)</w:t>
      </w:r>
      <w:r w:rsidR="00C65F34" w:rsidRPr="009E405F">
        <w:t xml:space="preserve"> </w:t>
      </w:r>
      <w:r w:rsidR="00C65F34">
        <w:t>Derived from results from Clinical Study: (Day 1: 23.54 ng.h/mL; Healthy volunteers; n</w:t>
      </w:r>
      <w:r w:rsidR="00537F43">
        <w:t xml:space="preserve"> </w:t>
      </w:r>
      <w:r w:rsidR="00C65F34">
        <w:t>=</w:t>
      </w:r>
      <w:r w:rsidR="00537F43">
        <w:t xml:space="preserve"> </w:t>
      </w:r>
      <w:r w:rsidR="00C65F34">
        <w:t xml:space="preserve">59), following a 100 mg dose; for the MRHD (200 mg/day), 2 </w:t>
      </w:r>
      <w:r w:rsidR="00C65F34">
        <w:rPr>
          <w:rFonts w:ascii="Symbol" w:hAnsi="Symbol" w:cs="Symbol"/>
        </w:rPr>
        <w:t></w:t>
      </w:r>
      <w:r w:rsidR="00C65F34">
        <w:rPr>
          <w:rFonts w:ascii="Times New Roman" w:hAnsi="Times New Roman"/>
        </w:rPr>
        <w:t xml:space="preserve"> </w:t>
      </w:r>
      <w:r w:rsidR="00C65F34">
        <w:t>AUC</w:t>
      </w:r>
      <w:r w:rsidR="00C65F34">
        <w:rPr>
          <w:vertAlign w:val="subscript"/>
        </w:rPr>
        <w:t>0-</w:t>
      </w:r>
      <w:r w:rsidR="00C65F34">
        <w:rPr>
          <w:rFonts w:ascii="Symbol" w:hAnsi="Symbol" w:cs="Symbol"/>
          <w:vertAlign w:val="subscript"/>
        </w:rPr>
        <w:t></w:t>
      </w:r>
      <w:r w:rsidR="00C65F34">
        <w:rPr>
          <w:rFonts w:ascii="Times New Roman" w:hAnsi="Times New Roman"/>
        </w:rPr>
        <w:t xml:space="preserve"> </w:t>
      </w:r>
      <w:r w:rsidR="00C65F34">
        <w:t>= 47.08 ng.h/mL (</w:t>
      </w:r>
      <w:r>
        <w:t>from sponsor’s response).</w:t>
      </w:r>
    </w:p>
    <w:p w:rsidR="00A146D6" w:rsidRDefault="00A146D6" w:rsidP="00383E78">
      <w:pPr>
        <w:pStyle w:val="Heading5"/>
      </w:pPr>
      <w:r>
        <w:lastRenderedPageBreak/>
        <w:t>Pregnancy classification</w:t>
      </w:r>
    </w:p>
    <w:p w:rsidR="00A146D6" w:rsidRDefault="004B3447" w:rsidP="00A146D6">
      <w:r>
        <w:t>The p</w:t>
      </w:r>
      <w:r w:rsidR="00A146D6">
        <w:t xml:space="preserve">roposed </w:t>
      </w:r>
      <w:r w:rsidR="00E86699">
        <w:t>pregnancy</w:t>
      </w:r>
      <w:r>
        <w:t xml:space="preserve"> classification is P</w:t>
      </w:r>
      <w:r w:rsidR="00A146D6">
        <w:t xml:space="preserve">regnancy </w:t>
      </w:r>
      <w:r>
        <w:t>C</w:t>
      </w:r>
      <w:r w:rsidR="00A146D6">
        <w:t>ategory B1</w:t>
      </w:r>
      <w:r>
        <w:t>.</w:t>
      </w:r>
      <w:bookmarkStart w:id="54" w:name="_Ref513633711"/>
      <w:r w:rsidR="00E33C77">
        <w:rPr>
          <w:rStyle w:val="FootnoteReference"/>
        </w:rPr>
        <w:footnoteReference w:id="13"/>
      </w:r>
      <w:bookmarkEnd w:id="54"/>
      <w:r w:rsidR="00A146D6">
        <w:t xml:space="preserve"> The proposed pregnancy category is appropriate based on the animal findings.</w:t>
      </w:r>
    </w:p>
    <w:p w:rsidR="00A146D6" w:rsidRDefault="00A146D6" w:rsidP="00383E78">
      <w:pPr>
        <w:pStyle w:val="Heading5"/>
      </w:pPr>
      <w:r>
        <w:t>Juvenile studies</w:t>
      </w:r>
    </w:p>
    <w:p w:rsidR="00A146D6" w:rsidRDefault="0008268B" w:rsidP="00A146D6">
      <w:r>
        <w:t>2 juvenile animal studies were submitted (≤ 4 weeks in rats) with the 4 week study evaluated by the FDA. A new, non-pivotal 2 week study using juvenile rats was submitted and found that daily PO administration of eluxadoline had no effects in any of the parameters examined.</w:t>
      </w:r>
    </w:p>
    <w:p w:rsidR="00A146D6" w:rsidRDefault="00A146D6" w:rsidP="00A146D6">
      <w:r>
        <w:t>Administration of eluxadoline to juvenile animals achieved moderate systemic levels</w:t>
      </w:r>
      <w:r w:rsidR="00383E78">
        <w:t xml:space="preserve"> </w:t>
      </w:r>
      <w:r>
        <w:t>(AUC</w:t>
      </w:r>
      <w:r w:rsidRPr="00E33C77">
        <w:rPr>
          <w:vertAlign w:val="subscript"/>
        </w:rPr>
        <w:t>0-last</w:t>
      </w:r>
      <w:r>
        <w:t xml:space="preserve">: </w:t>
      </w:r>
      <w:r w:rsidR="00810AB9">
        <w:t xml:space="preserve">approximately </w:t>
      </w:r>
      <w:r>
        <w:t>260 ng.h/mL) with the margin greater than 10</w:t>
      </w:r>
      <w:r w:rsidR="004B3447">
        <w:t xml:space="preserve"> </w:t>
      </w:r>
      <w:r>
        <w:t xml:space="preserve">fold of the </w:t>
      </w:r>
      <w:r w:rsidR="00810AB9">
        <w:t>human therapeutic dose (100 mg bd</w:t>
      </w:r>
      <w:r>
        <w:t>; AUC</w:t>
      </w:r>
      <w:r w:rsidRPr="00810AB9">
        <w:rPr>
          <w:vertAlign w:val="subscript"/>
        </w:rPr>
        <w:t>0-24h</w:t>
      </w:r>
      <w:r>
        <w:t>: 22.8 ng.h/mL).</w:t>
      </w:r>
    </w:p>
    <w:p w:rsidR="00A146D6" w:rsidRDefault="00A146D6" w:rsidP="00A146D6">
      <w:r>
        <w:t xml:space="preserve">The 4 weeks study evaluated in the FDA report similarly found no treatment-related effects on mortality, clinical observations, body weights, </w:t>
      </w:r>
      <w:r w:rsidR="00810AB9" w:rsidRPr="00810AB9">
        <w:t>Functional Observational Battery</w:t>
      </w:r>
      <w:r>
        <w:t xml:space="preserve"> evaluations, haematology, coagulation, clinical</w:t>
      </w:r>
      <w:r w:rsidR="00383E78">
        <w:t xml:space="preserve"> </w:t>
      </w:r>
      <w:r>
        <w:t>chemistry, or urinalysis parameters, or in organ weights, macroscopic and microscopic evaluations, and bone length measurements in either sex with only minor treatment-related changes in f</w:t>
      </w:r>
      <w:r w:rsidR="00810AB9">
        <w:t>ood consumption for both sexes</w:t>
      </w:r>
      <w:r>
        <w:t>. No gender based differences were observed with the toxicokinetic parameters calculated (Days 1, 28). The increase in dose administered</w:t>
      </w:r>
      <w:r w:rsidR="00383E78">
        <w:t xml:space="preserve"> </w:t>
      </w:r>
      <w:r>
        <w:t>(500</w:t>
      </w:r>
      <w:r w:rsidR="004B3447">
        <w:t xml:space="preserve"> to </w:t>
      </w:r>
      <w:r>
        <w:t>1500 mg/kg/day; Days</w:t>
      </w:r>
      <w:r w:rsidR="004B3447">
        <w:t> </w:t>
      </w:r>
      <w:r>
        <w:t>1, 28) was proportional to the increase in AUC</w:t>
      </w:r>
      <w:r w:rsidRPr="00810AB9">
        <w:rPr>
          <w:vertAlign w:val="subscript"/>
        </w:rPr>
        <w:t>0-24</w:t>
      </w:r>
      <w:r>
        <w:t xml:space="preserve"> and </w:t>
      </w:r>
      <w:r w:rsidR="00C87895">
        <w:t>C</w:t>
      </w:r>
      <w:r w:rsidR="00C87895" w:rsidRPr="00C87895">
        <w:rPr>
          <w:vertAlign w:val="subscript"/>
        </w:rPr>
        <w:t>max</w:t>
      </w:r>
      <w:r>
        <w:t xml:space="preserve"> values calculated with the combined mean </w:t>
      </w:r>
      <w:r w:rsidR="00F55481">
        <w:t>T</w:t>
      </w:r>
      <w:r w:rsidR="00F55481" w:rsidRPr="00F55481">
        <w:rPr>
          <w:vertAlign w:val="subscript"/>
        </w:rPr>
        <w:t>max</w:t>
      </w:r>
      <w:r>
        <w:t xml:space="preserve"> (0.25</w:t>
      </w:r>
      <w:r w:rsidR="004B3447">
        <w:t xml:space="preserve"> to </w:t>
      </w:r>
      <w:r w:rsidR="00DD09DC">
        <w:t>1</w:t>
      </w:r>
      <w:r>
        <w:t>2.10 h) not varying with dose or duration of treatment.</w:t>
      </w:r>
    </w:p>
    <w:p w:rsidR="00A146D6" w:rsidRDefault="00A146D6" w:rsidP="00A146D6">
      <w:r>
        <w:t xml:space="preserve">Overall, the </w:t>
      </w:r>
      <w:r w:rsidR="004B3447">
        <w:t xml:space="preserve">2 </w:t>
      </w:r>
      <w:r>
        <w:t xml:space="preserve">studies submitted showed that daily administration of eluxadoline of </w:t>
      </w:r>
      <w:r w:rsidR="00192749">
        <w:t>≤</w:t>
      </w:r>
      <w:r w:rsidR="004B3447">
        <w:t> </w:t>
      </w:r>
      <w:r>
        <w:t>4</w:t>
      </w:r>
      <w:r w:rsidR="004B3447">
        <w:t> </w:t>
      </w:r>
      <w:r>
        <w:t>weeks had no statistically significant treatment-related effects on juvenile animals.</w:t>
      </w:r>
    </w:p>
    <w:p w:rsidR="00A146D6" w:rsidRDefault="00A146D6" w:rsidP="00383E78">
      <w:pPr>
        <w:pStyle w:val="Heading4"/>
      </w:pPr>
      <w:r>
        <w:t>Phototoxicity</w:t>
      </w:r>
    </w:p>
    <w:p w:rsidR="00A146D6" w:rsidRDefault="00A146D6" w:rsidP="00A146D6">
      <w:r>
        <w:t xml:space="preserve">One phototoxicity study was submitted and evaluated in the FDA report. A neutral red uptake phototoxicity assay of eluxadoline was conducted in Balb/c 3T3 mouse fibroblasts. The study showed that eluxadoline (1% </w:t>
      </w:r>
      <w:r w:rsidR="00810AB9" w:rsidRPr="00810AB9">
        <w:t xml:space="preserve">dimethyl sulfoxide </w:t>
      </w:r>
      <w:r>
        <w:t xml:space="preserve">in </w:t>
      </w:r>
      <w:r w:rsidR="00810AB9" w:rsidRPr="00810AB9">
        <w:t xml:space="preserve">Dulbecco's </w:t>
      </w:r>
      <w:r w:rsidR="004B3447">
        <w:t>p</w:t>
      </w:r>
      <w:r w:rsidR="00810AB9" w:rsidRPr="00810AB9">
        <w:t xml:space="preserve">hosphate </w:t>
      </w:r>
      <w:r w:rsidR="004B3447">
        <w:t>b</w:t>
      </w:r>
      <w:r w:rsidR="00810AB9" w:rsidRPr="00810AB9">
        <w:t xml:space="preserve">uffered </w:t>
      </w:r>
      <w:r w:rsidR="004B3447">
        <w:t>s</w:t>
      </w:r>
      <w:r w:rsidR="00810AB9" w:rsidRPr="00810AB9">
        <w:t>aline</w:t>
      </w:r>
      <w:r w:rsidR="004B3447">
        <w:t xml:space="preserve">) </w:t>
      </w:r>
      <w:r>
        <w:t>had no treatment-related cytotoxicity or phototoxicity.</w:t>
      </w:r>
    </w:p>
    <w:p w:rsidR="00A146D6" w:rsidRDefault="00A146D6" w:rsidP="00A146D6">
      <w:r w:rsidRPr="00F83E6D">
        <w:t>All OECD 432</w:t>
      </w:r>
      <w:r w:rsidR="00F83E6D" w:rsidRPr="00F83E6D">
        <w:t xml:space="preserve"> </w:t>
      </w:r>
      <w:r w:rsidRPr="00F83E6D">
        <w:t>recommended cell survival</w:t>
      </w:r>
      <w:r w:rsidR="00CD36E2">
        <w:t>;</w:t>
      </w:r>
      <w:r w:rsidR="00CD36E2" w:rsidRPr="00F83E6D">
        <w:rPr>
          <w:rStyle w:val="FootnoteReference"/>
        </w:rPr>
        <w:footnoteReference w:id="14"/>
      </w:r>
      <w:r w:rsidRPr="00F83E6D">
        <w:t xml:space="preserve"> OD540 criteria</w:t>
      </w:r>
      <w:r w:rsidR="00CD36E2">
        <w:t>;</w:t>
      </w:r>
      <w:r w:rsidR="00CD36E2">
        <w:rPr>
          <w:rStyle w:val="FootnoteReference"/>
        </w:rPr>
        <w:footnoteReference w:id="15"/>
      </w:r>
      <w:r w:rsidRPr="00F83E6D">
        <w:t xml:space="preserve"> and </w:t>
      </w:r>
      <w:r w:rsidR="004B3447">
        <w:t>p</w:t>
      </w:r>
      <w:r w:rsidRPr="00F83E6D">
        <w:t>romethazine cytotoxicity and phototoxicity criteria were met according to testing facility historical control data.</w:t>
      </w:r>
    </w:p>
    <w:p w:rsidR="00A146D6" w:rsidRDefault="00A146D6" w:rsidP="00383E78">
      <w:pPr>
        <w:pStyle w:val="Heading4"/>
      </w:pPr>
      <w:r>
        <w:t>Other toxicity studies</w:t>
      </w:r>
    </w:p>
    <w:p w:rsidR="00A146D6" w:rsidRDefault="00CD36E2" w:rsidP="00A146D6">
      <w:r>
        <w:t xml:space="preserve">2 </w:t>
      </w:r>
      <w:r w:rsidR="00A146D6">
        <w:t>further toxicity studies were submitted by the sponsor, which were evaluated in the FDA report. One study topically-administered eluxadoline to the auricular lymph nodes of CBA/J mice once daily for 4 consecutive days. The study recorded mortality, abnormalities, as well as any signs of pain or distress. Overall, results found that eluxadoline had no significant treatment- related clinical observation</w:t>
      </w:r>
      <w:r w:rsidR="00F40273">
        <w:t>s and was not a contact sensitis</w:t>
      </w:r>
      <w:r w:rsidR="00A146D6">
        <w:t xml:space="preserve">er. An </w:t>
      </w:r>
      <w:r w:rsidR="00A146D6" w:rsidRPr="00881916">
        <w:t>in vitro</w:t>
      </w:r>
      <w:r w:rsidR="00A146D6">
        <w:t xml:space="preserve"> bovine corneal opacity-permeability assay assessed the ocular irritation potential of eluxadoline using isolated bovine corneas, found no treatment-related increase in corneal opacity and no relevant increase in</w:t>
      </w:r>
      <w:r w:rsidR="00383E78">
        <w:t xml:space="preserve"> </w:t>
      </w:r>
      <w:r w:rsidR="00A146D6">
        <w:t>permeability. Overall, the 20% (</w:t>
      </w:r>
      <w:r w:rsidR="00BE2F4F">
        <w:t>weight/weight (w/w))</w:t>
      </w:r>
      <w:r w:rsidR="00A146D6">
        <w:t xml:space="preserve"> formulation of eluxadoline used in this study was classified as a non-eye irritant.</w:t>
      </w:r>
    </w:p>
    <w:p w:rsidR="00A146D6" w:rsidRDefault="00A146D6" w:rsidP="00A146D6">
      <w:r>
        <w:lastRenderedPageBreak/>
        <w:t xml:space="preserve">In conclusion, based on the two studies submitted, eluxadoline is shown not to be a contact </w:t>
      </w:r>
      <w:r w:rsidR="00CD36E2">
        <w:t xml:space="preserve">sensitiser </w:t>
      </w:r>
      <w:r>
        <w:t>or eye irritant.</w:t>
      </w:r>
    </w:p>
    <w:p w:rsidR="00A146D6" w:rsidRDefault="00A146D6" w:rsidP="00383E78">
      <w:pPr>
        <w:pStyle w:val="Heading4"/>
      </w:pPr>
      <w:r>
        <w:t>Paediatric use</w:t>
      </w:r>
    </w:p>
    <w:p w:rsidR="00A146D6" w:rsidRPr="00A146D6" w:rsidRDefault="00A146D6" w:rsidP="00A146D6">
      <w:r>
        <w:t>Eluxadoline is not proposed for paediatric use.</w:t>
      </w:r>
    </w:p>
    <w:p w:rsidR="008E7846" w:rsidRDefault="008E7846" w:rsidP="008E7846">
      <w:pPr>
        <w:pStyle w:val="Heading3"/>
      </w:pPr>
      <w:bookmarkStart w:id="55" w:name="_Toc247691515"/>
      <w:bookmarkStart w:id="56" w:name="_Toc314842499"/>
      <w:bookmarkStart w:id="57" w:name="_Toc510009710"/>
      <w:r>
        <w:t>Nonclinical summary and conclusions</w:t>
      </w:r>
      <w:bookmarkEnd w:id="55"/>
      <w:bookmarkEnd w:id="56"/>
      <w:bookmarkEnd w:id="57"/>
    </w:p>
    <w:p w:rsidR="00A146D6" w:rsidRDefault="00A146D6" w:rsidP="00383E78">
      <w:pPr>
        <w:pStyle w:val="ListBullet"/>
      </w:pPr>
      <w:r>
        <w:t xml:space="preserve">The submitted </w:t>
      </w:r>
      <w:r w:rsidR="00F40273">
        <w:t>nonclinical</w:t>
      </w:r>
      <w:r>
        <w:t xml:space="preserve"> dossier was in accordance with the relevant ICH guideline for the nonclinical assessment of a pharmaceutical.</w:t>
      </w:r>
      <w:r w:rsidR="00A37AC8">
        <w:rPr>
          <w:rStyle w:val="FootnoteReference"/>
        </w:rPr>
        <w:footnoteReference w:id="16"/>
      </w:r>
      <w:r>
        <w:t xml:space="preserve"> The overall quality of the nonclinical dossier was high, and all pivotal safety-related studies were </w:t>
      </w:r>
      <w:r w:rsidR="00F40273">
        <w:t>Good Laboratory Practice (</w:t>
      </w:r>
      <w:r>
        <w:t>GLP</w:t>
      </w:r>
      <w:r w:rsidR="00F40273">
        <w:t>)</w:t>
      </w:r>
      <w:r>
        <w:t xml:space="preserve"> compliant.</w:t>
      </w:r>
    </w:p>
    <w:p w:rsidR="00A146D6" w:rsidRDefault="00A146D6" w:rsidP="00F40273">
      <w:pPr>
        <w:pStyle w:val="ListBullet"/>
      </w:pPr>
      <w:r w:rsidRPr="00881916">
        <w:t>In vitro</w:t>
      </w:r>
      <w:r>
        <w:t xml:space="preserve"> studies indicated that eluxadoline was a potent </w:t>
      </w:r>
      <w:r w:rsidR="00CD36E2">
        <w:t xml:space="preserve">MOR </w:t>
      </w:r>
      <w:r>
        <w:t xml:space="preserve">agonist and </w:t>
      </w:r>
      <w:r w:rsidR="00CD36E2">
        <w:t xml:space="preserve">DOR </w:t>
      </w:r>
      <w:r>
        <w:t xml:space="preserve">antagonist, an inhibitor of propulsive upper GI motility and did not prevent gastric emptying. </w:t>
      </w:r>
      <w:r w:rsidRPr="00881916">
        <w:t>In vivo</w:t>
      </w:r>
      <w:r>
        <w:t>, eluxadoline was active in reversing the hyperalgesic responses to colorectal distention, inhibited concentration-dependent contractions and could normalise GI motility. The nonclinical pharmacology studies submitted support the proposed clinical indication.</w:t>
      </w:r>
    </w:p>
    <w:p w:rsidR="00A146D6" w:rsidRDefault="00A146D6" w:rsidP="00383E78">
      <w:pPr>
        <w:pStyle w:val="ListBullet"/>
      </w:pPr>
      <w:r w:rsidRPr="00881916">
        <w:t>In vitro</w:t>
      </w:r>
      <w:r>
        <w:t xml:space="preserve"> pharmacology studies found that eluxadoline did not inhibit or stimulate receptors associated with abuse potential, and showed no significant agonist or antagonist activity at human M1 receptors. </w:t>
      </w:r>
      <w:r w:rsidRPr="00881916">
        <w:t>In vivo</w:t>
      </w:r>
      <w:r>
        <w:t xml:space="preserve"> studies showed that eluxadoline did not alter the response rate to von Frey stimulation compared to control observations.</w:t>
      </w:r>
    </w:p>
    <w:p w:rsidR="00A146D6" w:rsidRDefault="00A146D6" w:rsidP="00A146D6">
      <w:pPr>
        <w:pStyle w:val="ListBullet"/>
      </w:pPr>
      <w:r w:rsidRPr="00881916">
        <w:t>In vivo</w:t>
      </w:r>
      <w:r>
        <w:t xml:space="preserve"> safety pharmacology studies found that eluxadoline was very well tolerated in animals tested, with observed effects mainly limited to the GI tract. Systemic administration of eluxadoline to </w:t>
      </w:r>
      <w:proofErr w:type="gramStart"/>
      <w:r>
        <w:t>animals</w:t>
      </w:r>
      <w:proofErr w:type="gramEnd"/>
      <w:r>
        <w:t xml:space="preserve"> elicited treatment</w:t>
      </w:r>
      <w:r w:rsidR="00F40273">
        <w:t xml:space="preserve"> </w:t>
      </w:r>
      <w:r>
        <w:t>related effects consistent with an opioid. IV infusion of eluxadoline in guinea pigs and dogs showed cardio</w:t>
      </w:r>
      <w:r w:rsidR="000F77DE">
        <w:t>-</w:t>
      </w:r>
      <w:r>
        <w:t>h</w:t>
      </w:r>
      <w:r w:rsidR="000F77DE">
        <w:t>a</w:t>
      </w:r>
      <w:r>
        <w:t>emodynamic effects, which were very pronounced in conscious dogs, but coincided with behavioural findings.</w:t>
      </w:r>
      <w:r w:rsidR="00F40273">
        <w:t xml:space="preserve"> IV administration to anesthetis</w:t>
      </w:r>
      <w:r>
        <w:t xml:space="preserve">ed dogs showed no notable effects, with higher exposures showing a slight tendency for aortic diastolic and systolic blood pressure decreases. </w:t>
      </w:r>
      <w:r w:rsidRPr="00881916">
        <w:t>In vivo</w:t>
      </w:r>
      <w:r>
        <w:t xml:space="preserve"> studies found that eluxadoline was not a significant agonist or antagonist at off-target receptors and did not elicit notable electrophysiological effects in cardiovascular safety studies. Furthermore, eluxadoline lacked</w:t>
      </w:r>
      <w:r w:rsidR="00383E78">
        <w:t xml:space="preserve"> </w:t>
      </w:r>
      <w:r>
        <w:t>µOR agonist</w:t>
      </w:r>
      <w:r w:rsidR="00F40273">
        <w:t xml:space="preserve"> </w:t>
      </w:r>
      <w:r>
        <w:t xml:space="preserve">like withdrawal effects post-dose in mice, indicating that physical dependence does not occur after </w:t>
      </w:r>
      <w:r w:rsidR="00F40273">
        <w:t xml:space="preserve">PO administration. No treatment </w:t>
      </w:r>
      <w:r>
        <w:t>related neurobehavioral or clinical signs were observed after PO administration in rats and effects in monkeys after IV administration suggest the likelihood of shared behavioural effects with morphine-like (</w:t>
      </w:r>
      <w:r w:rsidR="00CD36E2">
        <w:t>M</w:t>
      </w:r>
      <w:r>
        <w:t>OR) agonists.</w:t>
      </w:r>
    </w:p>
    <w:p w:rsidR="00A146D6" w:rsidRDefault="00A146D6" w:rsidP="00383E78">
      <w:pPr>
        <w:pStyle w:val="ListBullet"/>
      </w:pPr>
      <w:r>
        <w:t xml:space="preserve">Pharmacokinetics: </w:t>
      </w:r>
      <w:r w:rsidRPr="00881916">
        <w:t>In vivo</w:t>
      </w:r>
      <w:r>
        <w:t xml:space="preserve">, eluxadoline had a low oral systemic exposure, likely due to limited absorption from the GI tract and a significant first-pass effect. Eluxadoline had moderate plasma protein binding in all species tested, including humans. </w:t>
      </w:r>
      <w:r w:rsidRPr="00881916">
        <w:t>In vitro</w:t>
      </w:r>
      <w:r>
        <w:t xml:space="preserve"> metabolism studies using human hepatocytes identified no significant metabolites with one metabolite identified in human intestinal microsomal incubations being M11. </w:t>
      </w:r>
      <w:r w:rsidRPr="00881916">
        <w:t>In vivo</w:t>
      </w:r>
      <w:r>
        <w:t>, eluxadoline was found to be primarily</w:t>
      </w:r>
      <w:r w:rsidR="00383E78">
        <w:t xml:space="preserve"> </w:t>
      </w:r>
      <w:r>
        <w:t>excreted in faeces and urine, with M11 excreted in the urine of rat, primates and humans, as well as present in monkey plasma samples. Eluxadoline was shown to be excreted in the milk of lactating rats in a less than 1:1 ratio compared to plasma.</w:t>
      </w:r>
    </w:p>
    <w:p w:rsidR="00A146D6" w:rsidRDefault="00A146D6" w:rsidP="00383E78">
      <w:pPr>
        <w:pStyle w:val="ListBullet"/>
      </w:pPr>
      <w:r>
        <w:lastRenderedPageBreak/>
        <w:t xml:space="preserve">Eluxadoline has low potential for drug-drug interaction based on CYP inhibition and/or induction. </w:t>
      </w:r>
      <w:r w:rsidRPr="00881916">
        <w:t>In vitro</w:t>
      </w:r>
      <w:r>
        <w:t xml:space="preserve"> results suggest that eluxadoline has very low passive permeability and does not significantly cross membranes when analysed in drug efflux transporter assays using MDCKII cells. Eluxadoline was shown to be transported by OAT3, OATP1B1 and BSEP, but not transported by OAT1, OCT1, OCT2, OATP1B3, P-gp or BCR, with studies showing that eluxadoline is a substrate of MRP2. </w:t>
      </w:r>
      <w:r w:rsidRPr="00881916">
        <w:t>In vitro</w:t>
      </w:r>
      <w:r>
        <w:t>, eluxadoline did not significantly inhibit BCRP-, BSEP-, MRP2-, OCT1-, OCT2-, OAT1-, OAT3 or OATP1B3</w:t>
      </w:r>
      <w:r w:rsidR="00F40273">
        <w:t xml:space="preserve"> </w:t>
      </w:r>
      <w:r>
        <w:t>mediated transport of probe substrates but showed transport inhibition of probe substrates of OATP1B1 and P-gp.</w:t>
      </w:r>
    </w:p>
    <w:p w:rsidR="00A146D6" w:rsidRDefault="00A146D6" w:rsidP="00383E78">
      <w:pPr>
        <w:pStyle w:val="ListBullet"/>
      </w:pPr>
      <w:r>
        <w:t xml:space="preserve">Administration (PO, </w:t>
      </w:r>
      <w:r w:rsidR="0025608B">
        <w:t>intraperitoneal (</w:t>
      </w:r>
      <w:r>
        <w:t>IP</w:t>
      </w:r>
      <w:r w:rsidR="0025608B">
        <w:t>)</w:t>
      </w:r>
      <w:r>
        <w:t>) of eluxadoline in mice was well tolerated and produced few treatment related clinical signs and no mortality. IP administration produced CNS signs including decreased activity and increased activity with or without circling. Administration (PO) elicited decreased faeces in female</w:t>
      </w:r>
      <w:r w:rsidR="000F77DE">
        <w:t xml:space="preserve"> rat</w:t>
      </w:r>
      <w:r>
        <w:t xml:space="preserve">s and some </w:t>
      </w:r>
      <w:r w:rsidR="000F77DE">
        <w:t xml:space="preserve">rat </w:t>
      </w:r>
      <w:r>
        <w:t>mortality (IP) was observed. Clinical observations were noted at all doses and administration routes, as well as decreased faeces, ataxia, decreased activity, mydriasis, decreases in the depth and rate of respiration.</w:t>
      </w:r>
    </w:p>
    <w:p w:rsidR="00A146D6" w:rsidRDefault="00A146D6" w:rsidP="00383E78">
      <w:pPr>
        <w:pStyle w:val="ListBullet"/>
      </w:pPr>
      <w:r>
        <w:t>Repeat-dose PO toxicity studies were conducted in mice (</w:t>
      </w:r>
      <w:r w:rsidR="00192749">
        <w:t xml:space="preserve">≤ </w:t>
      </w:r>
      <w:r>
        <w:t>3 months), rats (</w:t>
      </w:r>
      <w:r w:rsidR="00192749">
        <w:t>≤</w:t>
      </w:r>
      <w:r w:rsidR="00CD36E2">
        <w:t> </w:t>
      </w:r>
      <w:r>
        <w:t>3</w:t>
      </w:r>
      <w:r w:rsidR="00CD36E2">
        <w:t> </w:t>
      </w:r>
      <w:r>
        <w:t xml:space="preserve">months) and </w:t>
      </w:r>
      <w:r w:rsidR="00CD36E2">
        <w:t xml:space="preserve">cynomolgus </w:t>
      </w:r>
      <w:r>
        <w:t>monkeys (</w:t>
      </w:r>
      <w:r w:rsidR="00192749">
        <w:t xml:space="preserve">≤ </w:t>
      </w:r>
      <w:r>
        <w:t>9 months). No major toxicities were observed with minimal and</w:t>
      </w:r>
      <w:r w:rsidR="00383E78">
        <w:t xml:space="preserve"> </w:t>
      </w:r>
      <w:r w:rsidR="00F40273">
        <w:t xml:space="preserve">reversible treatment </w:t>
      </w:r>
      <w:r>
        <w:t xml:space="preserve">related observations. Eluxadoline was well tolerated in all animals tested at systemic (AUC) exposures </w:t>
      </w:r>
      <w:r w:rsidR="00E124D1">
        <w:t xml:space="preserve">≥ </w:t>
      </w:r>
      <w:r>
        <w:t>10</w:t>
      </w:r>
      <w:r w:rsidR="000000CE">
        <w:t> </w:t>
      </w:r>
      <w:r>
        <w:t>fold greater than that at the MRHD.</w:t>
      </w:r>
    </w:p>
    <w:p w:rsidR="00A146D6" w:rsidRDefault="00A146D6" w:rsidP="00383E78">
      <w:pPr>
        <w:pStyle w:val="ListBullet"/>
      </w:pPr>
      <w:r>
        <w:t xml:space="preserve">Eluxadoline was not genotoxic in the </w:t>
      </w:r>
      <w:r w:rsidRPr="00881916">
        <w:t>in vitro</w:t>
      </w:r>
      <w:r>
        <w:t xml:space="preserve"> bacterial/microsomal assay, the mouse lymphoma assay, human peripheral lymphocyte assay or in the </w:t>
      </w:r>
      <w:r w:rsidRPr="00881916">
        <w:t>in vivo</w:t>
      </w:r>
      <w:r>
        <w:t xml:space="preserve"> mouse bone marrow micronucleus assay. A DEREK analysis showed no potential genotoxic impurities in the synthesis of eluxadoline.</w:t>
      </w:r>
    </w:p>
    <w:p w:rsidR="00A146D6" w:rsidRDefault="00A146D6" w:rsidP="00383E78">
      <w:pPr>
        <w:pStyle w:val="ListBullet"/>
      </w:pPr>
      <w:r>
        <w:t>There was no evidence for c</w:t>
      </w:r>
      <w:r w:rsidR="00F80973">
        <w:t xml:space="preserve">arcinogenicity in </w:t>
      </w:r>
      <w:r w:rsidR="004472B2">
        <w:t xml:space="preserve">2 </w:t>
      </w:r>
      <w:r w:rsidR="00F80973" w:rsidRPr="00881916">
        <w:t>in vivo</w:t>
      </w:r>
      <w:r w:rsidR="00F80973">
        <w:t xml:space="preserve"> 2 </w:t>
      </w:r>
      <w:r>
        <w:t>year PO carcinogenicity studies in mice and rats.</w:t>
      </w:r>
    </w:p>
    <w:p w:rsidR="00A146D6" w:rsidRDefault="00A146D6" w:rsidP="00383E78">
      <w:pPr>
        <w:pStyle w:val="ListBullet"/>
      </w:pPr>
      <w:r w:rsidRPr="00881916">
        <w:t>In vivo</w:t>
      </w:r>
      <w:r>
        <w:t>, eluxadoline was found not to have any effect on the fertility of rats. Embryofetal development studies in rats and rabbits found that administration of eluxadoline to dams had no observed effects on litter values or fetal observations. A pre/postnatal development study PO administering eluxadoline to rats showed no significant effect on survival or any of the parameters measured in parental females, or on parturition, F1 litter size data, and F1 pups pre- or post-weaning. Exposures (achieved or estimated) in the reproductive toxicity studies were adequate.</w:t>
      </w:r>
    </w:p>
    <w:p w:rsidR="00A146D6" w:rsidRDefault="00A146D6" w:rsidP="00383E78">
      <w:pPr>
        <w:pStyle w:val="ListBullet"/>
      </w:pPr>
      <w:r>
        <w:t xml:space="preserve">Daily administration of eluxadoline of </w:t>
      </w:r>
      <w:r w:rsidR="00192749">
        <w:t xml:space="preserve">≤ </w:t>
      </w:r>
      <w:r>
        <w:t>4 weeks had no stat</w:t>
      </w:r>
      <w:r w:rsidR="00F80973">
        <w:t xml:space="preserve">istically significant treatment </w:t>
      </w:r>
      <w:r>
        <w:t>related effects on juvenile rats. A neutral red uptake phototoxicity assay of eluxadoline was conducted in Balb/c 3T3 mouse fibroblasts and found no treatment-related cytotoxicity or phototoxicity.</w:t>
      </w:r>
    </w:p>
    <w:p w:rsidR="00F80973" w:rsidRDefault="00A146D6" w:rsidP="00383E78">
      <w:pPr>
        <w:pStyle w:val="ListBullet"/>
      </w:pPr>
      <w:r>
        <w:t>The proposed specification limits for impurities and residual solvents in the drug substance have been qualified/are acceptable.</w:t>
      </w:r>
    </w:p>
    <w:p w:rsidR="00A146D6" w:rsidRDefault="00F80973" w:rsidP="00F80973">
      <w:pPr>
        <w:pStyle w:val="Heading3"/>
      </w:pPr>
      <w:bookmarkStart w:id="58" w:name="_Toc510009711"/>
      <w:r>
        <w:t>Nonclinical Conclusions and recommendation</w:t>
      </w:r>
      <w:bookmarkEnd w:id="58"/>
    </w:p>
    <w:p w:rsidR="00A146D6" w:rsidRDefault="00F80973" w:rsidP="00383E78">
      <w:pPr>
        <w:pStyle w:val="ListBullet"/>
      </w:pPr>
      <w:r>
        <w:t>The nonclinical dossier</w:t>
      </w:r>
      <w:r w:rsidR="00A146D6">
        <w:t xml:space="preserve"> had no major deficiencies.</w:t>
      </w:r>
    </w:p>
    <w:p w:rsidR="00A146D6" w:rsidRDefault="00A146D6" w:rsidP="00F80973">
      <w:pPr>
        <w:pStyle w:val="ListBullet"/>
      </w:pPr>
      <w:r>
        <w:t xml:space="preserve">Primary pharmacology </w:t>
      </w:r>
      <w:r w:rsidRPr="00881916">
        <w:t>in vitro</w:t>
      </w:r>
      <w:r>
        <w:t xml:space="preserve"> studies showed that eluxadoline was a potent </w:t>
      </w:r>
      <w:r w:rsidR="004472B2">
        <w:t>M</w:t>
      </w:r>
      <w:r>
        <w:t>OR agonist and</w:t>
      </w:r>
      <w:r w:rsidR="00383E78">
        <w:t xml:space="preserve"> </w:t>
      </w:r>
      <w:r w:rsidR="004472B2">
        <w:t>D</w:t>
      </w:r>
      <w:r>
        <w:t>OR antagonist, an inhibitor of propulsive upper GI motility and did not prevent gastric</w:t>
      </w:r>
      <w:r w:rsidR="00785F4E">
        <w:t xml:space="preserve"> </w:t>
      </w:r>
      <w:r>
        <w:t xml:space="preserve">emptying. Overall, the </w:t>
      </w:r>
      <w:r w:rsidRPr="00881916">
        <w:t>in vitro</w:t>
      </w:r>
      <w:r>
        <w:t xml:space="preserve"> and </w:t>
      </w:r>
      <w:r w:rsidRPr="00881916">
        <w:t>in vivo</w:t>
      </w:r>
      <w:r>
        <w:t xml:space="preserve"> nonclinical studies submitted support the drug’s use for the proposed indication.</w:t>
      </w:r>
    </w:p>
    <w:p w:rsidR="00A146D6" w:rsidRDefault="00A146D6" w:rsidP="00383E78">
      <w:pPr>
        <w:pStyle w:val="ListBullet"/>
      </w:pPr>
      <w:r>
        <w:lastRenderedPageBreak/>
        <w:t>Secondary pharmacodynamics and safety pharmacology studies indicate that eluxadoline does not inhibit or stimulate receptors associated with abuse potential. Overall, based on the nonclinical studies submitted, there are no clinically relevant hazards identified.</w:t>
      </w:r>
    </w:p>
    <w:p w:rsidR="00A146D6" w:rsidRDefault="00A146D6" w:rsidP="00383E78">
      <w:pPr>
        <w:pStyle w:val="ListBullet"/>
      </w:pPr>
      <w:r>
        <w:t>Repeat-dose toxicity studies by the oral route showed no major toxicities with minimal and reversible treatment-related observations. Based on the nonclinical studies submitted, there are no clinically relevant effects which may be expected in patients.</w:t>
      </w:r>
    </w:p>
    <w:p w:rsidR="00A146D6" w:rsidRDefault="00A146D6" w:rsidP="00383E78">
      <w:pPr>
        <w:pStyle w:val="ListBullet"/>
      </w:pPr>
      <w:r>
        <w:t>Eluxadoline is not considered to pose a genotoxic or carcinogenic hazard.</w:t>
      </w:r>
    </w:p>
    <w:p w:rsidR="00A146D6" w:rsidRDefault="00A146D6" w:rsidP="00383E78">
      <w:pPr>
        <w:pStyle w:val="ListBullet"/>
      </w:pPr>
      <w:r>
        <w:t>The proposed pregnancy Category is B1, which is appropriate based on the animal findings.</w:t>
      </w:r>
      <w:r w:rsidR="004472B2" w:rsidRPr="009E405F">
        <w:rPr>
          <w:vertAlign w:val="superscript"/>
        </w:rPr>
        <w:fldChar w:fldCharType="begin"/>
      </w:r>
      <w:r w:rsidR="004472B2" w:rsidRPr="009E405F">
        <w:rPr>
          <w:vertAlign w:val="superscript"/>
        </w:rPr>
        <w:instrText xml:space="preserve"> NOTEREF _Ref513633711 \h </w:instrText>
      </w:r>
      <w:r w:rsidR="004472B2">
        <w:rPr>
          <w:vertAlign w:val="superscript"/>
        </w:rPr>
        <w:instrText xml:space="preserve"> \* MERGEFORMAT </w:instrText>
      </w:r>
      <w:r w:rsidR="004472B2" w:rsidRPr="009E405F">
        <w:rPr>
          <w:vertAlign w:val="superscript"/>
        </w:rPr>
      </w:r>
      <w:r w:rsidR="004472B2" w:rsidRPr="009E405F">
        <w:rPr>
          <w:vertAlign w:val="superscript"/>
        </w:rPr>
        <w:fldChar w:fldCharType="separate"/>
      </w:r>
      <w:r w:rsidR="008D57E9">
        <w:rPr>
          <w:vertAlign w:val="superscript"/>
        </w:rPr>
        <w:t>13</w:t>
      </w:r>
      <w:r w:rsidR="004472B2" w:rsidRPr="009E405F">
        <w:rPr>
          <w:vertAlign w:val="superscript"/>
        </w:rPr>
        <w:fldChar w:fldCharType="end"/>
      </w:r>
    </w:p>
    <w:p w:rsidR="00A146D6" w:rsidRDefault="00A146D6" w:rsidP="00383E78">
      <w:pPr>
        <w:pStyle w:val="ListBullet"/>
      </w:pPr>
      <w:r>
        <w:t>There are no nonclinical objections to registration.</w:t>
      </w:r>
    </w:p>
    <w:p w:rsidR="00A146D6" w:rsidRPr="00A146D6" w:rsidRDefault="00F80973" w:rsidP="00383E78">
      <w:pPr>
        <w:pStyle w:val="ListBullet"/>
      </w:pPr>
      <w:r>
        <w:t xml:space="preserve">Amendments to the </w:t>
      </w:r>
      <w:r w:rsidR="00A146D6">
        <w:t xml:space="preserve">draft </w:t>
      </w:r>
      <w:r w:rsidR="0025608B">
        <w:t>PI</w:t>
      </w:r>
      <w:r w:rsidR="00A146D6">
        <w:t xml:space="preserve"> </w:t>
      </w:r>
      <w:r>
        <w:t>were also recommended to the Delegate</w:t>
      </w:r>
      <w:r w:rsidR="00A146D6">
        <w:t>.</w:t>
      </w:r>
    </w:p>
    <w:p w:rsidR="008E7846" w:rsidRPr="00254787" w:rsidRDefault="008E7846" w:rsidP="008E7846">
      <w:pPr>
        <w:pStyle w:val="Heading2"/>
      </w:pPr>
      <w:bookmarkStart w:id="59" w:name="_Toc196046462"/>
      <w:bookmarkStart w:id="60" w:name="_Toc247691516"/>
      <w:bookmarkStart w:id="61" w:name="_Toc314842500"/>
      <w:bookmarkStart w:id="62" w:name="_Toc510009712"/>
      <w:bookmarkStart w:id="63" w:name="_Toc163441353"/>
      <w:bookmarkStart w:id="64" w:name="_Toc163441348"/>
      <w:r>
        <w:t xml:space="preserve">V. </w:t>
      </w:r>
      <w:r w:rsidRPr="00254787">
        <w:t>Clinical</w:t>
      </w:r>
      <w:bookmarkEnd w:id="59"/>
      <w:r>
        <w:t xml:space="preserve"> </w:t>
      </w:r>
      <w:r w:rsidR="003A7F6C">
        <w:t>f</w:t>
      </w:r>
      <w:r>
        <w:t>indings</w:t>
      </w:r>
      <w:bookmarkEnd w:id="60"/>
      <w:bookmarkEnd w:id="61"/>
      <w:bookmarkEnd w:id="62"/>
    </w:p>
    <w:p w:rsidR="00C80137" w:rsidRDefault="00C80137" w:rsidP="00D425BB">
      <w:bookmarkStart w:id="6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66" w:name="_Toc247691517"/>
      <w:bookmarkStart w:id="67" w:name="_Toc314842501"/>
      <w:bookmarkStart w:id="68" w:name="_Toc510009713"/>
      <w:r w:rsidRPr="00254787">
        <w:t>Introduction</w:t>
      </w:r>
      <w:bookmarkEnd w:id="65"/>
      <w:bookmarkEnd w:id="66"/>
      <w:bookmarkEnd w:id="67"/>
      <w:bookmarkEnd w:id="68"/>
    </w:p>
    <w:p w:rsidR="00605AD4" w:rsidRDefault="00605AD4" w:rsidP="00605AD4">
      <w:pPr>
        <w:pStyle w:val="Heading4"/>
      </w:pPr>
      <w:bookmarkStart w:id="69" w:name="_Toc196046464"/>
      <w:bookmarkStart w:id="70" w:name="_Toc247691518"/>
      <w:bookmarkStart w:id="71" w:name="_Toc314842502"/>
      <w:r w:rsidRPr="00605AD4">
        <w:t xml:space="preserve">Clinical </w:t>
      </w:r>
      <w:r w:rsidR="00EF59DC">
        <w:t>r</w:t>
      </w:r>
      <w:r w:rsidRPr="00605AD4">
        <w:t>ationale</w:t>
      </w:r>
    </w:p>
    <w:p w:rsidR="00CF5B34" w:rsidRDefault="00CF5B34" w:rsidP="00CF5B34">
      <w:r>
        <w:t xml:space="preserve">Pharmacological agents with mixed </w:t>
      </w:r>
      <w:r w:rsidR="00933112">
        <w:t>M</w:t>
      </w:r>
      <w:r>
        <w:t>OR agonism/</w:t>
      </w:r>
      <w:r w:rsidR="00933112">
        <w:t>D</w:t>
      </w:r>
      <w:r>
        <w:t xml:space="preserve">OR antagonism possess increased analgesic potency with different GI effects as compared to pure </w:t>
      </w:r>
      <w:r w:rsidR="00933112">
        <w:t>M</w:t>
      </w:r>
      <w:r>
        <w:t>OR agonists. The low bioavailability of eluxadoline may reduce systemic side effects as well as the potential for abuse and dependence.</w:t>
      </w:r>
    </w:p>
    <w:p w:rsidR="00CF5B34" w:rsidRDefault="00CF5B34" w:rsidP="00CF5B34">
      <w:r w:rsidRPr="00881916">
        <w:t>In vitro</w:t>
      </w:r>
      <w:r>
        <w:t xml:space="preserve">, eluxadoline reduces contractility of intestinal tissue and inhibits neurogenically mediated secretion. </w:t>
      </w:r>
      <w:r w:rsidRPr="00881916">
        <w:t>In vivo</w:t>
      </w:r>
      <w:r>
        <w:t>, eluxadoline reduces GI transit and faecal output in stressed and non-stressed mice over a wide dose-range without fully inhibiting GI transit.</w:t>
      </w:r>
    </w:p>
    <w:p w:rsidR="00CF5B34" w:rsidRPr="00CF5B34" w:rsidRDefault="00CF5B34" w:rsidP="00CF5B34">
      <w:r>
        <w:t xml:space="preserve">The sponsor here argues for this being a different class from loperamide being both </w:t>
      </w:r>
      <w:r w:rsidR="00933112">
        <w:t>M</w:t>
      </w:r>
      <w:r>
        <w:t>OR agonist/</w:t>
      </w:r>
      <w:r w:rsidR="00933112">
        <w:t>D</w:t>
      </w:r>
      <w:r>
        <w:t xml:space="preserve">OR antagonist however in relation to treatment related </w:t>
      </w:r>
      <w:r w:rsidR="00A5696E">
        <w:t>adverse events (</w:t>
      </w:r>
      <w:r>
        <w:t>AEs</w:t>
      </w:r>
      <w:r w:rsidR="00A5696E">
        <w:t>)</w:t>
      </w:r>
      <w:r>
        <w:t xml:space="preserve"> the sponsor only considers selected AEs based on known class effects of </w:t>
      </w:r>
      <w:r w:rsidR="00933112">
        <w:t xml:space="preserve">MOR </w:t>
      </w:r>
      <w:r>
        <w:t>agonists and opioids.</w:t>
      </w:r>
    </w:p>
    <w:p w:rsidR="00605AD4" w:rsidRDefault="00605AD4" w:rsidP="00605AD4">
      <w:pPr>
        <w:pStyle w:val="Heading4"/>
      </w:pPr>
      <w:r w:rsidRPr="00605AD4">
        <w:t>Guidance</w:t>
      </w:r>
    </w:p>
    <w:p w:rsidR="00CF5B34" w:rsidRDefault="00CF5B34" w:rsidP="00D973B7">
      <w:pPr>
        <w:pStyle w:val="ListBullet"/>
      </w:pPr>
      <w:r>
        <w:t>CPMP/EWP/785/97 Rev. 1</w:t>
      </w:r>
      <w:r w:rsidR="00933112">
        <w:t>:</w:t>
      </w:r>
      <w:r>
        <w:t xml:space="preserve"> Guideline on the evaluation of medicinal products for the treatment of irritable bowel syndrome</w:t>
      </w:r>
      <w:r w:rsidR="00933112">
        <w:t>;</w:t>
      </w:r>
      <w:r w:rsidR="00785F4E">
        <w:t xml:space="preserve"> </w:t>
      </w:r>
      <w:r w:rsidR="00933112">
        <w:t>e</w:t>
      </w:r>
      <w:r>
        <w:t>ffective: 25 May 2015.</w:t>
      </w:r>
    </w:p>
    <w:p w:rsidR="00CF5B34" w:rsidRDefault="00CF5B34" w:rsidP="00D973B7">
      <w:pPr>
        <w:pStyle w:val="ListBullet"/>
      </w:pPr>
      <w:r>
        <w:t>15.3 Medicines that do not require Biopharmaceutic Data</w:t>
      </w:r>
      <w:r w:rsidR="00933112">
        <w:t>:</w:t>
      </w:r>
      <w:r>
        <w:t xml:space="preserve"> ‘We do not require biopharmaceutic data or a justification for not providing this data. Note: A study or justification may be required if there is doubt as to whether absorption occurs.’</w:t>
      </w:r>
      <w:r w:rsidR="00785F4E">
        <w:t xml:space="preserve"> </w:t>
      </w:r>
      <w:r>
        <w:t>pp. 127-132 of Rules 1998 (3C)-3CC6a Clinical Investigation of Medicinal Products for Long-Term Use Replaces: pp. 163-165 of Rules 1989</w:t>
      </w:r>
      <w:r w:rsidR="00933112">
        <w:t>.</w:t>
      </w:r>
    </w:p>
    <w:p w:rsidR="00CF5B34" w:rsidRDefault="00CF5B34" w:rsidP="00D973B7">
      <w:pPr>
        <w:pStyle w:val="ListBullet"/>
      </w:pPr>
      <w:r>
        <w:t>CHMP/ICH/2/04 ICH Topic E14</w:t>
      </w:r>
      <w:r w:rsidR="00933112">
        <w:t>:</w:t>
      </w:r>
      <w:r>
        <w:t xml:space="preserve"> Note for Guidance on Clinical Evaluation of QT/QTc Interval Prolongation and Proarrhythmic Potential for Non-Antiarrhythmic Drugs</w:t>
      </w:r>
      <w:r w:rsidR="00933112">
        <w:t>.</w:t>
      </w:r>
    </w:p>
    <w:p w:rsidR="00CF5B34" w:rsidRDefault="00CF5B34" w:rsidP="00D973B7">
      <w:pPr>
        <w:pStyle w:val="ListBullet"/>
      </w:pPr>
      <w:r>
        <w:t>CPMP/EWP/560/95/Rev. 1 Corr.</w:t>
      </w:r>
      <w:r w:rsidR="00E32074">
        <w:t>:</w:t>
      </w:r>
      <w:r>
        <w:t xml:space="preserve"> Guideline on the Investigation of Drug Interactions Replaces: CPMP/EWP/560/95 (Adopted by TGA 19 April 2001)</w:t>
      </w:r>
      <w:r w:rsidR="00933112">
        <w:t>;</w:t>
      </w:r>
      <w:r>
        <w:t xml:space="preserve"> and EMEA/CHMP/EWP/297931/2008</w:t>
      </w:r>
      <w:r w:rsidR="00933112">
        <w:t>:</w:t>
      </w:r>
      <w:r>
        <w:t xml:space="preserve"> Concept Paper on this topic</w:t>
      </w:r>
      <w:r w:rsidR="00933112">
        <w:t>.</w:t>
      </w:r>
    </w:p>
    <w:p w:rsidR="00CF5B34" w:rsidRDefault="00CF5B34" w:rsidP="00D973B7">
      <w:pPr>
        <w:pStyle w:val="ListBullet"/>
      </w:pPr>
      <w:r>
        <w:lastRenderedPageBreak/>
        <w:t>CPMP/EWP/908/99</w:t>
      </w:r>
      <w:r w:rsidR="00933112">
        <w:t>:</w:t>
      </w:r>
      <w:r>
        <w:t xml:space="preserve"> Points to Consider on Multiplicity Issues in Clinical Trials</w:t>
      </w:r>
      <w:r w:rsidR="00933112">
        <w:t>.</w:t>
      </w:r>
    </w:p>
    <w:p w:rsidR="00CF5B34" w:rsidRDefault="00CF5B34" w:rsidP="00D973B7">
      <w:pPr>
        <w:pStyle w:val="ListBullet"/>
      </w:pPr>
      <w:r>
        <w:t>CPMP/ICH/363/96 ICH Topic E9</w:t>
      </w:r>
      <w:r w:rsidR="00933112">
        <w:t>:</w:t>
      </w:r>
      <w:r w:rsidR="00785F4E">
        <w:t xml:space="preserve"> </w:t>
      </w:r>
      <w:r>
        <w:t>Note for Guidance on Statistical Principles for Clinical Trials</w:t>
      </w:r>
      <w:r w:rsidR="00933112">
        <w:t>.</w:t>
      </w:r>
    </w:p>
    <w:p w:rsidR="00CF5B34" w:rsidRPr="00CF5B34" w:rsidRDefault="00CF5B34" w:rsidP="00D973B7">
      <w:pPr>
        <w:pStyle w:val="ListBullet"/>
      </w:pPr>
      <w:r>
        <w:t>CPMP/EWP/2339/02</w:t>
      </w:r>
      <w:r w:rsidR="00933112">
        <w:t>:</w:t>
      </w:r>
      <w:r>
        <w:t xml:space="preserve"> Guideline on the Evaluation of the Pharmacokinetics of Medicinal Products in Patients with Impaired Hepatic Function</w:t>
      </w:r>
      <w:r w:rsidR="00933112">
        <w:t>.</w:t>
      </w:r>
    </w:p>
    <w:p w:rsidR="00605AD4" w:rsidRDefault="00605AD4" w:rsidP="00605AD4">
      <w:pPr>
        <w:pStyle w:val="Heading4"/>
      </w:pPr>
      <w:r w:rsidRPr="00605AD4">
        <w:t>Contents of the clinical dossier</w:t>
      </w:r>
    </w:p>
    <w:p w:rsidR="00CF5B34" w:rsidRDefault="00CF5B34" w:rsidP="00D973B7">
      <w:pPr>
        <w:pStyle w:val="Heading5"/>
      </w:pPr>
      <w:r>
        <w:t>Scope of the clinical dossier</w:t>
      </w:r>
    </w:p>
    <w:p w:rsidR="00CF5B34" w:rsidRDefault="00CF5B34" w:rsidP="00CF5B34">
      <w:r>
        <w:t>The submission contained the following clinical information:</w:t>
      </w:r>
    </w:p>
    <w:p w:rsidR="00CF5B34" w:rsidRDefault="00CF5B34" w:rsidP="00D973B7">
      <w:pPr>
        <w:pStyle w:val="ListBullet"/>
      </w:pPr>
      <w:r>
        <w:t>Bioavailability Study Reports</w:t>
      </w:r>
      <w:r w:rsidR="00E32074">
        <w:t>:</w:t>
      </w:r>
    </w:p>
    <w:p w:rsidR="00CF5B34" w:rsidRDefault="00E32074" w:rsidP="00D973B7">
      <w:pPr>
        <w:pStyle w:val="ListBullet2"/>
      </w:pPr>
      <w:r>
        <w:t xml:space="preserve">Study </w:t>
      </w:r>
      <w:r w:rsidR="00CF5B34">
        <w:t>CPS-1009</w:t>
      </w:r>
      <w:r>
        <w:t>:</w:t>
      </w:r>
      <w:r w:rsidR="00CF5B34">
        <w:t xml:space="preserve"> A Phase I, </w:t>
      </w:r>
      <w:r>
        <w:t>open l</w:t>
      </w:r>
      <w:r w:rsidR="00CF5B34">
        <w:t>abel</w:t>
      </w:r>
      <w:r>
        <w:t>,</w:t>
      </w:r>
      <w:r w:rsidR="00CF5B34">
        <w:t xml:space="preserve"> </w:t>
      </w:r>
      <w:r>
        <w:t>single d</w:t>
      </w:r>
      <w:r w:rsidR="00CF5B34">
        <w:t xml:space="preserve">ose </w:t>
      </w:r>
      <w:r>
        <w:t xml:space="preserve">crossover study </w:t>
      </w:r>
      <w:r w:rsidR="00CF5B34">
        <w:t xml:space="preserve">to </w:t>
      </w:r>
      <w:r>
        <w:t xml:space="preserve">determine </w:t>
      </w:r>
      <w:r w:rsidR="00CF5B34">
        <w:t xml:space="preserve">the </w:t>
      </w:r>
      <w:r>
        <w:t>effects of a high-fat meal on the pharmacokinetics of eluxadoline in healthy normal volunteers.</w:t>
      </w:r>
    </w:p>
    <w:p w:rsidR="00CF5B34" w:rsidRDefault="00E32074" w:rsidP="00D973B7">
      <w:pPr>
        <w:pStyle w:val="ListBullet2"/>
      </w:pPr>
      <w:r>
        <w:t xml:space="preserve">Study </w:t>
      </w:r>
      <w:r w:rsidR="00CF5B34">
        <w:t xml:space="preserve">EDl-1002: </w:t>
      </w:r>
      <w:r>
        <w:t>An open label, randomised study to compare the pharmacokinetic profiles of eluxadoline in the fed state after the high fat/high calorie breakfast versus the fasted state following the oral administration of a single 500 mg dose in tablet form to healthy adult subjects.</w:t>
      </w:r>
    </w:p>
    <w:p w:rsidR="00CF5B34" w:rsidRDefault="00CF5B34" w:rsidP="00D973B7">
      <w:pPr>
        <w:pStyle w:val="ListBullet"/>
      </w:pPr>
      <w:r>
        <w:t>Metabolism</w:t>
      </w:r>
      <w:r w:rsidR="00E32074">
        <w:t>:</w:t>
      </w:r>
    </w:p>
    <w:p w:rsidR="00CF5B34" w:rsidRDefault="00E32074" w:rsidP="00D973B7">
      <w:pPr>
        <w:pStyle w:val="ListBullet2"/>
      </w:pPr>
      <w:r>
        <w:t xml:space="preserve">Study </w:t>
      </w:r>
      <w:r w:rsidR="00CF5B34">
        <w:t>FK6533</w:t>
      </w:r>
      <w:r>
        <w:t>:</w:t>
      </w:r>
      <w:r w:rsidR="00CF5B34">
        <w:t xml:space="preserve"> </w:t>
      </w:r>
      <w:r w:rsidR="00CF5B34" w:rsidRPr="00881916">
        <w:t>In vivo</w:t>
      </w:r>
      <w:r w:rsidR="00CF5B34">
        <w:t xml:space="preserve"> metabolism of eluxadoline in humans</w:t>
      </w:r>
      <w:r>
        <w:t>.</w:t>
      </w:r>
    </w:p>
    <w:p w:rsidR="00CF5B34" w:rsidRDefault="00E32074" w:rsidP="00D973B7">
      <w:pPr>
        <w:pStyle w:val="ListBullet2"/>
      </w:pPr>
      <w:r>
        <w:t xml:space="preserve">Study </w:t>
      </w:r>
      <w:r w:rsidR="00CF5B34">
        <w:t>FK5826</w:t>
      </w:r>
      <w:r>
        <w:t>:</w:t>
      </w:r>
      <w:r w:rsidR="00CF5B34">
        <w:t xml:space="preserve"> </w:t>
      </w:r>
      <w:r w:rsidR="00CF5B34" w:rsidRPr="00881916">
        <w:t>In vitro</w:t>
      </w:r>
      <w:r w:rsidR="00CF5B34">
        <w:t xml:space="preserve"> </w:t>
      </w:r>
      <w:r>
        <w:t>metabolism of eluxadoline in cryopreserved rat, dog, monkey and human hepatocytes.</w:t>
      </w:r>
    </w:p>
    <w:p w:rsidR="00CF5B34" w:rsidRDefault="00CF5B34" w:rsidP="00D973B7">
      <w:pPr>
        <w:pStyle w:val="ListBullet"/>
      </w:pPr>
      <w:r>
        <w:t xml:space="preserve">Healthy </w:t>
      </w:r>
      <w:r w:rsidR="00E32074">
        <w:t xml:space="preserve">subject pharmacokinetic </w:t>
      </w:r>
      <w:r>
        <w:t xml:space="preserve">and </w:t>
      </w:r>
      <w:r w:rsidR="00E32074">
        <w:t xml:space="preserve">initial tolerability </w:t>
      </w:r>
      <w:r>
        <w:t>Study Reports</w:t>
      </w:r>
      <w:r w:rsidR="00E32074">
        <w:t>:</w:t>
      </w:r>
    </w:p>
    <w:p w:rsidR="00CF5B34" w:rsidRDefault="00E32074" w:rsidP="00D973B7">
      <w:pPr>
        <w:pStyle w:val="ListBullet2"/>
      </w:pPr>
      <w:r>
        <w:t xml:space="preserve">Study </w:t>
      </w:r>
      <w:r w:rsidR="00CF5B34">
        <w:t>EDl-1001</w:t>
      </w:r>
      <w:r>
        <w:t>:</w:t>
      </w:r>
      <w:r w:rsidR="00CF5B34">
        <w:t xml:space="preserve"> </w:t>
      </w:r>
      <w:r>
        <w:t xml:space="preserve">A double blind, placebo controlled, randomised, </w:t>
      </w:r>
      <w:proofErr w:type="gramStart"/>
      <w:r>
        <w:t>single</w:t>
      </w:r>
      <w:proofErr w:type="gramEnd"/>
      <w:r>
        <w:t xml:space="preserve"> and multiple ascending dose study to investigate the safety, tolerability and pharmacokinetics of eluxadoline.</w:t>
      </w:r>
    </w:p>
    <w:p w:rsidR="00CF5B34" w:rsidRDefault="00E32074" w:rsidP="00D973B7">
      <w:pPr>
        <w:pStyle w:val="ListBullet2"/>
      </w:pPr>
      <w:r>
        <w:t xml:space="preserve">Study </w:t>
      </w:r>
      <w:r w:rsidR="00CF5B34">
        <w:t>EDl-1003</w:t>
      </w:r>
      <w:r>
        <w:t>:</w:t>
      </w:r>
      <w:r w:rsidR="00CF5B34">
        <w:t xml:space="preserve"> </w:t>
      </w:r>
      <w:r>
        <w:t>A single centre study to evaluate the mass balance and metabolic disposition of eluxadoline in healthy male subjects.</w:t>
      </w:r>
    </w:p>
    <w:p w:rsidR="00CF5B34" w:rsidRDefault="00CF5B34" w:rsidP="00D973B7">
      <w:pPr>
        <w:pStyle w:val="ListBullet"/>
      </w:pPr>
      <w:r>
        <w:t xml:space="preserve">Intrinsic </w:t>
      </w:r>
      <w:r w:rsidR="00E32074">
        <w:t>f</w:t>
      </w:r>
      <w:r>
        <w:t xml:space="preserve">actor </w:t>
      </w:r>
      <w:r w:rsidR="00E32074">
        <w:t xml:space="preserve">pharmacokinetic </w:t>
      </w:r>
      <w:r>
        <w:t>Study Reports</w:t>
      </w:r>
      <w:r w:rsidR="00E32074">
        <w:t>:</w:t>
      </w:r>
    </w:p>
    <w:p w:rsidR="00CF5B34" w:rsidRDefault="00E86699" w:rsidP="000F77DE">
      <w:pPr>
        <w:pStyle w:val="ListBullet2"/>
      </w:pPr>
      <w:r>
        <w:t xml:space="preserve">Study </w:t>
      </w:r>
      <w:r w:rsidRPr="000F77DE">
        <w:t>CPS-1005</w:t>
      </w:r>
      <w:r>
        <w:t>:</w:t>
      </w:r>
      <w:r w:rsidRPr="000F77DE">
        <w:t xml:space="preserve"> A</w:t>
      </w:r>
      <w:r>
        <w:t>n</w:t>
      </w:r>
      <w:r w:rsidRPr="000F77DE">
        <w:t xml:space="preserve"> open</w:t>
      </w:r>
      <w:r>
        <w:t xml:space="preserve"> </w:t>
      </w:r>
      <w:r w:rsidRPr="000F77DE">
        <w:t>label evaluation of the single</w:t>
      </w:r>
      <w:r>
        <w:t xml:space="preserve"> </w:t>
      </w:r>
      <w:r w:rsidRPr="000F77DE">
        <w:t xml:space="preserve">dose pharmacokinetics of eluxadoline in subjects with and without hepatic impairment </w:t>
      </w:r>
      <w:r>
        <w:t>(S</w:t>
      </w:r>
      <w:r w:rsidRPr="000F77DE">
        <w:t>tudy</w:t>
      </w:r>
      <w:r>
        <w:t xml:space="preserve"> </w:t>
      </w:r>
      <w:r w:rsidRPr="000F77DE">
        <w:t>meta-anal-</w:t>
      </w:r>
      <w:proofErr w:type="spellStart"/>
      <w:r w:rsidRPr="000F77DE">
        <w:t>intrins</w:t>
      </w:r>
      <w:proofErr w:type="spellEnd"/>
      <w:r>
        <w:t>)</w:t>
      </w:r>
      <w:r w:rsidRPr="000F77DE">
        <w:t xml:space="preserve">: </w:t>
      </w:r>
      <w:r>
        <w:t xml:space="preserve">a </w:t>
      </w:r>
      <w:r w:rsidRPr="000F77DE">
        <w:t xml:space="preserve">meta-analysis of pooled </w:t>
      </w:r>
      <w:r>
        <w:t>P</w:t>
      </w:r>
      <w:r w:rsidRPr="000F77DE">
        <w:t xml:space="preserve">hase </w:t>
      </w:r>
      <w:r>
        <w:t>I</w:t>
      </w:r>
      <w:r w:rsidRPr="000F77DE">
        <w:t xml:space="preserve"> </w:t>
      </w:r>
      <w:r>
        <w:t>pharmacokinetics</w:t>
      </w:r>
      <w:r w:rsidRPr="000F77DE">
        <w:t xml:space="preserve"> by intrinsic factors: gender, age, race, and </w:t>
      </w:r>
      <w:r>
        <w:t>BMI.</w:t>
      </w:r>
    </w:p>
    <w:p w:rsidR="00CF5B34" w:rsidRDefault="00CF5B34" w:rsidP="00D973B7">
      <w:pPr>
        <w:pStyle w:val="ListBullet"/>
      </w:pPr>
      <w:r>
        <w:t xml:space="preserve">Extrinsic </w:t>
      </w:r>
      <w:r w:rsidR="00001604">
        <w:t>f</w:t>
      </w:r>
      <w:r>
        <w:t xml:space="preserve">actor </w:t>
      </w:r>
      <w:r w:rsidR="00001604">
        <w:t xml:space="preserve">pharmacokinetic </w:t>
      </w:r>
      <w:r>
        <w:t>Study Reports</w:t>
      </w:r>
      <w:r w:rsidR="00001604">
        <w:t>:</w:t>
      </w:r>
    </w:p>
    <w:p w:rsidR="00CF5B34" w:rsidRDefault="00001604" w:rsidP="00D973B7">
      <w:pPr>
        <w:pStyle w:val="ListBullet2"/>
      </w:pPr>
      <w:r>
        <w:t xml:space="preserve">Study </w:t>
      </w:r>
      <w:r w:rsidR="00CF5B34">
        <w:t xml:space="preserve">CPS-1007: An </w:t>
      </w:r>
      <w:r>
        <w:t>open label study to evaluate the pharmacokinetics and pharmacodynamics of an oral contraceptive containing norethindrone and ethinyl estradiol when co-administered with eluxadoline in healthy adult female subjects.</w:t>
      </w:r>
    </w:p>
    <w:p w:rsidR="00CF5B34" w:rsidRDefault="00001604" w:rsidP="00D973B7">
      <w:pPr>
        <w:pStyle w:val="ListBullet2"/>
      </w:pPr>
      <w:r>
        <w:t xml:space="preserve">Study </w:t>
      </w:r>
      <w:r w:rsidR="00CF5B34">
        <w:t>CPS-1011</w:t>
      </w:r>
      <w:r>
        <w:t>: A</w:t>
      </w:r>
      <w:r w:rsidR="00CF5B34">
        <w:t xml:space="preserve"> Phase I</w:t>
      </w:r>
      <w:r>
        <w:t>, open label, single dose crossover study to determine the effects of cyclosporine and probenecid on the pharmacokinetics of eluxadoline in healthy normal volunteers.</w:t>
      </w:r>
    </w:p>
    <w:p w:rsidR="00CF5B34" w:rsidRDefault="00001604" w:rsidP="00D973B7">
      <w:pPr>
        <w:pStyle w:val="ListBullet2"/>
      </w:pPr>
      <w:r>
        <w:t xml:space="preserve">Study </w:t>
      </w:r>
      <w:r w:rsidR="00CF5B34">
        <w:t xml:space="preserve">CPS-1012: An </w:t>
      </w:r>
      <w:r>
        <w:t>open label, crossover study to determine the effects of multiple doses of eluxadoline on the pharmacokinetics of a single dose of rosuvastatin in healthy normal volunteers.</w:t>
      </w:r>
    </w:p>
    <w:p w:rsidR="00CF5B34" w:rsidRDefault="00CF5B34" w:rsidP="00D973B7">
      <w:pPr>
        <w:pStyle w:val="ListBullet"/>
      </w:pPr>
      <w:r>
        <w:t xml:space="preserve">Drug </w:t>
      </w:r>
      <w:r w:rsidR="00001604">
        <w:t>i</w:t>
      </w:r>
      <w:r>
        <w:t>nteraction</w:t>
      </w:r>
      <w:r w:rsidR="00001604">
        <w:t>s</w:t>
      </w:r>
      <w:r>
        <w:t xml:space="preserve"> </w:t>
      </w:r>
      <w:r w:rsidR="00001604">
        <w:t>i</w:t>
      </w:r>
      <w:r w:rsidRPr="00881916">
        <w:t>n vitro</w:t>
      </w:r>
      <w:r w:rsidR="00001604">
        <w:t>:</w:t>
      </w:r>
    </w:p>
    <w:p w:rsidR="00CF5B34" w:rsidRDefault="00E86699" w:rsidP="00D973B7">
      <w:pPr>
        <w:pStyle w:val="ListBullet2"/>
      </w:pPr>
      <w:r>
        <w:lastRenderedPageBreak/>
        <w:t>Study FK5731: The potential effects of eluxadoline in the induction of CYP1A2, CYP2C9, CYP2C19 and CYP3A4 cryopreserved human hepatocytes.</w:t>
      </w:r>
    </w:p>
    <w:p w:rsidR="00CF5B34" w:rsidRDefault="00CF5B34" w:rsidP="00D973B7">
      <w:pPr>
        <w:pStyle w:val="ListBullet2"/>
      </w:pPr>
      <w:r>
        <w:t>Study FK5873</w:t>
      </w:r>
      <w:r w:rsidR="00001604">
        <w:t>: An i</w:t>
      </w:r>
      <w:r w:rsidRPr="00881916">
        <w:t>n vitro</w:t>
      </w:r>
      <w:r>
        <w:t xml:space="preserve"> study of the potential of eluxadoline to inhibit CYP1A2, CYP2A6, CYP2B6, CYP2C9, CYP2C19, CYP2D6 CYP2E1 and CYP3A4.</w:t>
      </w:r>
    </w:p>
    <w:p w:rsidR="00CF5B34" w:rsidRDefault="00CF5B34" w:rsidP="00D973B7">
      <w:pPr>
        <w:pStyle w:val="ListBullet"/>
      </w:pPr>
      <w:r>
        <w:t xml:space="preserve">Reports of </w:t>
      </w:r>
      <w:r w:rsidR="00001604">
        <w:t>h</w:t>
      </w:r>
      <w:r>
        <w:t xml:space="preserve">uman </w:t>
      </w:r>
      <w:r w:rsidR="00001604">
        <w:t>p</w:t>
      </w:r>
      <w:r>
        <w:t xml:space="preserve">harmacodynamic </w:t>
      </w:r>
      <w:r w:rsidR="00001604">
        <w:t>s</w:t>
      </w:r>
      <w:r>
        <w:t>tudies</w:t>
      </w:r>
      <w:r w:rsidR="00001604">
        <w:t>:</w:t>
      </w:r>
    </w:p>
    <w:p w:rsidR="00CF5B34" w:rsidRDefault="00CF5B34" w:rsidP="008B5976">
      <w:pPr>
        <w:pStyle w:val="ListBullet2"/>
      </w:pPr>
      <w:r>
        <w:t xml:space="preserve">Healthy </w:t>
      </w:r>
      <w:r w:rsidR="00001604">
        <w:t xml:space="preserve">subject pharmacodynamic </w:t>
      </w:r>
      <w:r>
        <w:t xml:space="preserve">and </w:t>
      </w:r>
      <w:r w:rsidR="00001604">
        <w:t>pharmacokinetic</w:t>
      </w:r>
      <w:r>
        <w:t>/</w:t>
      </w:r>
      <w:r w:rsidR="00001604">
        <w:t xml:space="preserve">pharmacodynamic Study </w:t>
      </w:r>
      <w:r>
        <w:t>Reports</w:t>
      </w:r>
      <w:r w:rsidR="00001604">
        <w:t>.</w:t>
      </w:r>
    </w:p>
    <w:p w:rsidR="00CF5B34" w:rsidRDefault="00001604" w:rsidP="00D973B7">
      <w:pPr>
        <w:pStyle w:val="ListBullet2"/>
      </w:pPr>
      <w:r>
        <w:t xml:space="preserve">Study </w:t>
      </w:r>
      <w:r w:rsidR="00CF5B34">
        <w:t>CPS-1006</w:t>
      </w:r>
      <w:r>
        <w:t>:</w:t>
      </w:r>
      <w:r w:rsidR="00CF5B34">
        <w:t xml:space="preserve"> </w:t>
      </w:r>
      <w:r>
        <w:t>A randomised, double blind, placebo and active</w:t>
      </w:r>
      <w:r w:rsidR="0025608B">
        <w:t xml:space="preserve"> </w:t>
      </w:r>
      <w:r>
        <w:t>controlled study to evaluate the relative abuse potential and safety of orally administered eluxadoline in non-dependent recreational opioid users.</w:t>
      </w:r>
    </w:p>
    <w:p w:rsidR="00CF5B34" w:rsidRDefault="00FF6FB5" w:rsidP="00D973B7">
      <w:pPr>
        <w:pStyle w:val="ListBullet2"/>
      </w:pPr>
      <w:r>
        <w:t xml:space="preserve">Study </w:t>
      </w:r>
      <w:r w:rsidR="00CF5B34">
        <w:t>CPS-1008</w:t>
      </w:r>
      <w:r w:rsidR="00001604">
        <w:t>:</w:t>
      </w:r>
      <w:r w:rsidR="00CF5B34">
        <w:t xml:space="preserve"> A </w:t>
      </w:r>
      <w:r w:rsidR="00001604">
        <w:t>randomi</w:t>
      </w:r>
      <w:r>
        <w:t>s</w:t>
      </w:r>
      <w:r w:rsidR="00001604">
        <w:t>ed, evaluator</w:t>
      </w:r>
      <w:r>
        <w:t xml:space="preserve"> </w:t>
      </w:r>
      <w:r w:rsidR="00001604">
        <w:t>blinded, placebo</w:t>
      </w:r>
      <w:r>
        <w:t xml:space="preserve"> </w:t>
      </w:r>
      <w:r w:rsidR="00001604">
        <w:t>and positive</w:t>
      </w:r>
      <w:r w:rsidR="0025608B">
        <w:t xml:space="preserve"> </w:t>
      </w:r>
      <w:r w:rsidR="00001604">
        <w:t>controlled 4</w:t>
      </w:r>
      <w:r>
        <w:t> </w:t>
      </w:r>
      <w:r w:rsidR="00001604">
        <w:t>period crossover study to evaluate the effect of single, oral doses of eluxadoline on cardiac repolarisation in healthy male and female adult subjects</w:t>
      </w:r>
      <w:r>
        <w:t>.</w:t>
      </w:r>
    </w:p>
    <w:p w:rsidR="00CF5B34" w:rsidRDefault="00FF6FB5" w:rsidP="00D973B7">
      <w:pPr>
        <w:pStyle w:val="ListBullet2"/>
      </w:pPr>
      <w:r>
        <w:t xml:space="preserve">Study </w:t>
      </w:r>
      <w:r w:rsidR="00CF5B34">
        <w:t xml:space="preserve">CPS-1010: A </w:t>
      </w:r>
      <w:r>
        <w:t>randomised, blinded, placebo and active-controlled study to evaluate the relative abuse potential and safety of intra-nasally administered eluxadoline in non-dependent recreational opioid users.</w:t>
      </w:r>
    </w:p>
    <w:p w:rsidR="00CF5B34" w:rsidRDefault="00CF5B34" w:rsidP="00D973B7">
      <w:pPr>
        <w:pStyle w:val="ListBullet"/>
      </w:pPr>
      <w:r>
        <w:t xml:space="preserve">Reports of </w:t>
      </w:r>
      <w:r w:rsidR="006302D0">
        <w:t xml:space="preserve">efficacy </w:t>
      </w:r>
      <w:r>
        <w:t xml:space="preserve">and </w:t>
      </w:r>
      <w:r w:rsidR="006302D0">
        <w:t>safety studies:</w:t>
      </w:r>
    </w:p>
    <w:p w:rsidR="00CF5B34" w:rsidRDefault="00CF5B34" w:rsidP="00D973B7">
      <w:pPr>
        <w:pStyle w:val="ListBullet2"/>
      </w:pPr>
      <w:r>
        <w:t xml:space="preserve">Study Reports of </w:t>
      </w:r>
      <w:r w:rsidR="006302D0">
        <w:t>controlled clinical studies pertinent to the claimed indication</w:t>
      </w:r>
    </w:p>
    <w:p w:rsidR="00CF5B34" w:rsidRDefault="006302D0" w:rsidP="00D973B7">
      <w:pPr>
        <w:pStyle w:val="ListBullet2"/>
      </w:pPr>
      <w:r>
        <w:t xml:space="preserve">Study </w:t>
      </w:r>
      <w:r w:rsidR="00CF5B34">
        <w:t>IBS-2001</w:t>
      </w:r>
      <w:r>
        <w:t>:</w:t>
      </w:r>
      <w:r w:rsidR="00CF5B34">
        <w:t xml:space="preserve"> </w:t>
      </w:r>
      <w:r>
        <w:t>A randomised, double blind, placebo controlled, parallel group, dose-ranging, multicentre study to evaluate the efficacy, safety, and tolerability of eluxadoline in the treatment of patients with irritable bowel syndrome with diarrhoea.</w:t>
      </w:r>
    </w:p>
    <w:p w:rsidR="00CF5B34" w:rsidRDefault="006302D0" w:rsidP="00D973B7">
      <w:pPr>
        <w:pStyle w:val="ListBullet2"/>
      </w:pPr>
      <w:r>
        <w:t xml:space="preserve">Study </w:t>
      </w:r>
      <w:r w:rsidR="00CF5B34">
        <w:t>IBS-3001</w:t>
      </w:r>
      <w:r>
        <w:t>:</w:t>
      </w:r>
      <w:r w:rsidR="00CF5B34">
        <w:t xml:space="preserve"> A </w:t>
      </w:r>
      <w:r w:rsidR="0025608B">
        <w:t>r</w:t>
      </w:r>
      <w:r>
        <w:t>andomised</w:t>
      </w:r>
      <w:r w:rsidR="00CF5B34">
        <w:t xml:space="preserve">, </w:t>
      </w:r>
      <w:r>
        <w:t>double blind, placebo controlled, Phase III study to evaluate the efficacy safely, and tolerability of eluxadoline in the treatment of patients with diarrhoea-predominant irritable bowel syndrome.</w:t>
      </w:r>
    </w:p>
    <w:p w:rsidR="00CF5B34" w:rsidRDefault="006302D0" w:rsidP="00D973B7">
      <w:pPr>
        <w:pStyle w:val="ListBullet2"/>
      </w:pPr>
      <w:r>
        <w:t xml:space="preserve">Study </w:t>
      </w:r>
      <w:r w:rsidR="00CF5B34">
        <w:t xml:space="preserve">IBS-3002. A </w:t>
      </w:r>
      <w:r w:rsidR="0025608B">
        <w:t>r</w:t>
      </w:r>
      <w:r>
        <w:t>andomised</w:t>
      </w:r>
      <w:r w:rsidR="00CF5B34">
        <w:t xml:space="preserve">, </w:t>
      </w:r>
      <w:r>
        <w:t>double blind, placebo controlled Phase III study to evaluate the efficacy safety, and tolerability of eluxadoline in the treatment in patients with diarrhoea</w:t>
      </w:r>
      <w:r w:rsidR="0036183F">
        <w:t xml:space="preserve"> </w:t>
      </w:r>
      <w:r>
        <w:t>predominant irritable bowel syndrome.</w:t>
      </w:r>
    </w:p>
    <w:p w:rsidR="00CF5B34" w:rsidRDefault="00CF5B34" w:rsidP="00D973B7">
      <w:pPr>
        <w:pStyle w:val="ListBullet"/>
      </w:pPr>
      <w:r>
        <w:t xml:space="preserve">Reports of </w:t>
      </w:r>
      <w:r w:rsidR="006302D0">
        <w:t>a</w:t>
      </w:r>
      <w:r>
        <w:t xml:space="preserve">nalyses of </w:t>
      </w:r>
      <w:r w:rsidR="006302D0">
        <w:t xml:space="preserve">data </w:t>
      </w:r>
      <w:r>
        <w:t xml:space="preserve">from </w:t>
      </w:r>
      <w:r w:rsidR="006302D0">
        <w:t xml:space="preserve">more than one </w:t>
      </w:r>
      <w:r>
        <w:t>study</w:t>
      </w:r>
      <w:r w:rsidR="006302D0">
        <w:t>:</w:t>
      </w:r>
    </w:p>
    <w:p w:rsidR="00CF5B34" w:rsidRDefault="00CF5B34" w:rsidP="00D973B7">
      <w:pPr>
        <w:pStyle w:val="ListBullet2"/>
      </w:pPr>
      <w:r>
        <w:t xml:space="preserve">Hepatobiliary </w:t>
      </w:r>
      <w:r w:rsidR="006302D0">
        <w:t>and pancreatitis</w:t>
      </w:r>
      <w:r>
        <w:t xml:space="preserve"> </w:t>
      </w:r>
      <w:r w:rsidR="006302D0">
        <w:t>Adjudication Committee Summary of Findings</w:t>
      </w:r>
    </w:p>
    <w:p w:rsidR="00CF5B34" w:rsidRDefault="00CF5B34" w:rsidP="00D973B7">
      <w:pPr>
        <w:pStyle w:val="ListBullet2"/>
      </w:pPr>
      <w:r>
        <w:t>Integrated Summary of Efficacy</w:t>
      </w:r>
    </w:p>
    <w:p w:rsidR="00CF5B34" w:rsidRDefault="00CF5B34" w:rsidP="00D973B7">
      <w:pPr>
        <w:pStyle w:val="ListBullet2"/>
      </w:pPr>
      <w:r>
        <w:t>Integrated Summary of Safety</w:t>
      </w:r>
    </w:p>
    <w:p w:rsidR="00CF5B34" w:rsidRDefault="00CF5B34" w:rsidP="00D973B7">
      <w:pPr>
        <w:pStyle w:val="ListBullet"/>
      </w:pPr>
      <w:r>
        <w:t>Meta-</w:t>
      </w:r>
      <w:r w:rsidR="006302D0">
        <w:t>a</w:t>
      </w:r>
      <w:r>
        <w:t xml:space="preserve">nalysis of </w:t>
      </w:r>
      <w:r w:rsidR="006302D0">
        <w:t>p</w:t>
      </w:r>
      <w:r>
        <w:t xml:space="preserve">ooled Phase </w:t>
      </w:r>
      <w:r w:rsidR="006302D0">
        <w:t>I</w:t>
      </w:r>
      <w:r>
        <w:t xml:space="preserve"> </w:t>
      </w:r>
      <w:r w:rsidR="006302D0">
        <w:t>e</w:t>
      </w:r>
      <w:r>
        <w:t xml:space="preserve">luxadoline </w:t>
      </w:r>
      <w:r w:rsidR="006302D0">
        <w:t>adverse events by mean systemic exposure</w:t>
      </w:r>
    </w:p>
    <w:p w:rsidR="00CF5B34" w:rsidRDefault="00CF5B34" w:rsidP="00D973B7">
      <w:pPr>
        <w:pStyle w:val="ListBullet"/>
      </w:pPr>
      <w:r>
        <w:t>Literature References</w:t>
      </w:r>
    </w:p>
    <w:p w:rsidR="00605AD4" w:rsidRDefault="00605AD4" w:rsidP="00605AD4">
      <w:pPr>
        <w:pStyle w:val="Heading4"/>
      </w:pPr>
      <w:r w:rsidRPr="00605AD4">
        <w:t>Paediatric data</w:t>
      </w:r>
    </w:p>
    <w:p w:rsidR="00CF5B34" w:rsidRDefault="00CF5B34" w:rsidP="00CF5B34">
      <w:r>
        <w:t>The EMA Paediatric Committee agreed to grant a waiver for paediatric population from birth to less than 6 years as well as a deferral for paediatric population above 6 years.</w:t>
      </w:r>
    </w:p>
    <w:p w:rsidR="00CF5B34" w:rsidRPr="00CF5B34" w:rsidRDefault="00CF5B34" w:rsidP="00CF5B34">
      <w:r>
        <w:t xml:space="preserve">The FDA in addition to the </w:t>
      </w:r>
      <w:r w:rsidR="006302D0">
        <w:t xml:space="preserve">2 </w:t>
      </w:r>
      <w:r>
        <w:t>clinical studies approved in the Paediatric Investigation Plan</w:t>
      </w:r>
      <w:r w:rsidR="0070320B">
        <w:t xml:space="preserve"> (PIP)</w:t>
      </w:r>
      <w:r>
        <w:t>, requested an open label extension safety study.</w:t>
      </w:r>
    </w:p>
    <w:p w:rsidR="00605AD4" w:rsidRDefault="00605AD4" w:rsidP="00605AD4">
      <w:pPr>
        <w:pStyle w:val="Heading4"/>
      </w:pPr>
      <w:r w:rsidRPr="00605AD4">
        <w:t>Good clinical practice</w:t>
      </w:r>
    </w:p>
    <w:p w:rsidR="00CF5B34" w:rsidRPr="00CF5B34" w:rsidRDefault="00CF5B34" w:rsidP="00CF5B34">
      <w:r>
        <w:t>All clinical trials were conducted in compliance with Good Clinical Practic</w:t>
      </w:r>
      <w:r w:rsidR="0070320B">
        <w:t>e (GCP)</w:t>
      </w:r>
      <w:r>
        <w:t>.</w:t>
      </w:r>
    </w:p>
    <w:p w:rsidR="008E7846" w:rsidRDefault="008E7846" w:rsidP="00605AD4">
      <w:pPr>
        <w:pStyle w:val="Heading3"/>
      </w:pPr>
      <w:bookmarkStart w:id="72" w:name="_Toc510009714"/>
      <w:r w:rsidRPr="00254787">
        <w:lastRenderedPageBreak/>
        <w:t>Pharmacokinetics</w:t>
      </w:r>
      <w:bookmarkEnd w:id="63"/>
      <w:bookmarkEnd w:id="69"/>
      <w:bookmarkEnd w:id="70"/>
      <w:bookmarkEnd w:id="71"/>
      <w:bookmarkEnd w:id="72"/>
    </w:p>
    <w:p w:rsidR="00605AD4" w:rsidRDefault="00605AD4" w:rsidP="00605AD4">
      <w:pPr>
        <w:pStyle w:val="Heading4"/>
      </w:pPr>
      <w:r>
        <w:t>Studies</w:t>
      </w:r>
      <w:r w:rsidR="00CF5B34">
        <w:t xml:space="preserve"> providing pharmacokinetic data</w:t>
      </w:r>
    </w:p>
    <w:p w:rsidR="00CF5B34" w:rsidRDefault="00CF5B34" w:rsidP="00CF5B34">
      <w:r>
        <w:t>Studies providing pharmacokinetic information</w:t>
      </w:r>
      <w:r w:rsidR="008B5976">
        <w:t xml:space="preserve"> are listed in Table </w:t>
      </w:r>
      <w:r w:rsidR="00AC04B2">
        <w:t>5</w:t>
      </w:r>
      <w:r w:rsidR="00613DE0">
        <w:t>,</w:t>
      </w:r>
      <w:r w:rsidR="008B5976">
        <w:t xml:space="preserve"> below.</w:t>
      </w:r>
    </w:p>
    <w:p w:rsidR="00CF5B34" w:rsidRDefault="00CF5B34" w:rsidP="007066C7">
      <w:pPr>
        <w:pStyle w:val="Tabletitle0"/>
      </w:pPr>
      <w:r>
        <w:t xml:space="preserve">Table </w:t>
      </w:r>
      <w:r w:rsidR="00AC04B2">
        <w:t>5</w:t>
      </w:r>
      <w:r w:rsidR="008B5976">
        <w:t xml:space="preserve">: </w:t>
      </w:r>
      <w:r>
        <w:t>Submitted pharmacokinetic studies</w:t>
      </w:r>
    </w:p>
    <w:tbl>
      <w:tblPr>
        <w:tblStyle w:val="TableTGAblue"/>
        <w:tblW w:w="8330" w:type="dxa"/>
        <w:tblLayout w:type="fixed"/>
        <w:tblLook w:val="04A0" w:firstRow="1" w:lastRow="0" w:firstColumn="1" w:lastColumn="0" w:noHBand="0" w:noVBand="1"/>
        <w:tblDescription w:val="Table 5: Submitted pharmacokinetic studies"/>
      </w:tblPr>
      <w:tblGrid>
        <w:gridCol w:w="1951"/>
        <w:gridCol w:w="3827"/>
        <w:gridCol w:w="1985"/>
        <w:gridCol w:w="567"/>
      </w:tblGrid>
      <w:tr w:rsidR="007066C7" w:rsidRPr="00C37A1D" w:rsidTr="008B5976">
        <w:trPr>
          <w:cnfStyle w:val="100000000000" w:firstRow="1" w:lastRow="0" w:firstColumn="0" w:lastColumn="0" w:oddVBand="0" w:evenVBand="0" w:oddHBand="0" w:evenHBand="0" w:firstRowFirstColumn="0" w:firstRowLastColumn="0" w:lastRowFirstColumn="0" w:lastRowLastColumn="0"/>
        </w:trPr>
        <w:tc>
          <w:tcPr>
            <w:tcW w:w="1951" w:type="dxa"/>
          </w:tcPr>
          <w:p w:rsidR="007066C7" w:rsidRPr="00C37A1D" w:rsidRDefault="007066C7" w:rsidP="007D3174">
            <w:pPr>
              <w:pStyle w:val="Tabletext"/>
              <w:rPr>
                <w:b w:val="0"/>
              </w:rPr>
            </w:pPr>
            <w:r w:rsidRPr="00C37A1D">
              <w:t>PK topic</w:t>
            </w:r>
          </w:p>
        </w:tc>
        <w:tc>
          <w:tcPr>
            <w:tcW w:w="3827" w:type="dxa"/>
          </w:tcPr>
          <w:p w:rsidR="007066C7" w:rsidRPr="00C37A1D" w:rsidRDefault="007066C7" w:rsidP="007D3174">
            <w:pPr>
              <w:pStyle w:val="Tabletext"/>
              <w:rPr>
                <w:b w:val="0"/>
              </w:rPr>
            </w:pPr>
            <w:r w:rsidRPr="00C37A1D">
              <w:t>Subtopic</w:t>
            </w:r>
          </w:p>
        </w:tc>
        <w:tc>
          <w:tcPr>
            <w:tcW w:w="1985" w:type="dxa"/>
          </w:tcPr>
          <w:p w:rsidR="007066C7" w:rsidRPr="00C37A1D" w:rsidRDefault="007066C7" w:rsidP="007D3174">
            <w:pPr>
              <w:pStyle w:val="Tabletext"/>
              <w:rPr>
                <w:b w:val="0"/>
              </w:rPr>
            </w:pPr>
            <w:r w:rsidRPr="00C37A1D">
              <w:t>Study ID</w:t>
            </w:r>
          </w:p>
        </w:tc>
        <w:tc>
          <w:tcPr>
            <w:tcW w:w="567" w:type="dxa"/>
          </w:tcPr>
          <w:p w:rsidR="007066C7" w:rsidRPr="00C37A1D" w:rsidRDefault="007066C7" w:rsidP="007D3174">
            <w:pPr>
              <w:pStyle w:val="Tabletext"/>
              <w:ind w:left="0" w:right="0"/>
              <w:jc w:val="center"/>
              <w:rPr>
                <w:b w:val="0"/>
              </w:rPr>
            </w:pPr>
            <w:r w:rsidRPr="00C37A1D">
              <w:t>*</w:t>
            </w:r>
          </w:p>
        </w:tc>
      </w:tr>
      <w:tr w:rsidR="00613DE0" w:rsidRPr="00C37A1D" w:rsidTr="008B5976">
        <w:tc>
          <w:tcPr>
            <w:tcW w:w="1951" w:type="dxa"/>
            <w:vMerge w:val="restart"/>
          </w:tcPr>
          <w:p w:rsidR="00613DE0" w:rsidRPr="00C37A1D" w:rsidRDefault="00613DE0" w:rsidP="007D3174">
            <w:pPr>
              <w:pStyle w:val="Tabletext"/>
              <w:keepNext/>
              <w:rPr>
                <w:b/>
              </w:rPr>
            </w:pPr>
            <w:r>
              <w:rPr>
                <w:b/>
              </w:rPr>
              <w:t>PK in healthy adults</w:t>
            </w:r>
          </w:p>
        </w:tc>
        <w:tc>
          <w:tcPr>
            <w:tcW w:w="3827" w:type="dxa"/>
            <w:vMerge w:val="restart"/>
          </w:tcPr>
          <w:p w:rsidR="00613DE0" w:rsidRPr="00D21405" w:rsidRDefault="00613DE0" w:rsidP="00D21405">
            <w:pPr>
              <w:rPr>
                <w:sz w:val="20"/>
              </w:rPr>
            </w:pPr>
            <w:r w:rsidRPr="00D21405">
              <w:rPr>
                <w:sz w:val="20"/>
              </w:rPr>
              <w:t>General PK (single dose)</w:t>
            </w:r>
          </w:p>
        </w:tc>
        <w:tc>
          <w:tcPr>
            <w:tcW w:w="1985" w:type="dxa"/>
          </w:tcPr>
          <w:p w:rsidR="00613DE0" w:rsidRPr="00D21405" w:rsidRDefault="00613DE0" w:rsidP="00D21405">
            <w:pPr>
              <w:rPr>
                <w:sz w:val="20"/>
              </w:rPr>
            </w:pPr>
            <w:r w:rsidRPr="00D21405">
              <w:rPr>
                <w:sz w:val="20"/>
              </w:rPr>
              <w:t>CPS-1009</w:t>
            </w:r>
          </w:p>
        </w:tc>
        <w:tc>
          <w:tcPr>
            <w:tcW w:w="567" w:type="dxa"/>
          </w:tcPr>
          <w:p w:rsidR="00613DE0" w:rsidRPr="00C37A1D" w:rsidRDefault="00613DE0" w:rsidP="007D3174">
            <w:pPr>
              <w:pStyle w:val="Tabletext"/>
              <w:keepNext/>
              <w:ind w:left="0" w:right="0"/>
              <w:jc w:val="center"/>
            </w:pPr>
          </w:p>
        </w:tc>
      </w:tr>
      <w:tr w:rsidR="00613DE0" w:rsidRPr="00C37A1D" w:rsidTr="008B5976">
        <w:tc>
          <w:tcPr>
            <w:tcW w:w="1951" w:type="dxa"/>
            <w:vMerge/>
          </w:tcPr>
          <w:p w:rsidR="00613DE0" w:rsidRDefault="00613DE0" w:rsidP="007D3174">
            <w:pPr>
              <w:pStyle w:val="Tabletext"/>
              <w:keepNext/>
              <w:rPr>
                <w:b/>
              </w:rPr>
            </w:pPr>
          </w:p>
        </w:tc>
        <w:tc>
          <w:tcPr>
            <w:tcW w:w="3827" w:type="dxa"/>
            <w:vMerge/>
          </w:tcPr>
          <w:p w:rsidR="00613DE0" w:rsidRPr="00D21405" w:rsidRDefault="00613DE0" w:rsidP="00D21405">
            <w:pPr>
              <w:rPr>
                <w:sz w:val="20"/>
              </w:rPr>
            </w:pPr>
          </w:p>
        </w:tc>
        <w:tc>
          <w:tcPr>
            <w:tcW w:w="1985" w:type="dxa"/>
          </w:tcPr>
          <w:p w:rsidR="00613DE0" w:rsidRPr="00D21405" w:rsidRDefault="00613DE0" w:rsidP="00D21405">
            <w:pPr>
              <w:rPr>
                <w:sz w:val="20"/>
              </w:rPr>
            </w:pPr>
            <w:r w:rsidRPr="00D21405">
              <w:rPr>
                <w:sz w:val="20"/>
                <w:lang w:eastAsia="en-US"/>
              </w:rPr>
              <w:t>EDl-1002</w:t>
            </w:r>
          </w:p>
        </w:tc>
        <w:tc>
          <w:tcPr>
            <w:tcW w:w="567" w:type="dxa"/>
          </w:tcPr>
          <w:p w:rsidR="00613DE0" w:rsidRPr="00C37A1D" w:rsidRDefault="00613DE0" w:rsidP="007D3174">
            <w:pPr>
              <w:pStyle w:val="Tabletext"/>
              <w:keepNext/>
              <w:ind w:left="0" w:right="0"/>
              <w:jc w:val="center"/>
            </w:pPr>
          </w:p>
        </w:tc>
      </w:tr>
      <w:tr w:rsidR="00613DE0" w:rsidRPr="00C37A1D" w:rsidTr="00613DE0">
        <w:tc>
          <w:tcPr>
            <w:tcW w:w="1951" w:type="dxa"/>
            <w:vMerge/>
          </w:tcPr>
          <w:p w:rsidR="00613DE0" w:rsidRDefault="00613DE0" w:rsidP="007D3174">
            <w:pPr>
              <w:pStyle w:val="Tabletext"/>
              <w:keepNext/>
              <w:rPr>
                <w:b/>
              </w:rPr>
            </w:pPr>
          </w:p>
        </w:tc>
        <w:tc>
          <w:tcPr>
            <w:tcW w:w="3827" w:type="dxa"/>
            <w:vMerge/>
            <w:tcBorders>
              <w:bottom w:val="single" w:sz="4" w:space="0" w:color="auto"/>
            </w:tcBorders>
          </w:tcPr>
          <w:p w:rsidR="00613DE0" w:rsidRPr="00D21405" w:rsidRDefault="00613DE0" w:rsidP="00D21405">
            <w:pPr>
              <w:rPr>
                <w:sz w:val="20"/>
              </w:rPr>
            </w:pPr>
          </w:p>
        </w:tc>
        <w:tc>
          <w:tcPr>
            <w:tcW w:w="1985" w:type="dxa"/>
          </w:tcPr>
          <w:p w:rsidR="00613DE0" w:rsidRPr="00D21405" w:rsidRDefault="00613DE0" w:rsidP="00D21405">
            <w:pPr>
              <w:rPr>
                <w:sz w:val="20"/>
              </w:rPr>
            </w:pPr>
            <w:r w:rsidRPr="00D21405">
              <w:rPr>
                <w:sz w:val="20"/>
                <w:lang w:eastAsia="en-US"/>
              </w:rPr>
              <w:t>EDl-1001</w:t>
            </w:r>
          </w:p>
        </w:tc>
        <w:tc>
          <w:tcPr>
            <w:tcW w:w="567" w:type="dxa"/>
          </w:tcPr>
          <w:p w:rsidR="00613DE0" w:rsidRPr="00C37A1D" w:rsidRDefault="00613DE0" w:rsidP="007D3174">
            <w:pPr>
              <w:pStyle w:val="Tabletext"/>
              <w:keepNext/>
              <w:ind w:left="0" w:right="0"/>
              <w:jc w:val="center"/>
            </w:pPr>
          </w:p>
        </w:tc>
      </w:tr>
      <w:tr w:rsidR="007066C7" w:rsidRPr="00C37A1D" w:rsidTr="00613DE0">
        <w:tc>
          <w:tcPr>
            <w:tcW w:w="1951" w:type="dxa"/>
            <w:vMerge/>
          </w:tcPr>
          <w:p w:rsidR="007066C7" w:rsidRPr="00C37A1D" w:rsidRDefault="007066C7" w:rsidP="007D3174">
            <w:pPr>
              <w:pStyle w:val="Tabletext"/>
              <w:keepNext/>
            </w:pPr>
          </w:p>
        </w:tc>
        <w:tc>
          <w:tcPr>
            <w:tcW w:w="3827" w:type="dxa"/>
            <w:tcBorders>
              <w:top w:val="single" w:sz="4" w:space="0" w:color="auto"/>
            </w:tcBorders>
          </w:tcPr>
          <w:p w:rsidR="007066C7" w:rsidRPr="00D21405" w:rsidRDefault="00613DE0" w:rsidP="00D21405">
            <w:pPr>
              <w:rPr>
                <w:sz w:val="20"/>
              </w:rPr>
            </w:pPr>
            <w:r w:rsidRPr="00D21405">
              <w:rPr>
                <w:sz w:val="20"/>
              </w:rPr>
              <w:t>General PK (m</w:t>
            </w:r>
            <w:r w:rsidR="007066C7" w:rsidRPr="00D21405">
              <w:rPr>
                <w:sz w:val="20"/>
              </w:rPr>
              <w:t>ulti-dose</w:t>
            </w:r>
            <w:r w:rsidRPr="00D21405">
              <w:rPr>
                <w:sz w:val="20"/>
              </w:rPr>
              <w:t>)</w:t>
            </w:r>
          </w:p>
        </w:tc>
        <w:tc>
          <w:tcPr>
            <w:tcW w:w="1985" w:type="dxa"/>
          </w:tcPr>
          <w:p w:rsidR="007066C7" w:rsidRPr="00D21405" w:rsidRDefault="007066C7" w:rsidP="00D21405">
            <w:pPr>
              <w:rPr>
                <w:sz w:val="20"/>
              </w:rPr>
            </w:pPr>
            <w:r w:rsidRPr="00D21405">
              <w:rPr>
                <w:sz w:val="20"/>
                <w:lang w:eastAsia="en-US"/>
              </w:rPr>
              <w:t>EDl-1001</w:t>
            </w:r>
          </w:p>
        </w:tc>
        <w:tc>
          <w:tcPr>
            <w:tcW w:w="567" w:type="dxa"/>
          </w:tcPr>
          <w:p w:rsidR="007066C7" w:rsidRPr="00C37A1D" w:rsidRDefault="007066C7" w:rsidP="007D3174">
            <w:pPr>
              <w:pStyle w:val="Tabletext"/>
              <w:keepNext/>
              <w:ind w:left="0" w:right="0"/>
              <w:jc w:val="center"/>
            </w:pPr>
            <w:r>
              <w:t>*</w:t>
            </w:r>
          </w:p>
        </w:tc>
      </w:tr>
      <w:tr w:rsidR="007066C7" w:rsidRPr="00C37A1D" w:rsidTr="008B5976">
        <w:tc>
          <w:tcPr>
            <w:tcW w:w="1951" w:type="dxa"/>
            <w:vMerge/>
          </w:tcPr>
          <w:p w:rsidR="007066C7" w:rsidRPr="00C37A1D" w:rsidRDefault="007066C7" w:rsidP="007D3174">
            <w:pPr>
              <w:pStyle w:val="Tabletext"/>
              <w:keepNext/>
            </w:pPr>
          </w:p>
        </w:tc>
        <w:tc>
          <w:tcPr>
            <w:tcW w:w="3827" w:type="dxa"/>
          </w:tcPr>
          <w:p w:rsidR="007066C7" w:rsidRPr="00D21405" w:rsidRDefault="007066C7" w:rsidP="00D21405">
            <w:pPr>
              <w:rPr>
                <w:sz w:val="20"/>
              </w:rPr>
            </w:pPr>
            <w:r w:rsidRPr="00D21405">
              <w:rPr>
                <w:sz w:val="20"/>
              </w:rPr>
              <w:t>Mass Balance Study</w:t>
            </w:r>
          </w:p>
        </w:tc>
        <w:tc>
          <w:tcPr>
            <w:tcW w:w="1985" w:type="dxa"/>
          </w:tcPr>
          <w:p w:rsidR="007066C7" w:rsidRPr="00D21405" w:rsidRDefault="007066C7" w:rsidP="00D21405">
            <w:pPr>
              <w:rPr>
                <w:sz w:val="20"/>
              </w:rPr>
            </w:pPr>
            <w:r w:rsidRPr="00D21405">
              <w:rPr>
                <w:sz w:val="20"/>
                <w:lang w:eastAsia="en-US"/>
              </w:rPr>
              <w:t>EDl-1003</w:t>
            </w:r>
          </w:p>
        </w:tc>
        <w:tc>
          <w:tcPr>
            <w:tcW w:w="567" w:type="dxa"/>
          </w:tcPr>
          <w:p w:rsidR="007066C7" w:rsidRPr="00C37A1D" w:rsidRDefault="007066C7" w:rsidP="007D3174">
            <w:pPr>
              <w:pStyle w:val="Tabletext"/>
              <w:keepNext/>
              <w:ind w:left="0" w:right="0"/>
              <w:jc w:val="center"/>
            </w:pPr>
            <w:r>
              <w:t>*</w:t>
            </w:r>
          </w:p>
        </w:tc>
      </w:tr>
      <w:tr w:rsidR="00613DE0" w:rsidRPr="00C37A1D" w:rsidTr="00260AEB">
        <w:tc>
          <w:tcPr>
            <w:tcW w:w="1951" w:type="dxa"/>
            <w:vMerge/>
          </w:tcPr>
          <w:p w:rsidR="00613DE0" w:rsidRPr="00C37A1D" w:rsidRDefault="00613DE0" w:rsidP="007D3174">
            <w:pPr>
              <w:pStyle w:val="Tabletext"/>
              <w:keepNext/>
            </w:pPr>
          </w:p>
        </w:tc>
        <w:tc>
          <w:tcPr>
            <w:tcW w:w="3827" w:type="dxa"/>
            <w:vMerge w:val="restart"/>
          </w:tcPr>
          <w:p w:rsidR="00613DE0" w:rsidRPr="00D21405" w:rsidRDefault="00613DE0" w:rsidP="00D21405">
            <w:pPr>
              <w:rPr>
                <w:sz w:val="20"/>
              </w:rPr>
            </w:pPr>
            <w:r w:rsidRPr="00D21405">
              <w:rPr>
                <w:sz w:val="20"/>
              </w:rPr>
              <w:t>Food effect</w:t>
            </w:r>
          </w:p>
        </w:tc>
        <w:tc>
          <w:tcPr>
            <w:tcW w:w="1985" w:type="dxa"/>
          </w:tcPr>
          <w:p w:rsidR="00613DE0" w:rsidRPr="00D21405" w:rsidRDefault="00613DE0" w:rsidP="00D21405">
            <w:pPr>
              <w:rPr>
                <w:sz w:val="20"/>
              </w:rPr>
            </w:pPr>
            <w:r w:rsidRPr="00D21405">
              <w:rPr>
                <w:sz w:val="20"/>
              </w:rPr>
              <w:t>CPS-1009</w:t>
            </w:r>
          </w:p>
        </w:tc>
        <w:tc>
          <w:tcPr>
            <w:tcW w:w="567" w:type="dxa"/>
          </w:tcPr>
          <w:p w:rsidR="00613DE0" w:rsidRPr="00C37A1D" w:rsidRDefault="00613DE0" w:rsidP="007D3174">
            <w:pPr>
              <w:pStyle w:val="Tabletext"/>
              <w:keepNext/>
              <w:ind w:left="0" w:right="0"/>
              <w:jc w:val="center"/>
            </w:pPr>
            <w:r>
              <w:t>*</w:t>
            </w:r>
          </w:p>
        </w:tc>
      </w:tr>
      <w:tr w:rsidR="00613DE0" w:rsidRPr="00C37A1D" w:rsidTr="00260AEB">
        <w:tc>
          <w:tcPr>
            <w:tcW w:w="1951" w:type="dxa"/>
            <w:vMerge/>
          </w:tcPr>
          <w:p w:rsidR="00613DE0" w:rsidRPr="00C37A1D" w:rsidRDefault="00613DE0" w:rsidP="007D3174">
            <w:pPr>
              <w:pStyle w:val="Tabletext"/>
              <w:keepNext/>
            </w:pPr>
          </w:p>
        </w:tc>
        <w:tc>
          <w:tcPr>
            <w:tcW w:w="3827" w:type="dxa"/>
            <w:vMerge/>
          </w:tcPr>
          <w:p w:rsidR="00613DE0" w:rsidRPr="00D21405" w:rsidRDefault="00613DE0" w:rsidP="00D21405">
            <w:pPr>
              <w:rPr>
                <w:sz w:val="20"/>
              </w:rPr>
            </w:pPr>
          </w:p>
        </w:tc>
        <w:tc>
          <w:tcPr>
            <w:tcW w:w="1985" w:type="dxa"/>
          </w:tcPr>
          <w:p w:rsidR="00613DE0" w:rsidRPr="00D21405" w:rsidRDefault="00613DE0" w:rsidP="00D21405">
            <w:pPr>
              <w:rPr>
                <w:sz w:val="20"/>
              </w:rPr>
            </w:pPr>
            <w:r w:rsidRPr="00D21405">
              <w:rPr>
                <w:sz w:val="20"/>
                <w:lang w:eastAsia="en-US"/>
              </w:rPr>
              <w:t>EDl-1002</w:t>
            </w:r>
          </w:p>
        </w:tc>
        <w:tc>
          <w:tcPr>
            <w:tcW w:w="567" w:type="dxa"/>
          </w:tcPr>
          <w:p w:rsidR="00613DE0" w:rsidRDefault="00613DE0" w:rsidP="007D3174">
            <w:pPr>
              <w:pStyle w:val="Tabletext"/>
              <w:keepNext/>
              <w:ind w:left="0" w:right="0"/>
              <w:jc w:val="center"/>
            </w:pPr>
            <w:r>
              <w:t>*</w:t>
            </w:r>
          </w:p>
        </w:tc>
      </w:tr>
      <w:tr w:rsidR="007066C7" w:rsidRPr="00C37A1D" w:rsidTr="008B5976">
        <w:tc>
          <w:tcPr>
            <w:tcW w:w="1951" w:type="dxa"/>
            <w:vMerge w:val="restart"/>
          </w:tcPr>
          <w:p w:rsidR="007066C7" w:rsidRPr="00C37A1D" w:rsidRDefault="007066C7" w:rsidP="007D3174">
            <w:pPr>
              <w:pStyle w:val="Tabletext"/>
              <w:keepNext/>
              <w:rPr>
                <w:b/>
              </w:rPr>
            </w:pPr>
            <w:r>
              <w:rPr>
                <w:b/>
              </w:rPr>
              <w:t>PK in special populations</w:t>
            </w:r>
          </w:p>
        </w:tc>
        <w:tc>
          <w:tcPr>
            <w:tcW w:w="3827" w:type="dxa"/>
          </w:tcPr>
          <w:p w:rsidR="007066C7" w:rsidRPr="00D21405" w:rsidRDefault="007066C7" w:rsidP="00D21405">
            <w:pPr>
              <w:rPr>
                <w:sz w:val="20"/>
              </w:rPr>
            </w:pPr>
            <w:r w:rsidRPr="00D21405">
              <w:rPr>
                <w:sz w:val="20"/>
              </w:rPr>
              <w:t>Target population §</w:t>
            </w:r>
            <w:r w:rsidR="00613DE0" w:rsidRPr="00D21405">
              <w:rPr>
                <w:sz w:val="20"/>
              </w:rPr>
              <w:t xml:space="preserve"> (m</w:t>
            </w:r>
            <w:r w:rsidRPr="00D21405">
              <w:rPr>
                <w:sz w:val="20"/>
              </w:rPr>
              <w:t>ulti-dose</w:t>
            </w:r>
            <w:r w:rsidR="00613DE0" w:rsidRPr="00D21405">
              <w:rPr>
                <w:sz w:val="20"/>
              </w:rPr>
              <w:t>)</w:t>
            </w:r>
          </w:p>
        </w:tc>
        <w:tc>
          <w:tcPr>
            <w:tcW w:w="1985" w:type="dxa"/>
          </w:tcPr>
          <w:p w:rsidR="007066C7" w:rsidRPr="00D21405" w:rsidRDefault="007066C7" w:rsidP="00D21405">
            <w:pPr>
              <w:rPr>
                <w:sz w:val="20"/>
              </w:rPr>
            </w:pPr>
            <w:r w:rsidRPr="00D21405">
              <w:rPr>
                <w:sz w:val="20"/>
              </w:rPr>
              <w:t>IBS</w:t>
            </w:r>
            <w:r w:rsidR="00613DE0" w:rsidRPr="00D21405">
              <w:rPr>
                <w:sz w:val="20"/>
              </w:rPr>
              <w:t>-</w:t>
            </w:r>
            <w:r w:rsidRPr="00D21405">
              <w:rPr>
                <w:sz w:val="20"/>
              </w:rPr>
              <w:t>2001</w:t>
            </w:r>
          </w:p>
        </w:tc>
        <w:tc>
          <w:tcPr>
            <w:tcW w:w="567" w:type="dxa"/>
          </w:tcPr>
          <w:p w:rsidR="007066C7" w:rsidRPr="00C37A1D" w:rsidRDefault="007066C7" w:rsidP="007D3174">
            <w:pPr>
              <w:pStyle w:val="Tabletext"/>
              <w:keepNext/>
              <w:ind w:left="0" w:right="0"/>
              <w:jc w:val="center"/>
            </w:pPr>
          </w:p>
        </w:tc>
      </w:tr>
      <w:tr w:rsidR="007066C7" w:rsidRPr="00C37A1D" w:rsidTr="008B5976">
        <w:tc>
          <w:tcPr>
            <w:tcW w:w="1951" w:type="dxa"/>
            <w:vMerge/>
          </w:tcPr>
          <w:p w:rsidR="007066C7" w:rsidRPr="00C37A1D" w:rsidRDefault="007066C7" w:rsidP="007D3174">
            <w:pPr>
              <w:pStyle w:val="Tabletext"/>
              <w:keepNext/>
            </w:pPr>
          </w:p>
        </w:tc>
        <w:tc>
          <w:tcPr>
            <w:tcW w:w="3827" w:type="dxa"/>
          </w:tcPr>
          <w:p w:rsidR="007066C7" w:rsidRPr="00D21405" w:rsidRDefault="007066C7" w:rsidP="00D21405">
            <w:pPr>
              <w:rPr>
                <w:sz w:val="20"/>
              </w:rPr>
            </w:pPr>
            <w:r w:rsidRPr="00D21405">
              <w:rPr>
                <w:sz w:val="20"/>
              </w:rPr>
              <w:t>Hepatic impairment</w:t>
            </w:r>
          </w:p>
        </w:tc>
        <w:tc>
          <w:tcPr>
            <w:tcW w:w="1985" w:type="dxa"/>
          </w:tcPr>
          <w:p w:rsidR="007066C7" w:rsidRPr="00D21405" w:rsidRDefault="007066C7" w:rsidP="00D21405">
            <w:pPr>
              <w:rPr>
                <w:sz w:val="20"/>
              </w:rPr>
            </w:pPr>
            <w:r w:rsidRPr="00D21405">
              <w:rPr>
                <w:sz w:val="20"/>
                <w:lang w:eastAsia="en-US"/>
              </w:rPr>
              <w:t>CPS-1005</w:t>
            </w:r>
          </w:p>
        </w:tc>
        <w:tc>
          <w:tcPr>
            <w:tcW w:w="567" w:type="dxa"/>
          </w:tcPr>
          <w:p w:rsidR="007066C7" w:rsidRPr="00C37A1D" w:rsidRDefault="007066C7" w:rsidP="007D3174">
            <w:pPr>
              <w:pStyle w:val="Tabletext"/>
              <w:keepNext/>
              <w:ind w:left="0" w:right="0"/>
              <w:jc w:val="center"/>
            </w:pPr>
            <w:r>
              <w:t>*</w:t>
            </w:r>
          </w:p>
        </w:tc>
      </w:tr>
      <w:tr w:rsidR="007066C7" w:rsidRPr="00C37A1D" w:rsidTr="008B5976">
        <w:tc>
          <w:tcPr>
            <w:tcW w:w="1951" w:type="dxa"/>
            <w:vMerge/>
          </w:tcPr>
          <w:p w:rsidR="007066C7" w:rsidRPr="00C37A1D" w:rsidRDefault="007066C7" w:rsidP="007D3174">
            <w:pPr>
              <w:pStyle w:val="Tabletext"/>
              <w:keepNext/>
            </w:pPr>
          </w:p>
        </w:tc>
        <w:tc>
          <w:tcPr>
            <w:tcW w:w="3827" w:type="dxa"/>
          </w:tcPr>
          <w:p w:rsidR="007066C7" w:rsidRPr="00D21405" w:rsidRDefault="007066C7" w:rsidP="00D21405">
            <w:pPr>
              <w:rPr>
                <w:sz w:val="20"/>
              </w:rPr>
            </w:pPr>
            <w:r w:rsidRPr="00D21405">
              <w:rPr>
                <w:sz w:val="20"/>
              </w:rPr>
              <w:t>Abuse potential</w:t>
            </w:r>
          </w:p>
        </w:tc>
        <w:tc>
          <w:tcPr>
            <w:tcW w:w="1985" w:type="dxa"/>
          </w:tcPr>
          <w:p w:rsidR="007066C7" w:rsidRPr="00D21405" w:rsidRDefault="007066C7" w:rsidP="00D21405">
            <w:pPr>
              <w:rPr>
                <w:sz w:val="20"/>
              </w:rPr>
            </w:pPr>
            <w:r w:rsidRPr="00D21405">
              <w:rPr>
                <w:sz w:val="20"/>
              </w:rPr>
              <w:t>CPS-1006</w:t>
            </w:r>
          </w:p>
        </w:tc>
        <w:tc>
          <w:tcPr>
            <w:tcW w:w="567" w:type="dxa"/>
          </w:tcPr>
          <w:p w:rsidR="007066C7" w:rsidRPr="00C37A1D" w:rsidRDefault="007066C7" w:rsidP="007D3174">
            <w:pPr>
              <w:pStyle w:val="Tabletext"/>
              <w:keepNext/>
              <w:ind w:left="0" w:right="0"/>
              <w:jc w:val="center"/>
            </w:pPr>
            <w:r>
              <w:t>*</w:t>
            </w:r>
          </w:p>
        </w:tc>
      </w:tr>
      <w:tr w:rsidR="007066C7" w:rsidRPr="00C37A1D" w:rsidTr="008B5976">
        <w:tc>
          <w:tcPr>
            <w:tcW w:w="1951" w:type="dxa"/>
          </w:tcPr>
          <w:p w:rsidR="007066C7" w:rsidRPr="00C37A1D" w:rsidRDefault="007066C7" w:rsidP="007D3174">
            <w:pPr>
              <w:pStyle w:val="Tabletext"/>
              <w:keepNext/>
              <w:rPr>
                <w:b/>
              </w:rPr>
            </w:pPr>
            <w:r>
              <w:rPr>
                <w:b/>
              </w:rPr>
              <w:t xml:space="preserve">Genetic/gender </w:t>
            </w:r>
            <w:r w:rsidRPr="00C37A1D">
              <w:rPr>
                <w:b/>
              </w:rPr>
              <w:t>related PK</w:t>
            </w:r>
          </w:p>
        </w:tc>
        <w:tc>
          <w:tcPr>
            <w:tcW w:w="3827" w:type="dxa"/>
          </w:tcPr>
          <w:p w:rsidR="007066C7" w:rsidRPr="00D21405" w:rsidRDefault="007066C7" w:rsidP="00D21405">
            <w:pPr>
              <w:rPr>
                <w:sz w:val="20"/>
              </w:rPr>
            </w:pPr>
            <w:r w:rsidRPr="00D21405">
              <w:rPr>
                <w:sz w:val="20"/>
              </w:rPr>
              <w:t>Males versus females</w:t>
            </w:r>
          </w:p>
        </w:tc>
        <w:tc>
          <w:tcPr>
            <w:tcW w:w="1985" w:type="dxa"/>
          </w:tcPr>
          <w:p w:rsidR="007066C7" w:rsidRPr="00D21405" w:rsidRDefault="007066C7" w:rsidP="00D21405">
            <w:pPr>
              <w:rPr>
                <w:sz w:val="20"/>
              </w:rPr>
            </w:pPr>
            <w:r w:rsidRPr="00D21405">
              <w:rPr>
                <w:sz w:val="20"/>
                <w:lang w:eastAsia="en-US"/>
              </w:rPr>
              <w:t>EDl-1001</w:t>
            </w:r>
          </w:p>
        </w:tc>
        <w:tc>
          <w:tcPr>
            <w:tcW w:w="567" w:type="dxa"/>
          </w:tcPr>
          <w:p w:rsidR="007066C7" w:rsidRPr="00C37A1D" w:rsidRDefault="007066C7" w:rsidP="007D3174">
            <w:pPr>
              <w:pStyle w:val="Tabletext"/>
              <w:keepNext/>
              <w:ind w:left="0" w:right="0"/>
              <w:jc w:val="center"/>
            </w:pPr>
          </w:p>
        </w:tc>
      </w:tr>
      <w:tr w:rsidR="007066C7" w:rsidRPr="00C37A1D" w:rsidTr="008B5976">
        <w:tc>
          <w:tcPr>
            <w:tcW w:w="1951" w:type="dxa"/>
            <w:vMerge w:val="restart"/>
          </w:tcPr>
          <w:p w:rsidR="007066C7" w:rsidRPr="00C37A1D" w:rsidRDefault="007066C7" w:rsidP="007D3174">
            <w:pPr>
              <w:pStyle w:val="Tabletext"/>
              <w:keepNext/>
              <w:rPr>
                <w:b/>
              </w:rPr>
            </w:pPr>
            <w:r w:rsidRPr="00C37A1D">
              <w:rPr>
                <w:b/>
              </w:rPr>
              <w:t>PK interactions</w:t>
            </w:r>
          </w:p>
        </w:tc>
        <w:tc>
          <w:tcPr>
            <w:tcW w:w="3827" w:type="dxa"/>
          </w:tcPr>
          <w:p w:rsidR="007066C7" w:rsidRPr="00D21405" w:rsidRDefault="007066C7" w:rsidP="00D21405">
            <w:pPr>
              <w:rPr>
                <w:sz w:val="20"/>
              </w:rPr>
            </w:pPr>
            <w:r w:rsidRPr="00D21405">
              <w:rPr>
                <w:sz w:val="20"/>
                <w:lang w:eastAsia="en-US"/>
              </w:rPr>
              <w:t>Norethindrone and ethinyl estradiol</w:t>
            </w:r>
          </w:p>
        </w:tc>
        <w:tc>
          <w:tcPr>
            <w:tcW w:w="1985" w:type="dxa"/>
          </w:tcPr>
          <w:p w:rsidR="007066C7" w:rsidRPr="00D21405" w:rsidRDefault="007066C7" w:rsidP="00D21405">
            <w:pPr>
              <w:rPr>
                <w:sz w:val="20"/>
              </w:rPr>
            </w:pPr>
            <w:r w:rsidRPr="00D21405">
              <w:rPr>
                <w:sz w:val="20"/>
                <w:lang w:eastAsia="en-US"/>
              </w:rPr>
              <w:t>CPS-1007</w:t>
            </w:r>
          </w:p>
        </w:tc>
        <w:tc>
          <w:tcPr>
            <w:tcW w:w="567" w:type="dxa"/>
          </w:tcPr>
          <w:p w:rsidR="007066C7" w:rsidRPr="00C37A1D" w:rsidRDefault="007066C7" w:rsidP="007D3174">
            <w:pPr>
              <w:pStyle w:val="Tabletext"/>
              <w:keepNext/>
              <w:ind w:left="0" w:right="0"/>
              <w:jc w:val="center"/>
            </w:pPr>
            <w:r>
              <w:t>*</w:t>
            </w:r>
          </w:p>
        </w:tc>
      </w:tr>
      <w:tr w:rsidR="007066C7" w:rsidRPr="00C37A1D" w:rsidTr="008B5976">
        <w:tc>
          <w:tcPr>
            <w:tcW w:w="1951" w:type="dxa"/>
            <w:vMerge/>
          </w:tcPr>
          <w:p w:rsidR="007066C7" w:rsidRPr="00C37A1D" w:rsidRDefault="007066C7" w:rsidP="007D3174">
            <w:pPr>
              <w:pStyle w:val="Tabletext"/>
              <w:keepNext/>
            </w:pPr>
          </w:p>
        </w:tc>
        <w:tc>
          <w:tcPr>
            <w:tcW w:w="3827" w:type="dxa"/>
          </w:tcPr>
          <w:p w:rsidR="007066C7" w:rsidRPr="00D21405" w:rsidRDefault="007066C7" w:rsidP="00D21405">
            <w:pPr>
              <w:rPr>
                <w:sz w:val="20"/>
              </w:rPr>
            </w:pPr>
            <w:r w:rsidRPr="00D21405">
              <w:rPr>
                <w:sz w:val="20"/>
                <w:lang w:eastAsia="en-US"/>
              </w:rPr>
              <w:t>Cyclosporine</w:t>
            </w:r>
          </w:p>
        </w:tc>
        <w:tc>
          <w:tcPr>
            <w:tcW w:w="1985" w:type="dxa"/>
          </w:tcPr>
          <w:p w:rsidR="007066C7" w:rsidRPr="00D21405" w:rsidRDefault="007066C7" w:rsidP="0036183F">
            <w:pPr>
              <w:rPr>
                <w:sz w:val="20"/>
              </w:rPr>
            </w:pPr>
            <w:r w:rsidRPr="00D21405">
              <w:rPr>
                <w:sz w:val="20"/>
                <w:lang w:eastAsia="en-US"/>
              </w:rPr>
              <w:t>CPS-1011</w:t>
            </w:r>
          </w:p>
        </w:tc>
        <w:tc>
          <w:tcPr>
            <w:tcW w:w="567" w:type="dxa"/>
          </w:tcPr>
          <w:p w:rsidR="007066C7" w:rsidRPr="00C37A1D" w:rsidRDefault="007066C7" w:rsidP="007D3174">
            <w:pPr>
              <w:pStyle w:val="Tabletext"/>
              <w:keepNext/>
              <w:ind w:left="0" w:right="0"/>
              <w:jc w:val="center"/>
            </w:pPr>
            <w:r>
              <w:t>*</w:t>
            </w:r>
          </w:p>
        </w:tc>
      </w:tr>
      <w:tr w:rsidR="007066C7" w:rsidRPr="00C37A1D" w:rsidTr="008B5976">
        <w:tc>
          <w:tcPr>
            <w:tcW w:w="1951" w:type="dxa"/>
            <w:vMerge/>
          </w:tcPr>
          <w:p w:rsidR="007066C7" w:rsidRPr="00C37A1D" w:rsidRDefault="007066C7" w:rsidP="007D3174">
            <w:pPr>
              <w:pStyle w:val="Tabletext"/>
              <w:keepNext/>
            </w:pPr>
          </w:p>
        </w:tc>
        <w:tc>
          <w:tcPr>
            <w:tcW w:w="3827" w:type="dxa"/>
          </w:tcPr>
          <w:p w:rsidR="007066C7" w:rsidRPr="00D21405" w:rsidRDefault="007066C7" w:rsidP="00D21405">
            <w:pPr>
              <w:rPr>
                <w:sz w:val="20"/>
              </w:rPr>
            </w:pPr>
            <w:r w:rsidRPr="00D21405">
              <w:rPr>
                <w:sz w:val="20"/>
                <w:lang w:eastAsia="en-US"/>
              </w:rPr>
              <w:t>Probenecid</w:t>
            </w:r>
          </w:p>
        </w:tc>
        <w:tc>
          <w:tcPr>
            <w:tcW w:w="1985" w:type="dxa"/>
          </w:tcPr>
          <w:p w:rsidR="007066C7" w:rsidRPr="00D21405" w:rsidRDefault="007066C7" w:rsidP="0036183F">
            <w:pPr>
              <w:rPr>
                <w:sz w:val="20"/>
              </w:rPr>
            </w:pPr>
            <w:r w:rsidRPr="00D21405">
              <w:rPr>
                <w:sz w:val="20"/>
                <w:lang w:eastAsia="en-US"/>
              </w:rPr>
              <w:t>CPS-1011</w:t>
            </w:r>
          </w:p>
        </w:tc>
        <w:tc>
          <w:tcPr>
            <w:tcW w:w="567" w:type="dxa"/>
          </w:tcPr>
          <w:p w:rsidR="007066C7" w:rsidRPr="00C37A1D" w:rsidRDefault="007066C7" w:rsidP="007D3174">
            <w:pPr>
              <w:pStyle w:val="Tabletext"/>
              <w:keepNext/>
              <w:ind w:left="0" w:right="0"/>
              <w:jc w:val="center"/>
            </w:pPr>
            <w:r>
              <w:t>*</w:t>
            </w:r>
          </w:p>
        </w:tc>
      </w:tr>
      <w:tr w:rsidR="007066C7" w:rsidRPr="00C37A1D" w:rsidTr="008B5976">
        <w:tc>
          <w:tcPr>
            <w:tcW w:w="1951" w:type="dxa"/>
            <w:vMerge/>
          </w:tcPr>
          <w:p w:rsidR="007066C7" w:rsidRPr="00C37A1D" w:rsidRDefault="007066C7" w:rsidP="007D3174">
            <w:pPr>
              <w:pStyle w:val="Tabletext"/>
              <w:keepNext/>
            </w:pPr>
          </w:p>
        </w:tc>
        <w:tc>
          <w:tcPr>
            <w:tcW w:w="3827" w:type="dxa"/>
          </w:tcPr>
          <w:p w:rsidR="007066C7" w:rsidRPr="00D21405" w:rsidRDefault="007066C7" w:rsidP="00D21405">
            <w:pPr>
              <w:rPr>
                <w:sz w:val="20"/>
              </w:rPr>
            </w:pPr>
            <w:r w:rsidRPr="00D21405">
              <w:rPr>
                <w:sz w:val="20"/>
                <w:lang w:eastAsia="en-US"/>
              </w:rPr>
              <w:t>Rosuvastatin</w:t>
            </w:r>
          </w:p>
        </w:tc>
        <w:tc>
          <w:tcPr>
            <w:tcW w:w="1985" w:type="dxa"/>
          </w:tcPr>
          <w:p w:rsidR="007066C7" w:rsidRPr="00D21405" w:rsidRDefault="007066C7" w:rsidP="00D21405">
            <w:pPr>
              <w:rPr>
                <w:sz w:val="20"/>
              </w:rPr>
            </w:pPr>
            <w:r w:rsidRPr="00D21405">
              <w:rPr>
                <w:sz w:val="20"/>
                <w:lang w:eastAsia="en-US"/>
              </w:rPr>
              <w:t>CPS-1012</w:t>
            </w:r>
          </w:p>
        </w:tc>
        <w:tc>
          <w:tcPr>
            <w:tcW w:w="567" w:type="dxa"/>
          </w:tcPr>
          <w:p w:rsidR="007066C7" w:rsidRPr="00C37A1D" w:rsidRDefault="007066C7" w:rsidP="007D3174">
            <w:pPr>
              <w:pStyle w:val="Tabletext"/>
              <w:keepNext/>
              <w:ind w:left="0" w:right="0"/>
              <w:jc w:val="center"/>
            </w:pPr>
            <w:r>
              <w:t>*</w:t>
            </w:r>
          </w:p>
        </w:tc>
      </w:tr>
      <w:tr w:rsidR="007066C7" w:rsidRPr="00C37A1D" w:rsidTr="008B5976">
        <w:tc>
          <w:tcPr>
            <w:tcW w:w="1951" w:type="dxa"/>
            <w:vMerge w:val="restart"/>
          </w:tcPr>
          <w:p w:rsidR="007066C7" w:rsidRPr="00C37A1D" w:rsidRDefault="007066C7" w:rsidP="007D3174">
            <w:pPr>
              <w:pStyle w:val="Tabletext"/>
              <w:keepNext/>
              <w:rPr>
                <w:b/>
              </w:rPr>
            </w:pPr>
            <w:r w:rsidRPr="00C37A1D">
              <w:rPr>
                <w:b/>
              </w:rPr>
              <w:t>Population PK analyses</w:t>
            </w:r>
          </w:p>
        </w:tc>
        <w:tc>
          <w:tcPr>
            <w:tcW w:w="3827" w:type="dxa"/>
          </w:tcPr>
          <w:p w:rsidR="007066C7" w:rsidRPr="00D21405" w:rsidRDefault="007066C7" w:rsidP="00D21405">
            <w:pPr>
              <w:rPr>
                <w:sz w:val="20"/>
              </w:rPr>
            </w:pPr>
            <w:r w:rsidRPr="00D21405">
              <w:rPr>
                <w:sz w:val="20"/>
              </w:rPr>
              <w:t>Healthy subjects: gender, age, race, BMI</w:t>
            </w:r>
          </w:p>
        </w:tc>
        <w:tc>
          <w:tcPr>
            <w:tcW w:w="1985" w:type="dxa"/>
          </w:tcPr>
          <w:p w:rsidR="007066C7" w:rsidRPr="00D21405" w:rsidRDefault="007066C7" w:rsidP="00D21405">
            <w:pPr>
              <w:rPr>
                <w:sz w:val="20"/>
              </w:rPr>
            </w:pPr>
            <w:r w:rsidRPr="00D21405">
              <w:rPr>
                <w:sz w:val="20"/>
                <w:lang w:eastAsia="en-US"/>
              </w:rPr>
              <w:t>meta-anal-intrins</w:t>
            </w:r>
          </w:p>
        </w:tc>
        <w:tc>
          <w:tcPr>
            <w:tcW w:w="567" w:type="dxa"/>
          </w:tcPr>
          <w:p w:rsidR="007066C7" w:rsidRPr="00C37A1D" w:rsidRDefault="007066C7" w:rsidP="007D3174">
            <w:pPr>
              <w:pStyle w:val="Tabletext"/>
              <w:keepNext/>
              <w:ind w:left="0" w:right="0"/>
              <w:jc w:val="center"/>
            </w:pPr>
            <w:r>
              <w:t>*</w:t>
            </w:r>
          </w:p>
        </w:tc>
      </w:tr>
      <w:tr w:rsidR="007066C7" w:rsidRPr="00C37A1D" w:rsidTr="008B5976">
        <w:tc>
          <w:tcPr>
            <w:tcW w:w="1951" w:type="dxa"/>
            <w:vMerge/>
          </w:tcPr>
          <w:p w:rsidR="007066C7" w:rsidRPr="00C37A1D" w:rsidRDefault="007066C7" w:rsidP="007D3174">
            <w:pPr>
              <w:pStyle w:val="Tabletext"/>
              <w:keepNext/>
            </w:pPr>
          </w:p>
        </w:tc>
        <w:tc>
          <w:tcPr>
            <w:tcW w:w="3827" w:type="dxa"/>
          </w:tcPr>
          <w:p w:rsidR="007066C7" w:rsidRPr="00D21405" w:rsidRDefault="007066C7" w:rsidP="00D21405">
            <w:pPr>
              <w:rPr>
                <w:sz w:val="20"/>
              </w:rPr>
            </w:pPr>
            <w:r w:rsidRPr="00D21405">
              <w:rPr>
                <w:sz w:val="20"/>
              </w:rPr>
              <w:t>Target population</w:t>
            </w:r>
          </w:p>
        </w:tc>
        <w:tc>
          <w:tcPr>
            <w:tcW w:w="1985" w:type="dxa"/>
          </w:tcPr>
          <w:p w:rsidR="007066C7" w:rsidRPr="00D21405" w:rsidRDefault="007066C7" w:rsidP="00D21405">
            <w:pPr>
              <w:rPr>
                <w:sz w:val="20"/>
              </w:rPr>
            </w:pPr>
            <w:r w:rsidRPr="00D21405">
              <w:rPr>
                <w:sz w:val="20"/>
              </w:rPr>
              <w:t>IBS</w:t>
            </w:r>
            <w:r w:rsidR="00613DE0" w:rsidRPr="00D21405">
              <w:rPr>
                <w:sz w:val="20"/>
              </w:rPr>
              <w:t>-</w:t>
            </w:r>
            <w:r w:rsidRPr="00D21405">
              <w:rPr>
                <w:sz w:val="20"/>
              </w:rPr>
              <w:t>2001</w:t>
            </w:r>
          </w:p>
        </w:tc>
        <w:tc>
          <w:tcPr>
            <w:tcW w:w="567" w:type="dxa"/>
          </w:tcPr>
          <w:p w:rsidR="007066C7" w:rsidRPr="00C37A1D" w:rsidRDefault="007066C7" w:rsidP="007D3174">
            <w:pPr>
              <w:pStyle w:val="Tabletext"/>
              <w:keepNext/>
              <w:ind w:left="0" w:right="0"/>
              <w:jc w:val="center"/>
            </w:pPr>
          </w:p>
        </w:tc>
      </w:tr>
    </w:tbl>
    <w:p w:rsidR="00CF5B34" w:rsidRDefault="00613DE0" w:rsidP="008B5976">
      <w:pPr>
        <w:pStyle w:val="TableDescription"/>
        <w:rPr>
          <w:szCs w:val="20"/>
        </w:rPr>
      </w:pPr>
      <w:r>
        <w:t xml:space="preserve">PK = pharmacokinetic(s); </w:t>
      </w:r>
      <w:r w:rsidR="00CF5B34" w:rsidRPr="008B5976">
        <w:t>* Indicates the primary PK aim of the study</w:t>
      </w:r>
      <w:r>
        <w:t xml:space="preserve">; </w:t>
      </w:r>
      <w:r w:rsidR="00CF5B34" w:rsidRPr="008B5976">
        <w:t>§</w:t>
      </w:r>
      <w:r>
        <w:t xml:space="preserve"> indicated studies in</w:t>
      </w:r>
      <w:r w:rsidR="00CF5B34" w:rsidRPr="008B5976">
        <w:t xml:space="preserve"> </w:t>
      </w:r>
      <w:r>
        <w:t>s</w:t>
      </w:r>
      <w:r w:rsidR="00CF5B34" w:rsidRPr="008B5976">
        <w:t>ubjects</w:t>
      </w:r>
      <w:r w:rsidR="00CF5B34" w:rsidRPr="004779C9">
        <w:rPr>
          <w:szCs w:val="20"/>
        </w:rPr>
        <w:t xml:space="preserve"> who would be eligible to receive the drug if approved for the proposed indication.</w:t>
      </w:r>
    </w:p>
    <w:p w:rsidR="00605AD4" w:rsidRDefault="00605AD4" w:rsidP="00605AD4">
      <w:pPr>
        <w:pStyle w:val="Heading4"/>
      </w:pPr>
      <w:r>
        <w:t>Evaluator’s conclusions on pharmacokinetics</w:t>
      </w:r>
    </w:p>
    <w:p w:rsidR="00CF5B34" w:rsidRPr="00CF5B34" w:rsidRDefault="00CF5B34" w:rsidP="00CF5B34">
      <w:r>
        <w:t xml:space="preserve">The submission does not contain a full review of </w:t>
      </w:r>
      <w:r w:rsidR="00613DE0">
        <w:t>pharmacokinetics</w:t>
      </w:r>
      <w:r>
        <w:t>, the sponsor justifying this based on the low oral bioavailability. Hepatic metabolism is minimal but sufficient occurs for genetic effects to be demonstrated by slow metabolisers (numbers too small for statistical significance) and hepatic impairment results in greater exposure (mean eluxadoline plasma exposure was 6</w:t>
      </w:r>
      <w:r w:rsidR="008B5976">
        <w:t xml:space="preserve"> </w:t>
      </w:r>
      <w:r>
        <w:t>fold, 4</w:t>
      </w:r>
      <w:r w:rsidR="008B5976">
        <w:t xml:space="preserve"> </w:t>
      </w:r>
      <w:r>
        <w:t>fold and 16</w:t>
      </w:r>
      <w:r w:rsidR="008B5976">
        <w:t xml:space="preserve"> </w:t>
      </w:r>
      <w:r>
        <w:t xml:space="preserve">fold higher in mild, moderate, and severe hepatically impaired subjects </w:t>
      </w:r>
      <w:r w:rsidR="00245469">
        <w:t>(</w:t>
      </w:r>
      <w:r>
        <w:t>Child Pugh Class A, B, C</w:t>
      </w:r>
      <w:r w:rsidR="00245469">
        <w:t>)</w:t>
      </w:r>
      <w:r>
        <w:t xml:space="preserve"> respectively).</w:t>
      </w:r>
    </w:p>
    <w:p w:rsidR="008E7846" w:rsidRDefault="008E7846" w:rsidP="008E7846">
      <w:pPr>
        <w:pStyle w:val="Heading3"/>
      </w:pPr>
      <w:bookmarkStart w:id="73" w:name="_Toc196046481"/>
      <w:bookmarkStart w:id="74" w:name="_Toc247691520"/>
      <w:bookmarkStart w:id="75" w:name="_Toc314842503"/>
      <w:bookmarkStart w:id="76" w:name="_Toc510009715"/>
      <w:r w:rsidRPr="00254787">
        <w:lastRenderedPageBreak/>
        <w:t>Pharmacodynamics</w:t>
      </w:r>
      <w:bookmarkEnd w:id="64"/>
      <w:bookmarkEnd w:id="73"/>
      <w:bookmarkEnd w:id="74"/>
      <w:bookmarkEnd w:id="75"/>
      <w:bookmarkEnd w:id="76"/>
    </w:p>
    <w:p w:rsidR="00605AD4" w:rsidRDefault="00605AD4" w:rsidP="00605AD4">
      <w:pPr>
        <w:pStyle w:val="Heading4"/>
      </w:pPr>
      <w:r>
        <w:t>Studies providing pharmacodynamic data</w:t>
      </w:r>
    </w:p>
    <w:p w:rsidR="003B6E12" w:rsidRDefault="00CF5B34" w:rsidP="00CF5B34">
      <w:r>
        <w:t>The relationship between</w:t>
      </w:r>
      <w:r w:rsidR="000F77DE">
        <w:t xml:space="preserve"> the</w:t>
      </w:r>
      <w:r>
        <w:t xml:space="preserve"> systemic exposure and beneficial effects </w:t>
      </w:r>
      <w:r w:rsidR="000F77DE">
        <w:t xml:space="preserve">of eluxadoline </w:t>
      </w:r>
      <w:r>
        <w:t>are not entirely clear. Eluxadoline has a very low oral bioavailability and works locally within the GI tract. Despite a suggested correlation between systemic exposure and clinical response in a post</w:t>
      </w:r>
      <w:r w:rsidR="00613DE0">
        <w:t>-</w:t>
      </w:r>
      <w:r>
        <w:t xml:space="preserve">hoc </w:t>
      </w:r>
      <w:r w:rsidR="00613DE0">
        <w:t>pharmacokinetic</w:t>
      </w:r>
      <w:r>
        <w:t>/</w:t>
      </w:r>
      <w:r w:rsidR="00613DE0">
        <w:t>pharmacodynamic</w:t>
      </w:r>
      <w:r>
        <w:t xml:space="preserve"> model using data from the </w:t>
      </w:r>
      <w:r w:rsidR="007066C7">
        <w:t>Phase II</w:t>
      </w:r>
      <w:r>
        <w:t xml:space="preserve"> </w:t>
      </w:r>
      <w:r w:rsidR="00613DE0">
        <w:t xml:space="preserve">Study </w:t>
      </w:r>
      <w:r>
        <w:t xml:space="preserve">IBS-2001, overall the data demonstrated no true </w:t>
      </w:r>
      <w:r w:rsidR="003B6E12">
        <w:t>pharmacokinetic/pharmacodynamic</w:t>
      </w:r>
      <w:r w:rsidR="003B6E12" w:rsidDel="003B6E12">
        <w:t xml:space="preserve"> </w:t>
      </w:r>
      <w:r>
        <w:t>relationship. This is especially true when considering that increasing exposures above those achieved with 10</w:t>
      </w:r>
      <w:r w:rsidR="00746A5C">
        <w:t>0 mg</w:t>
      </w:r>
      <w:r>
        <w:t xml:space="preserve"> </w:t>
      </w:r>
      <w:r w:rsidR="008B5976">
        <w:t>bd</w:t>
      </w:r>
      <w:r>
        <w:t xml:space="preserve"> did not produce corresponding increases in efficacy. This further supports the hypothesis that </w:t>
      </w:r>
      <w:r w:rsidR="000F77DE">
        <w:t xml:space="preserve">the </w:t>
      </w:r>
      <w:r>
        <w:t xml:space="preserve">beneficial effects </w:t>
      </w:r>
      <w:r w:rsidR="000F77DE">
        <w:t xml:space="preserve">of eluxadoline </w:t>
      </w:r>
      <w:r>
        <w:t>are mediated through local action in the GI tract.</w:t>
      </w:r>
    </w:p>
    <w:p w:rsidR="00CF5B34" w:rsidRDefault="003B6E12" w:rsidP="00CF5B34">
      <w:r>
        <w:t>Studies providing pharmacodynamic information are listed in Table 6, below.</w:t>
      </w:r>
    </w:p>
    <w:p w:rsidR="00CF5B34" w:rsidRDefault="00CF5B34" w:rsidP="00CF5B34">
      <w:pPr>
        <w:pStyle w:val="Tabletitle0"/>
      </w:pPr>
      <w:r>
        <w:t>Table</w:t>
      </w:r>
      <w:r w:rsidR="00AC04B2">
        <w:t xml:space="preserve"> 6</w:t>
      </w:r>
      <w:r w:rsidR="008B5976">
        <w:t>:</w:t>
      </w:r>
      <w:r>
        <w:t xml:space="preserve"> </w:t>
      </w:r>
      <w:r w:rsidRPr="008C40FD">
        <w:t>Submitted pharmacodynamic studies</w:t>
      </w:r>
    </w:p>
    <w:tbl>
      <w:tblPr>
        <w:tblStyle w:val="TableTGAblue"/>
        <w:tblW w:w="8505" w:type="dxa"/>
        <w:tblInd w:w="108" w:type="dxa"/>
        <w:tblLayout w:type="fixed"/>
        <w:tblLook w:val="04A0" w:firstRow="1" w:lastRow="0" w:firstColumn="1" w:lastColumn="0" w:noHBand="0" w:noVBand="1"/>
        <w:tblDescription w:val="Table 6: Submitted pharmacodynamic studies"/>
      </w:tblPr>
      <w:tblGrid>
        <w:gridCol w:w="2268"/>
        <w:gridCol w:w="2835"/>
        <w:gridCol w:w="2552"/>
        <w:gridCol w:w="850"/>
      </w:tblGrid>
      <w:tr w:rsidR="007066C7" w:rsidRPr="00C37A1D" w:rsidTr="008B5976">
        <w:trPr>
          <w:cnfStyle w:val="100000000000" w:firstRow="1" w:lastRow="0" w:firstColumn="0" w:lastColumn="0" w:oddVBand="0" w:evenVBand="0" w:oddHBand="0" w:evenHBand="0" w:firstRowFirstColumn="0" w:firstRowLastColumn="0" w:lastRowFirstColumn="0" w:lastRowLastColumn="0"/>
        </w:trPr>
        <w:tc>
          <w:tcPr>
            <w:tcW w:w="2268" w:type="dxa"/>
          </w:tcPr>
          <w:p w:rsidR="007066C7" w:rsidRPr="00C37A1D" w:rsidRDefault="007066C7" w:rsidP="007D3174">
            <w:pPr>
              <w:pStyle w:val="Tabletext"/>
              <w:rPr>
                <w:b w:val="0"/>
              </w:rPr>
            </w:pPr>
            <w:r w:rsidRPr="00C37A1D">
              <w:t>PD Topic</w:t>
            </w:r>
          </w:p>
        </w:tc>
        <w:tc>
          <w:tcPr>
            <w:tcW w:w="2835" w:type="dxa"/>
          </w:tcPr>
          <w:p w:rsidR="007066C7" w:rsidRPr="00C37A1D" w:rsidRDefault="007066C7" w:rsidP="007D3174">
            <w:pPr>
              <w:pStyle w:val="Tabletext"/>
              <w:rPr>
                <w:b w:val="0"/>
              </w:rPr>
            </w:pPr>
            <w:r w:rsidRPr="00C37A1D">
              <w:t>Subtopic</w:t>
            </w:r>
          </w:p>
        </w:tc>
        <w:tc>
          <w:tcPr>
            <w:tcW w:w="2552" w:type="dxa"/>
          </w:tcPr>
          <w:p w:rsidR="007066C7" w:rsidRPr="00C37A1D" w:rsidRDefault="007066C7" w:rsidP="007D3174">
            <w:pPr>
              <w:pStyle w:val="Tabletext"/>
              <w:rPr>
                <w:b w:val="0"/>
              </w:rPr>
            </w:pPr>
            <w:r w:rsidRPr="00C37A1D">
              <w:t>Study ID</w:t>
            </w:r>
          </w:p>
        </w:tc>
        <w:tc>
          <w:tcPr>
            <w:tcW w:w="850" w:type="dxa"/>
          </w:tcPr>
          <w:p w:rsidR="007066C7" w:rsidRPr="00C37A1D" w:rsidRDefault="007066C7" w:rsidP="007D3174">
            <w:pPr>
              <w:pStyle w:val="Tabletext"/>
              <w:rPr>
                <w:b w:val="0"/>
              </w:rPr>
            </w:pPr>
            <w:r w:rsidRPr="00C37A1D">
              <w:t>*</w:t>
            </w:r>
          </w:p>
        </w:tc>
      </w:tr>
      <w:tr w:rsidR="007066C7" w:rsidRPr="00C37A1D" w:rsidTr="008B5976">
        <w:tc>
          <w:tcPr>
            <w:tcW w:w="2268" w:type="dxa"/>
          </w:tcPr>
          <w:p w:rsidR="007066C7" w:rsidRPr="00C37A1D" w:rsidRDefault="007066C7" w:rsidP="007D3174">
            <w:pPr>
              <w:pStyle w:val="Tabletext"/>
              <w:keepNext/>
              <w:rPr>
                <w:b/>
              </w:rPr>
            </w:pPr>
            <w:r w:rsidRPr="00C37A1D">
              <w:rPr>
                <w:b/>
              </w:rPr>
              <w:t>Primary Pharmacology</w:t>
            </w:r>
          </w:p>
        </w:tc>
        <w:tc>
          <w:tcPr>
            <w:tcW w:w="2835" w:type="dxa"/>
          </w:tcPr>
          <w:p w:rsidR="007066C7" w:rsidRPr="00D21405" w:rsidRDefault="007066C7" w:rsidP="003B6E12">
            <w:pPr>
              <w:pStyle w:val="Tabletext"/>
              <w:keepNext/>
              <w:rPr>
                <w:sz w:val="20"/>
              </w:rPr>
            </w:pPr>
            <w:r w:rsidRPr="00D21405">
              <w:rPr>
                <w:sz w:val="20"/>
              </w:rPr>
              <w:t xml:space="preserve">Effect on </w:t>
            </w:r>
            <w:r w:rsidR="003B6E12" w:rsidRPr="00D21405">
              <w:rPr>
                <w:sz w:val="20"/>
              </w:rPr>
              <w:t xml:space="preserve">bowel </w:t>
            </w:r>
            <w:r w:rsidRPr="00D21405">
              <w:rPr>
                <w:sz w:val="20"/>
              </w:rPr>
              <w:t>function</w:t>
            </w:r>
          </w:p>
        </w:tc>
        <w:tc>
          <w:tcPr>
            <w:tcW w:w="2552" w:type="dxa"/>
          </w:tcPr>
          <w:p w:rsidR="007066C7" w:rsidRPr="00D21405" w:rsidRDefault="007066C7" w:rsidP="007D3174">
            <w:pPr>
              <w:pStyle w:val="Tabletext"/>
              <w:keepNext/>
              <w:rPr>
                <w:sz w:val="20"/>
              </w:rPr>
            </w:pPr>
            <w:r w:rsidRPr="00D21405">
              <w:rPr>
                <w:sz w:val="20"/>
              </w:rPr>
              <w:t>EDI-1001</w:t>
            </w:r>
          </w:p>
        </w:tc>
        <w:tc>
          <w:tcPr>
            <w:tcW w:w="850" w:type="dxa"/>
          </w:tcPr>
          <w:p w:rsidR="007066C7" w:rsidRPr="00C37A1D" w:rsidRDefault="007066C7" w:rsidP="007D3174">
            <w:pPr>
              <w:pStyle w:val="Tabletext"/>
              <w:keepNext/>
              <w:jc w:val="center"/>
            </w:pPr>
            <w:r>
              <w:t>*</w:t>
            </w:r>
          </w:p>
        </w:tc>
      </w:tr>
      <w:tr w:rsidR="007066C7" w:rsidRPr="00C37A1D" w:rsidTr="008B5976">
        <w:tc>
          <w:tcPr>
            <w:tcW w:w="2268" w:type="dxa"/>
            <w:vMerge w:val="restart"/>
          </w:tcPr>
          <w:p w:rsidR="007066C7" w:rsidRPr="00C37A1D" w:rsidRDefault="007066C7" w:rsidP="007D3174">
            <w:pPr>
              <w:pStyle w:val="Tabletext"/>
              <w:keepNext/>
              <w:rPr>
                <w:b/>
              </w:rPr>
            </w:pPr>
            <w:r w:rsidRPr="00C37A1D">
              <w:rPr>
                <w:b/>
              </w:rPr>
              <w:t>Secondary Pharmacology</w:t>
            </w:r>
          </w:p>
        </w:tc>
        <w:tc>
          <w:tcPr>
            <w:tcW w:w="2835" w:type="dxa"/>
          </w:tcPr>
          <w:p w:rsidR="007066C7" w:rsidRPr="00D21405" w:rsidRDefault="007066C7" w:rsidP="007D3174">
            <w:pPr>
              <w:pStyle w:val="Tabletext"/>
              <w:keepNext/>
              <w:rPr>
                <w:sz w:val="20"/>
              </w:rPr>
            </w:pPr>
            <w:r w:rsidRPr="00D21405">
              <w:rPr>
                <w:sz w:val="20"/>
              </w:rPr>
              <w:t>Effect on cardiac repolarisation</w:t>
            </w:r>
          </w:p>
        </w:tc>
        <w:tc>
          <w:tcPr>
            <w:tcW w:w="2552" w:type="dxa"/>
          </w:tcPr>
          <w:p w:rsidR="007066C7" w:rsidRPr="00D21405" w:rsidRDefault="007066C7" w:rsidP="007D3174">
            <w:pPr>
              <w:pStyle w:val="Tabletext"/>
              <w:keepNext/>
              <w:rPr>
                <w:sz w:val="20"/>
              </w:rPr>
            </w:pPr>
            <w:r w:rsidRPr="00D21405">
              <w:rPr>
                <w:sz w:val="20"/>
              </w:rPr>
              <w:t>CPS-1008</w:t>
            </w:r>
          </w:p>
        </w:tc>
        <w:tc>
          <w:tcPr>
            <w:tcW w:w="850" w:type="dxa"/>
          </w:tcPr>
          <w:p w:rsidR="007066C7" w:rsidRPr="00C37A1D" w:rsidRDefault="007066C7" w:rsidP="007D3174">
            <w:pPr>
              <w:pStyle w:val="Tabletext"/>
              <w:keepNext/>
              <w:jc w:val="center"/>
            </w:pPr>
            <w:r>
              <w:t>*</w:t>
            </w:r>
          </w:p>
        </w:tc>
      </w:tr>
      <w:tr w:rsidR="007066C7" w:rsidRPr="00C37A1D" w:rsidTr="008B5976">
        <w:tc>
          <w:tcPr>
            <w:tcW w:w="2268" w:type="dxa"/>
            <w:vMerge/>
          </w:tcPr>
          <w:p w:rsidR="007066C7" w:rsidRPr="00C37A1D" w:rsidRDefault="007066C7" w:rsidP="007D3174">
            <w:pPr>
              <w:pStyle w:val="Tabletext"/>
              <w:keepNext/>
              <w:rPr>
                <w:b/>
              </w:rPr>
            </w:pPr>
          </w:p>
        </w:tc>
        <w:tc>
          <w:tcPr>
            <w:tcW w:w="2835" w:type="dxa"/>
          </w:tcPr>
          <w:p w:rsidR="007066C7" w:rsidRPr="00D21405" w:rsidRDefault="007066C7" w:rsidP="007D3174">
            <w:pPr>
              <w:pStyle w:val="Tabletext"/>
              <w:keepNext/>
              <w:rPr>
                <w:sz w:val="20"/>
              </w:rPr>
            </w:pPr>
            <w:r w:rsidRPr="00D21405">
              <w:rPr>
                <w:sz w:val="20"/>
              </w:rPr>
              <w:t>Effect on pupillometry</w:t>
            </w:r>
          </w:p>
        </w:tc>
        <w:tc>
          <w:tcPr>
            <w:tcW w:w="2552" w:type="dxa"/>
          </w:tcPr>
          <w:p w:rsidR="007066C7" w:rsidRPr="00D21405" w:rsidRDefault="007066C7" w:rsidP="007D3174">
            <w:pPr>
              <w:pStyle w:val="Tabletext"/>
              <w:keepNext/>
              <w:rPr>
                <w:sz w:val="20"/>
              </w:rPr>
            </w:pPr>
            <w:r w:rsidRPr="00D21405">
              <w:rPr>
                <w:sz w:val="20"/>
              </w:rPr>
              <w:t>EDI-1001</w:t>
            </w:r>
          </w:p>
        </w:tc>
        <w:tc>
          <w:tcPr>
            <w:tcW w:w="850" w:type="dxa"/>
          </w:tcPr>
          <w:p w:rsidR="007066C7" w:rsidRPr="00C37A1D" w:rsidRDefault="007066C7" w:rsidP="007D3174">
            <w:pPr>
              <w:pStyle w:val="Tabletext"/>
              <w:keepNext/>
              <w:jc w:val="center"/>
            </w:pPr>
          </w:p>
        </w:tc>
      </w:tr>
      <w:tr w:rsidR="007066C7" w:rsidRPr="00C37A1D" w:rsidTr="008B5976">
        <w:tc>
          <w:tcPr>
            <w:tcW w:w="2268" w:type="dxa"/>
            <w:vMerge/>
          </w:tcPr>
          <w:p w:rsidR="007066C7" w:rsidRPr="00C37A1D" w:rsidRDefault="007066C7" w:rsidP="007D3174">
            <w:pPr>
              <w:pStyle w:val="Tabletext"/>
              <w:keepNext/>
              <w:rPr>
                <w:b/>
              </w:rPr>
            </w:pPr>
          </w:p>
        </w:tc>
        <w:tc>
          <w:tcPr>
            <w:tcW w:w="2835" w:type="dxa"/>
          </w:tcPr>
          <w:p w:rsidR="007066C7" w:rsidRPr="00D21405" w:rsidRDefault="007066C7" w:rsidP="007D3174">
            <w:pPr>
              <w:pStyle w:val="Tabletext"/>
              <w:keepNext/>
              <w:rPr>
                <w:sz w:val="20"/>
              </w:rPr>
            </w:pPr>
            <w:r w:rsidRPr="00D21405">
              <w:rPr>
                <w:sz w:val="20"/>
              </w:rPr>
              <w:t>Abuse potential</w:t>
            </w:r>
          </w:p>
        </w:tc>
        <w:tc>
          <w:tcPr>
            <w:tcW w:w="2552" w:type="dxa"/>
          </w:tcPr>
          <w:p w:rsidR="0036183F" w:rsidRDefault="007066C7" w:rsidP="007D3174">
            <w:pPr>
              <w:pStyle w:val="Tabletext"/>
              <w:keepNext/>
              <w:rPr>
                <w:sz w:val="20"/>
              </w:rPr>
            </w:pPr>
            <w:r w:rsidRPr="00D21405">
              <w:rPr>
                <w:sz w:val="20"/>
              </w:rPr>
              <w:t>CPS-1006</w:t>
            </w:r>
          </w:p>
          <w:p w:rsidR="007066C7" w:rsidRPr="00D21405" w:rsidRDefault="007066C7" w:rsidP="007D3174">
            <w:pPr>
              <w:pStyle w:val="Tabletext"/>
              <w:keepNext/>
              <w:rPr>
                <w:sz w:val="20"/>
              </w:rPr>
            </w:pPr>
            <w:r w:rsidRPr="00D21405">
              <w:rPr>
                <w:sz w:val="20"/>
              </w:rPr>
              <w:t>CPS-1010</w:t>
            </w:r>
          </w:p>
        </w:tc>
        <w:tc>
          <w:tcPr>
            <w:tcW w:w="850" w:type="dxa"/>
          </w:tcPr>
          <w:p w:rsidR="007066C7" w:rsidRPr="00C37A1D" w:rsidRDefault="007066C7" w:rsidP="007D3174">
            <w:pPr>
              <w:pStyle w:val="Tabletext"/>
              <w:keepNext/>
              <w:jc w:val="center"/>
            </w:pPr>
            <w:r>
              <w:t>*</w:t>
            </w:r>
          </w:p>
        </w:tc>
      </w:tr>
      <w:tr w:rsidR="007066C7" w:rsidRPr="00C37A1D" w:rsidTr="008B5976">
        <w:tc>
          <w:tcPr>
            <w:tcW w:w="2268" w:type="dxa"/>
            <w:vMerge w:val="restart"/>
          </w:tcPr>
          <w:p w:rsidR="007066C7" w:rsidRDefault="007066C7" w:rsidP="007D3174">
            <w:pPr>
              <w:pStyle w:val="Tabletext"/>
              <w:keepNext/>
              <w:rPr>
                <w:b/>
              </w:rPr>
            </w:pPr>
            <w:r w:rsidRPr="00C37A1D">
              <w:rPr>
                <w:b/>
              </w:rPr>
              <w:t>Population PD and PK-PD analyses</w:t>
            </w:r>
          </w:p>
          <w:p w:rsidR="007066C7" w:rsidRPr="008B5976" w:rsidRDefault="007066C7" w:rsidP="007D3174">
            <w:pPr>
              <w:pStyle w:val="Tabletext"/>
              <w:keepNext/>
              <w:rPr>
                <w:b/>
              </w:rPr>
            </w:pPr>
            <w:r w:rsidRPr="008B5976">
              <w:rPr>
                <w:b/>
              </w:rPr>
              <w:t>Target population</w:t>
            </w:r>
          </w:p>
        </w:tc>
        <w:tc>
          <w:tcPr>
            <w:tcW w:w="2835" w:type="dxa"/>
          </w:tcPr>
          <w:p w:rsidR="007066C7" w:rsidRPr="00D21405" w:rsidRDefault="007066C7" w:rsidP="003B6E12">
            <w:pPr>
              <w:pStyle w:val="Tabletext"/>
              <w:keepNext/>
              <w:rPr>
                <w:sz w:val="20"/>
              </w:rPr>
            </w:pPr>
            <w:r w:rsidRPr="00D21405">
              <w:rPr>
                <w:sz w:val="20"/>
              </w:rPr>
              <w:t xml:space="preserve">PK/PD </w:t>
            </w:r>
            <w:r w:rsidR="003B6E12" w:rsidRPr="00D21405">
              <w:rPr>
                <w:sz w:val="20"/>
              </w:rPr>
              <w:t xml:space="preserve">effect </w:t>
            </w:r>
            <w:r w:rsidRPr="00D21405">
              <w:rPr>
                <w:sz w:val="20"/>
              </w:rPr>
              <w:t xml:space="preserve">on </w:t>
            </w:r>
            <w:r w:rsidR="003B6E12" w:rsidRPr="00D21405">
              <w:rPr>
                <w:sz w:val="20"/>
              </w:rPr>
              <w:t xml:space="preserve">bowel </w:t>
            </w:r>
            <w:r w:rsidRPr="00D21405">
              <w:rPr>
                <w:sz w:val="20"/>
              </w:rPr>
              <w:t>function</w:t>
            </w:r>
          </w:p>
        </w:tc>
        <w:tc>
          <w:tcPr>
            <w:tcW w:w="2552" w:type="dxa"/>
          </w:tcPr>
          <w:p w:rsidR="007066C7" w:rsidRPr="00D21405" w:rsidRDefault="007066C7" w:rsidP="007D3174">
            <w:pPr>
              <w:pStyle w:val="Tabletext"/>
              <w:keepNext/>
              <w:rPr>
                <w:sz w:val="20"/>
              </w:rPr>
            </w:pPr>
            <w:r w:rsidRPr="00D21405">
              <w:rPr>
                <w:sz w:val="20"/>
              </w:rPr>
              <w:t>IBS</w:t>
            </w:r>
            <w:r w:rsidR="00245469" w:rsidRPr="00D21405">
              <w:rPr>
                <w:sz w:val="20"/>
              </w:rPr>
              <w:t>-</w:t>
            </w:r>
            <w:r w:rsidRPr="00D21405">
              <w:rPr>
                <w:sz w:val="20"/>
              </w:rPr>
              <w:t>2001</w:t>
            </w:r>
          </w:p>
        </w:tc>
        <w:tc>
          <w:tcPr>
            <w:tcW w:w="850" w:type="dxa"/>
          </w:tcPr>
          <w:p w:rsidR="007066C7" w:rsidRPr="00C37A1D" w:rsidRDefault="007066C7" w:rsidP="007D3174">
            <w:pPr>
              <w:pStyle w:val="Tabletext"/>
              <w:keepNext/>
              <w:jc w:val="center"/>
            </w:pPr>
          </w:p>
        </w:tc>
      </w:tr>
      <w:tr w:rsidR="007066C7" w:rsidRPr="00C37A1D" w:rsidTr="008B5976">
        <w:tc>
          <w:tcPr>
            <w:tcW w:w="2268" w:type="dxa"/>
            <w:vMerge/>
          </w:tcPr>
          <w:p w:rsidR="007066C7" w:rsidRPr="00C37A1D" w:rsidRDefault="007066C7" w:rsidP="007D3174">
            <w:pPr>
              <w:pStyle w:val="Tabletext"/>
              <w:keepNext/>
            </w:pPr>
          </w:p>
        </w:tc>
        <w:tc>
          <w:tcPr>
            <w:tcW w:w="2835" w:type="dxa"/>
          </w:tcPr>
          <w:p w:rsidR="007066C7" w:rsidRPr="00D21405" w:rsidRDefault="007066C7" w:rsidP="003B6E12">
            <w:pPr>
              <w:pStyle w:val="Tabletext"/>
              <w:keepNext/>
              <w:rPr>
                <w:sz w:val="20"/>
              </w:rPr>
            </w:pPr>
            <w:r w:rsidRPr="00D21405">
              <w:rPr>
                <w:sz w:val="20"/>
              </w:rPr>
              <w:t xml:space="preserve">PK/PD </w:t>
            </w:r>
            <w:r w:rsidR="003B6E12" w:rsidRPr="00D21405">
              <w:rPr>
                <w:sz w:val="20"/>
              </w:rPr>
              <w:t xml:space="preserve">effect </w:t>
            </w:r>
            <w:r w:rsidRPr="00D21405">
              <w:rPr>
                <w:sz w:val="20"/>
              </w:rPr>
              <w:t>on pain score</w:t>
            </w:r>
          </w:p>
        </w:tc>
        <w:tc>
          <w:tcPr>
            <w:tcW w:w="2552" w:type="dxa"/>
          </w:tcPr>
          <w:p w:rsidR="007066C7" w:rsidRPr="00D21405" w:rsidRDefault="007066C7" w:rsidP="007D3174">
            <w:pPr>
              <w:pStyle w:val="Tabletext"/>
              <w:keepNext/>
              <w:rPr>
                <w:sz w:val="20"/>
              </w:rPr>
            </w:pPr>
            <w:r w:rsidRPr="00D21405">
              <w:rPr>
                <w:sz w:val="20"/>
              </w:rPr>
              <w:t>IBS</w:t>
            </w:r>
            <w:r w:rsidR="00245469" w:rsidRPr="00D21405">
              <w:rPr>
                <w:sz w:val="20"/>
              </w:rPr>
              <w:t>-</w:t>
            </w:r>
            <w:r w:rsidRPr="00D21405">
              <w:rPr>
                <w:sz w:val="20"/>
              </w:rPr>
              <w:t>2001</w:t>
            </w:r>
          </w:p>
        </w:tc>
        <w:tc>
          <w:tcPr>
            <w:tcW w:w="850" w:type="dxa"/>
          </w:tcPr>
          <w:p w:rsidR="007066C7" w:rsidRPr="00C37A1D" w:rsidRDefault="007066C7" w:rsidP="007D3174">
            <w:pPr>
              <w:pStyle w:val="Tabletext"/>
              <w:keepNext/>
              <w:jc w:val="center"/>
            </w:pPr>
          </w:p>
        </w:tc>
      </w:tr>
    </w:tbl>
    <w:p w:rsidR="00CF5B34" w:rsidRPr="00566B82" w:rsidRDefault="003B6E12" w:rsidP="00566B82">
      <w:pPr>
        <w:pStyle w:val="TableDescription"/>
      </w:pPr>
      <w:r>
        <w:t xml:space="preserve">PD = pharmacodynamic(s); PK = pharmacokinetic(s); </w:t>
      </w:r>
      <w:r w:rsidR="00CF5B34" w:rsidRPr="00C37A1D">
        <w:t>* Indicates the primary PD aim of the study.</w:t>
      </w:r>
    </w:p>
    <w:p w:rsidR="00605AD4" w:rsidRDefault="00605AD4" w:rsidP="00605AD4">
      <w:pPr>
        <w:pStyle w:val="Heading4"/>
      </w:pPr>
      <w:r>
        <w:t>Evaluator’s conclusions on pharmacodynamics</w:t>
      </w:r>
    </w:p>
    <w:p w:rsidR="00CF5B34" w:rsidRDefault="00CF5B34" w:rsidP="00CF5B34">
      <w:r>
        <w:t xml:space="preserve">The sponsor attempted to show a separate relationship between </w:t>
      </w:r>
      <w:r w:rsidR="003B6E12">
        <w:t xml:space="preserve">pharmacokinetics </w:t>
      </w:r>
      <w:r>
        <w:t xml:space="preserve">and pain score or bowel function (Bristol </w:t>
      </w:r>
      <w:r w:rsidR="003B6E12">
        <w:t>Stool Score (BSS)</w:t>
      </w:r>
      <w:r>
        <w:t>)</w:t>
      </w:r>
      <w:r w:rsidR="003B6E12">
        <w:t>;</w:t>
      </w:r>
      <w:r w:rsidR="003B6E12">
        <w:rPr>
          <w:rStyle w:val="FootnoteReference"/>
        </w:rPr>
        <w:footnoteReference w:id="17"/>
      </w:r>
      <w:r>
        <w:t xml:space="preserve"> but failed to do so. Only in a post hoc analysis of both combined could a relationship to AUC be shown.</w:t>
      </w:r>
    </w:p>
    <w:p w:rsidR="00CF5B34" w:rsidRPr="00CF5B34" w:rsidRDefault="00CF5B34" w:rsidP="00CF5B34">
      <w:r>
        <w:t xml:space="preserve">The sponsor proposes to insert under the </w:t>
      </w:r>
      <w:r w:rsidR="003B6E12">
        <w:t>‘</w:t>
      </w:r>
      <w:r>
        <w:t>Pharmacodynamics</w:t>
      </w:r>
      <w:r w:rsidR="003B6E12">
        <w:t>’</w:t>
      </w:r>
      <w:r>
        <w:t xml:space="preserve"> section in the PI only statements on the </w:t>
      </w:r>
      <w:r w:rsidR="003B6E12">
        <w:t xml:space="preserve">mechanism </w:t>
      </w:r>
      <w:r>
        <w:t xml:space="preserve">of </w:t>
      </w:r>
      <w:r w:rsidR="003B6E12">
        <w:t xml:space="preserve">action </w:t>
      </w:r>
      <w:r w:rsidR="007066C7">
        <w:t>and the</w:t>
      </w:r>
      <w:r>
        <w:t xml:space="preserve"> statements being derived from animal and </w:t>
      </w:r>
      <w:r w:rsidRPr="00881916">
        <w:t>in vitro</w:t>
      </w:r>
      <w:r>
        <w:t xml:space="preserve"> studies.</w:t>
      </w:r>
    </w:p>
    <w:p w:rsidR="008E7846" w:rsidRDefault="00605AD4" w:rsidP="00605AD4">
      <w:pPr>
        <w:pStyle w:val="Heading3"/>
      </w:pPr>
      <w:bookmarkStart w:id="77" w:name="_Toc510009716"/>
      <w:r>
        <w:t>Dosage selection for the pivotal studies</w:t>
      </w:r>
      <w:bookmarkEnd w:id="77"/>
    </w:p>
    <w:p w:rsidR="00CF5B34" w:rsidRDefault="00CF5B34" w:rsidP="00CF5B34">
      <w:r>
        <w:t>Study IBS-2001</w:t>
      </w:r>
      <w:r w:rsidR="003B6E12">
        <w:t>:</w:t>
      </w:r>
      <w:r>
        <w:t xml:space="preserve"> </w:t>
      </w:r>
      <w:r w:rsidR="003B6E12">
        <w:t>A</w:t>
      </w:r>
      <w:r>
        <w:t xml:space="preserve"> 12</w:t>
      </w:r>
      <w:r w:rsidR="00566B82">
        <w:t xml:space="preserve"> </w:t>
      </w:r>
      <w:r>
        <w:t>week, double</w:t>
      </w:r>
      <w:r w:rsidR="003B6E12">
        <w:t xml:space="preserve"> </w:t>
      </w:r>
      <w:r>
        <w:t>blind, placebo</w:t>
      </w:r>
      <w:r w:rsidR="003B6E12">
        <w:t xml:space="preserve"> </w:t>
      </w:r>
      <w:r>
        <w:t xml:space="preserve">controlled, dose-ranging, </w:t>
      </w:r>
      <w:r w:rsidR="007066C7">
        <w:t>Phase II</w:t>
      </w:r>
      <w:r>
        <w:t xml:space="preserve"> study showed no improvement in response seen between 100 and 20</w:t>
      </w:r>
      <w:r w:rsidR="00746A5C">
        <w:t>0 mg</w:t>
      </w:r>
      <w:r>
        <w:t xml:space="preserve"> doses and had a </w:t>
      </w:r>
      <w:r>
        <w:lastRenderedPageBreak/>
        <w:t>higher incidence of adverse events seen at the 20</w:t>
      </w:r>
      <w:r w:rsidR="00746A5C">
        <w:t>0 mg</w:t>
      </w:r>
      <w:r>
        <w:t xml:space="preserve"> dose. This led to the decision to use the 10</w:t>
      </w:r>
      <w:r w:rsidR="00746A5C">
        <w:t>0 mg</w:t>
      </w:r>
      <w:r>
        <w:t xml:space="preserve"> dose as the maximum clinically relevant dose.</w:t>
      </w:r>
    </w:p>
    <w:p w:rsidR="00CF5B34" w:rsidRPr="00CF5B34" w:rsidRDefault="00CF5B34" w:rsidP="00CF5B34">
      <w:r>
        <w:t>Although the efficacy of 7</w:t>
      </w:r>
      <w:r w:rsidR="00746A5C">
        <w:t>5 mg</w:t>
      </w:r>
      <w:r>
        <w:t xml:space="preserve"> </w:t>
      </w:r>
      <w:r w:rsidR="00566B82">
        <w:t>bd</w:t>
      </w:r>
      <w:r>
        <w:t xml:space="preserve"> was not specifically explored in the </w:t>
      </w:r>
      <w:r w:rsidR="007066C7">
        <w:t>Phase II</w:t>
      </w:r>
      <w:r>
        <w:t xml:space="preserve"> study, this dose was included based on efficacy trends and the favourable safety profile of doses up to 10</w:t>
      </w:r>
      <w:r w:rsidR="00746A5C">
        <w:t>0 mg</w:t>
      </w:r>
      <w:r>
        <w:t xml:space="preserve"> </w:t>
      </w:r>
      <w:r w:rsidR="00566B82">
        <w:t>bd</w:t>
      </w:r>
      <w:r>
        <w:t>.</w:t>
      </w:r>
    </w:p>
    <w:p w:rsidR="008E7846" w:rsidRPr="00254787" w:rsidRDefault="008E7846" w:rsidP="008E7846">
      <w:pPr>
        <w:pStyle w:val="Heading3"/>
      </w:pPr>
      <w:bookmarkStart w:id="78" w:name="_Toc163441372"/>
      <w:bookmarkStart w:id="79" w:name="_Toc196046485"/>
      <w:bookmarkStart w:id="80" w:name="_Toc247691521"/>
      <w:bookmarkStart w:id="81" w:name="_Toc314842504"/>
      <w:bookmarkStart w:id="82" w:name="_Toc510009717"/>
      <w:r w:rsidRPr="00254787">
        <w:t>Efficacy</w:t>
      </w:r>
      <w:bookmarkEnd w:id="78"/>
      <w:bookmarkEnd w:id="79"/>
      <w:bookmarkEnd w:id="80"/>
      <w:bookmarkEnd w:id="81"/>
      <w:bookmarkEnd w:id="82"/>
    </w:p>
    <w:p w:rsidR="00605AD4" w:rsidRDefault="00605AD4" w:rsidP="00605AD4">
      <w:pPr>
        <w:pStyle w:val="Heading4"/>
      </w:pPr>
      <w:bookmarkStart w:id="83" w:name="_Toc184439992"/>
      <w:bookmarkStart w:id="84" w:name="_Toc184440279"/>
      <w:bookmarkStart w:id="85" w:name="_Toc184444657"/>
      <w:bookmarkStart w:id="86" w:name="_Toc196046487"/>
      <w:r>
        <w:t>Studies providing efficacy data</w:t>
      </w:r>
    </w:p>
    <w:p w:rsidR="00CF5B34" w:rsidRDefault="00F25269" w:rsidP="007066C7">
      <w:pPr>
        <w:pStyle w:val="ListBullet"/>
      </w:pPr>
      <w:r>
        <w:t xml:space="preserve">Study </w:t>
      </w:r>
      <w:r w:rsidR="00566B82">
        <w:t>IBS-3001</w:t>
      </w:r>
      <w:r>
        <w:t>:</w:t>
      </w:r>
      <w:r w:rsidR="00566B82">
        <w:t xml:space="preserve"> </w:t>
      </w:r>
      <w:r>
        <w:t>A randomised, double blind, placebo controlled Phase III study to evaluate the efficacy safely, and tolerability of eluxadoline in the treatment of patients with diarrhoea-predominant irritable bowel syndrome.</w:t>
      </w:r>
    </w:p>
    <w:p w:rsidR="00CF5B34" w:rsidRDefault="00F25269" w:rsidP="007066C7">
      <w:pPr>
        <w:pStyle w:val="ListBullet"/>
      </w:pPr>
      <w:r>
        <w:t xml:space="preserve">Study </w:t>
      </w:r>
      <w:r w:rsidR="00772FFE">
        <w:t>IBS</w:t>
      </w:r>
      <w:r w:rsidR="00566B82">
        <w:t>-3002</w:t>
      </w:r>
      <w:r>
        <w:t>:</w:t>
      </w:r>
      <w:r w:rsidR="00566B82">
        <w:t xml:space="preserve"> A </w:t>
      </w:r>
      <w:r>
        <w:t>randomised, double blind, placebo controlled Phase III study to evaluate the efficacy safety, and tolerability of eluxadoline in the treatment in patients with diarrhoea-predominant irritable bowel syndrome.</w:t>
      </w:r>
    </w:p>
    <w:p w:rsidR="00CF5B34" w:rsidRPr="00CF5B34" w:rsidRDefault="00403BA3" w:rsidP="007066C7">
      <w:pPr>
        <w:pStyle w:val="ListBullet"/>
      </w:pPr>
      <w:r>
        <w:t xml:space="preserve">Study </w:t>
      </w:r>
      <w:r w:rsidR="00566B82">
        <w:t>IBS-2001</w:t>
      </w:r>
      <w:r>
        <w:t>:</w:t>
      </w:r>
      <w:r w:rsidR="00566B82">
        <w:t xml:space="preserve"> A </w:t>
      </w:r>
      <w:r>
        <w:t>randomised, double blind, placebo controlled, parallel group, dose ranging, multicentre study to evaluate the efficacy, safety, and tolerability of eluxadoline in the treatment of patients with irritable bowel syndrome with diarrhoea.</w:t>
      </w:r>
    </w:p>
    <w:p w:rsidR="008E7846" w:rsidRDefault="00605AD4" w:rsidP="00605AD4">
      <w:pPr>
        <w:pStyle w:val="Heading4"/>
      </w:pPr>
      <w:r>
        <w:t>Evaluator’s conclusions on efficacy</w:t>
      </w:r>
    </w:p>
    <w:p w:rsidR="00CF5B34" w:rsidRDefault="00CF5B34" w:rsidP="00CF5B34">
      <w:r>
        <w:t>In Study 3001, while both the 75 and 10</w:t>
      </w:r>
      <w:r w:rsidR="00746A5C">
        <w:t>0 mg</w:t>
      </w:r>
      <w:r>
        <w:t xml:space="preserve"> groups showed statistically superiority to placebo in the percentage of composite responders at 12 weeks, only the 10</w:t>
      </w:r>
      <w:r w:rsidR="00746A5C">
        <w:t>0 mg</w:t>
      </w:r>
      <w:r>
        <w:t xml:space="preserve"> dose did so at 26 weeks.</w:t>
      </w:r>
    </w:p>
    <w:p w:rsidR="00CF5B34" w:rsidRDefault="00CF5B34" w:rsidP="00CF5B34">
      <w:r>
        <w:t>In Study 3002, the primary endpoint, the proportion of composite responders for the 7</w:t>
      </w:r>
      <w:r w:rsidR="00746A5C">
        <w:t>5</w:t>
      </w:r>
      <w:r w:rsidR="00403BA3">
        <w:t> </w:t>
      </w:r>
      <w:r w:rsidR="00746A5C">
        <w:t>mg</w:t>
      </w:r>
      <w:r>
        <w:t xml:space="preserve"> and 10</w:t>
      </w:r>
      <w:r w:rsidR="00746A5C">
        <w:t>0 mg</w:t>
      </w:r>
      <w:r>
        <w:t xml:space="preserve"> treatment groups, was statistically superior to placebo for Weeks 1</w:t>
      </w:r>
      <w:r w:rsidR="00403BA3">
        <w:t xml:space="preserve"> to </w:t>
      </w:r>
      <w:r>
        <w:t>12 (P</w:t>
      </w:r>
      <w:r w:rsidR="00403BA3">
        <w:t> </w:t>
      </w:r>
      <w:r>
        <w:t>&lt; 0.001) and Weeks 1</w:t>
      </w:r>
      <w:r w:rsidR="00403BA3">
        <w:t xml:space="preserve"> to </w:t>
      </w:r>
      <w:r>
        <w:t xml:space="preserve">26 (P </w:t>
      </w:r>
      <w:r w:rsidR="00192749">
        <w:t xml:space="preserve">≤ </w:t>
      </w:r>
      <w:r>
        <w:t>0.001).</w:t>
      </w:r>
    </w:p>
    <w:p w:rsidR="00CF5B34" w:rsidRDefault="00CF5B34" w:rsidP="00CF5B34">
      <w:r>
        <w:t xml:space="preserve">The absolute responder rates results for the placebo group were similar in both </w:t>
      </w:r>
      <w:r w:rsidR="00403BA3">
        <w:t>Studies </w:t>
      </w:r>
      <w:r>
        <w:t xml:space="preserve">3001 </w:t>
      </w:r>
      <w:r w:rsidR="00772FFE">
        <w:t xml:space="preserve">and </w:t>
      </w:r>
      <w:r>
        <w:t>3002, the difference between the studies reflecting a difference in absolute responder rates results for the eluxadoline groups.</w:t>
      </w:r>
    </w:p>
    <w:p w:rsidR="00CF5B34" w:rsidRDefault="00CF5B34" w:rsidP="00CF5B34">
      <w:r>
        <w:t>In Study 2001, at Week 4, primary response rates were statistically superior to that of placebo only for the 2</w:t>
      </w:r>
      <w:r w:rsidR="00746A5C">
        <w:t>5 mg</w:t>
      </w:r>
      <w:r>
        <w:t xml:space="preserve"> and 20</w:t>
      </w:r>
      <w:r w:rsidR="00746A5C">
        <w:t>0 mg</w:t>
      </w:r>
      <w:r>
        <w:t xml:space="preserve"> treatment groups. While at Week 12 only the 10</w:t>
      </w:r>
      <w:r w:rsidR="00746A5C">
        <w:t>0</w:t>
      </w:r>
      <w:r w:rsidR="00403BA3">
        <w:t> </w:t>
      </w:r>
      <w:r w:rsidR="00746A5C">
        <w:t>mg</w:t>
      </w:r>
      <w:r>
        <w:t xml:space="preserve"> treatment group was statistically superior to placebo. The response rates both for eluxadoline and placebo were less than used in the population calculations.</w:t>
      </w:r>
    </w:p>
    <w:p w:rsidR="00CF5B34" w:rsidRDefault="00CF5B34" w:rsidP="00CF5B34">
      <w:r>
        <w:t>In the meta-analysis</w:t>
      </w:r>
      <w:r w:rsidR="00403BA3">
        <w:t>,</w:t>
      </w:r>
      <w:r>
        <w:t xml:space="preserve"> both 7</w:t>
      </w:r>
      <w:r w:rsidR="00746A5C">
        <w:t>5 mg</w:t>
      </w:r>
      <w:r>
        <w:t xml:space="preserve"> and 10</w:t>
      </w:r>
      <w:r w:rsidR="00746A5C">
        <w:t>0 mg</w:t>
      </w:r>
      <w:r>
        <w:t xml:space="preserve"> showed statistical superiority at </w:t>
      </w:r>
      <w:r w:rsidR="00F237C0">
        <w:t>W</w:t>
      </w:r>
      <w:r>
        <w:t>eeks 12 and 26.</w:t>
      </w:r>
    </w:p>
    <w:p w:rsidR="00CF5B34" w:rsidRDefault="0008268B" w:rsidP="00CF5B34">
      <w:r>
        <w:t>Thus, evidence for efficacy based on statistical superiority of the primary endpoints favours eluxadoline 100 mg bd.</w:t>
      </w:r>
    </w:p>
    <w:p w:rsidR="00F237C0" w:rsidRDefault="00CF5B34" w:rsidP="00CF5B34">
      <w:r>
        <w:t>Among those on 10</w:t>
      </w:r>
      <w:r w:rsidR="00746A5C">
        <w:t>0 mg</w:t>
      </w:r>
      <w:r>
        <w:t xml:space="preserve"> bd with baseline pain scores &lt; 5 (67/250) only 36.2% achieved a 30% (</w:t>
      </w:r>
      <w:r w:rsidR="00F237C0">
        <w:t>that is,</w:t>
      </w:r>
      <w:r>
        <w:t xml:space="preserve"> &lt; 2) reduction in their score, in those with scores of 5 to &lt; 8 (159/250) 30.4% achieved a reduction in their score of 30% (1.7 or more) and of those with scores of </w:t>
      </w:r>
      <w:r w:rsidR="00E124D1">
        <w:t>≥</w:t>
      </w:r>
      <w:r>
        <w:t xml:space="preserve"> 8 (24/250) 24.5% achieved a reduction in their score of 30% (2.7 or more).</w:t>
      </w:r>
    </w:p>
    <w:p w:rsidR="00CF5B34" w:rsidRDefault="007066C7" w:rsidP="00CF5B34">
      <w:r>
        <w:t>‘</w:t>
      </w:r>
      <w:r w:rsidR="00CF5B34">
        <w:t xml:space="preserve">Decreases in individuals’ pain intensity of approximately 1 cm (or 1.0 point) or 15% to 20% represent </w:t>
      </w:r>
      <w:r>
        <w:t>‘</w:t>
      </w:r>
      <w:r w:rsidR="00CF5B34">
        <w:t>minimal</w:t>
      </w:r>
      <w:r>
        <w:t>’</w:t>
      </w:r>
      <w:r w:rsidR="00CF5B34">
        <w:t xml:space="preserve"> or </w:t>
      </w:r>
      <w:r>
        <w:t>‘</w:t>
      </w:r>
      <w:r w:rsidR="00CF5B34">
        <w:t>little</w:t>
      </w:r>
      <w:r>
        <w:t>’</w:t>
      </w:r>
      <w:r w:rsidR="00CF5B34">
        <w:t xml:space="preserve"> change, whereas decreases of 2.0 to 2.7 points or 30% to 41% have more meaning to patients, for example, being associated with not requesting rescue medication or ratings of </w:t>
      </w:r>
      <w:r>
        <w:t>‘</w:t>
      </w:r>
      <w:r w:rsidR="00CF5B34">
        <w:t>much</w:t>
      </w:r>
      <w:r>
        <w:t>’</w:t>
      </w:r>
      <w:r w:rsidR="00CF5B34">
        <w:t xml:space="preserve"> or </w:t>
      </w:r>
      <w:r>
        <w:t>‘</w:t>
      </w:r>
      <w:r w:rsidR="00CF5B34">
        <w:t>some</w:t>
      </w:r>
      <w:r>
        <w:t>’</w:t>
      </w:r>
      <w:r w:rsidR="00CF5B34">
        <w:t xml:space="preserve"> change. This research also supports the importance of taking baseline pain into account when evaluating these change scores.</w:t>
      </w:r>
    </w:p>
    <w:p w:rsidR="00CF5B34" w:rsidRDefault="00CF5B34" w:rsidP="00CF5B34">
      <w:r>
        <w:lastRenderedPageBreak/>
        <w:t>The sponsor attempted to assess use of acetaminophen (Tylenol, Panadol, paracetamol) as rescue medication in Study 2001.</w:t>
      </w:r>
      <w:r w:rsidR="007D116E">
        <w:rPr>
          <w:rStyle w:val="FootnoteReference"/>
        </w:rPr>
        <w:footnoteReference w:id="18"/>
      </w:r>
    </w:p>
    <w:p w:rsidR="00CF5B34" w:rsidRPr="00260AEB" w:rsidRDefault="00CF5B34" w:rsidP="00CF5B34">
      <w:r>
        <w:t>The original protocol dated 29 March 2010 had:</w:t>
      </w:r>
      <w:r w:rsidRPr="00415FAB">
        <w:t xml:space="preserve"> </w:t>
      </w:r>
      <w:r w:rsidR="00415FAB" w:rsidRPr="00415FAB">
        <w:t>‘</w:t>
      </w:r>
      <w:proofErr w:type="gramStart"/>
      <w:r w:rsidRPr="00415FAB">
        <w:t>If</w:t>
      </w:r>
      <w:proofErr w:type="gramEnd"/>
      <w:r w:rsidRPr="00415FAB">
        <w:t xml:space="preserve"> rescue medication for pain is required, the following may be tak</w:t>
      </w:r>
      <w:r w:rsidR="00F237C0" w:rsidRPr="00260AEB">
        <w:t>en by the patient after randomis</w:t>
      </w:r>
      <w:r w:rsidRPr="00260AEB">
        <w:t>ation: During Weeks 1 through 12: Tylenol with a recommended maximum dose of 2400 mg/day. The use of Tylenol should be recorded by the patients in their daily telephone diary</w:t>
      </w:r>
      <w:r w:rsidR="00415FAB" w:rsidRPr="00260AEB">
        <w:t>’</w:t>
      </w:r>
      <w:r w:rsidRPr="00260AEB">
        <w:t>.</w:t>
      </w:r>
    </w:p>
    <w:p w:rsidR="00CF5B34" w:rsidRDefault="00CF5B34" w:rsidP="00CF5B34">
      <w:r>
        <w:t xml:space="preserve">The </w:t>
      </w:r>
      <w:r w:rsidR="002B3FBC">
        <w:t xml:space="preserve">study report </w:t>
      </w:r>
      <w:r>
        <w:t>said the use of Tylenol as rescue for abdominal pain, was rarely reported by patients in any treatment group.</w:t>
      </w:r>
    </w:p>
    <w:p w:rsidR="00CF5B34" w:rsidRDefault="00CF5B34" w:rsidP="007066C7">
      <w:pPr>
        <w:pStyle w:val="Tabletitle0"/>
      </w:pPr>
      <w:bookmarkStart w:id="87" w:name="_Toc483483951"/>
      <w:r>
        <w:t xml:space="preserve">Table </w:t>
      </w:r>
      <w:r w:rsidR="00AC04B2">
        <w:t>7</w:t>
      </w:r>
      <w:r w:rsidR="00F237C0">
        <w:t>:</w:t>
      </w:r>
      <w:r>
        <w:t xml:space="preserve"> Number (%) of patients taking Tylenol Concomitant Medications Safety Set 2001</w:t>
      </w:r>
      <w:bookmarkEnd w:id="87"/>
    </w:p>
    <w:tbl>
      <w:tblPr>
        <w:tblStyle w:val="TableTGAblue"/>
        <w:tblW w:w="0" w:type="auto"/>
        <w:tblInd w:w="108" w:type="dxa"/>
        <w:tblLook w:val="04A0" w:firstRow="1" w:lastRow="0" w:firstColumn="1" w:lastColumn="0" w:noHBand="0" w:noVBand="1"/>
        <w:tblDescription w:val="Table 7: Number (%) of patients taking Tylenol Concomitant Medications Safety Set 2001"/>
      </w:tblPr>
      <w:tblGrid>
        <w:gridCol w:w="1843"/>
        <w:gridCol w:w="2835"/>
        <w:gridCol w:w="3119"/>
      </w:tblGrid>
      <w:tr w:rsidR="00CF5B34" w:rsidRPr="00D23CC4" w:rsidTr="00F237C0">
        <w:trPr>
          <w:cnfStyle w:val="100000000000" w:firstRow="1" w:lastRow="0" w:firstColumn="0" w:lastColumn="0" w:oddVBand="0" w:evenVBand="0" w:oddHBand="0" w:evenHBand="0" w:firstRowFirstColumn="0" w:firstRowLastColumn="0" w:lastRowFirstColumn="0" w:lastRowLastColumn="0"/>
        </w:trPr>
        <w:tc>
          <w:tcPr>
            <w:tcW w:w="1843" w:type="dxa"/>
          </w:tcPr>
          <w:p w:rsidR="00CF5B34" w:rsidRPr="00F237C0" w:rsidRDefault="00CF5B34" w:rsidP="00F237C0">
            <w:pPr>
              <w:rPr>
                <w:sz w:val="20"/>
                <w:szCs w:val="20"/>
              </w:rPr>
            </w:pPr>
          </w:p>
        </w:tc>
        <w:tc>
          <w:tcPr>
            <w:tcW w:w="2835" w:type="dxa"/>
          </w:tcPr>
          <w:p w:rsidR="00CF5B34" w:rsidRPr="00F237C0" w:rsidRDefault="00CF5B34" w:rsidP="00F237C0">
            <w:pPr>
              <w:rPr>
                <w:sz w:val="20"/>
                <w:szCs w:val="20"/>
              </w:rPr>
            </w:pPr>
            <w:r w:rsidRPr="00F237C0">
              <w:rPr>
                <w:sz w:val="20"/>
                <w:szCs w:val="20"/>
              </w:rPr>
              <w:t>10</w:t>
            </w:r>
            <w:r w:rsidR="00746A5C" w:rsidRPr="00F237C0">
              <w:rPr>
                <w:sz w:val="20"/>
                <w:szCs w:val="20"/>
              </w:rPr>
              <w:t>0 mg</w:t>
            </w:r>
            <w:r w:rsidRPr="00F237C0">
              <w:rPr>
                <w:sz w:val="20"/>
                <w:szCs w:val="20"/>
              </w:rPr>
              <w:t xml:space="preserve"> </w:t>
            </w:r>
            <w:r w:rsidR="00F237C0">
              <w:rPr>
                <w:sz w:val="20"/>
                <w:szCs w:val="20"/>
              </w:rPr>
              <w:t xml:space="preserve">bd </w:t>
            </w:r>
            <w:r w:rsidRPr="00F237C0">
              <w:rPr>
                <w:sz w:val="20"/>
                <w:szCs w:val="20"/>
              </w:rPr>
              <w:t>(N=165)</w:t>
            </w:r>
          </w:p>
        </w:tc>
        <w:tc>
          <w:tcPr>
            <w:tcW w:w="3119" w:type="dxa"/>
          </w:tcPr>
          <w:p w:rsidR="00CF5B34" w:rsidRPr="00F237C0" w:rsidRDefault="00CF5B34" w:rsidP="00F237C0">
            <w:pPr>
              <w:rPr>
                <w:sz w:val="20"/>
                <w:szCs w:val="20"/>
              </w:rPr>
            </w:pPr>
            <w:r w:rsidRPr="00F237C0">
              <w:rPr>
                <w:sz w:val="20"/>
                <w:szCs w:val="20"/>
              </w:rPr>
              <w:t xml:space="preserve">Placebo </w:t>
            </w:r>
            <w:r w:rsidR="00F237C0">
              <w:rPr>
                <w:sz w:val="20"/>
                <w:szCs w:val="20"/>
              </w:rPr>
              <w:t>bd</w:t>
            </w:r>
            <w:r w:rsidRPr="00F237C0">
              <w:rPr>
                <w:sz w:val="20"/>
                <w:szCs w:val="20"/>
              </w:rPr>
              <w:t xml:space="preserve"> (N=159)</w:t>
            </w:r>
          </w:p>
        </w:tc>
      </w:tr>
      <w:tr w:rsidR="00CF5B34" w:rsidRPr="00D23CC4" w:rsidTr="00F237C0">
        <w:tc>
          <w:tcPr>
            <w:tcW w:w="1843" w:type="dxa"/>
          </w:tcPr>
          <w:p w:rsidR="00CF5B34" w:rsidRPr="00F237C0" w:rsidRDefault="007066C7" w:rsidP="00F237C0">
            <w:pPr>
              <w:rPr>
                <w:sz w:val="20"/>
                <w:szCs w:val="20"/>
              </w:rPr>
            </w:pPr>
            <w:r w:rsidRPr="00F237C0">
              <w:rPr>
                <w:sz w:val="20"/>
                <w:szCs w:val="20"/>
              </w:rPr>
              <w:t xml:space="preserve">Paracetamol </w:t>
            </w:r>
          </w:p>
        </w:tc>
        <w:tc>
          <w:tcPr>
            <w:tcW w:w="2835" w:type="dxa"/>
          </w:tcPr>
          <w:p w:rsidR="00CF5B34" w:rsidRPr="00F237C0" w:rsidRDefault="00CF5B34" w:rsidP="00F237C0">
            <w:pPr>
              <w:rPr>
                <w:sz w:val="20"/>
                <w:szCs w:val="20"/>
              </w:rPr>
            </w:pPr>
            <w:r w:rsidRPr="00F237C0">
              <w:rPr>
                <w:sz w:val="20"/>
                <w:szCs w:val="20"/>
              </w:rPr>
              <w:t>18 (10.9%)</w:t>
            </w:r>
          </w:p>
        </w:tc>
        <w:tc>
          <w:tcPr>
            <w:tcW w:w="3119" w:type="dxa"/>
          </w:tcPr>
          <w:p w:rsidR="00CF5B34" w:rsidRPr="00F237C0" w:rsidRDefault="00CF5B34" w:rsidP="00F237C0">
            <w:pPr>
              <w:rPr>
                <w:sz w:val="20"/>
                <w:szCs w:val="20"/>
              </w:rPr>
            </w:pPr>
            <w:r w:rsidRPr="00F237C0">
              <w:rPr>
                <w:sz w:val="20"/>
                <w:szCs w:val="20"/>
              </w:rPr>
              <w:t>19 (11.9%)</w:t>
            </w:r>
          </w:p>
        </w:tc>
      </w:tr>
      <w:tr w:rsidR="00CF5B34" w:rsidRPr="00D23CC4" w:rsidTr="00F237C0">
        <w:tc>
          <w:tcPr>
            <w:tcW w:w="1843" w:type="dxa"/>
          </w:tcPr>
          <w:p w:rsidR="00CF5B34" w:rsidRPr="00F237C0" w:rsidRDefault="007066C7" w:rsidP="00F237C0">
            <w:pPr>
              <w:rPr>
                <w:sz w:val="20"/>
                <w:szCs w:val="20"/>
              </w:rPr>
            </w:pPr>
            <w:r w:rsidRPr="00F237C0">
              <w:rPr>
                <w:sz w:val="20"/>
                <w:szCs w:val="20"/>
              </w:rPr>
              <w:t>Tylenol P</w:t>
            </w:r>
            <w:r w:rsidR="00B432B9">
              <w:rPr>
                <w:sz w:val="20"/>
                <w:szCs w:val="20"/>
              </w:rPr>
              <w:t>M</w:t>
            </w:r>
          </w:p>
        </w:tc>
        <w:tc>
          <w:tcPr>
            <w:tcW w:w="2835" w:type="dxa"/>
          </w:tcPr>
          <w:p w:rsidR="00CF5B34" w:rsidRPr="00F237C0" w:rsidRDefault="00CF5B34" w:rsidP="00F237C0">
            <w:pPr>
              <w:rPr>
                <w:sz w:val="20"/>
                <w:szCs w:val="20"/>
              </w:rPr>
            </w:pPr>
            <w:r w:rsidRPr="00F237C0">
              <w:rPr>
                <w:sz w:val="20"/>
                <w:szCs w:val="20"/>
              </w:rPr>
              <w:t>1 (0.6%)</w:t>
            </w:r>
          </w:p>
        </w:tc>
        <w:tc>
          <w:tcPr>
            <w:tcW w:w="3119" w:type="dxa"/>
          </w:tcPr>
          <w:p w:rsidR="00CF5B34" w:rsidRPr="00F237C0" w:rsidRDefault="00CF5B34" w:rsidP="00F237C0">
            <w:pPr>
              <w:rPr>
                <w:sz w:val="20"/>
                <w:szCs w:val="20"/>
              </w:rPr>
            </w:pPr>
            <w:r w:rsidRPr="00F237C0">
              <w:rPr>
                <w:sz w:val="20"/>
                <w:szCs w:val="20"/>
              </w:rPr>
              <w:t>3 (1.9%)</w:t>
            </w:r>
          </w:p>
        </w:tc>
      </w:tr>
    </w:tbl>
    <w:p w:rsidR="00CF5B34" w:rsidRPr="00F237C0" w:rsidRDefault="00CF5B34" w:rsidP="00F237C0">
      <w:pPr>
        <w:pStyle w:val="TableDescription"/>
      </w:pPr>
      <w:r w:rsidRPr="00F237C0">
        <w:t>Patients may have more than one medication per preferred term. A patient was counted once if the patient reported one or more medications. Concomitant medications are medications that are ongoing or that start on or after the date of the first dose of study drug and until the end of treatment date (Week 12 visit)</w:t>
      </w:r>
      <w:r w:rsidR="002B3FBC">
        <w:t>. Tylenol is a registered tradename for a paracetamol and diphenhydramine containing product.</w:t>
      </w:r>
    </w:p>
    <w:p w:rsidR="00CF5B34" w:rsidRDefault="00CF5B34" w:rsidP="00CF5B34">
      <w:r>
        <w:t>Similar to Study 3001 a variety of concomitant analgesics/opiates was seen.</w:t>
      </w:r>
    </w:p>
    <w:p w:rsidR="00CF5B34" w:rsidRDefault="00CF5B34" w:rsidP="00CF5B34">
      <w:r>
        <w:t>The use of Tylenol was reported as the number of days in a week used giving a consistently low result.</w:t>
      </w:r>
    </w:p>
    <w:p w:rsidR="00CF5B34" w:rsidRDefault="00CF5B34" w:rsidP="00CF5B34">
      <w:r>
        <w:t>Pain rescue was not defined in the protocol for Study 3001. The following extract from the list of used concomitant medicine’s shows the variety of opiates alone and compounded and paracetamol alone and compounded.</w:t>
      </w:r>
    </w:p>
    <w:p w:rsidR="00CF5B34" w:rsidRDefault="00CF5B34" w:rsidP="00CF5B34">
      <w:r>
        <w:t xml:space="preserve">The </w:t>
      </w:r>
      <w:r w:rsidR="00F237C0">
        <w:t>study report</w:t>
      </w:r>
      <w:r w:rsidR="002B3FBC">
        <w:t>,</w:t>
      </w:r>
      <w:r>
        <w:t xml:space="preserve"> in commenting on concomitant medication said:</w:t>
      </w:r>
    </w:p>
    <w:p w:rsidR="00CF5B34" w:rsidRDefault="00CF5B34" w:rsidP="00F237C0">
      <w:pPr>
        <w:pStyle w:val="ListBullet"/>
      </w:pPr>
      <w:r>
        <w:t>Study 2001</w:t>
      </w:r>
      <w:r w:rsidR="002B3FBC">
        <w:t>:</w:t>
      </w:r>
      <w:r>
        <w:t xml:space="preserve"> </w:t>
      </w:r>
      <w:r w:rsidR="002B3FBC">
        <w:t>T</w:t>
      </w:r>
      <w:r>
        <w:t>he use of the ibuprofen, paracetamol, and acetylsalicylic acid</w:t>
      </w:r>
      <w:r w:rsidR="002B3FBC">
        <w:t>,</w:t>
      </w:r>
      <w:r>
        <w:t xml:space="preserve"> all of which could impact the efficacy endpoint of worst abdominal pain</w:t>
      </w:r>
      <w:r w:rsidR="002B3FBC">
        <w:t xml:space="preserve">, </w:t>
      </w:r>
      <w:r>
        <w:t>was similar across all treatment groups.</w:t>
      </w:r>
    </w:p>
    <w:p w:rsidR="00CF5B34" w:rsidRDefault="000F77DE" w:rsidP="00F237C0">
      <w:pPr>
        <w:pStyle w:val="ListBullet"/>
      </w:pPr>
      <w:r>
        <w:t>Study 3001</w:t>
      </w:r>
      <w:r w:rsidR="002B3FBC">
        <w:t>:</w:t>
      </w:r>
      <w:r>
        <w:t xml:space="preserve"> </w:t>
      </w:r>
      <w:r w:rsidR="002B3FBC">
        <w:t>T</w:t>
      </w:r>
      <w:r w:rsidR="00CF5B34">
        <w:t>he proportion of patients taking omeprazole, ibuprofen, paracetamol, and acetylsalicylic acid was similar across treatment groups.</w:t>
      </w:r>
    </w:p>
    <w:p w:rsidR="00CF5B34" w:rsidRDefault="00CF5B34" w:rsidP="00F237C0">
      <w:pPr>
        <w:pStyle w:val="Tabletitle0"/>
      </w:pPr>
      <w:bookmarkStart w:id="88" w:name="_Toc483483952"/>
      <w:r>
        <w:t xml:space="preserve">Table </w:t>
      </w:r>
      <w:r w:rsidR="00AC04B2">
        <w:t>8</w:t>
      </w:r>
      <w:r w:rsidR="00F237C0">
        <w:t>:</w:t>
      </w:r>
      <w:r>
        <w:t xml:space="preserve"> Number (%) of patients taking Concomitant Medications Enrolled Set </w:t>
      </w:r>
      <w:r w:rsidRPr="004003C2">
        <w:t>3001</w:t>
      </w:r>
      <w:bookmarkEnd w:id="88"/>
    </w:p>
    <w:tbl>
      <w:tblPr>
        <w:tblStyle w:val="TableTGAblue"/>
        <w:tblW w:w="9293" w:type="dxa"/>
        <w:tblLook w:val="04A0" w:firstRow="1" w:lastRow="0" w:firstColumn="1" w:lastColumn="0" w:noHBand="0" w:noVBand="1"/>
        <w:tblDescription w:val="Table 8: Number (%) of patients taking Concomitant Medications Enrolled Set 3001"/>
      </w:tblPr>
      <w:tblGrid>
        <w:gridCol w:w="2723"/>
        <w:gridCol w:w="1530"/>
        <w:gridCol w:w="1620"/>
        <w:gridCol w:w="1710"/>
        <w:gridCol w:w="1710"/>
      </w:tblGrid>
      <w:tr w:rsidR="004C0287" w:rsidRPr="003C49D9" w:rsidTr="00D21405">
        <w:trPr>
          <w:cnfStyle w:val="100000000000" w:firstRow="1" w:lastRow="0" w:firstColumn="0" w:lastColumn="0" w:oddVBand="0" w:evenVBand="0" w:oddHBand="0" w:evenHBand="0" w:firstRowFirstColumn="0" w:firstRowLastColumn="0" w:lastRowFirstColumn="0" w:lastRowLastColumn="0"/>
          <w:cantSplit/>
          <w:trHeight w:val="757"/>
        </w:trPr>
        <w:tc>
          <w:tcPr>
            <w:tcW w:w="2723" w:type="dxa"/>
          </w:tcPr>
          <w:p w:rsidR="00CF5B34" w:rsidRPr="003C49D9" w:rsidRDefault="00CF5B34" w:rsidP="003C49D9">
            <w:pPr>
              <w:rPr>
                <w:sz w:val="20"/>
                <w:szCs w:val="20"/>
              </w:rPr>
            </w:pPr>
          </w:p>
        </w:tc>
        <w:tc>
          <w:tcPr>
            <w:tcW w:w="1530" w:type="dxa"/>
          </w:tcPr>
          <w:p w:rsidR="00CF5B34" w:rsidRPr="003C49D9" w:rsidRDefault="00CF5B34" w:rsidP="003C49D9">
            <w:pPr>
              <w:rPr>
                <w:sz w:val="20"/>
                <w:szCs w:val="20"/>
              </w:rPr>
            </w:pPr>
            <w:r w:rsidRPr="003C49D9">
              <w:rPr>
                <w:sz w:val="20"/>
                <w:szCs w:val="20"/>
              </w:rPr>
              <w:t>7</w:t>
            </w:r>
            <w:r w:rsidR="00746A5C" w:rsidRPr="003C49D9">
              <w:rPr>
                <w:sz w:val="20"/>
                <w:szCs w:val="20"/>
              </w:rPr>
              <w:t>5 mg</w:t>
            </w:r>
            <w:r w:rsidRPr="003C49D9">
              <w:rPr>
                <w:sz w:val="20"/>
                <w:szCs w:val="20"/>
              </w:rPr>
              <w:t xml:space="preserve"> </w:t>
            </w:r>
            <w:r w:rsidR="003C49D9">
              <w:rPr>
                <w:sz w:val="20"/>
                <w:szCs w:val="20"/>
              </w:rPr>
              <w:t>bd</w:t>
            </w:r>
            <w:r w:rsidRPr="003C49D9">
              <w:rPr>
                <w:sz w:val="20"/>
                <w:szCs w:val="20"/>
              </w:rPr>
              <w:t xml:space="preserve"> (N</w:t>
            </w:r>
            <w:r w:rsidR="002B3FBC">
              <w:rPr>
                <w:sz w:val="20"/>
                <w:szCs w:val="20"/>
              </w:rPr>
              <w:t xml:space="preserve"> </w:t>
            </w:r>
            <w:r w:rsidRPr="003C49D9">
              <w:rPr>
                <w:sz w:val="20"/>
                <w:szCs w:val="20"/>
              </w:rPr>
              <w:t>=</w:t>
            </w:r>
            <w:r w:rsidR="002B3FBC">
              <w:rPr>
                <w:sz w:val="20"/>
                <w:szCs w:val="20"/>
              </w:rPr>
              <w:t xml:space="preserve"> </w:t>
            </w:r>
            <w:r w:rsidRPr="003C49D9">
              <w:rPr>
                <w:sz w:val="20"/>
                <w:szCs w:val="20"/>
              </w:rPr>
              <w:t>429)</w:t>
            </w:r>
          </w:p>
        </w:tc>
        <w:tc>
          <w:tcPr>
            <w:tcW w:w="1620" w:type="dxa"/>
          </w:tcPr>
          <w:p w:rsidR="00CF5B34" w:rsidRPr="003C49D9" w:rsidRDefault="00CF5B34" w:rsidP="003C49D9">
            <w:pPr>
              <w:rPr>
                <w:sz w:val="20"/>
                <w:szCs w:val="20"/>
              </w:rPr>
            </w:pPr>
            <w:r w:rsidRPr="003C49D9">
              <w:rPr>
                <w:sz w:val="20"/>
                <w:szCs w:val="20"/>
              </w:rPr>
              <w:t>10</w:t>
            </w:r>
            <w:r w:rsidR="00746A5C" w:rsidRPr="003C49D9">
              <w:rPr>
                <w:sz w:val="20"/>
                <w:szCs w:val="20"/>
              </w:rPr>
              <w:t>0 mg</w:t>
            </w:r>
            <w:r w:rsidRPr="003C49D9">
              <w:rPr>
                <w:sz w:val="20"/>
                <w:szCs w:val="20"/>
              </w:rPr>
              <w:t xml:space="preserve"> </w:t>
            </w:r>
            <w:r w:rsidR="003C49D9">
              <w:rPr>
                <w:sz w:val="20"/>
                <w:szCs w:val="20"/>
              </w:rPr>
              <w:t>bd</w:t>
            </w:r>
            <w:r w:rsidRPr="003C49D9">
              <w:rPr>
                <w:sz w:val="20"/>
                <w:szCs w:val="20"/>
              </w:rPr>
              <w:t xml:space="preserve"> (N</w:t>
            </w:r>
            <w:r w:rsidR="002B3FBC">
              <w:rPr>
                <w:sz w:val="20"/>
                <w:szCs w:val="20"/>
              </w:rPr>
              <w:t xml:space="preserve"> </w:t>
            </w:r>
            <w:r w:rsidRPr="003C49D9">
              <w:rPr>
                <w:sz w:val="20"/>
                <w:szCs w:val="20"/>
              </w:rPr>
              <w:t>=</w:t>
            </w:r>
            <w:r w:rsidR="002B3FBC">
              <w:rPr>
                <w:sz w:val="20"/>
                <w:szCs w:val="20"/>
              </w:rPr>
              <w:t xml:space="preserve"> </w:t>
            </w:r>
            <w:r w:rsidRPr="003C49D9">
              <w:rPr>
                <w:sz w:val="20"/>
                <w:szCs w:val="20"/>
              </w:rPr>
              <w:t>426)</w:t>
            </w:r>
          </w:p>
        </w:tc>
        <w:tc>
          <w:tcPr>
            <w:tcW w:w="1710" w:type="dxa"/>
          </w:tcPr>
          <w:p w:rsidR="00CF5B34" w:rsidRPr="003C49D9" w:rsidRDefault="00CF5B34" w:rsidP="003C49D9">
            <w:pPr>
              <w:rPr>
                <w:sz w:val="20"/>
                <w:szCs w:val="20"/>
              </w:rPr>
            </w:pPr>
            <w:r w:rsidRPr="003C49D9">
              <w:rPr>
                <w:sz w:val="20"/>
                <w:szCs w:val="20"/>
              </w:rPr>
              <w:t xml:space="preserve">Placebo </w:t>
            </w:r>
            <w:r w:rsidR="003C49D9">
              <w:rPr>
                <w:sz w:val="20"/>
                <w:szCs w:val="20"/>
              </w:rPr>
              <w:t>bd</w:t>
            </w:r>
            <w:r w:rsidRPr="003C49D9">
              <w:rPr>
                <w:sz w:val="20"/>
                <w:szCs w:val="20"/>
              </w:rPr>
              <w:t xml:space="preserve"> (N</w:t>
            </w:r>
            <w:r w:rsidR="002B3FBC">
              <w:rPr>
                <w:sz w:val="20"/>
                <w:szCs w:val="20"/>
              </w:rPr>
              <w:t xml:space="preserve"> </w:t>
            </w:r>
            <w:r w:rsidRPr="003C49D9">
              <w:rPr>
                <w:sz w:val="20"/>
                <w:szCs w:val="20"/>
              </w:rPr>
              <w:t>=</w:t>
            </w:r>
            <w:r w:rsidR="002B3FBC">
              <w:rPr>
                <w:sz w:val="20"/>
                <w:szCs w:val="20"/>
              </w:rPr>
              <w:t xml:space="preserve"> </w:t>
            </w:r>
            <w:r w:rsidRPr="003C49D9">
              <w:rPr>
                <w:sz w:val="20"/>
                <w:szCs w:val="20"/>
              </w:rPr>
              <w:t>427)</w:t>
            </w:r>
          </w:p>
        </w:tc>
        <w:tc>
          <w:tcPr>
            <w:tcW w:w="1710" w:type="dxa"/>
          </w:tcPr>
          <w:p w:rsidR="00CF5B34" w:rsidRPr="003C49D9" w:rsidRDefault="00CF5B34" w:rsidP="003C49D9">
            <w:pPr>
              <w:rPr>
                <w:sz w:val="20"/>
                <w:szCs w:val="20"/>
              </w:rPr>
            </w:pPr>
            <w:r w:rsidRPr="003C49D9">
              <w:rPr>
                <w:sz w:val="20"/>
                <w:szCs w:val="20"/>
              </w:rPr>
              <w:t>Total (N</w:t>
            </w:r>
            <w:r w:rsidR="002B3FBC">
              <w:rPr>
                <w:sz w:val="20"/>
                <w:szCs w:val="20"/>
              </w:rPr>
              <w:t> </w:t>
            </w:r>
            <w:r w:rsidRPr="003C49D9">
              <w:rPr>
                <w:sz w:val="20"/>
                <w:szCs w:val="20"/>
              </w:rPr>
              <w:t>=</w:t>
            </w:r>
            <w:r w:rsidR="002B3FBC">
              <w:rPr>
                <w:sz w:val="20"/>
                <w:szCs w:val="20"/>
              </w:rPr>
              <w:t> </w:t>
            </w:r>
            <w:r w:rsidRPr="003C49D9">
              <w:rPr>
                <w:sz w:val="20"/>
                <w:szCs w:val="20"/>
              </w:rPr>
              <w:t>1282)</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Co-Tylenol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1 (0.1%)</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Cough </w:t>
            </w:r>
            <w:r w:rsidR="00E86699">
              <w:rPr>
                <w:sz w:val="18"/>
                <w:szCs w:val="20"/>
              </w:rPr>
              <w:t>a</w:t>
            </w:r>
            <w:r w:rsidRPr="00D21405">
              <w:rPr>
                <w:sz w:val="18"/>
                <w:szCs w:val="20"/>
              </w:rPr>
              <w:t xml:space="preserve">nd </w:t>
            </w:r>
            <w:r w:rsidR="00E86699">
              <w:rPr>
                <w:sz w:val="18"/>
                <w:szCs w:val="20"/>
              </w:rPr>
              <w:t>c</w:t>
            </w:r>
            <w:r w:rsidRPr="00D21405">
              <w:rPr>
                <w:sz w:val="18"/>
                <w:szCs w:val="20"/>
              </w:rPr>
              <w:t xml:space="preserve">old </w:t>
            </w:r>
            <w:r w:rsidR="00E86699">
              <w:rPr>
                <w:sz w:val="18"/>
                <w:szCs w:val="20"/>
              </w:rPr>
              <w:t>p</w:t>
            </w:r>
            <w:r w:rsidRPr="00D21405">
              <w:rPr>
                <w:sz w:val="18"/>
                <w:szCs w:val="20"/>
              </w:rPr>
              <w:t xml:space="preserve">reparations </w:t>
            </w:r>
          </w:p>
        </w:tc>
        <w:tc>
          <w:tcPr>
            <w:tcW w:w="1530" w:type="dxa"/>
          </w:tcPr>
          <w:p w:rsidR="00CF5B34" w:rsidRPr="003C49D9" w:rsidRDefault="00CF5B34" w:rsidP="003C49D9">
            <w:pPr>
              <w:rPr>
                <w:sz w:val="20"/>
                <w:szCs w:val="20"/>
              </w:rPr>
            </w:pPr>
            <w:r w:rsidRPr="003C49D9">
              <w:rPr>
                <w:sz w:val="20"/>
                <w:szCs w:val="20"/>
              </w:rPr>
              <w:t>5 (1.2%)</w:t>
            </w:r>
          </w:p>
        </w:tc>
        <w:tc>
          <w:tcPr>
            <w:tcW w:w="1620" w:type="dxa"/>
          </w:tcPr>
          <w:p w:rsidR="00CF5B34" w:rsidRPr="003C49D9" w:rsidRDefault="00CF5B34" w:rsidP="003C49D9">
            <w:pPr>
              <w:rPr>
                <w:sz w:val="20"/>
                <w:szCs w:val="20"/>
              </w:rPr>
            </w:pPr>
            <w:r w:rsidRPr="003C49D9">
              <w:rPr>
                <w:sz w:val="20"/>
                <w:szCs w:val="20"/>
              </w:rPr>
              <w:t>6 (1.4%)</w:t>
            </w:r>
          </w:p>
        </w:tc>
        <w:tc>
          <w:tcPr>
            <w:tcW w:w="1710" w:type="dxa"/>
          </w:tcPr>
          <w:p w:rsidR="00CF5B34" w:rsidRPr="003C49D9" w:rsidRDefault="00CF5B34" w:rsidP="003C49D9">
            <w:pPr>
              <w:rPr>
                <w:sz w:val="20"/>
                <w:szCs w:val="20"/>
              </w:rPr>
            </w:pPr>
            <w:r w:rsidRPr="003C49D9">
              <w:rPr>
                <w:sz w:val="20"/>
                <w:szCs w:val="20"/>
              </w:rPr>
              <w:t>5 (1.2%)</w:t>
            </w:r>
          </w:p>
        </w:tc>
        <w:tc>
          <w:tcPr>
            <w:tcW w:w="1710" w:type="dxa"/>
          </w:tcPr>
          <w:p w:rsidR="00CF5B34" w:rsidRPr="003C49D9" w:rsidRDefault="00CF5B34" w:rsidP="003C49D9">
            <w:pPr>
              <w:rPr>
                <w:sz w:val="20"/>
                <w:szCs w:val="20"/>
              </w:rPr>
            </w:pPr>
            <w:r w:rsidRPr="003C49D9">
              <w:rPr>
                <w:sz w:val="20"/>
                <w:szCs w:val="20"/>
              </w:rPr>
              <w:t>16 (1.2%)</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Codeine </w:t>
            </w:r>
            <w:r w:rsidR="00E86699">
              <w:rPr>
                <w:sz w:val="18"/>
                <w:szCs w:val="20"/>
              </w:rPr>
              <w:t>p</w:t>
            </w:r>
            <w:r w:rsidRPr="00D21405">
              <w:rPr>
                <w:sz w:val="18"/>
                <w:szCs w:val="20"/>
              </w:rPr>
              <w:t xml:space="preserve">hosphate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1 (0.1%)</w:t>
            </w:r>
          </w:p>
        </w:tc>
      </w:tr>
      <w:tr w:rsidR="004C0287" w:rsidRPr="003C49D9" w:rsidTr="00D21405">
        <w:tc>
          <w:tcPr>
            <w:tcW w:w="2723" w:type="dxa"/>
          </w:tcPr>
          <w:p w:rsidR="00CF5B34" w:rsidRPr="00D21405" w:rsidRDefault="007066C7" w:rsidP="003C49D9">
            <w:pPr>
              <w:rPr>
                <w:sz w:val="18"/>
                <w:szCs w:val="20"/>
              </w:rPr>
            </w:pPr>
            <w:r w:rsidRPr="00D21405">
              <w:rPr>
                <w:sz w:val="18"/>
                <w:szCs w:val="20"/>
              </w:rPr>
              <w:lastRenderedPageBreak/>
              <w:t xml:space="preserve">Dextromethorphan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4 (0.9%)</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5 (0.4%)</w:t>
            </w:r>
          </w:p>
        </w:tc>
      </w:tr>
      <w:tr w:rsidR="004C0287" w:rsidRPr="003C49D9" w:rsidTr="00D21405">
        <w:tc>
          <w:tcPr>
            <w:tcW w:w="2723" w:type="dxa"/>
          </w:tcPr>
          <w:p w:rsidR="00CF5B34" w:rsidRPr="00D21405" w:rsidRDefault="007066C7" w:rsidP="00E86699">
            <w:pPr>
              <w:rPr>
                <w:sz w:val="18"/>
                <w:szCs w:val="20"/>
              </w:rPr>
            </w:pPr>
            <w:r w:rsidRPr="00D21405">
              <w:rPr>
                <w:sz w:val="18"/>
                <w:szCs w:val="20"/>
              </w:rPr>
              <w:t xml:space="preserve">Dextromethorphan </w:t>
            </w:r>
            <w:proofErr w:type="spellStart"/>
            <w:r w:rsidR="00E86699">
              <w:rPr>
                <w:sz w:val="18"/>
                <w:szCs w:val="20"/>
              </w:rPr>
              <w:t>h</w:t>
            </w:r>
            <w:r w:rsidR="00E86699" w:rsidRPr="00D21405">
              <w:rPr>
                <w:sz w:val="18"/>
                <w:szCs w:val="20"/>
              </w:rPr>
              <w:t>ydrobromide</w:t>
            </w:r>
            <w:proofErr w:type="spellEnd"/>
            <w:r w:rsidR="00E86699" w:rsidRPr="00D21405">
              <w:rPr>
                <w:sz w:val="18"/>
                <w:szCs w:val="20"/>
              </w:rPr>
              <w:t xml:space="preserve">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3 (0.7%)</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4 (0.3%)</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Dihydrocodeine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1 (0.1%)</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Dozol </w:t>
            </w:r>
          </w:p>
        </w:tc>
        <w:tc>
          <w:tcPr>
            <w:tcW w:w="1530" w:type="dxa"/>
          </w:tcPr>
          <w:p w:rsidR="00CF5B34" w:rsidRPr="003C49D9" w:rsidRDefault="00CF5B34" w:rsidP="003C49D9">
            <w:pPr>
              <w:rPr>
                <w:sz w:val="20"/>
                <w:szCs w:val="20"/>
              </w:rPr>
            </w:pPr>
            <w:r w:rsidRPr="003C49D9">
              <w:rPr>
                <w:sz w:val="20"/>
                <w:szCs w:val="20"/>
              </w:rPr>
              <w:t>2 (0.5%)</w:t>
            </w:r>
          </w:p>
        </w:tc>
        <w:tc>
          <w:tcPr>
            <w:tcW w:w="162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3 (0.7%)</w:t>
            </w:r>
          </w:p>
        </w:tc>
        <w:tc>
          <w:tcPr>
            <w:tcW w:w="1710" w:type="dxa"/>
          </w:tcPr>
          <w:p w:rsidR="00CF5B34" w:rsidRPr="003C49D9" w:rsidRDefault="00CF5B34" w:rsidP="003C49D9">
            <w:pPr>
              <w:rPr>
                <w:sz w:val="20"/>
                <w:szCs w:val="20"/>
              </w:rPr>
            </w:pPr>
            <w:r w:rsidRPr="003C49D9">
              <w:rPr>
                <w:sz w:val="20"/>
                <w:szCs w:val="20"/>
              </w:rPr>
              <w:t>6 (0.5%)</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Fentanyl </w:t>
            </w:r>
          </w:p>
        </w:tc>
        <w:tc>
          <w:tcPr>
            <w:tcW w:w="1530" w:type="dxa"/>
          </w:tcPr>
          <w:p w:rsidR="00CF5B34" w:rsidRPr="003C49D9" w:rsidRDefault="00CF5B34" w:rsidP="003C49D9">
            <w:pPr>
              <w:rPr>
                <w:sz w:val="20"/>
                <w:szCs w:val="20"/>
              </w:rPr>
            </w:pPr>
            <w:r w:rsidRPr="003C49D9">
              <w:rPr>
                <w:sz w:val="20"/>
                <w:szCs w:val="20"/>
              </w:rPr>
              <w:t>3 (0.7%)</w:t>
            </w:r>
          </w:p>
        </w:tc>
        <w:tc>
          <w:tcPr>
            <w:tcW w:w="1620" w:type="dxa"/>
          </w:tcPr>
          <w:p w:rsidR="00CF5B34" w:rsidRPr="003C49D9" w:rsidRDefault="00CF5B34" w:rsidP="003C49D9">
            <w:pPr>
              <w:rPr>
                <w:sz w:val="20"/>
                <w:szCs w:val="20"/>
              </w:rPr>
            </w:pPr>
            <w:r w:rsidRPr="003C49D9">
              <w:rPr>
                <w:sz w:val="20"/>
                <w:szCs w:val="20"/>
              </w:rPr>
              <w:t>5 (1.2%)</w:t>
            </w:r>
          </w:p>
        </w:tc>
        <w:tc>
          <w:tcPr>
            <w:tcW w:w="1710" w:type="dxa"/>
          </w:tcPr>
          <w:p w:rsidR="00CF5B34" w:rsidRPr="003C49D9" w:rsidRDefault="00CF5B34" w:rsidP="003C49D9">
            <w:pPr>
              <w:rPr>
                <w:sz w:val="20"/>
                <w:szCs w:val="20"/>
              </w:rPr>
            </w:pPr>
            <w:r w:rsidRPr="003C49D9">
              <w:rPr>
                <w:sz w:val="20"/>
                <w:szCs w:val="20"/>
              </w:rPr>
              <w:t>6 (1.4%)</w:t>
            </w:r>
          </w:p>
        </w:tc>
        <w:tc>
          <w:tcPr>
            <w:tcW w:w="1710" w:type="dxa"/>
          </w:tcPr>
          <w:p w:rsidR="00CF5B34" w:rsidRPr="003C49D9" w:rsidRDefault="00CF5B34" w:rsidP="003C49D9">
            <w:pPr>
              <w:rPr>
                <w:sz w:val="20"/>
                <w:szCs w:val="20"/>
              </w:rPr>
            </w:pPr>
            <w:r w:rsidRPr="003C49D9">
              <w:rPr>
                <w:sz w:val="20"/>
                <w:szCs w:val="20"/>
              </w:rPr>
              <w:t>14 (1.1%)</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Fentanyl Citrate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(0.1%)</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Gabapentin </w:t>
            </w:r>
          </w:p>
        </w:tc>
        <w:tc>
          <w:tcPr>
            <w:tcW w:w="1530" w:type="dxa"/>
          </w:tcPr>
          <w:p w:rsidR="00CF5B34" w:rsidRPr="003C49D9" w:rsidRDefault="00CF5B34" w:rsidP="003C49D9">
            <w:pPr>
              <w:rPr>
                <w:sz w:val="20"/>
                <w:szCs w:val="20"/>
              </w:rPr>
            </w:pPr>
            <w:r w:rsidRPr="003C49D9">
              <w:rPr>
                <w:sz w:val="20"/>
                <w:szCs w:val="20"/>
              </w:rPr>
              <w:t>20 (4.7%)</w:t>
            </w:r>
          </w:p>
        </w:tc>
        <w:tc>
          <w:tcPr>
            <w:tcW w:w="1620" w:type="dxa"/>
          </w:tcPr>
          <w:p w:rsidR="00CF5B34" w:rsidRPr="003C49D9" w:rsidRDefault="00CF5B34" w:rsidP="003C49D9">
            <w:pPr>
              <w:rPr>
                <w:sz w:val="20"/>
                <w:szCs w:val="20"/>
              </w:rPr>
            </w:pPr>
            <w:r w:rsidRPr="003C49D9">
              <w:rPr>
                <w:sz w:val="20"/>
                <w:szCs w:val="20"/>
              </w:rPr>
              <w:t>16 (3.8%)</w:t>
            </w:r>
          </w:p>
        </w:tc>
        <w:tc>
          <w:tcPr>
            <w:tcW w:w="1710" w:type="dxa"/>
          </w:tcPr>
          <w:p w:rsidR="00CF5B34" w:rsidRPr="003C49D9" w:rsidRDefault="00CF5B34" w:rsidP="003C49D9">
            <w:pPr>
              <w:rPr>
                <w:sz w:val="20"/>
                <w:szCs w:val="20"/>
              </w:rPr>
            </w:pPr>
            <w:r w:rsidRPr="003C49D9">
              <w:rPr>
                <w:sz w:val="20"/>
                <w:szCs w:val="20"/>
              </w:rPr>
              <w:t>19 (4.4%)</w:t>
            </w:r>
          </w:p>
        </w:tc>
        <w:tc>
          <w:tcPr>
            <w:tcW w:w="1710" w:type="dxa"/>
          </w:tcPr>
          <w:p w:rsidR="00CF5B34" w:rsidRPr="003C49D9" w:rsidRDefault="00CF5B34" w:rsidP="003C49D9">
            <w:pPr>
              <w:rPr>
                <w:sz w:val="20"/>
                <w:szCs w:val="20"/>
              </w:rPr>
            </w:pPr>
            <w:r w:rsidRPr="003C49D9">
              <w:rPr>
                <w:sz w:val="20"/>
                <w:szCs w:val="20"/>
              </w:rPr>
              <w:t>55 (4.3%)</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Hydrocodone </w:t>
            </w:r>
          </w:p>
        </w:tc>
        <w:tc>
          <w:tcPr>
            <w:tcW w:w="1530" w:type="dxa"/>
          </w:tcPr>
          <w:p w:rsidR="00CF5B34" w:rsidRPr="003C49D9" w:rsidRDefault="00CF5B34" w:rsidP="003C49D9">
            <w:pPr>
              <w:rPr>
                <w:sz w:val="20"/>
                <w:szCs w:val="20"/>
              </w:rPr>
            </w:pPr>
            <w:r w:rsidRPr="003C49D9">
              <w:rPr>
                <w:sz w:val="20"/>
                <w:szCs w:val="20"/>
              </w:rPr>
              <w:t>6 (1.4%)</w:t>
            </w:r>
          </w:p>
        </w:tc>
        <w:tc>
          <w:tcPr>
            <w:tcW w:w="162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10 (0.8%)</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Hydromorphone </w:t>
            </w:r>
          </w:p>
        </w:tc>
        <w:tc>
          <w:tcPr>
            <w:tcW w:w="1530" w:type="dxa"/>
          </w:tcPr>
          <w:p w:rsidR="00CF5B34" w:rsidRPr="003C49D9" w:rsidRDefault="00CF5B34" w:rsidP="003C49D9">
            <w:pPr>
              <w:rPr>
                <w:sz w:val="20"/>
                <w:szCs w:val="20"/>
              </w:rPr>
            </w:pPr>
            <w:r w:rsidRPr="003C49D9">
              <w:rPr>
                <w:sz w:val="20"/>
                <w:szCs w:val="20"/>
              </w:rPr>
              <w:t>1 (0.2%)</w:t>
            </w:r>
          </w:p>
        </w:tc>
        <w:tc>
          <w:tcPr>
            <w:tcW w:w="1620" w:type="dxa"/>
          </w:tcPr>
          <w:p w:rsidR="00CF5B34" w:rsidRPr="003C49D9" w:rsidRDefault="00CF5B34" w:rsidP="003C49D9">
            <w:pPr>
              <w:rPr>
                <w:sz w:val="20"/>
                <w:szCs w:val="20"/>
              </w:rPr>
            </w:pPr>
            <w:r w:rsidRPr="003C49D9">
              <w:rPr>
                <w:sz w:val="20"/>
                <w:szCs w:val="20"/>
              </w:rPr>
              <w:t>4 (0.9%)</w:t>
            </w:r>
          </w:p>
        </w:tc>
        <w:tc>
          <w:tcPr>
            <w:tcW w:w="171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7 (0.5%)</w:t>
            </w:r>
          </w:p>
        </w:tc>
      </w:tr>
      <w:tr w:rsidR="004C0287" w:rsidRPr="003C49D9" w:rsidTr="00D21405">
        <w:tc>
          <w:tcPr>
            <w:tcW w:w="2723" w:type="dxa"/>
          </w:tcPr>
          <w:p w:rsidR="00CF5B34" w:rsidRPr="00D21405" w:rsidRDefault="007066C7" w:rsidP="00E86699">
            <w:pPr>
              <w:rPr>
                <w:sz w:val="18"/>
                <w:szCs w:val="20"/>
              </w:rPr>
            </w:pPr>
            <w:r w:rsidRPr="00D21405">
              <w:rPr>
                <w:sz w:val="18"/>
                <w:szCs w:val="20"/>
              </w:rPr>
              <w:t xml:space="preserve">Hydromorphone </w:t>
            </w:r>
            <w:r w:rsidR="00E86699">
              <w:rPr>
                <w:sz w:val="18"/>
                <w:szCs w:val="20"/>
              </w:rPr>
              <w:t>h</w:t>
            </w:r>
            <w:r w:rsidR="00E86699" w:rsidRPr="00D21405">
              <w:rPr>
                <w:sz w:val="18"/>
                <w:szCs w:val="20"/>
              </w:rPr>
              <w:t xml:space="preserve">ydrochloride </w:t>
            </w:r>
          </w:p>
        </w:tc>
        <w:tc>
          <w:tcPr>
            <w:tcW w:w="1530" w:type="dxa"/>
          </w:tcPr>
          <w:p w:rsidR="00CF5B34" w:rsidRPr="003C49D9" w:rsidRDefault="00CF5B34" w:rsidP="003C49D9">
            <w:pPr>
              <w:rPr>
                <w:sz w:val="20"/>
                <w:szCs w:val="20"/>
              </w:rPr>
            </w:pPr>
            <w:r w:rsidRPr="003C49D9">
              <w:rPr>
                <w:sz w:val="20"/>
                <w:szCs w:val="20"/>
              </w:rPr>
              <w:t>5 (1.2%)</w:t>
            </w:r>
          </w:p>
        </w:tc>
        <w:tc>
          <w:tcPr>
            <w:tcW w:w="1620" w:type="dxa"/>
          </w:tcPr>
          <w:p w:rsidR="00CF5B34" w:rsidRPr="003C49D9" w:rsidRDefault="00CF5B34" w:rsidP="003C49D9">
            <w:pPr>
              <w:rPr>
                <w:sz w:val="20"/>
                <w:szCs w:val="20"/>
              </w:rPr>
            </w:pPr>
            <w:r w:rsidRPr="003C49D9">
              <w:rPr>
                <w:sz w:val="20"/>
                <w:szCs w:val="20"/>
              </w:rPr>
              <w:t>9 (2.1%)</w:t>
            </w:r>
          </w:p>
        </w:tc>
        <w:tc>
          <w:tcPr>
            <w:tcW w:w="1710" w:type="dxa"/>
          </w:tcPr>
          <w:p w:rsidR="00CF5B34" w:rsidRPr="003C49D9" w:rsidRDefault="00CF5B34" w:rsidP="003C49D9">
            <w:pPr>
              <w:rPr>
                <w:sz w:val="20"/>
                <w:szCs w:val="20"/>
              </w:rPr>
            </w:pPr>
            <w:r w:rsidRPr="003C49D9">
              <w:rPr>
                <w:sz w:val="20"/>
                <w:szCs w:val="20"/>
              </w:rPr>
              <w:t>3 (0.7%)</w:t>
            </w:r>
          </w:p>
        </w:tc>
        <w:tc>
          <w:tcPr>
            <w:tcW w:w="1710" w:type="dxa"/>
          </w:tcPr>
          <w:p w:rsidR="00CF5B34" w:rsidRPr="003C49D9" w:rsidRDefault="00CF5B34" w:rsidP="003C49D9">
            <w:pPr>
              <w:rPr>
                <w:sz w:val="20"/>
                <w:szCs w:val="20"/>
              </w:rPr>
            </w:pPr>
            <w:r w:rsidRPr="003C49D9">
              <w:rPr>
                <w:sz w:val="20"/>
                <w:szCs w:val="20"/>
              </w:rPr>
              <w:t>17 (1.3%)</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Lomotil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3 (0.7%)</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4 (0.3%)</w:t>
            </w:r>
          </w:p>
        </w:tc>
      </w:tr>
      <w:tr w:rsidR="004C0287" w:rsidRPr="003C49D9" w:rsidTr="00D21405">
        <w:tc>
          <w:tcPr>
            <w:tcW w:w="2723" w:type="dxa"/>
          </w:tcPr>
          <w:p w:rsidR="00CF5B34" w:rsidRPr="00D21405" w:rsidRDefault="007066C7" w:rsidP="00E86699">
            <w:pPr>
              <w:rPr>
                <w:sz w:val="18"/>
                <w:szCs w:val="20"/>
              </w:rPr>
            </w:pPr>
            <w:r w:rsidRPr="00D21405">
              <w:rPr>
                <w:sz w:val="18"/>
                <w:szCs w:val="20"/>
              </w:rPr>
              <w:t xml:space="preserve">Loperamide </w:t>
            </w:r>
            <w:r w:rsidR="00E86699">
              <w:rPr>
                <w:sz w:val="18"/>
                <w:szCs w:val="20"/>
              </w:rPr>
              <w:t>h</w:t>
            </w:r>
            <w:r w:rsidR="00E86699" w:rsidRPr="00D21405">
              <w:rPr>
                <w:sz w:val="18"/>
                <w:szCs w:val="20"/>
              </w:rPr>
              <w:t xml:space="preserve">ydrochloride </w:t>
            </w:r>
          </w:p>
        </w:tc>
        <w:tc>
          <w:tcPr>
            <w:tcW w:w="1530" w:type="dxa"/>
          </w:tcPr>
          <w:p w:rsidR="00CF5B34" w:rsidRPr="003C49D9" w:rsidRDefault="00CF5B34" w:rsidP="003C49D9">
            <w:pPr>
              <w:rPr>
                <w:sz w:val="20"/>
                <w:szCs w:val="20"/>
              </w:rPr>
            </w:pPr>
            <w:r w:rsidRPr="003C49D9">
              <w:rPr>
                <w:sz w:val="20"/>
                <w:szCs w:val="20"/>
              </w:rPr>
              <w:t>4 (0.9%)</w:t>
            </w:r>
          </w:p>
        </w:tc>
        <w:tc>
          <w:tcPr>
            <w:tcW w:w="1620" w:type="dxa"/>
          </w:tcPr>
          <w:p w:rsidR="00CF5B34" w:rsidRPr="003C49D9" w:rsidRDefault="00CF5B34" w:rsidP="003C49D9">
            <w:pPr>
              <w:rPr>
                <w:sz w:val="20"/>
                <w:szCs w:val="20"/>
              </w:rPr>
            </w:pPr>
            <w:r w:rsidRPr="003C49D9">
              <w:rPr>
                <w:sz w:val="20"/>
                <w:szCs w:val="20"/>
              </w:rPr>
              <w:t>5 (1.2%)</w:t>
            </w:r>
          </w:p>
        </w:tc>
        <w:tc>
          <w:tcPr>
            <w:tcW w:w="1710" w:type="dxa"/>
          </w:tcPr>
          <w:p w:rsidR="00CF5B34" w:rsidRPr="003C49D9" w:rsidRDefault="00CF5B34" w:rsidP="003C49D9">
            <w:pPr>
              <w:rPr>
                <w:sz w:val="20"/>
                <w:szCs w:val="20"/>
              </w:rPr>
            </w:pPr>
            <w:r w:rsidRPr="003C49D9">
              <w:rPr>
                <w:sz w:val="20"/>
                <w:szCs w:val="20"/>
              </w:rPr>
              <w:t>8 (1.9%)</w:t>
            </w:r>
          </w:p>
        </w:tc>
        <w:tc>
          <w:tcPr>
            <w:tcW w:w="1710" w:type="dxa"/>
          </w:tcPr>
          <w:p w:rsidR="00CF5B34" w:rsidRPr="003C49D9" w:rsidRDefault="00CF5B34" w:rsidP="003C49D9">
            <w:pPr>
              <w:rPr>
                <w:sz w:val="20"/>
                <w:szCs w:val="20"/>
              </w:rPr>
            </w:pPr>
            <w:r w:rsidRPr="003C49D9">
              <w:rPr>
                <w:sz w:val="20"/>
                <w:szCs w:val="20"/>
              </w:rPr>
              <w:t>17 (1.3%)</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Loperamide </w:t>
            </w:r>
            <w:r w:rsidR="00E86699">
              <w:rPr>
                <w:sz w:val="18"/>
                <w:szCs w:val="20"/>
              </w:rPr>
              <w:t xml:space="preserve">with </w:t>
            </w:r>
            <w:r w:rsidR="00E4543A">
              <w:rPr>
                <w:sz w:val="18"/>
                <w:szCs w:val="20"/>
              </w:rPr>
              <w:t>s</w:t>
            </w:r>
            <w:r w:rsidR="00E4543A" w:rsidRPr="00E4543A">
              <w:rPr>
                <w:sz w:val="18"/>
                <w:szCs w:val="20"/>
              </w:rPr>
              <w:t>imethicone</w:t>
            </w:r>
            <w:r w:rsidRPr="00D21405">
              <w:rPr>
                <w:sz w:val="18"/>
                <w:szCs w:val="20"/>
              </w:rPr>
              <w:t xml:space="preserve">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(0.1%)</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Morphine </w:t>
            </w:r>
          </w:p>
        </w:tc>
        <w:tc>
          <w:tcPr>
            <w:tcW w:w="1530" w:type="dxa"/>
          </w:tcPr>
          <w:p w:rsidR="00CF5B34" w:rsidRPr="003C49D9" w:rsidRDefault="00CF5B34" w:rsidP="003C49D9">
            <w:pPr>
              <w:rPr>
                <w:sz w:val="20"/>
                <w:szCs w:val="20"/>
              </w:rPr>
            </w:pPr>
            <w:r w:rsidRPr="003C49D9">
              <w:rPr>
                <w:sz w:val="20"/>
                <w:szCs w:val="20"/>
              </w:rPr>
              <w:t>3 (0.7%)</w:t>
            </w:r>
          </w:p>
        </w:tc>
        <w:tc>
          <w:tcPr>
            <w:tcW w:w="1620" w:type="dxa"/>
          </w:tcPr>
          <w:p w:rsidR="00CF5B34" w:rsidRPr="003C49D9" w:rsidRDefault="00CF5B34" w:rsidP="003C49D9">
            <w:pPr>
              <w:rPr>
                <w:sz w:val="20"/>
                <w:szCs w:val="20"/>
              </w:rPr>
            </w:pPr>
            <w:r w:rsidRPr="003C49D9">
              <w:rPr>
                <w:sz w:val="20"/>
                <w:szCs w:val="20"/>
              </w:rPr>
              <w:t>11 (2.6%)</w:t>
            </w:r>
          </w:p>
        </w:tc>
        <w:tc>
          <w:tcPr>
            <w:tcW w:w="1710" w:type="dxa"/>
          </w:tcPr>
          <w:p w:rsidR="00CF5B34" w:rsidRPr="003C49D9" w:rsidRDefault="00CF5B34" w:rsidP="003C49D9">
            <w:pPr>
              <w:rPr>
                <w:sz w:val="20"/>
                <w:szCs w:val="20"/>
              </w:rPr>
            </w:pPr>
            <w:r w:rsidRPr="003C49D9">
              <w:rPr>
                <w:sz w:val="20"/>
                <w:szCs w:val="20"/>
              </w:rPr>
              <w:t>5 (1.2%)</w:t>
            </w:r>
          </w:p>
        </w:tc>
        <w:tc>
          <w:tcPr>
            <w:tcW w:w="1710" w:type="dxa"/>
          </w:tcPr>
          <w:p w:rsidR="00CF5B34" w:rsidRPr="003C49D9" w:rsidRDefault="00CF5B34" w:rsidP="003C49D9">
            <w:pPr>
              <w:rPr>
                <w:sz w:val="20"/>
                <w:szCs w:val="20"/>
              </w:rPr>
            </w:pPr>
            <w:r w:rsidRPr="003C49D9">
              <w:rPr>
                <w:sz w:val="20"/>
                <w:szCs w:val="20"/>
              </w:rPr>
              <w:t>19 (1.5%)</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Morphine </w:t>
            </w:r>
            <w:r w:rsidR="00E4543A">
              <w:rPr>
                <w:sz w:val="18"/>
                <w:szCs w:val="20"/>
              </w:rPr>
              <w:t>s</w:t>
            </w:r>
            <w:r w:rsidRPr="00D21405">
              <w:rPr>
                <w:sz w:val="18"/>
                <w:szCs w:val="20"/>
              </w:rPr>
              <w:t>ul</w:t>
            </w:r>
            <w:r w:rsidR="00E4543A">
              <w:rPr>
                <w:sz w:val="18"/>
                <w:szCs w:val="20"/>
              </w:rPr>
              <w:t>ph</w:t>
            </w:r>
            <w:r w:rsidRPr="00D21405">
              <w:rPr>
                <w:sz w:val="18"/>
                <w:szCs w:val="20"/>
              </w:rPr>
              <w:t>ate</w:t>
            </w:r>
          </w:p>
        </w:tc>
        <w:tc>
          <w:tcPr>
            <w:tcW w:w="1530" w:type="dxa"/>
          </w:tcPr>
          <w:p w:rsidR="00CF5B34" w:rsidRPr="003C49D9" w:rsidRDefault="00CF5B34" w:rsidP="003C49D9">
            <w:pPr>
              <w:rPr>
                <w:sz w:val="20"/>
                <w:szCs w:val="20"/>
              </w:rPr>
            </w:pPr>
            <w:r w:rsidRPr="003C49D9">
              <w:rPr>
                <w:sz w:val="20"/>
                <w:szCs w:val="20"/>
              </w:rPr>
              <w:t>3 (0.7%)</w:t>
            </w:r>
          </w:p>
        </w:tc>
        <w:tc>
          <w:tcPr>
            <w:tcW w:w="1620" w:type="dxa"/>
          </w:tcPr>
          <w:p w:rsidR="00CF5B34" w:rsidRPr="003C49D9" w:rsidRDefault="00CF5B34" w:rsidP="003C49D9">
            <w:pPr>
              <w:rPr>
                <w:sz w:val="20"/>
                <w:szCs w:val="20"/>
              </w:rPr>
            </w:pPr>
            <w:r w:rsidRPr="003C49D9">
              <w:rPr>
                <w:sz w:val="20"/>
                <w:szCs w:val="20"/>
              </w:rPr>
              <w:t>3 (0.7%)</w:t>
            </w:r>
          </w:p>
        </w:tc>
        <w:tc>
          <w:tcPr>
            <w:tcW w:w="171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6 (0.5%)</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Nite-Time Cold Medicine </w:t>
            </w:r>
          </w:p>
        </w:tc>
        <w:tc>
          <w:tcPr>
            <w:tcW w:w="1530" w:type="dxa"/>
          </w:tcPr>
          <w:p w:rsidR="00CF5B34" w:rsidRPr="003C49D9" w:rsidRDefault="00CF5B34" w:rsidP="003C49D9">
            <w:pPr>
              <w:rPr>
                <w:sz w:val="20"/>
                <w:szCs w:val="20"/>
              </w:rPr>
            </w:pPr>
            <w:r w:rsidRPr="003C49D9">
              <w:rPr>
                <w:sz w:val="20"/>
                <w:szCs w:val="20"/>
              </w:rPr>
              <w:t>2 (0.5%)</w:t>
            </w:r>
          </w:p>
        </w:tc>
        <w:tc>
          <w:tcPr>
            <w:tcW w:w="162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3 (0.2%)</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Opium </w:t>
            </w:r>
            <w:r w:rsidR="00E86699">
              <w:rPr>
                <w:sz w:val="18"/>
                <w:szCs w:val="20"/>
              </w:rPr>
              <w:t>a</w:t>
            </w:r>
            <w:r w:rsidRPr="00D21405">
              <w:rPr>
                <w:sz w:val="18"/>
                <w:szCs w:val="20"/>
              </w:rPr>
              <w:t xml:space="preserve">nd </w:t>
            </w:r>
            <w:r w:rsidR="00E86699">
              <w:rPr>
                <w:sz w:val="18"/>
                <w:szCs w:val="20"/>
              </w:rPr>
              <w:t>b</w:t>
            </w:r>
            <w:r w:rsidRPr="00D21405">
              <w:rPr>
                <w:sz w:val="18"/>
                <w:szCs w:val="20"/>
              </w:rPr>
              <w:t xml:space="preserve">elladonna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(0.1%)</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Oxycodone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3 (0.2%)</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Oxycodone Hydrochloride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2 (0.2%</w:t>
            </w:r>
          </w:p>
        </w:tc>
      </w:tr>
      <w:tr w:rsidR="004C0287" w:rsidRPr="003C49D9" w:rsidTr="00D21405">
        <w:tc>
          <w:tcPr>
            <w:tcW w:w="2723" w:type="dxa"/>
          </w:tcPr>
          <w:p w:rsidR="00CF5B34" w:rsidRPr="00D21405" w:rsidRDefault="007066C7" w:rsidP="003C49D9">
            <w:pPr>
              <w:rPr>
                <w:sz w:val="18"/>
                <w:szCs w:val="20"/>
              </w:rPr>
            </w:pPr>
            <w:r w:rsidRPr="00D21405">
              <w:rPr>
                <w:sz w:val="18"/>
                <w:szCs w:val="20"/>
              </w:rPr>
              <w:t>Panadeine Co</w:t>
            </w:r>
          </w:p>
        </w:tc>
        <w:tc>
          <w:tcPr>
            <w:tcW w:w="1530" w:type="dxa"/>
          </w:tcPr>
          <w:p w:rsidR="00CF5B34" w:rsidRPr="003C49D9" w:rsidRDefault="00CF5B34" w:rsidP="003C49D9">
            <w:pPr>
              <w:rPr>
                <w:sz w:val="20"/>
                <w:szCs w:val="20"/>
              </w:rPr>
            </w:pPr>
            <w:r w:rsidRPr="003C49D9">
              <w:rPr>
                <w:sz w:val="20"/>
                <w:szCs w:val="20"/>
              </w:rPr>
              <w:t>2 (0.5%)</w:t>
            </w:r>
          </w:p>
        </w:tc>
        <w:tc>
          <w:tcPr>
            <w:tcW w:w="162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5 (1.2%)</w:t>
            </w:r>
          </w:p>
        </w:tc>
        <w:tc>
          <w:tcPr>
            <w:tcW w:w="1710" w:type="dxa"/>
          </w:tcPr>
          <w:p w:rsidR="00CF5B34" w:rsidRPr="003C49D9" w:rsidRDefault="00CF5B34" w:rsidP="003C49D9">
            <w:pPr>
              <w:rPr>
                <w:sz w:val="20"/>
                <w:szCs w:val="20"/>
              </w:rPr>
            </w:pPr>
            <w:r w:rsidRPr="003C49D9">
              <w:rPr>
                <w:sz w:val="20"/>
                <w:szCs w:val="20"/>
              </w:rPr>
              <w:t>9 (0.7%)</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Paracetamol </w:t>
            </w:r>
          </w:p>
        </w:tc>
        <w:tc>
          <w:tcPr>
            <w:tcW w:w="1530" w:type="dxa"/>
          </w:tcPr>
          <w:p w:rsidR="00CF5B34" w:rsidRPr="003C49D9" w:rsidRDefault="00CF5B34" w:rsidP="003C49D9">
            <w:pPr>
              <w:rPr>
                <w:sz w:val="20"/>
                <w:szCs w:val="20"/>
              </w:rPr>
            </w:pPr>
            <w:r w:rsidRPr="003C49D9">
              <w:rPr>
                <w:sz w:val="20"/>
                <w:szCs w:val="20"/>
              </w:rPr>
              <w:t>45 (10.5%)</w:t>
            </w:r>
          </w:p>
        </w:tc>
        <w:tc>
          <w:tcPr>
            <w:tcW w:w="1620" w:type="dxa"/>
          </w:tcPr>
          <w:p w:rsidR="00CF5B34" w:rsidRPr="003C49D9" w:rsidRDefault="00CF5B34" w:rsidP="003C49D9">
            <w:pPr>
              <w:rPr>
                <w:sz w:val="20"/>
                <w:szCs w:val="20"/>
              </w:rPr>
            </w:pPr>
            <w:r w:rsidRPr="003C49D9">
              <w:rPr>
                <w:sz w:val="20"/>
                <w:szCs w:val="20"/>
              </w:rPr>
              <w:t>60 (14.1%)</w:t>
            </w:r>
          </w:p>
        </w:tc>
        <w:tc>
          <w:tcPr>
            <w:tcW w:w="1710" w:type="dxa"/>
          </w:tcPr>
          <w:p w:rsidR="00CF5B34" w:rsidRPr="003C49D9" w:rsidRDefault="00CF5B34" w:rsidP="003C49D9">
            <w:pPr>
              <w:rPr>
                <w:sz w:val="20"/>
                <w:szCs w:val="20"/>
              </w:rPr>
            </w:pPr>
            <w:r w:rsidRPr="003C49D9">
              <w:rPr>
                <w:sz w:val="20"/>
                <w:szCs w:val="20"/>
              </w:rPr>
              <w:t>56 (13.1%)</w:t>
            </w:r>
          </w:p>
        </w:tc>
        <w:tc>
          <w:tcPr>
            <w:tcW w:w="1710" w:type="dxa"/>
          </w:tcPr>
          <w:p w:rsidR="00CF5B34" w:rsidRPr="003C49D9" w:rsidRDefault="00CF5B34" w:rsidP="003C49D9">
            <w:pPr>
              <w:rPr>
                <w:sz w:val="20"/>
                <w:szCs w:val="20"/>
              </w:rPr>
            </w:pPr>
            <w:r w:rsidRPr="003C49D9">
              <w:rPr>
                <w:sz w:val="20"/>
                <w:szCs w:val="20"/>
              </w:rPr>
              <w:t>161 (12.6%)</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Pethidine </w:t>
            </w:r>
          </w:p>
        </w:tc>
        <w:tc>
          <w:tcPr>
            <w:tcW w:w="1530" w:type="dxa"/>
          </w:tcPr>
          <w:p w:rsidR="00CF5B34" w:rsidRPr="003C49D9" w:rsidRDefault="00CF5B34" w:rsidP="003C49D9">
            <w:pPr>
              <w:rPr>
                <w:sz w:val="20"/>
                <w:szCs w:val="20"/>
              </w:rPr>
            </w:pPr>
            <w:r w:rsidRPr="003C49D9">
              <w:rPr>
                <w:sz w:val="20"/>
                <w:szCs w:val="20"/>
              </w:rPr>
              <w:t>1 (0.2%)</w:t>
            </w:r>
          </w:p>
        </w:tc>
        <w:tc>
          <w:tcPr>
            <w:tcW w:w="162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2 (0.2%)</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Pethidine </w:t>
            </w:r>
            <w:r w:rsidR="00E86699">
              <w:rPr>
                <w:sz w:val="18"/>
                <w:szCs w:val="20"/>
              </w:rPr>
              <w:t>h</w:t>
            </w:r>
            <w:r w:rsidRPr="00D21405">
              <w:rPr>
                <w:sz w:val="18"/>
                <w:szCs w:val="20"/>
              </w:rPr>
              <w:t xml:space="preserve">ydrochloride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3 (0.2%)</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Solpadeine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1 (0.1%)</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Tramadol </w:t>
            </w:r>
          </w:p>
        </w:tc>
        <w:tc>
          <w:tcPr>
            <w:tcW w:w="1530" w:type="dxa"/>
          </w:tcPr>
          <w:p w:rsidR="00CF5B34" w:rsidRPr="003C49D9" w:rsidRDefault="00CF5B34" w:rsidP="003C49D9">
            <w:pPr>
              <w:rPr>
                <w:sz w:val="20"/>
                <w:szCs w:val="20"/>
              </w:rPr>
            </w:pPr>
            <w:r w:rsidRPr="003C49D9">
              <w:rPr>
                <w:sz w:val="20"/>
                <w:szCs w:val="20"/>
              </w:rPr>
              <w:t>6 (1.4%)</w:t>
            </w:r>
          </w:p>
        </w:tc>
        <w:tc>
          <w:tcPr>
            <w:tcW w:w="1620" w:type="dxa"/>
          </w:tcPr>
          <w:p w:rsidR="00CF5B34" w:rsidRPr="003C49D9" w:rsidRDefault="00CF5B34" w:rsidP="003C49D9">
            <w:pPr>
              <w:rPr>
                <w:sz w:val="20"/>
                <w:szCs w:val="20"/>
              </w:rPr>
            </w:pPr>
            <w:r w:rsidRPr="003C49D9">
              <w:rPr>
                <w:sz w:val="20"/>
                <w:szCs w:val="20"/>
              </w:rPr>
              <w:t>3 (0.7%)</w:t>
            </w:r>
          </w:p>
        </w:tc>
        <w:tc>
          <w:tcPr>
            <w:tcW w:w="1710" w:type="dxa"/>
          </w:tcPr>
          <w:p w:rsidR="00CF5B34" w:rsidRPr="003C49D9" w:rsidRDefault="00CF5B34" w:rsidP="003C49D9">
            <w:pPr>
              <w:rPr>
                <w:sz w:val="20"/>
                <w:szCs w:val="20"/>
              </w:rPr>
            </w:pPr>
            <w:r w:rsidRPr="003C49D9">
              <w:rPr>
                <w:sz w:val="20"/>
                <w:szCs w:val="20"/>
              </w:rPr>
              <w:t>5 (1.2%)</w:t>
            </w:r>
          </w:p>
        </w:tc>
        <w:tc>
          <w:tcPr>
            <w:tcW w:w="1710" w:type="dxa"/>
          </w:tcPr>
          <w:p w:rsidR="00CF5B34" w:rsidRPr="003C49D9" w:rsidRDefault="00CF5B34" w:rsidP="003C49D9">
            <w:pPr>
              <w:rPr>
                <w:sz w:val="20"/>
                <w:szCs w:val="20"/>
              </w:rPr>
            </w:pPr>
            <w:r w:rsidRPr="003C49D9">
              <w:rPr>
                <w:sz w:val="20"/>
                <w:szCs w:val="20"/>
              </w:rPr>
              <w:t>14 (1.1%)</w:t>
            </w:r>
          </w:p>
        </w:tc>
      </w:tr>
      <w:tr w:rsidR="004C0287" w:rsidRPr="003C49D9" w:rsidTr="00D21405">
        <w:tc>
          <w:tcPr>
            <w:tcW w:w="2723" w:type="dxa"/>
          </w:tcPr>
          <w:p w:rsidR="00CF5B34" w:rsidRPr="00D21405" w:rsidRDefault="007066C7" w:rsidP="003C49D9">
            <w:pPr>
              <w:rPr>
                <w:sz w:val="18"/>
                <w:szCs w:val="20"/>
              </w:rPr>
            </w:pPr>
            <w:r w:rsidRPr="00D21405">
              <w:rPr>
                <w:sz w:val="18"/>
                <w:szCs w:val="20"/>
              </w:rPr>
              <w:lastRenderedPageBreak/>
              <w:t xml:space="preserve">Tramadol </w:t>
            </w:r>
            <w:r w:rsidR="00E4543A">
              <w:rPr>
                <w:sz w:val="18"/>
                <w:szCs w:val="20"/>
              </w:rPr>
              <w:t>h</w:t>
            </w:r>
            <w:r w:rsidRPr="00D21405">
              <w:rPr>
                <w:sz w:val="18"/>
                <w:szCs w:val="20"/>
              </w:rPr>
              <w:t xml:space="preserve">ydrochloride </w:t>
            </w:r>
          </w:p>
        </w:tc>
        <w:tc>
          <w:tcPr>
            <w:tcW w:w="1530" w:type="dxa"/>
          </w:tcPr>
          <w:p w:rsidR="00CF5B34" w:rsidRPr="003C49D9" w:rsidRDefault="00CF5B34" w:rsidP="003C49D9">
            <w:pPr>
              <w:rPr>
                <w:sz w:val="20"/>
                <w:szCs w:val="20"/>
              </w:rPr>
            </w:pPr>
            <w:r w:rsidRPr="003C49D9">
              <w:rPr>
                <w:sz w:val="20"/>
                <w:szCs w:val="20"/>
              </w:rPr>
              <w:t>1 (0.2%)</w:t>
            </w:r>
          </w:p>
        </w:tc>
        <w:tc>
          <w:tcPr>
            <w:tcW w:w="162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(0.1%)</w:t>
            </w:r>
          </w:p>
        </w:tc>
      </w:tr>
      <w:tr w:rsidR="004C0287" w:rsidRPr="003C49D9" w:rsidTr="00D21405">
        <w:tc>
          <w:tcPr>
            <w:tcW w:w="2723" w:type="dxa"/>
          </w:tcPr>
          <w:p w:rsidR="00CF5B34" w:rsidRPr="00D21405" w:rsidRDefault="007066C7" w:rsidP="003C49D9">
            <w:pPr>
              <w:rPr>
                <w:sz w:val="18"/>
                <w:szCs w:val="20"/>
              </w:rPr>
            </w:pPr>
            <w:r w:rsidRPr="00D21405">
              <w:rPr>
                <w:sz w:val="18"/>
                <w:szCs w:val="20"/>
              </w:rPr>
              <w:t>Tussin Dm</w:t>
            </w:r>
          </w:p>
        </w:tc>
        <w:tc>
          <w:tcPr>
            <w:tcW w:w="1530" w:type="dxa"/>
          </w:tcPr>
          <w:p w:rsidR="00CF5B34" w:rsidRPr="003C49D9" w:rsidRDefault="00CF5B34" w:rsidP="003C49D9">
            <w:pPr>
              <w:rPr>
                <w:sz w:val="20"/>
                <w:szCs w:val="20"/>
              </w:rPr>
            </w:pPr>
            <w:r w:rsidRPr="003C49D9">
              <w:rPr>
                <w:sz w:val="20"/>
                <w:szCs w:val="20"/>
              </w:rPr>
              <w:t>3 (0.7%)</w:t>
            </w:r>
          </w:p>
        </w:tc>
        <w:tc>
          <w:tcPr>
            <w:tcW w:w="162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5 (0.4%)</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Tussionex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0</w:t>
            </w:r>
          </w:p>
        </w:tc>
        <w:tc>
          <w:tcPr>
            <w:tcW w:w="1710" w:type="dxa"/>
          </w:tcPr>
          <w:p w:rsidR="00CF5B34" w:rsidRPr="003C49D9" w:rsidRDefault="00CF5B34" w:rsidP="003C49D9">
            <w:pPr>
              <w:rPr>
                <w:sz w:val="20"/>
                <w:szCs w:val="20"/>
              </w:rPr>
            </w:pPr>
            <w:r w:rsidRPr="003C49D9">
              <w:rPr>
                <w:sz w:val="20"/>
                <w:szCs w:val="20"/>
              </w:rPr>
              <w:t>1 (0.1%)</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Tussionex Pennkinetic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1 (0.2%)</w:t>
            </w:r>
          </w:p>
        </w:tc>
        <w:tc>
          <w:tcPr>
            <w:tcW w:w="1710" w:type="dxa"/>
          </w:tcPr>
          <w:p w:rsidR="00CF5B34" w:rsidRPr="003C49D9" w:rsidRDefault="00CF5B34" w:rsidP="003C49D9">
            <w:pPr>
              <w:rPr>
                <w:sz w:val="20"/>
                <w:szCs w:val="20"/>
              </w:rPr>
            </w:pPr>
            <w:r w:rsidRPr="003C49D9">
              <w:rPr>
                <w:sz w:val="20"/>
                <w:szCs w:val="20"/>
              </w:rPr>
              <w:t>3 (0.2%)</w:t>
            </w:r>
          </w:p>
        </w:tc>
      </w:tr>
      <w:tr w:rsidR="004C0287" w:rsidRPr="003C49D9" w:rsidTr="00D21405">
        <w:tc>
          <w:tcPr>
            <w:tcW w:w="2723" w:type="dxa"/>
          </w:tcPr>
          <w:p w:rsidR="00CF5B34" w:rsidRPr="00D21405" w:rsidRDefault="007066C7" w:rsidP="003C49D9">
            <w:pPr>
              <w:rPr>
                <w:sz w:val="18"/>
                <w:szCs w:val="20"/>
              </w:rPr>
            </w:pPr>
            <w:r w:rsidRPr="00D21405">
              <w:rPr>
                <w:sz w:val="18"/>
                <w:szCs w:val="20"/>
              </w:rPr>
              <w:t xml:space="preserve">Tylenol Sinus Medication </w:t>
            </w:r>
          </w:p>
        </w:tc>
        <w:tc>
          <w:tcPr>
            <w:tcW w:w="1530" w:type="dxa"/>
          </w:tcPr>
          <w:p w:rsidR="00CF5B34" w:rsidRPr="003C49D9" w:rsidRDefault="00CF5B34" w:rsidP="003C49D9">
            <w:pPr>
              <w:rPr>
                <w:sz w:val="20"/>
                <w:szCs w:val="20"/>
              </w:rPr>
            </w:pPr>
            <w:r w:rsidRPr="003C49D9">
              <w:rPr>
                <w:sz w:val="20"/>
                <w:szCs w:val="20"/>
              </w:rPr>
              <w:t>0</w:t>
            </w:r>
          </w:p>
        </w:tc>
        <w:tc>
          <w:tcPr>
            <w:tcW w:w="162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2 (0.5%)</w:t>
            </w:r>
          </w:p>
        </w:tc>
        <w:tc>
          <w:tcPr>
            <w:tcW w:w="1710" w:type="dxa"/>
          </w:tcPr>
          <w:p w:rsidR="00CF5B34" w:rsidRPr="003C49D9" w:rsidRDefault="00CF5B34" w:rsidP="003C49D9">
            <w:pPr>
              <w:rPr>
                <w:sz w:val="20"/>
                <w:szCs w:val="20"/>
              </w:rPr>
            </w:pPr>
            <w:r w:rsidRPr="003C49D9">
              <w:rPr>
                <w:sz w:val="20"/>
                <w:szCs w:val="20"/>
              </w:rPr>
              <w:t>4 (0.3%)</w:t>
            </w:r>
          </w:p>
        </w:tc>
      </w:tr>
    </w:tbl>
    <w:p w:rsidR="00CF5B34" w:rsidRPr="00F237C0" w:rsidRDefault="00CF5B34" w:rsidP="00F237C0">
      <w:pPr>
        <w:pStyle w:val="TableDescription"/>
        <w:keepNext/>
      </w:pPr>
      <w:r w:rsidRPr="00F237C0">
        <w:t>Patients may have more than one medication per preferred term. At each level of patient summarization, a patient was counted once if the patient reported one or more medications. Concomitant medications presented are medications that are ongoing or that start on or after the date of first dose of study drug and up to and including 7 days after the date of the last study medication.</w:t>
      </w:r>
      <w:r w:rsidR="006D40F4" w:rsidRPr="00F237C0">
        <w:t xml:space="preserve"> </w:t>
      </w:r>
      <w:r w:rsidRPr="00F237C0">
        <w:t>Percentages are of the number of patient in that treatment group.</w:t>
      </w:r>
    </w:p>
    <w:p w:rsidR="00CF5B34" w:rsidRDefault="00CF5B34" w:rsidP="00CF5B34">
      <w:r>
        <w:t>The improvement in some outcomes was modest compared with placebo, however for th</w:t>
      </w:r>
      <w:r w:rsidR="00F237C0">
        <w:t>e patients</w:t>
      </w:r>
      <w:r>
        <w:t xml:space="preserve"> whose problems are not going to spontaneously resolve, it may be considered an efficacy option.</w:t>
      </w:r>
    </w:p>
    <w:p w:rsidR="00CF5B34" w:rsidRDefault="00CF5B34" w:rsidP="00CF5B34">
      <w:r>
        <w:t>The sponsor in an overview of clinical efficacy has stated the following:</w:t>
      </w:r>
    </w:p>
    <w:p w:rsidR="00CF5B34" w:rsidRPr="00D21405" w:rsidRDefault="002B3FBC" w:rsidP="00D21405">
      <w:pPr>
        <w:ind w:left="720"/>
        <w:rPr>
          <w:i/>
        </w:rPr>
      </w:pPr>
      <w:r w:rsidRPr="00D21405">
        <w:rPr>
          <w:i/>
        </w:rPr>
        <w:t>‘</w:t>
      </w:r>
      <w:r w:rsidR="00CF5B34" w:rsidRPr="00D21405">
        <w:rPr>
          <w:i/>
        </w:rPr>
        <w:t xml:space="preserve">While the locally acting </w:t>
      </w:r>
      <w:r w:rsidR="00F237C0" w:rsidRPr="00D21405">
        <w:rPr>
          <w:i/>
        </w:rPr>
        <w:t>µ-</w:t>
      </w:r>
      <w:r w:rsidR="00CF5B34" w:rsidRPr="00D21405">
        <w:rPr>
          <w:i/>
        </w:rPr>
        <w:t>opioid receptor agonist loperamide is effective in treating diarrhoea, it has limited effectiveness in IBS-d due to lack of effect on abdominal pain and global symptoms and the possibility for excessive constipation. By contrast, the mixed opioid pharmacology of eluxadoline appears to confer on it the ability to effectively improve abdominal pain and stool consistency in IBS-d patients while mitigating the risk of constipation</w:t>
      </w:r>
      <w:r w:rsidRPr="00D21405">
        <w:rPr>
          <w:i/>
        </w:rPr>
        <w:t>’</w:t>
      </w:r>
      <w:r w:rsidR="00CF5B34" w:rsidRPr="00D21405">
        <w:rPr>
          <w:i/>
        </w:rPr>
        <w:t>.</w:t>
      </w:r>
    </w:p>
    <w:p w:rsidR="00CF5B34" w:rsidRDefault="00CF5B34" w:rsidP="00CF5B34">
      <w:r>
        <w:t>However:</w:t>
      </w:r>
    </w:p>
    <w:p w:rsidR="00CF5B34" w:rsidRPr="00D21405" w:rsidRDefault="002B3FBC" w:rsidP="00D21405">
      <w:pPr>
        <w:ind w:left="720"/>
        <w:rPr>
          <w:i/>
        </w:rPr>
      </w:pPr>
      <w:r>
        <w:rPr>
          <w:i/>
        </w:rPr>
        <w:t>‘</w:t>
      </w:r>
      <w:r w:rsidR="00CF5B34" w:rsidRPr="00D21405">
        <w:rPr>
          <w:i/>
        </w:rPr>
        <w:t>While the proportion of abdominal pain responders for the active treatment groups was higher than placebo over both intervals, the differences were not statistically significant (P &gt; 0.05) for the individual studies or the pooled analyses</w:t>
      </w:r>
      <w:r>
        <w:rPr>
          <w:i/>
        </w:rPr>
        <w:t>’</w:t>
      </w:r>
      <w:r w:rsidR="00CF5B34" w:rsidRPr="00D21405">
        <w:rPr>
          <w:i/>
        </w:rPr>
        <w:t>.</w:t>
      </w:r>
    </w:p>
    <w:p w:rsidR="005F1690" w:rsidRDefault="0008268B" w:rsidP="00CF5B34">
      <w:r>
        <w:t>Thus, the modestly effective combined endpoint relies on the results on stool consistency and the sponsor’s claim of pain relief appears not to be statistically supported.</w:t>
      </w:r>
    </w:p>
    <w:p w:rsidR="00CF5B34" w:rsidRDefault="00CF5B34" w:rsidP="00CF5B34">
      <w:r>
        <w:t>The primary results for other secondary outcomes are modest but generally supportive, although without statistical allowance for multiplicity.</w:t>
      </w:r>
    </w:p>
    <w:p w:rsidR="00CF5B34" w:rsidRDefault="00CF5B34" w:rsidP="00CF5B34">
      <w:r>
        <w:t xml:space="preserve">It is noted that </w:t>
      </w:r>
      <w:r w:rsidRPr="00941CD7">
        <w:t>the I</w:t>
      </w:r>
      <w:r w:rsidR="0036183F">
        <w:t>M</w:t>
      </w:r>
      <w:r w:rsidRPr="00941CD7">
        <w:t>MPACT statement</w:t>
      </w:r>
      <w:r w:rsidR="002E7026">
        <w:t>;</w:t>
      </w:r>
      <w:bookmarkStart w:id="89" w:name="_Ref514110611"/>
      <w:r w:rsidR="00B95E90">
        <w:rPr>
          <w:rStyle w:val="FootnoteReference"/>
        </w:rPr>
        <w:footnoteReference w:id="19"/>
      </w:r>
      <w:bookmarkEnd w:id="89"/>
      <w:r>
        <w:t xml:space="preserve"> in relation to chronic pain recommends</w:t>
      </w:r>
      <w:r w:rsidR="00B95E90">
        <w:t xml:space="preserve"> (</w:t>
      </w:r>
      <w:r>
        <w:t>as well as assessment of pain scores</w:t>
      </w:r>
      <w:r w:rsidR="00B95E90">
        <w:t>) the</w:t>
      </w:r>
      <w:r>
        <w:t xml:space="preserve"> assessment of:</w:t>
      </w:r>
    </w:p>
    <w:p w:rsidR="00CF5B34" w:rsidRDefault="00B95E90" w:rsidP="006D40F4">
      <w:pPr>
        <w:pStyle w:val="ListBullet"/>
      </w:pPr>
      <w:r>
        <w:t xml:space="preserve">usage </w:t>
      </w:r>
      <w:r w:rsidR="00CF5B34">
        <w:t>of rescue analgesics</w:t>
      </w:r>
      <w:r>
        <w:t>;</w:t>
      </w:r>
    </w:p>
    <w:p w:rsidR="00CF5B34" w:rsidRDefault="00B95E90" w:rsidP="006D40F4">
      <w:pPr>
        <w:pStyle w:val="ListBullet"/>
      </w:pPr>
      <w:r>
        <w:t xml:space="preserve">physical </w:t>
      </w:r>
      <w:r w:rsidR="00CF5B34">
        <w:t>functioning</w:t>
      </w:r>
      <w:r>
        <w:t>;</w:t>
      </w:r>
    </w:p>
    <w:p w:rsidR="00CF5B34" w:rsidRDefault="00B95E90" w:rsidP="006D40F4">
      <w:pPr>
        <w:pStyle w:val="ListBullet"/>
      </w:pPr>
      <w:r>
        <w:t xml:space="preserve">emotional </w:t>
      </w:r>
      <w:r w:rsidR="00CF5B34">
        <w:t>functioning</w:t>
      </w:r>
      <w:r>
        <w:t>; and</w:t>
      </w:r>
    </w:p>
    <w:p w:rsidR="00CF5B34" w:rsidRPr="00CF5B34" w:rsidRDefault="00B95E90" w:rsidP="006D40F4">
      <w:pPr>
        <w:pStyle w:val="ListBullet"/>
      </w:pPr>
      <w:proofErr w:type="gramStart"/>
      <w:r>
        <w:t>participant</w:t>
      </w:r>
      <w:proofErr w:type="gramEnd"/>
      <w:r>
        <w:t xml:space="preserve"> </w:t>
      </w:r>
      <w:r w:rsidR="00CF5B34">
        <w:t>ratings of global improvement and satisfaction with treatment.</w:t>
      </w:r>
    </w:p>
    <w:p w:rsidR="008E7846" w:rsidRPr="002E238E" w:rsidRDefault="008E7846" w:rsidP="008E7846">
      <w:pPr>
        <w:pStyle w:val="Heading3"/>
      </w:pPr>
      <w:bookmarkStart w:id="90" w:name="_Toc163441378"/>
      <w:bookmarkStart w:id="91" w:name="_Toc196046495"/>
      <w:bookmarkStart w:id="92" w:name="_Toc247691522"/>
      <w:bookmarkStart w:id="93" w:name="_Toc314842505"/>
      <w:bookmarkStart w:id="94" w:name="_Toc510009718"/>
      <w:bookmarkEnd w:id="83"/>
      <w:bookmarkEnd w:id="84"/>
      <w:bookmarkEnd w:id="85"/>
      <w:bookmarkEnd w:id="86"/>
      <w:r w:rsidRPr="002E238E">
        <w:lastRenderedPageBreak/>
        <w:t>Safety</w:t>
      </w:r>
      <w:bookmarkEnd w:id="90"/>
      <w:bookmarkEnd w:id="91"/>
      <w:bookmarkEnd w:id="92"/>
      <w:bookmarkEnd w:id="93"/>
      <w:bookmarkEnd w:id="94"/>
    </w:p>
    <w:p w:rsidR="00605AD4" w:rsidRDefault="00605AD4" w:rsidP="00605AD4">
      <w:pPr>
        <w:pStyle w:val="Heading4"/>
      </w:pPr>
      <w:bookmarkStart w:id="95" w:name="_Toc247691524"/>
      <w:bookmarkStart w:id="96" w:name="_Toc314842508"/>
      <w:bookmarkStart w:id="97" w:name="_Toc196046504"/>
      <w:bookmarkStart w:id="98" w:name="_Toc163441390"/>
      <w:r w:rsidRPr="00605AD4">
        <w:t>Studies providing safety data</w:t>
      </w:r>
    </w:p>
    <w:p w:rsidR="007D3174" w:rsidRDefault="007D3174" w:rsidP="007D3174">
      <w:r>
        <w:t>Pivotal and/or main efficacy studies</w:t>
      </w:r>
      <w:r w:rsidR="00FE147D">
        <w:t>:</w:t>
      </w:r>
    </w:p>
    <w:p w:rsidR="007D3174" w:rsidRDefault="007D3174" w:rsidP="00D21405">
      <w:pPr>
        <w:pStyle w:val="ListBullet"/>
      </w:pPr>
      <w:r>
        <w:t>Study 3001 was extended beyond the 6 months for efficacy, to provide a further 6</w:t>
      </w:r>
      <w:r w:rsidR="00FE147D">
        <w:t> </w:t>
      </w:r>
      <w:r>
        <w:t>months of safety data.</w:t>
      </w:r>
    </w:p>
    <w:p w:rsidR="007D3174" w:rsidRPr="007D3174" w:rsidRDefault="007D3174" w:rsidP="00D21405">
      <w:pPr>
        <w:pStyle w:val="ListBullet"/>
      </w:pPr>
      <w:r>
        <w:t>Study 3002 likewise had an extension</w:t>
      </w:r>
      <w:r w:rsidR="004602DE">
        <w:t>;</w:t>
      </w:r>
      <w:r>
        <w:t xml:space="preserve"> a 4</w:t>
      </w:r>
      <w:r w:rsidR="004602DE">
        <w:t xml:space="preserve"> </w:t>
      </w:r>
      <w:r>
        <w:t>week single</w:t>
      </w:r>
      <w:r w:rsidR="00B95E90">
        <w:t xml:space="preserve"> </w:t>
      </w:r>
      <w:r>
        <w:t>blinded withdrawal period.</w:t>
      </w:r>
    </w:p>
    <w:p w:rsidR="00605AD4" w:rsidRDefault="00605AD4" w:rsidP="00605AD4">
      <w:pPr>
        <w:pStyle w:val="Heading4"/>
      </w:pPr>
      <w:r w:rsidRPr="00605AD4">
        <w:t>Patient exposure</w:t>
      </w:r>
    </w:p>
    <w:p w:rsidR="007D3174" w:rsidRDefault="007D3174" w:rsidP="007D3174">
      <w:r>
        <w:t>Study drug was received for at least one year for 245 and 243 patients in the 75 mg and 100 mg eluxadoline groups respectively.</w:t>
      </w:r>
    </w:p>
    <w:p w:rsidR="007D3174" w:rsidRDefault="007D3174" w:rsidP="006D40F4">
      <w:pPr>
        <w:pStyle w:val="Tabletitle0"/>
      </w:pPr>
      <w:r>
        <w:t xml:space="preserve">Table </w:t>
      </w:r>
      <w:r w:rsidR="00AC04B2">
        <w:t>9</w:t>
      </w:r>
      <w:r w:rsidR="004602DE">
        <w:t>:</w:t>
      </w:r>
      <w:r>
        <w:t xml:space="preserve"> Disposition, </w:t>
      </w:r>
      <w:r w:rsidR="00FE147D">
        <w:t xml:space="preserve">pooled analysis </w:t>
      </w:r>
      <w:r>
        <w:t xml:space="preserve">of </w:t>
      </w:r>
      <w:r w:rsidR="007066C7">
        <w:t>Phase II</w:t>
      </w:r>
      <w:r>
        <w:t xml:space="preserve"> and </w:t>
      </w:r>
      <w:r w:rsidR="00FE147D">
        <w:t>Phase III s</w:t>
      </w:r>
      <w:r>
        <w:t>tudies</w:t>
      </w:r>
    </w:p>
    <w:p w:rsidR="007D3174" w:rsidRDefault="006D40F4" w:rsidP="007D3174">
      <w:r>
        <w:rPr>
          <w:noProof/>
          <w:lang w:eastAsia="en-AU"/>
        </w:rPr>
        <w:drawing>
          <wp:inline distT="0" distB="0" distL="0" distR="0" wp14:anchorId="6678C88A" wp14:editId="42B24CBF">
            <wp:extent cx="4752975" cy="1371759"/>
            <wp:effectExtent l="0" t="0" r="0" b="0"/>
            <wp:docPr id="135" name="Picture 135" descr="Disposition, Pooled Analysis of Phase II and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82832" cy="1380376"/>
                    </a:xfrm>
                    <a:prstGeom prst="rect">
                      <a:avLst/>
                    </a:prstGeom>
                  </pic:spPr>
                </pic:pic>
              </a:graphicData>
            </a:graphic>
          </wp:inline>
        </w:drawing>
      </w:r>
    </w:p>
    <w:p w:rsidR="004C0287" w:rsidRPr="004602DE" w:rsidRDefault="007D3174" w:rsidP="004602DE">
      <w:pPr>
        <w:pStyle w:val="TableDescription"/>
      </w:pPr>
      <w:r>
        <w:t>Patient base: Enrolled subjects</w:t>
      </w:r>
    </w:p>
    <w:p w:rsidR="007D3174" w:rsidRDefault="007D3174" w:rsidP="004C0287">
      <w:pPr>
        <w:pStyle w:val="Tabletitle0"/>
        <w:keepNext w:val="0"/>
        <w:widowControl w:val="0"/>
      </w:pPr>
      <w:r>
        <w:t xml:space="preserve">Table </w:t>
      </w:r>
      <w:r w:rsidR="00AC04B2">
        <w:t>10</w:t>
      </w:r>
      <w:r w:rsidR="006D40F4">
        <w:t>:</w:t>
      </w:r>
      <w:r>
        <w:t xml:space="preserve"> Total </w:t>
      </w:r>
      <w:r w:rsidR="00FE147D">
        <w:t xml:space="preserve">exposure </w:t>
      </w:r>
      <w:r>
        <w:t xml:space="preserve">(Safety </w:t>
      </w:r>
      <w:r w:rsidR="00FE147D">
        <w:t>set</w:t>
      </w:r>
      <w:r>
        <w:t>)</w:t>
      </w:r>
      <w:r w:rsidR="00FE147D">
        <w:t xml:space="preserve">; </w:t>
      </w:r>
      <w:r>
        <w:t xml:space="preserve">Pooled </w:t>
      </w:r>
      <w:r w:rsidR="00FE147D">
        <w:t xml:space="preserve">analysis </w:t>
      </w:r>
      <w:r>
        <w:t xml:space="preserve">Phase </w:t>
      </w:r>
      <w:r w:rsidR="00FE147D">
        <w:t xml:space="preserve">I </w:t>
      </w:r>
      <w:r>
        <w:t>(</w:t>
      </w:r>
      <w:r w:rsidR="00FE147D">
        <w:t xml:space="preserve">oral </w:t>
      </w:r>
      <w:r w:rsidR="0008268B">
        <w:t>administration)</w:t>
      </w:r>
      <w:r>
        <w:t xml:space="preserve">, </w:t>
      </w:r>
      <w:r w:rsidR="00FE147D">
        <w:t>Phase II</w:t>
      </w:r>
      <w:r>
        <w:t xml:space="preserve">, and </w:t>
      </w:r>
      <w:r w:rsidR="00FE147D">
        <w:t xml:space="preserve">Phase III studies; </w:t>
      </w:r>
      <w:r>
        <w:t xml:space="preserve">Number of </w:t>
      </w:r>
      <w:r w:rsidR="00FE147D">
        <w:t>patients with a</w:t>
      </w:r>
      <w:r>
        <w:t xml:space="preserve">ny </w:t>
      </w:r>
      <w:r w:rsidR="00FE147D">
        <w:t xml:space="preserve">eluxadoline </w:t>
      </w:r>
      <w:proofErr w:type="gramStart"/>
      <w:r w:rsidR="00FE147D">
        <w:t>exposure</w:t>
      </w:r>
      <w:r w:rsidR="00B35620" w:rsidRPr="00D21405">
        <w:rPr>
          <w:vertAlign w:val="superscript"/>
        </w:rPr>
        <w:t>(</w:t>
      </w:r>
      <w:proofErr w:type="gramEnd"/>
      <w:r w:rsidR="00FE147D" w:rsidRPr="00B35620">
        <w:rPr>
          <w:vertAlign w:val="superscript"/>
        </w:rPr>
        <w:t>a</w:t>
      </w:r>
      <w:r w:rsidR="00B35620" w:rsidRPr="00B35620">
        <w:rPr>
          <w:vertAlign w:val="superscript"/>
        </w:rPr>
        <w:t>)</w:t>
      </w:r>
    </w:p>
    <w:tbl>
      <w:tblPr>
        <w:tblStyle w:val="TableTGAblue"/>
        <w:tblW w:w="0" w:type="auto"/>
        <w:tblLook w:val="0620" w:firstRow="1" w:lastRow="0" w:firstColumn="0" w:lastColumn="0" w:noHBand="1" w:noVBand="1"/>
        <w:tblDescription w:val="Table 10: Total exposure (Safety set); Pooled analysis Phase I (oral administration), Phase II, and Phase III studies; Number of patients with any eluxadoline exposure(a)"/>
      </w:tblPr>
      <w:tblGrid>
        <w:gridCol w:w="4395"/>
        <w:gridCol w:w="2268"/>
      </w:tblGrid>
      <w:tr w:rsidR="006D40F4" w:rsidRPr="00B1279A" w:rsidTr="004C0287">
        <w:trPr>
          <w:cnfStyle w:val="100000000000" w:firstRow="1" w:lastRow="0" w:firstColumn="0" w:lastColumn="0" w:oddVBand="0" w:evenVBand="0" w:oddHBand="0" w:evenHBand="0" w:firstRowFirstColumn="0" w:firstRowLastColumn="0" w:lastRowFirstColumn="0" w:lastRowLastColumn="0"/>
        </w:trPr>
        <w:tc>
          <w:tcPr>
            <w:tcW w:w="4395" w:type="dxa"/>
          </w:tcPr>
          <w:p w:rsidR="006D40F4" w:rsidRPr="00D21405" w:rsidRDefault="004C0287" w:rsidP="004C0287">
            <w:pPr>
              <w:keepNext w:val="0"/>
              <w:widowControl w:val="0"/>
              <w:rPr>
                <w:sz w:val="20"/>
              </w:rPr>
            </w:pPr>
            <w:r w:rsidRPr="00D21405">
              <w:rPr>
                <w:sz w:val="20"/>
              </w:rPr>
              <w:t>Study</w:t>
            </w:r>
          </w:p>
        </w:tc>
        <w:tc>
          <w:tcPr>
            <w:tcW w:w="2268" w:type="dxa"/>
          </w:tcPr>
          <w:p w:rsidR="006D40F4" w:rsidRPr="00D21405" w:rsidRDefault="004C0287" w:rsidP="004C0287">
            <w:pPr>
              <w:keepNext w:val="0"/>
              <w:widowControl w:val="0"/>
              <w:rPr>
                <w:sz w:val="20"/>
              </w:rPr>
            </w:pPr>
            <w:r w:rsidRPr="00D21405">
              <w:rPr>
                <w:sz w:val="20"/>
              </w:rPr>
              <w:t>N =</w:t>
            </w:r>
          </w:p>
        </w:tc>
      </w:tr>
      <w:tr w:rsidR="004C0287" w:rsidRPr="00B1279A" w:rsidTr="004C0287">
        <w:tc>
          <w:tcPr>
            <w:tcW w:w="4395" w:type="dxa"/>
          </w:tcPr>
          <w:p w:rsidR="004C0287" w:rsidRPr="00D21405" w:rsidRDefault="004C0287" w:rsidP="004C0287">
            <w:pPr>
              <w:widowControl w:val="0"/>
              <w:rPr>
                <w:sz w:val="20"/>
              </w:rPr>
            </w:pPr>
            <w:r w:rsidRPr="00D21405">
              <w:rPr>
                <w:sz w:val="20"/>
              </w:rPr>
              <w:t>Phase I oral administration studies</w:t>
            </w:r>
            <w:r w:rsidR="00B35620" w:rsidRPr="00D21405">
              <w:rPr>
                <w:sz w:val="20"/>
                <w:vertAlign w:val="superscript"/>
              </w:rPr>
              <w:t>(</w:t>
            </w:r>
            <w:r w:rsidRPr="00D21405">
              <w:rPr>
                <w:sz w:val="20"/>
                <w:vertAlign w:val="superscript"/>
              </w:rPr>
              <w:t>b</w:t>
            </w:r>
            <w:r w:rsidR="00B35620">
              <w:rPr>
                <w:sz w:val="20"/>
                <w:vertAlign w:val="superscript"/>
              </w:rPr>
              <w:t>)</w:t>
            </w:r>
          </w:p>
        </w:tc>
        <w:tc>
          <w:tcPr>
            <w:tcW w:w="2268" w:type="dxa"/>
          </w:tcPr>
          <w:p w:rsidR="004C0287" w:rsidRPr="00D21405" w:rsidRDefault="004C0287" w:rsidP="004C0287">
            <w:pPr>
              <w:widowControl w:val="0"/>
              <w:rPr>
                <w:sz w:val="20"/>
              </w:rPr>
            </w:pPr>
            <w:r w:rsidRPr="00D21405">
              <w:rPr>
                <w:sz w:val="20"/>
              </w:rPr>
              <w:t>330</w:t>
            </w:r>
          </w:p>
        </w:tc>
      </w:tr>
      <w:tr w:rsidR="006D40F4" w:rsidRPr="00B1279A" w:rsidTr="004C0287">
        <w:tc>
          <w:tcPr>
            <w:tcW w:w="4395" w:type="dxa"/>
          </w:tcPr>
          <w:p w:rsidR="006D40F4" w:rsidRPr="00D21405" w:rsidRDefault="006D40F4" w:rsidP="004C0287">
            <w:pPr>
              <w:widowControl w:val="0"/>
              <w:rPr>
                <w:sz w:val="20"/>
              </w:rPr>
            </w:pPr>
            <w:r w:rsidRPr="00D21405">
              <w:rPr>
                <w:sz w:val="20"/>
              </w:rPr>
              <w:t xml:space="preserve">Phase II </w:t>
            </w:r>
          </w:p>
        </w:tc>
        <w:tc>
          <w:tcPr>
            <w:tcW w:w="2268" w:type="dxa"/>
          </w:tcPr>
          <w:p w:rsidR="006D40F4" w:rsidRPr="00D21405" w:rsidRDefault="006D40F4" w:rsidP="004C0287">
            <w:pPr>
              <w:widowControl w:val="0"/>
              <w:rPr>
                <w:sz w:val="20"/>
              </w:rPr>
            </w:pPr>
            <w:r w:rsidRPr="00D21405">
              <w:rPr>
                <w:sz w:val="20"/>
              </w:rPr>
              <w:t>617</w:t>
            </w:r>
          </w:p>
        </w:tc>
      </w:tr>
      <w:tr w:rsidR="006D40F4" w:rsidRPr="00B1279A" w:rsidTr="004C0287">
        <w:tc>
          <w:tcPr>
            <w:tcW w:w="4395" w:type="dxa"/>
          </w:tcPr>
          <w:p w:rsidR="006D40F4" w:rsidRPr="00D21405" w:rsidRDefault="006D40F4" w:rsidP="004C0287">
            <w:pPr>
              <w:widowControl w:val="0"/>
              <w:rPr>
                <w:sz w:val="20"/>
              </w:rPr>
            </w:pPr>
            <w:r w:rsidRPr="00D21405">
              <w:rPr>
                <w:sz w:val="20"/>
              </w:rPr>
              <w:t xml:space="preserve">Phase III </w:t>
            </w:r>
          </w:p>
        </w:tc>
        <w:tc>
          <w:tcPr>
            <w:tcW w:w="2268" w:type="dxa"/>
          </w:tcPr>
          <w:p w:rsidR="006D40F4" w:rsidRPr="00D21405" w:rsidRDefault="006D40F4" w:rsidP="004C0287">
            <w:pPr>
              <w:widowControl w:val="0"/>
              <w:rPr>
                <w:sz w:val="20"/>
              </w:rPr>
            </w:pPr>
            <w:r w:rsidRPr="00D21405">
              <w:rPr>
                <w:sz w:val="20"/>
              </w:rPr>
              <w:t>1615</w:t>
            </w:r>
          </w:p>
        </w:tc>
      </w:tr>
      <w:tr w:rsidR="006D40F4" w:rsidRPr="00B1279A" w:rsidTr="004C0287">
        <w:tc>
          <w:tcPr>
            <w:tcW w:w="4395" w:type="dxa"/>
          </w:tcPr>
          <w:p w:rsidR="006D40F4" w:rsidRPr="00D21405" w:rsidRDefault="006D40F4" w:rsidP="004C0287">
            <w:pPr>
              <w:widowControl w:val="0"/>
              <w:rPr>
                <w:sz w:val="20"/>
              </w:rPr>
            </w:pPr>
            <w:r w:rsidRPr="00D21405">
              <w:rPr>
                <w:sz w:val="20"/>
              </w:rPr>
              <w:t xml:space="preserve">Overall </w:t>
            </w:r>
          </w:p>
        </w:tc>
        <w:tc>
          <w:tcPr>
            <w:tcW w:w="2268" w:type="dxa"/>
          </w:tcPr>
          <w:p w:rsidR="006D40F4" w:rsidRPr="00D21405" w:rsidRDefault="006D40F4" w:rsidP="004C0287">
            <w:pPr>
              <w:widowControl w:val="0"/>
              <w:rPr>
                <w:sz w:val="20"/>
              </w:rPr>
            </w:pPr>
            <w:r w:rsidRPr="00D21405">
              <w:rPr>
                <w:sz w:val="20"/>
              </w:rPr>
              <w:t>2562</w:t>
            </w:r>
          </w:p>
        </w:tc>
      </w:tr>
    </w:tbl>
    <w:p w:rsidR="006D40F4" w:rsidRDefault="006D40F4" w:rsidP="004C0287">
      <w:pPr>
        <w:pStyle w:val="TableDescription"/>
        <w:widowControl w:val="0"/>
      </w:pPr>
      <w:r w:rsidRPr="00D21405">
        <w:rPr>
          <w:lang w:eastAsia="ja-JP"/>
        </w:rPr>
        <w:t>a</w:t>
      </w:r>
      <w:r w:rsidR="00B35620">
        <w:rPr>
          <w:lang w:eastAsia="ja-JP"/>
        </w:rPr>
        <w:t>)</w:t>
      </w:r>
      <w:r w:rsidRPr="00D21405">
        <w:rPr>
          <w:lang w:eastAsia="ja-JP"/>
        </w:rPr>
        <w:t xml:space="preserve"> </w:t>
      </w:r>
      <w:r w:rsidRPr="00CF0FEB">
        <w:rPr>
          <w:lang w:eastAsia="ja-JP"/>
        </w:rPr>
        <w:t xml:space="preserve">Subjects/patients who received at least 1 dose of eluxadoline were counted. Any individual who was </w:t>
      </w:r>
      <w:r w:rsidR="00C87895" w:rsidRPr="004602DE">
        <w:t>randomised</w:t>
      </w:r>
      <w:r w:rsidRPr="00CF0FEB">
        <w:rPr>
          <w:lang w:eastAsia="ja-JP"/>
        </w:rPr>
        <w:t xml:space="preserve"> more than once was counted only in the first study to which they were </w:t>
      </w:r>
      <w:r w:rsidR="00C87895">
        <w:rPr>
          <w:lang w:eastAsia="ja-JP"/>
        </w:rPr>
        <w:t>randomised</w:t>
      </w:r>
      <w:r w:rsidRPr="00CF0FEB">
        <w:rPr>
          <w:lang w:eastAsia="ja-JP"/>
        </w:rPr>
        <w:t xml:space="preserve">. Any individual who was </w:t>
      </w:r>
      <w:r w:rsidR="00C87895">
        <w:rPr>
          <w:lang w:eastAsia="ja-JP"/>
        </w:rPr>
        <w:t>randomised</w:t>
      </w:r>
      <w:r w:rsidRPr="00CF0FEB">
        <w:rPr>
          <w:lang w:eastAsia="ja-JP"/>
        </w:rPr>
        <w:t xml:space="preserve"> to placebo but received eluxadoline as a misallocated treatment was also counted. Individuals were counted within the phase of study they first received eluxadoline. If an individual was </w:t>
      </w:r>
      <w:r w:rsidR="00C87895">
        <w:rPr>
          <w:lang w:eastAsia="ja-JP"/>
        </w:rPr>
        <w:t>randomised</w:t>
      </w:r>
      <w:r w:rsidRPr="00CF0FEB">
        <w:rPr>
          <w:lang w:eastAsia="ja-JP"/>
        </w:rPr>
        <w:t xml:space="preserve"> in both </w:t>
      </w:r>
      <w:r>
        <w:rPr>
          <w:lang w:eastAsia="ja-JP"/>
        </w:rPr>
        <w:t>Phase II</w:t>
      </w:r>
      <w:r w:rsidRPr="00CF0FEB">
        <w:rPr>
          <w:lang w:eastAsia="ja-JP"/>
        </w:rPr>
        <w:t xml:space="preserve"> and </w:t>
      </w:r>
      <w:r w:rsidR="004602DE">
        <w:rPr>
          <w:lang w:eastAsia="ja-JP"/>
        </w:rPr>
        <w:t>III</w:t>
      </w:r>
      <w:r w:rsidRPr="00CF0FEB">
        <w:rPr>
          <w:lang w:eastAsia="ja-JP"/>
        </w:rPr>
        <w:t xml:space="preserve"> studies and only received eluxadoline for the first time during </w:t>
      </w:r>
      <w:r>
        <w:rPr>
          <w:lang w:eastAsia="ja-JP"/>
        </w:rPr>
        <w:t>Phase III</w:t>
      </w:r>
      <w:r w:rsidRPr="00CF0FEB">
        <w:rPr>
          <w:lang w:eastAsia="ja-JP"/>
        </w:rPr>
        <w:t xml:space="preserve"> then this individual was counted only in </w:t>
      </w:r>
      <w:r>
        <w:rPr>
          <w:lang w:eastAsia="ja-JP"/>
        </w:rPr>
        <w:t>Phase III</w:t>
      </w:r>
      <w:r w:rsidRPr="00CF0FEB">
        <w:rPr>
          <w:lang w:eastAsia="ja-JP"/>
        </w:rPr>
        <w:t xml:space="preserve">. Similarly, if an individual received eluxadoline in both </w:t>
      </w:r>
      <w:r>
        <w:rPr>
          <w:lang w:eastAsia="ja-JP"/>
        </w:rPr>
        <w:t>Phase II</w:t>
      </w:r>
      <w:r w:rsidRPr="00CF0FEB">
        <w:rPr>
          <w:lang w:eastAsia="ja-JP"/>
        </w:rPr>
        <w:t xml:space="preserve"> and </w:t>
      </w:r>
      <w:r w:rsidR="00B95E90">
        <w:rPr>
          <w:lang w:eastAsia="ja-JP"/>
        </w:rPr>
        <w:t>III</w:t>
      </w:r>
      <w:r w:rsidR="00B95E90" w:rsidRPr="00CF0FEB">
        <w:rPr>
          <w:lang w:eastAsia="ja-JP"/>
        </w:rPr>
        <w:t xml:space="preserve"> </w:t>
      </w:r>
      <w:r w:rsidRPr="00CF0FEB">
        <w:rPr>
          <w:lang w:eastAsia="ja-JP"/>
        </w:rPr>
        <w:t xml:space="preserve">they were counted only in </w:t>
      </w:r>
      <w:r>
        <w:rPr>
          <w:lang w:eastAsia="ja-JP"/>
        </w:rPr>
        <w:t>Phase II</w:t>
      </w:r>
      <w:r w:rsidRPr="00CF0FEB">
        <w:rPr>
          <w:lang w:eastAsia="ja-JP"/>
        </w:rPr>
        <w:t xml:space="preserve"> since they first received eluxadoline during that phase</w:t>
      </w:r>
      <w:r w:rsidR="00B35620">
        <w:rPr>
          <w:lang w:eastAsia="ja-JP"/>
        </w:rPr>
        <w:t>;</w:t>
      </w:r>
      <w:r>
        <w:rPr>
          <w:lang w:eastAsia="ja-JP"/>
        </w:rPr>
        <w:t xml:space="preserve"> </w:t>
      </w:r>
      <w:r w:rsidRPr="00D21405">
        <w:rPr>
          <w:lang w:eastAsia="ja-JP"/>
        </w:rPr>
        <w:t>b</w:t>
      </w:r>
      <w:r w:rsidR="00B35620" w:rsidRPr="00D21405">
        <w:rPr>
          <w:lang w:eastAsia="ja-JP"/>
        </w:rPr>
        <w:t>)</w:t>
      </w:r>
      <w:r w:rsidRPr="00CF0FEB">
        <w:rPr>
          <w:lang w:eastAsia="ja-JP"/>
        </w:rPr>
        <w:t xml:space="preserve"> The Phase </w:t>
      </w:r>
      <w:r w:rsidR="000F77DE">
        <w:rPr>
          <w:lang w:eastAsia="ja-JP"/>
        </w:rPr>
        <w:t>I</w:t>
      </w:r>
      <w:r w:rsidRPr="00CF0FEB">
        <w:rPr>
          <w:lang w:eastAsia="ja-JP"/>
        </w:rPr>
        <w:t xml:space="preserve"> row included data from 10 </w:t>
      </w:r>
      <w:proofErr w:type="gramStart"/>
      <w:r w:rsidRPr="00CF0FEB">
        <w:rPr>
          <w:lang w:eastAsia="ja-JP"/>
        </w:rPr>
        <w:t>Phase</w:t>
      </w:r>
      <w:proofErr w:type="gramEnd"/>
      <w:r w:rsidRPr="00CF0FEB">
        <w:rPr>
          <w:lang w:eastAsia="ja-JP"/>
        </w:rPr>
        <w:t xml:space="preserve"> </w:t>
      </w:r>
      <w:r w:rsidR="00B95E90">
        <w:rPr>
          <w:lang w:eastAsia="ja-JP"/>
        </w:rPr>
        <w:t>I</w:t>
      </w:r>
      <w:r w:rsidRPr="00CF0FEB">
        <w:rPr>
          <w:lang w:eastAsia="ja-JP"/>
        </w:rPr>
        <w:t xml:space="preserve"> oral administration studies. Study CPS-1010 was an intranasal administration study an</w:t>
      </w:r>
      <w:r>
        <w:rPr>
          <w:lang w:eastAsia="ja-JP"/>
        </w:rPr>
        <w:t>d, therefore, was not included.</w:t>
      </w:r>
    </w:p>
    <w:p w:rsidR="006D40F4" w:rsidRDefault="006D40F4" w:rsidP="006D40F4">
      <w:pPr>
        <w:pStyle w:val="Tabletitle0"/>
        <w:rPr>
          <w:lang w:eastAsia="ja-JP"/>
        </w:rPr>
      </w:pPr>
      <w:bookmarkStart w:id="99" w:name="_Toc483483955"/>
      <w:r>
        <w:lastRenderedPageBreak/>
        <w:t xml:space="preserve">Table </w:t>
      </w:r>
      <w:r w:rsidR="007B3A1B">
        <w:t>1</w:t>
      </w:r>
      <w:r w:rsidR="00AC04B2">
        <w:t>1</w:t>
      </w:r>
      <w:r w:rsidR="004602DE">
        <w:t>:</w:t>
      </w:r>
      <w:r>
        <w:t xml:space="preserve"> </w:t>
      </w:r>
      <w:r>
        <w:rPr>
          <w:lang w:eastAsia="ja-JP"/>
        </w:rPr>
        <w:t xml:space="preserve">Duration of </w:t>
      </w:r>
      <w:r w:rsidR="004C0287">
        <w:rPr>
          <w:lang w:eastAsia="ja-JP"/>
        </w:rPr>
        <w:t>e</w:t>
      </w:r>
      <w:r>
        <w:rPr>
          <w:lang w:eastAsia="ja-JP"/>
        </w:rPr>
        <w:t>xposure (</w:t>
      </w:r>
      <w:r w:rsidR="004C0287">
        <w:rPr>
          <w:lang w:eastAsia="ja-JP"/>
        </w:rPr>
        <w:t>days</w:t>
      </w:r>
      <w:r>
        <w:rPr>
          <w:lang w:eastAsia="ja-JP"/>
        </w:rPr>
        <w:t xml:space="preserve">) by </w:t>
      </w:r>
      <w:r w:rsidR="004C0287">
        <w:rPr>
          <w:lang w:eastAsia="ja-JP"/>
        </w:rPr>
        <w:t xml:space="preserve">demographic </w:t>
      </w:r>
      <w:r>
        <w:rPr>
          <w:lang w:eastAsia="ja-JP"/>
        </w:rPr>
        <w:t xml:space="preserve">Factors (Enrolled </w:t>
      </w:r>
      <w:r w:rsidR="004C0287">
        <w:rPr>
          <w:lang w:eastAsia="ja-JP"/>
        </w:rPr>
        <w:t>set</w:t>
      </w:r>
      <w:r>
        <w:rPr>
          <w:lang w:eastAsia="ja-JP"/>
        </w:rPr>
        <w:t>)</w:t>
      </w:r>
      <w:r w:rsidR="00A0286B">
        <w:rPr>
          <w:lang w:eastAsia="ja-JP"/>
        </w:rPr>
        <w:t>;</w:t>
      </w:r>
      <w:r>
        <w:rPr>
          <w:lang w:eastAsia="ja-JP"/>
        </w:rPr>
        <w:t xml:space="preserve"> </w:t>
      </w:r>
      <w:r w:rsidR="00B35620">
        <w:rPr>
          <w:lang w:eastAsia="ja-JP"/>
        </w:rPr>
        <w:t xml:space="preserve">pooled </w:t>
      </w:r>
      <w:r w:rsidR="00A0286B">
        <w:rPr>
          <w:lang w:eastAsia="ja-JP"/>
        </w:rPr>
        <w:t xml:space="preserve">analysis </w:t>
      </w:r>
      <w:r>
        <w:rPr>
          <w:lang w:eastAsia="ja-JP"/>
        </w:rPr>
        <w:t xml:space="preserve">of Phase </w:t>
      </w:r>
      <w:r w:rsidR="004602DE">
        <w:rPr>
          <w:lang w:eastAsia="ja-JP"/>
        </w:rPr>
        <w:t>II</w:t>
      </w:r>
      <w:r>
        <w:rPr>
          <w:lang w:eastAsia="ja-JP"/>
        </w:rPr>
        <w:t xml:space="preserve"> and </w:t>
      </w:r>
      <w:r w:rsidR="004602DE">
        <w:rPr>
          <w:lang w:eastAsia="ja-JP"/>
        </w:rPr>
        <w:t>III</w:t>
      </w:r>
      <w:r>
        <w:rPr>
          <w:lang w:eastAsia="ja-JP"/>
        </w:rPr>
        <w:t xml:space="preserve"> </w:t>
      </w:r>
      <w:bookmarkEnd w:id="99"/>
      <w:r w:rsidR="00A0286B">
        <w:rPr>
          <w:lang w:eastAsia="ja-JP"/>
        </w:rPr>
        <w:t>studies</w:t>
      </w:r>
    </w:p>
    <w:p w:rsidR="006D40F4" w:rsidRDefault="006D40F4" w:rsidP="006D40F4">
      <w:pPr>
        <w:rPr>
          <w:lang w:eastAsia="ja-JP"/>
        </w:rPr>
      </w:pPr>
      <w:r>
        <w:rPr>
          <w:noProof/>
          <w:lang w:eastAsia="en-AU"/>
        </w:rPr>
        <w:drawing>
          <wp:inline distT="0" distB="0" distL="0" distR="0" wp14:anchorId="4D370378" wp14:editId="528CE264">
            <wp:extent cx="4556572" cy="2539218"/>
            <wp:effectExtent l="0" t="0" r="0" b="0"/>
            <wp:docPr id="140" name="Picture 140" descr="Table 9: Duration of Exposure (Days) by Demographic Factors (Enrolled Set), Pooled Analysis of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61145" cy="2541767"/>
                    </a:xfrm>
                    <a:prstGeom prst="rect">
                      <a:avLst/>
                    </a:prstGeom>
                  </pic:spPr>
                </pic:pic>
              </a:graphicData>
            </a:graphic>
          </wp:inline>
        </w:drawing>
      </w:r>
    </w:p>
    <w:p w:rsidR="007D3174" w:rsidRDefault="006D40F4" w:rsidP="004602DE">
      <w:pPr>
        <w:pStyle w:val="TableDescription"/>
      </w:pPr>
      <w:r w:rsidRPr="003A0096">
        <w:rPr>
          <w:lang w:eastAsia="ja-JP"/>
        </w:rPr>
        <w:t xml:space="preserve">Patient base: Patients in the Enrolled Set who received at least 1 dose of study drug; the treatment group is based on the treatment to which the patient was </w:t>
      </w:r>
      <w:r w:rsidR="00C87895">
        <w:rPr>
          <w:lang w:eastAsia="ja-JP"/>
        </w:rPr>
        <w:t>randomised</w:t>
      </w:r>
      <w:r w:rsidRPr="003A0096">
        <w:rPr>
          <w:lang w:eastAsia="ja-JP"/>
        </w:rPr>
        <w:t xml:space="preserve">. For any </w:t>
      </w:r>
      <w:r w:rsidRPr="004602DE">
        <w:t>non</w:t>
      </w:r>
      <w:r w:rsidR="00C87895" w:rsidRPr="004602DE">
        <w:t>randomised</w:t>
      </w:r>
      <w:r w:rsidRPr="003A0096">
        <w:rPr>
          <w:lang w:eastAsia="ja-JP"/>
        </w:rPr>
        <w:t xml:space="preserve"> patients who received study drug, it was based on the treatment received at Day 1.</w:t>
      </w:r>
    </w:p>
    <w:p w:rsidR="007D3174" w:rsidRDefault="007D3174" w:rsidP="004602DE">
      <w:pPr>
        <w:pStyle w:val="Tabletitle0"/>
      </w:pPr>
      <w:r>
        <w:t xml:space="preserve">Table </w:t>
      </w:r>
      <w:r w:rsidR="004602DE">
        <w:t>1</w:t>
      </w:r>
      <w:r w:rsidR="00AC04B2">
        <w:t>2</w:t>
      </w:r>
      <w:r w:rsidR="004602DE">
        <w:t>:</w:t>
      </w:r>
      <w:r>
        <w:t xml:space="preserve"> Duration of </w:t>
      </w:r>
      <w:r w:rsidR="00A0286B">
        <w:t xml:space="preserve">exposure </w:t>
      </w:r>
      <w:r>
        <w:t xml:space="preserve">(Safety </w:t>
      </w:r>
      <w:r w:rsidR="00A0286B">
        <w:t>set</w:t>
      </w:r>
      <w:r>
        <w:t>)</w:t>
      </w:r>
      <w:r w:rsidR="00A0286B">
        <w:t xml:space="preserve">; </w:t>
      </w:r>
      <w:r w:rsidR="00B35620">
        <w:t>p</w:t>
      </w:r>
      <w:r>
        <w:t xml:space="preserve">ooled </w:t>
      </w:r>
      <w:r w:rsidR="00A0286B">
        <w:t xml:space="preserve">analysis of </w:t>
      </w:r>
      <w:r w:rsidR="007066C7">
        <w:t>Phase II</w:t>
      </w:r>
      <w:r>
        <w:t xml:space="preserve"> and </w:t>
      </w:r>
      <w:r w:rsidR="004602DE">
        <w:t>III</w:t>
      </w:r>
      <w:r w:rsidR="00A0286B">
        <w:t xml:space="preserve"> studies</w:t>
      </w:r>
    </w:p>
    <w:p w:rsidR="006D40F4" w:rsidRPr="003A0096" w:rsidRDefault="006D40F4" w:rsidP="006D40F4">
      <w:pPr>
        <w:spacing w:before="0" w:after="0" w:line="240" w:lineRule="auto"/>
        <w:rPr>
          <w:sz w:val="16"/>
          <w:lang w:eastAsia="ja-JP"/>
        </w:rPr>
      </w:pPr>
      <w:r w:rsidRPr="003A0096">
        <w:rPr>
          <w:noProof/>
          <w:sz w:val="16"/>
          <w:lang w:eastAsia="en-AU"/>
        </w:rPr>
        <w:drawing>
          <wp:inline distT="0" distB="0" distL="0" distR="0" wp14:anchorId="01D60154" wp14:editId="09FDB5AE">
            <wp:extent cx="5078437" cy="1189291"/>
            <wp:effectExtent l="0" t="0" r="0" b="0"/>
            <wp:docPr id="139" name="Picture 139" descr="Duration of Exposure (Safety Set) – Pooled Analysis Phase II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81223" cy="1189943"/>
                    </a:xfrm>
                    <a:prstGeom prst="rect">
                      <a:avLst/>
                    </a:prstGeom>
                  </pic:spPr>
                </pic:pic>
              </a:graphicData>
            </a:graphic>
          </wp:inline>
        </w:drawing>
      </w:r>
    </w:p>
    <w:p w:rsidR="006D40F4" w:rsidRPr="003C49D9" w:rsidRDefault="006D40F4" w:rsidP="003C49D9">
      <w:pPr>
        <w:pStyle w:val="TableDescription"/>
      </w:pPr>
      <w:r w:rsidRPr="003C49D9">
        <w:t xml:space="preserve">Patient base: Safety </w:t>
      </w:r>
      <w:r w:rsidR="00B35620">
        <w:t>a</w:t>
      </w:r>
      <w:r w:rsidR="00B35620" w:rsidRPr="003C49D9">
        <w:t xml:space="preserve">nalysis </w:t>
      </w:r>
      <w:r w:rsidR="00B35620">
        <w:t>s</w:t>
      </w:r>
      <w:r w:rsidR="00B35620" w:rsidRPr="003C49D9">
        <w:t xml:space="preserve">et </w:t>
      </w:r>
      <w:r w:rsidRPr="003C49D9">
        <w:t xml:space="preserve">(all patients who received at least 1 dose of study drug; based on the treatment actually received at the time the measurement was taken, regardless of assigned treatment according to the planned </w:t>
      </w:r>
      <w:r w:rsidR="00B35620" w:rsidRPr="003C49D9">
        <w:t>randomi</w:t>
      </w:r>
      <w:r w:rsidR="00B35620">
        <w:t>s</w:t>
      </w:r>
      <w:r w:rsidR="00B35620" w:rsidRPr="003C49D9">
        <w:t>ation</w:t>
      </w:r>
      <w:r w:rsidRPr="003C49D9">
        <w:t>)</w:t>
      </w:r>
      <w:r w:rsidR="00A0286B">
        <w:t xml:space="preserve"> </w:t>
      </w:r>
      <w:r w:rsidRPr="003C49D9">
        <w:t>IVRS = interactive voice response system; IWRS = interactive web response system; NA = not applicable;</w:t>
      </w:r>
      <w:r w:rsidR="00A0286B">
        <w:rPr>
          <w:vertAlign w:val="superscript"/>
        </w:rPr>
        <w:t xml:space="preserve"> </w:t>
      </w:r>
      <w:r w:rsidR="00A0286B">
        <w:t xml:space="preserve">a) </w:t>
      </w:r>
      <w:r w:rsidRPr="003C49D9">
        <w:t>After the interim analysis for Study IBS-2001, the 5-mg treatment group was deselected for lack of efficacy and patients subsequently enrolled were randomly assigned to 1 of the 4 remaining treatment groups (2</w:t>
      </w:r>
      <w:r w:rsidR="00746A5C" w:rsidRPr="003C49D9">
        <w:t>5 mg</w:t>
      </w:r>
      <w:r w:rsidRPr="003C49D9">
        <w:t>, 10</w:t>
      </w:r>
      <w:r w:rsidR="00746A5C" w:rsidRPr="003C49D9">
        <w:t>0 mg</w:t>
      </w:r>
      <w:r w:rsidRPr="003C49D9">
        <w:t>, or 20</w:t>
      </w:r>
      <w:r w:rsidR="00746A5C" w:rsidRPr="003C49D9">
        <w:t>0 mg</w:t>
      </w:r>
      <w:r w:rsidRPr="003C49D9">
        <w:t xml:space="preserve"> eluxadoline or placebo)</w:t>
      </w:r>
      <w:r w:rsidR="00A0286B">
        <w:rPr>
          <w:vertAlign w:val="superscript"/>
        </w:rPr>
        <w:t xml:space="preserve">; </w:t>
      </w:r>
      <w:r w:rsidR="00A0286B">
        <w:t>b) </w:t>
      </w:r>
      <w:r w:rsidRPr="003C49D9">
        <w:t xml:space="preserve">N reflects the safety set and includes all patients who received at least 1 dose of study drug (i.e., number of patients </w:t>
      </w:r>
      <w:r w:rsidR="00C87895" w:rsidRPr="003C49D9">
        <w:t>randomised</w:t>
      </w:r>
      <w:r w:rsidRPr="003C49D9">
        <w:t xml:space="preserve"> + number of patients who received the treatment due to IVRS/IWRS misallocation or site misallocatio</w:t>
      </w:r>
      <w:r w:rsidR="00A0286B">
        <w:t>n; c)</w:t>
      </w:r>
      <w:r w:rsidRPr="003C49D9">
        <w:t xml:space="preserve"> used in the determination of overall duration of exposure does not include patients who received study drug due to IVRS/IWRS misallocation or site misallocation.</w:t>
      </w:r>
      <w:r w:rsidR="00B35620">
        <w:t xml:space="preserve"> </w:t>
      </w:r>
      <w:r w:rsidRPr="003C49D9">
        <w:t xml:space="preserve">Exposure was defined as the total days the patient was exposed to study drug, excluding any days where it was recorded that an interruption had occurred. If the last dose date was missing or incomplete, the following steps were implemented to impute the exposure duration: </w:t>
      </w:r>
      <w:r w:rsidR="00A0286B">
        <w:t>(</w:t>
      </w:r>
      <w:r w:rsidRPr="003C49D9">
        <w:t>1) If the latest kit dispensed had a complete return date, the return date to calculate exposure was used</w:t>
      </w:r>
      <w:r w:rsidR="00A0286B">
        <w:t>;</w:t>
      </w:r>
      <w:r w:rsidRPr="003C49D9">
        <w:t xml:space="preserve"> </w:t>
      </w:r>
      <w:r w:rsidR="00A0286B">
        <w:t>(</w:t>
      </w:r>
      <w:r w:rsidRPr="003C49D9">
        <w:t xml:space="preserve">2) If the partial information on the last dose date was UK-MMM-YYYY, the last day of the appropriate month as the end date was assumed. (3) Otherwise, the latest kit dispensed date and the number of tablets was used to impute an end date assuming the patient took the tablets with 100% compliance, </w:t>
      </w:r>
      <w:r w:rsidR="00B35620">
        <w:t xml:space="preserve">that is, </w:t>
      </w:r>
      <w:r w:rsidRPr="003C49D9">
        <w:t>divided the total tablets by 4 to determine the number of days and added this to the dispensed date.</w:t>
      </w:r>
    </w:p>
    <w:p w:rsidR="00605AD4" w:rsidRDefault="00605AD4" w:rsidP="00605AD4">
      <w:pPr>
        <w:pStyle w:val="Heading4"/>
      </w:pPr>
      <w:r w:rsidRPr="00605AD4">
        <w:t>Safety issues with the potential for major regulatory impact</w:t>
      </w:r>
    </w:p>
    <w:p w:rsidR="005F1690" w:rsidRDefault="007D3174" w:rsidP="007D3174">
      <w:r>
        <w:t xml:space="preserve">Rather than reviewing all treatment related AEs the sponsor considered selected </w:t>
      </w:r>
      <w:r w:rsidR="001D0390">
        <w:t xml:space="preserve">AEs </w:t>
      </w:r>
      <w:r>
        <w:t>that were considered class related.</w:t>
      </w:r>
    </w:p>
    <w:p w:rsidR="005F1690" w:rsidRDefault="007D3174" w:rsidP="007D3174">
      <w:r>
        <w:t xml:space="preserve">The sponsor argues for this being a different class from loperamide being both </w:t>
      </w:r>
      <w:r w:rsidR="00A0286B">
        <w:t xml:space="preserve">MOR </w:t>
      </w:r>
      <w:r>
        <w:t>agonist</w:t>
      </w:r>
      <w:r w:rsidR="000F77DE">
        <w:t xml:space="preserve"> and </w:t>
      </w:r>
      <w:r w:rsidR="00A0286B">
        <w:t xml:space="preserve">DOR </w:t>
      </w:r>
      <w:r>
        <w:t xml:space="preserve">antagonist however in relation to treatment related AEs the sponsor only </w:t>
      </w:r>
      <w:r>
        <w:lastRenderedPageBreak/>
        <w:t xml:space="preserve">considers selected AEs based on known class effects of </w:t>
      </w:r>
      <w:r w:rsidR="00E4543A">
        <w:t>M</w:t>
      </w:r>
      <w:r>
        <w:t>OR agonists and opio</w:t>
      </w:r>
      <w:r w:rsidR="004602DE">
        <w:t>i</w:t>
      </w:r>
      <w:r>
        <w:t xml:space="preserve">ds in the initial section relating to </w:t>
      </w:r>
      <w:r w:rsidR="00A0286B" w:rsidRPr="00A0286B">
        <w:t>‘</w:t>
      </w:r>
      <w:r w:rsidRPr="00D21405">
        <w:t>Pharmacologic Class</w:t>
      </w:r>
      <w:r w:rsidR="00A0286B" w:rsidRPr="00D21405">
        <w:t>’</w:t>
      </w:r>
      <w:r w:rsidRPr="00A0286B">
        <w:t xml:space="preserve"> </w:t>
      </w:r>
      <w:r>
        <w:t xml:space="preserve">but under </w:t>
      </w:r>
      <w:r w:rsidR="00A0286B" w:rsidRPr="00A0286B">
        <w:t>‘</w:t>
      </w:r>
      <w:r w:rsidRPr="00D21405">
        <w:t>Other Significant Adverse Events</w:t>
      </w:r>
      <w:r w:rsidR="00A0286B" w:rsidRPr="00D21405">
        <w:t>’</w:t>
      </w:r>
      <w:r w:rsidRPr="00A0286B">
        <w:t xml:space="preserve"> </w:t>
      </w:r>
      <w:r>
        <w:t>says the sponsor has:</w:t>
      </w:r>
    </w:p>
    <w:p w:rsidR="007D3174" w:rsidRDefault="007D3174" w:rsidP="00D21405">
      <w:pPr>
        <w:ind w:left="720"/>
      </w:pPr>
      <w:r w:rsidRPr="004602DE">
        <w:rPr>
          <w:i/>
        </w:rPr>
        <w:t>’identified certain AEs of special interest related to the pharmacological class of eluxadoline (mixed opioid agonist)</w:t>
      </w:r>
      <w:r>
        <w:t>.’</w:t>
      </w:r>
    </w:p>
    <w:p w:rsidR="007D3174" w:rsidRDefault="001731D8" w:rsidP="007D3174">
      <w:proofErr w:type="gramStart"/>
      <w:r>
        <w:t>a</w:t>
      </w:r>
      <w:r w:rsidR="007D3174">
        <w:t>nd</w:t>
      </w:r>
      <w:proofErr w:type="gramEnd"/>
      <w:r w:rsidR="007D3174">
        <w:t xml:space="preserve"> lists the following:</w:t>
      </w:r>
    </w:p>
    <w:p w:rsidR="007D3174" w:rsidRDefault="007D3174" w:rsidP="00746A5C">
      <w:pPr>
        <w:pStyle w:val="ListBullet"/>
      </w:pPr>
      <w:r>
        <w:t>AEs consistent with Sphincter of Oddi spasm</w:t>
      </w:r>
      <w:r w:rsidR="00A0286B">
        <w:t>;</w:t>
      </w:r>
    </w:p>
    <w:p w:rsidR="007D3174" w:rsidRDefault="007D3174" w:rsidP="00746A5C">
      <w:pPr>
        <w:pStyle w:val="ListBullet"/>
      </w:pPr>
      <w:r>
        <w:t>other and hepatic events</w:t>
      </w:r>
      <w:r w:rsidR="00A0286B">
        <w:t>;</w:t>
      </w:r>
    </w:p>
    <w:p w:rsidR="007D3174" w:rsidRDefault="007D3174" w:rsidP="00746A5C">
      <w:pPr>
        <w:pStyle w:val="ListBullet"/>
      </w:pPr>
      <w:r>
        <w:t>constipation events</w:t>
      </w:r>
      <w:r w:rsidR="00A0286B">
        <w:t>;</w:t>
      </w:r>
    </w:p>
    <w:p w:rsidR="007D3174" w:rsidRDefault="007D3174" w:rsidP="00746A5C">
      <w:pPr>
        <w:pStyle w:val="ListBullet"/>
      </w:pPr>
      <w:r>
        <w:t>events of fall, syncope</w:t>
      </w:r>
      <w:r w:rsidR="00A0286B">
        <w:t>;</w:t>
      </w:r>
    </w:p>
    <w:p w:rsidR="007D3174" w:rsidRDefault="007D3174" w:rsidP="00746A5C">
      <w:pPr>
        <w:pStyle w:val="ListBullet"/>
      </w:pPr>
      <w:r>
        <w:t>road traffic accident</w:t>
      </w:r>
      <w:r w:rsidR="00A0286B">
        <w:t>;</w:t>
      </w:r>
    </w:p>
    <w:p w:rsidR="007D3174" w:rsidRDefault="007D3174" w:rsidP="00746A5C">
      <w:pPr>
        <w:pStyle w:val="ListBullet"/>
      </w:pPr>
      <w:r>
        <w:t>cardiac and chest pain events</w:t>
      </w:r>
      <w:r w:rsidR="00A0286B">
        <w:t>; and</w:t>
      </w:r>
    </w:p>
    <w:p w:rsidR="007D3174" w:rsidRDefault="007D3174" w:rsidP="00746A5C">
      <w:pPr>
        <w:pStyle w:val="ListBullet"/>
      </w:pPr>
      <w:proofErr w:type="gramStart"/>
      <w:r>
        <w:t>events</w:t>
      </w:r>
      <w:proofErr w:type="gramEnd"/>
      <w:r>
        <w:t xml:space="preserve"> of rash and pruritus.</w:t>
      </w:r>
    </w:p>
    <w:p w:rsidR="007D3174" w:rsidRDefault="007D3174" w:rsidP="00746A5C">
      <w:pPr>
        <w:pStyle w:val="Heading4"/>
      </w:pPr>
      <w:r>
        <w:t>Sphincter of Oddi spasm</w:t>
      </w:r>
    </w:p>
    <w:p w:rsidR="007D3174" w:rsidRDefault="007D3174" w:rsidP="007D3174">
      <w:r>
        <w:t>Of 11 pancreatitis cases on the eluxadoline database</w:t>
      </w:r>
      <w:r w:rsidR="001731D8">
        <w:t>,</w:t>
      </w:r>
      <w:r>
        <w:t xml:space="preserve"> 9 were felt to be pancreatitis of which 3 were felt associated with </w:t>
      </w:r>
      <w:r w:rsidR="00B35620">
        <w:t xml:space="preserve">sphincter </w:t>
      </w:r>
      <w:r>
        <w:t>of Oddi spasm. All 3 patients had prior cholecystectomy, events, were transient and occurred during the first day of treatment.</w:t>
      </w:r>
    </w:p>
    <w:p w:rsidR="007D3174" w:rsidRDefault="007D3174" w:rsidP="007D3174">
      <w:r>
        <w:t xml:space="preserve">There were 9 cases of acute hepatobiliary events with all having </w:t>
      </w:r>
      <w:r w:rsidR="00B35620">
        <w:t xml:space="preserve">sphincter </w:t>
      </w:r>
      <w:r>
        <w:t xml:space="preserve">of Oddi spasm associated. All had absent gall bladders. All events were transient and rapidly resolved on stopping therapy </w:t>
      </w:r>
      <w:r w:rsidR="001731D8">
        <w:t>however 1 patient was hospitalis</w:t>
      </w:r>
      <w:r>
        <w:t xml:space="preserve">ed briefly for control of nausea and vomiting. Patients presented with either epigastric/abdominal or biliary type pain, often with symptoms of nausea. </w:t>
      </w:r>
      <w:r w:rsidR="00A0286B">
        <w:t xml:space="preserve">7 </w:t>
      </w:r>
      <w:r>
        <w:t>patients reported their first onset of symptoms within the first week of treatment.</w:t>
      </w:r>
    </w:p>
    <w:p w:rsidR="007D3174" w:rsidRDefault="007D3174" w:rsidP="00746A5C">
      <w:pPr>
        <w:pStyle w:val="Heading4"/>
      </w:pPr>
      <w:r>
        <w:t>Pancreatitis</w:t>
      </w:r>
    </w:p>
    <w:p w:rsidR="007D3174" w:rsidRDefault="007D3174" w:rsidP="007D3174">
      <w:r>
        <w:t xml:space="preserve">Among the above 9 adjudicated cases, there were 6 cases of pancreatitis that were felt not consistent with </w:t>
      </w:r>
      <w:r w:rsidR="00B35620">
        <w:t xml:space="preserve">sphincter </w:t>
      </w:r>
      <w:r>
        <w:t xml:space="preserve">of Oddi spasm. </w:t>
      </w:r>
      <w:r w:rsidR="00A0286B">
        <w:t xml:space="preserve">4 </w:t>
      </w:r>
      <w:r>
        <w:t>of these AEs involved patients with known alcohol abuse or increased alcohol intake.</w:t>
      </w:r>
    </w:p>
    <w:p w:rsidR="005F1690" w:rsidRDefault="007D3174" w:rsidP="00746A5C">
      <w:pPr>
        <w:pStyle w:val="Heading4"/>
      </w:pPr>
      <w:r>
        <w:t>Liver function and liver toxicity</w:t>
      </w:r>
    </w:p>
    <w:p w:rsidR="007D3174" w:rsidRDefault="007D3174" w:rsidP="007D3174">
      <w:r>
        <w:t xml:space="preserve">Four additional patients, (all having had cholecystectomy), had elevated </w:t>
      </w:r>
      <w:r w:rsidR="00822784">
        <w:t>alanine aminotransferase (</w:t>
      </w:r>
      <w:r>
        <w:t>ALT</w:t>
      </w:r>
      <w:r w:rsidR="00822784">
        <w:t>)</w:t>
      </w:r>
      <w:r>
        <w:t>/</w:t>
      </w:r>
      <w:r w:rsidR="00822784">
        <w:t>aspartate aminotransferase (</w:t>
      </w:r>
      <w:r>
        <w:t>AST</w:t>
      </w:r>
      <w:r w:rsidR="00822784">
        <w:t>)</w:t>
      </w:r>
      <w:r>
        <w:t xml:space="preserve"> levels and experienced symptoms of an acute biliary type syndrome having some of the characteristics of the </w:t>
      </w:r>
      <w:r w:rsidR="00B35620">
        <w:t xml:space="preserve">sphincter </w:t>
      </w:r>
      <w:r>
        <w:t>of Oddi spasm.</w:t>
      </w:r>
    </w:p>
    <w:p w:rsidR="007D3174" w:rsidRDefault="007D3174" w:rsidP="007D3174">
      <w:r>
        <w:t xml:space="preserve">The sponsor presented considerable analysis of </w:t>
      </w:r>
      <w:r w:rsidR="00AF3671">
        <w:t>liver function tests (</w:t>
      </w:r>
      <w:r>
        <w:t>LFT</w:t>
      </w:r>
      <w:r w:rsidR="00AF3671">
        <w:t>)</w:t>
      </w:r>
      <w:r>
        <w:t xml:space="preserve"> including the effect of prior cholecystectomy.</w:t>
      </w:r>
    </w:p>
    <w:p w:rsidR="007D3174" w:rsidRDefault="007D3174" w:rsidP="00746A5C">
      <w:pPr>
        <w:pStyle w:val="Tabletitle0"/>
      </w:pPr>
      <w:r>
        <w:lastRenderedPageBreak/>
        <w:t xml:space="preserve">Table </w:t>
      </w:r>
      <w:r w:rsidR="00822784">
        <w:t>1</w:t>
      </w:r>
      <w:r w:rsidR="00AC04B2">
        <w:t>3</w:t>
      </w:r>
      <w:r w:rsidR="00822784">
        <w:t>:</w:t>
      </w:r>
      <w:r>
        <w:t xml:space="preserve"> Post-</w:t>
      </w:r>
      <w:r w:rsidR="00AF3671">
        <w:t>r</w:t>
      </w:r>
      <w:r>
        <w:t>andomi</w:t>
      </w:r>
      <w:r w:rsidR="00AF3671">
        <w:t>s</w:t>
      </w:r>
      <w:r>
        <w:t xml:space="preserve">ation </w:t>
      </w:r>
      <w:r w:rsidR="00AF3671">
        <w:t xml:space="preserve">increase </w:t>
      </w:r>
      <w:r>
        <w:t xml:space="preserve">in </w:t>
      </w:r>
      <w:r w:rsidR="00AF3671">
        <w:t xml:space="preserve">parameter </w:t>
      </w:r>
      <w:r>
        <w:t xml:space="preserve">ALT </w:t>
      </w:r>
      <w:r w:rsidR="00286F60">
        <w:t>(</w:t>
      </w:r>
      <w:r>
        <w:t xml:space="preserve">Safety </w:t>
      </w:r>
      <w:r w:rsidR="00286F60">
        <w:t xml:space="preserve">analysis set); </w:t>
      </w:r>
      <w:r>
        <w:t xml:space="preserve">Pooled </w:t>
      </w:r>
      <w:r w:rsidR="00286F60">
        <w:t xml:space="preserve">analysis of </w:t>
      </w:r>
      <w:r w:rsidR="00822784">
        <w:t xml:space="preserve">Phase II and III </w:t>
      </w:r>
      <w:r w:rsidR="00286F60">
        <w:t xml:space="preserve">studies </w:t>
      </w:r>
      <w:r w:rsidR="00822784">
        <w:t xml:space="preserve">(All </w:t>
      </w:r>
      <w:r w:rsidR="00286F60">
        <w:t>studies</w:t>
      </w:r>
      <w:r w:rsidR="00822784">
        <w:t>)</w:t>
      </w:r>
    </w:p>
    <w:p w:rsidR="00746A5C" w:rsidRPr="00A7521D" w:rsidRDefault="00746A5C" w:rsidP="00746A5C">
      <w:pPr>
        <w:spacing w:before="0" w:after="0" w:line="240" w:lineRule="auto"/>
        <w:rPr>
          <w:sz w:val="16"/>
          <w:lang w:eastAsia="ja-JP"/>
        </w:rPr>
      </w:pPr>
      <w:r w:rsidRPr="00A7521D">
        <w:rPr>
          <w:noProof/>
          <w:sz w:val="16"/>
          <w:lang w:eastAsia="en-AU"/>
        </w:rPr>
        <w:drawing>
          <wp:inline distT="0" distB="0" distL="0" distR="0" wp14:anchorId="652F9699" wp14:editId="6DB159DD">
            <wp:extent cx="4845099" cy="2140499"/>
            <wp:effectExtent l="0" t="0" r="0" b="0"/>
            <wp:docPr id="217" name="Picture 217" descr="Post-Randomization Increase in Parameter ALT Safety Analysis Set Pooled Analysis Phase II and III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849550" cy="2142465"/>
                    </a:xfrm>
                    <a:prstGeom prst="rect">
                      <a:avLst/>
                    </a:prstGeom>
                  </pic:spPr>
                </pic:pic>
              </a:graphicData>
            </a:graphic>
          </wp:inline>
        </w:drawing>
      </w:r>
    </w:p>
    <w:p w:rsidR="005F1690" w:rsidRDefault="00746A5C" w:rsidP="003C49D9">
      <w:pPr>
        <w:pStyle w:val="TableDescription"/>
        <w:rPr>
          <w:rStyle w:val="CommentReference"/>
        </w:rPr>
      </w:pPr>
      <w:r w:rsidRPr="00A7521D">
        <w:rPr>
          <w:lang w:eastAsia="ja-JP"/>
        </w:rPr>
        <w:t>Percentages are calculated using the safety analysis set as denominator.</w:t>
      </w:r>
      <w:r w:rsidR="00286F60">
        <w:rPr>
          <w:lang w:eastAsia="ja-JP"/>
        </w:rPr>
        <w:t xml:space="preserve"> </w:t>
      </w:r>
      <w:r w:rsidRPr="00A7521D">
        <w:rPr>
          <w:lang w:eastAsia="ja-JP"/>
        </w:rPr>
        <w:t>Subjects were eligible for study entry with ALT up to 3</w:t>
      </w:r>
      <w:r w:rsidR="00286F60">
        <w:rPr>
          <w:lang w:eastAsia="ja-JP"/>
        </w:rPr>
        <w:t> </w:t>
      </w:r>
      <w:r w:rsidRPr="00A7521D">
        <w:rPr>
          <w:lang w:eastAsia="ja-JP"/>
        </w:rPr>
        <w:t>x</w:t>
      </w:r>
      <w:r w:rsidR="00286F60">
        <w:rPr>
          <w:lang w:eastAsia="ja-JP"/>
        </w:rPr>
        <w:t> upper limit of normal (</w:t>
      </w:r>
      <w:r w:rsidRPr="00A7521D">
        <w:rPr>
          <w:lang w:eastAsia="ja-JP"/>
        </w:rPr>
        <w:t>ULN</w:t>
      </w:r>
      <w:r w:rsidR="00286F60">
        <w:rPr>
          <w:lang w:eastAsia="ja-JP"/>
        </w:rPr>
        <w:t>)</w:t>
      </w:r>
      <w:r w:rsidRPr="00A7521D">
        <w:rPr>
          <w:lang w:eastAsia="ja-JP"/>
        </w:rPr>
        <w:t>. Incidence rates of ALT elevations are presented separately for those subjects with baseline values below ULN and those with baseline values above ULN.</w:t>
      </w:r>
      <w:r w:rsidR="00822784">
        <w:rPr>
          <w:lang w:eastAsia="ja-JP"/>
        </w:rPr>
        <w:t xml:space="preserve"> </w:t>
      </w:r>
      <w:r w:rsidRPr="00A7521D">
        <w:rPr>
          <w:lang w:eastAsia="ja-JP"/>
        </w:rPr>
        <w:t xml:space="preserve">Subject </w:t>
      </w:r>
      <w:r>
        <w:rPr>
          <w:lang w:eastAsia="ja-JP"/>
        </w:rPr>
        <w:t>[information redacted]</w:t>
      </w:r>
      <w:r w:rsidRPr="00A7521D">
        <w:rPr>
          <w:lang w:eastAsia="ja-JP"/>
        </w:rPr>
        <w:t xml:space="preserve"> unscheduled pre-treatment ALT measurement has been used and is </w:t>
      </w:r>
      <w:r w:rsidR="00260AEB" w:rsidRPr="00A7521D">
        <w:rPr>
          <w:lang w:eastAsia="ja-JP"/>
        </w:rPr>
        <w:t>summari</w:t>
      </w:r>
      <w:r w:rsidR="00260AEB">
        <w:rPr>
          <w:lang w:eastAsia="ja-JP"/>
        </w:rPr>
        <w:t>s</w:t>
      </w:r>
      <w:r w:rsidR="00260AEB" w:rsidRPr="00A7521D">
        <w:rPr>
          <w:lang w:eastAsia="ja-JP"/>
        </w:rPr>
        <w:t xml:space="preserve">ed </w:t>
      </w:r>
      <w:r w:rsidRPr="00A7521D">
        <w:rPr>
          <w:lang w:eastAsia="ja-JP"/>
        </w:rPr>
        <w:t>within the &gt; ULN category for this integrated safety summary.</w:t>
      </w:r>
    </w:p>
    <w:p w:rsidR="00746A5C" w:rsidRDefault="007D3174" w:rsidP="00822784">
      <w:pPr>
        <w:pStyle w:val="Tabletitle0"/>
        <w:rPr>
          <w:lang w:eastAsia="ja-JP"/>
        </w:rPr>
      </w:pPr>
      <w:r>
        <w:t xml:space="preserve">Table </w:t>
      </w:r>
      <w:r w:rsidR="00822784">
        <w:t>1</w:t>
      </w:r>
      <w:r w:rsidR="00AC04B2">
        <w:t>4</w:t>
      </w:r>
      <w:r w:rsidR="00822784">
        <w:t xml:space="preserve">: </w:t>
      </w:r>
      <w:r>
        <w:t>Post-</w:t>
      </w:r>
      <w:r w:rsidR="009B5B55">
        <w:t>r</w:t>
      </w:r>
      <w:r w:rsidR="00286F60">
        <w:t xml:space="preserve">andomisation increase </w:t>
      </w:r>
      <w:r>
        <w:t xml:space="preserve">in </w:t>
      </w:r>
      <w:r w:rsidR="00286F60">
        <w:t>parameter a</w:t>
      </w:r>
      <w:r>
        <w:t xml:space="preserve">lkaline </w:t>
      </w:r>
      <w:r w:rsidR="00286F60">
        <w:t>p</w:t>
      </w:r>
      <w:r>
        <w:t>hosphatase</w:t>
      </w:r>
      <w:r w:rsidR="00286F60">
        <w:t xml:space="preserve"> (ALP)</w:t>
      </w:r>
      <w:r>
        <w:t xml:space="preserve"> </w:t>
      </w:r>
      <w:r w:rsidR="009B5B55">
        <w:t>(</w:t>
      </w:r>
      <w:r>
        <w:t xml:space="preserve">Safety </w:t>
      </w:r>
      <w:r w:rsidR="009B5B55">
        <w:t xml:space="preserve">analysis set); </w:t>
      </w:r>
      <w:r w:rsidR="00B35620">
        <w:t xml:space="preserve">pooled </w:t>
      </w:r>
      <w:r w:rsidR="009B5B55">
        <w:t xml:space="preserve">analysis of </w:t>
      </w:r>
      <w:r>
        <w:t xml:space="preserve">Phase II and III </w:t>
      </w:r>
      <w:r w:rsidR="009B5B55">
        <w:t xml:space="preserve">studies </w:t>
      </w:r>
      <w:r>
        <w:t xml:space="preserve">(All </w:t>
      </w:r>
      <w:r w:rsidR="009B5B55">
        <w:t>studies</w:t>
      </w:r>
      <w:r>
        <w:t>)</w:t>
      </w:r>
    </w:p>
    <w:p w:rsidR="00746A5C" w:rsidRPr="00A7521D" w:rsidRDefault="00746A5C" w:rsidP="00746A5C">
      <w:pPr>
        <w:spacing w:before="0" w:after="0" w:line="240" w:lineRule="auto"/>
        <w:rPr>
          <w:sz w:val="16"/>
          <w:lang w:eastAsia="ja-JP"/>
        </w:rPr>
      </w:pPr>
      <w:r w:rsidRPr="00A7521D">
        <w:rPr>
          <w:noProof/>
          <w:sz w:val="16"/>
          <w:lang w:eastAsia="en-AU"/>
        </w:rPr>
        <w:drawing>
          <wp:inline distT="0" distB="0" distL="0" distR="0" wp14:anchorId="47D17297" wp14:editId="4925D5B5">
            <wp:extent cx="5359791" cy="1558066"/>
            <wp:effectExtent l="0" t="0" r="0" b="4445"/>
            <wp:docPr id="212" name="Picture 212" descr="Post-Randomization Increase in Parameter Alkaline Phosphatase Safety Analysis Set Pooled Analysis Phase II and III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l="1291"/>
                    <a:stretch/>
                  </pic:blipFill>
                  <pic:spPr bwMode="auto">
                    <a:xfrm>
                      <a:off x="0" y="0"/>
                      <a:ext cx="5370484" cy="1561174"/>
                    </a:xfrm>
                    <a:prstGeom prst="rect">
                      <a:avLst/>
                    </a:prstGeom>
                    <a:ln>
                      <a:noFill/>
                    </a:ln>
                    <a:extLst>
                      <a:ext uri="{53640926-AAD7-44D8-BBD7-CCE9431645EC}">
                        <a14:shadowObscured xmlns:a14="http://schemas.microsoft.com/office/drawing/2010/main"/>
                      </a:ext>
                    </a:extLst>
                  </pic:spPr>
                </pic:pic>
              </a:graphicData>
            </a:graphic>
          </wp:inline>
        </w:drawing>
      </w:r>
    </w:p>
    <w:p w:rsidR="007D3174" w:rsidRDefault="00746A5C" w:rsidP="00822784">
      <w:pPr>
        <w:pStyle w:val="TableDescription"/>
      </w:pPr>
      <w:r w:rsidRPr="00A7521D">
        <w:rPr>
          <w:lang w:eastAsia="ja-JP"/>
        </w:rPr>
        <w:t>Percentages are calculated using the safety analysis set as denominator.</w:t>
      </w:r>
      <w:r w:rsidR="00260AEB">
        <w:rPr>
          <w:lang w:eastAsia="ja-JP"/>
        </w:rPr>
        <w:t xml:space="preserve"> </w:t>
      </w:r>
      <w:r w:rsidRPr="00A7521D">
        <w:rPr>
          <w:lang w:eastAsia="ja-JP"/>
        </w:rPr>
        <w:t>Incidence rates of alkaline phosphatase elevations are presented separately for those subjects with baseline values</w:t>
      </w:r>
      <w:r>
        <w:rPr>
          <w:lang w:eastAsia="ja-JP"/>
        </w:rPr>
        <w:t xml:space="preserve"> </w:t>
      </w:r>
      <w:r w:rsidRPr="00A7521D">
        <w:rPr>
          <w:lang w:eastAsia="ja-JP"/>
        </w:rPr>
        <w:t>below ULN and those with baseline values above ULN</w:t>
      </w:r>
    </w:p>
    <w:p w:rsidR="007D3174" w:rsidRDefault="00822784" w:rsidP="00746A5C">
      <w:pPr>
        <w:pStyle w:val="Tabletitle0"/>
      </w:pPr>
      <w:r>
        <w:t>Table 1</w:t>
      </w:r>
      <w:r w:rsidR="00AC04B2">
        <w:t>5</w:t>
      </w:r>
      <w:r>
        <w:t xml:space="preserve">: </w:t>
      </w:r>
      <w:r w:rsidR="007D3174">
        <w:t>Post-</w:t>
      </w:r>
      <w:r w:rsidR="00260AEB">
        <w:t>randomi</w:t>
      </w:r>
      <w:r w:rsidR="009B5B55">
        <w:t>s</w:t>
      </w:r>
      <w:r w:rsidR="00260AEB">
        <w:t xml:space="preserve">ation increase </w:t>
      </w:r>
      <w:r w:rsidR="007D3174">
        <w:t xml:space="preserve">in </w:t>
      </w:r>
      <w:r w:rsidR="00260AEB">
        <w:t xml:space="preserve">parameter </w:t>
      </w:r>
      <w:r w:rsidR="009B5B55">
        <w:t xml:space="preserve">total bilirubin (Safety analysis set); </w:t>
      </w:r>
      <w:r w:rsidR="00B35620">
        <w:t xml:space="preserve">pooled </w:t>
      </w:r>
      <w:r w:rsidR="009B5B55">
        <w:t xml:space="preserve">analysis of </w:t>
      </w:r>
      <w:r>
        <w:t>Phase II and III</w:t>
      </w:r>
      <w:r w:rsidR="009B5B55">
        <w:t xml:space="preserve"> studies</w:t>
      </w:r>
      <w:r>
        <w:t xml:space="preserve"> (All </w:t>
      </w:r>
      <w:r w:rsidR="009B5B55">
        <w:t>studies</w:t>
      </w:r>
      <w:r>
        <w:t>)</w:t>
      </w:r>
    </w:p>
    <w:p w:rsidR="00746A5C" w:rsidRPr="00BB5CB1" w:rsidRDefault="00746A5C" w:rsidP="00746A5C">
      <w:pPr>
        <w:spacing w:before="0" w:after="0" w:line="240" w:lineRule="auto"/>
        <w:rPr>
          <w:sz w:val="16"/>
          <w:lang w:eastAsia="ja-JP"/>
        </w:rPr>
      </w:pPr>
      <w:r w:rsidRPr="00BB5CB1">
        <w:rPr>
          <w:noProof/>
          <w:sz w:val="16"/>
          <w:lang w:eastAsia="en-AU"/>
        </w:rPr>
        <w:drawing>
          <wp:inline distT="0" distB="0" distL="0" distR="0" wp14:anchorId="4B846C33" wp14:editId="3237CC80">
            <wp:extent cx="5373858" cy="1158592"/>
            <wp:effectExtent l="0" t="0" r="0" b="3810"/>
            <wp:docPr id="208" name="Picture 208" descr="Post-Randomization Increase in Parameter Total Bilirubin Safety Analysis Set Pooled Analysis Phase II and III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376967" cy="1159262"/>
                    </a:xfrm>
                    <a:prstGeom prst="rect">
                      <a:avLst/>
                    </a:prstGeom>
                  </pic:spPr>
                </pic:pic>
              </a:graphicData>
            </a:graphic>
          </wp:inline>
        </w:drawing>
      </w:r>
    </w:p>
    <w:p w:rsidR="00746A5C" w:rsidRDefault="00746A5C" w:rsidP="00822784">
      <w:pPr>
        <w:pStyle w:val="TableDescription"/>
        <w:rPr>
          <w:lang w:eastAsia="ja-JP"/>
        </w:rPr>
      </w:pPr>
      <w:r w:rsidRPr="00BB5CB1">
        <w:rPr>
          <w:lang w:eastAsia="ja-JP"/>
        </w:rPr>
        <w:t>Percentages are calculated using the safety analysis set as denominator.</w:t>
      </w:r>
      <w:r w:rsidR="009B5B55">
        <w:rPr>
          <w:lang w:eastAsia="ja-JP"/>
        </w:rPr>
        <w:t xml:space="preserve"> </w:t>
      </w:r>
      <w:r w:rsidRPr="00BB5CB1">
        <w:rPr>
          <w:lang w:eastAsia="ja-JP"/>
        </w:rPr>
        <w:t>Subjects were eligible for study ent</w:t>
      </w:r>
      <w:r>
        <w:rPr>
          <w:lang w:eastAsia="ja-JP"/>
        </w:rPr>
        <w:t>ry with total bilirubin up to 3</w:t>
      </w:r>
      <w:r w:rsidR="009B5B55">
        <w:rPr>
          <w:lang w:eastAsia="ja-JP"/>
        </w:rPr>
        <w:t> </w:t>
      </w:r>
      <w:r w:rsidRPr="00BB5CB1">
        <w:rPr>
          <w:lang w:eastAsia="ja-JP"/>
        </w:rPr>
        <w:t>mg/dL.</w:t>
      </w:r>
    </w:p>
    <w:p w:rsidR="00746A5C" w:rsidRDefault="00746A5C" w:rsidP="00746A5C">
      <w:pPr>
        <w:pStyle w:val="Tabletitle0"/>
        <w:rPr>
          <w:lang w:eastAsia="ja-JP"/>
        </w:rPr>
      </w:pPr>
      <w:bookmarkStart w:id="100" w:name="_Toc483483967"/>
      <w:r>
        <w:lastRenderedPageBreak/>
        <w:t xml:space="preserve">Table </w:t>
      </w:r>
      <w:r w:rsidR="00822784">
        <w:t>1</w:t>
      </w:r>
      <w:r w:rsidR="00AC04B2">
        <w:t>6</w:t>
      </w:r>
      <w:r w:rsidR="00822784">
        <w:t>:</w:t>
      </w:r>
      <w:r>
        <w:t xml:space="preserve"> </w:t>
      </w:r>
      <w:r>
        <w:rPr>
          <w:lang w:eastAsia="ja-JP"/>
        </w:rPr>
        <w:t>Post-</w:t>
      </w:r>
      <w:r w:rsidR="009B5B55">
        <w:rPr>
          <w:lang w:eastAsia="ja-JP"/>
        </w:rPr>
        <w:t xml:space="preserve">randomisation increase </w:t>
      </w:r>
      <w:r>
        <w:rPr>
          <w:lang w:eastAsia="ja-JP"/>
        </w:rPr>
        <w:t xml:space="preserve">in ALT by </w:t>
      </w:r>
      <w:r w:rsidR="009B5B55">
        <w:rPr>
          <w:lang w:eastAsia="ja-JP"/>
        </w:rPr>
        <w:t>prior cholecystectomy s</w:t>
      </w:r>
      <w:r>
        <w:rPr>
          <w:lang w:eastAsia="ja-JP"/>
        </w:rPr>
        <w:t xml:space="preserve">tatus (Safety </w:t>
      </w:r>
      <w:r w:rsidR="009B5B55">
        <w:rPr>
          <w:lang w:eastAsia="ja-JP"/>
        </w:rPr>
        <w:t>analysis set</w:t>
      </w:r>
      <w:r>
        <w:rPr>
          <w:lang w:eastAsia="ja-JP"/>
        </w:rPr>
        <w:t>)</w:t>
      </w:r>
      <w:r w:rsidR="009B5B55">
        <w:rPr>
          <w:lang w:eastAsia="ja-JP"/>
        </w:rPr>
        <w:t xml:space="preserve">; </w:t>
      </w:r>
      <w:r w:rsidR="00B35620">
        <w:rPr>
          <w:lang w:eastAsia="ja-JP"/>
        </w:rPr>
        <w:t>p</w:t>
      </w:r>
      <w:r>
        <w:rPr>
          <w:lang w:eastAsia="ja-JP"/>
        </w:rPr>
        <w:t xml:space="preserve">ooled </w:t>
      </w:r>
      <w:r w:rsidR="009B5B55">
        <w:rPr>
          <w:lang w:eastAsia="ja-JP"/>
        </w:rPr>
        <w:t xml:space="preserve">analysis of </w:t>
      </w:r>
      <w:r>
        <w:rPr>
          <w:lang w:eastAsia="ja-JP"/>
        </w:rPr>
        <w:t xml:space="preserve">Phase III </w:t>
      </w:r>
      <w:r w:rsidR="009B5B55">
        <w:rPr>
          <w:lang w:eastAsia="ja-JP"/>
        </w:rPr>
        <w:t>studies (</w:t>
      </w:r>
      <w:r w:rsidR="009B5B55" w:rsidRPr="00D46C2F">
        <w:rPr>
          <w:lang w:eastAsia="ja-JP"/>
        </w:rPr>
        <w:t>N</w:t>
      </w:r>
      <w:r w:rsidR="009B5B55">
        <w:rPr>
          <w:lang w:eastAsia="ja-JP"/>
        </w:rPr>
        <w:t xml:space="preserve"> =</w:t>
      </w:r>
      <w:r w:rsidR="009B5B55" w:rsidRPr="00D46C2F">
        <w:rPr>
          <w:lang w:eastAsia="ja-JP"/>
        </w:rPr>
        <w:t xml:space="preserve"> </w:t>
      </w:r>
      <w:r w:rsidRPr="00D46C2F">
        <w:rPr>
          <w:lang w:eastAsia="ja-JP"/>
        </w:rPr>
        <w:t xml:space="preserve">(%) of </w:t>
      </w:r>
      <w:bookmarkEnd w:id="100"/>
      <w:r w:rsidR="009B5B55">
        <w:rPr>
          <w:lang w:eastAsia="ja-JP"/>
        </w:rPr>
        <w:t>p</w:t>
      </w:r>
      <w:r w:rsidR="009B5B55" w:rsidRPr="00D46C2F">
        <w:rPr>
          <w:lang w:eastAsia="ja-JP"/>
        </w:rPr>
        <w:t>atients</w:t>
      </w:r>
      <w:r w:rsidR="009B5B55">
        <w:rPr>
          <w:lang w:eastAsia="ja-JP"/>
        </w:rPr>
        <w:t>)</w:t>
      </w:r>
    </w:p>
    <w:p w:rsidR="007C389C" w:rsidRPr="007C389C" w:rsidRDefault="007C389C" w:rsidP="00D21405">
      <w:pPr>
        <w:rPr>
          <w:lang w:eastAsia="ja-JP"/>
        </w:rPr>
      </w:pPr>
      <w:r w:rsidRPr="00074C31">
        <w:rPr>
          <w:noProof/>
          <w:lang w:eastAsia="en-AU"/>
        </w:rPr>
        <w:drawing>
          <wp:inline distT="0" distB="0" distL="0" distR="0" wp14:anchorId="21AD1A87" wp14:editId="08DF6039">
            <wp:extent cx="5400040" cy="4663440"/>
            <wp:effectExtent l="0" t="0" r="0" b="3810"/>
            <wp:docPr id="2" name="Picture 2" descr="Table 16: Post-randomisation increase in ALT by prior cholecystectomy status (Safety analysis set); pooled analysis of Phase III studies (N = (%)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4663440"/>
                    </a:xfrm>
                    <a:prstGeom prst="rect">
                      <a:avLst/>
                    </a:prstGeom>
                  </pic:spPr>
                </pic:pic>
              </a:graphicData>
            </a:graphic>
          </wp:inline>
        </w:drawing>
      </w:r>
    </w:p>
    <w:p w:rsidR="007D3174" w:rsidRDefault="00746A5C" w:rsidP="00822784">
      <w:pPr>
        <w:pStyle w:val="TableDescription"/>
      </w:pPr>
      <w:r w:rsidRPr="00D46C2F">
        <w:rPr>
          <w:lang w:eastAsia="ja-JP"/>
        </w:rPr>
        <w:t xml:space="preserve">Patient base: Safety </w:t>
      </w:r>
      <w:r w:rsidR="00B35620">
        <w:rPr>
          <w:lang w:eastAsia="ja-JP"/>
        </w:rPr>
        <w:t>a</w:t>
      </w:r>
      <w:r w:rsidR="00B35620" w:rsidRPr="00D46C2F">
        <w:rPr>
          <w:lang w:eastAsia="ja-JP"/>
        </w:rPr>
        <w:t xml:space="preserve">nalysis </w:t>
      </w:r>
      <w:r w:rsidR="00B35620">
        <w:rPr>
          <w:lang w:eastAsia="ja-JP"/>
        </w:rPr>
        <w:t>s</w:t>
      </w:r>
      <w:r w:rsidR="00B35620" w:rsidRPr="00D46C2F">
        <w:rPr>
          <w:lang w:eastAsia="ja-JP"/>
        </w:rPr>
        <w:t xml:space="preserve">et </w:t>
      </w:r>
      <w:r w:rsidRPr="00D46C2F">
        <w:rPr>
          <w:lang w:eastAsia="ja-JP"/>
        </w:rPr>
        <w:t xml:space="preserve">(all patients who received at least 1 dose of study drug; based on the treatment actually received at </w:t>
      </w:r>
      <w:r>
        <w:rPr>
          <w:lang w:eastAsia="ja-JP"/>
        </w:rPr>
        <w:t xml:space="preserve">the time the measurement </w:t>
      </w:r>
      <w:r w:rsidRPr="00D46C2F">
        <w:rPr>
          <w:lang w:eastAsia="ja-JP"/>
        </w:rPr>
        <w:t>was taken, regardless of assigned treatment a</w:t>
      </w:r>
      <w:r w:rsidR="000F77DE">
        <w:rPr>
          <w:lang w:eastAsia="ja-JP"/>
        </w:rPr>
        <w:t>ccording to the planned randomis</w:t>
      </w:r>
      <w:r w:rsidRPr="00D46C2F">
        <w:rPr>
          <w:lang w:eastAsia="ja-JP"/>
        </w:rPr>
        <w:t>ation)</w:t>
      </w:r>
      <w:r w:rsidR="00B35620">
        <w:rPr>
          <w:lang w:eastAsia="ja-JP"/>
        </w:rPr>
        <w:t>;</w:t>
      </w:r>
      <w:r w:rsidR="007C389C">
        <w:rPr>
          <w:vertAlign w:val="superscript"/>
          <w:lang w:eastAsia="ja-JP"/>
        </w:rPr>
        <w:t xml:space="preserve"> </w:t>
      </w:r>
      <w:r w:rsidR="007C389C">
        <w:rPr>
          <w:lang w:eastAsia="ja-JP"/>
        </w:rPr>
        <w:t xml:space="preserve">a) </w:t>
      </w:r>
      <w:r w:rsidRPr="00D46C2F">
        <w:rPr>
          <w:lang w:eastAsia="ja-JP"/>
        </w:rPr>
        <w:t xml:space="preserve">Includes Patient </w:t>
      </w:r>
      <w:r>
        <w:rPr>
          <w:lang w:eastAsia="ja-JP"/>
        </w:rPr>
        <w:t>[information redacted]</w:t>
      </w:r>
      <w:r w:rsidRPr="00D46C2F">
        <w:rPr>
          <w:lang w:eastAsia="ja-JP"/>
        </w:rPr>
        <w:t xml:space="preserve"> with congenital agenesis of the gallbladder and Patient </w:t>
      </w:r>
      <w:r>
        <w:rPr>
          <w:lang w:eastAsia="ja-JP"/>
        </w:rPr>
        <w:t>[information redacted]</w:t>
      </w:r>
      <w:r w:rsidRPr="00D46C2F">
        <w:rPr>
          <w:lang w:eastAsia="ja-JP"/>
        </w:rPr>
        <w:t xml:space="preserve"> with laborat</w:t>
      </w:r>
      <w:r>
        <w:rPr>
          <w:lang w:eastAsia="ja-JP"/>
        </w:rPr>
        <w:t xml:space="preserve">ory values that were suspicious </w:t>
      </w:r>
      <w:r w:rsidRPr="00D46C2F">
        <w:rPr>
          <w:lang w:eastAsia="ja-JP"/>
        </w:rPr>
        <w:t>for specimen errors</w:t>
      </w:r>
      <w:r w:rsidR="007C389C">
        <w:rPr>
          <w:lang w:eastAsia="ja-JP"/>
        </w:rPr>
        <w:t xml:space="preserve">. </w:t>
      </w:r>
      <w:r w:rsidRPr="00D46C2F">
        <w:rPr>
          <w:lang w:eastAsia="ja-JP"/>
        </w:rPr>
        <w:t xml:space="preserve">Percentages were calculated using the number of patients with or without a prior cholecystectomy (Safety </w:t>
      </w:r>
      <w:r w:rsidR="00B35620">
        <w:rPr>
          <w:lang w:eastAsia="ja-JP"/>
        </w:rPr>
        <w:t>a</w:t>
      </w:r>
      <w:r w:rsidR="00B35620" w:rsidRPr="00D46C2F">
        <w:rPr>
          <w:lang w:eastAsia="ja-JP"/>
        </w:rPr>
        <w:t xml:space="preserve">nalysis </w:t>
      </w:r>
      <w:r w:rsidR="00B35620">
        <w:rPr>
          <w:lang w:eastAsia="ja-JP"/>
        </w:rPr>
        <w:t>s</w:t>
      </w:r>
      <w:r w:rsidR="00B35620" w:rsidRPr="00D46C2F">
        <w:rPr>
          <w:lang w:eastAsia="ja-JP"/>
        </w:rPr>
        <w:t>et</w:t>
      </w:r>
      <w:r w:rsidRPr="00D46C2F">
        <w:rPr>
          <w:lang w:eastAsia="ja-JP"/>
        </w:rPr>
        <w:t>) as the denominator.</w:t>
      </w:r>
      <w:r>
        <w:rPr>
          <w:lang w:eastAsia="ja-JP"/>
        </w:rPr>
        <w:t xml:space="preserve"> </w:t>
      </w:r>
      <w:r w:rsidRPr="00D46C2F">
        <w:rPr>
          <w:lang w:eastAsia="ja-JP"/>
        </w:rPr>
        <w:t xml:space="preserve">Patients were eligible for study entry with ALT up to 3 </w:t>
      </w:r>
      <w:r>
        <w:rPr>
          <w:lang w:eastAsia="ja-JP"/>
        </w:rPr>
        <w:t>x</w:t>
      </w:r>
      <w:r w:rsidRPr="00D46C2F">
        <w:rPr>
          <w:lang w:eastAsia="ja-JP"/>
        </w:rPr>
        <w:t xml:space="preserve"> ULN. Incidence rates of ALT elevations were presented separately f</w:t>
      </w:r>
      <w:r>
        <w:rPr>
          <w:lang w:eastAsia="ja-JP"/>
        </w:rPr>
        <w:t xml:space="preserve">or those patients with baseline </w:t>
      </w:r>
      <w:r w:rsidRPr="00D46C2F">
        <w:rPr>
          <w:lang w:eastAsia="ja-JP"/>
        </w:rPr>
        <w:t xml:space="preserve">values below ULN and those </w:t>
      </w:r>
      <w:r>
        <w:rPr>
          <w:lang w:eastAsia="ja-JP"/>
        </w:rPr>
        <w:t xml:space="preserve">with baseline values above ULN. </w:t>
      </w:r>
      <w:r w:rsidRPr="00D46C2F">
        <w:rPr>
          <w:lang w:eastAsia="ja-JP"/>
        </w:rPr>
        <w:t>Prior cholecystectomy status was on</w:t>
      </w:r>
      <w:r>
        <w:rPr>
          <w:lang w:eastAsia="ja-JP"/>
        </w:rPr>
        <w:t xml:space="preserve">ly collected in Phase </w:t>
      </w:r>
      <w:r w:rsidR="000F77DE">
        <w:rPr>
          <w:lang w:eastAsia="ja-JP"/>
        </w:rPr>
        <w:t>III</w:t>
      </w:r>
      <w:r>
        <w:rPr>
          <w:lang w:eastAsia="ja-JP"/>
        </w:rPr>
        <w:t xml:space="preserve"> studies</w:t>
      </w:r>
    </w:p>
    <w:p w:rsidR="007D3174" w:rsidRDefault="007D3174" w:rsidP="00746A5C">
      <w:pPr>
        <w:pStyle w:val="Heading4"/>
      </w:pPr>
      <w:r>
        <w:t>Constipation</w:t>
      </w:r>
    </w:p>
    <w:p w:rsidR="007D3174" w:rsidRDefault="007D3174" w:rsidP="007D3174">
      <w:r>
        <w:t>The overall incidence of constipation AEs was 7.4% in patients who received 7</w:t>
      </w:r>
      <w:r w:rsidR="00746A5C">
        <w:t>5 mg</w:t>
      </w:r>
      <w:r>
        <w:t xml:space="preserve"> eluxadoline, 8.1% for 10</w:t>
      </w:r>
      <w:r w:rsidR="00746A5C">
        <w:t>0 mg</w:t>
      </w:r>
      <w:r>
        <w:t>, and 2.5% with placebo patients.</w:t>
      </w:r>
    </w:p>
    <w:p w:rsidR="007D3174" w:rsidRDefault="007D3174" w:rsidP="007D3174">
      <w:r>
        <w:t>Of the patients in the 7</w:t>
      </w:r>
      <w:r w:rsidR="00746A5C">
        <w:t>5 mg</w:t>
      </w:r>
      <w:r>
        <w:t xml:space="preserve"> and 10</w:t>
      </w:r>
      <w:r w:rsidR="00746A5C">
        <w:t>0 mg</w:t>
      </w:r>
      <w:r>
        <w:t xml:space="preserve"> groups who ever reported AEs of constipation, approximately 82.9% reported constipation AEs within the first 13 weeks of treatment.</w:t>
      </w:r>
    </w:p>
    <w:p w:rsidR="007D3174" w:rsidRDefault="007D3174" w:rsidP="007D3174">
      <w:r>
        <w:t>Constipation was seen in higher proportions of female than male patients treated with 7</w:t>
      </w:r>
      <w:r w:rsidR="00746A5C">
        <w:t>5 mg</w:t>
      </w:r>
      <w:r>
        <w:t xml:space="preserve"> (8.0% and 6.3%, respectively) and 10</w:t>
      </w:r>
      <w:r w:rsidR="00746A5C">
        <w:t>0 mg</w:t>
      </w:r>
      <w:r>
        <w:t xml:space="preserve"> (9.0% and 6.4%, respectively) eluxadoline and in placebo patients (2.6% and 2.1%, respectively).</w:t>
      </w:r>
    </w:p>
    <w:p w:rsidR="007D3174" w:rsidRDefault="007D3174" w:rsidP="00746A5C">
      <w:pPr>
        <w:pStyle w:val="Heading4"/>
      </w:pPr>
      <w:r>
        <w:lastRenderedPageBreak/>
        <w:t>Fall, syncope</w:t>
      </w:r>
    </w:p>
    <w:p w:rsidR="007D3174" w:rsidRDefault="007D3174" w:rsidP="007D3174">
      <w:r>
        <w:t>AEs of fall were reported in 1.6%, 0.9%, and 0.4% of patients across the 7</w:t>
      </w:r>
      <w:r w:rsidR="00746A5C">
        <w:t>5 mg</w:t>
      </w:r>
      <w:r>
        <w:t>, 10</w:t>
      </w:r>
      <w:r w:rsidR="00746A5C">
        <w:t>0 mg</w:t>
      </w:r>
      <w:r>
        <w:t xml:space="preserve">, and placebo groups, respectively; no patient in the </w:t>
      </w:r>
      <w:r w:rsidR="00746A5C">
        <w:t>5 mg</w:t>
      </w:r>
      <w:r>
        <w:t>, 2</w:t>
      </w:r>
      <w:r w:rsidR="00746A5C">
        <w:t>5 mg</w:t>
      </w:r>
      <w:r>
        <w:t>, or 20</w:t>
      </w:r>
      <w:r w:rsidR="00746A5C">
        <w:t>0 mg</w:t>
      </w:r>
      <w:r>
        <w:t xml:space="preserve"> groups experienced a fall event. No major injuries occurred as a result of a fall event, none of the events of fall was considered serious, and none led to discontinuation of study.</w:t>
      </w:r>
    </w:p>
    <w:p w:rsidR="007D3174" w:rsidRDefault="007D3174" w:rsidP="00746A5C">
      <w:pPr>
        <w:pStyle w:val="Heading4"/>
      </w:pPr>
      <w:r>
        <w:t>Road traffic accident</w:t>
      </w:r>
    </w:p>
    <w:p w:rsidR="007D3174" w:rsidRDefault="00822784" w:rsidP="007D3174">
      <w:r>
        <w:t>A road traffic accident o</w:t>
      </w:r>
      <w:r w:rsidR="007D3174">
        <w:t>ccurred with 8 eluxadoline patients (5 and 3 patients who received 7</w:t>
      </w:r>
      <w:r w:rsidR="00746A5C">
        <w:t>5 mg</w:t>
      </w:r>
      <w:r w:rsidR="007D3174">
        <w:t xml:space="preserve"> and 10</w:t>
      </w:r>
      <w:r w:rsidR="00746A5C">
        <w:t>0 mg</w:t>
      </w:r>
      <w:r w:rsidR="007D3174">
        <w:t xml:space="preserve">, respectively) and 2 placebo patients. </w:t>
      </w:r>
      <w:r w:rsidR="007C389C">
        <w:t xml:space="preserve">2 patients </w:t>
      </w:r>
      <w:r w:rsidR="007D3174">
        <w:t>on eluxadoline were passengers.</w:t>
      </w:r>
    </w:p>
    <w:p w:rsidR="005F1690" w:rsidRDefault="007D3174" w:rsidP="00746A5C">
      <w:pPr>
        <w:pStyle w:val="Heading4"/>
      </w:pPr>
      <w:r>
        <w:t>Electrocardiograph findings and cardiovascular safety</w:t>
      </w:r>
    </w:p>
    <w:p w:rsidR="007D3174" w:rsidRDefault="007D3174" w:rsidP="007D3174">
      <w:r>
        <w:t>Angina pectoris was reported in 0.5% (4/807), 0.4% (4/1032), and 0.1% (1/975) of patients who received 7</w:t>
      </w:r>
      <w:r w:rsidR="00746A5C">
        <w:t>5 mg</w:t>
      </w:r>
      <w:r>
        <w:t xml:space="preserve"> eluxadoline, 10</w:t>
      </w:r>
      <w:r w:rsidR="00746A5C">
        <w:t>0 mg</w:t>
      </w:r>
      <w:r>
        <w:t xml:space="preserve"> eluxadoline, and placebo, respectively. Palpitations were reported in 0.1% (1/807), 0.4% (4/1032), and 0.2% (2/975) of patients in the 7</w:t>
      </w:r>
      <w:r w:rsidR="00746A5C">
        <w:t>5 mg</w:t>
      </w:r>
      <w:r>
        <w:t>, 10</w:t>
      </w:r>
      <w:r w:rsidR="00746A5C">
        <w:t>0 mg</w:t>
      </w:r>
      <w:r>
        <w:t xml:space="preserve">, and placebo groups, respectively. All other cardiac disorders AEs were reported in </w:t>
      </w:r>
      <w:r w:rsidR="00192749">
        <w:t xml:space="preserve">≤ </w:t>
      </w:r>
      <w:r>
        <w:t>3 patients in any treatment group. Cardiac disorder</w:t>
      </w:r>
      <w:r w:rsidR="00F87B21">
        <w:t>s</w:t>
      </w:r>
      <w:r>
        <w:t xml:space="preserve"> </w:t>
      </w:r>
      <w:r w:rsidR="00B35620">
        <w:t xml:space="preserve">as </w:t>
      </w:r>
      <w:r w:rsidR="00F87B21">
        <w:t xml:space="preserve">serious </w:t>
      </w:r>
      <w:r w:rsidR="001C6A80">
        <w:t>adverse events (SAE)</w:t>
      </w:r>
      <w:r>
        <w:t xml:space="preserve"> were reported across the 7</w:t>
      </w:r>
      <w:r w:rsidR="00746A5C">
        <w:t>5 mg</w:t>
      </w:r>
      <w:r>
        <w:t>, 10</w:t>
      </w:r>
      <w:r w:rsidR="00746A5C">
        <w:t>0 mg</w:t>
      </w:r>
      <w:r>
        <w:t>, and placebo groups (0.4%, 0.4%, and 0.2%, respectively).</w:t>
      </w:r>
    </w:p>
    <w:p w:rsidR="007D3174" w:rsidRDefault="007D3174" w:rsidP="007D3174">
      <w:r>
        <w:t>Non-cardiac chest pain was reported in 0, 0.6% (6/1032), and 0.3% (3/975) patients in the 7</w:t>
      </w:r>
      <w:r w:rsidR="00746A5C">
        <w:t>5 mg</w:t>
      </w:r>
      <w:r>
        <w:t>, 10</w:t>
      </w:r>
      <w:r w:rsidR="00746A5C">
        <w:t>0 mg</w:t>
      </w:r>
      <w:r>
        <w:t>, and placebo groups, respectively; chest pain was reported for 0.5% (4/807), 0.5% (5/1032), and 0.2% (2/975) patients, respectively; and chest discomfort was reported for 0.1% (1/807), 0.3% (3/1032), and 0.2% (2/975) patients, respectively. 4</w:t>
      </w:r>
      <w:r w:rsidR="003760A4">
        <w:t> </w:t>
      </w:r>
      <w:r>
        <w:t xml:space="preserve">patients had chest </w:t>
      </w:r>
      <w:r w:rsidR="00822784">
        <w:t>pain that resulted in hospitalis</w:t>
      </w:r>
      <w:r>
        <w:t>ation.</w:t>
      </w:r>
    </w:p>
    <w:p w:rsidR="007D3174" w:rsidRDefault="007D3174" w:rsidP="007D3174">
      <w:r>
        <w:t>AEs that led to discontinuation included sinus tachycardia, coronary artery disease, angina pectoris (2 events), myocardial infarction and chest discomfort. There was one death.</w:t>
      </w:r>
    </w:p>
    <w:p w:rsidR="007D3174" w:rsidRDefault="007D3174" w:rsidP="007D3174">
      <w:r>
        <w:t xml:space="preserve">For Study CPS-1008 the primary endpoint (placebo-adjusted </w:t>
      </w:r>
      <w:r w:rsidRPr="00531541">
        <w:t>change of QTcI</w:t>
      </w:r>
      <w:r w:rsidR="00941CD7" w:rsidRPr="00531541">
        <w:rPr>
          <w:rStyle w:val="FootnoteReference"/>
        </w:rPr>
        <w:footnoteReference w:id="20"/>
      </w:r>
      <w:r w:rsidRPr="00531541">
        <w:t xml:space="preserve"> from</w:t>
      </w:r>
      <w:r>
        <w:t xml:space="preserve"> </w:t>
      </w:r>
      <w:r w:rsidR="003760A4">
        <w:t>Baseline</w:t>
      </w:r>
      <w:r>
        <w:t>), maximally 4.10</w:t>
      </w:r>
      <w:r w:rsidR="00785F4E">
        <w:t xml:space="preserve"> ms </w:t>
      </w:r>
      <w:r>
        <w:t>at 1</w:t>
      </w:r>
      <w:r w:rsidR="003760A4">
        <w:t xml:space="preserve"> </w:t>
      </w:r>
      <w:r>
        <w:t>h after dosing for the 10</w:t>
      </w:r>
      <w:r w:rsidR="00746A5C">
        <w:t>0 mg</w:t>
      </w:r>
      <w:r>
        <w:t xml:space="preserve"> eluxadoline treatment with a one-sided 95% upper confidence bound of 5.81</w:t>
      </w:r>
      <w:r w:rsidR="003438F0">
        <w:t xml:space="preserve"> </w:t>
      </w:r>
      <w:r>
        <w:t xml:space="preserve">msec, did not reach the threshold for significance for QT interval prolongation. The largest mean time-matched difference in change from </w:t>
      </w:r>
      <w:r w:rsidR="00463BFE">
        <w:t xml:space="preserve">Baseline </w:t>
      </w:r>
      <w:r>
        <w:t>from placebo for the eluxadoline 10</w:t>
      </w:r>
      <w:r w:rsidR="00746A5C">
        <w:t>0 mg</w:t>
      </w:r>
      <w:r>
        <w:t xml:space="preserve"> dose was 1.20</w:t>
      </w:r>
      <w:r w:rsidR="00785F4E">
        <w:t xml:space="preserve"> ms </w:t>
      </w:r>
      <w:r>
        <w:t>at 0.5</w:t>
      </w:r>
      <w:r w:rsidR="003438F0">
        <w:t xml:space="preserve"> </w:t>
      </w:r>
      <w:r>
        <w:t>h after dosing, with a one</w:t>
      </w:r>
      <w:r w:rsidR="003760A4">
        <w:t>-</w:t>
      </w:r>
      <w:r>
        <w:t>sided 95% upper confidence bound of 2.91</w:t>
      </w:r>
      <w:r w:rsidR="003438F0">
        <w:t xml:space="preserve"> </w:t>
      </w:r>
      <w:r>
        <w:t>msec.</w:t>
      </w:r>
    </w:p>
    <w:p w:rsidR="007D3174" w:rsidRDefault="007D3174" w:rsidP="007D3174">
      <w:r>
        <w:t>AEs of prolonged QT interval occurred in 1 patient each in the 2</w:t>
      </w:r>
      <w:r w:rsidR="00746A5C">
        <w:t>5 mg</w:t>
      </w:r>
      <w:r>
        <w:t xml:space="preserve"> and 7</w:t>
      </w:r>
      <w:r w:rsidR="00746A5C">
        <w:t>5 mg</w:t>
      </w:r>
      <w:r>
        <w:t xml:space="preserve"> groups, 3</w:t>
      </w:r>
      <w:r w:rsidR="003760A4">
        <w:t> </w:t>
      </w:r>
      <w:r>
        <w:t>patients in the 10</w:t>
      </w:r>
      <w:r w:rsidR="00746A5C">
        <w:t>0 mg</w:t>
      </w:r>
      <w:r>
        <w:t xml:space="preserve"> group, and 3 patients in the placebo group. ECG signs of myocardial ischemia occurred for 3 patients in the placebo group. Abnormal ST segment, abnormal T wave, and T wave inversion occurred for 1 patient each in the 10</w:t>
      </w:r>
      <w:r w:rsidR="00746A5C">
        <w:t>0 mg</w:t>
      </w:r>
      <w:r>
        <w:t xml:space="preserve"> group and the placebo group. All other ECG-related AEs occurred for only 1 patient overall and included abnormal ECG (7</w:t>
      </w:r>
      <w:r w:rsidR="00746A5C">
        <w:t>5 mg</w:t>
      </w:r>
      <w:r>
        <w:t>), QRS complex abnormal (placebo), ST segment elevation (7</w:t>
      </w:r>
      <w:r w:rsidR="00746A5C">
        <w:t>5 mg</w:t>
      </w:r>
      <w:r>
        <w:t>), ST-T change (2</w:t>
      </w:r>
      <w:r w:rsidR="00746A5C">
        <w:t>5 mg</w:t>
      </w:r>
      <w:r>
        <w:t>), and increased T wave amplitude (10</w:t>
      </w:r>
      <w:r w:rsidR="00746A5C">
        <w:t>0 mg</w:t>
      </w:r>
      <w:r>
        <w:t>)</w:t>
      </w:r>
    </w:p>
    <w:p w:rsidR="007D3174" w:rsidRDefault="007D3174" w:rsidP="00746A5C">
      <w:pPr>
        <w:pStyle w:val="Heading4"/>
      </w:pPr>
      <w:r>
        <w:lastRenderedPageBreak/>
        <w:t>Serious skin reactions</w:t>
      </w:r>
    </w:p>
    <w:p w:rsidR="007D3174" w:rsidRDefault="007D3174" w:rsidP="007D3174">
      <w:r>
        <w:t>Of the 7</w:t>
      </w:r>
      <w:r w:rsidR="00746A5C">
        <w:t>5 mg</w:t>
      </w:r>
      <w:r>
        <w:t>, 10</w:t>
      </w:r>
      <w:r w:rsidR="00746A5C">
        <w:t>0 mg</w:t>
      </w:r>
      <w:r>
        <w:t xml:space="preserve"> eluxadoline and placebo patient</w:t>
      </w:r>
      <w:r w:rsidR="00F87B21">
        <w:t>s,</w:t>
      </w:r>
      <w:r>
        <w:t xml:space="preserve"> rash was reported for 1.2%, 0.9%, and 0.6% of patients</w:t>
      </w:r>
      <w:r w:rsidR="003760A4">
        <w:t>;</w:t>
      </w:r>
      <w:r>
        <w:t xml:space="preserve"> and pruritus was reported for 0.6%, 0.4%, and 0.6% of patients, respectively.</w:t>
      </w:r>
    </w:p>
    <w:p w:rsidR="007D3174" w:rsidRDefault="003760A4" w:rsidP="007D3174">
      <w:r>
        <w:t xml:space="preserve">2 </w:t>
      </w:r>
      <w:r w:rsidR="007D3174">
        <w:t>(0.2%) patients who received 7</w:t>
      </w:r>
      <w:r w:rsidR="00746A5C">
        <w:t>5 mg</w:t>
      </w:r>
      <w:r w:rsidR="007D3174">
        <w:t xml:space="preserve"> and 10</w:t>
      </w:r>
      <w:r w:rsidR="00746A5C">
        <w:t>0 mg</w:t>
      </w:r>
      <w:r w:rsidR="007D3174">
        <w:t xml:space="preserve"> eluxadoline and 1 (0.1%) placebo patient were discontinued due to skin and subcutaneous tissue disorders AEs, including pruritus, urticaria, alopecia and rash.</w:t>
      </w:r>
    </w:p>
    <w:p w:rsidR="007D3174" w:rsidRDefault="007D3174" w:rsidP="00BF09F1">
      <w:pPr>
        <w:pStyle w:val="Heading4"/>
      </w:pPr>
      <w:r>
        <w:t>Renal function and renal toxicity</w:t>
      </w:r>
    </w:p>
    <w:p w:rsidR="007D3174" w:rsidRDefault="007D3174" w:rsidP="007D3174">
      <w:r>
        <w:t xml:space="preserve">Patients with renal dysfunction were not excluded in the </w:t>
      </w:r>
      <w:r w:rsidR="006D40F4">
        <w:t>Phase III</w:t>
      </w:r>
      <w:r>
        <w:t xml:space="preserve"> program albeit haematology requirements could have (and did) exclude patients with end stage renal disease.</w:t>
      </w:r>
    </w:p>
    <w:p w:rsidR="007D3174" w:rsidRDefault="007D3174" w:rsidP="007D3174">
      <w:r>
        <w:t>Across the 75</w:t>
      </w:r>
      <w:r w:rsidR="003438F0">
        <w:t xml:space="preserve"> </w:t>
      </w:r>
      <w:r>
        <w:t>mg, 100</w:t>
      </w:r>
      <w:r w:rsidR="003438F0">
        <w:t xml:space="preserve"> </w:t>
      </w:r>
      <w:r>
        <w:t xml:space="preserve">mg, and placebo groups, 96, 119 and 132 patients, respectively, had mild renal dysfunction at baseline and 6, 6 and 12 patients, respectively, had moderate renal dysfunction at </w:t>
      </w:r>
      <w:proofErr w:type="gramStart"/>
      <w:r>
        <w:t>Baseline.</w:t>
      </w:r>
      <w:proofErr w:type="gramEnd"/>
    </w:p>
    <w:p w:rsidR="007D3174" w:rsidRDefault="007D3174" w:rsidP="007D3174">
      <w:r>
        <w:t>Patients with mild renal dysfunction most often reported AEs of nausea, which were seen in 10.4%, 10.1% and 6.1% of patients in the 75</w:t>
      </w:r>
      <w:r w:rsidR="003438F0">
        <w:t xml:space="preserve"> </w:t>
      </w:r>
      <w:r>
        <w:t>mg, 100</w:t>
      </w:r>
      <w:r w:rsidR="003438F0">
        <w:t xml:space="preserve"> </w:t>
      </w:r>
      <w:r>
        <w:t>mg, and placebo groups, respectively. The number of patients with moderate renal dysfunction is too small to interpret this stratum. No increase in the incidence of AEs based on renal dysfunction status (mild or moderate) was observed.</w:t>
      </w:r>
    </w:p>
    <w:p w:rsidR="007D3174" w:rsidRDefault="007D3174" w:rsidP="00746A5C">
      <w:pPr>
        <w:pStyle w:val="Heading4"/>
      </w:pPr>
      <w:r>
        <w:t>Haematology and haematological toxicity</w:t>
      </w:r>
    </w:p>
    <w:p w:rsidR="005F1690" w:rsidRDefault="007D3174" w:rsidP="007D3174">
      <w:r>
        <w:t xml:space="preserve">No treatment-related trends were observed in mean haematology results over time and the mean values observed at </w:t>
      </w:r>
      <w:r w:rsidR="003438F0">
        <w:t>End of Treatment (</w:t>
      </w:r>
      <w:r>
        <w:t>EOT</w:t>
      </w:r>
      <w:r w:rsidR="003438F0">
        <w:t>)</w:t>
      </w:r>
      <w:r>
        <w:t>/Early Withdrawal were similar to those observed at Baseline for each treatment group.</w:t>
      </w:r>
    </w:p>
    <w:p w:rsidR="007D3174" w:rsidRDefault="007D3174" w:rsidP="00746A5C">
      <w:pPr>
        <w:pStyle w:val="Heading4"/>
      </w:pPr>
      <w:r>
        <w:t>Vital signs and clinical examination findings</w:t>
      </w:r>
    </w:p>
    <w:p w:rsidR="007D3174" w:rsidRDefault="007D3174" w:rsidP="007D3174">
      <w:r>
        <w:t>In the first</w:t>
      </w:r>
      <w:r w:rsidR="001C6A80">
        <w:t xml:space="preserve"> </w:t>
      </w:r>
      <w:r>
        <w:t>in</w:t>
      </w:r>
      <w:r w:rsidR="001C6A80">
        <w:t xml:space="preserve"> </w:t>
      </w:r>
      <w:r>
        <w:t>human dose</w:t>
      </w:r>
      <w:r w:rsidR="001C6A80">
        <w:t xml:space="preserve"> </w:t>
      </w:r>
      <w:r>
        <w:t xml:space="preserve">escalation study (Study EDI-1001) and the initial food effect study (Study EDI-1002), there was an increased incidence of orthostatic hypotension in subjects administered doses </w:t>
      </w:r>
      <w:r w:rsidR="00E124D1">
        <w:t xml:space="preserve">≥ </w:t>
      </w:r>
      <w:r>
        <w:t>50</w:t>
      </w:r>
      <w:r w:rsidR="00746A5C">
        <w:t>0 mg</w:t>
      </w:r>
      <w:r>
        <w:t xml:space="preserve"> of eluxadoline compared with placebo.</w:t>
      </w:r>
    </w:p>
    <w:p w:rsidR="007D3174" w:rsidRPr="007D3174" w:rsidRDefault="007D3174" w:rsidP="007D3174">
      <w:r>
        <w:t xml:space="preserve">For the </w:t>
      </w:r>
      <w:r w:rsidR="007066C7">
        <w:t>Phase II</w:t>
      </w:r>
      <w:r>
        <w:t xml:space="preserve"> Study IBS-2001, the incidence of a priori defined asymptomatic orthostatic hypotension was comparable across treatment groups at every assessment time point. Mean ambulatory blood pressure results were similar between treatment groups (eluxadoline 5, 25, 100 and 20</w:t>
      </w:r>
      <w:r w:rsidR="00746A5C">
        <w:t>0 mg</w:t>
      </w:r>
      <w:r>
        <w:t xml:space="preserve"> </w:t>
      </w:r>
      <w:r w:rsidR="003438F0">
        <w:t>bd</w:t>
      </w:r>
      <w:r>
        <w:t>; placebo), and the mean values observed at Week 2 were similar to those observed at Baseline.</w:t>
      </w:r>
    </w:p>
    <w:p w:rsidR="00605AD4" w:rsidRDefault="00605AD4" w:rsidP="00605AD4">
      <w:pPr>
        <w:pStyle w:val="Heading4"/>
      </w:pPr>
      <w:r w:rsidRPr="00605AD4">
        <w:t>Postmarketing data</w:t>
      </w:r>
    </w:p>
    <w:p w:rsidR="007D3174" w:rsidRDefault="007D3174" w:rsidP="007D3174">
      <w:r>
        <w:t xml:space="preserve">No </w:t>
      </w:r>
      <w:r w:rsidR="00746A5C">
        <w:t>data submitted</w:t>
      </w:r>
      <w:r>
        <w:t>.</w:t>
      </w:r>
    </w:p>
    <w:p w:rsidR="00605AD4" w:rsidRPr="00605AD4" w:rsidRDefault="00605AD4" w:rsidP="00605AD4">
      <w:pPr>
        <w:pStyle w:val="Heading4"/>
      </w:pPr>
      <w:r w:rsidRPr="00605AD4">
        <w:t>Evaluator’s conclusions on safety</w:t>
      </w:r>
    </w:p>
    <w:p w:rsidR="007D3174" w:rsidRDefault="007D3174" w:rsidP="007D3174">
      <w:r>
        <w:t>For the 7</w:t>
      </w:r>
      <w:r w:rsidR="00746A5C">
        <w:t>5 mg</w:t>
      </w:r>
      <w:r>
        <w:t xml:space="preserve"> and 10</w:t>
      </w:r>
      <w:r w:rsidR="00746A5C">
        <w:t>0 mg</w:t>
      </w:r>
      <w:r>
        <w:t xml:space="preserve"> treatment groups</w:t>
      </w:r>
      <w:r w:rsidR="001C6A80">
        <w:t>,</w:t>
      </w:r>
      <w:r>
        <w:t xml:space="preserve"> AEs were similar in incidence but higher than placebo (8.4%, 8.0% and 4.3% respectively); discontinuations were within 5% of each other (37.4%, 34.5%</w:t>
      </w:r>
      <w:r w:rsidR="00252201">
        <w:t xml:space="preserve"> and</w:t>
      </w:r>
      <w:r>
        <w:t xml:space="preserve"> 32.7%). For SAEs related to treatment there were 5 </w:t>
      </w:r>
      <w:r w:rsidR="00252201">
        <w:t xml:space="preserve">incidences </w:t>
      </w:r>
      <w:r>
        <w:t>on 7</w:t>
      </w:r>
      <w:r w:rsidR="00746A5C">
        <w:t>5 mg</w:t>
      </w:r>
      <w:r>
        <w:t xml:space="preserve"> and 7 </w:t>
      </w:r>
      <w:r w:rsidR="00252201">
        <w:t xml:space="preserve">incidences </w:t>
      </w:r>
      <w:r>
        <w:t>on 10</w:t>
      </w:r>
      <w:r w:rsidR="00746A5C">
        <w:t>0 mg</w:t>
      </w:r>
      <w:r>
        <w:t>.</w:t>
      </w:r>
    </w:p>
    <w:p w:rsidR="007D3174" w:rsidRDefault="0008268B" w:rsidP="007D3174">
      <w:r>
        <w:t xml:space="preserve">However, the incidence and a summary of treatment related AEs (adverse reactions) were not submitted. </w:t>
      </w:r>
      <w:r w:rsidR="007D3174">
        <w:t>Instead</w:t>
      </w:r>
      <w:r w:rsidR="002E7026">
        <w:t>,</w:t>
      </w:r>
      <w:r w:rsidR="007D3174">
        <w:t xml:space="preserve"> selected AEs were reviewed including liver and pancreatitis events </w:t>
      </w:r>
      <w:r w:rsidR="007D3174">
        <w:lastRenderedPageBreak/>
        <w:t xml:space="preserve">and their relationship to cholecystectomy and </w:t>
      </w:r>
      <w:r w:rsidR="001C6A80">
        <w:t xml:space="preserve">sphincter </w:t>
      </w:r>
      <w:r w:rsidR="007D3174">
        <w:t>of Oddi spasm, constipation, syncope, urticaria and rash.</w:t>
      </w:r>
    </w:p>
    <w:p w:rsidR="007D3174" w:rsidRPr="001A30C2" w:rsidRDefault="007D3174" w:rsidP="007D3174">
      <w:r>
        <w:t xml:space="preserve">The major risks of serious adverse effects from use appear to be increased potential for pancreatitis, spasm </w:t>
      </w:r>
      <w:r w:rsidRPr="001A30C2">
        <w:t>in the sphincter of Oddi and hepatobiliary abnormalities.</w:t>
      </w:r>
      <w:r w:rsidR="00785F4E" w:rsidRPr="001A30C2">
        <w:t xml:space="preserve"> </w:t>
      </w:r>
      <w:r w:rsidRPr="001A30C2">
        <w:t xml:space="preserve">The adverse events that were more frequently reported by patients taking eluxadoline compared with placebo are listed in Table </w:t>
      </w:r>
      <w:r w:rsidR="001A30C2" w:rsidRPr="001A30C2">
        <w:t>1</w:t>
      </w:r>
      <w:r w:rsidR="00AC04B2">
        <w:t>7</w:t>
      </w:r>
      <w:r w:rsidR="001C6A80">
        <w:t xml:space="preserve"> (see below)</w:t>
      </w:r>
      <w:r w:rsidRPr="001A30C2">
        <w:t xml:space="preserve"> and include for the 100 mg bd eluxadoline dose regimen</w:t>
      </w:r>
      <w:r w:rsidR="00785F4E" w:rsidRPr="001A30C2">
        <w:t xml:space="preserve"> versus </w:t>
      </w:r>
      <w:r w:rsidRPr="001A30C2">
        <w:t xml:space="preserve">placebo comparison in the pooled </w:t>
      </w:r>
      <w:r w:rsidR="007066C7" w:rsidRPr="001A30C2">
        <w:t>Phase II</w:t>
      </w:r>
      <w:r w:rsidRPr="001A30C2">
        <w:t xml:space="preserve"> and </w:t>
      </w:r>
      <w:r w:rsidR="00252201" w:rsidRPr="001A30C2">
        <w:t>III</w:t>
      </w:r>
      <w:r w:rsidRPr="001A30C2">
        <w:t xml:space="preserve"> studies: constipation (8%</w:t>
      </w:r>
      <w:r w:rsidR="00785F4E" w:rsidRPr="001A30C2">
        <w:t xml:space="preserve"> versus </w:t>
      </w:r>
      <w:r w:rsidRPr="001A30C2">
        <w:t>2%); nausea (7%</w:t>
      </w:r>
      <w:r w:rsidR="00785F4E" w:rsidRPr="001A30C2">
        <w:t xml:space="preserve"> versus </w:t>
      </w:r>
      <w:r w:rsidRPr="001A30C2">
        <w:t>5%); abdominal pain (7%</w:t>
      </w:r>
      <w:r w:rsidR="00785F4E" w:rsidRPr="001A30C2">
        <w:t xml:space="preserve"> versus </w:t>
      </w:r>
      <w:r w:rsidRPr="001A30C2">
        <w:t>4%); and vomiting 4%</w:t>
      </w:r>
      <w:r w:rsidR="00785F4E" w:rsidRPr="001A30C2">
        <w:t xml:space="preserve"> versus </w:t>
      </w:r>
      <w:r w:rsidRPr="001A30C2">
        <w:t>1%).</w:t>
      </w:r>
    </w:p>
    <w:p w:rsidR="007D3174" w:rsidRPr="001A30C2" w:rsidRDefault="007D3174" w:rsidP="007D3174">
      <w:r w:rsidRPr="001A30C2">
        <w:t>The major risks of serious adverse effects from use appear to be increased potential for pancreatitis, spasm in the sphincter of Oddi and hepatobiliary abnormalities.</w:t>
      </w:r>
    </w:p>
    <w:p w:rsidR="007D3174" w:rsidRDefault="007D3174" w:rsidP="007D3174">
      <w:r w:rsidRPr="001A30C2">
        <w:t xml:space="preserve">The </w:t>
      </w:r>
      <w:r w:rsidR="001C6A80">
        <w:t>AEs</w:t>
      </w:r>
      <w:r w:rsidRPr="001A30C2">
        <w:t xml:space="preserve"> that were more frequently reported by patients taking eluxadoline compared with placebo are listed</w:t>
      </w:r>
      <w:r w:rsidR="001C6A80">
        <w:t xml:space="preserve"> below</w:t>
      </w:r>
      <w:r w:rsidRPr="001A30C2">
        <w:t xml:space="preserve"> in Table </w:t>
      </w:r>
      <w:r w:rsidR="001A30C2" w:rsidRPr="001A30C2">
        <w:t>1</w:t>
      </w:r>
      <w:r w:rsidR="00AC04B2">
        <w:t>8</w:t>
      </w:r>
      <w:r w:rsidRPr="001A30C2">
        <w:t xml:space="preserve"> </w:t>
      </w:r>
      <w:r w:rsidR="001C6A80">
        <w:t>(</w:t>
      </w:r>
      <w:r w:rsidRPr="001A30C2">
        <w:t xml:space="preserve">AEs </w:t>
      </w:r>
      <w:r w:rsidR="001C6A80">
        <w:t>r</w:t>
      </w:r>
      <w:r w:rsidR="001C6A80" w:rsidRPr="001A30C2">
        <w:t xml:space="preserve">eported </w:t>
      </w:r>
      <w:r w:rsidRPr="001A30C2">
        <w:t xml:space="preserve">by </w:t>
      </w:r>
      <w:r w:rsidR="00E124D1" w:rsidRPr="001A30C2">
        <w:t>≥</w:t>
      </w:r>
      <w:r w:rsidR="00785F4E" w:rsidRPr="001A30C2">
        <w:t xml:space="preserve"> </w:t>
      </w:r>
      <w:r w:rsidRPr="001A30C2">
        <w:t xml:space="preserve">2% of </w:t>
      </w:r>
      <w:r w:rsidR="001C6A80">
        <w:t>p</w:t>
      </w:r>
      <w:r w:rsidR="001C6A80" w:rsidRPr="001A30C2">
        <w:t xml:space="preserve">atients </w:t>
      </w:r>
      <w:r w:rsidRPr="001A30C2">
        <w:t xml:space="preserve">in any </w:t>
      </w:r>
      <w:r w:rsidR="00F850AE">
        <w:t>e</w:t>
      </w:r>
      <w:r w:rsidR="00F850AE" w:rsidRPr="001A30C2">
        <w:t xml:space="preserve">luxadoline </w:t>
      </w:r>
      <w:r w:rsidR="00F850AE">
        <w:t>t</w:t>
      </w:r>
      <w:r w:rsidR="00F850AE" w:rsidRPr="001A30C2">
        <w:t xml:space="preserve">reatment </w:t>
      </w:r>
      <w:r w:rsidR="00F850AE">
        <w:t>g</w:t>
      </w:r>
      <w:r w:rsidR="00F850AE" w:rsidRPr="001A30C2">
        <w:t xml:space="preserve">roup </w:t>
      </w:r>
      <w:r w:rsidRPr="001A30C2">
        <w:t xml:space="preserve">and at a </w:t>
      </w:r>
      <w:r w:rsidR="00F850AE">
        <w:t>g</w:t>
      </w:r>
      <w:r w:rsidR="00F850AE" w:rsidRPr="001A30C2">
        <w:t xml:space="preserve">reater </w:t>
      </w:r>
      <w:r w:rsidR="00F850AE">
        <w:t>i</w:t>
      </w:r>
      <w:r w:rsidR="00F850AE" w:rsidRPr="001A30C2">
        <w:t>ncidence</w:t>
      </w:r>
      <w:r w:rsidR="00F850AE">
        <w:t xml:space="preserve"> </w:t>
      </w:r>
      <w:r>
        <w:t xml:space="preserve">than </w:t>
      </w:r>
      <w:r w:rsidR="00F850AE">
        <w:t xml:space="preserve">placebo </w:t>
      </w:r>
      <w:r>
        <w:t xml:space="preserve">(Safety </w:t>
      </w:r>
      <w:r w:rsidR="00F850AE">
        <w:t>set</w:t>
      </w:r>
      <w:r>
        <w:t>)</w:t>
      </w:r>
      <w:r w:rsidR="00F850AE">
        <w:t>;</w:t>
      </w:r>
      <w:r>
        <w:t xml:space="preserve"> </w:t>
      </w:r>
      <w:r w:rsidR="00F850AE">
        <w:t>p</w:t>
      </w:r>
      <w:r>
        <w:t xml:space="preserve">ooled </w:t>
      </w:r>
      <w:r w:rsidR="007066C7">
        <w:t>Phase II</w:t>
      </w:r>
      <w:r>
        <w:t xml:space="preserve"> and </w:t>
      </w:r>
      <w:r w:rsidR="00252201">
        <w:t>III</w:t>
      </w:r>
      <w:r>
        <w:t xml:space="preserve"> </w:t>
      </w:r>
      <w:r w:rsidR="00F850AE">
        <w:t xml:space="preserve">studies) </w:t>
      </w:r>
      <w:r>
        <w:t>and include for the 100 mg bd eluxadoline dose regimen</w:t>
      </w:r>
      <w:r w:rsidR="00785F4E">
        <w:t xml:space="preserve"> versus </w:t>
      </w:r>
      <w:r>
        <w:t xml:space="preserve">placebo comparison in the pooled </w:t>
      </w:r>
      <w:r w:rsidR="007066C7">
        <w:t>Phase II</w:t>
      </w:r>
      <w:r>
        <w:t xml:space="preserve"> and </w:t>
      </w:r>
      <w:r w:rsidR="00252201">
        <w:t>III</w:t>
      </w:r>
      <w:r>
        <w:t xml:space="preserve"> studies: constipation (8%</w:t>
      </w:r>
      <w:r w:rsidR="00785F4E">
        <w:t xml:space="preserve"> versus </w:t>
      </w:r>
      <w:r>
        <w:t>2%); nausea (7%</w:t>
      </w:r>
      <w:r w:rsidR="00785F4E">
        <w:t xml:space="preserve"> versus </w:t>
      </w:r>
      <w:r>
        <w:t>5%); abdominal pain (7%</w:t>
      </w:r>
      <w:r w:rsidR="00785F4E">
        <w:t xml:space="preserve"> versus </w:t>
      </w:r>
      <w:r>
        <w:t>4%); and vomiting 4%</w:t>
      </w:r>
      <w:r w:rsidR="00785F4E">
        <w:t xml:space="preserve"> versus </w:t>
      </w:r>
      <w:r>
        <w:t>1%).</w:t>
      </w:r>
    </w:p>
    <w:p w:rsidR="007D3174" w:rsidRDefault="007D3174" w:rsidP="007D3174">
      <w:r>
        <w:t>The potential for abuse appears low.</w:t>
      </w:r>
    </w:p>
    <w:p w:rsidR="00F00018" w:rsidRDefault="00F00018" w:rsidP="00F00018">
      <w:pPr>
        <w:pStyle w:val="Tabletitle0"/>
      </w:pPr>
      <w:r w:rsidRPr="00F00018">
        <w:t xml:space="preserve">Table </w:t>
      </w:r>
      <w:r w:rsidR="001A30C2">
        <w:t>1</w:t>
      </w:r>
      <w:r w:rsidR="00AC04B2">
        <w:t>7</w:t>
      </w:r>
      <w:r>
        <w:t>:</w:t>
      </w:r>
      <w:r w:rsidRPr="00F00018">
        <w:t xml:space="preserve"> Overall </w:t>
      </w:r>
      <w:r w:rsidR="00F850AE">
        <w:t>i</w:t>
      </w:r>
      <w:r w:rsidRPr="00F00018">
        <w:t xml:space="preserve">ncidence of AEs and </w:t>
      </w:r>
      <w:r w:rsidR="00F850AE">
        <w:t>gastrointestina</w:t>
      </w:r>
      <w:r w:rsidR="0036183F">
        <w:t>l</w:t>
      </w:r>
      <w:r w:rsidR="00F850AE" w:rsidRPr="00F00018">
        <w:t xml:space="preserve"> </w:t>
      </w:r>
      <w:r w:rsidRPr="00F00018">
        <w:t xml:space="preserve">AEs by </w:t>
      </w:r>
      <w:r w:rsidR="00F850AE">
        <w:t>i</w:t>
      </w:r>
      <w:r w:rsidRPr="00F00018">
        <w:t>nterv</w:t>
      </w:r>
      <w:r>
        <w:t xml:space="preserve">al (Safety </w:t>
      </w:r>
      <w:r w:rsidR="00F850AE">
        <w:t>set</w:t>
      </w:r>
      <w:r>
        <w:t>)</w:t>
      </w:r>
      <w:r w:rsidR="00F850AE">
        <w:t>;</w:t>
      </w:r>
      <w:r>
        <w:t xml:space="preserve"> </w:t>
      </w:r>
      <w:r w:rsidR="00F850AE">
        <w:t>p</w:t>
      </w:r>
      <w:r>
        <w:t>ooled Phase II</w:t>
      </w:r>
      <w:r w:rsidRPr="00F00018">
        <w:t xml:space="preserve"> and </w:t>
      </w:r>
      <w:r>
        <w:t>III</w:t>
      </w:r>
      <w:r w:rsidRPr="00F00018">
        <w:t xml:space="preserve"> </w:t>
      </w:r>
      <w:r w:rsidR="00F850AE">
        <w:t>s</w:t>
      </w:r>
      <w:r w:rsidRPr="00F00018">
        <w:t>tudies</w:t>
      </w:r>
    </w:p>
    <w:p w:rsidR="00F00018" w:rsidRDefault="00F00018" w:rsidP="007D3174">
      <w:r>
        <w:rPr>
          <w:noProof/>
          <w:lang w:eastAsia="en-AU"/>
        </w:rPr>
        <w:drawing>
          <wp:inline distT="0" distB="0" distL="0" distR="0" wp14:anchorId="7C7B2081" wp14:editId="1A9ADEBD">
            <wp:extent cx="5400040" cy="2409374"/>
            <wp:effectExtent l="0" t="0" r="0" b="0"/>
            <wp:docPr id="203" name="Picture 203" descr="Overall Incidence of AEs and Gastrointestinal AEs by Interval (Safety Set) - Pooled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400040" cy="2409374"/>
                    </a:xfrm>
                    <a:prstGeom prst="rect">
                      <a:avLst/>
                    </a:prstGeom>
                    <a:noFill/>
                    <a:ln>
                      <a:noFill/>
                    </a:ln>
                  </pic:spPr>
                </pic:pic>
              </a:graphicData>
            </a:graphic>
          </wp:inline>
        </w:drawing>
      </w:r>
    </w:p>
    <w:p w:rsidR="00F00018" w:rsidRDefault="00F00018" w:rsidP="00F00018">
      <w:pPr>
        <w:pStyle w:val="TableDescription"/>
      </w:pPr>
      <w:r>
        <w:t xml:space="preserve">Patient base: Safety </w:t>
      </w:r>
      <w:r w:rsidR="00F850AE">
        <w:t xml:space="preserve">analysis set </w:t>
      </w:r>
      <w:r>
        <w:t xml:space="preserve">(all patients who received at least 1 dose of study drug; based on the treatment actually received at the time the measurement was taken, regardless of assigned treatment according to the planned </w:t>
      </w:r>
      <w:r w:rsidR="00F850AE">
        <w:t>randomisation</w:t>
      </w:r>
      <w:r>
        <w:t>)</w:t>
      </w:r>
      <w:r w:rsidR="00F850AE">
        <w:t xml:space="preserve">; </w:t>
      </w:r>
      <w:r>
        <w:t>Multiple occurrences of AEs in the GI S</w:t>
      </w:r>
      <w:r w:rsidR="00F850AE">
        <w:t xml:space="preserve">ystem </w:t>
      </w:r>
      <w:r>
        <w:t>O</w:t>
      </w:r>
      <w:r w:rsidR="00F850AE">
        <w:t xml:space="preserve">rgan </w:t>
      </w:r>
      <w:r>
        <w:t>C</w:t>
      </w:r>
      <w:r w:rsidR="00F850AE">
        <w:t>lass</w:t>
      </w:r>
      <w:r>
        <w:t xml:space="preserve"> within a patient are counted once only.</w:t>
      </w:r>
      <w:r w:rsidR="00F850AE">
        <w:t xml:space="preserve"> </w:t>
      </w:r>
      <w:r>
        <w:t xml:space="preserve">The Phase </w:t>
      </w:r>
      <w:r w:rsidR="00F850AE">
        <w:t xml:space="preserve">II </w:t>
      </w:r>
      <w:r>
        <w:t>study evaluated doses of 5</w:t>
      </w:r>
      <w:r w:rsidR="00F850AE">
        <w:t xml:space="preserve"> </w:t>
      </w:r>
      <w:r>
        <w:t>mg, 2</w:t>
      </w:r>
      <w:r w:rsidR="00F850AE">
        <w:t xml:space="preserve"> </w:t>
      </w:r>
      <w:r>
        <w:t>mg, 100</w:t>
      </w:r>
      <w:r w:rsidR="00F850AE">
        <w:t xml:space="preserve"> </w:t>
      </w:r>
      <w:r>
        <w:t>mg, and 200</w:t>
      </w:r>
      <w:r w:rsidR="00F850AE">
        <w:t xml:space="preserve"> </w:t>
      </w:r>
      <w:r>
        <w:t xml:space="preserve">mg eluxadoline and placebo for up to 12 </w:t>
      </w:r>
      <w:proofErr w:type="spellStart"/>
      <w:r>
        <w:t>weeks.a</w:t>
      </w:r>
      <w:proofErr w:type="spellEnd"/>
      <w:r w:rsidR="00F850AE">
        <w:t>)</w:t>
      </w:r>
      <w:r>
        <w:t xml:space="preserve"> All AEs with a start date between treatment start date and date of last study visit inclusive (or last contact date if last study visit was missing) are included.</w:t>
      </w:r>
    </w:p>
    <w:p w:rsidR="00F00018" w:rsidRDefault="00F00018" w:rsidP="00F00018">
      <w:pPr>
        <w:pStyle w:val="Tabletitle0"/>
      </w:pPr>
      <w:r w:rsidRPr="00F00018">
        <w:lastRenderedPageBreak/>
        <w:t xml:space="preserve">Table </w:t>
      </w:r>
      <w:r w:rsidR="001A30C2">
        <w:t>1</w:t>
      </w:r>
      <w:r w:rsidR="00AC04B2">
        <w:t>8</w:t>
      </w:r>
      <w:r>
        <w:t>:</w:t>
      </w:r>
      <w:r w:rsidRPr="00F00018">
        <w:t xml:space="preserve"> AEs </w:t>
      </w:r>
      <w:r w:rsidR="00F850AE">
        <w:t>r</w:t>
      </w:r>
      <w:r w:rsidR="00F850AE" w:rsidRPr="00F00018">
        <w:t xml:space="preserve">eported </w:t>
      </w:r>
      <w:r w:rsidRPr="00F00018">
        <w:t xml:space="preserve">by ≥ 2% </w:t>
      </w:r>
      <w:r w:rsidR="00F850AE" w:rsidRPr="00F00018">
        <w:t>of patients in any eluxadoline treatment group and at a greater incidence than placebo (</w:t>
      </w:r>
      <w:r w:rsidR="00F850AE">
        <w:t>S</w:t>
      </w:r>
      <w:r w:rsidR="00F850AE" w:rsidRPr="00F00018">
        <w:t>afety set)</w:t>
      </w:r>
      <w:r w:rsidR="00AD3E21">
        <w:t>; p</w:t>
      </w:r>
      <w:r w:rsidR="00F850AE" w:rsidRPr="00F00018">
        <w:t xml:space="preserve">ooled </w:t>
      </w:r>
      <w:r w:rsidR="00F850AE">
        <w:t>P</w:t>
      </w:r>
      <w:r w:rsidR="00F850AE" w:rsidRPr="00F00018">
        <w:t xml:space="preserve">hase </w:t>
      </w:r>
      <w:r w:rsidR="00F850AE">
        <w:t>II</w:t>
      </w:r>
      <w:r w:rsidR="00F850AE" w:rsidRPr="00F00018">
        <w:t xml:space="preserve"> and </w:t>
      </w:r>
      <w:r w:rsidR="00F850AE">
        <w:t>III</w:t>
      </w:r>
      <w:r w:rsidR="00F850AE" w:rsidRPr="00F00018">
        <w:t xml:space="preserve"> studies</w:t>
      </w:r>
    </w:p>
    <w:p w:rsidR="00F00018" w:rsidRDefault="00F00018" w:rsidP="007D3174">
      <w:r>
        <w:rPr>
          <w:noProof/>
          <w:lang w:eastAsia="en-AU"/>
        </w:rPr>
        <w:drawing>
          <wp:inline distT="0" distB="0" distL="0" distR="0" wp14:anchorId="425FC576" wp14:editId="6F2720AC">
            <wp:extent cx="5400040" cy="4958114"/>
            <wp:effectExtent l="0" t="0" r="0" b="0"/>
            <wp:docPr id="204" name="Picture 204" descr="AEs Reported by ≥ 2% of Patients in any Eluxadoline Treatment Group and at a Greater Incidence than Placebo (Safety Set) - Pooled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5400040" cy="4958114"/>
                    </a:xfrm>
                    <a:prstGeom prst="rect">
                      <a:avLst/>
                    </a:prstGeom>
                  </pic:spPr>
                </pic:pic>
              </a:graphicData>
            </a:graphic>
          </wp:inline>
        </w:drawing>
      </w:r>
    </w:p>
    <w:p w:rsidR="00F00018" w:rsidRPr="007D3174" w:rsidRDefault="00F00018" w:rsidP="00F00018">
      <w:pPr>
        <w:pStyle w:val="TableDescription"/>
      </w:pPr>
      <w:r>
        <w:t xml:space="preserve">Patient base: Safety </w:t>
      </w:r>
      <w:r w:rsidR="00F850AE">
        <w:t xml:space="preserve">analysis set </w:t>
      </w:r>
      <w:r>
        <w:t xml:space="preserve">(all patients who received at least 1 dose of study drug; based on the treatment actually received at the time the measurement was taken, regardless of assigned treatment according to the planned </w:t>
      </w:r>
      <w:r w:rsidR="00F850AE">
        <w:t>randomisation</w:t>
      </w:r>
      <w:r>
        <w:t>)</w:t>
      </w:r>
      <w:r w:rsidR="00F850AE">
        <w:t xml:space="preserve">. </w:t>
      </w:r>
      <w:r>
        <w:t>For the S</w:t>
      </w:r>
      <w:r w:rsidR="00F850AE">
        <w:t xml:space="preserve">ystem </w:t>
      </w:r>
      <w:r>
        <w:t>O</w:t>
      </w:r>
      <w:r w:rsidR="00F850AE">
        <w:t xml:space="preserve">rgan </w:t>
      </w:r>
      <w:r>
        <w:t>C</w:t>
      </w:r>
      <w:r w:rsidR="00F850AE">
        <w:t>lass</w:t>
      </w:r>
      <w:r>
        <w:t xml:space="preserve"> and </w:t>
      </w:r>
      <w:r w:rsidR="00F850AE">
        <w:t xml:space="preserve">Preferred Term </w:t>
      </w:r>
      <w:r>
        <w:t>level summaries, multiple occurrences of an SOC or preferred term within a patient are counted once only. All occurrences of a preferred term are included in the total number of AEs. All AEs with a start date between treatment start date and date of last study visit inclusive (or last contact date if last study visit was missing) are included.</w:t>
      </w:r>
    </w:p>
    <w:p w:rsidR="00605AD4" w:rsidRPr="00605AD4" w:rsidRDefault="00605AD4" w:rsidP="00605AD4">
      <w:pPr>
        <w:pStyle w:val="Heading3"/>
        <w:rPr>
          <w:rFonts w:eastAsia="Cambria"/>
        </w:rPr>
      </w:pPr>
      <w:bookmarkStart w:id="101" w:name="_Toc510009719"/>
      <w:r w:rsidRPr="00605AD4">
        <w:rPr>
          <w:rFonts w:eastAsia="Cambria"/>
        </w:rPr>
        <w:t>First Round Benefit-Risk Assessment</w:t>
      </w:r>
      <w:bookmarkEnd w:id="101"/>
    </w:p>
    <w:p w:rsidR="00605AD4" w:rsidRDefault="00605AD4" w:rsidP="00605AD4">
      <w:pPr>
        <w:pStyle w:val="Heading4"/>
      </w:pPr>
      <w:r w:rsidRPr="00605AD4">
        <w:t>First round assessment of benefits</w:t>
      </w:r>
    </w:p>
    <w:p w:rsidR="00252201" w:rsidRDefault="00252201" w:rsidP="00252201">
      <w:proofErr w:type="gramStart"/>
      <w:r>
        <w:t>Table 1</w:t>
      </w:r>
      <w:r w:rsidR="00AC04B2">
        <w:t>9</w:t>
      </w:r>
      <w:r w:rsidR="00F850AE">
        <w:t xml:space="preserve"> (see below)</w:t>
      </w:r>
      <w:r>
        <w:t xml:space="preserve"> summarises the </w:t>
      </w:r>
      <w:r w:rsidR="0008268B">
        <w:t>f</w:t>
      </w:r>
      <w:r w:rsidRPr="00605AD4">
        <w:t>irst round assessment of benefits</w:t>
      </w:r>
      <w:r w:rsidR="00F850AE">
        <w:t>.</w:t>
      </w:r>
      <w:proofErr w:type="gramEnd"/>
    </w:p>
    <w:p w:rsidR="00252201" w:rsidRDefault="00252201" w:rsidP="00252201">
      <w:pPr>
        <w:pStyle w:val="Tabletitle0"/>
      </w:pPr>
      <w:r>
        <w:lastRenderedPageBreak/>
        <w:t>Table 1</w:t>
      </w:r>
      <w:r w:rsidR="00AC04B2">
        <w:t>9</w:t>
      </w:r>
      <w:r>
        <w:t xml:space="preserve">: </w:t>
      </w:r>
      <w:r w:rsidRPr="00605AD4">
        <w:t>First round assessment of benefits</w:t>
      </w:r>
    </w:p>
    <w:tbl>
      <w:tblPr>
        <w:tblStyle w:val="TableGrid"/>
        <w:tblW w:w="0" w:type="auto"/>
        <w:tblInd w:w="108" w:type="dxa"/>
        <w:tblLook w:val="04A0" w:firstRow="1" w:lastRow="0" w:firstColumn="1" w:lastColumn="0" w:noHBand="0" w:noVBand="1"/>
        <w:tblDescription w:val="Table 19: First round assessment of benefits"/>
      </w:tblPr>
      <w:tblGrid>
        <w:gridCol w:w="4415"/>
        <w:gridCol w:w="4197"/>
      </w:tblGrid>
      <w:tr w:rsidR="007D3174" w:rsidRPr="00CA02F7" w:rsidTr="00252201">
        <w:trPr>
          <w:tblHeader/>
        </w:trPr>
        <w:tc>
          <w:tcPr>
            <w:tcW w:w="8612" w:type="dxa"/>
            <w:gridSpan w:val="2"/>
            <w:shd w:val="clear" w:color="auto" w:fill="006DA7" w:themeFill="accent3"/>
          </w:tcPr>
          <w:p w:rsidR="007D3174" w:rsidRPr="00D21405" w:rsidRDefault="007D3174" w:rsidP="00252201">
            <w:pPr>
              <w:keepNext/>
              <w:rPr>
                <w:b/>
                <w:i/>
                <w:color w:val="FFFFFF" w:themeColor="background1"/>
                <w:sz w:val="20"/>
                <w:szCs w:val="20"/>
              </w:rPr>
            </w:pPr>
            <w:r w:rsidRPr="00CA02F7">
              <w:rPr>
                <w:b/>
                <w:color w:val="FFFFFF" w:themeColor="background1"/>
                <w:sz w:val="20"/>
                <w:szCs w:val="20"/>
              </w:rPr>
              <w:t>Indication</w:t>
            </w:r>
            <w:r w:rsidR="00F850AE">
              <w:rPr>
                <w:b/>
                <w:color w:val="FFFFFF" w:themeColor="background1"/>
                <w:sz w:val="20"/>
                <w:szCs w:val="20"/>
              </w:rPr>
              <w:t xml:space="preserve">: </w:t>
            </w:r>
            <w:r w:rsidR="00BF690B">
              <w:rPr>
                <w:b/>
                <w:color w:val="FFFFFF" w:themeColor="background1"/>
                <w:sz w:val="20"/>
                <w:szCs w:val="20"/>
              </w:rPr>
              <w:t>‘</w:t>
            </w:r>
            <w:r w:rsidR="00BF690B" w:rsidRPr="00BF690B">
              <w:rPr>
                <w:b/>
                <w:i/>
                <w:color w:val="FFFFFF" w:themeColor="background1"/>
                <w:sz w:val="20"/>
                <w:szCs w:val="20"/>
              </w:rPr>
              <w:t>Eluxadoline (Viberzi) is indicated in adults for the treatment of irritable bowel syndrome with diarrhoea (IBS-d</w:t>
            </w:r>
            <w:r w:rsidR="00BF690B">
              <w:rPr>
                <w:b/>
                <w:i/>
                <w:color w:val="FFFFFF" w:themeColor="background1"/>
                <w:sz w:val="20"/>
                <w:szCs w:val="20"/>
              </w:rPr>
              <w:t>)’.</w:t>
            </w:r>
          </w:p>
        </w:tc>
      </w:tr>
      <w:tr w:rsidR="007D3174" w:rsidRPr="00CA02F7" w:rsidTr="00252201">
        <w:trPr>
          <w:tblHeader/>
        </w:trPr>
        <w:tc>
          <w:tcPr>
            <w:tcW w:w="4415" w:type="dxa"/>
            <w:shd w:val="clear" w:color="auto" w:fill="00517D" w:themeFill="accent3" w:themeFillShade="BF"/>
          </w:tcPr>
          <w:p w:rsidR="007D3174" w:rsidRPr="00CA02F7" w:rsidRDefault="007D3174" w:rsidP="00252201">
            <w:pPr>
              <w:keepNext/>
              <w:rPr>
                <w:b/>
                <w:color w:val="FFFFFF" w:themeColor="background1"/>
                <w:sz w:val="20"/>
                <w:szCs w:val="20"/>
              </w:rPr>
            </w:pPr>
            <w:r w:rsidRPr="00CA02F7">
              <w:rPr>
                <w:b/>
                <w:color w:val="FFFFFF" w:themeColor="background1"/>
                <w:sz w:val="20"/>
                <w:szCs w:val="20"/>
              </w:rPr>
              <w:t>Benefits</w:t>
            </w:r>
          </w:p>
        </w:tc>
        <w:tc>
          <w:tcPr>
            <w:tcW w:w="4197" w:type="dxa"/>
            <w:shd w:val="clear" w:color="auto" w:fill="00517D" w:themeFill="accent3" w:themeFillShade="BF"/>
          </w:tcPr>
          <w:p w:rsidR="007D3174" w:rsidRPr="00CA02F7" w:rsidRDefault="007D3174" w:rsidP="00CA02F7">
            <w:pPr>
              <w:rPr>
                <w:b/>
                <w:color w:val="FFFFFF" w:themeColor="background1"/>
                <w:sz w:val="20"/>
                <w:szCs w:val="20"/>
              </w:rPr>
            </w:pPr>
            <w:r w:rsidRPr="00CA02F7">
              <w:rPr>
                <w:b/>
                <w:color w:val="FFFFFF" w:themeColor="background1"/>
                <w:sz w:val="20"/>
                <w:szCs w:val="20"/>
              </w:rPr>
              <w:t>Strengths and Uncertainties</w:t>
            </w:r>
          </w:p>
        </w:tc>
      </w:tr>
      <w:tr w:rsidR="007D3174" w:rsidRPr="00CA02F7" w:rsidTr="00252201">
        <w:tc>
          <w:tcPr>
            <w:tcW w:w="4415" w:type="dxa"/>
          </w:tcPr>
          <w:p w:rsidR="007D3174" w:rsidRPr="00CA02F7" w:rsidRDefault="007D3174" w:rsidP="00252201">
            <w:pPr>
              <w:keepNext/>
              <w:rPr>
                <w:rFonts w:cstheme="minorHAnsi"/>
                <w:sz w:val="20"/>
                <w:szCs w:val="20"/>
              </w:rPr>
            </w:pPr>
            <w:r w:rsidRPr="00CA02F7">
              <w:rPr>
                <w:rFonts w:cstheme="minorHAnsi"/>
                <w:sz w:val="20"/>
                <w:szCs w:val="20"/>
              </w:rPr>
              <w:t xml:space="preserve">In Study 3001, while both the 75 </w:t>
            </w:r>
            <w:r w:rsidR="00F850AE">
              <w:rPr>
                <w:rFonts w:cstheme="minorHAnsi"/>
                <w:sz w:val="20"/>
                <w:szCs w:val="20"/>
              </w:rPr>
              <w:t xml:space="preserve">mg </w:t>
            </w:r>
            <w:r w:rsidRPr="00CA02F7">
              <w:rPr>
                <w:rFonts w:cstheme="minorHAnsi"/>
                <w:sz w:val="20"/>
                <w:szCs w:val="20"/>
              </w:rPr>
              <w:t>and 10</w:t>
            </w:r>
            <w:r w:rsidR="00746A5C" w:rsidRPr="00CA02F7">
              <w:rPr>
                <w:rFonts w:cstheme="minorHAnsi"/>
                <w:sz w:val="20"/>
                <w:szCs w:val="20"/>
              </w:rPr>
              <w:t>0 mg</w:t>
            </w:r>
            <w:r w:rsidRPr="00CA02F7">
              <w:rPr>
                <w:rFonts w:cstheme="minorHAnsi"/>
                <w:sz w:val="20"/>
                <w:szCs w:val="20"/>
              </w:rPr>
              <w:t xml:space="preserve"> groups showed statistically superiority to placebo in the percentage of composite responders at 12 weeks, only the 10</w:t>
            </w:r>
            <w:r w:rsidR="00746A5C" w:rsidRPr="00CA02F7">
              <w:rPr>
                <w:rFonts w:cstheme="minorHAnsi"/>
                <w:sz w:val="20"/>
                <w:szCs w:val="20"/>
              </w:rPr>
              <w:t>0 mg</w:t>
            </w:r>
            <w:r w:rsidRPr="00CA02F7">
              <w:rPr>
                <w:rFonts w:cstheme="minorHAnsi"/>
                <w:sz w:val="20"/>
                <w:szCs w:val="20"/>
              </w:rPr>
              <w:t xml:space="preserve"> dose did so at 26 weeks.</w:t>
            </w:r>
          </w:p>
        </w:tc>
        <w:tc>
          <w:tcPr>
            <w:tcW w:w="4197" w:type="dxa"/>
            <w:vMerge w:val="restart"/>
          </w:tcPr>
          <w:p w:rsidR="007D3174" w:rsidRPr="00CA02F7" w:rsidRDefault="007D3174" w:rsidP="00CA02F7">
            <w:pPr>
              <w:rPr>
                <w:rFonts w:eastAsiaTheme="minorHAnsi" w:cs="AdvPS6F00"/>
                <w:sz w:val="20"/>
                <w:szCs w:val="20"/>
              </w:rPr>
            </w:pPr>
            <w:r w:rsidRPr="00CA02F7">
              <w:rPr>
                <w:rFonts w:eastAsiaTheme="minorHAnsi" w:cs="AdvPS6F00"/>
                <w:sz w:val="20"/>
                <w:szCs w:val="20"/>
              </w:rPr>
              <w:t>The response rates in Study 2001 both for eluxadoline and placebo were less than used in calculating the study population.</w:t>
            </w:r>
          </w:p>
          <w:p w:rsidR="007D3174" w:rsidRPr="00CA02F7" w:rsidRDefault="007D3174" w:rsidP="00CA02F7">
            <w:pPr>
              <w:rPr>
                <w:rFonts w:eastAsiaTheme="minorHAnsi" w:cs="AdvPS6F00"/>
                <w:sz w:val="20"/>
                <w:szCs w:val="20"/>
              </w:rPr>
            </w:pPr>
            <w:r w:rsidRPr="00CA02F7">
              <w:rPr>
                <w:rFonts w:cstheme="minorHAnsi"/>
                <w:sz w:val="20"/>
                <w:szCs w:val="20"/>
              </w:rPr>
              <w:t>The clinical significance of the</w:t>
            </w:r>
            <w:r w:rsidRPr="00CA02F7">
              <w:rPr>
                <w:rFonts w:eastAsiaTheme="minorHAnsi" w:cs="AdvPS6F00"/>
                <w:sz w:val="20"/>
                <w:szCs w:val="20"/>
              </w:rPr>
              <w:t xml:space="preserve"> modest</w:t>
            </w:r>
            <w:r w:rsidRPr="00CA02F7">
              <w:rPr>
                <w:rFonts w:cstheme="minorHAnsi"/>
                <w:sz w:val="20"/>
                <w:szCs w:val="20"/>
              </w:rPr>
              <w:t xml:space="preserve"> </w:t>
            </w:r>
            <w:r w:rsidRPr="00CA02F7">
              <w:rPr>
                <w:rFonts w:eastAsiaTheme="minorHAnsi" w:cs="AdvPS6F00"/>
                <w:sz w:val="20"/>
                <w:szCs w:val="20"/>
              </w:rPr>
              <w:t>improvement in some outcomes compared with placebo was not discussed, however for those whose problems are not going to spontaneously resolve, it may be considered an efficacy option.</w:t>
            </w:r>
          </w:p>
          <w:p w:rsidR="007D3174" w:rsidRPr="00CA02F7" w:rsidRDefault="007D3174" w:rsidP="00CA02F7">
            <w:pPr>
              <w:rPr>
                <w:rFonts w:cstheme="minorHAnsi"/>
                <w:sz w:val="20"/>
                <w:szCs w:val="20"/>
              </w:rPr>
            </w:pPr>
            <w:r w:rsidRPr="00CA02F7">
              <w:rPr>
                <w:rFonts w:eastAsiaTheme="minorHAnsi" w:cs="AdvPS6F00"/>
                <w:sz w:val="20"/>
                <w:szCs w:val="20"/>
              </w:rPr>
              <w:t>The sponsor has undertaken subgroup analyses in an effort to identify an appropriate population but without successful result.</w:t>
            </w:r>
          </w:p>
        </w:tc>
      </w:tr>
      <w:tr w:rsidR="007D3174" w:rsidRPr="00CA02F7" w:rsidTr="00252201">
        <w:tc>
          <w:tcPr>
            <w:tcW w:w="4415" w:type="dxa"/>
          </w:tcPr>
          <w:p w:rsidR="007D3174" w:rsidRPr="00CA02F7" w:rsidRDefault="007D3174" w:rsidP="00F850AE">
            <w:pPr>
              <w:rPr>
                <w:rFonts w:eastAsiaTheme="minorHAnsi" w:cs="AdvPS6F00"/>
                <w:sz w:val="20"/>
                <w:szCs w:val="20"/>
              </w:rPr>
            </w:pPr>
            <w:r w:rsidRPr="00CA02F7">
              <w:rPr>
                <w:rFonts w:eastAsiaTheme="minorHAnsi" w:cs="AdvPS6F00"/>
                <w:sz w:val="20"/>
                <w:szCs w:val="20"/>
              </w:rPr>
              <w:t>In Study 3002, the primary endpoint, the proportion of composite responders for the 7</w:t>
            </w:r>
            <w:r w:rsidR="00746A5C" w:rsidRPr="00CA02F7">
              <w:rPr>
                <w:rFonts w:eastAsiaTheme="minorHAnsi" w:cs="AdvPS6F00"/>
                <w:sz w:val="20"/>
                <w:szCs w:val="20"/>
              </w:rPr>
              <w:t>5</w:t>
            </w:r>
            <w:r w:rsidR="00F850AE">
              <w:rPr>
                <w:rFonts w:eastAsiaTheme="minorHAnsi" w:cs="AdvPS6F00"/>
                <w:sz w:val="20"/>
                <w:szCs w:val="20"/>
              </w:rPr>
              <w:t> </w:t>
            </w:r>
            <w:r w:rsidR="00746A5C" w:rsidRPr="00CA02F7">
              <w:rPr>
                <w:rFonts w:eastAsiaTheme="minorHAnsi" w:cs="AdvPS6F00"/>
                <w:sz w:val="20"/>
                <w:szCs w:val="20"/>
              </w:rPr>
              <w:t>mg</w:t>
            </w:r>
            <w:r w:rsidRPr="00CA02F7">
              <w:rPr>
                <w:rFonts w:eastAsiaTheme="minorHAnsi" w:cs="AdvPS6F00"/>
                <w:sz w:val="20"/>
                <w:szCs w:val="20"/>
              </w:rPr>
              <w:t xml:space="preserve"> and 10</w:t>
            </w:r>
            <w:r w:rsidR="00746A5C" w:rsidRPr="00CA02F7">
              <w:rPr>
                <w:rFonts w:eastAsiaTheme="minorHAnsi" w:cs="AdvPS6F00"/>
                <w:sz w:val="20"/>
                <w:szCs w:val="20"/>
              </w:rPr>
              <w:t>0 mg</w:t>
            </w:r>
            <w:r w:rsidRPr="00CA02F7">
              <w:rPr>
                <w:rFonts w:eastAsiaTheme="minorHAnsi" w:cs="AdvPS6F00"/>
                <w:sz w:val="20"/>
                <w:szCs w:val="20"/>
              </w:rPr>
              <w:t xml:space="preserve"> treatment groups, was statistically superior to placebo for Weeks 1</w:t>
            </w:r>
            <w:r w:rsidR="00F850AE">
              <w:rPr>
                <w:rFonts w:eastAsiaTheme="minorHAnsi" w:cs="AdvPS6F00"/>
                <w:sz w:val="20"/>
                <w:szCs w:val="20"/>
              </w:rPr>
              <w:t xml:space="preserve"> to </w:t>
            </w:r>
            <w:r w:rsidRPr="00CA02F7">
              <w:rPr>
                <w:rFonts w:eastAsiaTheme="minorHAnsi" w:cs="AdvPS6F00"/>
                <w:sz w:val="20"/>
                <w:szCs w:val="20"/>
              </w:rPr>
              <w:t>12 (P &lt; 0.001) and Weeks 1</w:t>
            </w:r>
            <w:r w:rsidR="00F850AE">
              <w:rPr>
                <w:rFonts w:eastAsiaTheme="minorHAnsi" w:cs="AdvPS6F00"/>
                <w:sz w:val="20"/>
                <w:szCs w:val="20"/>
              </w:rPr>
              <w:t xml:space="preserve"> to </w:t>
            </w:r>
            <w:r w:rsidRPr="00CA02F7">
              <w:rPr>
                <w:rFonts w:eastAsiaTheme="minorHAnsi" w:cs="AdvPS6F00"/>
                <w:sz w:val="20"/>
                <w:szCs w:val="20"/>
              </w:rPr>
              <w:t xml:space="preserve">26 (P </w:t>
            </w:r>
            <w:r w:rsidR="00192749">
              <w:rPr>
                <w:rFonts w:eastAsiaTheme="minorHAnsi" w:cs="AdvPS6F00"/>
                <w:sz w:val="20"/>
                <w:szCs w:val="20"/>
              </w:rPr>
              <w:t>≤</w:t>
            </w:r>
            <w:r w:rsidR="00785F4E">
              <w:rPr>
                <w:rFonts w:eastAsiaTheme="minorHAnsi" w:cs="AdvPS6F00"/>
                <w:sz w:val="20"/>
                <w:szCs w:val="20"/>
              </w:rPr>
              <w:t xml:space="preserve"> </w:t>
            </w:r>
            <w:r w:rsidRPr="00CA02F7">
              <w:rPr>
                <w:rFonts w:eastAsiaTheme="minorHAnsi" w:cs="AdvPS6F00"/>
                <w:sz w:val="20"/>
                <w:szCs w:val="20"/>
              </w:rPr>
              <w:t>0.001).</w:t>
            </w:r>
          </w:p>
        </w:tc>
        <w:tc>
          <w:tcPr>
            <w:tcW w:w="4197" w:type="dxa"/>
            <w:vMerge/>
          </w:tcPr>
          <w:p w:rsidR="007D3174" w:rsidRPr="00CA02F7" w:rsidRDefault="007D3174" w:rsidP="00CA02F7">
            <w:pPr>
              <w:rPr>
                <w:rFonts w:cstheme="minorHAnsi"/>
                <w:i/>
                <w:sz w:val="20"/>
                <w:szCs w:val="20"/>
              </w:rPr>
            </w:pPr>
          </w:p>
        </w:tc>
      </w:tr>
      <w:tr w:rsidR="007D3174" w:rsidRPr="00CA02F7" w:rsidTr="00252201">
        <w:tc>
          <w:tcPr>
            <w:tcW w:w="4415" w:type="dxa"/>
          </w:tcPr>
          <w:p w:rsidR="007D3174" w:rsidRPr="00CA02F7" w:rsidRDefault="007D3174" w:rsidP="00CA02F7">
            <w:pPr>
              <w:rPr>
                <w:rFonts w:eastAsiaTheme="minorHAnsi" w:cs="AdvPS6F00"/>
                <w:sz w:val="20"/>
                <w:szCs w:val="20"/>
              </w:rPr>
            </w:pPr>
            <w:r w:rsidRPr="00CA02F7">
              <w:rPr>
                <w:rFonts w:eastAsiaTheme="minorHAnsi" w:cs="AdvPS6F00"/>
                <w:sz w:val="20"/>
                <w:szCs w:val="20"/>
              </w:rPr>
              <w:t>In Study 2001, at Week 4, primary response rates were statistically superior to that of placebo only for the 2</w:t>
            </w:r>
            <w:r w:rsidR="00746A5C" w:rsidRPr="00CA02F7">
              <w:rPr>
                <w:rFonts w:eastAsiaTheme="minorHAnsi" w:cs="AdvPS6F00"/>
                <w:sz w:val="20"/>
                <w:szCs w:val="20"/>
              </w:rPr>
              <w:t>5 mg</w:t>
            </w:r>
            <w:r w:rsidRPr="00CA02F7">
              <w:rPr>
                <w:rFonts w:eastAsiaTheme="minorHAnsi" w:cs="AdvPS6F00"/>
                <w:sz w:val="20"/>
                <w:szCs w:val="20"/>
              </w:rPr>
              <w:t xml:space="preserve"> and 20</w:t>
            </w:r>
            <w:r w:rsidR="00746A5C" w:rsidRPr="00CA02F7">
              <w:rPr>
                <w:rFonts w:eastAsiaTheme="minorHAnsi" w:cs="AdvPS6F00"/>
                <w:sz w:val="20"/>
                <w:szCs w:val="20"/>
              </w:rPr>
              <w:t>0 mg</w:t>
            </w:r>
            <w:r w:rsidRPr="00CA02F7">
              <w:rPr>
                <w:rFonts w:eastAsiaTheme="minorHAnsi" w:cs="AdvPS6F00"/>
                <w:sz w:val="20"/>
                <w:szCs w:val="20"/>
              </w:rPr>
              <w:t xml:space="preserve"> treatment groups. While at Week 12 only the 10</w:t>
            </w:r>
            <w:r w:rsidR="00746A5C" w:rsidRPr="00CA02F7">
              <w:rPr>
                <w:rFonts w:eastAsiaTheme="minorHAnsi" w:cs="AdvPS6F00"/>
                <w:sz w:val="20"/>
                <w:szCs w:val="20"/>
              </w:rPr>
              <w:t>0 mg</w:t>
            </w:r>
            <w:r w:rsidRPr="00CA02F7">
              <w:rPr>
                <w:rFonts w:eastAsiaTheme="minorHAnsi" w:cs="AdvPS6F00"/>
                <w:sz w:val="20"/>
                <w:szCs w:val="20"/>
              </w:rPr>
              <w:t xml:space="preserve"> treatment group was statistically superior to placebo. </w:t>
            </w:r>
          </w:p>
        </w:tc>
        <w:tc>
          <w:tcPr>
            <w:tcW w:w="4197" w:type="dxa"/>
            <w:vMerge/>
          </w:tcPr>
          <w:p w:rsidR="007D3174" w:rsidRPr="00CA02F7" w:rsidRDefault="007D3174" w:rsidP="00CA02F7">
            <w:pPr>
              <w:rPr>
                <w:rFonts w:cstheme="minorHAnsi"/>
                <w:i/>
                <w:sz w:val="20"/>
                <w:szCs w:val="20"/>
              </w:rPr>
            </w:pPr>
          </w:p>
        </w:tc>
      </w:tr>
      <w:tr w:rsidR="007D3174" w:rsidRPr="00CA02F7" w:rsidTr="00252201">
        <w:tc>
          <w:tcPr>
            <w:tcW w:w="4415" w:type="dxa"/>
          </w:tcPr>
          <w:p w:rsidR="007D3174" w:rsidRPr="00CA02F7" w:rsidRDefault="007D3174" w:rsidP="00CA02F7">
            <w:pPr>
              <w:rPr>
                <w:rFonts w:eastAsiaTheme="minorHAnsi" w:cs="AdvPS6F00"/>
                <w:sz w:val="20"/>
                <w:szCs w:val="20"/>
              </w:rPr>
            </w:pPr>
            <w:r w:rsidRPr="00CA02F7">
              <w:rPr>
                <w:rFonts w:eastAsiaTheme="minorHAnsi" w:cs="AdvPS6F00"/>
                <w:sz w:val="20"/>
                <w:szCs w:val="20"/>
              </w:rPr>
              <w:t>In the meta-analysis both 7</w:t>
            </w:r>
            <w:r w:rsidR="00746A5C" w:rsidRPr="00CA02F7">
              <w:rPr>
                <w:rFonts w:eastAsiaTheme="minorHAnsi" w:cs="AdvPS6F00"/>
                <w:sz w:val="20"/>
                <w:szCs w:val="20"/>
              </w:rPr>
              <w:t>5 mg</w:t>
            </w:r>
            <w:r w:rsidRPr="00CA02F7">
              <w:rPr>
                <w:rFonts w:eastAsiaTheme="minorHAnsi" w:cs="AdvPS6F00"/>
                <w:sz w:val="20"/>
                <w:szCs w:val="20"/>
              </w:rPr>
              <w:t xml:space="preserve"> and 10</w:t>
            </w:r>
            <w:r w:rsidR="00746A5C" w:rsidRPr="00CA02F7">
              <w:rPr>
                <w:rFonts w:eastAsiaTheme="minorHAnsi" w:cs="AdvPS6F00"/>
                <w:sz w:val="20"/>
                <w:szCs w:val="20"/>
              </w:rPr>
              <w:t>0 mg</w:t>
            </w:r>
            <w:r w:rsidRPr="00CA02F7">
              <w:rPr>
                <w:rFonts w:eastAsiaTheme="minorHAnsi" w:cs="AdvPS6F00"/>
                <w:sz w:val="20"/>
                <w:szCs w:val="20"/>
              </w:rPr>
              <w:t xml:space="preserve"> show</w:t>
            </w:r>
            <w:r w:rsidR="00252201">
              <w:rPr>
                <w:rFonts w:eastAsiaTheme="minorHAnsi" w:cs="AdvPS6F00"/>
                <w:sz w:val="20"/>
                <w:szCs w:val="20"/>
              </w:rPr>
              <w:t>ed statistical superiority at W</w:t>
            </w:r>
            <w:r w:rsidRPr="00CA02F7">
              <w:rPr>
                <w:rFonts w:eastAsiaTheme="minorHAnsi" w:cs="AdvPS6F00"/>
                <w:sz w:val="20"/>
                <w:szCs w:val="20"/>
              </w:rPr>
              <w:t>eeks 12 and 26.</w:t>
            </w:r>
          </w:p>
        </w:tc>
        <w:tc>
          <w:tcPr>
            <w:tcW w:w="4197" w:type="dxa"/>
            <w:vMerge/>
          </w:tcPr>
          <w:p w:rsidR="007D3174" w:rsidRPr="00CA02F7" w:rsidRDefault="007D3174" w:rsidP="00CA02F7">
            <w:pPr>
              <w:rPr>
                <w:rFonts w:cstheme="minorHAnsi"/>
                <w:i/>
                <w:sz w:val="20"/>
                <w:szCs w:val="20"/>
              </w:rPr>
            </w:pPr>
          </w:p>
        </w:tc>
      </w:tr>
      <w:tr w:rsidR="007D3174" w:rsidRPr="00CA02F7" w:rsidTr="00252201">
        <w:tc>
          <w:tcPr>
            <w:tcW w:w="4415" w:type="dxa"/>
          </w:tcPr>
          <w:p w:rsidR="007D3174" w:rsidRPr="00CA02F7" w:rsidRDefault="007D3174" w:rsidP="00CA02F7">
            <w:pPr>
              <w:rPr>
                <w:rFonts w:eastAsiaTheme="minorHAnsi" w:cs="AdvPS6F00"/>
                <w:sz w:val="20"/>
                <w:szCs w:val="20"/>
              </w:rPr>
            </w:pPr>
            <w:r w:rsidRPr="00CA02F7">
              <w:rPr>
                <w:rFonts w:eastAsiaTheme="minorHAnsi" w:cs="AdvPS6F00"/>
                <w:sz w:val="20"/>
                <w:szCs w:val="20"/>
              </w:rPr>
              <w:t>The primary results for other secondary outcomes are generally supportive</w:t>
            </w:r>
            <w:r w:rsidR="00F850AE">
              <w:rPr>
                <w:rFonts w:eastAsiaTheme="minorHAnsi" w:cs="AdvPS6F00"/>
                <w:sz w:val="20"/>
                <w:szCs w:val="20"/>
              </w:rPr>
              <w:t>.</w:t>
            </w:r>
          </w:p>
        </w:tc>
        <w:tc>
          <w:tcPr>
            <w:tcW w:w="4197" w:type="dxa"/>
          </w:tcPr>
          <w:p w:rsidR="007D3174" w:rsidRPr="00CA02F7" w:rsidRDefault="00252201" w:rsidP="00CA02F7">
            <w:pPr>
              <w:rPr>
                <w:rFonts w:eastAsiaTheme="minorHAnsi" w:cs="AdvPS6F00"/>
                <w:sz w:val="20"/>
                <w:szCs w:val="20"/>
              </w:rPr>
            </w:pPr>
            <w:r>
              <w:rPr>
                <w:rFonts w:eastAsiaTheme="minorHAnsi" w:cs="AdvPS6F00"/>
                <w:sz w:val="20"/>
                <w:szCs w:val="20"/>
              </w:rPr>
              <w:t>T</w:t>
            </w:r>
            <w:r w:rsidR="007D3174" w:rsidRPr="00CA02F7">
              <w:rPr>
                <w:rFonts w:eastAsiaTheme="minorHAnsi" w:cs="AdvPS6F00"/>
                <w:sz w:val="20"/>
                <w:szCs w:val="20"/>
              </w:rPr>
              <w:t>he IM</w:t>
            </w:r>
            <w:r w:rsidR="0036183F">
              <w:rPr>
                <w:rFonts w:eastAsiaTheme="minorHAnsi" w:cs="AdvPS6F00"/>
                <w:sz w:val="20"/>
                <w:szCs w:val="20"/>
              </w:rPr>
              <w:t>M</w:t>
            </w:r>
            <w:r w:rsidR="007D3174" w:rsidRPr="00CA02F7">
              <w:rPr>
                <w:rFonts w:eastAsiaTheme="minorHAnsi" w:cs="AdvPS6F00"/>
                <w:sz w:val="20"/>
                <w:szCs w:val="20"/>
              </w:rPr>
              <w:t>PACT statement</w:t>
            </w:r>
            <w:r w:rsidR="00AD3E21">
              <w:rPr>
                <w:rFonts w:eastAsiaTheme="minorHAnsi" w:cs="AdvPS6F00"/>
                <w:sz w:val="20"/>
                <w:szCs w:val="20"/>
              </w:rPr>
              <w:t>;</w:t>
            </w:r>
            <w:r w:rsidR="00AD3E21" w:rsidRPr="00AD3E21">
              <w:rPr>
                <w:rFonts w:eastAsiaTheme="minorHAnsi" w:cs="AdvPS6F00"/>
                <w:sz w:val="20"/>
                <w:szCs w:val="20"/>
                <w:vertAlign w:val="superscript"/>
              </w:rPr>
              <w:fldChar w:fldCharType="begin"/>
            </w:r>
            <w:r w:rsidR="00AD3E21" w:rsidRPr="00D21405">
              <w:rPr>
                <w:rFonts w:eastAsiaTheme="minorHAnsi" w:cs="AdvPS6F00"/>
                <w:sz w:val="20"/>
                <w:szCs w:val="20"/>
                <w:vertAlign w:val="superscript"/>
              </w:rPr>
              <w:instrText xml:space="preserve"> NOTEREF _Ref514110611 \h </w:instrText>
            </w:r>
            <w:r w:rsidR="00AD3E21">
              <w:rPr>
                <w:rFonts w:eastAsiaTheme="minorHAnsi" w:cs="AdvPS6F00"/>
                <w:sz w:val="20"/>
                <w:szCs w:val="20"/>
                <w:vertAlign w:val="superscript"/>
              </w:rPr>
              <w:instrText xml:space="preserve"> \* MERGEFORMAT </w:instrText>
            </w:r>
            <w:r w:rsidR="00AD3E21" w:rsidRPr="00AD3E21">
              <w:rPr>
                <w:rFonts w:eastAsiaTheme="minorHAnsi" w:cs="AdvPS6F00"/>
                <w:sz w:val="20"/>
                <w:szCs w:val="20"/>
                <w:vertAlign w:val="superscript"/>
              </w:rPr>
            </w:r>
            <w:r w:rsidR="00AD3E21" w:rsidRPr="00AD3E21">
              <w:rPr>
                <w:rFonts w:eastAsiaTheme="minorHAnsi" w:cs="AdvPS6F00"/>
                <w:sz w:val="20"/>
                <w:szCs w:val="20"/>
                <w:vertAlign w:val="superscript"/>
              </w:rPr>
              <w:fldChar w:fldCharType="separate"/>
            </w:r>
            <w:r w:rsidR="008D57E9">
              <w:rPr>
                <w:rFonts w:eastAsiaTheme="minorHAnsi" w:cs="AdvPS6F00"/>
                <w:sz w:val="20"/>
                <w:szCs w:val="20"/>
                <w:vertAlign w:val="superscript"/>
              </w:rPr>
              <w:t>19</w:t>
            </w:r>
            <w:r w:rsidR="00AD3E21" w:rsidRPr="00AD3E21">
              <w:rPr>
                <w:rFonts w:eastAsiaTheme="minorHAnsi" w:cs="AdvPS6F00"/>
                <w:sz w:val="20"/>
                <w:szCs w:val="20"/>
                <w:vertAlign w:val="superscript"/>
              </w:rPr>
              <w:fldChar w:fldCharType="end"/>
            </w:r>
            <w:r w:rsidR="007D3174" w:rsidRPr="00CA02F7">
              <w:rPr>
                <w:rFonts w:eastAsiaTheme="minorHAnsi" w:cs="AdvPS6F00"/>
                <w:sz w:val="20"/>
                <w:szCs w:val="20"/>
              </w:rPr>
              <w:t xml:space="preserve"> in relation to chronic pain recommends </w:t>
            </w:r>
            <w:r w:rsidR="00AD3E21">
              <w:rPr>
                <w:rFonts w:eastAsiaTheme="minorHAnsi" w:cs="AdvPS6F00"/>
                <w:sz w:val="20"/>
                <w:szCs w:val="20"/>
              </w:rPr>
              <w:t>(</w:t>
            </w:r>
            <w:r w:rsidR="007D3174" w:rsidRPr="00CA02F7">
              <w:rPr>
                <w:rFonts w:eastAsiaTheme="minorHAnsi" w:cs="AdvPS6F00"/>
                <w:sz w:val="20"/>
                <w:szCs w:val="20"/>
              </w:rPr>
              <w:t>as well as assessment of pain scores</w:t>
            </w:r>
            <w:r w:rsidR="00AD3E21">
              <w:rPr>
                <w:rFonts w:eastAsiaTheme="minorHAnsi" w:cs="AdvPS6F00"/>
                <w:sz w:val="20"/>
                <w:szCs w:val="20"/>
              </w:rPr>
              <w:t>) the</w:t>
            </w:r>
            <w:r w:rsidR="007D3174" w:rsidRPr="00CA02F7">
              <w:rPr>
                <w:rFonts w:eastAsiaTheme="minorHAnsi" w:cs="AdvPS6F00"/>
                <w:sz w:val="20"/>
                <w:szCs w:val="20"/>
              </w:rPr>
              <w:t xml:space="preserve"> assessment of:</w:t>
            </w:r>
          </w:p>
          <w:p w:rsidR="007D3174" w:rsidRPr="00CA02F7" w:rsidRDefault="00F850AE" w:rsidP="00D21405">
            <w:pPr>
              <w:pStyle w:val="ListBullet"/>
            </w:pPr>
            <w:r>
              <w:t>u</w:t>
            </w:r>
            <w:r w:rsidRPr="00CA02F7">
              <w:t xml:space="preserve">sage </w:t>
            </w:r>
            <w:r w:rsidR="007D3174" w:rsidRPr="00CA02F7">
              <w:t>of rescue analgesics</w:t>
            </w:r>
            <w:r>
              <w:t>;</w:t>
            </w:r>
          </w:p>
          <w:p w:rsidR="007D3174" w:rsidRPr="00CA02F7" w:rsidRDefault="00F850AE" w:rsidP="00D21405">
            <w:pPr>
              <w:pStyle w:val="ListBullet"/>
            </w:pPr>
            <w:r>
              <w:t>p</w:t>
            </w:r>
            <w:r w:rsidRPr="00CA02F7">
              <w:t xml:space="preserve">hysical </w:t>
            </w:r>
            <w:r w:rsidR="007D3174" w:rsidRPr="00CA02F7">
              <w:t>functioning</w:t>
            </w:r>
            <w:r>
              <w:t>;</w:t>
            </w:r>
          </w:p>
          <w:p w:rsidR="007D3174" w:rsidRPr="00CA02F7" w:rsidRDefault="00F850AE" w:rsidP="00D21405">
            <w:pPr>
              <w:pStyle w:val="ListBullet"/>
            </w:pPr>
            <w:r>
              <w:t>e</w:t>
            </w:r>
            <w:r w:rsidRPr="00CA02F7">
              <w:t xml:space="preserve">motional </w:t>
            </w:r>
            <w:r w:rsidR="007D3174" w:rsidRPr="00CA02F7">
              <w:t>functioning</w:t>
            </w:r>
            <w:r>
              <w:t>; and</w:t>
            </w:r>
          </w:p>
          <w:p w:rsidR="007D3174" w:rsidRPr="00CA02F7" w:rsidRDefault="00F850AE" w:rsidP="00D21405">
            <w:pPr>
              <w:pStyle w:val="ListBullet"/>
            </w:pPr>
            <w:proofErr w:type="gramStart"/>
            <w:r>
              <w:t>p</w:t>
            </w:r>
            <w:r w:rsidRPr="00CA02F7">
              <w:t>articipant</w:t>
            </w:r>
            <w:proofErr w:type="gramEnd"/>
            <w:r w:rsidRPr="00CA02F7">
              <w:t xml:space="preserve"> </w:t>
            </w:r>
            <w:r w:rsidR="007D3174" w:rsidRPr="00CA02F7">
              <w:t>ratings of global improvement and satisfaction with treatment.</w:t>
            </w:r>
          </w:p>
          <w:p w:rsidR="007D3174" w:rsidRPr="00CA02F7" w:rsidRDefault="007D3174" w:rsidP="00CA02F7">
            <w:pPr>
              <w:rPr>
                <w:rFonts w:cstheme="minorHAnsi"/>
                <w:sz w:val="20"/>
                <w:szCs w:val="20"/>
              </w:rPr>
            </w:pPr>
            <w:r w:rsidRPr="00CA02F7">
              <w:rPr>
                <w:rFonts w:cstheme="minorHAnsi"/>
                <w:sz w:val="20"/>
                <w:szCs w:val="20"/>
              </w:rPr>
              <w:t>The sponsor has successfully reviewed many of these components.</w:t>
            </w:r>
          </w:p>
        </w:tc>
      </w:tr>
    </w:tbl>
    <w:p w:rsidR="00605AD4" w:rsidRDefault="00605AD4" w:rsidP="00605AD4">
      <w:pPr>
        <w:pStyle w:val="Heading4"/>
      </w:pPr>
      <w:r w:rsidRPr="00605AD4">
        <w:t>First round assessment of risks</w:t>
      </w:r>
    </w:p>
    <w:p w:rsidR="00252201" w:rsidRDefault="00252201" w:rsidP="00252201">
      <w:r>
        <w:t xml:space="preserve">Table </w:t>
      </w:r>
      <w:r w:rsidR="00AC04B2">
        <w:t>20</w:t>
      </w:r>
      <w:r w:rsidR="00BF690B">
        <w:t>, shown below,</w:t>
      </w:r>
      <w:r>
        <w:t xml:space="preserve"> summarises the </w:t>
      </w:r>
      <w:r w:rsidR="0008268B">
        <w:t>f</w:t>
      </w:r>
      <w:r w:rsidR="0008268B" w:rsidRPr="00605AD4">
        <w:t xml:space="preserve">irst </w:t>
      </w:r>
      <w:r w:rsidRPr="00605AD4">
        <w:t xml:space="preserve">round assessment of </w:t>
      </w:r>
      <w:r>
        <w:t>risks</w:t>
      </w:r>
      <w:r w:rsidR="00BF690B">
        <w:t>.</w:t>
      </w:r>
    </w:p>
    <w:p w:rsidR="00252201" w:rsidRPr="00252201" w:rsidRDefault="00252201" w:rsidP="00BF690B">
      <w:pPr>
        <w:pStyle w:val="Tabletitle0"/>
      </w:pPr>
      <w:r>
        <w:lastRenderedPageBreak/>
        <w:t xml:space="preserve">Table </w:t>
      </w:r>
      <w:r w:rsidR="00AC04B2">
        <w:t>20</w:t>
      </w:r>
      <w:r>
        <w:t xml:space="preserve">: </w:t>
      </w:r>
      <w:r w:rsidRPr="00605AD4">
        <w:t xml:space="preserve">First round assessment of </w:t>
      </w:r>
      <w:r>
        <w:t>risks</w:t>
      </w:r>
    </w:p>
    <w:tbl>
      <w:tblPr>
        <w:tblStyle w:val="TableGrid"/>
        <w:tblW w:w="0" w:type="auto"/>
        <w:tblInd w:w="108" w:type="dxa"/>
        <w:tblLook w:val="04A0" w:firstRow="1" w:lastRow="0" w:firstColumn="1" w:lastColumn="0" w:noHBand="0" w:noVBand="1"/>
        <w:tblDescription w:val="Table 20: First round assessment of risks"/>
      </w:tblPr>
      <w:tblGrid>
        <w:gridCol w:w="3891"/>
        <w:gridCol w:w="4721"/>
      </w:tblGrid>
      <w:tr w:rsidR="007D3174" w:rsidRPr="00CA02F7" w:rsidTr="007D3174">
        <w:trPr>
          <w:tblHeader/>
        </w:trPr>
        <w:tc>
          <w:tcPr>
            <w:tcW w:w="3969" w:type="dxa"/>
            <w:shd w:val="clear" w:color="auto" w:fill="006DA7" w:themeFill="accent3"/>
          </w:tcPr>
          <w:p w:rsidR="007D3174" w:rsidRPr="00CA02F7" w:rsidRDefault="007D3174" w:rsidP="00D21405">
            <w:pPr>
              <w:keepNext/>
              <w:rPr>
                <w:b/>
                <w:color w:val="FFFFFF" w:themeColor="background1"/>
                <w:sz w:val="20"/>
                <w:szCs w:val="20"/>
              </w:rPr>
            </w:pPr>
            <w:r w:rsidRPr="00CA02F7">
              <w:rPr>
                <w:b/>
                <w:color w:val="FFFFFF" w:themeColor="background1"/>
                <w:sz w:val="20"/>
                <w:szCs w:val="20"/>
              </w:rPr>
              <w:t>Risks</w:t>
            </w:r>
          </w:p>
        </w:tc>
        <w:tc>
          <w:tcPr>
            <w:tcW w:w="4820" w:type="dxa"/>
            <w:shd w:val="clear" w:color="auto" w:fill="006DA7" w:themeFill="accent3"/>
          </w:tcPr>
          <w:p w:rsidR="007D3174" w:rsidRPr="00CA02F7" w:rsidRDefault="007D3174" w:rsidP="00D21405">
            <w:pPr>
              <w:keepNext/>
              <w:rPr>
                <w:b/>
                <w:color w:val="FFFFFF" w:themeColor="background1"/>
                <w:sz w:val="20"/>
                <w:szCs w:val="20"/>
              </w:rPr>
            </w:pPr>
            <w:r w:rsidRPr="00CA02F7">
              <w:rPr>
                <w:b/>
                <w:color w:val="FFFFFF" w:themeColor="background1"/>
                <w:sz w:val="20"/>
                <w:szCs w:val="20"/>
              </w:rPr>
              <w:t>Strengths and Uncertainties</w:t>
            </w:r>
          </w:p>
        </w:tc>
      </w:tr>
      <w:tr w:rsidR="007D3174" w:rsidRPr="00CA02F7" w:rsidTr="007D3174">
        <w:tc>
          <w:tcPr>
            <w:tcW w:w="3969" w:type="dxa"/>
          </w:tcPr>
          <w:p w:rsidR="007D3174" w:rsidRPr="00CA02F7" w:rsidRDefault="007D3174" w:rsidP="00D21405">
            <w:pPr>
              <w:keepNext/>
              <w:rPr>
                <w:rFonts w:cstheme="minorHAnsi"/>
                <w:i/>
                <w:sz w:val="20"/>
                <w:szCs w:val="20"/>
              </w:rPr>
            </w:pPr>
            <w:r w:rsidRPr="00CA02F7">
              <w:rPr>
                <w:sz w:val="20"/>
                <w:szCs w:val="20"/>
                <w:lang w:eastAsia="ja-JP"/>
              </w:rPr>
              <w:t>The incidence and a summary of treatment related AEs (</w:t>
            </w:r>
            <w:r w:rsidR="00BF690B">
              <w:rPr>
                <w:sz w:val="20"/>
                <w:szCs w:val="20"/>
                <w:lang w:eastAsia="ja-JP"/>
              </w:rPr>
              <w:t>a</w:t>
            </w:r>
            <w:r w:rsidR="00BF690B" w:rsidRPr="00CA02F7">
              <w:rPr>
                <w:sz w:val="20"/>
                <w:szCs w:val="20"/>
                <w:lang w:eastAsia="ja-JP"/>
              </w:rPr>
              <w:t xml:space="preserve">dverse </w:t>
            </w:r>
            <w:r w:rsidR="00BF690B">
              <w:rPr>
                <w:sz w:val="20"/>
                <w:szCs w:val="20"/>
                <w:lang w:eastAsia="ja-JP"/>
              </w:rPr>
              <w:t>r</w:t>
            </w:r>
            <w:r w:rsidR="00BF690B" w:rsidRPr="00CA02F7">
              <w:rPr>
                <w:sz w:val="20"/>
                <w:szCs w:val="20"/>
                <w:lang w:eastAsia="ja-JP"/>
              </w:rPr>
              <w:t>eactions</w:t>
            </w:r>
            <w:r w:rsidRPr="00CA02F7">
              <w:rPr>
                <w:sz w:val="20"/>
                <w:szCs w:val="20"/>
                <w:lang w:eastAsia="ja-JP"/>
              </w:rPr>
              <w:t>) were not submitted.</w:t>
            </w:r>
          </w:p>
        </w:tc>
        <w:tc>
          <w:tcPr>
            <w:tcW w:w="4820" w:type="dxa"/>
          </w:tcPr>
          <w:p w:rsidR="00C661AB" w:rsidRDefault="007D3174" w:rsidP="00D21405">
            <w:pPr>
              <w:keepNext/>
              <w:rPr>
                <w:sz w:val="20"/>
                <w:szCs w:val="20"/>
                <w:lang w:eastAsia="ja-JP"/>
              </w:rPr>
            </w:pPr>
            <w:r w:rsidRPr="00CA02F7">
              <w:rPr>
                <w:rFonts w:cstheme="minorHAnsi"/>
                <w:sz w:val="20"/>
                <w:szCs w:val="20"/>
              </w:rPr>
              <w:t>The sponsor proposes that since the class related effects were well known r</w:t>
            </w:r>
            <w:r w:rsidRPr="00CA02F7">
              <w:rPr>
                <w:sz w:val="20"/>
                <w:szCs w:val="20"/>
                <w:lang w:eastAsia="ja-JP"/>
              </w:rPr>
              <w:t>ather than reviewing all treatment related AEs the sponsor considered selected AES that were considered class related.</w:t>
            </w:r>
          </w:p>
          <w:p w:rsidR="007D3174" w:rsidRPr="00CA02F7" w:rsidRDefault="007D3174" w:rsidP="00D21405">
            <w:pPr>
              <w:keepNext/>
              <w:rPr>
                <w:sz w:val="20"/>
                <w:szCs w:val="20"/>
                <w:lang w:eastAsia="ja-JP"/>
              </w:rPr>
            </w:pPr>
            <w:r w:rsidRPr="00CA02F7">
              <w:rPr>
                <w:sz w:val="20"/>
                <w:szCs w:val="20"/>
                <w:lang w:eastAsia="ja-JP"/>
              </w:rPr>
              <w:t xml:space="preserve">The class definition has varied from the specific </w:t>
            </w:r>
            <w:r w:rsidR="00BF690B">
              <w:rPr>
                <w:sz w:val="20"/>
                <w:szCs w:val="20"/>
                <w:lang w:eastAsia="ja-JP"/>
              </w:rPr>
              <w:t>MOR</w:t>
            </w:r>
            <w:r w:rsidRPr="00CA02F7">
              <w:rPr>
                <w:sz w:val="20"/>
                <w:szCs w:val="20"/>
                <w:lang w:eastAsia="ja-JP"/>
              </w:rPr>
              <w:t xml:space="preserve"> agonist/</w:t>
            </w:r>
            <w:r w:rsidR="00BF690B">
              <w:t>DOR</w:t>
            </w:r>
            <w:r w:rsidRPr="00CA02F7">
              <w:rPr>
                <w:sz w:val="20"/>
                <w:szCs w:val="20"/>
                <w:lang w:eastAsia="ja-JP"/>
              </w:rPr>
              <w:t xml:space="preserve"> antagonist to opioid. No comparative list of class related AEs was submitted.</w:t>
            </w:r>
          </w:p>
          <w:p w:rsidR="007D3174" w:rsidRPr="00CA02F7" w:rsidRDefault="007D3174" w:rsidP="00D21405">
            <w:pPr>
              <w:keepNext/>
              <w:rPr>
                <w:sz w:val="20"/>
                <w:szCs w:val="20"/>
                <w:lang w:eastAsia="ja-JP"/>
              </w:rPr>
            </w:pPr>
            <w:r w:rsidRPr="00CA02F7">
              <w:rPr>
                <w:sz w:val="20"/>
                <w:szCs w:val="20"/>
                <w:lang w:eastAsia="ja-JP"/>
              </w:rPr>
              <w:t xml:space="preserve">While the specific systemic effects likely to cause problems with a </w:t>
            </w:r>
            <w:r w:rsidR="00C661AB">
              <w:rPr>
                <w:sz w:val="20"/>
                <w:szCs w:val="20"/>
                <w:lang w:eastAsia="ja-JP"/>
              </w:rPr>
              <w:t>µ</w:t>
            </w:r>
            <w:r w:rsidRPr="00CA02F7">
              <w:rPr>
                <w:sz w:val="20"/>
                <w:szCs w:val="20"/>
                <w:lang w:eastAsia="ja-JP"/>
              </w:rPr>
              <w:t xml:space="preserve"> opioid receptor agonist and of </w:t>
            </w:r>
            <w:r w:rsidR="00C661AB">
              <w:t>δ</w:t>
            </w:r>
            <w:r w:rsidRPr="00CA02F7">
              <w:rPr>
                <w:sz w:val="20"/>
                <w:szCs w:val="20"/>
                <w:lang w:eastAsia="ja-JP"/>
              </w:rPr>
              <w:t xml:space="preserve"> opioid receptor antagonist although not submitted may be known, the adverse reactions of a </w:t>
            </w:r>
            <w:r w:rsidR="00BF690B">
              <w:rPr>
                <w:sz w:val="20"/>
                <w:szCs w:val="20"/>
                <w:lang w:eastAsia="ja-JP"/>
              </w:rPr>
              <w:t>MOR</w:t>
            </w:r>
            <w:r w:rsidRPr="00CA02F7">
              <w:rPr>
                <w:sz w:val="20"/>
                <w:szCs w:val="20"/>
                <w:lang w:eastAsia="ja-JP"/>
              </w:rPr>
              <w:t xml:space="preserve"> agonist/</w:t>
            </w:r>
            <w:r w:rsidR="00BF690B">
              <w:rPr>
                <w:sz w:val="20"/>
                <w:szCs w:val="20"/>
                <w:lang w:eastAsia="ja-JP"/>
              </w:rPr>
              <w:t>DOR</w:t>
            </w:r>
            <w:r w:rsidRPr="00CA02F7">
              <w:rPr>
                <w:sz w:val="20"/>
                <w:szCs w:val="20"/>
                <w:lang w:eastAsia="ja-JP"/>
              </w:rPr>
              <w:t xml:space="preserve"> receptor antagonist with poor oral availability cannot be known since the sponsor is proposing its uniqueness as a treatment.</w:t>
            </w:r>
          </w:p>
          <w:p w:rsidR="007D3174" w:rsidRPr="00CA02F7" w:rsidRDefault="007D3174" w:rsidP="00D21405">
            <w:pPr>
              <w:keepNext/>
              <w:rPr>
                <w:sz w:val="20"/>
                <w:szCs w:val="20"/>
                <w:lang w:eastAsia="ja-JP"/>
              </w:rPr>
            </w:pPr>
            <w:r w:rsidRPr="00CA02F7">
              <w:rPr>
                <w:sz w:val="20"/>
                <w:szCs w:val="20"/>
                <w:lang w:eastAsia="ja-JP"/>
              </w:rPr>
              <w:t xml:space="preserve">It is interesting to note that, while in the Clinical Overview and Clinical Summaries no mention is made of any </w:t>
            </w:r>
            <w:r w:rsidR="00BF690B">
              <w:rPr>
                <w:sz w:val="20"/>
                <w:szCs w:val="20"/>
                <w:lang w:eastAsia="ja-JP"/>
              </w:rPr>
              <w:t>KOR</w:t>
            </w:r>
            <w:r w:rsidRPr="00CA02F7">
              <w:rPr>
                <w:sz w:val="20"/>
                <w:szCs w:val="20"/>
                <w:lang w:eastAsia="ja-JP"/>
              </w:rPr>
              <w:t xml:space="preserve"> </w:t>
            </w:r>
            <w:proofErr w:type="gramStart"/>
            <w:r w:rsidRPr="00CA02F7">
              <w:rPr>
                <w:sz w:val="20"/>
                <w:szCs w:val="20"/>
                <w:lang w:eastAsia="ja-JP"/>
              </w:rPr>
              <w:t>activity,</w:t>
            </w:r>
            <w:proofErr w:type="gramEnd"/>
            <w:r w:rsidRPr="00CA02F7">
              <w:rPr>
                <w:sz w:val="20"/>
                <w:szCs w:val="20"/>
                <w:lang w:eastAsia="ja-JP"/>
              </w:rPr>
              <w:t xml:space="preserve"> it is mentioned in the PI and in the Nonclinical Overview that there is weak </w:t>
            </w:r>
            <w:r w:rsidR="00BF690B">
              <w:rPr>
                <w:sz w:val="20"/>
                <w:szCs w:val="20"/>
                <w:lang w:eastAsia="ja-JP"/>
              </w:rPr>
              <w:t xml:space="preserve">KOR </w:t>
            </w:r>
            <w:r w:rsidRPr="00CA02F7">
              <w:rPr>
                <w:sz w:val="20"/>
                <w:szCs w:val="20"/>
                <w:lang w:eastAsia="ja-JP"/>
              </w:rPr>
              <w:t>agonist activity.</w:t>
            </w:r>
          </w:p>
          <w:p w:rsidR="007D3174" w:rsidRPr="00CA02F7" w:rsidRDefault="007D3174" w:rsidP="00D21405">
            <w:pPr>
              <w:keepNext/>
              <w:rPr>
                <w:sz w:val="20"/>
                <w:szCs w:val="20"/>
                <w:lang w:eastAsia="ja-JP"/>
              </w:rPr>
            </w:pPr>
            <w:r w:rsidRPr="00CA02F7">
              <w:rPr>
                <w:sz w:val="20"/>
                <w:szCs w:val="20"/>
                <w:lang w:eastAsia="ja-JP"/>
              </w:rPr>
              <w:t xml:space="preserve">There is a list of AEs with an incidence </w:t>
            </w:r>
            <w:r w:rsidR="00E124D1">
              <w:rPr>
                <w:sz w:val="20"/>
                <w:szCs w:val="20"/>
                <w:lang w:eastAsia="ja-JP"/>
              </w:rPr>
              <w:t>≥</w:t>
            </w:r>
            <w:r w:rsidR="00785F4E">
              <w:rPr>
                <w:sz w:val="20"/>
                <w:szCs w:val="20"/>
                <w:lang w:eastAsia="ja-JP"/>
              </w:rPr>
              <w:t xml:space="preserve"> </w:t>
            </w:r>
            <w:r w:rsidRPr="00CA02F7">
              <w:rPr>
                <w:sz w:val="20"/>
                <w:szCs w:val="20"/>
                <w:lang w:eastAsia="ja-JP"/>
              </w:rPr>
              <w:t xml:space="preserve">2% and higher than in placebo group. </w:t>
            </w:r>
            <w:r w:rsidR="0008268B" w:rsidRPr="00CA02F7">
              <w:rPr>
                <w:sz w:val="20"/>
                <w:szCs w:val="20"/>
                <w:lang w:eastAsia="ja-JP"/>
              </w:rPr>
              <w:t>However,</w:t>
            </w:r>
            <w:r w:rsidRPr="00CA02F7">
              <w:rPr>
                <w:sz w:val="20"/>
                <w:szCs w:val="20"/>
                <w:lang w:eastAsia="ja-JP"/>
              </w:rPr>
              <w:t xml:space="preserve"> it is not particularly sensitive as </w:t>
            </w:r>
            <w:r w:rsidR="00C661AB">
              <w:rPr>
                <w:sz w:val="20"/>
                <w:szCs w:val="20"/>
                <w:lang w:eastAsia="ja-JP"/>
              </w:rPr>
              <w:t>for example</w:t>
            </w:r>
            <w:r w:rsidRPr="00CA02F7">
              <w:rPr>
                <w:sz w:val="20"/>
                <w:szCs w:val="20"/>
                <w:lang w:eastAsia="ja-JP"/>
              </w:rPr>
              <w:t xml:space="preserve"> it misses all pancreas and liver events except raised ALT.</w:t>
            </w:r>
          </w:p>
        </w:tc>
      </w:tr>
      <w:tr w:rsidR="007D3174" w:rsidRPr="00CA02F7" w:rsidTr="007D3174">
        <w:tc>
          <w:tcPr>
            <w:tcW w:w="3969" w:type="dxa"/>
          </w:tcPr>
          <w:p w:rsidR="007D3174" w:rsidRPr="00CA02F7" w:rsidRDefault="007D3174" w:rsidP="00D21405">
            <w:pPr>
              <w:keepNext/>
              <w:rPr>
                <w:rFonts w:cstheme="minorHAnsi"/>
                <w:sz w:val="20"/>
                <w:szCs w:val="20"/>
              </w:rPr>
            </w:pPr>
            <w:r w:rsidRPr="00CA02F7">
              <w:rPr>
                <w:rFonts w:cstheme="minorHAnsi"/>
                <w:sz w:val="20"/>
                <w:szCs w:val="20"/>
              </w:rPr>
              <w:t xml:space="preserve">Constipation and </w:t>
            </w:r>
            <w:r w:rsidR="00AD3E21">
              <w:rPr>
                <w:rFonts w:cstheme="minorHAnsi"/>
                <w:sz w:val="20"/>
                <w:szCs w:val="20"/>
              </w:rPr>
              <w:t>p</w:t>
            </w:r>
            <w:r w:rsidRPr="00CA02F7">
              <w:rPr>
                <w:rFonts w:cstheme="minorHAnsi"/>
                <w:sz w:val="20"/>
                <w:szCs w:val="20"/>
              </w:rPr>
              <w:t>ain are intrinsic to IBS</w:t>
            </w:r>
          </w:p>
        </w:tc>
        <w:tc>
          <w:tcPr>
            <w:tcW w:w="4820" w:type="dxa"/>
          </w:tcPr>
          <w:p w:rsidR="007D3174" w:rsidRPr="00CA02F7" w:rsidRDefault="007D3174" w:rsidP="00D21405">
            <w:pPr>
              <w:keepNext/>
              <w:rPr>
                <w:rFonts w:cstheme="minorHAnsi"/>
                <w:sz w:val="20"/>
                <w:szCs w:val="20"/>
              </w:rPr>
            </w:pPr>
            <w:r w:rsidRPr="00CA02F7">
              <w:rPr>
                <w:rFonts w:cstheme="minorHAnsi"/>
                <w:sz w:val="20"/>
                <w:szCs w:val="20"/>
              </w:rPr>
              <w:t>The sponsor has made no comparative studies with alternative treatments for IBS-</w:t>
            </w:r>
            <w:r w:rsidR="001F1B51">
              <w:rPr>
                <w:rFonts w:cstheme="minorHAnsi"/>
                <w:sz w:val="20"/>
                <w:szCs w:val="20"/>
              </w:rPr>
              <w:t>d</w:t>
            </w:r>
            <w:r w:rsidRPr="00CA02F7">
              <w:rPr>
                <w:rFonts w:cstheme="minorHAnsi"/>
                <w:sz w:val="20"/>
                <w:szCs w:val="20"/>
              </w:rPr>
              <w:t xml:space="preserve"> predominant though claiming advantage over loperamide and alosetron (not on ARTG).</w:t>
            </w:r>
          </w:p>
          <w:p w:rsidR="007D3174" w:rsidRPr="00CA02F7" w:rsidRDefault="007D3174" w:rsidP="00D21405">
            <w:pPr>
              <w:keepNext/>
              <w:rPr>
                <w:rFonts w:cstheme="minorHAnsi"/>
                <w:sz w:val="20"/>
                <w:szCs w:val="20"/>
              </w:rPr>
            </w:pPr>
            <w:r w:rsidRPr="00CA02F7">
              <w:rPr>
                <w:rFonts w:cstheme="minorHAnsi"/>
                <w:sz w:val="20"/>
                <w:szCs w:val="20"/>
              </w:rPr>
              <w:t xml:space="preserve">The sponsor in this submission has made a comparison in those whose historical data showed inadequate symptom control with lamotrigine between those on placebo and those on eluxadoline, this evaluator however gives it little weight as it is not a direct comparison of efficacy with lamotrigine. </w:t>
            </w:r>
          </w:p>
        </w:tc>
      </w:tr>
      <w:tr w:rsidR="007D3174" w:rsidRPr="00CA02F7" w:rsidTr="007D3174">
        <w:tc>
          <w:tcPr>
            <w:tcW w:w="3969" w:type="dxa"/>
          </w:tcPr>
          <w:p w:rsidR="007D3174" w:rsidRPr="00CA02F7" w:rsidRDefault="007D3174" w:rsidP="00D21405">
            <w:pPr>
              <w:keepNext/>
              <w:rPr>
                <w:rFonts w:cstheme="minorHAnsi"/>
                <w:sz w:val="20"/>
                <w:szCs w:val="20"/>
              </w:rPr>
            </w:pPr>
            <w:r w:rsidRPr="00CA02F7">
              <w:rPr>
                <w:rFonts w:cstheme="minorHAnsi"/>
                <w:sz w:val="20"/>
                <w:szCs w:val="20"/>
              </w:rPr>
              <w:t>Abuse potential</w:t>
            </w:r>
          </w:p>
        </w:tc>
        <w:tc>
          <w:tcPr>
            <w:tcW w:w="4820" w:type="dxa"/>
          </w:tcPr>
          <w:p w:rsidR="007D3174" w:rsidRPr="00CA02F7" w:rsidRDefault="007D3174" w:rsidP="00D21405">
            <w:pPr>
              <w:keepNext/>
              <w:rPr>
                <w:rFonts w:cstheme="minorHAnsi"/>
                <w:sz w:val="20"/>
                <w:szCs w:val="20"/>
              </w:rPr>
            </w:pPr>
            <w:r w:rsidRPr="00CA02F7">
              <w:rPr>
                <w:rFonts w:cstheme="minorHAnsi"/>
                <w:sz w:val="20"/>
                <w:szCs w:val="20"/>
              </w:rPr>
              <w:t xml:space="preserve">Based on submitted trial data the </w:t>
            </w:r>
            <w:r w:rsidRPr="00CA02F7">
              <w:rPr>
                <w:sz w:val="20"/>
                <w:szCs w:val="20"/>
                <w:lang w:eastAsia="ja-JP"/>
              </w:rPr>
              <w:t>potential for abuse appears low.</w:t>
            </w:r>
          </w:p>
        </w:tc>
      </w:tr>
      <w:tr w:rsidR="007D3174" w:rsidRPr="00CA02F7" w:rsidTr="007D3174">
        <w:tc>
          <w:tcPr>
            <w:tcW w:w="3969" w:type="dxa"/>
          </w:tcPr>
          <w:p w:rsidR="007D3174" w:rsidRPr="00CA02F7" w:rsidRDefault="007D3174" w:rsidP="00D21405">
            <w:pPr>
              <w:keepNext/>
              <w:rPr>
                <w:rFonts w:cstheme="minorHAnsi"/>
                <w:sz w:val="20"/>
                <w:szCs w:val="20"/>
              </w:rPr>
            </w:pPr>
            <w:r w:rsidRPr="00CA02F7">
              <w:rPr>
                <w:rFonts w:cstheme="minorHAnsi"/>
                <w:sz w:val="20"/>
                <w:szCs w:val="20"/>
              </w:rPr>
              <w:t xml:space="preserve">Spasm of </w:t>
            </w:r>
            <w:r w:rsidR="001F1B51">
              <w:rPr>
                <w:rFonts w:cstheme="minorHAnsi"/>
                <w:sz w:val="20"/>
                <w:szCs w:val="20"/>
              </w:rPr>
              <w:t>s</w:t>
            </w:r>
            <w:r w:rsidR="001F1B51" w:rsidRPr="00CA02F7">
              <w:rPr>
                <w:rFonts w:cstheme="minorHAnsi"/>
                <w:sz w:val="20"/>
                <w:szCs w:val="20"/>
              </w:rPr>
              <w:t xml:space="preserve">phincter </w:t>
            </w:r>
            <w:r w:rsidRPr="00CA02F7">
              <w:rPr>
                <w:rFonts w:cstheme="minorHAnsi"/>
                <w:sz w:val="20"/>
                <w:szCs w:val="20"/>
              </w:rPr>
              <w:t>of Oddi</w:t>
            </w:r>
          </w:p>
        </w:tc>
        <w:tc>
          <w:tcPr>
            <w:tcW w:w="4820" w:type="dxa"/>
          </w:tcPr>
          <w:p w:rsidR="007D3174" w:rsidRPr="00CA02F7" w:rsidRDefault="007D3174" w:rsidP="00D21405">
            <w:pPr>
              <w:keepNext/>
              <w:rPr>
                <w:rFonts w:cstheme="minorHAnsi"/>
                <w:sz w:val="20"/>
                <w:szCs w:val="20"/>
              </w:rPr>
            </w:pPr>
            <w:r w:rsidRPr="00CA02F7">
              <w:rPr>
                <w:rFonts w:cstheme="minorHAnsi"/>
                <w:sz w:val="20"/>
                <w:szCs w:val="20"/>
              </w:rPr>
              <w:t>The sponsor has shown that this is particularly a problem in those whose gallbladder is absent.</w:t>
            </w:r>
          </w:p>
        </w:tc>
      </w:tr>
    </w:tbl>
    <w:p w:rsidR="00605AD4" w:rsidRDefault="00605AD4" w:rsidP="00605AD4">
      <w:pPr>
        <w:pStyle w:val="Heading4"/>
      </w:pPr>
      <w:r w:rsidRPr="00605AD4">
        <w:t>First round assessment of benefit-risk balance</w:t>
      </w:r>
    </w:p>
    <w:p w:rsidR="007D3174" w:rsidRDefault="007D3174" w:rsidP="007D3174">
      <w:pPr>
        <w:rPr>
          <w:lang w:eastAsia="ja-JP"/>
        </w:rPr>
      </w:pPr>
      <w:r>
        <w:rPr>
          <w:lang w:eastAsia="ja-JP"/>
        </w:rPr>
        <w:t xml:space="preserve">The overall </w:t>
      </w:r>
      <w:r w:rsidR="001F1B51">
        <w:rPr>
          <w:lang w:eastAsia="ja-JP"/>
        </w:rPr>
        <w:t xml:space="preserve">benefit-risk </w:t>
      </w:r>
      <w:r>
        <w:rPr>
          <w:lang w:eastAsia="ja-JP"/>
        </w:rPr>
        <w:t>balance is considered unfavourable</w:t>
      </w:r>
      <w:r w:rsidR="001F1B51">
        <w:rPr>
          <w:lang w:eastAsia="ja-JP"/>
        </w:rPr>
        <w:t>:</w:t>
      </w:r>
    </w:p>
    <w:p w:rsidR="007D3174" w:rsidRDefault="007D3174" w:rsidP="00CA02F7">
      <w:pPr>
        <w:pStyle w:val="ListBullet"/>
        <w:rPr>
          <w:lang w:eastAsia="ja-JP"/>
        </w:rPr>
      </w:pPr>
      <w:r>
        <w:rPr>
          <w:lang w:eastAsia="ja-JP"/>
        </w:rPr>
        <w:t>With the modest improvement compared with placebo the limited benefit needs to be balanced by a comparable risk.</w:t>
      </w:r>
    </w:p>
    <w:p w:rsidR="007D3174" w:rsidRDefault="007D3174" w:rsidP="00CA02F7">
      <w:pPr>
        <w:pStyle w:val="ListBullet"/>
        <w:rPr>
          <w:lang w:eastAsia="ja-JP"/>
        </w:rPr>
      </w:pPr>
      <w:r>
        <w:rPr>
          <w:lang w:eastAsia="ja-JP"/>
        </w:rPr>
        <w:t>The lack of a clear presentation of the risk of all treatment related AEs makes the comparison unfavourable.</w:t>
      </w:r>
    </w:p>
    <w:p w:rsidR="00605AD4" w:rsidRPr="00605AD4" w:rsidRDefault="00605AD4" w:rsidP="00605AD4">
      <w:pPr>
        <w:pStyle w:val="Heading3"/>
        <w:rPr>
          <w:rFonts w:eastAsia="Cambria"/>
        </w:rPr>
      </w:pPr>
      <w:bookmarkStart w:id="102" w:name="_Toc510009720"/>
      <w:r w:rsidRPr="00605AD4">
        <w:rPr>
          <w:rFonts w:eastAsia="Cambria"/>
        </w:rPr>
        <w:lastRenderedPageBreak/>
        <w:t>First Round Recommendation Regarding Authorisation</w:t>
      </w:r>
      <w:bookmarkEnd w:id="102"/>
    </w:p>
    <w:p w:rsidR="007D3174" w:rsidRDefault="007D3174" w:rsidP="007D3174">
      <w:pPr>
        <w:rPr>
          <w:lang w:eastAsia="ja-JP"/>
        </w:rPr>
      </w:pPr>
      <w:r>
        <w:rPr>
          <w:lang w:eastAsia="ja-JP"/>
        </w:rPr>
        <w:t>It is not recommended that the proposed authorisation be approved.</w:t>
      </w:r>
    </w:p>
    <w:p w:rsidR="007D3174" w:rsidRDefault="007D3174" w:rsidP="00BF09F1">
      <w:pPr>
        <w:pStyle w:val="ListBullet"/>
        <w:numPr>
          <w:ilvl w:val="0"/>
          <w:numId w:val="0"/>
        </w:numPr>
        <w:rPr>
          <w:lang w:eastAsia="ja-JP"/>
        </w:rPr>
      </w:pPr>
      <w:r>
        <w:rPr>
          <w:lang w:eastAsia="ja-JP"/>
        </w:rPr>
        <w:t>The lack of a clear presentation of the risk of all treatment related AEs makes the comparison unfavourable with the modest improvement seen compared with placebo.</w:t>
      </w:r>
    </w:p>
    <w:p w:rsidR="00605AD4" w:rsidRPr="00605AD4" w:rsidRDefault="00605AD4" w:rsidP="00605AD4">
      <w:pPr>
        <w:pStyle w:val="Heading3"/>
        <w:rPr>
          <w:rFonts w:eastAsia="Cambria"/>
        </w:rPr>
      </w:pPr>
      <w:bookmarkStart w:id="103" w:name="_Toc510009721"/>
      <w:r w:rsidRPr="00605AD4">
        <w:rPr>
          <w:rFonts w:eastAsia="Cambria"/>
        </w:rPr>
        <w:t>Second Round Evaluation of clinical data submitted in response to questions</w:t>
      </w:r>
      <w:bookmarkEnd w:id="103"/>
    </w:p>
    <w:p w:rsidR="007D3174" w:rsidRDefault="007D3174" w:rsidP="007D3174">
      <w:pPr>
        <w:pStyle w:val="Heading4"/>
      </w:pPr>
      <w:r>
        <w:t>First round evaluation errata</w:t>
      </w:r>
    </w:p>
    <w:p w:rsidR="007D3174" w:rsidRDefault="00CA02F7" w:rsidP="007D3174">
      <w:r>
        <w:t>None notified by sponsor.</w:t>
      </w:r>
    </w:p>
    <w:p w:rsidR="006136D7" w:rsidRPr="00605AD4" w:rsidRDefault="006136D7" w:rsidP="006136D7">
      <w:r>
        <w:t xml:space="preserve">For details of the sponsor’s responses </w:t>
      </w:r>
      <w:r w:rsidR="007D3174">
        <w:t xml:space="preserve">to questions raised by the evaluator </w:t>
      </w:r>
      <w:r>
        <w:t>and the evaluation of these responses please see Attachment 2.</w:t>
      </w:r>
    </w:p>
    <w:p w:rsidR="00605AD4" w:rsidRPr="00605AD4" w:rsidRDefault="00605AD4" w:rsidP="00546154">
      <w:pPr>
        <w:pStyle w:val="Heading3"/>
        <w:rPr>
          <w:rFonts w:eastAsia="Cambria"/>
        </w:rPr>
      </w:pPr>
      <w:bookmarkStart w:id="104" w:name="_Toc510009722"/>
      <w:r w:rsidRPr="00605AD4">
        <w:rPr>
          <w:rFonts w:eastAsia="Cambria"/>
        </w:rPr>
        <w:t>Second Round Benefit-Risk Assessment</w:t>
      </w:r>
      <w:bookmarkEnd w:id="104"/>
    </w:p>
    <w:p w:rsidR="007D3174" w:rsidRDefault="007D3174" w:rsidP="007D3174">
      <w:pPr>
        <w:pStyle w:val="Heading4"/>
      </w:pPr>
      <w:r>
        <w:t>Second round assessment of benefits</w:t>
      </w:r>
    </w:p>
    <w:p w:rsidR="007D3174" w:rsidRDefault="007D3174" w:rsidP="007D3174">
      <w:r>
        <w:t xml:space="preserve">While the sponsor has further elucidated the extent and consistency of the extent of benefit from treatment with eluxadoline, the overall benefit in the treatment of </w:t>
      </w:r>
      <w:r w:rsidR="00B05B61">
        <w:t>IBS-d</w:t>
      </w:r>
      <w:r>
        <w:t xml:space="preserve"> remains modest.</w:t>
      </w:r>
      <w:r w:rsidR="00785F4E">
        <w:t xml:space="preserve"> </w:t>
      </w:r>
      <w:r>
        <w:t>The clinical trial data suggest that clinically significant improvement in symptoms can be expected in from 8 to 13% of patients. The major effect is in improving stool consistency.</w:t>
      </w:r>
    </w:p>
    <w:p w:rsidR="007D3174" w:rsidRDefault="007D3174" w:rsidP="007D3174">
      <w:pPr>
        <w:pStyle w:val="Heading4"/>
      </w:pPr>
      <w:r>
        <w:t>Second round assessment of risks</w:t>
      </w:r>
    </w:p>
    <w:p w:rsidR="005F1690" w:rsidRDefault="007D3174" w:rsidP="007D3174">
      <w:r>
        <w:t>Eluxadoline appears to have a similar risk profile to other opioid agonists with less risk of CNS effects.</w:t>
      </w:r>
      <w:r w:rsidR="00785F4E">
        <w:t xml:space="preserve"> </w:t>
      </w:r>
      <w:r>
        <w:t>The major concerns are an increased risk of pancreatitis and pain due to sphincter of Oddi spasm.</w:t>
      </w:r>
      <w:r w:rsidR="00785F4E">
        <w:t xml:space="preserve"> </w:t>
      </w:r>
      <w:r>
        <w:t xml:space="preserve">These risks can be minimised by adherence to the proposed contraindications to use and precautionary statements in the PI and </w:t>
      </w:r>
      <w:r w:rsidR="004F46B2">
        <w:t>Consumer Medicine Information (</w:t>
      </w:r>
      <w:r>
        <w:t>CMI</w:t>
      </w:r>
      <w:r w:rsidR="004F46B2">
        <w:t>)</w:t>
      </w:r>
      <w:r w:rsidR="008504A0">
        <w:t xml:space="preserve"> </w:t>
      </w:r>
      <w:r>
        <w:t xml:space="preserve">and by reducing the dose to 75 mg </w:t>
      </w:r>
      <w:r w:rsidR="00CC6D17">
        <w:t>bd</w:t>
      </w:r>
      <w:r>
        <w:t xml:space="preserve"> for patients without a gallbladder.</w:t>
      </w:r>
    </w:p>
    <w:p w:rsidR="005F1690" w:rsidRDefault="007D3174" w:rsidP="007D3174">
      <w:r>
        <w:t>The risk of AEs due to higher exposure in some patient groups can also be addressed by reducing the dose of eluxadoline in these groups (patients with mild or moderate hepatic impairment, and patients taking concomitant OATP1B1 inhibitors</w:t>
      </w:r>
      <w:r w:rsidR="00CC6D17">
        <w:t>)</w:t>
      </w:r>
      <w:r>
        <w:t>.</w:t>
      </w:r>
    </w:p>
    <w:p w:rsidR="007D3174" w:rsidRDefault="007D3174" w:rsidP="007D3174">
      <w:pPr>
        <w:pStyle w:val="Heading4"/>
      </w:pPr>
      <w:r>
        <w:t>Second round assessment of benefit-risk balance</w:t>
      </w:r>
    </w:p>
    <w:p w:rsidR="00CC6D17" w:rsidRDefault="007D3174" w:rsidP="007D3174">
      <w:r>
        <w:t xml:space="preserve">On review of the additional information supplied by the sponsor, </w:t>
      </w:r>
      <w:r w:rsidR="004F46B2">
        <w:t>the evaluator</w:t>
      </w:r>
      <w:r>
        <w:t xml:space="preserve"> consider</w:t>
      </w:r>
      <w:r w:rsidR="004F46B2">
        <w:t>s</w:t>
      </w:r>
      <w:r>
        <w:t xml:space="preserve"> the benefit-risk</w:t>
      </w:r>
      <w:r w:rsidR="00785F4E">
        <w:t xml:space="preserve"> </w:t>
      </w:r>
      <w:r>
        <w:t>balance is favourable for eluxadoline in the following indication:</w:t>
      </w:r>
    </w:p>
    <w:p w:rsidR="007D3174" w:rsidRPr="00543B66" w:rsidRDefault="007D3174" w:rsidP="00543B66">
      <w:pPr>
        <w:ind w:left="720"/>
        <w:rPr>
          <w:i/>
        </w:rPr>
      </w:pPr>
      <w:r w:rsidRPr="00543B66">
        <w:rPr>
          <w:i/>
        </w:rPr>
        <w:t>Viberzi (eluxadoline) is indicated in adults for the treatment of irritable bowel syndrome with diarrhoea (</w:t>
      </w:r>
      <w:r w:rsidR="00B05B61" w:rsidRPr="00543B66">
        <w:rPr>
          <w:i/>
        </w:rPr>
        <w:t>IBS-d</w:t>
      </w:r>
      <w:r w:rsidRPr="00543B66">
        <w:rPr>
          <w:i/>
        </w:rPr>
        <w:t>).</w:t>
      </w:r>
    </w:p>
    <w:p w:rsidR="007D3174" w:rsidRDefault="007D3174" w:rsidP="007D3174">
      <w:pPr>
        <w:pStyle w:val="Heading4"/>
      </w:pPr>
      <w:r>
        <w:t>Second round recommendation regarding authorisation</w:t>
      </w:r>
    </w:p>
    <w:p w:rsidR="007D3174" w:rsidRDefault="004F46B2" w:rsidP="007D3174">
      <w:r>
        <w:t>The evaluator</w:t>
      </w:r>
      <w:r w:rsidR="007D3174">
        <w:t xml:space="preserve"> recommend</w:t>
      </w:r>
      <w:r w:rsidR="000F77DE">
        <w:t>s</w:t>
      </w:r>
      <w:r w:rsidR="007D3174">
        <w:t xml:space="preserve"> that eluxadoline (Viberzi) be approved for the following indication:</w:t>
      </w:r>
    </w:p>
    <w:p w:rsidR="00605AD4" w:rsidRPr="004F46B2" w:rsidRDefault="007D3174" w:rsidP="004F46B2">
      <w:pPr>
        <w:ind w:left="720"/>
        <w:rPr>
          <w:i/>
        </w:rPr>
      </w:pPr>
      <w:r w:rsidRPr="004F46B2">
        <w:rPr>
          <w:i/>
        </w:rPr>
        <w:t>Viberzi (eluxadoline) is indicated in adults for the treatment of irritable bowel syndrome with diarrhoea (</w:t>
      </w:r>
      <w:r w:rsidR="00B05B61">
        <w:rPr>
          <w:i/>
        </w:rPr>
        <w:t>IBS-d</w:t>
      </w:r>
      <w:r w:rsidRPr="004F46B2">
        <w:rPr>
          <w:i/>
        </w:rPr>
        <w:t>)</w:t>
      </w:r>
      <w:r w:rsidR="001F1B51">
        <w:rPr>
          <w:i/>
        </w:rPr>
        <w:t>.</w:t>
      </w:r>
    </w:p>
    <w:p w:rsidR="008E7846" w:rsidRPr="00E41208" w:rsidRDefault="008E7846" w:rsidP="00546154">
      <w:pPr>
        <w:pStyle w:val="Heading2"/>
      </w:pPr>
      <w:bookmarkStart w:id="105" w:name="_Toc510009723"/>
      <w:r w:rsidRPr="00E41208">
        <w:lastRenderedPageBreak/>
        <w:t>V</w:t>
      </w:r>
      <w:r w:rsidR="00AC04B2">
        <w:t>I</w:t>
      </w:r>
      <w:r w:rsidRPr="00E41208">
        <w:t xml:space="preserve">. Pharmacovigilance </w:t>
      </w:r>
      <w:r>
        <w:t>f</w:t>
      </w:r>
      <w:r w:rsidRPr="00E41208">
        <w:t>indings</w:t>
      </w:r>
      <w:bookmarkEnd w:id="95"/>
      <w:bookmarkEnd w:id="96"/>
      <w:bookmarkEnd w:id="105"/>
    </w:p>
    <w:p w:rsidR="008E7846" w:rsidRDefault="00386150" w:rsidP="008E7846">
      <w:pPr>
        <w:pStyle w:val="Heading3"/>
        <w:rPr>
          <w:lang w:eastAsia="en-AU"/>
        </w:rPr>
      </w:pPr>
      <w:bookmarkStart w:id="106" w:name="_Toc247691526"/>
      <w:bookmarkStart w:id="107" w:name="_Toc314842509"/>
      <w:bookmarkStart w:id="108" w:name="_Toc510009724"/>
      <w:r>
        <w:rPr>
          <w:lang w:eastAsia="en-AU"/>
        </w:rPr>
        <w:t>Risk m</w:t>
      </w:r>
      <w:r w:rsidR="008E7846">
        <w:rPr>
          <w:lang w:eastAsia="en-AU"/>
        </w:rPr>
        <w:t xml:space="preserve">anagement </w:t>
      </w:r>
      <w:r>
        <w:rPr>
          <w:lang w:eastAsia="en-AU"/>
        </w:rPr>
        <w:t>p</w:t>
      </w:r>
      <w:r w:rsidR="008E7846">
        <w:rPr>
          <w:lang w:eastAsia="en-AU"/>
        </w:rPr>
        <w:t>lan</w:t>
      </w:r>
      <w:bookmarkEnd w:id="106"/>
      <w:bookmarkEnd w:id="107"/>
      <w:bookmarkEnd w:id="108"/>
    </w:p>
    <w:p w:rsidR="00C65F34" w:rsidRDefault="001F1B51" w:rsidP="00CA02F7">
      <w:pPr>
        <w:pStyle w:val="ListBullet"/>
      </w:pPr>
      <w:bookmarkStart w:id="109" w:name="_Toc247691527"/>
      <w:bookmarkStart w:id="110" w:name="_Toc314842510"/>
      <w:r>
        <w:t>The sponsor</w:t>
      </w:r>
      <w:r w:rsidR="00C65F34">
        <w:t xml:space="preserve"> submitted </w:t>
      </w:r>
      <w:r>
        <w:t xml:space="preserve">a Risk Management Plan (RMP): </w:t>
      </w:r>
      <w:r w:rsidR="00C65F34">
        <w:t xml:space="preserve">EU-RMP version 1.5 (date not specified; </w:t>
      </w:r>
      <w:r w:rsidR="004F46B2">
        <w:t>data lock point (</w:t>
      </w:r>
      <w:r w:rsidR="00C65F34">
        <w:t>DLP</w:t>
      </w:r>
      <w:r w:rsidR="004F46B2">
        <w:t>)</w:t>
      </w:r>
      <w:r w:rsidR="00C65F34">
        <w:t xml:space="preserve"> 15 December 2014) and an undated </w:t>
      </w:r>
      <w:r w:rsidR="004F46B2">
        <w:t xml:space="preserve">Australian Specific Annex </w:t>
      </w:r>
      <w:r>
        <w:t>(</w:t>
      </w:r>
      <w:r w:rsidR="004F46B2">
        <w:t>(</w:t>
      </w:r>
      <w:r w:rsidR="00C65F34">
        <w:rPr>
          <w:spacing w:val="-3"/>
        </w:rPr>
        <w:t>ASA</w:t>
      </w:r>
      <w:r>
        <w:rPr>
          <w:spacing w:val="-3"/>
        </w:rPr>
        <w:t>)</w:t>
      </w:r>
      <w:r w:rsidR="004F46B2">
        <w:rPr>
          <w:spacing w:val="-3"/>
        </w:rPr>
        <w:t xml:space="preserve">; </w:t>
      </w:r>
      <w:r w:rsidR="00C65F34">
        <w:t xml:space="preserve">no version control identified) in support of this application. In the </w:t>
      </w:r>
      <w:r w:rsidR="004F46B2">
        <w:t>sponsor’s</w:t>
      </w:r>
      <w:r w:rsidR="00C65F34">
        <w:t xml:space="preserve"> response of 4 May 2017, the sponsor clarified the authorisation</w:t>
      </w:r>
      <w:r w:rsidR="00C65F34">
        <w:rPr>
          <w:spacing w:val="-5"/>
        </w:rPr>
        <w:t xml:space="preserve"> </w:t>
      </w:r>
      <w:r w:rsidR="00C65F34">
        <w:t>date</w:t>
      </w:r>
      <w:r w:rsidR="00C65F34">
        <w:rPr>
          <w:spacing w:val="-4"/>
        </w:rPr>
        <w:t xml:space="preserve"> </w:t>
      </w:r>
      <w:r w:rsidR="00C65F34">
        <w:t>of</w:t>
      </w:r>
      <w:r w:rsidR="00C65F34">
        <w:rPr>
          <w:spacing w:val="-5"/>
        </w:rPr>
        <w:t xml:space="preserve"> </w:t>
      </w:r>
      <w:r w:rsidR="00C65F34">
        <w:t>EU-RMP</w:t>
      </w:r>
      <w:r w:rsidR="00C65F34">
        <w:rPr>
          <w:spacing w:val="-5"/>
        </w:rPr>
        <w:t xml:space="preserve"> </w:t>
      </w:r>
      <w:r w:rsidR="00C65F34">
        <w:t>version</w:t>
      </w:r>
      <w:r w:rsidR="00C65F34">
        <w:rPr>
          <w:spacing w:val="-5"/>
        </w:rPr>
        <w:t xml:space="preserve"> </w:t>
      </w:r>
      <w:r w:rsidR="00C65F34">
        <w:t>1.5</w:t>
      </w:r>
      <w:r w:rsidR="00C65F34">
        <w:rPr>
          <w:spacing w:val="-5"/>
        </w:rPr>
        <w:t xml:space="preserve"> </w:t>
      </w:r>
      <w:r w:rsidR="00C65F34">
        <w:t>as</w:t>
      </w:r>
      <w:r w:rsidR="00C65F34">
        <w:rPr>
          <w:spacing w:val="-4"/>
        </w:rPr>
        <w:t xml:space="preserve"> </w:t>
      </w:r>
      <w:r w:rsidR="00C65F34">
        <w:t>20</w:t>
      </w:r>
      <w:r w:rsidR="00C65F34">
        <w:rPr>
          <w:spacing w:val="-5"/>
        </w:rPr>
        <w:t xml:space="preserve"> </w:t>
      </w:r>
      <w:r w:rsidR="00C65F34">
        <w:t>July</w:t>
      </w:r>
      <w:r w:rsidR="00C65F34">
        <w:rPr>
          <w:spacing w:val="-4"/>
        </w:rPr>
        <w:t xml:space="preserve"> </w:t>
      </w:r>
      <w:r w:rsidR="00C65F34">
        <w:t>2016,</w:t>
      </w:r>
      <w:r w:rsidR="00C65F34">
        <w:rPr>
          <w:spacing w:val="-5"/>
        </w:rPr>
        <w:t xml:space="preserve"> </w:t>
      </w:r>
      <w:r w:rsidR="00C65F34">
        <w:t>and</w:t>
      </w:r>
      <w:r w:rsidR="00C65F34">
        <w:rPr>
          <w:spacing w:val="-4"/>
        </w:rPr>
        <w:t xml:space="preserve"> </w:t>
      </w:r>
      <w:r w:rsidR="00C65F34">
        <w:t>provided</w:t>
      </w:r>
      <w:r w:rsidR="00C65F34">
        <w:rPr>
          <w:spacing w:val="-4"/>
        </w:rPr>
        <w:t xml:space="preserve"> </w:t>
      </w:r>
      <w:r w:rsidR="00C65F34">
        <w:rPr>
          <w:spacing w:val="-3"/>
        </w:rPr>
        <w:t>ASA</w:t>
      </w:r>
      <w:r w:rsidR="00C65F34">
        <w:rPr>
          <w:spacing w:val="-4"/>
        </w:rPr>
        <w:t xml:space="preserve"> </w:t>
      </w:r>
      <w:r w:rsidR="00C65F34">
        <w:t>version</w:t>
      </w:r>
      <w:r w:rsidR="00C65F34">
        <w:rPr>
          <w:spacing w:val="-5"/>
        </w:rPr>
        <w:t xml:space="preserve"> </w:t>
      </w:r>
      <w:r w:rsidR="00C65F34">
        <w:t>1.1 (dated 2 May 2017, DLP 15 December</w:t>
      </w:r>
      <w:r w:rsidR="00C65F34">
        <w:rPr>
          <w:spacing w:val="-7"/>
        </w:rPr>
        <w:t xml:space="preserve"> </w:t>
      </w:r>
      <w:r w:rsidR="00C65F34">
        <w:t>2014).</w:t>
      </w:r>
    </w:p>
    <w:p w:rsidR="00C65F34" w:rsidRDefault="00C65F34" w:rsidP="00CA02F7">
      <w:pPr>
        <w:pStyle w:val="ListBullet"/>
      </w:pPr>
      <w:r>
        <w:t xml:space="preserve">The proposed Summary of Safety Concerns and their associated risk </w:t>
      </w:r>
      <w:proofErr w:type="gramStart"/>
      <w:r>
        <w:t>monitoring</w:t>
      </w:r>
      <w:r w:rsidR="00815235">
        <w:t xml:space="preserve"> </w:t>
      </w:r>
      <w:r>
        <w:rPr>
          <w:spacing w:val="-36"/>
        </w:rPr>
        <w:t xml:space="preserve"> </w:t>
      </w:r>
      <w:r>
        <w:t>and</w:t>
      </w:r>
      <w:proofErr w:type="gramEnd"/>
      <w:r>
        <w:t xml:space="preserve"> mitigation strategies are summarised</w:t>
      </w:r>
      <w:r>
        <w:rPr>
          <w:spacing w:val="-4"/>
        </w:rPr>
        <w:t xml:space="preserve"> </w:t>
      </w:r>
      <w:r>
        <w:t>below</w:t>
      </w:r>
      <w:r w:rsidR="001A30C2">
        <w:t xml:space="preserve"> </w:t>
      </w:r>
      <w:r w:rsidR="001F1B51">
        <w:t xml:space="preserve">in </w:t>
      </w:r>
      <w:r w:rsidR="001A30C2">
        <w:t xml:space="preserve">Table </w:t>
      </w:r>
      <w:r w:rsidR="007B3A1B">
        <w:t>2</w:t>
      </w:r>
      <w:r w:rsidR="00AC04B2">
        <w:t>1</w:t>
      </w:r>
      <w:r w:rsidR="001F1B51">
        <w:t>.</w:t>
      </w:r>
    </w:p>
    <w:p w:rsidR="004F46B2" w:rsidRDefault="007B3A1B" w:rsidP="004F46B2">
      <w:pPr>
        <w:pStyle w:val="Tabletitle0"/>
      </w:pPr>
      <w:r>
        <w:t>Table 2</w:t>
      </w:r>
      <w:r w:rsidR="00AC04B2">
        <w:t>1</w:t>
      </w:r>
      <w:r w:rsidR="004F46B2">
        <w:t>: Summary of ongoing safety concerns</w:t>
      </w:r>
    </w:p>
    <w:tbl>
      <w:tblPr>
        <w:tblW w:w="8773" w:type="dxa"/>
        <w:tblInd w:w="163" w:type="dxa"/>
        <w:tblLayout w:type="fixed"/>
        <w:tblCellMar>
          <w:left w:w="0" w:type="dxa"/>
          <w:right w:w="0" w:type="dxa"/>
        </w:tblCellMar>
        <w:tblLook w:val="0000" w:firstRow="0" w:lastRow="0" w:firstColumn="0" w:lastColumn="0" w:noHBand="0" w:noVBand="0"/>
      </w:tblPr>
      <w:tblGrid>
        <w:gridCol w:w="1327"/>
        <w:gridCol w:w="3335"/>
        <w:gridCol w:w="992"/>
        <w:gridCol w:w="992"/>
        <w:gridCol w:w="1134"/>
        <w:gridCol w:w="993"/>
      </w:tblGrid>
      <w:tr w:rsidR="00CA02F7" w:rsidRPr="00CA02F7" w:rsidTr="003C49D9">
        <w:trPr>
          <w:cantSplit/>
          <w:trHeight w:val="262"/>
          <w:tblHeader/>
        </w:trPr>
        <w:tc>
          <w:tcPr>
            <w:tcW w:w="4662"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tcPr>
          <w:p w:rsidR="00C65F34" w:rsidRPr="00CA02F7" w:rsidRDefault="00C65F34" w:rsidP="004C57B8">
            <w:pPr>
              <w:jc w:val="center"/>
              <w:rPr>
                <w:b/>
                <w:color w:val="FFFFFF" w:themeColor="background1"/>
                <w:sz w:val="18"/>
                <w:szCs w:val="18"/>
              </w:rPr>
            </w:pPr>
            <w:r w:rsidRPr="00543B66">
              <w:rPr>
                <w:b/>
                <w:color w:val="FFFFFF" w:themeColor="background1"/>
                <w:sz w:val="21"/>
                <w:szCs w:val="18"/>
              </w:rPr>
              <w:t>Summary of safety concerns</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0070C0"/>
          </w:tcPr>
          <w:p w:rsidR="00C65F34" w:rsidRPr="00543B66" w:rsidRDefault="00C65F34" w:rsidP="004C57B8">
            <w:pPr>
              <w:jc w:val="center"/>
              <w:rPr>
                <w:b/>
                <w:color w:val="FFFFFF" w:themeColor="background1"/>
                <w:sz w:val="21"/>
                <w:szCs w:val="18"/>
              </w:rPr>
            </w:pPr>
            <w:r w:rsidRPr="00543B66">
              <w:rPr>
                <w:b/>
                <w:color w:val="FFFFFF" w:themeColor="background1"/>
                <w:sz w:val="21"/>
                <w:szCs w:val="18"/>
              </w:rPr>
              <w:t>Pharmacovigilance</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0070C0"/>
          </w:tcPr>
          <w:p w:rsidR="00C65F34" w:rsidRPr="00543B66" w:rsidRDefault="00C65F34" w:rsidP="004C57B8">
            <w:pPr>
              <w:jc w:val="center"/>
              <w:rPr>
                <w:b/>
                <w:color w:val="FFFFFF" w:themeColor="background1"/>
                <w:sz w:val="21"/>
                <w:szCs w:val="18"/>
              </w:rPr>
            </w:pPr>
            <w:r w:rsidRPr="00543B66">
              <w:rPr>
                <w:b/>
                <w:color w:val="FFFFFF" w:themeColor="background1"/>
                <w:sz w:val="21"/>
                <w:szCs w:val="18"/>
              </w:rPr>
              <w:t>Risk Minimisation</w:t>
            </w:r>
          </w:p>
        </w:tc>
      </w:tr>
      <w:tr w:rsidR="00CA02F7" w:rsidRPr="00CA02F7" w:rsidTr="003C49D9">
        <w:trPr>
          <w:cantSplit/>
          <w:trHeight w:val="261"/>
          <w:tblHeader/>
        </w:trPr>
        <w:tc>
          <w:tcPr>
            <w:tcW w:w="4662" w:type="dxa"/>
            <w:gridSpan w:val="2"/>
            <w:vMerge/>
            <w:tcBorders>
              <w:top w:val="nil"/>
              <w:left w:val="single" w:sz="4" w:space="0" w:color="000000"/>
              <w:bottom w:val="single" w:sz="4" w:space="0" w:color="000000"/>
              <w:right w:val="single" w:sz="4" w:space="0" w:color="000000"/>
            </w:tcBorders>
            <w:shd w:val="clear" w:color="auto" w:fill="0070C0"/>
          </w:tcPr>
          <w:p w:rsidR="00C65F34" w:rsidRPr="00CA02F7" w:rsidRDefault="00C65F34" w:rsidP="004C57B8">
            <w:pPr>
              <w:jc w:val="center"/>
              <w:rPr>
                <w:b/>
                <w:color w:val="FFFFFF" w:themeColor="background1"/>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0070C0"/>
          </w:tcPr>
          <w:p w:rsidR="00C65F34" w:rsidRPr="00CA02F7" w:rsidRDefault="00C65F34" w:rsidP="004C57B8">
            <w:pPr>
              <w:jc w:val="center"/>
              <w:rPr>
                <w:b/>
                <w:color w:val="FFFFFF" w:themeColor="background1"/>
                <w:sz w:val="18"/>
                <w:szCs w:val="18"/>
              </w:rPr>
            </w:pPr>
            <w:r w:rsidRPr="00CA02F7">
              <w:rPr>
                <w:b/>
                <w:color w:val="FFFFFF" w:themeColor="background1"/>
                <w:sz w:val="18"/>
                <w:szCs w:val="18"/>
              </w:rPr>
              <w:t>Routine</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Pr>
          <w:p w:rsidR="00C65F34" w:rsidRPr="00CA02F7" w:rsidRDefault="00C65F34" w:rsidP="004C57B8">
            <w:pPr>
              <w:jc w:val="center"/>
              <w:rPr>
                <w:b/>
                <w:color w:val="FFFFFF" w:themeColor="background1"/>
                <w:sz w:val="18"/>
                <w:szCs w:val="18"/>
              </w:rPr>
            </w:pPr>
            <w:r w:rsidRPr="00CA02F7">
              <w:rPr>
                <w:b/>
                <w:color w:val="FFFFFF" w:themeColor="background1"/>
                <w:sz w:val="18"/>
                <w:szCs w:val="18"/>
              </w:rPr>
              <w:t>Additional</w:t>
            </w:r>
          </w:p>
        </w:tc>
        <w:tc>
          <w:tcPr>
            <w:tcW w:w="1134" w:type="dxa"/>
            <w:tcBorders>
              <w:top w:val="single" w:sz="4" w:space="0" w:color="000000"/>
              <w:left w:val="single" w:sz="4" w:space="0" w:color="000000"/>
              <w:bottom w:val="single" w:sz="4" w:space="0" w:color="000000"/>
              <w:right w:val="single" w:sz="4" w:space="0" w:color="000000"/>
            </w:tcBorders>
            <w:shd w:val="clear" w:color="auto" w:fill="0070C0"/>
          </w:tcPr>
          <w:p w:rsidR="00C65F34" w:rsidRPr="00CA02F7" w:rsidRDefault="00C65F34" w:rsidP="004C57B8">
            <w:pPr>
              <w:jc w:val="center"/>
              <w:rPr>
                <w:b/>
                <w:color w:val="FFFFFF" w:themeColor="background1"/>
                <w:sz w:val="18"/>
                <w:szCs w:val="18"/>
              </w:rPr>
            </w:pPr>
            <w:r w:rsidRPr="00CA02F7">
              <w:rPr>
                <w:b/>
                <w:color w:val="FFFFFF" w:themeColor="background1"/>
                <w:sz w:val="18"/>
                <w:szCs w:val="18"/>
              </w:rPr>
              <w:t>Routine</w:t>
            </w:r>
          </w:p>
        </w:tc>
        <w:tc>
          <w:tcPr>
            <w:tcW w:w="993" w:type="dxa"/>
            <w:tcBorders>
              <w:top w:val="single" w:sz="4" w:space="0" w:color="000000"/>
              <w:left w:val="single" w:sz="4" w:space="0" w:color="000000"/>
              <w:bottom w:val="single" w:sz="4" w:space="0" w:color="000000"/>
              <w:right w:val="single" w:sz="4" w:space="0" w:color="000000"/>
            </w:tcBorders>
            <w:shd w:val="clear" w:color="auto" w:fill="0070C0"/>
          </w:tcPr>
          <w:p w:rsidR="00C65F34" w:rsidRPr="00CA02F7" w:rsidRDefault="00C65F34" w:rsidP="004C57B8">
            <w:pPr>
              <w:jc w:val="center"/>
              <w:rPr>
                <w:b/>
                <w:color w:val="FFFFFF" w:themeColor="background1"/>
                <w:sz w:val="18"/>
                <w:szCs w:val="18"/>
              </w:rPr>
            </w:pPr>
            <w:r w:rsidRPr="00CA02F7">
              <w:rPr>
                <w:b/>
                <w:color w:val="FFFFFF" w:themeColor="background1"/>
                <w:sz w:val="18"/>
                <w:szCs w:val="18"/>
              </w:rPr>
              <w:t>Additional</w:t>
            </w:r>
          </w:p>
        </w:tc>
      </w:tr>
      <w:tr w:rsidR="00C65F34" w:rsidRPr="00CA02F7" w:rsidTr="003C49D9">
        <w:trPr>
          <w:trHeight w:val="283"/>
        </w:trPr>
        <w:tc>
          <w:tcPr>
            <w:tcW w:w="1327" w:type="dxa"/>
            <w:vMerge w:val="restart"/>
            <w:tcBorders>
              <w:top w:val="single" w:sz="4" w:space="0" w:color="000000"/>
              <w:left w:val="single" w:sz="4" w:space="0" w:color="000000"/>
              <w:bottom w:val="single" w:sz="4" w:space="0" w:color="000000"/>
              <w:right w:val="single" w:sz="4" w:space="0" w:color="000000"/>
            </w:tcBorders>
          </w:tcPr>
          <w:p w:rsidR="00C65F34" w:rsidRPr="004F46B2" w:rsidRDefault="00C65F34" w:rsidP="004C57B8">
            <w:pPr>
              <w:jc w:val="center"/>
              <w:rPr>
                <w:b/>
                <w:sz w:val="18"/>
                <w:szCs w:val="18"/>
              </w:rPr>
            </w:pPr>
            <w:r w:rsidRPr="004F46B2">
              <w:rPr>
                <w:b/>
                <w:sz w:val="18"/>
                <w:szCs w:val="18"/>
              </w:rPr>
              <w:t>Important identified risks</w:t>
            </w:r>
          </w:p>
        </w:tc>
        <w:tc>
          <w:tcPr>
            <w:tcW w:w="3335" w:type="dxa"/>
            <w:tcBorders>
              <w:top w:val="single" w:sz="4"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Decreased GI motility shown as constipation</w:t>
            </w:r>
          </w:p>
        </w:tc>
        <w:tc>
          <w:tcPr>
            <w:tcW w:w="992"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c>
          <w:tcPr>
            <w:tcW w:w="1134"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1089"/>
        </w:trPr>
        <w:tc>
          <w:tcPr>
            <w:tcW w:w="1327" w:type="dxa"/>
            <w:vMerge/>
            <w:tcBorders>
              <w:top w:val="nil"/>
              <w:left w:val="single" w:sz="4" w:space="0" w:color="000000"/>
              <w:bottom w:val="single" w:sz="4" w:space="0" w:color="000000"/>
              <w:right w:val="single" w:sz="4" w:space="0" w:color="000000"/>
            </w:tcBorders>
          </w:tcPr>
          <w:p w:rsidR="00C65F34" w:rsidRPr="004F46B2" w:rsidRDefault="00C65F34" w:rsidP="004C57B8">
            <w:pPr>
              <w:jc w:val="center"/>
              <w:rPr>
                <w:b/>
                <w:sz w:val="18"/>
                <w:szCs w:val="18"/>
              </w:rPr>
            </w:pPr>
          </w:p>
        </w:tc>
        <w:tc>
          <w:tcPr>
            <w:tcW w:w="3335" w:type="dxa"/>
            <w:tcBorders>
              <w:top w:val="dotted" w:sz="2" w:space="0" w:color="000000"/>
              <w:left w:val="single" w:sz="4" w:space="0" w:color="000000"/>
              <w:bottom w:val="single" w:sz="4" w:space="0" w:color="000000"/>
              <w:right w:val="single" w:sz="4" w:space="0" w:color="000000"/>
            </w:tcBorders>
          </w:tcPr>
          <w:p w:rsidR="00C65F34" w:rsidRPr="00543B66" w:rsidRDefault="00C65F34" w:rsidP="00543B66">
            <w:pPr>
              <w:rPr>
                <w:sz w:val="20"/>
                <w:szCs w:val="18"/>
              </w:rPr>
            </w:pPr>
            <w:r w:rsidRPr="00543B66">
              <w:rPr>
                <w:sz w:val="20"/>
                <w:szCs w:val="18"/>
              </w:rPr>
              <w:t>S</w:t>
            </w:r>
            <w:r w:rsidR="00B05B61" w:rsidRPr="00543B66">
              <w:rPr>
                <w:sz w:val="20"/>
                <w:szCs w:val="18"/>
              </w:rPr>
              <w:t>phincter of Oddi (S</w:t>
            </w:r>
            <w:r w:rsidRPr="00543B66">
              <w:rPr>
                <w:sz w:val="20"/>
                <w:szCs w:val="18"/>
              </w:rPr>
              <w:t>O</w:t>
            </w:r>
            <w:r w:rsidR="00B05B61" w:rsidRPr="00543B66">
              <w:rPr>
                <w:sz w:val="20"/>
                <w:szCs w:val="18"/>
              </w:rPr>
              <w:t>)</w:t>
            </w:r>
            <w:r w:rsidRPr="00543B66">
              <w:rPr>
                <w:sz w:val="20"/>
                <w:szCs w:val="18"/>
              </w:rPr>
              <w:t xml:space="preserve"> spasm:</w:t>
            </w:r>
          </w:p>
          <w:p w:rsidR="00C65F34" w:rsidRPr="00543B66" w:rsidRDefault="00C65F34" w:rsidP="00543B66">
            <w:pPr>
              <w:pStyle w:val="ListBullet"/>
              <w:rPr>
                <w:sz w:val="20"/>
              </w:rPr>
            </w:pPr>
            <w:r w:rsidRPr="00543B66">
              <w:rPr>
                <w:sz w:val="20"/>
              </w:rPr>
              <w:t>Pancreatitis</w:t>
            </w:r>
          </w:p>
          <w:p w:rsidR="00C65F34" w:rsidRPr="00543B66" w:rsidRDefault="00C65F34" w:rsidP="00543B66">
            <w:pPr>
              <w:pStyle w:val="ListBullet"/>
            </w:pPr>
            <w:r w:rsidRPr="00543B66">
              <w:rPr>
                <w:sz w:val="20"/>
              </w:rPr>
              <w:t>Hepatic enzyme elevations</w:t>
            </w:r>
            <w:r w:rsidRPr="00543B66">
              <w:rPr>
                <w:spacing w:val="-20"/>
                <w:sz w:val="20"/>
              </w:rPr>
              <w:t xml:space="preserve"> </w:t>
            </w:r>
            <w:r w:rsidRPr="00543B66">
              <w:rPr>
                <w:sz w:val="20"/>
              </w:rPr>
              <w:t>associated with biliary-type</w:t>
            </w:r>
            <w:r w:rsidRPr="00543B66">
              <w:rPr>
                <w:spacing w:val="-2"/>
                <w:sz w:val="20"/>
              </w:rPr>
              <w:t xml:space="preserve"> </w:t>
            </w:r>
            <w:r w:rsidRPr="00543B66">
              <w:rPr>
                <w:sz w:val="20"/>
              </w:rPr>
              <w:t>pain</w:t>
            </w:r>
          </w:p>
        </w:tc>
        <w:tc>
          <w:tcPr>
            <w:tcW w:w="992"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sz w:val="18"/>
                <w:szCs w:val="18"/>
              </w:rPr>
            </w:pPr>
            <w:r w:rsidRPr="00CA02F7">
              <w:rPr>
                <w:rFonts w:ascii="Wingdings" w:hAnsi="Wingdings" w:cs="Wingdings"/>
                <w:sz w:val="18"/>
                <w:szCs w:val="18"/>
              </w:rPr>
              <w:t></w:t>
            </w:r>
            <w:r w:rsidRPr="00CA02F7">
              <w:rPr>
                <w:sz w:val="18"/>
                <w:szCs w:val="18"/>
              </w:rPr>
              <w:t>*</w:t>
            </w:r>
          </w:p>
        </w:tc>
        <w:tc>
          <w:tcPr>
            <w:tcW w:w="992"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sz w:val="18"/>
                <w:szCs w:val="18"/>
              </w:rPr>
            </w:pPr>
            <w:r w:rsidRPr="00CA02F7">
              <w:rPr>
                <w:sz w:val="18"/>
                <w:szCs w:val="18"/>
              </w:rPr>
              <w:t>–</w:t>
            </w:r>
          </w:p>
        </w:tc>
        <w:tc>
          <w:tcPr>
            <w:tcW w:w="1134"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sz w:val="18"/>
                <w:szCs w:val="18"/>
              </w:rPr>
            </w:pPr>
            <w:r w:rsidRPr="00CA02F7">
              <w:rPr>
                <w:sz w:val="18"/>
                <w:szCs w:val="18"/>
              </w:rPr>
              <w:t>–</w:t>
            </w:r>
          </w:p>
        </w:tc>
      </w:tr>
      <w:tr w:rsidR="00C65F34" w:rsidRPr="00CA02F7" w:rsidTr="003C49D9">
        <w:trPr>
          <w:trHeight w:val="1021"/>
        </w:trPr>
        <w:tc>
          <w:tcPr>
            <w:tcW w:w="1327" w:type="dxa"/>
            <w:vMerge w:val="restart"/>
            <w:tcBorders>
              <w:top w:val="single" w:sz="4" w:space="0" w:color="000000"/>
              <w:left w:val="single" w:sz="4" w:space="0" w:color="000000"/>
              <w:bottom w:val="single" w:sz="4" w:space="0" w:color="000000"/>
              <w:right w:val="single" w:sz="4" w:space="0" w:color="000000"/>
            </w:tcBorders>
          </w:tcPr>
          <w:p w:rsidR="00C65F34" w:rsidRPr="004F46B2" w:rsidRDefault="00C65F34" w:rsidP="004C57B8">
            <w:pPr>
              <w:jc w:val="center"/>
              <w:rPr>
                <w:b/>
                <w:sz w:val="18"/>
                <w:szCs w:val="18"/>
              </w:rPr>
            </w:pPr>
            <w:r w:rsidRPr="004F46B2">
              <w:rPr>
                <w:b/>
                <w:sz w:val="18"/>
                <w:szCs w:val="18"/>
              </w:rPr>
              <w:t>Important potential risks</w:t>
            </w:r>
          </w:p>
        </w:tc>
        <w:tc>
          <w:tcPr>
            <w:tcW w:w="3335" w:type="dxa"/>
            <w:tcBorders>
              <w:top w:val="single" w:sz="4"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Potential complications of decreased GI motility (</w:t>
            </w:r>
            <w:r w:rsidR="001F1B51">
              <w:rPr>
                <w:sz w:val="20"/>
                <w:szCs w:val="18"/>
              </w:rPr>
              <w:t xml:space="preserve">for example, </w:t>
            </w:r>
            <w:r w:rsidRPr="00543B66">
              <w:rPr>
                <w:sz w:val="20"/>
                <w:szCs w:val="18"/>
              </w:rPr>
              <w:t xml:space="preserve">serious </w:t>
            </w:r>
            <w:r w:rsidR="0008268B">
              <w:rPr>
                <w:sz w:val="20"/>
                <w:szCs w:val="18"/>
              </w:rPr>
              <w:t>faecal impaction</w:t>
            </w:r>
            <w:r w:rsidRPr="00543B66">
              <w:rPr>
                <w:sz w:val="20"/>
                <w:szCs w:val="18"/>
              </w:rPr>
              <w:t>, obstruction, ileus, secondary</w:t>
            </w:r>
            <w:r w:rsidR="001F1B51">
              <w:rPr>
                <w:sz w:val="20"/>
                <w:szCs w:val="18"/>
              </w:rPr>
              <w:t xml:space="preserve"> </w:t>
            </w:r>
            <w:r w:rsidRPr="00543B66">
              <w:rPr>
                <w:sz w:val="20"/>
                <w:szCs w:val="18"/>
              </w:rPr>
              <w:t xml:space="preserve">bowel ischemia, intestinal ulceration/perforation, or </w:t>
            </w:r>
            <w:r w:rsidR="0008268B">
              <w:rPr>
                <w:sz w:val="20"/>
                <w:szCs w:val="18"/>
              </w:rPr>
              <w:t>toxic megacolon</w:t>
            </w:r>
            <w:r w:rsidRPr="00543B66">
              <w:rPr>
                <w:sz w:val="20"/>
                <w:szCs w:val="18"/>
              </w:rPr>
              <w:t>)</w:t>
            </w:r>
          </w:p>
        </w:tc>
        <w:tc>
          <w:tcPr>
            <w:tcW w:w="992"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sz w:val="18"/>
                <w:szCs w:val="18"/>
              </w:rPr>
            </w:pPr>
            <w:r w:rsidRPr="00CA02F7">
              <w:rPr>
                <w:rFonts w:ascii="Wingdings" w:hAnsi="Wingdings" w:cs="Wingdings"/>
                <w:sz w:val="18"/>
                <w:szCs w:val="18"/>
              </w:rPr>
              <w:t></w:t>
            </w:r>
            <w:r w:rsidRPr="00CA02F7">
              <w:rPr>
                <w:sz w:val="18"/>
                <w:szCs w:val="18"/>
              </w:rPr>
              <w:t>*</w:t>
            </w:r>
          </w:p>
        </w:tc>
        <w:tc>
          <w:tcPr>
            <w:tcW w:w="992"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sz w:val="18"/>
                <w:szCs w:val="18"/>
              </w:rPr>
            </w:pPr>
            <w:r w:rsidRPr="00CA02F7">
              <w:rPr>
                <w:sz w:val="18"/>
                <w:szCs w:val="18"/>
              </w:rPr>
              <w:t>–</w:t>
            </w:r>
          </w:p>
        </w:tc>
        <w:tc>
          <w:tcPr>
            <w:tcW w:w="1134"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sz w:val="18"/>
                <w:szCs w:val="18"/>
              </w:rPr>
            </w:pPr>
            <w:r w:rsidRPr="00CA02F7">
              <w:rPr>
                <w:sz w:val="18"/>
                <w:szCs w:val="18"/>
              </w:rPr>
              <w:t>–</w:t>
            </w:r>
          </w:p>
        </w:tc>
      </w:tr>
      <w:tr w:rsidR="00C65F34" w:rsidRPr="00CA02F7" w:rsidTr="003C49D9">
        <w:trPr>
          <w:trHeight w:val="286"/>
        </w:trPr>
        <w:tc>
          <w:tcPr>
            <w:tcW w:w="1327" w:type="dxa"/>
            <w:vMerge/>
            <w:tcBorders>
              <w:top w:val="nil"/>
              <w:left w:val="single" w:sz="4" w:space="0" w:color="000000"/>
              <w:bottom w:val="single" w:sz="4" w:space="0" w:color="000000"/>
              <w:right w:val="single" w:sz="4" w:space="0" w:color="000000"/>
            </w:tcBorders>
          </w:tcPr>
          <w:p w:rsidR="00C65F34" w:rsidRPr="004F46B2" w:rsidRDefault="00C65F34" w:rsidP="004C57B8">
            <w:pPr>
              <w:jc w:val="center"/>
              <w:rPr>
                <w:b/>
                <w:sz w:val="18"/>
                <w:szCs w:val="18"/>
              </w:rPr>
            </w:pPr>
          </w:p>
        </w:tc>
        <w:tc>
          <w:tcPr>
            <w:tcW w:w="3335" w:type="dxa"/>
            <w:tcBorders>
              <w:top w:val="dotted" w:sz="2"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 xml:space="preserve">Pancreatitis independent of </w:t>
            </w:r>
            <w:r w:rsidR="0008268B">
              <w:rPr>
                <w:sz w:val="20"/>
                <w:szCs w:val="18"/>
              </w:rPr>
              <w:t>sphincter of Oddi</w:t>
            </w:r>
            <w:r w:rsidR="0008268B" w:rsidRPr="00543B66">
              <w:rPr>
                <w:sz w:val="20"/>
                <w:szCs w:val="18"/>
              </w:rPr>
              <w:t xml:space="preserve"> </w:t>
            </w:r>
            <w:r w:rsidRPr="00543B66">
              <w:rPr>
                <w:sz w:val="20"/>
                <w:szCs w:val="18"/>
              </w:rPr>
              <w:t>spasm</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rFonts w:ascii="Wingdings" w:hAnsi="Wingdings" w:cs="Wingdings"/>
                <w:sz w:val="18"/>
                <w:szCs w:val="18"/>
              </w:rPr>
              <w:t></w:t>
            </w:r>
            <w:r w:rsidRPr="00CA02F7">
              <w:rPr>
                <w:sz w:val="18"/>
                <w:szCs w:val="18"/>
              </w:rPr>
              <w:t>*</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c>
          <w:tcPr>
            <w:tcW w:w="1134"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286"/>
        </w:trPr>
        <w:tc>
          <w:tcPr>
            <w:tcW w:w="1327" w:type="dxa"/>
            <w:vMerge/>
            <w:tcBorders>
              <w:top w:val="nil"/>
              <w:left w:val="single" w:sz="4" w:space="0" w:color="000000"/>
              <w:bottom w:val="single" w:sz="4" w:space="0" w:color="000000"/>
              <w:right w:val="single" w:sz="4" w:space="0" w:color="000000"/>
            </w:tcBorders>
          </w:tcPr>
          <w:p w:rsidR="00C65F34" w:rsidRPr="004F46B2" w:rsidRDefault="00C65F34" w:rsidP="004C57B8">
            <w:pPr>
              <w:jc w:val="center"/>
              <w:rPr>
                <w:b/>
                <w:sz w:val="18"/>
                <w:szCs w:val="18"/>
              </w:rPr>
            </w:pPr>
          </w:p>
        </w:tc>
        <w:tc>
          <w:tcPr>
            <w:tcW w:w="3335" w:type="dxa"/>
            <w:tcBorders>
              <w:top w:val="dotted" w:sz="2"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Asthma exacerbation</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c>
          <w:tcPr>
            <w:tcW w:w="1134"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286"/>
        </w:trPr>
        <w:tc>
          <w:tcPr>
            <w:tcW w:w="1327" w:type="dxa"/>
            <w:vMerge/>
            <w:tcBorders>
              <w:top w:val="nil"/>
              <w:left w:val="single" w:sz="4" w:space="0" w:color="000000"/>
              <w:bottom w:val="single" w:sz="4" w:space="0" w:color="000000"/>
              <w:right w:val="single" w:sz="4" w:space="0" w:color="000000"/>
            </w:tcBorders>
          </w:tcPr>
          <w:p w:rsidR="00C65F34" w:rsidRPr="004F46B2" w:rsidRDefault="00C65F34" w:rsidP="004C57B8">
            <w:pPr>
              <w:jc w:val="center"/>
              <w:rPr>
                <w:b/>
                <w:sz w:val="18"/>
                <w:szCs w:val="18"/>
              </w:rPr>
            </w:pPr>
          </w:p>
        </w:tc>
        <w:tc>
          <w:tcPr>
            <w:tcW w:w="3335" w:type="dxa"/>
            <w:tcBorders>
              <w:top w:val="dotted" w:sz="2"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Abuse</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c>
          <w:tcPr>
            <w:tcW w:w="1134"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286"/>
        </w:trPr>
        <w:tc>
          <w:tcPr>
            <w:tcW w:w="1327" w:type="dxa"/>
            <w:vMerge/>
            <w:tcBorders>
              <w:top w:val="nil"/>
              <w:left w:val="single" w:sz="4" w:space="0" w:color="000000"/>
              <w:bottom w:val="single" w:sz="4" w:space="0" w:color="000000"/>
              <w:right w:val="single" w:sz="4" w:space="0" w:color="000000"/>
            </w:tcBorders>
          </w:tcPr>
          <w:p w:rsidR="00C65F34" w:rsidRPr="004F46B2" w:rsidRDefault="00C65F34" w:rsidP="004C57B8">
            <w:pPr>
              <w:jc w:val="center"/>
              <w:rPr>
                <w:b/>
                <w:sz w:val="18"/>
                <w:szCs w:val="18"/>
              </w:rPr>
            </w:pPr>
          </w:p>
        </w:tc>
        <w:tc>
          <w:tcPr>
            <w:tcW w:w="3335" w:type="dxa"/>
            <w:tcBorders>
              <w:top w:val="dotted" w:sz="2"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 xml:space="preserve">Use in patients </w:t>
            </w:r>
            <w:r w:rsidR="00E124D1" w:rsidRPr="00543B66">
              <w:rPr>
                <w:sz w:val="20"/>
                <w:szCs w:val="18"/>
              </w:rPr>
              <w:t>≥</w:t>
            </w:r>
            <w:r w:rsidR="00785F4E" w:rsidRPr="00543B66">
              <w:rPr>
                <w:sz w:val="20"/>
                <w:szCs w:val="18"/>
              </w:rPr>
              <w:t xml:space="preserve"> </w:t>
            </w:r>
            <w:r w:rsidRPr="00543B66">
              <w:rPr>
                <w:sz w:val="20"/>
                <w:szCs w:val="18"/>
              </w:rPr>
              <w:t>65 years of age</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c>
          <w:tcPr>
            <w:tcW w:w="1134"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780"/>
        </w:trPr>
        <w:tc>
          <w:tcPr>
            <w:tcW w:w="1327" w:type="dxa"/>
            <w:vMerge/>
            <w:tcBorders>
              <w:top w:val="nil"/>
              <w:left w:val="single" w:sz="4" w:space="0" w:color="000000"/>
              <w:bottom w:val="single" w:sz="4" w:space="0" w:color="000000"/>
              <w:right w:val="single" w:sz="4" w:space="0" w:color="000000"/>
            </w:tcBorders>
          </w:tcPr>
          <w:p w:rsidR="00C65F34" w:rsidRPr="004F46B2" w:rsidRDefault="00C65F34" w:rsidP="004C57B8">
            <w:pPr>
              <w:jc w:val="center"/>
              <w:rPr>
                <w:b/>
                <w:sz w:val="18"/>
                <w:szCs w:val="18"/>
              </w:rPr>
            </w:pPr>
          </w:p>
        </w:tc>
        <w:tc>
          <w:tcPr>
            <w:tcW w:w="3335" w:type="dxa"/>
            <w:tcBorders>
              <w:top w:val="dotted" w:sz="2" w:space="0" w:color="000000"/>
              <w:left w:val="single" w:sz="4" w:space="0" w:color="000000"/>
              <w:bottom w:val="single" w:sz="4" w:space="0" w:color="000000"/>
              <w:right w:val="single" w:sz="4" w:space="0" w:color="000000"/>
            </w:tcBorders>
          </w:tcPr>
          <w:p w:rsidR="00C65F34" w:rsidRPr="00543B66" w:rsidRDefault="00C65F34" w:rsidP="00543B66">
            <w:pPr>
              <w:rPr>
                <w:sz w:val="20"/>
                <w:szCs w:val="18"/>
              </w:rPr>
            </w:pPr>
            <w:r w:rsidRPr="00543B66">
              <w:rPr>
                <w:sz w:val="20"/>
                <w:szCs w:val="18"/>
              </w:rPr>
              <w:t>CNS effects as a result of extended systemic exposure in patients with hepatic impairment or concomitant treatment with OATP1B1 inhibitors</w:t>
            </w:r>
          </w:p>
        </w:tc>
        <w:tc>
          <w:tcPr>
            <w:tcW w:w="992"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sz w:val="18"/>
                <w:szCs w:val="18"/>
              </w:rPr>
            </w:pPr>
            <w:r w:rsidRPr="00CA02F7">
              <w:rPr>
                <w:sz w:val="18"/>
                <w:szCs w:val="18"/>
              </w:rPr>
              <w:t>–</w:t>
            </w:r>
          </w:p>
        </w:tc>
        <w:tc>
          <w:tcPr>
            <w:tcW w:w="1134"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p w:rsidR="00C65F34" w:rsidRPr="00CA02F7" w:rsidRDefault="00C65F34" w:rsidP="004C57B8">
            <w:pPr>
              <w:jc w:val="center"/>
              <w:rPr>
                <w:sz w:val="18"/>
                <w:szCs w:val="18"/>
              </w:rPr>
            </w:pPr>
            <w:r w:rsidRPr="00CA02F7">
              <w:rPr>
                <w:sz w:val="18"/>
                <w:szCs w:val="18"/>
              </w:rPr>
              <w:t>–</w:t>
            </w:r>
          </w:p>
        </w:tc>
      </w:tr>
      <w:tr w:rsidR="00C65F34" w:rsidRPr="00CA02F7" w:rsidTr="003C49D9">
        <w:trPr>
          <w:trHeight w:val="284"/>
        </w:trPr>
        <w:tc>
          <w:tcPr>
            <w:tcW w:w="1327" w:type="dxa"/>
            <w:vMerge w:val="restart"/>
            <w:tcBorders>
              <w:top w:val="single" w:sz="4" w:space="0" w:color="000000"/>
              <w:left w:val="single" w:sz="4" w:space="0" w:color="000000"/>
              <w:bottom w:val="single" w:sz="4" w:space="0" w:color="000000"/>
              <w:right w:val="single" w:sz="4" w:space="0" w:color="000000"/>
            </w:tcBorders>
          </w:tcPr>
          <w:p w:rsidR="00C65F34" w:rsidRPr="004F46B2" w:rsidRDefault="00C65F34" w:rsidP="004C57B8">
            <w:pPr>
              <w:jc w:val="center"/>
              <w:rPr>
                <w:b/>
                <w:sz w:val="18"/>
                <w:szCs w:val="18"/>
              </w:rPr>
            </w:pPr>
            <w:r w:rsidRPr="004F46B2">
              <w:rPr>
                <w:b/>
                <w:sz w:val="18"/>
                <w:szCs w:val="18"/>
              </w:rPr>
              <w:t>Missing information</w:t>
            </w:r>
          </w:p>
        </w:tc>
        <w:tc>
          <w:tcPr>
            <w:tcW w:w="3335" w:type="dxa"/>
            <w:tcBorders>
              <w:top w:val="single" w:sz="4"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Use in the paediatric population</w:t>
            </w:r>
          </w:p>
        </w:tc>
        <w:tc>
          <w:tcPr>
            <w:tcW w:w="992"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c>
          <w:tcPr>
            <w:tcW w:w="1134"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single" w:sz="4"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285"/>
        </w:trPr>
        <w:tc>
          <w:tcPr>
            <w:tcW w:w="1327" w:type="dxa"/>
            <w:vMerge/>
            <w:tcBorders>
              <w:top w:val="nil"/>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tc>
        <w:tc>
          <w:tcPr>
            <w:tcW w:w="3335" w:type="dxa"/>
            <w:tcBorders>
              <w:top w:val="dotted" w:sz="2"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Use in pregnancy and lactation</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c>
          <w:tcPr>
            <w:tcW w:w="1134"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286"/>
        </w:trPr>
        <w:tc>
          <w:tcPr>
            <w:tcW w:w="1327" w:type="dxa"/>
            <w:vMerge/>
            <w:tcBorders>
              <w:top w:val="nil"/>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tc>
        <w:tc>
          <w:tcPr>
            <w:tcW w:w="3335" w:type="dxa"/>
            <w:tcBorders>
              <w:top w:val="dotted" w:sz="2"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Use in patients with renal impairment</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1134"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286"/>
        </w:trPr>
        <w:tc>
          <w:tcPr>
            <w:tcW w:w="1327" w:type="dxa"/>
            <w:vMerge/>
            <w:tcBorders>
              <w:top w:val="nil"/>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tc>
        <w:tc>
          <w:tcPr>
            <w:tcW w:w="3335" w:type="dxa"/>
            <w:tcBorders>
              <w:top w:val="dotted" w:sz="2"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 xml:space="preserve">Use in patients of ethnic origin other than </w:t>
            </w:r>
            <w:r w:rsidR="001F1B51">
              <w:rPr>
                <w:sz w:val="20"/>
                <w:szCs w:val="18"/>
              </w:rPr>
              <w:t>W</w:t>
            </w:r>
            <w:r w:rsidR="001F1B51" w:rsidRPr="00543B66">
              <w:rPr>
                <w:sz w:val="20"/>
                <w:szCs w:val="18"/>
              </w:rPr>
              <w:t>hite</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c>
          <w:tcPr>
            <w:tcW w:w="1134"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532"/>
        </w:trPr>
        <w:tc>
          <w:tcPr>
            <w:tcW w:w="1327" w:type="dxa"/>
            <w:vMerge/>
            <w:tcBorders>
              <w:top w:val="nil"/>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tc>
        <w:tc>
          <w:tcPr>
            <w:tcW w:w="3335" w:type="dxa"/>
            <w:tcBorders>
              <w:top w:val="dotted" w:sz="2" w:space="0" w:color="000000"/>
              <w:left w:val="single" w:sz="4" w:space="0" w:color="000000"/>
              <w:bottom w:val="dotted" w:sz="2" w:space="0" w:color="000000"/>
              <w:right w:val="single" w:sz="4" w:space="0" w:color="000000"/>
            </w:tcBorders>
          </w:tcPr>
          <w:p w:rsidR="00C65F34" w:rsidRPr="00543B66" w:rsidRDefault="00C65F34" w:rsidP="00543B66">
            <w:pPr>
              <w:rPr>
                <w:sz w:val="20"/>
                <w:szCs w:val="18"/>
              </w:rPr>
            </w:pPr>
            <w:r w:rsidRPr="00543B66">
              <w:rPr>
                <w:sz w:val="20"/>
                <w:szCs w:val="18"/>
              </w:rPr>
              <w:t xml:space="preserve">Use in patients with impaired intestinal barriers (IBD and </w:t>
            </w:r>
            <w:r w:rsidR="00E75F2A">
              <w:rPr>
                <w:sz w:val="20"/>
                <w:szCs w:val="18"/>
              </w:rPr>
              <w:t>c</w:t>
            </w:r>
            <w:r w:rsidR="00E75F2A" w:rsidRPr="00543B66">
              <w:rPr>
                <w:sz w:val="20"/>
                <w:szCs w:val="18"/>
              </w:rPr>
              <w:t xml:space="preserve">oeliac </w:t>
            </w:r>
            <w:r w:rsidRPr="00543B66">
              <w:rPr>
                <w:sz w:val="20"/>
                <w:szCs w:val="18"/>
              </w:rPr>
              <w:t>Disease)</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c>
          <w:tcPr>
            <w:tcW w:w="1134"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dotted" w:sz="2"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r w:rsidR="00C65F34" w:rsidRPr="00CA02F7" w:rsidTr="003C49D9">
        <w:trPr>
          <w:trHeight w:val="534"/>
        </w:trPr>
        <w:tc>
          <w:tcPr>
            <w:tcW w:w="1327" w:type="dxa"/>
            <w:vMerge/>
            <w:tcBorders>
              <w:top w:val="nil"/>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p>
        </w:tc>
        <w:tc>
          <w:tcPr>
            <w:tcW w:w="3335" w:type="dxa"/>
            <w:tcBorders>
              <w:top w:val="dotted" w:sz="2" w:space="0" w:color="000000"/>
              <w:left w:val="single" w:sz="4" w:space="0" w:color="000000"/>
              <w:bottom w:val="single" w:sz="4" w:space="0" w:color="000000"/>
              <w:right w:val="single" w:sz="4" w:space="0" w:color="000000"/>
            </w:tcBorders>
          </w:tcPr>
          <w:p w:rsidR="00C65F34" w:rsidRPr="00543B66" w:rsidRDefault="00C65F34" w:rsidP="00543B66">
            <w:pPr>
              <w:rPr>
                <w:sz w:val="20"/>
                <w:szCs w:val="18"/>
              </w:rPr>
            </w:pPr>
            <w:r w:rsidRPr="00543B66">
              <w:rPr>
                <w:sz w:val="20"/>
                <w:szCs w:val="18"/>
              </w:rPr>
              <w:t>Drug-drug interactions with drugs metabolised by CYP1A2 or 3A4/5</w:t>
            </w:r>
          </w:p>
        </w:tc>
        <w:tc>
          <w:tcPr>
            <w:tcW w:w="992"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2"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1134"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rFonts w:ascii="Wingdings" w:hAnsi="Wingdings" w:cs="Wingdings"/>
                <w:sz w:val="18"/>
                <w:szCs w:val="18"/>
              </w:rPr>
            </w:pPr>
            <w:r w:rsidRPr="00CA02F7">
              <w:rPr>
                <w:rFonts w:ascii="Wingdings" w:hAnsi="Wingdings" w:cs="Wingdings"/>
                <w:sz w:val="18"/>
                <w:szCs w:val="18"/>
              </w:rPr>
              <w:t></w:t>
            </w:r>
          </w:p>
        </w:tc>
        <w:tc>
          <w:tcPr>
            <w:tcW w:w="993" w:type="dxa"/>
            <w:tcBorders>
              <w:top w:val="dotted" w:sz="2" w:space="0" w:color="000000"/>
              <w:left w:val="single" w:sz="4" w:space="0" w:color="000000"/>
              <w:bottom w:val="single" w:sz="4" w:space="0" w:color="000000"/>
              <w:right w:val="single" w:sz="4" w:space="0" w:color="000000"/>
            </w:tcBorders>
          </w:tcPr>
          <w:p w:rsidR="00C65F34" w:rsidRPr="00CA02F7" w:rsidRDefault="00C65F34" w:rsidP="004C57B8">
            <w:pPr>
              <w:jc w:val="center"/>
              <w:rPr>
                <w:sz w:val="18"/>
                <w:szCs w:val="18"/>
              </w:rPr>
            </w:pPr>
            <w:r w:rsidRPr="00CA02F7">
              <w:rPr>
                <w:sz w:val="18"/>
                <w:szCs w:val="18"/>
              </w:rPr>
              <w:t>–</w:t>
            </w:r>
          </w:p>
        </w:tc>
      </w:tr>
    </w:tbl>
    <w:p w:rsidR="00C65F34" w:rsidRDefault="00C65F34" w:rsidP="004F46B2">
      <w:pPr>
        <w:pStyle w:val="TableDescription"/>
      </w:pPr>
      <w:r>
        <w:t>*includes targeted follow-up questionnaires</w:t>
      </w:r>
    </w:p>
    <w:p w:rsidR="00C65F34" w:rsidRDefault="00C65F34" w:rsidP="00CA02F7">
      <w:pPr>
        <w:pStyle w:val="ListBullet"/>
      </w:pPr>
      <w:r>
        <w:t xml:space="preserve">There is no Australian </w:t>
      </w:r>
      <w:r>
        <w:rPr>
          <w:spacing w:val="-3"/>
        </w:rPr>
        <w:t xml:space="preserve">involvement </w:t>
      </w:r>
      <w:r>
        <w:t xml:space="preserve">in any of the additional pharmacovigilance studies. The renal </w:t>
      </w:r>
      <w:r w:rsidR="00E75F2A">
        <w:t xml:space="preserve">pharmacokinetics </w:t>
      </w:r>
      <w:r>
        <w:rPr>
          <w:spacing w:val="-5"/>
        </w:rPr>
        <w:t xml:space="preserve">study, </w:t>
      </w:r>
      <w:r>
        <w:t xml:space="preserve">the midazolam interaction </w:t>
      </w:r>
      <w:r>
        <w:rPr>
          <w:spacing w:val="-5"/>
        </w:rPr>
        <w:t xml:space="preserve">study, </w:t>
      </w:r>
      <w:r>
        <w:t>the CYP3A4/5 and CYP1A2 study (</w:t>
      </w:r>
      <w:r w:rsidRPr="004F46B2">
        <w:rPr>
          <w:iCs/>
        </w:rPr>
        <w:t xml:space="preserve">in vivo </w:t>
      </w:r>
      <w:r w:rsidRPr="004F46B2">
        <w:t xml:space="preserve">and </w:t>
      </w:r>
      <w:r w:rsidRPr="004F46B2">
        <w:rPr>
          <w:iCs/>
        </w:rPr>
        <w:t>in vitro</w:t>
      </w:r>
      <w:r>
        <w:rPr>
          <w:i/>
          <w:iCs/>
        </w:rPr>
        <w:t xml:space="preserve"> </w:t>
      </w:r>
      <w:r>
        <w:t xml:space="preserve">studies) and </w:t>
      </w:r>
      <w:r w:rsidR="00E75F2A">
        <w:t xml:space="preserve">the </w:t>
      </w:r>
      <w:r>
        <w:t>Drug Utilisation Study are considered by the sponsor to be relevant to the Australian</w:t>
      </w:r>
      <w:r>
        <w:rPr>
          <w:spacing w:val="-5"/>
        </w:rPr>
        <w:t xml:space="preserve"> </w:t>
      </w:r>
      <w:r>
        <w:t>population.</w:t>
      </w:r>
    </w:p>
    <w:p w:rsidR="00C65F34" w:rsidRDefault="00C65F34" w:rsidP="00CA02F7">
      <w:pPr>
        <w:pStyle w:val="ListBullet"/>
      </w:pPr>
      <w:r>
        <w:t>The</w:t>
      </w:r>
      <w:r>
        <w:rPr>
          <w:spacing w:val="-5"/>
        </w:rPr>
        <w:t xml:space="preserve"> </w:t>
      </w:r>
      <w:r>
        <w:t>sponsor</w:t>
      </w:r>
      <w:r>
        <w:rPr>
          <w:spacing w:val="-5"/>
        </w:rPr>
        <w:t xml:space="preserve"> </w:t>
      </w:r>
      <w:r>
        <w:t>has</w:t>
      </w:r>
      <w:r>
        <w:rPr>
          <w:spacing w:val="-3"/>
        </w:rPr>
        <w:t xml:space="preserve"> </w:t>
      </w:r>
      <w:r>
        <w:t>proposed</w:t>
      </w:r>
      <w:r>
        <w:rPr>
          <w:spacing w:val="-3"/>
        </w:rPr>
        <w:t xml:space="preserve"> </w:t>
      </w:r>
      <w:r>
        <w:t>routine</w:t>
      </w:r>
      <w:r>
        <w:rPr>
          <w:spacing w:val="-3"/>
        </w:rPr>
        <w:t xml:space="preserve"> </w:t>
      </w:r>
      <w:r>
        <w:t>risk</w:t>
      </w:r>
      <w:r>
        <w:rPr>
          <w:spacing w:val="-3"/>
        </w:rPr>
        <w:t xml:space="preserve"> </w:t>
      </w:r>
      <w:r>
        <w:t>minimisation</w:t>
      </w:r>
      <w:r>
        <w:rPr>
          <w:spacing w:val="-4"/>
        </w:rPr>
        <w:t xml:space="preserve"> </w:t>
      </w:r>
      <w:r>
        <w:t>for</w:t>
      </w:r>
      <w:r>
        <w:rPr>
          <w:spacing w:val="-4"/>
        </w:rPr>
        <w:t xml:space="preserve"> </w:t>
      </w:r>
      <w:r>
        <w:t>all</w:t>
      </w:r>
      <w:r>
        <w:rPr>
          <w:spacing w:val="-4"/>
        </w:rPr>
        <w:t xml:space="preserve"> </w:t>
      </w:r>
      <w:r>
        <w:t>safety</w:t>
      </w:r>
      <w:r>
        <w:rPr>
          <w:spacing w:val="-3"/>
        </w:rPr>
        <w:t xml:space="preserve"> </w:t>
      </w:r>
      <w:r>
        <w:t>concerns</w:t>
      </w:r>
      <w:r>
        <w:rPr>
          <w:spacing w:val="-3"/>
        </w:rPr>
        <w:t xml:space="preserve"> </w:t>
      </w:r>
      <w:r>
        <w:t>and</w:t>
      </w:r>
      <w:r>
        <w:rPr>
          <w:spacing w:val="-3"/>
        </w:rPr>
        <w:t xml:space="preserve"> </w:t>
      </w:r>
      <w:r>
        <w:t>missing information.</w:t>
      </w:r>
    </w:p>
    <w:p w:rsidR="00C65F34" w:rsidRPr="00D448F9" w:rsidRDefault="00D448F9" w:rsidP="00CA02F7">
      <w:pPr>
        <w:pStyle w:val="Heading4"/>
      </w:pPr>
      <w:bookmarkStart w:id="111" w:name="New_and_outstanding_recommendations_-_Ro"/>
      <w:bookmarkStart w:id="112" w:name="_bookmark1"/>
      <w:bookmarkEnd w:id="111"/>
      <w:bookmarkEnd w:id="112"/>
      <w:r w:rsidRPr="00D448F9">
        <w:t xml:space="preserve">New and outstanding recommendations </w:t>
      </w:r>
      <w:r w:rsidR="00CA02F7">
        <w:t xml:space="preserve">following </w:t>
      </w:r>
      <w:r w:rsidR="00CC6D17">
        <w:t>the s</w:t>
      </w:r>
      <w:r w:rsidR="00E75F2A">
        <w:t xml:space="preserve">econd </w:t>
      </w:r>
      <w:r w:rsidR="00CA02F7">
        <w:t>round evaluation</w:t>
      </w:r>
    </w:p>
    <w:p w:rsidR="00C65F34" w:rsidRDefault="00C65F34" w:rsidP="004F46B2">
      <w:r>
        <w:t>There are no outstanding or new RMP recommendations.</w:t>
      </w:r>
    </w:p>
    <w:p w:rsidR="00C65F34" w:rsidRDefault="00C65F34" w:rsidP="00CA02F7">
      <w:pPr>
        <w:pStyle w:val="Heading4"/>
      </w:pPr>
      <w:bookmarkStart w:id="113" w:name="Wording_for_conditions_of_registration"/>
      <w:bookmarkStart w:id="114" w:name="_bookmark2"/>
      <w:bookmarkEnd w:id="113"/>
      <w:bookmarkEnd w:id="114"/>
      <w:r>
        <w:t>Wording for conditions of registration</w:t>
      </w:r>
    </w:p>
    <w:p w:rsidR="00C65F34" w:rsidRDefault="00C65F34" w:rsidP="00CA02F7">
      <w:r>
        <w:t>Any changes to which the sponsor has agreed should be included in a revised RMP and ASA. However, irrespective of whether or not they are included in the currently available version of the RMP document, the agreed changes become part of the risk management system.</w:t>
      </w:r>
    </w:p>
    <w:p w:rsidR="00C65F34" w:rsidRDefault="00C65F34" w:rsidP="00CA02F7">
      <w:r>
        <w:t>The suggested wording is:</w:t>
      </w:r>
    </w:p>
    <w:p w:rsidR="00C65F34" w:rsidRPr="00CA02F7" w:rsidRDefault="00C65F34" w:rsidP="00CA02F7">
      <w:pPr>
        <w:ind w:left="720"/>
        <w:rPr>
          <w:i/>
        </w:rPr>
      </w:pPr>
      <w:r w:rsidRPr="00CA02F7">
        <w:rPr>
          <w:i/>
        </w:rPr>
        <w:t xml:space="preserve">Implement EU-RMP (version 1.5, date 20 July 2016, </w:t>
      </w:r>
      <w:proofErr w:type="gramStart"/>
      <w:r w:rsidRPr="00CA02F7">
        <w:rPr>
          <w:i/>
        </w:rPr>
        <w:t>data</w:t>
      </w:r>
      <w:proofErr w:type="gramEnd"/>
      <w:r w:rsidRPr="00CA02F7">
        <w:rPr>
          <w:i/>
        </w:rPr>
        <w:t xml:space="preserve"> lock point 15 December 2014) with</w:t>
      </w:r>
      <w:r w:rsidRPr="00CA02F7">
        <w:rPr>
          <w:i/>
          <w:spacing w:val="-5"/>
        </w:rPr>
        <w:t xml:space="preserve"> </w:t>
      </w:r>
      <w:r w:rsidRPr="00CA02F7">
        <w:rPr>
          <w:i/>
        </w:rPr>
        <w:t>Australian</w:t>
      </w:r>
      <w:r w:rsidRPr="00CA02F7">
        <w:rPr>
          <w:i/>
          <w:spacing w:val="-5"/>
        </w:rPr>
        <w:t xml:space="preserve"> </w:t>
      </w:r>
      <w:r w:rsidRPr="00CA02F7">
        <w:rPr>
          <w:i/>
        </w:rPr>
        <w:t>Specific</w:t>
      </w:r>
      <w:r w:rsidRPr="00CA02F7">
        <w:rPr>
          <w:i/>
          <w:spacing w:val="-6"/>
        </w:rPr>
        <w:t xml:space="preserve"> </w:t>
      </w:r>
      <w:r w:rsidRPr="00CA02F7">
        <w:rPr>
          <w:i/>
        </w:rPr>
        <w:t>Annex</w:t>
      </w:r>
      <w:r w:rsidRPr="00CA02F7">
        <w:rPr>
          <w:i/>
          <w:spacing w:val="-4"/>
        </w:rPr>
        <w:t xml:space="preserve"> </w:t>
      </w:r>
      <w:r w:rsidRPr="00CA02F7">
        <w:rPr>
          <w:i/>
        </w:rPr>
        <w:t>(version</w:t>
      </w:r>
      <w:r w:rsidRPr="00CA02F7">
        <w:rPr>
          <w:i/>
          <w:spacing w:val="-5"/>
        </w:rPr>
        <w:t xml:space="preserve"> </w:t>
      </w:r>
      <w:r w:rsidRPr="00CA02F7">
        <w:rPr>
          <w:i/>
        </w:rPr>
        <w:t>1.1,</w:t>
      </w:r>
      <w:r w:rsidRPr="00CA02F7">
        <w:rPr>
          <w:i/>
          <w:spacing w:val="-5"/>
        </w:rPr>
        <w:t xml:space="preserve"> </w:t>
      </w:r>
      <w:r w:rsidRPr="00CA02F7">
        <w:rPr>
          <w:i/>
        </w:rPr>
        <w:t>date</w:t>
      </w:r>
      <w:r w:rsidRPr="00CA02F7">
        <w:rPr>
          <w:i/>
          <w:spacing w:val="-4"/>
        </w:rPr>
        <w:t xml:space="preserve"> </w:t>
      </w:r>
      <w:r w:rsidRPr="00CA02F7">
        <w:rPr>
          <w:i/>
        </w:rPr>
        <w:t>2</w:t>
      </w:r>
      <w:r w:rsidRPr="00CA02F7">
        <w:rPr>
          <w:i/>
          <w:spacing w:val="-5"/>
        </w:rPr>
        <w:t xml:space="preserve"> </w:t>
      </w:r>
      <w:r w:rsidRPr="00CA02F7">
        <w:rPr>
          <w:i/>
        </w:rPr>
        <w:t>May</w:t>
      </w:r>
      <w:r w:rsidRPr="00CA02F7">
        <w:rPr>
          <w:i/>
          <w:spacing w:val="-4"/>
        </w:rPr>
        <w:t xml:space="preserve"> </w:t>
      </w:r>
      <w:r w:rsidRPr="00CA02F7">
        <w:rPr>
          <w:i/>
        </w:rPr>
        <w:t>2017)</w:t>
      </w:r>
      <w:r w:rsidRPr="00CA02F7">
        <w:rPr>
          <w:i/>
          <w:spacing w:val="-5"/>
        </w:rPr>
        <w:t xml:space="preserve"> </w:t>
      </w:r>
      <w:r w:rsidRPr="00CA02F7">
        <w:rPr>
          <w:i/>
        </w:rPr>
        <w:t>and</w:t>
      </w:r>
      <w:r w:rsidRPr="00CA02F7">
        <w:rPr>
          <w:i/>
          <w:spacing w:val="-4"/>
        </w:rPr>
        <w:t xml:space="preserve"> </w:t>
      </w:r>
      <w:r w:rsidRPr="00CA02F7">
        <w:rPr>
          <w:i/>
        </w:rPr>
        <w:t>any</w:t>
      </w:r>
      <w:r w:rsidRPr="00CA02F7">
        <w:rPr>
          <w:i/>
          <w:spacing w:val="-4"/>
        </w:rPr>
        <w:t xml:space="preserve"> </w:t>
      </w:r>
      <w:r w:rsidRPr="00CA02F7">
        <w:rPr>
          <w:i/>
        </w:rPr>
        <w:t>future</w:t>
      </w:r>
      <w:r w:rsidRPr="00CA02F7">
        <w:rPr>
          <w:i/>
          <w:spacing w:val="-4"/>
        </w:rPr>
        <w:t xml:space="preserve"> </w:t>
      </w:r>
      <w:r w:rsidRPr="00CA02F7">
        <w:rPr>
          <w:i/>
        </w:rPr>
        <w:t>updates</w:t>
      </w:r>
      <w:r w:rsidRPr="00CA02F7">
        <w:rPr>
          <w:i/>
          <w:spacing w:val="-4"/>
        </w:rPr>
        <w:t xml:space="preserve"> </w:t>
      </w:r>
      <w:r w:rsidRPr="00CA02F7">
        <w:rPr>
          <w:i/>
        </w:rPr>
        <w:t>as a condition of</w:t>
      </w:r>
      <w:r w:rsidRPr="00CA02F7">
        <w:rPr>
          <w:i/>
          <w:spacing w:val="-3"/>
        </w:rPr>
        <w:t xml:space="preserve"> </w:t>
      </w:r>
      <w:r w:rsidRPr="00CA02F7">
        <w:rPr>
          <w:i/>
        </w:rPr>
        <w:t>registration</w:t>
      </w:r>
      <w:r w:rsidR="00E75F2A">
        <w:rPr>
          <w:i/>
        </w:rPr>
        <w:t>.</w:t>
      </w:r>
    </w:p>
    <w:p w:rsidR="008E7846" w:rsidRPr="00792A32" w:rsidRDefault="008E7846" w:rsidP="00C65F34">
      <w:pPr>
        <w:pStyle w:val="Heading2"/>
      </w:pPr>
      <w:bookmarkStart w:id="115" w:name="_Toc510009725"/>
      <w:r>
        <w:t>VI</w:t>
      </w:r>
      <w:r w:rsidR="00AC04B2">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7"/>
      <w:bookmarkEnd w:id="109"/>
      <w:bookmarkEnd w:id="110"/>
      <w:bookmarkEnd w:id="115"/>
    </w:p>
    <w:p w:rsidR="008E7846" w:rsidRDefault="008E7846" w:rsidP="008E7846">
      <w:bookmarkStart w:id="116"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17" w:name="_Toc314842511"/>
      <w:bookmarkStart w:id="118" w:name="_Toc510009726"/>
      <w:r>
        <w:t>Quality</w:t>
      </w:r>
      <w:bookmarkEnd w:id="116"/>
      <w:bookmarkEnd w:id="117"/>
      <w:bookmarkEnd w:id="118"/>
    </w:p>
    <w:p w:rsidR="00E45619" w:rsidRDefault="00B560F1" w:rsidP="003A7F6C">
      <w:r w:rsidRPr="00B560F1">
        <w:t>There are no objections to registration from a quality or biopharmaceutics perspective.</w:t>
      </w:r>
    </w:p>
    <w:p w:rsidR="008E7846" w:rsidRDefault="008E7846" w:rsidP="008E7846">
      <w:pPr>
        <w:pStyle w:val="Heading3"/>
      </w:pPr>
      <w:bookmarkStart w:id="119" w:name="_Toc314842512"/>
      <w:bookmarkStart w:id="120" w:name="_Toc510009727"/>
      <w:r>
        <w:t>Nonclinical</w:t>
      </w:r>
      <w:bookmarkEnd w:id="119"/>
      <w:bookmarkEnd w:id="120"/>
    </w:p>
    <w:p w:rsidR="00290DA2" w:rsidRPr="00CA02F7" w:rsidRDefault="000076F9" w:rsidP="00CA02F7">
      <w:pPr>
        <w:pStyle w:val="ListBullet"/>
      </w:pPr>
      <w:r>
        <w:t>The nonclinical data</w:t>
      </w:r>
      <w:r w:rsidR="00290DA2" w:rsidRPr="00CA02F7">
        <w:t xml:space="preserve"> had no major deficiencies.</w:t>
      </w:r>
    </w:p>
    <w:p w:rsidR="00290DA2" w:rsidRPr="00CA02F7" w:rsidRDefault="00290DA2" w:rsidP="000076F9">
      <w:pPr>
        <w:pStyle w:val="ListBullet"/>
      </w:pPr>
      <w:r w:rsidRPr="00CA02F7">
        <w:t xml:space="preserve">Primary pharmacology in vitro studies showed that eluxadoline was a potent </w:t>
      </w:r>
      <w:r w:rsidR="00E75F2A">
        <w:t>MOR</w:t>
      </w:r>
      <w:r w:rsidR="00E75F2A" w:rsidRPr="00CA02F7">
        <w:t xml:space="preserve"> </w:t>
      </w:r>
      <w:r w:rsidRPr="00CA02F7">
        <w:t xml:space="preserve">agonist and </w:t>
      </w:r>
      <w:r w:rsidR="00E75F2A">
        <w:t>DOR</w:t>
      </w:r>
      <w:r w:rsidR="00E75F2A" w:rsidRPr="00CA02F7">
        <w:t xml:space="preserve"> </w:t>
      </w:r>
      <w:r w:rsidRPr="00CA02F7">
        <w:t xml:space="preserve">antagonist, an inhibitor of propulsive upper GI motility and did not </w:t>
      </w:r>
      <w:r w:rsidRPr="00CA02F7">
        <w:lastRenderedPageBreak/>
        <w:t>prevent gastric emptying. Overall, the in vitro and in vivo nonclinical studies submitted support the drug’s use for the proposed indication.</w:t>
      </w:r>
    </w:p>
    <w:p w:rsidR="00290DA2" w:rsidRPr="00CA02F7" w:rsidRDefault="00290DA2" w:rsidP="00CA02F7">
      <w:pPr>
        <w:pStyle w:val="ListBullet"/>
      </w:pPr>
      <w:r w:rsidRPr="00CA02F7">
        <w:t>Secondary pharmacodynamics and safety pharmacology studies indicate that eluxadoline does not inhibit or stimulate receptors associated with abuse potential. Overall, based on the nonclinical studies submitted, there are no clinically relevant hazards identified.</w:t>
      </w:r>
    </w:p>
    <w:p w:rsidR="00290DA2" w:rsidRPr="00CA02F7" w:rsidRDefault="00290DA2" w:rsidP="00CA02F7">
      <w:pPr>
        <w:pStyle w:val="ListBullet"/>
      </w:pPr>
      <w:r w:rsidRPr="00CA02F7">
        <w:t>Repeat-dose toxicity studies by the oral route showed no major toxicities with minimal and reversible treatment-related observations. Based on the nonclinical studies submitted, there are no clinically relevant effects which may be expected in patients.</w:t>
      </w:r>
    </w:p>
    <w:p w:rsidR="00290DA2" w:rsidRPr="00CA02F7" w:rsidRDefault="00290DA2" w:rsidP="00CA02F7">
      <w:pPr>
        <w:pStyle w:val="ListBullet"/>
      </w:pPr>
      <w:r w:rsidRPr="00CA02F7">
        <w:t>Eluxadoline is not considered to pose a genotoxic or carcinogenic hazard.</w:t>
      </w:r>
    </w:p>
    <w:p w:rsidR="00290DA2" w:rsidRPr="00CA02F7" w:rsidRDefault="00290DA2" w:rsidP="00CA02F7">
      <w:pPr>
        <w:pStyle w:val="ListBullet"/>
      </w:pPr>
      <w:r w:rsidRPr="00CA02F7">
        <w:t xml:space="preserve">The proposed </w:t>
      </w:r>
      <w:r w:rsidR="000076F9">
        <w:t>P</w:t>
      </w:r>
      <w:r w:rsidRPr="00CA02F7">
        <w:t>regnancy Category is B1, which is appropriate based on the animal findings.</w:t>
      </w:r>
      <w:r w:rsidR="00E75F2A" w:rsidRPr="00543B66">
        <w:rPr>
          <w:vertAlign w:val="superscript"/>
        </w:rPr>
        <w:fldChar w:fldCharType="begin"/>
      </w:r>
      <w:r w:rsidR="00E75F2A" w:rsidRPr="00543B66">
        <w:rPr>
          <w:vertAlign w:val="superscript"/>
        </w:rPr>
        <w:instrText xml:space="preserve"> NOTEREF _Ref513633711 \h </w:instrText>
      </w:r>
      <w:r w:rsidR="00E75F2A">
        <w:rPr>
          <w:vertAlign w:val="superscript"/>
        </w:rPr>
        <w:instrText xml:space="preserve"> \* MERGEFORMAT </w:instrText>
      </w:r>
      <w:r w:rsidR="00E75F2A" w:rsidRPr="00543B66">
        <w:rPr>
          <w:vertAlign w:val="superscript"/>
        </w:rPr>
      </w:r>
      <w:r w:rsidR="00E75F2A" w:rsidRPr="00543B66">
        <w:rPr>
          <w:vertAlign w:val="superscript"/>
        </w:rPr>
        <w:fldChar w:fldCharType="separate"/>
      </w:r>
      <w:r w:rsidR="008D57E9">
        <w:rPr>
          <w:vertAlign w:val="superscript"/>
        </w:rPr>
        <w:t>13</w:t>
      </w:r>
      <w:r w:rsidR="00E75F2A" w:rsidRPr="00543B66">
        <w:rPr>
          <w:vertAlign w:val="superscript"/>
        </w:rPr>
        <w:fldChar w:fldCharType="end"/>
      </w:r>
    </w:p>
    <w:p w:rsidR="00290DA2" w:rsidRPr="00CA02F7" w:rsidRDefault="00290DA2" w:rsidP="00CA02F7">
      <w:pPr>
        <w:pStyle w:val="ListBullet"/>
      </w:pPr>
      <w:r w:rsidRPr="00CA02F7">
        <w:t>There are no nonclinical objections to registration.</w:t>
      </w:r>
    </w:p>
    <w:p w:rsidR="008E7846" w:rsidRPr="00CA02F7" w:rsidRDefault="000076F9" w:rsidP="00CA02F7">
      <w:pPr>
        <w:pStyle w:val="ListBullet"/>
      </w:pPr>
      <w:r>
        <w:t xml:space="preserve">Amendments to the </w:t>
      </w:r>
      <w:r w:rsidR="00290DA2" w:rsidRPr="00CA02F7">
        <w:t xml:space="preserve">draft Product Information document </w:t>
      </w:r>
      <w:r>
        <w:t>were also recommended to the Delegate</w:t>
      </w:r>
      <w:r w:rsidR="008E7846" w:rsidRPr="00CA02F7">
        <w:t>.</w:t>
      </w:r>
    </w:p>
    <w:p w:rsidR="008E7846" w:rsidRDefault="008E7846" w:rsidP="008E7846">
      <w:pPr>
        <w:pStyle w:val="Heading3"/>
      </w:pPr>
      <w:bookmarkStart w:id="121" w:name="_Toc247691530"/>
      <w:bookmarkStart w:id="122" w:name="_Toc314842513"/>
      <w:bookmarkStart w:id="123" w:name="_Toc510009728"/>
      <w:r w:rsidRPr="00A40F30">
        <w:t>Clinical</w:t>
      </w:r>
      <w:bookmarkEnd w:id="121"/>
      <w:bookmarkEnd w:id="122"/>
      <w:bookmarkEnd w:id="123"/>
    </w:p>
    <w:p w:rsidR="00A9055C" w:rsidRPr="00A9055C" w:rsidRDefault="00A9055C" w:rsidP="00A9055C">
      <w:r>
        <w:t xml:space="preserve">See Attachment </w:t>
      </w:r>
      <w:r w:rsidR="004F726B">
        <w:t xml:space="preserve">1 </w:t>
      </w:r>
      <w:r>
        <w:t>for details of the TGA’s clinical evaluation of the sponsor’s clinical submission.</w:t>
      </w:r>
    </w:p>
    <w:p w:rsidR="00CE7DFD" w:rsidRPr="001A6A56" w:rsidRDefault="00CE7DFD" w:rsidP="00543B66">
      <w:pPr>
        <w:pStyle w:val="ListBullet"/>
        <w:rPr>
          <w:i/>
          <w:lang w:eastAsia="ja-JP"/>
        </w:rPr>
      </w:pPr>
      <w:r w:rsidRPr="00552469">
        <w:rPr>
          <w:lang w:eastAsia="ja-JP"/>
        </w:rPr>
        <w:t>The sponsor</w:t>
      </w:r>
      <w:r>
        <w:rPr>
          <w:lang w:eastAsia="ja-JP"/>
        </w:rPr>
        <w:t xml:space="preserve"> argues that eluxadoline is in a different class from loperamide by being both </w:t>
      </w:r>
      <w:r w:rsidR="00E75F2A">
        <w:rPr>
          <w:lang w:eastAsia="ja-JP"/>
        </w:rPr>
        <w:t xml:space="preserve">a MOR </w:t>
      </w:r>
      <w:r>
        <w:rPr>
          <w:lang w:eastAsia="ja-JP"/>
        </w:rPr>
        <w:t>agonist/</w:t>
      </w:r>
      <w:r w:rsidR="00E75F2A">
        <w:rPr>
          <w:lang w:eastAsia="ja-JP"/>
        </w:rPr>
        <w:t>D</w:t>
      </w:r>
      <w:r>
        <w:rPr>
          <w:lang w:eastAsia="ja-JP"/>
        </w:rPr>
        <w:t xml:space="preserve">OR antagonist, however in relation to treatment related AEs the </w:t>
      </w:r>
      <w:r w:rsidR="000F77DE">
        <w:rPr>
          <w:lang w:eastAsia="ja-JP"/>
        </w:rPr>
        <w:t>sponsor only</w:t>
      </w:r>
      <w:r>
        <w:rPr>
          <w:lang w:eastAsia="ja-JP"/>
        </w:rPr>
        <w:t xml:space="preserve"> considers </w:t>
      </w:r>
      <w:r w:rsidR="00E75F2A">
        <w:rPr>
          <w:lang w:eastAsia="ja-JP"/>
        </w:rPr>
        <w:t>‘</w:t>
      </w:r>
      <w:r w:rsidRPr="001A6A56">
        <w:rPr>
          <w:i/>
          <w:lang w:eastAsia="ja-JP"/>
        </w:rPr>
        <w:t xml:space="preserve">selected AEs based on known class effects of </w:t>
      </w:r>
      <w:r w:rsidR="00E75F2A">
        <w:rPr>
          <w:i/>
          <w:lang w:eastAsia="ja-JP"/>
        </w:rPr>
        <w:t>M</w:t>
      </w:r>
      <w:r w:rsidR="00E75F2A" w:rsidRPr="001A6A56">
        <w:rPr>
          <w:i/>
          <w:lang w:eastAsia="ja-JP"/>
        </w:rPr>
        <w:t xml:space="preserve">OR </w:t>
      </w:r>
      <w:r w:rsidRPr="001A6A56">
        <w:rPr>
          <w:i/>
          <w:lang w:eastAsia="ja-JP"/>
        </w:rPr>
        <w:t>agonists and opioids</w:t>
      </w:r>
      <w:r w:rsidR="00E75F2A">
        <w:rPr>
          <w:i/>
          <w:lang w:eastAsia="ja-JP"/>
        </w:rPr>
        <w:t>’</w:t>
      </w:r>
      <w:r w:rsidRPr="001A6A56">
        <w:rPr>
          <w:i/>
          <w:lang w:eastAsia="ja-JP"/>
        </w:rPr>
        <w:t>.</w:t>
      </w:r>
    </w:p>
    <w:p w:rsidR="00A40F30" w:rsidRDefault="00A40F30" w:rsidP="00543B66">
      <w:pPr>
        <w:pStyle w:val="ListBullet"/>
        <w:rPr>
          <w:lang w:eastAsia="ja-JP"/>
        </w:rPr>
      </w:pPr>
      <w:bookmarkStart w:id="124" w:name="_Toc314842514"/>
      <w:r>
        <w:rPr>
          <w:lang w:eastAsia="ja-JP"/>
        </w:rPr>
        <w:t xml:space="preserve">The clinical evaluator stated </w:t>
      </w:r>
      <w:r w:rsidR="00D37594">
        <w:rPr>
          <w:lang w:eastAsia="ja-JP"/>
        </w:rPr>
        <w:t xml:space="preserve">in the </w:t>
      </w:r>
      <w:r w:rsidR="00CC6D17">
        <w:rPr>
          <w:lang w:eastAsia="ja-JP"/>
        </w:rPr>
        <w:t>f</w:t>
      </w:r>
      <w:r w:rsidR="00D37594">
        <w:rPr>
          <w:lang w:eastAsia="ja-JP"/>
        </w:rPr>
        <w:t>irs</w:t>
      </w:r>
      <w:r w:rsidR="002E3010">
        <w:rPr>
          <w:lang w:eastAsia="ja-JP"/>
        </w:rPr>
        <w:t>t</w:t>
      </w:r>
      <w:r w:rsidR="00D37594">
        <w:rPr>
          <w:lang w:eastAsia="ja-JP"/>
        </w:rPr>
        <w:t xml:space="preserve"> evaluation report </w:t>
      </w:r>
      <w:r>
        <w:rPr>
          <w:lang w:eastAsia="ja-JP"/>
        </w:rPr>
        <w:t>that it is not recommended that the proposed authorisation be approved.</w:t>
      </w:r>
    </w:p>
    <w:p w:rsidR="00A40F30" w:rsidRDefault="00A40F30" w:rsidP="00A40F30">
      <w:pPr>
        <w:pStyle w:val="ListBullet"/>
        <w:rPr>
          <w:lang w:eastAsia="ja-JP"/>
        </w:rPr>
      </w:pPr>
      <w:r>
        <w:rPr>
          <w:lang w:eastAsia="ja-JP"/>
        </w:rPr>
        <w:t>The lack of a clear presentation of the risk of all treatment related AEs makes the comparison unfavourable with the modest improvement seen compared with placebo.</w:t>
      </w:r>
    </w:p>
    <w:p w:rsidR="007C4CD5" w:rsidRPr="00543B66" w:rsidRDefault="007C4CD5" w:rsidP="00543B66">
      <w:pPr>
        <w:pStyle w:val="ListBullet"/>
        <w:rPr>
          <w:lang w:eastAsia="ja-JP"/>
        </w:rPr>
      </w:pPr>
      <w:r w:rsidRPr="00627010">
        <w:rPr>
          <w:lang w:eastAsia="ja-JP"/>
        </w:rPr>
        <w:t xml:space="preserve">However, in the </w:t>
      </w:r>
      <w:r w:rsidR="00CC6D17">
        <w:rPr>
          <w:lang w:eastAsia="ja-JP"/>
        </w:rPr>
        <w:t>s</w:t>
      </w:r>
      <w:r w:rsidR="00BD32D8">
        <w:rPr>
          <w:lang w:eastAsia="ja-JP"/>
        </w:rPr>
        <w:t xml:space="preserve">econd </w:t>
      </w:r>
      <w:r w:rsidRPr="00627010">
        <w:rPr>
          <w:lang w:eastAsia="ja-JP"/>
        </w:rPr>
        <w:t>round</w:t>
      </w:r>
      <w:r w:rsidR="00BD32D8">
        <w:rPr>
          <w:lang w:eastAsia="ja-JP"/>
        </w:rPr>
        <w:t>,</w:t>
      </w:r>
      <w:r w:rsidRPr="00627010">
        <w:rPr>
          <w:lang w:eastAsia="ja-JP"/>
        </w:rPr>
        <w:t xml:space="preserve"> the clinical evaluator stated that</w:t>
      </w:r>
      <w:r w:rsidR="00BD32D8">
        <w:rPr>
          <w:lang w:eastAsia="ja-JP"/>
        </w:rPr>
        <w:t>: ‘</w:t>
      </w:r>
      <w:r w:rsidR="00BD32D8">
        <w:t>The clinical evaluator</w:t>
      </w:r>
      <w:r w:rsidRPr="00627010">
        <w:t xml:space="preserve"> recommend</w:t>
      </w:r>
      <w:r w:rsidR="00BD32D8">
        <w:t>s</w:t>
      </w:r>
      <w:r w:rsidRPr="00627010">
        <w:t xml:space="preserve"> that</w:t>
      </w:r>
      <w:r>
        <w:t xml:space="preserve"> eluxadoline (Viberzi) be approved for the following indication:</w:t>
      </w:r>
      <w:r w:rsidR="00CC6D17">
        <w:t xml:space="preserve"> </w:t>
      </w:r>
      <w:r w:rsidR="00BD32D8" w:rsidRPr="00543B66">
        <w:rPr>
          <w:i/>
        </w:rPr>
        <w:t>‘</w:t>
      </w:r>
      <w:r w:rsidRPr="00543B66">
        <w:rPr>
          <w:i/>
        </w:rPr>
        <w:t>Viberzi (eluxadoline) is indicated in adults for the treatment of irritable bowel syndrome with diarrhoea (IBS-</w:t>
      </w:r>
      <w:proofErr w:type="gramStart"/>
      <w:r w:rsidR="00365268" w:rsidRPr="00543B66">
        <w:rPr>
          <w:i/>
        </w:rPr>
        <w:t>d</w:t>
      </w:r>
      <w:r w:rsidR="00365268" w:rsidRPr="00543B66" w:rsidDel="00365268">
        <w:rPr>
          <w:i/>
        </w:rPr>
        <w:t xml:space="preserve"> </w:t>
      </w:r>
      <w:r w:rsidRPr="00543B66">
        <w:rPr>
          <w:i/>
        </w:rPr>
        <w:t>)</w:t>
      </w:r>
      <w:proofErr w:type="gramEnd"/>
      <w:r w:rsidRPr="00543B66">
        <w:rPr>
          <w:i/>
        </w:rPr>
        <w:t>.</w:t>
      </w:r>
      <w:r w:rsidR="002E3010" w:rsidRPr="00543B66">
        <w:rPr>
          <w:i/>
        </w:rPr>
        <w:t>’</w:t>
      </w:r>
    </w:p>
    <w:p w:rsidR="008E7846" w:rsidRDefault="00386150" w:rsidP="007B6132">
      <w:pPr>
        <w:pStyle w:val="Heading3"/>
        <w:rPr>
          <w:lang w:eastAsia="en-AU"/>
        </w:rPr>
      </w:pPr>
      <w:bookmarkStart w:id="125" w:name="_Toc510009729"/>
      <w:r>
        <w:rPr>
          <w:lang w:eastAsia="en-AU"/>
        </w:rPr>
        <w:t>Risk m</w:t>
      </w:r>
      <w:r w:rsidR="008E7846">
        <w:rPr>
          <w:lang w:eastAsia="en-AU"/>
        </w:rPr>
        <w:t xml:space="preserve">anagement </w:t>
      </w:r>
      <w:r>
        <w:rPr>
          <w:lang w:eastAsia="en-AU"/>
        </w:rPr>
        <w:t>p</w:t>
      </w:r>
      <w:r w:rsidR="008E7846">
        <w:rPr>
          <w:lang w:eastAsia="en-AU"/>
        </w:rPr>
        <w:t>lan</w:t>
      </w:r>
      <w:bookmarkEnd w:id="124"/>
      <w:bookmarkEnd w:id="125"/>
    </w:p>
    <w:p w:rsidR="00A9055C" w:rsidRDefault="00A9055C" w:rsidP="00A9055C">
      <w:r w:rsidRPr="00A9055C">
        <w:t>The evaluator stated that ACM advice on the RMP was not sought for this submission.</w:t>
      </w:r>
    </w:p>
    <w:p w:rsidR="00A9055C" w:rsidRDefault="00A9055C" w:rsidP="00A9055C">
      <w:r>
        <w:t>There are no outstanding or new RMP recommendations. The RMP evaluator recommended wording for</w:t>
      </w:r>
      <w:r w:rsidR="00CC6D17">
        <w:t xml:space="preserve"> the</w:t>
      </w:r>
      <w:r>
        <w:t xml:space="preserve"> </w:t>
      </w:r>
      <w:r w:rsidRPr="00543B66">
        <w:t xml:space="preserve">Conditions of </w:t>
      </w:r>
      <w:r w:rsidR="00CC6D17">
        <w:t>R</w:t>
      </w:r>
      <w:r w:rsidRPr="00543B66">
        <w:t>egistration</w:t>
      </w:r>
      <w:r>
        <w:t xml:space="preserve"> (see above).</w:t>
      </w:r>
    </w:p>
    <w:p w:rsidR="008E7846" w:rsidRDefault="00AA0ED0" w:rsidP="008E7846">
      <w:pPr>
        <w:pStyle w:val="Heading3"/>
      </w:pPr>
      <w:bookmarkStart w:id="126" w:name="_Toc247691531"/>
      <w:bookmarkStart w:id="127" w:name="_Toc314842515"/>
      <w:bookmarkStart w:id="128" w:name="_Toc510009730"/>
      <w:bookmarkStart w:id="129" w:name="_Toc196046505"/>
      <w:bookmarkStart w:id="130" w:name="_Toc196046949"/>
      <w:r>
        <w:t>Risk-benefit a</w:t>
      </w:r>
      <w:r w:rsidR="008E7846">
        <w:t>nalysis</w:t>
      </w:r>
      <w:bookmarkEnd w:id="126"/>
      <w:bookmarkEnd w:id="127"/>
      <w:bookmarkEnd w:id="128"/>
    </w:p>
    <w:p w:rsidR="00D23139" w:rsidRDefault="00D23139" w:rsidP="00D23139">
      <w:pPr>
        <w:pStyle w:val="Heading4"/>
      </w:pPr>
      <w:r w:rsidRPr="00D23139">
        <w:t>Delegate’s considerations</w:t>
      </w:r>
    </w:p>
    <w:p w:rsidR="00A40F30" w:rsidRDefault="00A40F30" w:rsidP="00A40F30">
      <w:pPr>
        <w:rPr>
          <w:rFonts w:eastAsia="TimesNewRoman" w:cs="TimesNewRoman"/>
        </w:rPr>
      </w:pPr>
      <w:r w:rsidRPr="009B2F7C">
        <w:rPr>
          <w:rFonts w:eastAsia="TimesNewRoman" w:cs="TimesNewRoman"/>
        </w:rPr>
        <w:t xml:space="preserve">As mentioned in the </w:t>
      </w:r>
      <w:r w:rsidR="00365268">
        <w:rPr>
          <w:rFonts w:eastAsia="TimesNewRoman" w:cs="TimesNewRoman"/>
        </w:rPr>
        <w:t xml:space="preserve">'Product </w:t>
      </w:r>
      <w:r>
        <w:rPr>
          <w:rFonts w:eastAsia="TimesNewRoman" w:cs="TimesNewRoman"/>
        </w:rPr>
        <w:t>background</w:t>
      </w:r>
      <w:r w:rsidR="00365268">
        <w:rPr>
          <w:rFonts w:eastAsia="TimesNewRoman" w:cs="TimesNewRoman"/>
        </w:rPr>
        <w:t>’</w:t>
      </w:r>
      <w:r>
        <w:rPr>
          <w:rFonts w:eastAsia="TimesNewRoman" w:cs="TimesNewRoman"/>
        </w:rPr>
        <w:t xml:space="preserve"> section</w:t>
      </w:r>
      <w:r w:rsidR="00365268">
        <w:rPr>
          <w:rFonts w:eastAsia="TimesNewRoman" w:cs="TimesNewRoman"/>
        </w:rPr>
        <w:t xml:space="preserve"> (see above)</w:t>
      </w:r>
      <w:r>
        <w:rPr>
          <w:rFonts w:eastAsia="TimesNewRoman" w:cs="TimesNewRoman"/>
        </w:rPr>
        <w:t xml:space="preserve">, </w:t>
      </w:r>
      <w:r w:rsidRPr="009B2F7C">
        <w:rPr>
          <w:rFonts w:eastAsia="TimesNewRoman" w:cs="TimesNewRoman"/>
        </w:rPr>
        <w:t xml:space="preserve">IBS is a functional </w:t>
      </w:r>
      <w:r>
        <w:rPr>
          <w:rFonts w:eastAsia="TimesNewRoman" w:cs="TimesNewRoman"/>
        </w:rPr>
        <w:t>GI disorder that is characteris</w:t>
      </w:r>
      <w:r w:rsidRPr="009B2F7C">
        <w:rPr>
          <w:rFonts w:eastAsia="TimesNewRoman" w:cs="TimesNewRoman"/>
        </w:rPr>
        <w:t>ed by symptoms of abdominal discomfort or pain associated with altered bowel movement characteristics</w:t>
      </w:r>
      <w:r w:rsidRPr="0025673D">
        <w:rPr>
          <w:rFonts w:eastAsia="TimesNewRoman" w:cs="TimesNewRoman"/>
          <w:color w:val="000000"/>
        </w:rPr>
        <w:t>.</w:t>
      </w:r>
      <w:r w:rsidRPr="00A40F30">
        <w:rPr>
          <w:rFonts w:eastAsia="TimesNewRoman" w:cs="TimesNewRoman"/>
          <w:color w:val="000000"/>
          <w:vertAlign w:val="superscript"/>
        </w:rPr>
        <w:fldChar w:fldCharType="begin"/>
      </w:r>
      <w:r w:rsidRPr="00A40F30">
        <w:rPr>
          <w:rFonts w:eastAsia="TimesNewRoman" w:cs="TimesNewRoman"/>
          <w:color w:val="000000"/>
          <w:vertAlign w:val="superscript"/>
        </w:rPr>
        <w:instrText xml:space="preserve"> NOTEREF _Ref510002842 \h </w:instrText>
      </w:r>
      <w:r>
        <w:rPr>
          <w:rFonts w:eastAsia="TimesNewRoman" w:cs="TimesNewRoman"/>
          <w:color w:val="000000"/>
          <w:vertAlign w:val="superscript"/>
        </w:rPr>
        <w:instrText xml:space="preserve"> \* MERGEFORMAT </w:instrText>
      </w:r>
      <w:r w:rsidRPr="00A40F30">
        <w:rPr>
          <w:rFonts w:eastAsia="TimesNewRoman" w:cs="TimesNewRoman"/>
          <w:color w:val="000000"/>
          <w:vertAlign w:val="superscript"/>
        </w:rPr>
      </w:r>
      <w:r w:rsidRPr="00A40F30">
        <w:rPr>
          <w:rFonts w:eastAsia="TimesNewRoman" w:cs="TimesNewRoman"/>
          <w:color w:val="000000"/>
          <w:vertAlign w:val="superscript"/>
        </w:rPr>
        <w:fldChar w:fldCharType="separate"/>
      </w:r>
      <w:r w:rsidR="008D57E9">
        <w:rPr>
          <w:rFonts w:eastAsia="TimesNewRoman" w:cs="TimesNewRoman"/>
          <w:color w:val="000000"/>
          <w:vertAlign w:val="superscript"/>
        </w:rPr>
        <w:t>1</w:t>
      </w:r>
      <w:r w:rsidRPr="00A40F30">
        <w:rPr>
          <w:rFonts w:eastAsia="TimesNewRoman" w:cs="TimesNewRoman"/>
          <w:color w:val="000000"/>
          <w:vertAlign w:val="superscript"/>
        </w:rPr>
        <w:fldChar w:fldCharType="end"/>
      </w:r>
      <w:r w:rsidRPr="00374D5D">
        <w:rPr>
          <w:rFonts w:eastAsia="TimesNewRoman" w:cs="TimesNewRoman"/>
          <w:color w:val="000000"/>
        </w:rPr>
        <w:t xml:space="preserve"> </w:t>
      </w:r>
      <w:r w:rsidRPr="009B2F7C">
        <w:rPr>
          <w:rFonts w:eastAsia="TimesNewRoman" w:cs="TimesNewRoman"/>
        </w:rPr>
        <w:t>IBS with predominant</w:t>
      </w:r>
      <w:r w:rsidRPr="009B2F7C">
        <w:rPr>
          <w:rFonts w:eastAsia="TimesNewRoman" w:cs="TimesNewRoman"/>
          <w:b/>
        </w:rPr>
        <w:t xml:space="preserve"> </w:t>
      </w:r>
      <w:r w:rsidRPr="009B2F7C">
        <w:rPr>
          <w:rFonts w:eastAsia="TimesNewRoman" w:cs="TimesNewRoman"/>
        </w:rPr>
        <w:t xml:space="preserve">chronic or recurrent diarrhoea (IBS-d) is a subset of IBS and requires proper diagnosis, given that IBS </w:t>
      </w:r>
      <w:r>
        <w:rPr>
          <w:rFonts w:eastAsia="TimesNewRoman" w:cs="TimesNewRoman"/>
        </w:rPr>
        <w:t xml:space="preserve">appears </w:t>
      </w:r>
      <w:r>
        <w:rPr>
          <w:rFonts w:eastAsia="TimesNewRoman" w:cs="TimesNewRoman"/>
        </w:rPr>
        <w:lastRenderedPageBreak/>
        <w:t xml:space="preserve">to be </w:t>
      </w:r>
      <w:r w:rsidRPr="009B2F7C">
        <w:rPr>
          <w:rFonts w:eastAsia="TimesNewRoman" w:cs="TimesNewRoman"/>
        </w:rPr>
        <w:t>a diagnosis of exclusion. Pharmacological agents with specificity fo</w:t>
      </w:r>
      <w:r>
        <w:rPr>
          <w:rFonts w:eastAsia="TimesNewRoman" w:cs="TimesNewRoman"/>
        </w:rPr>
        <w:t>r IBS-d type symptoms are rare.</w:t>
      </w:r>
    </w:p>
    <w:p w:rsidR="00A40F30" w:rsidRPr="002E3010" w:rsidRDefault="00A40F30" w:rsidP="00A40F30">
      <w:pPr>
        <w:rPr>
          <w:rFonts w:eastAsia="TimesNewRoman" w:cs="TimesNewRoman"/>
        </w:rPr>
      </w:pPr>
      <w:r w:rsidRPr="009B2F7C">
        <w:rPr>
          <w:rFonts w:eastAsia="TimesNewRoman" w:cs="TimesNewRoman"/>
        </w:rPr>
        <w:t>The beneficial effects of eluxadoline in treating IBS-d arise via local action within the GI</w:t>
      </w:r>
      <w:r w:rsidR="00365268">
        <w:rPr>
          <w:rFonts w:eastAsia="TimesNewRoman" w:cs="TimesNewRoman"/>
        </w:rPr>
        <w:t> </w:t>
      </w:r>
      <w:r w:rsidRPr="009B2F7C">
        <w:rPr>
          <w:rFonts w:eastAsia="TimesNewRoman" w:cs="TimesNewRoman"/>
        </w:rPr>
        <w:t xml:space="preserve">tract, where the extensive </w:t>
      </w:r>
      <w:r w:rsidRPr="002E3010">
        <w:rPr>
          <w:rFonts w:eastAsia="TimesNewRoman" w:cs="TimesNewRoman"/>
        </w:rPr>
        <w:t>expression of opioid receptors plays a key role in regulating GI motility, secretion, and visceral sensation.</w:t>
      </w:r>
      <w:r w:rsidRPr="002E3010">
        <w:rPr>
          <w:rFonts w:eastAsia="TimesNewRoman" w:cs="TimesNewRoman"/>
          <w:vertAlign w:val="superscript"/>
        </w:rPr>
        <w:fldChar w:fldCharType="begin"/>
      </w:r>
      <w:r w:rsidRPr="002E3010">
        <w:rPr>
          <w:rFonts w:eastAsia="TimesNewRoman" w:cs="TimesNewRoman"/>
          <w:vertAlign w:val="superscript"/>
        </w:rPr>
        <w:instrText xml:space="preserve"> NOTEREF _Ref510009264 \h  \* MERGEFORMAT </w:instrText>
      </w:r>
      <w:r w:rsidRPr="002E3010">
        <w:rPr>
          <w:rFonts w:eastAsia="TimesNewRoman" w:cs="TimesNewRoman"/>
          <w:vertAlign w:val="superscript"/>
        </w:rPr>
      </w:r>
      <w:r w:rsidRPr="002E3010">
        <w:rPr>
          <w:rFonts w:eastAsia="TimesNewRoman" w:cs="TimesNewRoman"/>
          <w:vertAlign w:val="superscript"/>
        </w:rPr>
        <w:fldChar w:fldCharType="separate"/>
      </w:r>
      <w:r w:rsidR="008D57E9">
        <w:rPr>
          <w:rFonts w:eastAsia="TimesNewRoman" w:cs="TimesNewRoman"/>
          <w:vertAlign w:val="superscript"/>
        </w:rPr>
        <w:t>6</w:t>
      </w:r>
      <w:r w:rsidRPr="002E3010">
        <w:rPr>
          <w:rFonts w:eastAsia="TimesNewRoman" w:cs="TimesNewRoman"/>
          <w:vertAlign w:val="superscript"/>
        </w:rPr>
        <w:fldChar w:fldCharType="end"/>
      </w:r>
    </w:p>
    <w:p w:rsidR="00A40F30" w:rsidRPr="009B2F7C" w:rsidRDefault="00A40F30" w:rsidP="00A40F30">
      <w:pPr>
        <w:rPr>
          <w:rFonts w:eastAsia="TimesNewRoman" w:cs="TimesNewRoman"/>
        </w:rPr>
      </w:pPr>
      <w:r w:rsidRPr="009B2F7C">
        <w:rPr>
          <w:rFonts w:eastAsia="TimesNewRoman" w:cs="TimesNewRoman"/>
        </w:rPr>
        <w:t xml:space="preserve">The low bioavailability of eluxadoline may reduce systemic side effects as well as the potential for abuse and dependence. While the evaluated data support the efficacy of eluxadoline in IBS-d, the latter is considered moderate. </w:t>
      </w:r>
      <w:r w:rsidR="0008268B" w:rsidRPr="009B2F7C">
        <w:rPr>
          <w:rFonts w:eastAsia="TimesNewRoman" w:cs="TimesNewRoman"/>
        </w:rPr>
        <w:t xml:space="preserve">That aside, all </w:t>
      </w:r>
      <w:r w:rsidR="0008268B">
        <w:rPr>
          <w:rFonts w:eastAsia="TimesNewRoman" w:cs="TimesNewRoman"/>
        </w:rPr>
        <w:t xml:space="preserve">the TGA </w:t>
      </w:r>
      <w:r w:rsidR="0008268B" w:rsidRPr="009B2F7C">
        <w:rPr>
          <w:rFonts w:eastAsia="TimesNewRoman" w:cs="TimesNewRoman"/>
        </w:rPr>
        <w:t>evaluators have subsequently raised no objection to the approvability of eluxadoline</w:t>
      </w:r>
      <w:r w:rsidR="0008268B">
        <w:rPr>
          <w:rFonts w:eastAsia="TimesNewRoman" w:cs="TimesNewRoman"/>
        </w:rPr>
        <w:t xml:space="preserve"> although, there are now postmarketing reports of severe pancreatitis (sometimes fatal) warranting contraindication in both the FDA and Australian PIs</w:t>
      </w:r>
      <w:r w:rsidR="0008268B" w:rsidRPr="009B2F7C">
        <w:rPr>
          <w:rFonts w:eastAsia="TimesNewRoman" w:cs="TimesNewRoman"/>
        </w:rPr>
        <w:t>.</w:t>
      </w:r>
      <w:r w:rsidR="0008268B">
        <w:rPr>
          <w:rFonts w:eastAsia="TimesNewRoman" w:cs="TimesNewRoman"/>
        </w:rPr>
        <w:t xml:space="preserve"> The latter is in addition to the postmarketing reports of increased constipation warranting precautionary statement in the Australian PI.</w:t>
      </w:r>
    </w:p>
    <w:p w:rsidR="00A40F30" w:rsidRPr="00A9055C" w:rsidRDefault="00A9055C" w:rsidP="00A9055C">
      <w:r>
        <w:t>The TGA</w:t>
      </w:r>
      <w:r w:rsidR="00A40F30" w:rsidRPr="00A9055C">
        <w:t xml:space="preserve"> evaluators have suggested modifications to the d</w:t>
      </w:r>
      <w:r w:rsidRPr="00A9055C">
        <w:t xml:space="preserve">raft </w:t>
      </w:r>
      <w:r w:rsidR="00A40F30" w:rsidRPr="00A9055C">
        <w:t xml:space="preserve">PI. Regarding </w:t>
      </w:r>
      <w:r w:rsidR="00CC6D17">
        <w:t xml:space="preserve">the </w:t>
      </w:r>
      <w:r w:rsidR="00A40F30" w:rsidRPr="00A9055C">
        <w:t xml:space="preserve">RMP, the sponsor is requested to harmonise the proposed Australian </w:t>
      </w:r>
      <w:r w:rsidR="00365268" w:rsidRPr="00365268">
        <w:t>‘</w:t>
      </w:r>
      <w:r w:rsidR="00A40F30" w:rsidRPr="00543B66">
        <w:t>Contraindications</w:t>
      </w:r>
      <w:r w:rsidR="00365268">
        <w:t>’</w:t>
      </w:r>
      <w:r w:rsidR="00A40F30" w:rsidRPr="00365268">
        <w:t xml:space="preserve"> </w:t>
      </w:r>
      <w:r w:rsidR="00A40F30" w:rsidRPr="00A9055C">
        <w:t>with those of the EU.</w:t>
      </w:r>
    </w:p>
    <w:p w:rsidR="008336A5" w:rsidRDefault="008336A5" w:rsidP="008336A5">
      <w:pPr>
        <w:pStyle w:val="Heading4"/>
      </w:pPr>
      <w:r>
        <w:t>Summary of Issues</w:t>
      </w:r>
    </w:p>
    <w:p w:rsidR="008336A5" w:rsidRDefault="001A69B8" w:rsidP="008336A5">
      <w:r>
        <w:t>The TGA e</w:t>
      </w:r>
      <w:r w:rsidR="008336A5">
        <w:t xml:space="preserve">valuators have raised no objection to the approvability of eluxadoline. However, in addition to some hints from the gamut of clinical data provided, there are recent postmarketing reports </w:t>
      </w:r>
      <w:r w:rsidR="00E00557">
        <w:t>(</w:t>
      </w:r>
      <w:r w:rsidR="00584325">
        <w:t>see italicised text below</w:t>
      </w:r>
      <w:r w:rsidR="00E00557">
        <w:t>)</w:t>
      </w:r>
      <w:r w:rsidR="008336A5">
        <w:t xml:space="preserve"> of severe pancreatitis (sometimes fatal) in patients without a gallbladder, qualifying for contraindication in both the FDA and </w:t>
      </w:r>
      <w:r w:rsidR="00E00557">
        <w:t xml:space="preserve">Australian </w:t>
      </w:r>
      <w:r w:rsidR="008336A5">
        <w:t>PIs in that population sub</w:t>
      </w:r>
      <w:r w:rsidR="0008268B">
        <w:t>group. The</w:t>
      </w:r>
      <w:r w:rsidR="008336A5">
        <w:t xml:space="preserve"> latter is in addition to the overall </w:t>
      </w:r>
      <w:r w:rsidR="00E57717">
        <w:t>postmarket</w:t>
      </w:r>
      <w:r w:rsidR="008336A5">
        <w:t>ing reports of increased constipation warranting precautionary statement, in the A</w:t>
      </w:r>
      <w:r>
        <w:t>ustralian</w:t>
      </w:r>
      <w:r w:rsidR="008336A5">
        <w:t xml:space="preserve"> PI.</w:t>
      </w:r>
    </w:p>
    <w:p w:rsidR="00584325" w:rsidRPr="002C6855" w:rsidRDefault="00584325" w:rsidP="00584325">
      <w:pPr>
        <w:autoSpaceDE w:val="0"/>
        <w:autoSpaceDN w:val="0"/>
        <w:ind w:left="720"/>
        <w:rPr>
          <w:rFonts w:asciiTheme="minorHAnsi" w:hAnsiTheme="minorHAnsi"/>
        </w:rPr>
      </w:pPr>
      <w:r w:rsidRPr="00584325">
        <w:rPr>
          <w:rFonts w:asciiTheme="minorHAnsi" w:hAnsiTheme="minorHAnsi"/>
          <w:i/>
        </w:rPr>
        <w:t>In clinical trials, some of these events of SO spasm and pancreatitis led to brief hospitalizations, but all had favourable outcomes with no sequelae. In the post-marketing setting, severe cases of acute pancreatitis, sometimes fatal, were observed following the use of eluxadoline in patients without a gallbladder. As a result, both the FDA and the Sponsor have determined that the benefit-risk balance in this patient population is no longer favourable. Therefore, the Sponsor is updating the United States Prescribing Information (USPI) and the proposed Australian labelling to include a contraindication for eluxadoline use in patients who do not have a gallbladder. As all cases of SO spasm in clinical trials and approximately 85% of SO/pancreatitis cases in the post marketing setting have been reported in patients without a gallbladder (100% of cases that would be classified as severe), the inclusion of this contraindication in the Australian PI, would serve to significantly reduce the most significant risk associated with eluxadoline, thereby reinforcing the positive benefit-risk balance of eluxadoline</w:t>
      </w:r>
    </w:p>
    <w:p w:rsidR="00D23139" w:rsidRDefault="00D23139" w:rsidP="00D23139">
      <w:pPr>
        <w:pStyle w:val="Heading4"/>
      </w:pPr>
      <w:r w:rsidRPr="00D23139">
        <w:t>Proposed action</w:t>
      </w:r>
    </w:p>
    <w:p w:rsidR="008336A5" w:rsidRDefault="008336A5" w:rsidP="008336A5">
      <w:r>
        <w:t xml:space="preserve">Based on the available evidence from the evaluated submitted data, </w:t>
      </w:r>
      <w:r w:rsidR="001A69B8">
        <w:t xml:space="preserve">the Delegate was </w:t>
      </w:r>
      <w:r>
        <w:t>inclined at this stage to favour the approval of the application subject to resolving issues</w:t>
      </w:r>
      <w:r w:rsidR="00785F4E">
        <w:t xml:space="preserve"> </w:t>
      </w:r>
      <w:r>
        <w:t>arising from the ACM deliberations and finalising matters pertaining to the</w:t>
      </w:r>
      <w:r w:rsidR="00785F4E">
        <w:t xml:space="preserve"> </w:t>
      </w:r>
      <w:r>
        <w:t>suggested</w:t>
      </w:r>
      <w:r w:rsidR="00785F4E">
        <w:t xml:space="preserve"> </w:t>
      </w:r>
      <w:r>
        <w:t>d</w:t>
      </w:r>
      <w:r w:rsidR="000F77DE">
        <w:t xml:space="preserve">raft </w:t>
      </w:r>
      <w:r>
        <w:t>PI modifications</w:t>
      </w:r>
      <w:r w:rsidR="00785F4E">
        <w:t xml:space="preserve"> </w:t>
      </w:r>
      <w:r>
        <w:t>as per the</w:t>
      </w:r>
      <w:r w:rsidR="0064440E">
        <w:t xml:space="preserve"> </w:t>
      </w:r>
      <w:r w:rsidR="001A69B8">
        <w:t xml:space="preserve">nonclinical, clinical and </w:t>
      </w:r>
      <w:r>
        <w:t>RMP evaluators to the satisfaction of the TGA.</w:t>
      </w:r>
    </w:p>
    <w:p w:rsidR="00D23139" w:rsidRDefault="00D23139" w:rsidP="00D23139">
      <w:pPr>
        <w:pStyle w:val="Heading4"/>
      </w:pPr>
      <w:r w:rsidRPr="00D23139">
        <w:t>Request for ACM advice</w:t>
      </w:r>
    </w:p>
    <w:p w:rsidR="0064440E" w:rsidRDefault="008336A5" w:rsidP="008336A5">
      <w:r>
        <w:t xml:space="preserve">Approvability of the submission based on moderate efficacy finding </w:t>
      </w:r>
      <w:r w:rsidR="000F77DE">
        <w:t xml:space="preserve">for eluxadoline </w:t>
      </w:r>
      <w:r>
        <w:t>for the proposed indication, given the recent</w:t>
      </w:r>
      <w:r w:rsidR="00785F4E">
        <w:t xml:space="preserve"> </w:t>
      </w:r>
      <w:r>
        <w:t>post</w:t>
      </w:r>
      <w:r w:rsidR="0064440E">
        <w:t>market</w:t>
      </w:r>
      <w:r w:rsidR="00785F4E">
        <w:t xml:space="preserve"> </w:t>
      </w:r>
      <w:r w:rsidR="0064440E">
        <w:t>emergent reports of:</w:t>
      </w:r>
    </w:p>
    <w:p w:rsidR="008336A5" w:rsidRDefault="002728C9" w:rsidP="00543B66">
      <w:pPr>
        <w:pStyle w:val="Numberbullet0"/>
        <w:numPr>
          <w:ilvl w:val="0"/>
          <w:numId w:val="49"/>
        </w:numPr>
      </w:pPr>
      <w:r>
        <w:lastRenderedPageBreak/>
        <w:t xml:space="preserve">Increased </w:t>
      </w:r>
      <w:r w:rsidR="008336A5">
        <w:t>of severe cases of acute pancreatitis, sometimes fatal, that were observed following the use of eluxadoline in patients without a gallbladder</w:t>
      </w:r>
      <w:r w:rsidR="002872FF">
        <w:t>;</w:t>
      </w:r>
      <w:r w:rsidR="008336A5">
        <w:t xml:space="preserve"> </w:t>
      </w:r>
      <w:r>
        <w:t>(</w:t>
      </w:r>
      <w:r w:rsidR="008336A5">
        <w:t>N</w:t>
      </w:r>
      <w:r>
        <w:t>ote</w:t>
      </w:r>
      <w:r w:rsidR="008336A5">
        <w:t xml:space="preserve">: Now a contraindication in both the US </w:t>
      </w:r>
      <w:r w:rsidR="005D299B">
        <w:t>and</w:t>
      </w:r>
      <w:r w:rsidR="008336A5">
        <w:t xml:space="preserve"> </w:t>
      </w:r>
      <w:r w:rsidR="005D299B">
        <w:t xml:space="preserve">Australian </w:t>
      </w:r>
      <w:r w:rsidR="008336A5">
        <w:t>PIs</w:t>
      </w:r>
      <w:r>
        <w:t>)</w:t>
      </w:r>
      <w:r w:rsidR="008336A5">
        <w:t>.</w:t>
      </w:r>
    </w:p>
    <w:p w:rsidR="008336A5" w:rsidRDefault="002728C9" w:rsidP="002872FF">
      <w:pPr>
        <w:pStyle w:val="Numberbullet0"/>
      </w:pPr>
      <w:r>
        <w:t>SAEs</w:t>
      </w:r>
      <w:r w:rsidR="008336A5">
        <w:t xml:space="preserve"> of constipation</w:t>
      </w:r>
      <w:r w:rsidR="00785F4E">
        <w:t xml:space="preserve"> </w:t>
      </w:r>
      <w:r w:rsidR="008336A5">
        <w:t>req</w:t>
      </w:r>
      <w:r w:rsidR="005D299B">
        <w:t>uiring hospitalis</w:t>
      </w:r>
      <w:r w:rsidR="008336A5">
        <w:t>ation or medical intervention prior to 4 days of symptom onset</w:t>
      </w:r>
      <w:r w:rsidR="002872FF">
        <w:t>;</w:t>
      </w:r>
      <w:r w:rsidR="008336A5">
        <w:t xml:space="preserve"> </w:t>
      </w:r>
      <w:r>
        <w:t xml:space="preserve">(Note: The </w:t>
      </w:r>
      <w:r w:rsidR="005D299B">
        <w:t xml:space="preserve">Australian </w:t>
      </w:r>
      <w:r w:rsidR="008336A5">
        <w:t>PI now has a precautionary statement</w:t>
      </w:r>
      <w:r w:rsidR="00785F4E">
        <w:t xml:space="preserve"> </w:t>
      </w:r>
      <w:r w:rsidR="008336A5">
        <w:t>on the issue</w:t>
      </w:r>
      <w:r>
        <w:t>).</w:t>
      </w:r>
    </w:p>
    <w:p w:rsidR="008336A5" w:rsidRDefault="0064440E" w:rsidP="008336A5">
      <w:r>
        <w:t>T</w:t>
      </w:r>
      <w:r w:rsidR="008336A5">
        <w:t>he committee is also requested to provide advice on any other issues that it</w:t>
      </w:r>
      <w:r w:rsidR="00785F4E">
        <w:t xml:space="preserve"> </w:t>
      </w:r>
      <w:r w:rsidR="008336A5">
        <w:t>thinks may be relevant to a decision on whether or not to approve this application</w:t>
      </w:r>
      <w:r w:rsidR="002728C9">
        <w:t>.</w:t>
      </w:r>
    </w:p>
    <w:p w:rsidR="00D23139" w:rsidRDefault="00A146D6" w:rsidP="00D23139">
      <w:pPr>
        <w:pStyle w:val="Heading4"/>
      </w:pPr>
      <w:r>
        <w:t xml:space="preserve">Response from </w:t>
      </w:r>
      <w:r w:rsidR="002728C9">
        <w:t>sponsor</w:t>
      </w:r>
    </w:p>
    <w:p w:rsidR="00A146D6" w:rsidRDefault="007D3174" w:rsidP="007D3174">
      <w:pPr>
        <w:pStyle w:val="Heading5"/>
      </w:pPr>
      <w:r>
        <w:t>Sponsor’s comments on evaluations</w:t>
      </w:r>
    </w:p>
    <w:p w:rsidR="00A146D6" w:rsidRDefault="007D3174" w:rsidP="00A146D6">
      <w:r>
        <w:t>The sponsor</w:t>
      </w:r>
      <w:r w:rsidR="00A146D6">
        <w:t xml:space="preserve"> agrees with the recommendation of the Delegate to approve the application for eluxadoline and to amend the Australian PI as suggested by the Delegate. As indicated in the </w:t>
      </w:r>
      <w:r w:rsidR="005D299B">
        <w:t>s</w:t>
      </w:r>
      <w:r w:rsidR="00A146D6">
        <w:t>ponsor’s comments on the PI document, the Delegate’s recommendations have been addressed and adopted in the latest draft PI version provided to the TGA.</w:t>
      </w:r>
    </w:p>
    <w:p w:rsidR="00A146D6" w:rsidRDefault="007D3174" w:rsidP="00A146D6">
      <w:r>
        <w:t>The sponsor</w:t>
      </w:r>
      <w:r w:rsidR="00A146D6">
        <w:t xml:space="preserve"> comments on the issues for which the advice of the ACM is sought, as outlined in the Delegate’s Overview, are presented below.</w:t>
      </w:r>
    </w:p>
    <w:p w:rsidR="00A146D6" w:rsidRDefault="00A146D6" w:rsidP="0064440E">
      <w:pPr>
        <w:pStyle w:val="Heading5"/>
      </w:pPr>
      <w:r>
        <w:t xml:space="preserve">ACM </w:t>
      </w:r>
      <w:r w:rsidR="002728C9">
        <w:t>a</w:t>
      </w:r>
      <w:r>
        <w:t>dvice sought by the Delegate</w:t>
      </w:r>
    </w:p>
    <w:p w:rsidR="00A146D6" w:rsidRPr="005D299B" w:rsidRDefault="002728C9" w:rsidP="00543B66">
      <w:pPr>
        <w:ind w:left="720"/>
        <w:rPr>
          <w:i/>
        </w:rPr>
      </w:pPr>
      <w:r>
        <w:rPr>
          <w:i/>
        </w:rPr>
        <w:t>‘</w:t>
      </w:r>
      <w:r w:rsidR="00A146D6" w:rsidRPr="005D299B">
        <w:rPr>
          <w:i/>
        </w:rPr>
        <w:t xml:space="preserve">Approvability of the submission based on moderate efficacy finding </w:t>
      </w:r>
      <w:r w:rsidR="009F1075">
        <w:rPr>
          <w:i/>
        </w:rPr>
        <w:t xml:space="preserve">for eluxadoline </w:t>
      </w:r>
      <w:r w:rsidR="00A146D6" w:rsidRPr="005D299B">
        <w:rPr>
          <w:i/>
        </w:rPr>
        <w:t>for the proposed indication, given the recent post marketing emergent reports of:</w:t>
      </w:r>
    </w:p>
    <w:p w:rsidR="002728C9" w:rsidRPr="00543B66" w:rsidRDefault="002728C9" w:rsidP="002728C9">
      <w:pPr>
        <w:pStyle w:val="Numberbullet0"/>
        <w:numPr>
          <w:ilvl w:val="0"/>
          <w:numId w:val="50"/>
        </w:numPr>
        <w:rPr>
          <w:i/>
        </w:rPr>
      </w:pPr>
      <w:r w:rsidRPr="00543B66">
        <w:rPr>
          <w:i/>
        </w:rPr>
        <w:t>Increased of severe cases of acute pancreatitis, sometimes fatal, that were observed following the use of eluxadoline in patients without a gallbladder (Note: Now a contraindication in both the US and Australian PIs)</w:t>
      </w:r>
      <w:r w:rsidR="002872FF">
        <w:rPr>
          <w:i/>
        </w:rPr>
        <w:t>’</w:t>
      </w:r>
      <w:r w:rsidRPr="00543B66">
        <w:rPr>
          <w:i/>
        </w:rPr>
        <w:t>.</w:t>
      </w:r>
    </w:p>
    <w:p w:rsidR="00A146D6" w:rsidRDefault="00A146D6" w:rsidP="00A146D6">
      <w:r>
        <w:t xml:space="preserve">4 cases of moderately severe to severe pancreatitis have been reported from the time of the International Birth Date of eluxadoline on 27 May 2015 to 31 August 2017. The receipt of these 4 cases prompted the </w:t>
      </w:r>
      <w:r w:rsidR="005D299B">
        <w:t>s</w:t>
      </w:r>
      <w:r>
        <w:t>ponsor to conduct a signal assessment to examine cumulative cases of pancreatitis, including those associated with local/systemic complications, organ failure, and/or death, the results of which may be found in the Eluxadoline Periodic Safety Update Report (PSUR) 1.0. Apart from the above 4 cases, the cases of pancreatitis from the cumulative postmarketing experience appear consistent with those seen in the eluxadoline clinical trials (</w:t>
      </w:r>
      <w:r w:rsidR="005D299B">
        <w:t>for example,</w:t>
      </w:r>
      <w:r>
        <w:t xml:space="preserve"> all cases were considered mild and, where known, nearly all were recovered or improving at the time of reporting). The majority of the </w:t>
      </w:r>
      <w:r w:rsidR="00E57717">
        <w:t>postmarket</w:t>
      </w:r>
      <w:r>
        <w:t xml:space="preserve">ing pancreatitis cases describe known safety concerns associated with eluxadoline. Amongst cases where gallbladder status was known, approximately 80% of cases occurred in patients without a gallbladder. Importantly, all 4 moderately severe to severe cases of pancreatitis occurred in patients without a gallbladder. Aside from the 4 moderately severe to severe cases under review, the </w:t>
      </w:r>
      <w:r w:rsidR="00E57717">
        <w:t>postmarket</w:t>
      </w:r>
      <w:r>
        <w:t xml:space="preserve">ing pancreatitis cases did not indicate any local or systemic complications, organ failure, or fatal outcomes and would be considered mild according to the </w:t>
      </w:r>
      <w:r w:rsidR="0050013F">
        <w:t xml:space="preserve">revised </w:t>
      </w:r>
      <w:r>
        <w:t>Atlanta Classification criteria, based on the available information in the reports.</w:t>
      </w:r>
    </w:p>
    <w:p w:rsidR="00A146D6" w:rsidRDefault="00A146D6" w:rsidP="00A146D6">
      <w:r>
        <w:t>Upon completion</w:t>
      </w:r>
      <w:r w:rsidR="005D299B">
        <w:t xml:space="preserve"> of the signal assessment, the s</w:t>
      </w:r>
      <w:r>
        <w:t xml:space="preserve">ponsor subsequently updated their Company Core Data Sheet (CCDS) and the US Prescribing Information (USPI) in April 2017 to include a contraindication for eluxadoline use in patients who do not have a gallbladder, thus aligning the US PI with all approved markets globally. Since the US PI update, there have been no new cases of moderately severe to severe pancreatitis reported. Additionally, since product launch in the EU in April 2017 and in Canada in April 2017, regions where a contraindication of use in patients without a gallbladder has been in place since approval, there have been no reported cases of pancreatitis in either of these regions. As all cases of </w:t>
      </w:r>
      <w:r w:rsidR="005E5841">
        <w:t xml:space="preserve">sphincter </w:t>
      </w:r>
      <w:r w:rsidR="00B05B61">
        <w:t xml:space="preserve">of Oddi </w:t>
      </w:r>
      <w:r>
        <w:t xml:space="preserve">spasm in clinical trials and over 80% of </w:t>
      </w:r>
      <w:r w:rsidR="005E5841">
        <w:t xml:space="preserve">sphincter </w:t>
      </w:r>
      <w:r w:rsidR="005E5841">
        <w:lastRenderedPageBreak/>
        <w:t>of Oddi</w:t>
      </w:r>
      <w:r>
        <w:t xml:space="preserve">/pancreatitis cases in the </w:t>
      </w:r>
      <w:r w:rsidR="00E57717">
        <w:t>postmarket</w:t>
      </w:r>
      <w:r>
        <w:t>ing setting have been reported in patients without a gallbladder (100% of cases that could be classified as moderately severe to severe), the inclusion of this contraindication globally has dramatically reduced the most significant risk associated with eluxadoline, thereby reinforcing the positive benefit-risk balance of eluxadoline.</w:t>
      </w:r>
    </w:p>
    <w:p w:rsidR="002872FF" w:rsidRPr="00543B66" w:rsidRDefault="002872FF" w:rsidP="00543B66">
      <w:pPr>
        <w:ind w:left="720"/>
        <w:rPr>
          <w:i/>
        </w:rPr>
      </w:pPr>
      <w:r>
        <w:rPr>
          <w:i/>
        </w:rPr>
        <w:t>‘</w:t>
      </w:r>
      <w:r w:rsidRPr="005D299B">
        <w:rPr>
          <w:i/>
        </w:rPr>
        <w:t xml:space="preserve">Approvability of the submission based on moderate efficacy finding </w:t>
      </w:r>
      <w:r>
        <w:rPr>
          <w:i/>
        </w:rPr>
        <w:t xml:space="preserve">for eluxadoline </w:t>
      </w:r>
      <w:r w:rsidRPr="005D299B">
        <w:rPr>
          <w:i/>
        </w:rPr>
        <w:t>for the proposed indication, given the recent post marketing emergent reports of:</w:t>
      </w:r>
    </w:p>
    <w:p w:rsidR="00A146D6" w:rsidRPr="005D299B" w:rsidRDefault="00A146D6" w:rsidP="0064440E">
      <w:pPr>
        <w:pStyle w:val="Numberbullet0"/>
        <w:rPr>
          <w:i/>
        </w:rPr>
      </w:pPr>
      <w:r w:rsidRPr="005D299B">
        <w:rPr>
          <w:i/>
        </w:rPr>
        <w:t>Serious adverse events of constipation requiring hospitalization or medical intervention prior to 4 days of symptom onset</w:t>
      </w:r>
      <w:r w:rsidR="002872FF">
        <w:rPr>
          <w:i/>
        </w:rPr>
        <w:t>;</w:t>
      </w:r>
      <w:r w:rsidRPr="005D299B">
        <w:rPr>
          <w:i/>
        </w:rPr>
        <w:t xml:space="preserve"> </w:t>
      </w:r>
      <w:r w:rsidR="002872FF">
        <w:rPr>
          <w:i/>
        </w:rPr>
        <w:t>(</w:t>
      </w:r>
      <w:r w:rsidRPr="005D299B">
        <w:rPr>
          <w:i/>
        </w:rPr>
        <w:t>N</w:t>
      </w:r>
      <w:r w:rsidR="002872FF">
        <w:rPr>
          <w:i/>
        </w:rPr>
        <w:t>ote</w:t>
      </w:r>
      <w:r w:rsidRPr="005D299B">
        <w:rPr>
          <w:i/>
        </w:rPr>
        <w:t xml:space="preserve">: </w:t>
      </w:r>
      <w:r w:rsidR="002872FF">
        <w:rPr>
          <w:i/>
        </w:rPr>
        <w:t xml:space="preserve">The </w:t>
      </w:r>
      <w:r w:rsidR="005D299B" w:rsidRPr="005D299B">
        <w:rPr>
          <w:i/>
        </w:rPr>
        <w:t xml:space="preserve">Australian </w:t>
      </w:r>
      <w:r w:rsidRPr="005D299B">
        <w:rPr>
          <w:i/>
        </w:rPr>
        <w:t>PI now has a precautionary statement on the issue</w:t>
      </w:r>
      <w:r w:rsidR="002872FF">
        <w:rPr>
          <w:i/>
        </w:rPr>
        <w:t>’</w:t>
      </w:r>
      <w:r w:rsidRPr="005D299B">
        <w:rPr>
          <w:i/>
        </w:rPr>
        <w:t>.</w:t>
      </w:r>
    </w:p>
    <w:p w:rsidR="00A146D6" w:rsidRDefault="00A146D6" w:rsidP="00A146D6">
      <w:r>
        <w:t xml:space="preserve">The original approved language in the USPI (as well as the originally proposed language for the Australian PI) stated that patients should discontinue </w:t>
      </w:r>
      <w:r w:rsidR="00047FA2">
        <w:t>Viberzi</w:t>
      </w:r>
      <w:r>
        <w:t xml:space="preserve"> if they develop severe constipation for more than 4 days:</w:t>
      </w:r>
    </w:p>
    <w:p w:rsidR="00A146D6" w:rsidRDefault="007066C7" w:rsidP="00543B66">
      <w:pPr>
        <w:ind w:left="720"/>
      </w:pPr>
      <w:r>
        <w:t>‘</w:t>
      </w:r>
      <w:r w:rsidR="00A146D6" w:rsidRPr="005D299B">
        <w:rPr>
          <w:i/>
        </w:rPr>
        <w:t xml:space="preserve">Discontinue </w:t>
      </w:r>
      <w:r w:rsidR="00047FA2" w:rsidRPr="005D299B">
        <w:rPr>
          <w:i/>
        </w:rPr>
        <w:t>Viberzi</w:t>
      </w:r>
      <w:r w:rsidR="00A146D6" w:rsidRPr="005D299B">
        <w:rPr>
          <w:i/>
        </w:rPr>
        <w:t xml:space="preserve"> in patients who develop severe constipation for more</w:t>
      </w:r>
      <w:r w:rsidR="002872FF">
        <w:rPr>
          <w:i/>
        </w:rPr>
        <w:t> </w:t>
      </w:r>
      <w:r w:rsidR="00A146D6" w:rsidRPr="005D299B">
        <w:rPr>
          <w:i/>
        </w:rPr>
        <w:t>than</w:t>
      </w:r>
      <w:r w:rsidR="002872FF">
        <w:rPr>
          <w:i/>
        </w:rPr>
        <w:t> </w:t>
      </w:r>
      <w:r w:rsidR="00A146D6" w:rsidRPr="005D299B">
        <w:rPr>
          <w:i/>
        </w:rPr>
        <w:t>4</w:t>
      </w:r>
      <w:r w:rsidR="002872FF">
        <w:rPr>
          <w:i/>
        </w:rPr>
        <w:t> </w:t>
      </w:r>
      <w:r w:rsidR="00A146D6" w:rsidRPr="005D299B">
        <w:rPr>
          <w:i/>
        </w:rPr>
        <w:t>days</w:t>
      </w:r>
      <w:r w:rsidR="00A146D6">
        <w:t>.</w:t>
      </w:r>
      <w:r>
        <w:t>’</w:t>
      </w:r>
    </w:p>
    <w:p w:rsidR="00A146D6" w:rsidRDefault="007D3174" w:rsidP="00A146D6">
      <w:r>
        <w:t>The sponsor</w:t>
      </w:r>
      <w:r w:rsidR="00A146D6">
        <w:t xml:space="preserve">’s intent was that if a patient developed constipation which lasted for more than 4 days then that would be considered </w:t>
      </w:r>
      <w:r w:rsidR="007066C7">
        <w:t>‘</w:t>
      </w:r>
      <w:r w:rsidR="00A146D6">
        <w:t>severe</w:t>
      </w:r>
      <w:r w:rsidR="007066C7">
        <w:t>’</w:t>
      </w:r>
      <w:r w:rsidR="00A146D6">
        <w:t xml:space="preserve"> and the patient should discontinue treatment with </w:t>
      </w:r>
      <w:r w:rsidR="00047FA2">
        <w:t>Viberzi</w:t>
      </w:r>
      <w:r w:rsidR="00A146D6">
        <w:t xml:space="preserve">. On 15 March 2017, the sponsor received a request from the FDA stating that the recommendation to discontinue </w:t>
      </w:r>
      <w:r w:rsidR="00047FA2">
        <w:t>Viberzi</w:t>
      </w:r>
      <w:r w:rsidR="00A146D6">
        <w:t xml:space="preserve"> secondary to severe constipation should be amended to remove the requirement for 4 days’ duration given that, at the time, three </w:t>
      </w:r>
      <w:r w:rsidR="00E57717">
        <w:t>postmarket</w:t>
      </w:r>
      <w:r w:rsidR="00A146D6">
        <w:t>ing serious adverse</w:t>
      </w:r>
      <w:r w:rsidR="005D299B">
        <w:t xml:space="preserve"> event cases reported hospitalis</w:t>
      </w:r>
      <w:r w:rsidR="00A146D6">
        <w:t>ation and required medical intervention prior to 4 days of symptom onset.</w:t>
      </w:r>
    </w:p>
    <w:p w:rsidR="00A146D6" w:rsidRDefault="00B05B61" w:rsidP="00A146D6">
      <w:r>
        <w:t>Following the s</w:t>
      </w:r>
      <w:r w:rsidR="00A146D6">
        <w:t>ponsor’s review</w:t>
      </w:r>
      <w:r>
        <w:t xml:space="preserve"> of cases of constipation, the s</w:t>
      </w:r>
      <w:r w:rsidR="00A146D6">
        <w:t xml:space="preserve">ponsor agreed with the FDA’s recommendation given that the </w:t>
      </w:r>
      <w:r w:rsidR="00E57717">
        <w:t>postmarket</w:t>
      </w:r>
      <w:r w:rsidR="00A146D6">
        <w:t>ing cases indicated that c</w:t>
      </w:r>
      <w:r>
        <w:t>onstipation requiring hospitalis</w:t>
      </w:r>
      <w:r w:rsidR="00A146D6">
        <w:t>ation and/or medical intervention can occur earlier in some patients. Therefore</w:t>
      </w:r>
      <w:r>
        <w:t>, as requested by the FDA, the s</w:t>
      </w:r>
      <w:r w:rsidR="00A146D6">
        <w:t>ponsor agreed to remove language from the USPI (as well as the CCDS) specifying the number of days of constipation by which patients should be instructed to stop treatment and seek medical attention. The removal of this clause places the emphasis on the patient’s qualitative symptomatology, rather than on a quantitative duration of symptoms.</w:t>
      </w:r>
    </w:p>
    <w:p w:rsidR="00A146D6" w:rsidRDefault="00A146D6" w:rsidP="00A146D6">
      <w:r>
        <w:t>The USPI, CCDS, and proposed Australian PI, have all been updated to reflect this change. In the proposed Australian PI, it now states the following:</w:t>
      </w:r>
    </w:p>
    <w:p w:rsidR="00A146D6" w:rsidRPr="00B05B61" w:rsidRDefault="007066C7" w:rsidP="00B05B61">
      <w:pPr>
        <w:ind w:left="720"/>
        <w:rPr>
          <w:i/>
        </w:rPr>
      </w:pPr>
      <w:r w:rsidRPr="00B05B61">
        <w:rPr>
          <w:i/>
        </w:rPr>
        <w:t>‘</w:t>
      </w:r>
      <w:r w:rsidR="00A146D6" w:rsidRPr="00B05B61">
        <w:rPr>
          <w:i/>
        </w:rPr>
        <w:t xml:space="preserve">If patients develop severe constipation they should be instructed to stop </w:t>
      </w:r>
      <w:r w:rsidR="00047FA2" w:rsidRPr="00B05B61">
        <w:rPr>
          <w:i/>
        </w:rPr>
        <w:t>Viberzi</w:t>
      </w:r>
      <w:r w:rsidR="00A146D6" w:rsidRPr="00B05B61">
        <w:rPr>
          <w:i/>
        </w:rPr>
        <w:t xml:space="preserve"> and seek medical attention.</w:t>
      </w:r>
      <w:r w:rsidRPr="00B05B61">
        <w:rPr>
          <w:i/>
        </w:rPr>
        <w:t>’</w:t>
      </w:r>
    </w:p>
    <w:p w:rsidR="00A146D6" w:rsidRDefault="00A146D6" w:rsidP="00A146D6">
      <w:r>
        <w:t>As of 31 August 2017, there have been a total of 8 serious spontaneous adverse events of constipation reported since the International Birth Date of eluxadoline on 27 May 2015. Of these 8 serious cases of constipation, four were repor</w:t>
      </w:r>
      <w:r w:rsidR="00B05B61">
        <w:t>ted describing either hospitalis</w:t>
      </w:r>
      <w:r>
        <w:t>ation or the requirement for urgent medical attention/intervention prior to 4 days of symptom onset. While constipation is an identified risk with the use of eluxadoline, at this time, there is no confirmed signal for severe constipation or complications of decreased gastrointestinal motility.</w:t>
      </w:r>
    </w:p>
    <w:p w:rsidR="00A146D6" w:rsidRDefault="00A146D6" w:rsidP="00A146D6">
      <w:r>
        <w:t xml:space="preserve">The proposed language for the Australian PI (which mirrors that found in the USPI and CCDS) serves as a precautionary measure and </w:t>
      </w:r>
      <w:r w:rsidR="00904523">
        <w:t xml:space="preserve">deemphasises </w:t>
      </w:r>
      <w:r>
        <w:t>the quantitative duration of symptoms in favo</w:t>
      </w:r>
      <w:r w:rsidR="00904523">
        <w:t>u</w:t>
      </w:r>
      <w:r>
        <w:t>r of qualitative symptomatology.</w:t>
      </w:r>
    </w:p>
    <w:p w:rsidR="00A146D6" w:rsidRDefault="00A146D6" w:rsidP="0064440E">
      <w:pPr>
        <w:pStyle w:val="Heading5"/>
      </w:pPr>
      <w:r>
        <w:t>Benefit-</w:t>
      </w:r>
      <w:r w:rsidR="00904523">
        <w:t>risk analysis</w:t>
      </w:r>
    </w:p>
    <w:p w:rsidR="00A146D6" w:rsidRDefault="007D3174" w:rsidP="00A146D6">
      <w:r>
        <w:t>The sponsor</w:t>
      </w:r>
      <w:r w:rsidR="00A146D6">
        <w:t xml:space="preserve"> believes that the weight of evidence clearly supports the effectiveness of eluxadoline to treat the multiple abdominal and bowel symptoms of </w:t>
      </w:r>
      <w:r w:rsidR="00B05B61">
        <w:t>IBS-d</w:t>
      </w:r>
      <w:r w:rsidR="00A146D6">
        <w:t xml:space="preserve"> and that its availability provides a much</w:t>
      </w:r>
      <w:r w:rsidR="00904523">
        <w:t xml:space="preserve"> </w:t>
      </w:r>
      <w:r w:rsidR="00A146D6">
        <w:t xml:space="preserve">needed treatment option for patients with </w:t>
      </w:r>
      <w:r w:rsidR="00B05B61">
        <w:t>IBS-d</w:t>
      </w:r>
      <w:r w:rsidR="00A146D6">
        <w:t>.</w:t>
      </w:r>
    </w:p>
    <w:p w:rsidR="00A146D6" w:rsidRDefault="00A146D6" w:rsidP="00A146D6">
      <w:r>
        <w:lastRenderedPageBreak/>
        <w:t>In addition to demonstrating statistical superiority to placebo for the primary endpoint of composite response of simultaneous improvement in abdominal pain and stool consistency</w:t>
      </w:r>
      <w:r w:rsidR="001B1FE8">
        <w:t>,</w:t>
      </w:r>
      <w:r>
        <w:t xml:space="preserve"> the endpoint recommended by the EMA Guidelines on IBS</w:t>
      </w:r>
      <w:r w:rsidR="001B1FE8">
        <w:t>,</w:t>
      </w:r>
      <w:r>
        <w:t xml:space="preserve"> eluxadoline was also demonstrated to positively impact multiple bothersome symptoms of </w:t>
      </w:r>
      <w:r w:rsidR="00B05B61">
        <w:t>IBS-d</w:t>
      </w:r>
      <w:r>
        <w:t xml:space="preserve"> and to improve patients’ quality of life. Eluxadoline is therefore differentiated from other available treatment options for </w:t>
      </w:r>
      <w:r w:rsidR="00B05B61">
        <w:t>IBS-d</w:t>
      </w:r>
      <w:r>
        <w:t xml:space="preserve">, which typically aim at treating individual symptoms and which have not been subjected to current regulatory standards involving large, prospective, double-blind, </w:t>
      </w:r>
      <w:r w:rsidR="00C87895">
        <w:t>randomised</w:t>
      </w:r>
      <w:r w:rsidR="001B1FE8">
        <w:t xml:space="preserve"> and</w:t>
      </w:r>
      <w:r>
        <w:t xml:space="preserve"> controlled trials.</w:t>
      </w:r>
    </w:p>
    <w:p w:rsidR="00A146D6" w:rsidRDefault="00A146D6" w:rsidP="00A146D6">
      <w:r>
        <w:t>Eluxadoline has a favourable tolerability profile. In clinical trials, eluxadoline demonstrated low rates of treatment</w:t>
      </w:r>
      <w:r w:rsidR="00904523">
        <w:t xml:space="preserve"> </w:t>
      </w:r>
      <w:r>
        <w:t xml:space="preserve">emergent AEs that were generally reported at similar rates to placebo. </w:t>
      </w:r>
      <w:r w:rsidR="00E57717">
        <w:t>Postmarket</w:t>
      </w:r>
      <w:r>
        <w:t>ing data confirms the safety profile demonstrated during clinical development with the use of eluxadoline. From the approval of the product i</w:t>
      </w:r>
      <w:r w:rsidR="001B1FE8">
        <w:t>n May 2015 to August 2017, the s</w:t>
      </w:r>
      <w:r>
        <w:t xml:space="preserve">ponsor has not identified any newly confirmed safety signals in the post- marketing setting with the exception of severe pancreatitis in patients without a gallbladder. On identification of this risk, the USPI and CCDS were expeditiously updated. There have been no new serious unexpected adverse events considered causally-related to eluxadoline which warrant inclusion in the CCDS (or proposed Australian PI). A </w:t>
      </w:r>
      <w:r w:rsidR="007066C7">
        <w:t>‘</w:t>
      </w:r>
      <w:r w:rsidRPr="001B1FE8">
        <w:rPr>
          <w:i/>
        </w:rPr>
        <w:t xml:space="preserve">cumulative and interval summary tabulation of serious and non-serious adverse reactions from </w:t>
      </w:r>
      <w:r w:rsidR="00E57717">
        <w:rPr>
          <w:i/>
        </w:rPr>
        <w:t>postmarket</w:t>
      </w:r>
      <w:r w:rsidRPr="001B1FE8">
        <w:rPr>
          <w:i/>
        </w:rPr>
        <w:t>ing sources</w:t>
      </w:r>
      <w:r w:rsidR="007066C7" w:rsidRPr="001B1FE8">
        <w:rPr>
          <w:i/>
        </w:rPr>
        <w:t>’</w:t>
      </w:r>
      <w:r>
        <w:t xml:space="preserve"> may be found in the Eluxadoline PSUR 1.0.</w:t>
      </w:r>
    </w:p>
    <w:p w:rsidR="00A146D6" w:rsidRDefault="00A146D6" w:rsidP="00A146D6">
      <w:r>
        <w:t xml:space="preserve">With regards to the important identified risks of sphincter of Oddi spasm and pancreatitis, in clinical trials some of these events led </w:t>
      </w:r>
      <w:r w:rsidR="001B1FE8">
        <w:t>to brief hospitalis</w:t>
      </w:r>
      <w:r>
        <w:t xml:space="preserve">ations but all had favourable outcomes with no sequelae. In the </w:t>
      </w:r>
      <w:r w:rsidR="00E57717">
        <w:t>postmarket</w:t>
      </w:r>
      <w:r>
        <w:t xml:space="preserve">ing setting, while nearly all cases behaved in the manner described above during clinical development, four moderately severe to severe cases of acute pancreatitis, 2 of which were fatal, were observed following the use of eluxadoline in patients without a gallbladder. These four cases that constituted this signal (the only </w:t>
      </w:r>
      <w:r w:rsidR="00904523">
        <w:t xml:space="preserve">4 </w:t>
      </w:r>
      <w:r>
        <w:t xml:space="preserve">cases that were not classified as ‘mild’ per Atlanta criteria based on available data) all occurred in patients without a gallbladder and were reported in the US where the use of the 75 mg </w:t>
      </w:r>
      <w:r w:rsidR="001B1FE8">
        <w:t>bd</w:t>
      </w:r>
      <w:r>
        <w:t xml:space="preserve"> dose was recommended for this patient population.</w:t>
      </w:r>
    </w:p>
    <w:p w:rsidR="00A146D6" w:rsidRDefault="007D3174" w:rsidP="00A146D6">
      <w:r>
        <w:t>The sponsor</w:t>
      </w:r>
      <w:r w:rsidR="00A146D6">
        <w:t xml:space="preserve"> subsequently updated their CCDS and the USPI to include a contraindication for eluxadoline use in patients who do not have a gallbladder, thus aligning the USPI with all approved markets globally. Since that time, there have been no new cases of moderately severe to severe pancreatitis reported. Additionally, since product launch in the EU in April 2017 and in Canada in April 2017, there have been no reported cases of pancreatitis in either of these regions. As all cases of </w:t>
      </w:r>
      <w:r w:rsidR="00904523">
        <w:t xml:space="preserve">sphincter of Oddi </w:t>
      </w:r>
      <w:r w:rsidR="00A146D6">
        <w:t xml:space="preserve">spasm in clinical trials and over 80% of </w:t>
      </w:r>
      <w:r w:rsidR="00904523">
        <w:t xml:space="preserve">sphincter of </w:t>
      </w:r>
      <w:r w:rsidR="00A146D6">
        <w:t>O</w:t>
      </w:r>
      <w:r w:rsidR="00904523">
        <w:t>ddi</w:t>
      </w:r>
      <w:r w:rsidR="00A146D6">
        <w:t>/pancreatitis cases in the postmarketing setting have been reported in patients without a gallbladder (100% of cases that could be classified as moderately severe to severe), the inclusion of this contraindication globally has dramatically reduced the most significant risk associated with eluxadoline, thereby reinforcing the positive benefit-risk balance of eluxadoline. With regards to constipation, as previously mentioned, while an identified risk, at this time, there is no confirmed signal for severe constipation or complications of decreased gastrointestinal motility.</w:t>
      </w:r>
    </w:p>
    <w:p w:rsidR="00A146D6" w:rsidRPr="00A146D6" w:rsidRDefault="00A146D6" w:rsidP="00A146D6">
      <w:r>
        <w:t xml:space="preserve">Eluxadoline provides an important treatment option for patients with </w:t>
      </w:r>
      <w:r w:rsidR="00B05B61">
        <w:t>IBS-d</w:t>
      </w:r>
      <w:r>
        <w:t xml:space="preserve">. Given the consistent findings for the effectiveness of the product, the overall favourable tolerability profile, and the risk mitigation efforts in place for patients without a gallbladder, the </w:t>
      </w:r>
      <w:r w:rsidR="00CB7049">
        <w:t>s</w:t>
      </w:r>
      <w:r>
        <w:t>ponsor believes that the benefit-risk of eluxadoline remains positive and agrees with the recommendation of the Delegate to approve the application for eluxadoline.</w:t>
      </w:r>
    </w:p>
    <w:p w:rsidR="008E7846" w:rsidRDefault="008E7846" w:rsidP="008E7846">
      <w:pPr>
        <w:pStyle w:val="Heading4"/>
      </w:pPr>
      <w:r>
        <w:t xml:space="preserve">Advisory </w:t>
      </w:r>
      <w:r w:rsidR="00CC6D17">
        <w:t>committee considerations</w:t>
      </w:r>
    </w:p>
    <w:p w:rsidR="005A5D44" w:rsidRPr="003D39DE" w:rsidRDefault="005A5D44" w:rsidP="005A5D44">
      <w:bookmarkStart w:id="131" w:name="_Toc247691532"/>
      <w:bookmarkStart w:id="132" w:name="_Toc314842516"/>
      <w:bookmarkEnd w:id="98"/>
      <w:bookmarkEnd w:id="129"/>
      <w:bookmarkEnd w:id="130"/>
      <w:r w:rsidRPr="003D39DE">
        <w:t>The ACM taking into account the submitted evidence of efficacy, safety and quality,</w:t>
      </w:r>
      <w:r>
        <w:t xml:space="preserve"> and</w:t>
      </w:r>
      <w:r w:rsidRPr="003D39DE">
        <w:t xml:space="preserve"> </w:t>
      </w:r>
      <w:r>
        <w:t xml:space="preserve">noting the </w:t>
      </w:r>
      <w:r w:rsidRPr="003D39DE">
        <w:t>delegate</w:t>
      </w:r>
      <w:r>
        <w:t xml:space="preserve">’s concerns, </w:t>
      </w:r>
      <w:r w:rsidRPr="003D39DE">
        <w:t xml:space="preserve">considered </w:t>
      </w:r>
      <w:r w:rsidR="00EA4D94">
        <w:rPr>
          <w:noProof/>
        </w:rPr>
        <w:t>Viberzi</w:t>
      </w:r>
      <w:r w:rsidRPr="003D39DE">
        <w:t xml:space="preserve"> </w:t>
      </w:r>
      <w:r>
        <w:rPr>
          <w:noProof/>
        </w:rPr>
        <w:t>t</w:t>
      </w:r>
      <w:r w:rsidRPr="00643051">
        <w:rPr>
          <w:noProof/>
        </w:rPr>
        <w:t>ablet</w:t>
      </w:r>
      <w:r w:rsidRPr="003D39DE">
        <w:t xml:space="preserve"> containing </w:t>
      </w:r>
      <w:r>
        <w:rPr>
          <w:noProof/>
        </w:rPr>
        <w:t xml:space="preserve">75 mg and </w:t>
      </w:r>
      <w:r w:rsidRPr="00643051">
        <w:rPr>
          <w:noProof/>
        </w:rPr>
        <w:t>100 mg</w:t>
      </w:r>
      <w:r w:rsidRPr="003D39DE">
        <w:t xml:space="preserve"> of </w:t>
      </w:r>
      <w:r>
        <w:rPr>
          <w:noProof/>
        </w:rPr>
        <w:t>e</w:t>
      </w:r>
      <w:r w:rsidRPr="00643051">
        <w:rPr>
          <w:noProof/>
        </w:rPr>
        <w:t>luxadoline</w:t>
      </w:r>
      <w:r>
        <w:t xml:space="preserve"> to have an overall negative</w:t>
      </w:r>
      <w:r w:rsidRPr="003D39DE">
        <w:t xml:space="preserve"> benefit-risk profile for the </w:t>
      </w:r>
      <w:r>
        <w:t>proposed indication:</w:t>
      </w:r>
    </w:p>
    <w:p w:rsidR="005A5D44" w:rsidRPr="005A5D44" w:rsidRDefault="005A5D44" w:rsidP="005A5D44">
      <w:pPr>
        <w:ind w:left="720"/>
        <w:rPr>
          <w:i/>
        </w:rPr>
      </w:pPr>
      <w:r w:rsidRPr="005A5D44">
        <w:rPr>
          <w:i/>
          <w:noProof/>
        </w:rPr>
        <w:lastRenderedPageBreak/>
        <w:t>Eluxadoline (</w:t>
      </w:r>
      <w:r w:rsidR="00EA4D94">
        <w:rPr>
          <w:i/>
          <w:noProof/>
        </w:rPr>
        <w:t>Viberzi</w:t>
      </w:r>
      <w:r w:rsidRPr="005A5D44">
        <w:rPr>
          <w:i/>
          <w:noProof/>
        </w:rPr>
        <w:t>) is indicated in adults for the treatment of irritable bowel syndrome with diarrhoea (</w:t>
      </w:r>
      <w:r w:rsidR="00EA4D94">
        <w:rPr>
          <w:i/>
          <w:noProof/>
        </w:rPr>
        <w:t>IBS-d</w:t>
      </w:r>
      <w:r w:rsidRPr="005A5D44">
        <w:rPr>
          <w:i/>
          <w:noProof/>
        </w:rPr>
        <w:t>)</w:t>
      </w:r>
      <w:r w:rsidR="00CC6D17">
        <w:rPr>
          <w:i/>
          <w:noProof/>
        </w:rPr>
        <w:t>.</w:t>
      </w:r>
    </w:p>
    <w:p w:rsidR="005A5D44" w:rsidRPr="003D39DE" w:rsidRDefault="005A5D44" w:rsidP="005A5D44">
      <w:r w:rsidRPr="003D39DE">
        <w:t>In making this recommendation the ACM</w:t>
      </w:r>
      <w:r w:rsidR="00904523">
        <w:t>:</w:t>
      </w:r>
    </w:p>
    <w:p w:rsidR="005A5D44" w:rsidRPr="003D39DE" w:rsidRDefault="005A5D44" w:rsidP="005A5D44">
      <w:pPr>
        <w:pStyle w:val="ListBullet"/>
      </w:pPr>
      <w:r w:rsidRPr="003D39DE">
        <w:t xml:space="preserve">noted </w:t>
      </w:r>
      <w:r>
        <w:t xml:space="preserve">contraindication concerns in both the US and Australian Product Information regarding </w:t>
      </w:r>
      <w:r w:rsidR="00E57717">
        <w:t>postmarket</w:t>
      </w:r>
      <w:r>
        <w:t>ing reports relating to severe pancreatitis (including fatal cases), primarily, but not exclusively in patients without a gall bladder</w:t>
      </w:r>
      <w:r w:rsidR="00904523">
        <w:t>;</w:t>
      </w:r>
    </w:p>
    <w:p w:rsidR="005A5D44" w:rsidRDefault="005A5D44" w:rsidP="005A5D44">
      <w:pPr>
        <w:pStyle w:val="ListBullet"/>
      </w:pPr>
      <w:r>
        <w:t xml:space="preserve">noted </w:t>
      </w:r>
      <w:r w:rsidRPr="003D39DE">
        <w:t xml:space="preserve">concern </w:t>
      </w:r>
      <w:r>
        <w:t xml:space="preserve">of overall </w:t>
      </w:r>
      <w:r w:rsidR="00E57717">
        <w:t>postmarket</w:t>
      </w:r>
      <w:r>
        <w:t xml:space="preserve">ing reports of increased constipation warranting a precautionary statement in the Australian </w:t>
      </w:r>
      <w:r w:rsidR="00904523">
        <w:t>PI; and</w:t>
      </w:r>
    </w:p>
    <w:p w:rsidR="005A5D44" w:rsidRPr="00055DF9" w:rsidRDefault="005A5D44" w:rsidP="005A5D44">
      <w:pPr>
        <w:pStyle w:val="ListBullet"/>
      </w:pPr>
      <w:proofErr w:type="gramStart"/>
      <w:r>
        <w:t>noted</w:t>
      </w:r>
      <w:proofErr w:type="gramEnd"/>
      <w:r>
        <w:t xml:space="preserve"> that there was no comparative study submitted against non-pharmacological treatment modalities.</w:t>
      </w:r>
    </w:p>
    <w:p w:rsidR="005A5D44" w:rsidRDefault="00904523" w:rsidP="005A5D44">
      <w:r>
        <w:t xml:space="preserve">The </w:t>
      </w:r>
      <w:r w:rsidR="005A5D44">
        <w:t>ACM noted that the clinical benefits of eluxadoline in the management of a non-fatal condition, diarrhoea-predominant irritable bowel syndrome, were modest.</w:t>
      </w:r>
    </w:p>
    <w:p w:rsidR="005A5D44" w:rsidRDefault="00E2294E" w:rsidP="005A5D44">
      <w:r>
        <w:t xml:space="preserve">The </w:t>
      </w:r>
      <w:r w:rsidR="005A5D44">
        <w:t xml:space="preserve">ACM’s main concern was the postmarketing data reporting an increased rate of pancreatitis in patients commencing eluxadoline. These episodes had a close temporal association with the initiation of eluxadoline, </w:t>
      </w:r>
      <w:r w:rsidR="00904523">
        <w:t xml:space="preserve">2 </w:t>
      </w:r>
      <w:r w:rsidR="005A5D44">
        <w:t>of which were fatal.</w:t>
      </w:r>
      <w:r w:rsidR="008504A0">
        <w:t xml:space="preserve"> </w:t>
      </w:r>
      <w:r w:rsidR="005A5D44">
        <w:t>The sponsor noted that these episodes mostly occurred in those who had had prior cholecystectomy, and recommended that patients without gallbladders be listed as a contraindication to its use.</w:t>
      </w:r>
    </w:p>
    <w:p w:rsidR="005A5D44" w:rsidRDefault="00E2294E" w:rsidP="005A5D44">
      <w:r>
        <w:t xml:space="preserve">The </w:t>
      </w:r>
      <w:r w:rsidR="005A5D44">
        <w:t>ACM noted that the mechanisms by which eluxadoline caused pancreatitis had not been elucidated and that pancreatitis had been documented in patients without prior cholecystectomy.</w:t>
      </w:r>
    </w:p>
    <w:p w:rsidR="005A5D44" w:rsidRDefault="00E2294E" w:rsidP="005A5D44">
      <w:r>
        <w:t xml:space="preserve">The </w:t>
      </w:r>
      <w:r w:rsidR="005A5D44">
        <w:t>ACM concluded that there was an overall negative risk-benefit profile given the modest benefit of the medication in a condition not associated with any mortality, and the low, but definite risk of pancreatitis, a potentially fatal condition.</w:t>
      </w:r>
      <w:r w:rsidR="008504A0">
        <w:t xml:space="preserve"> </w:t>
      </w:r>
      <w:r w:rsidR="005A5D44">
        <w:t xml:space="preserve">The ACM did not feel that the contra-indication in patients without gallbladders adequately </w:t>
      </w:r>
      <w:proofErr w:type="gramStart"/>
      <w:r w:rsidR="005A5D44">
        <w:t>mitigated</w:t>
      </w:r>
      <w:proofErr w:type="gramEnd"/>
      <w:r w:rsidR="005A5D44">
        <w:t xml:space="preserve"> against the development of pancreatitis since cases occurred in patients without prior cholecystectomy, and because its pathogenesis was not understood.</w:t>
      </w:r>
    </w:p>
    <w:p w:rsidR="005A5D44" w:rsidRPr="003D39DE" w:rsidRDefault="005A5D44" w:rsidP="005A5D44">
      <w:pPr>
        <w:pStyle w:val="Heading5"/>
      </w:pPr>
      <w:r w:rsidRPr="003D39DE">
        <w:t xml:space="preserve">Specific </w:t>
      </w:r>
      <w:r w:rsidR="00E2294E">
        <w:t>a</w:t>
      </w:r>
      <w:r w:rsidR="00E2294E" w:rsidRPr="003D39DE">
        <w:t>dvice</w:t>
      </w:r>
    </w:p>
    <w:p w:rsidR="005A5D44" w:rsidRPr="003D39DE" w:rsidRDefault="005A5D44" w:rsidP="005A5D44">
      <w:r w:rsidRPr="003D39DE">
        <w:t>The ACM advised the following in response to the delegate’s specific questions on the submission:</w:t>
      </w:r>
    </w:p>
    <w:p w:rsidR="005A5D44" w:rsidRPr="005A5D44" w:rsidRDefault="005A5D44" w:rsidP="005A5D44">
      <w:pPr>
        <w:rPr>
          <w:i/>
          <w:noProof/>
        </w:rPr>
      </w:pPr>
      <w:r w:rsidRPr="005A5D44">
        <w:rPr>
          <w:i/>
          <w:noProof/>
        </w:rPr>
        <w:t xml:space="preserve">Approvability of the submission based on </w:t>
      </w:r>
      <w:r w:rsidR="009F1075">
        <w:rPr>
          <w:i/>
          <w:noProof/>
        </w:rPr>
        <w:t>the</w:t>
      </w:r>
      <w:r w:rsidRPr="005A5D44">
        <w:rPr>
          <w:i/>
          <w:noProof/>
        </w:rPr>
        <w:t xml:space="preserve"> moderate efficacy finding for </w:t>
      </w:r>
      <w:r w:rsidR="009F1075">
        <w:rPr>
          <w:i/>
          <w:noProof/>
        </w:rPr>
        <w:t xml:space="preserve">eluxadoline for </w:t>
      </w:r>
      <w:r w:rsidRPr="005A5D44">
        <w:rPr>
          <w:i/>
          <w:noProof/>
        </w:rPr>
        <w:t xml:space="preserve">the proposed indication, given the recent </w:t>
      </w:r>
      <w:r w:rsidR="00E57717">
        <w:rPr>
          <w:i/>
          <w:noProof/>
        </w:rPr>
        <w:t>postmarket</w:t>
      </w:r>
      <w:r w:rsidRPr="005A5D44">
        <w:rPr>
          <w:i/>
          <w:noProof/>
        </w:rPr>
        <w:t>ing emergent reports of:</w:t>
      </w:r>
    </w:p>
    <w:p w:rsidR="005A5D44" w:rsidRPr="005A5D44" w:rsidRDefault="00E2294E" w:rsidP="005A5D44">
      <w:pPr>
        <w:pStyle w:val="Numberbullet0"/>
        <w:numPr>
          <w:ilvl w:val="0"/>
          <w:numId w:val="36"/>
        </w:numPr>
        <w:rPr>
          <w:i/>
          <w:noProof/>
        </w:rPr>
      </w:pPr>
      <w:r>
        <w:rPr>
          <w:i/>
          <w:noProof/>
        </w:rPr>
        <w:t>A</w:t>
      </w:r>
      <w:r w:rsidRPr="005A5D44">
        <w:rPr>
          <w:i/>
          <w:noProof/>
        </w:rPr>
        <w:t xml:space="preserve">n </w:t>
      </w:r>
      <w:r w:rsidR="005A5D44" w:rsidRPr="005A5D44">
        <w:rPr>
          <w:i/>
          <w:noProof/>
        </w:rPr>
        <w:t>increase of severe cases of acute pancreatitis, sometimes fatal, that were observed following the use of eluxadoline in patients without a gallbladder</w:t>
      </w:r>
      <w:r>
        <w:rPr>
          <w:i/>
          <w:noProof/>
        </w:rPr>
        <w:t>;</w:t>
      </w:r>
      <w:r w:rsidR="005A5D44" w:rsidRPr="005A5D44">
        <w:rPr>
          <w:i/>
          <w:noProof/>
        </w:rPr>
        <w:t xml:space="preserve"> </w:t>
      </w:r>
      <w:r>
        <w:rPr>
          <w:i/>
          <w:noProof/>
        </w:rPr>
        <w:t>(</w:t>
      </w:r>
      <w:r w:rsidR="005A5D44" w:rsidRPr="005A5D44">
        <w:rPr>
          <w:i/>
          <w:noProof/>
        </w:rPr>
        <w:t>N</w:t>
      </w:r>
      <w:r>
        <w:rPr>
          <w:i/>
          <w:noProof/>
        </w:rPr>
        <w:t>ote</w:t>
      </w:r>
      <w:r w:rsidR="005A5D44" w:rsidRPr="005A5D44">
        <w:rPr>
          <w:i/>
          <w:noProof/>
        </w:rPr>
        <w:t xml:space="preserve">: Now a contraindication in both the US </w:t>
      </w:r>
      <w:r>
        <w:rPr>
          <w:i/>
          <w:noProof/>
        </w:rPr>
        <w:t>and</w:t>
      </w:r>
      <w:r w:rsidR="005A5D44" w:rsidRPr="005A5D44">
        <w:rPr>
          <w:i/>
          <w:noProof/>
        </w:rPr>
        <w:t xml:space="preserve"> A</w:t>
      </w:r>
      <w:r>
        <w:rPr>
          <w:i/>
          <w:noProof/>
        </w:rPr>
        <w:t>ustralian</w:t>
      </w:r>
      <w:r w:rsidR="005A5D44" w:rsidRPr="005A5D44">
        <w:rPr>
          <w:i/>
          <w:noProof/>
        </w:rPr>
        <w:t xml:space="preserve"> PIs</w:t>
      </w:r>
      <w:r>
        <w:rPr>
          <w:i/>
          <w:noProof/>
        </w:rPr>
        <w:t>).</w:t>
      </w:r>
    </w:p>
    <w:p w:rsidR="005A5D44" w:rsidRPr="004F2219" w:rsidRDefault="005A5D44" w:rsidP="005A5D44">
      <w:pPr>
        <w:rPr>
          <w:noProof/>
        </w:rPr>
      </w:pPr>
      <w:r>
        <w:rPr>
          <w:noProof/>
        </w:rPr>
        <w:t>The ACM‘s opinion was negative regarding approvability of the submission while noting the proposed contraindication of eluxadoline in the PI in patients without a gallbladder.</w:t>
      </w:r>
    </w:p>
    <w:p w:rsidR="005A5D44" w:rsidRPr="005A5D44" w:rsidRDefault="00E2294E" w:rsidP="005A5D44">
      <w:pPr>
        <w:pStyle w:val="Numberbullet0"/>
        <w:rPr>
          <w:i/>
          <w:noProof/>
        </w:rPr>
      </w:pPr>
      <w:r>
        <w:rPr>
          <w:i/>
          <w:noProof/>
        </w:rPr>
        <w:t>SAEs</w:t>
      </w:r>
      <w:r w:rsidR="005A5D44" w:rsidRPr="005A5D44">
        <w:rPr>
          <w:i/>
          <w:noProof/>
        </w:rPr>
        <w:t xml:space="preserve"> of constipation requiring hospitalisation or medical intervention prior to 4</w:t>
      </w:r>
      <w:r w:rsidR="00EF7253">
        <w:rPr>
          <w:i/>
          <w:noProof/>
        </w:rPr>
        <w:t> </w:t>
      </w:r>
      <w:r w:rsidR="005A5D44" w:rsidRPr="005A5D44">
        <w:rPr>
          <w:i/>
          <w:noProof/>
        </w:rPr>
        <w:t>days of symptom onset</w:t>
      </w:r>
      <w:r>
        <w:rPr>
          <w:i/>
          <w:noProof/>
        </w:rPr>
        <w:t>;</w:t>
      </w:r>
      <w:r w:rsidR="005A5D44" w:rsidRPr="005A5D44">
        <w:rPr>
          <w:i/>
          <w:noProof/>
        </w:rPr>
        <w:t xml:space="preserve"> </w:t>
      </w:r>
      <w:r>
        <w:rPr>
          <w:i/>
          <w:noProof/>
        </w:rPr>
        <w:t>(</w:t>
      </w:r>
      <w:r w:rsidR="005A5D44" w:rsidRPr="005A5D44">
        <w:rPr>
          <w:i/>
          <w:noProof/>
        </w:rPr>
        <w:t>N</w:t>
      </w:r>
      <w:r>
        <w:rPr>
          <w:i/>
          <w:noProof/>
        </w:rPr>
        <w:t>ote</w:t>
      </w:r>
      <w:r w:rsidR="005A5D44" w:rsidRPr="005A5D44">
        <w:rPr>
          <w:i/>
          <w:noProof/>
        </w:rPr>
        <w:t xml:space="preserve">: </w:t>
      </w:r>
      <w:r w:rsidR="005A5D44">
        <w:rPr>
          <w:i/>
          <w:noProof/>
        </w:rPr>
        <w:t>Australian</w:t>
      </w:r>
      <w:r w:rsidR="005A5D44" w:rsidRPr="005A5D44">
        <w:rPr>
          <w:i/>
          <w:noProof/>
        </w:rPr>
        <w:t xml:space="preserve"> PI now has a precautionary statement on the issue</w:t>
      </w:r>
      <w:r w:rsidR="00EF7253">
        <w:rPr>
          <w:i/>
          <w:noProof/>
        </w:rPr>
        <w:t>).</w:t>
      </w:r>
    </w:p>
    <w:p w:rsidR="005A5D44" w:rsidRDefault="005A5D44" w:rsidP="005A5D44">
      <w:pPr>
        <w:rPr>
          <w:noProof/>
        </w:rPr>
      </w:pPr>
      <w:r>
        <w:rPr>
          <w:noProof/>
        </w:rPr>
        <w:t>The ACM noted the proposed precautionary statement for severe constipation longer than 4 days in the PI and, suggested that patients should cease eluxadoline in that case while seeking medical advice.</w:t>
      </w:r>
    </w:p>
    <w:p w:rsidR="00316593" w:rsidRPr="00055DF9" w:rsidRDefault="00316593" w:rsidP="00543B66">
      <w:pPr>
        <w:pStyle w:val="Heading5"/>
        <w:rPr>
          <w:noProof/>
        </w:rPr>
      </w:pPr>
      <w:r>
        <w:rPr>
          <w:noProof/>
        </w:rPr>
        <w:t>Resolution</w:t>
      </w:r>
    </w:p>
    <w:p w:rsidR="005A5D44" w:rsidRDefault="00316593" w:rsidP="005A5D44">
      <w:r>
        <w:t>T</w:t>
      </w:r>
      <w:r w:rsidR="005A5D44">
        <w:t>hat eluxadoline not be registered for the treatment of irritable bowel syndrome with predominant diarrhoea, in adults.</w:t>
      </w:r>
    </w:p>
    <w:p w:rsidR="00966162" w:rsidRDefault="00966162" w:rsidP="00966162">
      <w:pPr>
        <w:pStyle w:val="Heading4"/>
      </w:pPr>
      <w:r>
        <w:lastRenderedPageBreak/>
        <w:t>Sponsor’s response to the Delegate regarding ACM resolution</w:t>
      </w:r>
    </w:p>
    <w:p w:rsidR="00966162" w:rsidRDefault="00966162" w:rsidP="00966162">
      <w:r>
        <w:t xml:space="preserve">The sponsor would like to clarify some important inaccuracies contained within the ACM’s Resolution and, at the same time, provide some additional information on more up-to-date </w:t>
      </w:r>
      <w:r w:rsidR="00E57717">
        <w:t>postmarket</w:t>
      </w:r>
      <w:r>
        <w:t xml:space="preserve">ing cases of pancreatitis. The </w:t>
      </w:r>
      <w:r w:rsidR="00141C8C">
        <w:t>sponsor</w:t>
      </w:r>
      <w:r>
        <w:t xml:space="preserve"> believes this information is critical in demonstrating the effectiveness of the product </w:t>
      </w:r>
      <w:r w:rsidR="00316593">
        <w:t>labelling</w:t>
      </w:r>
      <w:r>
        <w:t xml:space="preserve"> to reduce the risk of pancreatitis and reinforces the positive benefit-risk balance of eluxadoline in patients with a gallbladder. The </w:t>
      </w:r>
      <w:r w:rsidR="00141C8C">
        <w:t>sponsor</w:t>
      </w:r>
      <w:r>
        <w:t xml:space="preserve"> does not concur with the ACM Resolution that </w:t>
      </w:r>
      <w:r w:rsidR="00141C8C">
        <w:t>‘</w:t>
      </w:r>
      <w:r w:rsidRPr="00141C8C">
        <w:rPr>
          <w:i/>
        </w:rPr>
        <w:t>eluxadoline not be registered for the treatment of irritable bowel syndrome with predominant diarrhoea, in adults</w:t>
      </w:r>
      <w:r w:rsidR="00141C8C" w:rsidRPr="00141C8C">
        <w:rPr>
          <w:i/>
        </w:rPr>
        <w:t>’</w:t>
      </w:r>
      <w:r>
        <w:t xml:space="preserve">. In contrast, the </w:t>
      </w:r>
      <w:r w:rsidR="00141C8C">
        <w:t>sponsor</w:t>
      </w:r>
      <w:r>
        <w:t xml:space="preserve"> noted that </w:t>
      </w:r>
      <w:r w:rsidR="00B81D29">
        <w:t xml:space="preserve">pharmaceutical quality, nonclinical and clinical </w:t>
      </w:r>
      <w:r w:rsidR="00141C8C">
        <w:t>e</w:t>
      </w:r>
      <w:r>
        <w:t xml:space="preserve">valuators had no objections and recommended </w:t>
      </w:r>
      <w:r w:rsidR="00141C8C">
        <w:t xml:space="preserve">Viberzi </w:t>
      </w:r>
      <w:r>
        <w:t xml:space="preserve">be approved for registration in the proposed indication. In addition, </w:t>
      </w:r>
      <w:r w:rsidR="00141C8C">
        <w:t>the sponsor</w:t>
      </w:r>
      <w:r>
        <w:t xml:space="preserve"> has requested clinical opinion </w:t>
      </w:r>
      <w:proofErr w:type="gramStart"/>
      <w:r>
        <w:t>from</w:t>
      </w:r>
      <w:r w:rsidR="00141C8C">
        <w:t xml:space="preserve"> two Key Opinion Leaders (KOL)</w:t>
      </w:r>
      <w:proofErr w:type="gramEnd"/>
      <w:r w:rsidR="00141C8C">
        <w:t xml:space="preserve"> </w:t>
      </w:r>
      <w:r>
        <w:t xml:space="preserve">based in Australia. The KOLs have addressed the risk management concerns raised in recent post- marketing surveillance as well as the real unmet clinical need for patients suffering this condition. The KOL communications </w:t>
      </w:r>
      <w:r w:rsidR="00141C8C">
        <w:t>were</w:t>
      </w:r>
      <w:r>
        <w:t xml:space="preserve"> provided </w:t>
      </w:r>
      <w:r w:rsidR="00141C8C">
        <w:t>to the TGA</w:t>
      </w:r>
      <w:r>
        <w:t>.</w:t>
      </w:r>
    </w:p>
    <w:p w:rsidR="00966162" w:rsidRPr="009F1075" w:rsidRDefault="00966162" w:rsidP="00966162">
      <w:r>
        <w:t xml:space="preserve">The Delegate sought the </w:t>
      </w:r>
      <w:r w:rsidRPr="009F1075">
        <w:t xml:space="preserve">ACM’s advice about </w:t>
      </w:r>
      <w:r w:rsidR="00141C8C" w:rsidRPr="009F1075">
        <w:t>‘</w:t>
      </w:r>
      <w:r w:rsidRPr="009F1075">
        <w:t>the approvabil</w:t>
      </w:r>
      <w:r w:rsidR="00141C8C" w:rsidRPr="009F1075">
        <w:t xml:space="preserve">ity of the submission based on </w:t>
      </w:r>
      <w:r w:rsidR="009F1075" w:rsidRPr="009F1075">
        <w:t xml:space="preserve">the </w:t>
      </w:r>
      <w:r w:rsidRPr="009F1075">
        <w:t xml:space="preserve">moderate efficacy finding for </w:t>
      </w:r>
      <w:r w:rsidR="009F1075" w:rsidRPr="009F1075">
        <w:t xml:space="preserve">eluxadoline for </w:t>
      </w:r>
      <w:r w:rsidRPr="009F1075">
        <w:t>the proposed indication, given the recent post marketing emergent reports of:</w:t>
      </w:r>
    </w:p>
    <w:p w:rsidR="00966162" w:rsidRPr="00141C8C" w:rsidRDefault="00A16516" w:rsidP="00141C8C">
      <w:pPr>
        <w:pStyle w:val="Numberbullet0"/>
        <w:numPr>
          <w:ilvl w:val="0"/>
          <w:numId w:val="38"/>
        </w:numPr>
        <w:rPr>
          <w:i/>
        </w:rPr>
      </w:pPr>
      <w:r>
        <w:rPr>
          <w:i/>
        </w:rPr>
        <w:t>‘An increase</w:t>
      </w:r>
      <w:r w:rsidRPr="00141C8C">
        <w:rPr>
          <w:i/>
        </w:rPr>
        <w:t xml:space="preserve"> </w:t>
      </w:r>
      <w:r w:rsidR="00966162" w:rsidRPr="00141C8C">
        <w:rPr>
          <w:i/>
        </w:rPr>
        <w:t>of severe cases of acute pancreatitis, sometimes fatal, that were observed following the use of eluxadoline in patients without a gallbladder</w:t>
      </w:r>
      <w:r w:rsidR="00B81D29">
        <w:rPr>
          <w:i/>
        </w:rPr>
        <w:t>;</w:t>
      </w:r>
      <w:r w:rsidR="00966162" w:rsidRPr="00141C8C">
        <w:rPr>
          <w:i/>
        </w:rPr>
        <w:t xml:space="preserve"> </w:t>
      </w:r>
      <w:r w:rsidR="00B81D29">
        <w:rPr>
          <w:i/>
        </w:rPr>
        <w:t>(</w:t>
      </w:r>
      <w:r w:rsidR="00B81D29" w:rsidRPr="00141C8C">
        <w:rPr>
          <w:i/>
        </w:rPr>
        <w:t>Note</w:t>
      </w:r>
      <w:r w:rsidR="00966162" w:rsidRPr="00141C8C">
        <w:rPr>
          <w:i/>
        </w:rPr>
        <w:t xml:space="preserve">: Now a contraindication in both the US </w:t>
      </w:r>
      <w:r w:rsidR="00B81D29">
        <w:rPr>
          <w:i/>
        </w:rPr>
        <w:t>and</w:t>
      </w:r>
      <w:r w:rsidR="00B81D29" w:rsidRPr="00141C8C">
        <w:rPr>
          <w:i/>
        </w:rPr>
        <w:t xml:space="preserve"> A</w:t>
      </w:r>
      <w:r w:rsidR="00B81D29">
        <w:rPr>
          <w:i/>
        </w:rPr>
        <w:t>ustralian</w:t>
      </w:r>
      <w:r w:rsidR="00B81D29" w:rsidRPr="00141C8C">
        <w:rPr>
          <w:i/>
        </w:rPr>
        <w:t xml:space="preserve"> </w:t>
      </w:r>
      <w:r w:rsidR="00966162" w:rsidRPr="00141C8C">
        <w:rPr>
          <w:i/>
        </w:rPr>
        <w:t>PIs</w:t>
      </w:r>
      <w:r w:rsidR="00B81D29">
        <w:rPr>
          <w:i/>
        </w:rPr>
        <w:t>)</w:t>
      </w:r>
      <w:r w:rsidR="00966162" w:rsidRPr="00141C8C">
        <w:rPr>
          <w:i/>
        </w:rPr>
        <w:t>.</w:t>
      </w:r>
    </w:p>
    <w:p w:rsidR="00966162" w:rsidRDefault="00B81D29" w:rsidP="00141C8C">
      <w:pPr>
        <w:pStyle w:val="Numberbullet0"/>
      </w:pPr>
      <w:r>
        <w:rPr>
          <w:i/>
        </w:rPr>
        <w:t>SAEs</w:t>
      </w:r>
      <w:r w:rsidR="00966162" w:rsidRPr="00141C8C">
        <w:rPr>
          <w:i/>
        </w:rPr>
        <w:t xml:space="preserve"> of constipation requiring hospitalization or medical intervention prior to 4 days of symptom onset</w:t>
      </w:r>
      <w:r>
        <w:rPr>
          <w:i/>
        </w:rPr>
        <w:t>;</w:t>
      </w:r>
      <w:r w:rsidR="00966162" w:rsidRPr="00141C8C">
        <w:rPr>
          <w:i/>
        </w:rPr>
        <w:t xml:space="preserve"> </w:t>
      </w:r>
      <w:r>
        <w:rPr>
          <w:i/>
        </w:rPr>
        <w:t>(</w:t>
      </w:r>
      <w:r w:rsidR="00966162" w:rsidRPr="00141C8C">
        <w:rPr>
          <w:i/>
        </w:rPr>
        <w:t>N</w:t>
      </w:r>
      <w:r>
        <w:rPr>
          <w:i/>
        </w:rPr>
        <w:t>ote</w:t>
      </w:r>
      <w:r w:rsidR="00966162" w:rsidRPr="00141C8C">
        <w:rPr>
          <w:i/>
        </w:rPr>
        <w:t>: A</w:t>
      </w:r>
      <w:r>
        <w:rPr>
          <w:i/>
        </w:rPr>
        <w:t>ustr</w:t>
      </w:r>
      <w:r w:rsidR="00911813">
        <w:rPr>
          <w:i/>
        </w:rPr>
        <w:t>alian</w:t>
      </w:r>
      <w:r w:rsidR="00966162" w:rsidRPr="00141C8C">
        <w:rPr>
          <w:i/>
        </w:rPr>
        <w:t xml:space="preserve"> PI now has a precautionary statement on the issue</w:t>
      </w:r>
      <w:r w:rsidR="00911813">
        <w:rPr>
          <w:i/>
        </w:rPr>
        <w:t>)</w:t>
      </w:r>
      <w:r w:rsidR="00966162" w:rsidRPr="00141C8C">
        <w:rPr>
          <w:i/>
        </w:rPr>
        <w:t>.</w:t>
      </w:r>
      <w:r w:rsidR="00141C8C" w:rsidRPr="00141C8C">
        <w:rPr>
          <w:i/>
        </w:rPr>
        <w:t>’</w:t>
      </w:r>
    </w:p>
    <w:p w:rsidR="00966162" w:rsidRDefault="00966162" w:rsidP="00966162">
      <w:r>
        <w:t xml:space="preserve">These </w:t>
      </w:r>
      <w:r w:rsidR="00A16516">
        <w:t xml:space="preserve">2 </w:t>
      </w:r>
      <w:r>
        <w:t>issues raised by the Delegate to the ACM, as well as the ACM’s response to these issues, will be addressed separately below.</w:t>
      </w:r>
    </w:p>
    <w:p w:rsidR="00966162" w:rsidRDefault="00966162" w:rsidP="00966162">
      <w:pPr>
        <w:pStyle w:val="Heading5"/>
      </w:pPr>
      <w:r>
        <w:t>Pancreatitis</w:t>
      </w:r>
    </w:p>
    <w:p w:rsidR="00966162" w:rsidRDefault="00966162" w:rsidP="00966162">
      <w:r>
        <w:t>The Delegate sought the ACM’s advice about the approvability of eluxadoline due to:</w:t>
      </w:r>
    </w:p>
    <w:p w:rsidR="00966162" w:rsidRPr="00141C8C" w:rsidRDefault="00141C8C" w:rsidP="00141C8C">
      <w:pPr>
        <w:ind w:left="720"/>
        <w:rPr>
          <w:i/>
        </w:rPr>
      </w:pPr>
      <w:r w:rsidRPr="00141C8C">
        <w:rPr>
          <w:i/>
        </w:rPr>
        <w:t>‘</w:t>
      </w:r>
      <w:r w:rsidR="00A16516">
        <w:rPr>
          <w:i/>
        </w:rPr>
        <w:t>An i</w:t>
      </w:r>
      <w:r w:rsidR="00966162" w:rsidRPr="00141C8C">
        <w:rPr>
          <w:i/>
        </w:rPr>
        <w:t>ncrease of severe cases of acute pancreatitis, sometimes fatal, that were observed following the use of eluxadoline in patients without a gallbladder</w:t>
      </w:r>
      <w:r w:rsidR="00A16516">
        <w:rPr>
          <w:i/>
        </w:rPr>
        <w:t>;</w:t>
      </w:r>
      <w:r w:rsidR="00966162" w:rsidRPr="00141C8C">
        <w:rPr>
          <w:i/>
        </w:rPr>
        <w:t xml:space="preserve"> </w:t>
      </w:r>
      <w:r w:rsidR="00A16516">
        <w:rPr>
          <w:i/>
        </w:rPr>
        <w:t>(Note</w:t>
      </w:r>
      <w:r w:rsidR="00966162" w:rsidRPr="00141C8C">
        <w:rPr>
          <w:i/>
        </w:rPr>
        <w:t>:</w:t>
      </w:r>
      <w:r w:rsidR="00A16516">
        <w:rPr>
          <w:i/>
        </w:rPr>
        <w:t> </w:t>
      </w:r>
      <w:r w:rsidR="00966162" w:rsidRPr="00141C8C">
        <w:rPr>
          <w:i/>
        </w:rPr>
        <w:t xml:space="preserve">Now a contraindication in both the US </w:t>
      </w:r>
      <w:r w:rsidR="00A16516">
        <w:rPr>
          <w:i/>
        </w:rPr>
        <w:t>and</w:t>
      </w:r>
      <w:r w:rsidR="00A16516" w:rsidRPr="00141C8C">
        <w:rPr>
          <w:i/>
        </w:rPr>
        <w:t xml:space="preserve"> </w:t>
      </w:r>
      <w:r w:rsidR="00966162" w:rsidRPr="00141C8C">
        <w:rPr>
          <w:i/>
        </w:rPr>
        <w:t>A</w:t>
      </w:r>
      <w:r>
        <w:rPr>
          <w:i/>
        </w:rPr>
        <w:t>ustralian</w:t>
      </w:r>
      <w:r w:rsidR="00966162" w:rsidRPr="00141C8C">
        <w:rPr>
          <w:i/>
        </w:rPr>
        <w:t xml:space="preserve"> PIs</w:t>
      </w:r>
      <w:r w:rsidR="00A16516">
        <w:rPr>
          <w:i/>
        </w:rPr>
        <w:t>)</w:t>
      </w:r>
      <w:r w:rsidR="00966162" w:rsidRPr="00141C8C">
        <w:rPr>
          <w:i/>
        </w:rPr>
        <w:t>.</w:t>
      </w:r>
      <w:r w:rsidRPr="00141C8C">
        <w:rPr>
          <w:i/>
        </w:rPr>
        <w:t>’</w:t>
      </w:r>
    </w:p>
    <w:p w:rsidR="00966162" w:rsidRDefault="00966162" w:rsidP="00141C8C">
      <w:r>
        <w:t>The ACM’s response to the overall approvability of eluxadoline in</w:t>
      </w:r>
      <w:r w:rsidR="00A16516">
        <w:t xml:space="preserve"> the</w:t>
      </w:r>
      <w:r>
        <w:t xml:space="preserve"> Resolution was the following:</w:t>
      </w:r>
    </w:p>
    <w:p w:rsidR="00966162" w:rsidRPr="00141C8C" w:rsidRDefault="00141C8C" w:rsidP="00141C8C">
      <w:pPr>
        <w:ind w:left="599"/>
        <w:rPr>
          <w:i/>
        </w:rPr>
      </w:pPr>
      <w:r w:rsidRPr="00141C8C">
        <w:rPr>
          <w:i/>
        </w:rPr>
        <w:t>‘</w:t>
      </w:r>
      <w:r w:rsidR="00A16516">
        <w:rPr>
          <w:i/>
        </w:rPr>
        <w:t>T</w:t>
      </w:r>
      <w:r w:rsidR="00A16516" w:rsidRPr="00141C8C">
        <w:rPr>
          <w:i/>
        </w:rPr>
        <w:t xml:space="preserve">he </w:t>
      </w:r>
      <w:r w:rsidR="00966162" w:rsidRPr="00141C8C">
        <w:rPr>
          <w:i/>
        </w:rPr>
        <w:t xml:space="preserve">ACM taking into account the submitted evidence of efficacy, safety and quality, and noting the delegate’s concerns, considered </w:t>
      </w:r>
      <w:r w:rsidR="00EA4D94">
        <w:rPr>
          <w:i/>
        </w:rPr>
        <w:t>Viberzi</w:t>
      </w:r>
      <w:r w:rsidR="00966162" w:rsidRPr="00141C8C">
        <w:rPr>
          <w:i/>
        </w:rPr>
        <w:t xml:space="preserve"> tablet containing 75 mg and 100 mg of eluxadoline to have an overall negative benefit-risk profile for the proposed indication: ‘Eluxadoline (</w:t>
      </w:r>
      <w:r w:rsidR="00EA4D94">
        <w:rPr>
          <w:i/>
        </w:rPr>
        <w:t>Viberzi</w:t>
      </w:r>
      <w:r w:rsidR="00966162" w:rsidRPr="00141C8C">
        <w:rPr>
          <w:i/>
        </w:rPr>
        <w:t>) is indicated in adults for the treatment of irritable bowel syndrome with diarrhoea</w:t>
      </w:r>
      <w:r w:rsidR="00966162" w:rsidRPr="00141C8C">
        <w:rPr>
          <w:i/>
          <w:spacing w:val="-1"/>
        </w:rPr>
        <w:t xml:space="preserve"> </w:t>
      </w:r>
      <w:r w:rsidR="00966162" w:rsidRPr="00141C8C">
        <w:rPr>
          <w:i/>
        </w:rPr>
        <w:t>(</w:t>
      </w:r>
      <w:r w:rsidR="00EA4D94">
        <w:rPr>
          <w:i/>
        </w:rPr>
        <w:t>IBS-d</w:t>
      </w:r>
      <w:r w:rsidR="00966162" w:rsidRPr="00141C8C">
        <w:rPr>
          <w:i/>
        </w:rPr>
        <w:t>)’</w:t>
      </w:r>
      <w:r w:rsidR="00A16516">
        <w:rPr>
          <w:i/>
        </w:rPr>
        <w:t>’.</w:t>
      </w:r>
    </w:p>
    <w:p w:rsidR="00966162" w:rsidRDefault="00966162" w:rsidP="00141C8C">
      <w:r>
        <w:t>The ACM states that, in making this recommendation, they noted the following regarding pancreatitis:</w:t>
      </w:r>
    </w:p>
    <w:p w:rsidR="00966162" w:rsidRPr="00141C8C" w:rsidRDefault="00141C8C" w:rsidP="00141C8C">
      <w:pPr>
        <w:ind w:left="599"/>
        <w:rPr>
          <w:i/>
        </w:rPr>
      </w:pPr>
      <w:r w:rsidRPr="00141C8C">
        <w:rPr>
          <w:i/>
        </w:rPr>
        <w:t>‘</w:t>
      </w:r>
      <w:proofErr w:type="gramStart"/>
      <w:r w:rsidR="00966162" w:rsidRPr="00141C8C">
        <w:rPr>
          <w:i/>
        </w:rPr>
        <w:t>noted</w:t>
      </w:r>
      <w:proofErr w:type="gramEnd"/>
      <w:r w:rsidR="00966162" w:rsidRPr="00141C8C">
        <w:rPr>
          <w:i/>
        </w:rPr>
        <w:t xml:space="preserve"> contraindication concerns in both the US and Australian </w:t>
      </w:r>
      <w:r w:rsidR="00A16516">
        <w:rPr>
          <w:i/>
        </w:rPr>
        <w:t>PI</w:t>
      </w:r>
      <w:r w:rsidR="00966162" w:rsidRPr="00141C8C">
        <w:rPr>
          <w:i/>
        </w:rPr>
        <w:t xml:space="preserve"> regarding postmarketing reports relating to severe pancreatitis (including fatal cases), primarily, but not exclusively in patients without a gallbladder</w:t>
      </w:r>
      <w:r w:rsidR="00A16516">
        <w:rPr>
          <w:i/>
        </w:rPr>
        <w:t>.</w:t>
      </w:r>
      <w:r w:rsidRPr="00141C8C">
        <w:rPr>
          <w:i/>
        </w:rPr>
        <w:t>’</w:t>
      </w:r>
    </w:p>
    <w:p w:rsidR="00966162" w:rsidRDefault="00966162" w:rsidP="00141C8C">
      <w:r>
        <w:t xml:space="preserve">The </w:t>
      </w:r>
      <w:r w:rsidR="00141C8C">
        <w:t>sponsor</w:t>
      </w:r>
      <w:r>
        <w:t xml:space="preserve"> wishes to point out an inaccuracy in the preceding statement. The ACM states that cases of severe pancreatitis (including fatal cases) occurred </w:t>
      </w:r>
      <w:r w:rsidR="00141C8C">
        <w:t>‘</w:t>
      </w:r>
      <w:r>
        <w:t>primarily, but not exclusively</w:t>
      </w:r>
      <w:r w:rsidR="00141C8C">
        <w:t>’</w:t>
      </w:r>
      <w:r>
        <w:t xml:space="preserve">, in patients without a gallbladder. This statement is factually incorrect. To date, there have been 4 cases of moderately severe to severe pancreatitis (including 2 fatal cases) observed with the use of eluxadoline, </w:t>
      </w:r>
      <w:r w:rsidRPr="00141C8C">
        <w:rPr>
          <w:i/>
        </w:rPr>
        <w:t>all</w:t>
      </w:r>
      <w:r>
        <w:t xml:space="preserve"> of which occurred in the postmarketing </w:t>
      </w:r>
      <w:r>
        <w:lastRenderedPageBreak/>
        <w:t xml:space="preserve">period in patients without a gallbladder. It was these </w:t>
      </w:r>
      <w:r w:rsidR="00A16516">
        <w:t xml:space="preserve">4 </w:t>
      </w:r>
      <w:r>
        <w:t xml:space="preserve">cases in patients without a gallbladder that confirmed a safety signal for severe pancreatitis in patients without a gallbladder and ultimately led to the added contraindication in the </w:t>
      </w:r>
      <w:r w:rsidR="00C26F4A">
        <w:t>USPI</w:t>
      </w:r>
      <w:r>
        <w:t xml:space="preserve"> and the </w:t>
      </w:r>
      <w:r w:rsidR="00141C8C">
        <w:t>sponsor</w:t>
      </w:r>
      <w:r>
        <w:t>’s CCDS. All cases of pancreatitis which have occurred in patients with a gallbladder have been mild as per Atlanta Classification criteria based upon available information and followed a course generally consistent with those cases observed in pre-marketing clinical trials (</w:t>
      </w:r>
      <w:r w:rsidR="00141C8C">
        <w:t>that is,</w:t>
      </w:r>
      <w:r>
        <w:t xml:space="preserve"> they were not associated with organ failure or death, and, where known, nearly all had recovered or were recovering following discontinuation of treatment). This is a crucial distinction that needs to be clarified with regard to the positive benefit-risk balance in patients with a gallbladder and if misinterpreted, may have contributed to the ACM’s negative opinion on the approvability of eluxadoline.</w:t>
      </w:r>
    </w:p>
    <w:p w:rsidR="00966162" w:rsidRDefault="00141C8C" w:rsidP="00141C8C">
      <w:r>
        <w:t xml:space="preserve">The ACM </w:t>
      </w:r>
      <w:r w:rsidR="00966162">
        <w:t>Resolution goes on to state:</w:t>
      </w:r>
    </w:p>
    <w:p w:rsidR="00966162" w:rsidRDefault="00141C8C" w:rsidP="00543B66">
      <w:pPr>
        <w:pStyle w:val="ListBullet"/>
      </w:pPr>
      <w:r>
        <w:t>T</w:t>
      </w:r>
      <w:r w:rsidR="00966162">
        <w:t>hat the main concern of the ACM was the postmarketing data reporting an increased rate of pancreatitis in patients commencing</w:t>
      </w:r>
      <w:r w:rsidR="00966162">
        <w:rPr>
          <w:spacing w:val="-8"/>
        </w:rPr>
        <w:t xml:space="preserve"> </w:t>
      </w:r>
      <w:r w:rsidR="00966162">
        <w:t>eluxadoline.</w:t>
      </w:r>
    </w:p>
    <w:p w:rsidR="00966162" w:rsidRDefault="00141C8C" w:rsidP="00543B66">
      <w:pPr>
        <w:pStyle w:val="ListBullet"/>
      </w:pPr>
      <w:r>
        <w:t>T</w:t>
      </w:r>
      <w:r w:rsidR="00966162">
        <w:t>he ACM also noted that the mechanisms by which eluxadoline caused pancreatitis had not been elucidated and that pancreatitis had been documented in patients without prior cholecystectomy.</w:t>
      </w:r>
    </w:p>
    <w:p w:rsidR="00966162" w:rsidRDefault="00966162" w:rsidP="00543B66">
      <w:pPr>
        <w:pStyle w:val="ListBullet"/>
      </w:pPr>
      <w:r>
        <w:t xml:space="preserve">The ACM did not feel that the contraindication in patients without gallbladders adequately </w:t>
      </w:r>
      <w:proofErr w:type="gramStart"/>
      <w:r>
        <w:t>mitigated</w:t>
      </w:r>
      <w:proofErr w:type="gramEnd"/>
      <w:r>
        <w:t xml:space="preserve"> against the development of pancreatitis since cases occurred in patients without prior cholecystectomy, and because its pathogenesis was not</w:t>
      </w:r>
      <w:r>
        <w:rPr>
          <w:spacing w:val="-20"/>
        </w:rPr>
        <w:t xml:space="preserve"> </w:t>
      </w:r>
      <w:r>
        <w:t>understood.</w:t>
      </w:r>
    </w:p>
    <w:p w:rsidR="00966162" w:rsidRDefault="00966162" w:rsidP="00543B66">
      <w:pPr>
        <w:pStyle w:val="ListBullet"/>
      </w:pPr>
      <w:r>
        <w:t>Rate of</w:t>
      </w:r>
      <w:r>
        <w:rPr>
          <w:spacing w:val="-1"/>
        </w:rPr>
        <w:t xml:space="preserve"> </w:t>
      </w:r>
      <w:r>
        <w:t>pancreatitis</w:t>
      </w:r>
      <w:r w:rsidR="0073350C">
        <w:t>.</w:t>
      </w:r>
    </w:p>
    <w:p w:rsidR="00966162" w:rsidRDefault="00966162" w:rsidP="00141C8C">
      <w:r>
        <w:t xml:space="preserve">The </w:t>
      </w:r>
      <w:r w:rsidR="00141C8C">
        <w:t>sponsor</w:t>
      </w:r>
      <w:r>
        <w:t xml:space="preserve"> believes that the ACM’s statement regarding an increased rate of pancreatitis is unsubstantiated. During the clinical development program of eluxadoline, there were a total of 6 cases of pancreatitis reported at the 100</w:t>
      </w:r>
      <w:r w:rsidR="00C26F4A">
        <w:t xml:space="preserve"> </w:t>
      </w:r>
      <w:r>
        <w:t xml:space="preserve">mg </w:t>
      </w:r>
      <w:r w:rsidR="00C26F4A">
        <w:t>bd</w:t>
      </w:r>
      <w:r>
        <w:t xml:space="preserve"> dose and 2 cases reported at the 75mg </w:t>
      </w:r>
      <w:r w:rsidR="00C26F4A">
        <w:t>bd</w:t>
      </w:r>
      <w:r>
        <w:t xml:space="preserve"> dose for an incidence rate of approximately 0.4% (4/1032) and 0.2% (2/807), respectively.</w:t>
      </w:r>
    </w:p>
    <w:p w:rsidR="00966162" w:rsidRDefault="00966162" w:rsidP="00141C8C">
      <w:r>
        <w:t>Cumulatively, since</w:t>
      </w:r>
      <w:r w:rsidR="0073350C">
        <w:t xml:space="preserve"> the</w:t>
      </w:r>
      <w:r>
        <w:t xml:space="preserve"> International Birth Date, 27 May 2015, through 31 July 2017, the US eluxadoline exposure from marketing experience provided by Quintiles</w:t>
      </w:r>
      <w:r w:rsidR="0073350C">
        <w:t xml:space="preserve"> </w:t>
      </w:r>
      <w:r>
        <w:t>IMS N</w:t>
      </w:r>
      <w:r w:rsidR="00903FD1">
        <w:t xml:space="preserve">ational </w:t>
      </w:r>
      <w:r>
        <w:t>P</w:t>
      </w:r>
      <w:r w:rsidR="00903FD1">
        <w:t xml:space="preserve">rescription </w:t>
      </w:r>
      <w:r>
        <w:t>A</w:t>
      </w:r>
      <w:r w:rsidR="00903FD1">
        <w:t xml:space="preserve">udit </w:t>
      </w:r>
      <w:r>
        <w:t xml:space="preserve">is estimated to be 305,687 total prescriptions, of which 102,380 are </w:t>
      </w:r>
      <w:r w:rsidR="0073350C">
        <w:t xml:space="preserve">new </w:t>
      </w:r>
      <w:r>
        <w:t xml:space="preserve">to </w:t>
      </w:r>
      <w:r w:rsidR="0073350C">
        <w:t xml:space="preserve">brand </w:t>
      </w:r>
      <w:r>
        <w:t>prescriptions</w:t>
      </w:r>
      <w:r w:rsidR="0073350C">
        <w:t>.</w:t>
      </w:r>
      <w:r>
        <w:t xml:space="preserve"> The </w:t>
      </w:r>
      <w:r w:rsidR="0073350C">
        <w:t xml:space="preserve">new to brand </w:t>
      </w:r>
      <w:r>
        <w:t xml:space="preserve">measure shows the volume of </w:t>
      </w:r>
      <w:r w:rsidR="00903FD1">
        <w:t xml:space="preserve">National Prescription Audit </w:t>
      </w:r>
      <w:r>
        <w:t>prescriptions that are associated with first</w:t>
      </w:r>
      <w:r w:rsidR="00903FD1">
        <w:t xml:space="preserve"> </w:t>
      </w:r>
      <w:r>
        <w:t xml:space="preserve">time use of a product. It reports prescriptions for patients who are starting therapy with a product for the first time within the previous 12 months. Considering the total number of pancreatitis cases reported from international birth date to </w:t>
      </w:r>
      <w:r w:rsidR="00903FD1">
        <w:t xml:space="preserve">31 </w:t>
      </w:r>
      <w:r>
        <w:t xml:space="preserve">July was 230, there does not appear to be an increased rate of pancreatitis reporting in the postmarketing period. There </w:t>
      </w:r>
      <w:r>
        <w:rPr>
          <w:i/>
        </w:rPr>
        <w:t>was</w:t>
      </w:r>
      <w:r>
        <w:t xml:space="preserve">, however, an increased severity of pancreatitis, as all of the cases which occurred during clinical development were adjudicated as </w:t>
      </w:r>
      <w:r w:rsidR="00141C8C">
        <w:t>‘</w:t>
      </w:r>
      <w:r>
        <w:t>mild</w:t>
      </w:r>
      <w:r w:rsidR="00141C8C">
        <w:t>’</w:t>
      </w:r>
      <w:r>
        <w:t xml:space="preserve"> by Atlanta Classification criteria and 4 cases of moderately severe to severe pancreatitis were seen in the postmarketing setting, all of which occurred in patients without a gallbladder.</w:t>
      </w:r>
    </w:p>
    <w:p w:rsidR="00966162" w:rsidRDefault="00966162" w:rsidP="00141C8C">
      <w:r>
        <w:t xml:space="preserve">In the ACM’s ratified minutes </w:t>
      </w:r>
      <w:r w:rsidR="00903FD1">
        <w:t>from the meeting on</w:t>
      </w:r>
      <w:r>
        <w:t xml:space="preserve"> 5 </w:t>
      </w:r>
      <w:r w:rsidR="00903FD1">
        <w:t>to</w:t>
      </w:r>
      <w:r>
        <w:t xml:space="preserve"> 6 October 2017, the </w:t>
      </w:r>
      <w:r w:rsidR="00903FD1">
        <w:t xml:space="preserve">ACM </w:t>
      </w:r>
      <w:r>
        <w:t xml:space="preserve">also makes reference to an analysis published online on 9 September 2017, </w:t>
      </w:r>
      <w:r w:rsidRPr="00C92BCC">
        <w:t>conducted by Gawron A, et al</w:t>
      </w:r>
      <w:r w:rsidR="00E342B0">
        <w:t>.,</w:t>
      </w:r>
      <w:r w:rsidR="00C92BCC" w:rsidRPr="00C92BCC">
        <w:rPr>
          <w:rStyle w:val="FootnoteReference"/>
        </w:rPr>
        <w:footnoteReference w:id="21"/>
      </w:r>
      <w:r w:rsidRPr="00C92BCC">
        <w:t xml:space="preserve"> of the US Federal Adverse Events Reporting System (FAERS) as further evidence </w:t>
      </w:r>
      <w:r>
        <w:t>outlining the risk of pancreatitis. This study concluded that there was an increased risk of developing pancreatitis compared to other opioid agonists and to other agents recently introduced for the treatment of IBS</w:t>
      </w:r>
      <w:r w:rsidR="004C1882">
        <w:t>-d</w:t>
      </w:r>
      <w:r>
        <w:t>. In lieu of discussing a point</w:t>
      </w:r>
      <w:r w:rsidR="004C1882">
        <w:t xml:space="preserve"> </w:t>
      </w:r>
      <w:r>
        <w:t>by</w:t>
      </w:r>
      <w:r w:rsidR="004C1882">
        <w:t xml:space="preserve"> </w:t>
      </w:r>
      <w:r>
        <w:t xml:space="preserve">point critique of the analysis, the </w:t>
      </w:r>
      <w:r w:rsidR="00141C8C">
        <w:t>sponsor</w:t>
      </w:r>
      <w:r>
        <w:t xml:space="preserve"> wishes to point out inherent flaws and limitations in </w:t>
      </w:r>
      <w:r>
        <w:lastRenderedPageBreak/>
        <w:t xml:space="preserve">the methodology used in Gawron’s analysis. FAERS is a database that contains </w:t>
      </w:r>
      <w:r w:rsidR="004C1882">
        <w:t>AE</w:t>
      </w:r>
      <w:r>
        <w:t xml:space="preserve"> reports, medication error reports and product quality complaints resulting in </w:t>
      </w:r>
      <w:r w:rsidR="004C1882">
        <w:t>AEs</w:t>
      </w:r>
      <w:r>
        <w:t xml:space="preserve"> that were submitted to FDA. Reports are submitted voluntarily by healthcare professionals, consumers, and manufacturers. While FAERS is a useful tool for the FDA for activities such as looking for new safety concerns that might be related to a marketed product, it is not appropriate for use in a comparative assessment between products, whether of a similar class or indication.</w:t>
      </w:r>
    </w:p>
    <w:p w:rsidR="00966162" w:rsidRDefault="00966162" w:rsidP="00141C8C">
      <w:r>
        <w:t>Notable limitations include:</w:t>
      </w:r>
    </w:p>
    <w:p w:rsidR="00966162" w:rsidRDefault="00966162" w:rsidP="00C26F4A">
      <w:pPr>
        <w:pStyle w:val="ListBullet"/>
      </w:pPr>
      <w:r>
        <w:t>There is no certainty that the reported event (adverse event or medication error) was due to the product. FDA does not require that a causal relationship between a product and event be proven, and reports do not always contain enough detail to properly evaluate an event.</w:t>
      </w:r>
    </w:p>
    <w:p w:rsidR="00966162" w:rsidRDefault="00966162" w:rsidP="00C26F4A">
      <w:pPr>
        <w:pStyle w:val="ListBullet"/>
      </w:pPr>
      <w:r>
        <w:t>FDA does not receive reports for every adverse event or medication error that occurs with a product. Many factors can influence whether an event will be reported, such as the length of time a product has been marketed and publicity about an</w:t>
      </w:r>
      <w:r>
        <w:rPr>
          <w:spacing w:val="-9"/>
        </w:rPr>
        <w:t xml:space="preserve"> </w:t>
      </w:r>
      <w:r>
        <w:t>event.</w:t>
      </w:r>
    </w:p>
    <w:p w:rsidR="00966162" w:rsidRDefault="00966162" w:rsidP="00C26F4A">
      <w:pPr>
        <w:pStyle w:val="ListBullet2"/>
      </w:pPr>
      <w:r>
        <w:t>Considering the fact that eluxadoline is a newly approved drug and that there has been recently published information about pancreatitis related to eluxadoline, results are likely to be skewed due to recognition and reporting</w:t>
      </w:r>
      <w:r>
        <w:rPr>
          <w:spacing w:val="-11"/>
        </w:rPr>
        <w:t xml:space="preserve"> </w:t>
      </w:r>
      <w:r>
        <w:t>bias.</w:t>
      </w:r>
    </w:p>
    <w:p w:rsidR="00966162" w:rsidRDefault="00966162" w:rsidP="00C26F4A">
      <w:pPr>
        <w:pStyle w:val="ListBullet2"/>
      </w:pPr>
      <w:r>
        <w:t>Newly introduced treatments lack a sense of familiarity and may be subjected to more scrutiny than treatments that have been used for a number of</w:t>
      </w:r>
      <w:r>
        <w:rPr>
          <w:spacing w:val="-8"/>
        </w:rPr>
        <w:t xml:space="preserve"> </w:t>
      </w:r>
      <w:r>
        <w:t>years.</w:t>
      </w:r>
    </w:p>
    <w:p w:rsidR="00966162" w:rsidRDefault="00966162" w:rsidP="00C26F4A">
      <w:r>
        <w:t>There are also duplicate reports where the same report was submitted by a consumer and by the sponso</w:t>
      </w:r>
      <w:r w:rsidR="00C26F4A">
        <w:t>r, which are not always recognis</w:t>
      </w:r>
      <w:r>
        <w:t>able due to limited case</w:t>
      </w:r>
      <w:r>
        <w:rPr>
          <w:spacing w:val="-11"/>
        </w:rPr>
        <w:t xml:space="preserve"> </w:t>
      </w:r>
      <w:r>
        <w:t>information.</w:t>
      </w:r>
    </w:p>
    <w:p w:rsidR="00966162" w:rsidRDefault="00966162" w:rsidP="00C26F4A">
      <w:pPr>
        <w:pStyle w:val="ListBullet"/>
      </w:pPr>
      <w:r>
        <w:t>Information contained within FAERS reports are limited, often missing important information useful in determining potential causality with the use of the suspected medication</w:t>
      </w:r>
    </w:p>
    <w:p w:rsidR="00966162" w:rsidRDefault="00966162" w:rsidP="00C26F4A">
      <w:pPr>
        <w:pStyle w:val="ListBullet"/>
      </w:pPr>
      <w:r>
        <w:t>Rates of occurrence cannot be established with reported</w:t>
      </w:r>
      <w:r>
        <w:rPr>
          <w:spacing w:val="-5"/>
        </w:rPr>
        <w:t xml:space="preserve"> </w:t>
      </w:r>
      <w:r>
        <w:t>events.</w:t>
      </w:r>
    </w:p>
    <w:p w:rsidR="00966162" w:rsidRDefault="00966162" w:rsidP="00C26F4A">
      <w:pPr>
        <w:pStyle w:val="ListBullet2"/>
      </w:pPr>
      <w:r>
        <w:t>The number of suspected reactions in FAERS should not be used to determine</w:t>
      </w:r>
      <w:r>
        <w:rPr>
          <w:spacing w:val="-23"/>
        </w:rPr>
        <w:t xml:space="preserve"> </w:t>
      </w:r>
      <w:r>
        <w:t>the likelihood of a side effect occurring. Due to the items mentioned above (</w:t>
      </w:r>
      <w:r w:rsidR="00C26F4A">
        <w:t>that is,</w:t>
      </w:r>
      <w:r>
        <w:t xml:space="preserve"> reports not received for every </w:t>
      </w:r>
      <w:r w:rsidR="004C1882">
        <w:t>AE</w:t>
      </w:r>
      <w:r>
        <w:t xml:space="preserve"> that occurs, reporting bias) as well as an inability to accurately determine the number of patients taking the medication (especially a drug that is provided over the counter as such loperamide), information in these reports cannot be used to estimate the incidence of the reactions</w:t>
      </w:r>
      <w:r>
        <w:rPr>
          <w:spacing w:val="-2"/>
        </w:rPr>
        <w:t xml:space="preserve"> </w:t>
      </w:r>
      <w:r>
        <w:t>reported.</w:t>
      </w:r>
    </w:p>
    <w:p w:rsidR="00966162" w:rsidRDefault="00966162" w:rsidP="00C26F4A">
      <w:pPr>
        <w:pStyle w:val="ListBullet2"/>
      </w:pPr>
      <w:r>
        <w:t>In that same vein, the FDA considers it improper to do between-drug comparisons with this data, which is the precise methodology used by Gawron et al</w:t>
      </w:r>
      <w:r w:rsidR="004C1882">
        <w:t>.,</w:t>
      </w:r>
      <w:r>
        <w:t xml:space="preserve"> in their analysis.</w:t>
      </w:r>
    </w:p>
    <w:p w:rsidR="00966162" w:rsidRDefault="00966162" w:rsidP="00C26F4A">
      <w:r>
        <w:t>The FDA, in their own analysis of the FAERS data, did not make claims as to the overall safety of eluxadoline compared to other opioid agonists or I</w:t>
      </w:r>
      <w:r w:rsidR="00C26F4A">
        <w:t>BS treatments, but rather analys</w:t>
      </w:r>
      <w:r>
        <w:t xml:space="preserve">ed the data for eluxadoline independently leading to their decision that eluxadoline should be contraindicated in patients without a gallbladder, an analysis which the </w:t>
      </w:r>
      <w:r w:rsidR="00141C8C">
        <w:t>sponsor</w:t>
      </w:r>
      <w:r>
        <w:t xml:space="preserve"> independently conducted and agreed with. The FDA, as well as the regulators in all other markets in which this drug is currently approved, considers the benefit-risk balance in patients with a gallbladder to be favo</w:t>
      </w:r>
      <w:r w:rsidR="00C26F4A">
        <w:t>u</w:t>
      </w:r>
      <w:r>
        <w:t>rable.</w:t>
      </w:r>
    </w:p>
    <w:p w:rsidR="00966162" w:rsidRDefault="00966162" w:rsidP="00543B66">
      <w:pPr>
        <w:pStyle w:val="ListBullet"/>
      </w:pPr>
      <w:r>
        <w:t>Mechanism of cause of pancreatitis/pancreatitis in patients with a</w:t>
      </w:r>
      <w:r w:rsidRPr="00C26F4A">
        <w:rPr>
          <w:spacing w:val="-10"/>
        </w:rPr>
        <w:t xml:space="preserve"> </w:t>
      </w:r>
      <w:r>
        <w:t>gallbladder</w:t>
      </w:r>
    </w:p>
    <w:p w:rsidR="00966162" w:rsidRDefault="00966162" w:rsidP="00C26F4A">
      <w:r>
        <w:t xml:space="preserve">The ACM states that the mechanisms by which eluxadoline causes pancreatitis had not been elucidated and that pancreatitis had been documented in patients without a cholecystectomy. The </w:t>
      </w:r>
      <w:r w:rsidR="00141C8C">
        <w:t>sponsor</w:t>
      </w:r>
      <w:r>
        <w:t xml:space="preserve"> would like to point out that this is not entirely accurate. The effect of </w:t>
      </w:r>
      <w:r w:rsidR="001F44D1">
        <w:t>MOR</w:t>
      </w:r>
      <w:r>
        <w:t xml:space="preserve"> agonism on the </w:t>
      </w:r>
      <w:r w:rsidR="001F44D1">
        <w:t xml:space="preserve">sphincter of Oddi </w:t>
      </w:r>
      <w:r>
        <w:t xml:space="preserve">has been well documented in scientific literature. Cholecystectomy is known to be a risk factor for </w:t>
      </w:r>
      <w:r w:rsidR="001F44D1">
        <w:t xml:space="preserve">sphincter of Oddi </w:t>
      </w:r>
      <w:r>
        <w:t xml:space="preserve">dysfunction </w:t>
      </w:r>
      <w:r>
        <w:lastRenderedPageBreak/>
        <w:t xml:space="preserve">and for opioid-induced SO spasm. Ingestion of a fatty meal is followed by release of cholecystokinin (CCK) which causes the gallbladder to contract and the </w:t>
      </w:r>
      <w:r w:rsidR="001F44D1">
        <w:t xml:space="preserve">sphincter </w:t>
      </w:r>
      <w:r w:rsidR="006C70FC">
        <w:t xml:space="preserve">of </w:t>
      </w:r>
      <w:r>
        <w:t>O</w:t>
      </w:r>
      <w:r w:rsidR="006C70FC">
        <w:t>ddi</w:t>
      </w:r>
      <w:r>
        <w:t xml:space="preserve"> to relax. Coordination of gallbladder and </w:t>
      </w:r>
      <w:r w:rsidR="006C70FC">
        <w:t xml:space="preserve">sphincter of Oddi </w:t>
      </w:r>
      <w:r>
        <w:t xml:space="preserve">function may also be influenced by nerve bundles which connect the gallbladder and </w:t>
      </w:r>
      <w:r w:rsidR="006C70FC">
        <w:t xml:space="preserve">sphincter of Oddi </w:t>
      </w:r>
      <w:r>
        <w:t>via the cystic duct.</w:t>
      </w:r>
    </w:p>
    <w:p w:rsidR="00966162" w:rsidRDefault="00966162" w:rsidP="00C26F4A">
      <w:r>
        <w:t xml:space="preserve">Cholecystectomy may influence normal </w:t>
      </w:r>
      <w:r w:rsidR="006C70FC">
        <w:t xml:space="preserve">sphincter of Oddi </w:t>
      </w:r>
      <w:r>
        <w:t xml:space="preserve">function by disrupting this nerve pathway and altering its response to CCK, leading to dysfunction of the sphincter of Oddi. Additionally, the gallbladder serves as a reservoir or safety valve that can accommodate increases in </w:t>
      </w:r>
      <w:r w:rsidR="006C70FC">
        <w:t>sphincter of Oddi</w:t>
      </w:r>
      <w:r>
        <w:t>/biliary/pancreatic duct pressure due to opiate induced spasm. If the gallbladder is absent, patients are more susceptible to transient cholestasis (transaminase abnormalities) or transient pancreatitis. It should be noted that the presence of a gallbladder does not preclude the possibility of development of pancreatitis secondary to sphincter of Oddi spasm, or certainly secondary to other causes (</w:t>
      </w:r>
      <w:r w:rsidR="00D70F23">
        <w:t>for example,</w:t>
      </w:r>
      <w:r>
        <w:t xml:space="preserve"> alcohol), however, all of the cases of pancreatitis demonstrated in clinical development and in the </w:t>
      </w:r>
      <w:r w:rsidR="00E57717">
        <w:t>postmarket</w:t>
      </w:r>
      <w:r>
        <w:t>ing setting, in patients with a gallbladder, have been mild in nature and rapidly reversed without sequelae upon discontinuation of</w:t>
      </w:r>
      <w:r>
        <w:rPr>
          <w:spacing w:val="-9"/>
        </w:rPr>
        <w:t xml:space="preserve"> </w:t>
      </w:r>
      <w:r>
        <w:t>treatment.</w:t>
      </w:r>
    </w:p>
    <w:p w:rsidR="00966162" w:rsidRDefault="00966162" w:rsidP="00C26F4A">
      <w:r>
        <w:t xml:space="preserve">A search of the </w:t>
      </w:r>
      <w:r w:rsidR="006C70FC">
        <w:t xml:space="preserve">sponsor’s </w:t>
      </w:r>
      <w:r>
        <w:t>Safety Database for post marketing eluxadoline cases from 27</w:t>
      </w:r>
      <w:r w:rsidR="006C70FC">
        <w:t> </w:t>
      </w:r>
      <w:r>
        <w:t xml:space="preserve">May 2015 (the International Birth Date of eluxadoline) through 31 July 2017 was performed using the </w:t>
      </w:r>
      <w:r w:rsidR="001963D0">
        <w:t>Medical Dictionary for Regulatory Affairs (</w:t>
      </w:r>
      <w:r>
        <w:t>MedDRA</w:t>
      </w:r>
      <w:r w:rsidR="001963D0">
        <w:t>)</w:t>
      </w:r>
      <w:r>
        <w:t xml:space="preserve"> </w:t>
      </w:r>
      <w:r w:rsidR="00E4543A">
        <w:t>Standardized</w:t>
      </w:r>
      <w:r w:rsidR="00B9445C">
        <w:t xml:space="preserve"> </w:t>
      </w:r>
      <w:r>
        <w:t>M</w:t>
      </w:r>
      <w:r w:rsidR="00B9445C">
        <w:t xml:space="preserve">edDRA </w:t>
      </w:r>
      <w:r>
        <w:t>Q</w:t>
      </w:r>
      <w:r w:rsidR="00B9445C">
        <w:t>uery</w:t>
      </w:r>
      <w:r>
        <w:t xml:space="preserve"> for </w:t>
      </w:r>
      <w:r w:rsidR="00B9445C">
        <w:t>‘</w:t>
      </w:r>
      <w:r>
        <w:t>Acute pancreatitis</w:t>
      </w:r>
      <w:r w:rsidR="00B9445C">
        <w:t>’</w:t>
      </w:r>
      <w:r>
        <w:t xml:space="preserve"> (broad) and yielded a result of 230 cases. These 230 cases consisted of 219 cases with a reported diagnosis of pancreatitis (189 reported cases of </w:t>
      </w:r>
      <w:r w:rsidR="00141C8C">
        <w:t>‘</w:t>
      </w:r>
      <w:r>
        <w:t>pancreatitis</w:t>
      </w:r>
      <w:r w:rsidR="00141C8C">
        <w:t>’</w:t>
      </w:r>
      <w:r>
        <w:t xml:space="preserve">, 21 cases of </w:t>
      </w:r>
      <w:r w:rsidR="00141C8C">
        <w:t>‘</w:t>
      </w:r>
      <w:r>
        <w:t>pancreatitis acute</w:t>
      </w:r>
      <w:r w:rsidR="00141C8C">
        <w:t>’</w:t>
      </w:r>
      <w:r>
        <w:t xml:space="preserve">, 1 case of </w:t>
      </w:r>
      <w:r w:rsidR="00141C8C">
        <w:t>‘</w:t>
      </w:r>
      <w:r>
        <w:t>pancreatitis necrotising</w:t>
      </w:r>
      <w:r w:rsidR="00141C8C">
        <w:t>’</w:t>
      </w:r>
      <w:r>
        <w:t>) and 11 cases reporting both a symptom and a laboratory value indicative of pancreatitis. Case narratives were reviewed for information on gallbladder status.</w:t>
      </w:r>
    </w:p>
    <w:p w:rsidR="00966162" w:rsidRDefault="00966162" w:rsidP="00C26F4A">
      <w:r>
        <w:t>Of the 230 cases:</w:t>
      </w:r>
    </w:p>
    <w:p w:rsidR="00966162" w:rsidRDefault="00966162" w:rsidP="00D70F23">
      <w:pPr>
        <w:pStyle w:val="ListBullet"/>
      </w:pPr>
      <w:r>
        <w:t>140 cases had a known gallbladder</w:t>
      </w:r>
      <w:r>
        <w:rPr>
          <w:spacing w:val="-3"/>
        </w:rPr>
        <w:t xml:space="preserve"> </w:t>
      </w:r>
      <w:r>
        <w:t>status</w:t>
      </w:r>
      <w:r w:rsidR="00B9445C">
        <w:t>:</w:t>
      </w:r>
    </w:p>
    <w:p w:rsidR="00966162" w:rsidRDefault="00966162" w:rsidP="00D70F23">
      <w:pPr>
        <w:pStyle w:val="ListBullet2"/>
      </w:pPr>
      <w:r>
        <w:t>106/140 cases (76%) reported a history of cholecystectomy or no gallbladder present</w:t>
      </w:r>
      <w:r w:rsidR="00B9445C">
        <w:t>.</w:t>
      </w:r>
    </w:p>
    <w:p w:rsidR="00966162" w:rsidRDefault="00966162" w:rsidP="00D70F23">
      <w:pPr>
        <w:pStyle w:val="ListBullet2"/>
      </w:pPr>
      <w:r>
        <w:t>34/140 cases (24%) reported that either the patient’s gallbladder was intact or that there was no history of a prior</w:t>
      </w:r>
      <w:r>
        <w:rPr>
          <w:spacing w:val="-2"/>
        </w:rPr>
        <w:t xml:space="preserve"> </w:t>
      </w:r>
      <w:r>
        <w:t>cholecystectomy</w:t>
      </w:r>
      <w:r w:rsidR="00B9445C">
        <w:t>.</w:t>
      </w:r>
    </w:p>
    <w:p w:rsidR="00966162" w:rsidRDefault="00966162" w:rsidP="00D70F23">
      <w:pPr>
        <w:pStyle w:val="ListBullet"/>
      </w:pPr>
      <w:r>
        <w:t>90 cases did not report a gallbladder</w:t>
      </w:r>
      <w:r>
        <w:rPr>
          <w:spacing w:val="-8"/>
        </w:rPr>
        <w:t xml:space="preserve"> </w:t>
      </w:r>
      <w:r>
        <w:t>status</w:t>
      </w:r>
      <w:r w:rsidR="00B9445C">
        <w:t>.</w:t>
      </w:r>
    </w:p>
    <w:p w:rsidR="00966162" w:rsidRDefault="00966162" w:rsidP="00D70F23">
      <w:r>
        <w:t xml:space="preserve">Although the </w:t>
      </w:r>
      <w:r w:rsidR="00141C8C">
        <w:t>sponsor</w:t>
      </w:r>
      <w:r>
        <w:t xml:space="preserve"> is considering the reporting of no prior history of cholecystectomy as indication of an intact gallbladder, this does not exclude the possibility of gallbladder agenesis </w:t>
      </w:r>
      <w:r w:rsidR="00B9445C">
        <w:t>(</w:t>
      </w:r>
      <w:r>
        <w:t>estimated incidence of 10</w:t>
      </w:r>
      <w:r w:rsidR="00B9445C">
        <w:t xml:space="preserve"> to </w:t>
      </w:r>
      <w:r>
        <w:t xml:space="preserve">65 per 100,000 </w:t>
      </w:r>
      <w:proofErr w:type="gramStart"/>
      <w:r>
        <w:t>population</w:t>
      </w:r>
      <w:proofErr w:type="gramEnd"/>
      <w:r w:rsidR="00B9445C">
        <w:t>)</w:t>
      </w:r>
      <w:r>
        <w:t>.</w:t>
      </w:r>
    </w:p>
    <w:p w:rsidR="00966162" w:rsidRDefault="00966162" w:rsidP="00D70F23">
      <w:r>
        <w:t xml:space="preserve">In general, the 34 cases which occurred in patients with either an intact gallbladder or no history of cholecystectomy reported minimal information precluding the ability to determine the potential mechanism of pancreatitis in these patients, a diagnosis which, incidentally, lacked either laboratory or diagnostic imaging confirmation in approximately 68% of cases. Analysis of alternative </w:t>
      </w:r>
      <w:r w:rsidR="00B9445C">
        <w:t>a</w:t>
      </w:r>
      <w:r>
        <w:t>etiologies of pancreatitis was hindered by the scarcity of any reported medical history and concomitant medications (absent in approximately 74</w:t>
      </w:r>
      <w:r w:rsidR="00B9445C">
        <w:t xml:space="preserve"> to </w:t>
      </w:r>
      <w:r>
        <w:t xml:space="preserve">76% of cases), as well as social history of alcohol use or smoking. Importantly, </w:t>
      </w:r>
      <w:r w:rsidRPr="00543B66">
        <w:t>all</w:t>
      </w:r>
      <w:r>
        <w:t xml:space="preserve"> of the reported cases were mild, as they did not describe local/systemic complications, organ failure, and/or death, and, where reported, 93% of patients had recovered/improved, at the time of the report. Overall, these cases are consistent with the </w:t>
      </w:r>
      <w:r w:rsidR="00141C8C">
        <w:t>sponsor</w:t>
      </w:r>
      <w:r>
        <w:t>’s expectations and contributed to the interpretation that the benefit-risk balance has not changed in patients with an intact gallbladder.</w:t>
      </w:r>
    </w:p>
    <w:p w:rsidR="00966162" w:rsidRDefault="00966162" w:rsidP="00077588">
      <w:pPr>
        <w:pStyle w:val="Tabletitle0"/>
      </w:pPr>
      <w:r>
        <w:rPr>
          <w:spacing w:val="-5"/>
        </w:rPr>
        <w:lastRenderedPageBreak/>
        <w:t>Table</w:t>
      </w:r>
      <w:r>
        <w:t xml:space="preserve"> </w:t>
      </w:r>
      <w:r w:rsidR="001A30C2">
        <w:t>2</w:t>
      </w:r>
      <w:r w:rsidR="00AC04B2">
        <w:t>2</w:t>
      </w:r>
      <w:r w:rsidR="00D70F23">
        <w:t xml:space="preserve">: </w:t>
      </w:r>
      <w:r>
        <w:t xml:space="preserve">Case </w:t>
      </w:r>
      <w:r w:rsidR="00077588">
        <w:t xml:space="preserve">details; </w:t>
      </w:r>
      <w:r>
        <w:t xml:space="preserve">Patients with a </w:t>
      </w:r>
      <w:r w:rsidR="00077588">
        <w:t>gallbladder</w:t>
      </w:r>
      <w:r w:rsidR="00077588">
        <w:rPr>
          <w:spacing w:val="-7"/>
        </w:rPr>
        <w:t xml:space="preserve"> </w:t>
      </w:r>
      <w:r>
        <w:t>(N</w:t>
      </w:r>
      <w:r w:rsidR="00077588">
        <w:t xml:space="preserve"> </w:t>
      </w:r>
      <w:r>
        <w:t>=</w:t>
      </w:r>
      <w:r w:rsidR="00077588">
        <w:t xml:space="preserve"> </w:t>
      </w:r>
      <w:r>
        <w:t>34)</w:t>
      </w:r>
    </w:p>
    <w:tbl>
      <w:tblPr>
        <w:tblStyle w:val="TableTGAblue"/>
        <w:tblW w:w="8841" w:type="dxa"/>
        <w:tblLayout w:type="fixed"/>
        <w:tblLook w:val="01E0" w:firstRow="1" w:lastRow="1" w:firstColumn="1" w:lastColumn="1" w:noHBand="0" w:noVBand="0"/>
        <w:tblDescription w:val="Table 22: Case details; Patients with a gallbladder (N = 34)"/>
      </w:tblPr>
      <w:tblGrid>
        <w:gridCol w:w="5601"/>
        <w:gridCol w:w="3240"/>
      </w:tblGrid>
      <w:tr w:rsidR="00077588" w:rsidTr="008D57E9">
        <w:trPr>
          <w:cnfStyle w:val="100000000000" w:firstRow="1" w:lastRow="0" w:firstColumn="0" w:lastColumn="0" w:oddVBand="0" w:evenVBand="0" w:oddHBand="0" w:evenHBand="0" w:firstRowFirstColumn="0" w:firstRowLastColumn="0" w:lastRowFirstColumn="0" w:lastRowLastColumn="0"/>
          <w:trHeight w:val="442"/>
        </w:trPr>
        <w:tc>
          <w:tcPr>
            <w:tcW w:w="5601" w:type="dxa"/>
            <w:vAlign w:val="center"/>
          </w:tcPr>
          <w:p w:rsidR="00966162" w:rsidRDefault="005F1690" w:rsidP="00077588">
            <w:pPr>
              <w:pStyle w:val="TableParagraph"/>
              <w:rPr>
                <w:sz w:val="20"/>
              </w:rPr>
            </w:pPr>
            <w:r>
              <w:rPr>
                <w:sz w:val="20"/>
              </w:rPr>
              <w:t>Description</w:t>
            </w:r>
          </w:p>
        </w:tc>
        <w:tc>
          <w:tcPr>
            <w:tcW w:w="3240" w:type="dxa"/>
            <w:vAlign w:val="center"/>
          </w:tcPr>
          <w:p w:rsidR="00966162" w:rsidRDefault="00077588" w:rsidP="00077588">
            <w:pPr>
              <w:pStyle w:val="TableParagraph"/>
              <w:rPr>
                <w:sz w:val="20"/>
              </w:rPr>
            </w:pPr>
            <w:r>
              <w:rPr>
                <w:sz w:val="20"/>
              </w:rPr>
              <w:t xml:space="preserve">(N =) (Total </w:t>
            </w:r>
            <w:r w:rsidR="00966162">
              <w:rPr>
                <w:sz w:val="20"/>
              </w:rPr>
              <w:t>N</w:t>
            </w:r>
            <w:r>
              <w:rPr>
                <w:sz w:val="20"/>
              </w:rPr>
              <w:t xml:space="preserve"> </w:t>
            </w:r>
            <w:r w:rsidR="00966162">
              <w:rPr>
                <w:sz w:val="20"/>
              </w:rPr>
              <w:t>=</w:t>
            </w:r>
            <w:r>
              <w:rPr>
                <w:sz w:val="20"/>
              </w:rPr>
              <w:t xml:space="preserve"> </w:t>
            </w:r>
            <w:r w:rsidR="00966162">
              <w:rPr>
                <w:sz w:val="20"/>
              </w:rPr>
              <w:t>34</w:t>
            </w:r>
            <w:r>
              <w:rPr>
                <w:sz w:val="20"/>
              </w:rPr>
              <w:t>)</w:t>
            </w:r>
          </w:p>
        </w:tc>
      </w:tr>
      <w:tr w:rsidR="00077588" w:rsidTr="008D57E9">
        <w:trPr>
          <w:trHeight w:val="368"/>
        </w:trPr>
        <w:tc>
          <w:tcPr>
            <w:tcW w:w="5601" w:type="dxa"/>
          </w:tcPr>
          <w:p w:rsidR="00966162" w:rsidRDefault="00966162" w:rsidP="008D57E9">
            <w:pPr>
              <w:pStyle w:val="TableParagraph"/>
              <w:keepNext/>
              <w:spacing w:before="38"/>
              <w:ind w:left="107"/>
              <w:rPr>
                <w:sz w:val="20"/>
              </w:rPr>
            </w:pPr>
            <w:r>
              <w:rPr>
                <w:sz w:val="20"/>
              </w:rPr>
              <w:t xml:space="preserve">Latency </w:t>
            </w:r>
            <w:r w:rsidR="00077588">
              <w:rPr>
                <w:sz w:val="20"/>
              </w:rPr>
              <w:t>reported</w:t>
            </w:r>
          </w:p>
        </w:tc>
        <w:tc>
          <w:tcPr>
            <w:tcW w:w="3240" w:type="dxa"/>
            <w:vAlign w:val="center"/>
          </w:tcPr>
          <w:p w:rsidR="00966162" w:rsidRDefault="00077588" w:rsidP="008D57E9">
            <w:pPr>
              <w:pStyle w:val="TableParagraph"/>
              <w:keepNext/>
              <w:spacing w:before="38"/>
              <w:ind w:left="144" w:right="173"/>
              <w:rPr>
                <w:sz w:val="20"/>
              </w:rPr>
            </w:pPr>
            <w:r>
              <w:rPr>
                <w:sz w:val="20"/>
              </w:rPr>
              <w:t xml:space="preserve">N </w:t>
            </w:r>
            <w:r w:rsidR="00966162">
              <w:rPr>
                <w:sz w:val="20"/>
              </w:rPr>
              <w:t>=</w:t>
            </w:r>
            <w:r>
              <w:rPr>
                <w:sz w:val="20"/>
              </w:rPr>
              <w:t xml:space="preserve"> </w:t>
            </w:r>
            <w:r w:rsidR="00966162">
              <w:rPr>
                <w:sz w:val="20"/>
              </w:rPr>
              <w:t>17</w:t>
            </w:r>
          </w:p>
        </w:tc>
      </w:tr>
      <w:tr w:rsidR="00077588" w:rsidTr="008D57E9">
        <w:trPr>
          <w:trHeight w:val="366"/>
        </w:trPr>
        <w:tc>
          <w:tcPr>
            <w:tcW w:w="5601" w:type="dxa"/>
          </w:tcPr>
          <w:p w:rsidR="00966162" w:rsidRDefault="00966162" w:rsidP="008D57E9">
            <w:pPr>
              <w:pStyle w:val="TableParagraph"/>
              <w:keepNext/>
              <w:ind w:left="437"/>
              <w:rPr>
                <w:sz w:val="20"/>
              </w:rPr>
            </w:pPr>
            <w:r>
              <w:rPr>
                <w:sz w:val="20"/>
              </w:rPr>
              <w:t>1 day</w:t>
            </w:r>
          </w:p>
        </w:tc>
        <w:tc>
          <w:tcPr>
            <w:tcW w:w="3240" w:type="dxa"/>
            <w:vAlign w:val="center"/>
          </w:tcPr>
          <w:p w:rsidR="00966162" w:rsidRDefault="00966162" w:rsidP="008D57E9">
            <w:pPr>
              <w:pStyle w:val="TableParagraph"/>
              <w:keepNext/>
              <w:ind w:left="144" w:right="173"/>
              <w:rPr>
                <w:sz w:val="20"/>
              </w:rPr>
            </w:pPr>
            <w:r>
              <w:rPr>
                <w:sz w:val="20"/>
              </w:rPr>
              <w:t>8</w:t>
            </w:r>
          </w:p>
        </w:tc>
      </w:tr>
      <w:tr w:rsidR="00077588" w:rsidTr="008D57E9">
        <w:trPr>
          <w:trHeight w:val="368"/>
        </w:trPr>
        <w:tc>
          <w:tcPr>
            <w:tcW w:w="5601" w:type="dxa"/>
          </w:tcPr>
          <w:p w:rsidR="00966162" w:rsidRDefault="00966162" w:rsidP="00141C8C">
            <w:pPr>
              <w:pStyle w:val="TableParagraph"/>
              <w:spacing w:before="38"/>
              <w:ind w:left="437"/>
              <w:rPr>
                <w:sz w:val="20"/>
              </w:rPr>
            </w:pPr>
            <w:r>
              <w:rPr>
                <w:sz w:val="20"/>
              </w:rPr>
              <w:t>&gt;</w:t>
            </w:r>
            <w:r w:rsidR="00077588">
              <w:rPr>
                <w:sz w:val="20"/>
              </w:rPr>
              <w:t> </w:t>
            </w:r>
            <w:r>
              <w:rPr>
                <w:sz w:val="20"/>
              </w:rPr>
              <w:t xml:space="preserve">1 day </w:t>
            </w:r>
            <w:r w:rsidR="00077588">
              <w:rPr>
                <w:sz w:val="20"/>
              </w:rPr>
              <w:t>to</w:t>
            </w:r>
            <w:r>
              <w:rPr>
                <w:sz w:val="20"/>
              </w:rPr>
              <w:t xml:space="preserve"> 1 week</w:t>
            </w:r>
          </w:p>
        </w:tc>
        <w:tc>
          <w:tcPr>
            <w:tcW w:w="3240" w:type="dxa"/>
            <w:vAlign w:val="center"/>
          </w:tcPr>
          <w:p w:rsidR="00966162" w:rsidRDefault="00966162" w:rsidP="008D57E9">
            <w:pPr>
              <w:pStyle w:val="TableParagraph"/>
              <w:spacing w:before="38"/>
              <w:ind w:left="144" w:right="173"/>
              <w:rPr>
                <w:sz w:val="20"/>
              </w:rPr>
            </w:pPr>
            <w:r>
              <w:rPr>
                <w:sz w:val="20"/>
              </w:rPr>
              <w:t>5</w:t>
            </w:r>
          </w:p>
        </w:tc>
      </w:tr>
      <w:tr w:rsidR="00077588" w:rsidTr="008D57E9">
        <w:trPr>
          <w:trHeight w:val="366"/>
        </w:trPr>
        <w:tc>
          <w:tcPr>
            <w:tcW w:w="5601" w:type="dxa"/>
          </w:tcPr>
          <w:p w:rsidR="00966162" w:rsidRDefault="00077588" w:rsidP="00077588">
            <w:pPr>
              <w:pStyle w:val="TableParagraph"/>
              <w:ind w:left="437"/>
              <w:rPr>
                <w:sz w:val="20"/>
              </w:rPr>
            </w:pPr>
            <w:r w:rsidRPr="00077588">
              <w:rPr>
                <w:sz w:val="20"/>
              </w:rPr>
              <w:t>&gt;</w:t>
            </w:r>
            <w:r>
              <w:rPr>
                <w:sz w:val="20"/>
              </w:rPr>
              <w:t xml:space="preserve"> </w:t>
            </w:r>
            <w:r w:rsidR="00966162">
              <w:rPr>
                <w:sz w:val="20"/>
              </w:rPr>
              <w:t>1 week</w:t>
            </w:r>
          </w:p>
        </w:tc>
        <w:tc>
          <w:tcPr>
            <w:tcW w:w="3240" w:type="dxa"/>
            <w:vAlign w:val="center"/>
          </w:tcPr>
          <w:p w:rsidR="00966162" w:rsidRDefault="00966162" w:rsidP="008D57E9">
            <w:pPr>
              <w:pStyle w:val="TableParagraph"/>
              <w:ind w:left="144" w:right="173"/>
              <w:rPr>
                <w:sz w:val="20"/>
              </w:rPr>
            </w:pPr>
            <w:r>
              <w:rPr>
                <w:sz w:val="20"/>
              </w:rPr>
              <w:t>4 (</w:t>
            </w:r>
            <w:r w:rsidR="00141C8C">
              <w:rPr>
                <w:sz w:val="20"/>
              </w:rPr>
              <w:t>‘</w:t>
            </w:r>
            <w:r>
              <w:rPr>
                <w:sz w:val="20"/>
              </w:rPr>
              <w:t>within 2 weeks</w:t>
            </w:r>
            <w:r w:rsidR="00141C8C">
              <w:rPr>
                <w:sz w:val="20"/>
              </w:rPr>
              <w:t>’</w:t>
            </w:r>
            <w:r>
              <w:rPr>
                <w:sz w:val="20"/>
              </w:rPr>
              <w:t xml:space="preserve">, 34 days, </w:t>
            </w:r>
            <w:r w:rsidR="00141C8C">
              <w:rPr>
                <w:sz w:val="20"/>
              </w:rPr>
              <w:t>‘</w:t>
            </w:r>
            <w:r>
              <w:rPr>
                <w:sz w:val="20"/>
              </w:rPr>
              <w:t>4</w:t>
            </w:r>
            <w:r w:rsidR="00077588">
              <w:rPr>
                <w:sz w:val="20"/>
              </w:rPr>
              <w:t xml:space="preserve"> to </w:t>
            </w:r>
            <w:r>
              <w:rPr>
                <w:sz w:val="20"/>
              </w:rPr>
              <w:t>6 weeks</w:t>
            </w:r>
            <w:r w:rsidR="00141C8C">
              <w:rPr>
                <w:sz w:val="20"/>
              </w:rPr>
              <w:t>’</w:t>
            </w:r>
            <w:r w:rsidR="00077588">
              <w:rPr>
                <w:sz w:val="20"/>
              </w:rPr>
              <w:t>,</w:t>
            </w:r>
            <w:r>
              <w:rPr>
                <w:sz w:val="20"/>
              </w:rPr>
              <w:t xml:space="preserve"> and 90 days)</w:t>
            </w:r>
          </w:p>
        </w:tc>
      </w:tr>
      <w:tr w:rsidR="00077588" w:rsidTr="008D57E9">
        <w:trPr>
          <w:trHeight w:val="367"/>
        </w:trPr>
        <w:tc>
          <w:tcPr>
            <w:tcW w:w="5601" w:type="dxa"/>
          </w:tcPr>
          <w:p w:rsidR="00966162" w:rsidRDefault="00966162" w:rsidP="00141C8C">
            <w:pPr>
              <w:pStyle w:val="TableParagraph"/>
              <w:spacing w:before="38"/>
              <w:ind w:left="107"/>
              <w:rPr>
                <w:sz w:val="20"/>
              </w:rPr>
            </w:pPr>
            <w:r>
              <w:rPr>
                <w:sz w:val="20"/>
              </w:rPr>
              <w:t>Action taken Reported</w:t>
            </w:r>
          </w:p>
        </w:tc>
        <w:tc>
          <w:tcPr>
            <w:tcW w:w="3240" w:type="dxa"/>
            <w:vAlign w:val="center"/>
          </w:tcPr>
          <w:p w:rsidR="00966162" w:rsidRDefault="00077588" w:rsidP="008D57E9">
            <w:pPr>
              <w:pStyle w:val="TableParagraph"/>
              <w:spacing w:before="38"/>
              <w:ind w:left="144" w:right="173"/>
              <w:rPr>
                <w:sz w:val="20"/>
              </w:rPr>
            </w:pPr>
            <w:r>
              <w:rPr>
                <w:sz w:val="20"/>
              </w:rPr>
              <w:t xml:space="preserve">N </w:t>
            </w:r>
            <w:r w:rsidR="00966162">
              <w:rPr>
                <w:sz w:val="20"/>
              </w:rPr>
              <w:t>=</w:t>
            </w:r>
            <w:r>
              <w:rPr>
                <w:sz w:val="20"/>
              </w:rPr>
              <w:t xml:space="preserve"> </w:t>
            </w:r>
            <w:r w:rsidR="00966162">
              <w:rPr>
                <w:sz w:val="20"/>
              </w:rPr>
              <w:t>27</w:t>
            </w:r>
          </w:p>
        </w:tc>
      </w:tr>
      <w:tr w:rsidR="00077588" w:rsidTr="008D57E9">
        <w:trPr>
          <w:trHeight w:val="368"/>
        </w:trPr>
        <w:tc>
          <w:tcPr>
            <w:tcW w:w="5601" w:type="dxa"/>
          </w:tcPr>
          <w:p w:rsidR="00966162" w:rsidRDefault="00966162" w:rsidP="00141C8C">
            <w:pPr>
              <w:pStyle w:val="TableParagraph"/>
              <w:ind w:left="437"/>
              <w:rPr>
                <w:sz w:val="20"/>
              </w:rPr>
            </w:pPr>
            <w:r>
              <w:rPr>
                <w:sz w:val="20"/>
              </w:rPr>
              <w:t>Discontinued treatment</w:t>
            </w:r>
          </w:p>
        </w:tc>
        <w:tc>
          <w:tcPr>
            <w:tcW w:w="3240" w:type="dxa"/>
            <w:vAlign w:val="center"/>
          </w:tcPr>
          <w:p w:rsidR="00966162" w:rsidRDefault="00966162" w:rsidP="008D57E9">
            <w:pPr>
              <w:pStyle w:val="TableParagraph"/>
              <w:ind w:left="144" w:right="173"/>
              <w:rPr>
                <w:sz w:val="20"/>
              </w:rPr>
            </w:pPr>
            <w:r>
              <w:rPr>
                <w:sz w:val="20"/>
              </w:rPr>
              <w:t>24</w:t>
            </w:r>
          </w:p>
        </w:tc>
      </w:tr>
      <w:tr w:rsidR="00077588" w:rsidTr="008D57E9">
        <w:trPr>
          <w:trHeight w:val="379"/>
        </w:trPr>
        <w:tc>
          <w:tcPr>
            <w:tcW w:w="5601" w:type="dxa"/>
          </w:tcPr>
          <w:p w:rsidR="00966162" w:rsidRDefault="00966162" w:rsidP="00141C8C">
            <w:pPr>
              <w:pStyle w:val="TableParagraph"/>
              <w:ind w:left="437"/>
              <w:rPr>
                <w:sz w:val="20"/>
              </w:rPr>
            </w:pPr>
            <w:r>
              <w:rPr>
                <w:sz w:val="20"/>
              </w:rPr>
              <w:t>Decreased dose</w:t>
            </w:r>
          </w:p>
        </w:tc>
        <w:tc>
          <w:tcPr>
            <w:tcW w:w="3240" w:type="dxa"/>
            <w:vAlign w:val="center"/>
          </w:tcPr>
          <w:p w:rsidR="00966162" w:rsidRDefault="00966162" w:rsidP="008D57E9">
            <w:pPr>
              <w:pStyle w:val="TableParagraph"/>
              <w:ind w:left="144" w:right="173"/>
              <w:rPr>
                <w:sz w:val="20"/>
              </w:rPr>
            </w:pPr>
            <w:r>
              <w:rPr>
                <w:sz w:val="20"/>
              </w:rPr>
              <w:t>2</w:t>
            </w:r>
          </w:p>
        </w:tc>
      </w:tr>
      <w:tr w:rsidR="00077588" w:rsidTr="008D57E9">
        <w:trPr>
          <w:trHeight w:val="368"/>
        </w:trPr>
        <w:tc>
          <w:tcPr>
            <w:tcW w:w="5601" w:type="dxa"/>
          </w:tcPr>
          <w:p w:rsidR="00966162" w:rsidRDefault="00966162" w:rsidP="00141C8C">
            <w:pPr>
              <w:pStyle w:val="TableParagraph"/>
              <w:ind w:left="437"/>
              <w:rPr>
                <w:sz w:val="20"/>
              </w:rPr>
            </w:pPr>
            <w:r>
              <w:rPr>
                <w:sz w:val="20"/>
              </w:rPr>
              <w:t>Temporarily discontinued treatment</w:t>
            </w:r>
          </w:p>
        </w:tc>
        <w:tc>
          <w:tcPr>
            <w:tcW w:w="3240" w:type="dxa"/>
            <w:vAlign w:val="center"/>
          </w:tcPr>
          <w:p w:rsidR="00966162" w:rsidRDefault="00966162" w:rsidP="008D57E9">
            <w:pPr>
              <w:pStyle w:val="TableParagraph"/>
              <w:ind w:left="144" w:right="173"/>
              <w:rPr>
                <w:sz w:val="20"/>
              </w:rPr>
            </w:pPr>
            <w:r>
              <w:rPr>
                <w:sz w:val="20"/>
              </w:rPr>
              <w:t>1</w:t>
            </w:r>
          </w:p>
        </w:tc>
      </w:tr>
      <w:tr w:rsidR="00077588" w:rsidTr="008D57E9">
        <w:trPr>
          <w:trHeight w:val="366"/>
        </w:trPr>
        <w:tc>
          <w:tcPr>
            <w:tcW w:w="5601" w:type="dxa"/>
          </w:tcPr>
          <w:p w:rsidR="00966162" w:rsidRDefault="00966162" w:rsidP="00141C8C">
            <w:pPr>
              <w:pStyle w:val="TableParagraph"/>
              <w:ind w:left="107"/>
              <w:rPr>
                <w:sz w:val="20"/>
              </w:rPr>
            </w:pPr>
            <w:r>
              <w:rPr>
                <w:sz w:val="20"/>
              </w:rPr>
              <w:t>Outcome Reported</w:t>
            </w:r>
          </w:p>
        </w:tc>
        <w:tc>
          <w:tcPr>
            <w:tcW w:w="3240" w:type="dxa"/>
            <w:vAlign w:val="center"/>
          </w:tcPr>
          <w:p w:rsidR="00966162" w:rsidRDefault="00077588" w:rsidP="008D57E9">
            <w:pPr>
              <w:pStyle w:val="TableParagraph"/>
              <w:ind w:left="144" w:right="173"/>
              <w:rPr>
                <w:sz w:val="20"/>
              </w:rPr>
            </w:pPr>
            <w:r>
              <w:rPr>
                <w:sz w:val="20"/>
              </w:rPr>
              <w:t xml:space="preserve">N </w:t>
            </w:r>
            <w:r w:rsidR="00966162">
              <w:rPr>
                <w:sz w:val="20"/>
              </w:rPr>
              <w:t>=</w:t>
            </w:r>
            <w:r>
              <w:rPr>
                <w:sz w:val="20"/>
              </w:rPr>
              <w:t xml:space="preserve"> </w:t>
            </w:r>
            <w:r w:rsidR="00966162">
              <w:rPr>
                <w:sz w:val="20"/>
              </w:rPr>
              <w:t>15</w:t>
            </w:r>
          </w:p>
        </w:tc>
      </w:tr>
      <w:tr w:rsidR="00077588" w:rsidTr="008D57E9">
        <w:trPr>
          <w:trHeight w:val="367"/>
        </w:trPr>
        <w:tc>
          <w:tcPr>
            <w:tcW w:w="5601" w:type="dxa"/>
          </w:tcPr>
          <w:p w:rsidR="00966162" w:rsidRDefault="00966162" w:rsidP="00141C8C">
            <w:pPr>
              <w:pStyle w:val="TableParagraph"/>
              <w:spacing w:before="38"/>
              <w:ind w:left="437"/>
              <w:rPr>
                <w:sz w:val="20"/>
              </w:rPr>
            </w:pPr>
            <w:r>
              <w:rPr>
                <w:sz w:val="20"/>
              </w:rPr>
              <w:t>Ongoing</w:t>
            </w:r>
          </w:p>
        </w:tc>
        <w:tc>
          <w:tcPr>
            <w:tcW w:w="3240" w:type="dxa"/>
            <w:vAlign w:val="center"/>
          </w:tcPr>
          <w:p w:rsidR="00966162" w:rsidRDefault="00966162" w:rsidP="008D57E9">
            <w:pPr>
              <w:pStyle w:val="TableParagraph"/>
              <w:spacing w:before="38"/>
              <w:ind w:left="144" w:right="173"/>
              <w:rPr>
                <w:sz w:val="20"/>
              </w:rPr>
            </w:pPr>
            <w:r>
              <w:rPr>
                <w:sz w:val="20"/>
              </w:rPr>
              <w:t>1</w:t>
            </w:r>
          </w:p>
        </w:tc>
      </w:tr>
      <w:tr w:rsidR="00077588" w:rsidTr="008D57E9">
        <w:trPr>
          <w:trHeight w:val="366"/>
        </w:trPr>
        <w:tc>
          <w:tcPr>
            <w:tcW w:w="5601" w:type="dxa"/>
          </w:tcPr>
          <w:p w:rsidR="00966162" w:rsidRDefault="00966162" w:rsidP="00141C8C">
            <w:pPr>
              <w:pStyle w:val="TableParagraph"/>
              <w:ind w:left="437"/>
              <w:rPr>
                <w:sz w:val="20"/>
              </w:rPr>
            </w:pPr>
            <w:r>
              <w:rPr>
                <w:sz w:val="20"/>
              </w:rPr>
              <w:t>Recovered/Improved</w:t>
            </w:r>
          </w:p>
        </w:tc>
        <w:tc>
          <w:tcPr>
            <w:tcW w:w="3240" w:type="dxa"/>
            <w:vAlign w:val="center"/>
          </w:tcPr>
          <w:p w:rsidR="00966162" w:rsidRDefault="00966162" w:rsidP="008D57E9">
            <w:pPr>
              <w:pStyle w:val="TableParagraph"/>
              <w:ind w:left="144" w:right="173"/>
              <w:rPr>
                <w:sz w:val="20"/>
              </w:rPr>
            </w:pPr>
            <w:r>
              <w:rPr>
                <w:sz w:val="20"/>
              </w:rPr>
              <w:t>14</w:t>
            </w:r>
          </w:p>
        </w:tc>
      </w:tr>
      <w:tr w:rsidR="00077588" w:rsidTr="008D57E9">
        <w:trPr>
          <w:trHeight w:val="334"/>
        </w:trPr>
        <w:tc>
          <w:tcPr>
            <w:tcW w:w="5601" w:type="dxa"/>
          </w:tcPr>
          <w:p w:rsidR="00966162" w:rsidRDefault="00966162" w:rsidP="00077588">
            <w:pPr>
              <w:pStyle w:val="TableParagraph"/>
              <w:spacing w:line="300" w:lineRule="auto"/>
              <w:ind w:left="107" w:right="558"/>
              <w:rPr>
                <w:sz w:val="20"/>
              </w:rPr>
            </w:pPr>
            <w:r>
              <w:rPr>
                <w:sz w:val="20"/>
              </w:rPr>
              <w:t>Severity per Revised Atlanta Classification criteria</w:t>
            </w:r>
          </w:p>
        </w:tc>
        <w:tc>
          <w:tcPr>
            <w:tcW w:w="3240" w:type="dxa"/>
            <w:vAlign w:val="center"/>
          </w:tcPr>
          <w:p w:rsidR="00966162" w:rsidRDefault="00077588" w:rsidP="008D57E9">
            <w:pPr>
              <w:pStyle w:val="TableParagraph"/>
              <w:spacing w:before="38"/>
              <w:ind w:left="144" w:right="173"/>
              <w:rPr>
                <w:sz w:val="20"/>
              </w:rPr>
            </w:pPr>
            <w:r>
              <w:rPr>
                <w:sz w:val="20"/>
              </w:rPr>
              <w:t xml:space="preserve">N </w:t>
            </w:r>
            <w:r w:rsidR="00966162">
              <w:rPr>
                <w:sz w:val="20"/>
              </w:rPr>
              <w:t>=</w:t>
            </w:r>
            <w:r>
              <w:rPr>
                <w:sz w:val="20"/>
              </w:rPr>
              <w:t xml:space="preserve"> </w:t>
            </w:r>
            <w:r w:rsidR="00966162">
              <w:rPr>
                <w:sz w:val="20"/>
              </w:rPr>
              <w:t>34</w:t>
            </w:r>
          </w:p>
        </w:tc>
      </w:tr>
      <w:tr w:rsidR="00077588" w:rsidTr="008D57E9">
        <w:trPr>
          <w:trHeight w:val="366"/>
        </w:trPr>
        <w:tc>
          <w:tcPr>
            <w:tcW w:w="5601" w:type="dxa"/>
          </w:tcPr>
          <w:p w:rsidR="00966162" w:rsidRDefault="00966162" w:rsidP="00141C8C">
            <w:pPr>
              <w:pStyle w:val="TableParagraph"/>
              <w:ind w:left="437"/>
              <w:rPr>
                <w:sz w:val="20"/>
              </w:rPr>
            </w:pPr>
            <w:r>
              <w:rPr>
                <w:sz w:val="20"/>
              </w:rPr>
              <w:t>Mild</w:t>
            </w:r>
          </w:p>
        </w:tc>
        <w:tc>
          <w:tcPr>
            <w:tcW w:w="3240" w:type="dxa"/>
            <w:vAlign w:val="center"/>
          </w:tcPr>
          <w:p w:rsidR="00966162" w:rsidRDefault="00966162" w:rsidP="008D57E9">
            <w:pPr>
              <w:pStyle w:val="TableParagraph"/>
              <w:ind w:left="144" w:right="173"/>
              <w:rPr>
                <w:sz w:val="20"/>
              </w:rPr>
            </w:pPr>
            <w:r>
              <w:rPr>
                <w:sz w:val="20"/>
              </w:rPr>
              <w:t>34</w:t>
            </w:r>
          </w:p>
        </w:tc>
      </w:tr>
      <w:tr w:rsidR="00077588" w:rsidTr="008D57E9">
        <w:trPr>
          <w:trHeight w:val="367"/>
        </w:trPr>
        <w:tc>
          <w:tcPr>
            <w:tcW w:w="5601" w:type="dxa"/>
          </w:tcPr>
          <w:p w:rsidR="00966162" w:rsidRDefault="00966162" w:rsidP="00141C8C">
            <w:pPr>
              <w:pStyle w:val="TableParagraph"/>
              <w:ind w:left="107"/>
              <w:rPr>
                <w:sz w:val="20"/>
              </w:rPr>
            </w:pPr>
            <w:r>
              <w:rPr>
                <w:sz w:val="20"/>
              </w:rPr>
              <w:t>Presence of supporting labs or imaging/diagnostic tests</w:t>
            </w:r>
          </w:p>
        </w:tc>
        <w:tc>
          <w:tcPr>
            <w:tcW w:w="3240" w:type="dxa"/>
            <w:vAlign w:val="center"/>
          </w:tcPr>
          <w:p w:rsidR="00966162" w:rsidRDefault="00077588" w:rsidP="008D57E9">
            <w:pPr>
              <w:pStyle w:val="TableParagraph"/>
              <w:ind w:left="144" w:right="173"/>
              <w:rPr>
                <w:sz w:val="20"/>
              </w:rPr>
            </w:pPr>
            <w:r>
              <w:rPr>
                <w:sz w:val="20"/>
              </w:rPr>
              <w:t xml:space="preserve">N </w:t>
            </w:r>
            <w:r w:rsidR="00966162">
              <w:rPr>
                <w:sz w:val="20"/>
              </w:rPr>
              <w:t>=</w:t>
            </w:r>
            <w:r>
              <w:rPr>
                <w:sz w:val="20"/>
              </w:rPr>
              <w:t xml:space="preserve"> </w:t>
            </w:r>
            <w:r w:rsidR="00966162">
              <w:rPr>
                <w:sz w:val="20"/>
              </w:rPr>
              <w:t>11</w:t>
            </w:r>
          </w:p>
        </w:tc>
      </w:tr>
      <w:tr w:rsidR="00077588" w:rsidTr="008D57E9">
        <w:trPr>
          <w:trHeight w:val="366"/>
        </w:trPr>
        <w:tc>
          <w:tcPr>
            <w:tcW w:w="5601" w:type="dxa"/>
          </w:tcPr>
          <w:p w:rsidR="00966162" w:rsidRDefault="00966162" w:rsidP="00141C8C">
            <w:pPr>
              <w:pStyle w:val="TableParagraph"/>
              <w:ind w:left="107"/>
              <w:rPr>
                <w:sz w:val="20"/>
              </w:rPr>
            </w:pPr>
            <w:r>
              <w:rPr>
                <w:sz w:val="20"/>
              </w:rPr>
              <w:t>Alcohol Use Reported</w:t>
            </w:r>
          </w:p>
        </w:tc>
        <w:tc>
          <w:tcPr>
            <w:tcW w:w="3240" w:type="dxa"/>
            <w:vAlign w:val="center"/>
          </w:tcPr>
          <w:p w:rsidR="00966162" w:rsidRDefault="00077588" w:rsidP="008D57E9">
            <w:pPr>
              <w:pStyle w:val="TableParagraph"/>
              <w:ind w:left="144" w:right="173"/>
              <w:rPr>
                <w:sz w:val="20"/>
              </w:rPr>
            </w:pPr>
            <w:r>
              <w:rPr>
                <w:sz w:val="20"/>
              </w:rPr>
              <w:t xml:space="preserve">N </w:t>
            </w:r>
            <w:r w:rsidR="00966162">
              <w:rPr>
                <w:sz w:val="20"/>
              </w:rPr>
              <w:t>=</w:t>
            </w:r>
            <w:r>
              <w:rPr>
                <w:sz w:val="20"/>
              </w:rPr>
              <w:t xml:space="preserve"> </w:t>
            </w:r>
            <w:r w:rsidR="00966162">
              <w:rPr>
                <w:sz w:val="20"/>
              </w:rPr>
              <w:t>12</w:t>
            </w:r>
          </w:p>
        </w:tc>
      </w:tr>
      <w:tr w:rsidR="00077588" w:rsidTr="008D57E9">
        <w:trPr>
          <w:trHeight w:val="654"/>
        </w:trPr>
        <w:tc>
          <w:tcPr>
            <w:tcW w:w="5601" w:type="dxa"/>
          </w:tcPr>
          <w:p w:rsidR="00966162" w:rsidRDefault="00966162" w:rsidP="00E17970">
            <w:pPr>
              <w:pStyle w:val="TableParagraph"/>
              <w:spacing w:line="300" w:lineRule="auto"/>
              <w:ind w:left="437" w:right="777"/>
              <w:rPr>
                <w:sz w:val="20"/>
              </w:rPr>
            </w:pPr>
            <w:r>
              <w:rPr>
                <w:sz w:val="20"/>
              </w:rPr>
              <w:t xml:space="preserve">No prior </w:t>
            </w:r>
            <w:r w:rsidR="00E17970">
              <w:rPr>
                <w:sz w:val="20"/>
              </w:rPr>
              <w:t xml:space="preserve">history </w:t>
            </w:r>
            <w:r>
              <w:rPr>
                <w:sz w:val="20"/>
              </w:rPr>
              <w:t>of alcohol use/alcoholism and/or no concomitant alcohol use</w:t>
            </w:r>
          </w:p>
        </w:tc>
        <w:tc>
          <w:tcPr>
            <w:tcW w:w="3240" w:type="dxa"/>
            <w:vAlign w:val="center"/>
          </w:tcPr>
          <w:p w:rsidR="00966162" w:rsidRDefault="00966162" w:rsidP="008D57E9">
            <w:pPr>
              <w:pStyle w:val="TableParagraph"/>
              <w:spacing w:before="38"/>
              <w:ind w:left="144" w:right="173"/>
              <w:rPr>
                <w:sz w:val="20"/>
              </w:rPr>
            </w:pPr>
            <w:r>
              <w:rPr>
                <w:sz w:val="20"/>
              </w:rPr>
              <w:t>10</w:t>
            </w:r>
          </w:p>
        </w:tc>
      </w:tr>
      <w:tr w:rsidR="00077588" w:rsidTr="008D57E9">
        <w:trPr>
          <w:trHeight w:val="367"/>
        </w:trPr>
        <w:tc>
          <w:tcPr>
            <w:tcW w:w="5601" w:type="dxa"/>
          </w:tcPr>
          <w:p w:rsidR="00966162" w:rsidRDefault="00966162" w:rsidP="00141C8C">
            <w:pPr>
              <w:pStyle w:val="TableParagraph"/>
              <w:spacing w:before="38"/>
              <w:ind w:left="437"/>
              <w:rPr>
                <w:sz w:val="20"/>
              </w:rPr>
            </w:pPr>
            <w:r>
              <w:rPr>
                <w:sz w:val="20"/>
              </w:rPr>
              <w:t>Use of alcohol</w:t>
            </w:r>
          </w:p>
        </w:tc>
        <w:tc>
          <w:tcPr>
            <w:tcW w:w="3240" w:type="dxa"/>
            <w:vAlign w:val="center"/>
          </w:tcPr>
          <w:p w:rsidR="00966162" w:rsidRDefault="00966162" w:rsidP="008D57E9">
            <w:pPr>
              <w:pStyle w:val="TableParagraph"/>
              <w:spacing w:before="38"/>
              <w:ind w:left="144" w:right="173"/>
              <w:rPr>
                <w:sz w:val="20"/>
              </w:rPr>
            </w:pPr>
            <w:r>
              <w:rPr>
                <w:sz w:val="20"/>
              </w:rPr>
              <w:t>2</w:t>
            </w:r>
          </w:p>
        </w:tc>
      </w:tr>
      <w:tr w:rsidR="00077588" w:rsidTr="008D57E9">
        <w:trPr>
          <w:trHeight w:val="366"/>
        </w:trPr>
        <w:tc>
          <w:tcPr>
            <w:tcW w:w="5601" w:type="dxa"/>
          </w:tcPr>
          <w:p w:rsidR="00966162" w:rsidRDefault="00966162" w:rsidP="00E17970">
            <w:pPr>
              <w:pStyle w:val="TableParagraph"/>
              <w:ind w:left="107"/>
              <w:rPr>
                <w:sz w:val="20"/>
              </w:rPr>
            </w:pPr>
            <w:r>
              <w:rPr>
                <w:sz w:val="20"/>
              </w:rPr>
              <w:t xml:space="preserve">Smoking </w:t>
            </w:r>
            <w:r w:rsidR="00E17970">
              <w:rPr>
                <w:sz w:val="20"/>
              </w:rPr>
              <w:t>history reported</w:t>
            </w:r>
          </w:p>
        </w:tc>
        <w:tc>
          <w:tcPr>
            <w:tcW w:w="3240" w:type="dxa"/>
            <w:vAlign w:val="center"/>
          </w:tcPr>
          <w:p w:rsidR="00966162" w:rsidRDefault="00077588" w:rsidP="008D57E9">
            <w:pPr>
              <w:pStyle w:val="TableParagraph"/>
              <w:ind w:left="144" w:right="173"/>
              <w:rPr>
                <w:sz w:val="20"/>
              </w:rPr>
            </w:pPr>
            <w:r>
              <w:rPr>
                <w:sz w:val="20"/>
              </w:rPr>
              <w:t xml:space="preserve">N </w:t>
            </w:r>
            <w:r w:rsidR="00966162">
              <w:rPr>
                <w:sz w:val="20"/>
              </w:rPr>
              <w:t>=</w:t>
            </w:r>
            <w:r>
              <w:rPr>
                <w:sz w:val="20"/>
              </w:rPr>
              <w:t xml:space="preserve"> </w:t>
            </w:r>
            <w:r w:rsidR="00966162">
              <w:rPr>
                <w:sz w:val="20"/>
              </w:rPr>
              <w:t>3</w:t>
            </w:r>
          </w:p>
        </w:tc>
      </w:tr>
      <w:tr w:rsidR="00077588" w:rsidTr="008D57E9">
        <w:trPr>
          <w:trHeight w:val="368"/>
        </w:trPr>
        <w:tc>
          <w:tcPr>
            <w:tcW w:w="5601" w:type="dxa"/>
          </w:tcPr>
          <w:p w:rsidR="00966162" w:rsidRDefault="00966162" w:rsidP="00E17970">
            <w:pPr>
              <w:pStyle w:val="TableParagraph"/>
              <w:spacing w:before="38"/>
              <w:ind w:left="437"/>
              <w:rPr>
                <w:sz w:val="20"/>
              </w:rPr>
            </w:pPr>
            <w:r>
              <w:rPr>
                <w:sz w:val="20"/>
              </w:rPr>
              <w:t xml:space="preserve">No </w:t>
            </w:r>
            <w:r w:rsidR="00E17970">
              <w:rPr>
                <w:sz w:val="20"/>
              </w:rPr>
              <w:t xml:space="preserve">history </w:t>
            </w:r>
            <w:r>
              <w:rPr>
                <w:sz w:val="20"/>
              </w:rPr>
              <w:t>of smoking</w:t>
            </w:r>
          </w:p>
        </w:tc>
        <w:tc>
          <w:tcPr>
            <w:tcW w:w="3240" w:type="dxa"/>
            <w:vAlign w:val="center"/>
          </w:tcPr>
          <w:p w:rsidR="00966162" w:rsidRDefault="00966162" w:rsidP="008D57E9">
            <w:pPr>
              <w:pStyle w:val="TableParagraph"/>
              <w:spacing w:before="38"/>
              <w:ind w:left="144" w:right="173"/>
              <w:rPr>
                <w:sz w:val="20"/>
              </w:rPr>
            </w:pPr>
            <w:r>
              <w:rPr>
                <w:sz w:val="20"/>
              </w:rPr>
              <w:t>1</w:t>
            </w:r>
          </w:p>
        </w:tc>
      </w:tr>
      <w:tr w:rsidR="00077588" w:rsidTr="008D57E9">
        <w:trPr>
          <w:trHeight w:val="368"/>
        </w:trPr>
        <w:tc>
          <w:tcPr>
            <w:tcW w:w="5601" w:type="dxa"/>
          </w:tcPr>
          <w:p w:rsidR="00966162" w:rsidRDefault="00966162" w:rsidP="00E17970">
            <w:pPr>
              <w:pStyle w:val="TableParagraph"/>
              <w:ind w:left="437"/>
              <w:rPr>
                <w:sz w:val="20"/>
              </w:rPr>
            </w:pPr>
            <w:r>
              <w:rPr>
                <w:sz w:val="20"/>
              </w:rPr>
              <w:t xml:space="preserve">Smoking </w:t>
            </w:r>
            <w:r w:rsidR="00E17970">
              <w:rPr>
                <w:sz w:val="20"/>
              </w:rPr>
              <w:t xml:space="preserve">history </w:t>
            </w:r>
            <w:r>
              <w:rPr>
                <w:sz w:val="20"/>
              </w:rPr>
              <w:t>reported</w:t>
            </w:r>
          </w:p>
        </w:tc>
        <w:tc>
          <w:tcPr>
            <w:tcW w:w="3240" w:type="dxa"/>
            <w:vAlign w:val="center"/>
          </w:tcPr>
          <w:p w:rsidR="00966162" w:rsidRDefault="00966162" w:rsidP="008D57E9">
            <w:pPr>
              <w:pStyle w:val="TableParagraph"/>
              <w:ind w:left="144" w:right="173"/>
              <w:rPr>
                <w:sz w:val="20"/>
              </w:rPr>
            </w:pPr>
            <w:r>
              <w:rPr>
                <w:sz w:val="20"/>
              </w:rPr>
              <w:t>2</w:t>
            </w:r>
          </w:p>
        </w:tc>
      </w:tr>
      <w:tr w:rsidR="00077588" w:rsidTr="008D57E9">
        <w:trPr>
          <w:trHeight w:val="366"/>
        </w:trPr>
        <w:tc>
          <w:tcPr>
            <w:tcW w:w="5601" w:type="dxa"/>
          </w:tcPr>
          <w:p w:rsidR="00966162" w:rsidRDefault="00966162" w:rsidP="00E17970">
            <w:pPr>
              <w:pStyle w:val="TableParagraph"/>
              <w:ind w:left="107"/>
              <w:rPr>
                <w:sz w:val="20"/>
              </w:rPr>
            </w:pPr>
            <w:r>
              <w:rPr>
                <w:sz w:val="20"/>
              </w:rPr>
              <w:t xml:space="preserve">Body Mass Index (BMI) </w:t>
            </w:r>
            <w:r w:rsidR="00E17970">
              <w:rPr>
                <w:sz w:val="20"/>
              </w:rPr>
              <w:t>reported</w:t>
            </w:r>
          </w:p>
        </w:tc>
        <w:tc>
          <w:tcPr>
            <w:tcW w:w="3240" w:type="dxa"/>
            <w:vAlign w:val="center"/>
          </w:tcPr>
          <w:p w:rsidR="00966162" w:rsidRDefault="00077588" w:rsidP="008D57E9">
            <w:pPr>
              <w:pStyle w:val="TableParagraph"/>
              <w:ind w:left="144" w:right="173"/>
              <w:rPr>
                <w:sz w:val="20"/>
              </w:rPr>
            </w:pPr>
            <w:r>
              <w:rPr>
                <w:sz w:val="20"/>
              </w:rPr>
              <w:t xml:space="preserve">N </w:t>
            </w:r>
            <w:r w:rsidR="00966162">
              <w:rPr>
                <w:sz w:val="20"/>
              </w:rPr>
              <w:t>=</w:t>
            </w:r>
            <w:r>
              <w:rPr>
                <w:sz w:val="20"/>
              </w:rPr>
              <w:t xml:space="preserve"> </w:t>
            </w:r>
            <w:r w:rsidR="00966162">
              <w:rPr>
                <w:sz w:val="20"/>
              </w:rPr>
              <w:t>3</w:t>
            </w:r>
          </w:p>
        </w:tc>
      </w:tr>
      <w:tr w:rsidR="00077588" w:rsidTr="008D57E9">
        <w:trPr>
          <w:trHeight w:val="367"/>
        </w:trPr>
        <w:tc>
          <w:tcPr>
            <w:tcW w:w="5601" w:type="dxa"/>
          </w:tcPr>
          <w:p w:rsidR="00966162" w:rsidRDefault="00966162" w:rsidP="00141C8C">
            <w:pPr>
              <w:pStyle w:val="TableParagraph"/>
              <w:ind w:left="437"/>
              <w:rPr>
                <w:sz w:val="20"/>
              </w:rPr>
            </w:pPr>
            <w:r>
              <w:rPr>
                <w:sz w:val="20"/>
              </w:rPr>
              <w:t>Normal BMI</w:t>
            </w:r>
          </w:p>
        </w:tc>
        <w:tc>
          <w:tcPr>
            <w:tcW w:w="3240" w:type="dxa"/>
            <w:vAlign w:val="center"/>
          </w:tcPr>
          <w:p w:rsidR="00966162" w:rsidRDefault="00966162" w:rsidP="008D57E9">
            <w:pPr>
              <w:pStyle w:val="TableParagraph"/>
              <w:ind w:left="144" w:right="173"/>
              <w:rPr>
                <w:sz w:val="20"/>
              </w:rPr>
            </w:pPr>
            <w:r>
              <w:rPr>
                <w:sz w:val="20"/>
              </w:rPr>
              <w:t>2</w:t>
            </w:r>
          </w:p>
        </w:tc>
      </w:tr>
      <w:tr w:rsidR="00077588" w:rsidTr="008D57E9">
        <w:trPr>
          <w:trHeight w:val="343"/>
        </w:trPr>
        <w:tc>
          <w:tcPr>
            <w:tcW w:w="5601" w:type="dxa"/>
          </w:tcPr>
          <w:p w:rsidR="00966162" w:rsidRDefault="00966162" w:rsidP="00141C8C">
            <w:pPr>
              <w:pStyle w:val="TableParagraph"/>
              <w:ind w:left="437"/>
              <w:rPr>
                <w:sz w:val="20"/>
              </w:rPr>
            </w:pPr>
            <w:r>
              <w:rPr>
                <w:sz w:val="20"/>
              </w:rPr>
              <w:t>Obese</w:t>
            </w:r>
          </w:p>
        </w:tc>
        <w:tc>
          <w:tcPr>
            <w:tcW w:w="3240" w:type="dxa"/>
            <w:vAlign w:val="center"/>
          </w:tcPr>
          <w:p w:rsidR="00966162" w:rsidRDefault="00966162" w:rsidP="008D57E9">
            <w:pPr>
              <w:pStyle w:val="TableParagraph"/>
              <w:ind w:left="144" w:right="173"/>
              <w:rPr>
                <w:sz w:val="20"/>
              </w:rPr>
            </w:pPr>
            <w:r>
              <w:rPr>
                <w:sz w:val="20"/>
              </w:rPr>
              <w:t>1 (BMI 45.6)</w:t>
            </w:r>
          </w:p>
        </w:tc>
      </w:tr>
      <w:tr w:rsidR="00077588" w:rsidTr="008D57E9">
        <w:trPr>
          <w:trHeight w:val="368"/>
        </w:trPr>
        <w:tc>
          <w:tcPr>
            <w:tcW w:w="5601" w:type="dxa"/>
          </w:tcPr>
          <w:p w:rsidR="00966162" w:rsidRDefault="00966162" w:rsidP="00E17970">
            <w:pPr>
              <w:pStyle w:val="TableParagraph"/>
              <w:spacing w:before="38"/>
              <w:ind w:left="107"/>
              <w:rPr>
                <w:sz w:val="20"/>
              </w:rPr>
            </w:pPr>
            <w:r>
              <w:rPr>
                <w:sz w:val="20"/>
              </w:rPr>
              <w:t xml:space="preserve">Concomitant </w:t>
            </w:r>
            <w:r w:rsidR="00E17970">
              <w:rPr>
                <w:sz w:val="20"/>
              </w:rPr>
              <w:t>medications reported</w:t>
            </w:r>
          </w:p>
        </w:tc>
        <w:tc>
          <w:tcPr>
            <w:tcW w:w="3240" w:type="dxa"/>
            <w:vAlign w:val="center"/>
          </w:tcPr>
          <w:p w:rsidR="00966162" w:rsidRDefault="00077588" w:rsidP="008D57E9">
            <w:pPr>
              <w:pStyle w:val="TableParagraph"/>
              <w:spacing w:before="38"/>
              <w:ind w:left="144" w:right="173"/>
              <w:rPr>
                <w:sz w:val="20"/>
              </w:rPr>
            </w:pPr>
            <w:r>
              <w:rPr>
                <w:sz w:val="20"/>
              </w:rPr>
              <w:t xml:space="preserve">N </w:t>
            </w:r>
            <w:r w:rsidR="00966162">
              <w:rPr>
                <w:sz w:val="20"/>
              </w:rPr>
              <w:t>=</w:t>
            </w:r>
            <w:r>
              <w:rPr>
                <w:sz w:val="20"/>
              </w:rPr>
              <w:t xml:space="preserve"> </w:t>
            </w:r>
            <w:r w:rsidR="00966162">
              <w:rPr>
                <w:sz w:val="20"/>
              </w:rPr>
              <w:t>8</w:t>
            </w:r>
          </w:p>
        </w:tc>
      </w:tr>
      <w:tr w:rsidR="00077588" w:rsidTr="008D57E9">
        <w:trPr>
          <w:trHeight w:val="694"/>
        </w:trPr>
        <w:tc>
          <w:tcPr>
            <w:tcW w:w="5601" w:type="dxa"/>
          </w:tcPr>
          <w:p w:rsidR="00966162" w:rsidRDefault="00966162" w:rsidP="00E17970">
            <w:pPr>
              <w:pStyle w:val="TableParagraph"/>
              <w:spacing w:before="36" w:line="300" w:lineRule="auto"/>
              <w:ind w:left="107" w:right="347"/>
              <w:rPr>
                <w:sz w:val="20"/>
              </w:rPr>
            </w:pPr>
            <w:r>
              <w:rPr>
                <w:sz w:val="20"/>
              </w:rPr>
              <w:t xml:space="preserve">Medical </w:t>
            </w:r>
            <w:r w:rsidR="00E17970">
              <w:rPr>
                <w:sz w:val="20"/>
              </w:rPr>
              <w:t xml:space="preserve">history </w:t>
            </w:r>
            <w:r>
              <w:rPr>
                <w:sz w:val="20"/>
              </w:rPr>
              <w:t>and/or concomitant disease reported</w:t>
            </w:r>
            <w:r w:rsidR="00E17970">
              <w:rPr>
                <w:sz w:val="20"/>
              </w:rPr>
              <w:t xml:space="preserve"> r</w:t>
            </w:r>
            <w:r>
              <w:rPr>
                <w:sz w:val="20"/>
              </w:rPr>
              <w:t>elevant info:</w:t>
            </w:r>
          </w:p>
        </w:tc>
        <w:tc>
          <w:tcPr>
            <w:tcW w:w="3240" w:type="dxa"/>
            <w:vAlign w:val="center"/>
          </w:tcPr>
          <w:p w:rsidR="00966162" w:rsidRDefault="00077588" w:rsidP="008D57E9">
            <w:pPr>
              <w:pStyle w:val="TableParagraph"/>
              <w:ind w:left="144" w:right="173"/>
              <w:rPr>
                <w:sz w:val="20"/>
              </w:rPr>
            </w:pPr>
            <w:r>
              <w:rPr>
                <w:sz w:val="20"/>
              </w:rPr>
              <w:t xml:space="preserve">N = </w:t>
            </w:r>
            <w:r w:rsidR="00966162">
              <w:rPr>
                <w:sz w:val="20"/>
              </w:rPr>
              <w:t>9</w:t>
            </w:r>
          </w:p>
        </w:tc>
      </w:tr>
      <w:tr w:rsidR="00077588" w:rsidTr="008D57E9">
        <w:trPr>
          <w:trHeight w:val="368"/>
        </w:trPr>
        <w:tc>
          <w:tcPr>
            <w:tcW w:w="5601" w:type="dxa"/>
          </w:tcPr>
          <w:p w:rsidR="00966162" w:rsidRDefault="00966162" w:rsidP="00141C8C">
            <w:pPr>
              <w:pStyle w:val="TableParagraph"/>
              <w:spacing w:before="38"/>
              <w:ind w:left="437"/>
              <w:rPr>
                <w:sz w:val="20"/>
              </w:rPr>
            </w:pPr>
            <w:r>
              <w:rPr>
                <w:sz w:val="20"/>
              </w:rPr>
              <w:t>Med</w:t>
            </w:r>
            <w:r w:rsidR="00E17970">
              <w:rPr>
                <w:sz w:val="20"/>
              </w:rPr>
              <w:t>ical</w:t>
            </w:r>
            <w:r>
              <w:rPr>
                <w:sz w:val="20"/>
              </w:rPr>
              <w:t xml:space="preserve"> of high cholesterol</w:t>
            </w:r>
          </w:p>
        </w:tc>
        <w:tc>
          <w:tcPr>
            <w:tcW w:w="3240" w:type="dxa"/>
            <w:vAlign w:val="center"/>
          </w:tcPr>
          <w:p w:rsidR="00966162" w:rsidRDefault="00966162" w:rsidP="008D57E9">
            <w:pPr>
              <w:pStyle w:val="TableParagraph"/>
              <w:spacing w:before="38"/>
              <w:ind w:left="144" w:right="173"/>
              <w:rPr>
                <w:sz w:val="20"/>
              </w:rPr>
            </w:pPr>
            <w:r>
              <w:rPr>
                <w:sz w:val="20"/>
              </w:rPr>
              <w:t>1</w:t>
            </w:r>
          </w:p>
        </w:tc>
      </w:tr>
      <w:tr w:rsidR="00077588" w:rsidTr="008D57E9">
        <w:trPr>
          <w:trHeight w:val="366"/>
        </w:trPr>
        <w:tc>
          <w:tcPr>
            <w:tcW w:w="5601" w:type="dxa"/>
          </w:tcPr>
          <w:p w:rsidR="00966162" w:rsidRDefault="00E4543A" w:rsidP="00141C8C">
            <w:pPr>
              <w:pStyle w:val="TableParagraph"/>
              <w:ind w:left="437"/>
              <w:rPr>
                <w:sz w:val="20"/>
              </w:rPr>
            </w:pPr>
            <w:r>
              <w:rPr>
                <w:sz w:val="20"/>
              </w:rPr>
              <w:t>Hyperlipidaemia</w:t>
            </w:r>
            <w:r w:rsidR="00966162">
              <w:rPr>
                <w:sz w:val="20"/>
              </w:rPr>
              <w:t xml:space="preserve"> and BMI 45.6 (obese)</w:t>
            </w:r>
          </w:p>
        </w:tc>
        <w:tc>
          <w:tcPr>
            <w:tcW w:w="3240" w:type="dxa"/>
            <w:vAlign w:val="center"/>
          </w:tcPr>
          <w:p w:rsidR="00966162" w:rsidRDefault="00966162" w:rsidP="008D57E9">
            <w:pPr>
              <w:pStyle w:val="TableParagraph"/>
              <w:ind w:left="144" w:right="173"/>
              <w:rPr>
                <w:sz w:val="20"/>
              </w:rPr>
            </w:pPr>
            <w:r>
              <w:rPr>
                <w:sz w:val="20"/>
              </w:rPr>
              <w:t>1</w:t>
            </w:r>
          </w:p>
        </w:tc>
      </w:tr>
      <w:tr w:rsidR="00077588" w:rsidTr="008D57E9">
        <w:trPr>
          <w:trHeight w:val="367"/>
        </w:trPr>
        <w:tc>
          <w:tcPr>
            <w:tcW w:w="5601" w:type="dxa"/>
          </w:tcPr>
          <w:p w:rsidR="00966162" w:rsidRDefault="00966162" w:rsidP="00E17970">
            <w:pPr>
              <w:pStyle w:val="TableParagraph"/>
              <w:spacing w:before="38"/>
              <w:ind w:left="437"/>
              <w:rPr>
                <w:sz w:val="20"/>
              </w:rPr>
            </w:pPr>
            <w:r>
              <w:rPr>
                <w:sz w:val="20"/>
              </w:rPr>
              <w:t xml:space="preserve">Co-reported </w:t>
            </w:r>
            <w:r w:rsidR="00E17970">
              <w:rPr>
                <w:sz w:val="20"/>
              </w:rPr>
              <w:t xml:space="preserve">sphincter </w:t>
            </w:r>
            <w:r>
              <w:rPr>
                <w:sz w:val="20"/>
              </w:rPr>
              <w:t>of Oddi dysfunction</w:t>
            </w:r>
          </w:p>
        </w:tc>
        <w:tc>
          <w:tcPr>
            <w:tcW w:w="3240" w:type="dxa"/>
            <w:vAlign w:val="center"/>
          </w:tcPr>
          <w:p w:rsidR="00966162" w:rsidRDefault="00966162" w:rsidP="008D57E9">
            <w:pPr>
              <w:pStyle w:val="TableParagraph"/>
              <w:spacing w:before="38"/>
              <w:ind w:left="144" w:right="173"/>
              <w:rPr>
                <w:sz w:val="20"/>
              </w:rPr>
            </w:pPr>
            <w:r>
              <w:rPr>
                <w:sz w:val="20"/>
              </w:rPr>
              <w:t>2</w:t>
            </w:r>
          </w:p>
        </w:tc>
      </w:tr>
      <w:tr w:rsidR="00077588" w:rsidTr="008D57E9">
        <w:trPr>
          <w:trHeight w:val="367"/>
        </w:trPr>
        <w:tc>
          <w:tcPr>
            <w:tcW w:w="5601" w:type="dxa"/>
          </w:tcPr>
          <w:p w:rsidR="00D70F23" w:rsidRDefault="00D70F23" w:rsidP="00F00018">
            <w:pPr>
              <w:pStyle w:val="TableParagraph"/>
              <w:ind w:left="438"/>
              <w:rPr>
                <w:sz w:val="20"/>
              </w:rPr>
            </w:pPr>
            <w:r>
              <w:rPr>
                <w:sz w:val="20"/>
              </w:rPr>
              <w:t>Concomitant stone in the common bile duct</w:t>
            </w:r>
          </w:p>
        </w:tc>
        <w:tc>
          <w:tcPr>
            <w:tcW w:w="3240" w:type="dxa"/>
            <w:vAlign w:val="center"/>
          </w:tcPr>
          <w:p w:rsidR="00D70F23" w:rsidRDefault="00D70F23" w:rsidP="008D57E9">
            <w:pPr>
              <w:pStyle w:val="TableParagraph"/>
              <w:ind w:left="144" w:right="173"/>
              <w:rPr>
                <w:sz w:val="20"/>
              </w:rPr>
            </w:pPr>
            <w:r>
              <w:rPr>
                <w:sz w:val="20"/>
              </w:rPr>
              <w:t>1</w:t>
            </w:r>
          </w:p>
        </w:tc>
      </w:tr>
      <w:tr w:rsidR="00077588" w:rsidTr="008D57E9">
        <w:trPr>
          <w:trHeight w:val="367"/>
        </w:trPr>
        <w:tc>
          <w:tcPr>
            <w:tcW w:w="5601" w:type="dxa"/>
          </w:tcPr>
          <w:p w:rsidR="00D70F23" w:rsidRDefault="00D70F23" w:rsidP="00F00018">
            <w:pPr>
              <w:pStyle w:val="TableParagraph"/>
              <w:spacing w:line="300" w:lineRule="auto"/>
              <w:ind w:left="439" w:hanging="1"/>
              <w:rPr>
                <w:sz w:val="20"/>
              </w:rPr>
            </w:pPr>
            <w:r>
              <w:rPr>
                <w:sz w:val="20"/>
              </w:rPr>
              <w:t>Med</w:t>
            </w:r>
            <w:r w:rsidR="00E17970">
              <w:rPr>
                <w:sz w:val="20"/>
              </w:rPr>
              <w:t>ical history</w:t>
            </w:r>
            <w:r>
              <w:rPr>
                <w:sz w:val="20"/>
              </w:rPr>
              <w:t xml:space="preserve"> of chronic abdominal pain and family history of gallbladder disease</w:t>
            </w:r>
          </w:p>
        </w:tc>
        <w:tc>
          <w:tcPr>
            <w:tcW w:w="3240" w:type="dxa"/>
            <w:vAlign w:val="center"/>
          </w:tcPr>
          <w:p w:rsidR="00D70F23" w:rsidRDefault="00D70F23" w:rsidP="008D57E9">
            <w:pPr>
              <w:pStyle w:val="TableParagraph"/>
              <w:spacing w:before="38"/>
              <w:ind w:left="144" w:right="173"/>
              <w:rPr>
                <w:sz w:val="20"/>
              </w:rPr>
            </w:pPr>
            <w:r>
              <w:rPr>
                <w:sz w:val="20"/>
              </w:rPr>
              <w:t>1</w:t>
            </w:r>
          </w:p>
        </w:tc>
      </w:tr>
    </w:tbl>
    <w:p w:rsidR="00966162" w:rsidRDefault="00966162" w:rsidP="008D57E9">
      <w:pPr>
        <w:pStyle w:val="ListBullet"/>
      </w:pPr>
      <w:bookmarkStart w:id="133" w:name="Figure_1._Eluxadoline_Post-Marketing_Cas"/>
      <w:bookmarkEnd w:id="133"/>
      <w:r>
        <w:t>Contraindica</w:t>
      </w:r>
      <w:r w:rsidR="00D70F23">
        <w:t>t</w:t>
      </w:r>
      <w:r>
        <w:t>ion in patients without a</w:t>
      </w:r>
      <w:r>
        <w:rPr>
          <w:spacing w:val="1"/>
        </w:rPr>
        <w:t xml:space="preserve"> </w:t>
      </w:r>
      <w:r>
        <w:t>gallbladder</w:t>
      </w:r>
    </w:p>
    <w:p w:rsidR="00966162" w:rsidRDefault="00966162" w:rsidP="00D70F23">
      <w:r>
        <w:lastRenderedPageBreak/>
        <w:t>The ACM did not feel that the contraindication in patients without gallbladders adequately</w:t>
      </w:r>
      <w:r w:rsidR="00D70F23">
        <w:t xml:space="preserve"> </w:t>
      </w:r>
      <w:proofErr w:type="gramStart"/>
      <w:r>
        <w:t>mitigate</w:t>
      </w:r>
      <w:proofErr w:type="gramEnd"/>
      <w:r>
        <w:t xml:space="preserve"> against the development of pancreatitis since cases occurred in patients without prior</w:t>
      </w:r>
      <w:r w:rsidR="00D70F23">
        <w:t xml:space="preserve"> </w:t>
      </w:r>
      <w:r>
        <w:t xml:space="preserve">cholecystectomy, and because its pathogenesis was not understood. In addition to the previous arguments presented above, the </w:t>
      </w:r>
      <w:r w:rsidR="00141C8C">
        <w:t>sponsor</w:t>
      </w:r>
      <w:r>
        <w:t xml:space="preserve"> feels strongly that the contraindication in patients without a gallbladder does in fact adequately </w:t>
      </w:r>
      <w:proofErr w:type="gramStart"/>
      <w:r>
        <w:t>mitigate</w:t>
      </w:r>
      <w:proofErr w:type="gramEnd"/>
      <w:r>
        <w:t xml:space="preserve"> against the development of pancreatit</w:t>
      </w:r>
      <w:r w:rsidRPr="008D57E9">
        <w:t>i</w:t>
      </w:r>
      <w:r>
        <w:t>s.</w:t>
      </w:r>
    </w:p>
    <w:p w:rsidR="00966162" w:rsidRDefault="00966162" w:rsidP="00D70F23">
      <w:r>
        <w:t xml:space="preserve">A critical appraisal on whether there was a change in reporting of cases of pancreatitis before and after the contraindication in the US was introduced was conducted by the </w:t>
      </w:r>
      <w:r w:rsidR="00141C8C">
        <w:t>sponsor</w:t>
      </w:r>
      <w:r>
        <w:t xml:space="preserve">. The impact of the contraindication of use in patients without a gallbladder to the USPI, while still recent, has already demonstrated observable effects on the number </w:t>
      </w:r>
      <w:r w:rsidRPr="008D57E9">
        <w:t>o</w:t>
      </w:r>
      <w:r>
        <w:t>f pancreatitis cases reported (</w:t>
      </w:r>
      <w:r w:rsidRPr="00D70F23">
        <w:t>defined</w:t>
      </w:r>
      <w:r>
        <w:t xml:space="preserve"> as a reported diagnosis of pancreatitis). This is especially likely considering the lack of confirmed onset dates for many of the events, some of which may have occurred prior to the date of the USPI update.</w:t>
      </w:r>
    </w:p>
    <w:p w:rsidR="00966162" w:rsidRDefault="00966162" w:rsidP="00D70F23">
      <w:r>
        <w:t xml:space="preserve">As shown in Figure </w:t>
      </w:r>
      <w:r w:rsidR="00D70F23">
        <w:t>2</w:t>
      </w:r>
      <w:r>
        <w:t>, since the addition of the contraindication of use in patients without a gallbladder to the USPI on 21 Apr</w:t>
      </w:r>
      <w:r w:rsidR="00D70F23">
        <w:t>il</w:t>
      </w:r>
      <w:r>
        <w:t xml:space="preserve"> 2017, the number of pancreatitis cases has significantly decreased, reporting the lowest monthly numbers of pancreatitis cases since the drug was approved.</w:t>
      </w:r>
    </w:p>
    <w:p w:rsidR="00966162" w:rsidRDefault="00966162" w:rsidP="004A1F65">
      <w:pPr>
        <w:pStyle w:val="FigureTitle"/>
      </w:pPr>
      <w:r>
        <w:t>Figure</w:t>
      </w:r>
      <w:r>
        <w:rPr>
          <w:spacing w:val="-1"/>
        </w:rPr>
        <w:t xml:space="preserve"> </w:t>
      </w:r>
      <w:r>
        <w:t>1</w:t>
      </w:r>
      <w:r w:rsidR="004A1F65">
        <w:t xml:space="preserve">: </w:t>
      </w:r>
      <w:r>
        <w:t xml:space="preserve">Eluxadoline </w:t>
      </w:r>
      <w:r w:rsidR="00E17970">
        <w:t>p</w:t>
      </w:r>
      <w:r>
        <w:t>ost</w:t>
      </w:r>
      <w:r w:rsidR="00E17970">
        <w:t>m</w:t>
      </w:r>
      <w:r>
        <w:t xml:space="preserve">arketing </w:t>
      </w:r>
      <w:r w:rsidR="00E17970">
        <w:t>cases reporting Preferred Terms of pancreatitis/pancreatitis</w:t>
      </w:r>
    </w:p>
    <w:p w:rsidR="004A1F65" w:rsidRDefault="004A1F65" w:rsidP="004A1F65">
      <w:pPr>
        <w:pStyle w:val="FigureTitle"/>
      </w:pPr>
      <w:bookmarkStart w:id="134" w:name="_GoBack"/>
      <w:r>
        <w:rPr>
          <w:noProof/>
          <w:lang w:eastAsia="en-AU"/>
        </w:rPr>
        <w:drawing>
          <wp:inline distT="0" distB="0" distL="0" distR="0" wp14:anchorId="4B1D5A66" wp14:editId="4021D4E5">
            <wp:extent cx="4199206" cy="2178747"/>
            <wp:effectExtent l="0" t="0" r="0" b="0"/>
            <wp:docPr id="199" name="Picture 199" descr="Figure of a bar graph showing Eluxadoline Post-Marketing Cases Reporting Preferred Terms of Pancreatitis/Pancrea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433"/>
                    <a:stretch/>
                  </pic:blipFill>
                  <pic:spPr bwMode="auto">
                    <a:xfrm>
                      <a:off x="0" y="0"/>
                      <a:ext cx="4200507" cy="2179422"/>
                    </a:xfrm>
                    <a:prstGeom prst="rect">
                      <a:avLst/>
                    </a:prstGeom>
                    <a:ln>
                      <a:noFill/>
                    </a:ln>
                    <a:extLst>
                      <a:ext uri="{53640926-AAD7-44D8-BBD7-CCE9431645EC}">
                        <a14:shadowObscured xmlns:a14="http://schemas.microsoft.com/office/drawing/2010/main"/>
                      </a:ext>
                    </a:extLst>
                  </pic:spPr>
                </pic:pic>
              </a:graphicData>
            </a:graphic>
          </wp:inline>
        </w:drawing>
      </w:r>
      <w:bookmarkEnd w:id="134"/>
    </w:p>
    <w:p w:rsidR="004A1F65" w:rsidRPr="00DB7577" w:rsidRDefault="004A1F65" w:rsidP="00D70F23">
      <w:pPr>
        <w:rPr>
          <w:i/>
        </w:rPr>
      </w:pPr>
      <w:r>
        <w:t>Since the USPI update on 21 Apr</w:t>
      </w:r>
      <w:r w:rsidR="00D70F23">
        <w:t>il</w:t>
      </w:r>
      <w:r>
        <w:t xml:space="preserve"> 2017 through to 31 Aug</w:t>
      </w:r>
      <w:r w:rsidR="00D70F23">
        <w:t>ust</w:t>
      </w:r>
      <w:r>
        <w:t xml:space="preserve"> 2017 there have been 28</w:t>
      </w:r>
      <w:r w:rsidR="00E17970">
        <w:t> </w:t>
      </w:r>
      <w:r>
        <w:t>cases of pancreatitis received which reported the following PTs: pancreatitis (26) and pancreatitis acute (2). All 28 cases were from the US, to date, the only country which has reported any cases of pancreatitis and the only country to not have a contraindication for use in patients without a gallbladder from the outset (</w:t>
      </w:r>
      <w:r w:rsidR="00DB7577">
        <w:t>that is,</w:t>
      </w:r>
      <w:r>
        <w:t xml:space="preserve"> since product launch in the EU in April 2017 and in Canada in April 2017, there have been </w:t>
      </w:r>
      <w:r w:rsidRPr="00DB7577">
        <w:rPr>
          <w:i/>
        </w:rPr>
        <w:t>no</w:t>
      </w:r>
      <w:r>
        <w:t xml:space="preserve"> reported cases of pancreatitis in either of these regions). Of these 28 cases, 10 were reported in patients without a gallbladder, which may reflect either occurrence prior to the implementation of the contraindication or inappropriate prescribing. Another 10 occurred in patients with an unknown gallbladder status. The remaining 8 cases were reported in patients with a gallbladder and were similar to all other </w:t>
      </w:r>
      <w:r w:rsidR="00E57717">
        <w:t>postmarket</w:t>
      </w:r>
      <w:r>
        <w:t xml:space="preserve">ing cases of pancreatitis in patients with a gallbladder in that the majority of cases failed to have a confirmatory diagnosis supported by either laboratory or imaging. Importantly, based on all available information, </w:t>
      </w:r>
      <w:r w:rsidRPr="008D57E9">
        <w:t>all 28 of these cases were considered mild as they did not describe local/systemic complications, organ failure and/or death.</w:t>
      </w:r>
    </w:p>
    <w:p w:rsidR="004A1F65" w:rsidRDefault="004A1F65" w:rsidP="00D70F23">
      <w:r>
        <w:t>At this time, the risk minimisation measure approved in the US, Canada and the EU is the contraindication in the product labelling (</w:t>
      </w:r>
      <w:r w:rsidR="00DB7577">
        <w:t>for example,</w:t>
      </w:r>
      <w:r>
        <w:t xml:space="preserve"> </w:t>
      </w:r>
      <w:r w:rsidR="00E17970">
        <w:t xml:space="preserve">the </w:t>
      </w:r>
      <w:r>
        <w:t xml:space="preserve">USPI in the US; </w:t>
      </w:r>
      <w:r w:rsidR="00E17970">
        <w:t xml:space="preserve">the </w:t>
      </w:r>
      <w:r>
        <w:t>Product Monograph in Canada</w:t>
      </w:r>
      <w:r w:rsidR="00E17970">
        <w:t xml:space="preserve">; and the </w:t>
      </w:r>
      <w:r>
        <w:t>S</w:t>
      </w:r>
      <w:r w:rsidR="00E17970">
        <w:t xml:space="preserve">ummary of </w:t>
      </w:r>
      <w:r>
        <w:t>P</w:t>
      </w:r>
      <w:r w:rsidR="00E17970">
        <w:t xml:space="preserve">roduct </w:t>
      </w:r>
      <w:r>
        <w:t>C</w:t>
      </w:r>
      <w:r w:rsidR="00E17970">
        <w:t>haracteristics</w:t>
      </w:r>
      <w:r>
        <w:t xml:space="preserve"> and </w:t>
      </w:r>
      <w:r w:rsidR="0017571E">
        <w:t xml:space="preserve">Patient Information Leaflet </w:t>
      </w:r>
      <w:r>
        <w:t xml:space="preserve">in the EU), wherein the use of eluxadoline is contraindicated in </w:t>
      </w:r>
      <w:r>
        <w:lastRenderedPageBreak/>
        <w:t>conditions which may predispose a patient to sphincter of Oddi spasm or pancreatitis. The contraindication for use in patients without a gallbladder has been in place in both Canada and the EU since initial approval of the product in those regions and, as stated above, there have been no cases of pancreatitis reported in these regions. The contraindication was added to the US</w:t>
      </w:r>
      <w:r w:rsidR="0017571E">
        <w:t xml:space="preserve">PI </w:t>
      </w:r>
      <w:r>
        <w:t>on April 2017.</w:t>
      </w:r>
    </w:p>
    <w:p w:rsidR="004A1F65" w:rsidRDefault="004A1F65" w:rsidP="00D70F23">
      <w:r>
        <w:t xml:space="preserve">The proposed Australian </w:t>
      </w:r>
      <w:r w:rsidR="00DB7577">
        <w:t>PI</w:t>
      </w:r>
      <w:r>
        <w:t xml:space="preserve"> currently contraindicates risk factors for pancreatitis and sphincter of Oddi spasm which are well established by the known epidemiology data on pancreatitis and the clinical trial experience with eluxadoline. These are:</w:t>
      </w:r>
    </w:p>
    <w:p w:rsidR="004A1F65" w:rsidRDefault="004A1F65" w:rsidP="00DB7577">
      <w:pPr>
        <w:pStyle w:val="ListBullet"/>
      </w:pPr>
      <w:r>
        <w:t>Alcoholism, alcohol abuse, alcohol addiction or chronic or acute excessive alcohol</w:t>
      </w:r>
      <w:r>
        <w:rPr>
          <w:spacing w:val="-15"/>
        </w:rPr>
        <w:t xml:space="preserve"> </w:t>
      </w:r>
      <w:r>
        <w:t>use</w:t>
      </w:r>
      <w:r w:rsidR="0017571E">
        <w:t>.</w:t>
      </w:r>
    </w:p>
    <w:p w:rsidR="004A1F65" w:rsidRDefault="004A1F65" w:rsidP="00DB7577">
      <w:pPr>
        <w:pStyle w:val="ListBullet"/>
      </w:pPr>
      <w:r>
        <w:t>Known or suspected biliary duct obstruction or sphincter of Oddi disease or</w:t>
      </w:r>
      <w:r>
        <w:rPr>
          <w:spacing w:val="-10"/>
        </w:rPr>
        <w:t xml:space="preserve"> </w:t>
      </w:r>
      <w:r>
        <w:t>dysfunction</w:t>
      </w:r>
      <w:r w:rsidR="0017571E">
        <w:t>.</w:t>
      </w:r>
    </w:p>
    <w:p w:rsidR="004A1F65" w:rsidRDefault="004A1F65" w:rsidP="00DB7577">
      <w:pPr>
        <w:pStyle w:val="ListBullet"/>
      </w:pPr>
      <w:r>
        <w:t>A history of pancreatitis; or known or suspected structural diseases of the pancreas, including pancreatic duct obstruction. These patients are at increased risk for acute pancreatitis</w:t>
      </w:r>
      <w:r w:rsidR="0017571E">
        <w:t>.</w:t>
      </w:r>
    </w:p>
    <w:p w:rsidR="004A1F65" w:rsidRDefault="004A1F65" w:rsidP="00DB7577">
      <w:pPr>
        <w:pStyle w:val="ListBullet"/>
      </w:pPr>
      <w:r>
        <w:t>Patients without a gallbladder (</w:t>
      </w:r>
      <w:r w:rsidR="0017571E">
        <w:t>for example,</w:t>
      </w:r>
      <w:r>
        <w:t xml:space="preserve"> due to cholecystectomy or</w:t>
      </w:r>
      <w:r>
        <w:rPr>
          <w:spacing w:val="-13"/>
        </w:rPr>
        <w:t xml:space="preserve"> </w:t>
      </w:r>
      <w:r>
        <w:t>agenesis)</w:t>
      </w:r>
      <w:r w:rsidR="0017571E">
        <w:t>.</w:t>
      </w:r>
    </w:p>
    <w:p w:rsidR="004A1F65" w:rsidRDefault="004A1F65" w:rsidP="004A1F65">
      <w:r>
        <w:t xml:space="preserve">The </w:t>
      </w:r>
      <w:r w:rsidR="00141C8C">
        <w:t>sponsor</w:t>
      </w:r>
      <w:r>
        <w:t xml:space="preserve"> believes that the proposed contraindications in the Australian </w:t>
      </w:r>
      <w:r w:rsidR="00DB7577">
        <w:t>PI</w:t>
      </w:r>
      <w:r>
        <w:t xml:space="preserve"> are effective risk minimisation measures and are sufficient to mitigate the risk of pancreatitis.</w:t>
      </w:r>
    </w:p>
    <w:p w:rsidR="004A1F65" w:rsidRDefault="004A1F65" w:rsidP="004A1F65">
      <w:pPr>
        <w:pStyle w:val="Heading5"/>
      </w:pPr>
      <w:r>
        <w:t>Constipation</w:t>
      </w:r>
    </w:p>
    <w:p w:rsidR="004A1F65" w:rsidRDefault="004A1F65" w:rsidP="00DB7577">
      <w:r>
        <w:t>The Delegate sought the ACM’s advice about the approvability of eluxadoline due to</w:t>
      </w:r>
    </w:p>
    <w:p w:rsidR="004A1F65" w:rsidRPr="00DB7577" w:rsidRDefault="0017571E" w:rsidP="00DB7577">
      <w:pPr>
        <w:ind w:left="599"/>
        <w:rPr>
          <w:i/>
        </w:rPr>
      </w:pPr>
      <w:r>
        <w:rPr>
          <w:i/>
        </w:rPr>
        <w:t>‘SAEs</w:t>
      </w:r>
      <w:r w:rsidR="004A1F65" w:rsidRPr="00DB7577">
        <w:rPr>
          <w:i/>
        </w:rPr>
        <w:t xml:space="preserve"> of constipation requiring hospitalization or medical intervention prior to 4 days of symptom onset</w:t>
      </w:r>
      <w:r>
        <w:rPr>
          <w:i/>
        </w:rPr>
        <w:t>;</w:t>
      </w:r>
      <w:r w:rsidR="004A1F65" w:rsidRPr="00DB7577">
        <w:rPr>
          <w:i/>
        </w:rPr>
        <w:t xml:space="preserve"> </w:t>
      </w:r>
      <w:r>
        <w:rPr>
          <w:i/>
        </w:rPr>
        <w:t>(Note</w:t>
      </w:r>
      <w:r w:rsidR="004A1F65" w:rsidRPr="00DB7577">
        <w:rPr>
          <w:i/>
        </w:rPr>
        <w:t>: A</w:t>
      </w:r>
      <w:r>
        <w:rPr>
          <w:i/>
        </w:rPr>
        <w:t>ustralian</w:t>
      </w:r>
      <w:r w:rsidR="004A1F65" w:rsidRPr="00DB7577">
        <w:rPr>
          <w:i/>
        </w:rPr>
        <w:t xml:space="preserve"> PI now has a precautionary statement on the issue</w:t>
      </w:r>
      <w:r>
        <w:rPr>
          <w:i/>
        </w:rPr>
        <w:t>)</w:t>
      </w:r>
      <w:r w:rsidR="004A1F65" w:rsidRPr="00DB7577">
        <w:rPr>
          <w:i/>
        </w:rPr>
        <w:t>.</w:t>
      </w:r>
      <w:r w:rsidR="00A617D7">
        <w:rPr>
          <w:i/>
        </w:rPr>
        <w:t>’</w:t>
      </w:r>
    </w:p>
    <w:p w:rsidR="004A1F65" w:rsidRDefault="004A1F65" w:rsidP="00DB7577">
      <w:r>
        <w:t>The ACM stated that in making their recommendation on the overall approvability of eluxadoline they noted the following regarding constipation:</w:t>
      </w:r>
    </w:p>
    <w:p w:rsidR="004A1F65" w:rsidRPr="00DB7577" w:rsidRDefault="00141C8C" w:rsidP="00DB7577">
      <w:pPr>
        <w:ind w:left="599"/>
        <w:rPr>
          <w:i/>
        </w:rPr>
      </w:pPr>
      <w:r w:rsidRPr="00DB7577">
        <w:rPr>
          <w:i/>
        </w:rPr>
        <w:t>‘</w:t>
      </w:r>
      <w:proofErr w:type="gramStart"/>
      <w:r w:rsidR="004A1F65" w:rsidRPr="00DB7577">
        <w:rPr>
          <w:i/>
        </w:rPr>
        <w:t>noted</w:t>
      </w:r>
      <w:proofErr w:type="gramEnd"/>
      <w:r w:rsidR="004A1F65" w:rsidRPr="00DB7577">
        <w:rPr>
          <w:i/>
        </w:rPr>
        <w:t xml:space="preserve"> concern of overall postmarketing reports of increased constipation warranting a precautionary statement in the Australian </w:t>
      </w:r>
      <w:r w:rsidR="0017571E">
        <w:rPr>
          <w:i/>
        </w:rPr>
        <w:t>PI</w:t>
      </w:r>
      <w:r w:rsidR="004A1F65" w:rsidRPr="00DB7577">
        <w:rPr>
          <w:i/>
        </w:rPr>
        <w:t>.</w:t>
      </w:r>
      <w:r w:rsidRPr="00DB7577">
        <w:rPr>
          <w:i/>
        </w:rPr>
        <w:t>’</w:t>
      </w:r>
    </w:p>
    <w:p w:rsidR="004A1F65" w:rsidRDefault="004A1F65" w:rsidP="00DB7577">
      <w:r>
        <w:t xml:space="preserve">The </w:t>
      </w:r>
      <w:r w:rsidR="00141C8C">
        <w:t>sponsor</w:t>
      </w:r>
      <w:r>
        <w:t xml:space="preserve"> wishes to point out the inaccuracy of this statement. During the clinical development program of eluxadoline, constipation was reported at an incidence rate of 7.4% (60/807) and 8.1% (84/1032) in patients taking 75 mg and 100 mg, respectively, compared with 2.5% (24/975) of placebo patients. As of 31 August 2017, there have been a total of 174 spontaneous cases of constipation, 8 of which were serious, reported since the International Birth Date of eluxadoline on 27 May 2015 during which time there have been approximately 102,380 </w:t>
      </w:r>
      <w:r w:rsidR="0017571E">
        <w:t xml:space="preserve">new </w:t>
      </w:r>
      <w:r>
        <w:t xml:space="preserve">to </w:t>
      </w:r>
      <w:r w:rsidR="0017571E">
        <w:t>b</w:t>
      </w:r>
      <w:r>
        <w:t>rand prescriptions of eluxadoline. Considering the total number of constipation cases reported since approval, there does not appear to be an increased rate of constipation reporting in the postmarketing period.</w:t>
      </w:r>
    </w:p>
    <w:p w:rsidR="004A1F65" w:rsidRDefault="004A1F65" w:rsidP="00DB7577">
      <w:r>
        <w:t xml:space="preserve">Of the 8 serious cases of constipation reported as of August 31, 2017, </w:t>
      </w:r>
      <w:r w:rsidR="0017571E">
        <w:t xml:space="preserve">4 </w:t>
      </w:r>
      <w:r>
        <w:t>were repor</w:t>
      </w:r>
      <w:r w:rsidR="00DB7577">
        <w:t>ted describing either hospitalis</w:t>
      </w:r>
      <w:r>
        <w:t>ation or the requirement for urgent medical attention/intervention prior to 4 days of symptom onset. While constipation is an identified risk with the use of eluxadoline, at this time, there is no confirmed signal for severe constipation or complications of decreased gastrointestinal motility.</w:t>
      </w:r>
    </w:p>
    <w:p w:rsidR="004A1F65" w:rsidRDefault="004A1F65" w:rsidP="00DB7577">
      <w:r>
        <w:t xml:space="preserve">Therefore, the ACM have incorrectly concluded that the statement for severe constipation in the Australian </w:t>
      </w:r>
      <w:r w:rsidR="0017571E">
        <w:t>PI</w:t>
      </w:r>
      <w:r>
        <w:t xml:space="preserve"> was included due to an increase in constipation, as this was not the case. Nor was the precaution included due to a signal of serious adverse events of constipation requiring hospitalization or medical intervention, but rather as a precautionary measure to proactively prevent complications of constipation from developing. The original approved language in the USPI (as well as the originally proposed language for the Australian </w:t>
      </w:r>
      <w:r w:rsidR="0017571E">
        <w:t>PI</w:t>
      </w:r>
      <w:r>
        <w:t xml:space="preserve">) stated that patients should discontinue </w:t>
      </w:r>
      <w:r w:rsidR="00DB7577">
        <w:t xml:space="preserve">Viberzi </w:t>
      </w:r>
      <w:r>
        <w:t>if they develop severe constipation for more than 4 days:</w:t>
      </w:r>
    </w:p>
    <w:p w:rsidR="004A1F65" w:rsidRPr="00DB7577" w:rsidRDefault="00141C8C" w:rsidP="00DB7577">
      <w:pPr>
        <w:ind w:firstLine="600"/>
        <w:rPr>
          <w:i/>
        </w:rPr>
      </w:pPr>
      <w:r w:rsidRPr="00DB7577">
        <w:rPr>
          <w:i/>
        </w:rPr>
        <w:lastRenderedPageBreak/>
        <w:t>‘</w:t>
      </w:r>
      <w:r w:rsidR="004A1F65" w:rsidRPr="00DB7577">
        <w:rPr>
          <w:i/>
        </w:rPr>
        <w:t xml:space="preserve">Discontinue </w:t>
      </w:r>
      <w:r w:rsidR="00DB7577" w:rsidRPr="00DB7577">
        <w:rPr>
          <w:i/>
        </w:rPr>
        <w:t xml:space="preserve">Viberzi </w:t>
      </w:r>
      <w:r w:rsidR="004A1F65" w:rsidRPr="00DB7577">
        <w:rPr>
          <w:i/>
        </w:rPr>
        <w:t>in patients who develop severe constipation for more than 4 days.</w:t>
      </w:r>
      <w:r w:rsidRPr="00DB7577">
        <w:rPr>
          <w:i/>
        </w:rPr>
        <w:t>’</w:t>
      </w:r>
    </w:p>
    <w:p w:rsidR="004A1F65" w:rsidRDefault="00DB7577" w:rsidP="00EA4D94">
      <w:r>
        <w:t>The s</w:t>
      </w:r>
      <w:r w:rsidR="004A1F65">
        <w:t xml:space="preserve">ponsor’s intent was that if a patient developed constipation which lasted for more than 4 days then that would be considered </w:t>
      </w:r>
      <w:r w:rsidR="00141C8C">
        <w:t>‘</w:t>
      </w:r>
      <w:r w:rsidR="004A1F65">
        <w:t>severe</w:t>
      </w:r>
      <w:r w:rsidR="00141C8C">
        <w:t>’</w:t>
      </w:r>
      <w:r w:rsidR="004A1F65">
        <w:t xml:space="preserve"> and the patient should discontinue treatment with </w:t>
      </w:r>
      <w:r w:rsidR="00EA4D94">
        <w:t>Viberzi</w:t>
      </w:r>
      <w:r w:rsidR="004A1F65">
        <w:t xml:space="preserve">. On 15 March 2017, the sponsor received a request from the FDA stating that the recommendation to discontinue </w:t>
      </w:r>
      <w:r w:rsidR="00EA4D94">
        <w:t>Viberzi</w:t>
      </w:r>
      <w:r w:rsidR="004A1F65">
        <w:t xml:space="preserve"> secondary to severe constipation should be amended to remove the requirement for 4 days’ duration given that, at the time, three </w:t>
      </w:r>
      <w:r w:rsidR="00E57717">
        <w:t>postmarket</w:t>
      </w:r>
      <w:r w:rsidR="004A1F65">
        <w:t>ing serious adverse event cases reported hospital</w:t>
      </w:r>
      <w:r w:rsidR="00EA4D94">
        <w:t>is</w:t>
      </w:r>
      <w:r w:rsidR="004A1F65">
        <w:t>ation and required medical intervention prior to 4 days of symptom onset.</w:t>
      </w:r>
    </w:p>
    <w:p w:rsidR="004A1F65" w:rsidRDefault="00EA4D94" w:rsidP="00EA4D94">
      <w:r>
        <w:t>Following the s</w:t>
      </w:r>
      <w:r w:rsidR="004A1F65">
        <w:t>ponsor’s review</w:t>
      </w:r>
      <w:r>
        <w:t xml:space="preserve"> of cases of constipation, the s</w:t>
      </w:r>
      <w:r w:rsidR="004A1F65">
        <w:t xml:space="preserve">ponsor agreed with the FDA’s recommendation given that the </w:t>
      </w:r>
      <w:r w:rsidR="00E57717">
        <w:t>postmarket</w:t>
      </w:r>
      <w:r w:rsidR="004A1F65">
        <w:t>ing cases indicated that constipation requiring hospitali</w:t>
      </w:r>
      <w:r>
        <w:t>s</w:t>
      </w:r>
      <w:r w:rsidR="004A1F65">
        <w:t>ation and/or medical intervention can occur earlier in some patients. Therefore</w:t>
      </w:r>
      <w:r>
        <w:t>, as requested by the FDA, the s</w:t>
      </w:r>
      <w:r w:rsidR="004A1F65">
        <w:t>ponsor agreed to remove language from the USPI (as well as the CCDS) specifying the number of days of constipation by which patients should be instructed to stop treatment and seek medical attention. The removal of this clause places the emphasis on the patient’s qualitative symptomatology, rather than on a quantitative duration of symptoms.</w:t>
      </w:r>
    </w:p>
    <w:p w:rsidR="004A1F65" w:rsidRDefault="004A1F65" w:rsidP="00EA4D94">
      <w:r>
        <w:t xml:space="preserve">The USPI, CCDS, and proposed Australian </w:t>
      </w:r>
      <w:r w:rsidR="00EA4D94">
        <w:t>PI</w:t>
      </w:r>
      <w:r>
        <w:t xml:space="preserve"> have all been updated to reflect this change. In the proposed Australian Product Information, it now states the following:</w:t>
      </w:r>
    </w:p>
    <w:p w:rsidR="004A1F65" w:rsidRPr="00EA4D94" w:rsidRDefault="0017571E" w:rsidP="00EA4D94">
      <w:pPr>
        <w:ind w:left="720"/>
        <w:rPr>
          <w:i/>
        </w:rPr>
      </w:pPr>
      <w:r>
        <w:rPr>
          <w:i/>
        </w:rPr>
        <w:t>‘</w:t>
      </w:r>
      <w:r w:rsidR="004A1F65" w:rsidRPr="00EA4D94">
        <w:rPr>
          <w:i/>
        </w:rPr>
        <w:t xml:space="preserve">If patients develop severe constipation they should be instructed to stop </w:t>
      </w:r>
      <w:r w:rsidR="00EA4D94" w:rsidRPr="00EA4D94">
        <w:rPr>
          <w:i/>
        </w:rPr>
        <w:t>Viberzi</w:t>
      </w:r>
      <w:r w:rsidR="004A1F65" w:rsidRPr="00EA4D94">
        <w:rPr>
          <w:i/>
        </w:rPr>
        <w:t xml:space="preserve"> and seek medical attention</w:t>
      </w:r>
      <w:r>
        <w:rPr>
          <w:i/>
        </w:rPr>
        <w:t>’</w:t>
      </w:r>
      <w:r w:rsidR="004A1F65" w:rsidRPr="00EA4D94">
        <w:rPr>
          <w:i/>
        </w:rPr>
        <w:t>.</w:t>
      </w:r>
    </w:p>
    <w:p w:rsidR="004A1F65" w:rsidRDefault="004A1F65" w:rsidP="00EA4D94">
      <w:r>
        <w:t>The proposed language for the Australian PI (which mirrors that found in the USPI and CCDS) serves as a precautionary measure and deemphasizes the quantitative duration of symptoms in favo</w:t>
      </w:r>
      <w:r w:rsidR="0017571E">
        <w:t>u</w:t>
      </w:r>
      <w:r>
        <w:t>r of qualitative symptomatology.</w:t>
      </w:r>
    </w:p>
    <w:p w:rsidR="004A1F65" w:rsidRDefault="004A1F65" w:rsidP="004A1F65">
      <w:pPr>
        <w:pStyle w:val="Heading5"/>
      </w:pPr>
      <w:r>
        <w:t>Benefit-</w:t>
      </w:r>
      <w:r w:rsidR="0017571E">
        <w:t>R</w:t>
      </w:r>
      <w:r>
        <w:t xml:space="preserve">isk </w:t>
      </w:r>
      <w:r w:rsidR="0017571E">
        <w:t>balance</w:t>
      </w:r>
    </w:p>
    <w:p w:rsidR="004A1F65" w:rsidRDefault="004A1F65" w:rsidP="00EA4D94">
      <w:r>
        <w:t xml:space="preserve">The </w:t>
      </w:r>
      <w:r w:rsidR="00141C8C">
        <w:t>sponsor</w:t>
      </w:r>
      <w:r>
        <w:t xml:space="preserve"> believes that the benefit-risk balance of eluxadoline remains positive and unchanged for the proposed indication since initial marketing </w:t>
      </w:r>
      <w:r w:rsidR="0017571E">
        <w:t xml:space="preserve">authorisation </w:t>
      </w:r>
      <w:r>
        <w:t xml:space="preserve">(in the US) for the treatment of patients with </w:t>
      </w:r>
      <w:r w:rsidR="00EA4D94">
        <w:t>IBS-d</w:t>
      </w:r>
      <w:r>
        <w:t xml:space="preserve"> with a gallbladder. The </w:t>
      </w:r>
      <w:r w:rsidR="00141C8C">
        <w:t>sponsor</w:t>
      </w:r>
      <w:r>
        <w:t xml:space="preserve"> believes that the weight of evidence clearly supports the effectiveness of eluxadoline in </w:t>
      </w:r>
      <w:r w:rsidR="00EA4D94">
        <w:t>IBS-d</w:t>
      </w:r>
      <w:r>
        <w:t xml:space="preserve"> and that the proposed contraindications in the Australian </w:t>
      </w:r>
      <w:r w:rsidR="00EA4D94">
        <w:t>PI are sufficient to minimis</w:t>
      </w:r>
      <w:r>
        <w:t xml:space="preserve">e the most important risks of the product. Further, the availability of eluxadoline </w:t>
      </w:r>
      <w:r w:rsidR="00E4543A">
        <w:t>fulfils</w:t>
      </w:r>
      <w:r>
        <w:t xml:space="preserve"> an otherwise unmet need for products able to treat the multiple bothersome symptoms of </w:t>
      </w:r>
      <w:r w:rsidR="00EA4D94">
        <w:t>IBS-d</w:t>
      </w:r>
      <w:r>
        <w:t>.</w:t>
      </w:r>
    </w:p>
    <w:p w:rsidR="004A1F65" w:rsidRDefault="004A1F65" w:rsidP="00EA4D94">
      <w:r>
        <w:t xml:space="preserve">IBS is the most common functional gastrointestinal disorder with a global prevalence estimated at 11.2%. The </w:t>
      </w:r>
      <w:r w:rsidR="00EA4D94">
        <w:t>IBS-d</w:t>
      </w:r>
      <w:r>
        <w:t xml:space="preserve"> subtype comprises</w:t>
      </w:r>
      <w:r w:rsidR="00A617D7">
        <w:t xml:space="preserve"> one</w:t>
      </w:r>
      <w:r>
        <w:t xml:space="preserve"> </w:t>
      </w:r>
      <w:r w:rsidR="0017571E">
        <w:t xml:space="preserve">half </w:t>
      </w:r>
      <w:r>
        <w:t xml:space="preserve">to </w:t>
      </w:r>
      <w:r w:rsidR="0017571E">
        <w:t>a third</w:t>
      </w:r>
      <w:r>
        <w:t xml:space="preserve"> of all cases, and its global prevalence is estimated at between 3 and 4%.</w:t>
      </w:r>
      <w:r w:rsidR="00584325">
        <w:rPr>
          <w:rStyle w:val="FootnoteReference"/>
        </w:rPr>
        <w:footnoteReference w:id="22"/>
      </w:r>
      <w:r>
        <w:t xml:space="preserve"> While not life</w:t>
      </w:r>
      <w:r w:rsidR="00837448">
        <w:t xml:space="preserve"> </w:t>
      </w:r>
      <w:r>
        <w:t xml:space="preserve">threatening, IBS is a chronic, relapsing condition marked by bothersome and often unpredictable symptoms which can dramatically impact patients’ quality of life. Prior to the approval of eluxadoline, there were no pharmacologic treatments approved specifically for </w:t>
      </w:r>
      <w:r w:rsidR="00EA4D94">
        <w:t>IBS-d</w:t>
      </w:r>
      <w:r>
        <w:t xml:space="preserve">. As such, treatment options for </w:t>
      </w:r>
      <w:r w:rsidR="00EA4D94">
        <w:t>IBS-d</w:t>
      </w:r>
      <w:r>
        <w:t xml:space="preserve"> are limited, with pharmacological therapies generally aimed at treating individual symptoms with the rationale of modulating intestinal motility, decreasing visceral sensitivity, or treating associated disorders, such as anxiety and/or</w:t>
      </w:r>
      <w:r>
        <w:rPr>
          <w:spacing w:val="-3"/>
        </w:rPr>
        <w:t xml:space="preserve"> </w:t>
      </w:r>
      <w:r>
        <w:t>depression.</w:t>
      </w:r>
    </w:p>
    <w:p w:rsidR="004A1F65" w:rsidRDefault="004A1F65" w:rsidP="00EA4D94">
      <w:r>
        <w:t xml:space="preserve">In contrast to other treatment options, eluxadoline has been clearly demonstrated to treat multiple abdominal and bowel symptoms of </w:t>
      </w:r>
      <w:r w:rsidR="00EA4D94">
        <w:t>IBS-d</w:t>
      </w:r>
      <w:r>
        <w:t xml:space="preserve"> in large, replicate</w:t>
      </w:r>
      <w:r w:rsidR="00837448">
        <w:t>d</w:t>
      </w:r>
      <w:r>
        <w:t xml:space="preserve"> Phase </w:t>
      </w:r>
      <w:r w:rsidR="00EA4D94">
        <w:t>III</w:t>
      </w:r>
      <w:r>
        <w:t xml:space="preserve"> trials. In addition to demonstrating statistical superiority to placebo for the primary endpoint of composite response of simultaneous improvement in abdominal pain and stool consistency, eluxadoline also positively impacted bowel movement urgency and frequency and abdominal discomfort and bloating, as well as patients’ quality of life. Eluxadoline is </w:t>
      </w:r>
      <w:r>
        <w:lastRenderedPageBreak/>
        <w:t xml:space="preserve">therefore differentiated from other available treatment options for </w:t>
      </w:r>
      <w:r w:rsidR="00EA4D94">
        <w:t>IBS-d</w:t>
      </w:r>
      <w:r>
        <w:t>, which typically aim at treating individual symptoms and which have not been subjected to current regulatory standards involving large, pro</w:t>
      </w:r>
      <w:r w:rsidR="00EA4D94">
        <w:t>spective, double-blind, randomis</w:t>
      </w:r>
      <w:r>
        <w:t>ed</w:t>
      </w:r>
      <w:r w:rsidR="00EA4D94">
        <w:t xml:space="preserve"> and</w:t>
      </w:r>
      <w:r>
        <w:t xml:space="preserve"> placebo-controlled</w:t>
      </w:r>
      <w:r>
        <w:rPr>
          <w:spacing w:val="-2"/>
        </w:rPr>
        <w:t xml:space="preserve"> </w:t>
      </w:r>
      <w:r>
        <w:t>trials.</w:t>
      </w:r>
    </w:p>
    <w:p w:rsidR="004A1F65" w:rsidRDefault="004A1F65" w:rsidP="00EA4D94">
      <w:r>
        <w:t xml:space="preserve">Eluxadoline has a favourable tolerability profile in </w:t>
      </w:r>
      <w:r w:rsidR="00EA4D94">
        <w:t>IBS-d</w:t>
      </w:r>
      <w:r>
        <w:t xml:space="preserve"> patients with a gallbladder. In clinical trials, eluxadoline demonstrated ov</w:t>
      </w:r>
      <w:r w:rsidR="00EA4D94">
        <w:t xml:space="preserve">erall low rates of primarily GI </w:t>
      </w:r>
      <w:r>
        <w:t xml:space="preserve">related AEs that were generally reported at similar rates to placebo. In patients with a gallbladder, rates of AEs, SAEs and AEs leading to discontinuation were all markedly reduced compared to those whose gallbladder had been removed, demonstrating a greater tolerability in this subset of patients. In the </w:t>
      </w:r>
      <w:r w:rsidR="00E57717">
        <w:t>postmarket</w:t>
      </w:r>
      <w:r>
        <w:t>ing setting, the cumulative experience with eluxadoline, inclusive of more than 26,363 patient</w:t>
      </w:r>
      <w:r w:rsidR="00E4543A">
        <w:t>-</w:t>
      </w:r>
      <w:r>
        <w:t xml:space="preserve">year exposures, confirms the safety profile demonstrated during clinical development. Other than the signal for severe pancreatitis in US patients without a gallbladder, </w:t>
      </w:r>
      <w:r w:rsidR="008504A0">
        <w:t>the sponsor</w:t>
      </w:r>
      <w:r>
        <w:t xml:space="preserve"> has not identified any other confirmed safety signals in the </w:t>
      </w:r>
      <w:r w:rsidR="00E57717">
        <w:t>postmarket</w:t>
      </w:r>
      <w:r>
        <w:t xml:space="preserve">ing setting since the product was launched in November 2015. Thus, the </w:t>
      </w:r>
      <w:r w:rsidR="00141C8C">
        <w:t>sponsor</w:t>
      </w:r>
      <w:r>
        <w:t xml:space="preserve"> believes that the risks of eluxadoline remain unchanged for </w:t>
      </w:r>
      <w:r w:rsidR="00EA4D94">
        <w:t>IBS-d</w:t>
      </w:r>
      <w:r>
        <w:t xml:space="preserve"> patients with a gallbladder, the indicated population per the Australian </w:t>
      </w:r>
      <w:r w:rsidR="008504A0">
        <w:t>PI</w:t>
      </w:r>
      <w:r>
        <w:t>.</w:t>
      </w:r>
    </w:p>
    <w:p w:rsidR="004A1F65" w:rsidRDefault="004A1F65" w:rsidP="00EA4D94">
      <w:r>
        <w:t xml:space="preserve">In summary, eluxadoline provides an important treatment option for patients with </w:t>
      </w:r>
      <w:r w:rsidR="00EA4D94">
        <w:t>IBS-d</w:t>
      </w:r>
      <w:r>
        <w:t xml:space="preserve">. Given the consistent findings for the effectiveness of the product and the appropriateness of the product </w:t>
      </w:r>
      <w:r w:rsidR="00E4543A">
        <w:t>labelling</w:t>
      </w:r>
      <w:r>
        <w:t xml:space="preserve">, the </w:t>
      </w:r>
      <w:r w:rsidR="00141C8C">
        <w:t>sponsor</w:t>
      </w:r>
      <w:r>
        <w:t xml:space="preserve"> strongly believes that the benefit-risk of eluxadoline remains positive.</w:t>
      </w:r>
    </w:p>
    <w:p w:rsidR="004A1F65" w:rsidRDefault="004A1F65" w:rsidP="004A1F65">
      <w:pPr>
        <w:pStyle w:val="Heading4"/>
      </w:pPr>
      <w:r>
        <w:t xml:space="preserve">ACM reply to </w:t>
      </w:r>
      <w:r w:rsidR="00837448">
        <w:t xml:space="preserve">the </w:t>
      </w:r>
      <w:r>
        <w:t>post-ACM response</w:t>
      </w:r>
    </w:p>
    <w:p w:rsidR="004A1F65" w:rsidRDefault="004A1F65" w:rsidP="008504A0">
      <w:r>
        <w:t>The main concerns expressed by ACM were:</w:t>
      </w:r>
    </w:p>
    <w:p w:rsidR="004A1F65" w:rsidRDefault="00A617D7" w:rsidP="008D57E9">
      <w:pPr>
        <w:pStyle w:val="Numberbullet0"/>
        <w:numPr>
          <w:ilvl w:val="0"/>
          <w:numId w:val="53"/>
        </w:numPr>
      </w:pPr>
      <w:r>
        <w:t xml:space="preserve">the </w:t>
      </w:r>
      <w:r w:rsidR="004A1F65">
        <w:t>association between the use of eluxadoline and the development of pancreatitis;</w:t>
      </w:r>
    </w:p>
    <w:p w:rsidR="004A1F65" w:rsidRDefault="00837448" w:rsidP="008D57E9">
      <w:pPr>
        <w:pStyle w:val="Numberbullet0"/>
        <w:numPr>
          <w:ilvl w:val="0"/>
          <w:numId w:val="53"/>
        </w:numPr>
      </w:pPr>
      <w:r>
        <w:t>t</w:t>
      </w:r>
      <w:r w:rsidR="004A1F65">
        <w:t>he mechanisms by which eluxadoline induces pancreatitis are unknown; hence</w:t>
      </w:r>
    </w:p>
    <w:p w:rsidR="004A1F65" w:rsidRDefault="00837448" w:rsidP="008D57E9">
      <w:pPr>
        <w:pStyle w:val="Numberbullet0"/>
        <w:numPr>
          <w:ilvl w:val="0"/>
          <w:numId w:val="53"/>
        </w:numPr>
      </w:pPr>
      <w:proofErr w:type="gramStart"/>
      <w:r>
        <w:t>the</w:t>
      </w:r>
      <w:proofErr w:type="gramEnd"/>
      <w:r>
        <w:t xml:space="preserve"> </w:t>
      </w:r>
      <w:r w:rsidR="004A1F65">
        <w:t>proposed restrictions on its usage may not adequately mitigate against the development of pancreatitis.</w:t>
      </w:r>
    </w:p>
    <w:p w:rsidR="00837448" w:rsidRDefault="00837448" w:rsidP="008D57E9">
      <w:pPr>
        <w:pStyle w:val="Heading5"/>
      </w:pPr>
      <w:r>
        <w:t>Issue 1</w:t>
      </w:r>
    </w:p>
    <w:p w:rsidR="004A1F65" w:rsidRPr="00364096" w:rsidRDefault="00837448" w:rsidP="008D57E9">
      <w:pPr>
        <w:ind w:left="720"/>
      </w:pPr>
      <w:r w:rsidRPr="008D57E9">
        <w:rPr>
          <w:i/>
        </w:rPr>
        <w:t>‘</w:t>
      </w:r>
      <w:r w:rsidR="004A1F65" w:rsidRPr="008D57E9">
        <w:rPr>
          <w:i/>
        </w:rPr>
        <w:t xml:space="preserve">The association between the use of eluxadoline and the development of pancreatitis is not disputed by the </w:t>
      </w:r>
      <w:r w:rsidR="008504A0" w:rsidRPr="008D57E9">
        <w:rPr>
          <w:i/>
        </w:rPr>
        <w:t>sponsor</w:t>
      </w:r>
      <w:r w:rsidRPr="008D57E9">
        <w:rPr>
          <w:i/>
        </w:rPr>
        <w:t>’</w:t>
      </w:r>
      <w:r w:rsidR="004A1F65" w:rsidRPr="008D57E9">
        <w:rPr>
          <w:i/>
        </w:rPr>
        <w:t>.</w:t>
      </w:r>
    </w:p>
    <w:p w:rsidR="005F1690" w:rsidRDefault="004A1F65" w:rsidP="004A1F65">
      <w:r>
        <w:t xml:space="preserve">The </w:t>
      </w:r>
      <w:r w:rsidR="00837448">
        <w:t xml:space="preserve">sponsor </w:t>
      </w:r>
      <w:r>
        <w:t>acknowledges that there is a rate of pancreatitis that develops shortly after exposure to eluxadoline which ranges from 0.2 and 0.4%.</w:t>
      </w:r>
      <w:r w:rsidR="008504A0">
        <w:t xml:space="preserve"> </w:t>
      </w:r>
      <w:r>
        <w:t xml:space="preserve">The argument that this rate is the same and has not increased from the clinical development program to the </w:t>
      </w:r>
      <w:r w:rsidR="00E57717">
        <w:t>postmarket</w:t>
      </w:r>
      <w:r>
        <w:t>ing reports does not address the main concern: patients commencing eluxadoline have an increased risk of developing pancreatitis.</w:t>
      </w:r>
    </w:p>
    <w:p w:rsidR="004A1F65" w:rsidRDefault="004A1F65" w:rsidP="004A1F65">
      <w:r>
        <w:t>The strongest evidence supporting causation is the close temporal association between exposure and the onset of the disease.</w:t>
      </w:r>
      <w:r w:rsidR="008504A0">
        <w:t xml:space="preserve"> </w:t>
      </w:r>
      <w:r>
        <w:t xml:space="preserve">This is recorded in </w:t>
      </w:r>
      <w:r w:rsidR="00C65E8B">
        <w:t>[</w:t>
      </w:r>
      <w:r w:rsidR="00837448">
        <w:t>a table accompanying</w:t>
      </w:r>
      <w:r w:rsidR="00C65E8B">
        <w:t>]</w:t>
      </w:r>
      <w:r>
        <w:t xml:space="preserve"> the </w:t>
      </w:r>
      <w:r w:rsidR="00013A41">
        <w:t>sponsor’s r</w:t>
      </w:r>
      <w:r>
        <w:t>esponse, which shows that pancreatitis developed within a week in 13 of the 17 cases of patients with a gallbladder in whom the latency was reported.</w:t>
      </w:r>
      <w:r w:rsidR="008504A0">
        <w:t xml:space="preserve"> </w:t>
      </w:r>
      <w:r>
        <w:t>The external review of the cases of severe pancreatitis provided by the applicant in its submissions also noted this close temporal association.</w:t>
      </w:r>
    </w:p>
    <w:p w:rsidR="004A1F65" w:rsidRDefault="004A1F65" w:rsidP="004A1F65">
      <w:r>
        <w:t xml:space="preserve">The applicant points out that all cases of severe pancreatitis occurred in patients who had had prior cholecystectomy and highlights the evidence that all episodes of pancreatitis in those with gallbladders were </w:t>
      </w:r>
      <w:r w:rsidR="00141C8C">
        <w:t>‘</w:t>
      </w:r>
      <w:r>
        <w:t>mild</w:t>
      </w:r>
      <w:r w:rsidR="00141C8C">
        <w:t>’</w:t>
      </w:r>
      <w:r>
        <w:t>.</w:t>
      </w:r>
      <w:r w:rsidR="008504A0">
        <w:t xml:space="preserve"> </w:t>
      </w:r>
      <w:r>
        <w:t xml:space="preserve">Whilst this may appear reassuring, it is important to note </w:t>
      </w:r>
      <w:r w:rsidRPr="001C4C9B">
        <w:t xml:space="preserve">that </w:t>
      </w:r>
      <w:r w:rsidR="00141C8C" w:rsidRPr="001C4C9B">
        <w:t>‘</w:t>
      </w:r>
      <w:r w:rsidRPr="001C4C9B">
        <w:t>mild</w:t>
      </w:r>
      <w:r w:rsidR="00141C8C" w:rsidRPr="001C4C9B">
        <w:t>’</w:t>
      </w:r>
      <w:r w:rsidRPr="001C4C9B">
        <w:t xml:space="preserve"> pancreatitis is not a mild disease. </w:t>
      </w:r>
      <w:r w:rsidR="0008268B" w:rsidRPr="001C4C9B">
        <w:t xml:space="preserve">In a retrospective analysis of patients </w:t>
      </w:r>
      <w:r w:rsidR="0008268B" w:rsidRPr="001C4C9B">
        <w:lastRenderedPageBreak/>
        <w:t xml:space="preserve">presenting with acute pancreatitis to </w:t>
      </w:r>
      <w:r w:rsidR="0008268B">
        <w:t>4</w:t>
      </w:r>
      <w:r w:rsidR="0008268B" w:rsidRPr="001C4C9B">
        <w:t xml:space="preserve"> tertiary hospitals in Sydney over a </w:t>
      </w:r>
      <w:r w:rsidR="0008268B">
        <w:t>4</w:t>
      </w:r>
      <w:r w:rsidR="0008268B" w:rsidRPr="001C4C9B">
        <w:t xml:space="preserve"> year period, Nesvaderani et al</w:t>
      </w:r>
      <w:r w:rsidR="0008268B">
        <w:t>.,</w:t>
      </w:r>
      <w:r w:rsidR="0008268B" w:rsidRPr="001C4C9B">
        <w:rPr>
          <w:rStyle w:val="FootnoteReference"/>
        </w:rPr>
        <w:footnoteReference w:id="23"/>
      </w:r>
      <w:r w:rsidR="0008268B" w:rsidRPr="001C4C9B">
        <w:t xml:space="preserve"> found that the median length of hospitalisation for patients was 4 days (range 1</w:t>
      </w:r>
      <w:r w:rsidR="0008268B">
        <w:t xml:space="preserve"> to </w:t>
      </w:r>
      <w:r w:rsidR="0008268B" w:rsidRPr="001C4C9B">
        <w:t>106</w:t>
      </w:r>
      <w:r w:rsidR="0008268B">
        <w:t xml:space="preserve"> days</w:t>
      </w:r>
      <w:r w:rsidR="0008268B" w:rsidRPr="001C4C9B">
        <w:t xml:space="preserve">). </w:t>
      </w:r>
      <w:r w:rsidRPr="001C4C9B">
        <w:t>Length</w:t>
      </w:r>
      <w:r>
        <w:t xml:space="preserve"> of stays for gallstone, other cause, alcohol, and idiopathic pancreatitis were 8 days, 7.3 days, 5.8 days and 5.4 days, respectively.</w:t>
      </w:r>
      <w:r w:rsidR="008504A0">
        <w:t xml:space="preserve"> </w:t>
      </w:r>
      <w:r>
        <w:t>Furthermore, there was no statistically significant relationship between severe pancreatitis and death (</w:t>
      </w:r>
      <w:r w:rsidR="00CE0FAB">
        <w:t>odds ratio</w:t>
      </w:r>
      <w:r>
        <w:t xml:space="preserve"> 1.61, 95% CI 0.19</w:t>
      </w:r>
      <w:r w:rsidR="00CE0FAB">
        <w:t xml:space="preserve"> to </w:t>
      </w:r>
      <w:r>
        <w:t>13.94), with 1.2% of patients with severe pancreatitis dying compared to 0.7% with mild pancreatitis.</w:t>
      </w:r>
    </w:p>
    <w:p w:rsidR="00CE0FAB" w:rsidRDefault="004A1F65" w:rsidP="004A1F65">
      <w:r>
        <w:t xml:space="preserve">The ACM Minutes refer to further evidence outlining the risk of pancreatitis that was provided by an analysis of the US </w:t>
      </w:r>
      <w:r w:rsidR="008504A0">
        <w:t>FAERS</w:t>
      </w:r>
      <w:r w:rsidR="00CE0FAB">
        <w:t>.</w:t>
      </w:r>
      <w:r w:rsidR="008504A0">
        <w:rPr>
          <w:rStyle w:val="FootnoteReference"/>
        </w:rPr>
        <w:footnoteReference w:id="24"/>
      </w:r>
      <w:r w:rsidR="008504A0">
        <w:t xml:space="preserve"> </w:t>
      </w:r>
      <w:r>
        <w:t>The limitations of FAERS are acknowledged but the main point stands: this analysis provides independent confirmation that there is an increased risk of pancreatitis in patients exposed to eluxadoline.</w:t>
      </w:r>
    </w:p>
    <w:p w:rsidR="004A1F65" w:rsidRDefault="00CE0FAB" w:rsidP="008D57E9">
      <w:pPr>
        <w:pStyle w:val="Heading5"/>
      </w:pPr>
      <w:r>
        <w:t>Issue 2</w:t>
      </w:r>
    </w:p>
    <w:p w:rsidR="004A1F65" w:rsidRPr="00364096" w:rsidRDefault="00CE0FAB" w:rsidP="008D57E9">
      <w:pPr>
        <w:ind w:firstLine="720"/>
      </w:pPr>
      <w:r w:rsidRPr="008D57E9">
        <w:rPr>
          <w:i/>
        </w:rPr>
        <w:t>‘</w:t>
      </w:r>
      <w:r w:rsidR="004A1F65" w:rsidRPr="008D57E9">
        <w:rPr>
          <w:i/>
        </w:rPr>
        <w:t>The mechanisms by which eluxadoline induce pancreatitis are unknown</w:t>
      </w:r>
      <w:r w:rsidRPr="008D57E9">
        <w:rPr>
          <w:i/>
        </w:rPr>
        <w:t>’</w:t>
      </w:r>
      <w:r w:rsidR="004A1F65" w:rsidRPr="008D57E9">
        <w:rPr>
          <w:i/>
        </w:rPr>
        <w:t>.</w:t>
      </w:r>
    </w:p>
    <w:p w:rsidR="004A1F65" w:rsidRDefault="004A1F65" w:rsidP="004A1F65">
      <w:r>
        <w:t xml:space="preserve">The </w:t>
      </w:r>
      <w:r w:rsidR="008504A0">
        <w:t>sponsor</w:t>
      </w:r>
      <w:r>
        <w:t xml:space="preserve"> suggests that the likely mechanism by which eluxadoline causes pancreatitis is by </w:t>
      </w:r>
      <w:r w:rsidR="00CE0FAB">
        <w:t>MOR</w:t>
      </w:r>
      <w:r>
        <w:t xml:space="preserve"> agonism on the sphincter of Oddi: </w:t>
      </w:r>
      <w:r w:rsidR="00141C8C">
        <w:t>‘</w:t>
      </w:r>
      <w:r w:rsidRPr="008504A0">
        <w:rPr>
          <w:i/>
        </w:rPr>
        <w:t xml:space="preserve">Cholecystectomy is known to be a risk factor for </w:t>
      </w:r>
      <w:r w:rsidR="00CE0FAB">
        <w:rPr>
          <w:i/>
        </w:rPr>
        <w:t>s</w:t>
      </w:r>
      <w:r w:rsidR="00CE0FAB" w:rsidRPr="008504A0">
        <w:rPr>
          <w:i/>
        </w:rPr>
        <w:t xml:space="preserve">phincter </w:t>
      </w:r>
      <w:r w:rsidRPr="008504A0">
        <w:rPr>
          <w:i/>
        </w:rPr>
        <w:t>of Oddi dysfunction and for opioid-induced sphincter of Oddi dysfunction</w:t>
      </w:r>
      <w:r>
        <w:t>.</w:t>
      </w:r>
      <w:r w:rsidR="00141C8C">
        <w:t>’</w:t>
      </w:r>
      <w:r w:rsidR="008504A0">
        <w:t xml:space="preserve"> </w:t>
      </w:r>
      <w:r>
        <w:t xml:space="preserve">The </w:t>
      </w:r>
      <w:r w:rsidR="008504A0">
        <w:t>sponsor</w:t>
      </w:r>
      <w:r>
        <w:t xml:space="preserve"> adds that the presence of a gallbladder does not preclude the possibility of development of pancreatitis secondary to sphincter of Oddi dysfunction [without references and in a very controversial field of clinical research] or other causes, and points out that all reported cases of pancreatitis in patients with a gallbladder exposed to eluxadoline were </w:t>
      </w:r>
      <w:r w:rsidR="00141C8C">
        <w:t>‘</w:t>
      </w:r>
      <w:r>
        <w:t>mild</w:t>
      </w:r>
      <w:r w:rsidR="00141C8C">
        <w:t>’</w:t>
      </w:r>
      <w:r>
        <w:t xml:space="preserve"> in nature (please see above) and rapidly reversed without sequelae upon its discontinuation.</w:t>
      </w:r>
    </w:p>
    <w:p w:rsidR="004A1F65" w:rsidRDefault="004A1F65" w:rsidP="004A1F65">
      <w:r>
        <w:t>If the proposed mechanism (</w:t>
      </w:r>
      <w:r w:rsidR="00CE0FAB">
        <w:t>MOR</w:t>
      </w:r>
      <w:r>
        <w:t xml:space="preserve"> agonism on the sphincter of Oddi) were the cause of pancreatitis in patients exposed to eluxadoline, pancreatitis would be an expected adverse event reported in a proportion of patients exposed to other </w:t>
      </w:r>
      <w:r w:rsidR="00D24E9A" w:rsidRPr="00D24E9A">
        <w:t xml:space="preserve">µ </w:t>
      </w:r>
      <w:r>
        <w:t>opioid receptor agonists.</w:t>
      </w:r>
      <w:r w:rsidR="008504A0">
        <w:t xml:space="preserve"> </w:t>
      </w:r>
      <w:r>
        <w:t xml:space="preserve">A PubMed search on 13 November 2017 using the terms </w:t>
      </w:r>
      <w:r w:rsidR="00141C8C">
        <w:t>‘</w:t>
      </w:r>
      <w:r>
        <w:t>pancreatitis</w:t>
      </w:r>
      <w:r w:rsidR="00141C8C">
        <w:t>’</w:t>
      </w:r>
      <w:r>
        <w:t xml:space="preserve"> </w:t>
      </w:r>
      <w:r w:rsidR="00CE0FAB">
        <w:t xml:space="preserve">and </w:t>
      </w:r>
      <w:r w:rsidR="00141C8C">
        <w:t>‘</w:t>
      </w:r>
      <w:r>
        <w:t>loperamide</w:t>
      </w:r>
      <w:r w:rsidR="00141C8C">
        <w:t>’</w:t>
      </w:r>
      <w:r>
        <w:t xml:space="preserve">, an alternative </w:t>
      </w:r>
      <w:r w:rsidR="00CE0FAB">
        <w:t>MOR</w:t>
      </w:r>
      <w:r>
        <w:t xml:space="preserve"> agonist, resulted in </w:t>
      </w:r>
      <w:r w:rsidR="00CE0FAB">
        <w:t xml:space="preserve">2 </w:t>
      </w:r>
      <w:r>
        <w:t xml:space="preserve">relevant reports which described a total of </w:t>
      </w:r>
      <w:r w:rsidR="00CE0FAB">
        <w:t xml:space="preserve">6 </w:t>
      </w:r>
      <w:r>
        <w:t>cases in the wor</w:t>
      </w:r>
      <w:r w:rsidR="001C4C9B">
        <w:t>ld literature to November 2015</w:t>
      </w:r>
      <w:r>
        <w:t>.</w:t>
      </w:r>
      <w:r w:rsidR="001C4C9B">
        <w:rPr>
          <w:rStyle w:val="FootnoteReference"/>
        </w:rPr>
        <w:footnoteReference w:id="25"/>
      </w:r>
      <w:r w:rsidR="00A617D7">
        <w:rPr>
          <w:vertAlign w:val="superscript"/>
        </w:rPr>
        <w:t>,</w:t>
      </w:r>
      <w:r w:rsidR="00A617D7">
        <w:rPr>
          <w:rStyle w:val="FootnoteReference"/>
        </w:rPr>
        <w:footnoteReference w:id="26"/>
      </w:r>
      <w:r>
        <w:t xml:space="preserve"> This analysis of the risks of loperamide is, of course, subject to several of the limitations outlined in the applicant’s comments regarding the FAERS data.</w:t>
      </w:r>
    </w:p>
    <w:p w:rsidR="004A1F65" w:rsidRDefault="004A1F65" w:rsidP="004A1F65">
      <w:r>
        <w:t xml:space="preserve">The </w:t>
      </w:r>
      <w:r w:rsidR="00D24E9A">
        <w:t>sponsor</w:t>
      </w:r>
      <w:r>
        <w:t xml:space="preserve"> suggests that there may have been alternative explanations for the development of pancreatitis in the patients with an intact gallbladder, but an analysis of alternative aetiologies </w:t>
      </w:r>
      <w:r w:rsidR="00141C8C">
        <w:t>‘</w:t>
      </w:r>
      <w:r>
        <w:t>was hindered by the scarcity of any reported medical history and concomitant medications (absent in approximately 74</w:t>
      </w:r>
      <w:r w:rsidR="00CE0FAB">
        <w:t xml:space="preserve"> to </w:t>
      </w:r>
      <w:r>
        <w:t>76% of cases), as well as social history of alcohol use or smoking</w:t>
      </w:r>
      <w:r w:rsidR="00141C8C">
        <w:t>’</w:t>
      </w:r>
      <w:r>
        <w:t xml:space="preserve"> in the </w:t>
      </w:r>
      <w:r w:rsidR="00CE0FAB">
        <w:t xml:space="preserve">sponsor’s </w:t>
      </w:r>
      <w:r>
        <w:t xml:space="preserve">Safety Database for </w:t>
      </w:r>
      <w:r w:rsidR="00E57717">
        <w:t>postmarket</w:t>
      </w:r>
      <w:r>
        <w:t>ing eluxadoline cases from 27 May 2015 to 31 July 2017.</w:t>
      </w:r>
    </w:p>
    <w:p w:rsidR="004A1F65" w:rsidRDefault="004A1F65" w:rsidP="004A1F65">
      <w:r>
        <w:t>Pancreatitis may occur by mechanisms other than sphincter of Oddi dysfunction or alcohol ingestion. Azathioprine</w:t>
      </w:r>
      <w:r w:rsidR="00CE0FAB">
        <w:t xml:space="preserve"> </w:t>
      </w:r>
      <w:r>
        <w:t>induced pancreatitis is an example discussed by the key opinion leaders, and there are other well-documented drug causes of pancreatitis.</w:t>
      </w:r>
      <w:r w:rsidR="008504A0">
        <w:t xml:space="preserve"> </w:t>
      </w:r>
      <w:r>
        <w:t>There is also increasing recognition of various genetic factors that predispose to the development of acute, acute relapsing and chronic pancreatitis, and the aetiology is unknown (</w:t>
      </w:r>
      <w:r w:rsidR="00141C8C">
        <w:t>‘</w:t>
      </w:r>
      <w:r>
        <w:t>idiopathic</w:t>
      </w:r>
      <w:r w:rsidR="00141C8C">
        <w:t>’</w:t>
      </w:r>
      <w:r>
        <w:t>) in a significant proportion of cases.</w:t>
      </w:r>
      <w:r w:rsidR="008504A0">
        <w:t xml:space="preserve"> </w:t>
      </w:r>
      <w:r>
        <w:t>Without establishing a definitive mechanism, the proposed contraindications aimed at preventing the development of pancreatitis may not be effective.</w:t>
      </w:r>
    </w:p>
    <w:p w:rsidR="00C7694E" w:rsidRDefault="00C7694E" w:rsidP="008D57E9">
      <w:pPr>
        <w:pStyle w:val="Heading5"/>
      </w:pPr>
      <w:r>
        <w:lastRenderedPageBreak/>
        <w:t>Issue 3</w:t>
      </w:r>
    </w:p>
    <w:p w:rsidR="004A1F65" w:rsidRPr="00364096" w:rsidRDefault="00C7694E" w:rsidP="008D57E9">
      <w:pPr>
        <w:ind w:left="720"/>
      </w:pPr>
      <w:r>
        <w:rPr>
          <w:i/>
        </w:rPr>
        <w:t>‘</w:t>
      </w:r>
      <w:r w:rsidR="004A1F65" w:rsidRPr="008D57E9">
        <w:rPr>
          <w:i/>
        </w:rPr>
        <w:t xml:space="preserve">The proposed restrictions on its usage may not adequately </w:t>
      </w:r>
      <w:proofErr w:type="gramStart"/>
      <w:r w:rsidR="004A1F65" w:rsidRPr="008D57E9">
        <w:rPr>
          <w:i/>
        </w:rPr>
        <w:t>mitigate</w:t>
      </w:r>
      <w:proofErr w:type="gramEnd"/>
      <w:r w:rsidR="004A1F65" w:rsidRPr="008D57E9">
        <w:rPr>
          <w:i/>
        </w:rPr>
        <w:t xml:space="preserve"> against the development of pancreatitis</w:t>
      </w:r>
      <w:r>
        <w:rPr>
          <w:i/>
        </w:rPr>
        <w:t>.’</w:t>
      </w:r>
    </w:p>
    <w:p w:rsidR="004A1F65" w:rsidRDefault="004A1F65" w:rsidP="004A1F65">
      <w:r>
        <w:t xml:space="preserve">The </w:t>
      </w:r>
      <w:r w:rsidR="00D24E9A">
        <w:t>sponsor</w:t>
      </w:r>
      <w:r>
        <w:t xml:space="preserve"> uses the same </w:t>
      </w:r>
      <w:r w:rsidR="00CE0FAB">
        <w:t xml:space="preserve">sponsor’s </w:t>
      </w:r>
      <w:r>
        <w:t>Safety Database from 27 May 2015 to 31</w:t>
      </w:r>
      <w:r w:rsidR="00C7694E">
        <w:t> </w:t>
      </w:r>
      <w:r>
        <w:t>August</w:t>
      </w:r>
      <w:r w:rsidR="00C7694E">
        <w:t> </w:t>
      </w:r>
      <w:r>
        <w:t xml:space="preserve">2017 to show, without statistical analysis, that the number of cases of pancreatitis has </w:t>
      </w:r>
      <w:r w:rsidR="00141C8C">
        <w:t>‘</w:t>
      </w:r>
      <w:r>
        <w:t>significantly decreased</w:t>
      </w:r>
      <w:r w:rsidR="00141C8C">
        <w:t>’</w:t>
      </w:r>
      <w:r>
        <w:t xml:space="preserve"> since the changes to the US</w:t>
      </w:r>
      <w:r w:rsidR="00C7694E">
        <w:t xml:space="preserve">PI </w:t>
      </w:r>
      <w:r>
        <w:t>on 21 April 2017.</w:t>
      </w:r>
      <w:r w:rsidR="008504A0">
        <w:t xml:space="preserve"> </w:t>
      </w:r>
      <w:r>
        <w:t xml:space="preserve">They reported 28 cases of pancreatitis from 21 April to 31 August 2017, 18 of whom had an intact gallbladder (8), or in whom the gallbladder status was unknown (10 cases). Again, the argument was made that these cases were considered </w:t>
      </w:r>
      <w:r w:rsidR="00141C8C">
        <w:t>‘</w:t>
      </w:r>
      <w:r>
        <w:t>mild</w:t>
      </w:r>
      <w:r w:rsidR="00141C8C">
        <w:t>’</w:t>
      </w:r>
      <w:r>
        <w:t>.</w:t>
      </w:r>
      <w:r w:rsidR="008504A0">
        <w:t xml:space="preserve"> </w:t>
      </w:r>
      <w:r>
        <w:t xml:space="preserve">The </w:t>
      </w:r>
      <w:r w:rsidR="00D24E9A">
        <w:t>sponsor</w:t>
      </w:r>
      <w:r>
        <w:t xml:space="preserve"> reports that there have been no cases of pancreatitis reported in Canada or the EU since the product launch in April 2017 but does not provide information about the extent of its use in those jurisdictions.</w:t>
      </w:r>
    </w:p>
    <w:p w:rsidR="004A1F65" w:rsidRDefault="004A1F65" w:rsidP="004A1F65">
      <w:r>
        <w:t xml:space="preserve">The evidence provided in the </w:t>
      </w:r>
      <w:r w:rsidR="00D24E9A">
        <w:t>sponsor’s</w:t>
      </w:r>
      <w:r>
        <w:t xml:space="preserve"> post-ACM response shows that patients, with and without gallbladders, exposed to eluxadoline, are still developing pancreatitis even after the introduction of the new US</w:t>
      </w:r>
      <w:r w:rsidR="00D24E9A">
        <w:t>PI</w:t>
      </w:r>
      <w:r>
        <w:t>.</w:t>
      </w:r>
      <w:r w:rsidR="008504A0">
        <w:t xml:space="preserve"> </w:t>
      </w:r>
      <w:r>
        <w:t>Whether or not the risks are reduced by the recommended contraindications remains to be seen.</w:t>
      </w:r>
    </w:p>
    <w:p w:rsidR="004A1F65" w:rsidRDefault="004A1F65" w:rsidP="008D57E9">
      <w:pPr>
        <w:pStyle w:val="Heading5"/>
      </w:pPr>
      <w:r>
        <w:t>Responses of key opinion leaders</w:t>
      </w:r>
    </w:p>
    <w:p w:rsidR="004A1F65" w:rsidRDefault="004A1F65" w:rsidP="004A1F65">
      <w:r>
        <w:t xml:space="preserve">The key opinion leaders argue for the need for effective therapies for the treatment of </w:t>
      </w:r>
      <w:r w:rsidR="00C7694E">
        <w:t>IBS</w:t>
      </w:r>
      <w:r>
        <w:t>.</w:t>
      </w:r>
      <w:r w:rsidR="008504A0">
        <w:t xml:space="preserve"> </w:t>
      </w:r>
      <w:r>
        <w:t xml:space="preserve">Neither </w:t>
      </w:r>
      <w:r w:rsidR="00D24E9A">
        <w:t xml:space="preserve">of the </w:t>
      </w:r>
      <w:r w:rsidR="00C7694E">
        <w:t xml:space="preserve">2 </w:t>
      </w:r>
      <w:r>
        <w:t>dispute</w:t>
      </w:r>
      <w:r w:rsidR="00D24E9A">
        <w:t>s</w:t>
      </w:r>
      <w:r>
        <w:t xml:space="preserve"> the observation that there is an increased risk of pancreatitis.</w:t>
      </w:r>
      <w:r w:rsidR="008504A0">
        <w:t xml:space="preserve"> </w:t>
      </w:r>
      <w:r>
        <w:t>Both arg</w:t>
      </w:r>
      <w:r w:rsidR="00D24E9A">
        <w:t>ue that the risk will be minimis</w:t>
      </w:r>
      <w:r>
        <w:t>ed by appropriate usage. The argument that other agents induce pancreatitis is not pertinent to the registration of eluxadoline.</w:t>
      </w:r>
      <w:r w:rsidR="008504A0">
        <w:t xml:space="preserve"> </w:t>
      </w:r>
      <w:r>
        <w:t>The argument that azathioprine would not be accepted now as a new agent highlights the difficulties in deregistering an agent once approved.</w:t>
      </w:r>
      <w:r w:rsidR="008504A0">
        <w:t xml:space="preserve"> </w:t>
      </w:r>
      <w:r>
        <w:t>The mechanism of drug-induced pancreatitis caused by azathioprine is unknown, highlighting the fact that there are other mechanisms by which drugs can induce pancreatitis other than by sphincter of Oddi dysfunction or alcohol ingestion.</w:t>
      </w:r>
    </w:p>
    <w:p w:rsidR="00C7694E" w:rsidRDefault="004A1F65" w:rsidP="004A1F65">
      <w:r>
        <w:t>The key issue is:</w:t>
      </w:r>
    </w:p>
    <w:p w:rsidR="004A1F65" w:rsidRPr="008D57E9" w:rsidRDefault="00C7694E" w:rsidP="008D57E9">
      <w:pPr>
        <w:ind w:left="720"/>
        <w:rPr>
          <w:i/>
        </w:rPr>
      </w:pPr>
      <w:r w:rsidRPr="008D57E9">
        <w:rPr>
          <w:i/>
        </w:rPr>
        <w:t>‘W</w:t>
      </w:r>
      <w:r w:rsidR="004A1F65" w:rsidRPr="008D57E9">
        <w:rPr>
          <w:i/>
        </w:rPr>
        <w:t>hat is an acceptable risk of pancreatitis in a condition that is not associated with end-organ damage or mortality?</w:t>
      </w:r>
      <w:r w:rsidRPr="008D57E9">
        <w:rPr>
          <w:i/>
        </w:rPr>
        <w:t>’</w:t>
      </w:r>
    </w:p>
    <w:p w:rsidR="004A1F65" w:rsidRDefault="004A1F65" w:rsidP="004A1F65">
      <w:r>
        <w:t xml:space="preserve">The advice of the ACM was that any increased risk of pancreatitis was unacceptable given the modest benefits of eluxadoline for the treatment of diarrhoea-predominant </w:t>
      </w:r>
      <w:r w:rsidR="00AD25FC">
        <w:t>IBS.</w:t>
      </w:r>
    </w:p>
    <w:p w:rsidR="008E7846" w:rsidRDefault="008E7846" w:rsidP="008E7846">
      <w:pPr>
        <w:pStyle w:val="Heading3"/>
      </w:pPr>
      <w:bookmarkStart w:id="135" w:name="_Toc510009731"/>
      <w:r>
        <w:t>Outcome</w:t>
      </w:r>
      <w:bookmarkEnd w:id="131"/>
      <w:bookmarkEnd w:id="132"/>
      <w:bookmarkEnd w:id="135"/>
    </w:p>
    <w:p w:rsidR="008B1C5F" w:rsidRPr="008B1C5F" w:rsidRDefault="008B1C5F" w:rsidP="008B1C5F">
      <w:r>
        <w:t xml:space="preserve">The sponsor withdrew their application </w:t>
      </w:r>
      <w:r w:rsidR="00DF6BE1">
        <w:t xml:space="preserve">on the 24 November 2017, </w:t>
      </w:r>
      <w:r>
        <w:t>prior to a decision being made by the TGA.</w:t>
      </w:r>
    </w:p>
    <w:p w:rsidR="00C80137" w:rsidRDefault="00C80137" w:rsidP="00C80137">
      <w:pPr>
        <w:pStyle w:val="Heading2"/>
        <w:rPr>
          <w:lang w:eastAsia="en-AU"/>
        </w:rPr>
      </w:pPr>
      <w:bookmarkStart w:id="136" w:name="_Toc510009733"/>
      <w:proofErr w:type="gramStart"/>
      <w:r>
        <w:rPr>
          <w:lang w:eastAsia="en-AU"/>
        </w:rPr>
        <w:t xml:space="preserve">Attachment </w:t>
      </w:r>
      <w:r w:rsidR="00D87A8A">
        <w:rPr>
          <w:lang w:eastAsia="en-AU"/>
        </w:rPr>
        <w:t>1</w:t>
      </w:r>
      <w:r>
        <w:rPr>
          <w:lang w:eastAsia="en-AU"/>
        </w:rPr>
        <w:t>.</w:t>
      </w:r>
      <w:proofErr w:type="gramEnd"/>
      <w:r w:rsidR="00A80B5B">
        <w:rPr>
          <w:lang w:eastAsia="en-AU"/>
        </w:rPr>
        <w:t xml:space="preserve"> </w:t>
      </w:r>
      <w:r>
        <w:rPr>
          <w:lang w:eastAsia="en-AU"/>
        </w:rPr>
        <w:t>Extract from the Clinical Evaluation Report</w:t>
      </w:r>
      <w:bookmarkEnd w:id="136"/>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6"/>
          <w:headerReference w:type="default" r:id="rId37"/>
          <w:headerReference w:type="first" r:id="rId38"/>
          <w:footerReference w:type="first" r:id="rId3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0" w:history="1">
              <w:r w:rsidRPr="004C239D">
                <w:rPr>
                  <w:rStyle w:val="Hyperlink"/>
                </w:rPr>
                <w:t>info@tga.gov.au</w:t>
              </w:r>
            </w:hyperlink>
            <w:r w:rsidR="00785F4E">
              <w:t xml:space="preserve"> </w:t>
            </w:r>
            <w:r w:rsidRPr="00487162">
              <w:t>Phone: 1800 020 653</w:t>
            </w:r>
            <w:r w:rsidR="00785F4E">
              <w:t xml:space="preserve"> </w:t>
            </w:r>
            <w:r w:rsidRPr="00487162">
              <w:t>Fax: 02 6232 8605</w:t>
            </w:r>
          </w:p>
          <w:p w:rsidR="001C32CD" w:rsidRPr="004C239D" w:rsidRDefault="00444545" w:rsidP="00A05FA4">
            <w:pPr>
              <w:pStyle w:val="Address"/>
              <w:spacing w:line="260" w:lineRule="atLeast"/>
              <w:rPr>
                <w:b/>
                <w:color w:val="0000FF"/>
                <w:u w:val="single"/>
              </w:rPr>
            </w:pPr>
            <w:hyperlink r:id="rId41"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2"/>
      <w:headerReference w:type="default" r:id="rId43"/>
      <w:footerReference w:type="default" r:id="rId44"/>
      <w:headerReference w:type="first" r:id="rId45"/>
      <w:footerReference w:type="first" r:id="rId46"/>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01A41B" w15:done="0"/>
  <w15:commentEx w15:paraId="0A01996C" w15:done="0"/>
  <w15:commentEx w15:paraId="7A677037" w15:done="0"/>
  <w15:commentEx w15:paraId="6D48DFB8" w15:done="0"/>
  <w15:commentEx w15:paraId="1FBB8BDC" w15:done="0"/>
  <w15:commentEx w15:paraId="78F12DB1" w15:done="0"/>
  <w15:commentEx w15:paraId="5772D709" w15:done="0"/>
  <w15:commentEx w15:paraId="6BB0584C" w15:done="0"/>
  <w15:commentEx w15:paraId="67384841" w15:done="0"/>
  <w15:commentEx w15:paraId="7538CE23" w15:done="0"/>
  <w15:commentEx w15:paraId="1F48FD78" w15:done="0"/>
  <w15:commentEx w15:paraId="4E3095AC" w15:done="0"/>
  <w15:commentEx w15:paraId="38EAC05A" w15:done="0"/>
  <w15:commentEx w15:paraId="20E20082" w15:done="0"/>
  <w15:commentEx w15:paraId="193A3D77" w15:done="0"/>
  <w15:commentEx w15:paraId="6A54C795" w15:done="0"/>
  <w15:commentEx w15:paraId="517998A9" w15:done="0"/>
  <w15:commentEx w15:paraId="40E27D10" w15:done="0"/>
  <w15:commentEx w15:paraId="4BE49758" w15:done="0"/>
  <w15:commentEx w15:paraId="1B8EDE37" w15:done="0"/>
  <w15:commentEx w15:paraId="52EFB640" w15:done="0"/>
  <w15:commentEx w15:paraId="512FA006" w15:done="0"/>
  <w15:commentEx w15:paraId="2B1AD9CD" w15:done="0"/>
  <w15:commentEx w15:paraId="40225C39" w15:done="0"/>
  <w15:commentEx w15:paraId="0138CCE1" w15:done="0"/>
  <w15:commentEx w15:paraId="7B1882DD" w15:done="0"/>
  <w15:commentEx w15:paraId="76616227" w15:done="0"/>
  <w15:commentEx w15:paraId="10FF5FF1" w15:done="0"/>
  <w15:commentEx w15:paraId="30105813" w15:done="0"/>
  <w15:commentEx w15:paraId="7E0F9B3A" w15:done="0"/>
  <w15:commentEx w15:paraId="37C30777" w15:done="0"/>
  <w15:commentEx w15:paraId="500242C3" w15:done="0"/>
  <w15:commentEx w15:paraId="01C80737" w15:done="0"/>
  <w15:commentEx w15:paraId="71C96A52" w15:done="0"/>
  <w15:commentEx w15:paraId="435C79B2" w15:done="0"/>
  <w15:commentEx w15:paraId="5700C579" w15:done="0"/>
  <w15:commentEx w15:paraId="53A4A346" w15:done="0"/>
  <w15:commentEx w15:paraId="47D37A1C" w15:done="0"/>
  <w15:commentEx w15:paraId="4A1542D2" w15:done="0"/>
  <w15:commentEx w15:paraId="5648390B" w15:done="0"/>
  <w15:commentEx w15:paraId="6E1898FB" w15:done="0"/>
  <w15:commentEx w15:paraId="40B1CC3F" w15:done="0"/>
  <w15:commentEx w15:paraId="7FF5587C" w15:done="0"/>
  <w15:commentEx w15:paraId="025097D1" w15:done="0"/>
  <w15:commentEx w15:paraId="68DCEFAF" w15:done="0"/>
  <w15:commentEx w15:paraId="45049B46" w15:done="0"/>
  <w15:commentEx w15:paraId="7EE406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922B25" w16cid:durableId="1E6F70DD"/>
  <w16cid:commentId w16cid:paraId="1AFF2FF4" w16cid:durableId="1E81A7D9"/>
  <w16cid:commentId w16cid:paraId="18829926" w16cid:durableId="1E708F0F"/>
  <w16cid:commentId w16cid:paraId="584CF8EE" w16cid:durableId="1E808311"/>
  <w16cid:commentId w16cid:paraId="0C5BF387" w16cid:durableId="1E808592"/>
  <w16cid:commentId w16cid:paraId="225EDFB5" w16cid:durableId="1E70898E"/>
  <w16cid:commentId w16cid:paraId="7DF73549" w16cid:durableId="1E7089FA"/>
  <w16cid:commentId w16cid:paraId="6BE02715" w16cid:durableId="1E80871A"/>
  <w16cid:commentId w16cid:paraId="45F723D2" w16cid:durableId="1E81AD9E"/>
  <w16cid:commentId w16cid:paraId="4F6EA952" w16cid:durableId="1E70B9A7"/>
  <w16cid:commentId w16cid:paraId="1D464A55" w16cid:durableId="1E70A092"/>
  <w16cid:commentId w16cid:paraId="76A75846" w16cid:durableId="1E70BABB"/>
  <w16cid:commentId w16cid:paraId="760921CE" w16cid:durableId="1E70D9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405" w:rsidRDefault="00D21405" w:rsidP="00C40A36">
      <w:pPr>
        <w:spacing w:after="0"/>
      </w:pPr>
      <w:r>
        <w:separator/>
      </w:r>
    </w:p>
  </w:endnote>
  <w:endnote w:type="continuationSeparator" w:id="0">
    <w:p w:rsidR="00D21405" w:rsidRDefault="00D2140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vPS6F00">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B46" w:rsidRDefault="00F81B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21405" w:rsidRPr="00487162" w:rsidTr="00DB750B">
      <w:trPr>
        <w:trHeight w:val="269"/>
      </w:trPr>
      <w:tc>
        <w:tcPr>
          <w:tcW w:w="7371" w:type="dxa"/>
          <w:tcMar>
            <w:top w:w="142" w:type="dxa"/>
            <w:bottom w:w="0" w:type="dxa"/>
          </w:tcMar>
        </w:tcPr>
        <w:p w:rsidR="00D21405" w:rsidRPr="00487162" w:rsidRDefault="00D21405" w:rsidP="008D57E9">
          <w:pPr>
            <w:pStyle w:val="Footer"/>
          </w:pPr>
          <w:r w:rsidRPr="00487162">
            <w:t>AusPA</w:t>
          </w:r>
          <w:r>
            <w:t xml:space="preserve">R </w:t>
          </w:r>
          <w:r w:rsidRPr="009D4C76">
            <w:t xml:space="preserve">Viberzi Eluxadoline Allergen Australia Pty Ltd </w:t>
          </w:r>
          <w:r>
            <w:t>PM-2016</w:t>
          </w:r>
          <w:r w:rsidRPr="00487162">
            <w:t>-</w:t>
          </w:r>
          <w:r>
            <w:t>02313-1-1</w:t>
          </w:r>
          <w:r>
            <w:br/>
          </w:r>
          <w:r w:rsidR="008D57E9">
            <w:t>Final 16 May 2018</w:t>
          </w:r>
        </w:p>
      </w:tc>
      <w:tc>
        <w:tcPr>
          <w:tcW w:w="1490" w:type="dxa"/>
          <w:tcMar>
            <w:top w:w="142" w:type="dxa"/>
            <w:bottom w:w="0" w:type="dxa"/>
          </w:tcMar>
        </w:tcPr>
        <w:p w:rsidR="00D21405" w:rsidRPr="00487162" w:rsidRDefault="00D21405" w:rsidP="00DB750B">
          <w:pPr>
            <w:pStyle w:val="Footer"/>
            <w:jc w:val="right"/>
          </w:pPr>
          <w:r w:rsidRPr="00487162">
            <w:t xml:space="preserve">Page </w:t>
          </w:r>
          <w:r>
            <w:fldChar w:fldCharType="begin"/>
          </w:r>
          <w:r>
            <w:instrText xml:space="preserve"> PAGE  \* Arabic </w:instrText>
          </w:r>
          <w:r>
            <w:fldChar w:fldCharType="separate"/>
          </w:r>
          <w:r w:rsidR="00444545">
            <w:rPr>
              <w:noProof/>
            </w:rPr>
            <w:t>55</w:t>
          </w:r>
          <w:r>
            <w:fldChar w:fldCharType="end"/>
          </w:r>
          <w:r w:rsidRPr="00487162">
            <w:t xml:space="preserve"> of </w:t>
          </w:r>
          <w:fldSimple w:instr=" NUMPAGES  \* Arabic ">
            <w:r w:rsidR="00444545">
              <w:rPr>
                <w:noProof/>
              </w:rPr>
              <w:t>67</w:t>
            </w:r>
          </w:fldSimple>
        </w:p>
      </w:tc>
    </w:tr>
  </w:tbl>
  <w:p w:rsidR="00D21405" w:rsidRDefault="00D21405"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B46" w:rsidRDefault="00F81B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21405" w:rsidRPr="00487162" w:rsidTr="00E45619">
      <w:trPr>
        <w:trHeight w:val="269"/>
      </w:trPr>
      <w:tc>
        <w:tcPr>
          <w:tcW w:w="4519" w:type="dxa"/>
          <w:tcBorders>
            <w:top w:val="single" w:sz="4" w:space="0" w:color="auto"/>
          </w:tcBorders>
          <w:tcMar>
            <w:top w:w="142" w:type="dxa"/>
            <w:bottom w:w="0" w:type="dxa"/>
          </w:tcMar>
        </w:tcPr>
        <w:p w:rsidR="00D21405" w:rsidRPr="00487162" w:rsidRDefault="00D21405" w:rsidP="00FE1DEE">
          <w:pPr>
            <w:pStyle w:val="Footer"/>
          </w:pPr>
          <w:r w:rsidRPr="00487162">
            <w:t>Document title, Part #, Section # - Section title</w:t>
          </w:r>
        </w:p>
        <w:p w:rsidR="00D21405" w:rsidRPr="00487162" w:rsidRDefault="00D21405" w:rsidP="00FE1DEE">
          <w:pPr>
            <w:pStyle w:val="Footer"/>
          </w:pPr>
          <w:r w:rsidRPr="00487162">
            <w:t>V1.0 October 2010</w:t>
          </w:r>
        </w:p>
      </w:tc>
      <w:tc>
        <w:tcPr>
          <w:tcW w:w="4342" w:type="dxa"/>
          <w:tcBorders>
            <w:top w:val="single" w:sz="4" w:space="0" w:color="auto"/>
          </w:tcBorders>
          <w:tcMar>
            <w:top w:w="142" w:type="dxa"/>
            <w:bottom w:w="0" w:type="dxa"/>
          </w:tcMar>
        </w:tcPr>
        <w:p w:rsidR="00D21405" w:rsidRPr="00487162" w:rsidRDefault="00D2140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sidR="008D57E9">
              <w:rPr>
                <w:noProof/>
              </w:rPr>
              <w:t>1</w:t>
            </w:r>
          </w:fldSimple>
        </w:p>
      </w:tc>
    </w:tr>
  </w:tbl>
  <w:p w:rsidR="00D21405" w:rsidRDefault="00D21405" w:rsidP="005F169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05" w:rsidRPr="001C32CD" w:rsidRDefault="00D21405"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21405" w:rsidTr="0010601F">
      <w:trPr>
        <w:trHeight w:val="108"/>
      </w:trPr>
      <w:tc>
        <w:tcPr>
          <w:tcW w:w="8875" w:type="dxa"/>
          <w:gridSpan w:val="2"/>
          <w:tcBorders>
            <w:bottom w:val="single" w:sz="4" w:space="0" w:color="auto"/>
          </w:tcBorders>
          <w:tcMar>
            <w:right w:w="284" w:type="dxa"/>
          </w:tcMar>
        </w:tcPr>
        <w:p w:rsidR="00D21405" w:rsidRDefault="00D21405" w:rsidP="006E08B3">
          <w:pPr>
            <w:pStyle w:val="Heading3"/>
          </w:pPr>
          <w:r>
            <w:t>Copyright</w:t>
          </w:r>
        </w:p>
        <w:p w:rsidR="00D21405" w:rsidRDefault="00D21405" w:rsidP="006E08B3">
          <w:r>
            <w:rPr>
              <w:rFonts w:cs="Arial"/>
            </w:rPr>
            <w:t>©</w:t>
          </w:r>
          <w:r>
            <w:t xml:space="preserve"> Commonwealth of Australia [add year]</w:t>
          </w:r>
        </w:p>
        <w:p w:rsidR="00D21405" w:rsidRDefault="00D21405" w:rsidP="006E08B3"/>
        <w:p w:rsidR="00D21405" w:rsidRDefault="00D2140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21405" w:rsidRDefault="00D21405" w:rsidP="006E08B3"/>
        <w:p w:rsidR="00D21405" w:rsidRDefault="00D21405" w:rsidP="006E08B3">
          <w:pPr>
            <w:pStyle w:val="Heading3"/>
          </w:pPr>
          <w:r>
            <w:t>Confidentiality</w:t>
          </w:r>
        </w:p>
        <w:p w:rsidR="00D21405" w:rsidRDefault="00D2140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21405" w:rsidRDefault="00D21405" w:rsidP="006E08B3"/>
        <w:p w:rsidR="00D21405" w:rsidRDefault="00D21405" w:rsidP="006E08B3">
          <w:r>
            <w:t>For submission made by individuals, all personal details, other than your name, will be removed from your submission before it is published on the TGA’s Internet site.</w:t>
          </w:r>
        </w:p>
        <w:p w:rsidR="00D21405" w:rsidRDefault="00D21405" w:rsidP="006E08B3"/>
        <w:p w:rsidR="00D21405" w:rsidRDefault="00D21405" w:rsidP="006E08B3">
          <w:r>
            <w:t>In addition, a list of parties making submissions will be published. If you do not wish to be identified with your submission you must specifically request this in the space provided ib the submission coversheet.</w:t>
          </w:r>
        </w:p>
      </w:tc>
    </w:tr>
    <w:tr w:rsidR="00D21405" w:rsidTr="0010601F">
      <w:trPr>
        <w:trHeight w:val="417"/>
      </w:trPr>
      <w:tc>
        <w:tcPr>
          <w:tcW w:w="4519" w:type="dxa"/>
          <w:tcBorders>
            <w:top w:val="single" w:sz="4" w:space="0" w:color="auto"/>
          </w:tcBorders>
          <w:tcMar>
            <w:top w:w="142" w:type="dxa"/>
            <w:bottom w:w="0" w:type="dxa"/>
          </w:tcMar>
        </w:tcPr>
        <w:p w:rsidR="00D21405" w:rsidRDefault="00D21405" w:rsidP="006E08B3">
          <w:r>
            <w:t>Document title, Part #, Section # - Section title</w:t>
          </w:r>
        </w:p>
        <w:p w:rsidR="00D21405" w:rsidRDefault="00D21405" w:rsidP="006E08B3">
          <w:r>
            <w:t>V1.0 October 2010</w:t>
          </w:r>
        </w:p>
      </w:tc>
      <w:tc>
        <w:tcPr>
          <w:tcW w:w="4356" w:type="dxa"/>
          <w:tcBorders>
            <w:top w:val="single" w:sz="4" w:space="0" w:color="auto"/>
          </w:tcBorders>
          <w:tcMar>
            <w:top w:w="142" w:type="dxa"/>
            <w:bottom w:w="0" w:type="dxa"/>
          </w:tcMar>
        </w:tcPr>
        <w:p w:rsidR="00D21405" w:rsidRDefault="00D2140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sidR="008D57E9">
              <w:rPr>
                <w:noProof/>
              </w:rPr>
              <w:t>1</w:t>
            </w:r>
          </w:fldSimple>
          <w:r>
            <w:t xml:space="preserve"> </w:t>
          </w:r>
        </w:p>
      </w:tc>
    </w:tr>
  </w:tbl>
  <w:p w:rsidR="00D21405" w:rsidRDefault="00D214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405" w:rsidRDefault="00D21405" w:rsidP="00C40A36">
      <w:pPr>
        <w:spacing w:after="0"/>
      </w:pPr>
      <w:r>
        <w:separator/>
      </w:r>
    </w:p>
  </w:footnote>
  <w:footnote w:type="continuationSeparator" w:id="0">
    <w:p w:rsidR="00D21405" w:rsidRDefault="00D21405" w:rsidP="00C40A36">
      <w:pPr>
        <w:spacing w:after="0"/>
      </w:pPr>
      <w:r>
        <w:continuationSeparator/>
      </w:r>
    </w:p>
  </w:footnote>
  <w:footnote w:id="1">
    <w:p w:rsidR="00D21405" w:rsidRPr="00531541" w:rsidRDefault="00D21405" w:rsidP="00CE7DFD">
      <w:pPr>
        <w:pStyle w:val="FootnoteText"/>
        <w:ind w:left="142" w:hanging="142"/>
        <w:rPr>
          <w:lang w:val="en-US"/>
        </w:rPr>
      </w:pPr>
      <w:r>
        <w:rPr>
          <w:rStyle w:val="FootnoteReference"/>
        </w:rPr>
        <w:footnoteRef/>
      </w:r>
      <w:r>
        <w:t xml:space="preserve"> </w:t>
      </w:r>
      <w:proofErr w:type="gramStart"/>
      <w:r>
        <w:t>Drossman D.</w:t>
      </w:r>
      <w:proofErr w:type="gramEnd"/>
      <w:r>
        <w:t xml:space="preserve"> </w:t>
      </w:r>
      <w:proofErr w:type="gramStart"/>
      <w:r>
        <w:t>The functional gastrointestinal disorders and the Rome III process.</w:t>
      </w:r>
      <w:proofErr w:type="gramEnd"/>
      <w:r>
        <w:t xml:space="preserve"> </w:t>
      </w:r>
      <w:proofErr w:type="gramStart"/>
      <w:r>
        <w:t>Gastroenterology.</w:t>
      </w:r>
      <w:proofErr w:type="gramEnd"/>
      <w:r>
        <w:t xml:space="preserve"> 2006 Apr</w:t>
      </w:r>
      <w:proofErr w:type="gramStart"/>
      <w:r>
        <w:t>;130</w:t>
      </w:r>
      <w:proofErr w:type="gramEnd"/>
      <w:r>
        <w:t>(5):1377-1390.</w:t>
      </w:r>
    </w:p>
  </w:footnote>
  <w:footnote w:id="2">
    <w:p w:rsidR="00D21405" w:rsidRPr="00584325" w:rsidRDefault="00D21405" w:rsidP="00CE7DFD">
      <w:pPr>
        <w:pStyle w:val="FootnoteText"/>
        <w:ind w:left="142" w:hanging="142"/>
        <w:rPr>
          <w:lang w:val="en-US"/>
        </w:rPr>
      </w:pPr>
      <w:r>
        <w:rPr>
          <w:rStyle w:val="FootnoteReference"/>
        </w:rPr>
        <w:footnoteRef/>
      </w:r>
      <w:r>
        <w:t xml:space="preserve"> </w:t>
      </w:r>
      <w:r w:rsidRPr="00584325">
        <w:t>CPMP/EWP/785/97 Rev. 1</w:t>
      </w:r>
      <w:r>
        <w:t xml:space="preserve"> </w:t>
      </w:r>
      <w:r w:rsidRPr="00584325">
        <w:t>Guideline on the evaluation of medicinal products for 4 the treatment of irritable bowel syndrome</w:t>
      </w:r>
    </w:p>
  </w:footnote>
  <w:footnote w:id="3">
    <w:p w:rsidR="00D21405" w:rsidRPr="00C92BCC" w:rsidRDefault="00D21405" w:rsidP="009E405F">
      <w:pPr>
        <w:pStyle w:val="FootnoteText"/>
        <w:rPr>
          <w:lang w:val="en-US"/>
        </w:rPr>
      </w:pPr>
      <w:r>
        <w:rPr>
          <w:rStyle w:val="FootnoteReference"/>
        </w:rPr>
        <w:footnoteRef/>
      </w:r>
      <w:r>
        <w:t xml:space="preserve"> </w:t>
      </w:r>
      <w:proofErr w:type="gramStart"/>
      <w:r>
        <w:t>Hovdenak N. Loperamide treatment of the irritable bowel syndrome.</w:t>
      </w:r>
      <w:proofErr w:type="gramEnd"/>
      <w:r>
        <w:t xml:space="preserve"> Scand J Gastroenterol Suppl. 1987</w:t>
      </w:r>
      <w:proofErr w:type="gramStart"/>
      <w:r>
        <w:t>;130:81</w:t>
      </w:r>
      <w:proofErr w:type="gramEnd"/>
      <w:r>
        <w:t>-84.</w:t>
      </w:r>
      <w:r w:rsidDel="001D6407">
        <w:t xml:space="preserve"> </w:t>
      </w:r>
    </w:p>
  </w:footnote>
  <w:footnote w:id="4">
    <w:p w:rsidR="00D21405" w:rsidRPr="009E405F" w:rsidRDefault="00D21405" w:rsidP="009E405F">
      <w:pPr>
        <w:pStyle w:val="FootnoteText"/>
        <w:ind w:left="142" w:hanging="142"/>
        <w:rPr>
          <w:lang w:val="en-US"/>
        </w:rPr>
      </w:pPr>
      <w:r>
        <w:rPr>
          <w:rStyle w:val="FootnoteReference"/>
        </w:rPr>
        <w:footnoteRef/>
      </w:r>
      <w:r>
        <w:t xml:space="preserve"> </w:t>
      </w:r>
      <w:r w:rsidRPr="00C92BCC">
        <w:rPr>
          <w:lang w:val="en-US"/>
        </w:rPr>
        <w:t xml:space="preserve">Lavo B, </w:t>
      </w:r>
      <w:r>
        <w:rPr>
          <w:lang w:val="en-US"/>
        </w:rPr>
        <w:t>et al</w:t>
      </w:r>
      <w:proofErr w:type="gramStart"/>
      <w:r>
        <w:rPr>
          <w:lang w:val="en-US"/>
        </w:rPr>
        <w:t>.</w:t>
      </w:r>
      <w:r w:rsidRPr="00C92BCC">
        <w:rPr>
          <w:lang w:val="en-US"/>
        </w:rPr>
        <w:t>.</w:t>
      </w:r>
      <w:proofErr w:type="gramEnd"/>
      <w:r w:rsidRPr="00C92BCC">
        <w:rPr>
          <w:lang w:val="en-US"/>
        </w:rPr>
        <w:t xml:space="preserve"> Loperamide in treatment of irritable bowel syndrome</w:t>
      </w:r>
      <w:r>
        <w:rPr>
          <w:lang w:val="en-US"/>
        </w:rPr>
        <w:t>;</w:t>
      </w:r>
      <w:r w:rsidRPr="00C92BCC">
        <w:rPr>
          <w:lang w:val="en-US"/>
        </w:rPr>
        <w:t xml:space="preserve"> a</w:t>
      </w:r>
      <w:r>
        <w:rPr>
          <w:lang w:val="en-US"/>
        </w:rPr>
        <w:t xml:space="preserve"> </w:t>
      </w:r>
      <w:r w:rsidRPr="00C92BCC">
        <w:rPr>
          <w:lang w:val="en-US"/>
        </w:rPr>
        <w:t>double-blind placebo controlled study. Scand J Gastroenterol Suppl. 1987</w:t>
      </w:r>
      <w:proofErr w:type="gramStart"/>
      <w:r w:rsidRPr="00C92BCC">
        <w:rPr>
          <w:lang w:val="en-US"/>
        </w:rPr>
        <w:t>;130:77</w:t>
      </w:r>
      <w:proofErr w:type="gramEnd"/>
      <w:r w:rsidRPr="00C92BCC">
        <w:rPr>
          <w:lang w:val="en-US"/>
        </w:rPr>
        <w:t>-80.</w:t>
      </w:r>
    </w:p>
  </w:footnote>
  <w:footnote w:id="5">
    <w:p w:rsidR="00D21405" w:rsidRPr="009E405F" w:rsidRDefault="00D21405">
      <w:pPr>
        <w:pStyle w:val="FootnoteText"/>
        <w:rPr>
          <w:lang w:val="en-GB"/>
        </w:rPr>
      </w:pPr>
      <w:r>
        <w:rPr>
          <w:rStyle w:val="FootnoteReference"/>
        </w:rPr>
        <w:footnoteRef/>
      </w:r>
      <w:r>
        <w:t xml:space="preserve"> </w:t>
      </w:r>
      <w:proofErr w:type="gramStart"/>
      <w:r w:rsidRPr="00C92BCC">
        <w:rPr>
          <w:lang w:val="en-US"/>
        </w:rPr>
        <w:t>Talley N. Pharmacologic therapy for the irritable bowel syndrome.</w:t>
      </w:r>
      <w:proofErr w:type="gramEnd"/>
      <w:r w:rsidRPr="00C92BCC">
        <w:rPr>
          <w:lang w:val="en-US"/>
        </w:rPr>
        <w:t xml:space="preserve"> </w:t>
      </w:r>
      <w:proofErr w:type="gramStart"/>
      <w:r w:rsidRPr="00C92BCC">
        <w:rPr>
          <w:lang w:val="en-US"/>
        </w:rPr>
        <w:t>Am J Gastroenterol.</w:t>
      </w:r>
      <w:proofErr w:type="gramEnd"/>
      <w:r w:rsidRPr="00C92BCC">
        <w:rPr>
          <w:lang w:val="en-US"/>
        </w:rPr>
        <w:t xml:space="preserve"> 2003</w:t>
      </w:r>
      <w:r>
        <w:rPr>
          <w:lang w:val="en-US"/>
        </w:rPr>
        <w:t xml:space="preserve"> </w:t>
      </w:r>
      <w:r w:rsidRPr="00C92BCC">
        <w:rPr>
          <w:lang w:val="en-US"/>
        </w:rPr>
        <w:t>Apr</w:t>
      </w:r>
      <w:proofErr w:type="gramStart"/>
      <w:r w:rsidRPr="00C92BCC">
        <w:rPr>
          <w:lang w:val="en-US"/>
        </w:rPr>
        <w:t>;98</w:t>
      </w:r>
      <w:proofErr w:type="gramEnd"/>
      <w:r w:rsidRPr="00C92BCC">
        <w:rPr>
          <w:lang w:val="en-US"/>
        </w:rPr>
        <w:t>(4):750-758.</w:t>
      </w:r>
    </w:p>
  </w:footnote>
  <w:footnote w:id="6">
    <w:p w:rsidR="00D21405" w:rsidRPr="00C92BCC" w:rsidRDefault="00D21405" w:rsidP="00014C5E">
      <w:pPr>
        <w:pStyle w:val="FootnoteText"/>
        <w:keepNext/>
        <w:ind w:left="284" w:hanging="284"/>
        <w:rPr>
          <w:lang w:val="en-US"/>
        </w:rPr>
      </w:pPr>
      <w:r>
        <w:rPr>
          <w:rStyle w:val="FootnoteReference"/>
        </w:rPr>
        <w:footnoteRef/>
      </w:r>
      <w:r>
        <w:t xml:space="preserve"> Bagnol D, et al. Cellular localization and distribution of the cloned mu and kappa opioid receptors in rat gastrointestinal tract. </w:t>
      </w:r>
      <w:proofErr w:type="gramStart"/>
      <w:r>
        <w:t>Neuroscience.</w:t>
      </w:r>
      <w:proofErr w:type="gramEnd"/>
      <w:r>
        <w:t xml:space="preserve"> 1997 Sep 8</w:t>
      </w:r>
      <w:proofErr w:type="gramStart"/>
      <w:r>
        <w:t>;81</w:t>
      </w:r>
      <w:proofErr w:type="gramEnd"/>
      <w:r>
        <w:t>(2):579-591.</w:t>
      </w:r>
    </w:p>
  </w:footnote>
  <w:footnote w:id="7">
    <w:p w:rsidR="00D21405" w:rsidRPr="009E405F" w:rsidRDefault="00D21405">
      <w:pPr>
        <w:pStyle w:val="FootnoteText"/>
        <w:rPr>
          <w:lang w:val="en-US"/>
        </w:rPr>
      </w:pPr>
      <w:r>
        <w:rPr>
          <w:rStyle w:val="FootnoteReference"/>
        </w:rPr>
        <w:footnoteRef/>
      </w:r>
      <w:r>
        <w:t xml:space="preserve"> </w:t>
      </w:r>
      <w:r>
        <w:rPr>
          <w:lang w:val="en-US"/>
        </w:rPr>
        <w:t>Bitar K, Makhlouf G</w:t>
      </w:r>
      <w:r w:rsidRPr="00014C5E">
        <w:rPr>
          <w:lang w:val="en-US"/>
        </w:rPr>
        <w:t xml:space="preserve">. Specific opiate receptors on isolated mammalian gastric smooth muscle cells. </w:t>
      </w:r>
      <w:proofErr w:type="gramStart"/>
      <w:r w:rsidRPr="00014C5E">
        <w:rPr>
          <w:lang w:val="en-US"/>
        </w:rPr>
        <w:t>Nature.</w:t>
      </w:r>
      <w:proofErr w:type="gramEnd"/>
      <w:r w:rsidRPr="00014C5E">
        <w:rPr>
          <w:lang w:val="en-US"/>
        </w:rPr>
        <w:t xml:space="preserve"> 1982 Jun</w:t>
      </w:r>
      <w:proofErr w:type="gramStart"/>
      <w:r w:rsidRPr="00014C5E">
        <w:rPr>
          <w:lang w:val="en-US"/>
        </w:rPr>
        <w:t>;297</w:t>
      </w:r>
      <w:proofErr w:type="gramEnd"/>
      <w:r w:rsidRPr="00014C5E">
        <w:rPr>
          <w:lang w:val="en-US"/>
        </w:rPr>
        <w:t>(5861):72-74.</w:t>
      </w:r>
    </w:p>
  </w:footnote>
  <w:footnote w:id="8">
    <w:p w:rsidR="00D21405" w:rsidRPr="009E405F" w:rsidRDefault="00D21405">
      <w:pPr>
        <w:pStyle w:val="FootnoteText"/>
        <w:rPr>
          <w:lang w:val="en-GB"/>
        </w:rPr>
      </w:pPr>
      <w:r>
        <w:rPr>
          <w:rStyle w:val="FootnoteReference"/>
        </w:rPr>
        <w:footnoteRef/>
      </w:r>
      <w:r>
        <w:t xml:space="preserve"> </w:t>
      </w:r>
      <w:proofErr w:type="gramStart"/>
      <w:r>
        <w:rPr>
          <w:lang w:val="en-US"/>
        </w:rPr>
        <w:t>Dockray G</w:t>
      </w:r>
      <w:r w:rsidRPr="00014C5E">
        <w:rPr>
          <w:lang w:val="en-US"/>
        </w:rPr>
        <w:t>. Physiology of enteric neuropeptides.</w:t>
      </w:r>
      <w:proofErr w:type="gramEnd"/>
      <w:r w:rsidRPr="00014C5E">
        <w:rPr>
          <w:lang w:val="en-US"/>
        </w:rPr>
        <w:t xml:space="preserve"> In: Johnson LR. </w:t>
      </w:r>
      <w:proofErr w:type="gramStart"/>
      <w:r w:rsidRPr="00014C5E">
        <w:rPr>
          <w:lang w:val="en-US"/>
        </w:rPr>
        <w:t>Physiology of the gastrointestinal tract.</w:t>
      </w:r>
      <w:proofErr w:type="gramEnd"/>
      <w:r w:rsidRPr="00014C5E">
        <w:rPr>
          <w:lang w:val="en-US"/>
        </w:rPr>
        <w:t xml:space="preserve"> 3rd </w:t>
      </w:r>
      <w:proofErr w:type="gramStart"/>
      <w:r w:rsidRPr="00014C5E">
        <w:rPr>
          <w:lang w:val="en-US"/>
        </w:rPr>
        <w:t>ed</w:t>
      </w:r>
      <w:proofErr w:type="gramEnd"/>
      <w:r w:rsidRPr="00014C5E">
        <w:rPr>
          <w:lang w:val="en-US"/>
        </w:rPr>
        <w:t>. New York: Raven, 1994; 169-209.</w:t>
      </w:r>
    </w:p>
  </w:footnote>
  <w:footnote w:id="9">
    <w:p w:rsidR="00D21405" w:rsidRPr="00C92BCC" w:rsidRDefault="00D21405" w:rsidP="00014C5E">
      <w:pPr>
        <w:pStyle w:val="FootnoteText"/>
        <w:ind w:left="142" w:hanging="142"/>
        <w:rPr>
          <w:lang w:val="en-US"/>
        </w:rPr>
      </w:pPr>
      <w:r>
        <w:rPr>
          <w:rStyle w:val="FootnoteReference"/>
        </w:rPr>
        <w:footnoteRef/>
      </w:r>
      <w:r>
        <w:t xml:space="preserve"> Ananthan S. Opioid ligands with mixed μ/δ opioid receptor interactions: an emerging approach to novel analgesics. AAPS J. 2006 Mar</w:t>
      </w:r>
      <w:proofErr w:type="gramStart"/>
      <w:r>
        <w:t>;8</w:t>
      </w:r>
      <w:proofErr w:type="gramEnd"/>
      <w:r>
        <w:t>(1):E118-E125.</w:t>
      </w:r>
    </w:p>
  </w:footnote>
  <w:footnote w:id="10">
    <w:p w:rsidR="00D21405" w:rsidRPr="009E405F" w:rsidRDefault="00D21405">
      <w:pPr>
        <w:pStyle w:val="FootnoteText"/>
        <w:rPr>
          <w:lang w:val="en-GB"/>
        </w:rPr>
      </w:pPr>
      <w:r>
        <w:rPr>
          <w:rStyle w:val="FootnoteReference"/>
        </w:rPr>
        <w:footnoteRef/>
      </w:r>
      <w:r>
        <w:t xml:space="preserve"> </w:t>
      </w:r>
      <w:r>
        <w:rPr>
          <w:lang w:val="en-US"/>
        </w:rPr>
        <w:t>Dietis N</w:t>
      </w:r>
      <w:r w:rsidRPr="00014C5E">
        <w:rPr>
          <w:lang w:val="en-US"/>
        </w:rPr>
        <w:t xml:space="preserve">, et al. Simultaneous targeting of multiple opioid receptors: a strategy to improve side-effect profile. </w:t>
      </w:r>
      <w:proofErr w:type="gramStart"/>
      <w:r w:rsidRPr="00014C5E">
        <w:rPr>
          <w:lang w:val="en-US"/>
        </w:rPr>
        <w:t>Br J Anaesth.</w:t>
      </w:r>
      <w:proofErr w:type="gramEnd"/>
      <w:r w:rsidRPr="00014C5E">
        <w:rPr>
          <w:lang w:val="en-US"/>
        </w:rPr>
        <w:t xml:space="preserve"> 2009</w:t>
      </w:r>
      <w:proofErr w:type="gramStart"/>
      <w:r w:rsidRPr="00014C5E">
        <w:rPr>
          <w:lang w:val="en-US"/>
        </w:rPr>
        <w:t>;103</w:t>
      </w:r>
      <w:proofErr w:type="gramEnd"/>
      <w:r w:rsidRPr="00014C5E">
        <w:rPr>
          <w:lang w:val="en-US"/>
        </w:rPr>
        <w:t>(1):38–49.</w:t>
      </w:r>
    </w:p>
  </w:footnote>
  <w:footnote w:id="11">
    <w:p w:rsidR="00D21405" w:rsidRPr="006B12F3" w:rsidRDefault="00D21405">
      <w:pPr>
        <w:pStyle w:val="FootnoteText"/>
        <w:rPr>
          <w:lang w:val="en-US"/>
        </w:rPr>
      </w:pPr>
      <w:r>
        <w:rPr>
          <w:rStyle w:val="FootnoteReference"/>
        </w:rPr>
        <w:footnoteRef/>
      </w:r>
      <w:r>
        <w:t xml:space="preserve"> </w:t>
      </w:r>
      <w:r w:rsidRPr="006B12F3">
        <w:t>In human liver microsomes, CYP2E1 was moderately inhibited at high eluxadoline concentrations (Study FK5873).</w:t>
      </w:r>
    </w:p>
  </w:footnote>
  <w:footnote w:id="12">
    <w:p w:rsidR="00D21405" w:rsidRPr="00A37AC8" w:rsidRDefault="00D21405" w:rsidP="00A37AC8">
      <w:pPr>
        <w:pStyle w:val="FootnoteText"/>
        <w:rPr>
          <w:lang w:val="en-US"/>
        </w:rPr>
      </w:pPr>
      <w:r>
        <w:rPr>
          <w:rStyle w:val="FootnoteReference"/>
        </w:rPr>
        <w:footnoteRef/>
      </w:r>
      <w:r>
        <w:t xml:space="preserve"> ICH Harmonised Tripartite Guidelines; </w:t>
      </w:r>
      <w:r w:rsidRPr="00A37AC8">
        <w:t>S1</w:t>
      </w:r>
      <w:r>
        <w:t>:</w:t>
      </w:r>
      <w:r w:rsidRPr="00A37AC8">
        <w:t xml:space="preserve"> Rodent Carcinogenicity Studies for Human Pharmaceuticals</w:t>
      </w:r>
      <w:r>
        <w:t xml:space="preserve">; </w:t>
      </w:r>
      <w:r w:rsidRPr="00BE2F4F">
        <w:t>S1A</w:t>
      </w:r>
      <w:r>
        <w:t>: </w:t>
      </w:r>
      <w:r w:rsidRPr="00BE2F4F">
        <w:t>Need for Carcinogenicity Studies of Pharmaceuticals</w:t>
      </w:r>
      <w:r>
        <w:t xml:space="preserve">; </w:t>
      </w:r>
      <w:r w:rsidRPr="00BE2F4F">
        <w:t>S1B</w:t>
      </w:r>
      <w:r>
        <w:t>:</w:t>
      </w:r>
      <w:r w:rsidRPr="00BE2F4F">
        <w:t xml:space="preserve"> Testing for Carcinogenicity of Pharmaceuticals</w:t>
      </w:r>
      <w:r>
        <w:t>; and S1C (R2) Dose Selection for Carcinogenicity Studies of Pharmaceuticals.</w:t>
      </w:r>
    </w:p>
  </w:footnote>
  <w:footnote w:id="13">
    <w:p w:rsidR="00D21405" w:rsidRPr="00E33C77" w:rsidRDefault="00D21405" w:rsidP="00E33C77">
      <w:pPr>
        <w:pStyle w:val="FootnoteText"/>
        <w:rPr>
          <w:lang w:val="en-US"/>
        </w:rPr>
      </w:pPr>
      <w:r>
        <w:rPr>
          <w:rStyle w:val="FootnoteReference"/>
        </w:rPr>
        <w:footnoteRef/>
      </w:r>
      <w:r>
        <w:t xml:space="preserve"> Pregnancy Category B1: 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14">
    <w:p w:rsidR="00D21405" w:rsidRPr="00F83E6D" w:rsidRDefault="00D21405" w:rsidP="00CD36E2">
      <w:pPr>
        <w:pStyle w:val="FootnoteText"/>
        <w:rPr>
          <w:lang w:val="en-US"/>
        </w:rPr>
      </w:pPr>
      <w:r>
        <w:rPr>
          <w:rStyle w:val="FootnoteReference"/>
        </w:rPr>
        <w:footnoteRef/>
      </w:r>
      <w:r>
        <w:t xml:space="preserve"> OECD 432 Guideline for testing of chemicals. In vitro testing 3T3 NRU phototoxicity test</w:t>
      </w:r>
    </w:p>
  </w:footnote>
  <w:footnote w:id="15">
    <w:p w:rsidR="00D21405" w:rsidRPr="00A37AC8" w:rsidRDefault="00D21405" w:rsidP="00CD36E2">
      <w:pPr>
        <w:pStyle w:val="FootnoteText"/>
        <w:rPr>
          <w:lang w:val="en-US"/>
        </w:rPr>
      </w:pPr>
      <w:r>
        <w:rPr>
          <w:rStyle w:val="FootnoteReference"/>
        </w:rPr>
        <w:footnoteRef/>
      </w:r>
      <w:r>
        <w:t xml:space="preserve"> </w:t>
      </w:r>
      <w:r>
        <w:rPr>
          <w:lang w:val="en-US"/>
        </w:rPr>
        <w:t>Optical Density at 540 nm</w:t>
      </w:r>
    </w:p>
  </w:footnote>
  <w:footnote w:id="16">
    <w:p w:rsidR="00D21405" w:rsidRPr="00A37AC8" w:rsidRDefault="00D21405" w:rsidP="00A37AC8">
      <w:pPr>
        <w:pStyle w:val="FootnoteText"/>
        <w:rPr>
          <w:lang w:val="en-US"/>
        </w:rPr>
      </w:pPr>
      <w:r>
        <w:rPr>
          <w:rStyle w:val="FootnoteReference"/>
        </w:rPr>
        <w:footnoteRef/>
      </w:r>
      <w:r>
        <w:t xml:space="preserve"> </w:t>
      </w:r>
      <w:r w:rsidRPr="00A37AC8">
        <w:t>CPMP/ICH/286/95</w:t>
      </w:r>
      <w:r>
        <w:t xml:space="preserve"> ICH Topic M 3 (R2) Non-Clinical Safety Studies for the Conduct of Human Clinical Trials and Marketing Authorization for Pharmaceuticals</w:t>
      </w:r>
    </w:p>
  </w:footnote>
  <w:footnote w:id="17">
    <w:p w:rsidR="00D21405" w:rsidRPr="00D21405" w:rsidRDefault="00D21405">
      <w:pPr>
        <w:pStyle w:val="FootnoteText"/>
        <w:rPr>
          <w:lang w:val="en-GB"/>
        </w:rPr>
      </w:pPr>
      <w:r>
        <w:rPr>
          <w:rStyle w:val="FootnoteReference"/>
        </w:rPr>
        <w:footnoteRef/>
      </w:r>
      <w:r>
        <w:t xml:space="preserve"> </w:t>
      </w:r>
      <w:r w:rsidRPr="003B6E12">
        <w:t>Bristol Stool Score</w:t>
      </w:r>
      <w:r>
        <w:t xml:space="preserve"> (BSS):</w:t>
      </w:r>
      <w:r w:rsidRPr="003B6E12">
        <w:t xml:space="preserve"> The patient-reported BSS consistency score </w:t>
      </w:r>
      <w:r>
        <w:t>is</w:t>
      </w:r>
      <w:r w:rsidRPr="003B6E12">
        <w:t xml:space="preserve"> </w:t>
      </w:r>
      <w:r>
        <w:t>based on a 1 to 7 scale where 1 </w:t>
      </w:r>
      <w:r w:rsidRPr="003B6E12">
        <w:t>correspond</w:t>
      </w:r>
      <w:r>
        <w:t>s</w:t>
      </w:r>
      <w:r w:rsidRPr="003B6E12">
        <w:t xml:space="preserve"> to a hard stool and 7 corresponded to watery diarrhoea</w:t>
      </w:r>
      <w:r>
        <w:t>.</w:t>
      </w:r>
    </w:p>
  </w:footnote>
  <w:footnote w:id="18">
    <w:p w:rsidR="00D21405" w:rsidRPr="00D21405" w:rsidRDefault="00D21405">
      <w:pPr>
        <w:pStyle w:val="FootnoteText"/>
        <w:rPr>
          <w:lang w:val="en-GB"/>
        </w:rPr>
      </w:pPr>
      <w:r>
        <w:rPr>
          <w:rStyle w:val="FootnoteReference"/>
        </w:rPr>
        <w:footnoteRef/>
      </w:r>
      <w:r>
        <w:t xml:space="preserve"> Acetaminophen is United Stated Adopted Name (USAN) and Japanese Accepted Name (JAN), whereas paracetamol is the Australian Approved Name (AAN), British Approved Name (BAN) and International Nonproprietary Name (INN) for the same drug. Tylenol and Panadol are registered tradenames for paracetamol containing products.</w:t>
      </w:r>
    </w:p>
  </w:footnote>
  <w:footnote w:id="19">
    <w:p w:rsidR="00D21405" w:rsidRPr="00B95E90" w:rsidRDefault="00D21405">
      <w:pPr>
        <w:pStyle w:val="FootnoteText"/>
      </w:pPr>
      <w:r>
        <w:rPr>
          <w:rStyle w:val="FootnoteReference"/>
        </w:rPr>
        <w:footnoteRef/>
      </w:r>
      <w:r>
        <w:t xml:space="preserve"> IMMPACT = </w:t>
      </w:r>
      <w:r w:rsidRPr="00B95E90">
        <w:t>Initiative on Methods, Measurement, and Pain Assessment in Clinical Trials</w:t>
      </w:r>
      <w:r>
        <w:t xml:space="preserve">. </w:t>
      </w:r>
      <w:r w:rsidRPr="00B95E90">
        <w:t xml:space="preserve">Dworkin R et al., </w:t>
      </w:r>
      <w:r w:rsidRPr="00B95E90">
        <w:rPr>
          <w:bCs/>
          <w:lang w:val="en-GB"/>
        </w:rPr>
        <w:t xml:space="preserve">Core outcome measures for chronic pain clinical trials: IMMPACT recommendations. </w:t>
      </w:r>
      <w:proofErr w:type="gramStart"/>
      <w:r w:rsidRPr="00B95E90">
        <w:rPr>
          <w:bCs/>
          <w:lang w:val="en-GB"/>
        </w:rPr>
        <w:t>Pain.</w:t>
      </w:r>
      <w:proofErr w:type="gramEnd"/>
      <w:r w:rsidRPr="00B95E90">
        <w:rPr>
          <w:bCs/>
          <w:lang w:val="en-GB"/>
        </w:rPr>
        <w:t xml:space="preserve"> 2005 Jan;</w:t>
      </w:r>
      <w:r w:rsidRPr="00B95E90" w:rsidDel="004E5324">
        <w:t xml:space="preserve"> </w:t>
      </w:r>
      <w:r w:rsidRPr="00B95E90">
        <w:t>113 (2005) 9–19.</w:t>
      </w:r>
    </w:p>
  </w:footnote>
  <w:footnote w:id="20">
    <w:p w:rsidR="00D21405" w:rsidRPr="00941CD7" w:rsidRDefault="00D21405">
      <w:pPr>
        <w:pStyle w:val="FootnoteText"/>
        <w:rPr>
          <w:lang w:val="en-US"/>
        </w:rPr>
      </w:pPr>
      <w:r>
        <w:rPr>
          <w:rStyle w:val="FootnoteReference"/>
        </w:rPr>
        <w:footnoteRef/>
      </w:r>
      <w:r>
        <w:t xml:space="preserve"> T</w:t>
      </w:r>
      <w:r w:rsidRPr="00941CD7">
        <w:t>he QT interval is a measure of the time between the start of the Q wave and the end of the T wave in the heart's electrical cycle. The QT interval</w:t>
      </w:r>
      <w:r>
        <w:t xml:space="preserve"> represents electrical depolarisation and repolaris</w:t>
      </w:r>
      <w:r w:rsidRPr="00941CD7">
        <w:t>ation of the ventricles. A lengthened QT interval is a marker for the potential of ven</w:t>
      </w:r>
      <w:r>
        <w:t>tricular tachyarrhythmias like T</w:t>
      </w:r>
      <w:r w:rsidRPr="00941CD7">
        <w:t>orsades de pointes and a risk factor for sudden death.</w:t>
      </w:r>
      <w:r>
        <w:t xml:space="preserve"> T</w:t>
      </w:r>
      <w:r w:rsidRPr="00531541">
        <w:t>he QT interval is de</w:t>
      </w:r>
      <w:r>
        <w:t xml:space="preserve">pendent on the heart rate, that is, </w:t>
      </w:r>
      <w:r w:rsidRPr="00531541">
        <w:t>the faster the heart rate, the shorter the R–R interval and QT interval and may be adjusted to improve the detection of patients at increased risk of ventricular arrhythmia</w:t>
      </w:r>
      <w:r>
        <w:t xml:space="preserve"> giving a </w:t>
      </w:r>
      <w:r w:rsidRPr="00531541">
        <w:t>corrected QT (QTc)</w:t>
      </w:r>
      <w:r>
        <w:t>.</w:t>
      </w:r>
    </w:p>
  </w:footnote>
  <w:footnote w:id="21">
    <w:p w:rsidR="00D21405" w:rsidRPr="00C92BCC" w:rsidRDefault="00D21405">
      <w:pPr>
        <w:pStyle w:val="FootnoteText"/>
        <w:rPr>
          <w:lang w:val="en-US"/>
        </w:rPr>
      </w:pPr>
      <w:r>
        <w:rPr>
          <w:rStyle w:val="FootnoteReference"/>
        </w:rPr>
        <w:footnoteRef/>
      </w:r>
      <w:r>
        <w:t xml:space="preserve"> </w:t>
      </w:r>
      <w:r w:rsidRPr="008504A0">
        <w:t>Gawron A</w:t>
      </w:r>
      <w:r>
        <w:t xml:space="preserve"> et al</w:t>
      </w:r>
      <w:proofErr w:type="gramStart"/>
      <w:r>
        <w:t>.</w:t>
      </w:r>
      <w:r w:rsidRPr="008504A0">
        <w:t>.</w:t>
      </w:r>
      <w:proofErr w:type="gramEnd"/>
      <w:r w:rsidRPr="008504A0">
        <w:t xml:space="preserve"> Risk of pancreatitis following treatment of IBS with eluxadoline, Clinical Gastroenterology and Hepatology, 2017; http://dx.doi.org/10.1016/j.cgh.2017.08.006</w:t>
      </w:r>
    </w:p>
  </w:footnote>
  <w:footnote w:id="22">
    <w:p w:rsidR="00D21405" w:rsidRPr="00584325" w:rsidRDefault="00D21405" w:rsidP="00584325">
      <w:pPr>
        <w:pStyle w:val="FootnoteText"/>
        <w:rPr>
          <w:lang w:val="en-US"/>
        </w:rPr>
      </w:pPr>
      <w:r>
        <w:rPr>
          <w:rStyle w:val="FootnoteReference"/>
        </w:rPr>
        <w:footnoteRef/>
      </w:r>
      <w:r>
        <w:t xml:space="preserve"> Lovell R, Ford A (2012). Global prevalence of and risk factors for irritable bowel syndrome: a meta-analysis. Clin Gastroenterol Hepatol. 2012 Jul</w:t>
      </w:r>
      <w:proofErr w:type="gramStart"/>
      <w:r>
        <w:t>;10</w:t>
      </w:r>
      <w:proofErr w:type="gramEnd"/>
      <w:r>
        <w:t>(7):712-721.e4.</w:t>
      </w:r>
    </w:p>
  </w:footnote>
  <w:footnote w:id="23">
    <w:p w:rsidR="00D21405" w:rsidRPr="001C4C9B" w:rsidRDefault="00D21405" w:rsidP="001C4C9B">
      <w:pPr>
        <w:pStyle w:val="FootnoteText"/>
        <w:ind w:left="142" w:hanging="142"/>
        <w:rPr>
          <w:lang w:val="en-US"/>
        </w:rPr>
      </w:pPr>
      <w:r>
        <w:rPr>
          <w:rStyle w:val="FootnoteReference"/>
        </w:rPr>
        <w:footnoteRef/>
      </w:r>
      <w:r>
        <w:t xml:space="preserve"> </w:t>
      </w:r>
      <w:r w:rsidRPr="001C4C9B">
        <w:t>Nesvaderani M</w:t>
      </w:r>
      <w:r>
        <w:t xml:space="preserve"> et al., </w:t>
      </w:r>
      <w:r w:rsidRPr="001C4C9B">
        <w:t>Epidemiology, aetiology and outcomes of acute pancreatitis: A retrospective cohort study. Int J Surg. 2015 Nov;</w:t>
      </w:r>
      <w:r>
        <w:t xml:space="preserve"> </w:t>
      </w:r>
      <w:r w:rsidRPr="001C4C9B">
        <w:t>23(Pt A):68-74.</w:t>
      </w:r>
    </w:p>
  </w:footnote>
  <w:footnote w:id="24">
    <w:p w:rsidR="00D21405" w:rsidRPr="008504A0" w:rsidRDefault="00D21405">
      <w:pPr>
        <w:pStyle w:val="FootnoteText"/>
        <w:rPr>
          <w:lang w:val="en-US"/>
        </w:rPr>
      </w:pPr>
      <w:r>
        <w:rPr>
          <w:rStyle w:val="FootnoteReference"/>
        </w:rPr>
        <w:footnoteRef/>
      </w:r>
      <w:r>
        <w:t xml:space="preserve"> </w:t>
      </w:r>
      <w:proofErr w:type="gramStart"/>
      <w:r w:rsidRPr="008504A0">
        <w:t>Gawron A</w:t>
      </w:r>
      <w:r>
        <w:t>,</w:t>
      </w:r>
      <w:r w:rsidRPr="008504A0">
        <w:t xml:space="preserve"> Bielefeldt K. Risk of pancreatitis following treatment of IBS with eluxadoline, Clinical Gastroenterology and Hepatology, 2017</w:t>
      </w:r>
      <w:r>
        <w:t>.</w:t>
      </w:r>
      <w:proofErr w:type="gramEnd"/>
    </w:p>
  </w:footnote>
  <w:footnote w:id="25">
    <w:p w:rsidR="00D21405" w:rsidRPr="001C4C9B" w:rsidRDefault="00D21405" w:rsidP="00A617D7">
      <w:pPr>
        <w:pStyle w:val="FootnoteText"/>
        <w:ind w:left="142" w:hanging="142"/>
        <w:rPr>
          <w:lang w:val="en-US"/>
        </w:rPr>
      </w:pPr>
      <w:r>
        <w:rPr>
          <w:rStyle w:val="FootnoteReference"/>
        </w:rPr>
        <w:footnoteRef/>
      </w:r>
      <w:r>
        <w:t xml:space="preserve"> </w:t>
      </w:r>
      <w:r w:rsidRPr="001C4C9B">
        <w:t>Hwee Min L</w:t>
      </w:r>
      <w:r>
        <w:t xml:space="preserve"> et al.,</w:t>
      </w:r>
      <w:r w:rsidRPr="001C4C9B">
        <w:t xml:space="preserve"> Can Loperamide Cause Acute Pancreatitis? </w:t>
      </w:r>
      <w:proofErr w:type="gramStart"/>
      <w:r w:rsidRPr="001C4C9B">
        <w:t>Pancreas.</w:t>
      </w:r>
      <w:proofErr w:type="gramEnd"/>
      <w:r w:rsidRPr="001C4C9B">
        <w:t xml:space="preserve"> 40(5):780-781, J</w:t>
      </w:r>
      <w:r>
        <w:t>ul</w:t>
      </w:r>
      <w:r w:rsidRPr="001C4C9B">
        <w:t xml:space="preserve"> 2011</w:t>
      </w:r>
      <w:r>
        <w:t>.</w:t>
      </w:r>
      <w:r w:rsidDel="00A617D7">
        <w:t xml:space="preserve"> </w:t>
      </w:r>
    </w:p>
  </w:footnote>
  <w:footnote w:id="26">
    <w:p w:rsidR="00D21405" w:rsidRPr="008D57E9" w:rsidRDefault="00D21405">
      <w:pPr>
        <w:pStyle w:val="FootnoteText"/>
        <w:rPr>
          <w:lang w:val="en-GB"/>
        </w:rPr>
      </w:pPr>
      <w:r>
        <w:rPr>
          <w:rStyle w:val="FootnoteReference"/>
        </w:rPr>
        <w:footnoteRef/>
      </w:r>
      <w:r>
        <w:t xml:space="preserve"> </w:t>
      </w:r>
      <w:proofErr w:type="gramStart"/>
      <w:r w:rsidRPr="00A617D7">
        <w:t>Labgaa I et al., Loperamide-induced recurrent acute pancreatitis.</w:t>
      </w:r>
      <w:proofErr w:type="gramEnd"/>
      <w:r w:rsidRPr="00A617D7">
        <w:t xml:space="preserve"> </w:t>
      </w:r>
      <w:proofErr w:type="gramStart"/>
      <w:r w:rsidRPr="00A617D7">
        <w:t>Clin Res Hepatol Gastroenterol.</w:t>
      </w:r>
      <w:proofErr w:type="gramEnd"/>
      <w:r w:rsidRPr="00A617D7">
        <w:t xml:space="preserve"> 2016 Feb</w:t>
      </w:r>
      <w:proofErr w:type="gramStart"/>
      <w:r w:rsidRPr="00A617D7">
        <w:t>;40</w:t>
      </w:r>
      <w:proofErr w:type="gramEnd"/>
      <w:r w:rsidRPr="00A617D7">
        <w:t>(1):e13-4.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B46" w:rsidRDefault="00F81B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05" w:rsidRDefault="00D21405"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05" w:rsidRDefault="00D21405">
    <w:pPr>
      <w:rPr>
        <w:noProof/>
        <w:lang w:eastAsia="en-AU"/>
      </w:rPr>
    </w:pPr>
    <w:r w:rsidRPr="00347824">
      <w:rPr>
        <w:noProof/>
        <w:lang w:eastAsia="en-AU"/>
      </w:rPr>
      <w:drawing>
        <wp:anchor distT="0" distB="0" distL="114300" distR="114300" simplePos="0" relativeHeight="251659264" behindDoc="1" locked="0" layoutInCell="1" allowOverlap="1" wp14:anchorId="635C2C25" wp14:editId="62167FB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21405" w:rsidRDefault="00D21405" w:rsidP="00593AD1">
    <w:pPr>
      <w:pStyle w:val="HeaderNo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05" w:rsidRPr="005F1690" w:rsidRDefault="00D21405" w:rsidP="005F169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05" w:rsidRDefault="00D2140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05" w:rsidRDefault="00D21405" w:rsidP="005F1690">
    <w:pPr>
      <w:pStyle w:val="Header"/>
    </w:pPr>
    <w:r>
      <w:t>Therapeutic Goods Administration</w:t>
    </w:r>
  </w:p>
  <w:p w:rsidR="00D21405" w:rsidRDefault="00D2140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05" w:rsidRDefault="00D2140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05" w:rsidRDefault="00D21405"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05" w:rsidRDefault="00D21405" w:rsidP="006E08B3">
    <w:r>
      <w:t>Therapeutic Goods Administration</w:t>
    </w:r>
  </w:p>
  <w:p w:rsidR="00D21405" w:rsidRDefault="00D2140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 o:bullet="t">
        <v:imagedata r:id="rId1" o:title="BD14530_"/>
      </v:shape>
    </w:pict>
  </w:numPicBullet>
  <w:numPicBullet w:numPicBulletId="1">
    <w:pict>
      <v:shape id="_x0000_i1047" type="#_x0000_t75" style="width:9pt;height:9pt" o:bullet="t">
        <v:imagedata r:id="rId2" o:title="BD14531_"/>
      </v:shape>
    </w:pict>
  </w:numPicBullet>
  <w:numPicBullet w:numPicBulletId="2">
    <w:pict>
      <v:shape id="_x0000_i1048" type="#_x0000_t75" style="width:11.25pt;height:11.25pt" o:bullet="t">
        <v:imagedata r:id="rId3" o:title="BD14513_"/>
      </v:shape>
    </w:pict>
  </w:numPicBullet>
  <w:numPicBullet w:numPicBulletId="3">
    <w:pict>
      <v:shape id="_x0000_i1049" type="#_x0000_t75" style="width:9.75pt;height:9pt" o:bullet="t">
        <v:imagedata r:id="rId4" o:title="BD21297_"/>
      </v:shape>
    </w:pict>
  </w:numPicBullet>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A8EE2A3C"/>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numFmt w:val="bullet"/>
      <w:lvlText w:val=""/>
      <w:lvlJc w:val="left"/>
      <w:pPr>
        <w:ind w:left="641" w:hanging="285"/>
      </w:pPr>
      <w:rPr>
        <w:rFonts w:ascii="Symbol" w:hAnsi="Symbol" w:cs="Symbol"/>
        <w:b w:val="0"/>
        <w:bCs w:val="0"/>
        <w:w w:val="100"/>
        <w:sz w:val="23"/>
        <w:szCs w:val="23"/>
      </w:rPr>
    </w:lvl>
    <w:lvl w:ilvl="1">
      <w:numFmt w:val="bullet"/>
      <w:lvlText w:val="•"/>
      <w:lvlJc w:val="left"/>
      <w:pPr>
        <w:ind w:left="1556" w:hanging="285"/>
      </w:pPr>
    </w:lvl>
    <w:lvl w:ilvl="2">
      <w:numFmt w:val="bullet"/>
      <w:lvlText w:val="•"/>
      <w:lvlJc w:val="left"/>
      <w:pPr>
        <w:ind w:left="2473" w:hanging="285"/>
      </w:pPr>
    </w:lvl>
    <w:lvl w:ilvl="3">
      <w:numFmt w:val="bullet"/>
      <w:lvlText w:val="•"/>
      <w:lvlJc w:val="left"/>
      <w:pPr>
        <w:ind w:left="3389" w:hanging="285"/>
      </w:pPr>
    </w:lvl>
    <w:lvl w:ilvl="4">
      <w:numFmt w:val="bullet"/>
      <w:lvlText w:val="•"/>
      <w:lvlJc w:val="left"/>
      <w:pPr>
        <w:ind w:left="4306" w:hanging="285"/>
      </w:pPr>
    </w:lvl>
    <w:lvl w:ilvl="5">
      <w:numFmt w:val="bullet"/>
      <w:lvlText w:val="•"/>
      <w:lvlJc w:val="left"/>
      <w:pPr>
        <w:ind w:left="5223" w:hanging="285"/>
      </w:pPr>
    </w:lvl>
    <w:lvl w:ilvl="6">
      <w:numFmt w:val="bullet"/>
      <w:lvlText w:val="•"/>
      <w:lvlJc w:val="left"/>
      <w:pPr>
        <w:ind w:left="6139" w:hanging="285"/>
      </w:pPr>
    </w:lvl>
    <w:lvl w:ilvl="7">
      <w:numFmt w:val="bullet"/>
      <w:lvlText w:val="•"/>
      <w:lvlJc w:val="left"/>
      <w:pPr>
        <w:ind w:left="7056" w:hanging="285"/>
      </w:pPr>
    </w:lvl>
    <w:lvl w:ilvl="8">
      <w:numFmt w:val="bullet"/>
      <w:lvlText w:val="•"/>
      <w:lvlJc w:val="left"/>
      <w:pPr>
        <w:ind w:left="7973" w:hanging="285"/>
      </w:pPr>
    </w:lvl>
  </w:abstractNum>
  <w:abstractNum w:abstractNumId="5">
    <w:nsid w:val="00000403"/>
    <w:multiLevelType w:val="multilevel"/>
    <w:tmpl w:val="00000886"/>
    <w:lvl w:ilvl="0">
      <w:numFmt w:val="bullet"/>
      <w:lvlText w:val=""/>
      <w:lvlJc w:val="left"/>
      <w:pPr>
        <w:ind w:left="806" w:hanging="360"/>
      </w:pPr>
      <w:rPr>
        <w:rFonts w:ascii="Symbol" w:hAnsi="Symbol" w:cs="Symbol"/>
        <w:b w:val="0"/>
        <w:bCs w:val="0"/>
        <w:w w:val="100"/>
        <w:sz w:val="20"/>
        <w:szCs w:val="20"/>
      </w:rPr>
    </w:lvl>
    <w:lvl w:ilvl="1">
      <w:numFmt w:val="bullet"/>
      <w:lvlText w:val="•"/>
      <w:lvlJc w:val="left"/>
      <w:pPr>
        <w:ind w:left="1159" w:hanging="360"/>
      </w:pPr>
    </w:lvl>
    <w:lvl w:ilvl="2">
      <w:numFmt w:val="bullet"/>
      <w:lvlText w:val="•"/>
      <w:lvlJc w:val="left"/>
      <w:pPr>
        <w:ind w:left="1518" w:hanging="360"/>
      </w:pPr>
    </w:lvl>
    <w:lvl w:ilvl="3">
      <w:numFmt w:val="bullet"/>
      <w:lvlText w:val="•"/>
      <w:lvlJc w:val="left"/>
      <w:pPr>
        <w:ind w:left="1877" w:hanging="360"/>
      </w:pPr>
    </w:lvl>
    <w:lvl w:ilvl="4">
      <w:numFmt w:val="bullet"/>
      <w:lvlText w:val="•"/>
      <w:lvlJc w:val="left"/>
      <w:pPr>
        <w:ind w:left="2236" w:hanging="360"/>
      </w:pPr>
    </w:lvl>
    <w:lvl w:ilvl="5">
      <w:numFmt w:val="bullet"/>
      <w:lvlText w:val="•"/>
      <w:lvlJc w:val="left"/>
      <w:pPr>
        <w:ind w:left="2595" w:hanging="360"/>
      </w:pPr>
    </w:lvl>
    <w:lvl w:ilvl="6">
      <w:numFmt w:val="bullet"/>
      <w:lvlText w:val="•"/>
      <w:lvlJc w:val="left"/>
      <w:pPr>
        <w:ind w:left="2954" w:hanging="360"/>
      </w:pPr>
    </w:lvl>
    <w:lvl w:ilvl="7">
      <w:numFmt w:val="bullet"/>
      <w:lvlText w:val="•"/>
      <w:lvlJc w:val="left"/>
      <w:pPr>
        <w:ind w:left="3313" w:hanging="360"/>
      </w:pPr>
    </w:lvl>
    <w:lvl w:ilvl="8">
      <w:numFmt w:val="bullet"/>
      <w:lvlText w:val="•"/>
      <w:lvlJc w:val="left"/>
      <w:pPr>
        <w:ind w:left="3672" w:hanging="360"/>
      </w:pPr>
    </w:lvl>
  </w:abstractNum>
  <w:abstractNum w:abstractNumId="6">
    <w:nsid w:val="10053F11"/>
    <w:multiLevelType w:val="multilevel"/>
    <w:tmpl w:val="575CEDBE"/>
    <w:styleLink w:val="NumberBullet"/>
    <w:lvl w:ilvl="0">
      <w:start w:val="1"/>
      <w:numFmt w:val="decimal"/>
      <w:pStyle w:val="Numberbullet0"/>
      <w:lvlText w:val="%1."/>
      <w:lvlJc w:val="left"/>
      <w:pPr>
        <w:ind w:left="850" w:hanging="425"/>
      </w:pPr>
      <w:rPr>
        <w:rFonts w:ascii="Cambria" w:hAnsi="Cambria" w:hint="default"/>
      </w:rPr>
    </w:lvl>
    <w:lvl w:ilvl="1">
      <w:start w:val="1"/>
      <w:numFmt w:val="lowerLetter"/>
      <w:pStyle w:val="Numberbullet2"/>
      <w:lvlText w:val="%2."/>
      <w:lvlJc w:val="left"/>
      <w:pPr>
        <w:ind w:left="1276" w:hanging="426"/>
      </w:pPr>
      <w:rPr>
        <w:rFonts w:hint="default"/>
      </w:rPr>
    </w:lvl>
    <w:lvl w:ilvl="2">
      <w:start w:val="1"/>
      <w:numFmt w:val="lowerRoman"/>
      <w:pStyle w:val="Numberbullet3"/>
      <w:lvlText w:val="%3."/>
      <w:lvlJc w:val="left"/>
      <w:pPr>
        <w:ind w:left="1701" w:hanging="425"/>
      </w:pPr>
      <w:rPr>
        <w:rFonts w:hint="default"/>
      </w:rPr>
    </w:lvl>
    <w:lvl w:ilvl="3">
      <w:start w:val="1"/>
      <w:numFmt w:val="none"/>
      <w:lvlText w:val=""/>
      <w:lvlJc w:val="left"/>
      <w:pPr>
        <w:ind w:left="1701" w:hanging="425"/>
      </w:pPr>
      <w:rPr>
        <w:rFonts w:hint="default"/>
      </w:rPr>
    </w:lvl>
    <w:lvl w:ilvl="4">
      <w:start w:val="1"/>
      <w:numFmt w:val="none"/>
      <w:lvlText w:val=""/>
      <w:lvlJc w:val="left"/>
      <w:pPr>
        <w:ind w:left="1701" w:hanging="425"/>
      </w:pPr>
      <w:rPr>
        <w:rFonts w:hint="default"/>
      </w:rPr>
    </w:lvl>
    <w:lvl w:ilvl="5">
      <w:start w:val="1"/>
      <w:numFmt w:val="none"/>
      <w:lvlText w:val=""/>
      <w:lvlJc w:val="left"/>
      <w:pPr>
        <w:ind w:left="1701" w:hanging="425"/>
      </w:pPr>
      <w:rPr>
        <w:rFonts w:hint="default"/>
      </w:rPr>
    </w:lvl>
    <w:lvl w:ilvl="6">
      <w:start w:val="1"/>
      <w:numFmt w:val="none"/>
      <w:lvlText w:val="%7"/>
      <w:lvlJc w:val="left"/>
      <w:pPr>
        <w:ind w:left="1701" w:hanging="425"/>
      </w:pPr>
      <w:rPr>
        <w:rFonts w:hint="default"/>
      </w:rPr>
    </w:lvl>
    <w:lvl w:ilvl="7">
      <w:start w:val="1"/>
      <w:numFmt w:val="none"/>
      <w:lvlText w:val=""/>
      <w:lvlJc w:val="left"/>
      <w:pPr>
        <w:ind w:left="1701" w:hanging="425"/>
      </w:pPr>
      <w:rPr>
        <w:rFonts w:hint="default"/>
      </w:rPr>
    </w:lvl>
    <w:lvl w:ilvl="8">
      <w:start w:val="1"/>
      <w:numFmt w:val="none"/>
      <w:lvlText w:val=""/>
      <w:lvlJc w:val="left"/>
      <w:pPr>
        <w:ind w:left="1701" w:hanging="425"/>
      </w:pPr>
      <w:rPr>
        <w:rFonts w:hint="default"/>
      </w:rPr>
    </w:lvl>
  </w:abstractNum>
  <w:abstractNum w:abstractNumId="7">
    <w:nsid w:val="104F6308"/>
    <w:multiLevelType w:val="hybridMultilevel"/>
    <w:tmpl w:val="2CFE869E"/>
    <w:lvl w:ilvl="0" w:tplc="A54856B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007C97"/>
    <w:multiLevelType w:val="hybridMultilevel"/>
    <w:tmpl w:val="CC8815D8"/>
    <w:lvl w:ilvl="0" w:tplc="733C2AAA">
      <w:start w:val="1"/>
      <w:numFmt w:val="decimal"/>
      <w:lvlText w:val="%1)"/>
      <w:lvlJc w:val="left"/>
      <w:pPr>
        <w:ind w:left="1487" w:hanging="360"/>
      </w:pPr>
      <w:rPr>
        <w:i w:val="0"/>
      </w:rPr>
    </w:lvl>
    <w:lvl w:ilvl="1" w:tplc="0C090019" w:tentative="1">
      <w:start w:val="1"/>
      <w:numFmt w:val="lowerLetter"/>
      <w:lvlText w:val="%2."/>
      <w:lvlJc w:val="left"/>
      <w:pPr>
        <w:ind w:left="2207" w:hanging="360"/>
      </w:pPr>
    </w:lvl>
    <w:lvl w:ilvl="2" w:tplc="0C09001B" w:tentative="1">
      <w:start w:val="1"/>
      <w:numFmt w:val="lowerRoman"/>
      <w:lvlText w:val="%3."/>
      <w:lvlJc w:val="right"/>
      <w:pPr>
        <w:ind w:left="2927" w:hanging="180"/>
      </w:pPr>
    </w:lvl>
    <w:lvl w:ilvl="3" w:tplc="0C09000F" w:tentative="1">
      <w:start w:val="1"/>
      <w:numFmt w:val="decimal"/>
      <w:lvlText w:val="%4."/>
      <w:lvlJc w:val="left"/>
      <w:pPr>
        <w:ind w:left="3647" w:hanging="360"/>
      </w:pPr>
    </w:lvl>
    <w:lvl w:ilvl="4" w:tplc="0C090019" w:tentative="1">
      <w:start w:val="1"/>
      <w:numFmt w:val="lowerLetter"/>
      <w:lvlText w:val="%5."/>
      <w:lvlJc w:val="left"/>
      <w:pPr>
        <w:ind w:left="4367" w:hanging="360"/>
      </w:pPr>
    </w:lvl>
    <w:lvl w:ilvl="5" w:tplc="0C09001B" w:tentative="1">
      <w:start w:val="1"/>
      <w:numFmt w:val="lowerRoman"/>
      <w:lvlText w:val="%6."/>
      <w:lvlJc w:val="right"/>
      <w:pPr>
        <w:ind w:left="5087" w:hanging="180"/>
      </w:pPr>
    </w:lvl>
    <w:lvl w:ilvl="6" w:tplc="0C09000F" w:tentative="1">
      <w:start w:val="1"/>
      <w:numFmt w:val="decimal"/>
      <w:lvlText w:val="%7."/>
      <w:lvlJc w:val="left"/>
      <w:pPr>
        <w:ind w:left="5807" w:hanging="360"/>
      </w:pPr>
    </w:lvl>
    <w:lvl w:ilvl="7" w:tplc="0C090019" w:tentative="1">
      <w:start w:val="1"/>
      <w:numFmt w:val="lowerLetter"/>
      <w:lvlText w:val="%8."/>
      <w:lvlJc w:val="left"/>
      <w:pPr>
        <w:ind w:left="6527" w:hanging="360"/>
      </w:pPr>
    </w:lvl>
    <w:lvl w:ilvl="8" w:tplc="0C09001B" w:tentative="1">
      <w:start w:val="1"/>
      <w:numFmt w:val="lowerRoman"/>
      <w:lvlText w:val="%9."/>
      <w:lvlJc w:val="right"/>
      <w:pPr>
        <w:ind w:left="7247" w:hanging="180"/>
      </w:p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9ED531B"/>
    <w:multiLevelType w:val="hybridMultilevel"/>
    <w:tmpl w:val="0A722F6C"/>
    <w:lvl w:ilvl="0" w:tplc="9CAABF84">
      <w:start w:val="1"/>
      <w:numFmt w:val="lowerLetter"/>
      <w:lvlText w:val="%1)"/>
      <w:lvlJc w:val="left"/>
      <w:pPr>
        <w:ind w:left="1320" w:hanging="361"/>
      </w:pPr>
      <w:rPr>
        <w:rFonts w:ascii="Times New Roman" w:eastAsia="Times New Roman" w:hAnsi="Times New Roman" w:cs="Times New Roman" w:hint="default"/>
        <w:w w:val="99"/>
        <w:sz w:val="24"/>
        <w:szCs w:val="24"/>
      </w:rPr>
    </w:lvl>
    <w:lvl w:ilvl="1" w:tplc="B6CC63D8">
      <w:numFmt w:val="bullet"/>
      <w:lvlText w:val="•"/>
      <w:lvlJc w:val="left"/>
      <w:pPr>
        <w:ind w:left="2222" w:hanging="361"/>
      </w:pPr>
      <w:rPr>
        <w:rFonts w:hint="default"/>
      </w:rPr>
    </w:lvl>
    <w:lvl w:ilvl="2" w:tplc="F4224176">
      <w:numFmt w:val="bullet"/>
      <w:lvlText w:val="•"/>
      <w:lvlJc w:val="left"/>
      <w:pPr>
        <w:ind w:left="3124" w:hanging="361"/>
      </w:pPr>
      <w:rPr>
        <w:rFonts w:hint="default"/>
      </w:rPr>
    </w:lvl>
    <w:lvl w:ilvl="3" w:tplc="E1065E50">
      <w:numFmt w:val="bullet"/>
      <w:lvlText w:val="•"/>
      <w:lvlJc w:val="left"/>
      <w:pPr>
        <w:ind w:left="4026" w:hanging="361"/>
      </w:pPr>
      <w:rPr>
        <w:rFonts w:hint="default"/>
      </w:rPr>
    </w:lvl>
    <w:lvl w:ilvl="4" w:tplc="B4141B5A">
      <w:numFmt w:val="bullet"/>
      <w:lvlText w:val="•"/>
      <w:lvlJc w:val="left"/>
      <w:pPr>
        <w:ind w:left="4928" w:hanging="361"/>
      </w:pPr>
      <w:rPr>
        <w:rFonts w:hint="default"/>
      </w:rPr>
    </w:lvl>
    <w:lvl w:ilvl="5" w:tplc="BDBA20D6">
      <w:numFmt w:val="bullet"/>
      <w:lvlText w:val="•"/>
      <w:lvlJc w:val="left"/>
      <w:pPr>
        <w:ind w:left="5830" w:hanging="361"/>
      </w:pPr>
      <w:rPr>
        <w:rFonts w:hint="default"/>
      </w:rPr>
    </w:lvl>
    <w:lvl w:ilvl="6" w:tplc="119E307C">
      <w:numFmt w:val="bullet"/>
      <w:lvlText w:val="•"/>
      <w:lvlJc w:val="left"/>
      <w:pPr>
        <w:ind w:left="6732" w:hanging="361"/>
      </w:pPr>
      <w:rPr>
        <w:rFonts w:hint="default"/>
      </w:rPr>
    </w:lvl>
    <w:lvl w:ilvl="7" w:tplc="8794D21A">
      <w:numFmt w:val="bullet"/>
      <w:lvlText w:val="•"/>
      <w:lvlJc w:val="left"/>
      <w:pPr>
        <w:ind w:left="7634" w:hanging="361"/>
      </w:pPr>
      <w:rPr>
        <w:rFonts w:hint="default"/>
      </w:rPr>
    </w:lvl>
    <w:lvl w:ilvl="8" w:tplc="E95C123C">
      <w:numFmt w:val="bullet"/>
      <w:lvlText w:val="•"/>
      <w:lvlJc w:val="left"/>
      <w:pPr>
        <w:ind w:left="8536" w:hanging="361"/>
      </w:pPr>
      <w:rPr>
        <w:rFonts w:hint="default"/>
      </w:rPr>
    </w:lvl>
  </w:abstractNum>
  <w:abstractNum w:abstractNumId="11">
    <w:nsid w:val="1D492688"/>
    <w:multiLevelType w:val="hybridMultilevel"/>
    <w:tmpl w:val="4A7623D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9A74D4"/>
    <w:multiLevelType w:val="hybridMultilevel"/>
    <w:tmpl w:val="0A722F6C"/>
    <w:lvl w:ilvl="0" w:tplc="9CAABF84">
      <w:start w:val="1"/>
      <w:numFmt w:val="lowerLetter"/>
      <w:lvlText w:val="%1)"/>
      <w:lvlJc w:val="left"/>
      <w:pPr>
        <w:ind w:left="1320" w:hanging="361"/>
      </w:pPr>
      <w:rPr>
        <w:rFonts w:ascii="Times New Roman" w:eastAsia="Times New Roman" w:hAnsi="Times New Roman" w:cs="Times New Roman" w:hint="default"/>
        <w:w w:val="99"/>
        <w:sz w:val="24"/>
        <w:szCs w:val="24"/>
      </w:rPr>
    </w:lvl>
    <w:lvl w:ilvl="1" w:tplc="B6CC63D8">
      <w:numFmt w:val="bullet"/>
      <w:lvlText w:val="•"/>
      <w:lvlJc w:val="left"/>
      <w:pPr>
        <w:ind w:left="2222" w:hanging="361"/>
      </w:pPr>
      <w:rPr>
        <w:rFonts w:hint="default"/>
      </w:rPr>
    </w:lvl>
    <w:lvl w:ilvl="2" w:tplc="F4224176">
      <w:numFmt w:val="bullet"/>
      <w:lvlText w:val="•"/>
      <w:lvlJc w:val="left"/>
      <w:pPr>
        <w:ind w:left="3124" w:hanging="361"/>
      </w:pPr>
      <w:rPr>
        <w:rFonts w:hint="default"/>
      </w:rPr>
    </w:lvl>
    <w:lvl w:ilvl="3" w:tplc="E1065E50">
      <w:numFmt w:val="bullet"/>
      <w:lvlText w:val="•"/>
      <w:lvlJc w:val="left"/>
      <w:pPr>
        <w:ind w:left="4026" w:hanging="361"/>
      </w:pPr>
      <w:rPr>
        <w:rFonts w:hint="default"/>
      </w:rPr>
    </w:lvl>
    <w:lvl w:ilvl="4" w:tplc="B4141B5A">
      <w:numFmt w:val="bullet"/>
      <w:lvlText w:val="•"/>
      <w:lvlJc w:val="left"/>
      <w:pPr>
        <w:ind w:left="4928" w:hanging="361"/>
      </w:pPr>
      <w:rPr>
        <w:rFonts w:hint="default"/>
      </w:rPr>
    </w:lvl>
    <w:lvl w:ilvl="5" w:tplc="BDBA20D6">
      <w:numFmt w:val="bullet"/>
      <w:lvlText w:val="•"/>
      <w:lvlJc w:val="left"/>
      <w:pPr>
        <w:ind w:left="5830" w:hanging="361"/>
      </w:pPr>
      <w:rPr>
        <w:rFonts w:hint="default"/>
      </w:rPr>
    </w:lvl>
    <w:lvl w:ilvl="6" w:tplc="119E307C">
      <w:numFmt w:val="bullet"/>
      <w:lvlText w:val="•"/>
      <w:lvlJc w:val="left"/>
      <w:pPr>
        <w:ind w:left="6732" w:hanging="361"/>
      </w:pPr>
      <w:rPr>
        <w:rFonts w:hint="default"/>
      </w:rPr>
    </w:lvl>
    <w:lvl w:ilvl="7" w:tplc="8794D21A">
      <w:numFmt w:val="bullet"/>
      <w:lvlText w:val="•"/>
      <w:lvlJc w:val="left"/>
      <w:pPr>
        <w:ind w:left="7634" w:hanging="361"/>
      </w:pPr>
      <w:rPr>
        <w:rFonts w:hint="default"/>
      </w:rPr>
    </w:lvl>
    <w:lvl w:ilvl="8" w:tplc="E95C123C">
      <w:numFmt w:val="bullet"/>
      <w:lvlText w:val="•"/>
      <w:lvlJc w:val="left"/>
      <w:pPr>
        <w:ind w:left="8536" w:hanging="361"/>
      </w:pPr>
      <w:rPr>
        <w:rFonts w:hint="default"/>
      </w:rPr>
    </w:lvl>
  </w:abstractNum>
  <w:abstractNum w:abstractNumId="13">
    <w:nsid w:val="26222C8B"/>
    <w:multiLevelType w:val="hybridMultilevel"/>
    <w:tmpl w:val="5066D1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8D4299"/>
    <w:multiLevelType w:val="hybridMultilevel"/>
    <w:tmpl w:val="4FF4BA4E"/>
    <w:lvl w:ilvl="0" w:tplc="83502C4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016B2F"/>
    <w:multiLevelType w:val="hybridMultilevel"/>
    <w:tmpl w:val="E130A362"/>
    <w:lvl w:ilvl="0" w:tplc="0540C9CA">
      <w:start w:val="1"/>
      <w:numFmt w:val="bullet"/>
      <w:lvlText w:val=""/>
      <w:lvlJc w:val="left"/>
      <w:pPr>
        <w:ind w:left="797" w:hanging="360"/>
      </w:pPr>
      <w:rPr>
        <w:rFonts w:ascii="Wingdings" w:eastAsiaTheme="minorEastAsia" w:hAnsi="Wingdings" w:cs="Cambria"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6">
    <w:nsid w:val="40BE7319"/>
    <w:multiLevelType w:val="hybridMultilevel"/>
    <w:tmpl w:val="C71AE4B8"/>
    <w:lvl w:ilvl="0" w:tplc="1D8E2504">
      <w:numFmt w:val="bullet"/>
      <w:lvlText w:val=""/>
      <w:lvlJc w:val="left"/>
      <w:pPr>
        <w:ind w:left="1320" w:hanging="361"/>
      </w:pPr>
      <w:rPr>
        <w:rFonts w:ascii="Symbol" w:eastAsia="Symbol" w:hAnsi="Symbol" w:cs="Symbol" w:hint="default"/>
        <w:w w:val="99"/>
        <w:sz w:val="24"/>
        <w:szCs w:val="24"/>
      </w:rPr>
    </w:lvl>
    <w:lvl w:ilvl="1" w:tplc="77D6E6FC">
      <w:numFmt w:val="bullet"/>
      <w:lvlText w:val="o"/>
      <w:lvlJc w:val="left"/>
      <w:pPr>
        <w:ind w:left="2039" w:hanging="361"/>
      </w:pPr>
      <w:rPr>
        <w:rFonts w:ascii="Courier New" w:eastAsia="Courier New" w:hAnsi="Courier New" w:cs="Courier New" w:hint="default"/>
        <w:w w:val="99"/>
        <w:sz w:val="24"/>
        <w:szCs w:val="24"/>
      </w:rPr>
    </w:lvl>
    <w:lvl w:ilvl="2" w:tplc="DB70D45C">
      <w:numFmt w:val="bullet"/>
      <w:lvlText w:val="•"/>
      <w:lvlJc w:val="left"/>
      <w:pPr>
        <w:ind w:left="2962" w:hanging="361"/>
      </w:pPr>
      <w:rPr>
        <w:rFonts w:hint="default"/>
      </w:rPr>
    </w:lvl>
    <w:lvl w:ilvl="3" w:tplc="6B203668">
      <w:numFmt w:val="bullet"/>
      <w:lvlText w:val="•"/>
      <w:lvlJc w:val="left"/>
      <w:pPr>
        <w:ind w:left="3884" w:hanging="361"/>
      </w:pPr>
      <w:rPr>
        <w:rFonts w:hint="default"/>
      </w:rPr>
    </w:lvl>
    <w:lvl w:ilvl="4" w:tplc="9120DDDC">
      <w:numFmt w:val="bullet"/>
      <w:lvlText w:val="•"/>
      <w:lvlJc w:val="left"/>
      <w:pPr>
        <w:ind w:left="4806" w:hanging="361"/>
      </w:pPr>
      <w:rPr>
        <w:rFonts w:hint="default"/>
      </w:rPr>
    </w:lvl>
    <w:lvl w:ilvl="5" w:tplc="BA62B484">
      <w:numFmt w:val="bullet"/>
      <w:lvlText w:val="•"/>
      <w:lvlJc w:val="left"/>
      <w:pPr>
        <w:ind w:left="5728" w:hanging="361"/>
      </w:pPr>
      <w:rPr>
        <w:rFonts w:hint="default"/>
      </w:rPr>
    </w:lvl>
    <w:lvl w:ilvl="6" w:tplc="D252252A">
      <w:numFmt w:val="bullet"/>
      <w:lvlText w:val="•"/>
      <w:lvlJc w:val="left"/>
      <w:pPr>
        <w:ind w:left="6651" w:hanging="361"/>
      </w:pPr>
      <w:rPr>
        <w:rFonts w:hint="default"/>
      </w:rPr>
    </w:lvl>
    <w:lvl w:ilvl="7" w:tplc="3604839E">
      <w:numFmt w:val="bullet"/>
      <w:lvlText w:val="•"/>
      <w:lvlJc w:val="left"/>
      <w:pPr>
        <w:ind w:left="7573" w:hanging="361"/>
      </w:pPr>
      <w:rPr>
        <w:rFonts w:hint="default"/>
      </w:rPr>
    </w:lvl>
    <w:lvl w:ilvl="8" w:tplc="AA38AF30">
      <w:numFmt w:val="bullet"/>
      <w:lvlText w:val="•"/>
      <w:lvlJc w:val="left"/>
      <w:pPr>
        <w:ind w:left="8495" w:hanging="361"/>
      </w:pPr>
      <w:rPr>
        <w:rFonts w:hint="default"/>
      </w:rPr>
    </w:lvl>
  </w:abstractNum>
  <w:abstractNum w:abstractNumId="17">
    <w:nsid w:val="42EB7247"/>
    <w:multiLevelType w:val="hybridMultilevel"/>
    <w:tmpl w:val="A8BC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C310D5"/>
    <w:multiLevelType w:val="hybridMultilevel"/>
    <w:tmpl w:val="6F7EB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FBB5F77"/>
    <w:multiLevelType w:val="hybridMultilevel"/>
    <w:tmpl w:val="F0E052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C1F24F7"/>
    <w:multiLevelType w:val="hybridMultilevel"/>
    <w:tmpl w:val="69E4F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7F3785C"/>
    <w:multiLevelType w:val="hybridMultilevel"/>
    <w:tmpl w:val="43801296"/>
    <w:lvl w:ilvl="0" w:tplc="5FA6E9C0">
      <w:start w:val="1"/>
      <w:numFmt w:val="decimal"/>
      <w:lvlText w:val="%1."/>
      <w:lvlJc w:val="left"/>
      <w:pPr>
        <w:ind w:left="959" w:hanging="360"/>
      </w:pPr>
      <w:rPr>
        <w:rFonts w:ascii="Times New Roman" w:eastAsia="Times New Roman" w:hAnsi="Times New Roman" w:cs="Times New Roman" w:hint="default"/>
        <w:b/>
        <w:bCs/>
        <w:w w:val="99"/>
        <w:sz w:val="24"/>
        <w:szCs w:val="24"/>
      </w:rPr>
    </w:lvl>
    <w:lvl w:ilvl="1" w:tplc="1694B49C">
      <w:start w:val="1"/>
      <w:numFmt w:val="lowerLetter"/>
      <w:lvlText w:val="%2)"/>
      <w:lvlJc w:val="left"/>
      <w:pPr>
        <w:ind w:left="1320" w:hanging="361"/>
      </w:pPr>
      <w:rPr>
        <w:rFonts w:ascii="Times New Roman" w:eastAsia="Times New Roman" w:hAnsi="Times New Roman" w:cs="Times New Roman" w:hint="default"/>
        <w:w w:val="99"/>
        <w:sz w:val="24"/>
        <w:szCs w:val="24"/>
      </w:rPr>
    </w:lvl>
    <w:lvl w:ilvl="2" w:tplc="75C0BC86">
      <w:numFmt w:val="bullet"/>
      <w:lvlText w:val="•"/>
      <w:lvlJc w:val="left"/>
      <w:pPr>
        <w:ind w:left="2322" w:hanging="361"/>
      </w:pPr>
      <w:rPr>
        <w:rFonts w:hint="default"/>
      </w:rPr>
    </w:lvl>
    <w:lvl w:ilvl="3" w:tplc="DCD67ACE">
      <w:numFmt w:val="bullet"/>
      <w:lvlText w:val="•"/>
      <w:lvlJc w:val="left"/>
      <w:pPr>
        <w:ind w:left="3324" w:hanging="361"/>
      </w:pPr>
      <w:rPr>
        <w:rFonts w:hint="default"/>
      </w:rPr>
    </w:lvl>
    <w:lvl w:ilvl="4" w:tplc="D1AEA91C">
      <w:numFmt w:val="bullet"/>
      <w:lvlText w:val="•"/>
      <w:lvlJc w:val="left"/>
      <w:pPr>
        <w:ind w:left="4326" w:hanging="361"/>
      </w:pPr>
      <w:rPr>
        <w:rFonts w:hint="default"/>
      </w:rPr>
    </w:lvl>
    <w:lvl w:ilvl="5" w:tplc="074E7D7E">
      <w:numFmt w:val="bullet"/>
      <w:lvlText w:val="•"/>
      <w:lvlJc w:val="left"/>
      <w:pPr>
        <w:ind w:left="5328" w:hanging="361"/>
      </w:pPr>
      <w:rPr>
        <w:rFonts w:hint="default"/>
      </w:rPr>
    </w:lvl>
    <w:lvl w:ilvl="6" w:tplc="EC260C8A">
      <w:numFmt w:val="bullet"/>
      <w:lvlText w:val="•"/>
      <w:lvlJc w:val="left"/>
      <w:pPr>
        <w:ind w:left="6331" w:hanging="361"/>
      </w:pPr>
      <w:rPr>
        <w:rFonts w:hint="default"/>
      </w:rPr>
    </w:lvl>
    <w:lvl w:ilvl="7" w:tplc="493C1B1A">
      <w:numFmt w:val="bullet"/>
      <w:lvlText w:val="•"/>
      <w:lvlJc w:val="left"/>
      <w:pPr>
        <w:ind w:left="7333" w:hanging="361"/>
      </w:pPr>
      <w:rPr>
        <w:rFonts w:hint="default"/>
      </w:rPr>
    </w:lvl>
    <w:lvl w:ilvl="8" w:tplc="021C315C">
      <w:numFmt w:val="bullet"/>
      <w:lvlText w:val="•"/>
      <w:lvlJc w:val="left"/>
      <w:pPr>
        <w:ind w:left="8335" w:hanging="361"/>
      </w:pPr>
      <w:rPr>
        <w:rFont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5"/>
  </w:num>
  <w:num w:numId="28">
    <w:abstractNumId w:val="4"/>
  </w:num>
  <w:num w:numId="29">
    <w:abstractNumId w:val="17"/>
  </w:num>
  <w:num w:numId="30">
    <w:abstractNumId w:val="1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9"/>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6"/>
  </w:num>
  <w:num w:numId="41">
    <w:abstractNumId w:val="12"/>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13"/>
  </w:num>
  <w:num w:numId="46">
    <w:abstractNumId w:val="14"/>
  </w:num>
  <w:num w:numId="47">
    <w:abstractNumId w:val="8"/>
  </w:num>
  <w:num w:numId="48">
    <w:abstractNumId w:val="11"/>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rson w15:author="Torres_Rafael">
    <w15:presenceInfo w15:providerId="AD" w15:userId="S-1-5-21-1740180488-679411820-1494893578-115903"/>
  </w15:person>
  <w15:person w15:author="Weissman_Darren">
    <w15:presenceInfo w15:providerId="AD" w15:userId="S-1-5-21-1740180488-679411820-1494893578-770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C76"/>
    <w:rsid w:val="000000CE"/>
    <w:rsid w:val="00001604"/>
    <w:rsid w:val="00002031"/>
    <w:rsid w:val="00004734"/>
    <w:rsid w:val="00006B22"/>
    <w:rsid w:val="000076F9"/>
    <w:rsid w:val="0001276A"/>
    <w:rsid w:val="00013114"/>
    <w:rsid w:val="00013A41"/>
    <w:rsid w:val="00014C5E"/>
    <w:rsid w:val="000228D4"/>
    <w:rsid w:val="000246AE"/>
    <w:rsid w:val="00025C67"/>
    <w:rsid w:val="00027012"/>
    <w:rsid w:val="00032D0D"/>
    <w:rsid w:val="00036AF7"/>
    <w:rsid w:val="00044772"/>
    <w:rsid w:val="00047FA2"/>
    <w:rsid w:val="0005559E"/>
    <w:rsid w:val="000604D6"/>
    <w:rsid w:val="000734D8"/>
    <w:rsid w:val="00074C31"/>
    <w:rsid w:val="00076679"/>
    <w:rsid w:val="00077588"/>
    <w:rsid w:val="00077775"/>
    <w:rsid w:val="0008268B"/>
    <w:rsid w:val="00090471"/>
    <w:rsid w:val="00096AA7"/>
    <w:rsid w:val="00096F1E"/>
    <w:rsid w:val="00097004"/>
    <w:rsid w:val="000A3AED"/>
    <w:rsid w:val="000B3532"/>
    <w:rsid w:val="000B3A75"/>
    <w:rsid w:val="000B640B"/>
    <w:rsid w:val="000B653A"/>
    <w:rsid w:val="000B7C40"/>
    <w:rsid w:val="000C00C2"/>
    <w:rsid w:val="000C05A5"/>
    <w:rsid w:val="000C690F"/>
    <w:rsid w:val="000D1295"/>
    <w:rsid w:val="000D391B"/>
    <w:rsid w:val="000D3D6D"/>
    <w:rsid w:val="000D4FC7"/>
    <w:rsid w:val="000E6196"/>
    <w:rsid w:val="000F4869"/>
    <w:rsid w:val="000F5B42"/>
    <w:rsid w:val="000F6E6F"/>
    <w:rsid w:val="000F77DE"/>
    <w:rsid w:val="00100E24"/>
    <w:rsid w:val="00102037"/>
    <w:rsid w:val="00102705"/>
    <w:rsid w:val="00102E55"/>
    <w:rsid w:val="0010601F"/>
    <w:rsid w:val="0010788A"/>
    <w:rsid w:val="00107A31"/>
    <w:rsid w:val="00110EA5"/>
    <w:rsid w:val="00112F56"/>
    <w:rsid w:val="00125318"/>
    <w:rsid w:val="00125E65"/>
    <w:rsid w:val="001305A2"/>
    <w:rsid w:val="00133238"/>
    <w:rsid w:val="00133A1B"/>
    <w:rsid w:val="0014197B"/>
    <w:rsid w:val="00141C8C"/>
    <w:rsid w:val="001447CD"/>
    <w:rsid w:val="00147C2D"/>
    <w:rsid w:val="001511C7"/>
    <w:rsid w:val="00151326"/>
    <w:rsid w:val="001516B1"/>
    <w:rsid w:val="001528E5"/>
    <w:rsid w:val="001544B4"/>
    <w:rsid w:val="00154CBD"/>
    <w:rsid w:val="00154EBB"/>
    <w:rsid w:val="00156316"/>
    <w:rsid w:val="00161181"/>
    <w:rsid w:val="00162D14"/>
    <w:rsid w:val="001647AA"/>
    <w:rsid w:val="00165389"/>
    <w:rsid w:val="001731D8"/>
    <w:rsid w:val="0017571E"/>
    <w:rsid w:val="0017693F"/>
    <w:rsid w:val="0018110E"/>
    <w:rsid w:val="00181684"/>
    <w:rsid w:val="001843C6"/>
    <w:rsid w:val="001850E0"/>
    <w:rsid w:val="00191E35"/>
    <w:rsid w:val="00192749"/>
    <w:rsid w:val="001963D0"/>
    <w:rsid w:val="001A087B"/>
    <w:rsid w:val="001A0C9A"/>
    <w:rsid w:val="001A2158"/>
    <w:rsid w:val="001A30C2"/>
    <w:rsid w:val="001A525F"/>
    <w:rsid w:val="001A69B8"/>
    <w:rsid w:val="001B09F9"/>
    <w:rsid w:val="001B1FE8"/>
    <w:rsid w:val="001B5C90"/>
    <w:rsid w:val="001B6448"/>
    <w:rsid w:val="001C32CD"/>
    <w:rsid w:val="001C4C9B"/>
    <w:rsid w:val="001C6A80"/>
    <w:rsid w:val="001D0390"/>
    <w:rsid w:val="001D2984"/>
    <w:rsid w:val="001D5491"/>
    <w:rsid w:val="001D6407"/>
    <w:rsid w:val="001E063F"/>
    <w:rsid w:val="001E07CF"/>
    <w:rsid w:val="001E59F1"/>
    <w:rsid w:val="001F1B51"/>
    <w:rsid w:val="001F2CEE"/>
    <w:rsid w:val="001F44D1"/>
    <w:rsid w:val="001F49EB"/>
    <w:rsid w:val="001F6CBA"/>
    <w:rsid w:val="00201D4E"/>
    <w:rsid w:val="00203760"/>
    <w:rsid w:val="002076C9"/>
    <w:rsid w:val="00215AF2"/>
    <w:rsid w:val="00220B8A"/>
    <w:rsid w:val="002257F3"/>
    <w:rsid w:val="00226AC5"/>
    <w:rsid w:val="00233456"/>
    <w:rsid w:val="002339A5"/>
    <w:rsid w:val="00243F94"/>
    <w:rsid w:val="00245469"/>
    <w:rsid w:val="00252201"/>
    <w:rsid w:val="0025608B"/>
    <w:rsid w:val="00257848"/>
    <w:rsid w:val="00260AEB"/>
    <w:rsid w:val="0027084A"/>
    <w:rsid w:val="002728C9"/>
    <w:rsid w:val="0027691F"/>
    <w:rsid w:val="00282AA8"/>
    <w:rsid w:val="00283A93"/>
    <w:rsid w:val="00286434"/>
    <w:rsid w:val="00286C59"/>
    <w:rsid w:val="00286F60"/>
    <w:rsid w:val="002872FF"/>
    <w:rsid w:val="00290DA2"/>
    <w:rsid w:val="00291957"/>
    <w:rsid w:val="002942D1"/>
    <w:rsid w:val="0029501A"/>
    <w:rsid w:val="002A3721"/>
    <w:rsid w:val="002B1638"/>
    <w:rsid w:val="002B3624"/>
    <w:rsid w:val="002B3FBC"/>
    <w:rsid w:val="002B650D"/>
    <w:rsid w:val="002B7188"/>
    <w:rsid w:val="002D0952"/>
    <w:rsid w:val="002D4415"/>
    <w:rsid w:val="002E3010"/>
    <w:rsid w:val="002E40B3"/>
    <w:rsid w:val="002E4C9A"/>
    <w:rsid w:val="002E7026"/>
    <w:rsid w:val="002F11F8"/>
    <w:rsid w:val="002F2130"/>
    <w:rsid w:val="002F3F56"/>
    <w:rsid w:val="002F44B5"/>
    <w:rsid w:val="00311AC0"/>
    <w:rsid w:val="00316593"/>
    <w:rsid w:val="003176FC"/>
    <w:rsid w:val="0032583B"/>
    <w:rsid w:val="00327883"/>
    <w:rsid w:val="00335504"/>
    <w:rsid w:val="00340C18"/>
    <w:rsid w:val="003438F0"/>
    <w:rsid w:val="003442FD"/>
    <w:rsid w:val="00347824"/>
    <w:rsid w:val="00350567"/>
    <w:rsid w:val="003521E8"/>
    <w:rsid w:val="0036183F"/>
    <w:rsid w:val="00364096"/>
    <w:rsid w:val="00365268"/>
    <w:rsid w:val="00370CE3"/>
    <w:rsid w:val="00372152"/>
    <w:rsid w:val="003728F3"/>
    <w:rsid w:val="0037496E"/>
    <w:rsid w:val="003760A4"/>
    <w:rsid w:val="00383221"/>
    <w:rsid w:val="00383E78"/>
    <w:rsid w:val="00386150"/>
    <w:rsid w:val="003874CE"/>
    <w:rsid w:val="00390900"/>
    <w:rsid w:val="003924CA"/>
    <w:rsid w:val="003933CA"/>
    <w:rsid w:val="003A7F6C"/>
    <w:rsid w:val="003B4D60"/>
    <w:rsid w:val="003B6E12"/>
    <w:rsid w:val="003B7E39"/>
    <w:rsid w:val="003C49D9"/>
    <w:rsid w:val="003C58DC"/>
    <w:rsid w:val="003D1E62"/>
    <w:rsid w:val="003D32E5"/>
    <w:rsid w:val="003D659A"/>
    <w:rsid w:val="003D6938"/>
    <w:rsid w:val="003E0B99"/>
    <w:rsid w:val="003E2486"/>
    <w:rsid w:val="003E3208"/>
    <w:rsid w:val="003E60BA"/>
    <w:rsid w:val="003F0B04"/>
    <w:rsid w:val="00400F9E"/>
    <w:rsid w:val="0040134E"/>
    <w:rsid w:val="00403BA3"/>
    <w:rsid w:val="00405DF1"/>
    <w:rsid w:val="00413AA3"/>
    <w:rsid w:val="00415FAB"/>
    <w:rsid w:val="00421222"/>
    <w:rsid w:val="004307FE"/>
    <w:rsid w:val="004334C7"/>
    <w:rsid w:val="004347E5"/>
    <w:rsid w:val="00440A2D"/>
    <w:rsid w:val="00441C3F"/>
    <w:rsid w:val="00444545"/>
    <w:rsid w:val="004472B2"/>
    <w:rsid w:val="00450B6F"/>
    <w:rsid w:val="00456202"/>
    <w:rsid w:val="004564A7"/>
    <w:rsid w:val="004602DE"/>
    <w:rsid w:val="004617BF"/>
    <w:rsid w:val="0046342F"/>
    <w:rsid w:val="00463658"/>
    <w:rsid w:val="004637A0"/>
    <w:rsid w:val="00463BFE"/>
    <w:rsid w:val="00467E7D"/>
    <w:rsid w:val="004720F5"/>
    <w:rsid w:val="004722CC"/>
    <w:rsid w:val="00472EB6"/>
    <w:rsid w:val="00476E13"/>
    <w:rsid w:val="004936E4"/>
    <w:rsid w:val="00494E60"/>
    <w:rsid w:val="00497487"/>
    <w:rsid w:val="004A1F65"/>
    <w:rsid w:val="004A4EB6"/>
    <w:rsid w:val="004A6189"/>
    <w:rsid w:val="004A7390"/>
    <w:rsid w:val="004B2534"/>
    <w:rsid w:val="004B3447"/>
    <w:rsid w:val="004B7B76"/>
    <w:rsid w:val="004C0287"/>
    <w:rsid w:val="004C1882"/>
    <w:rsid w:val="004C239D"/>
    <w:rsid w:val="004C2DCA"/>
    <w:rsid w:val="004C482D"/>
    <w:rsid w:val="004C57B8"/>
    <w:rsid w:val="004C61D2"/>
    <w:rsid w:val="004E58BE"/>
    <w:rsid w:val="004F0C4A"/>
    <w:rsid w:val="004F0F38"/>
    <w:rsid w:val="004F46B2"/>
    <w:rsid w:val="004F47D6"/>
    <w:rsid w:val="004F726B"/>
    <w:rsid w:val="0050013F"/>
    <w:rsid w:val="00501921"/>
    <w:rsid w:val="00510759"/>
    <w:rsid w:val="00530354"/>
    <w:rsid w:val="00531541"/>
    <w:rsid w:val="0053625B"/>
    <w:rsid w:val="00537F43"/>
    <w:rsid w:val="005434C6"/>
    <w:rsid w:val="005438A2"/>
    <w:rsid w:val="00543B39"/>
    <w:rsid w:val="00543B66"/>
    <w:rsid w:val="00546154"/>
    <w:rsid w:val="00550096"/>
    <w:rsid w:val="005543B6"/>
    <w:rsid w:val="00555280"/>
    <w:rsid w:val="00557FF9"/>
    <w:rsid w:val="00562327"/>
    <w:rsid w:val="00566B82"/>
    <w:rsid w:val="005711D5"/>
    <w:rsid w:val="00576378"/>
    <w:rsid w:val="00577130"/>
    <w:rsid w:val="00577945"/>
    <w:rsid w:val="00577E38"/>
    <w:rsid w:val="005809C6"/>
    <w:rsid w:val="00584325"/>
    <w:rsid w:val="00584D29"/>
    <w:rsid w:val="00585322"/>
    <w:rsid w:val="005857C6"/>
    <w:rsid w:val="00591078"/>
    <w:rsid w:val="00592F6E"/>
    <w:rsid w:val="00593AD1"/>
    <w:rsid w:val="005A5D44"/>
    <w:rsid w:val="005A68B6"/>
    <w:rsid w:val="005C5570"/>
    <w:rsid w:val="005C79A4"/>
    <w:rsid w:val="005D299B"/>
    <w:rsid w:val="005D5442"/>
    <w:rsid w:val="005D6FC7"/>
    <w:rsid w:val="005E5841"/>
    <w:rsid w:val="005F0089"/>
    <w:rsid w:val="005F1690"/>
    <w:rsid w:val="005F24CC"/>
    <w:rsid w:val="005F3E54"/>
    <w:rsid w:val="005F724D"/>
    <w:rsid w:val="00603F32"/>
    <w:rsid w:val="00605AD4"/>
    <w:rsid w:val="006136D7"/>
    <w:rsid w:val="00613DE0"/>
    <w:rsid w:val="00625A6E"/>
    <w:rsid w:val="00627010"/>
    <w:rsid w:val="006302D0"/>
    <w:rsid w:val="00632398"/>
    <w:rsid w:val="006373A7"/>
    <w:rsid w:val="00640FC3"/>
    <w:rsid w:val="00642020"/>
    <w:rsid w:val="0064440E"/>
    <w:rsid w:val="00647592"/>
    <w:rsid w:val="0065337B"/>
    <w:rsid w:val="0065419D"/>
    <w:rsid w:val="0065429A"/>
    <w:rsid w:val="006570AF"/>
    <w:rsid w:val="006604D8"/>
    <w:rsid w:val="00662E29"/>
    <w:rsid w:val="006640CA"/>
    <w:rsid w:val="00664A5B"/>
    <w:rsid w:val="0066735C"/>
    <w:rsid w:val="006763D2"/>
    <w:rsid w:val="00680C08"/>
    <w:rsid w:val="006916A0"/>
    <w:rsid w:val="006931B1"/>
    <w:rsid w:val="006A15C0"/>
    <w:rsid w:val="006B12F3"/>
    <w:rsid w:val="006C3E2A"/>
    <w:rsid w:val="006C642F"/>
    <w:rsid w:val="006C70FC"/>
    <w:rsid w:val="006D03E5"/>
    <w:rsid w:val="006D34D4"/>
    <w:rsid w:val="006D40F4"/>
    <w:rsid w:val="006D5D3E"/>
    <w:rsid w:val="006E08B3"/>
    <w:rsid w:val="006F17AC"/>
    <w:rsid w:val="006F25B8"/>
    <w:rsid w:val="006F572E"/>
    <w:rsid w:val="0070320B"/>
    <w:rsid w:val="007046D6"/>
    <w:rsid w:val="00705DB0"/>
    <w:rsid w:val="007066C7"/>
    <w:rsid w:val="0071098C"/>
    <w:rsid w:val="00712DA2"/>
    <w:rsid w:val="00717A4B"/>
    <w:rsid w:val="00722B57"/>
    <w:rsid w:val="00730194"/>
    <w:rsid w:val="00730F8A"/>
    <w:rsid w:val="0073350C"/>
    <w:rsid w:val="0073554A"/>
    <w:rsid w:val="00735A8C"/>
    <w:rsid w:val="0074253D"/>
    <w:rsid w:val="0074429B"/>
    <w:rsid w:val="00746A5C"/>
    <w:rsid w:val="00751388"/>
    <w:rsid w:val="007556C0"/>
    <w:rsid w:val="007615BC"/>
    <w:rsid w:val="00762F05"/>
    <w:rsid w:val="007652FF"/>
    <w:rsid w:val="00770CAC"/>
    <w:rsid w:val="00770EF1"/>
    <w:rsid w:val="00772FFE"/>
    <w:rsid w:val="00773EF7"/>
    <w:rsid w:val="00774E1D"/>
    <w:rsid w:val="007765D8"/>
    <w:rsid w:val="0077675A"/>
    <w:rsid w:val="00780355"/>
    <w:rsid w:val="007819FD"/>
    <w:rsid w:val="00785717"/>
    <w:rsid w:val="00785721"/>
    <w:rsid w:val="00785F4E"/>
    <w:rsid w:val="00787AFD"/>
    <w:rsid w:val="00793A59"/>
    <w:rsid w:val="007A0E9D"/>
    <w:rsid w:val="007B3A1B"/>
    <w:rsid w:val="007B6132"/>
    <w:rsid w:val="007B6E9F"/>
    <w:rsid w:val="007C1216"/>
    <w:rsid w:val="007C1AF7"/>
    <w:rsid w:val="007C389C"/>
    <w:rsid w:val="007C4CD5"/>
    <w:rsid w:val="007C6B9B"/>
    <w:rsid w:val="007D116E"/>
    <w:rsid w:val="007D3174"/>
    <w:rsid w:val="007D3375"/>
    <w:rsid w:val="007E4136"/>
    <w:rsid w:val="007E41B7"/>
    <w:rsid w:val="007E6F20"/>
    <w:rsid w:val="007F21AE"/>
    <w:rsid w:val="00805D27"/>
    <w:rsid w:val="00806DCB"/>
    <w:rsid w:val="00810AB9"/>
    <w:rsid w:val="00815235"/>
    <w:rsid w:val="00821776"/>
    <w:rsid w:val="00822784"/>
    <w:rsid w:val="008321F5"/>
    <w:rsid w:val="00832369"/>
    <w:rsid w:val="008336A5"/>
    <w:rsid w:val="00834660"/>
    <w:rsid w:val="00836BC2"/>
    <w:rsid w:val="00837448"/>
    <w:rsid w:val="00847FD4"/>
    <w:rsid w:val="008504A0"/>
    <w:rsid w:val="0085156D"/>
    <w:rsid w:val="0085641B"/>
    <w:rsid w:val="00857136"/>
    <w:rsid w:val="00875A6B"/>
    <w:rsid w:val="00876BF0"/>
    <w:rsid w:val="00881916"/>
    <w:rsid w:val="00882D7B"/>
    <w:rsid w:val="00885B11"/>
    <w:rsid w:val="00886D15"/>
    <w:rsid w:val="00887DD8"/>
    <w:rsid w:val="00891BA9"/>
    <w:rsid w:val="00896018"/>
    <w:rsid w:val="008960DD"/>
    <w:rsid w:val="0089635C"/>
    <w:rsid w:val="008A2B9D"/>
    <w:rsid w:val="008A3D9F"/>
    <w:rsid w:val="008A5E0B"/>
    <w:rsid w:val="008A6D59"/>
    <w:rsid w:val="008B1C5F"/>
    <w:rsid w:val="008B4B03"/>
    <w:rsid w:val="008B596F"/>
    <w:rsid w:val="008B5976"/>
    <w:rsid w:val="008C159F"/>
    <w:rsid w:val="008C1623"/>
    <w:rsid w:val="008C1850"/>
    <w:rsid w:val="008C51A9"/>
    <w:rsid w:val="008C662D"/>
    <w:rsid w:val="008D57E9"/>
    <w:rsid w:val="008E7846"/>
    <w:rsid w:val="008F02E5"/>
    <w:rsid w:val="008F1CCC"/>
    <w:rsid w:val="008F2967"/>
    <w:rsid w:val="008F6943"/>
    <w:rsid w:val="00902A21"/>
    <w:rsid w:val="00903FD1"/>
    <w:rsid w:val="00904523"/>
    <w:rsid w:val="00911813"/>
    <w:rsid w:val="00912EF1"/>
    <w:rsid w:val="0091551B"/>
    <w:rsid w:val="00920330"/>
    <w:rsid w:val="009219D7"/>
    <w:rsid w:val="00922D53"/>
    <w:rsid w:val="00923B70"/>
    <w:rsid w:val="00924482"/>
    <w:rsid w:val="00930237"/>
    <w:rsid w:val="00933112"/>
    <w:rsid w:val="00933F49"/>
    <w:rsid w:val="00937C17"/>
    <w:rsid w:val="00940A89"/>
    <w:rsid w:val="00941CD7"/>
    <w:rsid w:val="00946EA5"/>
    <w:rsid w:val="00963C08"/>
    <w:rsid w:val="009644CB"/>
    <w:rsid w:val="00966162"/>
    <w:rsid w:val="009752A5"/>
    <w:rsid w:val="00985440"/>
    <w:rsid w:val="0098585A"/>
    <w:rsid w:val="00990F50"/>
    <w:rsid w:val="009A4CED"/>
    <w:rsid w:val="009A690D"/>
    <w:rsid w:val="009B1D12"/>
    <w:rsid w:val="009B416B"/>
    <w:rsid w:val="009B5B55"/>
    <w:rsid w:val="009C30CD"/>
    <w:rsid w:val="009C4BD5"/>
    <w:rsid w:val="009D4C76"/>
    <w:rsid w:val="009D50DB"/>
    <w:rsid w:val="009D7B77"/>
    <w:rsid w:val="009E0BB0"/>
    <w:rsid w:val="009E3FBB"/>
    <w:rsid w:val="009E405F"/>
    <w:rsid w:val="009F1075"/>
    <w:rsid w:val="009F7353"/>
    <w:rsid w:val="00A02404"/>
    <w:rsid w:val="00A0286B"/>
    <w:rsid w:val="00A04F85"/>
    <w:rsid w:val="00A0558F"/>
    <w:rsid w:val="00A05FA4"/>
    <w:rsid w:val="00A102E4"/>
    <w:rsid w:val="00A12C42"/>
    <w:rsid w:val="00A146D6"/>
    <w:rsid w:val="00A14DF7"/>
    <w:rsid w:val="00A16516"/>
    <w:rsid w:val="00A235EC"/>
    <w:rsid w:val="00A3246D"/>
    <w:rsid w:val="00A36FA7"/>
    <w:rsid w:val="00A37AC8"/>
    <w:rsid w:val="00A40F30"/>
    <w:rsid w:val="00A41068"/>
    <w:rsid w:val="00A44DDB"/>
    <w:rsid w:val="00A4754A"/>
    <w:rsid w:val="00A475B7"/>
    <w:rsid w:val="00A47AF7"/>
    <w:rsid w:val="00A47C3E"/>
    <w:rsid w:val="00A50226"/>
    <w:rsid w:val="00A5696E"/>
    <w:rsid w:val="00A600A0"/>
    <w:rsid w:val="00A60BAD"/>
    <w:rsid w:val="00A617D7"/>
    <w:rsid w:val="00A7664C"/>
    <w:rsid w:val="00A771C7"/>
    <w:rsid w:val="00A80B5B"/>
    <w:rsid w:val="00A84E36"/>
    <w:rsid w:val="00A9055C"/>
    <w:rsid w:val="00A964D1"/>
    <w:rsid w:val="00AA0ED0"/>
    <w:rsid w:val="00AC04B2"/>
    <w:rsid w:val="00AC2B40"/>
    <w:rsid w:val="00AC2BB2"/>
    <w:rsid w:val="00AC2C3C"/>
    <w:rsid w:val="00AC512D"/>
    <w:rsid w:val="00AC7E13"/>
    <w:rsid w:val="00AD0083"/>
    <w:rsid w:val="00AD0259"/>
    <w:rsid w:val="00AD25FC"/>
    <w:rsid w:val="00AD3935"/>
    <w:rsid w:val="00AD3E21"/>
    <w:rsid w:val="00AE578E"/>
    <w:rsid w:val="00AE65EB"/>
    <w:rsid w:val="00AE67A7"/>
    <w:rsid w:val="00AF1D94"/>
    <w:rsid w:val="00AF3671"/>
    <w:rsid w:val="00AF60C5"/>
    <w:rsid w:val="00B009C6"/>
    <w:rsid w:val="00B01548"/>
    <w:rsid w:val="00B05B61"/>
    <w:rsid w:val="00B13EBD"/>
    <w:rsid w:val="00B20314"/>
    <w:rsid w:val="00B21D29"/>
    <w:rsid w:val="00B237F1"/>
    <w:rsid w:val="00B25034"/>
    <w:rsid w:val="00B2741C"/>
    <w:rsid w:val="00B33588"/>
    <w:rsid w:val="00B33863"/>
    <w:rsid w:val="00B35620"/>
    <w:rsid w:val="00B37D17"/>
    <w:rsid w:val="00B41447"/>
    <w:rsid w:val="00B4175E"/>
    <w:rsid w:val="00B432B9"/>
    <w:rsid w:val="00B44C9E"/>
    <w:rsid w:val="00B452CE"/>
    <w:rsid w:val="00B54C25"/>
    <w:rsid w:val="00B560F1"/>
    <w:rsid w:val="00B71741"/>
    <w:rsid w:val="00B76B91"/>
    <w:rsid w:val="00B77EB1"/>
    <w:rsid w:val="00B811C6"/>
    <w:rsid w:val="00B81D29"/>
    <w:rsid w:val="00B855B0"/>
    <w:rsid w:val="00B9284C"/>
    <w:rsid w:val="00B92E08"/>
    <w:rsid w:val="00B9445C"/>
    <w:rsid w:val="00B95E90"/>
    <w:rsid w:val="00BC622A"/>
    <w:rsid w:val="00BD32D8"/>
    <w:rsid w:val="00BE0A78"/>
    <w:rsid w:val="00BE2F4F"/>
    <w:rsid w:val="00BE40EF"/>
    <w:rsid w:val="00BE79F0"/>
    <w:rsid w:val="00BF046D"/>
    <w:rsid w:val="00BF09F1"/>
    <w:rsid w:val="00BF1190"/>
    <w:rsid w:val="00BF45A4"/>
    <w:rsid w:val="00BF5D04"/>
    <w:rsid w:val="00BF690B"/>
    <w:rsid w:val="00C009AA"/>
    <w:rsid w:val="00C017B9"/>
    <w:rsid w:val="00C1164D"/>
    <w:rsid w:val="00C16861"/>
    <w:rsid w:val="00C26F4A"/>
    <w:rsid w:val="00C346AB"/>
    <w:rsid w:val="00C35916"/>
    <w:rsid w:val="00C404A6"/>
    <w:rsid w:val="00C40A36"/>
    <w:rsid w:val="00C44419"/>
    <w:rsid w:val="00C45E7B"/>
    <w:rsid w:val="00C471B1"/>
    <w:rsid w:val="00C5464E"/>
    <w:rsid w:val="00C6316B"/>
    <w:rsid w:val="00C634A9"/>
    <w:rsid w:val="00C64586"/>
    <w:rsid w:val="00C65E8B"/>
    <w:rsid w:val="00C65F34"/>
    <w:rsid w:val="00C661AB"/>
    <w:rsid w:val="00C70D53"/>
    <w:rsid w:val="00C71269"/>
    <w:rsid w:val="00C73D0B"/>
    <w:rsid w:val="00C7619D"/>
    <w:rsid w:val="00C7674E"/>
    <w:rsid w:val="00C7694E"/>
    <w:rsid w:val="00C772FF"/>
    <w:rsid w:val="00C80137"/>
    <w:rsid w:val="00C801AF"/>
    <w:rsid w:val="00C80256"/>
    <w:rsid w:val="00C87895"/>
    <w:rsid w:val="00C92BCC"/>
    <w:rsid w:val="00C94CD4"/>
    <w:rsid w:val="00C9570E"/>
    <w:rsid w:val="00C9747E"/>
    <w:rsid w:val="00CA02F7"/>
    <w:rsid w:val="00CA6334"/>
    <w:rsid w:val="00CB6BC0"/>
    <w:rsid w:val="00CB7049"/>
    <w:rsid w:val="00CC1B7C"/>
    <w:rsid w:val="00CC5FB4"/>
    <w:rsid w:val="00CC6D17"/>
    <w:rsid w:val="00CC727F"/>
    <w:rsid w:val="00CD1386"/>
    <w:rsid w:val="00CD3675"/>
    <w:rsid w:val="00CD36E2"/>
    <w:rsid w:val="00CE0FAB"/>
    <w:rsid w:val="00CE557B"/>
    <w:rsid w:val="00CE7DFD"/>
    <w:rsid w:val="00CF0AF6"/>
    <w:rsid w:val="00CF15C3"/>
    <w:rsid w:val="00CF2B6F"/>
    <w:rsid w:val="00CF2F3E"/>
    <w:rsid w:val="00CF58B6"/>
    <w:rsid w:val="00CF5B34"/>
    <w:rsid w:val="00D0062D"/>
    <w:rsid w:val="00D017ED"/>
    <w:rsid w:val="00D040D3"/>
    <w:rsid w:val="00D04C65"/>
    <w:rsid w:val="00D201D2"/>
    <w:rsid w:val="00D21405"/>
    <w:rsid w:val="00D224FE"/>
    <w:rsid w:val="00D23139"/>
    <w:rsid w:val="00D24E9A"/>
    <w:rsid w:val="00D34A6D"/>
    <w:rsid w:val="00D37594"/>
    <w:rsid w:val="00D425BB"/>
    <w:rsid w:val="00D42D2A"/>
    <w:rsid w:val="00D448F9"/>
    <w:rsid w:val="00D4621C"/>
    <w:rsid w:val="00D5695B"/>
    <w:rsid w:val="00D6493E"/>
    <w:rsid w:val="00D70F23"/>
    <w:rsid w:val="00D7195D"/>
    <w:rsid w:val="00D7301E"/>
    <w:rsid w:val="00D83AE1"/>
    <w:rsid w:val="00D855D4"/>
    <w:rsid w:val="00D87A8A"/>
    <w:rsid w:val="00D902C9"/>
    <w:rsid w:val="00D93466"/>
    <w:rsid w:val="00D973B7"/>
    <w:rsid w:val="00D97D3D"/>
    <w:rsid w:val="00DA1124"/>
    <w:rsid w:val="00DB540F"/>
    <w:rsid w:val="00DB6124"/>
    <w:rsid w:val="00DB750B"/>
    <w:rsid w:val="00DB7577"/>
    <w:rsid w:val="00DB75B7"/>
    <w:rsid w:val="00DC6E02"/>
    <w:rsid w:val="00DD09DC"/>
    <w:rsid w:val="00DD0C0E"/>
    <w:rsid w:val="00DD28CD"/>
    <w:rsid w:val="00DE02AE"/>
    <w:rsid w:val="00DF1D7F"/>
    <w:rsid w:val="00DF4BE4"/>
    <w:rsid w:val="00DF6BE1"/>
    <w:rsid w:val="00E00557"/>
    <w:rsid w:val="00E02FB4"/>
    <w:rsid w:val="00E124D1"/>
    <w:rsid w:val="00E13FC7"/>
    <w:rsid w:val="00E17970"/>
    <w:rsid w:val="00E204B4"/>
    <w:rsid w:val="00E20571"/>
    <w:rsid w:val="00E2294E"/>
    <w:rsid w:val="00E235F7"/>
    <w:rsid w:val="00E23659"/>
    <w:rsid w:val="00E239D4"/>
    <w:rsid w:val="00E2531F"/>
    <w:rsid w:val="00E26130"/>
    <w:rsid w:val="00E32074"/>
    <w:rsid w:val="00E33C77"/>
    <w:rsid w:val="00E342B0"/>
    <w:rsid w:val="00E40B22"/>
    <w:rsid w:val="00E44ED1"/>
    <w:rsid w:val="00E4543A"/>
    <w:rsid w:val="00E45619"/>
    <w:rsid w:val="00E4588F"/>
    <w:rsid w:val="00E46DA3"/>
    <w:rsid w:val="00E51BB1"/>
    <w:rsid w:val="00E57717"/>
    <w:rsid w:val="00E60473"/>
    <w:rsid w:val="00E624A5"/>
    <w:rsid w:val="00E64BA4"/>
    <w:rsid w:val="00E7344E"/>
    <w:rsid w:val="00E75F2A"/>
    <w:rsid w:val="00E82665"/>
    <w:rsid w:val="00E853E9"/>
    <w:rsid w:val="00E85D4A"/>
    <w:rsid w:val="00E86699"/>
    <w:rsid w:val="00EA4D94"/>
    <w:rsid w:val="00EB0798"/>
    <w:rsid w:val="00EB1573"/>
    <w:rsid w:val="00EB40AD"/>
    <w:rsid w:val="00EB586E"/>
    <w:rsid w:val="00EB5FC8"/>
    <w:rsid w:val="00EC463D"/>
    <w:rsid w:val="00EC6D4A"/>
    <w:rsid w:val="00EC7A85"/>
    <w:rsid w:val="00ED2922"/>
    <w:rsid w:val="00ED3CAD"/>
    <w:rsid w:val="00ED5A41"/>
    <w:rsid w:val="00EE1DE8"/>
    <w:rsid w:val="00EE27C2"/>
    <w:rsid w:val="00EF0446"/>
    <w:rsid w:val="00EF27BD"/>
    <w:rsid w:val="00EF4BAD"/>
    <w:rsid w:val="00EF59DC"/>
    <w:rsid w:val="00EF7253"/>
    <w:rsid w:val="00F00018"/>
    <w:rsid w:val="00F033EC"/>
    <w:rsid w:val="00F04F68"/>
    <w:rsid w:val="00F10A79"/>
    <w:rsid w:val="00F12670"/>
    <w:rsid w:val="00F14B27"/>
    <w:rsid w:val="00F14E21"/>
    <w:rsid w:val="00F237C0"/>
    <w:rsid w:val="00F25269"/>
    <w:rsid w:val="00F3045C"/>
    <w:rsid w:val="00F3148D"/>
    <w:rsid w:val="00F320CC"/>
    <w:rsid w:val="00F325C5"/>
    <w:rsid w:val="00F32FE0"/>
    <w:rsid w:val="00F35298"/>
    <w:rsid w:val="00F40273"/>
    <w:rsid w:val="00F40682"/>
    <w:rsid w:val="00F4311D"/>
    <w:rsid w:val="00F4407C"/>
    <w:rsid w:val="00F47333"/>
    <w:rsid w:val="00F47E37"/>
    <w:rsid w:val="00F50114"/>
    <w:rsid w:val="00F53C07"/>
    <w:rsid w:val="00F54294"/>
    <w:rsid w:val="00F54B65"/>
    <w:rsid w:val="00F55481"/>
    <w:rsid w:val="00F640B6"/>
    <w:rsid w:val="00F66DF2"/>
    <w:rsid w:val="00F80973"/>
    <w:rsid w:val="00F80E40"/>
    <w:rsid w:val="00F81B46"/>
    <w:rsid w:val="00F83E6D"/>
    <w:rsid w:val="00F848D9"/>
    <w:rsid w:val="00F850AE"/>
    <w:rsid w:val="00F87B21"/>
    <w:rsid w:val="00F91E14"/>
    <w:rsid w:val="00F93B63"/>
    <w:rsid w:val="00FA5B82"/>
    <w:rsid w:val="00FA639E"/>
    <w:rsid w:val="00FC1FCA"/>
    <w:rsid w:val="00FC25E4"/>
    <w:rsid w:val="00FC4EF7"/>
    <w:rsid w:val="00FC740D"/>
    <w:rsid w:val="00FD0824"/>
    <w:rsid w:val="00FD0C19"/>
    <w:rsid w:val="00FD119B"/>
    <w:rsid w:val="00FD1EDC"/>
    <w:rsid w:val="00FD2C79"/>
    <w:rsid w:val="00FD4CF8"/>
    <w:rsid w:val="00FE147D"/>
    <w:rsid w:val="00FE1DEE"/>
    <w:rsid w:val="00FF1E01"/>
    <w:rsid w:val="00FF2126"/>
    <w:rsid w:val="00FF5755"/>
    <w:rsid w:val="00FF69BE"/>
    <w:rsid w:val="00FF6FB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B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9055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C65F34"/>
    <w:pPr>
      <w:widowControl w:val="0"/>
      <w:autoSpaceDE w:val="0"/>
      <w:autoSpaceDN w:val="0"/>
      <w:adjustRightInd w:val="0"/>
      <w:spacing w:before="0" w:after="0" w:line="240" w:lineRule="auto"/>
    </w:pPr>
    <w:rPr>
      <w:rFonts w:eastAsiaTheme="minorEastAsia" w:cs="Cambria"/>
      <w:lang w:eastAsia="en-AU"/>
    </w:rPr>
  </w:style>
  <w:style w:type="character" w:customStyle="1" w:styleId="BodyTextChar">
    <w:name w:val="Body Text Char"/>
    <w:basedOn w:val="DefaultParagraphFont"/>
    <w:link w:val="BodyText"/>
    <w:uiPriority w:val="1"/>
    <w:rsid w:val="00C65F34"/>
    <w:rPr>
      <w:rFonts w:ascii="Cambria" w:eastAsiaTheme="minorEastAsia" w:hAnsi="Cambria" w:cs="Cambria"/>
      <w:lang w:eastAsia="en-AU"/>
    </w:rPr>
  </w:style>
  <w:style w:type="paragraph" w:customStyle="1" w:styleId="TableParagraph">
    <w:name w:val="Table Paragraph"/>
    <w:basedOn w:val="Normal"/>
    <w:uiPriority w:val="1"/>
    <w:qFormat/>
    <w:rsid w:val="00C65F34"/>
    <w:pPr>
      <w:widowControl w:val="0"/>
      <w:autoSpaceDE w:val="0"/>
      <w:autoSpaceDN w:val="0"/>
      <w:adjustRightInd w:val="0"/>
      <w:spacing w:before="0" w:after="0" w:line="240" w:lineRule="auto"/>
    </w:pPr>
    <w:rPr>
      <w:rFonts w:eastAsiaTheme="minorEastAsia" w:cs="Cambria"/>
      <w:sz w:val="24"/>
      <w:szCs w:val="24"/>
      <w:lang w:eastAsia="en-AU"/>
    </w:rPr>
  </w:style>
  <w:style w:type="paragraph" w:styleId="ListParagraph">
    <w:name w:val="List Paragraph"/>
    <w:basedOn w:val="Normal"/>
    <w:uiPriority w:val="34"/>
    <w:qFormat/>
    <w:rsid w:val="00C65F34"/>
    <w:pPr>
      <w:widowControl w:val="0"/>
      <w:autoSpaceDE w:val="0"/>
      <w:autoSpaceDN w:val="0"/>
      <w:adjustRightInd w:val="0"/>
      <w:spacing w:before="0" w:after="0" w:line="240" w:lineRule="auto"/>
      <w:ind w:left="677" w:hanging="360"/>
    </w:pPr>
    <w:rPr>
      <w:rFonts w:eastAsiaTheme="minorEastAsia" w:cs="Cambria"/>
      <w:sz w:val="24"/>
      <w:szCs w:val="24"/>
      <w:lang w:eastAsia="en-AU"/>
    </w:rPr>
  </w:style>
  <w:style w:type="paragraph" w:customStyle="1" w:styleId="Tabletitle0">
    <w:name w:val="Table title"/>
    <w:basedOn w:val="Normal"/>
    <w:next w:val="Normal"/>
    <w:rsid w:val="005F1690"/>
    <w:pPr>
      <w:keepNext/>
      <w:spacing w:after="180"/>
    </w:pPr>
    <w:rPr>
      <w:rFonts w:cstheme="minorBidi"/>
      <w:b/>
    </w:rPr>
  </w:style>
  <w:style w:type="paragraph" w:customStyle="1" w:styleId="Standard">
    <w:name w:val="Standard"/>
    <w:basedOn w:val="Normal"/>
    <w:link w:val="StandardChar"/>
    <w:qFormat/>
    <w:rsid w:val="00A9055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9055C"/>
    <w:rPr>
      <w:rFonts w:ascii="Cambria" w:eastAsia="Times New Roman" w:hAnsi="Cambria" w:cs="Times New Roman"/>
      <w:snapToGrid w:val="0"/>
      <w:kern w:val="16"/>
      <w:szCs w:val="24"/>
    </w:rPr>
  </w:style>
  <w:style w:type="paragraph" w:customStyle="1" w:styleId="Default">
    <w:name w:val="Default"/>
    <w:rsid w:val="007C4CD5"/>
    <w:pPr>
      <w:autoSpaceDE w:val="0"/>
      <w:autoSpaceDN w:val="0"/>
      <w:adjustRightInd w:val="0"/>
      <w:spacing w:after="0" w:line="240" w:lineRule="auto"/>
    </w:pPr>
    <w:rPr>
      <w:rFonts w:ascii="Cambria" w:hAnsi="Cambria" w:cs="Cambria"/>
      <w:color w:val="000000"/>
      <w:sz w:val="24"/>
      <w:szCs w:val="24"/>
    </w:rPr>
  </w:style>
  <w:style w:type="paragraph" w:styleId="DocumentMap">
    <w:name w:val="Document Map"/>
    <w:basedOn w:val="Normal"/>
    <w:link w:val="DocumentMapChar"/>
    <w:uiPriority w:val="99"/>
    <w:semiHidden/>
    <w:unhideWhenUsed/>
    <w:rsid w:val="002B650D"/>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B650D"/>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9055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C65F34"/>
    <w:pPr>
      <w:widowControl w:val="0"/>
      <w:autoSpaceDE w:val="0"/>
      <w:autoSpaceDN w:val="0"/>
      <w:adjustRightInd w:val="0"/>
      <w:spacing w:before="0" w:after="0" w:line="240" w:lineRule="auto"/>
    </w:pPr>
    <w:rPr>
      <w:rFonts w:eastAsiaTheme="minorEastAsia" w:cs="Cambria"/>
      <w:lang w:eastAsia="en-AU"/>
    </w:rPr>
  </w:style>
  <w:style w:type="character" w:customStyle="1" w:styleId="BodyTextChar">
    <w:name w:val="Body Text Char"/>
    <w:basedOn w:val="DefaultParagraphFont"/>
    <w:link w:val="BodyText"/>
    <w:uiPriority w:val="1"/>
    <w:rsid w:val="00C65F34"/>
    <w:rPr>
      <w:rFonts w:ascii="Cambria" w:eastAsiaTheme="minorEastAsia" w:hAnsi="Cambria" w:cs="Cambria"/>
      <w:lang w:eastAsia="en-AU"/>
    </w:rPr>
  </w:style>
  <w:style w:type="paragraph" w:customStyle="1" w:styleId="TableParagraph">
    <w:name w:val="Table Paragraph"/>
    <w:basedOn w:val="Normal"/>
    <w:uiPriority w:val="1"/>
    <w:qFormat/>
    <w:rsid w:val="00C65F34"/>
    <w:pPr>
      <w:widowControl w:val="0"/>
      <w:autoSpaceDE w:val="0"/>
      <w:autoSpaceDN w:val="0"/>
      <w:adjustRightInd w:val="0"/>
      <w:spacing w:before="0" w:after="0" w:line="240" w:lineRule="auto"/>
    </w:pPr>
    <w:rPr>
      <w:rFonts w:eastAsiaTheme="minorEastAsia" w:cs="Cambria"/>
      <w:sz w:val="24"/>
      <w:szCs w:val="24"/>
      <w:lang w:eastAsia="en-AU"/>
    </w:rPr>
  </w:style>
  <w:style w:type="paragraph" w:styleId="ListParagraph">
    <w:name w:val="List Paragraph"/>
    <w:basedOn w:val="Normal"/>
    <w:uiPriority w:val="34"/>
    <w:qFormat/>
    <w:rsid w:val="00C65F34"/>
    <w:pPr>
      <w:widowControl w:val="0"/>
      <w:autoSpaceDE w:val="0"/>
      <w:autoSpaceDN w:val="0"/>
      <w:adjustRightInd w:val="0"/>
      <w:spacing w:before="0" w:after="0" w:line="240" w:lineRule="auto"/>
      <w:ind w:left="677" w:hanging="360"/>
    </w:pPr>
    <w:rPr>
      <w:rFonts w:eastAsiaTheme="minorEastAsia" w:cs="Cambria"/>
      <w:sz w:val="24"/>
      <w:szCs w:val="24"/>
      <w:lang w:eastAsia="en-AU"/>
    </w:rPr>
  </w:style>
  <w:style w:type="paragraph" w:customStyle="1" w:styleId="Tabletitle0">
    <w:name w:val="Table title"/>
    <w:basedOn w:val="Normal"/>
    <w:next w:val="Normal"/>
    <w:rsid w:val="005F1690"/>
    <w:pPr>
      <w:keepNext/>
      <w:spacing w:after="180"/>
    </w:pPr>
    <w:rPr>
      <w:rFonts w:cstheme="minorBidi"/>
      <w:b/>
    </w:rPr>
  </w:style>
  <w:style w:type="paragraph" w:customStyle="1" w:styleId="Standard">
    <w:name w:val="Standard"/>
    <w:basedOn w:val="Normal"/>
    <w:link w:val="StandardChar"/>
    <w:qFormat/>
    <w:rsid w:val="00A9055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9055C"/>
    <w:rPr>
      <w:rFonts w:ascii="Cambria" w:eastAsia="Times New Roman" w:hAnsi="Cambria" w:cs="Times New Roman"/>
      <w:snapToGrid w:val="0"/>
      <w:kern w:val="16"/>
      <w:szCs w:val="24"/>
    </w:rPr>
  </w:style>
  <w:style w:type="paragraph" w:customStyle="1" w:styleId="Default">
    <w:name w:val="Default"/>
    <w:rsid w:val="007C4CD5"/>
    <w:pPr>
      <w:autoSpaceDE w:val="0"/>
      <w:autoSpaceDN w:val="0"/>
      <w:adjustRightInd w:val="0"/>
      <w:spacing w:after="0" w:line="240" w:lineRule="auto"/>
    </w:pPr>
    <w:rPr>
      <w:rFonts w:ascii="Cambria" w:hAnsi="Cambria" w:cs="Cambria"/>
      <w:color w:val="000000"/>
      <w:sz w:val="24"/>
      <w:szCs w:val="24"/>
    </w:rPr>
  </w:style>
  <w:style w:type="paragraph" w:styleId="DocumentMap">
    <w:name w:val="Document Map"/>
    <w:basedOn w:val="Normal"/>
    <w:link w:val="DocumentMapChar"/>
    <w:uiPriority w:val="99"/>
    <w:semiHidden/>
    <w:unhideWhenUsed/>
    <w:rsid w:val="002B650D"/>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B650D"/>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66035">
      <w:bodyDiv w:val="1"/>
      <w:marLeft w:val="0"/>
      <w:marRight w:val="0"/>
      <w:marTop w:val="0"/>
      <w:marBottom w:val="0"/>
      <w:divBdr>
        <w:top w:val="none" w:sz="0" w:space="0" w:color="auto"/>
        <w:left w:val="none" w:sz="0" w:space="0" w:color="auto"/>
        <w:bottom w:val="none" w:sz="0" w:space="0" w:color="auto"/>
        <w:right w:val="none" w:sz="0" w:space="0" w:color="auto"/>
      </w:divBdr>
    </w:div>
    <w:div w:id="137698348">
      <w:bodyDiv w:val="1"/>
      <w:marLeft w:val="0"/>
      <w:marRight w:val="0"/>
      <w:marTop w:val="0"/>
      <w:marBottom w:val="0"/>
      <w:divBdr>
        <w:top w:val="none" w:sz="0" w:space="0" w:color="auto"/>
        <w:left w:val="none" w:sz="0" w:space="0" w:color="auto"/>
        <w:bottom w:val="none" w:sz="0" w:space="0" w:color="auto"/>
        <w:right w:val="none" w:sz="0" w:space="0" w:color="auto"/>
      </w:divBdr>
    </w:div>
    <w:div w:id="174662039">
      <w:bodyDiv w:val="1"/>
      <w:marLeft w:val="0"/>
      <w:marRight w:val="0"/>
      <w:marTop w:val="0"/>
      <w:marBottom w:val="0"/>
      <w:divBdr>
        <w:top w:val="none" w:sz="0" w:space="0" w:color="auto"/>
        <w:left w:val="none" w:sz="0" w:space="0" w:color="auto"/>
        <w:bottom w:val="none" w:sz="0" w:space="0" w:color="auto"/>
        <w:right w:val="none" w:sz="0" w:space="0" w:color="auto"/>
      </w:divBdr>
    </w:div>
    <w:div w:id="201941086">
      <w:bodyDiv w:val="1"/>
      <w:marLeft w:val="0"/>
      <w:marRight w:val="0"/>
      <w:marTop w:val="0"/>
      <w:marBottom w:val="0"/>
      <w:divBdr>
        <w:top w:val="none" w:sz="0" w:space="0" w:color="auto"/>
        <w:left w:val="none" w:sz="0" w:space="0" w:color="auto"/>
        <w:bottom w:val="none" w:sz="0" w:space="0" w:color="auto"/>
        <w:right w:val="none" w:sz="0" w:space="0" w:color="auto"/>
      </w:divBdr>
    </w:div>
    <w:div w:id="252008860">
      <w:bodyDiv w:val="1"/>
      <w:marLeft w:val="0"/>
      <w:marRight w:val="0"/>
      <w:marTop w:val="0"/>
      <w:marBottom w:val="0"/>
      <w:divBdr>
        <w:top w:val="none" w:sz="0" w:space="0" w:color="auto"/>
        <w:left w:val="none" w:sz="0" w:space="0" w:color="auto"/>
        <w:bottom w:val="none" w:sz="0" w:space="0" w:color="auto"/>
        <w:right w:val="none" w:sz="0" w:space="0" w:color="auto"/>
      </w:divBdr>
    </w:div>
    <w:div w:id="268271239">
      <w:bodyDiv w:val="1"/>
      <w:marLeft w:val="0"/>
      <w:marRight w:val="0"/>
      <w:marTop w:val="0"/>
      <w:marBottom w:val="0"/>
      <w:divBdr>
        <w:top w:val="none" w:sz="0" w:space="0" w:color="auto"/>
        <w:left w:val="none" w:sz="0" w:space="0" w:color="auto"/>
        <w:bottom w:val="none" w:sz="0" w:space="0" w:color="auto"/>
        <w:right w:val="none" w:sz="0" w:space="0" w:color="auto"/>
      </w:divBdr>
    </w:div>
    <w:div w:id="275525910">
      <w:bodyDiv w:val="1"/>
      <w:marLeft w:val="0"/>
      <w:marRight w:val="0"/>
      <w:marTop w:val="0"/>
      <w:marBottom w:val="0"/>
      <w:divBdr>
        <w:top w:val="none" w:sz="0" w:space="0" w:color="auto"/>
        <w:left w:val="none" w:sz="0" w:space="0" w:color="auto"/>
        <w:bottom w:val="none" w:sz="0" w:space="0" w:color="auto"/>
        <w:right w:val="none" w:sz="0" w:space="0" w:color="auto"/>
      </w:divBdr>
    </w:div>
    <w:div w:id="291599697">
      <w:bodyDiv w:val="1"/>
      <w:marLeft w:val="0"/>
      <w:marRight w:val="0"/>
      <w:marTop w:val="0"/>
      <w:marBottom w:val="0"/>
      <w:divBdr>
        <w:top w:val="none" w:sz="0" w:space="0" w:color="auto"/>
        <w:left w:val="none" w:sz="0" w:space="0" w:color="auto"/>
        <w:bottom w:val="none" w:sz="0" w:space="0" w:color="auto"/>
        <w:right w:val="none" w:sz="0" w:space="0" w:color="auto"/>
      </w:divBdr>
    </w:div>
    <w:div w:id="310251362">
      <w:bodyDiv w:val="1"/>
      <w:marLeft w:val="0"/>
      <w:marRight w:val="0"/>
      <w:marTop w:val="0"/>
      <w:marBottom w:val="0"/>
      <w:divBdr>
        <w:top w:val="none" w:sz="0" w:space="0" w:color="auto"/>
        <w:left w:val="none" w:sz="0" w:space="0" w:color="auto"/>
        <w:bottom w:val="none" w:sz="0" w:space="0" w:color="auto"/>
        <w:right w:val="none" w:sz="0" w:space="0" w:color="auto"/>
      </w:divBdr>
    </w:div>
    <w:div w:id="355545134">
      <w:bodyDiv w:val="1"/>
      <w:marLeft w:val="0"/>
      <w:marRight w:val="0"/>
      <w:marTop w:val="0"/>
      <w:marBottom w:val="0"/>
      <w:divBdr>
        <w:top w:val="none" w:sz="0" w:space="0" w:color="auto"/>
        <w:left w:val="none" w:sz="0" w:space="0" w:color="auto"/>
        <w:bottom w:val="none" w:sz="0" w:space="0" w:color="auto"/>
        <w:right w:val="none" w:sz="0" w:space="0" w:color="auto"/>
      </w:divBdr>
    </w:div>
    <w:div w:id="380598337">
      <w:bodyDiv w:val="1"/>
      <w:marLeft w:val="0"/>
      <w:marRight w:val="0"/>
      <w:marTop w:val="0"/>
      <w:marBottom w:val="0"/>
      <w:divBdr>
        <w:top w:val="none" w:sz="0" w:space="0" w:color="auto"/>
        <w:left w:val="none" w:sz="0" w:space="0" w:color="auto"/>
        <w:bottom w:val="none" w:sz="0" w:space="0" w:color="auto"/>
        <w:right w:val="none" w:sz="0" w:space="0" w:color="auto"/>
      </w:divBdr>
    </w:div>
    <w:div w:id="381711972">
      <w:bodyDiv w:val="1"/>
      <w:marLeft w:val="0"/>
      <w:marRight w:val="0"/>
      <w:marTop w:val="0"/>
      <w:marBottom w:val="0"/>
      <w:divBdr>
        <w:top w:val="none" w:sz="0" w:space="0" w:color="auto"/>
        <w:left w:val="none" w:sz="0" w:space="0" w:color="auto"/>
        <w:bottom w:val="none" w:sz="0" w:space="0" w:color="auto"/>
        <w:right w:val="none" w:sz="0" w:space="0" w:color="auto"/>
      </w:divBdr>
    </w:div>
    <w:div w:id="457068427">
      <w:bodyDiv w:val="1"/>
      <w:marLeft w:val="0"/>
      <w:marRight w:val="0"/>
      <w:marTop w:val="0"/>
      <w:marBottom w:val="0"/>
      <w:divBdr>
        <w:top w:val="none" w:sz="0" w:space="0" w:color="auto"/>
        <w:left w:val="none" w:sz="0" w:space="0" w:color="auto"/>
        <w:bottom w:val="none" w:sz="0" w:space="0" w:color="auto"/>
        <w:right w:val="none" w:sz="0" w:space="0" w:color="auto"/>
      </w:divBdr>
    </w:div>
    <w:div w:id="468863383">
      <w:bodyDiv w:val="1"/>
      <w:marLeft w:val="0"/>
      <w:marRight w:val="0"/>
      <w:marTop w:val="0"/>
      <w:marBottom w:val="0"/>
      <w:divBdr>
        <w:top w:val="none" w:sz="0" w:space="0" w:color="auto"/>
        <w:left w:val="none" w:sz="0" w:space="0" w:color="auto"/>
        <w:bottom w:val="none" w:sz="0" w:space="0" w:color="auto"/>
        <w:right w:val="none" w:sz="0" w:space="0" w:color="auto"/>
      </w:divBdr>
    </w:div>
    <w:div w:id="502161776">
      <w:bodyDiv w:val="1"/>
      <w:marLeft w:val="0"/>
      <w:marRight w:val="0"/>
      <w:marTop w:val="0"/>
      <w:marBottom w:val="0"/>
      <w:divBdr>
        <w:top w:val="none" w:sz="0" w:space="0" w:color="auto"/>
        <w:left w:val="none" w:sz="0" w:space="0" w:color="auto"/>
        <w:bottom w:val="none" w:sz="0" w:space="0" w:color="auto"/>
        <w:right w:val="none" w:sz="0" w:space="0" w:color="auto"/>
      </w:divBdr>
    </w:div>
    <w:div w:id="533420431">
      <w:bodyDiv w:val="1"/>
      <w:marLeft w:val="0"/>
      <w:marRight w:val="0"/>
      <w:marTop w:val="0"/>
      <w:marBottom w:val="0"/>
      <w:divBdr>
        <w:top w:val="none" w:sz="0" w:space="0" w:color="auto"/>
        <w:left w:val="none" w:sz="0" w:space="0" w:color="auto"/>
        <w:bottom w:val="none" w:sz="0" w:space="0" w:color="auto"/>
        <w:right w:val="none" w:sz="0" w:space="0" w:color="auto"/>
      </w:divBdr>
    </w:div>
    <w:div w:id="540441647">
      <w:bodyDiv w:val="1"/>
      <w:marLeft w:val="0"/>
      <w:marRight w:val="0"/>
      <w:marTop w:val="0"/>
      <w:marBottom w:val="0"/>
      <w:divBdr>
        <w:top w:val="none" w:sz="0" w:space="0" w:color="auto"/>
        <w:left w:val="none" w:sz="0" w:space="0" w:color="auto"/>
        <w:bottom w:val="none" w:sz="0" w:space="0" w:color="auto"/>
        <w:right w:val="none" w:sz="0" w:space="0" w:color="auto"/>
      </w:divBdr>
    </w:div>
    <w:div w:id="773667042">
      <w:bodyDiv w:val="1"/>
      <w:marLeft w:val="0"/>
      <w:marRight w:val="0"/>
      <w:marTop w:val="0"/>
      <w:marBottom w:val="0"/>
      <w:divBdr>
        <w:top w:val="none" w:sz="0" w:space="0" w:color="auto"/>
        <w:left w:val="none" w:sz="0" w:space="0" w:color="auto"/>
        <w:bottom w:val="none" w:sz="0" w:space="0" w:color="auto"/>
        <w:right w:val="none" w:sz="0" w:space="0" w:color="auto"/>
      </w:divBdr>
    </w:div>
    <w:div w:id="798642766">
      <w:bodyDiv w:val="1"/>
      <w:marLeft w:val="0"/>
      <w:marRight w:val="0"/>
      <w:marTop w:val="0"/>
      <w:marBottom w:val="0"/>
      <w:divBdr>
        <w:top w:val="none" w:sz="0" w:space="0" w:color="auto"/>
        <w:left w:val="none" w:sz="0" w:space="0" w:color="auto"/>
        <w:bottom w:val="none" w:sz="0" w:space="0" w:color="auto"/>
        <w:right w:val="none" w:sz="0" w:space="0" w:color="auto"/>
      </w:divBdr>
    </w:div>
    <w:div w:id="897284023">
      <w:bodyDiv w:val="1"/>
      <w:marLeft w:val="0"/>
      <w:marRight w:val="0"/>
      <w:marTop w:val="0"/>
      <w:marBottom w:val="0"/>
      <w:divBdr>
        <w:top w:val="none" w:sz="0" w:space="0" w:color="auto"/>
        <w:left w:val="none" w:sz="0" w:space="0" w:color="auto"/>
        <w:bottom w:val="none" w:sz="0" w:space="0" w:color="auto"/>
        <w:right w:val="none" w:sz="0" w:space="0" w:color="auto"/>
      </w:divBdr>
    </w:div>
    <w:div w:id="925068774">
      <w:bodyDiv w:val="1"/>
      <w:marLeft w:val="0"/>
      <w:marRight w:val="0"/>
      <w:marTop w:val="0"/>
      <w:marBottom w:val="0"/>
      <w:divBdr>
        <w:top w:val="none" w:sz="0" w:space="0" w:color="auto"/>
        <w:left w:val="none" w:sz="0" w:space="0" w:color="auto"/>
        <w:bottom w:val="none" w:sz="0" w:space="0" w:color="auto"/>
        <w:right w:val="none" w:sz="0" w:space="0" w:color="auto"/>
      </w:divBdr>
    </w:div>
    <w:div w:id="1020859406">
      <w:bodyDiv w:val="1"/>
      <w:marLeft w:val="0"/>
      <w:marRight w:val="0"/>
      <w:marTop w:val="0"/>
      <w:marBottom w:val="0"/>
      <w:divBdr>
        <w:top w:val="none" w:sz="0" w:space="0" w:color="auto"/>
        <w:left w:val="none" w:sz="0" w:space="0" w:color="auto"/>
        <w:bottom w:val="none" w:sz="0" w:space="0" w:color="auto"/>
        <w:right w:val="none" w:sz="0" w:space="0" w:color="auto"/>
      </w:divBdr>
    </w:div>
    <w:div w:id="1027486537">
      <w:bodyDiv w:val="1"/>
      <w:marLeft w:val="0"/>
      <w:marRight w:val="0"/>
      <w:marTop w:val="0"/>
      <w:marBottom w:val="0"/>
      <w:divBdr>
        <w:top w:val="none" w:sz="0" w:space="0" w:color="auto"/>
        <w:left w:val="none" w:sz="0" w:space="0" w:color="auto"/>
        <w:bottom w:val="none" w:sz="0" w:space="0" w:color="auto"/>
        <w:right w:val="none" w:sz="0" w:space="0" w:color="auto"/>
      </w:divBdr>
    </w:div>
    <w:div w:id="1046563986">
      <w:bodyDiv w:val="1"/>
      <w:marLeft w:val="0"/>
      <w:marRight w:val="0"/>
      <w:marTop w:val="0"/>
      <w:marBottom w:val="0"/>
      <w:divBdr>
        <w:top w:val="none" w:sz="0" w:space="0" w:color="auto"/>
        <w:left w:val="none" w:sz="0" w:space="0" w:color="auto"/>
        <w:bottom w:val="none" w:sz="0" w:space="0" w:color="auto"/>
        <w:right w:val="none" w:sz="0" w:space="0" w:color="auto"/>
      </w:divBdr>
    </w:div>
    <w:div w:id="1060443767">
      <w:bodyDiv w:val="1"/>
      <w:marLeft w:val="0"/>
      <w:marRight w:val="0"/>
      <w:marTop w:val="0"/>
      <w:marBottom w:val="0"/>
      <w:divBdr>
        <w:top w:val="none" w:sz="0" w:space="0" w:color="auto"/>
        <w:left w:val="none" w:sz="0" w:space="0" w:color="auto"/>
        <w:bottom w:val="none" w:sz="0" w:space="0" w:color="auto"/>
        <w:right w:val="none" w:sz="0" w:space="0" w:color="auto"/>
      </w:divBdr>
    </w:div>
    <w:div w:id="1068845586">
      <w:bodyDiv w:val="1"/>
      <w:marLeft w:val="0"/>
      <w:marRight w:val="0"/>
      <w:marTop w:val="0"/>
      <w:marBottom w:val="0"/>
      <w:divBdr>
        <w:top w:val="none" w:sz="0" w:space="0" w:color="auto"/>
        <w:left w:val="none" w:sz="0" w:space="0" w:color="auto"/>
        <w:bottom w:val="none" w:sz="0" w:space="0" w:color="auto"/>
        <w:right w:val="none" w:sz="0" w:space="0" w:color="auto"/>
      </w:divBdr>
    </w:div>
    <w:div w:id="1070731256">
      <w:bodyDiv w:val="1"/>
      <w:marLeft w:val="0"/>
      <w:marRight w:val="0"/>
      <w:marTop w:val="0"/>
      <w:marBottom w:val="0"/>
      <w:divBdr>
        <w:top w:val="none" w:sz="0" w:space="0" w:color="auto"/>
        <w:left w:val="none" w:sz="0" w:space="0" w:color="auto"/>
        <w:bottom w:val="none" w:sz="0" w:space="0" w:color="auto"/>
        <w:right w:val="none" w:sz="0" w:space="0" w:color="auto"/>
      </w:divBdr>
    </w:div>
    <w:div w:id="1071929287">
      <w:bodyDiv w:val="1"/>
      <w:marLeft w:val="0"/>
      <w:marRight w:val="0"/>
      <w:marTop w:val="0"/>
      <w:marBottom w:val="0"/>
      <w:divBdr>
        <w:top w:val="none" w:sz="0" w:space="0" w:color="auto"/>
        <w:left w:val="none" w:sz="0" w:space="0" w:color="auto"/>
        <w:bottom w:val="none" w:sz="0" w:space="0" w:color="auto"/>
        <w:right w:val="none" w:sz="0" w:space="0" w:color="auto"/>
      </w:divBdr>
    </w:div>
    <w:div w:id="1109272768">
      <w:bodyDiv w:val="1"/>
      <w:marLeft w:val="0"/>
      <w:marRight w:val="0"/>
      <w:marTop w:val="0"/>
      <w:marBottom w:val="0"/>
      <w:divBdr>
        <w:top w:val="none" w:sz="0" w:space="0" w:color="auto"/>
        <w:left w:val="none" w:sz="0" w:space="0" w:color="auto"/>
        <w:bottom w:val="none" w:sz="0" w:space="0" w:color="auto"/>
        <w:right w:val="none" w:sz="0" w:space="0" w:color="auto"/>
      </w:divBdr>
    </w:div>
    <w:div w:id="1164393983">
      <w:bodyDiv w:val="1"/>
      <w:marLeft w:val="0"/>
      <w:marRight w:val="0"/>
      <w:marTop w:val="0"/>
      <w:marBottom w:val="0"/>
      <w:divBdr>
        <w:top w:val="none" w:sz="0" w:space="0" w:color="auto"/>
        <w:left w:val="none" w:sz="0" w:space="0" w:color="auto"/>
        <w:bottom w:val="none" w:sz="0" w:space="0" w:color="auto"/>
        <w:right w:val="none" w:sz="0" w:space="0" w:color="auto"/>
      </w:divBdr>
    </w:div>
    <w:div w:id="1216508950">
      <w:bodyDiv w:val="1"/>
      <w:marLeft w:val="0"/>
      <w:marRight w:val="0"/>
      <w:marTop w:val="0"/>
      <w:marBottom w:val="0"/>
      <w:divBdr>
        <w:top w:val="none" w:sz="0" w:space="0" w:color="auto"/>
        <w:left w:val="none" w:sz="0" w:space="0" w:color="auto"/>
        <w:bottom w:val="none" w:sz="0" w:space="0" w:color="auto"/>
        <w:right w:val="none" w:sz="0" w:space="0" w:color="auto"/>
      </w:divBdr>
    </w:div>
    <w:div w:id="1272128971">
      <w:bodyDiv w:val="1"/>
      <w:marLeft w:val="0"/>
      <w:marRight w:val="0"/>
      <w:marTop w:val="0"/>
      <w:marBottom w:val="0"/>
      <w:divBdr>
        <w:top w:val="none" w:sz="0" w:space="0" w:color="auto"/>
        <w:left w:val="none" w:sz="0" w:space="0" w:color="auto"/>
        <w:bottom w:val="none" w:sz="0" w:space="0" w:color="auto"/>
        <w:right w:val="none" w:sz="0" w:space="0" w:color="auto"/>
      </w:divBdr>
    </w:div>
    <w:div w:id="1273319552">
      <w:bodyDiv w:val="1"/>
      <w:marLeft w:val="0"/>
      <w:marRight w:val="0"/>
      <w:marTop w:val="0"/>
      <w:marBottom w:val="0"/>
      <w:divBdr>
        <w:top w:val="none" w:sz="0" w:space="0" w:color="auto"/>
        <w:left w:val="none" w:sz="0" w:space="0" w:color="auto"/>
        <w:bottom w:val="none" w:sz="0" w:space="0" w:color="auto"/>
        <w:right w:val="none" w:sz="0" w:space="0" w:color="auto"/>
      </w:divBdr>
    </w:div>
    <w:div w:id="1369642622">
      <w:bodyDiv w:val="1"/>
      <w:marLeft w:val="0"/>
      <w:marRight w:val="0"/>
      <w:marTop w:val="0"/>
      <w:marBottom w:val="0"/>
      <w:divBdr>
        <w:top w:val="none" w:sz="0" w:space="0" w:color="auto"/>
        <w:left w:val="none" w:sz="0" w:space="0" w:color="auto"/>
        <w:bottom w:val="none" w:sz="0" w:space="0" w:color="auto"/>
        <w:right w:val="none" w:sz="0" w:space="0" w:color="auto"/>
      </w:divBdr>
    </w:div>
    <w:div w:id="1384519472">
      <w:bodyDiv w:val="1"/>
      <w:marLeft w:val="0"/>
      <w:marRight w:val="0"/>
      <w:marTop w:val="0"/>
      <w:marBottom w:val="0"/>
      <w:divBdr>
        <w:top w:val="none" w:sz="0" w:space="0" w:color="auto"/>
        <w:left w:val="none" w:sz="0" w:space="0" w:color="auto"/>
        <w:bottom w:val="none" w:sz="0" w:space="0" w:color="auto"/>
        <w:right w:val="none" w:sz="0" w:space="0" w:color="auto"/>
      </w:divBdr>
    </w:div>
    <w:div w:id="1395927966">
      <w:bodyDiv w:val="1"/>
      <w:marLeft w:val="0"/>
      <w:marRight w:val="0"/>
      <w:marTop w:val="0"/>
      <w:marBottom w:val="0"/>
      <w:divBdr>
        <w:top w:val="none" w:sz="0" w:space="0" w:color="auto"/>
        <w:left w:val="none" w:sz="0" w:space="0" w:color="auto"/>
        <w:bottom w:val="none" w:sz="0" w:space="0" w:color="auto"/>
        <w:right w:val="none" w:sz="0" w:space="0" w:color="auto"/>
      </w:divBdr>
    </w:div>
    <w:div w:id="1398743666">
      <w:bodyDiv w:val="1"/>
      <w:marLeft w:val="0"/>
      <w:marRight w:val="0"/>
      <w:marTop w:val="0"/>
      <w:marBottom w:val="0"/>
      <w:divBdr>
        <w:top w:val="none" w:sz="0" w:space="0" w:color="auto"/>
        <w:left w:val="none" w:sz="0" w:space="0" w:color="auto"/>
        <w:bottom w:val="none" w:sz="0" w:space="0" w:color="auto"/>
        <w:right w:val="none" w:sz="0" w:space="0" w:color="auto"/>
      </w:divBdr>
    </w:div>
    <w:div w:id="1467697374">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1657765242">
          <w:marLeft w:val="0"/>
          <w:marRight w:val="0"/>
          <w:marTop w:val="0"/>
          <w:marBottom w:val="0"/>
          <w:divBdr>
            <w:top w:val="none" w:sz="0" w:space="0" w:color="auto"/>
            <w:left w:val="none" w:sz="0" w:space="0" w:color="auto"/>
            <w:bottom w:val="none" w:sz="0" w:space="0" w:color="auto"/>
            <w:right w:val="none" w:sz="0" w:space="0" w:color="auto"/>
          </w:divBdr>
          <w:divsChild>
            <w:div w:id="211188050">
              <w:marLeft w:val="0"/>
              <w:marRight w:val="0"/>
              <w:marTop w:val="0"/>
              <w:marBottom w:val="0"/>
              <w:divBdr>
                <w:top w:val="none" w:sz="0" w:space="0" w:color="auto"/>
                <w:left w:val="none" w:sz="0" w:space="0" w:color="auto"/>
                <w:bottom w:val="none" w:sz="0" w:space="0" w:color="auto"/>
                <w:right w:val="none" w:sz="0" w:space="0" w:color="auto"/>
              </w:divBdr>
              <w:divsChild>
                <w:div w:id="1355882959">
                  <w:marLeft w:val="0"/>
                  <w:marRight w:val="0"/>
                  <w:marTop w:val="0"/>
                  <w:marBottom w:val="0"/>
                  <w:divBdr>
                    <w:top w:val="none" w:sz="0" w:space="0" w:color="auto"/>
                    <w:left w:val="none" w:sz="0" w:space="0" w:color="auto"/>
                    <w:bottom w:val="none" w:sz="0" w:space="0" w:color="auto"/>
                    <w:right w:val="none" w:sz="0" w:space="0" w:color="auto"/>
                  </w:divBdr>
                  <w:divsChild>
                    <w:div w:id="943196576">
                      <w:marLeft w:val="0"/>
                      <w:marRight w:val="0"/>
                      <w:marTop w:val="0"/>
                      <w:marBottom w:val="0"/>
                      <w:divBdr>
                        <w:top w:val="none" w:sz="0" w:space="0" w:color="auto"/>
                        <w:left w:val="none" w:sz="0" w:space="0" w:color="auto"/>
                        <w:bottom w:val="none" w:sz="0" w:space="0" w:color="auto"/>
                        <w:right w:val="none" w:sz="0" w:space="0" w:color="auto"/>
                      </w:divBdr>
                      <w:divsChild>
                        <w:div w:id="1178881828">
                          <w:marLeft w:val="0"/>
                          <w:marRight w:val="0"/>
                          <w:marTop w:val="0"/>
                          <w:marBottom w:val="0"/>
                          <w:divBdr>
                            <w:top w:val="none" w:sz="0" w:space="0" w:color="auto"/>
                            <w:left w:val="none" w:sz="0" w:space="0" w:color="auto"/>
                            <w:bottom w:val="none" w:sz="0" w:space="0" w:color="auto"/>
                            <w:right w:val="none" w:sz="0" w:space="0" w:color="auto"/>
                          </w:divBdr>
                          <w:divsChild>
                            <w:div w:id="359089038">
                              <w:marLeft w:val="0"/>
                              <w:marRight w:val="0"/>
                              <w:marTop w:val="0"/>
                              <w:marBottom w:val="0"/>
                              <w:divBdr>
                                <w:top w:val="none" w:sz="0" w:space="0" w:color="auto"/>
                                <w:left w:val="none" w:sz="0" w:space="0" w:color="auto"/>
                                <w:bottom w:val="none" w:sz="0" w:space="0" w:color="auto"/>
                                <w:right w:val="none" w:sz="0" w:space="0" w:color="auto"/>
                              </w:divBdr>
                              <w:divsChild>
                                <w:div w:id="110786422">
                                  <w:marLeft w:val="0"/>
                                  <w:marRight w:val="0"/>
                                  <w:marTop w:val="0"/>
                                  <w:marBottom w:val="0"/>
                                  <w:divBdr>
                                    <w:top w:val="none" w:sz="0" w:space="0" w:color="auto"/>
                                    <w:left w:val="none" w:sz="0" w:space="0" w:color="auto"/>
                                    <w:bottom w:val="none" w:sz="0" w:space="0" w:color="auto"/>
                                    <w:right w:val="none" w:sz="0" w:space="0" w:color="auto"/>
                                  </w:divBdr>
                                  <w:divsChild>
                                    <w:div w:id="810824888">
                                      <w:marLeft w:val="0"/>
                                      <w:marRight w:val="0"/>
                                      <w:marTop w:val="0"/>
                                      <w:marBottom w:val="0"/>
                                      <w:divBdr>
                                        <w:top w:val="none" w:sz="0" w:space="0" w:color="auto"/>
                                        <w:left w:val="none" w:sz="0" w:space="0" w:color="auto"/>
                                        <w:bottom w:val="none" w:sz="0" w:space="0" w:color="auto"/>
                                        <w:right w:val="none" w:sz="0" w:space="0" w:color="auto"/>
                                      </w:divBdr>
                                    </w:div>
                                    <w:div w:id="3748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060729">
      <w:bodyDiv w:val="1"/>
      <w:marLeft w:val="0"/>
      <w:marRight w:val="0"/>
      <w:marTop w:val="0"/>
      <w:marBottom w:val="0"/>
      <w:divBdr>
        <w:top w:val="none" w:sz="0" w:space="0" w:color="auto"/>
        <w:left w:val="none" w:sz="0" w:space="0" w:color="auto"/>
        <w:bottom w:val="none" w:sz="0" w:space="0" w:color="auto"/>
        <w:right w:val="none" w:sz="0" w:space="0" w:color="auto"/>
      </w:divBdr>
    </w:div>
    <w:div w:id="1521776027">
      <w:bodyDiv w:val="1"/>
      <w:marLeft w:val="0"/>
      <w:marRight w:val="0"/>
      <w:marTop w:val="0"/>
      <w:marBottom w:val="0"/>
      <w:divBdr>
        <w:top w:val="none" w:sz="0" w:space="0" w:color="auto"/>
        <w:left w:val="none" w:sz="0" w:space="0" w:color="auto"/>
        <w:bottom w:val="none" w:sz="0" w:space="0" w:color="auto"/>
        <w:right w:val="none" w:sz="0" w:space="0" w:color="auto"/>
      </w:divBdr>
    </w:div>
    <w:div w:id="1541170077">
      <w:bodyDiv w:val="1"/>
      <w:marLeft w:val="0"/>
      <w:marRight w:val="0"/>
      <w:marTop w:val="0"/>
      <w:marBottom w:val="0"/>
      <w:divBdr>
        <w:top w:val="none" w:sz="0" w:space="0" w:color="auto"/>
        <w:left w:val="none" w:sz="0" w:space="0" w:color="auto"/>
        <w:bottom w:val="none" w:sz="0" w:space="0" w:color="auto"/>
        <w:right w:val="none" w:sz="0" w:space="0" w:color="auto"/>
      </w:divBdr>
    </w:div>
    <w:div w:id="1557736552">
      <w:bodyDiv w:val="1"/>
      <w:marLeft w:val="0"/>
      <w:marRight w:val="0"/>
      <w:marTop w:val="0"/>
      <w:marBottom w:val="0"/>
      <w:divBdr>
        <w:top w:val="none" w:sz="0" w:space="0" w:color="auto"/>
        <w:left w:val="none" w:sz="0" w:space="0" w:color="auto"/>
        <w:bottom w:val="none" w:sz="0" w:space="0" w:color="auto"/>
        <w:right w:val="none" w:sz="0" w:space="0" w:color="auto"/>
      </w:divBdr>
    </w:div>
    <w:div w:id="1600140529">
      <w:bodyDiv w:val="1"/>
      <w:marLeft w:val="0"/>
      <w:marRight w:val="0"/>
      <w:marTop w:val="0"/>
      <w:marBottom w:val="0"/>
      <w:divBdr>
        <w:top w:val="none" w:sz="0" w:space="0" w:color="auto"/>
        <w:left w:val="none" w:sz="0" w:space="0" w:color="auto"/>
        <w:bottom w:val="none" w:sz="0" w:space="0" w:color="auto"/>
        <w:right w:val="none" w:sz="0" w:space="0" w:color="auto"/>
      </w:divBdr>
    </w:div>
    <w:div w:id="1600799123">
      <w:bodyDiv w:val="1"/>
      <w:marLeft w:val="0"/>
      <w:marRight w:val="0"/>
      <w:marTop w:val="0"/>
      <w:marBottom w:val="0"/>
      <w:divBdr>
        <w:top w:val="none" w:sz="0" w:space="0" w:color="auto"/>
        <w:left w:val="none" w:sz="0" w:space="0" w:color="auto"/>
        <w:bottom w:val="none" w:sz="0" w:space="0" w:color="auto"/>
        <w:right w:val="none" w:sz="0" w:space="0" w:color="auto"/>
      </w:divBdr>
    </w:div>
    <w:div w:id="1607077249">
      <w:bodyDiv w:val="1"/>
      <w:marLeft w:val="0"/>
      <w:marRight w:val="0"/>
      <w:marTop w:val="0"/>
      <w:marBottom w:val="0"/>
      <w:divBdr>
        <w:top w:val="none" w:sz="0" w:space="0" w:color="auto"/>
        <w:left w:val="none" w:sz="0" w:space="0" w:color="auto"/>
        <w:bottom w:val="none" w:sz="0" w:space="0" w:color="auto"/>
        <w:right w:val="none" w:sz="0" w:space="0" w:color="auto"/>
      </w:divBdr>
    </w:div>
    <w:div w:id="1666467667">
      <w:bodyDiv w:val="1"/>
      <w:marLeft w:val="0"/>
      <w:marRight w:val="0"/>
      <w:marTop w:val="0"/>
      <w:marBottom w:val="0"/>
      <w:divBdr>
        <w:top w:val="none" w:sz="0" w:space="0" w:color="auto"/>
        <w:left w:val="none" w:sz="0" w:space="0" w:color="auto"/>
        <w:bottom w:val="none" w:sz="0" w:space="0" w:color="auto"/>
        <w:right w:val="none" w:sz="0" w:space="0" w:color="auto"/>
      </w:divBdr>
    </w:div>
    <w:div w:id="1690596043">
      <w:bodyDiv w:val="1"/>
      <w:marLeft w:val="0"/>
      <w:marRight w:val="0"/>
      <w:marTop w:val="0"/>
      <w:marBottom w:val="0"/>
      <w:divBdr>
        <w:top w:val="none" w:sz="0" w:space="0" w:color="auto"/>
        <w:left w:val="none" w:sz="0" w:space="0" w:color="auto"/>
        <w:bottom w:val="none" w:sz="0" w:space="0" w:color="auto"/>
        <w:right w:val="none" w:sz="0" w:space="0" w:color="auto"/>
      </w:divBdr>
    </w:div>
    <w:div w:id="1692224649">
      <w:bodyDiv w:val="1"/>
      <w:marLeft w:val="0"/>
      <w:marRight w:val="0"/>
      <w:marTop w:val="0"/>
      <w:marBottom w:val="0"/>
      <w:divBdr>
        <w:top w:val="none" w:sz="0" w:space="0" w:color="auto"/>
        <w:left w:val="none" w:sz="0" w:space="0" w:color="auto"/>
        <w:bottom w:val="none" w:sz="0" w:space="0" w:color="auto"/>
        <w:right w:val="none" w:sz="0" w:space="0" w:color="auto"/>
      </w:divBdr>
    </w:div>
    <w:div w:id="1750422115">
      <w:bodyDiv w:val="1"/>
      <w:marLeft w:val="0"/>
      <w:marRight w:val="0"/>
      <w:marTop w:val="0"/>
      <w:marBottom w:val="0"/>
      <w:divBdr>
        <w:top w:val="none" w:sz="0" w:space="0" w:color="auto"/>
        <w:left w:val="none" w:sz="0" w:space="0" w:color="auto"/>
        <w:bottom w:val="none" w:sz="0" w:space="0" w:color="auto"/>
        <w:right w:val="none" w:sz="0" w:space="0" w:color="auto"/>
      </w:divBdr>
    </w:div>
    <w:div w:id="1784498160">
      <w:bodyDiv w:val="1"/>
      <w:marLeft w:val="0"/>
      <w:marRight w:val="0"/>
      <w:marTop w:val="0"/>
      <w:marBottom w:val="0"/>
      <w:divBdr>
        <w:top w:val="none" w:sz="0" w:space="0" w:color="auto"/>
        <w:left w:val="none" w:sz="0" w:space="0" w:color="auto"/>
        <w:bottom w:val="none" w:sz="0" w:space="0" w:color="auto"/>
        <w:right w:val="none" w:sz="0" w:space="0" w:color="auto"/>
      </w:divBdr>
    </w:div>
    <w:div w:id="1818565397">
      <w:bodyDiv w:val="1"/>
      <w:marLeft w:val="0"/>
      <w:marRight w:val="0"/>
      <w:marTop w:val="0"/>
      <w:marBottom w:val="0"/>
      <w:divBdr>
        <w:top w:val="none" w:sz="0" w:space="0" w:color="auto"/>
        <w:left w:val="none" w:sz="0" w:space="0" w:color="auto"/>
        <w:bottom w:val="none" w:sz="0" w:space="0" w:color="auto"/>
        <w:right w:val="none" w:sz="0" w:space="0" w:color="auto"/>
      </w:divBdr>
    </w:div>
    <w:div w:id="1893227541">
      <w:bodyDiv w:val="1"/>
      <w:marLeft w:val="0"/>
      <w:marRight w:val="0"/>
      <w:marTop w:val="0"/>
      <w:marBottom w:val="0"/>
      <w:divBdr>
        <w:top w:val="none" w:sz="0" w:space="0" w:color="auto"/>
        <w:left w:val="none" w:sz="0" w:space="0" w:color="auto"/>
        <w:bottom w:val="none" w:sz="0" w:space="0" w:color="auto"/>
        <w:right w:val="none" w:sz="0" w:space="0" w:color="auto"/>
      </w:divBdr>
    </w:div>
    <w:div w:id="1894929003">
      <w:bodyDiv w:val="1"/>
      <w:marLeft w:val="0"/>
      <w:marRight w:val="0"/>
      <w:marTop w:val="0"/>
      <w:marBottom w:val="0"/>
      <w:divBdr>
        <w:top w:val="none" w:sz="0" w:space="0" w:color="auto"/>
        <w:left w:val="none" w:sz="0" w:space="0" w:color="auto"/>
        <w:bottom w:val="none" w:sz="0" w:space="0" w:color="auto"/>
        <w:right w:val="none" w:sz="0" w:space="0" w:color="auto"/>
      </w:divBdr>
    </w:div>
    <w:div w:id="1899516454">
      <w:bodyDiv w:val="1"/>
      <w:marLeft w:val="0"/>
      <w:marRight w:val="0"/>
      <w:marTop w:val="0"/>
      <w:marBottom w:val="0"/>
      <w:divBdr>
        <w:top w:val="none" w:sz="0" w:space="0" w:color="auto"/>
        <w:left w:val="none" w:sz="0" w:space="0" w:color="auto"/>
        <w:bottom w:val="none" w:sz="0" w:space="0" w:color="auto"/>
        <w:right w:val="none" w:sz="0" w:space="0" w:color="auto"/>
      </w:divBdr>
    </w:div>
    <w:div w:id="1936857761">
      <w:bodyDiv w:val="1"/>
      <w:marLeft w:val="0"/>
      <w:marRight w:val="0"/>
      <w:marTop w:val="0"/>
      <w:marBottom w:val="0"/>
      <w:divBdr>
        <w:top w:val="none" w:sz="0" w:space="0" w:color="auto"/>
        <w:left w:val="none" w:sz="0" w:space="0" w:color="auto"/>
        <w:bottom w:val="none" w:sz="0" w:space="0" w:color="auto"/>
        <w:right w:val="none" w:sz="0" w:space="0" w:color="auto"/>
      </w:divBdr>
    </w:div>
    <w:div w:id="1952861579">
      <w:bodyDiv w:val="1"/>
      <w:marLeft w:val="0"/>
      <w:marRight w:val="0"/>
      <w:marTop w:val="0"/>
      <w:marBottom w:val="0"/>
      <w:divBdr>
        <w:top w:val="none" w:sz="0" w:space="0" w:color="auto"/>
        <w:left w:val="none" w:sz="0" w:space="0" w:color="auto"/>
        <w:bottom w:val="none" w:sz="0" w:space="0" w:color="auto"/>
        <w:right w:val="none" w:sz="0" w:space="0" w:color="auto"/>
      </w:divBdr>
    </w:div>
    <w:div w:id="1984658723">
      <w:bodyDiv w:val="1"/>
      <w:marLeft w:val="0"/>
      <w:marRight w:val="0"/>
      <w:marTop w:val="0"/>
      <w:marBottom w:val="0"/>
      <w:divBdr>
        <w:top w:val="none" w:sz="0" w:space="0" w:color="auto"/>
        <w:left w:val="none" w:sz="0" w:space="0" w:color="auto"/>
        <w:bottom w:val="none" w:sz="0" w:space="0" w:color="auto"/>
        <w:right w:val="none" w:sz="0" w:space="0" w:color="auto"/>
      </w:divBdr>
    </w:div>
    <w:div w:id="2095784033">
      <w:bodyDiv w:val="1"/>
      <w:marLeft w:val="0"/>
      <w:marRight w:val="0"/>
      <w:marTop w:val="0"/>
      <w:marBottom w:val="0"/>
      <w:divBdr>
        <w:top w:val="none" w:sz="0" w:space="0" w:color="auto"/>
        <w:left w:val="none" w:sz="0" w:space="0" w:color="auto"/>
        <w:bottom w:val="none" w:sz="0" w:space="0" w:color="auto"/>
        <w:right w:val="none" w:sz="0" w:space="0" w:color="auto"/>
      </w:divBdr>
    </w:div>
    <w:div w:id="2146265813">
      <w:bodyDiv w:val="1"/>
      <w:marLeft w:val="0"/>
      <w:marRight w:val="0"/>
      <w:marTop w:val="0"/>
      <w:marBottom w:val="0"/>
      <w:divBdr>
        <w:top w:val="none" w:sz="0" w:space="0" w:color="auto"/>
        <w:left w:val="none" w:sz="0" w:space="0" w:color="auto"/>
        <w:bottom w:val="none" w:sz="0" w:space="0" w:color="auto"/>
        <w:right w:val="none" w:sz="0" w:space="0" w:color="auto"/>
      </w:divBdr>
      <w:divsChild>
        <w:div w:id="1696686847">
          <w:marLeft w:val="0"/>
          <w:marRight w:val="0"/>
          <w:marTop w:val="0"/>
          <w:marBottom w:val="0"/>
          <w:divBdr>
            <w:top w:val="none" w:sz="0" w:space="0" w:color="auto"/>
            <w:left w:val="none" w:sz="0" w:space="0" w:color="auto"/>
            <w:bottom w:val="none" w:sz="0" w:space="0" w:color="auto"/>
            <w:right w:val="none" w:sz="0" w:space="0" w:color="auto"/>
          </w:divBdr>
          <w:divsChild>
            <w:div w:id="2084140933">
              <w:marLeft w:val="0"/>
              <w:marRight w:val="0"/>
              <w:marTop w:val="0"/>
              <w:marBottom w:val="0"/>
              <w:divBdr>
                <w:top w:val="none" w:sz="0" w:space="0" w:color="auto"/>
                <w:left w:val="none" w:sz="0" w:space="0" w:color="auto"/>
                <w:bottom w:val="none" w:sz="0" w:space="0" w:color="auto"/>
                <w:right w:val="none" w:sz="0" w:space="0" w:color="auto"/>
              </w:divBdr>
              <w:divsChild>
                <w:div w:id="1974946644">
                  <w:marLeft w:val="0"/>
                  <w:marRight w:val="0"/>
                  <w:marTop w:val="0"/>
                  <w:marBottom w:val="0"/>
                  <w:divBdr>
                    <w:top w:val="none" w:sz="0" w:space="0" w:color="auto"/>
                    <w:left w:val="none" w:sz="0" w:space="0" w:color="auto"/>
                    <w:bottom w:val="none" w:sz="0" w:space="0" w:color="auto"/>
                    <w:right w:val="none" w:sz="0" w:space="0" w:color="auto"/>
                  </w:divBdr>
                  <w:divsChild>
                    <w:div w:id="1573156915">
                      <w:marLeft w:val="0"/>
                      <w:marRight w:val="0"/>
                      <w:marTop w:val="0"/>
                      <w:marBottom w:val="0"/>
                      <w:divBdr>
                        <w:top w:val="none" w:sz="0" w:space="0" w:color="auto"/>
                        <w:left w:val="none" w:sz="0" w:space="0" w:color="auto"/>
                        <w:bottom w:val="none" w:sz="0" w:space="0" w:color="auto"/>
                        <w:right w:val="none" w:sz="0" w:space="0" w:color="auto"/>
                      </w:divBdr>
                      <w:divsChild>
                        <w:div w:id="553857553">
                          <w:marLeft w:val="0"/>
                          <w:marRight w:val="0"/>
                          <w:marTop w:val="0"/>
                          <w:marBottom w:val="0"/>
                          <w:divBdr>
                            <w:top w:val="none" w:sz="0" w:space="0" w:color="auto"/>
                            <w:left w:val="none" w:sz="0" w:space="0" w:color="auto"/>
                            <w:bottom w:val="none" w:sz="0" w:space="0" w:color="auto"/>
                            <w:right w:val="none" w:sz="0" w:space="0" w:color="auto"/>
                          </w:divBdr>
                          <w:divsChild>
                            <w:div w:id="66574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eader" Target="header3.xml"/><Relationship Id="rId26" Type="http://schemas.microsoft.com/office/2007/relationships/hdphoto" Target="media/hdphoto2.wdp"/><Relationship Id="rId39" Type="http://schemas.openxmlformats.org/officeDocument/2006/relationships/footer" Target="footer4.xml"/><Relationship Id="rId3" Type="http://schemas.openxmlformats.org/officeDocument/2006/relationships/customXml" Target="../customXml/item3.xml"/><Relationship Id="rId21" Type="http://schemas.microsoft.com/office/2007/relationships/hdphoto" Target="media/hdphoto1.wdp"/><Relationship Id="rId34" Type="http://schemas.microsoft.com/office/2007/relationships/hdphoto" Target="media/hdphoto5.wdp"/><Relationship Id="rId42" Type="http://schemas.openxmlformats.org/officeDocument/2006/relationships/header" Target="header7.xml"/><Relationship Id="rId47" Type="http://schemas.openxmlformats.org/officeDocument/2006/relationships/fontTable" Target="fontTable.xml"/><Relationship Id="rId50" Type="http://schemas.microsoft.com/office/2016/09/relationships/commentsIds" Target="commentsIds.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eader" Target="header6.xm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header" Target="header5.xml"/><Relationship Id="rId40" Type="http://schemas.openxmlformats.org/officeDocument/2006/relationships/hyperlink" Target="mailto:info@tga.gov.au" TargetMode="Externa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microsoft.com/office/2007/relationships/hdphoto" Target="media/hdphoto3.wdp"/><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footer" Target="footer5.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1.png"/><Relationship Id="rId30" Type="http://schemas.microsoft.com/office/2007/relationships/hdphoto" Target="media/hdphoto4.wdp"/><Relationship Id="rId35" Type="http://schemas.openxmlformats.org/officeDocument/2006/relationships/image" Target="media/image16.png"/><Relationship Id="rId43" Type="http://schemas.openxmlformats.org/officeDocument/2006/relationships/header" Target="header8.xml"/><Relationship Id="rId48" Type="http://schemas.openxmlformats.org/officeDocument/2006/relationships/theme" Target="theme/theme1.xml"/><Relationship Id="rId8" Type="http://schemas.openxmlformats.org/officeDocument/2006/relationships/settings" Target="settings.xml"/><Relationship Id="rId51" Type="http://schemas.microsoft.com/office/2011/relationships/commentsExtended" Target="commentsExtended.xml"/></Relationships>
</file>

<file path=word/_rels/header3.xml.rels><?xml version="1.0" encoding="UTF-8" standalone="yes"?>
<Relationships xmlns="http://schemas.openxmlformats.org/package/2006/relationships"><Relationship Id="rId1" Type="http://schemas.openxmlformats.org/officeDocument/2006/relationships/image" Target="media/image5.gi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20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D86982BCFDF64CBE422F5BA0711F5A" ma:contentTypeVersion="7" ma:contentTypeDescription="Create a new document." ma:contentTypeScope="" ma:versionID="08e27e83fcefb5fcda287fb6696adefd">
  <xsd:schema xmlns:xsd="http://www.w3.org/2001/XMLSchema" xmlns:xs="http://www.w3.org/2001/XMLSchema" xmlns:p="http://schemas.microsoft.com/office/2006/metadata/properties" xmlns:ns2="3c3da0af-0b9f-4cb3-bb54-5cf6b8a2bf13" xmlns:ns3="62568d49-9fba-4534-a93a-42441381cbbe" targetNamespace="http://schemas.microsoft.com/office/2006/metadata/properties" ma:root="true" ma:fieldsID="929f94d76ca2baa57412ed0ab27562c4" ns2:_="" ns3:_="">
    <xsd:import namespace="3c3da0af-0b9f-4cb3-bb54-5cf6b8a2bf13"/>
    <xsd:import namespace="62568d49-9fba-4534-a93a-42441381cb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3da0af-0b9f-4cb3-bb54-5cf6b8a2bf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568d49-9fba-4534-a93a-42441381cbb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18938-A062-4ACD-8A06-980F05308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3da0af-0b9f-4cb3-bb54-5cf6b8a2bf13"/>
    <ds:schemaRef ds:uri="62568d49-9fba-4534-a93a-42441381c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2A5D3C-B32D-46D8-AE61-A52C384D06CC}">
  <ds:schemaRefs>
    <ds:schemaRef ds:uri="http://purl.org/dc/terms/"/>
    <ds:schemaRef ds:uri="http://purl.org/dc/elements/1.1/"/>
    <ds:schemaRef ds:uri="3c3da0af-0b9f-4cb3-bb54-5cf6b8a2bf13"/>
    <ds:schemaRef ds:uri="http://schemas.microsoft.com/office/2006/metadata/properties"/>
    <ds:schemaRef ds:uri="62568d49-9fba-4534-a93a-42441381cbb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5977DEF-4F76-4DBA-96EB-040329107FE3}">
  <ds:schemaRefs>
    <ds:schemaRef ds:uri="http://schemas.microsoft.com/sharepoint/v3/contenttype/forms"/>
  </ds:schemaRefs>
</ds:datastoreItem>
</file>

<file path=customXml/itemProps4.xml><?xml version="1.0" encoding="utf-8"?>
<ds:datastoreItem xmlns:ds="http://schemas.openxmlformats.org/officeDocument/2006/customXml" ds:itemID="{070A639D-CBB3-4159-A564-74DEB572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23</TotalTime>
  <Pages>67</Pages>
  <Words>24896</Words>
  <Characters>140663</Characters>
  <Application>Microsoft Office Word</Application>
  <DocSecurity>0</DocSecurity>
  <Lines>3125</Lines>
  <Paragraphs>1689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163870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Eluxadoline [Viberzi]</dc:title>
  <dc:subject>prescription medicine</dc:subject>
  <dc:creator>Therapeutic Goods Administration</dc:creator>
  <cp:keywords>auspar</cp:keywords>
  <cp:lastModifiedBy>Therapeutic Goods Administration</cp:lastModifiedBy>
  <cp:revision>6</cp:revision>
  <cp:lastPrinted>2015-09-22T23:39:00Z</cp:lastPrinted>
  <dcterms:created xsi:type="dcterms:W3CDTF">2018-05-16T03:58:00Z</dcterms:created>
  <dcterms:modified xsi:type="dcterms:W3CDTF">2018-06-25T01:53:00Z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0x01010014D86982BCFDF64CBE422F5BA0711F5A</vt:lpwstr>
  </property>
</Properties>
</file>