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EC1D58" w:rsidP="00EC1D58">
            <w:pPr>
              <w:rPr>
                <w:rFonts w:ascii="Arial" w:hAnsi="Arial" w:cs="Arial"/>
                <w:b/>
                <w:color w:val="002C47"/>
                <w:sz w:val="36"/>
                <w:szCs w:val="36"/>
              </w:rPr>
            </w:pPr>
            <w:r>
              <w:rPr>
                <w:rFonts w:ascii="Arial" w:hAnsi="Arial" w:cs="Arial"/>
                <w:b/>
                <w:color w:val="002C47"/>
                <w:sz w:val="36"/>
                <w:szCs w:val="36"/>
              </w:rPr>
              <w:t>December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EC1D58">
            <w:pPr>
              <w:pStyle w:val="Title"/>
              <w:rPr>
                <w:color w:val="FFFFFF" w:themeColor="background1"/>
              </w:rPr>
            </w:pPr>
            <w:r w:rsidRPr="00A964D1">
              <w:rPr>
                <w:color w:val="FFFFFF" w:themeColor="background1"/>
              </w:rPr>
              <w:t xml:space="preserve">Australian Public Assessment Report for </w:t>
            </w:r>
            <w:r w:rsidR="00EC1D58" w:rsidRPr="00EC1D58">
              <w:rPr>
                <w:rFonts w:asciiTheme="majorHAnsi" w:hAnsiTheme="majorHAnsi" w:cstheme="majorHAnsi"/>
                <w:color w:val="FFFFFF" w:themeColor="background1"/>
                <w:szCs w:val="17"/>
              </w:rPr>
              <w:t>Emtricitabine</w:t>
            </w:r>
            <w:bookmarkStart w:id="0" w:name="_GoBack"/>
            <w:bookmarkEnd w:id="0"/>
            <w:r w:rsidR="00EC1D58" w:rsidRPr="00EC1D58">
              <w:rPr>
                <w:rFonts w:asciiTheme="majorHAnsi" w:hAnsiTheme="majorHAnsi" w:cstheme="majorHAnsi"/>
                <w:color w:val="FFFFFF" w:themeColor="background1"/>
                <w:szCs w:val="17"/>
              </w:rPr>
              <w:t>/Tenofovir alafenamide (as fumarate)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Proprietary Product Name:</w:t>
            </w:r>
            <w:r w:rsidR="00347444">
              <w:rPr>
                <w:color w:val="FFFFFF" w:themeColor="background1"/>
              </w:rPr>
              <w:t xml:space="preserve"> </w:t>
            </w:r>
            <w:r w:rsidR="00EC1D58" w:rsidRPr="00EC1D58">
              <w:rPr>
                <w:rFonts w:asciiTheme="majorHAnsi" w:hAnsiTheme="majorHAnsi" w:cstheme="majorHAnsi"/>
                <w:color w:val="FFFFFF" w:themeColor="background1"/>
                <w:szCs w:val="17"/>
              </w:rPr>
              <w:t>Descovy</w:t>
            </w:r>
            <w:r w:rsidR="00347444">
              <w:rPr>
                <w:rFonts w:asciiTheme="minorHAnsi" w:hAnsiTheme="minorHAnsi"/>
                <w:color w:val="FFFFFF" w:themeColor="background1"/>
                <w:szCs w:val="17"/>
              </w:rPr>
              <w:t xml:space="preserve"> </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347444">
              <w:rPr>
                <w:color w:val="FFFFFF" w:themeColor="background1"/>
              </w:rPr>
              <w:t xml:space="preserve"> </w:t>
            </w:r>
            <w:r w:rsidR="00EC1D58" w:rsidRPr="00EC1D58">
              <w:rPr>
                <w:rFonts w:asciiTheme="majorHAnsi" w:hAnsiTheme="majorHAnsi" w:cstheme="majorHAnsi"/>
                <w:color w:val="FFFFFF" w:themeColor="background1"/>
                <w:szCs w:val="17"/>
              </w:rPr>
              <w:t>Gilead Sciences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342C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342C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342C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342C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8342C8">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342C8">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342C8">
      <w:pPr>
        <w:pStyle w:val="ListBullet"/>
        <w:numPr>
          <w:ilvl w:val="0"/>
          <w:numId w:val="1"/>
        </w:numPr>
        <w:ind w:left="357" w:hanging="357"/>
      </w:pPr>
      <w:r>
        <w:t>AusPARs are prepared and published by the TGA.</w:t>
      </w:r>
    </w:p>
    <w:p w:rsidR="008E7846" w:rsidRDefault="008E7846" w:rsidP="008342C8">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342C8">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8342C8">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F669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0175459" w:history="1">
            <w:r w:rsidR="003F669E" w:rsidRPr="00F23121">
              <w:rPr>
                <w:rStyle w:val="Hyperlink"/>
                <w:noProof/>
              </w:rPr>
              <w:t>Common abbreviations</w:t>
            </w:r>
            <w:r w:rsidR="003F669E">
              <w:rPr>
                <w:noProof/>
                <w:webHidden/>
              </w:rPr>
              <w:tab/>
            </w:r>
            <w:r w:rsidR="003F669E">
              <w:rPr>
                <w:noProof/>
                <w:webHidden/>
              </w:rPr>
              <w:fldChar w:fldCharType="begin"/>
            </w:r>
            <w:r w:rsidR="003F669E">
              <w:rPr>
                <w:noProof/>
                <w:webHidden/>
              </w:rPr>
              <w:instrText xml:space="preserve"> PAGEREF _Toc470175459 \h </w:instrText>
            </w:r>
            <w:r w:rsidR="003F669E">
              <w:rPr>
                <w:noProof/>
                <w:webHidden/>
              </w:rPr>
            </w:r>
            <w:r w:rsidR="003F669E">
              <w:rPr>
                <w:noProof/>
                <w:webHidden/>
              </w:rPr>
              <w:fldChar w:fldCharType="separate"/>
            </w:r>
            <w:r w:rsidR="003F669E">
              <w:rPr>
                <w:noProof/>
                <w:webHidden/>
              </w:rPr>
              <w:t>5</w:t>
            </w:r>
            <w:r w:rsidR="003F669E">
              <w:rPr>
                <w:noProof/>
                <w:webHidden/>
              </w:rPr>
              <w:fldChar w:fldCharType="end"/>
            </w:r>
          </w:hyperlink>
        </w:p>
        <w:p w:rsidR="003F669E" w:rsidRDefault="005C2E24">
          <w:pPr>
            <w:pStyle w:val="TOC2"/>
            <w:rPr>
              <w:rFonts w:asciiTheme="minorHAnsi" w:eastAsiaTheme="minorEastAsia" w:hAnsiTheme="minorHAnsi" w:cstheme="minorBidi"/>
              <w:b w:val="0"/>
              <w:noProof/>
              <w:sz w:val="22"/>
              <w:lang w:eastAsia="en-AU"/>
            </w:rPr>
          </w:pPr>
          <w:hyperlink w:anchor="_Toc470175460" w:history="1">
            <w:r w:rsidR="003F669E" w:rsidRPr="00F23121">
              <w:rPr>
                <w:rStyle w:val="Hyperlink"/>
                <w:noProof/>
              </w:rPr>
              <w:t>I. Introduction to product submission</w:t>
            </w:r>
            <w:r w:rsidR="003F669E">
              <w:rPr>
                <w:noProof/>
                <w:webHidden/>
              </w:rPr>
              <w:tab/>
            </w:r>
            <w:r w:rsidR="003F669E">
              <w:rPr>
                <w:noProof/>
                <w:webHidden/>
              </w:rPr>
              <w:fldChar w:fldCharType="begin"/>
            </w:r>
            <w:r w:rsidR="003F669E">
              <w:rPr>
                <w:noProof/>
                <w:webHidden/>
              </w:rPr>
              <w:instrText xml:space="preserve"> PAGEREF _Toc470175460 \h </w:instrText>
            </w:r>
            <w:r w:rsidR="003F669E">
              <w:rPr>
                <w:noProof/>
                <w:webHidden/>
              </w:rPr>
            </w:r>
            <w:r w:rsidR="003F669E">
              <w:rPr>
                <w:noProof/>
                <w:webHidden/>
              </w:rPr>
              <w:fldChar w:fldCharType="separate"/>
            </w:r>
            <w:r w:rsidR="003F669E">
              <w:rPr>
                <w:noProof/>
                <w:webHidden/>
              </w:rPr>
              <w:t>10</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61" w:history="1">
            <w:r w:rsidR="003F669E" w:rsidRPr="00F23121">
              <w:rPr>
                <w:rStyle w:val="Hyperlink"/>
                <w:noProof/>
                <w:lang w:eastAsia="en-AU"/>
              </w:rPr>
              <w:t>Submission details</w:t>
            </w:r>
            <w:r w:rsidR="003F669E">
              <w:rPr>
                <w:noProof/>
                <w:webHidden/>
              </w:rPr>
              <w:tab/>
            </w:r>
            <w:r w:rsidR="003F669E">
              <w:rPr>
                <w:noProof/>
                <w:webHidden/>
              </w:rPr>
              <w:fldChar w:fldCharType="begin"/>
            </w:r>
            <w:r w:rsidR="003F669E">
              <w:rPr>
                <w:noProof/>
                <w:webHidden/>
              </w:rPr>
              <w:instrText xml:space="preserve"> PAGEREF _Toc470175461 \h </w:instrText>
            </w:r>
            <w:r w:rsidR="003F669E">
              <w:rPr>
                <w:noProof/>
                <w:webHidden/>
              </w:rPr>
            </w:r>
            <w:r w:rsidR="003F669E">
              <w:rPr>
                <w:noProof/>
                <w:webHidden/>
              </w:rPr>
              <w:fldChar w:fldCharType="separate"/>
            </w:r>
            <w:r w:rsidR="003F669E">
              <w:rPr>
                <w:noProof/>
                <w:webHidden/>
              </w:rPr>
              <w:t>10</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62" w:history="1">
            <w:r w:rsidR="003F669E" w:rsidRPr="00F23121">
              <w:rPr>
                <w:rStyle w:val="Hyperlink"/>
                <w:noProof/>
              </w:rPr>
              <w:t>Product background</w:t>
            </w:r>
            <w:r w:rsidR="003F669E">
              <w:rPr>
                <w:noProof/>
                <w:webHidden/>
              </w:rPr>
              <w:tab/>
            </w:r>
            <w:r w:rsidR="003F669E">
              <w:rPr>
                <w:noProof/>
                <w:webHidden/>
              </w:rPr>
              <w:fldChar w:fldCharType="begin"/>
            </w:r>
            <w:r w:rsidR="003F669E">
              <w:rPr>
                <w:noProof/>
                <w:webHidden/>
              </w:rPr>
              <w:instrText xml:space="preserve"> PAGEREF _Toc470175462 \h </w:instrText>
            </w:r>
            <w:r w:rsidR="003F669E">
              <w:rPr>
                <w:noProof/>
                <w:webHidden/>
              </w:rPr>
            </w:r>
            <w:r w:rsidR="003F669E">
              <w:rPr>
                <w:noProof/>
                <w:webHidden/>
              </w:rPr>
              <w:fldChar w:fldCharType="separate"/>
            </w:r>
            <w:r w:rsidR="003F669E">
              <w:rPr>
                <w:noProof/>
                <w:webHidden/>
              </w:rPr>
              <w:t>11</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63" w:history="1">
            <w:r w:rsidR="003F669E" w:rsidRPr="00F23121">
              <w:rPr>
                <w:rStyle w:val="Hyperlink"/>
                <w:noProof/>
              </w:rPr>
              <w:t>Regulatory status</w:t>
            </w:r>
            <w:r w:rsidR="003F669E">
              <w:rPr>
                <w:noProof/>
                <w:webHidden/>
              </w:rPr>
              <w:tab/>
            </w:r>
            <w:r w:rsidR="003F669E">
              <w:rPr>
                <w:noProof/>
                <w:webHidden/>
              </w:rPr>
              <w:fldChar w:fldCharType="begin"/>
            </w:r>
            <w:r w:rsidR="003F669E">
              <w:rPr>
                <w:noProof/>
                <w:webHidden/>
              </w:rPr>
              <w:instrText xml:space="preserve"> PAGEREF _Toc470175463 \h </w:instrText>
            </w:r>
            <w:r w:rsidR="003F669E">
              <w:rPr>
                <w:noProof/>
                <w:webHidden/>
              </w:rPr>
            </w:r>
            <w:r w:rsidR="003F669E">
              <w:rPr>
                <w:noProof/>
                <w:webHidden/>
              </w:rPr>
              <w:fldChar w:fldCharType="separate"/>
            </w:r>
            <w:r w:rsidR="003F669E">
              <w:rPr>
                <w:noProof/>
                <w:webHidden/>
              </w:rPr>
              <w:t>12</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64" w:history="1">
            <w:r w:rsidR="003F669E" w:rsidRPr="00F23121">
              <w:rPr>
                <w:rStyle w:val="Hyperlink"/>
                <w:noProof/>
              </w:rPr>
              <w:t>Product Information</w:t>
            </w:r>
            <w:r w:rsidR="003F669E">
              <w:rPr>
                <w:noProof/>
                <w:webHidden/>
              </w:rPr>
              <w:tab/>
            </w:r>
            <w:r w:rsidR="003F669E">
              <w:rPr>
                <w:noProof/>
                <w:webHidden/>
              </w:rPr>
              <w:fldChar w:fldCharType="begin"/>
            </w:r>
            <w:r w:rsidR="003F669E">
              <w:rPr>
                <w:noProof/>
                <w:webHidden/>
              </w:rPr>
              <w:instrText xml:space="preserve"> PAGEREF _Toc470175464 \h </w:instrText>
            </w:r>
            <w:r w:rsidR="003F669E">
              <w:rPr>
                <w:noProof/>
                <w:webHidden/>
              </w:rPr>
            </w:r>
            <w:r w:rsidR="003F669E">
              <w:rPr>
                <w:noProof/>
                <w:webHidden/>
              </w:rPr>
              <w:fldChar w:fldCharType="separate"/>
            </w:r>
            <w:r w:rsidR="003F669E">
              <w:rPr>
                <w:noProof/>
                <w:webHidden/>
              </w:rPr>
              <w:t>14</w:t>
            </w:r>
            <w:r w:rsidR="003F669E">
              <w:rPr>
                <w:noProof/>
                <w:webHidden/>
              </w:rPr>
              <w:fldChar w:fldCharType="end"/>
            </w:r>
          </w:hyperlink>
        </w:p>
        <w:p w:rsidR="003F669E" w:rsidRDefault="005C2E24">
          <w:pPr>
            <w:pStyle w:val="TOC2"/>
            <w:rPr>
              <w:rFonts w:asciiTheme="minorHAnsi" w:eastAsiaTheme="minorEastAsia" w:hAnsiTheme="minorHAnsi" w:cstheme="minorBidi"/>
              <w:b w:val="0"/>
              <w:noProof/>
              <w:sz w:val="22"/>
              <w:lang w:eastAsia="en-AU"/>
            </w:rPr>
          </w:pPr>
          <w:hyperlink w:anchor="_Toc470175465" w:history="1">
            <w:r w:rsidR="003F669E" w:rsidRPr="00F23121">
              <w:rPr>
                <w:rStyle w:val="Hyperlink"/>
                <w:noProof/>
              </w:rPr>
              <w:t>II. Quality findings</w:t>
            </w:r>
            <w:r w:rsidR="003F669E">
              <w:rPr>
                <w:noProof/>
                <w:webHidden/>
              </w:rPr>
              <w:tab/>
            </w:r>
            <w:r w:rsidR="003F669E">
              <w:rPr>
                <w:noProof/>
                <w:webHidden/>
              </w:rPr>
              <w:fldChar w:fldCharType="begin"/>
            </w:r>
            <w:r w:rsidR="003F669E">
              <w:rPr>
                <w:noProof/>
                <w:webHidden/>
              </w:rPr>
              <w:instrText xml:space="preserve"> PAGEREF _Toc470175465 \h </w:instrText>
            </w:r>
            <w:r w:rsidR="003F669E">
              <w:rPr>
                <w:noProof/>
                <w:webHidden/>
              </w:rPr>
            </w:r>
            <w:r w:rsidR="003F669E">
              <w:rPr>
                <w:noProof/>
                <w:webHidden/>
              </w:rPr>
              <w:fldChar w:fldCharType="separate"/>
            </w:r>
            <w:r w:rsidR="003F669E">
              <w:rPr>
                <w:noProof/>
                <w:webHidden/>
              </w:rPr>
              <w:t>14</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66" w:history="1">
            <w:r w:rsidR="003F669E" w:rsidRPr="00F23121">
              <w:rPr>
                <w:rStyle w:val="Hyperlink"/>
                <w:noProof/>
              </w:rPr>
              <w:t>Introduction</w:t>
            </w:r>
            <w:r w:rsidR="003F669E">
              <w:rPr>
                <w:noProof/>
                <w:webHidden/>
              </w:rPr>
              <w:tab/>
            </w:r>
            <w:r w:rsidR="003F669E">
              <w:rPr>
                <w:noProof/>
                <w:webHidden/>
              </w:rPr>
              <w:fldChar w:fldCharType="begin"/>
            </w:r>
            <w:r w:rsidR="003F669E">
              <w:rPr>
                <w:noProof/>
                <w:webHidden/>
              </w:rPr>
              <w:instrText xml:space="preserve"> PAGEREF _Toc470175466 \h </w:instrText>
            </w:r>
            <w:r w:rsidR="003F669E">
              <w:rPr>
                <w:noProof/>
                <w:webHidden/>
              </w:rPr>
            </w:r>
            <w:r w:rsidR="003F669E">
              <w:rPr>
                <w:noProof/>
                <w:webHidden/>
              </w:rPr>
              <w:fldChar w:fldCharType="separate"/>
            </w:r>
            <w:r w:rsidR="003F669E">
              <w:rPr>
                <w:noProof/>
                <w:webHidden/>
              </w:rPr>
              <w:t>14</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67" w:history="1">
            <w:r w:rsidR="003F669E" w:rsidRPr="00F23121">
              <w:rPr>
                <w:rStyle w:val="Hyperlink"/>
                <w:noProof/>
              </w:rPr>
              <w:t>Drug substance (active ingredient)</w:t>
            </w:r>
            <w:r w:rsidR="003F669E">
              <w:rPr>
                <w:noProof/>
                <w:webHidden/>
              </w:rPr>
              <w:tab/>
            </w:r>
            <w:r w:rsidR="003F669E">
              <w:rPr>
                <w:noProof/>
                <w:webHidden/>
              </w:rPr>
              <w:fldChar w:fldCharType="begin"/>
            </w:r>
            <w:r w:rsidR="003F669E">
              <w:rPr>
                <w:noProof/>
                <w:webHidden/>
              </w:rPr>
              <w:instrText xml:space="preserve"> PAGEREF _Toc470175467 \h </w:instrText>
            </w:r>
            <w:r w:rsidR="003F669E">
              <w:rPr>
                <w:noProof/>
                <w:webHidden/>
              </w:rPr>
            </w:r>
            <w:r w:rsidR="003F669E">
              <w:rPr>
                <w:noProof/>
                <w:webHidden/>
              </w:rPr>
              <w:fldChar w:fldCharType="separate"/>
            </w:r>
            <w:r w:rsidR="003F669E">
              <w:rPr>
                <w:noProof/>
                <w:webHidden/>
              </w:rPr>
              <w:t>15</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68" w:history="1">
            <w:r w:rsidR="003F669E" w:rsidRPr="00F23121">
              <w:rPr>
                <w:rStyle w:val="Hyperlink"/>
                <w:noProof/>
              </w:rPr>
              <w:t>Drug product</w:t>
            </w:r>
            <w:r w:rsidR="003F669E">
              <w:rPr>
                <w:noProof/>
                <w:webHidden/>
              </w:rPr>
              <w:tab/>
            </w:r>
            <w:r w:rsidR="003F669E">
              <w:rPr>
                <w:noProof/>
                <w:webHidden/>
              </w:rPr>
              <w:fldChar w:fldCharType="begin"/>
            </w:r>
            <w:r w:rsidR="003F669E">
              <w:rPr>
                <w:noProof/>
                <w:webHidden/>
              </w:rPr>
              <w:instrText xml:space="preserve"> PAGEREF _Toc470175468 \h </w:instrText>
            </w:r>
            <w:r w:rsidR="003F669E">
              <w:rPr>
                <w:noProof/>
                <w:webHidden/>
              </w:rPr>
            </w:r>
            <w:r w:rsidR="003F669E">
              <w:rPr>
                <w:noProof/>
                <w:webHidden/>
              </w:rPr>
              <w:fldChar w:fldCharType="separate"/>
            </w:r>
            <w:r w:rsidR="003F669E">
              <w:rPr>
                <w:noProof/>
                <w:webHidden/>
              </w:rPr>
              <w:t>16</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69" w:history="1">
            <w:r w:rsidR="003F669E" w:rsidRPr="00F23121">
              <w:rPr>
                <w:rStyle w:val="Hyperlink"/>
                <w:noProof/>
              </w:rPr>
              <w:t>Biopharmaceutics</w:t>
            </w:r>
            <w:r w:rsidR="003F669E">
              <w:rPr>
                <w:noProof/>
                <w:webHidden/>
              </w:rPr>
              <w:tab/>
            </w:r>
            <w:r w:rsidR="003F669E">
              <w:rPr>
                <w:noProof/>
                <w:webHidden/>
              </w:rPr>
              <w:fldChar w:fldCharType="begin"/>
            </w:r>
            <w:r w:rsidR="003F669E">
              <w:rPr>
                <w:noProof/>
                <w:webHidden/>
              </w:rPr>
              <w:instrText xml:space="preserve"> PAGEREF _Toc470175469 \h </w:instrText>
            </w:r>
            <w:r w:rsidR="003F669E">
              <w:rPr>
                <w:noProof/>
                <w:webHidden/>
              </w:rPr>
            </w:r>
            <w:r w:rsidR="003F669E">
              <w:rPr>
                <w:noProof/>
                <w:webHidden/>
              </w:rPr>
              <w:fldChar w:fldCharType="separate"/>
            </w:r>
            <w:r w:rsidR="003F669E">
              <w:rPr>
                <w:noProof/>
                <w:webHidden/>
              </w:rPr>
              <w:t>19</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70" w:history="1">
            <w:r w:rsidR="003F669E" w:rsidRPr="00F23121">
              <w:rPr>
                <w:rStyle w:val="Hyperlink"/>
                <w:noProof/>
              </w:rPr>
              <w:t>Quality summary and conclusions</w:t>
            </w:r>
            <w:r w:rsidR="003F669E">
              <w:rPr>
                <w:noProof/>
                <w:webHidden/>
              </w:rPr>
              <w:tab/>
            </w:r>
            <w:r w:rsidR="003F669E">
              <w:rPr>
                <w:noProof/>
                <w:webHidden/>
              </w:rPr>
              <w:fldChar w:fldCharType="begin"/>
            </w:r>
            <w:r w:rsidR="003F669E">
              <w:rPr>
                <w:noProof/>
                <w:webHidden/>
              </w:rPr>
              <w:instrText xml:space="preserve"> PAGEREF _Toc470175470 \h </w:instrText>
            </w:r>
            <w:r w:rsidR="003F669E">
              <w:rPr>
                <w:noProof/>
                <w:webHidden/>
              </w:rPr>
            </w:r>
            <w:r w:rsidR="003F669E">
              <w:rPr>
                <w:noProof/>
                <w:webHidden/>
              </w:rPr>
              <w:fldChar w:fldCharType="separate"/>
            </w:r>
            <w:r w:rsidR="003F669E">
              <w:rPr>
                <w:noProof/>
                <w:webHidden/>
              </w:rPr>
              <w:t>21</w:t>
            </w:r>
            <w:r w:rsidR="003F669E">
              <w:rPr>
                <w:noProof/>
                <w:webHidden/>
              </w:rPr>
              <w:fldChar w:fldCharType="end"/>
            </w:r>
          </w:hyperlink>
        </w:p>
        <w:p w:rsidR="003F669E" w:rsidRDefault="005C2E24">
          <w:pPr>
            <w:pStyle w:val="TOC2"/>
            <w:rPr>
              <w:rFonts w:asciiTheme="minorHAnsi" w:eastAsiaTheme="minorEastAsia" w:hAnsiTheme="minorHAnsi" w:cstheme="minorBidi"/>
              <w:b w:val="0"/>
              <w:noProof/>
              <w:sz w:val="22"/>
              <w:lang w:eastAsia="en-AU"/>
            </w:rPr>
          </w:pPr>
          <w:hyperlink w:anchor="_Toc470175471" w:history="1">
            <w:r w:rsidR="003F669E" w:rsidRPr="00F23121">
              <w:rPr>
                <w:rStyle w:val="Hyperlink"/>
                <w:noProof/>
              </w:rPr>
              <w:t>III. Nonclinical findings</w:t>
            </w:r>
            <w:r w:rsidR="003F669E">
              <w:rPr>
                <w:noProof/>
                <w:webHidden/>
              </w:rPr>
              <w:tab/>
            </w:r>
            <w:r w:rsidR="003F669E">
              <w:rPr>
                <w:noProof/>
                <w:webHidden/>
              </w:rPr>
              <w:fldChar w:fldCharType="begin"/>
            </w:r>
            <w:r w:rsidR="003F669E">
              <w:rPr>
                <w:noProof/>
                <w:webHidden/>
              </w:rPr>
              <w:instrText xml:space="preserve"> PAGEREF _Toc470175471 \h </w:instrText>
            </w:r>
            <w:r w:rsidR="003F669E">
              <w:rPr>
                <w:noProof/>
                <w:webHidden/>
              </w:rPr>
            </w:r>
            <w:r w:rsidR="003F669E">
              <w:rPr>
                <w:noProof/>
                <w:webHidden/>
              </w:rPr>
              <w:fldChar w:fldCharType="separate"/>
            </w:r>
            <w:r w:rsidR="003F669E">
              <w:rPr>
                <w:noProof/>
                <w:webHidden/>
              </w:rPr>
              <w:t>21</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72" w:history="1">
            <w:r w:rsidR="003F669E" w:rsidRPr="00F23121">
              <w:rPr>
                <w:rStyle w:val="Hyperlink"/>
                <w:noProof/>
              </w:rPr>
              <w:t>Introduction</w:t>
            </w:r>
            <w:r w:rsidR="003F669E">
              <w:rPr>
                <w:noProof/>
                <w:webHidden/>
              </w:rPr>
              <w:tab/>
            </w:r>
            <w:r w:rsidR="003F669E">
              <w:rPr>
                <w:noProof/>
                <w:webHidden/>
              </w:rPr>
              <w:fldChar w:fldCharType="begin"/>
            </w:r>
            <w:r w:rsidR="003F669E">
              <w:rPr>
                <w:noProof/>
                <w:webHidden/>
              </w:rPr>
              <w:instrText xml:space="preserve"> PAGEREF _Toc470175472 \h </w:instrText>
            </w:r>
            <w:r w:rsidR="003F669E">
              <w:rPr>
                <w:noProof/>
                <w:webHidden/>
              </w:rPr>
            </w:r>
            <w:r w:rsidR="003F669E">
              <w:rPr>
                <w:noProof/>
                <w:webHidden/>
              </w:rPr>
              <w:fldChar w:fldCharType="separate"/>
            </w:r>
            <w:r w:rsidR="003F669E">
              <w:rPr>
                <w:noProof/>
                <w:webHidden/>
              </w:rPr>
              <w:t>21</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73" w:history="1">
            <w:r w:rsidR="003F669E" w:rsidRPr="00F23121">
              <w:rPr>
                <w:rStyle w:val="Hyperlink"/>
                <w:noProof/>
              </w:rPr>
              <w:t>Pharmacology</w:t>
            </w:r>
            <w:r w:rsidR="003F669E">
              <w:rPr>
                <w:noProof/>
                <w:webHidden/>
              </w:rPr>
              <w:tab/>
            </w:r>
            <w:r w:rsidR="003F669E">
              <w:rPr>
                <w:noProof/>
                <w:webHidden/>
              </w:rPr>
              <w:fldChar w:fldCharType="begin"/>
            </w:r>
            <w:r w:rsidR="003F669E">
              <w:rPr>
                <w:noProof/>
                <w:webHidden/>
              </w:rPr>
              <w:instrText xml:space="preserve"> PAGEREF _Toc470175473 \h </w:instrText>
            </w:r>
            <w:r w:rsidR="003F669E">
              <w:rPr>
                <w:noProof/>
                <w:webHidden/>
              </w:rPr>
            </w:r>
            <w:r w:rsidR="003F669E">
              <w:rPr>
                <w:noProof/>
                <w:webHidden/>
              </w:rPr>
              <w:fldChar w:fldCharType="separate"/>
            </w:r>
            <w:r w:rsidR="003F669E">
              <w:rPr>
                <w:noProof/>
                <w:webHidden/>
              </w:rPr>
              <w:t>21</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74" w:history="1">
            <w:r w:rsidR="003F669E" w:rsidRPr="00F23121">
              <w:rPr>
                <w:rStyle w:val="Hyperlink"/>
                <w:noProof/>
              </w:rPr>
              <w:t>Pharmacology</w:t>
            </w:r>
            <w:r w:rsidR="003F669E">
              <w:rPr>
                <w:noProof/>
                <w:webHidden/>
              </w:rPr>
              <w:tab/>
            </w:r>
            <w:r w:rsidR="003F669E">
              <w:rPr>
                <w:noProof/>
                <w:webHidden/>
              </w:rPr>
              <w:fldChar w:fldCharType="begin"/>
            </w:r>
            <w:r w:rsidR="003F669E">
              <w:rPr>
                <w:noProof/>
                <w:webHidden/>
              </w:rPr>
              <w:instrText xml:space="preserve"> PAGEREF _Toc470175474 \h </w:instrText>
            </w:r>
            <w:r w:rsidR="003F669E">
              <w:rPr>
                <w:noProof/>
                <w:webHidden/>
              </w:rPr>
            </w:r>
            <w:r w:rsidR="003F669E">
              <w:rPr>
                <w:noProof/>
                <w:webHidden/>
              </w:rPr>
              <w:fldChar w:fldCharType="separate"/>
            </w:r>
            <w:r w:rsidR="003F669E">
              <w:rPr>
                <w:noProof/>
                <w:webHidden/>
              </w:rPr>
              <w:t>23</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75" w:history="1">
            <w:r w:rsidR="003F669E" w:rsidRPr="00F23121">
              <w:rPr>
                <w:rStyle w:val="Hyperlink"/>
                <w:noProof/>
              </w:rPr>
              <w:t>Toxicity</w:t>
            </w:r>
            <w:r w:rsidR="003F669E">
              <w:rPr>
                <w:noProof/>
                <w:webHidden/>
              </w:rPr>
              <w:tab/>
            </w:r>
            <w:r w:rsidR="003F669E">
              <w:rPr>
                <w:noProof/>
                <w:webHidden/>
              </w:rPr>
              <w:fldChar w:fldCharType="begin"/>
            </w:r>
            <w:r w:rsidR="003F669E">
              <w:rPr>
                <w:noProof/>
                <w:webHidden/>
              </w:rPr>
              <w:instrText xml:space="preserve"> PAGEREF _Toc470175475 \h </w:instrText>
            </w:r>
            <w:r w:rsidR="003F669E">
              <w:rPr>
                <w:noProof/>
                <w:webHidden/>
              </w:rPr>
            </w:r>
            <w:r w:rsidR="003F669E">
              <w:rPr>
                <w:noProof/>
                <w:webHidden/>
              </w:rPr>
              <w:fldChar w:fldCharType="separate"/>
            </w:r>
            <w:r w:rsidR="003F669E">
              <w:rPr>
                <w:noProof/>
                <w:webHidden/>
              </w:rPr>
              <w:t>23</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76" w:history="1">
            <w:r w:rsidR="003F669E" w:rsidRPr="00F23121">
              <w:rPr>
                <w:rStyle w:val="Hyperlink"/>
                <w:noProof/>
              </w:rPr>
              <w:t>Nonclinical summary and conclusions</w:t>
            </w:r>
            <w:r w:rsidR="003F669E">
              <w:rPr>
                <w:noProof/>
                <w:webHidden/>
              </w:rPr>
              <w:tab/>
            </w:r>
            <w:r w:rsidR="003F669E">
              <w:rPr>
                <w:noProof/>
                <w:webHidden/>
              </w:rPr>
              <w:fldChar w:fldCharType="begin"/>
            </w:r>
            <w:r w:rsidR="003F669E">
              <w:rPr>
                <w:noProof/>
                <w:webHidden/>
              </w:rPr>
              <w:instrText xml:space="preserve"> PAGEREF _Toc470175476 \h </w:instrText>
            </w:r>
            <w:r w:rsidR="003F669E">
              <w:rPr>
                <w:noProof/>
                <w:webHidden/>
              </w:rPr>
            </w:r>
            <w:r w:rsidR="003F669E">
              <w:rPr>
                <w:noProof/>
                <w:webHidden/>
              </w:rPr>
              <w:fldChar w:fldCharType="separate"/>
            </w:r>
            <w:r w:rsidR="003F669E">
              <w:rPr>
                <w:noProof/>
                <w:webHidden/>
              </w:rPr>
              <w:t>30</w:t>
            </w:r>
            <w:r w:rsidR="003F669E">
              <w:rPr>
                <w:noProof/>
                <w:webHidden/>
              </w:rPr>
              <w:fldChar w:fldCharType="end"/>
            </w:r>
          </w:hyperlink>
        </w:p>
        <w:p w:rsidR="003F669E" w:rsidRDefault="005C2E24">
          <w:pPr>
            <w:pStyle w:val="TOC2"/>
            <w:rPr>
              <w:rFonts w:asciiTheme="minorHAnsi" w:eastAsiaTheme="minorEastAsia" w:hAnsiTheme="minorHAnsi" w:cstheme="minorBidi"/>
              <w:b w:val="0"/>
              <w:noProof/>
              <w:sz w:val="22"/>
              <w:lang w:eastAsia="en-AU"/>
            </w:rPr>
          </w:pPr>
          <w:hyperlink w:anchor="_Toc470175477" w:history="1">
            <w:r w:rsidR="003F669E" w:rsidRPr="00F23121">
              <w:rPr>
                <w:rStyle w:val="Hyperlink"/>
                <w:noProof/>
              </w:rPr>
              <w:t>IV. Clinical findings</w:t>
            </w:r>
            <w:r w:rsidR="003F669E">
              <w:rPr>
                <w:noProof/>
                <w:webHidden/>
              </w:rPr>
              <w:tab/>
            </w:r>
            <w:r w:rsidR="003F669E">
              <w:rPr>
                <w:noProof/>
                <w:webHidden/>
              </w:rPr>
              <w:fldChar w:fldCharType="begin"/>
            </w:r>
            <w:r w:rsidR="003F669E">
              <w:rPr>
                <w:noProof/>
                <w:webHidden/>
              </w:rPr>
              <w:instrText xml:space="preserve"> PAGEREF _Toc470175477 \h </w:instrText>
            </w:r>
            <w:r w:rsidR="003F669E">
              <w:rPr>
                <w:noProof/>
                <w:webHidden/>
              </w:rPr>
            </w:r>
            <w:r w:rsidR="003F669E">
              <w:rPr>
                <w:noProof/>
                <w:webHidden/>
              </w:rPr>
              <w:fldChar w:fldCharType="separate"/>
            </w:r>
            <w:r w:rsidR="003F669E">
              <w:rPr>
                <w:noProof/>
                <w:webHidden/>
              </w:rPr>
              <w:t>31</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78" w:history="1">
            <w:r w:rsidR="003F669E" w:rsidRPr="00F23121">
              <w:rPr>
                <w:rStyle w:val="Hyperlink"/>
                <w:noProof/>
              </w:rPr>
              <w:t>Introduction</w:t>
            </w:r>
            <w:r w:rsidR="003F669E">
              <w:rPr>
                <w:noProof/>
                <w:webHidden/>
              </w:rPr>
              <w:tab/>
            </w:r>
            <w:r w:rsidR="003F669E">
              <w:rPr>
                <w:noProof/>
                <w:webHidden/>
              </w:rPr>
              <w:fldChar w:fldCharType="begin"/>
            </w:r>
            <w:r w:rsidR="003F669E">
              <w:rPr>
                <w:noProof/>
                <w:webHidden/>
              </w:rPr>
              <w:instrText xml:space="preserve"> PAGEREF _Toc470175478 \h </w:instrText>
            </w:r>
            <w:r w:rsidR="003F669E">
              <w:rPr>
                <w:noProof/>
                <w:webHidden/>
              </w:rPr>
            </w:r>
            <w:r w:rsidR="003F669E">
              <w:rPr>
                <w:noProof/>
                <w:webHidden/>
              </w:rPr>
              <w:fldChar w:fldCharType="separate"/>
            </w:r>
            <w:r w:rsidR="003F669E">
              <w:rPr>
                <w:noProof/>
                <w:webHidden/>
              </w:rPr>
              <w:t>31</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79" w:history="1">
            <w:r w:rsidR="003F669E" w:rsidRPr="00F23121">
              <w:rPr>
                <w:rStyle w:val="Hyperlink"/>
                <w:noProof/>
              </w:rPr>
              <w:t>Pharmacokinetics</w:t>
            </w:r>
            <w:r w:rsidR="003F669E">
              <w:rPr>
                <w:noProof/>
                <w:webHidden/>
              </w:rPr>
              <w:tab/>
            </w:r>
            <w:r w:rsidR="003F669E">
              <w:rPr>
                <w:noProof/>
                <w:webHidden/>
              </w:rPr>
              <w:fldChar w:fldCharType="begin"/>
            </w:r>
            <w:r w:rsidR="003F669E">
              <w:rPr>
                <w:noProof/>
                <w:webHidden/>
              </w:rPr>
              <w:instrText xml:space="preserve"> PAGEREF _Toc470175479 \h </w:instrText>
            </w:r>
            <w:r w:rsidR="003F669E">
              <w:rPr>
                <w:noProof/>
                <w:webHidden/>
              </w:rPr>
            </w:r>
            <w:r w:rsidR="003F669E">
              <w:rPr>
                <w:noProof/>
                <w:webHidden/>
              </w:rPr>
              <w:fldChar w:fldCharType="separate"/>
            </w:r>
            <w:r w:rsidR="003F669E">
              <w:rPr>
                <w:noProof/>
                <w:webHidden/>
              </w:rPr>
              <w:t>34</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80" w:history="1">
            <w:r w:rsidR="003F669E" w:rsidRPr="00F23121">
              <w:rPr>
                <w:rStyle w:val="Hyperlink"/>
                <w:noProof/>
              </w:rPr>
              <w:t>Pharmacodynamics</w:t>
            </w:r>
            <w:r w:rsidR="003F669E">
              <w:rPr>
                <w:noProof/>
                <w:webHidden/>
              </w:rPr>
              <w:tab/>
            </w:r>
            <w:r w:rsidR="003F669E">
              <w:rPr>
                <w:noProof/>
                <w:webHidden/>
              </w:rPr>
              <w:fldChar w:fldCharType="begin"/>
            </w:r>
            <w:r w:rsidR="003F669E">
              <w:rPr>
                <w:noProof/>
                <w:webHidden/>
              </w:rPr>
              <w:instrText xml:space="preserve"> PAGEREF _Toc470175480 \h </w:instrText>
            </w:r>
            <w:r w:rsidR="003F669E">
              <w:rPr>
                <w:noProof/>
                <w:webHidden/>
              </w:rPr>
            </w:r>
            <w:r w:rsidR="003F669E">
              <w:rPr>
                <w:noProof/>
                <w:webHidden/>
              </w:rPr>
              <w:fldChar w:fldCharType="separate"/>
            </w:r>
            <w:r w:rsidR="003F669E">
              <w:rPr>
                <w:noProof/>
                <w:webHidden/>
              </w:rPr>
              <w:t>36</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81" w:history="1">
            <w:r w:rsidR="003F669E" w:rsidRPr="00F23121">
              <w:rPr>
                <w:rStyle w:val="Hyperlink"/>
                <w:noProof/>
              </w:rPr>
              <w:t>Dosage selection for the pivotal studies</w:t>
            </w:r>
            <w:r w:rsidR="003F669E">
              <w:rPr>
                <w:noProof/>
                <w:webHidden/>
              </w:rPr>
              <w:tab/>
            </w:r>
            <w:r w:rsidR="003F669E">
              <w:rPr>
                <w:noProof/>
                <w:webHidden/>
              </w:rPr>
              <w:fldChar w:fldCharType="begin"/>
            </w:r>
            <w:r w:rsidR="003F669E">
              <w:rPr>
                <w:noProof/>
                <w:webHidden/>
              </w:rPr>
              <w:instrText xml:space="preserve"> PAGEREF _Toc470175481 \h </w:instrText>
            </w:r>
            <w:r w:rsidR="003F669E">
              <w:rPr>
                <w:noProof/>
                <w:webHidden/>
              </w:rPr>
            </w:r>
            <w:r w:rsidR="003F669E">
              <w:rPr>
                <w:noProof/>
                <w:webHidden/>
              </w:rPr>
              <w:fldChar w:fldCharType="separate"/>
            </w:r>
            <w:r w:rsidR="003F669E">
              <w:rPr>
                <w:noProof/>
                <w:webHidden/>
              </w:rPr>
              <w:t>37</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82" w:history="1">
            <w:r w:rsidR="003F669E" w:rsidRPr="00F23121">
              <w:rPr>
                <w:rStyle w:val="Hyperlink"/>
                <w:noProof/>
              </w:rPr>
              <w:t>Efficacy</w:t>
            </w:r>
            <w:r w:rsidR="003F669E">
              <w:rPr>
                <w:noProof/>
                <w:webHidden/>
              </w:rPr>
              <w:tab/>
            </w:r>
            <w:r w:rsidR="003F669E">
              <w:rPr>
                <w:noProof/>
                <w:webHidden/>
              </w:rPr>
              <w:fldChar w:fldCharType="begin"/>
            </w:r>
            <w:r w:rsidR="003F669E">
              <w:rPr>
                <w:noProof/>
                <w:webHidden/>
              </w:rPr>
              <w:instrText xml:space="preserve"> PAGEREF _Toc470175482 \h </w:instrText>
            </w:r>
            <w:r w:rsidR="003F669E">
              <w:rPr>
                <w:noProof/>
                <w:webHidden/>
              </w:rPr>
            </w:r>
            <w:r w:rsidR="003F669E">
              <w:rPr>
                <w:noProof/>
                <w:webHidden/>
              </w:rPr>
              <w:fldChar w:fldCharType="separate"/>
            </w:r>
            <w:r w:rsidR="003F669E">
              <w:rPr>
                <w:noProof/>
                <w:webHidden/>
              </w:rPr>
              <w:t>38</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83" w:history="1">
            <w:r w:rsidR="003F669E" w:rsidRPr="00F23121">
              <w:rPr>
                <w:rStyle w:val="Hyperlink"/>
                <w:noProof/>
              </w:rPr>
              <w:t>Safety</w:t>
            </w:r>
            <w:r w:rsidR="003F669E">
              <w:rPr>
                <w:noProof/>
                <w:webHidden/>
              </w:rPr>
              <w:tab/>
            </w:r>
            <w:r w:rsidR="003F669E">
              <w:rPr>
                <w:noProof/>
                <w:webHidden/>
              </w:rPr>
              <w:fldChar w:fldCharType="begin"/>
            </w:r>
            <w:r w:rsidR="003F669E">
              <w:rPr>
                <w:noProof/>
                <w:webHidden/>
              </w:rPr>
              <w:instrText xml:space="preserve"> PAGEREF _Toc470175483 \h </w:instrText>
            </w:r>
            <w:r w:rsidR="003F669E">
              <w:rPr>
                <w:noProof/>
                <w:webHidden/>
              </w:rPr>
            </w:r>
            <w:r w:rsidR="003F669E">
              <w:rPr>
                <w:noProof/>
                <w:webHidden/>
              </w:rPr>
              <w:fldChar w:fldCharType="separate"/>
            </w:r>
            <w:r w:rsidR="003F669E">
              <w:rPr>
                <w:noProof/>
                <w:webHidden/>
              </w:rPr>
              <w:t>38</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84" w:history="1">
            <w:r w:rsidR="003F669E" w:rsidRPr="00F23121">
              <w:rPr>
                <w:rStyle w:val="Hyperlink"/>
                <w:noProof/>
              </w:rPr>
              <w:t>First round benefit-risk assessment</w:t>
            </w:r>
            <w:r w:rsidR="003F669E">
              <w:rPr>
                <w:noProof/>
                <w:webHidden/>
              </w:rPr>
              <w:tab/>
            </w:r>
            <w:r w:rsidR="003F669E">
              <w:rPr>
                <w:noProof/>
                <w:webHidden/>
              </w:rPr>
              <w:fldChar w:fldCharType="begin"/>
            </w:r>
            <w:r w:rsidR="003F669E">
              <w:rPr>
                <w:noProof/>
                <w:webHidden/>
              </w:rPr>
              <w:instrText xml:space="preserve"> PAGEREF _Toc470175484 \h </w:instrText>
            </w:r>
            <w:r w:rsidR="003F669E">
              <w:rPr>
                <w:noProof/>
                <w:webHidden/>
              </w:rPr>
            </w:r>
            <w:r w:rsidR="003F669E">
              <w:rPr>
                <w:noProof/>
                <w:webHidden/>
              </w:rPr>
              <w:fldChar w:fldCharType="separate"/>
            </w:r>
            <w:r w:rsidR="003F669E">
              <w:rPr>
                <w:noProof/>
                <w:webHidden/>
              </w:rPr>
              <w:t>39</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85" w:history="1">
            <w:r w:rsidR="003F669E" w:rsidRPr="00F23121">
              <w:rPr>
                <w:rStyle w:val="Hyperlink"/>
                <w:noProof/>
              </w:rPr>
              <w:t>Clinical questions</w:t>
            </w:r>
            <w:r w:rsidR="003F669E">
              <w:rPr>
                <w:noProof/>
                <w:webHidden/>
              </w:rPr>
              <w:tab/>
            </w:r>
            <w:r w:rsidR="003F669E">
              <w:rPr>
                <w:noProof/>
                <w:webHidden/>
              </w:rPr>
              <w:fldChar w:fldCharType="begin"/>
            </w:r>
            <w:r w:rsidR="003F669E">
              <w:rPr>
                <w:noProof/>
                <w:webHidden/>
              </w:rPr>
              <w:instrText xml:space="preserve"> PAGEREF _Toc470175485 \h </w:instrText>
            </w:r>
            <w:r w:rsidR="003F669E">
              <w:rPr>
                <w:noProof/>
                <w:webHidden/>
              </w:rPr>
            </w:r>
            <w:r w:rsidR="003F669E">
              <w:rPr>
                <w:noProof/>
                <w:webHidden/>
              </w:rPr>
              <w:fldChar w:fldCharType="separate"/>
            </w:r>
            <w:r w:rsidR="003F669E">
              <w:rPr>
                <w:noProof/>
                <w:webHidden/>
              </w:rPr>
              <w:t>40</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86" w:history="1">
            <w:r w:rsidR="003F669E" w:rsidRPr="00F23121">
              <w:rPr>
                <w:rStyle w:val="Hyperlink"/>
                <w:noProof/>
              </w:rPr>
              <w:t>Second round evaluation of clinical data submitted in response to questions</w:t>
            </w:r>
            <w:r w:rsidR="003F669E">
              <w:rPr>
                <w:noProof/>
                <w:webHidden/>
              </w:rPr>
              <w:tab/>
            </w:r>
            <w:r w:rsidR="003F669E">
              <w:rPr>
                <w:noProof/>
                <w:webHidden/>
              </w:rPr>
              <w:fldChar w:fldCharType="begin"/>
            </w:r>
            <w:r w:rsidR="003F669E">
              <w:rPr>
                <w:noProof/>
                <w:webHidden/>
              </w:rPr>
              <w:instrText xml:space="preserve"> PAGEREF _Toc470175486 \h </w:instrText>
            </w:r>
            <w:r w:rsidR="003F669E">
              <w:rPr>
                <w:noProof/>
                <w:webHidden/>
              </w:rPr>
            </w:r>
            <w:r w:rsidR="003F669E">
              <w:rPr>
                <w:noProof/>
                <w:webHidden/>
              </w:rPr>
              <w:fldChar w:fldCharType="separate"/>
            </w:r>
            <w:r w:rsidR="003F669E">
              <w:rPr>
                <w:noProof/>
                <w:webHidden/>
              </w:rPr>
              <w:t>42</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87" w:history="1">
            <w:r w:rsidR="003F669E" w:rsidRPr="00F23121">
              <w:rPr>
                <w:rStyle w:val="Hyperlink"/>
                <w:noProof/>
              </w:rPr>
              <w:t>Second round benefit-risk assessment</w:t>
            </w:r>
            <w:r w:rsidR="003F669E">
              <w:rPr>
                <w:noProof/>
                <w:webHidden/>
              </w:rPr>
              <w:tab/>
            </w:r>
            <w:r w:rsidR="003F669E">
              <w:rPr>
                <w:noProof/>
                <w:webHidden/>
              </w:rPr>
              <w:fldChar w:fldCharType="begin"/>
            </w:r>
            <w:r w:rsidR="003F669E">
              <w:rPr>
                <w:noProof/>
                <w:webHidden/>
              </w:rPr>
              <w:instrText xml:space="preserve"> PAGEREF _Toc470175487 \h </w:instrText>
            </w:r>
            <w:r w:rsidR="003F669E">
              <w:rPr>
                <w:noProof/>
                <w:webHidden/>
              </w:rPr>
            </w:r>
            <w:r w:rsidR="003F669E">
              <w:rPr>
                <w:noProof/>
                <w:webHidden/>
              </w:rPr>
              <w:fldChar w:fldCharType="separate"/>
            </w:r>
            <w:r w:rsidR="003F669E">
              <w:rPr>
                <w:noProof/>
                <w:webHidden/>
              </w:rPr>
              <w:t>42</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88" w:history="1">
            <w:r w:rsidR="003F669E" w:rsidRPr="00F23121">
              <w:rPr>
                <w:rStyle w:val="Hyperlink"/>
                <w:noProof/>
              </w:rPr>
              <w:t>Second round recommendation regarding authorisation</w:t>
            </w:r>
            <w:r w:rsidR="003F669E">
              <w:rPr>
                <w:noProof/>
                <w:webHidden/>
              </w:rPr>
              <w:tab/>
            </w:r>
            <w:r w:rsidR="003F669E">
              <w:rPr>
                <w:noProof/>
                <w:webHidden/>
              </w:rPr>
              <w:fldChar w:fldCharType="begin"/>
            </w:r>
            <w:r w:rsidR="003F669E">
              <w:rPr>
                <w:noProof/>
                <w:webHidden/>
              </w:rPr>
              <w:instrText xml:space="preserve"> PAGEREF _Toc470175488 \h </w:instrText>
            </w:r>
            <w:r w:rsidR="003F669E">
              <w:rPr>
                <w:noProof/>
                <w:webHidden/>
              </w:rPr>
            </w:r>
            <w:r w:rsidR="003F669E">
              <w:rPr>
                <w:noProof/>
                <w:webHidden/>
              </w:rPr>
              <w:fldChar w:fldCharType="separate"/>
            </w:r>
            <w:r w:rsidR="003F669E">
              <w:rPr>
                <w:noProof/>
                <w:webHidden/>
              </w:rPr>
              <w:t>43</w:t>
            </w:r>
            <w:r w:rsidR="003F669E">
              <w:rPr>
                <w:noProof/>
                <w:webHidden/>
              </w:rPr>
              <w:fldChar w:fldCharType="end"/>
            </w:r>
          </w:hyperlink>
        </w:p>
        <w:p w:rsidR="003F669E" w:rsidRDefault="005C2E24">
          <w:pPr>
            <w:pStyle w:val="TOC2"/>
            <w:rPr>
              <w:rFonts w:asciiTheme="minorHAnsi" w:eastAsiaTheme="minorEastAsia" w:hAnsiTheme="minorHAnsi" w:cstheme="minorBidi"/>
              <w:b w:val="0"/>
              <w:noProof/>
              <w:sz w:val="22"/>
              <w:lang w:eastAsia="en-AU"/>
            </w:rPr>
          </w:pPr>
          <w:hyperlink w:anchor="_Toc470175489" w:history="1">
            <w:r w:rsidR="003F669E" w:rsidRPr="00F23121">
              <w:rPr>
                <w:rStyle w:val="Hyperlink"/>
                <w:noProof/>
              </w:rPr>
              <w:t>V. Pharmacovigilance findings</w:t>
            </w:r>
            <w:r w:rsidR="003F669E">
              <w:rPr>
                <w:noProof/>
                <w:webHidden/>
              </w:rPr>
              <w:tab/>
            </w:r>
            <w:r w:rsidR="003F669E">
              <w:rPr>
                <w:noProof/>
                <w:webHidden/>
              </w:rPr>
              <w:fldChar w:fldCharType="begin"/>
            </w:r>
            <w:r w:rsidR="003F669E">
              <w:rPr>
                <w:noProof/>
                <w:webHidden/>
              </w:rPr>
              <w:instrText xml:space="preserve"> PAGEREF _Toc470175489 \h </w:instrText>
            </w:r>
            <w:r w:rsidR="003F669E">
              <w:rPr>
                <w:noProof/>
                <w:webHidden/>
              </w:rPr>
            </w:r>
            <w:r w:rsidR="003F669E">
              <w:rPr>
                <w:noProof/>
                <w:webHidden/>
              </w:rPr>
              <w:fldChar w:fldCharType="separate"/>
            </w:r>
            <w:r w:rsidR="003F669E">
              <w:rPr>
                <w:noProof/>
                <w:webHidden/>
              </w:rPr>
              <w:t>43</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90" w:history="1">
            <w:r w:rsidR="003F669E" w:rsidRPr="00F23121">
              <w:rPr>
                <w:rStyle w:val="Hyperlink"/>
                <w:noProof/>
                <w:lang w:eastAsia="en-AU"/>
              </w:rPr>
              <w:t>Risk management plan</w:t>
            </w:r>
            <w:r w:rsidR="003F669E">
              <w:rPr>
                <w:noProof/>
                <w:webHidden/>
              </w:rPr>
              <w:tab/>
            </w:r>
            <w:r w:rsidR="003F669E">
              <w:rPr>
                <w:noProof/>
                <w:webHidden/>
              </w:rPr>
              <w:fldChar w:fldCharType="begin"/>
            </w:r>
            <w:r w:rsidR="003F669E">
              <w:rPr>
                <w:noProof/>
                <w:webHidden/>
              </w:rPr>
              <w:instrText xml:space="preserve"> PAGEREF _Toc470175490 \h </w:instrText>
            </w:r>
            <w:r w:rsidR="003F669E">
              <w:rPr>
                <w:noProof/>
                <w:webHidden/>
              </w:rPr>
            </w:r>
            <w:r w:rsidR="003F669E">
              <w:rPr>
                <w:noProof/>
                <w:webHidden/>
              </w:rPr>
              <w:fldChar w:fldCharType="separate"/>
            </w:r>
            <w:r w:rsidR="003F669E">
              <w:rPr>
                <w:noProof/>
                <w:webHidden/>
              </w:rPr>
              <w:t>43</w:t>
            </w:r>
            <w:r w:rsidR="003F669E">
              <w:rPr>
                <w:noProof/>
                <w:webHidden/>
              </w:rPr>
              <w:fldChar w:fldCharType="end"/>
            </w:r>
          </w:hyperlink>
        </w:p>
        <w:p w:rsidR="003F669E" w:rsidRDefault="005C2E24">
          <w:pPr>
            <w:pStyle w:val="TOC2"/>
            <w:rPr>
              <w:rFonts w:asciiTheme="minorHAnsi" w:eastAsiaTheme="minorEastAsia" w:hAnsiTheme="minorHAnsi" w:cstheme="minorBidi"/>
              <w:b w:val="0"/>
              <w:noProof/>
              <w:sz w:val="22"/>
              <w:lang w:eastAsia="en-AU"/>
            </w:rPr>
          </w:pPr>
          <w:hyperlink w:anchor="_Toc470175491" w:history="1">
            <w:r w:rsidR="003F669E" w:rsidRPr="00F23121">
              <w:rPr>
                <w:rStyle w:val="Hyperlink"/>
                <w:noProof/>
              </w:rPr>
              <w:t>VI. Overall conclusion and risk/benefit assessment</w:t>
            </w:r>
            <w:r w:rsidR="003F669E">
              <w:rPr>
                <w:noProof/>
                <w:webHidden/>
              </w:rPr>
              <w:tab/>
            </w:r>
            <w:r w:rsidR="003F669E">
              <w:rPr>
                <w:noProof/>
                <w:webHidden/>
              </w:rPr>
              <w:fldChar w:fldCharType="begin"/>
            </w:r>
            <w:r w:rsidR="003F669E">
              <w:rPr>
                <w:noProof/>
                <w:webHidden/>
              </w:rPr>
              <w:instrText xml:space="preserve"> PAGEREF _Toc470175491 \h </w:instrText>
            </w:r>
            <w:r w:rsidR="003F669E">
              <w:rPr>
                <w:noProof/>
                <w:webHidden/>
              </w:rPr>
            </w:r>
            <w:r w:rsidR="003F669E">
              <w:rPr>
                <w:noProof/>
                <w:webHidden/>
              </w:rPr>
              <w:fldChar w:fldCharType="separate"/>
            </w:r>
            <w:r w:rsidR="003F669E">
              <w:rPr>
                <w:noProof/>
                <w:webHidden/>
              </w:rPr>
              <w:t>47</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92" w:history="1">
            <w:r w:rsidR="003F669E" w:rsidRPr="00F23121">
              <w:rPr>
                <w:rStyle w:val="Hyperlink"/>
                <w:noProof/>
              </w:rPr>
              <w:t>Quality</w:t>
            </w:r>
            <w:r w:rsidR="003F669E">
              <w:rPr>
                <w:noProof/>
                <w:webHidden/>
              </w:rPr>
              <w:tab/>
            </w:r>
            <w:r w:rsidR="003F669E">
              <w:rPr>
                <w:noProof/>
                <w:webHidden/>
              </w:rPr>
              <w:fldChar w:fldCharType="begin"/>
            </w:r>
            <w:r w:rsidR="003F669E">
              <w:rPr>
                <w:noProof/>
                <w:webHidden/>
              </w:rPr>
              <w:instrText xml:space="preserve"> PAGEREF _Toc470175492 \h </w:instrText>
            </w:r>
            <w:r w:rsidR="003F669E">
              <w:rPr>
                <w:noProof/>
                <w:webHidden/>
              </w:rPr>
            </w:r>
            <w:r w:rsidR="003F669E">
              <w:rPr>
                <w:noProof/>
                <w:webHidden/>
              </w:rPr>
              <w:fldChar w:fldCharType="separate"/>
            </w:r>
            <w:r w:rsidR="003F669E">
              <w:rPr>
                <w:noProof/>
                <w:webHidden/>
              </w:rPr>
              <w:t>47</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93" w:history="1">
            <w:r w:rsidR="003F669E" w:rsidRPr="00F23121">
              <w:rPr>
                <w:rStyle w:val="Hyperlink"/>
                <w:noProof/>
              </w:rPr>
              <w:t>Nonclinical</w:t>
            </w:r>
            <w:r w:rsidR="003F669E">
              <w:rPr>
                <w:noProof/>
                <w:webHidden/>
              </w:rPr>
              <w:tab/>
            </w:r>
            <w:r w:rsidR="003F669E">
              <w:rPr>
                <w:noProof/>
                <w:webHidden/>
              </w:rPr>
              <w:fldChar w:fldCharType="begin"/>
            </w:r>
            <w:r w:rsidR="003F669E">
              <w:rPr>
                <w:noProof/>
                <w:webHidden/>
              </w:rPr>
              <w:instrText xml:space="preserve"> PAGEREF _Toc470175493 \h </w:instrText>
            </w:r>
            <w:r w:rsidR="003F669E">
              <w:rPr>
                <w:noProof/>
                <w:webHidden/>
              </w:rPr>
            </w:r>
            <w:r w:rsidR="003F669E">
              <w:rPr>
                <w:noProof/>
                <w:webHidden/>
              </w:rPr>
              <w:fldChar w:fldCharType="separate"/>
            </w:r>
            <w:r w:rsidR="003F669E">
              <w:rPr>
                <w:noProof/>
                <w:webHidden/>
              </w:rPr>
              <w:t>47</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94" w:history="1">
            <w:r w:rsidR="003F669E" w:rsidRPr="00F23121">
              <w:rPr>
                <w:rStyle w:val="Hyperlink"/>
                <w:noProof/>
              </w:rPr>
              <w:t>Clinical</w:t>
            </w:r>
            <w:r w:rsidR="003F669E">
              <w:rPr>
                <w:noProof/>
                <w:webHidden/>
              </w:rPr>
              <w:tab/>
            </w:r>
            <w:r w:rsidR="003F669E">
              <w:rPr>
                <w:noProof/>
                <w:webHidden/>
              </w:rPr>
              <w:fldChar w:fldCharType="begin"/>
            </w:r>
            <w:r w:rsidR="003F669E">
              <w:rPr>
                <w:noProof/>
                <w:webHidden/>
              </w:rPr>
              <w:instrText xml:space="preserve"> PAGEREF _Toc470175494 \h </w:instrText>
            </w:r>
            <w:r w:rsidR="003F669E">
              <w:rPr>
                <w:noProof/>
                <w:webHidden/>
              </w:rPr>
            </w:r>
            <w:r w:rsidR="003F669E">
              <w:rPr>
                <w:noProof/>
                <w:webHidden/>
              </w:rPr>
              <w:fldChar w:fldCharType="separate"/>
            </w:r>
            <w:r w:rsidR="003F669E">
              <w:rPr>
                <w:noProof/>
                <w:webHidden/>
              </w:rPr>
              <w:t>47</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95" w:history="1">
            <w:r w:rsidR="003F669E" w:rsidRPr="00F23121">
              <w:rPr>
                <w:rStyle w:val="Hyperlink"/>
                <w:noProof/>
                <w:lang w:eastAsia="en-AU"/>
              </w:rPr>
              <w:t>Risk management plan</w:t>
            </w:r>
            <w:r w:rsidR="003F669E">
              <w:rPr>
                <w:noProof/>
                <w:webHidden/>
              </w:rPr>
              <w:tab/>
            </w:r>
            <w:r w:rsidR="003F669E">
              <w:rPr>
                <w:noProof/>
                <w:webHidden/>
              </w:rPr>
              <w:fldChar w:fldCharType="begin"/>
            </w:r>
            <w:r w:rsidR="003F669E">
              <w:rPr>
                <w:noProof/>
                <w:webHidden/>
              </w:rPr>
              <w:instrText xml:space="preserve"> PAGEREF _Toc470175495 \h </w:instrText>
            </w:r>
            <w:r w:rsidR="003F669E">
              <w:rPr>
                <w:noProof/>
                <w:webHidden/>
              </w:rPr>
            </w:r>
            <w:r w:rsidR="003F669E">
              <w:rPr>
                <w:noProof/>
                <w:webHidden/>
              </w:rPr>
              <w:fldChar w:fldCharType="separate"/>
            </w:r>
            <w:r w:rsidR="003F669E">
              <w:rPr>
                <w:noProof/>
                <w:webHidden/>
              </w:rPr>
              <w:t>54</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96" w:history="1">
            <w:r w:rsidR="003F669E" w:rsidRPr="00F23121">
              <w:rPr>
                <w:rStyle w:val="Hyperlink"/>
                <w:noProof/>
              </w:rPr>
              <w:t>Risk-benefit analysis</w:t>
            </w:r>
            <w:r w:rsidR="003F669E">
              <w:rPr>
                <w:noProof/>
                <w:webHidden/>
              </w:rPr>
              <w:tab/>
            </w:r>
            <w:r w:rsidR="003F669E">
              <w:rPr>
                <w:noProof/>
                <w:webHidden/>
              </w:rPr>
              <w:fldChar w:fldCharType="begin"/>
            </w:r>
            <w:r w:rsidR="003F669E">
              <w:rPr>
                <w:noProof/>
                <w:webHidden/>
              </w:rPr>
              <w:instrText xml:space="preserve"> PAGEREF _Toc470175496 \h </w:instrText>
            </w:r>
            <w:r w:rsidR="003F669E">
              <w:rPr>
                <w:noProof/>
                <w:webHidden/>
              </w:rPr>
            </w:r>
            <w:r w:rsidR="003F669E">
              <w:rPr>
                <w:noProof/>
                <w:webHidden/>
              </w:rPr>
              <w:fldChar w:fldCharType="separate"/>
            </w:r>
            <w:r w:rsidR="003F669E">
              <w:rPr>
                <w:noProof/>
                <w:webHidden/>
              </w:rPr>
              <w:t>54</w:t>
            </w:r>
            <w:r w:rsidR="003F669E">
              <w:rPr>
                <w:noProof/>
                <w:webHidden/>
              </w:rPr>
              <w:fldChar w:fldCharType="end"/>
            </w:r>
          </w:hyperlink>
        </w:p>
        <w:p w:rsidR="003F669E" w:rsidRDefault="005C2E24">
          <w:pPr>
            <w:pStyle w:val="TOC3"/>
            <w:rPr>
              <w:rFonts w:asciiTheme="minorHAnsi" w:eastAsiaTheme="minorEastAsia" w:hAnsiTheme="minorHAnsi" w:cstheme="minorBidi"/>
              <w:noProof/>
              <w:lang w:eastAsia="en-AU"/>
            </w:rPr>
          </w:pPr>
          <w:hyperlink w:anchor="_Toc470175497" w:history="1">
            <w:r w:rsidR="003F669E" w:rsidRPr="00F23121">
              <w:rPr>
                <w:rStyle w:val="Hyperlink"/>
                <w:noProof/>
              </w:rPr>
              <w:t>Outcome</w:t>
            </w:r>
            <w:r w:rsidR="003F669E">
              <w:rPr>
                <w:noProof/>
                <w:webHidden/>
              </w:rPr>
              <w:tab/>
            </w:r>
            <w:r w:rsidR="003F669E">
              <w:rPr>
                <w:noProof/>
                <w:webHidden/>
              </w:rPr>
              <w:fldChar w:fldCharType="begin"/>
            </w:r>
            <w:r w:rsidR="003F669E">
              <w:rPr>
                <w:noProof/>
                <w:webHidden/>
              </w:rPr>
              <w:instrText xml:space="preserve"> PAGEREF _Toc470175497 \h </w:instrText>
            </w:r>
            <w:r w:rsidR="003F669E">
              <w:rPr>
                <w:noProof/>
                <w:webHidden/>
              </w:rPr>
            </w:r>
            <w:r w:rsidR="003F669E">
              <w:rPr>
                <w:noProof/>
                <w:webHidden/>
              </w:rPr>
              <w:fldChar w:fldCharType="separate"/>
            </w:r>
            <w:r w:rsidR="003F669E">
              <w:rPr>
                <w:noProof/>
                <w:webHidden/>
              </w:rPr>
              <w:t>65</w:t>
            </w:r>
            <w:r w:rsidR="003F669E">
              <w:rPr>
                <w:noProof/>
                <w:webHidden/>
              </w:rPr>
              <w:fldChar w:fldCharType="end"/>
            </w:r>
          </w:hyperlink>
        </w:p>
        <w:p w:rsidR="003F669E" w:rsidRDefault="005C2E24">
          <w:pPr>
            <w:pStyle w:val="TOC2"/>
            <w:rPr>
              <w:rFonts w:asciiTheme="minorHAnsi" w:eastAsiaTheme="minorEastAsia" w:hAnsiTheme="minorHAnsi" w:cstheme="minorBidi"/>
              <w:b w:val="0"/>
              <w:noProof/>
              <w:sz w:val="22"/>
              <w:lang w:eastAsia="en-AU"/>
            </w:rPr>
          </w:pPr>
          <w:hyperlink w:anchor="_Toc470175498" w:history="1">
            <w:r w:rsidR="003F669E" w:rsidRPr="00F23121">
              <w:rPr>
                <w:rStyle w:val="Hyperlink"/>
                <w:noProof/>
              </w:rPr>
              <w:t>Attachment 1. Product Information</w:t>
            </w:r>
            <w:r w:rsidR="003F669E">
              <w:rPr>
                <w:noProof/>
                <w:webHidden/>
              </w:rPr>
              <w:tab/>
            </w:r>
            <w:r w:rsidR="003F669E">
              <w:rPr>
                <w:noProof/>
                <w:webHidden/>
              </w:rPr>
              <w:fldChar w:fldCharType="begin"/>
            </w:r>
            <w:r w:rsidR="003F669E">
              <w:rPr>
                <w:noProof/>
                <w:webHidden/>
              </w:rPr>
              <w:instrText xml:space="preserve"> PAGEREF _Toc470175498 \h </w:instrText>
            </w:r>
            <w:r w:rsidR="003F669E">
              <w:rPr>
                <w:noProof/>
                <w:webHidden/>
              </w:rPr>
            </w:r>
            <w:r w:rsidR="003F669E">
              <w:rPr>
                <w:noProof/>
                <w:webHidden/>
              </w:rPr>
              <w:fldChar w:fldCharType="separate"/>
            </w:r>
            <w:r w:rsidR="003F669E">
              <w:rPr>
                <w:noProof/>
                <w:webHidden/>
              </w:rPr>
              <w:t>66</w:t>
            </w:r>
            <w:r w:rsidR="003F669E">
              <w:rPr>
                <w:noProof/>
                <w:webHidden/>
              </w:rPr>
              <w:fldChar w:fldCharType="end"/>
            </w:r>
          </w:hyperlink>
        </w:p>
        <w:p w:rsidR="003F669E" w:rsidRDefault="005C2E24">
          <w:pPr>
            <w:pStyle w:val="TOC2"/>
            <w:rPr>
              <w:rFonts w:asciiTheme="minorHAnsi" w:eastAsiaTheme="minorEastAsia" w:hAnsiTheme="minorHAnsi" w:cstheme="minorBidi"/>
              <w:b w:val="0"/>
              <w:noProof/>
              <w:sz w:val="22"/>
              <w:lang w:eastAsia="en-AU"/>
            </w:rPr>
          </w:pPr>
          <w:hyperlink w:anchor="_Toc470175499" w:history="1">
            <w:r w:rsidR="003F669E" w:rsidRPr="00F23121">
              <w:rPr>
                <w:rStyle w:val="Hyperlink"/>
                <w:noProof/>
                <w:lang w:eastAsia="en-AU"/>
              </w:rPr>
              <w:t>Attachment 2. Extract from the Clinical Evaluation Report</w:t>
            </w:r>
            <w:r w:rsidR="003F669E">
              <w:rPr>
                <w:noProof/>
                <w:webHidden/>
              </w:rPr>
              <w:tab/>
            </w:r>
            <w:r w:rsidR="003F669E">
              <w:rPr>
                <w:noProof/>
                <w:webHidden/>
              </w:rPr>
              <w:fldChar w:fldCharType="begin"/>
            </w:r>
            <w:r w:rsidR="003F669E">
              <w:rPr>
                <w:noProof/>
                <w:webHidden/>
              </w:rPr>
              <w:instrText xml:space="preserve"> PAGEREF _Toc470175499 \h </w:instrText>
            </w:r>
            <w:r w:rsidR="003F669E">
              <w:rPr>
                <w:noProof/>
                <w:webHidden/>
              </w:rPr>
            </w:r>
            <w:r w:rsidR="003F669E">
              <w:rPr>
                <w:noProof/>
                <w:webHidden/>
              </w:rPr>
              <w:fldChar w:fldCharType="separate"/>
            </w:r>
            <w:r w:rsidR="003F669E">
              <w:rPr>
                <w:noProof/>
                <w:webHidden/>
              </w:rPr>
              <w:t>66</w:t>
            </w:r>
            <w:r w:rsidR="003F669E">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Default="00441C3F" w:rsidP="004F0C4A">
      <w:pPr>
        <w:pStyle w:val="Heading2"/>
      </w:pPr>
      <w:bookmarkStart w:id="4" w:name="_Toc351716269"/>
      <w:bookmarkStart w:id="5" w:name="_Toc351718881"/>
      <w:bookmarkStart w:id="6" w:name="_Toc355338616"/>
      <w:bookmarkStart w:id="7" w:name="_Toc356306144"/>
      <w:bookmarkStart w:id="8" w:name="_Toc470175459"/>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376"/>
        <w:gridCol w:w="6344"/>
      </w:tblGrid>
      <w:tr w:rsidR="000230EE" w:rsidRPr="00F41590" w:rsidTr="000230EE">
        <w:trPr>
          <w:cnfStyle w:val="100000000000" w:firstRow="1" w:lastRow="0" w:firstColumn="0" w:lastColumn="0" w:oddVBand="0" w:evenVBand="0" w:oddHBand="0" w:evenHBand="0" w:firstRowFirstColumn="0" w:firstRowLastColumn="0" w:lastRowFirstColumn="0" w:lastRowLastColumn="0"/>
        </w:trPr>
        <w:tc>
          <w:tcPr>
            <w:tcW w:w="2376" w:type="dxa"/>
          </w:tcPr>
          <w:p w:rsidR="000230EE" w:rsidRPr="00F41590" w:rsidRDefault="000230EE" w:rsidP="000230EE">
            <w:pPr>
              <w:rPr>
                <w:lang w:val="en-US"/>
              </w:rPr>
            </w:pPr>
            <w:r>
              <w:rPr>
                <w:lang w:val="en-US"/>
              </w:rPr>
              <w:t xml:space="preserve">Abbreviation </w:t>
            </w:r>
          </w:p>
        </w:tc>
        <w:tc>
          <w:tcPr>
            <w:tcW w:w="6344" w:type="dxa"/>
          </w:tcPr>
          <w:p w:rsidR="000230EE" w:rsidRPr="00F41590" w:rsidRDefault="000230EE" w:rsidP="000230EE">
            <w:pPr>
              <w:rPr>
                <w:lang w:val="en-US"/>
              </w:rPr>
            </w:pPr>
            <w:r>
              <w:rPr>
                <w:lang w:val="en-US"/>
              </w:rPr>
              <w:t xml:space="preserve">Meaning </w:t>
            </w:r>
          </w:p>
        </w:tc>
      </w:tr>
      <w:tr w:rsidR="000230EE" w:rsidRPr="00F41590" w:rsidTr="000230EE">
        <w:tc>
          <w:tcPr>
            <w:tcW w:w="2376" w:type="dxa"/>
          </w:tcPr>
          <w:p w:rsidR="000230EE" w:rsidRPr="00F41590" w:rsidRDefault="000230EE" w:rsidP="000230EE">
            <w:pPr>
              <w:rPr>
                <w:lang w:val="en-US"/>
              </w:rPr>
            </w:pPr>
            <w:r w:rsidRPr="00F41590">
              <w:rPr>
                <w:lang w:val="en-US"/>
              </w:rPr>
              <w:t>3TC</w:t>
            </w:r>
          </w:p>
        </w:tc>
        <w:tc>
          <w:tcPr>
            <w:tcW w:w="6344" w:type="dxa"/>
          </w:tcPr>
          <w:p w:rsidR="000230EE" w:rsidRPr="00F41590" w:rsidRDefault="00452B40" w:rsidP="000230EE">
            <w:pPr>
              <w:rPr>
                <w:lang w:val="en-US"/>
              </w:rPr>
            </w:pPr>
            <w:r w:rsidRPr="00F41590">
              <w:rPr>
                <w:lang w:val="en-US"/>
              </w:rPr>
              <w:t>Lamivudine</w:t>
            </w:r>
          </w:p>
        </w:tc>
      </w:tr>
      <w:tr w:rsidR="000230EE" w:rsidRPr="00F41590" w:rsidTr="000230EE">
        <w:tc>
          <w:tcPr>
            <w:tcW w:w="2376" w:type="dxa"/>
          </w:tcPr>
          <w:p w:rsidR="000230EE" w:rsidRPr="00F41590" w:rsidRDefault="000230EE" w:rsidP="000230EE">
            <w:pPr>
              <w:rPr>
                <w:lang w:val="en-US"/>
              </w:rPr>
            </w:pPr>
            <w:r w:rsidRPr="00F41590">
              <w:rPr>
                <w:lang w:val="en-US"/>
              </w:rPr>
              <w:t>ABC</w:t>
            </w:r>
          </w:p>
        </w:tc>
        <w:tc>
          <w:tcPr>
            <w:tcW w:w="6344" w:type="dxa"/>
          </w:tcPr>
          <w:p w:rsidR="000230EE" w:rsidRPr="00F41590" w:rsidRDefault="00452B40" w:rsidP="000230EE">
            <w:pPr>
              <w:rPr>
                <w:lang w:val="en-US"/>
              </w:rPr>
            </w:pPr>
            <w:r w:rsidRPr="00F41590">
              <w:rPr>
                <w:lang w:val="en-US"/>
              </w:rPr>
              <w:t>Abacavir</w:t>
            </w:r>
          </w:p>
        </w:tc>
      </w:tr>
      <w:tr w:rsidR="000230EE" w:rsidRPr="00F41590" w:rsidTr="000230EE">
        <w:tc>
          <w:tcPr>
            <w:tcW w:w="2376" w:type="dxa"/>
          </w:tcPr>
          <w:p w:rsidR="000230EE" w:rsidRPr="00F41590" w:rsidRDefault="000230EE" w:rsidP="000230EE">
            <w:pPr>
              <w:rPr>
                <w:lang w:val="en-US"/>
              </w:rPr>
            </w:pPr>
            <w:r w:rsidRPr="00F41590">
              <w:rPr>
                <w:lang w:val="en-US"/>
              </w:rPr>
              <w:t>ADME</w:t>
            </w:r>
          </w:p>
        </w:tc>
        <w:tc>
          <w:tcPr>
            <w:tcW w:w="6344" w:type="dxa"/>
          </w:tcPr>
          <w:p w:rsidR="000230EE" w:rsidRPr="00F41590" w:rsidRDefault="00452B40" w:rsidP="000230EE">
            <w:pPr>
              <w:rPr>
                <w:lang w:val="en-US"/>
              </w:rPr>
            </w:pPr>
            <w:r w:rsidRPr="00F41590">
              <w:rPr>
                <w:lang w:val="en-US"/>
              </w:rPr>
              <w:t>Absorption, distribution, metabolism, and elimination</w:t>
            </w:r>
          </w:p>
        </w:tc>
      </w:tr>
      <w:tr w:rsidR="000230EE" w:rsidRPr="00F41590" w:rsidTr="000230EE">
        <w:tc>
          <w:tcPr>
            <w:tcW w:w="2376" w:type="dxa"/>
          </w:tcPr>
          <w:p w:rsidR="000230EE" w:rsidRPr="00F41590" w:rsidRDefault="000230EE" w:rsidP="000230EE">
            <w:pPr>
              <w:rPr>
                <w:lang w:val="en-US"/>
              </w:rPr>
            </w:pPr>
            <w:r w:rsidRPr="00F41590">
              <w:rPr>
                <w:lang w:val="en-US"/>
              </w:rPr>
              <w:t>ADR</w:t>
            </w:r>
          </w:p>
        </w:tc>
        <w:tc>
          <w:tcPr>
            <w:tcW w:w="6344" w:type="dxa"/>
          </w:tcPr>
          <w:p w:rsidR="000230EE" w:rsidRPr="00F41590" w:rsidRDefault="00452B40" w:rsidP="000230EE">
            <w:pPr>
              <w:rPr>
                <w:lang w:val="en-US"/>
              </w:rPr>
            </w:pPr>
            <w:r w:rsidRPr="00F41590">
              <w:rPr>
                <w:lang w:val="en-US"/>
              </w:rPr>
              <w:t>Adverse drug reaction</w:t>
            </w:r>
          </w:p>
        </w:tc>
      </w:tr>
      <w:tr w:rsidR="000230EE" w:rsidRPr="00F41590" w:rsidTr="000230EE">
        <w:tc>
          <w:tcPr>
            <w:tcW w:w="2376" w:type="dxa"/>
          </w:tcPr>
          <w:p w:rsidR="000230EE" w:rsidRPr="00F41590" w:rsidRDefault="000230EE" w:rsidP="000230EE">
            <w:pPr>
              <w:rPr>
                <w:lang w:val="en-US"/>
              </w:rPr>
            </w:pPr>
            <w:r w:rsidRPr="00F41590">
              <w:rPr>
                <w:lang w:val="en-US"/>
              </w:rPr>
              <w:t>AE</w:t>
            </w:r>
          </w:p>
        </w:tc>
        <w:tc>
          <w:tcPr>
            <w:tcW w:w="6344" w:type="dxa"/>
          </w:tcPr>
          <w:p w:rsidR="000230EE" w:rsidRPr="00F41590" w:rsidRDefault="00452B40" w:rsidP="000230EE">
            <w:pPr>
              <w:rPr>
                <w:lang w:val="en-US"/>
              </w:rPr>
            </w:pPr>
            <w:r w:rsidRPr="00F41590">
              <w:rPr>
                <w:lang w:val="en-US"/>
              </w:rPr>
              <w:t>Adverse event</w:t>
            </w:r>
          </w:p>
        </w:tc>
      </w:tr>
      <w:tr w:rsidR="000230EE" w:rsidRPr="00F41590" w:rsidTr="000230EE">
        <w:tc>
          <w:tcPr>
            <w:tcW w:w="2376" w:type="dxa"/>
          </w:tcPr>
          <w:p w:rsidR="000230EE" w:rsidRPr="00F41590" w:rsidRDefault="000230EE" w:rsidP="000230EE">
            <w:pPr>
              <w:rPr>
                <w:lang w:val="en-US"/>
              </w:rPr>
            </w:pPr>
            <w:r w:rsidRPr="00F41590">
              <w:rPr>
                <w:lang w:val="en-US"/>
              </w:rPr>
              <w:t>aGFR</w:t>
            </w:r>
          </w:p>
        </w:tc>
        <w:tc>
          <w:tcPr>
            <w:tcW w:w="6344" w:type="dxa"/>
          </w:tcPr>
          <w:p w:rsidR="000230EE" w:rsidRPr="00F41590" w:rsidRDefault="00452B40" w:rsidP="000230EE">
            <w:pPr>
              <w:rPr>
                <w:lang w:val="en-US"/>
              </w:rPr>
            </w:pPr>
            <w:r w:rsidRPr="00F41590">
              <w:rPr>
                <w:lang w:val="en-US"/>
              </w:rPr>
              <w:t>Actual glomerular filtration rate</w:t>
            </w:r>
          </w:p>
        </w:tc>
      </w:tr>
      <w:tr w:rsidR="000230EE" w:rsidRPr="00F41590" w:rsidTr="000230EE">
        <w:tc>
          <w:tcPr>
            <w:tcW w:w="2376" w:type="dxa"/>
          </w:tcPr>
          <w:p w:rsidR="000230EE" w:rsidRPr="00F41590" w:rsidRDefault="000230EE" w:rsidP="000230EE">
            <w:pPr>
              <w:rPr>
                <w:lang w:val="en-US"/>
              </w:rPr>
            </w:pPr>
            <w:r w:rsidRPr="00F41590">
              <w:rPr>
                <w:lang w:val="en-US"/>
              </w:rPr>
              <w:t>AIDS</w:t>
            </w:r>
          </w:p>
        </w:tc>
        <w:tc>
          <w:tcPr>
            <w:tcW w:w="6344" w:type="dxa"/>
          </w:tcPr>
          <w:p w:rsidR="000230EE" w:rsidRPr="00F41590" w:rsidRDefault="00452B40" w:rsidP="000230EE">
            <w:pPr>
              <w:rPr>
                <w:lang w:val="en-US"/>
              </w:rPr>
            </w:pPr>
            <w:r w:rsidRPr="00F41590">
              <w:rPr>
                <w:lang w:val="en-US"/>
              </w:rPr>
              <w:t>Acquired immunodeficiency syndrome</w:t>
            </w:r>
          </w:p>
        </w:tc>
      </w:tr>
      <w:tr w:rsidR="000230EE" w:rsidRPr="00F41590" w:rsidTr="000230EE">
        <w:tc>
          <w:tcPr>
            <w:tcW w:w="2376" w:type="dxa"/>
          </w:tcPr>
          <w:p w:rsidR="000230EE" w:rsidRPr="00F41590" w:rsidRDefault="000230EE" w:rsidP="000230EE">
            <w:pPr>
              <w:rPr>
                <w:lang w:val="en-US"/>
              </w:rPr>
            </w:pPr>
            <w:r w:rsidRPr="00F41590">
              <w:rPr>
                <w:lang w:val="en-US"/>
              </w:rPr>
              <w:t>ANCOVA</w:t>
            </w:r>
          </w:p>
        </w:tc>
        <w:tc>
          <w:tcPr>
            <w:tcW w:w="6344" w:type="dxa"/>
          </w:tcPr>
          <w:p w:rsidR="000230EE" w:rsidRPr="00F41590" w:rsidRDefault="00452B40" w:rsidP="000230EE">
            <w:pPr>
              <w:rPr>
                <w:lang w:val="en-US"/>
              </w:rPr>
            </w:pPr>
            <w:r w:rsidRPr="00F41590">
              <w:rPr>
                <w:lang w:val="en-US"/>
              </w:rPr>
              <w:t xml:space="preserve">Analysis </w:t>
            </w:r>
            <w:r w:rsidR="000230EE" w:rsidRPr="00F41590">
              <w:rPr>
                <w:lang w:val="en-US"/>
              </w:rPr>
              <w:t>of covariance</w:t>
            </w:r>
          </w:p>
        </w:tc>
      </w:tr>
      <w:tr w:rsidR="000230EE" w:rsidRPr="00F41590" w:rsidTr="000230EE">
        <w:tc>
          <w:tcPr>
            <w:tcW w:w="2376" w:type="dxa"/>
          </w:tcPr>
          <w:p w:rsidR="000230EE" w:rsidRPr="00F41590" w:rsidRDefault="000230EE" w:rsidP="000230EE">
            <w:pPr>
              <w:rPr>
                <w:lang w:val="en-US"/>
              </w:rPr>
            </w:pPr>
            <w:r w:rsidRPr="00F41590">
              <w:rPr>
                <w:lang w:val="en-US"/>
              </w:rPr>
              <w:t>ANOVA</w:t>
            </w:r>
          </w:p>
        </w:tc>
        <w:tc>
          <w:tcPr>
            <w:tcW w:w="6344" w:type="dxa"/>
          </w:tcPr>
          <w:p w:rsidR="000230EE" w:rsidRPr="00F41590" w:rsidRDefault="00452B40" w:rsidP="000230EE">
            <w:pPr>
              <w:rPr>
                <w:lang w:val="en-US"/>
              </w:rPr>
            </w:pPr>
            <w:r w:rsidRPr="00F41590">
              <w:rPr>
                <w:lang w:val="en-US"/>
              </w:rPr>
              <w:t>Analysis of variance</w:t>
            </w:r>
          </w:p>
        </w:tc>
      </w:tr>
      <w:tr w:rsidR="000230EE" w:rsidRPr="00F41590" w:rsidTr="000230EE">
        <w:tc>
          <w:tcPr>
            <w:tcW w:w="2376" w:type="dxa"/>
          </w:tcPr>
          <w:p w:rsidR="000230EE" w:rsidRPr="00F41590" w:rsidRDefault="000230EE" w:rsidP="000230EE">
            <w:pPr>
              <w:rPr>
                <w:lang w:val="en-US"/>
              </w:rPr>
            </w:pPr>
            <w:r w:rsidRPr="00F41590">
              <w:rPr>
                <w:lang w:val="en-US"/>
              </w:rPr>
              <w:t>ART</w:t>
            </w:r>
          </w:p>
        </w:tc>
        <w:tc>
          <w:tcPr>
            <w:tcW w:w="6344" w:type="dxa"/>
          </w:tcPr>
          <w:p w:rsidR="000230EE" w:rsidRPr="00F41590" w:rsidRDefault="00452B40" w:rsidP="000230EE">
            <w:pPr>
              <w:rPr>
                <w:lang w:val="en-US"/>
              </w:rPr>
            </w:pPr>
            <w:r w:rsidRPr="00F41590">
              <w:rPr>
                <w:lang w:val="en-US"/>
              </w:rPr>
              <w:t>Antiretroviral therapy</w:t>
            </w:r>
          </w:p>
        </w:tc>
      </w:tr>
      <w:tr w:rsidR="000230EE" w:rsidRPr="00F41590" w:rsidTr="000230EE">
        <w:tc>
          <w:tcPr>
            <w:tcW w:w="2376" w:type="dxa"/>
          </w:tcPr>
          <w:p w:rsidR="000230EE" w:rsidRPr="00F41590" w:rsidRDefault="000230EE" w:rsidP="000230EE">
            <w:pPr>
              <w:rPr>
                <w:lang w:val="en-US"/>
              </w:rPr>
            </w:pPr>
            <w:r w:rsidRPr="00F41590">
              <w:rPr>
                <w:lang w:val="en-US"/>
              </w:rPr>
              <w:t>ARV</w:t>
            </w:r>
          </w:p>
        </w:tc>
        <w:tc>
          <w:tcPr>
            <w:tcW w:w="6344" w:type="dxa"/>
          </w:tcPr>
          <w:p w:rsidR="000230EE" w:rsidRPr="00F41590" w:rsidRDefault="00452B40" w:rsidP="000230EE">
            <w:pPr>
              <w:rPr>
                <w:lang w:val="en-US"/>
              </w:rPr>
            </w:pPr>
            <w:r w:rsidRPr="00F41590">
              <w:rPr>
                <w:lang w:val="en-US"/>
              </w:rPr>
              <w:t>Antiretroviral</w:t>
            </w:r>
          </w:p>
        </w:tc>
      </w:tr>
      <w:tr w:rsidR="000230EE" w:rsidRPr="00F41590" w:rsidTr="000230EE">
        <w:tc>
          <w:tcPr>
            <w:tcW w:w="2376" w:type="dxa"/>
          </w:tcPr>
          <w:p w:rsidR="000230EE" w:rsidRPr="00F41590" w:rsidRDefault="000230EE" w:rsidP="000230EE">
            <w:pPr>
              <w:rPr>
                <w:lang w:val="en-US"/>
              </w:rPr>
            </w:pPr>
            <w:r w:rsidRPr="00F41590">
              <w:rPr>
                <w:lang w:val="en-US"/>
              </w:rPr>
              <w:t>ATR</w:t>
            </w:r>
          </w:p>
        </w:tc>
        <w:tc>
          <w:tcPr>
            <w:tcW w:w="6344" w:type="dxa"/>
          </w:tcPr>
          <w:p w:rsidR="000230EE" w:rsidRPr="00F41590" w:rsidRDefault="00452B40" w:rsidP="000230EE">
            <w:pPr>
              <w:rPr>
                <w:lang w:val="en-US"/>
              </w:rPr>
            </w:pPr>
            <w:r w:rsidRPr="00F41590">
              <w:rPr>
                <w:lang w:val="en-US"/>
              </w:rPr>
              <w:t>Efavirenz</w:t>
            </w:r>
            <w:r w:rsidR="000230EE" w:rsidRPr="00F41590">
              <w:rPr>
                <w:lang w:val="en-US"/>
              </w:rPr>
              <w:t>/emtricitabine/tenofovir disoproxil fumarate (coformulated; Atripla )</w:t>
            </w:r>
          </w:p>
        </w:tc>
      </w:tr>
      <w:tr w:rsidR="000230EE" w:rsidRPr="00F41590" w:rsidTr="000230EE">
        <w:tc>
          <w:tcPr>
            <w:tcW w:w="2376" w:type="dxa"/>
          </w:tcPr>
          <w:p w:rsidR="000230EE" w:rsidRPr="00F41590" w:rsidRDefault="000230EE" w:rsidP="000230EE">
            <w:pPr>
              <w:rPr>
                <w:lang w:val="en-US"/>
              </w:rPr>
            </w:pPr>
            <w:r w:rsidRPr="00F41590">
              <w:rPr>
                <w:lang w:val="en-US"/>
              </w:rPr>
              <w:t>ATV/co</w:t>
            </w:r>
          </w:p>
        </w:tc>
        <w:tc>
          <w:tcPr>
            <w:tcW w:w="6344" w:type="dxa"/>
          </w:tcPr>
          <w:p w:rsidR="000230EE" w:rsidRPr="00F41590" w:rsidRDefault="00452B40" w:rsidP="000230EE">
            <w:pPr>
              <w:rPr>
                <w:lang w:val="en-US"/>
              </w:rPr>
            </w:pPr>
            <w:r w:rsidRPr="00F41590">
              <w:rPr>
                <w:lang w:val="en-US"/>
              </w:rPr>
              <w:t>Cobicistat-boosted atazanavir</w:t>
            </w:r>
          </w:p>
        </w:tc>
      </w:tr>
      <w:tr w:rsidR="000230EE" w:rsidRPr="00F41590" w:rsidTr="000230EE">
        <w:tc>
          <w:tcPr>
            <w:tcW w:w="2376" w:type="dxa"/>
          </w:tcPr>
          <w:p w:rsidR="000230EE" w:rsidRPr="00F41590" w:rsidRDefault="000230EE" w:rsidP="000230EE">
            <w:pPr>
              <w:rPr>
                <w:lang w:val="en-US"/>
              </w:rPr>
            </w:pPr>
            <w:r w:rsidRPr="00F41590">
              <w:rPr>
                <w:lang w:val="en-US"/>
              </w:rPr>
              <w:t>ATV/r</w:t>
            </w:r>
          </w:p>
        </w:tc>
        <w:tc>
          <w:tcPr>
            <w:tcW w:w="6344" w:type="dxa"/>
          </w:tcPr>
          <w:p w:rsidR="000230EE" w:rsidRPr="00F41590" w:rsidRDefault="00452B40" w:rsidP="000230EE">
            <w:pPr>
              <w:rPr>
                <w:lang w:val="en-US"/>
              </w:rPr>
            </w:pPr>
            <w:r w:rsidRPr="00F41590">
              <w:rPr>
                <w:lang w:val="en-US"/>
              </w:rPr>
              <w:t>Ritonavir-boosted atazanavir</w:t>
            </w:r>
          </w:p>
        </w:tc>
      </w:tr>
      <w:tr w:rsidR="000230EE" w:rsidRPr="00F41590" w:rsidTr="000230EE">
        <w:tc>
          <w:tcPr>
            <w:tcW w:w="2376" w:type="dxa"/>
          </w:tcPr>
          <w:p w:rsidR="000230EE" w:rsidRPr="00F41590" w:rsidRDefault="000230EE" w:rsidP="000230EE">
            <w:pPr>
              <w:rPr>
                <w:lang w:val="en-US"/>
              </w:rPr>
            </w:pPr>
            <w:r w:rsidRPr="00F41590">
              <w:rPr>
                <w:lang w:val="en-US"/>
              </w:rPr>
              <w:t>BHIVA</w:t>
            </w:r>
          </w:p>
        </w:tc>
        <w:tc>
          <w:tcPr>
            <w:tcW w:w="6344" w:type="dxa"/>
          </w:tcPr>
          <w:p w:rsidR="000230EE" w:rsidRPr="00F41590" w:rsidRDefault="00452B40" w:rsidP="003F7A2A">
            <w:pPr>
              <w:rPr>
                <w:lang w:val="en-US"/>
              </w:rPr>
            </w:pPr>
            <w:r w:rsidRPr="00F41590">
              <w:rPr>
                <w:lang w:val="en-US"/>
              </w:rPr>
              <w:t xml:space="preserve">British </w:t>
            </w:r>
            <w:r w:rsidR="003F7A2A">
              <w:rPr>
                <w:lang w:val="en-US"/>
              </w:rPr>
              <w:t>HIV</w:t>
            </w:r>
            <w:r w:rsidRPr="00F41590">
              <w:rPr>
                <w:lang w:val="en-US"/>
              </w:rPr>
              <w:t xml:space="preserve"> association</w:t>
            </w:r>
          </w:p>
        </w:tc>
      </w:tr>
      <w:tr w:rsidR="000230EE" w:rsidRPr="00F41590" w:rsidTr="000230EE">
        <w:tc>
          <w:tcPr>
            <w:tcW w:w="2376" w:type="dxa"/>
          </w:tcPr>
          <w:p w:rsidR="000230EE" w:rsidRPr="00F41590" w:rsidRDefault="000230EE" w:rsidP="000230EE">
            <w:pPr>
              <w:rPr>
                <w:lang w:val="en-US"/>
              </w:rPr>
            </w:pPr>
            <w:r w:rsidRPr="00F41590">
              <w:rPr>
                <w:lang w:val="en-US"/>
              </w:rPr>
              <w:t>BLQ</w:t>
            </w:r>
          </w:p>
        </w:tc>
        <w:tc>
          <w:tcPr>
            <w:tcW w:w="6344" w:type="dxa"/>
          </w:tcPr>
          <w:p w:rsidR="000230EE" w:rsidRPr="00F41590" w:rsidRDefault="00452B40" w:rsidP="000230EE">
            <w:pPr>
              <w:rPr>
                <w:lang w:val="en-US"/>
              </w:rPr>
            </w:pPr>
            <w:r w:rsidRPr="00F41590">
              <w:rPr>
                <w:lang w:val="en-US"/>
              </w:rPr>
              <w:t>Below the limit of quantitation</w:t>
            </w:r>
          </w:p>
        </w:tc>
      </w:tr>
      <w:tr w:rsidR="000230EE" w:rsidRPr="00F41590" w:rsidTr="000230EE">
        <w:tc>
          <w:tcPr>
            <w:tcW w:w="2376" w:type="dxa"/>
          </w:tcPr>
          <w:p w:rsidR="000230EE" w:rsidRPr="00F41590" w:rsidRDefault="000230EE" w:rsidP="000230EE">
            <w:pPr>
              <w:rPr>
                <w:lang w:val="en-US"/>
              </w:rPr>
            </w:pPr>
            <w:r w:rsidRPr="00F41590">
              <w:rPr>
                <w:lang w:val="en-US"/>
              </w:rPr>
              <w:t xml:space="preserve">BMD </w:t>
            </w:r>
          </w:p>
        </w:tc>
        <w:tc>
          <w:tcPr>
            <w:tcW w:w="6344" w:type="dxa"/>
          </w:tcPr>
          <w:p w:rsidR="000230EE" w:rsidRPr="00F41590" w:rsidRDefault="00452B40" w:rsidP="000230EE">
            <w:pPr>
              <w:rPr>
                <w:lang w:val="en-US"/>
              </w:rPr>
            </w:pPr>
            <w:r w:rsidRPr="00F41590">
              <w:rPr>
                <w:lang w:val="en-US"/>
              </w:rPr>
              <w:t>Bone mineral density</w:t>
            </w:r>
          </w:p>
        </w:tc>
      </w:tr>
      <w:tr w:rsidR="000230EE" w:rsidRPr="00F41590" w:rsidTr="000230EE">
        <w:tc>
          <w:tcPr>
            <w:tcW w:w="2376" w:type="dxa"/>
          </w:tcPr>
          <w:p w:rsidR="000230EE" w:rsidRPr="00F41590" w:rsidRDefault="000230EE" w:rsidP="000230EE">
            <w:pPr>
              <w:rPr>
                <w:lang w:val="en-US"/>
              </w:rPr>
            </w:pPr>
            <w:r w:rsidRPr="00F41590">
              <w:rPr>
                <w:lang w:val="en-US"/>
              </w:rPr>
              <w:t>BMI</w:t>
            </w:r>
          </w:p>
        </w:tc>
        <w:tc>
          <w:tcPr>
            <w:tcW w:w="6344" w:type="dxa"/>
          </w:tcPr>
          <w:p w:rsidR="000230EE" w:rsidRPr="00F41590" w:rsidRDefault="00452B40" w:rsidP="000230EE">
            <w:pPr>
              <w:rPr>
                <w:lang w:val="en-US"/>
              </w:rPr>
            </w:pPr>
            <w:r w:rsidRPr="00F41590">
              <w:rPr>
                <w:lang w:val="en-US"/>
              </w:rPr>
              <w:t xml:space="preserve"> Body mass index</w:t>
            </w:r>
          </w:p>
        </w:tc>
      </w:tr>
      <w:tr w:rsidR="000230EE" w:rsidRPr="00F41590" w:rsidTr="000230EE">
        <w:tc>
          <w:tcPr>
            <w:tcW w:w="2376" w:type="dxa"/>
          </w:tcPr>
          <w:p w:rsidR="000230EE" w:rsidRPr="00F41590" w:rsidRDefault="000230EE" w:rsidP="000230EE">
            <w:pPr>
              <w:rPr>
                <w:lang w:val="en-US"/>
              </w:rPr>
            </w:pPr>
            <w:r w:rsidRPr="00F41590">
              <w:rPr>
                <w:lang w:val="en-US"/>
              </w:rPr>
              <w:t>Cat A</w:t>
            </w:r>
          </w:p>
        </w:tc>
        <w:tc>
          <w:tcPr>
            <w:tcW w:w="6344" w:type="dxa"/>
          </w:tcPr>
          <w:p w:rsidR="000230EE" w:rsidRPr="00F41590" w:rsidRDefault="00452B40" w:rsidP="000230EE">
            <w:pPr>
              <w:rPr>
                <w:lang w:val="en-US"/>
              </w:rPr>
            </w:pPr>
            <w:r w:rsidRPr="00F41590">
              <w:rPr>
                <w:lang w:val="en-US"/>
              </w:rPr>
              <w:t xml:space="preserve">Cathepsin </w:t>
            </w:r>
            <w:r w:rsidR="000230EE" w:rsidRPr="00F41590">
              <w:rPr>
                <w:lang w:val="en-US"/>
              </w:rPr>
              <w:t>A</w:t>
            </w:r>
          </w:p>
        </w:tc>
      </w:tr>
      <w:tr w:rsidR="000230EE" w:rsidRPr="00F41590" w:rsidTr="000230EE">
        <w:tc>
          <w:tcPr>
            <w:tcW w:w="2376" w:type="dxa"/>
          </w:tcPr>
          <w:p w:rsidR="000230EE" w:rsidRPr="00F41590" w:rsidRDefault="000230EE" w:rsidP="000230EE">
            <w:pPr>
              <w:rPr>
                <w:lang w:val="en-US"/>
              </w:rPr>
            </w:pPr>
            <w:r w:rsidRPr="00F41590">
              <w:rPr>
                <w:lang w:val="en-US"/>
              </w:rPr>
              <w:t xml:space="preserve">CD4 </w:t>
            </w:r>
          </w:p>
        </w:tc>
        <w:tc>
          <w:tcPr>
            <w:tcW w:w="6344" w:type="dxa"/>
          </w:tcPr>
          <w:p w:rsidR="000230EE" w:rsidRPr="00F41590" w:rsidRDefault="00452B40" w:rsidP="000230EE">
            <w:pPr>
              <w:rPr>
                <w:lang w:val="en-US"/>
              </w:rPr>
            </w:pPr>
            <w:r w:rsidRPr="00F41590">
              <w:rPr>
                <w:lang w:val="en-US"/>
              </w:rPr>
              <w:t>Cluster determinant 4</w:t>
            </w:r>
          </w:p>
        </w:tc>
      </w:tr>
      <w:tr w:rsidR="000230EE" w:rsidRPr="00F41590" w:rsidTr="000230EE">
        <w:tc>
          <w:tcPr>
            <w:tcW w:w="2376" w:type="dxa"/>
          </w:tcPr>
          <w:p w:rsidR="000230EE" w:rsidRPr="00F41590" w:rsidRDefault="000230EE" w:rsidP="000230EE">
            <w:pPr>
              <w:rPr>
                <w:lang w:val="en-US"/>
              </w:rPr>
            </w:pPr>
            <w:r w:rsidRPr="00F41590">
              <w:rPr>
                <w:lang w:val="en-US"/>
              </w:rPr>
              <w:t xml:space="preserve">CFR </w:t>
            </w:r>
          </w:p>
        </w:tc>
        <w:tc>
          <w:tcPr>
            <w:tcW w:w="6344" w:type="dxa"/>
          </w:tcPr>
          <w:p w:rsidR="000230EE" w:rsidRPr="00F41590" w:rsidRDefault="000230EE" w:rsidP="000230EE">
            <w:pPr>
              <w:rPr>
                <w:lang w:val="en-US"/>
              </w:rPr>
            </w:pPr>
            <w:r w:rsidRPr="00F41590">
              <w:rPr>
                <w:lang w:val="en-US"/>
              </w:rPr>
              <w:t>Code of Federal Regulations</w:t>
            </w:r>
          </w:p>
        </w:tc>
      </w:tr>
      <w:tr w:rsidR="000230EE" w:rsidRPr="00F41590" w:rsidTr="000230EE">
        <w:tc>
          <w:tcPr>
            <w:tcW w:w="2376" w:type="dxa"/>
          </w:tcPr>
          <w:p w:rsidR="000230EE" w:rsidRPr="00F41590" w:rsidRDefault="000230EE" w:rsidP="000230EE">
            <w:pPr>
              <w:rPr>
                <w:lang w:val="en-US"/>
              </w:rPr>
            </w:pPr>
            <w:r w:rsidRPr="00F41590">
              <w:rPr>
                <w:lang w:val="en-US"/>
              </w:rPr>
              <w:t xml:space="preserve">CHMP </w:t>
            </w:r>
          </w:p>
        </w:tc>
        <w:tc>
          <w:tcPr>
            <w:tcW w:w="6344" w:type="dxa"/>
          </w:tcPr>
          <w:p w:rsidR="000230EE" w:rsidRPr="00F41590" w:rsidRDefault="000230EE" w:rsidP="000230EE">
            <w:pPr>
              <w:rPr>
                <w:lang w:val="en-US"/>
              </w:rPr>
            </w:pPr>
            <w:r w:rsidRPr="00F41590">
              <w:rPr>
                <w:lang w:val="en-US"/>
              </w:rPr>
              <w:t>Committee for Medicinal Products for Human Use</w:t>
            </w:r>
          </w:p>
        </w:tc>
      </w:tr>
      <w:tr w:rsidR="000230EE" w:rsidRPr="00F41590" w:rsidTr="000230EE">
        <w:tc>
          <w:tcPr>
            <w:tcW w:w="2376" w:type="dxa"/>
          </w:tcPr>
          <w:p w:rsidR="000230EE" w:rsidRPr="00F41590" w:rsidRDefault="000230EE" w:rsidP="000230EE">
            <w:pPr>
              <w:rPr>
                <w:lang w:val="en-US"/>
              </w:rPr>
            </w:pPr>
            <w:r w:rsidRPr="00F41590">
              <w:rPr>
                <w:lang w:val="en-US"/>
              </w:rPr>
              <w:t>CI</w:t>
            </w:r>
          </w:p>
        </w:tc>
        <w:tc>
          <w:tcPr>
            <w:tcW w:w="6344" w:type="dxa"/>
          </w:tcPr>
          <w:p w:rsidR="000230EE" w:rsidRPr="00F41590" w:rsidRDefault="00452B40" w:rsidP="000230EE">
            <w:pPr>
              <w:rPr>
                <w:lang w:val="en-US"/>
              </w:rPr>
            </w:pPr>
            <w:r w:rsidRPr="00F41590">
              <w:rPr>
                <w:lang w:val="en-US"/>
              </w:rPr>
              <w:t xml:space="preserve"> Confidence interval</w:t>
            </w:r>
          </w:p>
        </w:tc>
      </w:tr>
      <w:tr w:rsidR="000230EE" w:rsidRPr="00F41590" w:rsidTr="000230EE">
        <w:tc>
          <w:tcPr>
            <w:tcW w:w="2376" w:type="dxa"/>
          </w:tcPr>
          <w:p w:rsidR="000230EE" w:rsidRPr="00F41590" w:rsidRDefault="000230EE" w:rsidP="000230EE">
            <w:pPr>
              <w:rPr>
                <w:lang w:val="en-US"/>
              </w:rPr>
            </w:pPr>
            <w:r w:rsidRPr="00F41590">
              <w:rPr>
                <w:lang w:val="en-US"/>
              </w:rPr>
              <w:t xml:space="preserve">COBI, C </w:t>
            </w:r>
          </w:p>
        </w:tc>
        <w:tc>
          <w:tcPr>
            <w:tcW w:w="6344" w:type="dxa"/>
          </w:tcPr>
          <w:p w:rsidR="000230EE" w:rsidRPr="00F41590" w:rsidRDefault="00452B40" w:rsidP="003F7A2A">
            <w:pPr>
              <w:rPr>
                <w:lang w:val="en-US"/>
              </w:rPr>
            </w:pPr>
            <w:r w:rsidRPr="00F41590">
              <w:rPr>
                <w:lang w:val="en-US"/>
              </w:rPr>
              <w:t xml:space="preserve">Cobicistat </w:t>
            </w:r>
            <w:r w:rsidR="000230EE" w:rsidRPr="00F41590">
              <w:rPr>
                <w:lang w:val="en-US"/>
              </w:rPr>
              <w:t>(Tybost)</w:t>
            </w:r>
          </w:p>
        </w:tc>
      </w:tr>
      <w:tr w:rsidR="000230EE" w:rsidRPr="00F41590" w:rsidTr="000230EE">
        <w:tc>
          <w:tcPr>
            <w:tcW w:w="2376" w:type="dxa"/>
          </w:tcPr>
          <w:p w:rsidR="000230EE" w:rsidRPr="00F41590" w:rsidRDefault="000230EE" w:rsidP="000230EE">
            <w:pPr>
              <w:rPr>
                <w:lang w:val="en-US"/>
              </w:rPr>
            </w:pPr>
            <w:r w:rsidRPr="00F41590">
              <w:rPr>
                <w:lang w:val="en-US"/>
              </w:rPr>
              <w:lastRenderedPageBreak/>
              <w:t xml:space="preserve">CSR </w:t>
            </w:r>
          </w:p>
        </w:tc>
        <w:tc>
          <w:tcPr>
            <w:tcW w:w="6344" w:type="dxa"/>
          </w:tcPr>
          <w:p w:rsidR="000230EE" w:rsidRPr="00F41590" w:rsidRDefault="00452B40" w:rsidP="000230EE">
            <w:pPr>
              <w:rPr>
                <w:lang w:val="en-US"/>
              </w:rPr>
            </w:pPr>
            <w:r w:rsidRPr="00F41590">
              <w:rPr>
                <w:lang w:val="en-US"/>
              </w:rPr>
              <w:t>Clinical study report</w:t>
            </w:r>
          </w:p>
        </w:tc>
      </w:tr>
      <w:tr w:rsidR="000230EE" w:rsidRPr="00F41590" w:rsidTr="000230EE">
        <w:tc>
          <w:tcPr>
            <w:tcW w:w="2376" w:type="dxa"/>
          </w:tcPr>
          <w:p w:rsidR="000230EE" w:rsidRPr="00F41590" w:rsidRDefault="000230EE" w:rsidP="000230EE">
            <w:pPr>
              <w:rPr>
                <w:lang w:val="en-US"/>
              </w:rPr>
            </w:pPr>
            <w:r w:rsidRPr="00F41590">
              <w:rPr>
                <w:lang w:val="en-US"/>
              </w:rPr>
              <w:t>C-telopeptide</w:t>
            </w:r>
          </w:p>
        </w:tc>
        <w:tc>
          <w:tcPr>
            <w:tcW w:w="6344" w:type="dxa"/>
          </w:tcPr>
          <w:p w:rsidR="000230EE" w:rsidRPr="00F41590" w:rsidRDefault="00452B40" w:rsidP="000230EE">
            <w:pPr>
              <w:rPr>
                <w:lang w:val="en-US"/>
              </w:rPr>
            </w:pPr>
            <w:r w:rsidRPr="00F41590">
              <w:rPr>
                <w:lang w:val="en-US"/>
              </w:rPr>
              <w:t xml:space="preserve">Type </w:t>
            </w:r>
            <w:r w:rsidR="000230EE" w:rsidRPr="00F41590">
              <w:rPr>
                <w:lang w:val="en-US"/>
              </w:rPr>
              <w:t>I collagen C-telopeptide</w:t>
            </w:r>
          </w:p>
        </w:tc>
      </w:tr>
      <w:tr w:rsidR="000230EE" w:rsidRPr="00F41590" w:rsidTr="000230EE">
        <w:tc>
          <w:tcPr>
            <w:tcW w:w="2376" w:type="dxa"/>
          </w:tcPr>
          <w:p w:rsidR="000230EE" w:rsidRPr="00F41590" w:rsidRDefault="000230EE" w:rsidP="000230EE">
            <w:pPr>
              <w:rPr>
                <w:lang w:val="en-US"/>
              </w:rPr>
            </w:pPr>
            <w:r w:rsidRPr="00F41590">
              <w:rPr>
                <w:lang w:val="en-US"/>
              </w:rPr>
              <w:t xml:space="preserve">CYP </w:t>
            </w:r>
          </w:p>
        </w:tc>
        <w:tc>
          <w:tcPr>
            <w:tcW w:w="6344" w:type="dxa"/>
          </w:tcPr>
          <w:p w:rsidR="000230EE" w:rsidRPr="00F41590" w:rsidRDefault="00452B40" w:rsidP="000230EE">
            <w:pPr>
              <w:rPr>
                <w:lang w:val="en-US"/>
              </w:rPr>
            </w:pPr>
            <w:r w:rsidRPr="00F41590">
              <w:rPr>
                <w:lang w:val="en-US"/>
              </w:rPr>
              <w:t xml:space="preserve">Cytochrome </w:t>
            </w:r>
            <w:r w:rsidR="000230EE" w:rsidRPr="00F41590">
              <w:rPr>
                <w:lang w:val="en-US"/>
              </w:rPr>
              <w:t>P450 enzyme</w:t>
            </w:r>
          </w:p>
        </w:tc>
      </w:tr>
      <w:tr w:rsidR="000230EE" w:rsidRPr="00F41590" w:rsidTr="000230EE">
        <w:tc>
          <w:tcPr>
            <w:tcW w:w="2376" w:type="dxa"/>
          </w:tcPr>
          <w:p w:rsidR="000230EE" w:rsidRPr="00F41590" w:rsidRDefault="000230EE" w:rsidP="000230EE">
            <w:pPr>
              <w:rPr>
                <w:lang w:val="en-US"/>
              </w:rPr>
            </w:pPr>
            <w:r w:rsidRPr="00F41590">
              <w:rPr>
                <w:lang w:val="en-US"/>
              </w:rPr>
              <w:t>Cys C</w:t>
            </w:r>
          </w:p>
        </w:tc>
        <w:tc>
          <w:tcPr>
            <w:tcW w:w="6344" w:type="dxa"/>
          </w:tcPr>
          <w:p w:rsidR="000230EE" w:rsidRPr="00F41590" w:rsidRDefault="00452B40" w:rsidP="000230EE">
            <w:pPr>
              <w:rPr>
                <w:lang w:val="en-US"/>
              </w:rPr>
            </w:pPr>
            <w:r w:rsidRPr="00F41590">
              <w:rPr>
                <w:lang w:val="en-US"/>
              </w:rPr>
              <w:t xml:space="preserve">Cystatin </w:t>
            </w:r>
            <w:r w:rsidR="000230EE" w:rsidRPr="00F41590">
              <w:rPr>
                <w:lang w:val="en-US"/>
              </w:rPr>
              <w:t>C</w:t>
            </w:r>
          </w:p>
        </w:tc>
      </w:tr>
      <w:tr w:rsidR="000230EE" w:rsidRPr="00F41590" w:rsidTr="000230EE">
        <w:tc>
          <w:tcPr>
            <w:tcW w:w="2376" w:type="dxa"/>
          </w:tcPr>
          <w:p w:rsidR="000230EE" w:rsidRPr="00F41590" w:rsidRDefault="000230EE" w:rsidP="000230EE">
            <w:pPr>
              <w:rPr>
                <w:lang w:val="en-US"/>
              </w:rPr>
            </w:pPr>
            <w:r w:rsidRPr="00F41590">
              <w:rPr>
                <w:lang w:val="en-US"/>
              </w:rPr>
              <w:t xml:space="preserve">ddI </w:t>
            </w:r>
          </w:p>
        </w:tc>
        <w:tc>
          <w:tcPr>
            <w:tcW w:w="6344" w:type="dxa"/>
          </w:tcPr>
          <w:p w:rsidR="000230EE" w:rsidRPr="00F41590" w:rsidRDefault="00452B40" w:rsidP="000230EE">
            <w:pPr>
              <w:rPr>
                <w:lang w:val="en-US"/>
              </w:rPr>
            </w:pPr>
            <w:r w:rsidRPr="00F41590">
              <w:rPr>
                <w:lang w:val="en-US"/>
              </w:rPr>
              <w:t>Didanosine</w:t>
            </w:r>
          </w:p>
        </w:tc>
      </w:tr>
      <w:tr w:rsidR="000230EE" w:rsidRPr="00F41590" w:rsidTr="000230EE">
        <w:tc>
          <w:tcPr>
            <w:tcW w:w="2376" w:type="dxa"/>
          </w:tcPr>
          <w:p w:rsidR="000230EE" w:rsidRPr="00F41590" w:rsidRDefault="000230EE" w:rsidP="000230EE">
            <w:pPr>
              <w:rPr>
                <w:lang w:val="en-US"/>
              </w:rPr>
            </w:pPr>
            <w:r w:rsidRPr="00F41590">
              <w:rPr>
                <w:lang w:val="en-US"/>
              </w:rPr>
              <w:t xml:space="preserve">DHHS </w:t>
            </w:r>
          </w:p>
        </w:tc>
        <w:tc>
          <w:tcPr>
            <w:tcW w:w="6344" w:type="dxa"/>
          </w:tcPr>
          <w:p w:rsidR="000230EE" w:rsidRPr="00F41590" w:rsidRDefault="000230EE" w:rsidP="000230EE">
            <w:pPr>
              <w:rPr>
                <w:lang w:val="en-US"/>
              </w:rPr>
            </w:pPr>
            <w:r w:rsidRPr="00F41590">
              <w:rPr>
                <w:lang w:val="en-US"/>
              </w:rPr>
              <w:t>Department of Health and Human Services</w:t>
            </w:r>
          </w:p>
        </w:tc>
      </w:tr>
      <w:tr w:rsidR="000230EE" w:rsidRPr="00F41590" w:rsidTr="000230EE">
        <w:tc>
          <w:tcPr>
            <w:tcW w:w="2376" w:type="dxa"/>
          </w:tcPr>
          <w:p w:rsidR="000230EE" w:rsidRPr="00F41590" w:rsidRDefault="000230EE" w:rsidP="000230EE">
            <w:pPr>
              <w:rPr>
                <w:lang w:val="en-US"/>
              </w:rPr>
            </w:pPr>
            <w:r w:rsidRPr="00F41590">
              <w:rPr>
                <w:lang w:val="en-US"/>
              </w:rPr>
              <w:t xml:space="preserve">DNA </w:t>
            </w:r>
          </w:p>
        </w:tc>
        <w:tc>
          <w:tcPr>
            <w:tcW w:w="6344" w:type="dxa"/>
          </w:tcPr>
          <w:p w:rsidR="000230EE" w:rsidRPr="00F41590" w:rsidRDefault="00452B40" w:rsidP="000230EE">
            <w:pPr>
              <w:rPr>
                <w:lang w:val="en-US"/>
              </w:rPr>
            </w:pPr>
            <w:r w:rsidRPr="00F41590">
              <w:rPr>
                <w:lang w:val="en-US"/>
              </w:rPr>
              <w:t>Deoxyribonucleic acid</w:t>
            </w:r>
          </w:p>
        </w:tc>
      </w:tr>
      <w:tr w:rsidR="000230EE" w:rsidRPr="00F41590" w:rsidTr="000230EE">
        <w:tc>
          <w:tcPr>
            <w:tcW w:w="2376" w:type="dxa"/>
          </w:tcPr>
          <w:p w:rsidR="000230EE" w:rsidRPr="00F41590" w:rsidRDefault="000230EE" w:rsidP="000230EE">
            <w:pPr>
              <w:rPr>
                <w:lang w:val="en-US"/>
              </w:rPr>
            </w:pPr>
            <w:r w:rsidRPr="00F41590">
              <w:rPr>
                <w:lang w:val="en-US"/>
              </w:rPr>
              <w:t xml:space="preserve">dNTP </w:t>
            </w:r>
          </w:p>
        </w:tc>
        <w:tc>
          <w:tcPr>
            <w:tcW w:w="6344" w:type="dxa"/>
          </w:tcPr>
          <w:p w:rsidR="000230EE" w:rsidRPr="00F41590" w:rsidRDefault="000230EE" w:rsidP="000230EE">
            <w:pPr>
              <w:rPr>
                <w:lang w:val="en-US"/>
              </w:rPr>
            </w:pPr>
            <w:r w:rsidRPr="00F41590">
              <w:rPr>
                <w:lang w:val="en-US"/>
              </w:rPr>
              <w:t>2' deoxynucleoside triphosphate</w:t>
            </w:r>
          </w:p>
        </w:tc>
      </w:tr>
      <w:tr w:rsidR="000230EE" w:rsidRPr="00F41590" w:rsidTr="000230EE">
        <w:tc>
          <w:tcPr>
            <w:tcW w:w="2376" w:type="dxa"/>
          </w:tcPr>
          <w:p w:rsidR="000230EE" w:rsidRPr="00F41590" w:rsidRDefault="000230EE" w:rsidP="000230EE">
            <w:pPr>
              <w:rPr>
                <w:lang w:val="en-US"/>
              </w:rPr>
            </w:pPr>
            <w:r w:rsidRPr="00F41590">
              <w:rPr>
                <w:lang w:val="en-US"/>
              </w:rPr>
              <w:t xml:space="preserve">DRV, D </w:t>
            </w:r>
          </w:p>
        </w:tc>
        <w:tc>
          <w:tcPr>
            <w:tcW w:w="6344" w:type="dxa"/>
          </w:tcPr>
          <w:p w:rsidR="000230EE" w:rsidRPr="00F41590" w:rsidRDefault="00452B40" w:rsidP="000230EE">
            <w:pPr>
              <w:rPr>
                <w:lang w:val="en-US"/>
              </w:rPr>
            </w:pPr>
            <w:r w:rsidRPr="00F41590">
              <w:rPr>
                <w:lang w:val="en-US"/>
              </w:rPr>
              <w:t>Darunavir</w:t>
            </w:r>
          </w:p>
        </w:tc>
      </w:tr>
      <w:tr w:rsidR="000230EE" w:rsidRPr="00F41590" w:rsidTr="000230EE">
        <w:tc>
          <w:tcPr>
            <w:tcW w:w="2376" w:type="dxa"/>
          </w:tcPr>
          <w:p w:rsidR="000230EE" w:rsidRPr="00F41590" w:rsidRDefault="000230EE" w:rsidP="000230EE">
            <w:pPr>
              <w:rPr>
                <w:lang w:val="en-US"/>
              </w:rPr>
            </w:pPr>
            <w:r w:rsidRPr="00F41590">
              <w:rPr>
                <w:lang w:val="en-US"/>
              </w:rPr>
              <w:t xml:space="preserve">DTG </w:t>
            </w:r>
          </w:p>
        </w:tc>
        <w:tc>
          <w:tcPr>
            <w:tcW w:w="6344" w:type="dxa"/>
          </w:tcPr>
          <w:p w:rsidR="000230EE" w:rsidRPr="00F41590" w:rsidRDefault="00452B40" w:rsidP="000230EE">
            <w:pPr>
              <w:rPr>
                <w:lang w:val="en-US"/>
              </w:rPr>
            </w:pPr>
            <w:r w:rsidRPr="00F41590">
              <w:rPr>
                <w:lang w:val="en-US"/>
              </w:rPr>
              <w:t>Dolutegravir</w:t>
            </w:r>
          </w:p>
        </w:tc>
      </w:tr>
      <w:tr w:rsidR="000230EE" w:rsidRPr="00F41590" w:rsidTr="000230EE">
        <w:tc>
          <w:tcPr>
            <w:tcW w:w="2376" w:type="dxa"/>
          </w:tcPr>
          <w:p w:rsidR="000230EE" w:rsidRPr="00F41590" w:rsidRDefault="000230EE" w:rsidP="000230EE">
            <w:pPr>
              <w:rPr>
                <w:lang w:val="en-US"/>
              </w:rPr>
            </w:pPr>
            <w:r w:rsidRPr="00F41590">
              <w:rPr>
                <w:lang w:val="en-US"/>
              </w:rPr>
              <w:t xml:space="preserve">DXA </w:t>
            </w:r>
          </w:p>
        </w:tc>
        <w:tc>
          <w:tcPr>
            <w:tcW w:w="6344" w:type="dxa"/>
          </w:tcPr>
          <w:p w:rsidR="000230EE" w:rsidRPr="00F41590" w:rsidRDefault="00452B40" w:rsidP="000230EE">
            <w:pPr>
              <w:rPr>
                <w:lang w:val="en-US"/>
              </w:rPr>
            </w:pPr>
            <w:r w:rsidRPr="00F41590">
              <w:rPr>
                <w:lang w:val="en-US"/>
              </w:rPr>
              <w:t>Dual-energy x-ray absorptiometry</w:t>
            </w:r>
          </w:p>
        </w:tc>
      </w:tr>
      <w:tr w:rsidR="000230EE" w:rsidRPr="00F41590" w:rsidTr="000230EE">
        <w:tc>
          <w:tcPr>
            <w:tcW w:w="2376" w:type="dxa"/>
          </w:tcPr>
          <w:p w:rsidR="000230EE" w:rsidRPr="00F41590" w:rsidRDefault="000230EE" w:rsidP="000230EE">
            <w:pPr>
              <w:rPr>
                <w:lang w:val="en-US"/>
              </w:rPr>
            </w:pPr>
            <w:r w:rsidRPr="00F41590">
              <w:rPr>
                <w:lang w:val="en-US"/>
              </w:rPr>
              <w:t xml:space="preserve">EASC </w:t>
            </w:r>
          </w:p>
        </w:tc>
        <w:tc>
          <w:tcPr>
            <w:tcW w:w="6344" w:type="dxa"/>
          </w:tcPr>
          <w:p w:rsidR="000230EE" w:rsidRPr="00F41590" w:rsidRDefault="00452B40" w:rsidP="000230EE">
            <w:pPr>
              <w:rPr>
                <w:lang w:val="en-US"/>
              </w:rPr>
            </w:pPr>
            <w:r w:rsidRPr="00F41590">
              <w:rPr>
                <w:lang w:val="en-US"/>
              </w:rPr>
              <w:t>European aids clinical society</w:t>
            </w:r>
          </w:p>
        </w:tc>
      </w:tr>
      <w:tr w:rsidR="000230EE" w:rsidRPr="00F41590" w:rsidTr="000230EE">
        <w:tc>
          <w:tcPr>
            <w:tcW w:w="2376" w:type="dxa"/>
          </w:tcPr>
          <w:p w:rsidR="000230EE" w:rsidRPr="00F41590" w:rsidRDefault="000230EE" w:rsidP="000230EE">
            <w:pPr>
              <w:rPr>
                <w:lang w:val="en-US"/>
              </w:rPr>
            </w:pPr>
            <w:r w:rsidRPr="00F41590">
              <w:rPr>
                <w:lang w:val="en-US"/>
              </w:rPr>
              <w:t xml:space="preserve">EC50 </w:t>
            </w:r>
          </w:p>
        </w:tc>
        <w:tc>
          <w:tcPr>
            <w:tcW w:w="6344" w:type="dxa"/>
          </w:tcPr>
          <w:p w:rsidR="000230EE" w:rsidRPr="00F41590" w:rsidRDefault="00452B40" w:rsidP="000230EE">
            <w:pPr>
              <w:rPr>
                <w:lang w:val="en-US"/>
              </w:rPr>
            </w:pPr>
            <w:r w:rsidRPr="00F41590">
              <w:rPr>
                <w:lang w:val="en-US"/>
              </w:rPr>
              <w:t xml:space="preserve"> Concentration of a compound inhibiting virus replication by 50%</w:t>
            </w:r>
          </w:p>
        </w:tc>
      </w:tr>
      <w:tr w:rsidR="000230EE" w:rsidRPr="00F41590" w:rsidTr="000230EE">
        <w:tc>
          <w:tcPr>
            <w:tcW w:w="2376" w:type="dxa"/>
          </w:tcPr>
          <w:p w:rsidR="000230EE" w:rsidRPr="00F41590" w:rsidRDefault="000230EE" w:rsidP="000230EE">
            <w:pPr>
              <w:rPr>
                <w:lang w:val="en-US"/>
              </w:rPr>
            </w:pPr>
            <w:r w:rsidRPr="00F41590">
              <w:rPr>
                <w:lang w:val="en-US"/>
              </w:rPr>
              <w:t xml:space="preserve">EOP2 </w:t>
            </w:r>
          </w:p>
        </w:tc>
        <w:tc>
          <w:tcPr>
            <w:tcW w:w="6344" w:type="dxa"/>
          </w:tcPr>
          <w:p w:rsidR="000230EE" w:rsidRPr="00F41590" w:rsidRDefault="000230EE" w:rsidP="00A50975">
            <w:pPr>
              <w:rPr>
                <w:lang w:val="en-US"/>
              </w:rPr>
            </w:pPr>
            <w:r w:rsidRPr="00F41590">
              <w:rPr>
                <w:lang w:val="en-US"/>
              </w:rPr>
              <w:t xml:space="preserve">End of Phase </w:t>
            </w:r>
            <w:r w:rsidR="00A50975">
              <w:rPr>
                <w:lang w:val="en-US"/>
              </w:rPr>
              <w:t>II</w:t>
            </w:r>
          </w:p>
        </w:tc>
      </w:tr>
      <w:tr w:rsidR="000230EE" w:rsidRPr="00F41590" w:rsidTr="000230EE">
        <w:tc>
          <w:tcPr>
            <w:tcW w:w="2376" w:type="dxa"/>
          </w:tcPr>
          <w:p w:rsidR="000230EE" w:rsidRPr="00F41590" w:rsidRDefault="000230EE" w:rsidP="000230EE">
            <w:pPr>
              <w:rPr>
                <w:lang w:val="en-US"/>
              </w:rPr>
            </w:pPr>
            <w:r w:rsidRPr="00F41590">
              <w:rPr>
                <w:lang w:val="en-US"/>
              </w:rPr>
              <w:t xml:space="preserve">E/C/F/TAF </w:t>
            </w:r>
          </w:p>
        </w:tc>
        <w:tc>
          <w:tcPr>
            <w:tcW w:w="6344" w:type="dxa"/>
          </w:tcPr>
          <w:p w:rsidR="000230EE" w:rsidRPr="00F41590" w:rsidRDefault="00452B40" w:rsidP="000230EE">
            <w:pPr>
              <w:rPr>
                <w:lang w:val="en-US"/>
              </w:rPr>
            </w:pPr>
            <w:r w:rsidRPr="00F41590">
              <w:rPr>
                <w:lang w:val="en-US"/>
              </w:rPr>
              <w:t>Elvitegravir/cobicistat/emtricitabine/tenofovir alafenamide (coformulated</w:t>
            </w:r>
            <w:r w:rsidR="00BC50BC">
              <w:rPr>
                <w:lang w:val="en-US"/>
              </w:rPr>
              <w:t>; Genvoya</w:t>
            </w:r>
            <w:r w:rsidRPr="00F41590">
              <w:rPr>
                <w:lang w:val="en-US"/>
              </w:rPr>
              <w:t>)</w:t>
            </w:r>
          </w:p>
        </w:tc>
      </w:tr>
      <w:tr w:rsidR="000230EE" w:rsidRPr="00F41590" w:rsidTr="000230EE">
        <w:tc>
          <w:tcPr>
            <w:tcW w:w="2376" w:type="dxa"/>
          </w:tcPr>
          <w:p w:rsidR="000230EE" w:rsidRPr="00F41590" w:rsidRDefault="000230EE" w:rsidP="000230EE">
            <w:pPr>
              <w:rPr>
                <w:lang w:val="en-US"/>
              </w:rPr>
            </w:pPr>
            <w:r w:rsidRPr="00F41590">
              <w:rPr>
                <w:lang w:val="en-US"/>
              </w:rPr>
              <w:t xml:space="preserve">EFV </w:t>
            </w:r>
          </w:p>
        </w:tc>
        <w:tc>
          <w:tcPr>
            <w:tcW w:w="6344" w:type="dxa"/>
          </w:tcPr>
          <w:p w:rsidR="000230EE" w:rsidRPr="00F41590" w:rsidRDefault="00452B40" w:rsidP="000230EE">
            <w:pPr>
              <w:rPr>
                <w:lang w:val="en-US"/>
              </w:rPr>
            </w:pPr>
            <w:r w:rsidRPr="00F41590">
              <w:rPr>
                <w:lang w:val="en-US"/>
              </w:rPr>
              <w:t>Efavirenz</w:t>
            </w:r>
          </w:p>
        </w:tc>
      </w:tr>
      <w:tr w:rsidR="000230EE" w:rsidRPr="00F41590" w:rsidTr="000230EE">
        <w:tc>
          <w:tcPr>
            <w:tcW w:w="2376" w:type="dxa"/>
          </w:tcPr>
          <w:p w:rsidR="000230EE" w:rsidRPr="00F41590" w:rsidRDefault="000230EE" w:rsidP="000230EE">
            <w:pPr>
              <w:rPr>
                <w:lang w:val="en-US"/>
              </w:rPr>
            </w:pPr>
            <w:r w:rsidRPr="00F41590">
              <w:rPr>
                <w:lang w:val="en-US"/>
              </w:rPr>
              <w:t xml:space="preserve">eGFR </w:t>
            </w:r>
          </w:p>
        </w:tc>
        <w:tc>
          <w:tcPr>
            <w:tcW w:w="6344" w:type="dxa"/>
          </w:tcPr>
          <w:p w:rsidR="000230EE" w:rsidRPr="00F41590" w:rsidRDefault="00452B40" w:rsidP="000230EE">
            <w:pPr>
              <w:rPr>
                <w:lang w:val="en-US"/>
              </w:rPr>
            </w:pPr>
            <w:r w:rsidRPr="00F41590">
              <w:rPr>
                <w:lang w:val="en-US"/>
              </w:rPr>
              <w:t>Estimated glomerular filtration rate</w:t>
            </w:r>
          </w:p>
        </w:tc>
      </w:tr>
      <w:tr w:rsidR="000230EE" w:rsidRPr="00F41590" w:rsidTr="000230EE">
        <w:tc>
          <w:tcPr>
            <w:tcW w:w="2376" w:type="dxa"/>
          </w:tcPr>
          <w:p w:rsidR="000230EE" w:rsidRPr="00F41590" w:rsidRDefault="000230EE" w:rsidP="000230EE">
            <w:pPr>
              <w:rPr>
                <w:lang w:val="en-US"/>
              </w:rPr>
            </w:pPr>
            <w:r w:rsidRPr="00F41590">
              <w:rPr>
                <w:lang w:val="en-US"/>
              </w:rPr>
              <w:t>eGFRCG</w:t>
            </w:r>
            <w:r w:rsidR="00347444">
              <w:rPr>
                <w:lang w:val="en-US"/>
              </w:rPr>
              <w:t xml:space="preserve"> </w:t>
            </w:r>
          </w:p>
        </w:tc>
        <w:tc>
          <w:tcPr>
            <w:tcW w:w="6344" w:type="dxa"/>
          </w:tcPr>
          <w:p w:rsidR="000230EE" w:rsidRPr="00F41590" w:rsidRDefault="00452B40" w:rsidP="000230EE">
            <w:pPr>
              <w:rPr>
                <w:lang w:val="en-US"/>
              </w:rPr>
            </w:pPr>
            <w:r w:rsidRPr="00F41590">
              <w:rPr>
                <w:lang w:val="en-US"/>
              </w:rPr>
              <w:t xml:space="preserve">Estimated </w:t>
            </w:r>
            <w:r w:rsidR="000230EE" w:rsidRPr="00F41590">
              <w:rPr>
                <w:lang w:val="en-US"/>
              </w:rPr>
              <w:t>glomerular filtration rate calculated using the Cockcroft-Gault equation</w:t>
            </w:r>
          </w:p>
        </w:tc>
      </w:tr>
      <w:tr w:rsidR="000230EE" w:rsidRPr="00F41590" w:rsidTr="000230EE">
        <w:tc>
          <w:tcPr>
            <w:tcW w:w="2376" w:type="dxa"/>
          </w:tcPr>
          <w:p w:rsidR="000230EE" w:rsidRPr="00F41590" w:rsidRDefault="000230EE" w:rsidP="000230EE">
            <w:pPr>
              <w:rPr>
                <w:lang w:val="en-US"/>
              </w:rPr>
            </w:pPr>
            <w:r w:rsidRPr="00F41590">
              <w:rPr>
                <w:lang w:val="en-US"/>
              </w:rPr>
              <w:t xml:space="preserve">ESRD </w:t>
            </w:r>
          </w:p>
        </w:tc>
        <w:tc>
          <w:tcPr>
            <w:tcW w:w="6344" w:type="dxa"/>
          </w:tcPr>
          <w:p w:rsidR="000230EE" w:rsidRPr="00F41590" w:rsidRDefault="00452B40" w:rsidP="000230EE">
            <w:pPr>
              <w:rPr>
                <w:lang w:val="en-US"/>
              </w:rPr>
            </w:pPr>
            <w:r w:rsidRPr="00F41590">
              <w:rPr>
                <w:lang w:val="en-US"/>
              </w:rPr>
              <w:t>End-stage renal disease</w:t>
            </w:r>
          </w:p>
        </w:tc>
      </w:tr>
      <w:tr w:rsidR="000230EE" w:rsidRPr="00F41590" w:rsidTr="000230EE">
        <w:tc>
          <w:tcPr>
            <w:tcW w:w="2376" w:type="dxa"/>
          </w:tcPr>
          <w:p w:rsidR="000230EE" w:rsidRPr="00F41590" w:rsidRDefault="000230EE" w:rsidP="000230EE">
            <w:pPr>
              <w:rPr>
                <w:lang w:val="en-US"/>
              </w:rPr>
            </w:pPr>
            <w:r w:rsidRPr="00F41590">
              <w:rPr>
                <w:lang w:val="en-US"/>
              </w:rPr>
              <w:t xml:space="preserve">EU </w:t>
            </w:r>
          </w:p>
        </w:tc>
        <w:tc>
          <w:tcPr>
            <w:tcW w:w="6344" w:type="dxa"/>
          </w:tcPr>
          <w:p w:rsidR="000230EE" w:rsidRPr="00F41590" w:rsidRDefault="00452B40" w:rsidP="000230EE">
            <w:pPr>
              <w:rPr>
                <w:lang w:val="en-US"/>
              </w:rPr>
            </w:pPr>
            <w:r w:rsidRPr="00F41590">
              <w:rPr>
                <w:lang w:val="en-US"/>
              </w:rPr>
              <w:t>European union</w:t>
            </w:r>
          </w:p>
        </w:tc>
      </w:tr>
      <w:tr w:rsidR="000230EE" w:rsidRPr="00F41590" w:rsidTr="000230EE">
        <w:tc>
          <w:tcPr>
            <w:tcW w:w="2376" w:type="dxa"/>
          </w:tcPr>
          <w:p w:rsidR="000230EE" w:rsidRPr="00F41590" w:rsidRDefault="000230EE" w:rsidP="000230EE">
            <w:pPr>
              <w:rPr>
                <w:lang w:val="en-US"/>
              </w:rPr>
            </w:pPr>
            <w:r w:rsidRPr="00F41590">
              <w:rPr>
                <w:lang w:val="en-US"/>
              </w:rPr>
              <w:t xml:space="preserve">EVG, E </w:t>
            </w:r>
          </w:p>
        </w:tc>
        <w:tc>
          <w:tcPr>
            <w:tcW w:w="6344" w:type="dxa"/>
          </w:tcPr>
          <w:p w:rsidR="000230EE" w:rsidRPr="00F41590" w:rsidRDefault="00452B40" w:rsidP="000230EE">
            <w:pPr>
              <w:rPr>
                <w:lang w:val="en-US"/>
              </w:rPr>
            </w:pPr>
            <w:r w:rsidRPr="00F41590">
              <w:rPr>
                <w:lang w:val="en-US"/>
              </w:rPr>
              <w:t xml:space="preserve">Elvitegravir </w:t>
            </w:r>
            <w:r w:rsidR="000230EE" w:rsidRPr="00F41590">
              <w:rPr>
                <w:lang w:val="en-US"/>
              </w:rPr>
              <w:t>(Vitekta )</w:t>
            </w:r>
          </w:p>
        </w:tc>
      </w:tr>
      <w:tr w:rsidR="000230EE" w:rsidRPr="00F41590" w:rsidTr="000230EE">
        <w:tc>
          <w:tcPr>
            <w:tcW w:w="2376" w:type="dxa"/>
          </w:tcPr>
          <w:p w:rsidR="000230EE" w:rsidRPr="00F41590" w:rsidRDefault="000230EE" w:rsidP="000230EE">
            <w:pPr>
              <w:rPr>
                <w:lang w:val="en-US"/>
              </w:rPr>
            </w:pPr>
            <w:r w:rsidRPr="00F41590">
              <w:rPr>
                <w:lang w:val="en-US"/>
              </w:rPr>
              <w:t xml:space="preserve">FAS </w:t>
            </w:r>
          </w:p>
        </w:tc>
        <w:tc>
          <w:tcPr>
            <w:tcW w:w="6344" w:type="dxa"/>
          </w:tcPr>
          <w:p w:rsidR="000230EE" w:rsidRPr="00F41590" w:rsidRDefault="00452B40" w:rsidP="000230EE">
            <w:pPr>
              <w:rPr>
                <w:lang w:val="en-US"/>
              </w:rPr>
            </w:pPr>
            <w:r w:rsidRPr="00F41590">
              <w:rPr>
                <w:lang w:val="en-US"/>
              </w:rPr>
              <w:t>Full analysis set</w:t>
            </w:r>
          </w:p>
        </w:tc>
      </w:tr>
      <w:tr w:rsidR="000230EE" w:rsidRPr="00F41590" w:rsidTr="000230EE">
        <w:tc>
          <w:tcPr>
            <w:tcW w:w="2376" w:type="dxa"/>
          </w:tcPr>
          <w:p w:rsidR="000230EE" w:rsidRPr="00F41590" w:rsidRDefault="000230EE" w:rsidP="000230EE">
            <w:pPr>
              <w:rPr>
                <w:lang w:val="en-US"/>
              </w:rPr>
            </w:pPr>
            <w:r w:rsidRPr="00F41590">
              <w:rPr>
                <w:lang w:val="en-US"/>
              </w:rPr>
              <w:t xml:space="preserve">FDA </w:t>
            </w:r>
          </w:p>
        </w:tc>
        <w:tc>
          <w:tcPr>
            <w:tcW w:w="6344" w:type="dxa"/>
          </w:tcPr>
          <w:p w:rsidR="000230EE" w:rsidRPr="00F41590" w:rsidRDefault="000230EE" w:rsidP="000230EE">
            <w:pPr>
              <w:rPr>
                <w:lang w:val="en-US"/>
              </w:rPr>
            </w:pPr>
            <w:r w:rsidRPr="00F41590">
              <w:rPr>
                <w:lang w:val="en-US"/>
              </w:rPr>
              <w:t>Food and Drug Administration</w:t>
            </w:r>
          </w:p>
        </w:tc>
      </w:tr>
      <w:tr w:rsidR="000230EE" w:rsidRPr="00F41590" w:rsidTr="000230EE">
        <w:tc>
          <w:tcPr>
            <w:tcW w:w="2376" w:type="dxa"/>
          </w:tcPr>
          <w:p w:rsidR="000230EE" w:rsidRPr="00F41590" w:rsidRDefault="000230EE" w:rsidP="000230EE">
            <w:pPr>
              <w:rPr>
                <w:lang w:val="en-US"/>
              </w:rPr>
            </w:pPr>
            <w:r w:rsidRPr="00F41590">
              <w:rPr>
                <w:lang w:val="en-US"/>
              </w:rPr>
              <w:t>FDC</w:t>
            </w:r>
          </w:p>
        </w:tc>
        <w:tc>
          <w:tcPr>
            <w:tcW w:w="6344" w:type="dxa"/>
          </w:tcPr>
          <w:p w:rsidR="000230EE" w:rsidRPr="00F41590" w:rsidRDefault="00452B40" w:rsidP="000230EE">
            <w:pPr>
              <w:rPr>
                <w:lang w:val="en-US"/>
              </w:rPr>
            </w:pPr>
            <w:r w:rsidRPr="00F41590">
              <w:rPr>
                <w:lang w:val="en-US"/>
              </w:rPr>
              <w:t>Fixed-dose combination</w:t>
            </w:r>
          </w:p>
        </w:tc>
      </w:tr>
      <w:tr w:rsidR="000230EE" w:rsidRPr="00F41590" w:rsidTr="000230EE">
        <w:tc>
          <w:tcPr>
            <w:tcW w:w="2376" w:type="dxa"/>
          </w:tcPr>
          <w:p w:rsidR="000230EE" w:rsidRPr="00F41590" w:rsidRDefault="000230EE" w:rsidP="000230EE">
            <w:pPr>
              <w:rPr>
                <w:lang w:val="en-US"/>
              </w:rPr>
            </w:pPr>
            <w:r w:rsidRPr="00F41590">
              <w:rPr>
                <w:lang w:val="en-US"/>
              </w:rPr>
              <w:lastRenderedPageBreak/>
              <w:t>FTC, F</w:t>
            </w:r>
          </w:p>
        </w:tc>
        <w:tc>
          <w:tcPr>
            <w:tcW w:w="6344" w:type="dxa"/>
          </w:tcPr>
          <w:p w:rsidR="000230EE" w:rsidRPr="00F41590" w:rsidRDefault="00452B40" w:rsidP="000230EE">
            <w:pPr>
              <w:rPr>
                <w:lang w:val="en-US"/>
              </w:rPr>
            </w:pPr>
            <w:r w:rsidRPr="00F41590">
              <w:rPr>
                <w:lang w:val="en-US"/>
              </w:rPr>
              <w:t xml:space="preserve">Emtricitabine </w:t>
            </w:r>
            <w:r w:rsidR="000230EE" w:rsidRPr="00F41590">
              <w:rPr>
                <w:lang w:val="en-US"/>
              </w:rPr>
              <w:t>(Emtriva )</w:t>
            </w:r>
          </w:p>
        </w:tc>
      </w:tr>
      <w:tr w:rsidR="000230EE" w:rsidRPr="00F41590" w:rsidTr="000230EE">
        <w:tc>
          <w:tcPr>
            <w:tcW w:w="2376" w:type="dxa"/>
          </w:tcPr>
          <w:p w:rsidR="000230EE" w:rsidRPr="00F41590" w:rsidRDefault="000230EE" w:rsidP="000230EE">
            <w:pPr>
              <w:rPr>
                <w:lang w:val="en-US"/>
              </w:rPr>
            </w:pPr>
            <w:r w:rsidRPr="00F41590">
              <w:rPr>
                <w:lang w:val="en-US"/>
              </w:rPr>
              <w:t xml:space="preserve">FTC-DP </w:t>
            </w:r>
          </w:p>
        </w:tc>
        <w:tc>
          <w:tcPr>
            <w:tcW w:w="6344" w:type="dxa"/>
          </w:tcPr>
          <w:p w:rsidR="000230EE" w:rsidRPr="00F41590" w:rsidRDefault="00452B40" w:rsidP="000230EE">
            <w:pPr>
              <w:rPr>
                <w:lang w:val="en-US"/>
              </w:rPr>
            </w:pPr>
            <w:r w:rsidRPr="00F41590">
              <w:rPr>
                <w:lang w:val="en-US"/>
              </w:rPr>
              <w:t>Emtricitabine diphosphate</w:t>
            </w:r>
          </w:p>
        </w:tc>
      </w:tr>
      <w:tr w:rsidR="000230EE" w:rsidRPr="00F41590" w:rsidTr="000230EE">
        <w:tc>
          <w:tcPr>
            <w:tcW w:w="2376" w:type="dxa"/>
          </w:tcPr>
          <w:p w:rsidR="000230EE" w:rsidRPr="00F41590" w:rsidRDefault="000230EE" w:rsidP="000230EE">
            <w:pPr>
              <w:rPr>
                <w:lang w:val="en-US"/>
              </w:rPr>
            </w:pPr>
            <w:r w:rsidRPr="00F41590">
              <w:rPr>
                <w:lang w:val="en-US"/>
              </w:rPr>
              <w:t xml:space="preserve">GCP </w:t>
            </w:r>
          </w:p>
        </w:tc>
        <w:tc>
          <w:tcPr>
            <w:tcW w:w="6344" w:type="dxa"/>
          </w:tcPr>
          <w:p w:rsidR="000230EE" w:rsidRPr="00F41590" w:rsidRDefault="00452B40" w:rsidP="000230EE">
            <w:pPr>
              <w:rPr>
                <w:lang w:val="en-US"/>
              </w:rPr>
            </w:pPr>
            <w:r w:rsidRPr="00F41590">
              <w:rPr>
                <w:lang w:val="en-US"/>
              </w:rPr>
              <w:t>Good clinical practice</w:t>
            </w:r>
          </w:p>
        </w:tc>
      </w:tr>
      <w:tr w:rsidR="000230EE" w:rsidRPr="00F41590" w:rsidTr="000230EE">
        <w:tc>
          <w:tcPr>
            <w:tcW w:w="2376" w:type="dxa"/>
          </w:tcPr>
          <w:p w:rsidR="000230EE" w:rsidRPr="00F41590" w:rsidRDefault="000230EE" w:rsidP="000230EE">
            <w:pPr>
              <w:rPr>
                <w:lang w:val="en-US"/>
              </w:rPr>
            </w:pPr>
            <w:r w:rsidRPr="00F41590">
              <w:rPr>
                <w:lang w:val="en-US"/>
              </w:rPr>
              <w:t xml:space="preserve">Gilead </w:t>
            </w:r>
          </w:p>
        </w:tc>
        <w:tc>
          <w:tcPr>
            <w:tcW w:w="6344" w:type="dxa"/>
          </w:tcPr>
          <w:p w:rsidR="000230EE" w:rsidRPr="00F41590" w:rsidRDefault="00452B40" w:rsidP="000230EE">
            <w:pPr>
              <w:rPr>
                <w:lang w:val="en-US"/>
              </w:rPr>
            </w:pPr>
            <w:r w:rsidRPr="00F41590">
              <w:rPr>
                <w:lang w:val="en-US"/>
              </w:rPr>
              <w:t>Gilead sciences</w:t>
            </w:r>
          </w:p>
        </w:tc>
      </w:tr>
      <w:tr w:rsidR="000230EE" w:rsidRPr="00F41590" w:rsidTr="000230EE">
        <w:tc>
          <w:tcPr>
            <w:tcW w:w="2376" w:type="dxa"/>
          </w:tcPr>
          <w:p w:rsidR="000230EE" w:rsidRPr="00F41590" w:rsidRDefault="000230EE" w:rsidP="000230EE">
            <w:pPr>
              <w:rPr>
                <w:lang w:val="en-US"/>
              </w:rPr>
            </w:pPr>
            <w:r w:rsidRPr="00F41590">
              <w:rPr>
                <w:lang w:val="en-US"/>
              </w:rPr>
              <w:t>GLSM</w:t>
            </w:r>
          </w:p>
        </w:tc>
        <w:tc>
          <w:tcPr>
            <w:tcW w:w="6344" w:type="dxa"/>
          </w:tcPr>
          <w:p w:rsidR="000230EE" w:rsidRPr="00F41590" w:rsidRDefault="00452B40" w:rsidP="000230EE">
            <w:pPr>
              <w:rPr>
                <w:lang w:val="en-US"/>
              </w:rPr>
            </w:pPr>
            <w:r w:rsidRPr="00F41590">
              <w:rPr>
                <w:lang w:val="en-US"/>
              </w:rPr>
              <w:t>Geometric least-squares mean</w:t>
            </w:r>
          </w:p>
        </w:tc>
      </w:tr>
      <w:tr w:rsidR="000230EE" w:rsidRPr="00F41590" w:rsidTr="000230EE">
        <w:tc>
          <w:tcPr>
            <w:tcW w:w="2376" w:type="dxa"/>
          </w:tcPr>
          <w:p w:rsidR="000230EE" w:rsidRPr="00F41590" w:rsidRDefault="000230EE" w:rsidP="000230EE">
            <w:pPr>
              <w:rPr>
                <w:lang w:val="en-US"/>
              </w:rPr>
            </w:pPr>
            <w:r w:rsidRPr="00F41590">
              <w:rPr>
                <w:lang w:val="en-US"/>
              </w:rPr>
              <w:t>GS-7340</w:t>
            </w:r>
          </w:p>
        </w:tc>
        <w:tc>
          <w:tcPr>
            <w:tcW w:w="6344" w:type="dxa"/>
          </w:tcPr>
          <w:p w:rsidR="000230EE" w:rsidRPr="00F41590" w:rsidRDefault="00452B40" w:rsidP="000230EE">
            <w:pPr>
              <w:rPr>
                <w:lang w:val="en-US"/>
              </w:rPr>
            </w:pPr>
            <w:r w:rsidRPr="00F41590">
              <w:rPr>
                <w:lang w:val="en-US"/>
              </w:rPr>
              <w:t>Tenofovir alafenamide fumarate</w:t>
            </w:r>
          </w:p>
        </w:tc>
      </w:tr>
      <w:tr w:rsidR="000230EE" w:rsidRPr="00F41590" w:rsidTr="000230EE">
        <w:tc>
          <w:tcPr>
            <w:tcW w:w="2376" w:type="dxa"/>
          </w:tcPr>
          <w:p w:rsidR="000230EE" w:rsidRPr="00F41590" w:rsidRDefault="000230EE" w:rsidP="000230EE">
            <w:pPr>
              <w:rPr>
                <w:lang w:val="en-US"/>
              </w:rPr>
            </w:pPr>
            <w:r w:rsidRPr="00F41590">
              <w:rPr>
                <w:lang w:val="en-US"/>
              </w:rPr>
              <w:t xml:space="preserve">HBV </w:t>
            </w:r>
          </w:p>
        </w:tc>
        <w:tc>
          <w:tcPr>
            <w:tcW w:w="6344" w:type="dxa"/>
          </w:tcPr>
          <w:p w:rsidR="000230EE" w:rsidRPr="00F41590" w:rsidRDefault="00452B40" w:rsidP="000230EE">
            <w:pPr>
              <w:rPr>
                <w:lang w:val="en-US"/>
              </w:rPr>
            </w:pPr>
            <w:r w:rsidRPr="00F41590">
              <w:rPr>
                <w:lang w:val="en-US"/>
              </w:rPr>
              <w:t xml:space="preserve">Hepatitis </w:t>
            </w:r>
            <w:r w:rsidR="000230EE" w:rsidRPr="00F41590">
              <w:rPr>
                <w:lang w:val="en-US"/>
              </w:rPr>
              <w:t>B virus</w:t>
            </w:r>
          </w:p>
        </w:tc>
      </w:tr>
      <w:tr w:rsidR="000230EE" w:rsidRPr="00F41590" w:rsidTr="000230EE">
        <w:tc>
          <w:tcPr>
            <w:tcW w:w="2376" w:type="dxa"/>
          </w:tcPr>
          <w:p w:rsidR="000230EE" w:rsidRPr="00F41590" w:rsidRDefault="000230EE" w:rsidP="000230EE">
            <w:pPr>
              <w:rPr>
                <w:lang w:val="en-US"/>
              </w:rPr>
            </w:pPr>
            <w:r w:rsidRPr="00F41590">
              <w:rPr>
                <w:lang w:val="en-US"/>
              </w:rPr>
              <w:t xml:space="preserve">HCV </w:t>
            </w:r>
          </w:p>
        </w:tc>
        <w:tc>
          <w:tcPr>
            <w:tcW w:w="6344" w:type="dxa"/>
          </w:tcPr>
          <w:p w:rsidR="000230EE" w:rsidRPr="00F41590" w:rsidRDefault="00452B40" w:rsidP="000230EE">
            <w:pPr>
              <w:rPr>
                <w:lang w:val="en-US"/>
              </w:rPr>
            </w:pPr>
            <w:r w:rsidRPr="00F41590">
              <w:rPr>
                <w:lang w:val="en-US"/>
              </w:rPr>
              <w:t xml:space="preserve">Hepatitis </w:t>
            </w:r>
            <w:r w:rsidR="000230EE" w:rsidRPr="00F41590">
              <w:rPr>
                <w:lang w:val="en-US"/>
              </w:rPr>
              <w:t>C virus</w:t>
            </w:r>
          </w:p>
        </w:tc>
      </w:tr>
      <w:tr w:rsidR="000230EE" w:rsidRPr="00F41590" w:rsidTr="000230EE">
        <w:tc>
          <w:tcPr>
            <w:tcW w:w="2376" w:type="dxa"/>
          </w:tcPr>
          <w:p w:rsidR="000230EE" w:rsidRPr="00F41590" w:rsidRDefault="000230EE" w:rsidP="000230EE">
            <w:pPr>
              <w:rPr>
                <w:lang w:val="en-US"/>
              </w:rPr>
            </w:pPr>
            <w:r w:rsidRPr="00F41590">
              <w:rPr>
                <w:lang w:val="en-US"/>
              </w:rPr>
              <w:t xml:space="preserve">HDL </w:t>
            </w:r>
          </w:p>
        </w:tc>
        <w:tc>
          <w:tcPr>
            <w:tcW w:w="6344" w:type="dxa"/>
          </w:tcPr>
          <w:p w:rsidR="000230EE" w:rsidRPr="00F41590" w:rsidRDefault="00452B40" w:rsidP="000230EE">
            <w:pPr>
              <w:rPr>
                <w:lang w:val="en-US"/>
              </w:rPr>
            </w:pPr>
            <w:r w:rsidRPr="00F41590">
              <w:rPr>
                <w:lang w:val="en-US"/>
              </w:rPr>
              <w:t>High-density lipoprotein</w:t>
            </w:r>
          </w:p>
        </w:tc>
      </w:tr>
      <w:tr w:rsidR="000230EE" w:rsidRPr="00F41590" w:rsidTr="000230EE">
        <w:tc>
          <w:tcPr>
            <w:tcW w:w="2376" w:type="dxa"/>
          </w:tcPr>
          <w:p w:rsidR="000230EE" w:rsidRPr="00F41590" w:rsidRDefault="000230EE" w:rsidP="000230EE">
            <w:pPr>
              <w:rPr>
                <w:lang w:val="en-US"/>
              </w:rPr>
            </w:pPr>
            <w:r w:rsidRPr="00F41590">
              <w:rPr>
                <w:lang w:val="en-US"/>
              </w:rPr>
              <w:t xml:space="preserve">HIV, HIV-1, HIV-2 </w:t>
            </w:r>
          </w:p>
        </w:tc>
        <w:tc>
          <w:tcPr>
            <w:tcW w:w="6344" w:type="dxa"/>
          </w:tcPr>
          <w:p w:rsidR="000230EE" w:rsidRPr="00F41590" w:rsidRDefault="00452B40" w:rsidP="000230EE">
            <w:pPr>
              <w:rPr>
                <w:lang w:val="en-US"/>
              </w:rPr>
            </w:pPr>
            <w:r w:rsidRPr="00F41590">
              <w:rPr>
                <w:lang w:val="en-US"/>
              </w:rPr>
              <w:t>Human immunodeficiency virus, type 1, type 2</w:t>
            </w:r>
          </w:p>
        </w:tc>
      </w:tr>
      <w:tr w:rsidR="000230EE" w:rsidRPr="00F41590" w:rsidTr="000230EE">
        <w:tc>
          <w:tcPr>
            <w:tcW w:w="2376" w:type="dxa"/>
          </w:tcPr>
          <w:p w:rsidR="000230EE" w:rsidRPr="00F41590" w:rsidRDefault="000230EE" w:rsidP="000230EE">
            <w:pPr>
              <w:rPr>
                <w:lang w:val="en-US"/>
              </w:rPr>
            </w:pPr>
            <w:r w:rsidRPr="00F41590">
              <w:rPr>
                <w:lang w:val="en-US"/>
              </w:rPr>
              <w:t>IC95</w:t>
            </w:r>
            <w:r w:rsidR="00347444">
              <w:rPr>
                <w:lang w:val="en-US"/>
              </w:rPr>
              <w:t xml:space="preserve"> </w:t>
            </w:r>
          </w:p>
        </w:tc>
        <w:tc>
          <w:tcPr>
            <w:tcW w:w="6344" w:type="dxa"/>
          </w:tcPr>
          <w:p w:rsidR="000230EE" w:rsidRPr="00F41590" w:rsidRDefault="00452B40" w:rsidP="000230EE">
            <w:pPr>
              <w:rPr>
                <w:lang w:val="en-US"/>
              </w:rPr>
            </w:pPr>
            <w:r w:rsidRPr="00F41590">
              <w:rPr>
                <w:lang w:val="en-US"/>
              </w:rPr>
              <w:t>Concentration that results in xx% inhibition</w:t>
            </w:r>
          </w:p>
        </w:tc>
      </w:tr>
      <w:tr w:rsidR="000230EE" w:rsidRPr="00F41590" w:rsidTr="000230EE">
        <w:tc>
          <w:tcPr>
            <w:tcW w:w="2376" w:type="dxa"/>
          </w:tcPr>
          <w:p w:rsidR="000230EE" w:rsidRPr="00F41590" w:rsidRDefault="000230EE" w:rsidP="000230EE">
            <w:pPr>
              <w:rPr>
                <w:lang w:val="en-US"/>
              </w:rPr>
            </w:pPr>
            <w:r w:rsidRPr="00F41590">
              <w:rPr>
                <w:lang w:val="en-US"/>
              </w:rPr>
              <w:t xml:space="preserve">ICH </w:t>
            </w:r>
          </w:p>
        </w:tc>
        <w:tc>
          <w:tcPr>
            <w:tcW w:w="6344" w:type="dxa"/>
          </w:tcPr>
          <w:p w:rsidR="000230EE" w:rsidRPr="00F41590" w:rsidRDefault="000230EE" w:rsidP="000230EE">
            <w:pPr>
              <w:rPr>
                <w:lang w:val="en-US"/>
              </w:rPr>
            </w:pPr>
            <w:r w:rsidRPr="00F41590">
              <w:rPr>
                <w:lang w:val="en-US"/>
              </w:rPr>
              <w:t>International Conference on Harmonization (of Technical Requirements for</w:t>
            </w:r>
            <w:r w:rsidR="00347444">
              <w:rPr>
                <w:lang w:val="en-US"/>
              </w:rPr>
              <w:t xml:space="preserve"> </w:t>
            </w:r>
            <w:r w:rsidRPr="00F41590">
              <w:rPr>
                <w:lang w:val="en-US"/>
              </w:rPr>
              <w:t>Registration of Pharmaceuticals for Human Use)</w:t>
            </w:r>
          </w:p>
        </w:tc>
      </w:tr>
      <w:tr w:rsidR="000230EE" w:rsidRPr="00F41590" w:rsidTr="000230EE">
        <w:tc>
          <w:tcPr>
            <w:tcW w:w="2376" w:type="dxa"/>
          </w:tcPr>
          <w:p w:rsidR="000230EE" w:rsidRPr="00F41590" w:rsidRDefault="000230EE" w:rsidP="000230EE">
            <w:pPr>
              <w:rPr>
                <w:lang w:val="en-US"/>
              </w:rPr>
            </w:pPr>
            <w:r w:rsidRPr="00F41590">
              <w:rPr>
                <w:lang w:val="en-US"/>
              </w:rPr>
              <w:t xml:space="preserve">IN </w:t>
            </w:r>
          </w:p>
        </w:tc>
        <w:tc>
          <w:tcPr>
            <w:tcW w:w="6344" w:type="dxa"/>
          </w:tcPr>
          <w:p w:rsidR="000230EE" w:rsidRPr="00F41590" w:rsidRDefault="00452B40" w:rsidP="000230EE">
            <w:pPr>
              <w:rPr>
                <w:lang w:val="en-US"/>
              </w:rPr>
            </w:pPr>
            <w:r w:rsidRPr="00F41590">
              <w:rPr>
                <w:lang w:val="en-US"/>
              </w:rPr>
              <w:t>Integrase</w:t>
            </w:r>
          </w:p>
        </w:tc>
      </w:tr>
      <w:tr w:rsidR="000230EE" w:rsidRPr="00F41590" w:rsidTr="000230EE">
        <w:tc>
          <w:tcPr>
            <w:tcW w:w="2376" w:type="dxa"/>
          </w:tcPr>
          <w:p w:rsidR="000230EE" w:rsidRPr="00F41590" w:rsidRDefault="000230EE" w:rsidP="000230EE">
            <w:pPr>
              <w:rPr>
                <w:lang w:val="en-US"/>
              </w:rPr>
            </w:pPr>
            <w:r w:rsidRPr="00F41590">
              <w:rPr>
                <w:lang w:val="en-US"/>
              </w:rPr>
              <w:t xml:space="preserve">IND </w:t>
            </w:r>
          </w:p>
        </w:tc>
        <w:tc>
          <w:tcPr>
            <w:tcW w:w="6344" w:type="dxa"/>
          </w:tcPr>
          <w:p w:rsidR="000230EE" w:rsidRPr="00F41590" w:rsidRDefault="000230EE" w:rsidP="000230EE">
            <w:pPr>
              <w:rPr>
                <w:lang w:val="en-US"/>
              </w:rPr>
            </w:pPr>
            <w:r w:rsidRPr="00F41590">
              <w:rPr>
                <w:lang w:val="en-US"/>
              </w:rPr>
              <w:t>Investigatio</w:t>
            </w:r>
            <w:r w:rsidR="00452B40" w:rsidRPr="00F41590">
              <w:rPr>
                <w:lang w:val="en-US"/>
              </w:rPr>
              <w:t>nal new drug</w:t>
            </w:r>
          </w:p>
        </w:tc>
      </w:tr>
      <w:tr w:rsidR="000230EE" w:rsidRPr="00F41590" w:rsidTr="000230EE">
        <w:tc>
          <w:tcPr>
            <w:tcW w:w="2376" w:type="dxa"/>
          </w:tcPr>
          <w:p w:rsidR="000230EE" w:rsidRPr="00F41590" w:rsidRDefault="000230EE" w:rsidP="000230EE">
            <w:pPr>
              <w:rPr>
                <w:lang w:val="en-US"/>
              </w:rPr>
            </w:pPr>
            <w:r w:rsidRPr="00F41590">
              <w:rPr>
                <w:lang w:val="en-US"/>
              </w:rPr>
              <w:t xml:space="preserve">INSTI </w:t>
            </w:r>
          </w:p>
        </w:tc>
        <w:tc>
          <w:tcPr>
            <w:tcW w:w="6344" w:type="dxa"/>
          </w:tcPr>
          <w:p w:rsidR="000230EE" w:rsidRPr="00F41590" w:rsidRDefault="00452B40" w:rsidP="000230EE">
            <w:pPr>
              <w:rPr>
                <w:lang w:val="en-US"/>
              </w:rPr>
            </w:pPr>
            <w:r w:rsidRPr="00F41590">
              <w:rPr>
                <w:lang w:val="en-US"/>
              </w:rPr>
              <w:t>Integrase strand-transfer inhibitor</w:t>
            </w:r>
          </w:p>
        </w:tc>
      </w:tr>
      <w:tr w:rsidR="000230EE" w:rsidRPr="00F41590" w:rsidTr="000230EE">
        <w:tc>
          <w:tcPr>
            <w:tcW w:w="2376" w:type="dxa"/>
          </w:tcPr>
          <w:p w:rsidR="000230EE" w:rsidRPr="00F41590" w:rsidRDefault="000230EE" w:rsidP="000230EE">
            <w:pPr>
              <w:rPr>
                <w:lang w:val="en-US"/>
              </w:rPr>
            </w:pPr>
            <w:r w:rsidRPr="00F41590">
              <w:rPr>
                <w:lang w:val="en-US"/>
              </w:rPr>
              <w:t xml:space="preserve">ISE </w:t>
            </w:r>
          </w:p>
        </w:tc>
        <w:tc>
          <w:tcPr>
            <w:tcW w:w="6344" w:type="dxa"/>
          </w:tcPr>
          <w:p w:rsidR="000230EE" w:rsidRPr="00F41590" w:rsidRDefault="000230EE" w:rsidP="000230EE">
            <w:pPr>
              <w:rPr>
                <w:lang w:val="en-US"/>
              </w:rPr>
            </w:pPr>
            <w:r w:rsidRPr="00F41590">
              <w:rPr>
                <w:lang w:val="en-US"/>
              </w:rPr>
              <w:t>Integrated Summary of Efficacy</w:t>
            </w:r>
          </w:p>
        </w:tc>
      </w:tr>
      <w:tr w:rsidR="000230EE" w:rsidRPr="00F41590" w:rsidTr="000230EE">
        <w:tc>
          <w:tcPr>
            <w:tcW w:w="2376" w:type="dxa"/>
          </w:tcPr>
          <w:p w:rsidR="000230EE" w:rsidRPr="00F41590" w:rsidRDefault="000230EE" w:rsidP="000230EE">
            <w:pPr>
              <w:rPr>
                <w:lang w:val="en-US"/>
              </w:rPr>
            </w:pPr>
            <w:r w:rsidRPr="00F41590">
              <w:rPr>
                <w:lang w:val="en-US"/>
              </w:rPr>
              <w:t xml:space="preserve">ISS </w:t>
            </w:r>
          </w:p>
        </w:tc>
        <w:tc>
          <w:tcPr>
            <w:tcW w:w="6344" w:type="dxa"/>
          </w:tcPr>
          <w:p w:rsidR="000230EE" w:rsidRPr="00F41590" w:rsidRDefault="000230EE" w:rsidP="000230EE">
            <w:pPr>
              <w:rPr>
                <w:lang w:val="en-US"/>
              </w:rPr>
            </w:pPr>
            <w:r w:rsidRPr="00F41590">
              <w:rPr>
                <w:lang w:val="en-US"/>
              </w:rPr>
              <w:t>Integrated Summary of Safety</w:t>
            </w:r>
          </w:p>
        </w:tc>
      </w:tr>
      <w:tr w:rsidR="000230EE" w:rsidRPr="00F41590" w:rsidTr="000230EE">
        <w:tc>
          <w:tcPr>
            <w:tcW w:w="2376" w:type="dxa"/>
          </w:tcPr>
          <w:p w:rsidR="000230EE" w:rsidRPr="00F41590" w:rsidRDefault="000230EE" w:rsidP="000230EE">
            <w:pPr>
              <w:rPr>
                <w:lang w:val="en-US"/>
              </w:rPr>
            </w:pPr>
            <w:r w:rsidRPr="00F41590">
              <w:rPr>
                <w:lang w:val="en-US"/>
              </w:rPr>
              <w:t xml:space="preserve">LDL </w:t>
            </w:r>
          </w:p>
        </w:tc>
        <w:tc>
          <w:tcPr>
            <w:tcW w:w="6344" w:type="dxa"/>
          </w:tcPr>
          <w:p w:rsidR="000230EE" w:rsidRPr="00F41590" w:rsidRDefault="00452B40" w:rsidP="000230EE">
            <w:pPr>
              <w:rPr>
                <w:lang w:val="en-US"/>
              </w:rPr>
            </w:pPr>
            <w:r w:rsidRPr="00F41590">
              <w:rPr>
                <w:lang w:val="en-US"/>
              </w:rPr>
              <w:t>Low-density lipoprotein</w:t>
            </w:r>
          </w:p>
        </w:tc>
      </w:tr>
      <w:tr w:rsidR="000230EE" w:rsidRPr="00F41590" w:rsidTr="000230EE">
        <w:tc>
          <w:tcPr>
            <w:tcW w:w="2376" w:type="dxa"/>
          </w:tcPr>
          <w:p w:rsidR="000230EE" w:rsidRPr="00F41590" w:rsidRDefault="000230EE" w:rsidP="000230EE">
            <w:pPr>
              <w:rPr>
                <w:lang w:val="en-US"/>
              </w:rPr>
            </w:pPr>
            <w:r w:rsidRPr="00F41590">
              <w:rPr>
                <w:lang w:val="en-US"/>
              </w:rPr>
              <w:t xml:space="preserve">LOCF </w:t>
            </w:r>
          </w:p>
        </w:tc>
        <w:tc>
          <w:tcPr>
            <w:tcW w:w="6344" w:type="dxa"/>
          </w:tcPr>
          <w:p w:rsidR="000230EE" w:rsidRPr="00F41590" w:rsidRDefault="00452B40" w:rsidP="000230EE">
            <w:pPr>
              <w:rPr>
                <w:lang w:val="en-US"/>
              </w:rPr>
            </w:pPr>
            <w:r w:rsidRPr="00F41590">
              <w:rPr>
                <w:lang w:val="en-US"/>
              </w:rPr>
              <w:t>Last observation carried forward</w:t>
            </w:r>
          </w:p>
        </w:tc>
      </w:tr>
      <w:tr w:rsidR="000230EE" w:rsidRPr="00F41590" w:rsidTr="000230EE">
        <w:tc>
          <w:tcPr>
            <w:tcW w:w="2376" w:type="dxa"/>
          </w:tcPr>
          <w:p w:rsidR="000230EE" w:rsidRPr="00F41590" w:rsidRDefault="000230EE" w:rsidP="000230EE">
            <w:pPr>
              <w:rPr>
                <w:lang w:val="en-US"/>
              </w:rPr>
            </w:pPr>
            <w:r w:rsidRPr="00F41590">
              <w:rPr>
                <w:lang w:val="en-US"/>
              </w:rPr>
              <w:t xml:space="preserve">LSM </w:t>
            </w:r>
          </w:p>
        </w:tc>
        <w:tc>
          <w:tcPr>
            <w:tcW w:w="6344" w:type="dxa"/>
          </w:tcPr>
          <w:p w:rsidR="000230EE" w:rsidRPr="00F41590" w:rsidRDefault="00452B40" w:rsidP="000230EE">
            <w:pPr>
              <w:rPr>
                <w:lang w:val="en-US"/>
              </w:rPr>
            </w:pPr>
            <w:r w:rsidRPr="00F41590">
              <w:rPr>
                <w:lang w:val="en-US"/>
              </w:rPr>
              <w:t>Least-squares mean</w:t>
            </w:r>
          </w:p>
        </w:tc>
      </w:tr>
      <w:tr w:rsidR="000230EE" w:rsidRPr="00F41590" w:rsidTr="000230EE">
        <w:tc>
          <w:tcPr>
            <w:tcW w:w="2376" w:type="dxa"/>
          </w:tcPr>
          <w:p w:rsidR="000230EE" w:rsidRPr="00F41590" w:rsidRDefault="000230EE" w:rsidP="000230EE">
            <w:pPr>
              <w:rPr>
                <w:lang w:val="en-US"/>
              </w:rPr>
            </w:pPr>
            <w:r w:rsidRPr="00F41590">
              <w:rPr>
                <w:lang w:val="en-US"/>
              </w:rPr>
              <w:t xml:space="preserve">M = F </w:t>
            </w:r>
          </w:p>
        </w:tc>
        <w:tc>
          <w:tcPr>
            <w:tcW w:w="6344" w:type="dxa"/>
          </w:tcPr>
          <w:p w:rsidR="000230EE" w:rsidRPr="00F41590" w:rsidRDefault="00452B40" w:rsidP="000230EE">
            <w:pPr>
              <w:rPr>
                <w:lang w:val="en-US"/>
              </w:rPr>
            </w:pPr>
            <w:r w:rsidRPr="00F41590">
              <w:rPr>
                <w:lang w:val="en-US"/>
              </w:rPr>
              <w:t>Missing = failure</w:t>
            </w:r>
          </w:p>
        </w:tc>
      </w:tr>
      <w:tr w:rsidR="000230EE" w:rsidRPr="00F41590" w:rsidTr="000230EE">
        <w:tc>
          <w:tcPr>
            <w:tcW w:w="2376" w:type="dxa"/>
          </w:tcPr>
          <w:p w:rsidR="000230EE" w:rsidRPr="00F41590" w:rsidRDefault="000230EE" w:rsidP="000230EE">
            <w:pPr>
              <w:rPr>
                <w:lang w:val="en-US"/>
              </w:rPr>
            </w:pPr>
            <w:r w:rsidRPr="00F41590">
              <w:rPr>
                <w:lang w:val="en-US"/>
              </w:rPr>
              <w:t xml:space="preserve">mtDNA </w:t>
            </w:r>
          </w:p>
        </w:tc>
        <w:tc>
          <w:tcPr>
            <w:tcW w:w="6344" w:type="dxa"/>
          </w:tcPr>
          <w:p w:rsidR="000230EE" w:rsidRPr="00F41590" w:rsidRDefault="00452B40" w:rsidP="000230EE">
            <w:pPr>
              <w:rPr>
                <w:lang w:val="en-US"/>
              </w:rPr>
            </w:pPr>
            <w:r w:rsidRPr="00F41590">
              <w:rPr>
                <w:lang w:val="en-US"/>
              </w:rPr>
              <w:t xml:space="preserve">Mitochondrial </w:t>
            </w:r>
            <w:r w:rsidR="000230EE" w:rsidRPr="00F41590">
              <w:rPr>
                <w:lang w:val="en-US"/>
              </w:rPr>
              <w:t>DNA</w:t>
            </w:r>
          </w:p>
        </w:tc>
      </w:tr>
      <w:tr w:rsidR="000230EE" w:rsidRPr="00F41590" w:rsidTr="000230EE">
        <w:tc>
          <w:tcPr>
            <w:tcW w:w="2376" w:type="dxa"/>
          </w:tcPr>
          <w:p w:rsidR="000230EE" w:rsidRPr="00F41590" w:rsidRDefault="000230EE" w:rsidP="000230EE">
            <w:pPr>
              <w:rPr>
                <w:lang w:val="en-US"/>
              </w:rPr>
            </w:pPr>
            <w:r w:rsidRPr="00F41590">
              <w:rPr>
                <w:lang w:val="en-US"/>
              </w:rPr>
              <w:t xml:space="preserve">N or n </w:t>
            </w:r>
          </w:p>
        </w:tc>
        <w:tc>
          <w:tcPr>
            <w:tcW w:w="6344" w:type="dxa"/>
          </w:tcPr>
          <w:p w:rsidR="000230EE" w:rsidRPr="00F41590" w:rsidRDefault="00452B40" w:rsidP="000230EE">
            <w:pPr>
              <w:rPr>
                <w:lang w:val="en-US"/>
              </w:rPr>
            </w:pPr>
            <w:r w:rsidRPr="00F41590">
              <w:rPr>
                <w:lang w:val="en-US"/>
              </w:rPr>
              <w:t xml:space="preserve">Number </w:t>
            </w:r>
            <w:r w:rsidR="000230EE" w:rsidRPr="00F41590">
              <w:rPr>
                <w:lang w:val="en-US"/>
              </w:rPr>
              <w:t>of subjects in a population (N) or subset (n)</w:t>
            </w:r>
          </w:p>
        </w:tc>
      </w:tr>
      <w:tr w:rsidR="000230EE" w:rsidRPr="00F41590" w:rsidTr="000230EE">
        <w:tc>
          <w:tcPr>
            <w:tcW w:w="2376" w:type="dxa"/>
          </w:tcPr>
          <w:p w:rsidR="000230EE" w:rsidRPr="00F41590" w:rsidRDefault="000230EE" w:rsidP="000230EE">
            <w:pPr>
              <w:rPr>
                <w:lang w:val="en-US"/>
              </w:rPr>
            </w:pPr>
            <w:r w:rsidRPr="00F41590">
              <w:rPr>
                <w:lang w:val="en-US"/>
              </w:rPr>
              <w:t xml:space="preserve">NCEP </w:t>
            </w:r>
          </w:p>
        </w:tc>
        <w:tc>
          <w:tcPr>
            <w:tcW w:w="6344" w:type="dxa"/>
          </w:tcPr>
          <w:p w:rsidR="000230EE" w:rsidRPr="00F41590" w:rsidRDefault="00452B40" w:rsidP="000230EE">
            <w:pPr>
              <w:rPr>
                <w:lang w:val="en-US"/>
              </w:rPr>
            </w:pPr>
            <w:r w:rsidRPr="00F41590">
              <w:rPr>
                <w:lang w:val="en-US"/>
              </w:rPr>
              <w:t>National cholesterol education program</w:t>
            </w:r>
          </w:p>
        </w:tc>
      </w:tr>
      <w:tr w:rsidR="000230EE" w:rsidRPr="00F41590" w:rsidTr="000230EE">
        <w:tc>
          <w:tcPr>
            <w:tcW w:w="2376" w:type="dxa"/>
          </w:tcPr>
          <w:p w:rsidR="000230EE" w:rsidRPr="00F41590" w:rsidRDefault="000230EE" w:rsidP="000230EE">
            <w:pPr>
              <w:rPr>
                <w:lang w:val="en-US"/>
              </w:rPr>
            </w:pPr>
            <w:r w:rsidRPr="00F41590">
              <w:rPr>
                <w:lang w:val="en-US"/>
              </w:rPr>
              <w:t xml:space="preserve">NNRTI </w:t>
            </w:r>
          </w:p>
        </w:tc>
        <w:tc>
          <w:tcPr>
            <w:tcW w:w="6344" w:type="dxa"/>
          </w:tcPr>
          <w:p w:rsidR="000230EE" w:rsidRPr="00F41590" w:rsidRDefault="00452B40" w:rsidP="003F7A2A">
            <w:pPr>
              <w:rPr>
                <w:lang w:val="en-US"/>
              </w:rPr>
            </w:pPr>
            <w:r w:rsidRPr="00F41590">
              <w:rPr>
                <w:lang w:val="en-US"/>
              </w:rPr>
              <w:t>Nonnucleoside reverse transcriptase</w:t>
            </w:r>
            <w:r w:rsidR="003F7A2A">
              <w:rPr>
                <w:lang w:val="en-US"/>
              </w:rPr>
              <w:t xml:space="preserve"> </w:t>
            </w:r>
            <w:r w:rsidRPr="00F41590">
              <w:rPr>
                <w:lang w:val="en-US"/>
              </w:rPr>
              <w:t>inhibitor</w:t>
            </w:r>
          </w:p>
        </w:tc>
      </w:tr>
      <w:tr w:rsidR="000230EE" w:rsidRPr="00F41590" w:rsidTr="000230EE">
        <w:tc>
          <w:tcPr>
            <w:tcW w:w="2376" w:type="dxa"/>
          </w:tcPr>
          <w:p w:rsidR="000230EE" w:rsidRPr="00F41590" w:rsidRDefault="000230EE" w:rsidP="000230EE">
            <w:pPr>
              <w:rPr>
                <w:lang w:val="en-US"/>
              </w:rPr>
            </w:pPr>
            <w:r w:rsidRPr="00F41590">
              <w:rPr>
                <w:lang w:val="en-US"/>
              </w:rPr>
              <w:lastRenderedPageBreak/>
              <w:t xml:space="preserve">NRTI </w:t>
            </w:r>
          </w:p>
        </w:tc>
        <w:tc>
          <w:tcPr>
            <w:tcW w:w="6344" w:type="dxa"/>
          </w:tcPr>
          <w:p w:rsidR="000230EE" w:rsidRPr="00F41590" w:rsidRDefault="00452B40" w:rsidP="000230EE">
            <w:pPr>
              <w:rPr>
                <w:lang w:val="en-US"/>
              </w:rPr>
            </w:pPr>
            <w:r w:rsidRPr="00F41590">
              <w:rPr>
                <w:lang w:val="en-US"/>
              </w:rPr>
              <w:t>Nucleoside reverse transcriptase inhibitor</w:t>
            </w:r>
          </w:p>
        </w:tc>
      </w:tr>
      <w:tr w:rsidR="000230EE" w:rsidRPr="00F41590" w:rsidTr="000230EE">
        <w:tc>
          <w:tcPr>
            <w:tcW w:w="2376" w:type="dxa"/>
          </w:tcPr>
          <w:p w:rsidR="000230EE" w:rsidRPr="00F41590" w:rsidRDefault="000230EE" w:rsidP="000230EE">
            <w:pPr>
              <w:rPr>
                <w:lang w:val="en-US"/>
              </w:rPr>
            </w:pPr>
            <w:r w:rsidRPr="00F41590">
              <w:rPr>
                <w:lang w:val="en-US"/>
              </w:rPr>
              <w:t xml:space="preserve">NtRTI </w:t>
            </w:r>
          </w:p>
        </w:tc>
        <w:tc>
          <w:tcPr>
            <w:tcW w:w="6344" w:type="dxa"/>
          </w:tcPr>
          <w:p w:rsidR="000230EE" w:rsidRPr="00F41590" w:rsidRDefault="00452B40" w:rsidP="000230EE">
            <w:pPr>
              <w:rPr>
                <w:lang w:val="en-US"/>
              </w:rPr>
            </w:pPr>
            <w:r w:rsidRPr="00F41590">
              <w:rPr>
                <w:lang w:val="en-US"/>
              </w:rPr>
              <w:t xml:space="preserve">Nucleotide </w:t>
            </w:r>
            <w:r w:rsidR="000230EE" w:rsidRPr="00F41590">
              <w:rPr>
                <w:lang w:val="en-US"/>
              </w:rPr>
              <w:t>reverse transcriptase inhibitor</w:t>
            </w:r>
          </w:p>
        </w:tc>
      </w:tr>
      <w:tr w:rsidR="000230EE" w:rsidRPr="00F41590" w:rsidTr="000230EE">
        <w:tc>
          <w:tcPr>
            <w:tcW w:w="2376" w:type="dxa"/>
          </w:tcPr>
          <w:p w:rsidR="000230EE" w:rsidRPr="00F41590" w:rsidRDefault="000230EE" w:rsidP="000230EE">
            <w:pPr>
              <w:rPr>
                <w:lang w:val="en-US"/>
              </w:rPr>
            </w:pPr>
            <w:r w:rsidRPr="00F41590">
              <w:rPr>
                <w:lang w:val="en-US"/>
              </w:rPr>
              <w:t xml:space="preserve">OATP </w:t>
            </w:r>
          </w:p>
        </w:tc>
        <w:tc>
          <w:tcPr>
            <w:tcW w:w="6344" w:type="dxa"/>
          </w:tcPr>
          <w:p w:rsidR="000230EE" w:rsidRPr="00F41590" w:rsidRDefault="00452B40" w:rsidP="000230EE">
            <w:pPr>
              <w:rPr>
                <w:lang w:val="en-US"/>
              </w:rPr>
            </w:pPr>
            <w:r w:rsidRPr="00F41590">
              <w:rPr>
                <w:lang w:val="en-US"/>
              </w:rPr>
              <w:t>Organic anion transporting polypeptide</w:t>
            </w:r>
          </w:p>
        </w:tc>
      </w:tr>
      <w:tr w:rsidR="000230EE" w:rsidRPr="00F41590" w:rsidTr="000230EE">
        <w:tc>
          <w:tcPr>
            <w:tcW w:w="2376" w:type="dxa"/>
          </w:tcPr>
          <w:p w:rsidR="000230EE" w:rsidRPr="00F41590" w:rsidRDefault="000230EE" w:rsidP="000230EE">
            <w:pPr>
              <w:rPr>
                <w:lang w:val="en-US"/>
              </w:rPr>
            </w:pPr>
            <w:r w:rsidRPr="00F41590">
              <w:rPr>
                <w:lang w:val="en-US"/>
              </w:rPr>
              <w:t xml:space="preserve">P1NP </w:t>
            </w:r>
          </w:p>
        </w:tc>
        <w:tc>
          <w:tcPr>
            <w:tcW w:w="6344" w:type="dxa"/>
          </w:tcPr>
          <w:p w:rsidR="000230EE" w:rsidRPr="00F41590" w:rsidRDefault="00452B40" w:rsidP="000230EE">
            <w:pPr>
              <w:rPr>
                <w:lang w:val="en-US"/>
              </w:rPr>
            </w:pPr>
            <w:r w:rsidRPr="00F41590">
              <w:rPr>
                <w:lang w:val="en-US"/>
              </w:rPr>
              <w:t xml:space="preserve">Procollagen </w:t>
            </w:r>
            <w:r w:rsidR="000230EE" w:rsidRPr="00F41590">
              <w:rPr>
                <w:lang w:val="en-US"/>
              </w:rPr>
              <w:t>type 1 N-terminal propeptide</w:t>
            </w:r>
          </w:p>
        </w:tc>
      </w:tr>
      <w:tr w:rsidR="000230EE" w:rsidRPr="00F41590" w:rsidTr="000230EE">
        <w:tc>
          <w:tcPr>
            <w:tcW w:w="2376" w:type="dxa"/>
          </w:tcPr>
          <w:p w:rsidR="000230EE" w:rsidRPr="00F41590" w:rsidRDefault="000230EE" w:rsidP="000230EE">
            <w:pPr>
              <w:rPr>
                <w:lang w:val="en-US"/>
              </w:rPr>
            </w:pPr>
            <w:r w:rsidRPr="00F41590">
              <w:rPr>
                <w:lang w:val="en-US"/>
              </w:rPr>
              <w:t xml:space="preserve">PBMC </w:t>
            </w:r>
          </w:p>
        </w:tc>
        <w:tc>
          <w:tcPr>
            <w:tcW w:w="6344" w:type="dxa"/>
          </w:tcPr>
          <w:p w:rsidR="000230EE" w:rsidRPr="00F41590" w:rsidRDefault="00452B40" w:rsidP="000230EE">
            <w:pPr>
              <w:rPr>
                <w:lang w:val="en-US"/>
              </w:rPr>
            </w:pPr>
            <w:r w:rsidRPr="00F41590">
              <w:rPr>
                <w:lang w:val="en-US"/>
              </w:rPr>
              <w:t>Peripheral blood mononuclear cell</w:t>
            </w:r>
          </w:p>
        </w:tc>
      </w:tr>
      <w:tr w:rsidR="000230EE" w:rsidRPr="00F41590" w:rsidTr="000230EE">
        <w:tc>
          <w:tcPr>
            <w:tcW w:w="2376" w:type="dxa"/>
          </w:tcPr>
          <w:p w:rsidR="000230EE" w:rsidRPr="00F41590" w:rsidRDefault="000230EE" w:rsidP="000230EE">
            <w:pPr>
              <w:rPr>
                <w:lang w:val="en-US"/>
              </w:rPr>
            </w:pPr>
            <w:r w:rsidRPr="00F41590">
              <w:rPr>
                <w:lang w:val="en-US"/>
              </w:rPr>
              <w:t xml:space="preserve">PD </w:t>
            </w:r>
          </w:p>
        </w:tc>
        <w:tc>
          <w:tcPr>
            <w:tcW w:w="6344" w:type="dxa"/>
          </w:tcPr>
          <w:p w:rsidR="000230EE" w:rsidRPr="00F41590" w:rsidRDefault="00452B40" w:rsidP="000230EE">
            <w:pPr>
              <w:rPr>
                <w:lang w:val="en-US"/>
              </w:rPr>
            </w:pPr>
            <w:r w:rsidRPr="00F41590">
              <w:rPr>
                <w:lang w:val="en-US"/>
              </w:rPr>
              <w:t>Pharmacodynamic(s)</w:t>
            </w:r>
          </w:p>
        </w:tc>
      </w:tr>
      <w:tr w:rsidR="000230EE" w:rsidRPr="00F41590" w:rsidTr="000230EE">
        <w:tc>
          <w:tcPr>
            <w:tcW w:w="2376" w:type="dxa"/>
          </w:tcPr>
          <w:p w:rsidR="000230EE" w:rsidRPr="00F41590" w:rsidRDefault="000230EE" w:rsidP="000230EE">
            <w:pPr>
              <w:rPr>
                <w:lang w:val="en-US"/>
              </w:rPr>
            </w:pPr>
            <w:r w:rsidRPr="00F41590">
              <w:rPr>
                <w:lang w:val="en-US"/>
              </w:rPr>
              <w:t xml:space="preserve">P-gp </w:t>
            </w:r>
          </w:p>
        </w:tc>
        <w:tc>
          <w:tcPr>
            <w:tcW w:w="6344" w:type="dxa"/>
          </w:tcPr>
          <w:p w:rsidR="000230EE" w:rsidRPr="00F41590" w:rsidRDefault="000230EE" w:rsidP="000230EE">
            <w:pPr>
              <w:rPr>
                <w:lang w:val="en-US"/>
              </w:rPr>
            </w:pPr>
            <w:r w:rsidRPr="00F41590">
              <w:rPr>
                <w:lang w:val="en-US"/>
              </w:rPr>
              <w:t>P-glycoprotein</w:t>
            </w:r>
          </w:p>
        </w:tc>
      </w:tr>
      <w:tr w:rsidR="000230EE" w:rsidRPr="00F41590" w:rsidTr="000230EE">
        <w:tc>
          <w:tcPr>
            <w:tcW w:w="2376" w:type="dxa"/>
          </w:tcPr>
          <w:p w:rsidR="000230EE" w:rsidRPr="00F41590" w:rsidRDefault="000230EE" w:rsidP="000230EE">
            <w:pPr>
              <w:rPr>
                <w:lang w:val="en-US"/>
              </w:rPr>
            </w:pPr>
            <w:r w:rsidRPr="00F41590">
              <w:rPr>
                <w:lang w:val="en-US"/>
              </w:rPr>
              <w:t xml:space="preserve">PI </w:t>
            </w:r>
          </w:p>
        </w:tc>
        <w:tc>
          <w:tcPr>
            <w:tcW w:w="6344" w:type="dxa"/>
          </w:tcPr>
          <w:p w:rsidR="000230EE" w:rsidRPr="00F41590" w:rsidRDefault="00452B40" w:rsidP="000230EE">
            <w:pPr>
              <w:rPr>
                <w:lang w:val="en-US"/>
              </w:rPr>
            </w:pPr>
            <w:r w:rsidRPr="00F41590">
              <w:rPr>
                <w:lang w:val="en-US"/>
              </w:rPr>
              <w:t>Protease inhibitor</w:t>
            </w:r>
          </w:p>
        </w:tc>
      </w:tr>
      <w:tr w:rsidR="000230EE" w:rsidRPr="00F41590" w:rsidTr="000230EE">
        <w:tc>
          <w:tcPr>
            <w:tcW w:w="2376" w:type="dxa"/>
          </w:tcPr>
          <w:p w:rsidR="000230EE" w:rsidRPr="00F41590" w:rsidRDefault="000230EE" w:rsidP="000230EE">
            <w:pPr>
              <w:rPr>
                <w:lang w:val="en-US"/>
              </w:rPr>
            </w:pPr>
            <w:r w:rsidRPr="00F41590">
              <w:rPr>
                <w:lang w:val="en-US"/>
              </w:rPr>
              <w:t xml:space="preserve">PIP </w:t>
            </w:r>
          </w:p>
        </w:tc>
        <w:tc>
          <w:tcPr>
            <w:tcW w:w="6344" w:type="dxa"/>
          </w:tcPr>
          <w:p w:rsidR="000230EE" w:rsidRPr="00F41590" w:rsidRDefault="000230EE" w:rsidP="000230EE">
            <w:pPr>
              <w:rPr>
                <w:lang w:val="en-US"/>
              </w:rPr>
            </w:pPr>
            <w:r w:rsidRPr="00F41590">
              <w:rPr>
                <w:lang w:val="en-US"/>
              </w:rPr>
              <w:t xml:space="preserve">Paediatric </w:t>
            </w:r>
            <w:r w:rsidR="00452B40" w:rsidRPr="00F41590">
              <w:rPr>
                <w:lang w:val="en-US"/>
              </w:rPr>
              <w:t>investigational plan</w:t>
            </w:r>
          </w:p>
        </w:tc>
      </w:tr>
      <w:tr w:rsidR="000230EE" w:rsidRPr="00F41590" w:rsidTr="000230EE">
        <w:tc>
          <w:tcPr>
            <w:tcW w:w="2376" w:type="dxa"/>
          </w:tcPr>
          <w:p w:rsidR="000230EE" w:rsidRPr="00F41590" w:rsidRDefault="000230EE" w:rsidP="000230EE">
            <w:pPr>
              <w:rPr>
                <w:lang w:val="en-US"/>
              </w:rPr>
            </w:pPr>
            <w:r w:rsidRPr="00F41590">
              <w:rPr>
                <w:lang w:val="en-US"/>
              </w:rPr>
              <w:t xml:space="preserve">PK </w:t>
            </w:r>
          </w:p>
        </w:tc>
        <w:tc>
          <w:tcPr>
            <w:tcW w:w="6344" w:type="dxa"/>
          </w:tcPr>
          <w:p w:rsidR="000230EE" w:rsidRPr="00F41590" w:rsidRDefault="00452B40" w:rsidP="000230EE">
            <w:pPr>
              <w:rPr>
                <w:lang w:val="en-US"/>
              </w:rPr>
            </w:pPr>
            <w:r w:rsidRPr="00F41590">
              <w:rPr>
                <w:lang w:val="en-US"/>
              </w:rPr>
              <w:t>Pharmacokinetic(s)</w:t>
            </w:r>
          </w:p>
        </w:tc>
      </w:tr>
      <w:tr w:rsidR="000230EE" w:rsidRPr="00F41590" w:rsidTr="000230EE">
        <w:tc>
          <w:tcPr>
            <w:tcW w:w="2376" w:type="dxa"/>
          </w:tcPr>
          <w:p w:rsidR="000230EE" w:rsidRPr="00F41590" w:rsidRDefault="000230EE" w:rsidP="000230EE">
            <w:pPr>
              <w:rPr>
                <w:lang w:val="en-US"/>
              </w:rPr>
            </w:pPr>
            <w:r w:rsidRPr="00F41590">
              <w:rPr>
                <w:lang w:val="en-US"/>
              </w:rPr>
              <w:t xml:space="preserve">PP </w:t>
            </w:r>
          </w:p>
        </w:tc>
        <w:tc>
          <w:tcPr>
            <w:tcW w:w="6344" w:type="dxa"/>
          </w:tcPr>
          <w:p w:rsidR="000230EE" w:rsidRPr="00F41590" w:rsidRDefault="00452B40" w:rsidP="000230EE">
            <w:pPr>
              <w:rPr>
                <w:lang w:val="en-US"/>
              </w:rPr>
            </w:pPr>
            <w:r w:rsidRPr="00F41590">
              <w:rPr>
                <w:lang w:val="en-US"/>
              </w:rPr>
              <w:t>Per protocol</w:t>
            </w:r>
          </w:p>
        </w:tc>
      </w:tr>
      <w:tr w:rsidR="000230EE" w:rsidRPr="00F41590" w:rsidTr="000230EE">
        <w:tc>
          <w:tcPr>
            <w:tcW w:w="2376" w:type="dxa"/>
          </w:tcPr>
          <w:p w:rsidR="000230EE" w:rsidRPr="00F41590" w:rsidRDefault="000230EE" w:rsidP="000230EE">
            <w:pPr>
              <w:rPr>
                <w:lang w:val="en-US"/>
              </w:rPr>
            </w:pPr>
            <w:r w:rsidRPr="00F41590">
              <w:rPr>
                <w:lang w:val="en-US"/>
              </w:rPr>
              <w:t xml:space="preserve">PRT </w:t>
            </w:r>
          </w:p>
        </w:tc>
        <w:tc>
          <w:tcPr>
            <w:tcW w:w="6344" w:type="dxa"/>
          </w:tcPr>
          <w:p w:rsidR="000230EE" w:rsidRPr="00F41590" w:rsidRDefault="00452B40" w:rsidP="000230EE">
            <w:pPr>
              <w:rPr>
                <w:lang w:val="en-US"/>
              </w:rPr>
            </w:pPr>
            <w:r w:rsidRPr="00F41590">
              <w:rPr>
                <w:lang w:val="en-US"/>
              </w:rPr>
              <w:t>Proximal renal tubulopathy</w:t>
            </w:r>
          </w:p>
        </w:tc>
      </w:tr>
      <w:tr w:rsidR="000230EE" w:rsidRPr="00F41590" w:rsidTr="000230EE">
        <w:tc>
          <w:tcPr>
            <w:tcW w:w="2376" w:type="dxa"/>
          </w:tcPr>
          <w:p w:rsidR="000230EE" w:rsidRPr="00F41590" w:rsidRDefault="000230EE" w:rsidP="000230EE">
            <w:pPr>
              <w:rPr>
                <w:lang w:val="en-US"/>
              </w:rPr>
            </w:pPr>
            <w:r w:rsidRPr="00F41590">
              <w:rPr>
                <w:lang w:val="en-US"/>
              </w:rPr>
              <w:t xml:space="preserve">PSP </w:t>
            </w:r>
          </w:p>
        </w:tc>
        <w:tc>
          <w:tcPr>
            <w:tcW w:w="6344" w:type="dxa"/>
          </w:tcPr>
          <w:p w:rsidR="000230EE" w:rsidRPr="00F41590" w:rsidRDefault="00452B40" w:rsidP="000230EE">
            <w:pPr>
              <w:rPr>
                <w:lang w:val="en-US"/>
              </w:rPr>
            </w:pPr>
            <w:r w:rsidRPr="00F41590">
              <w:rPr>
                <w:lang w:val="en-US"/>
              </w:rPr>
              <w:t>Pediatric study plan</w:t>
            </w:r>
          </w:p>
        </w:tc>
      </w:tr>
      <w:tr w:rsidR="000230EE" w:rsidRPr="00F41590" w:rsidTr="000230EE">
        <w:tc>
          <w:tcPr>
            <w:tcW w:w="2376" w:type="dxa"/>
          </w:tcPr>
          <w:p w:rsidR="000230EE" w:rsidRPr="00F41590" w:rsidRDefault="000230EE" w:rsidP="000230EE">
            <w:pPr>
              <w:rPr>
                <w:lang w:val="en-US"/>
              </w:rPr>
            </w:pPr>
            <w:r w:rsidRPr="00F41590">
              <w:rPr>
                <w:lang w:val="en-US"/>
              </w:rPr>
              <w:t xml:space="preserve">PTH </w:t>
            </w:r>
          </w:p>
        </w:tc>
        <w:tc>
          <w:tcPr>
            <w:tcW w:w="6344" w:type="dxa"/>
          </w:tcPr>
          <w:p w:rsidR="000230EE" w:rsidRPr="00F41590" w:rsidRDefault="00452B40" w:rsidP="000230EE">
            <w:pPr>
              <w:rPr>
                <w:lang w:val="en-US"/>
              </w:rPr>
            </w:pPr>
            <w:r w:rsidRPr="00F41590">
              <w:rPr>
                <w:lang w:val="en-US"/>
              </w:rPr>
              <w:t>Parathyroid hormone</w:t>
            </w:r>
          </w:p>
        </w:tc>
      </w:tr>
      <w:tr w:rsidR="000230EE" w:rsidRPr="00F41590" w:rsidTr="000230EE">
        <w:tc>
          <w:tcPr>
            <w:tcW w:w="2376" w:type="dxa"/>
          </w:tcPr>
          <w:p w:rsidR="000230EE" w:rsidRPr="00F41590" w:rsidRDefault="000230EE" w:rsidP="000230EE">
            <w:pPr>
              <w:rPr>
                <w:lang w:val="en-US"/>
              </w:rPr>
            </w:pPr>
            <w:r w:rsidRPr="00F41590">
              <w:rPr>
                <w:lang w:val="en-US"/>
              </w:rPr>
              <w:t>PVF</w:t>
            </w:r>
          </w:p>
        </w:tc>
        <w:tc>
          <w:tcPr>
            <w:tcW w:w="6344" w:type="dxa"/>
          </w:tcPr>
          <w:p w:rsidR="000230EE" w:rsidRPr="00F41590" w:rsidRDefault="000230EE" w:rsidP="000230EE">
            <w:pPr>
              <w:rPr>
                <w:lang w:val="en-US"/>
              </w:rPr>
            </w:pPr>
            <w:r w:rsidRPr="00F41590">
              <w:t>Pure virologic failure</w:t>
            </w:r>
          </w:p>
        </w:tc>
      </w:tr>
      <w:tr w:rsidR="000230EE" w:rsidRPr="00F41590" w:rsidTr="000230EE">
        <w:tc>
          <w:tcPr>
            <w:tcW w:w="2376" w:type="dxa"/>
          </w:tcPr>
          <w:p w:rsidR="000230EE" w:rsidRPr="00F41590" w:rsidRDefault="000230EE" w:rsidP="000230EE">
            <w:pPr>
              <w:rPr>
                <w:lang w:val="en-US"/>
              </w:rPr>
            </w:pPr>
            <w:r w:rsidRPr="00F41590">
              <w:rPr>
                <w:lang w:val="en-US"/>
              </w:rPr>
              <w:t xml:space="preserve">Q1, Q3 </w:t>
            </w:r>
          </w:p>
        </w:tc>
        <w:tc>
          <w:tcPr>
            <w:tcW w:w="6344" w:type="dxa"/>
          </w:tcPr>
          <w:p w:rsidR="000230EE" w:rsidRPr="00F41590" w:rsidRDefault="00452B40" w:rsidP="000230EE">
            <w:pPr>
              <w:rPr>
                <w:lang w:val="en-US"/>
              </w:rPr>
            </w:pPr>
            <w:r w:rsidRPr="00F41590">
              <w:rPr>
                <w:lang w:val="en-US"/>
              </w:rPr>
              <w:t>First quartile, third quartile</w:t>
            </w:r>
          </w:p>
        </w:tc>
      </w:tr>
      <w:tr w:rsidR="000230EE" w:rsidRPr="00F41590" w:rsidTr="000230EE">
        <w:tc>
          <w:tcPr>
            <w:tcW w:w="2376" w:type="dxa"/>
          </w:tcPr>
          <w:p w:rsidR="000230EE" w:rsidRPr="00F41590" w:rsidRDefault="000230EE" w:rsidP="000230EE">
            <w:pPr>
              <w:rPr>
                <w:lang w:val="en-US"/>
              </w:rPr>
            </w:pPr>
            <w:r w:rsidRPr="00F41590">
              <w:rPr>
                <w:lang w:val="en-US"/>
              </w:rPr>
              <w:t xml:space="preserve">-R </w:t>
            </w:r>
          </w:p>
        </w:tc>
        <w:tc>
          <w:tcPr>
            <w:tcW w:w="6344" w:type="dxa"/>
          </w:tcPr>
          <w:p w:rsidR="000230EE" w:rsidRPr="00F41590" w:rsidRDefault="00452B40" w:rsidP="000230EE">
            <w:pPr>
              <w:rPr>
                <w:lang w:val="en-US"/>
              </w:rPr>
            </w:pPr>
            <w:r w:rsidRPr="00F41590">
              <w:rPr>
                <w:lang w:val="en-US"/>
              </w:rPr>
              <w:t>Resistant</w:t>
            </w:r>
          </w:p>
        </w:tc>
      </w:tr>
      <w:tr w:rsidR="000230EE" w:rsidRPr="00F41590" w:rsidTr="000230EE">
        <w:tc>
          <w:tcPr>
            <w:tcW w:w="2376" w:type="dxa"/>
          </w:tcPr>
          <w:p w:rsidR="000230EE" w:rsidRPr="00F41590" w:rsidRDefault="000230EE" w:rsidP="000230EE">
            <w:pPr>
              <w:rPr>
                <w:lang w:val="en-US"/>
              </w:rPr>
            </w:pPr>
            <w:r w:rsidRPr="00F41590">
              <w:rPr>
                <w:lang w:val="en-US"/>
              </w:rPr>
              <w:t xml:space="preserve">RBP </w:t>
            </w:r>
          </w:p>
        </w:tc>
        <w:tc>
          <w:tcPr>
            <w:tcW w:w="6344" w:type="dxa"/>
          </w:tcPr>
          <w:p w:rsidR="000230EE" w:rsidRPr="00F41590" w:rsidRDefault="00452B40" w:rsidP="000230EE">
            <w:pPr>
              <w:rPr>
                <w:lang w:val="en-US"/>
              </w:rPr>
            </w:pPr>
            <w:r w:rsidRPr="00F41590">
              <w:rPr>
                <w:lang w:val="en-US"/>
              </w:rPr>
              <w:t xml:space="preserve">Retinol binding </w:t>
            </w:r>
            <w:r w:rsidR="000230EE" w:rsidRPr="00F41590">
              <w:rPr>
                <w:lang w:val="en-US"/>
              </w:rPr>
              <w:t>protein</w:t>
            </w:r>
          </w:p>
        </w:tc>
      </w:tr>
      <w:tr w:rsidR="000230EE" w:rsidRPr="00F41590" w:rsidTr="000230EE">
        <w:tc>
          <w:tcPr>
            <w:tcW w:w="2376" w:type="dxa"/>
          </w:tcPr>
          <w:p w:rsidR="000230EE" w:rsidRPr="00F41590" w:rsidRDefault="000230EE" w:rsidP="000230EE">
            <w:pPr>
              <w:rPr>
                <w:lang w:val="en-US"/>
              </w:rPr>
            </w:pPr>
            <w:r w:rsidRPr="00F41590">
              <w:rPr>
                <w:lang w:val="en-US"/>
              </w:rPr>
              <w:t xml:space="preserve">RNA </w:t>
            </w:r>
          </w:p>
        </w:tc>
        <w:tc>
          <w:tcPr>
            <w:tcW w:w="6344" w:type="dxa"/>
          </w:tcPr>
          <w:p w:rsidR="000230EE" w:rsidRPr="00F41590" w:rsidRDefault="00452B40" w:rsidP="000230EE">
            <w:pPr>
              <w:rPr>
                <w:lang w:val="en-US"/>
              </w:rPr>
            </w:pPr>
            <w:r w:rsidRPr="00F41590">
              <w:rPr>
                <w:lang w:val="en-US"/>
              </w:rPr>
              <w:t>Ribonucleic acid</w:t>
            </w:r>
          </w:p>
        </w:tc>
      </w:tr>
      <w:tr w:rsidR="000230EE" w:rsidRPr="00F41590" w:rsidTr="000230EE">
        <w:tc>
          <w:tcPr>
            <w:tcW w:w="2376" w:type="dxa"/>
          </w:tcPr>
          <w:p w:rsidR="000230EE" w:rsidRPr="00F41590" w:rsidRDefault="000230EE" w:rsidP="000230EE">
            <w:pPr>
              <w:rPr>
                <w:lang w:val="en-US"/>
              </w:rPr>
            </w:pPr>
            <w:r w:rsidRPr="00F41590">
              <w:rPr>
                <w:lang w:val="en-US"/>
              </w:rPr>
              <w:t xml:space="preserve">rNTP </w:t>
            </w:r>
          </w:p>
        </w:tc>
        <w:tc>
          <w:tcPr>
            <w:tcW w:w="6344" w:type="dxa"/>
          </w:tcPr>
          <w:p w:rsidR="000230EE" w:rsidRPr="00F41590" w:rsidRDefault="00452B40" w:rsidP="000230EE">
            <w:pPr>
              <w:rPr>
                <w:lang w:val="en-US"/>
              </w:rPr>
            </w:pPr>
            <w:r w:rsidRPr="00F41590">
              <w:rPr>
                <w:lang w:val="en-US"/>
              </w:rPr>
              <w:t>Ribonucleoside triphosphate</w:t>
            </w:r>
          </w:p>
        </w:tc>
      </w:tr>
      <w:tr w:rsidR="000230EE" w:rsidRPr="00F41590" w:rsidTr="000230EE">
        <w:tc>
          <w:tcPr>
            <w:tcW w:w="2376" w:type="dxa"/>
          </w:tcPr>
          <w:p w:rsidR="000230EE" w:rsidRPr="00F41590" w:rsidRDefault="000230EE" w:rsidP="000230EE">
            <w:pPr>
              <w:rPr>
                <w:lang w:val="en-US"/>
              </w:rPr>
            </w:pPr>
            <w:r w:rsidRPr="00F41590">
              <w:rPr>
                <w:lang w:val="en-US"/>
              </w:rPr>
              <w:t xml:space="preserve">RPV </w:t>
            </w:r>
          </w:p>
        </w:tc>
        <w:tc>
          <w:tcPr>
            <w:tcW w:w="6344" w:type="dxa"/>
          </w:tcPr>
          <w:p w:rsidR="000230EE" w:rsidRPr="00F41590" w:rsidRDefault="00452B40" w:rsidP="000230EE">
            <w:pPr>
              <w:rPr>
                <w:lang w:val="en-US"/>
              </w:rPr>
            </w:pPr>
            <w:r w:rsidRPr="00F41590">
              <w:rPr>
                <w:lang w:val="en-US"/>
              </w:rPr>
              <w:t>Rilpivirine</w:t>
            </w:r>
          </w:p>
        </w:tc>
      </w:tr>
      <w:tr w:rsidR="000230EE" w:rsidRPr="00F41590" w:rsidTr="000230EE">
        <w:tc>
          <w:tcPr>
            <w:tcW w:w="2376" w:type="dxa"/>
          </w:tcPr>
          <w:p w:rsidR="000230EE" w:rsidRPr="00F41590" w:rsidRDefault="000230EE" w:rsidP="000230EE">
            <w:pPr>
              <w:rPr>
                <w:lang w:val="en-US"/>
              </w:rPr>
            </w:pPr>
            <w:r w:rsidRPr="00F41590">
              <w:rPr>
                <w:lang w:val="en-US"/>
              </w:rPr>
              <w:t xml:space="preserve">RT </w:t>
            </w:r>
          </w:p>
        </w:tc>
        <w:tc>
          <w:tcPr>
            <w:tcW w:w="6344" w:type="dxa"/>
          </w:tcPr>
          <w:p w:rsidR="000230EE" w:rsidRPr="00F41590" w:rsidRDefault="00452B40" w:rsidP="000230EE">
            <w:pPr>
              <w:rPr>
                <w:lang w:val="en-US"/>
              </w:rPr>
            </w:pPr>
            <w:r w:rsidRPr="00F41590">
              <w:rPr>
                <w:lang w:val="en-US"/>
              </w:rPr>
              <w:t>Reverse transcriptase</w:t>
            </w:r>
          </w:p>
        </w:tc>
      </w:tr>
      <w:tr w:rsidR="000230EE" w:rsidRPr="00F41590" w:rsidTr="000230EE">
        <w:tc>
          <w:tcPr>
            <w:tcW w:w="2376" w:type="dxa"/>
          </w:tcPr>
          <w:p w:rsidR="000230EE" w:rsidRPr="00F41590" w:rsidRDefault="000230EE" w:rsidP="000230EE">
            <w:pPr>
              <w:rPr>
                <w:lang w:val="en-US"/>
              </w:rPr>
            </w:pPr>
            <w:r w:rsidRPr="00F41590">
              <w:rPr>
                <w:lang w:val="en-US"/>
              </w:rPr>
              <w:t xml:space="preserve">RTV </w:t>
            </w:r>
          </w:p>
        </w:tc>
        <w:tc>
          <w:tcPr>
            <w:tcW w:w="6344" w:type="dxa"/>
          </w:tcPr>
          <w:p w:rsidR="000230EE" w:rsidRPr="00F41590" w:rsidRDefault="00452B40" w:rsidP="000230EE">
            <w:pPr>
              <w:rPr>
                <w:lang w:val="en-US"/>
              </w:rPr>
            </w:pPr>
            <w:r w:rsidRPr="00F41590">
              <w:rPr>
                <w:lang w:val="en-US"/>
              </w:rPr>
              <w:t>Ritonavir</w:t>
            </w:r>
          </w:p>
        </w:tc>
      </w:tr>
      <w:tr w:rsidR="000230EE" w:rsidRPr="00F41590" w:rsidTr="000230EE">
        <w:tc>
          <w:tcPr>
            <w:tcW w:w="2376" w:type="dxa"/>
          </w:tcPr>
          <w:p w:rsidR="000230EE" w:rsidRPr="00F41590" w:rsidRDefault="000230EE" w:rsidP="000230EE">
            <w:pPr>
              <w:rPr>
                <w:lang w:val="en-US"/>
              </w:rPr>
            </w:pPr>
            <w:r w:rsidRPr="00F41590">
              <w:rPr>
                <w:lang w:val="en-US"/>
              </w:rPr>
              <w:t xml:space="preserve">SAE </w:t>
            </w:r>
          </w:p>
        </w:tc>
        <w:tc>
          <w:tcPr>
            <w:tcW w:w="6344" w:type="dxa"/>
          </w:tcPr>
          <w:p w:rsidR="000230EE" w:rsidRPr="00F41590" w:rsidRDefault="00452B40" w:rsidP="000230EE">
            <w:pPr>
              <w:rPr>
                <w:lang w:val="en-US"/>
              </w:rPr>
            </w:pPr>
            <w:r w:rsidRPr="00F41590">
              <w:rPr>
                <w:lang w:val="en-US"/>
              </w:rPr>
              <w:t>Serious adverse event</w:t>
            </w:r>
          </w:p>
        </w:tc>
      </w:tr>
      <w:tr w:rsidR="000230EE" w:rsidRPr="00F41590" w:rsidTr="000230EE">
        <w:tc>
          <w:tcPr>
            <w:tcW w:w="2376" w:type="dxa"/>
          </w:tcPr>
          <w:p w:rsidR="000230EE" w:rsidRPr="00F41590" w:rsidRDefault="000230EE" w:rsidP="000230EE">
            <w:pPr>
              <w:rPr>
                <w:lang w:val="en-US"/>
              </w:rPr>
            </w:pPr>
            <w:r w:rsidRPr="00F41590">
              <w:rPr>
                <w:lang w:val="en-US"/>
              </w:rPr>
              <w:t xml:space="preserve">SAP </w:t>
            </w:r>
          </w:p>
        </w:tc>
        <w:tc>
          <w:tcPr>
            <w:tcW w:w="6344" w:type="dxa"/>
          </w:tcPr>
          <w:p w:rsidR="000230EE" w:rsidRPr="00F41590" w:rsidRDefault="00452B40" w:rsidP="000230EE">
            <w:pPr>
              <w:rPr>
                <w:lang w:val="en-US"/>
              </w:rPr>
            </w:pPr>
            <w:r w:rsidRPr="00F41590">
              <w:rPr>
                <w:lang w:val="en-US"/>
              </w:rPr>
              <w:t>Statistical analysis plan</w:t>
            </w:r>
          </w:p>
        </w:tc>
      </w:tr>
      <w:tr w:rsidR="000230EE" w:rsidRPr="00F41590" w:rsidTr="000230EE">
        <w:tc>
          <w:tcPr>
            <w:tcW w:w="2376" w:type="dxa"/>
          </w:tcPr>
          <w:p w:rsidR="000230EE" w:rsidRPr="00F41590" w:rsidRDefault="000230EE" w:rsidP="000230EE">
            <w:pPr>
              <w:rPr>
                <w:lang w:val="en-US"/>
              </w:rPr>
            </w:pPr>
            <w:r w:rsidRPr="00F41590">
              <w:rPr>
                <w:lang w:val="en-US"/>
              </w:rPr>
              <w:t xml:space="preserve">SD </w:t>
            </w:r>
          </w:p>
        </w:tc>
        <w:tc>
          <w:tcPr>
            <w:tcW w:w="6344" w:type="dxa"/>
          </w:tcPr>
          <w:p w:rsidR="000230EE" w:rsidRPr="00F41590" w:rsidRDefault="00452B40" w:rsidP="000230EE">
            <w:pPr>
              <w:rPr>
                <w:lang w:val="en-US"/>
              </w:rPr>
            </w:pPr>
            <w:r w:rsidRPr="00F41590">
              <w:rPr>
                <w:lang w:val="en-US"/>
              </w:rPr>
              <w:t>Standard deviation</w:t>
            </w:r>
          </w:p>
        </w:tc>
      </w:tr>
      <w:tr w:rsidR="000230EE" w:rsidRPr="00F41590" w:rsidTr="000230EE">
        <w:tc>
          <w:tcPr>
            <w:tcW w:w="2376" w:type="dxa"/>
          </w:tcPr>
          <w:p w:rsidR="000230EE" w:rsidRPr="00F41590" w:rsidRDefault="000230EE" w:rsidP="000230EE">
            <w:pPr>
              <w:rPr>
                <w:lang w:val="en-US"/>
              </w:rPr>
            </w:pPr>
            <w:r w:rsidRPr="00F41590">
              <w:rPr>
                <w:lang w:val="en-US"/>
              </w:rPr>
              <w:lastRenderedPageBreak/>
              <w:t xml:space="preserve">SI </w:t>
            </w:r>
          </w:p>
        </w:tc>
        <w:tc>
          <w:tcPr>
            <w:tcW w:w="6344" w:type="dxa"/>
          </w:tcPr>
          <w:p w:rsidR="000230EE" w:rsidRPr="00F41590" w:rsidRDefault="00452B40" w:rsidP="000230EE">
            <w:pPr>
              <w:rPr>
                <w:lang w:val="en-US"/>
              </w:rPr>
            </w:pPr>
            <w:r w:rsidRPr="00F41590">
              <w:rPr>
                <w:lang w:val="en-US"/>
              </w:rPr>
              <w:t xml:space="preserve">Selectivity </w:t>
            </w:r>
            <w:r w:rsidR="000230EE" w:rsidRPr="00F41590">
              <w:rPr>
                <w:lang w:val="en-US"/>
              </w:rPr>
              <w:t>index (ratio of CC50</w:t>
            </w:r>
            <w:r w:rsidR="00347444">
              <w:rPr>
                <w:lang w:val="en-US"/>
              </w:rPr>
              <w:t xml:space="preserve"> </w:t>
            </w:r>
            <w:r w:rsidR="000230EE" w:rsidRPr="00F41590">
              <w:rPr>
                <w:lang w:val="en-US"/>
              </w:rPr>
              <w:t>to IC50 )</w:t>
            </w:r>
          </w:p>
        </w:tc>
      </w:tr>
      <w:tr w:rsidR="000230EE" w:rsidRPr="00F41590" w:rsidTr="000230EE">
        <w:tc>
          <w:tcPr>
            <w:tcW w:w="2376" w:type="dxa"/>
          </w:tcPr>
          <w:p w:rsidR="000230EE" w:rsidRPr="00F41590" w:rsidRDefault="000230EE" w:rsidP="000230EE">
            <w:pPr>
              <w:rPr>
                <w:lang w:val="en-US"/>
              </w:rPr>
            </w:pPr>
            <w:r w:rsidRPr="00F41590">
              <w:rPr>
                <w:lang w:val="en-US"/>
              </w:rPr>
              <w:t xml:space="preserve">SOC </w:t>
            </w:r>
          </w:p>
        </w:tc>
        <w:tc>
          <w:tcPr>
            <w:tcW w:w="6344" w:type="dxa"/>
          </w:tcPr>
          <w:p w:rsidR="000230EE" w:rsidRPr="00F41590" w:rsidRDefault="00452B40" w:rsidP="000230EE">
            <w:pPr>
              <w:rPr>
                <w:lang w:val="en-US"/>
              </w:rPr>
            </w:pPr>
            <w:r w:rsidRPr="00F41590">
              <w:rPr>
                <w:lang w:val="en-US"/>
              </w:rPr>
              <w:t>System organ class</w:t>
            </w:r>
          </w:p>
        </w:tc>
      </w:tr>
      <w:tr w:rsidR="000230EE" w:rsidRPr="00F41590" w:rsidTr="000230EE">
        <w:tc>
          <w:tcPr>
            <w:tcW w:w="2376" w:type="dxa"/>
          </w:tcPr>
          <w:p w:rsidR="000230EE" w:rsidRPr="00F41590" w:rsidRDefault="000230EE" w:rsidP="000230EE">
            <w:pPr>
              <w:rPr>
                <w:lang w:val="en-US"/>
              </w:rPr>
            </w:pPr>
            <w:r w:rsidRPr="00F41590">
              <w:rPr>
                <w:lang w:val="en-US"/>
              </w:rPr>
              <w:t xml:space="preserve">STB </w:t>
            </w:r>
          </w:p>
        </w:tc>
        <w:tc>
          <w:tcPr>
            <w:tcW w:w="6344" w:type="dxa"/>
          </w:tcPr>
          <w:p w:rsidR="000230EE" w:rsidRPr="00F41590" w:rsidRDefault="00452B40" w:rsidP="000230EE">
            <w:pPr>
              <w:rPr>
                <w:lang w:val="en-US"/>
              </w:rPr>
            </w:pPr>
            <w:r w:rsidRPr="00F41590">
              <w:rPr>
                <w:lang w:val="en-US"/>
              </w:rPr>
              <w:t>Elvitegravir/cobicistat/emtricitabine/ tenofovir disoproxil fumarate (coformulated; Stribild</w:t>
            </w:r>
            <w:r>
              <w:rPr>
                <w:lang w:val="en-US"/>
              </w:rPr>
              <w:t>)</w:t>
            </w:r>
          </w:p>
        </w:tc>
      </w:tr>
      <w:tr w:rsidR="000230EE" w:rsidRPr="00F41590" w:rsidTr="000230EE">
        <w:tc>
          <w:tcPr>
            <w:tcW w:w="2376" w:type="dxa"/>
          </w:tcPr>
          <w:p w:rsidR="000230EE" w:rsidRPr="00F41590" w:rsidRDefault="000230EE" w:rsidP="000230EE">
            <w:pPr>
              <w:rPr>
                <w:lang w:val="en-US"/>
              </w:rPr>
            </w:pPr>
            <w:r w:rsidRPr="00F41590">
              <w:rPr>
                <w:lang w:val="en-US"/>
              </w:rPr>
              <w:t>STR</w:t>
            </w:r>
          </w:p>
        </w:tc>
        <w:tc>
          <w:tcPr>
            <w:tcW w:w="6344" w:type="dxa"/>
          </w:tcPr>
          <w:p w:rsidR="000230EE" w:rsidRPr="00F41590" w:rsidRDefault="00452B40" w:rsidP="00582BF8">
            <w:pPr>
              <w:rPr>
                <w:lang w:val="en-US"/>
              </w:rPr>
            </w:pPr>
            <w:r w:rsidRPr="00F41590">
              <w:rPr>
                <w:lang w:val="en-US"/>
              </w:rPr>
              <w:t>Single</w:t>
            </w:r>
            <w:r w:rsidR="000230EE" w:rsidRPr="00F41590">
              <w:rPr>
                <w:lang w:val="en-US"/>
              </w:rPr>
              <w:t xml:space="preserve">-tablet regimen </w:t>
            </w:r>
          </w:p>
        </w:tc>
      </w:tr>
      <w:tr w:rsidR="000230EE" w:rsidRPr="00F41590" w:rsidTr="000230EE">
        <w:tc>
          <w:tcPr>
            <w:tcW w:w="2376" w:type="dxa"/>
          </w:tcPr>
          <w:p w:rsidR="000230EE" w:rsidRPr="00F41590" w:rsidRDefault="000230EE" w:rsidP="000230EE">
            <w:pPr>
              <w:rPr>
                <w:lang w:val="en-US"/>
              </w:rPr>
            </w:pPr>
            <w:r w:rsidRPr="00F41590">
              <w:rPr>
                <w:lang w:val="en-US"/>
              </w:rPr>
              <w:t xml:space="preserve">TAF </w:t>
            </w:r>
          </w:p>
        </w:tc>
        <w:tc>
          <w:tcPr>
            <w:tcW w:w="6344" w:type="dxa"/>
          </w:tcPr>
          <w:p w:rsidR="000230EE" w:rsidRPr="00F41590" w:rsidRDefault="00452B40" w:rsidP="000F1FF3">
            <w:pPr>
              <w:rPr>
                <w:lang w:val="en-US"/>
              </w:rPr>
            </w:pPr>
            <w:r w:rsidRPr="00F41590">
              <w:rPr>
                <w:lang w:val="en-US"/>
              </w:rPr>
              <w:t xml:space="preserve">Tenofovir alafenamide </w:t>
            </w:r>
          </w:p>
        </w:tc>
      </w:tr>
      <w:tr w:rsidR="000230EE" w:rsidRPr="00F41590" w:rsidTr="000230EE">
        <w:tc>
          <w:tcPr>
            <w:tcW w:w="2376" w:type="dxa"/>
          </w:tcPr>
          <w:p w:rsidR="000230EE" w:rsidRPr="00F41590" w:rsidRDefault="000230EE" w:rsidP="000230EE">
            <w:pPr>
              <w:rPr>
                <w:lang w:val="en-US"/>
              </w:rPr>
            </w:pPr>
            <w:r w:rsidRPr="00F41590">
              <w:rPr>
                <w:lang w:val="en-US"/>
              </w:rPr>
              <w:t xml:space="preserve">TAM </w:t>
            </w:r>
          </w:p>
        </w:tc>
        <w:tc>
          <w:tcPr>
            <w:tcW w:w="6344" w:type="dxa"/>
          </w:tcPr>
          <w:p w:rsidR="000230EE" w:rsidRPr="00F41590" w:rsidRDefault="00452B40" w:rsidP="000230EE">
            <w:pPr>
              <w:rPr>
                <w:lang w:val="en-US"/>
              </w:rPr>
            </w:pPr>
            <w:r w:rsidRPr="00F41590">
              <w:rPr>
                <w:lang w:val="en-US"/>
              </w:rPr>
              <w:t xml:space="preserve">Thymidine </w:t>
            </w:r>
            <w:r w:rsidR="000230EE" w:rsidRPr="00F41590">
              <w:rPr>
                <w:lang w:val="en-US"/>
              </w:rPr>
              <w:t>analog mutation</w:t>
            </w:r>
          </w:p>
        </w:tc>
      </w:tr>
      <w:tr w:rsidR="000230EE" w:rsidRPr="00F41590" w:rsidTr="000230EE">
        <w:tc>
          <w:tcPr>
            <w:tcW w:w="2376" w:type="dxa"/>
          </w:tcPr>
          <w:p w:rsidR="000230EE" w:rsidRPr="00F41590" w:rsidRDefault="000230EE" w:rsidP="000230EE">
            <w:pPr>
              <w:rPr>
                <w:lang w:val="en-US"/>
              </w:rPr>
            </w:pPr>
            <w:r w:rsidRPr="00F41590">
              <w:rPr>
                <w:lang w:val="en-US"/>
              </w:rPr>
              <w:t xml:space="preserve">TBLH </w:t>
            </w:r>
          </w:p>
        </w:tc>
        <w:tc>
          <w:tcPr>
            <w:tcW w:w="6344" w:type="dxa"/>
          </w:tcPr>
          <w:p w:rsidR="000230EE" w:rsidRPr="00F41590" w:rsidRDefault="00452B40" w:rsidP="000230EE">
            <w:pPr>
              <w:rPr>
                <w:lang w:val="en-US"/>
              </w:rPr>
            </w:pPr>
            <w:r w:rsidRPr="00F41590">
              <w:rPr>
                <w:lang w:val="en-US"/>
              </w:rPr>
              <w:t>Total body less head</w:t>
            </w:r>
          </w:p>
        </w:tc>
      </w:tr>
      <w:tr w:rsidR="000230EE" w:rsidRPr="00F41590" w:rsidTr="000230EE">
        <w:tc>
          <w:tcPr>
            <w:tcW w:w="2376" w:type="dxa"/>
          </w:tcPr>
          <w:p w:rsidR="000230EE" w:rsidRPr="00F41590" w:rsidRDefault="000230EE" w:rsidP="000230EE">
            <w:pPr>
              <w:rPr>
                <w:lang w:val="en-US"/>
              </w:rPr>
            </w:pPr>
            <w:r w:rsidRPr="00F41590">
              <w:rPr>
                <w:lang w:val="en-US"/>
              </w:rPr>
              <w:t xml:space="preserve">TDF </w:t>
            </w:r>
          </w:p>
        </w:tc>
        <w:tc>
          <w:tcPr>
            <w:tcW w:w="6344" w:type="dxa"/>
          </w:tcPr>
          <w:p w:rsidR="000230EE" w:rsidRPr="00F41590" w:rsidRDefault="00452B40" w:rsidP="000230EE">
            <w:pPr>
              <w:rPr>
                <w:lang w:val="en-US"/>
              </w:rPr>
            </w:pPr>
            <w:r w:rsidRPr="00F41590">
              <w:rPr>
                <w:lang w:val="en-US"/>
              </w:rPr>
              <w:t xml:space="preserve">Tenofovir </w:t>
            </w:r>
            <w:r w:rsidR="000230EE" w:rsidRPr="00F41590">
              <w:rPr>
                <w:lang w:val="en-US"/>
              </w:rPr>
              <w:t>disoproxil fumarate (Viread )</w:t>
            </w:r>
          </w:p>
        </w:tc>
      </w:tr>
      <w:tr w:rsidR="000230EE" w:rsidRPr="00F41590" w:rsidTr="000230EE">
        <w:tc>
          <w:tcPr>
            <w:tcW w:w="2376" w:type="dxa"/>
          </w:tcPr>
          <w:p w:rsidR="000230EE" w:rsidRPr="00F41590" w:rsidRDefault="000230EE" w:rsidP="000230EE">
            <w:pPr>
              <w:rPr>
                <w:lang w:val="en-US"/>
              </w:rPr>
            </w:pPr>
            <w:r w:rsidRPr="00F41590">
              <w:rPr>
                <w:lang w:val="en-US"/>
              </w:rPr>
              <w:t xml:space="preserve">TFV </w:t>
            </w:r>
          </w:p>
        </w:tc>
        <w:tc>
          <w:tcPr>
            <w:tcW w:w="6344" w:type="dxa"/>
          </w:tcPr>
          <w:p w:rsidR="000230EE" w:rsidRPr="00F41590" w:rsidRDefault="00452B40" w:rsidP="000230EE">
            <w:pPr>
              <w:rPr>
                <w:lang w:val="en-US"/>
              </w:rPr>
            </w:pPr>
            <w:r w:rsidRPr="00F41590">
              <w:rPr>
                <w:lang w:val="en-US"/>
              </w:rPr>
              <w:t>Tenofovir</w:t>
            </w:r>
          </w:p>
        </w:tc>
      </w:tr>
      <w:tr w:rsidR="000230EE" w:rsidRPr="00F41590" w:rsidTr="000230EE">
        <w:tc>
          <w:tcPr>
            <w:tcW w:w="2376" w:type="dxa"/>
          </w:tcPr>
          <w:p w:rsidR="000230EE" w:rsidRPr="00F41590" w:rsidRDefault="000230EE" w:rsidP="000230EE">
            <w:pPr>
              <w:rPr>
                <w:lang w:val="en-US"/>
              </w:rPr>
            </w:pPr>
            <w:r w:rsidRPr="00F41590">
              <w:rPr>
                <w:lang w:val="en-US"/>
              </w:rPr>
              <w:t xml:space="preserve">TFV-DP </w:t>
            </w:r>
          </w:p>
        </w:tc>
        <w:tc>
          <w:tcPr>
            <w:tcW w:w="6344" w:type="dxa"/>
          </w:tcPr>
          <w:p w:rsidR="000230EE" w:rsidRPr="00F41590" w:rsidRDefault="00452B40" w:rsidP="000230EE">
            <w:pPr>
              <w:rPr>
                <w:lang w:val="en-US"/>
              </w:rPr>
            </w:pPr>
            <w:r w:rsidRPr="00F41590">
              <w:rPr>
                <w:lang w:val="en-US"/>
              </w:rPr>
              <w:t>Tenofovir diphosphate</w:t>
            </w:r>
          </w:p>
        </w:tc>
      </w:tr>
      <w:tr w:rsidR="000230EE" w:rsidRPr="00F41590" w:rsidTr="000230EE">
        <w:tc>
          <w:tcPr>
            <w:tcW w:w="2376" w:type="dxa"/>
          </w:tcPr>
          <w:p w:rsidR="000230EE" w:rsidRPr="00F41590" w:rsidRDefault="000230EE" w:rsidP="000230EE">
            <w:pPr>
              <w:rPr>
                <w:lang w:val="en-US"/>
              </w:rPr>
            </w:pPr>
            <w:r w:rsidRPr="00F41590">
              <w:rPr>
                <w:lang w:val="en-US"/>
              </w:rPr>
              <w:t>TFV-MP</w:t>
            </w:r>
          </w:p>
        </w:tc>
        <w:tc>
          <w:tcPr>
            <w:tcW w:w="6344" w:type="dxa"/>
          </w:tcPr>
          <w:p w:rsidR="000230EE" w:rsidRPr="00F41590" w:rsidRDefault="00452B40" w:rsidP="003F7A2A">
            <w:pPr>
              <w:rPr>
                <w:lang w:val="en-US"/>
              </w:rPr>
            </w:pPr>
            <w:r w:rsidRPr="00F41590">
              <w:rPr>
                <w:lang w:val="en-US"/>
              </w:rPr>
              <w:t xml:space="preserve">Tenofovir </w:t>
            </w:r>
            <w:r w:rsidR="000230EE" w:rsidRPr="00F41590">
              <w:rPr>
                <w:lang w:val="en-US"/>
              </w:rPr>
              <w:t xml:space="preserve">monophosphate </w:t>
            </w:r>
          </w:p>
        </w:tc>
      </w:tr>
      <w:tr w:rsidR="000230EE" w:rsidRPr="00F41590" w:rsidTr="000230EE">
        <w:tc>
          <w:tcPr>
            <w:tcW w:w="2376" w:type="dxa"/>
          </w:tcPr>
          <w:p w:rsidR="000230EE" w:rsidRPr="00F41590" w:rsidRDefault="000230EE" w:rsidP="000230EE">
            <w:pPr>
              <w:rPr>
                <w:lang w:val="en-US"/>
              </w:rPr>
            </w:pPr>
            <w:r w:rsidRPr="00F41590">
              <w:rPr>
                <w:lang w:val="en-US"/>
              </w:rPr>
              <w:t xml:space="preserve">TVD </w:t>
            </w:r>
          </w:p>
        </w:tc>
        <w:tc>
          <w:tcPr>
            <w:tcW w:w="6344" w:type="dxa"/>
          </w:tcPr>
          <w:p w:rsidR="000230EE" w:rsidRPr="00F41590" w:rsidRDefault="00452B40" w:rsidP="000230EE">
            <w:pPr>
              <w:rPr>
                <w:lang w:val="en-US"/>
              </w:rPr>
            </w:pPr>
            <w:r w:rsidRPr="00F41590">
              <w:rPr>
                <w:lang w:val="en-US"/>
              </w:rPr>
              <w:t>Emtricitabine</w:t>
            </w:r>
            <w:r w:rsidR="000230EE" w:rsidRPr="00F41590">
              <w:rPr>
                <w:lang w:val="en-US"/>
              </w:rPr>
              <w:t>/tenofovir disoproxil fumarate (coformulated; Truvada)</w:t>
            </w:r>
          </w:p>
        </w:tc>
      </w:tr>
      <w:tr w:rsidR="000230EE" w:rsidRPr="00F41590" w:rsidTr="000230EE">
        <w:tc>
          <w:tcPr>
            <w:tcW w:w="2376" w:type="dxa"/>
          </w:tcPr>
          <w:p w:rsidR="000230EE" w:rsidRPr="00F41590" w:rsidRDefault="000230EE" w:rsidP="000230EE">
            <w:pPr>
              <w:rPr>
                <w:lang w:val="en-US"/>
              </w:rPr>
            </w:pPr>
            <w:r w:rsidRPr="00F41590">
              <w:rPr>
                <w:lang w:val="en-US"/>
              </w:rPr>
              <w:t xml:space="preserve">UACR </w:t>
            </w:r>
          </w:p>
        </w:tc>
        <w:tc>
          <w:tcPr>
            <w:tcW w:w="6344" w:type="dxa"/>
          </w:tcPr>
          <w:p w:rsidR="000230EE" w:rsidRPr="00F41590" w:rsidRDefault="00452B40" w:rsidP="000230EE">
            <w:pPr>
              <w:rPr>
                <w:lang w:val="en-US"/>
              </w:rPr>
            </w:pPr>
            <w:r w:rsidRPr="00F41590">
              <w:rPr>
                <w:lang w:val="en-US"/>
              </w:rPr>
              <w:t>Urine albumin to creatinine ratio</w:t>
            </w:r>
          </w:p>
        </w:tc>
      </w:tr>
      <w:tr w:rsidR="000230EE" w:rsidRPr="00F41590" w:rsidTr="000230EE">
        <w:tc>
          <w:tcPr>
            <w:tcW w:w="2376" w:type="dxa"/>
          </w:tcPr>
          <w:p w:rsidR="000230EE" w:rsidRPr="00F41590" w:rsidRDefault="000230EE" w:rsidP="000230EE">
            <w:pPr>
              <w:rPr>
                <w:lang w:val="en-US"/>
              </w:rPr>
            </w:pPr>
            <w:r w:rsidRPr="00F41590">
              <w:rPr>
                <w:lang w:val="en-US"/>
              </w:rPr>
              <w:t xml:space="preserve">UGT </w:t>
            </w:r>
          </w:p>
        </w:tc>
        <w:tc>
          <w:tcPr>
            <w:tcW w:w="6344" w:type="dxa"/>
          </w:tcPr>
          <w:p w:rsidR="000230EE" w:rsidRPr="00F41590" w:rsidRDefault="00452B40" w:rsidP="000230EE">
            <w:pPr>
              <w:rPr>
                <w:lang w:val="en-US"/>
              </w:rPr>
            </w:pPr>
            <w:r w:rsidRPr="00F41590">
              <w:rPr>
                <w:lang w:val="en-US"/>
              </w:rPr>
              <w:t>Uridine diphosphate glucuronosyltransferase</w:t>
            </w:r>
          </w:p>
        </w:tc>
      </w:tr>
      <w:tr w:rsidR="000230EE" w:rsidRPr="00F41590" w:rsidTr="000230EE">
        <w:tc>
          <w:tcPr>
            <w:tcW w:w="2376" w:type="dxa"/>
          </w:tcPr>
          <w:p w:rsidR="000230EE" w:rsidRPr="00F41590" w:rsidRDefault="000230EE" w:rsidP="000230EE">
            <w:pPr>
              <w:rPr>
                <w:lang w:val="en-US"/>
              </w:rPr>
            </w:pPr>
            <w:r w:rsidRPr="00F41590">
              <w:rPr>
                <w:lang w:val="en-US"/>
              </w:rPr>
              <w:t xml:space="preserve">ULN </w:t>
            </w:r>
          </w:p>
        </w:tc>
        <w:tc>
          <w:tcPr>
            <w:tcW w:w="6344" w:type="dxa"/>
          </w:tcPr>
          <w:p w:rsidR="000230EE" w:rsidRPr="00F41590" w:rsidRDefault="00452B40" w:rsidP="000230EE">
            <w:pPr>
              <w:rPr>
                <w:lang w:val="en-US"/>
              </w:rPr>
            </w:pPr>
            <w:r w:rsidRPr="00F41590">
              <w:rPr>
                <w:lang w:val="en-US"/>
              </w:rPr>
              <w:t>Upper limit of normal</w:t>
            </w:r>
          </w:p>
        </w:tc>
      </w:tr>
      <w:tr w:rsidR="000230EE" w:rsidRPr="00F41590" w:rsidTr="000230EE">
        <w:tc>
          <w:tcPr>
            <w:tcW w:w="2376" w:type="dxa"/>
          </w:tcPr>
          <w:p w:rsidR="000230EE" w:rsidRPr="00F41590" w:rsidRDefault="000230EE" w:rsidP="000230EE">
            <w:pPr>
              <w:rPr>
                <w:lang w:val="en-US"/>
              </w:rPr>
            </w:pPr>
            <w:r w:rsidRPr="00F41590">
              <w:rPr>
                <w:lang w:val="en-US"/>
              </w:rPr>
              <w:t xml:space="preserve">UPCR </w:t>
            </w:r>
          </w:p>
        </w:tc>
        <w:tc>
          <w:tcPr>
            <w:tcW w:w="6344" w:type="dxa"/>
          </w:tcPr>
          <w:p w:rsidR="000230EE" w:rsidRPr="00F41590" w:rsidRDefault="00452B40" w:rsidP="000230EE">
            <w:pPr>
              <w:rPr>
                <w:lang w:val="en-US"/>
              </w:rPr>
            </w:pPr>
            <w:r w:rsidRPr="00F41590">
              <w:rPr>
                <w:lang w:val="en-US"/>
              </w:rPr>
              <w:t>Urine protein to creatinine ratio</w:t>
            </w:r>
          </w:p>
        </w:tc>
      </w:tr>
      <w:tr w:rsidR="000230EE" w:rsidRPr="00F41590" w:rsidTr="000230EE">
        <w:tc>
          <w:tcPr>
            <w:tcW w:w="2376" w:type="dxa"/>
          </w:tcPr>
          <w:p w:rsidR="000230EE" w:rsidRPr="00F41590" w:rsidRDefault="000230EE" w:rsidP="000230EE">
            <w:pPr>
              <w:rPr>
                <w:lang w:val="en-US"/>
              </w:rPr>
            </w:pPr>
            <w:r w:rsidRPr="00F41590">
              <w:rPr>
                <w:lang w:val="en-US"/>
              </w:rPr>
              <w:t xml:space="preserve">US </w:t>
            </w:r>
          </w:p>
        </w:tc>
        <w:tc>
          <w:tcPr>
            <w:tcW w:w="6344" w:type="dxa"/>
          </w:tcPr>
          <w:p w:rsidR="000230EE" w:rsidRPr="00F41590" w:rsidRDefault="00452B40" w:rsidP="000230EE">
            <w:pPr>
              <w:rPr>
                <w:lang w:val="en-US"/>
              </w:rPr>
            </w:pPr>
            <w:r w:rsidRPr="00F41590">
              <w:rPr>
                <w:lang w:val="en-US"/>
              </w:rPr>
              <w:t>United states</w:t>
            </w:r>
          </w:p>
        </w:tc>
      </w:tr>
      <w:tr w:rsidR="000230EE" w:rsidRPr="00F41590" w:rsidTr="000230EE">
        <w:tc>
          <w:tcPr>
            <w:tcW w:w="2376" w:type="dxa"/>
          </w:tcPr>
          <w:p w:rsidR="000230EE" w:rsidRPr="00F41590" w:rsidRDefault="000230EE" w:rsidP="000230EE">
            <w:pPr>
              <w:rPr>
                <w:lang w:val="en-US"/>
              </w:rPr>
            </w:pPr>
            <w:r w:rsidRPr="00F41590">
              <w:rPr>
                <w:lang w:val="en-US"/>
              </w:rPr>
              <w:t xml:space="preserve">vs </w:t>
            </w:r>
          </w:p>
        </w:tc>
        <w:tc>
          <w:tcPr>
            <w:tcW w:w="6344" w:type="dxa"/>
          </w:tcPr>
          <w:p w:rsidR="000230EE" w:rsidRPr="00F41590" w:rsidRDefault="00452B40" w:rsidP="000230EE">
            <w:pPr>
              <w:rPr>
                <w:lang w:val="en-US"/>
              </w:rPr>
            </w:pPr>
            <w:r w:rsidRPr="00F41590">
              <w:rPr>
                <w:lang w:val="en-US"/>
              </w:rPr>
              <w:t>Versus</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70175460"/>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470175461"/>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D348EF">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5A6209" w:rsidRPr="008B38F8" w:rsidRDefault="005A6209" w:rsidP="005A6209">
            <w:r w:rsidRPr="008B38F8">
              <w:t xml:space="preserve">New </w:t>
            </w:r>
            <w:r>
              <w:t xml:space="preserve">fixed-dose combination of </w:t>
            </w:r>
            <w:r w:rsidRPr="008B38F8">
              <w:t xml:space="preserve">two </w:t>
            </w:r>
            <w:r>
              <w:t>e</w:t>
            </w:r>
            <w:r w:rsidRPr="008B38F8">
              <w:t xml:space="preserve">stablished </w:t>
            </w:r>
            <w:r>
              <w:t>drug s</w:t>
            </w:r>
            <w:r w:rsidRPr="008B38F8">
              <w:t>ubstances</w:t>
            </w:r>
          </w:p>
          <w:p w:rsidR="008E7846" w:rsidRPr="003D1E62" w:rsidRDefault="008E7846" w:rsidP="005A6209"/>
        </w:tc>
      </w:tr>
      <w:tr w:rsidR="008E7846" w:rsidRPr="003D1E62" w:rsidTr="00D348EF">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D508DB" w:rsidP="00D508DB">
            <w:r>
              <w:t>Approved</w:t>
            </w:r>
          </w:p>
        </w:tc>
      </w:tr>
      <w:tr w:rsidR="008E7846" w:rsidRPr="003D1E62" w:rsidTr="00D348EF">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D508DB" w:rsidP="005A6209">
            <w:r>
              <w:t>28 June 2016</w:t>
            </w:r>
          </w:p>
        </w:tc>
      </w:tr>
      <w:tr w:rsidR="00ED2922" w:rsidRPr="003D1E62" w:rsidTr="00D348EF">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D508DB" w:rsidP="005A6209">
            <w:pPr>
              <w:rPr>
                <w:i/>
              </w:rPr>
            </w:pPr>
            <w:r>
              <w:t>1 July 2016</w:t>
            </w:r>
          </w:p>
        </w:tc>
      </w:tr>
      <w:tr w:rsidR="008E7846" w:rsidRPr="00487162" w:rsidTr="00D348EF">
        <w:trPr>
          <w:gridAfter w:val="1"/>
          <w:wAfter w:w="283" w:type="dxa"/>
        </w:trPr>
        <w:tc>
          <w:tcPr>
            <w:tcW w:w="2907" w:type="dxa"/>
          </w:tcPr>
          <w:p w:rsidR="008E7846" w:rsidRPr="00487162" w:rsidRDefault="001B5C90" w:rsidP="00E45619">
            <w:pPr>
              <w:rPr>
                <w:i/>
              </w:rPr>
            </w:pPr>
            <w:r>
              <w:rPr>
                <w:i/>
              </w:rPr>
              <w:t>Active ingredient(s):</w:t>
            </w:r>
          </w:p>
        </w:tc>
        <w:tc>
          <w:tcPr>
            <w:tcW w:w="6307" w:type="dxa"/>
          </w:tcPr>
          <w:p w:rsidR="008E7846" w:rsidRPr="00487162" w:rsidRDefault="005A6209" w:rsidP="00AA3643">
            <w:r>
              <w:t>Emtricitabine/Tenofovir alafenamide (as fumarate)</w:t>
            </w:r>
          </w:p>
        </w:tc>
      </w:tr>
      <w:tr w:rsidR="008E7846" w:rsidRPr="00487162" w:rsidTr="00D348EF">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5A6209" w:rsidRDefault="005A6209" w:rsidP="005A6209">
            <w:r w:rsidRPr="005A6209">
              <w:t>Descovy</w:t>
            </w:r>
          </w:p>
        </w:tc>
      </w:tr>
      <w:tr w:rsidR="008E7846" w:rsidRPr="00487162" w:rsidTr="00D348EF">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5A6209" w:rsidP="005A6209">
            <w:pPr>
              <w:rPr>
                <w:rFonts w:cs="Arial"/>
              </w:rPr>
            </w:pPr>
            <w:r>
              <w:rPr>
                <w:rFonts w:cs="Arial"/>
              </w:rPr>
              <w:t>Gilead Sciences Pty Ltd</w:t>
            </w:r>
          </w:p>
          <w:p w:rsidR="005A6D01" w:rsidRPr="00487162" w:rsidRDefault="005A6D01" w:rsidP="00BC50BC">
            <w:r>
              <w:t xml:space="preserve">St Kilda Road, Melbourne VIC </w:t>
            </w:r>
            <w:r w:rsidR="00BC50BC">
              <w:t>3004</w:t>
            </w:r>
          </w:p>
        </w:tc>
      </w:tr>
      <w:tr w:rsidR="008E7846" w:rsidRPr="00487162" w:rsidTr="00D348EF">
        <w:trPr>
          <w:gridAfter w:val="1"/>
          <w:wAfter w:w="283" w:type="dxa"/>
        </w:trPr>
        <w:tc>
          <w:tcPr>
            <w:tcW w:w="2907" w:type="dxa"/>
          </w:tcPr>
          <w:p w:rsidR="008E7846" w:rsidRPr="00487162" w:rsidRDefault="001B5C90" w:rsidP="00E45619">
            <w:pPr>
              <w:rPr>
                <w:i/>
              </w:rPr>
            </w:pPr>
            <w:r>
              <w:rPr>
                <w:i/>
              </w:rPr>
              <w:t>Dose form(s):</w:t>
            </w:r>
          </w:p>
        </w:tc>
        <w:tc>
          <w:tcPr>
            <w:tcW w:w="6307" w:type="dxa"/>
          </w:tcPr>
          <w:p w:rsidR="008E7846" w:rsidRPr="005A6209" w:rsidRDefault="005A6209" w:rsidP="005A6209">
            <w:pPr>
              <w:rPr>
                <w:rFonts w:cs="Arial"/>
                <w:szCs w:val="24"/>
              </w:rPr>
            </w:pPr>
            <w:r w:rsidRPr="008B38F8">
              <w:t xml:space="preserve">Fixed Combination, film-coated tablets </w:t>
            </w:r>
          </w:p>
        </w:tc>
      </w:tr>
      <w:tr w:rsidR="008E7846" w:rsidRPr="00487162" w:rsidTr="00D348EF">
        <w:trPr>
          <w:gridAfter w:val="1"/>
          <w:wAfter w:w="283" w:type="dxa"/>
        </w:trPr>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5A6209" w:rsidP="005A6209">
            <w:r>
              <w:rPr>
                <w:rFonts w:cs="Arial"/>
                <w:szCs w:val="26"/>
              </w:rPr>
              <w:t>200/10</w:t>
            </w:r>
            <w:r w:rsidR="00D348EF">
              <w:rPr>
                <w:rFonts w:cs="Arial"/>
                <w:szCs w:val="26"/>
              </w:rPr>
              <w:t xml:space="preserve"> </w:t>
            </w:r>
            <w:r>
              <w:rPr>
                <w:rFonts w:cs="Arial"/>
                <w:szCs w:val="26"/>
              </w:rPr>
              <w:t>mg and 200/25</w:t>
            </w:r>
            <w:r w:rsidR="00D348EF">
              <w:rPr>
                <w:rFonts w:cs="Arial"/>
                <w:szCs w:val="26"/>
              </w:rPr>
              <w:t xml:space="preserve"> </w:t>
            </w:r>
            <w:r>
              <w:rPr>
                <w:rFonts w:cs="Arial"/>
                <w:szCs w:val="26"/>
              </w:rPr>
              <w:t>mg</w:t>
            </w:r>
          </w:p>
        </w:tc>
      </w:tr>
      <w:tr w:rsidR="008E7846" w:rsidRPr="00487162" w:rsidTr="00D348EF">
        <w:trPr>
          <w:gridAfter w:val="1"/>
          <w:wAfter w:w="283" w:type="dxa"/>
        </w:trPr>
        <w:tc>
          <w:tcPr>
            <w:tcW w:w="2907" w:type="dxa"/>
          </w:tcPr>
          <w:p w:rsidR="008E7846" w:rsidRPr="00487162" w:rsidRDefault="008E7846" w:rsidP="00E45619">
            <w:pPr>
              <w:rPr>
                <w:i/>
              </w:rPr>
            </w:pPr>
            <w:r w:rsidRPr="00487162">
              <w:rPr>
                <w:i/>
              </w:rPr>
              <w:t>Container(s):</w:t>
            </w:r>
          </w:p>
        </w:tc>
        <w:tc>
          <w:tcPr>
            <w:tcW w:w="6307" w:type="dxa"/>
          </w:tcPr>
          <w:p w:rsidR="008E7846" w:rsidRPr="00AA3643" w:rsidRDefault="00AA3643" w:rsidP="00AA3643">
            <w:r w:rsidRPr="00AA3643">
              <w:t>High-density polyethylene (</w:t>
            </w:r>
            <w:r w:rsidR="005A6209" w:rsidRPr="00AA3643">
              <w:t>HDPE</w:t>
            </w:r>
            <w:r w:rsidRPr="00AA3643">
              <w:t>)</w:t>
            </w:r>
            <w:r w:rsidR="005A6209" w:rsidRPr="00AA3643">
              <w:t xml:space="preserve"> bottle with a polypropylene (PP) child-resistant cap with desiccant sachet</w:t>
            </w:r>
          </w:p>
        </w:tc>
      </w:tr>
      <w:tr w:rsidR="008E7846" w:rsidRPr="00487162" w:rsidTr="00D348EF">
        <w:trPr>
          <w:gridAfter w:val="1"/>
          <w:wAfter w:w="283" w:type="dxa"/>
        </w:trPr>
        <w:tc>
          <w:tcPr>
            <w:tcW w:w="2907" w:type="dxa"/>
          </w:tcPr>
          <w:p w:rsidR="008E7846" w:rsidRPr="00487162" w:rsidRDefault="008E7846" w:rsidP="00E45619">
            <w:pPr>
              <w:rPr>
                <w:i/>
              </w:rPr>
            </w:pPr>
            <w:r w:rsidRPr="00487162">
              <w:rPr>
                <w:i/>
              </w:rPr>
              <w:t>Pack size(s):</w:t>
            </w:r>
          </w:p>
        </w:tc>
        <w:tc>
          <w:tcPr>
            <w:tcW w:w="6307" w:type="dxa"/>
          </w:tcPr>
          <w:p w:rsidR="008E7846" w:rsidRPr="005A6209" w:rsidRDefault="005A6209" w:rsidP="005A6209">
            <w:pPr>
              <w:rPr>
                <w:szCs w:val="26"/>
              </w:rPr>
            </w:pPr>
            <w:r>
              <w:rPr>
                <w:rFonts w:cs="Arial"/>
                <w:szCs w:val="26"/>
              </w:rPr>
              <w:t>30 tablets</w:t>
            </w:r>
          </w:p>
        </w:tc>
      </w:tr>
      <w:tr w:rsidR="008E7846" w:rsidRPr="00487162" w:rsidTr="00D348EF">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D508DB" w:rsidRPr="00D508DB" w:rsidRDefault="00D508DB" w:rsidP="00D508DB">
            <w:pPr>
              <w:autoSpaceDE w:val="0"/>
              <w:autoSpaceDN w:val="0"/>
              <w:adjustRightInd w:val="0"/>
              <w:spacing w:before="0" w:after="0" w:line="240" w:lineRule="auto"/>
              <w:rPr>
                <w:rFonts w:eastAsiaTheme="minorHAnsi" w:cs="Cambria"/>
                <w:i/>
                <w:sz w:val="23"/>
                <w:szCs w:val="23"/>
              </w:rPr>
            </w:pPr>
            <w:r w:rsidRPr="00D508DB">
              <w:rPr>
                <w:rFonts w:eastAsiaTheme="minorHAnsi" w:cs="Cambria"/>
                <w:i/>
                <w:sz w:val="23"/>
                <w:szCs w:val="23"/>
              </w:rPr>
              <w:t>Descovy is indicated in combination with other antiretroviral agents for the treatment of HIV-1 infection in adults and adolescents aged 12 years and older with body weight at least 35 kg. The patients must not have a history of treatment failure or known mutations associated with resistance to the individual components of Descovy (see Pharmacology).</w:t>
            </w:r>
          </w:p>
          <w:p w:rsidR="00D508DB" w:rsidRPr="00D508DB" w:rsidRDefault="00D508DB" w:rsidP="00D508DB">
            <w:pPr>
              <w:autoSpaceDE w:val="0"/>
              <w:autoSpaceDN w:val="0"/>
              <w:adjustRightInd w:val="0"/>
              <w:spacing w:before="0" w:after="0" w:line="240" w:lineRule="auto"/>
              <w:rPr>
                <w:rFonts w:eastAsiaTheme="minorHAnsi" w:cs="Cambria"/>
                <w:i/>
                <w:sz w:val="23"/>
                <w:szCs w:val="23"/>
              </w:rPr>
            </w:pPr>
            <w:r w:rsidRPr="00D508DB">
              <w:rPr>
                <w:rFonts w:eastAsiaTheme="minorHAnsi" w:cs="Cambria"/>
                <w:i/>
                <w:sz w:val="23"/>
                <w:szCs w:val="23"/>
              </w:rPr>
              <w:t>Descovy is not for use in Pre‐Exposure Prophylaxis (PrEP).</w:t>
            </w:r>
          </w:p>
          <w:p w:rsidR="008E7846" w:rsidRPr="00487162" w:rsidRDefault="00D508DB" w:rsidP="00D508DB">
            <w:pPr>
              <w:autoSpaceDE w:val="0"/>
              <w:autoSpaceDN w:val="0"/>
              <w:adjustRightInd w:val="0"/>
              <w:spacing w:before="0" w:after="0" w:line="240" w:lineRule="auto"/>
              <w:rPr>
                <w:rFonts w:eastAsia="MS Mincho"/>
                <w:lang w:eastAsia="ja-JP"/>
              </w:rPr>
            </w:pPr>
            <w:r w:rsidRPr="00D508DB">
              <w:rPr>
                <w:rFonts w:eastAsiaTheme="minorHAnsi" w:cs="Cambria"/>
                <w:i/>
              </w:rPr>
              <w:t>This approval is based on the evaluation of the information and data provided with the original letter of application and with any subsequent correspondence and submissions relating to the application.</w:t>
            </w:r>
          </w:p>
        </w:tc>
      </w:tr>
      <w:tr w:rsidR="008E7846" w:rsidRPr="00487162" w:rsidTr="00D348EF">
        <w:trPr>
          <w:gridAfter w:val="1"/>
          <w:wAfter w:w="283" w:type="dxa"/>
        </w:trPr>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5A6209" w:rsidP="00E45619">
            <w:r>
              <w:t>Oral (PO)</w:t>
            </w:r>
          </w:p>
        </w:tc>
      </w:tr>
      <w:tr w:rsidR="008E7846" w:rsidRPr="00487162" w:rsidTr="00D348EF">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5A6D01" w:rsidP="00D348EF">
            <w:r>
              <w:t>In adults and adolescent patients aged 12 years and older and weighing ≥ 35 kg Descovy is taken orally once daily with or without food. The recommended dose of Descovy is 200/25 mg. If Descovy is used in combination with an HIV-1 protease inhibitor that is administered with either ritonavir or cobicistat, the recommended dose of Descovy is 200/10 mg (see Table 16). See also Drug Interactions and Other Forms of Interactions. For specific dosing recommendations for coadministered</w:t>
            </w:r>
            <w:r w:rsidR="00D348EF">
              <w:t xml:space="preserve"> </w:t>
            </w:r>
            <w:r>
              <w:t>antiretroviral agents, refer to their respective Product Information.</w:t>
            </w:r>
          </w:p>
        </w:tc>
      </w:tr>
      <w:tr w:rsidR="008E7846" w:rsidRPr="00487162" w:rsidTr="00D348EF">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5A6D01" w:rsidP="00E45619">
            <w:r w:rsidRPr="005A6D01">
              <w:t>246092</w:t>
            </w:r>
            <w:r>
              <w:t xml:space="preserve"> and </w:t>
            </w:r>
            <w:r w:rsidRPr="005A6D01">
              <w:t>246093</w:t>
            </w:r>
          </w:p>
        </w:tc>
      </w:tr>
    </w:tbl>
    <w:p w:rsidR="008E7846" w:rsidRDefault="008E7846" w:rsidP="008E7846">
      <w:pPr>
        <w:pStyle w:val="Heading3"/>
      </w:pPr>
      <w:bookmarkStart w:id="13" w:name="_Toc247691503"/>
      <w:bookmarkStart w:id="14" w:name="_Toc314842484"/>
      <w:bookmarkStart w:id="15" w:name="_Toc470175462"/>
      <w:r>
        <w:lastRenderedPageBreak/>
        <w:t>Product background</w:t>
      </w:r>
      <w:bookmarkEnd w:id="13"/>
      <w:bookmarkEnd w:id="14"/>
      <w:bookmarkEnd w:id="15"/>
    </w:p>
    <w:p w:rsidR="002F162D" w:rsidRDefault="00940A89" w:rsidP="002F162D">
      <w:r w:rsidRPr="00940A89">
        <w:t xml:space="preserve">This AusPAR describes the application by the sponsor </w:t>
      </w:r>
      <w:r w:rsidR="00DC51E7">
        <w:rPr>
          <w:rFonts w:cs="Arial"/>
        </w:rPr>
        <w:t xml:space="preserve">Gilead Sciences Pty Ltd </w:t>
      </w:r>
      <w:r w:rsidR="002F162D" w:rsidRPr="00F652C2">
        <w:t xml:space="preserve">to </w:t>
      </w:r>
      <w:r w:rsidR="002F162D" w:rsidRPr="002F162D">
        <w:t xml:space="preserve">register </w:t>
      </w:r>
      <w:r w:rsidR="00F95B47">
        <w:t xml:space="preserve">a </w:t>
      </w:r>
      <w:r w:rsidR="00BC50BC">
        <w:rPr>
          <w:lang w:val="en-US"/>
        </w:rPr>
        <w:t xml:space="preserve">fixed dose combination (FDC) tablet </w:t>
      </w:r>
      <w:r w:rsidR="00F95B47">
        <w:rPr>
          <w:lang w:val="en-US"/>
        </w:rPr>
        <w:t xml:space="preserve">from </w:t>
      </w:r>
      <w:r w:rsidR="002F162D" w:rsidRPr="002F162D">
        <w:t xml:space="preserve">two active ingredients emtricitabine </w:t>
      </w:r>
      <w:r w:rsidR="002F162D" w:rsidRPr="002F162D">
        <w:rPr>
          <w:szCs w:val="24"/>
        </w:rPr>
        <w:t>(FTC or F)</w:t>
      </w:r>
      <w:r w:rsidR="002F162D" w:rsidRPr="002F162D">
        <w:t xml:space="preserve"> and tenofovir alafenamide fumarate (TAF fumarate) previously approved by the TGA</w:t>
      </w:r>
      <w:r w:rsidR="00F95B47">
        <w:t>,</w:t>
      </w:r>
      <w:r w:rsidR="002F162D" w:rsidRPr="002F162D">
        <w:t xml:space="preserve"> </w:t>
      </w:r>
      <w:r w:rsidR="00F95B47">
        <w:t xml:space="preserve">as </w:t>
      </w:r>
      <w:r w:rsidR="00F95B47">
        <w:rPr>
          <w:lang w:val="en-US"/>
        </w:rPr>
        <w:t xml:space="preserve">Descovy </w:t>
      </w:r>
      <w:r w:rsidR="002F162D" w:rsidRPr="00940A89">
        <w:t>f</w:t>
      </w:r>
      <w:r w:rsidR="002F162D">
        <w:t>or the following indication:</w:t>
      </w:r>
    </w:p>
    <w:p w:rsidR="002F162D" w:rsidRPr="00AA3643" w:rsidRDefault="002F162D" w:rsidP="002F162D">
      <w:pPr>
        <w:ind w:left="720"/>
        <w:rPr>
          <w:i/>
          <w:iCs/>
        </w:rPr>
      </w:pPr>
      <w:r w:rsidRPr="00AA3643">
        <w:rPr>
          <w:i/>
          <w:iCs/>
        </w:rPr>
        <w:t>Descovy is indicated in combination with other antiretroviral agents for the treatment of HIV-1 infection in adults and paediatric patients 12 years of age and older without any known mutations associated with resistance to the individual components of Descovy.</w:t>
      </w:r>
    </w:p>
    <w:p w:rsidR="00B9593F" w:rsidRPr="00F64375" w:rsidRDefault="00B9593F" w:rsidP="00B9593F">
      <w:r w:rsidRPr="00F64375">
        <w:t xml:space="preserve">The two strengths of Descovy (FTC/TAF) </w:t>
      </w:r>
      <w:r w:rsidR="00335899">
        <w:t>FDC</w:t>
      </w:r>
      <w:r w:rsidRPr="00F64375">
        <w:t xml:space="preserve"> are proposed for use with (200/10 mg) or without (200/25 mg) boosting with cobicistat (COBI) or ritonavir (RTV).</w:t>
      </w:r>
    </w:p>
    <w:p w:rsidR="00F64375" w:rsidRDefault="0092713A" w:rsidP="002D02B0">
      <w:r w:rsidRPr="00452B40">
        <w:t>TAF fumarate is related to a previously approved tenofovir pro-drug, tenofovir disoprox</w:t>
      </w:r>
      <w:r>
        <w:t xml:space="preserve">il fumarate (TDF as </w:t>
      </w:r>
      <w:r w:rsidRPr="00452B40">
        <w:t>Viread</w:t>
      </w:r>
      <w:r>
        <w:t xml:space="preserve"> </w:t>
      </w:r>
      <w:r w:rsidRPr="0043724A">
        <w:t>30</w:t>
      </w:r>
      <w:r>
        <w:t xml:space="preserve">0 mg </w:t>
      </w:r>
      <w:r w:rsidRPr="00452B40">
        <w:t>AUST R 90370</w:t>
      </w:r>
      <w:r>
        <w:t>)</w:t>
      </w:r>
      <w:r w:rsidRPr="00452B40">
        <w:t xml:space="preserve"> see structure below under </w:t>
      </w:r>
      <w:r w:rsidRPr="00452B40">
        <w:rPr>
          <w:i/>
        </w:rPr>
        <w:t>Quality findings</w:t>
      </w:r>
      <w:r w:rsidRPr="00452B40">
        <w:t xml:space="preserve">). </w:t>
      </w:r>
      <w:r w:rsidR="00A43AA4">
        <w:t>TDF and FTC are currently approved components of</w:t>
      </w:r>
      <w:r w:rsidR="00713B47">
        <w:t xml:space="preserve"> the fixed dose combination Truvada</w:t>
      </w:r>
      <w:r w:rsidR="00F95B47">
        <w:t xml:space="preserve"> </w:t>
      </w:r>
      <w:r w:rsidR="002D02B0" w:rsidRPr="006531EA">
        <w:t>(TDF/FTC 300/200 mg; ARTG 107072)</w:t>
      </w:r>
      <w:r w:rsidR="00713B47">
        <w:t>.</w:t>
      </w:r>
    </w:p>
    <w:p w:rsidR="00586A39" w:rsidRDefault="002D02B0" w:rsidP="00C22DEF">
      <w:r w:rsidRPr="006A754F">
        <w:t xml:space="preserve">TDF is the first oral prodrug of </w:t>
      </w:r>
      <w:r w:rsidR="00F64375" w:rsidRPr="006A754F">
        <w:t>t</w:t>
      </w:r>
      <w:r w:rsidR="00F64375" w:rsidRPr="006A754F">
        <w:rPr>
          <w:lang w:val="en-US"/>
        </w:rPr>
        <w:t>enofovir</w:t>
      </w:r>
      <w:r w:rsidR="00F64375" w:rsidRPr="006A754F">
        <w:t xml:space="preserve"> (</w:t>
      </w:r>
      <w:r w:rsidRPr="006A754F">
        <w:t>TFV</w:t>
      </w:r>
      <w:r w:rsidR="00F64375" w:rsidRPr="006A754F">
        <w:t>)</w:t>
      </w:r>
      <w:r w:rsidRPr="006A754F">
        <w:t xml:space="preserve">. </w:t>
      </w:r>
      <w:r w:rsidR="00713B47" w:rsidRPr="006A754F">
        <w:t xml:space="preserve">TAF is a prodrug of tenofovir which is metabolised intracellularly by </w:t>
      </w:r>
      <w:r w:rsidR="00F95B47" w:rsidRPr="006A754F">
        <w:rPr>
          <w:lang w:val="en-US"/>
        </w:rPr>
        <w:t>Cathepsin A</w:t>
      </w:r>
      <w:r w:rsidR="00F95B47" w:rsidRPr="006A754F">
        <w:t xml:space="preserve"> (</w:t>
      </w:r>
      <w:r w:rsidR="00713B47" w:rsidRPr="006A754F">
        <w:t>CatA</w:t>
      </w:r>
      <w:r w:rsidR="00F95B47" w:rsidRPr="006A754F">
        <w:t>)</w:t>
      </w:r>
      <w:r w:rsidR="00713B47" w:rsidRPr="006A754F">
        <w:t xml:space="preserve"> to tenofovir diphosphate, the form that has anti-viral activity. </w:t>
      </w:r>
      <w:r w:rsidR="00F64375" w:rsidRPr="006A754F">
        <w:t xml:space="preserve">After absorption, both TAF and TDF are converted to TFV which is metabolised intracellularly to the active metabolite, tenofovir diphosphate (TFV-DP). TFV-DP is a competitive inhibitor of </w:t>
      </w:r>
      <w:r w:rsidR="0092713A" w:rsidRPr="006A754F">
        <w:t>human immunodeficiency virus 1 (</w:t>
      </w:r>
      <w:r w:rsidR="00F64375" w:rsidRPr="006A754F">
        <w:t>HIV-1</w:t>
      </w:r>
      <w:r w:rsidR="0092713A" w:rsidRPr="006A754F">
        <w:t>)</w:t>
      </w:r>
      <w:r w:rsidR="00F64375" w:rsidRPr="006A754F">
        <w:t xml:space="preserve"> (and </w:t>
      </w:r>
      <w:r w:rsidR="0092713A" w:rsidRPr="006A754F">
        <w:t>hepatitis B virus (</w:t>
      </w:r>
      <w:r w:rsidR="00F64375" w:rsidRPr="006A754F">
        <w:t>HBV</w:t>
      </w:r>
      <w:r w:rsidR="0092713A" w:rsidRPr="006A754F">
        <w:t>)</w:t>
      </w:r>
      <w:r w:rsidR="00F64375" w:rsidRPr="006A754F">
        <w:t>) reverse transcriptase (RT) enzyme</w:t>
      </w:r>
      <w:r w:rsidR="006A754F">
        <w:t xml:space="preserve"> </w:t>
      </w:r>
      <w:r w:rsidR="006A754F" w:rsidRPr="00914F1C">
        <w:t>thereby effectively blocking the replication and spread of the HIV virus</w:t>
      </w:r>
      <w:r w:rsidR="00586A39">
        <w:t>.</w:t>
      </w:r>
    </w:p>
    <w:p w:rsidR="0092713A" w:rsidRPr="0043724A" w:rsidRDefault="0092713A" w:rsidP="0092713A">
      <w:r w:rsidRPr="006A754F">
        <w:t>FTC/TDF is the most commonly used nucleoside/nucleotide reverse transcriptase inhibitor (NRTI) backbone, in combination with other antiretroviral agents, in the treatment of HIV infection.</w:t>
      </w:r>
    </w:p>
    <w:p w:rsidR="00586A39" w:rsidRDefault="00713B47" w:rsidP="00B9593F">
      <w:r>
        <w:t xml:space="preserve">The reason the sponsor is applying </w:t>
      </w:r>
      <w:r w:rsidR="004D6D4E">
        <w:t>for a</w:t>
      </w:r>
      <w:r w:rsidR="00586A39">
        <w:t xml:space="preserve"> </w:t>
      </w:r>
      <w:r w:rsidR="004D6D4E">
        <w:t>FTC/</w:t>
      </w:r>
      <w:r>
        <w:t xml:space="preserve">TAF </w:t>
      </w:r>
      <w:r w:rsidR="004D6D4E">
        <w:t xml:space="preserve">FDC </w:t>
      </w:r>
      <w:r>
        <w:t>is that TDF has higher and more prolonged plasma circulating levels of tenofovir</w:t>
      </w:r>
      <w:r w:rsidR="00586A39">
        <w:t>.</w:t>
      </w:r>
    </w:p>
    <w:p w:rsidR="00586A39" w:rsidRDefault="002F162D" w:rsidP="002F162D">
      <w:r>
        <w:t xml:space="preserve">TAF fumarate was only recently approved as an active component of another </w:t>
      </w:r>
      <w:r w:rsidR="00085D19">
        <w:t>FDC</w:t>
      </w:r>
      <w:r w:rsidRPr="00452B40">
        <w:t xml:space="preserve"> tablet submission </w:t>
      </w:r>
      <w:r w:rsidR="00F634D0">
        <w:t>(Genvoya</w:t>
      </w:r>
      <w:r w:rsidR="00F634D0">
        <w:rPr>
          <w:rStyle w:val="FootnoteReference"/>
        </w:rPr>
        <w:footnoteReference w:id="1"/>
      </w:r>
      <w:r w:rsidR="00F634D0">
        <w:t>)</w:t>
      </w:r>
      <w:r w:rsidR="00586A39">
        <w:t>.</w:t>
      </w:r>
    </w:p>
    <w:p w:rsidR="00DC51E7" w:rsidRDefault="00DC51E7" w:rsidP="00DC51E7">
      <w:r w:rsidRPr="0043724A">
        <w:t xml:space="preserve">The proposed </w:t>
      </w:r>
      <w:r>
        <w:t>dosage</w:t>
      </w:r>
      <w:r w:rsidRPr="0043724A">
        <w:t xml:space="preserve"> for Descovy (FTC/TAF) is as follows:</w:t>
      </w:r>
    </w:p>
    <w:p w:rsidR="00DC51E7" w:rsidRPr="00DC51E7" w:rsidRDefault="00DC51E7" w:rsidP="00DC51E7">
      <w:pPr>
        <w:ind w:left="720"/>
        <w:rPr>
          <w:rFonts w:eastAsia="MS Mincho"/>
          <w:i/>
          <w:lang w:eastAsia="ja-JP"/>
        </w:rPr>
      </w:pPr>
      <w:r w:rsidRPr="00DC51E7">
        <w:rPr>
          <w:i/>
        </w:rPr>
        <w:t xml:space="preserve">In adults and paediatric patients 12 years of age and weighing </w:t>
      </w:r>
      <w:r w:rsidR="00713B47">
        <w:rPr>
          <w:i/>
        </w:rPr>
        <w:t>≥</w:t>
      </w:r>
      <w:r w:rsidRPr="00DC51E7">
        <w:rPr>
          <w:i/>
        </w:rPr>
        <w:t xml:space="preserve"> 35 kg Descovy is taken orally once daily with or without food.</w:t>
      </w:r>
    </w:p>
    <w:p w:rsidR="00DC51E7" w:rsidRPr="00DC51E7" w:rsidRDefault="00DC51E7" w:rsidP="00DC51E7">
      <w:pPr>
        <w:ind w:left="720"/>
        <w:rPr>
          <w:i/>
        </w:rPr>
      </w:pPr>
      <w:r w:rsidRPr="00DC51E7">
        <w:rPr>
          <w:i/>
        </w:rPr>
        <w:t>The recommended dose of Descovy is 200/25 mg.</w:t>
      </w:r>
    </w:p>
    <w:p w:rsidR="00DC51E7" w:rsidRPr="00DC51E7" w:rsidRDefault="00DC51E7" w:rsidP="00DC51E7">
      <w:pPr>
        <w:ind w:left="720"/>
        <w:rPr>
          <w:i/>
        </w:rPr>
      </w:pPr>
      <w:r w:rsidRPr="00DC51E7">
        <w:rPr>
          <w:i/>
        </w:rPr>
        <w:t>If Descovy is used in combination with an HIV-1 protease inhibitor that is administered with either ritonavir or cobicistat, the recommended dose of Descovy is 200/10 mg</w:t>
      </w:r>
      <w:r w:rsidR="00872A03">
        <w:rPr>
          <w:i/>
        </w:rPr>
        <w:t xml:space="preserve"> </w:t>
      </w:r>
      <w:r w:rsidRPr="00DC51E7">
        <w:rPr>
          <w:i/>
        </w:rPr>
        <w:t>(see Drug Interactions and Other Forms of Interactions).</w:t>
      </w:r>
    </w:p>
    <w:p w:rsidR="00DC51E7" w:rsidRPr="00DC51E7" w:rsidRDefault="00DC51E7" w:rsidP="00DC51E7">
      <w:pPr>
        <w:ind w:left="720"/>
        <w:rPr>
          <w:i/>
        </w:rPr>
      </w:pPr>
      <w:r w:rsidRPr="00DC51E7">
        <w:rPr>
          <w:i/>
        </w:rPr>
        <w:t>See also Drug Interactions and Other Forms of Interactions. For specific dosing recommendations for coadministered antiretroviral agents, refer to their respective Product Information.</w:t>
      </w:r>
    </w:p>
    <w:p w:rsidR="00DC51E7" w:rsidRPr="00DC51E7" w:rsidRDefault="00DC51E7" w:rsidP="00DC51E7">
      <w:pPr>
        <w:ind w:left="720"/>
        <w:rPr>
          <w:i/>
        </w:rPr>
      </w:pPr>
      <w:r w:rsidRPr="00DC51E7">
        <w:rPr>
          <w:i/>
        </w:rPr>
        <w:t>No data are available on which to make a dose recommendation for pediatric patients younger than 12 years or weighing less than 35 kg.</w:t>
      </w:r>
    </w:p>
    <w:p w:rsidR="00DC51E7" w:rsidRPr="00DC51E7" w:rsidRDefault="00DC51E7" w:rsidP="00DC51E7">
      <w:pPr>
        <w:ind w:left="720"/>
        <w:rPr>
          <w:i/>
        </w:rPr>
      </w:pPr>
      <w:r w:rsidRPr="00DC51E7">
        <w:rPr>
          <w:i/>
          <w:iCs/>
        </w:rPr>
        <w:t xml:space="preserve">Elderly: </w:t>
      </w:r>
      <w:r w:rsidRPr="00DC51E7">
        <w:rPr>
          <w:i/>
        </w:rPr>
        <w:t xml:space="preserve">No dose adjustment is required for elderly patients. In clinical trials of 80 of the 97 patients enrolled aged 65 years and over received FTC+TAF given with EVG+COBI as a fixed-dose combination tablet. No differences in safety or efficacy </w:t>
      </w:r>
      <w:r w:rsidRPr="00DC51E7">
        <w:rPr>
          <w:i/>
        </w:rPr>
        <w:lastRenderedPageBreak/>
        <w:t>have been observed between elderly patients and those between 12 and less than 65 years of age.</w:t>
      </w:r>
    </w:p>
    <w:p w:rsidR="00DC51E7" w:rsidRPr="00DC51E7" w:rsidRDefault="00DC51E7" w:rsidP="00DC51E7">
      <w:pPr>
        <w:ind w:left="720"/>
        <w:rPr>
          <w:i/>
        </w:rPr>
      </w:pPr>
      <w:r w:rsidRPr="00DC51E7">
        <w:rPr>
          <w:i/>
          <w:iCs/>
        </w:rPr>
        <w:t xml:space="preserve">Renal impairment: </w:t>
      </w:r>
      <w:r w:rsidRPr="00DC51E7">
        <w:rPr>
          <w:i/>
        </w:rPr>
        <w:t>No dose adjustment of Descovy is required in adult patients with estimated creatinine clearance greater than or equal to 30 mL per minute.</w:t>
      </w:r>
    </w:p>
    <w:p w:rsidR="00DC51E7" w:rsidRPr="00DC51E7" w:rsidRDefault="00DC51E7" w:rsidP="00DC51E7">
      <w:pPr>
        <w:ind w:left="720"/>
        <w:rPr>
          <w:i/>
        </w:rPr>
      </w:pPr>
      <w:r w:rsidRPr="00DC51E7">
        <w:rPr>
          <w:i/>
        </w:rPr>
        <w:t>Descovy should not be initiated in patients with estimated creatinine clearance below 30 mL per minute as there are no data available regarding the use of Descovy in this population.</w:t>
      </w:r>
    </w:p>
    <w:p w:rsidR="00DC51E7" w:rsidRPr="00DC51E7" w:rsidRDefault="00DC51E7" w:rsidP="00DC51E7">
      <w:pPr>
        <w:ind w:left="720"/>
        <w:rPr>
          <w:i/>
        </w:rPr>
      </w:pPr>
      <w:r w:rsidRPr="00DC51E7">
        <w:rPr>
          <w:i/>
        </w:rPr>
        <w:t>No data are available to make dose recommendations in pediatric patients with renal impairment.</w:t>
      </w:r>
    </w:p>
    <w:p w:rsidR="00DC51E7" w:rsidRPr="00DC51E7" w:rsidRDefault="00DC51E7" w:rsidP="00DC51E7">
      <w:pPr>
        <w:ind w:left="720"/>
        <w:rPr>
          <w:i/>
        </w:rPr>
      </w:pPr>
      <w:r w:rsidRPr="00DC51E7">
        <w:rPr>
          <w:i/>
          <w:iCs/>
        </w:rPr>
        <w:t>Hepatic Impairment</w:t>
      </w:r>
      <w:r w:rsidRPr="00DC51E7">
        <w:rPr>
          <w:i/>
        </w:rPr>
        <w:t>: No dose adjustment of Descovy is required in patients with mild (Child-Pugh Class A) or moderate (Child-Pugh Class B) hepatic impairment. Descovy has not been studied in patients with severe hepatic impairment (Child-Pugh Class C); therefore, Descovy is not recommended for use in patients with severe hepatic impairment (see Pharmacological Properties: Pharmacokinetics in Special Populations).</w:t>
      </w:r>
    </w:p>
    <w:p w:rsidR="008E7846" w:rsidRPr="003F31A2" w:rsidRDefault="00386150" w:rsidP="008E7846">
      <w:pPr>
        <w:pStyle w:val="Heading3"/>
      </w:pPr>
      <w:bookmarkStart w:id="16" w:name="_Toc314842485"/>
      <w:bookmarkStart w:id="17" w:name="_Toc247691504"/>
      <w:bookmarkStart w:id="18" w:name="_Toc470175463"/>
      <w:r>
        <w:t>Regulatory s</w:t>
      </w:r>
      <w:r w:rsidR="008E7846">
        <w:t>tatus</w:t>
      </w:r>
      <w:bookmarkEnd w:id="16"/>
      <w:bookmarkEnd w:id="17"/>
      <w:bookmarkEnd w:id="18"/>
    </w:p>
    <w:p w:rsidR="00212F12" w:rsidRDefault="00212F12" w:rsidP="006A754F">
      <w:bookmarkStart w:id="19" w:name="_Toc247691505"/>
      <w:bookmarkStart w:id="20" w:name="_Toc314842486"/>
      <w:r w:rsidRPr="00CE4C86">
        <w:t>In Australia</w:t>
      </w:r>
      <w:r>
        <w:t>,</w:t>
      </w:r>
      <w:r w:rsidRPr="00CE4C86">
        <w:t xml:space="preserve"> </w:t>
      </w:r>
      <w:r>
        <w:t>e</w:t>
      </w:r>
      <w:r w:rsidRPr="00423465">
        <w:t>mtricitabine</w:t>
      </w:r>
      <w:r>
        <w:t xml:space="preserve"> (Emtriva)</w:t>
      </w:r>
      <w:r w:rsidRPr="00CE4C86">
        <w:t xml:space="preserve"> </w:t>
      </w:r>
      <w:r w:rsidR="000B3BCD">
        <w:t xml:space="preserve">was first registered on the Australian Register of Therapeutic Goods </w:t>
      </w:r>
      <w:r w:rsidR="00700727">
        <w:t xml:space="preserve">(ARTG) </w:t>
      </w:r>
      <w:r w:rsidR="000B3BCD">
        <w:t>as a single daily oral dose of 200 mg</w:t>
      </w:r>
      <w:r w:rsidR="000B3BCD" w:rsidRPr="000B3BCD">
        <w:t xml:space="preserve"> </w:t>
      </w:r>
      <w:r w:rsidR="000B3BCD">
        <w:t xml:space="preserve">on </w:t>
      </w:r>
      <w:r w:rsidR="005400E3">
        <w:t>7</w:t>
      </w:r>
      <w:r w:rsidR="000B3BCD">
        <w:t xml:space="preserve"> January 2005. In March 2012, Emtriva </w:t>
      </w:r>
      <w:r w:rsidRPr="00CE4C86">
        <w:t>was designated as an orphan drug for the treatment of HIV-1 infection in paediatric patients aged 12 to 1</w:t>
      </w:r>
      <w:r>
        <w:t xml:space="preserve">7 years inclusive </w:t>
      </w:r>
    </w:p>
    <w:p w:rsidR="00586A39" w:rsidRDefault="0045461D" w:rsidP="006A754F">
      <w:r>
        <w:t xml:space="preserve">Emtricitabine has been registered for </w:t>
      </w:r>
      <w:r w:rsidR="000B3BCD">
        <w:t>for</w:t>
      </w:r>
      <w:r>
        <w:t xml:space="preserve"> combination use (</w:t>
      </w:r>
      <w:r w:rsidR="00F56478">
        <w:t xml:space="preserve">Eviplera; Atripla; </w:t>
      </w:r>
      <w:r>
        <w:t>Truvada; Stribild; Genvoya)</w:t>
      </w:r>
      <w:r w:rsidR="00586A39">
        <w:t>.</w:t>
      </w:r>
    </w:p>
    <w:p w:rsidR="00820D3E" w:rsidRDefault="000B3BCD" w:rsidP="006A754F">
      <w:r>
        <w:t xml:space="preserve">Tenofovir alafenamide </w:t>
      </w:r>
      <w:r w:rsidR="0007573A" w:rsidRPr="002F162D">
        <w:t xml:space="preserve">received </w:t>
      </w:r>
      <w:r w:rsidR="00452B40">
        <w:t>first</w:t>
      </w:r>
      <w:r w:rsidR="0007573A" w:rsidRPr="002F162D">
        <w:t xml:space="preserve"> registration on the </w:t>
      </w:r>
      <w:r w:rsidR="00B9593F">
        <w:t>ARTG on 15 January 2016</w:t>
      </w:r>
      <w:r w:rsidR="002A0A63">
        <w:t xml:space="preserve"> as a component of </w:t>
      </w:r>
      <w:r>
        <w:t>the FDC e</w:t>
      </w:r>
      <w:r w:rsidRPr="002F162D">
        <w:t>lvitegravir/</w:t>
      </w:r>
      <w:r>
        <w:t xml:space="preserve"> </w:t>
      </w:r>
      <w:r w:rsidRPr="002F162D">
        <w:t>cobicistat/emtricitabine/tenofovir</w:t>
      </w:r>
      <w:r>
        <w:t xml:space="preserve"> </w:t>
      </w:r>
      <w:r w:rsidRPr="002F162D">
        <w:t>alafenamide (as fumarate) marketed as</w:t>
      </w:r>
      <w:r>
        <w:t xml:space="preserve"> Genvoya.</w:t>
      </w:r>
    </w:p>
    <w:p w:rsidR="00B9593F" w:rsidRDefault="00820D3E" w:rsidP="006A754F">
      <w:r>
        <w:t xml:space="preserve">Genvoya is currently registered </w:t>
      </w:r>
      <w:r w:rsidR="002009D7">
        <w:t xml:space="preserve">in Australia </w:t>
      </w:r>
      <w:r>
        <w:t>for the following indications:</w:t>
      </w:r>
    </w:p>
    <w:p w:rsidR="00820D3E" w:rsidRPr="007B2278" w:rsidRDefault="00820D3E" w:rsidP="007B2278">
      <w:pPr>
        <w:ind w:left="720"/>
        <w:rPr>
          <w:i/>
        </w:rPr>
      </w:pPr>
      <w:r w:rsidRPr="00820D3E">
        <w:rPr>
          <w:i/>
        </w:rPr>
        <w:t xml:space="preserve">Genvoya </w:t>
      </w:r>
      <w:r w:rsidRPr="007B2278">
        <w:rPr>
          <w:i/>
        </w:rPr>
        <w:t xml:space="preserve">is indicated as a single tablet regimen for the treatment of HIV-1 infection in adults and adolescents aged 12 years of age and older with body weight at least 35 kg who are either treatment±naïve; or virologically suppressed (HIV-1 RNA &lt;50 copies/mL) on a stable antiretroviral regimen at start of therapy in order to replace their current antiretroviral treatment regimen (see CLINICAL TRIALS). Patients must not have a history of treatment failure or known mutations associated with resistance to the antiretroviral components of </w:t>
      </w:r>
      <w:r w:rsidRPr="00820D3E">
        <w:rPr>
          <w:i/>
        </w:rPr>
        <w:t>Genvoya</w:t>
      </w:r>
      <w:r w:rsidRPr="007B2278">
        <w:rPr>
          <w:i/>
        </w:rPr>
        <w:t xml:space="preserve">. </w:t>
      </w:r>
      <w:r w:rsidRPr="00820D3E">
        <w:rPr>
          <w:i/>
        </w:rPr>
        <w:t xml:space="preserve">Genvoya </w:t>
      </w:r>
      <w:r w:rsidRPr="007B2278">
        <w:rPr>
          <w:i/>
        </w:rPr>
        <w:t>is a fixed dose combination of one integrase inhibitor, one pharmacokinetic enhancer and two nucleotide HIV</w:t>
      </w:r>
      <w:r>
        <w:rPr>
          <w:i/>
        </w:rPr>
        <w:t>-</w:t>
      </w:r>
      <w:r w:rsidRPr="007B2278">
        <w:rPr>
          <w:i/>
        </w:rPr>
        <w:t>1 reverse transcriptase inhibitors.</w:t>
      </w:r>
    </w:p>
    <w:p w:rsidR="002009D7" w:rsidRPr="002009D7" w:rsidRDefault="002009D7" w:rsidP="002009D7">
      <w:r w:rsidRPr="002009D7">
        <w:t xml:space="preserve">Emtriva is currently registered </w:t>
      </w:r>
      <w:r>
        <w:t xml:space="preserve">in Australia </w:t>
      </w:r>
      <w:r w:rsidRPr="002009D7">
        <w:t>for the following indications:</w:t>
      </w:r>
    </w:p>
    <w:p w:rsidR="002009D7" w:rsidRPr="007B2278" w:rsidRDefault="002009D7" w:rsidP="007B2278">
      <w:pPr>
        <w:ind w:left="720"/>
        <w:rPr>
          <w:i/>
        </w:rPr>
      </w:pPr>
      <w:r w:rsidRPr="007B2278">
        <w:rPr>
          <w:i/>
        </w:rPr>
        <w:t>Emtriva is indicated for the treatment of HIV in combination with other antiretroviral agents in adults and paediatric patients 12 years of age and older, weighing more than 33 kg. Evidence to support this claim is based on surrogate markers (plasma HIV RNA and CD4 count) in antiretroviral naïve individuals and in antiretroviral experienced individuals with virological suppression (See Clinical Trials).</w:t>
      </w:r>
    </w:p>
    <w:p w:rsidR="00B9593F" w:rsidRPr="0043724A" w:rsidRDefault="00212F12" w:rsidP="00B9593F">
      <w:r w:rsidRPr="006A754F">
        <w:t xml:space="preserve">Truvada </w:t>
      </w:r>
      <w:r w:rsidR="002F162D" w:rsidRPr="006A754F">
        <w:t>(tenofovir disoproxil fumarate</w:t>
      </w:r>
      <w:r w:rsidR="00347444" w:rsidRPr="006A754F">
        <w:t>/</w:t>
      </w:r>
      <w:r w:rsidR="002F162D" w:rsidRPr="006A754F">
        <w:t>emtricitabine 300/20</w:t>
      </w:r>
      <w:r w:rsidR="00E04BFC" w:rsidRPr="006A754F">
        <w:t>0 mg</w:t>
      </w:r>
      <w:r w:rsidR="002F162D" w:rsidRPr="006A754F">
        <w:t xml:space="preserve">) was registered on the ARTG in </w:t>
      </w:r>
      <w:r w:rsidRPr="006A754F">
        <w:t>September 2005</w:t>
      </w:r>
      <w:r w:rsidR="00B9593F" w:rsidRPr="006A754F">
        <w:t xml:space="preserve"> and is currently registered</w:t>
      </w:r>
      <w:r w:rsidR="00B9593F" w:rsidRPr="00B9593F">
        <w:t xml:space="preserve"> for the following indication:</w:t>
      </w:r>
    </w:p>
    <w:p w:rsidR="00B9593F" w:rsidRPr="00700727" w:rsidRDefault="00B9593F" w:rsidP="00B9593F">
      <w:pPr>
        <w:ind w:left="720"/>
        <w:rPr>
          <w:rFonts w:eastAsiaTheme="minorHAnsi"/>
          <w:i/>
          <w:color w:val="000000"/>
        </w:rPr>
      </w:pPr>
      <w:r w:rsidRPr="00700727">
        <w:rPr>
          <w:rFonts w:eastAsiaTheme="minorHAnsi"/>
          <w:i/>
          <w:color w:val="000000"/>
        </w:rPr>
        <w:t>Treatment of HIV-1 infection</w:t>
      </w:r>
    </w:p>
    <w:p w:rsidR="00B9593F" w:rsidRPr="00700727" w:rsidRDefault="00B9593F" w:rsidP="00B9593F">
      <w:pPr>
        <w:ind w:left="720"/>
        <w:rPr>
          <w:rFonts w:eastAsiaTheme="minorHAnsi"/>
          <w:i/>
          <w:color w:val="000000"/>
        </w:rPr>
      </w:pPr>
      <w:r w:rsidRPr="00700727">
        <w:rPr>
          <w:i/>
        </w:rPr>
        <w:lastRenderedPageBreak/>
        <w:t>Truvada</w:t>
      </w:r>
      <w:r w:rsidRPr="00700727">
        <w:rPr>
          <w:rFonts w:eastAsiaTheme="minorHAnsi"/>
          <w:i/>
          <w:color w:val="000000"/>
        </w:rPr>
        <w:t xml:space="preserve"> is indicated for the treatment of HIV infected adults over the age of 18 years, in combination with other antiretroviral agents.</w:t>
      </w:r>
    </w:p>
    <w:p w:rsidR="00B9593F" w:rsidRPr="00700727" w:rsidRDefault="00B9593F" w:rsidP="00B9593F">
      <w:pPr>
        <w:ind w:left="720"/>
        <w:rPr>
          <w:rFonts w:eastAsiaTheme="minorHAnsi"/>
          <w:i/>
          <w:color w:val="000000"/>
        </w:rPr>
      </w:pPr>
      <w:r w:rsidRPr="00700727">
        <w:rPr>
          <w:rFonts w:eastAsiaTheme="minorHAnsi"/>
          <w:i/>
          <w:color w:val="000000"/>
        </w:rPr>
        <w:t>Pre-Exposure Prophylaxis</w:t>
      </w:r>
    </w:p>
    <w:p w:rsidR="00B9593F" w:rsidRPr="00700727" w:rsidRDefault="00B9593F" w:rsidP="00B9593F">
      <w:pPr>
        <w:ind w:left="720"/>
        <w:rPr>
          <w:rFonts w:eastAsiaTheme="minorHAnsi"/>
          <w:i/>
          <w:color w:val="000000"/>
        </w:rPr>
      </w:pPr>
      <w:r w:rsidRPr="00700727">
        <w:rPr>
          <w:rFonts w:eastAsiaTheme="minorHAnsi"/>
          <w:i/>
          <w:color w:val="000000"/>
        </w:rPr>
        <w:t>Truvada is indicated in combination with safer sex practices for pre-exposure prophylaxis (PrEP) to reduce the risk of sexually acquired HIV-1 in adults at high risk. This indication is based on clinical trials in men who have sex with men (MSM) at high risk for HIV-1 infection and in heterosexual serodiscordant couples (see Clinical Studies).</w:t>
      </w:r>
    </w:p>
    <w:p w:rsidR="00AE5879" w:rsidRPr="00452B40" w:rsidRDefault="00AE5879" w:rsidP="00AE5879">
      <w:r>
        <w:t xml:space="preserve">Atripla (tenofovir disoproxil fumarate 300 mg, emtricitabine 200 mg, efavirenz 600 mg) was registered on the 03 </w:t>
      </w:r>
      <w:r w:rsidR="00561FBE">
        <w:t>August</w:t>
      </w:r>
      <w:r>
        <w:t xml:space="preserve"> 2009.</w:t>
      </w:r>
    </w:p>
    <w:p w:rsidR="00AE5879" w:rsidRPr="00452B40" w:rsidRDefault="00AE5879" w:rsidP="00AE5879">
      <w:r>
        <w:t xml:space="preserve">Eviplera (tenofovir disoproxil fumarate 300 mg, emtricitabine 200 mg, rilpivirine 25 mg) was registered on the </w:t>
      </w:r>
      <w:r w:rsidR="002009D7">
        <w:t>30</w:t>
      </w:r>
      <w:r>
        <w:t xml:space="preserve"> January 2012.</w:t>
      </w:r>
    </w:p>
    <w:p w:rsidR="00940A89" w:rsidRDefault="00914F1C" w:rsidP="00940A89">
      <w:r>
        <w:t>Stribild (tenofovir disoproxil fumarate 300 mg, emtricitabine 200 mg, elvitegravir 150 mg, cobicistat 150 mg) was registered on the 22 February 2013.</w:t>
      </w:r>
      <w:r w:rsidR="00940A89" w:rsidRPr="00940A89">
        <w:t xml:space="preserve">At the time the TGA considered this application a similar application had been approved in </w:t>
      </w:r>
      <w:r w:rsidR="00DC51E7">
        <w:t>the USA, European Union (EU) and Canada (see Table 1)</w:t>
      </w:r>
      <w:r w:rsidR="00940A89">
        <w:t>.</w:t>
      </w:r>
    </w:p>
    <w:p w:rsidR="00DC51E7" w:rsidRDefault="00DC51E7" w:rsidP="00DC51E7">
      <w:pPr>
        <w:pStyle w:val="TableTitle"/>
      </w:pPr>
      <w:r>
        <w:t>Table 1: International regulatory status</w:t>
      </w:r>
    </w:p>
    <w:tbl>
      <w:tblPr>
        <w:tblStyle w:val="TableTGAblue1"/>
        <w:tblW w:w="0" w:type="auto"/>
        <w:tblLayout w:type="fixed"/>
        <w:tblLook w:val="04A0" w:firstRow="1" w:lastRow="0" w:firstColumn="1" w:lastColumn="0" w:noHBand="0" w:noVBand="1"/>
      </w:tblPr>
      <w:tblGrid>
        <w:gridCol w:w="1526"/>
        <w:gridCol w:w="1843"/>
        <w:gridCol w:w="1984"/>
        <w:gridCol w:w="3367"/>
      </w:tblGrid>
      <w:tr w:rsidR="008E3BE8" w:rsidTr="002F162D">
        <w:trPr>
          <w:cnfStyle w:val="100000000000" w:firstRow="1" w:lastRow="0" w:firstColumn="0" w:lastColumn="0" w:oddVBand="0" w:evenVBand="0" w:oddHBand="0" w:evenHBand="0" w:firstRowFirstColumn="0" w:firstRowLastColumn="0" w:lastRowFirstColumn="0" w:lastRowLastColumn="0"/>
          <w:cantSplit/>
          <w:tblHeader/>
        </w:trPr>
        <w:tc>
          <w:tcPr>
            <w:tcW w:w="1526" w:type="dxa"/>
          </w:tcPr>
          <w:tbl>
            <w:tblPr>
              <w:tblW w:w="0" w:type="auto"/>
              <w:tblBorders>
                <w:top w:val="nil"/>
                <w:left w:val="nil"/>
                <w:bottom w:val="nil"/>
                <w:right w:val="nil"/>
              </w:tblBorders>
              <w:tblLayout w:type="fixed"/>
              <w:tblLook w:val="0000" w:firstRow="0" w:lastRow="0" w:firstColumn="0" w:lastColumn="0" w:noHBand="0" w:noVBand="0"/>
            </w:tblPr>
            <w:tblGrid>
              <w:gridCol w:w="1079"/>
              <w:gridCol w:w="236"/>
              <w:gridCol w:w="236"/>
              <w:gridCol w:w="236"/>
            </w:tblGrid>
            <w:tr w:rsidR="008E3BE8" w:rsidRPr="00A474ED" w:rsidTr="00DC51E7">
              <w:trPr>
                <w:trHeight w:val="273"/>
              </w:trPr>
              <w:tc>
                <w:tcPr>
                  <w:tcW w:w="1079" w:type="dxa"/>
                </w:tcPr>
                <w:p w:rsidR="00D4740D" w:rsidRPr="00A474ED" w:rsidRDefault="00D4740D" w:rsidP="008E3BE8">
                  <w:pPr>
                    <w:rPr>
                      <w:rFonts w:asciiTheme="minorHAnsi" w:hAnsiTheme="minorHAnsi"/>
                      <w:color w:val="FFFFFF" w:themeColor="background1"/>
                      <w:sz w:val="20"/>
                      <w:szCs w:val="20"/>
                    </w:rPr>
                  </w:pPr>
                  <w:r w:rsidRPr="00A474ED">
                    <w:rPr>
                      <w:rFonts w:asciiTheme="minorHAnsi" w:hAnsiTheme="minorHAnsi"/>
                      <w:color w:val="FFFFFF" w:themeColor="background1"/>
                      <w:sz w:val="20"/>
                      <w:szCs w:val="20"/>
                    </w:rPr>
                    <w:t xml:space="preserve"> </w:t>
                  </w:r>
                  <w:r w:rsidRPr="00A474ED">
                    <w:rPr>
                      <w:rFonts w:asciiTheme="minorHAnsi" w:hAnsiTheme="minorHAnsi"/>
                      <w:b/>
                      <w:bCs/>
                      <w:color w:val="FFFFFF" w:themeColor="background1"/>
                      <w:sz w:val="20"/>
                      <w:szCs w:val="20"/>
                    </w:rPr>
                    <w:t xml:space="preserve">Country </w:t>
                  </w:r>
                </w:p>
              </w:tc>
              <w:tc>
                <w:tcPr>
                  <w:tcW w:w="222" w:type="dxa"/>
                </w:tcPr>
                <w:p w:rsidR="00D4740D" w:rsidRPr="00A474ED" w:rsidRDefault="00D4740D" w:rsidP="008E3BE8">
                  <w:pPr>
                    <w:rPr>
                      <w:rFonts w:asciiTheme="minorHAnsi" w:hAnsiTheme="minorHAnsi"/>
                      <w:color w:val="FFFFFF" w:themeColor="background1"/>
                      <w:sz w:val="20"/>
                      <w:szCs w:val="20"/>
                    </w:rPr>
                  </w:pPr>
                </w:p>
              </w:tc>
              <w:tc>
                <w:tcPr>
                  <w:tcW w:w="222" w:type="dxa"/>
                </w:tcPr>
                <w:p w:rsidR="00D4740D" w:rsidRPr="00A474ED" w:rsidRDefault="00D4740D" w:rsidP="008E3BE8">
                  <w:pPr>
                    <w:rPr>
                      <w:rFonts w:asciiTheme="minorHAnsi" w:hAnsiTheme="minorHAnsi"/>
                      <w:color w:val="FFFFFF" w:themeColor="background1"/>
                      <w:sz w:val="20"/>
                      <w:szCs w:val="20"/>
                    </w:rPr>
                  </w:pPr>
                </w:p>
              </w:tc>
              <w:tc>
                <w:tcPr>
                  <w:tcW w:w="222" w:type="dxa"/>
                </w:tcPr>
                <w:p w:rsidR="00D4740D" w:rsidRPr="00A474ED" w:rsidRDefault="00D4740D" w:rsidP="008E3BE8">
                  <w:pPr>
                    <w:rPr>
                      <w:rFonts w:asciiTheme="minorHAnsi" w:hAnsiTheme="minorHAnsi"/>
                      <w:color w:val="FFFFFF" w:themeColor="background1"/>
                      <w:sz w:val="20"/>
                      <w:szCs w:val="20"/>
                    </w:rPr>
                  </w:pPr>
                </w:p>
              </w:tc>
            </w:tr>
          </w:tbl>
          <w:p w:rsidR="00D4740D" w:rsidRPr="00A474ED" w:rsidRDefault="00D4740D" w:rsidP="008E3BE8">
            <w:pPr>
              <w:rPr>
                <w:rFonts w:asciiTheme="minorHAnsi" w:hAnsiTheme="minorHAnsi"/>
                <w:color w:val="FFFFFF" w:themeColor="background1"/>
                <w:sz w:val="20"/>
                <w:szCs w:val="20"/>
              </w:rPr>
            </w:pPr>
          </w:p>
        </w:tc>
        <w:tc>
          <w:tcPr>
            <w:tcW w:w="1843" w:type="dxa"/>
          </w:tcPr>
          <w:p w:rsidR="00D4740D" w:rsidRPr="00A474ED" w:rsidRDefault="00D4740D" w:rsidP="008E3BE8">
            <w:pPr>
              <w:rPr>
                <w:rFonts w:asciiTheme="minorHAnsi" w:hAnsiTheme="minorHAnsi"/>
                <w:color w:val="FFFFFF" w:themeColor="background1"/>
                <w:sz w:val="20"/>
                <w:szCs w:val="20"/>
              </w:rPr>
            </w:pPr>
            <w:r w:rsidRPr="00A474ED">
              <w:rPr>
                <w:rFonts w:asciiTheme="minorHAnsi" w:hAnsiTheme="minorHAnsi"/>
                <w:bCs/>
                <w:color w:val="FFFFFF" w:themeColor="background1"/>
                <w:sz w:val="20"/>
                <w:szCs w:val="20"/>
              </w:rPr>
              <w:t>Application</w:t>
            </w:r>
          </w:p>
        </w:tc>
        <w:tc>
          <w:tcPr>
            <w:tcW w:w="1984" w:type="dxa"/>
          </w:tcPr>
          <w:tbl>
            <w:tblPr>
              <w:tblW w:w="0" w:type="auto"/>
              <w:tblBorders>
                <w:top w:val="nil"/>
                <w:left w:val="nil"/>
                <w:bottom w:val="nil"/>
                <w:right w:val="nil"/>
              </w:tblBorders>
              <w:tblLayout w:type="fixed"/>
              <w:tblLook w:val="0000" w:firstRow="0" w:lastRow="0" w:firstColumn="0" w:lastColumn="0" w:noHBand="0" w:noVBand="0"/>
            </w:tblPr>
            <w:tblGrid>
              <w:gridCol w:w="1670"/>
            </w:tblGrid>
            <w:tr w:rsidR="008E3BE8" w:rsidRPr="00A474ED" w:rsidTr="00DC51E7">
              <w:trPr>
                <w:trHeight w:val="273"/>
              </w:trPr>
              <w:tc>
                <w:tcPr>
                  <w:tcW w:w="1670" w:type="dxa"/>
                </w:tcPr>
                <w:p w:rsidR="00D4740D" w:rsidRPr="00A474ED" w:rsidRDefault="00D4740D" w:rsidP="008E3BE8">
                  <w:pPr>
                    <w:rPr>
                      <w:rFonts w:asciiTheme="minorHAnsi" w:hAnsiTheme="minorHAnsi"/>
                      <w:color w:val="FFFFFF" w:themeColor="background1"/>
                      <w:sz w:val="20"/>
                      <w:szCs w:val="20"/>
                    </w:rPr>
                  </w:pPr>
                  <w:r w:rsidRPr="00A474ED">
                    <w:rPr>
                      <w:rFonts w:asciiTheme="minorHAnsi" w:hAnsiTheme="minorHAnsi"/>
                      <w:b/>
                      <w:bCs/>
                      <w:color w:val="FFFFFF" w:themeColor="background1"/>
                      <w:sz w:val="20"/>
                      <w:szCs w:val="20"/>
                    </w:rPr>
                    <w:t xml:space="preserve">Approval Date </w:t>
                  </w:r>
                </w:p>
              </w:tc>
            </w:tr>
          </w:tbl>
          <w:p w:rsidR="00D4740D" w:rsidRPr="00A474ED" w:rsidRDefault="00D4740D" w:rsidP="008E3BE8">
            <w:pPr>
              <w:rPr>
                <w:rFonts w:asciiTheme="minorHAnsi" w:hAnsiTheme="minorHAnsi"/>
                <w:color w:val="FFFFFF" w:themeColor="background1"/>
                <w:sz w:val="20"/>
                <w:szCs w:val="20"/>
              </w:rPr>
            </w:pPr>
          </w:p>
        </w:tc>
        <w:tc>
          <w:tcPr>
            <w:tcW w:w="3367" w:type="dxa"/>
          </w:tcPr>
          <w:p w:rsidR="00D4740D" w:rsidRPr="00A474ED" w:rsidRDefault="00D4740D" w:rsidP="008E3BE8">
            <w:pPr>
              <w:rPr>
                <w:rFonts w:asciiTheme="minorHAnsi" w:hAnsiTheme="minorHAnsi"/>
                <w:color w:val="FFFFFF" w:themeColor="background1"/>
                <w:sz w:val="20"/>
                <w:szCs w:val="20"/>
              </w:rPr>
            </w:pPr>
            <w:r w:rsidRPr="00A474ED">
              <w:rPr>
                <w:rFonts w:asciiTheme="minorHAnsi" w:hAnsiTheme="minorHAnsi"/>
                <w:bCs/>
                <w:color w:val="FFFFFF" w:themeColor="background1"/>
                <w:sz w:val="20"/>
                <w:szCs w:val="20"/>
              </w:rPr>
              <w:t xml:space="preserve">Approved Indication </w:t>
            </w:r>
          </w:p>
        </w:tc>
      </w:tr>
      <w:tr w:rsidR="008E3BE8" w:rsidTr="002F162D">
        <w:tc>
          <w:tcPr>
            <w:tcW w:w="1526" w:type="dxa"/>
          </w:tcPr>
          <w:p w:rsidR="00D4740D" w:rsidRPr="00A474ED" w:rsidRDefault="00D4740D" w:rsidP="008E3BE8">
            <w:pPr>
              <w:rPr>
                <w:rFonts w:asciiTheme="minorHAnsi" w:hAnsiTheme="minorHAnsi"/>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654"/>
              <w:gridCol w:w="236"/>
              <w:gridCol w:w="236"/>
              <w:gridCol w:w="236"/>
              <w:gridCol w:w="236"/>
            </w:tblGrid>
            <w:tr w:rsidR="00D4740D" w:rsidRPr="00A474ED" w:rsidTr="00DC51E7">
              <w:trPr>
                <w:trHeight w:val="272"/>
              </w:trPr>
              <w:tc>
                <w:tcPr>
                  <w:tcW w:w="654" w:type="dxa"/>
                </w:tcPr>
                <w:p w:rsidR="00D4740D" w:rsidRPr="00A474ED" w:rsidRDefault="00D4740D" w:rsidP="008E3BE8">
                  <w:pPr>
                    <w:rPr>
                      <w:rFonts w:asciiTheme="minorHAnsi" w:hAnsiTheme="minorHAnsi"/>
                      <w:sz w:val="20"/>
                      <w:szCs w:val="20"/>
                    </w:rPr>
                  </w:pPr>
                  <w:r w:rsidRPr="00A474ED">
                    <w:rPr>
                      <w:rFonts w:asciiTheme="minorHAnsi" w:hAnsiTheme="minorHAnsi"/>
                      <w:sz w:val="20"/>
                      <w:szCs w:val="20"/>
                    </w:rPr>
                    <w:t xml:space="preserve"> USA </w:t>
                  </w:r>
                </w:p>
              </w:tc>
              <w:tc>
                <w:tcPr>
                  <w:tcW w:w="222" w:type="dxa"/>
                </w:tcPr>
                <w:p w:rsidR="00D4740D" w:rsidRPr="00A474ED" w:rsidRDefault="00D4740D" w:rsidP="008E3BE8">
                  <w:pPr>
                    <w:rPr>
                      <w:rFonts w:asciiTheme="minorHAnsi" w:hAnsiTheme="minorHAnsi"/>
                      <w:sz w:val="20"/>
                      <w:szCs w:val="20"/>
                    </w:rPr>
                  </w:pPr>
                </w:p>
              </w:tc>
              <w:tc>
                <w:tcPr>
                  <w:tcW w:w="222" w:type="dxa"/>
                </w:tcPr>
                <w:p w:rsidR="00D4740D" w:rsidRPr="00A474ED" w:rsidRDefault="00D4740D" w:rsidP="008E3BE8">
                  <w:pPr>
                    <w:rPr>
                      <w:rFonts w:asciiTheme="minorHAnsi" w:hAnsiTheme="minorHAnsi"/>
                      <w:sz w:val="20"/>
                      <w:szCs w:val="20"/>
                    </w:rPr>
                  </w:pPr>
                </w:p>
              </w:tc>
              <w:tc>
                <w:tcPr>
                  <w:tcW w:w="222" w:type="dxa"/>
                </w:tcPr>
                <w:p w:rsidR="00D4740D" w:rsidRPr="00A474ED" w:rsidRDefault="00D4740D" w:rsidP="008E3BE8">
                  <w:pPr>
                    <w:rPr>
                      <w:rFonts w:asciiTheme="minorHAnsi" w:hAnsiTheme="minorHAnsi"/>
                      <w:sz w:val="20"/>
                      <w:szCs w:val="20"/>
                    </w:rPr>
                  </w:pPr>
                </w:p>
              </w:tc>
              <w:tc>
                <w:tcPr>
                  <w:tcW w:w="222" w:type="dxa"/>
                </w:tcPr>
                <w:p w:rsidR="00D4740D" w:rsidRPr="00A474ED" w:rsidRDefault="00D4740D" w:rsidP="008E3BE8">
                  <w:pPr>
                    <w:rPr>
                      <w:rFonts w:asciiTheme="minorHAnsi" w:hAnsiTheme="minorHAnsi"/>
                      <w:sz w:val="20"/>
                      <w:szCs w:val="20"/>
                    </w:rPr>
                  </w:pPr>
                </w:p>
              </w:tc>
            </w:tr>
          </w:tbl>
          <w:p w:rsidR="00D4740D" w:rsidRPr="00A474ED" w:rsidRDefault="00D4740D" w:rsidP="008E3BE8">
            <w:pPr>
              <w:rPr>
                <w:rFonts w:asciiTheme="minorHAnsi" w:hAnsiTheme="minorHAnsi"/>
                <w:sz w:val="20"/>
                <w:szCs w:val="20"/>
              </w:rPr>
            </w:pPr>
          </w:p>
        </w:tc>
        <w:tc>
          <w:tcPr>
            <w:tcW w:w="1843" w:type="dxa"/>
          </w:tcPr>
          <w:p w:rsidR="00D4740D" w:rsidRPr="00A474ED" w:rsidRDefault="00D4740D" w:rsidP="008E3BE8">
            <w:pPr>
              <w:rPr>
                <w:rFonts w:asciiTheme="minorHAnsi" w:hAnsiTheme="minorHAnsi"/>
                <w:sz w:val="20"/>
                <w:szCs w:val="20"/>
              </w:rPr>
            </w:pPr>
            <w:r w:rsidRPr="00A474ED">
              <w:rPr>
                <w:rFonts w:asciiTheme="minorHAnsi" w:hAnsiTheme="minorHAnsi"/>
                <w:sz w:val="20"/>
                <w:szCs w:val="20"/>
              </w:rPr>
              <w:t>Descovy (200/25 mg)</w:t>
            </w:r>
          </w:p>
        </w:tc>
        <w:tc>
          <w:tcPr>
            <w:tcW w:w="1984" w:type="dxa"/>
          </w:tcPr>
          <w:p w:rsidR="00D4740D" w:rsidRPr="00A474ED" w:rsidRDefault="00D4740D" w:rsidP="008E3BE8">
            <w:pPr>
              <w:rPr>
                <w:rFonts w:asciiTheme="minorHAnsi" w:hAnsiTheme="minorHAnsi"/>
                <w:sz w:val="20"/>
                <w:szCs w:val="20"/>
              </w:rPr>
            </w:pPr>
            <w:r w:rsidRPr="00A474ED">
              <w:rPr>
                <w:rFonts w:asciiTheme="minorHAnsi" w:hAnsiTheme="minorHAnsi"/>
                <w:sz w:val="20"/>
                <w:szCs w:val="20"/>
              </w:rPr>
              <w:t>04 Apr</w:t>
            </w:r>
            <w:r w:rsidR="008E3BE8" w:rsidRPr="00A474ED">
              <w:rPr>
                <w:rFonts w:asciiTheme="minorHAnsi" w:hAnsiTheme="minorHAnsi"/>
                <w:sz w:val="20"/>
                <w:szCs w:val="20"/>
              </w:rPr>
              <w:t xml:space="preserve">il </w:t>
            </w:r>
            <w:r w:rsidRPr="00A474ED">
              <w:rPr>
                <w:rFonts w:asciiTheme="minorHAnsi" w:hAnsiTheme="minorHAnsi"/>
                <w:sz w:val="20"/>
                <w:szCs w:val="20"/>
              </w:rPr>
              <w:t>2016</w:t>
            </w:r>
          </w:p>
        </w:tc>
        <w:tc>
          <w:tcPr>
            <w:tcW w:w="3367" w:type="dxa"/>
          </w:tcPr>
          <w:p w:rsidR="00D4740D" w:rsidRPr="00A474ED" w:rsidRDefault="005A6D01" w:rsidP="008E3BE8">
            <w:pPr>
              <w:rPr>
                <w:rFonts w:asciiTheme="minorHAnsi" w:hAnsiTheme="minorHAnsi"/>
                <w:sz w:val="20"/>
                <w:szCs w:val="20"/>
              </w:rPr>
            </w:pPr>
            <w:r w:rsidRPr="00A474ED">
              <w:rPr>
                <w:rFonts w:asciiTheme="minorHAnsi" w:hAnsiTheme="minorHAnsi"/>
                <w:sz w:val="20"/>
                <w:szCs w:val="20"/>
              </w:rPr>
              <w:t>Descovy</w:t>
            </w:r>
            <w:r w:rsidR="00D4740D" w:rsidRPr="00A474ED">
              <w:rPr>
                <w:rFonts w:asciiTheme="minorHAnsi" w:hAnsiTheme="minorHAnsi"/>
                <w:sz w:val="20"/>
                <w:szCs w:val="20"/>
              </w:rPr>
              <w:t xml:space="preserve"> is indicated, in combination with other antiretroviral agents, for the treatment of HIV-1 infection in adults and pediatric patients 12 years of age and older.</w:t>
            </w:r>
          </w:p>
        </w:tc>
      </w:tr>
      <w:tr w:rsidR="008E3BE8" w:rsidTr="002F162D">
        <w:tc>
          <w:tcPr>
            <w:tcW w:w="1526" w:type="dxa"/>
          </w:tcPr>
          <w:p w:rsidR="00D4740D" w:rsidRPr="00A474ED" w:rsidRDefault="00D4740D" w:rsidP="008E3BE8">
            <w:pPr>
              <w:rPr>
                <w:rFonts w:asciiTheme="minorHAnsi" w:hAnsiTheme="minorHAnsi"/>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132"/>
              <w:gridCol w:w="236"/>
              <w:gridCol w:w="236"/>
              <w:gridCol w:w="236"/>
              <w:gridCol w:w="236"/>
            </w:tblGrid>
            <w:tr w:rsidR="00D4740D" w:rsidRPr="00A474ED" w:rsidTr="00DC51E7">
              <w:trPr>
                <w:trHeight w:val="398"/>
              </w:trPr>
              <w:tc>
                <w:tcPr>
                  <w:tcW w:w="1132" w:type="dxa"/>
                </w:tcPr>
                <w:p w:rsidR="00D4740D" w:rsidRPr="00A474ED" w:rsidRDefault="006A754F" w:rsidP="008E3BE8">
                  <w:pPr>
                    <w:rPr>
                      <w:rFonts w:asciiTheme="minorHAnsi" w:hAnsiTheme="minorHAnsi"/>
                      <w:sz w:val="20"/>
                      <w:szCs w:val="20"/>
                    </w:rPr>
                  </w:pPr>
                  <w:r>
                    <w:rPr>
                      <w:rFonts w:asciiTheme="minorHAnsi" w:hAnsiTheme="minorHAnsi"/>
                      <w:sz w:val="20"/>
                      <w:szCs w:val="20"/>
                    </w:rPr>
                    <w:t>EU</w:t>
                  </w:r>
                </w:p>
              </w:tc>
              <w:tc>
                <w:tcPr>
                  <w:tcW w:w="222" w:type="dxa"/>
                </w:tcPr>
                <w:p w:rsidR="00D4740D" w:rsidRPr="00A474ED" w:rsidRDefault="00D4740D" w:rsidP="008E3BE8">
                  <w:pPr>
                    <w:rPr>
                      <w:rFonts w:asciiTheme="minorHAnsi" w:hAnsiTheme="minorHAnsi"/>
                      <w:sz w:val="20"/>
                      <w:szCs w:val="20"/>
                    </w:rPr>
                  </w:pPr>
                  <w:r w:rsidRPr="00A474ED">
                    <w:rPr>
                      <w:rFonts w:asciiTheme="minorHAnsi" w:hAnsiTheme="minorHAnsi"/>
                      <w:sz w:val="20"/>
                      <w:szCs w:val="20"/>
                    </w:rPr>
                    <w:t xml:space="preserve"> </w:t>
                  </w:r>
                </w:p>
              </w:tc>
              <w:tc>
                <w:tcPr>
                  <w:tcW w:w="222" w:type="dxa"/>
                </w:tcPr>
                <w:p w:rsidR="00D4740D" w:rsidRPr="00A474ED" w:rsidRDefault="00D4740D" w:rsidP="008E3BE8">
                  <w:pPr>
                    <w:rPr>
                      <w:rFonts w:asciiTheme="minorHAnsi" w:hAnsiTheme="minorHAnsi"/>
                      <w:sz w:val="20"/>
                      <w:szCs w:val="20"/>
                    </w:rPr>
                  </w:pPr>
                </w:p>
              </w:tc>
              <w:tc>
                <w:tcPr>
                  <w:tcW w:w="222" w:type="dxa"/>
                </w:tcPr>
                <w:p w:rsidR="00D4740D" w:rsidRPr="00A474ED" w:rsidRDefault="00D4740D" w:rsidP="008E3BE8">
                  <w:pPr>
                    <w:rPr>
                      <w:rFonts w:asciiTheme="minorHAnsi" w:hAnsiTheme="minorHAnsi"/>
                      <w:sz w:val="20"/>
                      <w:szCs w:val="20"/>
                    </w:rPr>
                  </w:pPr>
                </w:p>
              </w:tc>
              <w:tc>
                <w:tcPr>
                  <w:tcW w:w="222" w:type="dxa"/>
                </w:tcPr>
                <w:p w:rsidR="00D4740D" w:rsidRPr="00A474ED" w:rsidRDefault="00D4740D" w:rsidP="008E3BE8">
                  <w:pPr>
                    <w:rPr>
                      <w:rFonts w:asciiTheme="minorHAnsi" w:hAnsiTheme="minorHAnsi"/>
                      <w:sz w:val="20"/>
                      <w:szCs w:val="20"/>
                    </w:rPr>
                  </w:pPr>
                </w:p>
              </w:tc>
            </w:tr>
          </w:tbl>
          <w:p w:rsidR="00D4740D" w:rsidRPr="00A474ED" w:rsidRDefault="00D4740D" w:rsidP="008E3BE8">
            <w:pPr>
              <w:rPr>
                <w:rFonts w:asciiTheme="minorHAnsi" w:hAnsiTheme="minorHAnsi"/>
                <w:sz w:val="20"/>
                <w:szCs w:val="20"/>
              </w:rPr>
            </w:pPr>
          </w:p>
        </w:tc>
        <w:tc>
          <w:tcPr>
            <w:tcW w:w="1843" w:type="dxa"/>
          </w:tcPr>
          <w:p w:rsidR="008E3BE8" w:rsidRPr="00A474ED" w:rsidRDefault="00D4740D" w:rsidP="008E3BE8">
            <w:pPr>
              <w:rPr>
                <w:rFonts w:asciiTheme="minorHAnsi" w:hAnsiTheme="minorHAnsi"/>
                <w:sz w:val="20"/>
                <w:szCs w:val="20"/>
              </w:rPr>
            </w:pPr>
            <w:r w:rsidRPr="00A474ED">
              <w:rPr>
                <w:rFonts w:asciiTheme="minorHAnsi" w:hAnsiTheme="minorHAnsi"/>
                <w:sz w:val="20"/>
                <w:szCs w:val="20"/>
              </w:rPr>
              <w:t xml:space="preserve">Descovy </w:t>
            </w:r>
          </w:p>
          <w:p w:rsidR="00D4740D" w:rsidRPr="00A474ED" w:rsidRDefault="00D4740D" w:rsidP="00A474ED">
            <w:pPr>
              <w:rPr>
                <w:rFonts w:asciiTheme="minorHAnsi" w:hAnsiTheme="minorHAnsi"/>
                <w:sz w:val="20"/>
                <w:szCs w:val="20"/>
              </w:rPr>
            </w:pPr>
            <w:r w:rsidRPr="00A474ED">
              <w:rPr>
                <w:rFonts w:asciiTheme="minorHAnsi" w:hAnsiTheme="minorHAnsi"/>
                <w:sz w:val="20"/>
                <w:szCs w:val="20"/>
              </w:rPr>
              <w:t xml:space="preserve">200/10 mg </w:t>
            </w:r>
            <w:r w:rsidR="00A474ED" w:rsidRPr="00A474ED">
              <w:rPr>
                <w:rFonts w:asciiTheme="minorHAnsi" w:hAnsiTheme="minorHAnsi"/>
                <w:sz w:val="20"/>
                <w:szCs w:val="20"/>
              </w:rPr>
              <w:t>and</w:t>
            </w:r>
            <w:r w:rsidR="00347444" w:rsidRPr="00A474ED">
              <w:rPr>
                <w:rFonts w:asciiTheme="minorHAnsi" w:hAnsiTheme="minorHAnsi"/>
                <w:sz w:val="20"/>
                <w:szCs w:val="20"/>
              </w:rPr>
              <w:t xml:space="preserve"> </w:t>
            </w:r>
            <w:r w:rsidR="00A474ED" w:rsidRPr="00A474ED">
              <w:rPr>
                <w:rFonts w:asciiTheme="minorHAnsi" w:hAnsiTheme="minorHAnsi"/>
                <w:sz w:val="20"/>
                <w:szCs w:val="20"/>
              </w:rPr>
              <w:t>200/25 mg</w:t>
            </w:r>
          </w:p>
        </w:tc>
        <w:tc>
          <w:tcPr>
            <w:tcW w:w="1984" w:type="dxa"/>
          </w:tcPr>
          <w:p w:rsidR="00D4740D" w:rsidRPr="00A474ED" w:rsidRDefault="00D4740D" w:rsidP="008E3BE8">
            <w:pPr>
              <w:rPr>
                <w:rFonts w:asciiTheme="minorHAnsi" w:hAnsiTheme="minorHAnsi"/>
                <w:sz w:val="20"/>
                <w:szCs w:val="20"/>
              </w:rPr>
            </w:pPr>
            <w:r w:rsidRPr="00A474ED">
              <w:rPr>
                <w:rFonts w:asciiTheme="minorHAnsi" w:hAnsiTheme="minorHAnsi"/>
                <w:sz w:val="20"/>
                <w:szCs w:val="20"/>
              </w:rPr>
              <w:t>21</w:t>
            </w:r>
            <w:r w:rsidR="008E3BE8" w:rsidRPr="00A474ED">
              <w:rPr>
                <w:rFonts w:asciiTheme="minorHAnsi" w:hAnsiTheme="minorHAnsi"/>
                <w:sz w:val="20"/>
                <w:szCs w:val="20"/>
              </w:rPr>
              <w:t xml:space="preserve"> </w:t>
            </w:r>
            <w:r w:rsidRPr="00A474ED">
              <w:rPr>
                <w:rFonts w:asciiTheme="minorHAnsi" w:hAnsiTheme="minorHAnsi"/>
                <w:sz w:val="20"/>
                <w:szCs w:val="20"/>
              </w:rPr>
              <w:t>Apr</w:t>
            </w:r>
            <w:r w:rsidR="008E3BE8" w:rsidRPr="00A474ED">
              <w:rPr>
                <w:rFonts w:asciiTheme="minorHAnsi" w:hAnsiTheme="minorHAnsi"/>
                <w:sz w:val="20"/>
                <w:szCs w:val="20"/>
              </w:rPr>
              <w:t xml:space="preserve">il </w:t>
            </w:r>
            <w:r w:rsidRPr="00A474ED">
              <w:rPr>
                <w:rFonts w:asciiTheme="minorHAnsi" w:hAnsiTheme="minorHAnsi"/>
                <w:sz w:val="20"/>
                <w:szCs w:val="20"/>
              </w:rPr>
              <w:t>2016</w:t>
            </w:r>
          </w:p>
        </w:tc>
        <w:tc>
          <w:tcPr>
            <w:tcW w:w="3367" w:type="dxa"/>
          </w:tcPr>
          <w:p w:rsidR="00D4740D" w:rsidRPr="00A474ED" w:rsidRDefault="005A6D01" w:rsidP="008E3BE8">
            <w:pPr>
              <w:rPr>
                <w:rFonts w:asciiTheme="minorHAnsi" w:hAnsiTheme="minorHAnsi"/>
                <w:sz w:val="20"/>
                <w:szCs w:val="20"/>
              </w:rPr>
            </w:pPr>
            <w:r w:rsidRPr="00A474ED">
              <w:rPr>
                <w:rFonts w:asciiTheme="minorHAnsi" w:hAnsiTheme="minorHAnsi"/>
                <w:sz w:val="20"/>
                <w:szCs w:val="20"/>
              </w:rPr>
              <w:t>Descovy</w:t>
            </w:r>
            <w:r w:rsidR="00D4740D" w:rsidRPr="00A474ED">
              <w:rPr>
                <w:rFonts w:asciiTheme="minorHAnsi" w:hAnsiTheme="minorHAnsi"/>
                <w:sz w:val="20"/>
                <w:szCs w:val="20"/>
              </w:rPr>
              <w:t xml:space="preserve"> is indicated in combination with other antiretroviral agents for the treatment of adults and adolescents (aged 12 years and older with body weight at least 35 kg) infected with human immunodeficiency virus type 1 (HIV-1).</w:t>
            </w:r>
          </w:p>
        </w:tc>
      </w:tr>
      <w:tr w:rsidR="008E3BE8" w:rsidTr="002F162D">
        <w:tc>
          <w:tcPr>
            <w:tcW w:w="1526" w:type="dxa"/>
          </w:tcPr>
          <w:p w:rsidR="00D4740D" w:rsidRPr="00A474ED" w:rsidRDefault="00D4740D" w:rsidP="008E3BE8">
            <w:pPr>
              <w:rPr>
                <w:rFonts w:asciiTheme="minorHAnsi" w:hAnsiTheme="minorHAnsi"/>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956"/>
              <w:gridCol w:w="236"/>
              <w:gridCol w:w="236"/>
              <w:gridCol w:w="236"/>
            </w:tblGrid>
            <w:tr w:rsidR="00D4740D" w:rsidRPr="00A474ED" w:rsidTr="00DC51E7">
              <w:trPr>
                <w:trHeight w:val="524"/>
              </w:trPr>
              <w:tc>
                <w:tcPr>
                  <w:tcW w:w="956" w:type="dxa"/>
                </w:tcPr>
                <w:p w:rsidR="00D4740D" w:rsidRPr="00A474ED" w:rsidRDefault="00D4740D" w:rsidP="008E3BE8">
                  <w:pPr>
                    <w:rPr>
                      <w:rFonts w:asciiTheme="minorHAnsi" w:hAnsiTheme="minorHAnsi"/>
                      <w:sz w:val="20"/>
                      <w:szCs w:val="20"/>
                    </w:rPr>
                  </w:pPr>
                  <w:r w:rsidRPr="00A474ED">
                    <w:rPr>
                      <w:rFonts w:asciiTheme="minorHAnsi" w:hAnsiTheme="minorHAnsi"/>
                      <w:sz w:val="20"/>
                      <w:szCs w:val="20"/>
                    </w:rPr>
                    <w:t xml:space="preserve"> Canada </w:t>
                  </w:r>
                </w:p>
              </w:tc>
              <w:tc>
                <w:tcPr>
                  <w:tcW w:w="222" w:type="dxa"/>
                </w:tcPr>
                <w:p w:rsidR="00D4740D" w:rsidRPr="00A474ED" w:rsidRDefault="00D4740D" w:rsidP="008E3BE8">
                  <w:pPr>
                    <w:rPr>
                      <w:rFonts w:asciiTheme="minorHAnsi" w:hAnsiTheme="minorHAnsi"/>
                      <w:sz w:val="20"/>
                      <w:szCs w:val="20"/>
                    </w:rPr>
                  </w:pPr>
                </w:p>
              </w:tc>
              <w:tc>
                <w:tcPr>
                  <w:tcW w:w="236" w:type="dxa"/>
                </w:tcPr>
                <w:p w:rsidR="00D4740D" w:rsidRPr="00A474ED" w:rsidRDefault="00D4740D" w:rsidP="008E3BE8">
                  <w:pPr>
                    <w:rPr>
                      <w:rFonts w:asciiTheme="minorHAnsi" w:hAnsiTheme="minorHAnsi"/>
                      <w:sz w:val="20"/>
                      <w:szCs w:val="20"/>
                    </w:rPr>
                  </w:pPr>
                </w:p>
              </w:tc>
              <w:tc>
                <w:tcPr>
                  <w:tcW w:w="236" w:type="dxa"/>
                </w:tcPr>
                <w:p w:rsidR="00D4740D" w:rsidRPr="00A474ED" w:rsidRDefault="00D4740D" w:rsidP="008E3BE8">
                  <w:pPr>
                    <w:rPr>
                      <w:rFonts w:asciiTheme="minorHAnsi" w:hAnsiTheme="minorHAnsi"/>
                      <w:sz w:val="20"/>
                      <w:szCs w:val="20"/>
                    </w:rPr>
                  </w:pPr>
                </w:p>
              </w:tc>
            </w:tr>
          </w:tbl>
          <w:p w:rsidR="00D4740D" w:rsidRPr="00A474ED" w:rsidRDefault="00D4740D" w:rsidP="008E3BE8">
            <w:pPr>
              <w:rPr>
                <w:rFonts w:asciiTheme="minorHAnsi" w:hAnsiTheme="minorHAnsi"/>
                <w:sz w:val="20"/>
                <w:szCs w:val="20"/>
              </w:rPr>
            </w:pPr>
          </w:p>
        </w:tc>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1342"/>
            </w:tblGrid>
            <w:tr w:rsidR="00D4740D" w:rsidRPr="00A474ED" w:rsidTr="00DC51E7">
              <w:trPr>
                <w:trHeight w:val="524"/>
              </w:trPr>
              <w:tc>
                <w:tcPr>
                  <w:tcW w:w="1342" w:type="dxa"/>
                </w:tcPr>
                <w:p w:rsidR="008E3BE8" w:rsidRPr="00A474ED" w:rsidRDefault="00D4740D" w:rsidP="008E3BE8">
                  <w:pPr>
                    <w:rPr>
                      <w:rFonts w:asciiTheme="minorHAnsi" w:hAnsiTheme="minorHAnsi"/>
                      <w:sz w:val="20"/>
                      <w:szCs w:val="20"/>
                    </w:rPr>
                  </w:pPr>
                  <w:r w:rsidRPr="00A474ED">
                    <w:rPr>
                      <w:rFonts w:asciiTheme="minorHAnsi" w:hAnsiTheme="minorHAnsi"/>
                      <w:sz w:val="20"/>
                      <w:szCs w:val="20"/>
                    </w:rPr>
                    <w:t xml:space="preserve">Descovy </w:t>
                  </w:r>
                </w:p>
                <w:p w:rsidR="00D4740D" w:rsidRPr="00A474ED" w:rsidRDefault="00D4740D" w:rsidP="00A474ED">
                  <w:pPr>
                    <w:rPr>
                      <w:rFonts w:asciiTheme="minorHAnsi" w:hAnsiTheme="minorHAnsi"/>
                      <w:sz w:val="20"/>
                      <w:szCs w:val="20"/>
                    </w:rPr>
                  </w:pPr>
                  <w:r w:rsidRPr="00A474ED">
                    <w:rPr>
                      <w:rFonts w:asciiTheme="minorHAnsi" w:hAnsiTheme="minorHAnsi"/>
                      <w:sz w:val="20"/>
                      <w:szCs w:val="20"/>
                    </w:rPr>
                    <w:t xml:space="preserve">200/10 mg </w:t>
                  </w:r>
                  <w:r w:rsidR="00A474ED" w:rsidRPr="00A474ED">
                    <w:rPr>
                      <w:rFonts w:asciiTheme="minorHAnsi" w:hAnsiTheme="minorHAnsi"/>
                      <w:sz w:val="20"/>
                      <w:szCs w:val="20"/>
                    </w:rPr>
                    <w:t>and</w:t>
                  </w:r>
                  <w:r w:rsidR="00586A39">
                    <w:rPr>
                      <w:rFonts w:asciiTheme="minorHAnsi" w:hAnsiTheme="minorHAnsi"/>
                      <w:sz w:val="20"/>
                      <w:szCs w:val="20"/>
                    </w:rPr>
                    <w:t xml:space="preserve"> </w:t>
                  </w:r>
                  <w:r w:rsidRPr="00A474ED">
                    <w:rPr>
                      <w:rFonts w:asciiTheme="minorHAnsi" w:hAnsiTheme="minorHAnsi"/>
                      <w:sz w:val="20"/>
                      <w:szCs w:val="20"/>
                    </w:rPr>
                    <w:t xml:space="preserve">200/25 mg </w:t>
                  </w:r>
                </w:p>
              </w:tc>
            </w:tr>
          </w:tbl>
          <w:p w:rsidR="00D4740D" w:rsidRPr="00A474ED" w:rsidRDefault="00D4740D" w:rsidP="008E3BE8">
            <w:pPr>
              <w:rPr>
                <w:rFonts w:asciiTheme="minorHAnsi" w:hAnsiTheme="minorHAnsi"/>
                <w:sz w:val="20"/>
                <w:szCs w:val="20"/>
              </w:rPr>
            </w:pPr>
          </w:p>
        </w:tc>
        <w:tc>
          <w:tcPr>
            <w:tcW w:w="1984" w:type="dxa"/>
          </w:tcPr>
          <w:p w:rsidR="00D4740D" w:rsidRPr="00A474ED" w:rsidRDefault="00D4740D" w:rsidP="008E3BE8">
            <w:pPr>
              <w:rPr>
                <w:rFonts w:asciiTheme="minorHAnsi" w:hAnsiTheme="minorHAnsi"/>
                <w:sz w:val="20"/>
                <w:szCs w:val="20"/>
              </w:rPr>
            </w:pPr>
            <w:r w:rsidRPr="00A474ED">
              <w:rPr>
                <w:rFonts w:asciiTheme="minorHAnsi" w:hAnsiTheme="minorHAnsi"/>
                <w:sz w:val="20"/>
                <w:szCs w:val="20"/>
              </w:rPr>
              <w:t>29</w:t>
            </w:r>
            <w:r w:rsidR="008E3BE8" w:rsidRPr="00A474ED">
              <w:rPr>
                <w:rFonts w:asciiTheme="minorHAnsi" w:hAnsiTheme="minorHAnsi"/>
                <w:sz w:val="20"/>
                <w:szCs w:val="20"/>
              </w:rPr>
              <w:t xml:space="preserve"> </w:t>
            </w:r>
            <w:r w:rsidRPr="00A474ED">
              <w:rPr>
                <w:rFonts w:asciiTheme="minorHAnsi" w:hAnsiTheme="minorHAnsi"/>
                <w:sz w:val="20"/>
                <w:szCs w:val="20"/>
              </w:rPr>
              <w:t>Apr</w:t>
            </w:r>
            <w:r w:rsidR="008E3BE8" w:rsidRPr="00A474ED">
              <w:rPr>
                <w:rFonts w:asciiTheme="minorHAnsi" w:hAnsiTheme="minorHAnsi"/>
                <w:sz w:val="20"/>
                <w:szCs w:val="20"/>
              </w:rPr>
              <w:t xml:space="preserve">il </w:t>
            </w:r>
            <w:r w:rsidRPr="00A474ED">
              <w:rPr>
                <w:rFonts w:asciiTheme="minorHAnsi" w:hAnsiTheme="minorHAnsi"/>
                <w:sz w:val="20"/>
                <w:szCs w:val="20"/>
              </w:rPr>
              <w:t>2016</w:t>
            </w:r>
          </w:p>
        </w:tc>
        <w:tc>
          <w:tcPr>
            <w:tcW w:w="3367" w:type="dxa"/>
          </w:tcPr>
          <w:p w:rsidR="00D4740D" w:rsidRPr="00A474ED" w:rsidRDefault="005A6D01" w:rsidP="008E3BE8">
            <w:pPr>
              <w:rPr>
                <w:rFonts w:asciiTheme="minorHAnsi" w:hAnsiTheme="minorHAnsi"/>
                <w:sz w:val="20"/>
                <w:szCs w:val="20"/>
              </w:rPr>
            </w:pPr>
            <w:r w:rsidRPr="00A474ED">
              <w:rPr>
                <w:rFonts w:asciiTheme="minorHAnsi" w:hAnsiTheme="minorHAnsi"/>
                <w:sz w:val="20"/>
                <w:szCs w:val="20"/>
              </w:rPr>
              <w:t>Descovy</w:t>
            </w:r>
            <w:r w:rsidR="00D4740D" w:rsidRPr="00A474ED">
              <w:rPr>
                <w:rFonts w:asciiTheme="minorHAnsi" w:hAnsiTheme="minorHAnsi"/>
                <w:sz w:val="20"/>
                <w:szCs w:val="20"/>
              </w:rPr>
              <w:t xml:space="preserve"> is indicated in combination with other antiretrovirals (such as non-nucleoside reverse transcriptase inhibitors or protease inhibitors) for the treatment of human immunodeficiency virus type 1 (HIV-1) infection in adults and pediatric patients 12 years of age and older (and weighing ≥35 kg).</w:t>
            </w:r>
          </w:p>
        </w:tc>
      </w:tr>
      <w:tr w:rsidR="008E3BE8" w:rsidTr="002F162D">
        <w:tc>
          <w:tcPr>
            <w:tcW w:w="1526" w:type="dxa"/>
          </w:tcPr>
          <w:tbl>
            <w:tblPr>
              <w:tblW w:w="1362" w:type="dxa"/>
              <w:tblBorders>
                <w:top w:val="nil"/>
                <w:left w:val="nil"/>
                <w:bottom w:val="nil"/>
                <w:right w:val="nil"/>
              </w:tblBorders>
              <w:tblLayout w:type="fixed"/>
              <w:tblLook w:val="0000" w:firstRow="0" w:lastRow="0" w:firstColumn="0" w:lastColumn="0" w:noHBand="0" w:noVBand="0"/>
            </w:tblPr>
            <w:tblGrid>
              <w:gridCol w:w="654"/>
              <w:gridCol w:w="236"/>
              <w:gridCol w:w="236"/>
              <w:gridCol w:w="236"/>
            </w:tblGrid>
            <w:tr w:rsidR="00D4740D" w:rsidRPr="00A474ED" w:rsidTr="00A474ED">
              <w:trPr>
                <w:trHeight w:val="271"/>
              </w:trPr>
              <w:tc>
                <w:tcPr>
                  <w:tcW w:w="654" w:type="dxa"/>
                </w:tcPr>
                <w:p w:rsidR="00D4740D" w:rsidRPr="00A474ED" w:rsidRDefault="00D4740D" w:rsidP="008E3BE8">
                  <w:pPr>
                    <w:rPr>
                      <w:rFonts w:asciiTheme="minorHAnsi" w:hAnsiTheme="minorHAnsi"/>
                      <w:sz w:val="20"/>
                      <w:szCs w:val="20"/>
                    </w:rPr>
                  </w:pPr>
                  <w:r w:rsidRPr="00A474ED">
                    <w:rPr>
                      <w:rFonts w:asciiTheme="minorHAnsi" w:hAnsiTheme="minorHAnsi"/>
                      <w:sz w:val="20"/>
                      <w:szCs w:val="20"/>
                    </w:rPr>
                    <w:t xml:space="preserve"> USA </w:t>
                  </w:r>
                </w:p>
              </w:tc>
              <w:tc>
                <w:tcPr>
                  <w:tcW w:w="236" w:type="dxa"/>
                </w:tcPr>
                <w:p w:rsidR="00D4740D" w:rsidRPr="00A474ED" w:rsidRDefault="00D4740D" w:rsidP="008E3BE8">
                  <w:pPr>
                    <w:rPr>
                      <w:rFonts w:asciiTheme="minorHAnsi" w:hAnsiTheme="minorHAnsi"/>
                      <w:sz w:val="20"/>
                      <w:szCs w:val="20"/>
                    </w:rPr>
                  </w:pPr>
                </w:p>
              </w:tc>
              <w:tc>
                <w:tcPr>
                  <w:tcW w:w="236" w:type="dxa"/>
                </w:tcPr>
                <w:p w:rsidR="00D4740D" w:rsidRPr="00A474ED" w:rsidRDefault="00D4740D" w:rsidP="008E3BE8">
                  <w:pPr>
                    <w:rPr>
                      <w:rFonts w:asciiTheme="minorHAnsi" w:hAnsiTheme="minorHAnsi"/>
                      <w:sz w:val="20"/>
                      <w:szCs w:val="20"/>
                    </w:rPr>
                  </w:pPr>
                </w:p>
              </w:tc>
              <w:tc>
                <w:tcPr>
                  <w:tcW w:w="236" w:type="dxa"/>
                </w:tcPr>
                <w:p w:rsidR="00D4740D" w:rsidRPr="00A474ED" w:rsidRDefault="00D4740D" w:rsidP="008E3BE8">
                  <w:pPr>
                    <w:rPr>
                      <w:rFonts w:asciiTheme="minorHAnsi" w:hAnsiTheme="minorHAnsi"/>
                      <w:sz w:val="20"/>
                      <w:szCs w:val="20"/>
                    </w:rPr>
                  </w:pPr>
                </w:p>
              </w:tc>
            </w:tr>
          </w:tbl>
          <w:p w:rsidR="00D4740D" w:rsidRPr="00A474ED" w:rsidRDefault="00D4740D" w:rsidP="008E3BE8">
            <w:pPr>
              <w:rPr>
                <w:rFonts w:asciiTheme="minorHAnsi" w:hAnsiTheme="minorHAnsi"/>
                <w:sz w:val="20"/>
                <w:szCs w:val="20"/>
              </w:rPr>
            </w:pPr>
          </w:p>
        </w:tc>
        <w:tc>
          <w:tcPr>
            <w:tcW w:w="1843" w:type="dxa"/>
          </w:tcPr>
          <w:p w:rsidR="00D4740D" w:rsidRPr="00A474ED" w:rsidRDefault="00D4740D" w:rsidP="00A474ED">
            <w:pPr>
              <w:rPr>
                <w:rFonts w:asciiTheme="minorHAnsi" w:hAnsiTheme="minorHAnsi"/>
                <w:sz w:val="20"/>
                <w:szCs w:val="20"/>
              </w:rPr>
            </w:pPr>
            <w:r w:rsidRPr="00A474ED">
              <w:rPr>
                <w:rFonts w:asciiTheme="minorHAnsi" w:hAnsiTheme="minorHAnsi"/>
                <w:sz w:val="20"/>
                <w:szCs w:val="20"/>
              </w:rPr>
              <w:t>Descovy 200/10 mg</w:t>
            </w:r>
          </w:p>
        </w:tc>
        <w:tc>
          <w:tcPr>
            <w:tcW w:w="1984" w:type="dxa"/>
          </w:tcPr>
          <w:p w:rsidR="00D4740D" w:rsidRPr="00A474ED" w:rsidRDefault="002F162D" w:rsidP="008E3BE8">
            <w:pPr>
              <w:rPr>
                <w:rFonts w:asciiTheme="minorHAnsi" w:hAnsiTheme="minorHAnsi"/>
                <w:sz w:val="20"/>
                <w:szCs w:val="20"/>
              </w:rPr>
            </w:pPr>
            <w:r w:rsidRPr="00A474ED">
              <w:rPr>
                <w:rFonts w:asciiTheme="minorHAnsi" w:hAnsiTheme="minorHAnsi"/>
                <w:sz w:val="20"/>
                <w:szCs w:val="20"/>
              </w:rPr>
              <w:t>W</w:t>
            </w:r>
            <w:r w:rsidR="008E3BE8" w:rsidRPr="00A474ED">
              <w:rPr>
                <w:rFonts w:asciiTheme="minorHAnsi" w:hAnsiTheme="minorHAnsi"/>
                <w:sz w:val="20"/>
                <w:szCs w:val="20"/>
              </w:rPr>
              <w:t>ithdrawn</w:t>
            </w:r>
          </w:p>
        </w:tc>
        <w:tc>
          <w:tcPr>
            <w:tcW w:w="3367" w:type="dxa"/>
          </w:tcPr>
          <w:p w:rsidR="00D4740D" w:rsidRPr="00A474ED" w:rsidRDefault="00D4740D" w:rsidP="008E3BE8">
            <w:pPr>
              <w:rPr>
                <w:rFonts w:asciiTheme="minorHAnsi" w:hAnsiTheme="minorHAnsi"/>
                <w:sz w:val="20"/>
                <w:szCs w:val="20"/>
              </w:rPr>
            </w:pPr>
            <w:r w:rsidRPr="00A474ED">
              <w:rPr>
                <w:rFonts w:asciiTheme="minorHAnsi" w:hAnsiTheme="minorHAnsi"/>
                <w:sz w:val="20"/>
                <w:szCs w:val="20"/>
              </w:rPr>
              <w:t>Descovy (200/10 mg) application has been withdrawn, but not for safety reasons.</w:t>
            </w:r>
          </w:p>
        </w:tc>
      </w:tr>
    </w:tbl>
    <w:p w:rsidR="008E7846" w:rsidRDefault="008E7846" w:rsidP="00940A89">
      <w:pPr>
        <w:pStyle w:val="Heading3"/>
      </w:pPr>
      <w:bookmarkStart w:id="21" w:name="_Toc470175464"/>
      <w:r>
        <w:lastRenderedPageBreak/>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4" w:name="_Toc470175465"/>
      <w:r>
        <w:t>II. Quality</w:t>
      </w:r>
      <w:bookmarkEnd w:id="2"/>
      <w:r>
        <w:t xml:space="preserve"> findings</w:t>
      </w:r>
      <w:bookmarkEnd w:id="22"/>
      <w:bookmarkEnd w:id="23"/>
      <w:bookmarkEnd w:id="24"/>
    </w:p>
    <w:p w:rsidR="00940A89" w:rsidRDefault="00940A89" w:rsidP="00940A89">
      <w:pPr>
        <w:pStyle w:val="Heading3"/>
      </w:pPr>
      <w:bookmarkStart w:id="25" w:name="_Toc470175466"/>
      <w:bookmarkStart w:id="26" w:name="_Toc247691507"/>
      <w:bookmarkStart w:id="27" w:name="_Toc314842488"/>
      <w:r w:rsidRPr="00940A89">
        <w:t>Introduction</w:t>
      </w:r>
      <w:bookmarkEnd w:id="25"/>
    </w:p>
    <w:p w:rsidR="00586A39" w:rsidRDefault="005A6209" w:rsidP="000230EE">
      <w:r w:rsidRPr="00F652C2">
        <w:t xml:space="preserve">Two </w:t>
      </w:r>
      <w:r w:rsidRPr="00353AB8">
        <w:t>dose strengths are proposed for registration with one tablet containing 200 mg emtricitabine (FTC or F), and 10 mg tenofovir alafenamide fumarate (TAF or GS-7340); and the</w:t>
      </w:r>
      <w:r>
        <w:t xml:space="preserve"> other dose strength containing </w:t>
      </w:r>
      <w:r w:rsidRPr="00F652C2">
        <w:t>200 mg emtricitabine a</w:t>
      </w:r>
      <w:r w:rsidR="00914F1C">
        <w:t xml:space="preserve">nd 25 mg tenofovir alafenamide </w:t>
      </w:r>
      <w:r w:rsidRPr="00F652C2">
        <w:t>fumarate.</w:t>
      </w:r>
      <w:r w:rsidR="00347444">
        <w:t xml:space="preserve"> </w:t>
      </w:r>
      <w:r w:rsidRPr="00F652C2">
        <w:t xml:space="preserve">The proposed trade name for the new FDC tablets is </w:t>
      </w:r>
      <w:r w:rsidR="005A6D01" w:rsidRPr="00353AB8">
        <w:t>Descovy</w:t>
      </w:r>
      <w:r>
        <w:rPr>
          <w:i/>
          <w:vertAlign w:val="superscript"/>
        </w:rPr>
        <w:t xml:space="preserve"> </w:t>
      </w:r>
      <w:r w:rsidRPr="00267FEF">
        <w:t xml:space="preserve">although the company has been asked </w:t>
      </w:r>
      <w:r w:rsidR="003A7FC4">
        <w:t xml:space="preserve">to </w:t>
      </w:r>
      <w:r>
        <w:t>revise the trade</w:t>
      </w:r>
      <w:r w:rsidR="00353AB8">
        <w:t xml:space="preserve"> </w:t>
      </w:r>
      <w:r>
        <w:t xml:space="preserve">names </w:t>
      </w:r>
      <w:r w:rsidRPr="00267FEF">
        <w:t xml:space="preserve">to include the product strengths </w:t>
      </w:r>
      <w:r>
        <w:t>(‘</w:t>
      </w:r>
      <w:r w:rsidRPr="00267FEF">
        <w:rPr>
          <w:i/>
        </w:rPr>
        <w:t>tradename</w:t>
      </w:r>
      <w:r>
        <w:t xml:space="preserve"> 200/10’)</w:t>
      </w:r>
      <w:r w:rsidRPr="00267FEF">
        <w:t>, in accordance with the TGA’s ‘Best practice guideline on prescription medicine labelling’</w:t>
      </w:r>
      <w:r w:rsidRPr="00267FEF">
        <w:rPr>
          <w:rStyle w:val="FootnoteReference"/>
        </w:rPr>
        <w:footnoteReference w:id="2"/>
      </w:r>
      <w:r w:rsidR="00586A39">
        <w:t>.</w:t>
      </w:r>
    </w:p>
    <w:p w:rsidR="005A6209" w:rsidRDefault="005A6209" w:rsidP="000230EE">
      <w:r w:rsidRPr="00F652C2">
        <w:t>Structures of the two active ingredients are shown below</w:t>
      </w:r>
      <w:r>
        <w:t>, together with the related, previously approved drug substance tenofovir disoproxil fumarate (TDF).</w:t>
      </w:r>
    </w:p>
    <w:p w:rsidR="00353AB8" w:rsidRPr="00F652C2" w:rsidRDefault="00353AB8" w:rsidP="00353AB8">
      <w:pPr>
        <w:pStyle w:val="FigureTitle"/>
      </w:pPr>
      <w:r>
        <w:t>Figure 1: Chemical structures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7"/>
        <w:gridCol w:w="4423"/>
      </w:tblGrid>
      <w:tr w:rsidR="005A6209" w:rsidRPr="00F652C2" w:rsidTr="005A6209">
        <w:tc>
          <w:tcPr>
            <w:tcW w:w="4856" w:type="dxa"/>
          </w:tcPr>
          <w:p w:rsidR="005A6209" w:rsidRPr="00F652C2" w:rsidRDefault="005A6209" w:rsidP="005A6209">
            <w:pPr>
              <w:jc w:val="center"/>
              <w:rPr>
                <w:b/>
              </w:rPr>
            </w:pPr>
            <w:r>
              <w:rPr>
                <w:b/>
                <w:noProof/>
                <w:lang w:eastAsia="en-AU"/>
              </w:rPr>
              <w:drawing>
                <wp:inline distT="0" distB="0" distL="0" distR="0" wp14:anchorId="23BEEA7E" wp14:editId="6E36A5C8">
                  <wp:extent cx="1647825" cy="871855"/>
                  <wp:effectExtent l="0" t="0" r="9525" b="4445"/>
                  <wp:docPr id="9" name="Picture 9" descr="Emtricitabine (‘F’ or ‘F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871855"/>
                          </a:xfrm>
                          <a:prstGeom prst="rect">
                            <a:avLst/>
                          </a:prstGeom>
                          <a:noFill/>
                          <a:ln>
                            <a:noFill/>
                          </a:ln>
                        </pic:spPr>
                      </pic:pic>
                    </a:graphicData>
                  </a:graphic>
                </wp:inline>
              </w:drawing>
            </w:r>
          </w:p>
        </w:tc>
        <w:tc>
          <w:tcPr>
            <w:tcW w:w="4857" w:type="dxa"/>
          </w:tcPr>
          <w:p w:rsidR="005A6209" w:rsidRPr="00F652C2" w:rsidRDefault="005A6209" w:rsidP="005A6209">
            <w:pPr>
              <w:jc w:val="center"/>
              <w:rPr>
                <w:b/>
              </w:rPr>
            </w:pPr>
            <w:r>
              <w:rPr>
                <w:b/>
                <w:noProof/>
                <w:lang w:eastAsia="en-AU"/>
              </w:rPr>
              <w:drawing>
                <wp:inline distT="0" distB="0" distL="0" distR="0" wp14:anchorId="4182EAD5" wp14:editId="5677CCE9">
                  <wp:extent cx="1945640" cy="850900"/>
                  <wp:effectExtent l="0" t="0" r="0" b="6350"/>
                  <wp:docPr id="8" name="Picture 8" descr="Tenofovir alafenamide fumarate &#10;(‘TAF fumar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640" cy="850900"/>
                          </a:xfrm>
                          <a:prstGeom prst="rect">
                            <a:avLst/>
                          </a:prstGeom>
                          <a:noFill/>
                          <a:ln>
                            <a:noFill/>
                          </a:ln>
                        </pic:spPr>
                      </pic:pic>
                    </a:graphicData>
                  </a:graphic>
                </wp:inline>
              </w:drawing>
            </w:r>
          </w:p>
        </w:tc>
      </w:tr>
      <w:tr w:rsidR="005A6209" w:rsidRPr="00F652C2" w:rsidTr="00353AB8">
        <w:tc>
          <w:tcPr>
            <w:tcW w:w="4856" w:type="dxa"/>
            <w:shd w:val="clear" w:color="auto" w:fill="0070C0"/>
          </w:tcPr>
          <w:p w:rsidR="005A6209" w:rsidRPr="00353AB8" w:rsidRDefault="005A6209" w:rsidP="005A6209">
            <w:pPr>
              <w:jc w:val="center"/>
              <w:rPr>
                <w:b/>
                <w:color w:val="FFFFFF" w:themeColor="background1"/>
              </w:rPr>
            </w:pPr>
            <w:r w:rsidRPr="00353AB8">
              <w:rPr>
                <w:b/>
                <w:color w:val="FFFFFF" w:themeColor="background1"/>
              </w:rPr>
              <w:t xml:space="preserve">Emtricitabine </w:t>
            </w:r>
            <w:r w:rsidRPr="00353AB8">
              <w:rPr>
                <w:b/>
                <w:color w:val="FFFFFF" w:themeColor="background1"/>
                <w:sz w:val="20"/>
              </w:rPr>
              <w:t>(‘F’ or ‘FTC’)</w:t>
            </w:r>
          </w:p>
        </w:tc>
        <w:tc>
          <w:tcPr>
            <w:tcW w:w="4857" w:type="dxa"/>
            <w:tcBorders>
              <w:bottom w:val="single" w:sz="4" w:space="0" w:color="auto"/>
            </w:tcBorders>
            <w:shd w:val="clear" w:color="auto" w:fill="0070C0"/>
          </w:tcPr>
          <w:p w:rsidR="005A6209" w:rsidRPr="00353AB8" w:rsidRDefault="005A6209" w:rsidP="005A6209">
            <w:pPr>
              <w:jc w:val="center"/>
              <w:rPr>
                <w:b/>
                <w:color w:val="FFFFFF" w:themeColor="background1"/>
              </w:rPr>
            </w:pPr>
            <w:r w:rsidRPr="00353AB8">
              <w:rPr>
                <w:b/>
                <w:color w:val="FFFFFF" w:themeColor="background1"/>
              </w:rPr>
              <w:t xml:space="preserve">Tenofovir alafenamide fumarate </w:t>
            </w:r>
            <w:r w:rsidRPr="00353AB8">
              <w:rPr>
                <w:b/>
                <w:color w:val="FFFFFF" w:themeColor="background1"/>
              </w:rPr>
              <w:br/>
            </w:r>
            <w:r w:rsidRPr="00353AB8">
              <w:rPr>
                <w:b/>
                <w:color w:val="FFFFFF" w:themeColor="background1"/>
                <w:sz w:val="20"/>
              </w:rPr>
              <w:t>(‘TAF fumarate’)</w:t>
            </w:r>
          </w:p>
        </w:tc>
      </w:tr>
      <w:tr w:rsidR="005A6209" w:rsidRPr="00F652C2" w:rsidTr="005A6209">
        <w:tc>
          <w:tcPr>
            <w:tcW w:w="9713" w:type="dxa"/>
            <w:gridSpan w:val="2"/>
            <w:shd w:val="clear" w:color="auto" w:fill="auto"/>
          </w:tcPr>
          <w:p w:rsidR="005A6209" w:rsidRPr="00F652C2" w:rsidRDefault="005A6209" w:rsidP="005A6209">
            <w:pPr>
              <w:jc w:val="center"/>
              <w:rPr>
                <w:b/>
              </w:rPr>
            </w:pPr>
            <w:r>
              <w:rPr>
                <w:noProof/>
                <w:lang w:eastAsia="en-AU"/>
              </w:rPr>
              <w:drawing>
                <wp:inline distT="0" distB="0" distL="0" distR="0" wp14:anchorId="4CFCF730" wp14:editId="1FA3BF89">
                  <wp:extent cx="1913890" cy="882650"/>
                  <wp:effectExtent l="0" t="0" r="0" b="0"/>
                  <wp:docPr id="7" name="Picture 7" descr="Tenofovir disoproxil fumarate (‘T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rxlist.com/images/rxlist/viread1.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13890" cy="882650"/>
                          </a:xfrm>
                          <a:prstGeom prst="rect">
                            <a:avLst/>
                          </a:prstGeom>
                          <a:noFill/>
                          <a:ln>
                            <a:noFill/>
                          </a:ln>
                        </pic:spPr>
                      </pic:pic>
                    </a:graphicData>
                  </a:graphic>
                </wp:inline>
              </w:drawing>
            </w:r>
          </w:p>
        </w:tc>
      </w:tr>
      <w:tr w:rsidR="005A6209" w:rsidRPr="00F652C2" w:rsidTr="00353AB8">
        <w:tc>
          <w:tcPr>
            <w:tcW w:w="9713" w:type="dxa"/>
            <w:gridSpan w:val="2"/>
            <w:shd w:val="clear" w:color="auto" w:fill="0070C0"/>
          </w:tcPr>
          <w:p w:rsidR="005A6209" w:rsidRPr="00F652C2" w:rsidRDefault="005A6209" w:rsidP="005A6209">
            <w:pPr>
              <w:jc w:val="center"/>
              <w:rPr>
                <w:b/>
              </w:rPr>
            </w:pPr>
            <w:r w:rsidRPr="00353AB8">
              <w:rPr>
                <w:b/>
                <w:color w:val="FFFFFF" w:themeColor="background1"/>
              </w:rPr>
              <w:t xml:space="preserve">Tenofovir disoproxil fumarate </w:t>
            </w:r>
            <w:r w:rsidRPr="00353AB8">
              <w:rPr>
                <w:b/>
                <w:color w:val="FFFFFF" w:themeColor="background1"/>
                <w:sz w:val="20"/>
              </w:rPr>
              <w:t>(‘TDF’)</w:t>
            </w:r>
          </w:p>
        </w:tc>
      </w:tr>
    </w:tbl>
    <w:p w:rsidR="005A6209" w:rsidRDefault="005A6209" w:rsidP="00353AB8">
      <w:r>
        <w:t xml:space="preserve">The proposed FDC tablet is very similar to the TGA approved </w:t>
      </w:r>
      <w:r w:rsidR="00353AB8" w:rsidRPr="0073585B">
        <w:t>Stribild</w:t>
      </w:r>
      <w:r w:rsidRPr="0073585B">
        <w:t xml:space="preserve"> tablets </w:t>
      </w:r>
      <w:r>
        <w:t>which is formulated with E/C/F/TDF 150/150/200</w:t>
      </w:r>
      <w:r w:rsidRPr="0073585B">
        <w:t>/300 mg</w:t>
      </w:r>
      <w:r>
        <w:t xml:space="preserve">, and the recently approved </w:t>
      </w:r>
      <w:r w:rsidR="00AA3643">
        <w:t>Genvoya</w:t>
      </w:r>
      <w:r>
        <w:t xml:space="preserve"> tablet formulated with E/C/F/TAF 150/150/200/1</w:t>
      </w:r>
      <w:r w:rsidR="00E04BFC">
        <w:t>0 mg</w:t>
      </w:r>
      <w:r>
        <w:t>.</w:t>
      </w:r>
      <w:r w:rsidR="00347444">
        <w:t xml:space="preserve"> </w:t>
      </w:r>
      <w:r w:rsidRPr="00F652C2">
        <w:t>Tenofovir disoproxil fumarate (TDF) was developed as a first generation or</w:t>
      </w:r>
      <w:r>
        <w:t>al prodrug of tenofovir (TFV).</w:t>
      </w:r>
    </w:p>
    <w:p w:rsidR="005A6209" w:rsidRPr="00914F1C" w:rsidRDefault="005A6209" w:rsidP="00914F1C">
      <w:r w:rsidRPr="00914F1C">
        <w:t>TAF is claimed to have a unique metabolism that provides enhanced lymphatic delivery of TFV, resulting in higher intracellular levels of the active phosphorylated metabolite TFV-DP and lower circulating levels of TFV when compared to TDF.</w:t>
      </w:r>
      <w:r w:rsidR="00347444" w:rsidRPr="00914F1C">
        <w:t xml:space="preserve"> </w:t>
      </w:r>
      <w:r w:rsidRPr="00914F1C">
        <w:t xml:space="preserve">Thus, the clinical dose of TAF is much lower than the clinical dose of TDF. These features have the potential to translate into less risk of nephrotoxicity and less decrease in bone mineral density, which are noted risks with TDF administration. Cobicistat (C ) acts as a ‘booster’ for Tenofovir alafenamide (TAF) and co-administration with cobicistat has been shown to increase the </w:t>
      </w:r>
      <w:r w:rsidR="00353AB8" w:rsidRPr="00914F1C">
        <w:lastRenderedPageBreak/>
        <w:t>peak plasma concentration (</w:t>
      </w:r>
      <w:r w:rsidRPr="00914F1C">
        <w:t>C</w:t>
      </w:r>
      <w:r w:rsidRPr="006A754F">
        <w:rPr>
          <w:vertAlign w:val="subscript"/>
        </w:rPr>
        <w:t>max</w:t>
      </w:r>
      <w:r w:rsidR="00353AB8" w:rsidRPr="00914F1C">
        <w:t xml:space="preserve">) </w:t>
      </w:r>
      <w:r w:rsidRPr="00914F1C">
        <w:t xml:space="preserve">and </w:t>
      </w:r>
      <w:r w:rsidR="00353AB8" w:rsidRPr="00914F1C">
        <w:t>area under the plasma concentration versus time curve (</w:t>
      </w:r>
      <w:r w:rsidRPr="00914F1C">
        <w:t>AUC</w:t>
      </w:r>
      <w:r w:rsidR="00353AB8" w:rsidRPr="00914F1C">
        <w:t>)</w:t>
      </w:r>
      <w:r w:rsidRPr="00914F1C">
        <w:t xml:space="preserve"> of TAF by more than </w:t>
      </w:r>
      <w:r w:rsidR="00353AB8" w:rsidRPr="00914F1C">
        <w:t>2 times</w:t>
      </w:r>
      <w:r w:rsidRPr="00914F1C">
        <w:t>.</w:t>
      </w:r>
    </w:p>
    <w:p w:rsidR="00586A39" w:rsidRDefault="005A6209" w:rsidP="00914F1C">
      <w:r w:rsidRPr="00914F1C">
        <w:t>With TAF as an improved pro-drug of tenofovir, Gilead has co-formulated TAF with the nucleoside reverse transcriptase inhibitor, emtricitabine, into a fixed dose combination tablet</w:t>
      </w:r>
      <w:r w:rsidR="00586A39">
        <w:t>.</w:t>
      </w:r>
    </w:p>
    <w:p w:rsidR="005A6209" w:rsidRPr="00914F1C" w:rsidRDefault="005A6209" w:rsidP="00914F1C">
      <w:r w:rsidRPr="00914F1C">
        <w:t>With regard to the active drug substances, the sponsor has previously obtained TGA approval for the respective monotherapy treatments (emtricitabine only) and FDC treatments, the details of which are listed below</w:t>
      </w:r>
      <w:r w:rsidR="007710BC" w:rsidRPr="00914F1C">
        <w:t xml:space="preserve"> (Table 2)</w:t>
      </w:r>
      <w:r w:rsidRPr="00914F1C">
        <w:t>.</w:t>
      </w:r>
      <w:r w:rsidR="00347444" w:rsidRPr="00914F1C">
        <w:t xml:space="preserve"> </w:t>
      </w:r>
      <w:r w:rsidR="00353AB8" w:rsidRPr="00914F1C">
        <w:t>T</w:t>
      </w:r>
      <w:r w:rsidRPr="00914F1C">
        <w:t xml:space="preserve">he applicant has cross-referenced </w:t>
      </w:r>
      <w:r w:rsidR="00353AB8" w:rsidRPr="00914F1C">
        <w:t xml:space="preserve">to </w:t>
      </w:r>
      <w:r w:rsidRPr="00914F1C">
        <w:t xml:space="preserve">the approved </w:t>
      </w:r>
      <w:r w:rsidR="00CC7403">
        <w:t>Emtriva, Viread a</w:t>
      </w:r>
      <w:r w:rsidR="00353AB8" w:rsidRPr="00914F1C">
        <w:t>nd Stribild</w:t>
      </w:r>
      <w:r w:rsidRPr="00914F1C">
        <w:t xml:space="preserve"> FDC Tablet submissions, as well as the submission for </w:t>
      </w:r>
      <w:r w:rsidR="00AA3643" w:rsidRPr="00914F1C">
        <w:t>Genvoya</w:t>
      </w:r>
      <w:r w:rsidRPr="00914F1C">
        <w:t xml:space="preserve"> FDC Tablet which </w:t>
      </w:r>
      <w:r w:rsidR="007710BC" w:rsidRPr="00914F1C">
        <w:t>was</w:t>
      </w:r>
      <w:r w:rsidRPr="00914F1C">
        <w:t xml:space="preserve"> recently approved.</w:t>
      </w:r>
    </w:p>
    <w:p w:rsidR="007710BC" w:rsidRPr="00F652C2" w:rsidRDefault="007710BC" w:rsidP="007710BC">
      <w:pPr>
        <w:pStyle w:val="TableTitle"/>
      </w:pPr>
      <w:r>
        <w:t>Table 2: Related submissions</w:t>
      </w:r>
    </w:p>
    <w:tbl>
      <w:tblPr>
        <w:tblStyle w:val="TableTGAblue"/>
        <w:tblW w:w="0" w:type="auto"/>
        <w:tblLook w:val="00A0" w:firstRow="1" w:lastRow="0" w:firstColumn="1" w:lastColumn="0" w:noHBand="0" w:noVBand="0"/>
      </w:tblPr>
      <w:tblGrid>
        <w:gridCol w:w="1341"/>
        <w:gridCol w:w="2461"/>
        <w:gridCol w:w="1348"/>
        <w:gridCol w:w="1226"/>
        <w:gridCol w:w="1123"/>
        <w:gridCol w:w="1221"/>
      </w:tblGrid>
      <w:tr w:rsidR="005A6209" w:rsidRPr="007710BC" w:rsidTr="007710BC">
        <w:trPr>
          <w:cnfStyle w:val="100000000000" w:firstRow="1" w:lastRow="0" w:firstColumn="0" w:lastColumn="0" w:oddVBand="0" w:evenVBand="0" w:oddHBand="0" w:evenHBand="0" w:firstRowFirstColumn="0" w:firstRowLastColumn="0" w:lastRowFirstColumn="0" w:lastRowLastColumn="0"/>
        </w:trPr>
        <w:tc>
          <w:tcPr>
            <w:tcW w:w="1395" w:type="dxa"/>
          </w:tcPr>
          <w:p w:rsidR="005A6209" w:rsidRPr="007710BC" w:rsidRDefault="005A6209" w:rsidP="005A6209">
            <w:pPr>
              <w:jc w:val="center"/>
              <w:rPr>
                <w:sz w:val="20"/>
              </w:rPr>
            </w:pPr>
            <w:r w:rsidRPr="007710BC">
              <w:rPr>
                <w:sz w:val="20"/>
              </w:rPr>
              <w:t>Trade Name</w:t>
            </w:r>
          </w:p>
        </w:tc>
        <w:tc>
          <w:tcPr>
            <w:tcW w:w="3271" w:type="dxa"/>
          </w:tcPr>
          <w:p w:rsidR="005A6209" w:rsidRPr="007710BC" w:rsidRDefault="005A6209" w:rsidP="005A6209">
            <w:pPr>
              <w:jc w:val="center"/>
              <w:rPr>
                <w:sz w:val="20"/>
              </w:rPr>
            </w:pPr>
            <w:r w:rsidRPr="007710BC">
              <w:rPr>
                <w:sz w:val="20"/>
              </w:rPr>
              <w:t>Active</w:t>
            </w:r>
          </w:p>
        </w:tc>
        <w:tc>
          <w:tcPr>
            <w:tcW w:w="992" w:type="dxa"/>
          </w:tcPr>
          <w:p w:rsidR="005A6209" w:rsidRPr="007710BC" w:rsidRDefault="005A6209" w:rsidP="005A6209">
            <w:pPr>
              <w:jc w:val="center"/>
              <w:rPr>
                <w:sz w:val="20"/>
              </w:rPr>
            </w:pPr>
            <w:r w:rsidRPr="007710BC">
              <w:rPr>
                <w:sz w:val="20"/>
              </w:rPr>
              <w:t>Dose Strength</w:t>
            </w:r>
          </w:p>
        </w:tc>
        <w:tc>
          <w:tcPr>
            <w:tcW w:w="992" w:type="dxa"/>
          </w:tcPr>
          <w:p w:rsidR="005A6209" w:rsidRPr="007710BC" w:rsidRDefault="005A6209" w:rsidP="005A6209">
            <w:pPr>
              <w:jc w:val="center"/>
              <w:rPr>
                <w:sz w:val="20"/>
              </w:rPr>
            </w:pPr>
            <w:r w:rsidRPr="007710BC">
              <w:rPr>
                <w:sz w:val="20"/>
              </w:rPr>
              <w:t>Dosage Form</w:t>
            </w:r>
          </w:p>
        </w:tc>
        <w:tc>
          <w:tcPr>
            <w:tcW w:w="856" w:type="dxa"/>
          </w:tcPr>
          <w:p w:rsidR="005A6209" w:rsidRPr="007710BC" w:rsidRDefault="005A6209" w:rsidP="005A6209">
            <w:pPr>
              <w:jc w:val="center"/>
              <w:rPr>
                <w:sz w:val="20"/>
              </w:rPr>
            </w:pPr>
            <w:r w:rsidRPr="007710BC">
              <w:rPr>
                <w:sz w:val="20"/>
              </w:rPr>
              <w:t>Pack Type</w:t>
            </w:r>
          </w:p>
        </w:tc>
        <w:tc>
          <w:tcPr>
            <w:tcW w:w="951" w:type="dxa"/>
          </w:tcPr>
          <w:p w:rsidR="005A6209" w:rsidRPr="007710BC" w:rsidRDefault="005A6209" w:rsidP="005A6209">
            <w:pPr>
              <w:jc w:val="center"/>
              <w:rPr>
                <w:sz w:val="20"/>
              </w:rPr>
            </w:pPr>
            <w:r w:rsidRPr="007710BC">
              <w:rPr>
                <w:sz w:val="20"/>
              </w:rPr>
              <w:t>AUST R</w:t>
            </w:r>
          </w:p>
        </w:tc>
      </w:tr>
      <w:tr w:rsidR="005A6209" w:rsidRPr="00F652C2" w:rsidTr="007710BC">
        <w:tc>
          <w:tcPr>
            <w:tcW w:w="1395" w:type="dxa"/>
          </w:tcPr>
          <w:p w:rsidR="005A6209" w:rsidRPr="00F652C2" w:rsidRDefault="007710BC" w:rsidP="005A6209">
            <w:pPr>
              <w:spacing w:after="0"/>
              <w:jc w:val="center"/>
              <w:rPr>
                <w:sz w:val="20"/>
              </w:rPr>
            </w:pPr>
            <w:r w:rsidRPr="00F652C2">
              <w:rPr>
                <w:sz w:val="20"/>
              </w:rPr>
              <w:t>Stribild</w:t>
            </w:r>
          </w:p>
        </w:tc>
        <w:tc>
          <w:tcPr>
            <w:tcW w:w="3271" w:type="dxa"/>
          </w:tcPr>
          <w:p w:rsidR="005A6209" w:rsidRPr="00F652C2" w:rsidRDefault="005A6209" w:rsidP="005A6209">
            <w:pPr>
              <w:spacing w:after="0"/>
              <w:jc w:val="center"/>
              <w:rPr>
                <w:sz w:val="20"/>
              </w:rPr>
            </w:pPr>
            <w:r w:rsidRPr="00F652C2">
              <w:rPr>
                <w:sz w:val="20"/>
              </w:rPr>
              <w:t>Elvitegravir</w:t>
            </w:r>
          </w:p>
          <w:p w:rsidR="005A6209" w:rsidRPr="00F652C2" w:rsidRDefault="005A6209" w:rsidP="005A6209">
            <w:pPr>
              <w:spacing w:after="0"/>
              <w:jc w:val="center"/>
              <w:rPr>
                <w:sz w:val="20"/>
              </w:rPr>
            </w:pPr>
            <w:r w:rsidRPr="00F652C2">
              <w:rPr>
                <w:sz w:val="20"/>
              </w:rPr>
              <w:t>Cobicistat</w:t>
            </w:r>
          </w:p>
          <w:p w:rsidR="005A6209" w:rsidRPr="00F652C2" w:rsidRDefault="005A6209" w:rsidP="005A6209">
            <w:pPr>
              <w:spacing w:after="0"/>
              <w:jc w:val="center"/>
              <w:rPr>
                <w:sz w:val="20"/>
              </w:rPr>
            </w:pPr>
            <w:r w:rsidRPr="00F652C2">
              <w:rPr>
                <w:sz w:val="20"/>
              </w:rPr>
              <w:t>Emtricitabine</w:t>
            </w:r>
            <w:r>
              <w:rPr>
                <w:sz w:val="20"/>
              </w:rPr>
              <w:t xml:space="preserve"> </w:t>
            </w:r>
          </w:p>
          <w:p w:rsidR="005A6209" w:rsidRPr="00F652C2" w:rsidRDefault="005A6209" w:rsidP="005A6209">
            <w:pPr>
              <w:jc w:val="center"/>
              <w:rPr>
                <w:sz w:val="20"/>
              </w:rPr>
            </w:pPr>
            <w:r w:rsidRPr="00F652C2">
              <w:rPr>
                <w:sz w:val="20"/>
              </w:rPr>
              <w:t xml:space="preserve">Tenofovir </w:t>
            </w:r>
            <w:r w:rsidRPr="00FA0F64">
              <w:rPr>
                <w:sz w:val="20"/>
              </w:rPr>
              <w:t xml:space="preserve">disoproxil fumarate </w:t>
            </w:r>
          </w:p>
        </w:tc>
        <w:tc>
          <w:tcPr>
            <w:tcW w:w="992" w:type="dxa"/>
          </w:tcPr>
          <w:p w:rsidR="005A6209" w:rsidRPr="00F652C2" w:rsidRDefault="005A6209" w:rsidP="005A6209">
            <w:pPr>
              <w:spacing w:after="0"/>
              <w:jc w:val="center"/>
              <w:rPr>
                <w:sz w:val="20"/>
              </w:rPr>
            </w:pPr>
            <w:r w:rsidRPr="00F652C2">
              <w:rPr>
                <w:sz w:val="20"/>
              </w:rPr>
              <w:t>150 mg</w:t>
            </w:r>
          </w:p>
          <w:p w:rsidR="005A6209" w:rsidRPr="00F652C2" w:rsidRDefault="005A6209" w:rsidP="005A6209">
            <w:pPr>
              <w:spacing w:after="0"/>
              <w:jc w:val="center"/>
              <w:rPr>
                <w:sz w:val="20"/>
              </w:rPr>
            </w:pPr>
            <w:r w:rsidRPr="00F652C2">
              <w:rPr>
                <w:sz w:val="20"/>
              </w:rPr>
              <w:t>150 mg</w:t>
            </w:r>
          </w:p>
          <w:p w:rsidR="005A6209" w:rsidRPr="00F652C2" w:rsidRDefault="005A6209" w:rsidP="005A6209">
            <w:pPr>
              <w:spacing w:after="0"/>
              <w:jc w:val="center"/>
              <w:rPr>
                <w:sz w:val="20"/>
              </w:rPr>
            </w:pPr>
            <w:r w:rsidRPr="00F652C2">
              <w:rPr>
                <w:sz w:val="20"/>
              </w:rPr>
              <w:t>200 mg</w:t>
            </w:r>
          </w:p>
          <w:p w:rsidR="005A6209" w:rsidRPr="00F652C2" w:rsidRDefault="005A6209" w:rsidP="005A6209">
            <w:pPr>
              <w:spacing w:after="0"/>
              <w:jc w:val="center"/>
              <w:rPr>
                <w:sz w:val="20"/>
              </w:rPr>
            </w:pPr>
            <w:r w:rsidRPr="00F652C2">
              <w:rPr>
                <w:sz w:val="20"/>
              </w:rPr>
              <w:t>300 mg</w:t>
            </w:r>
          </w:p>
        </w:tc>
        <w:tc>
          <w:tcPr>
            <w:tcW w:w="992" w:type="dxa"/>
          </w:tcPr>
          <w:p w:rsidR="005A6209" w:rsidRPr="00F652C2" w:rsidRDefault="005A6209" w:rsidP="005A6209">
            <w:pPr>
              <w:spacing w:after="0"/>
              <w:jc w:val="center"/>
              <w:rPr>
                <w:sz w:val="20"/>
              </w:rPr>
            </w:pPr>
            <w:r w:rsidRPr="00F652C2">
              <w:rPr>
                <w:sz w:val="20"/>
              </w:rPr>
              <w:t>Tablet</w:t>
            </w:r>
          </w:p>
        </w:tc>
        <w:tc>
          <w:tcPr>
            <w:tcW w:w="856" w:type="dxa"/>
          </w:tcPr>
          <w:p w:rsidR="005A6209" w:rsidRPr="00F652C2" w:rsidRDefault="005A6209" w:rsidP="005A6209">
            <w:pPr>
              <w:spacing w:after="0"/>
              <w:jc w:val="center"/>
              <w:rPr>
                <w:sz w:val="20"/>
              </w:rPr>
            </w:pPr>
            <w:r w:rsidRPr="00F652C2">
              <w:rPr>
                <w:sz w:val="20"/>
              </w:rPr>
              <w:t>Bottle</w:t>
            </w:r>
          </w:p>
        </w:tc>
        <w:tc>
          <w:tcPr>
            <w:tcW w:w="951" w:type="dxa"/>
          </w:tcPr>
          <w:p w:rsidR="005A6209" w:rsidRPr="00F652C2" w:rsidRDefault="005A6209" w:rsidP="005A6209">
            <w:pPr>
              <w:spacing w:after="0"/>
              <w:jc w:val="center"/>
              <w:rPr>
                <w:sz w:val="20"/>
              </w:rPr>
            </w:pPr>
            <w:r w:rsidRPr="00F652C2">
              <w:rPr>
                <w:sz w:val="20"/>
              </w:rPr>
              <w:t>194081</w:t>
            </w:r>
          </w:p>
        </w:tc>
      </w:tr>
      <w:tr w:rsidR="005A6209" w:rsidRPr="00F652C2" w:rsidTr="007710BC">
        <w:tc>
          <w:tcPr>
            <w:tcW w:w="1395" w:type="dxa"/>
          </w:tcPr>
          <w:p w:rsidR="005A6209" w:rsidRPr="00F652C2" w:rsidRDefault="007710BC" w:rsidP="005A6209">
            <w:pPr>
              <w:spacing w:after="0"/>
              <w:jc w:val="center"/>
              <w:rPr>
                <w:sz w:val="20"/>
              </w:rPr>
            </w:pPr>
            <w:r w:rsidRPr="00F652C2">
              <w:rPr>
                <w:sz w:val="20"/>
              </w:rPr>
              <w:t>Viread</w:t>
            </w:r>
          </w:p>
        </w:tc>
        <w:tc>
          <w:tcPr>
            <w:tcW w:w="3271" w:type="dxa"/>
          </w:tcPr>
          <w:p w:rsidR="005A6209" w:rsidRPr="00F652C2" w:rsidRDefault="005A6209" w:rsidP="005A6209">
            <w:pPr>
              <w:jc w:val="center"/>
              <w:rPr>
                <w:sz w:val="20"/>
              </w:rPr>
            </w:pPr>
            <w:r w:rsidRPr="00F652C2">
              <w:rPr>
                <w:sz w:val="20"/>
              </w:rPr>
              <w:t xml:space="preserve">Tenofovir </w:t>
            </w:r>
            <w:r w:rsidRPr="00FA0F64">
              <w:rPr>
                <w:sz w:val="20"/>
              </w:rPr>
              <w:t xml:space="preserve">disoproxil fumarate </w:t>
            </w:r>
          </w:p>
        </w:tc>
        <w:tc>
          <w:tcPr>
            <w:tcW w:w="992" w:type="dxa"/>
          </w:tcPr>
          <w:p w:rsidR="005A6209" w:rsidRPr="00F652C2" w:rsidRDefault="005A6209" w:rsidP="005A6209">
            <w:pPr>
              <w:spacing w:after="0"/>
              <w:jc w:val="center"/>
              <w:rPr>
                <w:sz w:val="20"/>
              </w:rPr>
            </w:pPr>
            <w:r w:rsidRPr="00F652C2">
              <w:rPr>
                <w:sz w:val="20"/>
              </w:rPr>
              <w:t>300 mg</w:t>
            </w:r>
          </w:p>
        </w:tc>
        <w:tc>
          <w:tcPr>
            <w:tcW w:w="992" w:type="dxa"/>
          </w:tcPr>
          <w:p w:rsidR="005A6209" w:rsidRPr="00F652C2" w:rsidRDefault="005A6209" w:rsidP="005A6209">
            <w:pPr>
              <w:spacing w:after="0"/>
              <w:jc w:val="center"/>
              <w:rPr>
                <w:sz w:val="20"/>
              </w:rPr>
            </w:pPr>
            <w:r w:rsidRPr="00F652C2">
              <w:rPr>
                <w:sz w:val="20"/>
              </w:rPr>
              <w:t>Tablet</w:t>
            </w:r>
          </w:p>
        </w:tc>
        <w:tc>
          <w:tcPr>
            <w:tcW w:w="856" w:type="dxa"/>
          </w:tcPr>
          <w:p w:rsidR="005A6209" w:rsidRPr="00F652C2" w:rsidRDefault="005A6209" w:rsidP="005A6209">
            <w:pPr>
              <w:spacing w:after="0"/>
              <w:jc w:val="center"/>
              <w:rPr>
                <w:sz w:val="20"/>
              </w:rPr>
            </w:pPr>
            <w:r w:rsidRPr="00F652C2">
              <w:rPr>
                <w:sz w:val="20"/>
              </w:rPr>
              <w:t>Bottle</w:t>
            </w:r>
          </w:p>
        </w:tc>
        <w:tc>
          <w:tcPr>
            <w:tcW w:w="951" w:type="dxa"/>
          </w:tcPr>
          <w:p w:rsidR="005A6209" w:rsidRPr="00F652C2" w:rsidRDefault="005A6209" w:rsidP="005A6209">
            <w:pPr>
              <w:spacing w:after="0"/>
              <w:jc w:val="center"/>
              <w:rPr>
                <w:sz w:val="20"/>
              </w:rPr>
            </w:pPr>
            <w:r w:rsidRPr="00F652C2">
              <w:rPr>
                <w:sz w:val="20"/>
              </w:rPr>
              <w:t>90370</w:t>
            </w:r>
          </w:p>
        </w:tc>
      </w:tr>
      <w:tr w:rsidR="005A6209" w:rsidRPr="00F652C2" w:rsidTr="007710BC">
        <w:tc>
          <w:tcPr>
            <w:tcW w:w="1395" w:type="dxa"/>
            <w:vMerge w:val="restart"/>
          </w:tcPr>
          <w:p w:rsidR="005A6209" w:rsidRPr="00F652C2" w:rsidRDefault="007710BC" w:rsidP="005A6209">
            <w:pPr>
              <w:spacing w:after="0"/>
              <w:jc w:val="center"/>
              <w:rPr>
                <w:sz w:val="20"/>
              </w:rPr>
            </w:pPr>
            <w:r w:rsidRPr="00F652C2">
              <w:rPr>
                <w:sz w:val="20"/>
              </w:rPr>
              <w:t>Emtriva</w:t>
            </w:r>
          </w:p>
        </w:tc>
        <w:tc>
          <w:tcPr>
            <w:tcW w:w="3271" w:type="dxa"/>
            <w:vMerge w:val="restart"/>
          </w:tcPr>
          <w:p w:rsidR="005A6209" w:rsidRPr="00F652C2" w:rsidRDefault="005A6209" w:rsidP="005A6209">
            <w:pPr>
              <w:spacing w:after="0"/>
              <w:jc w:val="center"/>
              <w:rPr>
                <w:sz w:val="20"/>
              </w:rPr>
            </w:pPr>
            <w:r w:rsidRPr="00F652C2">
              <w:rPr>
                <w:sz w:val="20"/>
              </w:rPr>
              <w:t>Emtricitabine</w:t>
            </w:r>
          </w:p>
        </w:tc>
        <w:tc>
          <w:tcPr>
            <w:tcW w:w="992" w:type="dxa"/>
            <w:vMerge w:val="restart"/>
          </w:tcPr>
          <w:p w:rsidR="005A6209" w:rsidRPr="00F652C2" w:rsidRDefault="005A6209" w:rsidP="005A6209">
            <w:pPr>
              <w:spacing w:after="0"/>
              <w:jc w:val="center"/>
              <w:rPr>
                <w:sz w:val="20"/>
              </w:rPr>
            </w:pPr>
            <w:r w:rsidRPr="00F652C2">
              <w:rPr>
                <w:sz w:val="20"/>
              </w:rPr>
              <w:t>200 mg</w:t>
            </w:r>
          </w:p>
        </w:tc>
        <w:tc>
          <w:tcPr>
            <w:tcW w:w="992" w:type="dxa"/>
            <w:vMerge w:val="restart"/>
          </w:tcPr>
          <w:p w:rsidR="005A6209" w:rsidRPr="00F652C2" w:rsidRDefault="005A6209" w:rsidP="005A6209">
            <w:pPr>
              <w:spacing w:after="0"/>
              <w:jc w:val="center"/>
              <w:rPr>
                <w:sz w:val="20"/>
              </w:rPr>
            </w:pPr>
            <w:r w:rsidRPr="00F652C2">
              <w:rPr>
                <w:sz w:val="20"/>
              </w:rPr>
              <w:t>Capsule</w:t>
            </w:r>
          </w:p>
        </w:tc>
        <w:tc>
          <w:tcPr>
            <w:tcW w:w="856" w:type="dxa"/>
          </w:tcPr>
          <w:p w:rsidR="005A6209" w:rsidRPr="00F652C2" w:rsidRDefault="005A6209" w:rsidP="005A6209">
            <w:pPr>
              <w:spacing w:after="0"/>
              <w:jc w:val="center"/>
              <w:rPr>
                <w:sz w:val="20"/>
              </w:rPr>
            </w:pPr>
            <w:r w:rsidRPr="00F652C2">
              <w:rPr>
                <w:sz w:val="20"/>
              </w:rPr>
              <w:t>Bottle</w:t>
            </w:r>
          </w:p>
        </w:tc>
        <w:tc>
          <w:tcPr>
            <w:tcW w:w="951" w:type="dxa"/>
          </w:tcPr>
          <w:p w:rsidR="005A6209" w:rsidRPr="00F652C2" w:rsidRDefault="005A6209" w:rsidP="005A6209">
            <w:pPr>
              <w:spacing w:after="0"/>
              <w:jc w:val="center"/>
              <w:rPr>
                <w:sz w:val="20"/>
              </w:rPr>
            </w:pPr>
            <w:r w:rsidRPr="00F652C2">
              <w:rPr>
                <w:sz w:val="20"/>
              </w:rPr>
              <w:t>96426</w:t>
            </w:r>
          </w:p>
        </w:tc>
      </w:tr>
      <w:tr w:rsidR="005A6209" w:rsidRPr="00F652C2" w:rsidTr="00A474ED">
        <w:trPr>
          <w:trHeight w:val="634"/>
        </w:trPr>
        <w:tc>
          <w:tcPr>
            <w:tcW w:w="1395" w:type="dxa"/>
            <w:vMerge/>
          </w:tcPr>
          <w:p w:rsidR="005A6209" w:rsidRPr="00F652C2" w:rsidRDefault="005A6209" w:rsidP="005A6209">
            <w:pPr>
              <w:spacing w:after="0"/>
              <w:jc w:val="center"/>
              <w:rPr>
                <w:sz w:val="20"/>
              </w:rPr>
            </w:pPr>
          </w:p>
        </w:tc>
        <w:tc>
          <w:tcPr>
            <w:tcW w:w="3271" w:type="dxa"/>
            <w:vMerge/>
          </w:tcPr>
          <w:p w:rsidR="005A6209" w:rsidRPr="00F652C2" w:rsidRDefault="005A6209" w:rsidP="005A6209">
            <w:pPr>
              <w:spacing w:after="0"/>
              <w:jc w:val="center"/>
              <w:rPr>
                <w:sz w:val="20"/>
              </w:rPr>
            </w:pPr>
          </w:p>
        </w:tc>
        <w:tc>
          <w:tcPr>
            <w:tcW w:w="992" w:type="dxa"/>
            <w:vMerge/>
          </w:tcPr>
          <w:p w:rsidR="005A6209" w:rsidRPr="00F652C2" w:rsidRDefault="005A6209" w:rsidP="005A6209">
            <w:pPr>
              <w:spacing w:after="0"/>
              <w:jc w:val="center"/>
              <w:rPr>
                <w:sz w:val="20"/>
              </w:rPr>
            </w:pPr>
          </w:p>
        </w:tc>
        <w:tc>
          <w:tcPr>
            <w:tcW w:w="992" w:type="dxa"/>
            <w:vMerge/>
          </w:tcPr>
          <w:p w:rsidR="005A6209" w:rsidRPr="00F652C2" w:rsidRDefault="005A6209" w:rsidP="005A6209">
            <w:pPr>
              <w:spacing w:after="0"/>
              <w:jc w:val="center"/>
              <w:rPr>
                <w:sz w:val="20"/>
              </w:rPr>
            </w:pPr>
          </w:p>
        </w:tc>
        <w:tc>
          <w:tcPr>
            <w:tcW w:w="856" w:type="dxa"/>
          </w:tcPr>
          <w:p w:rsidR="005A6209" w:rsidRPr="00F652C2" w:rsidRDefault="005A6209" w:rsidP="005A6209">
            <w:pPr>
              <w:spacing w:after="0"/>
              <w:jc w:val="center"/>
              <w:rPr>
                <w:sz w:val="20"/>
              </w:rPr>
            </w:pPr>
            <w:r w:rsidRPr="00F652C2">
              <w:rPr>
                <w:sz w:val="20"/>
              </w:rPr>
              <w:t>Blister pack</w:t>
            </w:r>
          </w:p>
        </w:tc>
        <w:tc>
          <w:tcPr>
            <w:tcW w:w="951" w:type="dxa"/>
          </w:tcPr>
          <w:p w:rsidR="005A6209" w:rsidRPr="00F652C2" w:rsidRDefault="005A6209" w:rsidP="005A6209">
            <w:pPr>
              <w:spacing w:after="0"/>
              <w:jc w:val="center"/>
              <w:rPr>
                <w:sz w:val="20"/>
              </w:rPr>
            </w:pPr>
            <w:r w:rsidRPr="00F652C2">
              <w:rPr>
                <w:sz w:val="20"/>
              </w:rPr>
              <w:t>96427</w:t>
            </w:r>
          </w:p>
        </w:tc>
      </w:tr>
      <w:tr w:rsidR="005A6209" w:rsidRPr="00F652C2" w:rsidTr="007710BC">
        <w:tc>
          <w:tcPr>
            <w:tcW w:w="1395" w:type="dxa"/>
          </w:tcPr>
          <w:p w:rsidR="005A6209" w:rsidRPr="00F652C2" w:rsidRDefault="00AA3643" w:rsidP="005A6209">
            <w:pPr>
              <w:spacing w:after="0"/>
              <w:jc w:val="center"/>
              <w:rPr>
                <w:sz w:val="20"/>
              </w:rPr>
            </w:pPr>
            <w:r>
              <w:rPr>
                <w:sz w:val="20"/>
              </w:rPr>
              <w:t>Genvoya</w:t>
            </w:r>
          </w:p>
        </w:tc>
        <w:tc>
          <w:tcPr>
            <w:tcW w:w="3271" w:type="dxa"/>
          </w:tcPr>
          <w:p w:rsidR="005A6209" w:rsidRPr="00F652C2" w:rsidRDefault="005A6209" w:rsidP="005A6209">
            <w:pPr>
              <w:spacing w:after="0"/>
              <w:jc w:val="center"/>
              <w:rPr>
                <w:sz w:val="20"/>
              </w:rPr>
            </w:pPr>
            <w:r w:rsidRPr="00F652C2">
              <w:rPr>
                <w:sz w:val="20"/>
              </w:rPr>
              <w:t>Elvitegravir</w:t>
            </w:r>
          </w:p>
          <w:p w:rsidR="005A6209" w:rsidRPr="00F652C2" w:rsidRDefault="005A6209" w:rsidP="005A6209">
            <w:pPr>
              <w:spacing w:after="0"/>
              <w:jc w:val="center"/>
              <w:rPr>
                <w:sz w:val="20"/>
              </w:rPr>
            </w:pPr>
            <w:r w:rsidRPr="00F652C2">
              <w:rPr>
                <w:sz w:val="20"/>
              </w:rPr>
              <w:t>Cobicistat</w:t>
            </w:r>
          </w:p>
          <w:p w:rsidR="005A6209" w:rsidRPr="00F652C2" w:rsidRDefault="005A6209" w:rsidP="005A6209">
            <w:pPr>
              <w:spacing w:after="0"/>
              <w:jc w:val="center"/>
              <w:rPr>
                <w:sz w:val="20"/>
              </w:rPr>
            </w:pPr>
            <w:r w:rsidRPr="00F652C2">
              <w:rPr>
                <w:sz w:val="20"/>
              </w:rPr>
              <w:t>Emtricitabine</w:t>
            </w:r>
          </w:p>
          <w:p w:rsidR="005A6209" w:rsidRPr="00F652C2" w:rsidRDefault="005A6209" w:rsidP="005A6209">
            <w:pPr>
              <w:jc w:val="center"/>
              <w:rPr>
                <w:sz w:val="20"/>
              </w:rPr>
            </w:pPr>
            <w:r>
              <w:rPr>
                <w:sz w:val="20"/>
              </w:rPr>
              <w:t xml:space="preserve">Tenofovir </w:t>
            </w:r>
            <w:r w:rsidRPr="00FA0F64">
              <w:rPr>
                <w:sz w:val="20"/>
              </w:rPr>
              <w:t>alafenamide fumarate</w:t>
            </w:r>
            <w:r>
              <w:rPr>
                <w:sz w:val="20"/>
              </w:rPr>
              <w:t xml:space="preserve"> </w:t>
            </w:r>
          </w:p>
        </w:tc>
        <w:tc>
          <w:tcPr>
            <w:tcW w:w="992" w:type="dxa"/>
          </w:tcPr>
          <w:p w:rsidR="005A6209" w:rsidRPr="00F652C2" w:rsidRDefault="005A6209" w:rsidP="005A6209">
            <w:pPr>
              <w:spacing w:after="0"/>
              <w:jc w:val="center"/>
              <w:rPr>
                <w:sz w:val="20"/>
              </w:rPr>
            </w:pPr>
            <w:r w:rsidRPr="00F652C2">
              <w:rPr>
                <w:sz w:val="20"/>
              </w:rPr>
              <w:t>150 mg</w:t>
            </w:r>
          </w:p>
          <w:p w:rsidR="005A6209" w:rsidRPr="00F652C2" w:rsidRDefault="005A6209" w:rsidP="005A6209">
            <w:pPr>
              <w:spacing w:after="0"/>
              <w:jc w:val="center"/>
              <w:rPr>
                <w:sz w:val="20"/>
              </w:rPr>
            </w:pPr>
            <w:r w:rsidRPr="00F652C2">
              <w:rPr>
                <w:sz w:val="20"/>
              </w:rPr>
              <w:t>150 mg</w:t>
            </w:r>
          </w:p>
          <w:p w:rsidR="005A6209" w:rsidRPr="00F652C2" w:rsidRDefault="005A6209" w:rsidP="005A6209">
            <w:pPr>
              <w:spacing w:after="0"/>
              <w:jc w:val="center"/>
              <w:rPr>
                <w:sz w:val="20"/>
              </w:rPr>
            </w:pPr>
            <w:r w:rsidRPr="00F652C2">
              <w:rPr>
                <w:sz w:val="20"/>
              </w:rPr>
              <w:t>200 mg</w:t>
            </w:r>
          </w:p>
          <w:p w:rsidR="005A6209" w:rsidRPr="00F652C2" w:rsidRDefault="005A6209" w:rsidP="005A6209">
            <w:pPr>
              <w:spacing w:after="0"/>
              <w:jc w:val="center"/>
              <w:rPr>
                <w:sz w:val="20"/>
              </w:rPr>
            </w:pPr>
            <w:r>
              <w:rPr>
                <w:sz w:val="20"/>
              </w:rPr>
              <w:t>10</w:t>
            </w:r>
            <w:r w:rsidRPr="00F652C2">
              <w:rPr>
                <w:sz w:val="20"/>
              </w:rPr>
              <w:t xml:space="preserve"> mg</w:t>
            </w:r>
          </w:p>
        </w:tc>
        <w:tc>
          <w:tcPr>
            <w:tcW w:w="992" w:type="dxa"/>
          </w:tcPr>
          <w:p w:rsidR="005A6209" w:rsidRPr="00F652C2" w:rsidRDefault="005A6209" w:rsidP="005A6209">
            <w:pPr>
              <w:spacing w:after="0"/>
              <w:jc w:val="center"/>
              <w:rPr>
                <w:sz w:val="20"/>
              </w:rPr>
            </w:pPr>
            <w:r>
              <w:rPr>
                <w:sz w:val="20"/>
              </w:rPr>
              <w:t>Tablet</w:t>
            </w:r>
          </w:p>
        </w:tc>
        <w:tc>
          <w:tcPr>
            <w:tcW w:w="856" w:type="dxa"/>
          </w:tcPr>
          <w:p w:rsidR="005A6209" w:rsidRPr="00F652C2" w:rsidRDefault="005A6209" w:rsidP="005A6209">
            <w:pPr>
              <w:spacing w:after="0"/>
              <w:jc w:val="center"/>
              <w:rPr>
                <w:sz w:val="20"/>
              </w:rPr>
            </w:pPr>
            <w:r>
              <w:rPr>
                <w:sz w:val="20"/>
              </w:rPr>
              <w:t>Bottle</w:t>
            </w:r>
          </w:p>
        </w:tc>
        <w:tc>
          <w:tcPr>
            <w:tcW w:w="951" w:type="dxa"/>
          </w:tcPr>
          <w:p w:rsidR="005A6209" w:rsidRPr="00F652C2" w:rsidRDefault="005A6209" w:rsidP="005A6209">
            <w:pPr>
              <w:spacing w:after="0"/>
              <w:jc w:val="center"/>
              <w:rPr>
                <w:sz w:val="20"/>
              </w:rPr>
            </w:pPr>
            <w:r>
              <w:rPr>
                <w:sz w:val="20"/>
              </w:rPr>
              <w:t>233398</w:t>
            </w:r>
          </w:p>
        </w:tc>
      </w:tr>
    </w:tbl>
    <w:p w:rsidR="008E7846" w:rsidRDefault="008E7846" w:rsidP="00940A89">
      <w:pPr>
        <w:pStyle w:val="Heading3"/>
      </w:pPr>
      <w:bookmarkStart w:id="28" w:name="_Toc470175467"/>
      <w:r w:rsidRPr="008751DC">
        <w:t xml:space="preserve">Drug </w:t>
      </w:r>
      <w:r>
        <w:t>s</w:t>
      </w:r>
      <w:r w:rsidRPr="008751DC">
        <w:t>ubstance</w:t>
      </w:r>
      <w:r>
        <w:t xml:space="preserve"> (active ingredient)</w:t>
      </w:r>
      <w:bookmarkEnd w:id="26"/>
      <w:bookmarkEnd w:id="27"/>
      <w:bookmarkEnd w:id="28"/>
    </w:p>
    <w:p w:rsidR="007710BC" w:rsidRDefault="007710BC" w:rsidP="007710BC">
      <w:r>
        <w:t>The chemical structure of e</w:t>
      </w:r>
      <w:r w:rsidRPr="00FA425A">
        <w:t>mtricitabine</w:t>
      </w:r>
      <w:r>
        <w:t xml:space="preserve"> is shown below</w:t>
      </w:r>
      <w:r w:rsidR="006A754F">
        <w:t xml:space="preserve"> (Figure 1).</w:t>
      </w:r>
    </w:p>
    <w:p w:rsidR="005A6209" w:rsidRPr="00FA425A" w:rsidRDefault="007710BC" w:rsidP="007710BC">
      <w:pPr>
        <w:pStyle w:val="FigureTitle"/>
      </w:pPr>
      <w:r>
        <w:t xml:space="preserve">Figure </w:t>
      </w:r>
      <w:r w:rsidR="006A754F">
        <w:t>1</w:t>
      </w:r>
      <w:r>
        <w:t>: Chemical structure of e</w:t>
      </w:r>
      <w:r w:rsidR="005A6209" w:rsidRPr="00FA425A">
        <w:t>mtricitabine</w:t>
      </w:r>
    </w:p>
    <w:p w:rsidR="005A6209" w:rsidRPr="00FA425A" w:rsidRDefault="005A6209" w:rsidP="007710BC">
      <w:pPr>
        <w:rPr>
          <w:sz w:val="16"/>
        </w:rPr>
      </w:pPr>
      <w:r w:rsidRPr="00FA425A">
        <w:rPr>
          <w:noProof/>
          <w:lang w:eastAsia="en-AU"/>
        </w:rPr>
        <w:drawing>
          <wp:inline distT="0" distB="0" distL="0" distR="0" wp14:anchorId="67F7AF1A" wp14:editId="24056B76">
            <wp:extent cx="1636435" cy="720000"/>
            <wp:effectExtent l="0" t="0" r="1905" b="4445"/>
            <wp:docPr id="3" name="Picture 3" descr="Figure 1: Chemical structure of emtricita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7355"/>
                    <a:stretch/>
                  </pic:blipFill>
                  <pic:spPr bwMode="auto">
                    <a:xfrm>
                      <a:off x="0" y="0"/>
                      <a:ext cx="1637665" cy="720541"/>
                    </a:xfrm>
                    <a:prstGeom prst="rect">
                      <a:avLst/>
                    </a:prstGeom>
                    <a:noFill/>
                    <a:ln>
                      <a:noFill/>
                    </a:ln>
                    <a:extLst>
                      <a:ext uri="{53640926-AAD7-44D8-BBD7-CCE9431645EC}">
                        <a14:shadowObscured xmlns:a14="http://schemas.microsoft.com/office/drawing/2010/main"/>
                      </a:ext>
                    </a:extLst>
                  </pic:spPr>
                </pic:pic>
              </a:graphicData>
            </a:graphic>
          </wp:inline>
        </w:drawing>
      </w:r>
    </w:p>
    <w:p w:rsidR="005A6209" w:rsidRPr="00FA425A" w:rsidRDefault="005A6209" w:rsidP="000230EE">
      <w:pPr>
        <w:rPr>
          <w:iCs/>
          <w:szCs w:val="24"/>
        </w:rPr>
      </w:pPr>
      <w:r w:rsidRPr="00FA425A">
        <w:t xml:space="preserve">Details of the drug substance were previously evaluated by the TGA as part of the submissions, to register </w:t>
      </w:r>
      <w:r w:rsidR="007710BC" w:rsidRPr="00FA425A">
        <w:t>Emtriva</w:t>
      </w:r>
      <w:r w:rsidRPr="00FA425A">
        <w:t xml:space="preserve"> emtricitabine 200 mg capsules</w:t>
      </w:r>
      <w:r w:rsidRPr="00FA425A">
        <w:rPr>
          <w:sz w:val="20"/>
        </w:rPr>
        <w:t xml:space="preserve">, </w:t>
      </w:r>
      <w:r w:rsidRPr="00FA425A">
        <w:t xml:space="preserve">and the fixed dose combination tablet </w:t>
      </w:r>
      <w:r w:rsidR="007710BC" w:rsidRPr="00FA425A">
        <w:t>Stribild</w:t>
      </w:r>
      <w:r w:rsidRPr="00FA425A">
        <w:t xml:space="preserve"> elvitegravir/cobicistat/emtricitabine</w:t>
      </w:r>
      <w:r w:rsidR="00914F1C">
        <w:t>/tenofovir disoproxil fumarate t</w:t>
      </w:r>
      <w:r w:rsidRPr="00FA425A">
        <w:t xml:space="preserve">ablets. The </w:t>
      </w:r>
      <w:r w:rsidR="00914F1C">
        <w:t>sponsor</w:t>
      </w:r>
      <w:r w:rsidRPr="00FA425A">
        <w:t xml:space="preserve"> has provided an assurance stating that all details relating to the drug substance, emtricitabine, are identical to those previously evaluated for the above-mentioned applications and any subsequent amendments.</w:t>
      </w:r>
    </w:p>
    <w:p w:rsidR="005A6209" w:rsidRDefault="005A6209" w:rsidP="000230EE">
      <w:r w:rsidRPr="00FA425A">
        <w:lastRenderedPageBreak/>
        <w:t>The drug substance specifications applied to the drug substance</w:t>
      </w:r>
      <w:r w:rsidRPr="00FA425A">
        <w:rPr>
          <w:szCs w:val="24"/>
        </w:rPr>
        <w:t xml:space="preserve"> </w:t>
      </w:r>
      <w:r w:rsidRPr="00FA425A">
        <w:t>are considered adequate to ensure the quality and consistency of manufacture of the finished product.</w:t>
      </w:r>
    </w:p>
    <w:p w:rsidR="007710BC" w:rsidRDefault="007710BC" w:rsidP="007710BC">
      <w:r>
        <w:t xml:space="preserve">The chemical structure of </w:t>
      </w:r>
      <w:r w:rsidRPr="00FA425A">
        <w:t xml:space="preserve">Tenofovir alafenamide fumarate </w:t>
      </w:r>
      <w:r>
        <w:t>is shown below</w:t>
      </w:r>
      <w:r w:rsidR="006A754F">
        <w:t xml:space="preserve"> (Figure 2).</w:t>
      </w:r>
    </w:p>
    <w:p w:rsidR="005A6209" w:rsidRPr="00FA425A" w:rsidRDefault="007710BC" w:rsidP="006A754F">
      <w:pPr>
        <w:pStyle w:val="FigureTitle"/>
      </w:pPr>
      <w:r>
        <w:t xml:space="preserve">Figure </w:t>
      </w:r>
      <w:r w:rsidR="006A754F">
        <w:t>2</w:t>
      </w:r>
      <w:r>
        <w:t xml:space="preserve">: </w:t>
      </w:r>
      <w:r w:rsidR="005A6209" w:rsidRPr="00FA425A">
        <w:t>Tenofovir alafenamide</w:t>
      </w:r>
      <w:r w:rsidR="00BF14F5">
        <w:t xml:space="preserve"> or </w:t>
      </w:r>
      <w:r w:rsidR="00BF14F5" w:rsidRPr="00BF14F5">
        <w:t>disoproxil</w:t>
      </w:r>
      <w:r w:rsidR="005A6209" w:rsidRPr="00FA425A">
        <w:t xml:space="preserve"> fumarate </w:t>
      </w:r>
    </w:p>
    <w:p w:rsidR="005A6209" w:rsidRPr="00FA425A" w:rsidRDefault="005A6209" w:rsidP="005A6209">
      <w:r w:rsidRPr="00FA425A">
        <w:rPr>
          <w:b/>
          <w:noProof/>
          <w:lang w:eastAsia="en-AU"/>
        </w:rPr>
        <w:drawing>
          <wp:inline distT="0" distB="0" distL="0" distR="0" wp14:anchorId="7EF860BC" wp14:editId="19A40875">
            <wp:extent cx="2306955" cy="999490"/>
            <wp:effectExtent l="0" t="0" r="0" b="0"/>
            <wp:docPr id="4" name="Picture 4" descr="Figure 2A: NCE Tenofovir alafenamide fumarate (‘TAF’ fumarate)             tenofovir disoproxil fumarate (‘TDF’,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6955" cy="999490"/>
                    </a:xfrm>
                    <a:prstGeom prst="rect">
                      <a:avLst/>
                    </a:prstGeom>
                    <a:noFill/>
                    <a:ln>
                      <a:noFill/>
                    </a:ln>
                  </pic:spPr>
                </pic:pic>
              </a:graphicData>
            </a:graphic>
          </wp:inline>
        </w:drawing>
      </w:r>
      <w:r w:rsidR="00586A39">
        <w:t xml:space="preserve">   </w:t>
      </w:r>
      <w:r w:rsidRPr="00FA425A">
        <w:rPr>
          <w:noProof/>
          <w:lang w:eastAsia="en-AU"/>
        </w:rPr>
        <w:drawing>
          <wp:inline distT="0" distB="0" distL="0" distR="0" wp14:anchorId="44E5233B" wp14:editId="25856727">
            <wp:extent cx="2137410" cy="977900"/>
            <wp:effectExtent l="0" t="0" r="0" b="0"/>
            <wp:docPr id="5" name="Picture 5" descr="Figure 2B: tenofovir disoproxil fumarate (‘T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rea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7410" cy="977900"/>
                    </a:xfrm>
                    <a:prstGeom prst="rect">
                      <a:avLst/>
                    </a:prstGeom>
                    <a:noFill/>
                    <a:ln>
                      <a:noFill/>
                    </a:ln>
                  </pic:spPr>
                </pic:pic>
              </a:graphicData>
            </a:graphic>
          </wp:inline>
        </w:drawing>
      </w:r>
    </w:p>
    <w:p w:rsidR="005A6209" w:rsidRPr="00FA425A" w:rsidRDefault="006A754F" w:rsidP="005A6209">
      <w:pPr>
        <w:rPr>
          <w:b/>
          <w:iCs/>
          <w:sz w:val="18"/>
          <w:szCs w:val="18"/>
        </w:rPr>
      </w:pPr>
      <w:r>
        <w:rPr>
          <w:b/>
          <w:sz w:val="18"/>
          <w:szCs w:val="18"/>
        </w:rPr>
        <w:t xml:space="preserve">A: </w:t>
      </w:r>
      <w:r w:rsidR="005A6209" w:rsidRPr="00FA425A">
        <w:rPr>
          <w:b/>
          <w:sz w:val="18"/>
          <w:szCs w:val="18"/>
        </w:rPr>
        <w:t>NCE Tenofovir alafenamide fumarate (‘TAF’ fumarate)</w:t>
      </w:r>
      <w:r w:rsidR="004C37E1">
        <w:rPr>
          <w:b/>
          <w:sz w:val="18"/>
          <w:szCs w:val="18"/>
        </w:rPr>
        <w:t xml:space="preserve"> </w:t>
      </w:r>
      <w:r>
        <w:rPr>
          <w:b/>
          <w:sz w:val="18"/>
          <w:szCs w:val="18"/>
        </w:rPr>
        <w:t xml:space="preserve">B: </w:t>
      </w:r>
      <w:r w:rsidR="005A6209" w:rsidRPr="00FA425A">
        <w:rPr>
          <w:b/>
          <w:sz w:val="18"/>
          <w:szCs w:val="18"/>
        </w:rPr>
        <w:t>tenofovir disoproxil fumarate (‘TDF’, approved)</w:t>
      </w:r>
    </w:p>
    <w:p w:rsidR="00586A39" w:rsidRDefault="005A6209" w:rsidP="000230EE">
      <w:pPr>
        <w:rPr>
          <w:szCs w:val="23"/>
        </w:rPr>
      </w:pPr>
      <w:r w:rsidRPr="00FA425A">
        <w:t>Tenofovir alafenamide fumarate (TAF fumarate) is the next-generation oral prodrug of tenofovir, developed as an alternative to the registered pro-drug ‘tenofovir disoproxil fumarate, TDF’. Both TAF and TDF are converted to tenofovir, although</w:t>
      </w:r>
      <w:r w:rsidRPr="00FA425A">
        <w:rPr>
          <w:szCs w:val="23"/>
        </w:rPr>
        <w:t xml:space="preserve"> the required clinical dose of </w:t>
      </w:r>
      <w:r w:rsidRPr="00FA425A">
        <w:t>TAF fumarate</w:t>
      </w:r>
      <w:r w:rsidRPr="00FA425A">
        <w:rPr>
          <w:szCs w:val="23"/>
        </w:rPr>
        <w:t xml:space="preserve"> is much lower than the clinical dose of TDF (10</w:t>
      </w:r>
      <w:r w:rsidR="00BF14F5">
        <w:rPr>
          <w:szCs w:val="23"/>
        </w:rPr>
        <w:t xml:space="preserve"> </w:t>
      </w:r>
      <w:r w:rsidRPr="00FA425A">
        <w:rPr>
          <w:szCs w:val="23"/>
        </w:rPr>
        <w:t>mg v</w:t>
      </w:r>
      <w:r w:rsidR="00BF14F5">
        <w:rPr>
          <w:szCs w:val="23"/>
        </w:rPr>
        <w:t>ersu</w:t>
      </w:r>
      <w:r w:rsidRPr="00FA425A">
        <w:rPr>
          <w:szCs w:val="23"/>
        </w:rPr>
        <w:t>s 300</w:t>
      </w:r>
      <w:r w:rsidR="00BF14F5">
        <w:rPr>
          <w:szCs w:val="23"/>
        </w:rPr>
        <w:t xml:space="preserve"> </w:t>
      </w:r>
      <w:r w:rsidRPr="00FA425A">
        <w:rPr>
          <w:szCs w:val="23"/>
        </w:rPr>
        <w:t xml:space="preserve">mg), apparently due to ‘enhanced lymphatic delivery’ of </w:t>
      </w:r>
      <w:r w:rsidRPr="00FA425A">
        <w:t>TAF fumarate</w:t>
      </w:r>
      <w:r w:rsidR="00586A39">
        <w:rPr>
          <w:szCs w:val="23"/>
        </w:rPr>
        <w:t>.</w:t>
      </w:r>
    </w:p>
    <w:p w:rsidR="005A6209" w:rsidRPr="00FA425A" w:rsidRDefault="005A6209" w:rsidP="000230EE">
      <w:pPr>
        <w:rPr>
          <w:rFonts w:cs="P'F8ø◊ÁÂ"/>
          <w:szCs w:val="24"/>
        </w:rPr>
      </w:pPr>
      <w:r w:rsidRPr="00FA425A">
        <w:t>‘Tenofovir alafenamide fumarate’ is defined as the ‘</w:t>
      </w:r>
      <w:r w:rsidRPr="00FA425A">
        <w:rPr>
          <w:rFonts w:cs="¿øÙø◊7È"/>
          <w:szCs w:val="24"/>
        </w:rPr>
        <w:t>hemi-fumarate’ salt depicted above and</w:t>
      </w:r>
      <w:r w:rsidRPr="00FA425A">
        <w:t xml:space="preserve"> is consistently isolated as an </w:t>
      </w:r>
      <w:r w:rsidRPr="00FA425A">
        <w:rPr>
          <w:rFonts w:cs="P'F8ø◊ÁÂ"/>
          <w:szCs w:val="24"/>
        </w:rPr>
        <w:t xml:space="preserve">unsolvated anhydrous polymorph (Form I). The </w:t>
      </w:r>
      <w:r w:rsidR="0011765E">
        <w:rPr>
          <w:rFonts w:cs="P'F8ø◊ÁÂ"/>
          <w:szCs w:val="24"/>
        </w:rPr>
        <w:t>sponsor</w:t>
      </w:r>
      <w:r w:rsidRPr="00FA425A">
        <w:rPr>
          <w:rFonts w:cs="P'F8ø◊ÁÂ"/>
          <w:szCs w:val="24"/>
        </w:rPr>
        <w:t xml:space="preserve"> also investigated use of the mono-fumarate salt but chose the above hemi-fumarate due to its greater stability.</w:t>
      </w:r>
    </w:p>
    <w:p w:rsidR="005A6209" w:rsidRPr="00FA425A" w:rsidRDefault="005A6209" w:rsidP="000230EE">
      <w:pPr>
        <w:rPr>
          <w:iCs/>
          <w:szCs w:val="24"/>
        </w:rPr>
      </w:pPr>
      <w:r w:rsidRPr="00FA425A">
        <w:t>TAF fumarate</w:t>
      </w:r>
      <w:r w:rsidRPr="00FA425A">
        <w:rPr>
          <w:rFonts w:cs="P'F8ø◊ÁÂ"/>
          <w:szCs w:val="24"/>
        </w:rPr>
        <w:t xml:space="preserve"> </w:t>
      </w:r>
      <w:r w:rsidRPr="00FA425A">
        <w:t xml:space="preserve">is a non-hygroscopic white to off-white or tan powder that is </w:t>
      </w:r>
      <w:r w:rsidRPr="00FA425A">
        <w:rPr>
          <w:szCs w:val="24"/>
        </w:rPr>
        <w:t>‘</w:t>
      </w:r>
      <w:r w:rsidRPr="00FA425A">
        <w:rPr>
          <w:i/>
          <w:szCs w:val="24"/>
        </w:rPr>
        <w:t>soluble to slightly soluble’</w:t>
      </w:r>
      <w:r w:rsidRPr="00FA425A">
        <w:rPr>
          <w:szCs w:val="24"/>
        </w:rPr>
        <w:t xml:space="preserve"> in aqueous media over a wide pH range, with the solubility decreasing with an increase in pH.</w:t>
      </w:r>
      <w:r w:rsidRPr="00FA425A">
        <w:t xml:space="preserve"> Tenofovir alafenamide fumarate has five chiral centres, and</w:t>
      </w:r>
      <w:r w:rsidRPr="00FA425A">
        <w:rPr>
          <w:szCs w:val="24"/>
        </w:rPr>
        <w:t xml:space="preserve"> is chirally pure (&gt;98%)</w:t>
      </w:r>
      <w:r w:rsidRPr="00FA425A">
        <w:t>.</w:t>
      </w:r>
      <w:r w:rsidRPr="00FA425A">
        <w:rPr>
          <w:szCs w:val="24"/>
        </w:rPr>
        <w:t xml:space="preserve"> It is</w:t>
      </w:r>
      <w:r w:rsidRPr="00FA425A">
        <w:t xml:space="preserve"> </w:t>
      </w:r>
      <w:r w:rsidRPr="00A474ED">
        <w:t>considered to be a BCS Class III substance</w:t>
      </w:r>
      <w:r w:rsidRPr="00FA425A">
        <w:t xml:space="preserve"> (high solubility, low permeability).</w:t>
      </w:r>
      <w:r w:rsidR="00A474ED">
        <w:rPr>
          <w:rStyle w:val="FootnoteReference"/>
        </w:rPr>
        <w:footnoteReference w:id="3"/>
      </w:r>
      <w:r w:rsidR="00914F1C">
        <w:t xml:space="preserve"> The drug substance is micronis</w:t>
      </w:r>
      <w:r w:rsidRPr="00FA425A">
        <w:t>ed and particle size is adequately controlled.</w:t>
      </w:r>
    </w:p>
    <w:p w:rsidR="005A6209" w:rsidRPr="00FA425A" w:rsidRDefault="005A6209" w:rsidP="000230EE">
      <w:pPr>
        <w:rPr>
          <w:iCs/>
          <w:szCs w:val="24"/>
        </w:rPr>
      </w:pPr>
      <w:r w:rsidRPr="00FA425A">
        <w:t xml:space="preserve">Details of the drug substance were previously evaluated by the TGA as part of the submissions, to register </w:t>
      </w:r>
      <w:r w:rsidR="00AA3643">
        <w:t>Genvoya</w:t>
      </w:r>
      <w:r w:rsidRPr="00FA425A">
        <w:rPr>
          <w:szCs w:val="24"/>
        </w:rPr>
        <w:t xml:space="preserve"> elvitegravir (E)/cobicistat (C)/emtricitabine (F)/TAF fumarate 150/150/200/10 mg Tablet.</w:t>
      </w:r>
      <w:r w:rsidRPr="00FA425A">
        <w:t xml:space="preserve"> All details relating to the drug substance, TAF fumarate, are identical to those previously evaluated</w:t>
      </w:r>
      <w:r w:rsidR="00D50C81">
        <w:t xml:space="preserve"> by the TGA</w:t>
      </w:r>
      <w:r w:rsidRPr="00FA425A">
        <w:t>.</w:t>
      </w:r>
    </w:p>
    <w:p w:rsidR="005A6209" w:rsidRPr="00FA425A" w:rsidRDefault="005A6209" w:rsidP="000230EE">
      <w:r w:rsidRPr="00FA425A">
        <w:t>The drug substance specifications applied to the drug substance</w:t>
      </w:r>
      <w:r w:rsidRPr="00FA425A">
        <w:rPr>
          <w:szCs w:val="24"/>
        </w:rPr>
        <w:t xml:space="preserve"> </w:t>
      </w:r>
      <w:r w:rsidRPr="00FA425A">
        <w:t>are considered adequate to ensure the quality and consistency of manufacture of the finished product.</w:t>
      </w:r>
    </w:p>
    <w:p w:rsidR="005A6209" w:rsidRPr="00FA425A" w:rsidRDefault="005A6209" w:rsidP="000230EE">
      <w:pPr>
        <w:rPr>
          <w:iCs/>
          <w:szCs w:val="24"/>
        </w:rPr>
      </w:pPr>
      <w:r w:rsidRPr="00FA425A">
        <w:t xml:space="preserve">The drug substance is relatively photostable but is susceptible to hydrolysis, particularly in acidic solutions. However it shows good solid state stability and adequate stability data have been provided to support a retest period for the drug substance of </w:t>
      </w:r>
      <w:r w:rsidRPr="00FA425A">
        <w:rPr>
          <w:szCs w:val="24"/>
        </w:rPr>
        <w:t xml:space="preserve">24 months stored under refrigerated conditions </w:t>
      </w:r>
      <w:r w:rsidRPr="00FA425A">
        <w:t>(5ºC ± 3ºC)</w:t>
      </w:r>
      <w:r w:rsidRPr="00FA425A">
        <w:rPr>
          <w:szCs w:val="24"/>
        </w:rPr>
        <w:t>.</w:t>
      </w:r>
    </w:p>
    <w:p w:rsidR="008E7846" w:rsidRDefault="008E7846" w:rsidP="008E7846">
      <w:pPr>
        <w:pStyle w:val="Heading3"/>
      </w:pPr>
      <w:bookmarkStart w:id="29" w:name="_Toc247691508"/>
      <w:bookmarkStart w:id="30" w:name="_Toc314842490"/>
      <w:bookmarkStart w:id="31" w:name="_Toc470175468"/>
      <w:r w:rsidRPr="008751DC">
        <w:t xml:space="preserve">Drug </w:t>
      </w:r>
      <w:r>
        <w:t>p</w:t>
      </w:r>
      <w:r w:rsidRPr="008751DC">
        <w:t>roduct</w:t>
      </w:r>
      <w:bookmarkEnd w:id="29"/>
      <w:bookmarkEnd w:id="30"/>
      <w:bookmarkEnd w:id="31"/>
    </w:p>
    <w:p w:rsidR="005A6209" w:rsidRPr="00FA425A" w:rsidRDefault="005A6209" w:rsidP="000230EE">
      <w:r w:rsidRPr="00FA425A">
        <w:t>The proposed product</w:t>
      </w:r>
      <w:r>
        <w:t>s</w:t>
      </w:r>
      <w:r w:rsidRPr="00FA425A">
        <w:t xml:space="preserve"> </w:t>
      </w:r>
      <w:r>
        <w:t>are</w:t>
      </w:r>
      <w:r w:rsidRPr="00FA425A">
        <w:t xml:space="preserve"> immediate-release</w:t>
      </w:r>
      <w:r w:rsidR="00BF14F5">
        <w:t xml:space="preserve"> </w:t>
      </w:r>
      <w:r w:rsidRPr="00FA425A">
        <w:t>fixed combination tablet</w:t>
      </w:r>
      <w:r>
        <w:t>s</w:t>
      </w:r>
      <w:r w:rsidRPr="00FA425A">
        <w:t xml:space="preserve"> containing emtricitabine</w:t>
      </w:r>
      <w:r>
        <w:t xml:space="preserve"> (‘F’)</w:t>
      </w:r>
      <w:r w:rsidRPr="00FA425A">
        <w:t xml:space="preserve"> 200 mg, and tenofovir alafenamide </w:t>
      </w:r>
      <w:r>
        <w:t xml:space="preserve">(‘TAF') </w:t>
      </w:r>
      <w:r w:rsidRPr="00FA425A">
        <w:t xml:space="preserve">10 mg or 25 mg </w:t>
      </w:r>
      <w:r>
        <w:t>[</w:t>
      </w:r>
      <w:r w:rsidRPr="00FA425A">
        <w:t>equivalent to 11.2 mg or 28.0 mg of ‘tenofovir alafenamide fumarate'</w:t>
      </w:r>
      <w:r>
        <w:t xml:space="preserve"> (‘TAF fumarate’)</w:t>
      </w:r>
      <w:r w:rsidRPr="00FA425A">
        <w:t>, respectively</w:t>
      </w:r>
      <w:r>
        <w:t>]</w:t>
      </w:r>
      <w:r w:rsidRPr="00FA425A">
        <w:t xml:space="preserve">. </w:t>
      </w:r>
      <w:r w:rsidRPr="005B0FD8">
        <w:rPr>
          <w:lang w:val="en-US"/>
        </w:rPr>
        <w:t>The combination tablets are referred to as ‘F/TAF’ in the submission</w:t>
      </w:r>
      <w:r>
        <w:rPr>
          <w:lang w:val="en-US"/>
        </w:rPr>
        <w:t xml:space="preserve"> and below.</w:t>
      </w:r>
    </w:p>
    <w:p w:rsidR="005A6209" w:rsidRDefault="005A6209" w:rsidP="000230EE">
      <w:pPr>
        <w:rPr>
          <w:lang w:val="en-US"/>
        </w:rPr>
      </w:pPr>
      <w:r w:rsidRPr="00BF14F5">
        <w:lastRenderedPageBreak/>
        <w:t>The F/TAF 200/10 mg</w:t>
      </w:r>
      <w:r w:rsidRPr="000E41EF">
        <w:t xml:space="preserve"> tablets </w:t>
      </w:r>
      <w:r w:rsidRPr="000E41EF">
        <w:rPr>
          <w:lang w:val="en-US"/>
        </w:rPr>
        <w:t xml:space="preserve">are gray, rectangular-shaped, film-coated tablets with </w:t>
      </w:r>
      <w:r w:rsidR="00EF064E">
        <w:rPr>
          <w:i/>
          <w:lang w:val="en-US"/>
        </w:rPr>
        <w:t>‘</w:t>
      </w:r>
      <w:r w:rsidRPr="000E41EF">
        <w:rPr>
          <w:i/>
          <w:lang w:val="en-US"/>
        </w:rPr>
        <w:t>GSI</w:t>
      </w:r>
      <w:r w:rsidR="00EF064E">
        <w:rPr>
          <w:i/>
          <w:lang w:val="en-US"/>
        </w:rPr>
        <w:t>’</w:t>
      </w:r>
      <w:r w:rsidRPr="000E41EF">
        <w:rPr>
          <w:i/>
          <w:lang w:val="en-US"/>
        </w:rPr>
        <w:t xml:space="preserve"> </w:t>
      </w:r>
      <w:r w:rsidRPr="000E41EF">
        <w:rPr>
          <w:lang w:val="en-US"/>
        </w:rPr>
        <w:t xml:space="preserve">debossed on one side and </w:t>
      </w:r>
      <w:r w:rsidR="00EF064E">
        <w:rPr>
          <w:i/>
          <w:lang w:val="en-US"/>
        </w:rPr>
        <w:t>‘</w:t>
      </w:r>
      <w:r w:rsidRPr="000E41EF">
        <w:rPr>
          <w:i/>
          <w:lang w:val="en-US"/>
        </w:rPr>
        <w:t>210</w:t>
      </w:r>
      <w:r w:rsidR="00EF064E">
        <w:rPr>
          <w:i/>
          <w:lang w:val="en-US"/>
        </w:rPr>
        <w:t>’</w:t>
      </w:r>
      <w:r w:rsidRPr="000E41EF">
        <w:rPr>
          <w:lang w:val="en-US"/>
        </w:rPr>
        <w:t xml:space="preserve"> on the other side.</w:t>
      </w:r>
      <w:r w:rsidR="00347444">
        <w:rPr>
          <w:lang w:val="en-US"/>
        </w:rPr>
        <w:t xml:space="preserve"> </w:t>
      </w:r>
      <w:r w:rsidRPr="000E41EF">
        <w:rPr>
          <w:lang w:val="en-US"/>
        </w:rPr>
        <w:t>The tablet dimensions are approximately</w:t>
      </w:r>
      <w:r w:rsidR="00BF14F5">
        <w:rPr>
          <w:lang w:val="en-US"/>
        </w:rPr>
        <w:t xml:space="preserve"> </w:t>
      </w:r>
      <w:r w:rsidRPr="000E41EF">
        <w:rPr>
          <w:lang w:val="en-US"/>
        </w:rPr>
        <w:t>12.5 mm long and 6.4 mm wide.</w:t>
      </w:r>
      <w:r w:rsidR="00347444">
        <w:rPr>
          <w:lang w:val="en-US"/>
        </w:rPr>
        <w:t xml:space="preserve"> </w:t>
      </w:r>
      <w:r w:rsidRPr="000E41EF">
        <w:rPr>
          <w:lang w:val="en-US"/>
        </w:rPr>
        <w:t>A photo of the dosage form is provided below.</w:t>
      </w:r>
    </w:p>
    <w:p w:rsidR="00BF14F5" w:rsidRPr="000E41EF" w:rsidRDefault="00BF14F5" w:rsidP="00BF14F5">
      <w:pPr>
        <w:pStyle w:val="FigureTitle"/>
        <w:rPr>
          <w:lang w:val="en-US"/>
        </w:rPr>
      </w:pPr>
      <w:r>
        <w:rPr>
          <w:lang w:val="en-US"/>
        </w:rPr>
        <w:t xml:space="preserve">Figure 4: </w:t>
      </w:r>
      <w:r w:rsidRPr="00BF14F5">
        <w:t>F/TAF 200/10 mg</w:t>
      </w:r>
      <w:r w:rsidRPr="000E41EF">
        <w:t xml:space="preserve"> tablets</w:t>
      </w:r>
    </w:p>
    <w:p w:rsidR="005A6209" w:rsidRDefault="005A6209" w:rsidP="000230EE">
      <w:pPr>
        <w:rPr>
          <w:lang w:val="en-US"/>
        </w:rPr>
      </w:pPr>
      <w:r>
        <w:rPr>
          <w:noProof/>
          <w:lang w:eastAsia="en-AU"/>
        </w:rPr>
        <w:drawing>
          <wp:inline distT="0" distB="0" distL="0" distR="0" wp14:anchorId="09D2F90C" wp14:editId="7DA8E579">
            <wp:extent cx="1212215" cy="1223010"/>
            <wp:effectExtent l="0" t="0" r="6985" b="0"/>
            <wp:docPr id="11" name="Picture 11" descr="Figure 4: F/TAF 200/10 mg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2215" cy="1223010"/>
                    </a:xfrm>
                    <a:prstGeom prst="rect">
                      <a:avLst/>
                    </a:prstGeom>
                    <a:noFill/>
                    <a:ln>
                      <a:noFill/>
                    </a:ln>
                  </pic:spPr>
                </pic:pic>
              </a:graphicData>
            </a:graphic>
          </wp:inline>
        </w:drawing>
      </w:r>
    </w:p>
    <w:p w:rsidR="005A6209" w:rsidRDefault="005A6209" w:rsidP="000230EE">
      <w:pPr>
        <w:rPr>
          <w:lang w:val="en-US"/>
        </w:rPr>
      </w:pPr>
      <w:r w:rsidRPr="00BF14F5">
        <w:t xml:space="preserve">The F/TAF 200/25 mg tablets </w:t>
      </w:r>
      <w:r w:rsidRPr="00BF14F5">
        <w:rPr>
          <w:lang w:val="en-US"/>
        </w:rPr>
        <w:t xml:space="preserve">are blue, rectangular-shaped, film-coated tablets with </w:t>
      </w:r>
      <w:r w:rsidR="00EF064E">
        <w:rPr>
          <w:i/>
          <w:lang w:val="en-US"/>
        </w:rPr>
        <w:t>‘</w:t>
      </w:r>
      <w:r w:rsidRPr="00BF14F5">
        <w:rPr>
          <w:i/>
          <w:lang w:val="en-US"/>
        </w:rPr>
        <w:t>GSI</w:t>
      </w:r>
      <w:r w:rsidR="00EF064E">
        <w:rPr>
          <w:i/>
          <w:lang w:val="en-US"/>
        </w:rPr>
        <w:t>’</w:t>
      </w:r>
      <w:r w:rsidRPr="00BF14F5">
        <w:rPr>
          <w:i/>
          <w:lang w:val="en-US"/>
        </w:rPr>
        <w:t xml:space="preserve"> </w:t>
      </w:r>
      <w:r w:rsidRPr="00BF14F5">
        <w:rPr>
          <w:lang w:val="en-US"/>
        </w:rPr>
        <w:t xml:space="preserve">debossed on one side and </w:t>
      </w:r>
      <w:r w:rsidR="00EF064E">
        <w:rPr>
          <w:i/>
          <w:lang w:val="en-US"/>
        </w:rPr>
        <w:t>‘</w:t>
      </w:r>
      <w:r w:rsidRPr="00BF14F5">
        <w:rPr>
          <w:i/>
          <w:lang w:val="en-US"/>
        </w:rPr>
        <w:t>225</w:t>
      </w:r>
      <w:r w:rsidR="00EF064E">
        <w:rPr>
          <w:i/>
          <w:lang w:val="en-US"/>
        </w:rPr>
        <w:t>’</w:t>
      </w:r>
      <w:r w:rsidRPr="00BF14F5">
        <w:rPr>
          <w:lang w:val="en-US"/>
        </w:rPr>
        <w:t xml:space="preserve"> on</w:t>
      </w:r>
      <w:r w:rsidRPr="000E41EF">
        <w:rPr>
          <w:lang w:val="en-US"/>
        </w:rPr>
        <w:t xml:space="preserve"> the other side.</w:t>
      </w:r>
      <w:r w:rsidR="00347444">
        <w:rPr>
          <w:lang w:val="en-US"/>
        </w:rPr>
        <w:t xml:space="preserve"> </w:t>
      </w:r>
      <w:r w:rsidRPr="000E41EF">
        <w:rPr>
          <w:lang w:val="en-US"/>
        </w:rPr>
        <w:t>The tablet dimensions are approximately</w:t>
      </w:r>
      <w:r w:rsidR="00BF14F5">
        <w:rPr>
          <w:lang w:val="en-US"/>
        </w:rPr>
        <w:t xml:space="preserve"> </w:t>
      </w:r>
      <w:r w:rsidRPr="000E41EF">
        <w:rPr>
          <w:lang w:val="en-US"/>
        </w:rPr>
        <w:t>12.5 mm long and 6.4 mm wide.</w:t>
      </w:r>
      <w:r w:rsidR="00347444">
        <w:rPr>
          <w:lang w:val="en-US"/>
        </w:rPr>
        <w:t xml:space="preserve"> </w:t>
      </w:r>
      <w:r w:rsidRPr="000E41EF">
        <w:rPr>
          <w:lang w:val="en-US"/>
        </w:rPr>
        <w:t>A photo of the dosage form is provided below.</w:t>
      </w:r>
    </w:p>
    <w:p w:rsidR="00BF14F5" w:rsidRDefault="00BF14F5" w:rsidP="00BF14F5">
      <w:pPr>
        <w:pStyle w:val="FigureTitle"/>
        <w:rPr>
          <w:lang w:val="en-US"/>
        </w:rPr>
      </w:pPr>
      <w:r>
        <w:rPr>
          <w:lang w:val="en-US"/>
        </w:rPr>
        <w:t xml:space="preserve">Figure 5: </w:t>
      </w:r>
      <w:r w:rsidRPr="00BF14F5">
        <w:t>F/TAF 200/25 mg tablets</w:t>
      </w:r>
    </w:p>
    <w:p w:rsidR="005A6209" w:rsidRPr="000E41EF" w:rsidRDefault="005A6209" w:rsidP="000230EE">
      <w:pPr>
        <w:rPr>
          <w:lang w:val="en-US"/>
        </w:rPr>
      </w:pPr>
      <w:r>
        <w:rPr>
          <w:noProof/>
          <w:lang w:eastAsia="en-AU"/>
        </w:rPr>
        <w:drawing>
          <wp:inline distT="0" distB="0" distL="0" distR="0" wp14:anchorId="537841ED" wp14:editId="4785FB63">
            <wp:extent cx="1360805" cy="1488440"/>
            <wp:effectExtent l="0" t="0" r="0" b="0"/>
            <wp:docPr id="10" name="Picture 10" descr="Figure 5: F/TAF 200/25 mg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0805" cy="1488440"/>
                    </a:xfrm>
                    <a:prstGeom prst="rect">
                      <a:avLst/>
                    </a:prstGeom>
                    <a:noFill/>
                    <a:ln>
                      <a:noFill/>
                    </a:ln>
                  </pic:spPr>
                </pic:pic>
              </a:graphicData>
            </a:graphic>
          </wp:inline>
        </w:drawing>
      </w:r>
    </w:p>
    <w:p w:rsidR="005A6209" w:rsidRPr="000E41EF" w:rsidRDefault="005A6209" w:rsidP="000230EE">
      <w:pPr>
        <w:rPr>
          <w:lang w:val="en-US"/>
        </w:rPr>
      </w:pPr>
      <w:r w:rsidRPr="000E41EF">
        <w:rPr>
          <w:lang w:val="en-US"/>
        </w:rPr>
        <w:t>The FDC tablet dose strengths are not direct scales of one another.</w:t>
      </w:r>
    </w:p>
    <w:p w:rsidR="005A6209" w:rsidRDefault="005A6209" w:rsidP="0011765E">
      <w:pPr>
        <w:rPr>
          <w:color w:val="0070C0"/>
        </w:rPr>
      </w:pPr>
      <w:r w:rsidRPr="00004168">
        <w:rPr>
          <w:lang w:val="en-US"/>
        </w:rPr>
        <w:t>The tablets are packaged in 60 mL white HDPE bottles containing 30 tablets and either a canister or sachet containing 3 grams of silica gel desiccant</w:t>
      </w:r>
      <w:r w:rsidR="003A7FC4">
        <w:rPr>
          <w:lang w:val="en-US"/>
        </w:rPr>
        <w:t xml:space="preserve"> and a polyester coil</w:t>
      </w:r>
      <w:r w:rsidRPr="00004168">
        <w:rPr>
          <w:lang w:val="en-US"/>
        </w:rPr>
        <w:t>.</w:t>
      </w:r>
      <w:r w:rsidR="00347444">
        <w:rPr>
          <w:lang w:val="en-US"/>
        </w:rPr>
        <w:t xml:space="preserve"> </w:t>
      </w:r>
      <w:r w:rsidRPr="00004168">
        <w:rPr>
          <w:lang w:val="en-US"/>
        </w:rPr>
        <w:t>Each bottle is capped with a white continuous thread, child-resistant polypropylene screw cap fitted with an induction sealed, alumin</w:t>
      </w:r>
      <w:r>
        <w:rPr>
          <w:lang w:val="en-US"/>
        </w:rPr>
        <w:t>i</w:t>
      </w:r>
      <w:r w:rsidRPr="00004168">
        <w:rPr>
          <w:lang w:val="en-US"/>
        </w:rPr>
        <w:t>um</w:t>
      </w:r>
      <w:r w:rsidR="00DC3B24">
        <w:rPr>
          <w:lang w:val="en-US"/>
        </w:rPr>
        <w:t xml:space="preserve"> </w:t>
      </w:r>
      <w:r w:rsidRPr="00004168">
        <w:rPr>
          <w:lang w:val="en-US"/>
        </w:rPr>
        <w:t>faced liner.</w:t>
      </w:r>
    </w:p>
    <w:p w:rsidR="005A6209" w:rsidRPr="007729F2" w:rsidRDefault="005A6209" w:rsidP="0011765E">
      <w:r w:rsidRPr="007729F2">
        <w:t>All excipients, (microcrystalline cellulose, croscarmellose sodium, magnesium stearate) are conventional ingredients used in numerous registered oral dosage forms.</w:t>
      </w:r>
    </w:p>
    <w:p w:rsidR="005A6209" w:rsidRPr="007729F2" w:rsidRDefault="005A6209" w:rsidP="0011765E">
      <w:r w:rsidRPr="007729F2">
        <w:t xml:space="preserve">The drug product is formulated using conventional dry processes. </w:t>
      </w:r>
      <w:r w:rsidR="003A7FC4">
        <w:t>Emtricitabine</w:t>
      </w:r>
      <w:r w:rsidR="003A7FC4" w:rsidRPr="007729F2">
        <w:t xml:space="preserve"> </w:t>
      </w:r>
      <w:r w:rsidRPr="007729F2">
        <w:t xml:space="preserve">and TAF fumarate are granulated with intra-granular excipients followed by milling and </w:t>
      </w:r>
      <w:r>
        <w:t>lubricating</w:t>
      </w:r>
      <w:r w:rsidRPr="007729F2">
        <w:t xml:space="preserve"> with </w:t>
      </w:r>
      <w:r w:rsidRPr="007729F2">
        <w:rPr>
          <w:lang w:val="en-US"/>
        </w:rPr>
        <w:t>magnesium stearate to yield the final powder blend for compression</w:t>
      </w:r>
      <w:r w:rsidRPr="007729F2">
        <w:t xml:space="preserve">. Compressed tablets cores are film-coated with their respective </w:t>
      </w:r>
      <w:r>
        <w:t xml:space="preserve">proprietary </w:t>
      </w:r>
      <w:r w:rsidRPr="007729F2">
        <w:t xml:space="preserve">coating </w:t>
      </w:r>
      <w:r>
        <w:t>mixtures</w:t>
      </w:r>
      <w:r w:rsidRPr="007729F2">
        <w:t xml:space="preserve"> and </w:t>
      </w:r>
      <w:r>
        <w:t xml:space="preserve">are </w:t>
      </w:r>
      <w:r w:rsidRPr="007729F2">
        <w:t>packaged.</w:t>
      </w:r>
    </w:p>
    <w:p w:rsidR="005A6209" w:rsidRPr="00DA18E0" w:rsidRDefault="005A6209" w:rsidP="0011765E">
      <w:r w:rsidRPr="00DA18E0">
        <w:t>Dissolution performance of the proposed tablets during development and for quality control purposes was monitored by an ad</w:t>
      </w:r>
      <w:r w:rsidR="00DC3B24">
        <w:t>equately justified test method</w:t>
      </w:r>
      <w:r w:rsidRPr="00DA18E0">
        <w:t>. Little or no change in dissolution was observed on storage.</w:t>
      </w:r>
    </w:p>
    <w:p w:rsidR="00586A39" w:rsidRDefault="005A6209" w:rsidP="0011765E">
      <w:r w:rsidRPr="00DA18E0">
        <w:t>An in-house</w:t>
      </w:r>
      <w:r>
        <w:t>,</w:t>
      </w:r>
      <w:r w:rsidRPr="00DA18E0">
        <w:t xml:space="preserve"> </w:t>
      </w:r>
      <w:r>
        <w:t xml:space="preserve">validated </w:t>
      </w:r>
      <w:r w:rsidRPr="00DA18E0">
        <w:t>gradient-</w:t>
      </w:r>
      <w:r w:rsidRPr="00DC3B24">
        <w:t xml:space="preserve">elution </w:t>
      </w:r>
      <w:r w:rsidR="00DC3B24" w:rsidRPr="00DC3B24">
        <w:t>Ultra Performance Liquid chromatography</w:t>
      </w:r>
      <w:r w:rsidR="00DC3B24">
        <w:rPr>
          <w:rStyle w:val="st1"/>
          <w:rFonts w:ascii="Arial" w:hAnsi="Arial" w:cs="Arial"/>
          <w:color w:val="545454"/>
        </w:rPr>
        <w:t xml:space="preserve"> (</w:t>
      </w:r>
      <w:r w:rsidRPr="00DA18E0">
        <w:t>UPLC</w:t>
      </w:r>
      <w:r w:rsidR="00DC3B24">
        <w:t>)</w:t>
      </w:r>
      <w:r w:rsidRPr="00DA18E0">
        <w:t xml:space="preserve"> test method is employed to test for assay of each drug substance and for specified degradants associated with each. Two wavelengths of detection are employed</w:t>
      </w:r>
      <w:r w:rsidR="00586A39">
        <w:t>.</w:t>
      </w:r>
    </w:p>
    <w:p w:rsidR="00586A39" w:rsidRDefault="005A6209" w:rsidP="000230EE">
      <w:r w:rsidRPr="00EF43B9">
        <w:t>Release and expiry limits are applied for individual unspecified degradants associated with each drug substance is within the applicable International Conference on Harmonisation qualification threshold</w:t>
      </w:r>
      <w:r w:rsidR="00586A39">
        <w:t>.</w:t>
      </w:r>
    </w:p>
    <w:p w:rsidR="005A6209" w:rsidRDefault="005A6209" w:rsidP="000230EE">
      <w:r w:rsidRPr="00EF43B9">
        <w:t xml:space="preserve">Degradation pathways for each drug substance have been adequately investigated and limits are applied for specified impurities for each drug substance. These limits have been </w:t>
      </w:r>
      <w:r w:rsidRPr="00EF43B9">
        <w:lastRenderedPageBreak/>
        <w:t xml:space="preserve">qualified by toxicological studies, which have been assessed as acceptable by the TGA </w:t>
      </w:r>
      <w:r w:rsidR="00D50C81">
        <w:t>nonclinical</w:t>
      </w:r>
      <w:r w:rsidRPr="00EF43B9">
        <w:t xml:space="preserve"> section.</w:t>
      </w:r>
    </w:p>
    <w:p w:rsidR="005A6209" w:rsidRPr="00EF43B9" w:rsidRDefault="005A6209" w:rsidP="000230EE">
      <w:r w:rsidRPr="00EF43B9">
        <w:t xml:space="preserve">The limits applied to emtricitabine-related degradation products and TAF-related degradation products </w:t>
      </w:r>
      <w:r w:rsidRPr="00DC3B24">
        <w:t>are equivalent to or tighter than</w:t>
      </w:r>
      <w:r w:rsidRPr="00EF43B9">
        <w:t xml:space="preserve"> those proposed for the degradation products in the approved </w:t>
      </w:r>
      <w:r w:rsidR="00AA3643">
        <w:t>Genvoya</w:t>
      </w:r>
      <w:r w:rsidRPr="00EF43B9">
        <w:t xml:space="preserve"> tablets.</w:t>
      </w:r>
    </w:p>
    <w:p w:rsidR="005A6209" w:rsidRPr="00436D6D" w:rsidRDefault="005A6209" w:rsidP="000230EE">
      <w:r w:rsidRPr="00EF43B9">
        <w:t xml:space="preserve">Batches </w:t>
      </w:r>
      <w:proofErr w:type="gramStart"/>
      <w:r w:rsidRPr="00EF43B9">
        <w:t>of each tablet strength</w:t>
      </w:r>
      <w:proofErr w:type="gramEnd"/>
      <w:r w:rsidRPr="00EF43B9">
        <w:t xml:space="preserve"> typically have very low levels of total impurities associated with each drug substance at release.</w:t>
      </w:r>
      <w:r w:rsidRPr="00095F1B">
        <w:rPr>
          <w:color w:val="0070C0"/>
        </w:rPr>
        <w:t xml:space="preserve"> </w:t>
      </w:r>
      <w:r w:rsidRPr="00436D6D">
        <w:t>On long-term storage (12 months, 30°C/65%RH) there were no significant increases in degradants associated with emtricitabine with moderate increases in TAF-related degradants. All results were well within specified limits.</w:t>
      </w:r>
    </w:p>
    <w:p w:rsidR="005A6209" w:rsidRPr="00B80211" w:rsidRDefault="005A6209" w:rsidP="000230EE">
      <w:r w:rsidRPr="00B80211">
        <w:t>The proposed finished product specifications have been adequately justified and comply with TGA requirements. They are considered adequate to ensure the quality of the finished product at release and throughout the shelf-life.</w:t>
      </w:r>
    </w:p>
    <w:p w:rsidR="00586A39" w:rsidRDefault="005A6209" w:rsidP="000230EE">
      <w:r w:rsidRPr="00B80211">
        <w:t>The tablets show good stability and a shelf life of 24 months when stored below 30ºC, is considered justified</w:t>
      </w:r>
      <w:r w:rsidR="00586A39">
        <w:t>.</w:t>
      </w:r>
    </w:p>
    <w:p w:rsidR="005A6209" w:rsidRPr="00B80211" w:rsidRDefault="005A6209" w:rsidP="000230EE">
      <w:pPr>
        <w:pStyle w:val="Heading4"/>
      </w:pPr>
      <w:r w:rsidRPr="00B80211">
        <w:t>Formulation Development</w:t>
      </w:r>
    </w:p>
    <w:p w:rsidR="005A6209" w:rsidRPr="00E76753" w:rsidRDefault="005A6209" w:rsidP="000230EE">
      <w:pPr>
        <w:rPr>
          <w:lang w:val="en-US"/>
        </w:rPr>
      </w:pPr>
      <w:r w:rsidRPr="00E76753">
        <w:rPr>
          <w:lang w:val="en-US"/>
        </w:rPr>
        <w:t>The entirety of the F/TAF tablet development was performed using a solid oral tablet dosage form, manufactured using a dry granulation process equivalent to the intended commercial process.</w:t>
      </w:r>
      <w:r w:rsidR="00347444">
        <w:rPr>
          <w:lang w:val="en-US"/>
        </w:rPr>
        <w:t xml:space="preserve"> </w:t>
      </w:r>
      <w:r w:rsidRPr="00E76753">
        <w:rPr>
          <w:lang w:val="en-US"/>
        </w:rPr>
        <w:t xml:space="preserve">No major changes other than those associated with process scale-up, film-coating colour and tablet debossing were made to the tablet manufacturing process after the completion of the Phase </w:t>
      </w:r>
      <w:r w:rsidR="00DC3B24">
        <w:rPr>
          <w:lang w:val="en-US"/>
        </w:rPr>
        <w:t>I</w:t>
      </w:r>
      <w:r w:rsidRPr="00E76753">
        <w:rPr>
          <w:lang w:val="en-US"/>
        </w:rPr>
        <w:t xml:space="preserve"> clinical trials.</w:t>
      </w:r>
    </w:p>
    <w:p w:rsidR="005A6209" w:rsidRPr="00DC3B24" w:rsidRDefault="005A6209" w:rsidP="00DC3B24">
      <w:r w:rsidRPr="000A3BD3">
        <w:rPr>
          <w:lang w:val="en-US"/>
        </w:rPr>
        <w:t>The F/TAF tablet formulation evolved throughout clinical development. F/TAF core tablet formu</w:t>
      </w:r>
      <w:r>
        <w:rPr>
          <w:lang w:val="en-US"/>
        </w:rPr>
        <w:t>lations containing F/TAF 200/2</w:t>
      </w:r>
      <w:r w:rsidR="00E04BFC">
        <w:rPr>
          <w:lang w:val="en-US"/>
        </w:rPr>
        <w:t>5 mg</w:t>
      </w:r>
      <w:r>
        <w:rPr>
          <w:lang w:val="en-US"/>
        </w:rPr>
        <w:t xml:space="preserve"> and F/TAF 200/40</w:t>
      </w:r>
      <w:r w:rsidR="00DC3B24">
        <w:rPr>
          <w:lang w:val="en-US"/>
        </w:rPr>
        <w:t xml:space="preserve"> </w:t>
      </w:r>
      <w:r w:rsidRPr="000A3BD3">
        <w:rPr>
          <w:lang w:val="en-US"/>
        </w:rPr>
        <w:t xml:space="preserve">mg were initially developed with a total tablet core weight of 450 mg and evaluated </w:t>
      </w:r>
      <w:r w:rsidRPr="00DC3B24">
        <w:t>for their drug-drug interaction potential with efavirenz and cobicistat-boosted darunavir [Study GS-US-301-0101].</w:t>
      </w:r>
      <w:r w:rsidR="00347444">
        <w:t xml:space="preserve"> </w:t>
      </w:r>
      <w:r w:rsidRPr="00DC3B24">
        <w:t>Based upon the clinical demonstration of the ability of cobicistat to boost TAF exposure, the 40 mg dose of TAF was discontinued in favour of a lower 10 mg TAF dose.</w:t>
      </w:r>
      <w:r w:rsidR="00347444">
        <w:t xml:space="preserve"> </w:t>
      </w:r>
      <w:r w:rsidRPr="00DC3B24">
        <w:t>Tablet</w:t>
      </w:r>
      <w:r w:rsidRPr="000A3BD3">
        <w:rPr>
          <w:lang w:val="en-US"/>
        </w:rPr>
        <w:t xml:space="preserve"> formulation compositions were then adjusted to develop the lower fixed-dose combination 200/10 mg strength and to increase the relative drug load, resulting in a total weight of 350 mg for </w:t>
      </w:r>
      <w:r w:rsidRPr="00DC3B24">
        <w:t>both the F/TAF 200/1</w:t>
      </w:r>
      <w:r w:rsidR="00E04BFC">
        <w:t>0 mg</w:t>
      </w:r>
      <w:r w:rsidRPr="00DC3B24">
        <w:t xml:space="preserve"> and 200/2</w:t>
      </w:r>
      <w:r w:rsidR="00E04BFC">
        <w:t>5 mg</w:t>
      </w:r>
      <w:r w:rsidRPr="00DC3B24">
        <w:t xml:space="preserve"> core tablets.</w:t>
      </w:r>
      <w:r w:rsidR="00347444">
        <w:t xml:space="preserve"> </w:t>
      </w:r>
      <w:r w:rsidRPr="00DC3B24">
        <w:t>A higher relative drug load was shown to improve the solid-state chemical stability of TAF.</w:t>
      </w:r>
    </w:p>
    <w:p w:rsidR="005A6209" w:rsidRPr="00DC3B24" w:rsidRDefault="005A6209" w:rsidP="00DC3B24">
      <w:r w:rsidRPr="00DC3B24">
        <w:t>It is noted that the tablet formulations used in the two pivotal bioavailability studies reviewed in this submission</w:t>
      </w:r>
      <w:r w:rsidR="0011765E">
        <w:t xml:space="preserve"> (</w:t>
      </w:r>
      <w:r w:rsidRPr="00DC3B24">
        <w:t>GS-US-31-1472 and GS-US-31-1473</w:t>
      </w:r>
      <w:r w:rsidR="0011765E">
        <w:t>)</w:t>
      </w:r>
      <w:r w:rsidRPr="00DC3B24">
        <w:t xml:space="preserve"> are equivalent to the two tablet formulations proposed for commercialisation.</w:t>
      </w:r>
    </w:p>
    <w:p w:rsidR="00586A39" w:rsidRDefault="005A6209" w:rsidP="000230EE">
      <w:r w:rsidRPr="007606E1">
        <w:t xml:space="preserve">During the development phase, two critical material attributes of the new drug substance, </w:t>
      </w:r>
      <w:r w:rsidRPr="007606E1">
        <w:br/>
        <w:t>TAF fumarate were investigated; (1) Sensitivity to moisture; and (2) Particle size</w:t>
      </w:r>
      <w:r w:rsidR="00586A39">
        <w:t>.</w:t>
      </w:r>
    </w:p>
    <w:p w:rsidR="005A6209" w:rsidRPr="00531332" w:rsidRDefault="005A6209" w:rsidP="00DC3B24">
      <w:pPr>
        <w:pStyle w:val="Numberbullet0"/>
      </w:pPr>
      <w:r w:rsidRPr="00531332">
        <w:t>TAF fumarate was known for its susceptibility to hydrolysis in aqueous solutions as well as hydrolytic degradation after exposure to humidity and heat.</w:t>
      </w:r>
      <w:r w:rsidR="00347444" w:rsidRPr="00531332">
        <w:t xml:space="preserve"> </w:t>
      </w:r>
      <w:r w:rsidRPr="00531332">
        <w:t>Adequately justified strategies were incorporated into the selection of excipients, the manufacturing process, and the primary packaging configuration to limit the sources of moisture and their exposure to TAF fumarate.</w:t>
      </w:r>
    </w:p>
    <w:p w:rsidR="005A6209" w:rsidRPr="00531332" w:rsidRDefault="005A6209" w:rsidP="00DC3B24">
      <w:pPr>
        <w:pStyle w:val="Numberbullet0"/>
      </w:pPr>
      <w:r w:rsidRPr="00531332">
        <w:t xml:space="preserve">Content uniformity and particle size concerns for TAF fumarate were adequately investigated and </w:t>
      </w:r>
      <w:r w:rsidRPr="00531332">
        <w:rPr>
          <w:lang w:val="en-US"/>
        </w:rPr>
        <w:t>acceptable uniformity of the F/TAF 200/1</w:t>
      </w:r>
      <w:r w:rsidR="00E04BFC" w:rsidRPr="00531332">
        <w:rPr>
          <w:lang w:val="en-US"/>
        </w:rPr>
        <w:t>0 mg</w:t>
      </w:r>
      <w:r w:rsidRPr="00531332">
        <w:rPr>
          <w:lang w:val="en-US"/>
        </w:rPr>
        <w:t xml:space="preserve"> final powder blend and uniformity and dissolution of the corresponding tablets was demonstrated for a TAF fumarate D(v,0.9)</w:t>
      </w:r>
      <w:r w:rsidRPr="00531332">
        <w:rPr>
          <w:szCs w:val="16"/>
          <w:lang w:val="en-US"/>
        </w:rPr>
        <w:t xml:space="preserve"> </w:t>
      </w:r>
      <w:r w:rsidRPr="00531332">
        <w:rPr>
          <w:lang w:val="en-US"/>
        </w:rPr>
        <w:t>particle size up to and exceeding 350 µm. The in-process control testing of the TAF fumarate drug substance (</w:t>
      </w:r>
      <w:proofErr w:type="gramStart"/>
      <w:r w:rsidRPr="00531332">
        <w:rPr>
          <w:lang w:val="en-US"/>
        </w:rPr>
        <w:t>D(</w:t>
      </w:r>
      <w:proofErr w:type="gramEnd"/>
      <w:r w:rsidRPr="00531332">
        <w:rPr>
          <w:lang w:val="en-US"/>
        </w:rPr>
        <w:t>v,0.9)</w:t>
      </w:r>
      <w:r w:rsidRPr="00531332">
        <w:rPr>
          <w:szCs w:val="16"/>
          <w:lang w:val="en-US"/>
        </w:rPr>
        <w:t xml:space="preserve"> </w:t>
      </w:r>
      <w:r w:rsidRPr="00531332">
        <w:rPr>
          <w:lang w:val="en-US"/>
        </w:rPr>
        <w:t>NMT 350 μm) ensures appropriate control of the content uniformity of TAF in the manufactured tablets.</w:t>
      </w:r>
    </w:p>
    <w:p w:rsidR="008E7846" w:rsidRPr="007606E1" w:rsidRDefault="008E7846" w:rsidP="008E7846">
      <w:pPr>
        <w:pStyle w:val="Heading3"/>
      </w:pPr>
      <w:bookmarkStart w:id="32" w:name="_Toc314842491"/>
      <w:bookmarkStart w:id="33" w:name="_Toc470175469"/>
      <w:r w:rsidRPr="007606E1">
        <w:lastRenderedPageBreak/>
        <w:t>Biopharmaceutics</w:t>
      </w:r>
      <w:bookmarkEnd w:id="32"/>
      <w:bookmarkEnd w:id="33"/>
    </w:p>
    <w:p w:rsidR="005A6209" w:rsidRPr="007606E1" w:rsidRDefault="005A6209" w:rsidP="00DC3B24">
      <w:pPr>
        <w:pStyle w:val="Heading4"/>
      </w:pPr>
      <w:r w:rsidRPr="007606E1">
        <w:t>Source of information</w:t>
      </w:r>
    </w:p>
    <w:p w:rsidR="005A6209" w:rsidRPr="007606E1" w:rsidRDefault="005A6209" w:rsidP="005A6209">
      <w:r w:rsidRPr="007606E1">
        <w:t>The draft Product Information (PI) document</w:t>
      </w:r>
      <w:r w:rsidR="00D50C81">
        <w:t xml:space="preserve"> submitted</w:t>
      </w:r>
      <w:r w:rsidRPr="007606E1">
        <w:t>.</w:t>
      </w:r>
    </w:p>
    <w:p w:rsidR="005A6209" w:rsidRPr="007606E1" w:rsidRDefault="005A6209" w:rsidP="00DC3B24">
      <w:pPr>
        <w:pStyle w:val="Heading5"/>
      </w:pPr>
      <w:r w:rsidRPr="007606E1">
        <w:t>Rate and extent of absorption</w:t>
      </w:r>
    </w:p>
    <w:p w:rsidR="005A6209" w:rsidRPr="007606E1" w:rsidRDefault="005A6209" w:rsidP="000230EE">
      <w:pPr>
        <w:rPr>
          <w:szCs w:val="24"/>
          <w:lang w:eastAsia="en-AU"/>
        </w:rPr>
      </w:pPr>
      <w:r w:rsidRPr="007606E1">
        <w:rPr>
          <w:szCs w:val="24"/>
          <w:lang w:eastAsia="en-AU"/>
        </w:rPr>
        <w:t>Following oral administration of the proposed drug product in HIV-1 infected patients, peak plasma concentrations were observed approximately 3 hours post-dose for emtricitabine (FTC), and 1 hour post-dose for tenofovir alafenamide (TAF).</w:t>
      </w:r>
    </w:p>
    <w:p w:rsidR="005A6209" w:rsidRPr="007606E1" w:rsidRDefault="005A6209" w:rsidP="00347444">
      <w:pPr>
        <w:pStyle w:val="Heading5"/>
      </w:pPr>
      <w:r w:rsidRPr="007606E1">
        <w:t>Metabolism and distribution</w:t>
      </w:r>
    </w:p>
    <w:p w:rsidR="005A6209" w:rsidRPr="007606E1" w:rsidRDefault="005A6209" w:rsidP="00347444">
      <w:r w:rsidRPr="007606E1">
        <w:rPr>
          <w:i/>
        </w:rPr>
        <w:t>Emtricitabine</w:t>
      </w:r>
      <w:r w:rsidRPr="007606E1">
        <w:t>:</w:t>
      </w:r>
      <w:r w:rsidR="00347444" w:rsidRPr="007606E1">
        <w:t xml:space="preserve"> </w:t>
      </w:r>
      <w:r w:rsidRPr="007606E1">
        <w:t>In vitro binding of emtricitabine to human plasma proteins is &lt;4% and is independent of concentration over the range of 0.02 to 200 μg/mL.</w:t>
      </w:r>
      <w:r w:rsidR="00347444" w:rsidRPr="007606E1">
        <w:t xml:space="preserve"> </w:t>
      </w:r>
      <w:r w:rsidRPr="007606E1">
        <w:t>The metabolites of emtricitabine include 3’-sulfoxide diastereomers and their glucuronic acid conjugate.</w:t>
      </w:r>
    </w:p>
    <w:p w:rsidR="00586A39" w:rsidRDefault="005A6209" w:rsidP="00347444">
      <w:r w:rsidRPr="007606E1">
        <w:rPr>
          <w:i/>
        </w:rPr>
        <w:t>Tenofovir alafenamide</w:t>
      </w:r>
      <w:r w:rsidRPr="007606E1">
        <w:t>:</w:t>
      </w:r>
      <w:r w:rsidR="00347444" w:rsidRPr="007606E1">
        <w:t xml:space="preserve"> </w:t>
      </w:r>
      <w:r w:rsidRPr="007606E1">
        <w:t>Metabolism is a major elimination pathway for tenofovir alafenamide in humans, accounting for &gt; 80% of an oral dose.</w:t>
      </w:r>
      <w:r w:rsidR="00347444" w:rsidRPr="007606E1">
        <w:t xml:space="preserve"> </w:t>
      </w:r>
      <w:r w:rsidRPr="007606E1">
        <w:t xml:space="preserve">In vitro, TAF is not metabolised by </w:t>
      </w:r>
      <w:r w:rsidR="00D50C81">
        <w:t xml:space="preserve">cytochrome P450 isozymes </w:t>
      </w:r>
      <w:r w:rsidRPr="007606E1">
        <w:t>CYP1A2, CYP2C8, CYP2C9, CYP2C19, or CYP2D6.</w:t>
      </w:r>
      <w:r w:rsidR="00347444" w:rsidRPr="007606E1">
        <w:t xml:space="preserve"> </w:t>
      </w:r>
      <w:r w:rsidRPr="007606E1">
        <w:t xml:space="preserve">TAF is minimally metabolised by CYP3A4. </w:t>
      </w:r>
      <w:r w:rsidRPr="007606E1">
        <w:br/>
        <w:t xml:space="preserve">In vitro binding of tenofovir to human plasma proteins is less than 0.7% and is independent of concentration over the range </w:t>
      </w:r>
      <w:proofErr w:type="gramStart"/>
      <w:r w:rsidRPr="007606E1">
        <w:t>of 0.01 to 25 µg/mL</w:t>
      </w:r>
      <w:proofErr w:type="gramEnd"/>
      <w:r w:rsidRPr="007606E1">
        <w:t>.</w:t>
      </w:r>
      <w:r w:rsidR="00347444" w:rsidRPr="007606E1">
        <w:t xml:space="preserve"> </w:t>
      </w:r>
      <w:r w:rsidRPr="007606E1">
        <w:t>Ex</w:t>
      </w:r>
      <w:r w:rsidR="00D50C81">
        <w:t xml:space="preserve"> </w:t>
      </w:r>
      <w:r w:rsidRPr="007606E1">
        <w:t>vivo binding of tenofovir alafenamide to human plasma proteins in samples collected during clinical studies was approximately 80%</w:t>
      </w:r>
      <w:r w:rsidR="00586A39">
        <w:t>.</w:t>
      </w:r>
    </w:p>
    <w:p w:rsidR="005A6209" w:rsidRPr="007606E1" w:rsidRDefault="005A6209" w:rsidP="000230EE">
      <w:pPr>
        <w:rPr>
          <w:b/>
          <w:szCs w:val="24"/>
        </w:rPr>
      </w:pPr>
      <w:r w:rsidRPr="007606E1">
        <w:rPr>
          <w:szCs w:val="24"/>
          <w:lang w:eastAsia="en-AU"/>
        </w:rPr>
        <w:t xml:space="preserve">Notably, results from a Phase </w:t>
      </w:r>
      <w:r w:rsidR="00347444" w:rsidRPr="007606E1">
        <w:rPr>
          <w:szCs w:val="24"/>
          <w:lang w:eastAsia="en-AU"/>
        </w:rPr>
        <w:t>I</w:t>
      </w:r>
      <w:r w:rsidRPr="007606E1">
        <w:rPr>
          <w:szCs w:val="24"/>
          <w:lang w:eastAsia="en-AU"/>
        </w:rPr>
        <w:t xml:space="preserve"> study for Genvoya (GS-US-292-0101) showed that exposure to tenofovir alafenamide when administered as a component of a combination tablet containing cobicistat was approximately 2.2 </w:t>
      </w:r>
      <w:r w:rsidR="00347444" w:rsidRPr="007606E1">
        <w:rPr>
          <w:szCs w:val="24"/>
          <w:lang w:eastAsia="en-AU"/>
        </w:rPr>
        <w:t>to</w:t>
      </w:r>
      <w:r w:rsidRPr="007606E1">
        <w:rPr>
          <w:szCs w:val="24"/>
          <w:lang w:eastAsia="en-AU"/>
        </w:rPr>
        <w:t xml:space="preserve"> 2.6-fold that when administered alone. The greater exposure to tenofovir alafenamide when administered as a component of the combination tablet is presumed to result from the inhibition of tenofovir alafenamide intestinal secretory transport by cobicistat.</w:t>
      </w:r>
    </w:p>
    <w:p w:rsidR="005A6209" w:rsidRPr="007606E1" w:rsidRDefault="005A6209" w:rsidP="00347444">
      <w:pPr>
        <w:pStyle w:val="Heading5"/>
      </w:pPr>
      <w:r w:rsidRPr="007606E1">
        <w:t>Mode, route and rate of elimination</w:t>
      </w:r>
    </w:p>
    <w:p w:rsidR="00586A39" w:rsidRDefault="005A6209" w:rsidP="00347444">
      <w:r w:rsidRPr="007606E1">
        <w:rPr>
          <w:i/>
        </w:rPr>
        <w:t>Emtricitabine</w:t>
      </w:r>
      <w:r w:rsidRPr="007606E1">
        <w:t>:</w:t>
      </w:r>
      <w:r w:rsidR="00347444" w:rsidRPr="007606E1">
        <w:t xml:space="preserve"> </w:t>
      </w:r>
      <w:r w:rsidRPr="007606E1">
        <w:t>Following administration of radiolabelled emtricitabine approximately 86% is recovered in the urine and 13% is recovered as metabolites.</w:t>
      </w:r>
      <w:r w:rsidR="00347444" w:rsidRPr="007606E1">
        <w:t xml:space="preserve"> </w:t>
      </w:r>
      <w:r w:rsidRPr="007606E1">
        <w:t xml:space="preserve">Emtricitabine is eliminated by a combination of glomerular filtration and active tubular secretion. Following a single oral dose of </w:t>
      </w:r>
      <w:r w:rsidR="00347444" w:rsidRPr="007606E1">
        <w:t>Emtriva</w:t>
      </w:r>
      <w:r w:rsidRPr="007606E1">
        <w:t>, the plasma emtricitabine half-life is approximately 10 hours</w:t>
      </w:r>
      <w:r w:rsidR="00586A39">
        <w:t>.</w:t>
      </w:r>
    </w:p>
    <w:p w:rsidR="005A6209" w:rsidRPr="007606E1" w:rsidRDefault="005A6209" w:rsidP="00347444">
      <w:r w:rsidRPr="007606E1">
        <w:rPr>
          <w:i/>
        </w:rPr>
        <w:t>Tenofovir alafenamide</w:t>
      </w:r>
      <w:r w:rsidRPr="007606E1">
        <w:t>: Tenofovir alafenamide is eliminated following metabolism to tenofovir.</w:t>
      </w:r>
      <w:r w:rsidR="00347444" w:rsidRPr="007606E1">
        <w:t xml:space="preserve"> </w:t>
      </w:r>
      <w:r w:rsidRPr="007606E1">
        <w:t>Tenofovir alafenamide and tenofovir have a median plasma half-life of 0.51 and 32.37 hours, respectively.</w:t>
      </w:r>
      <w:r w:rsidR="00347444" w:rsidRPr="007606E1">
        <w:t xml:space="preserve"> </w:t>
      </w:r>
      <w:r w:rsidRPr="007606E1">
        <w:t>Tenofovir is eliminated from the body by the kidneys by both glomerular filtration and active tubular secretion.</w:t>
      </w:r>
      <w:r w:rsidR="00347444" w:rsidRPr="007606E1">
        <w:t xml:space="preserve"> </w:t>
      </w:r>
      <w:r w:rsidRPr="007606E1">
        <w:t>Renal excretion of intact tenofovir alafenamide is a minor pathway with less than 1% of the dose eliminated in urine.</w:t>
      </w:r>
      <w:r w:rsidR="00347444" w:rsidRPr="007606E1">
        <w:t xml:space="preserve"> </w:t>
      </w:r>
      <w:r w:rsidRPr="007606E1">
        <w:t>The pharmacologically active metabolite, tenofovir diphosphate, has a half-life of 150 to 180 hours within PBMCs.</w:t>
      </w:r>
    </w:p>
    <w:p w:rsidR="005A6209" w:rsidRPr="007606E1" w:rsidRDefault="005A6209" w:rsidP="00347444">
      <w:pPr>
        <w:pStyle w:val="Heading5"/>
      </w:pPr>
      <w:r w:rsidRPr="007606E1">
        <w:t>Active entity</w:t>
      </w:r>
    </w:p>
    <w:p w:rsidR="00586A39" w:rsidRDefault="005A6209" w:rsidP="000230EE">
      <w:pPr>
        <w:rPr>
          <w:szCs w:val="24"/>
        </w:rPr>
      </w:pPr>
      <w:r w:rsidRPr="007606E1">
        <w:rPr>
          <w:szCs w:val="24"/>
        </w:rPr>
        <w:t>The pharmacological activity is caused by the active entities emtricitabine and tenofovir</w:t>
      </w:r>
      <w:r w:rsidR="00586A39">
        <w:rPr>
          <w:szCs w:val="24"/>
        </w:rPr>
        <w:t>.</w:t>
      </w:r>
    </w:p>
    <w:p w:rsidR="005A6209" w:rsidRPr="007606E1" w:rsidRDefault="005A6209" w:rsidP="00347444">
      <w:pPr>
        <w:pStyle w:val="Heading5"/>
      </w:pPr>
      <w:r w:rsidRPr="007606E1">
        <w:t>Effects of food</w:t>
      </w:r>
    </w:p>
    <w:p w:rsidR="005A6209" w:rsidRPr="007606E1" w:rsidRDefault="005A6209" w:rsidP="000230EE">
      <w:pPr>
        <w:rPr>
          <w:szCs w:val="24"/>
          <w:lang w:val="en-US"/>
        </w:rPr>
      </w:pPr>
      <w:r w:rsidRPr="007606E1">
        <w:rPr>
          <w:szCs w:val="24"/>
          <w:lang w:val="en-US"/>
        </w:rPr>
        <w:t xml:space="preserve">Relative to fasting conditions, the administration of </w:t>
      </w:r>
      <w:r w:rsidR="005A6D01" w:rsidRPr="007606E1">
        <w:rPr>
          <w:szCs w:val="24"/>
          <w:lang w:val="en-US"/>
        </w:rPr>
        <w:t>Descovy</w:t>
      </w:r>
      <w:r w:rsidRPr="007606E1">
        <w:rPr>
          <w:szCs w:val="24"/>
          <w:lang w:val="en-US"/>
        </w:rPr>
        <w:t xml:space="preserve"> with a high fat meal (800 k</w:t>
      </w:r>
      <w:r w:rsidR="00D50C81">
        <w:rPr>
          <w:szCs w:val="24"/>
          <w:lang w:val="en-US"/>
        </w:rPr>
        <w:t xml:space="preserve">ilo </w:t>
      </w:r>
      <w:r w:rsidRPr="007606E1">
        <w:rPr>
          <w:szCs w:val="24"/>
          <w:lang w:val="en-US"/>
        </w:rPr>
        <w:t>cal</w:t>
      </w:r>
      <w:r w:rsidR="00D50C81">
        <w:rPr>
          <w:szCs w:val="24"/>
          <w:lang w:val="en-US"/>
        </w:rPr>
        <w:t>ories (kcal)</w:t>
      </w:r>
      <w:r w:rsidRPr="007606E1">
        <w:rPr>
          <w:szCs w:val="24"/>
          <w:lang w:val="en-US"/>
        </w:rPr>
        <w:t>, 50% fat) resulted in a decrease of FTC C</w:t>
      </w:r>
      <w:r w:rsidRPr="007606E1">
        <w:rPr>
          <w:szCs w:val="24"/>
          <w:vertAlign w:val="subscript"/>
          <w:lang w:val="en-US"/>
        </w:rPr>
        <w:t>max</w:t>
      </w:r>
      <w:r w:rsidRPr="007606E1">
        <w:rPr>
          <w:szCs w:val="24"/>
          <w:lang w:val="en-US"/>
        </w:rPr>
        <w:t xml:space="preserve"> and AUC</w:t>
      </w:r>
      <w:r w:rsidRPr="007606E1">
        <w:rPr>
          <w:szCs w:val="24"/>
          <w:vertAlign w:val="subscript"/>
          <w:lang w:val="en-US"/>
        </w:rPr>
        <w:t>last</w:t>
      </w:r>
      <w:r w:rsidRPr="007606E1">
        <w:rPr>
          <w:szCs w:val="24"/>
          <w:lang w:val="en-US"/>
        </w:rPr>
        <w:t xml:space="preserve"> of 27% and 9%, respectively; and a decrease in TAF C</w:t>
      </w:r>
      <w:r w:rsidRPr="007606E1">
        <w:rPr>
          <w:szCs w:val="24"/>
          <w:vertAlign w:val="subscript"/>
          <w:lang w:val="en-US"/>
        </w:rPr>
        <w:t>max</w:t>
      </w:r>
      <w:r w:rsidRPr="007606E1">
        <w:rPr>
          <w:szCs w:val="24"/>
          <w:lang w:val="en-US"/>
        </w:rPr>
        <w:t xml:space="preserve"> (15-37%) and an increase in AUC</w:t>
      </w:r>
      <w:r w:rsidRPr="007606E1">
        <w:rPr>
          <w:szCs w:val="24"/>
          <w:vertAlign w:val="subscript"/>
          <w:lang w:val="en-US"/>
        </w:rPr>
        <w:t xml:space="preserve">last </w:t>
      </w:r>
      <w:r w:rsidRPr="007606E1">
        <w:rPr>
          <w:szCs w:val="24"/>
          <w:lang w:val="en-US"/>
        </w:rPr>
        <w:t>(17-77%).</w:t>
      </w:r>
      <w:r w:rsidR="00347444" w:rsidRPr="007606E1">
        <w:rPr>
          <w:szCs w:val="24"/>
          <w:lang w:val="en-US"/>
        </w:rPr>
        <w:t xml:space="preserve"> </w:t>
      </w:r>
      <w:r w:rsidRPr="007606E1">
        <w:rPr>
          <w:szCs w:val="24"/>
          <w:lang w:val="en-US"/>
        </w:rPr>
        <w:t xml:space="preserve">These changes are not considered clinically meaningful and </w:t>
      </w:r>
      <w:r w:rsidR="005A6D01" w:rsidRPr="007606E1">
        <w:rPr>
          <w:szCs w:val="24"/>
          <w:lang w:val="en-US"/>
        </w:rPr>
        <w:t>Descovy</w:t>
      </w:r>
      <w:r w:rsidRPr="007606E1">
        <w:rPr>
          <w:szCs w:val="24"/>
          <w:lang w:val="en-US"/>
        </w:rPr>
        <w:t xml:space="preserve"> can be administered without regard to food.</w:t>
      </w:r>
    </w:p>
    <w:p w:rsidR="005A6209" w:rsidRPr="00A510CB" w:rsidRDefault="005A6209" w:rsidP="00347444">
      <w:pPr>
        <w:pStyle w:val="Heading4"/>
      </w:pPr>
      <w:r w:rsidRPr="007606E1">
        <w:lastRenderedPageBreak/>
        <w:t xml:space="preserve">Summary of </w:t>
      </w:r>
      <w:r w:rsidR="007606E1">
        <w:t>b</w:t>
      </w:r>
      <w:r w:rsidRPr="007606E1">
        <w:t xml:space="preserve">ioavailability and </w:t>
      </w:r>
      <w:r w:rsidR="007606E1">
        <w:t>b</w:t>
      </w:r>
      <w:r w:rsidRPr="007606E1">
        <w:t>ioequivalence</w:t>
      </w:r>
      <w:r w:rsidRPr="00A510CB">
        <w:t xml:space="preserve"> </w:t>
      </w:r>
      <w:r w:rsidR="007606E1">
        <w:t>s</w:t>
      </w:r>
      <w:r w:rsidRPr="00A510CB">
        <w:t>tudies</w:t>
      </w:r>
    </w:p>
    <w:p w:rsidR="005A6209" w:rsidRPr="00A510CB" w:rsidRDefault="005A6209" w:rsidP="00347444">
      <w:pPr>
        <w:pStyle w:val="Heading5"/>
      </w:pPr>
      <w:r w:rsidRPr="00A510CB">
        <w:t xml:space="preserve">Absolute bioavailability </w:t>
      </w:r>
    </w:p>
    <w:p w:rsidR="005A6209" w:rsidRPr="00A510CB" w:rsidRDefault="00347444" w:rsidP="000230EE">
      <w:r>
        <w:rPr>
          <w:szCs w:val="24"/>
        </w:rPr>
        <w:t>The s</w:t>
      </w:r>
      <w:r w:rsidR="005A6209" w:rsidRPr="00A510CB">
        <w:rPr>
          <w:szCs w:val="24"/>
        </w:rPr>
        <w:t xml:space="preserve">ponsor provided a justification for not providing any biopharmaceutic and/or absolute bioavailability data and this is considered acceptable, in part because of the similarity of the proposed product to the previously-approved </w:t>
      </w:r>
      <w:r w:rsidR="00AA3643">
        <w:rPr>
          <w:szCs w:val="24"/>
        </w:rPr>
        <w:t>Genvoya</w:t>
      </w:r>
      <w:r w:rsidR="005A6209" w:rsidRPr="00A510CB">
        <w:rPr>
          <w:szCs w:val="24"/>
        </w:rPr>
        <w:t xml:space="preserve"> Tablet.</w:t>
      </w:r>
    </w:p>
    <w:p w:rsidR="005A6209" w:rsidRPr="00A510CB" w:rsidRDefault="005A6209" w:rsidP="00347444">
      <w:pPr>
        <w:pStyle w:val="Heading5"/>
      </w:pPr>
      <w:r w:rsidRPr="00A510CB">
        <w:t xml:space="preserve">Comparative bioavailability </w:t>
      </w:r>
    </w:p>
    <w:p w:rsidR="0011765E" w:rsidRDefault="0011765E" w:rsidP="0011765E">
      <w:r>
        <w:t>Two pivotal bioequivalence studies (GS-US-311-1472 and GS-US-311-1473) have been presented to demonstrate bioequivalent exposure of FTC and TAF between 200/10 mg and 200/25 mg respectively when administered simultaneously with elvitegravir 150 mg (EVG) and cobicistat 150 mg (COBI) under fed conditions and compared against the Genvoya E/C/F/TAF 150/150/200/10 mg fixed-dose combination (FDC) Tablet.</w:t>
      </w:r>
    </w:p>
    <w:p w:rsidR="005A6209" w:rsidRPr="00347444" w:rsidRDefault="005A6209" w:rsidP="00347444">
      <w:pPr>
        <w:pStyle w:val="Heading6"/>
      </w:pPr>
      <w:r w:rsidRPr="00347444">
        <w:t>Study No. GS-US-311-1473 (Descovy 200/25</w:t>
      </w:r>
      <w:r w:rsidR="00347444">
        <w:t xml:space="preserve"> </w:t>
      </w:r>
      <w:r w:rsidRPr="00347444">
        <w:t xml:space="preserve">mg tablet) </w:t>
      </w:r>
    </w:p>
    <w:p w:rsidR="005A6209" w:rsidRDefault="005A6209" w:rsidP="000230EE">
      <w:r>
        <w:t xml:space="preserve">This study </w:t>
      </w:r>
      <w:r w:rsidRPr="00A510CB">
        <w:t>compared the bioavailability of emtricitabine</w:t>
      </w:r>
      <w:r>
        <w:t xml:space="preserve"> </w:t>
      </w:r>
      <w:r w:rsidR="00347444">
        <w:t>and</w:t>
      </w:r>
      <w:r>
        <w:t xml:space="preserve"> </w:t>
      </w:r>
      <w:r w:rsidRPr="00A510CB">
        <w:rPr>
          <w:szCs w:val="24"/>
          <w:lang w:eastAsia="en-AU"/>
        </w:rPr>
        <w:t>tenofovir alafenamide</w:t>
      </w:r>
      <w:r w:rsidRPr="00A510CB">
        <w:t>, following the administration of</w:t>
      </w:r>
      <w:r>
        <w:t>:</w:t>
      </w:r>
    </w:p>
    <w:p w:rsidR="005A6209" w:rsidRPr="00347444" w:rsidRDefault="005A6209" w:rsidP="00347444">
      <w:pPr>
        <w:pStyle w:val="ListBullet"/>
        <w:rPr>
          <w:lang w:val="en-US"/>
        </w:rPr>
      </w:pPr>
      <w:r w:rsidRPr="00347444">
        <w:t xml:space="preserve">Test: a single-tablet of the proposed </w:t>
      </w:r>
      <w:r w:rsidRPr="00347444">
        <w:rPr>
          <w:lang w:val="en-US"/>
        </w:rPr>
        <w:t>Emtricitabine and Tenofovir Alafenamide (200/2</w:t>
      </w:r>
      <w:r w:rsidR="00E04BFC">
        <w:rPr>
          <w:lang w:val="en-US"/>
        </w:rPr>
        <w:t>5 mg</w:t>
      </w:r>
      <w:r w:rsidRPr="00347444">
        <w:rPr>
          <w:lang w:val="en-US"/>
        </w:rPr>
        <w:t xml:space="preserve">) and </w:t>
      </w:r>
    </w:p>
    <w:p w:rsidR="00586A39" w:rsidRDefault="005A6209" w:rsidP="00347444">
      <w:pPr>
        <w:pStyle w:val="ListBullet"/>
        <w:rPr>
          <w:lang w:val="en-US"/>
        </w:rPr>
      </w:pPr>
      <w:r w:rsidRPr="00347444">
        <w:rPr>
          <w:lang w:val="en-US"/>
        </w:rPr>
        <w:t>Reference:</w:t>
      </w:r>
      <w:r w:rsidR="00347444">
        <w:rPr>
          <w:lang w:val="en-US"/>
        </w:rPr>
        <w:t xml:space="preserve"> </w:t>
      </w:r>
      <w:r w:rsidRPr="00347444">
        <w:t>a single-tablet</w:t>
      </w:r>
      <w:r w:rsidRPr="00347444">
        <w:rPr>
          <w:lang w:val="en-US"/>
        </w:rPr>
        <w:t xml:space="preserve"> of </w:t>
      </w:r>
      <w:r w:rsidR="00AA3643" w:rsidRPr="00347444">
        <w:rPr>
          <w:lang w:val="en-US"/>
        </w:rPr>
        <w:t>Genvoya</w:t>
      </w:r>
      <w:r w:rsidRPr="00347444">
        <w:rPr>
          <w:lang w:val="en-US"/>
        </w:rPr>
        <w:t xml:space="preserve"> Elvitegravir</w:t>
      </w:r>
      <w:r w:rsidR="00347444">
        <w:rPr>
          <w:lang w:val="en-US"/>
        </w:rPr>
        <w:t>/</w:t>
      </w:r>
      <w:r w:rsidRPr="00347444">
        <w:rPr>
          <w:lang w:val="en-US"/>
        </w:rPr>
        <w:t>Cobicistat</w:t>
      </w:r>
      <w:r w:rsidR="00347444">
        <w:rPr>
          <w:lang w:val="en-US"/>
        </w:rPr>
        <w:t>/</w:t>
      </w:r>
      <w:r w:rsidRPr="00347444">
        <w:rPr>
          <w:lang w:val="en-US"/>
        </w:rPr>
        <w:t>Emtricitabine</w:t>
      </w:r>
      <w:r w:rsidR="00347444">
        <w:rPr>
          <w:lang w:val="en-US"/>
        </w:rPr>
        <w:t>/</w:t>
      </w:r>
      <w:r w:rsidRPr="00347444">
        <w:rPr>
          <w:lang w:val="en-US"/>
        </w:rPr>
        <w:t>Tenofovir Alafenamide (150/150/200/10 mg) Fixed-Dose Combination Tablets</w:t>
      </w:r>
      <w:r w:rsidR="00586A39">
        <w:rPr>
          <w:lang w:val="en-US"/>
        </w:rPr>
        <w:t>.</w:t>
      </w:r>
    </w:p>
    <w:p w:rsidR="005A6209" w:rsidRPr="00A510CB" w:rsidRDefault="005A6209" w:rsidP="000230EE">
      <w:r w:rsidRPr="00A510CB">
        <w:rPr>
          <w:szCs w:val="24"/>
        </w:rPr>
        <w:t>The study was a single-cent</w:t>
      </w:r>
      <w:r>
        <w:rPr>
          <w:szCs w:val="24"/>
        </w:rPr>
        <w:t>re</w:t>
      </w:r>
      <w:r w:rsidR="00347444">
        <w:rPr>
          <w:szCs w:val="24"/>
        </w:rPr>
        <w:t>, randomis</w:t>
      </w:r>
      <w:r w:rsidRPr="00A510CB">
        <w:rPr>
          <w:szCs w:val="24"/>
        </w:rPr>
        <w:t xml:space="preserve">ed, open-label, single-dose, 2-period, crossover study in </w:t>
      </w:r>
      <w:r>
        <w:rPr>
          <w:szCs w:val="24"/>
        </w:rPr>
        <w:t xml:space="preserve">116 </w:t>
      </w:r>
      <w:r w:rsidRPr="00A510CB">
        <w:rPr>
          <w:szCs w:val="24"/>
        </w:rPr>
        <w:t>healthy adult subjects.</w:t>
      </w:r>
    </w:p>
    <w:p w:rsidR="005A6209" w:rsidRPr="00A510CB" w:rsidRDefault="005A6209" w:rsidP="000230EE">
      <w:pPr>
        <w:rPr>
          <w:color w:val="0070C0"/>
        </w:rPr>
      </w:pPr>
      <w:r w:rsidRPr="00A510CB">
        <w:t xml:space="preserve">The </w:t>
      </w:r>
      <w:r>
        <w:t>g</w:t>
      </w:r>
      <w:r w:rsidRPr="00A510CB">
        <w:t xml:space="preserve">eometric least square mean (GLSM) ratios and corresponding 90% </w:t>
      </w:r>
      <w:r w:rsidR="00CD2CF3">
        <w:t>confidential intervals (</w:t>
      </w:r>
      <w:r w:rsidRPr="00A510CB">
        <w:t>CIs</w:t>
      </w:r>
      <w:r w:rsidR="00CD2CF3">
        <w:t>)</w:t>
      </w:r>
      <w:r w:rsidRPr="00A510CB">
        <w:t xml:space="preserve"> of AUC</w:t>
      </w:r>
      <w:r w:rsidRPr="00A510CB">
        <w:rPr>
          <w:vertAlign w:val="subscript"/>
        </w:rPr>
        <w:t>last</w:t>
      </w:r>
      <w:r w:rsidRPr="00A510CB">
        <w:t>, AUC</w:t>
      </w:r>
      <w:r w:rsidRPr="00A510CB">
        <w:rPr>
          <w:vertAlign w:val="subscript"/>
        </w:rPr>
        <w:t>inf</w:t>
      </w:r>
      <w:r w:rsidRPr="00A510CB">
        <w:t>, and C</w:t>
      </w:r>
      <w:r w:rsidRPr="00A510CB">
        <w:rPr>
          <w:vertAlign w:val="subscript"/>
        </w:rPr>
        <w:t>max</w:t>
      </w:r>
      <w:r w:rsidRPr="00A510CB">
        <w:t xml:space="preserve"> for </w:t>
      </w:r>
      <w:r w:rsidR="00CC7403">
        <w:t>emtricitabine</w:t>
      </w:r>
      <w:r w:rsidRPr="00A510CB">
        <w:t xml:space="preserve"> and TAF were contained within the 80-125% criteria specified for bioequivalence.</w:t>
      </w:r>
      <w:r>
        <w:rPr>
          <w:color w:val="0070C0"/>
        </w:rPr>
        <w:t xml:space="preserve"> </w:t>
      </w:r>
      <w:r>
        <w:t>Hence t</w:t>
      </w:r>
      <w:r w:rsidRPr="00A510CB">
        <w:t xml:space="preserve">he </w:t>
      </w:r>
      <w:r w:rsidR="00CC7403">
        <w:t>emtricitabine</w:t>
      </w:r>
      <w:r w:rsidRPr="00A510CB">
        <w:t xml:space="preserve"> and TAF components of the proposed </w:t>
      </w:r>
      <w:r w:rsidR="005A6D01">
        <w:t>Descovy</w:t>
      </w:r>
      <w:r w:rsidRPr="00A510CB">
        <w:t xml:space="preserve"> </w:t>
      </w:r>
      <w:r w:rsidR="00CC7403">
        <w:t>emtricitabine</w:t>
      </w:r>
      <w:r w:rsidRPr="00A510CB">
        <w:t xml:space="preserve"> /TAF 200/2</w:t>
      </w:r>
      <w:r w:rsidR="00E04BFC">
        <w:t>5 mg</w:t>
      </w:r>
      <w:r w:rsidRPr="00A510CB">
        <w:t xml:space="preserve"> fixed-dose combination tablet are bioequivalent to the </w:t>
      </w:r>
      <w:r w:rsidR="00AA3643">
        <w:t>Genvoya</w:t>
      </w:r>
      <w:r w:rsidRPr="00A510CB">
        <w:t xml:space="preserve"> E/C/F/TAF 150/150/200/1</w:t>
      </w:r>
      <w:r w:rsidR="00E04BFC">
        <w:t>0 mg</w:t>
      </w:r>
      <w:r w:rsidRPr="00A510CB">
        <w:t xml:space="preserve"> fixed-dose combination tablet</w:t>
      </w:r>
      <w:r>
        <w:t>.</w:t>
      </w:r>
    </w:p>
    <w:p w:rsidR="005A6209" w:rsidRPr="00347444" w:rsidRDefault="005A6209" w:rsidP="00347444">
      <w:pPr>
        <w:pStyle w:val="Heading6"/>
      </w:pPr>
      <w:r w:rsidRPr="00347444">
        <w:t>Study No. GS-US-311-1472 (Descovy 200/</w:t>
      </w:r>
      <w:r w:rsidR="00347444">
        <w:t xml:space="preserve"> </w:t>
      </w:r>
      <w:r w:rsidRPr="00347444">
        <w:t>1</w:t>
      </w:r>
      <w:r w:rsidR="00E04BFC">
        <w:t>0 mg</w:t>
      </w:r>
      <w:r w:rsidRPr="00347444">
        <w:t xml:space="preserve"> tablet)</w:t>
      </w:r>
    </w:p>
    <w:p w:rsidR="005A6209" w:rsidRDefault="005A6209" w:rsidP="000230EE">
      <w:r>
        <w:t xml:space="preserve">This study </w:t>
      </w:r>
      <w:r w:rsidRPr="00A510CB">
        <w:t>compared the bioavailability of emtricitabine</w:t>
      </w:r>
      <w:r>
        <w:t xml:space="preserve"> </w:t>
      </w:r>
      <w:r w:rsidR="00347444">
        <w:t>and</w:t>
      </w:r>
      <w:r w:rsidRPr="00A510CB">
        <w:t xml:space="preserve"> </w:t>
      </w:r>
      <w:r w:rsidRPr="00A510CB">
        <w:rPr>
          <w:szCs w:val="24"/>
          <w:lang w:eastAsia="en-AU"/>
        </w:rPr>
        <w:t>tenofovir alafenamide</w:t>
      </w:r>
      <w:r w:rsidRPr="00A510CB">
        <w:t xml:space="preserve">, </w:t>
      </w:r>
      <w:r>
        <w:t>following the administration of:</w:t>
      </w:r>
    </w:p>
    <w:p w:rsidR="005A6209" w:rsidRPr="00347444" w:rsidRDefault="005A6209" w:rsidP="00347444">
      <w:pPr>
        <w:pStyle w:val="ListBullet"/>
        <w:rPr>
          <w:szCs w:val="24"/>
          <w:lang w:val="en-US"/>
        </w:rPr>
      </w:pPr>
      <w:r w:rsidRPr="00347444">
        <w:t xml:space="preserve">Test: a single-tablet of the proposed </w:t>
      </w:r>
      <w:r w:rsidRPr="00347444">
        <w:rPr>
          <w:szCs w:val="24"/>
          <w:lang w:val="en-US"/>
        </w:rPr>
        <w:t>Emtricitabine and Tenofovir Alafenamide (200/1</w:t>
      </w:r>
      <w:r w:rsidR="00E04BFC">
        <w:rPr>
          <w:szCs w:val="24"/>
          <w:lang w:val="en-US"/>
        </w:rPr>
        <w:t>0 mg</w:t>
      </w:r>
      <w:r w:rsidRPr="00347444">
        <w:rPr>
          <w:szCs w:val="24"/>
          <w:lang w:val="en-US"/>
        </w:rPr>
        <w:t xml:space="preserve">), </w:t>
      </w:r>
      <w:r w:rsidRPr="00347444">
        <w:t>administered simultaneously with a emtricitabine (EVG) 150 tablet, and a cobicistat 150 mg tablet ,</w:t>
      </w:r>
      <w:r w:rsidRPr="00347444">
        <w:rPr>
          <w:szCs w:val="24"/>
          <w:lang w:val="en-US"/>
        </w:rPr>
        <w:t xml:space="preserve"> and </w:t>
      </w:r>
    </w:p>
    <w:p w:rsidR="00586A39" w:rsidRDefault="005A6209" w:rsidP="00347444">
      <w:pPr>
        <w:pStyle w:val="ListBullet"/>
        <w:rPr>
          <w:szCs w:val="24"/>
          <w:lang w:val="en-US"/>
        </w:rPr>
      </w:pPr>
      <w:r w:rsidRPr="00347444">
        <w:rPr>
          <w:szCs w:val="24"/>
          <w:lang w:val="en-US"/>
        </w:rPr>
        <w:t xml:space="preserve">Reference: </w:t>
      </w:r>
      <w:r w:rsidRPr="00347444">
        <w:t>a single-tablet</w:t>
      </w:r>
      <w:r w:rsidRPr="00347444">
        <w:rPr>
          <w:szCs w:val="24"/>
          <w:lang w:val="en-US"/>
        </w:rPr>
        <w:t xml:space="preserve"> of </w:t>
      </w:r>
      <w:r w:rsidR="00AA3643" w:rsidRPr="00347444">
        <w:rPr>
          <w:szCs w:val="24"/>
          <w:lang w:val="en-US"/>
        </w:rPr>
        <w:t>Genvoya</w:t>
      </w:r>
      <w:r w:rsidRPr="00347444">
        <w:rPr>
          <w:szCs w:val="24"/>
          <w:lang w:val="en-US"/>
        </w:rPr>
        <w:t xml:space="preserve"> Elvitegravir</w:t>
      </w:r>
      <w:r w:rsidR="00347444" w:rsidRPr="00347444">
        <w:rPr>
          <w:szCs w:val="24"/>
          <w:lang w:val="en-US"/>
        </w:rPr>
        <w:t>/</w:t>
      </w:r>
      <w:r w:rsidRPr="00347444">
        <w:rPr>
          <w:szCs w:val="24"/>
          <w:lang w:val="en-US"/>
        </w:rPr>
        <w:t>Cobicistat</w:t>
      </w:r>
      <w:r w:rsidR="00347444" w:rsidRPr="00347444">
        <w:rPr>
          <w:szCs w:val="24"/>
          <w:lang w:val="en-US"/>
        </w:rPr>
        <w:t>/</w:t>
      </w:r>
      <w:r w:rsidRPr="00347444">
        <w:rPr>
          <w:szCs w:val="24"/>
          <w:lang w:val="en-US"/>
        </w:rPr>
        <w:t>Emtricitabine</w:t>
      </w:r>
      <w:r w:rsidR="00347444" w:rsidRPr="00347444">
        <w:rPr>
          <w:szCs w:val="24"/>
          <w:lang w:val="en-US"/>
        </w:rPr>
        <w:t>/</w:t>
      </w:r>
      <w:r w:rsidRPr="00347444">
        <w:rPr>
          <w:szCs w:val="24"/>
          <w:lang w:val="en-US"/>
        </w:rPr>
        <w:t>Tenofovir Alafenamide (150/150/200/10 mg) Fixed-Dose Combination Tablets (identical to that used in Study No. GS-US-311-1473, above)</w:t>
      </w:r>
      <w:r w:rsidR="00586A39">
        <w:rPr>
          <w:szCs w:val="24"/>
          <w:lang w:val="en-US"/>
        </w:rPr>
        <w:t>.</w:t>
      </w:r>
    </w:p>
    <w:p w:rsidR="005A6209" w:rsidRPr="003C4075" w:rsidRDefault="005A6209" w:rsidP="000230EE">
      <w:pPr>
        <w:rPr>
          <w:szCs w:val="24"/>
          <w:lang w:val="en-US"/>
        </w:rPr>
      </w:pPr>
      <w:r w:rsidRPr="00A510CB">
        <w:rPr>
          <w:szCs w:val="24"/>
        </w:rPr>
        <w:t>The study was a single-cent</w:t>
      </w:r>
      <w:r>
        <w:rPr>
          <w:szCs w:val="24"/>
        </w:rPr>
        <w:t>re</w:t>
      </w:r>
      <w:r w:rsidR="00347444">
        <w:rPr>
          <w:szCs w:val="24"/>
        </w:rPr>
        <w:t>, randomis</w:t>
      </w:r>
      <w:r w:rsidRPr="00A510CB">
        <w:rPr>
          <w:szCs w:val="24"/>
        </w:rPr>
        <w:t xml:space="preserve">ed, open-label, single-dose, 2-period, crossover study in </w:t>
      </w:r>
      <w:r>
        <w:rPr>
          <w:szCs w:val="24"/>
        </w:rPr>
        <w:t xml:space="preserve">98 </w:t>
      </w:r>
      <w:r w:rsidRPr="00A510CB">
        <w:rPr>
          <w:szCs w:val="24"/>
        </w:rPr>
        <w:t>healthy adult subjects.</w:t>
      </w:r>
    </w:p>
    <w:p w:rsidR="005A6209" w:rsidRDefault="005A6209" w:rsidP="000230EE">
      <w:pPr>
        <w:rPr>
          <w:color w:val="0070C0"/>
        </w:rPr>
      </w:pPr>
      <w:r w:rsidRPr="00A510CB">
        <w:t xml:space="preserve">The </w:t>
      </w:r>
      <w:r>
        <w:t>g</w:t>
      </w:r>
      <w:r w:rsidRPr="00A510CB">
        <w:t>eometric least square mean (GLSM) ratios and corresponding 90% CIs of AUC</w:t>
      </w:r>
      <w:r w:rsidRPr="00A510CB">
        <w:rPr>
          <w:vertAlign w:val="subscript"/>
        </w:rPr>
        <w:t>last</w:t>
      </w:r>
      <w:r w:rsidRPr="00A510CB">
        <w:t>, AUC</w:t>
      </w:r>
      <w:r w:rsidRPr="00A510CB">
        <w:rPr>
          <w:vertAlign w:val="subscript"/>
        </w:rPr>
        <w:t>inf</w:t>
      </w:r>
      <w:r w:rsidRPr="00A510CB">
        <w:t>, and C</w:t>
      </w:r>
      <w:r w:rsidRPr="00A510CB">
        <w:rPr>
          <w:vertAlign w:val="subscript"/>
        </w:rPr>
        <w:t>max</w:t>
      </w:r>
      <w:r w:rsidRPr="00A510CB">
        <w:t xml:space="preserve"> for </w:t>
      </w:r>
      <w:r w:rsidR="00CC7403">
        <w:t>emtricitabine</w:t>
      </w:r>
      <w:r w:rsidRPr="00A510CB">
        <w:t xml:space="preserve"> and TAF were contained within the 80-125% criteria specified for bioequivalence.</w:t>
      </w:r>
      <w:r>
        <w:rPr>
          <w:color w:val="0070C0"/>
        </w:rPr>
        <w:t xml:space="preserve"> </w:t>
      </w:r>
      <w:r>
        <w:t>Hence t</w:t>
      </w:r>
      <w:r w:rsidRPr="00A510CB">
        <w:t xml:space="preserve">he </w:t>
      </w:r>
      <w:r w:rsidR="00CC7403">
        <w:t>emtricitabine</w:t>
      </w:r>
      <w:r w:rsidRPr="00A510CB">
        <w:t xml:space="preserve"> and TAF components of the proposed </w:t>
      </w:r>
      <w:r w:rsidR="005A6D01">
        <w:t>Descovy</w:t>
      </w:r>
      <w:r w:rsidRPr="00A510CB">
        <w:t xml:space="preserve"> </w:t>
      </w:r>
      <w:r w:rsidR="00CC7403">
        <w:t>emtricitabine</w:t>
      </w:r>
      <w:r w:rsidRPr="00A510CB">
        <w:t xml:space="preserve"> /TAF 200/</w:t>
      </w:r>
      <w:r>
        <w:t>10</w:t>
      </w:r>
      <w:r w:rsidR="00347444">
        <w:t xml:space="preserve"> </w:t>
      </w:r>
      <w:r w:rsidRPr="00A510CB">
        <w:t>mg fixed-dose combination tablet</w:t>
      </w:r>
      <w:r>
        <w:t xml:space="preserve">, </w:t>
      </w:r>
      <w:r w:rsidRPr="00543919">
        <w:t>administered simultaneously with EVG 150 mg and COBI 150 mg</w:t>
      </w:r>
      <w:r>
        <w:t>,</w:t>
      </w:r>
      <w:r w:rsidRPr="00A510CB">
        <w:t xml:space="preserve"> are bioequivalent to the </w:t>
      </w:r>
      <w:r w:rsidR="00AA3643">
        <w:t>Genvoya</w:t>
      </w:r>
      <w:r w:rsidRPr="00A510CB">
        <w:t xml:space="preserve"> E/C/F/TAF 150/150/200/10</w:t>
      </w:r>
      <w:r w:rsidR="00347444">
        <w:t xml:space="preserve"> </w:t>
      </w:r>
      <w:r w:rsidRPr="00A510CB">
        <w:t>mg fixed-dose combination tablet</w:t>
      </w:r>
      <w:r>
        <w:t>.</w:t>
      </w:r>
    </w:p>
    <w:p w:rsidR="00586A39" w:rsidRDefault="005A6209" w:rsidP="000230EE">
      <w:pPr>
        <w:rPr>
          <w:szCs w:val="24"/>
        </w:rPr>
      </w:pPr>
      <w:r>
        <w:rPr>
          <w:szCs w:val="24"/>
        </w:rPr>
        <w:t>The PI statements reflecting these conclusions (Pharmacokinetics section) are considered adequately supported from a pharmaceutical chemistry perspective</w:t>
      </w:r>
      <w:r w:rsidR="00586A39">
        <w:rPr>
          <w:szCs w:val="24"/>
        </w:rPr>
        <w:t>.</w:t>
      </w:r>
    </w:p>
    <w:p w:rsidR="008E7846" w:rsidRPr="008751DC" w:rsidRDefault="008E7846" w:rsidP="00347444">
      <w:pPr>
        <w:pStyle w:val="Heading3"/>
      </w:pPr>
      <w:bookmarkStart w:id="34" w:name="_Toc247691509"/>
      <w:bookmarkStart w:id="35" w:name="_Toc314842493"/>
      <w:bookmarkStart w:id="36" w:name="_Toc470175470"/>
      <w:r>
        <w:lastRenderedPageBreak/>
        <w:t>Quality s</w:t>
      </w:r>
      <w:r w:rsidRPr="008751DC">
        <w:t>ummary</w:t>
      </w:r>
      <w:r>
        <w:t xml:space="preserve"> </w:t>
      </w:r>
      <w:r w:rsidRPr="00347444">
        <w:t>and</w:t>
      </w:r>
      <w:r>
        <w:t xml:space="preserve"> conclusions</w:t>
      </w:r>
      <w:bookmarkEnd w:id="34"/>
      <w:bookmarkEnd w:id="35"/>
      <w:bookmarkEnd w:id="36"/>
    </w:p>
    <w:p w:rsidR="005A6209" w:rsidRPr="00571BBD" w:rsidRDefault="005A6209" w:rsidP="000230EE">
      <w:r w:rsidRPr="00571BBD">
        <w:t>All pharmaceutical chemistry issues raised during the initial evaluation of this application have now been satisfactorily resolved apart from:</w:t>
      </w:r>
    </w:p>
    <w:p w:rsidR="005A6209" w:rsidRPr="00347444" w:rsidRDefault="005A6209" w:rsidP="00347444">
      <w:pPr>
        <w:pStyle w:val="ListBullet"/>
      </w:pPr>
      <w:r w:rsidRPr="00347444">
        <w:t>The company has been asked to revise the trade</w:t>
      </w:r>
      <w:r w:rsidR="00347444">
        <w:t xml:space="preserve"> </w:t>
      </w:r>
      <w:r w:rsidRPr="00347444">
        <w:t>names to include the product strengths (‘tradename 200/10’), in accordance with the TGA’s ‘Best practice guideline on prescription medicine labelling’ and to incorporate these in revised PI and labels.</w:t>
      </w:r>
    </w:p>
    <w:p w:rsidR="00586A39" w:rsidRDefault="005A6209" w:rsidP="00347444">
      <w:pPr>
        <w:pStyle w:val="ListBullet"/>
      </w:pPr>
      <w:r w:rsidRPr="00347444">
        <w:t>Six extended G</w:t>
      </w:r>
      <w:r w:rsidR="00347444">
        <w:t>ood Manufacturing Practice (G</w:t>
      </w:r>
      <w:r w:rsidRPr="00347444">
        <w:t>MP</w:t>
      </w:r>
      <w:r w:rsidR="00347444">
        <w:t>)</w:t>
      </w:r>
      <w:r w:rsidRPr="00347444">
        <w:t xml:space="preserve"> clearances for overseas manufacturing sites are required</w:t>
      </w:r>
      <w:r w:rsidR="00586A39">
        <w:t>.</w:t>
      </w:r>
    </w:p>
    <w:p w:rsidR="005A6209" w:rsidRPr="00571BBD" w:rsidRDefault="005A6209" w:rsidP="000230EE">
      <w:r w:rsidRPr="00571BBD">
        <w:t xml:space="preserve">It is anticipated that the sponsor will take steps to resolve the above issues prior to the </w:t>
      </w:r>
      <w:r w:rsidR="0011765E">
        <w:t>D</w:t>
      </w:r>
      <w:r w:rsidRPr="00571BBD">
        <w:t>elegate’s decision.</w:t>
      </w:r>
    </w:p>
    <w:p w:rsidR="005A6209" w:rsidRPr="00347444" w:rsidRDefault="005A6209" w:rsidP="00347444">
      <w:r w:rsidRPr="00347444">
        <w:t>Pending resolution of the above issues, the proposed ‘</w:t>
      </w:r>
      <w:r w:rsidR="005A6D01" w:rsidRPr="00347444">
        <w:t>Descovy</w:t>
      </w:r>
      <w:r w:rsidRPr="00347444">
        <w:t>’ emtricitabine and tenofovir alafenamide fumarate (200/25</w:t>
      </w:r>
      <w:r w:rsidR="00347444">
        <w:t xml:space="preserve"> </w:t>
      </w:r>
      <w:r w:rsidRPr="00347444">
        <w:t>mg and 200/10</w:t>
      </w:r>
      <w:r w:rsidR="00347444">
        <w:t xml:space="preserve"> </w:t>
      </w:r>
      <w:r w:rsidRPr="00347444">
        <w:t>mg) fixed dose combination tablets are recommended for registration with respect to pharmaceutical chemistry aspects.</w:t>
      </w:r>
    </w:p>
    <w:p w:rsidR="008E7846" w:rsidRDefault="008E7846" w:rsidP="008E7846">
      <w:pPr>
        <w:pStyle w:val="Heading2"/>
      </w:pPr>
      <w:bookmarkStart w:id="37" w:name="_Toc196046439"/>
      <w:bookmarkStart w:id="38" w:name="_Toc247691510"/>
      <w:bookmarkStart w:id="39" w:name="_Toc314842494"/>
      <w:bookmarkStart w:id="40" w:name="_Toc470175471"/>
      <w:r>
        <w:t>III. Nonclinical</w:t>
      </w:r>
      <w:bookmarkEnd w:id="37"/>
      <w:r>
        <w:t xml:space="preserve"> findings</w:t>
      </w:r>
      <w:bookmarkEnd w:id="38"/>
      <w:bookmarkEnd w:id="39"/>
      <w:bookmarkEnd w:id="40"/>
    </w:p>
    <w:p w:rsidR="008E7846" w:rsidRDefault="008E7846" w:rsidP="00940A89">
      <w:pPr>
        <w:pStyle w:val="Heading3"/>
      </w:pPr>
      <w:bookmarkStart w:id="41" w:name="_Toc247691511"/>
      <w:bookmarkStart w:id="42" w:name="_Toc314842495"/>
      <w:bookmarkStart w:id="43" w:name="_Toc470175472"/>
      <w:r>
        <w:t>Introduction</w:t>
      </w:r>
      <w:bookmarkEnd w:id="41"/>
      <w:bookmarkEnd w:id="42"/>
      <w:bookmarkEnd w:id="43"/>
    </w:p>
    <w:p w:rsidR="00586A39" w:rsidRDefault="0045461D" w:rsidP="0045461D">
      <w:r>
        <w:t xml:space="preserve">The proposed maximum daily dose of Descovy is FTC/TAF 200/25 mg. However, the </w:t>
      </w:r>
      <w:r w:rsidRPr="007606E1">
        <w:t>daily dose and dosage regimen for TAF has only been evaluated for 10 mg (Genvoya)</w:t>
      </w:r>
      <w:r w:rsidR="00586A39">
        <w:t>.</w:t>
      </w:r>
    </w:p>
    <w:p w:rsidR="0045461D" w:rsidRPr="007606E1" w:rsidRDefault="0045461D" w:rsidP="0045461D">
      <w:r w:rsidRPr="007606E1">
        <w:t>The sponsor claimed that 2 clinical studies demonstrated bioequivalence of TAF between Descovy and Genvoya.</w:t>
      </w:r>
    </w:p>
    <w:p w:rsidR="004334C7" w:rsidRPr="004334C7" w:rsidRDefault="00FC702B" w:rsidP="0045461D">
      <w:r w:rsidRPr="007606E1">
        <w:t xml:space="preserve">The nonclinical studies for </w:t>
      </w:r>
      <w:r w:rsidR="00AA3643" w:rsidRPr="007606E1">
        <w:t>Genvoya</w:t>
      </w:r>
      <w:r w:rsidRPr="007606E1">
        <w:t xml:space="preserve">, which were assessed for the registration of </w:t>
      </w:r>
      <w:r w:rsidR="00CC7403" w:rsidRPr="007606E1">
        <w:t>Descovy,</w:t>
      </w:r>
      <w:r w:rsidR="00347444" w:rsidRPr="007606E1">
        <w:t xml:space="preserve"> </w:t>
      </w:r>
      <w:r w:rsidRPr="007606E1">
        <w:t>were in accordance with regulatory</w:t>
      </w:r>
      <w:r>
        <w:t xml:space="preserve"> guidelines for registration of a new chemical entity (TAF), and all pivotal safety studies were </w:t>
      </w:r>
      <w:r w:rsidR="0045461D">
        <w:t>Good Laboratory Practice (</w:t>
      </w:r>
      <w:r>
        <w:t>GLP</w:t>
      </w:r>
      <w:r w:rsidR="0045461D">
        <w:t xml:space="preserve">) </w:t>
      </w:r>
      <w:r>
        <w:t xml:space="preserve">compliant. The ICH </w:t>
      </w:r>
      <w:r w:rsidR="00CC7403">
        <w:t>M3 (</w:t>
      </w:r>
      <w:r>
        <w:t>R2) questions and answers guideline</w:t>
      </w:r>
      <w:bookmarkStart w:id="44" w:name="_Ref465866145"/>
      <w:r w:rsidR="0045461D">
        <w:rPr>
          <w:rStyle w:val="FootnoteReference"/>
        </w:rPr>
        <w:footnoteReference w:id="4"/>
      </w:r>
      <w:bookmarkEnd w:id="44"/>
      <w:r w:rsidR="00347444">
        <w:t xml:space="preserve"> </w:t>
      </w:r>
      <w:r>
        <w:t xml:space="preserve">states that toxicity studies are generally not warranted for drug combinations for HIV, and adequate scientific justification was provided for their absence. The FDA and </w:t>
      </w:r>
      <w:r w:rsidR="0045461D">
        <w:t>European Medicines Agency (</w:t>
      </w:r>
      <w:r>
        <w:t>EMA</w:t>
      </w:r>
      <w:r w:rsidR="0045461D">
        <w:t>)</w:t>
      </w:r>
      <w:r>
        <w:t xml:space="preserve"> waived requirements for carcinogenicity and peri-postnatal studies due to lack of TAF exposure in rats and TgRasH2 mice, and lower TFV exposure after TAF administration.</w:t>
      </w:r>
    </w:p>
    <w:p w:rsidR="008E7846" w:rsidRDefault="008E7846" w:rsidP="008E7846">
      <w:pPr>
        <w:pStyle w:val="Heading3"/>
      </w:pPr>
      <w:bookmarkStart w:id="45" w:name="_Toc247691512"/>
      <w:bookmarkStart w:id="46" w:name="_Toc314842496"/>
      <w:bookmarkStart w:id="47" w:name="_Toc470175473"/>
      <w:r w:rsidRPr="00020030">
        <w:t>Pharmacology</w:t>
      </w:r>
      <w:bookmarkEnd w:id="45"/>
      <w:bookmarkEnd w:id="46"/>
      <w:bookmarkEnd w:id="47"/>
    </w:p>
    <w:p w:rsidR="00FC702B" w:rsidRPr="00B10B7D" w:rsidRDefault="00FC702B" w:rsidP="00B10B7D">
      <w:pPr>
        <w:pStyle w:val="Heading4"/>
      </w:pPr>
      <w:r>
        <w:t xml:space="preserve">Studies submitted for the registration of </w:t>
      </w:r>
      <w:r w:rsidR="00787586" w:rsidRPr="00787586">
        <w:t>Emtriva</w:t>
      </w:r>
      <w:r>
        <w:t xml:space="preserve"> for FTC evaluation</w:t>
      </w:r>
    </w:p>
    <w:p w:rsidR="00FC702B" w:rsidRDefault="00FC702B" w:rsidP="000230EE">
      <w:r>
        <w:t xml:space="preserve">Emtricitabine had marginal to no effect on any organ system investigated ex vivo (up to 100 </w:t>
      </w:r>
      <w:r>
        <w:sym w:font="Symbol" w:char="F06D"/>
      </w:r>
      <w:r>
        <w:t xml:space="preserve">M) or in vivo (up to 1000 mg/kg PO, 100 mg/kg IP, </w:t>
      </w:r>
      <w:r w:rsidR="00CC7403">
        <w:t>and 38.5</w:t>
      </w:r>
      <w:r>
        <w:t xml:space="preserve"> mg/kg IV).</w:t>
      </w:r>
      <w:r w:rsidR="00347444">
        <w:t xml:space="preserve"> </w:t>
      </w:r>
      <w:r>
        <w:t xml:space="preserve">Up to 100 </w:t>
      </w:r>
      <w:r>
        <w:sym w:font="Symbol" w:char="F06D"/>
      </w:r>
      <w:r>
        <w:t xml:space="preserve">M FTC in the ex vivo studies was </w:t>
      </w:r>
      <w:r w:rsidR="00787586">
        <w:t>about</w:t>
      </w:r>
      <w:r>
        <w:t xml:space="preserve"> 13</w:t>
      </w:r>
      <w:r w:rsidR="00787586">
        <w:t xml:space="preserve"> times</w:t>
      </w:r>
      <w:r>
        <w:t xml:space="preserve"> higher than the FTC C</w:t>
      </w:r>
      <w:r>
        <w:rPr>
          <w:vertAlign w:val="subscript"/>
        </w:rPr>
        <w:t>max</w:t>
      </w:r>
      <w:r>
        <w:t xml:space="preserve"> (7.4 </w:t>
      </w:r>
      <w:r>
        <w:sym w:font="Symbol" w:char="F06D"/>
      </w:r>
      <w:r>
        <w:t>M) at the proposed clinical dose.</w:t>
      </w:r>
      <w:r w:rsidR="00347444">
        <w:t xml:space="preserve"> </w:t>
      </w:r>
      <w:r>
        <w:t>No plasma kinetic data were derived in the in vivo studies.</w:t>
      </w:r>
      <w:r w:rsidR="00347444">
        <w:t xml:space="preserve"> </w:t>
      </w:r>
      <w:r>
        <w:t xml:space="preserve">Radioligand binding studies showed that FTC (10 </w:t>
      </w:r>
      <w:r>
        <w:sym w:font="Symbol" w:char="F06D"/>
      </w:r>
      <w:r>
        <w:t>M) had no significant affinity for a wide range of receptors in several organs/tissues in vitro.</w:t>
      </w:r>
    </w:p>
    <w:p w:rsidR="00586A39" w:rsidRDefault="00FC702B" w:rsidP="000230EE">
      <w:r>
        <w:t xml:space="preserve">Emtricitabine was rapidly and extensively absorbed after </w:t>
      </w:r>
      <w:r w:rsidR="00787586">
        <w:t>oral (</w:t>
      </w:r>
      <w:r>
        <w:t>PO</w:t>
      </w:r>
      <w:r w:rsidR="00787586">
        <w:t>)</w:t>
      </w:r>
      <w:r>
        <w:t xml:space="preserve"> administration for all species, including humans.</w:t>
      </w:r>
      <w:r w:rsidR="00347444">
        <w:t xml:space="preserve"> </w:t>
      </w:r>
      <w:r>
        <w:t>Oral bioavailability was high in all species.</w:t>
      </w:r>
      <w:r w:rsidR="00347444">
        <w:t xml:space="preserve"> </w:t>
      </w:r>
      <w:r>
        <w:t>Systemic clearance was lower in humans (0.2</w:t>
      </w:r>
      <w:r>
        <w:noBreakHyphen/>
        <w:t xml:space="preserve">0.5 L/kg/h) </w:t>
      </w:r>
      <w:r w:rsidR="00787586">
        <w:t>compared to</w:t>
      </w:r>
      <w:r>
        <w:t xml:space="preserve"> mice (1.3-2.3 L/kg/h), rats (1.5-1.8 L/kg/h) and monkeys (0.7-1.5 L/kg/h), resulting in a prolonged elimination half-life.</w:t>
      </w:r>
      <w:r w:rsidR="00347444">
        <w:t xml:space="preserve"> </w:t>
      </w:r>
      <w:r>
        <w:lastRenderedPageBreak/>
        <w:t>Volumes of distribution were similar across species, and indicated a wide tissue distribution throughout the body.</w:t>
      </w:r>
      <w:r w:rsidR="00347444">
        <w:t xml:space="preserve"> </w:t>
      </w:r>
      <w:r>
        <w:t>The highest levels of drug-related radioactivity were found in the gastrointestinal and elimination organs, consistent with its passage through these tissues, and greatly exceeded plasma concentrations.</w:t>
      </w:r>
      <w:r w:rsidR="00347444">
        <w:t xml:space="preserve"> </w:t>
      </w:r>
      <w:r>
        <w:t>Emtricitabine readily crossed the placental barrier to the developing fetus (40-50% of maternal plasma levels in mice and rabbits), suggesting direct in utero exposure in embryofetal development studies in these species</w:t>
      </w:r>
      <w:r w:rsidR="00586A39">
        <w:t>.</w:t>
      </w:r>
    </w:p>
    <w:p w:rsidR="00FC702B" w:rsidRDefault="00FC702B" w:rsidP="00787586">
      <w:pPr>
        <w:pStyle w:val="Heading4"/>
      </w:pPr>
      <w:r>
        <w:t xml:space="preserve">Studies submitted for the registration of </w:t>
      </w:r>
      <w:r w:rsidRPr="00787586">
        <w:t>Genvoya</w:t>
      </w:r>
      <w:r>
        <w:t xml:space="preserve"> for TAF evaluation</w:t>
      </w:r>
    </w:p>
    <w:p w:rsidR="00787586" w:rsidRDefault="00FC702B" w:rsidP="000230EE">
      <w:pPr>
        <w:rPr>
          <w:rStyle w:val="Heading5Char"/>
          <w:rFonts w:eastAsia="Cambria"/>
        </w:rPr>
      </w:pPr>
      <w:r w:rsidRPr="00787586">
        <w:rPr>
          <w:rStyle w:val="Heading5Char"/>
          <w:rFonts w:eastAsia="Cambria"/>
        </w:rPr>
        <w:t>Absorption</w:t>
      </w:r>
    </w:p>
    <w:p w:rsidR="00FC702B" w:rsidRDefault="00FC702B" w:rsidP="000230EE">
      <w:r>
        <w:t xml:space="preserve">Studies submitted for the registration of </w:t>
      </w:r>
      <w:r w:rsidRPr="00787586">
        <w:t>Genvoya</w:t>
      </w:r>
      <w:r>
        <w:t xml:space="preserve"> found that </w:t>
      </w:r>
      <w:r>
        <w:rPr>
          <w:rStyle w:val="StandardChar"/>
          <w:rFonts w:eastAsiaTheme="minorEastAsia"/>
        </w:rPr>
        <w:t xml:space="preserve">TAF </w:t>
      </w:r>
      <w:r>
        <w:t>showed a dose dependent increase in forward permeability and a decrease in efflux ratio indicating saturable efflux transport, with the addition of CsA diminishing the efflux ration and increasing forward permeability.</w:t>
      </w:r>
    </w:p>
    <w:p w:rsidR="00FC702B" w:rsidRDefault="00FC702B" w:rsidP="000230EE">
      <w:r>
        <w:t xml:space="preserve">The various in vivo absorption, single- or repeat-dose studies submitted </w:t>
      </w:r>
      <w:r w:rsidRPr="00787586">
        <w:t>for Genvoya demonstrated that TAF generates sufficient exposure in the animal models chosen and is rapidly converted to TVF after administration, with some accumulation of TFV-DP in</w:t>
      </w:r>
      <w:r>
        <w:t xml:space="preserve"> the liver.</w:t>
      </w:r>
    </w:p>
    <w:p w:rsidR="00787586" w:rsidRDefault="00FC702B" w:rsidP="00787586">
      <w:pPr>
        <w:pStyle w:val="Heading5"/>
      </w:pPr>
      <w:r>
        <w:t>Distribution</w:t>
      </w:r>
      <w:bookmarkStart w:id="48" w:name="_Ref428792363"/>
    </w:p>
    <w:p w:rsidR="00586A39" w:rsidRDefault="00FC702B" w:rsidP="000230EE">
      <w:pPr>
        <w:rPr>
          <w:rFonts w:eastAsiaTheme="minorHAnsi"/>
        </w:rPr>
      </w:pPr>
      <w:r>
        <w:t>In vitro a</w:t>
      </w:r>
      <w:r>
        <w:rPr>
          <w:rFonts w:eastAsiaTheme="minorHAnsi"/>
        </w:rPr>
        <w:t xml:space="preserve">nalysis </w:t>
      </w:r>
      <w:r>
        <w:t>found TAF moderately bound in plasma, was well tolerated in mice and was rapidly distributed into tissues with most reaching maximum concentration by 1 h post-dose.</w:t>
      </w:r>
      <w:r>
        <w:rPr>
          <w:rFonts w:eastAsiaTheme="minorHAnsi"/>
        </w:rPr>
        <w:t xml:space="preserve"> Radioactivity was mainly retained in the liver, which is consistent with </w:t>
      </w:r>
      <w:r>
        <w:t>high hepatic extraction,</w:t>
      </w:r>
      <w:r>
        <w:rPr>
          <w:rFonts w:eastAsiaTheme="minorHAnsi"/>
        </w:rPr>
        <w:t xml:space="preserve"> and kidneys, with l</w:t>
      </w:r>
      <w:r>
        <w:t xml:space="preserve">ow levels of radioactivity observed in the brain and testis </w:t>
      </w:r>
      <w:r>
        <w:rPr>
          <w:rFonts w:eastAsiaTheme="minorHAnsi"/>
        </w:rPr>
        <w:t>indicating minimal crossing into the blood:</w:t>
      </w:r>
      <w:r w:rsidR="00787586">
        <w:rPr>
          <w:rFonts w:eastAsiaTheme="minorHAnsi"/>
        </w:rPr>
        <w:t xml:space="preserve"> </w:t>
      </w:r>
      <w:r>
        <w:rPr>
          <w:rFonts w:eastAsiaTheme="minorHAnsi"/>
        </w:rPr>
        <w:t>brain and blood:</w:t>
      </w:r>
      <w:r w:rsidR="00787586">
        <w:rPr>
          <w:rFonts w:eastAsiaTheme="minorHAnsi"/>
        </w:rPr>
        <w:t xml:space="preserve"> </w:t>
      </w:r>
      <w:r>
        <w:rPr>
          <w:rFonts w:eastAsiaTheme="minorHAnsi"/>
        </w:rPr>
        <w:t>testis barrier</w:t>
      </w:r>
      <w:r w:rsidR="00586A39">
        <w:rPr>
          <w:rFonts w:eastAsiaTheme="minorHAnsi"/>
        </w:rPr>
        <w:t>.</w:t>
      </w:r>
    </w:p>
    <w:bookmarkEnd w:id="48"/>
    <w:p w:rsidR="00787586" w:rsidRDefault="00FC702B" w:rsidP="000230EE">
      <w:pPr>
        <w:rPr>
          <w:rStyle w:val="Heading5Char"/>
          <w:rFonts w:eastAsia="Cambria"/>
        </w:rPr>
      </w:pPr>
      <w:r w:rsidRPr="00787586">
        <w:rPr>
          <w:rStyle w:val="Heading5Char"/>
          <w:rFonts w:eastAsia="Cambria"/>
        </w:rPr>
        <w:t>Metabolism</w:t>
      </w:r>
    </w:p>
    <w:p w:rsidR="00586A39" w:rsidRDefault="00FC702B" w:rsidP="000230EE">
      <w:r>
        <w:rPr>
          <w:rFonts w:eastAsiaTheme="minorHAnsi"/>
        </w:rPr>
        <w:t>R</w:t>
      </w:r>
      <w:r>
        <w:t xml:space="preserve">adiolabelled TAF underwent rapid biotransformation in mice via oxidation, hydrolysis, dealkylation, glucuronidation, and acetylation pathways, with hydrolysis of isopropylalanine and phenoxy groups being the major pathway. In mice, the major route of radioactive elimination was via faeces and renal elimination. Metabolism in dogs was indicated to be via oxidation, hydrolysis, dealkylation, and glucuronidation, with </w:t>
      </w:r>
      <w:r>
        <w:rPr>
          <w:rFonts w:eastAsiaTheme="minorHAnsi"/>
        </w:rPr>
        <w:t>a</w:t>
      </w:r>
      <w:r>
        <w:t xml:space="preserve"> major route elimination of radioactivity in bile duct-intact dogs via faeces. The major enzymes involved in intracellular conversion of TAF to TFV in PBMCs and primary human hepatocytes are </w:t>
      </w:r>
      <w:r w:rsidR="00A25E0E">
        <w:t xml:space="preserve">Cathepsin A (CatA) </w:t>
      </w:r>
      <w:r>
        <w:t xml:space="preserve">and </w:t>
      </w:r>
      <w:r w:rsidR="00787586">
        <w:t>carboxylic ester hydrolase (</w:t>
      </w:r>
      <w:r>
        <w:t>CES1</w:t>
      </w:r>
      <w:r w:rsidR="00787586">
        <w:t>)</w:t>
      </w:r>
      <w:r>
        <w:t>, respectively</w:t>
      </w:r>
      <w:r w:rsidR="00586A39">
        <w:t>.</w:t>
      </w:r>
    </w:p>
    <w:p w:rsidR="00787586" w:rsidRDefault="00FC702B" w:rsidP="00787586">
      <w:pPr>
        <w:pStyle w:val="Heading5"/>
      </w:pPr>
      <w:r>
        <w:t>Excretion</w:t>
      </w:r>
    </w:p>
    <w:p w:rsidR="00586A39" w:rsidRDefault="00FC702B" w:rsidP="000230EE">
      <w:pPr>
        <w:rPr>
          <w:rFonts w:eastAsiaTheme="minorHAnsi"/>
        </w:rPr>
      </w:pPr>
      <w:r>
        <w:rPr>
          <w:rFonts w:eastAsiaTheme="minorHAnsi"/>
        </w:rPr>
        <w:t xml:space="preserve">Elimination of a large percentage of </w:t>
      </w:r>
      <w:proofErr w:type="gramStart"/>
      <w:r>
        <w:rPr>
          <w:rFonts w:eastAsiaTheme="minorHAnsi"/>
        </w:rPr>
        <w:t>radioactivity</w:t>
      </w:r>
      <w:proofErr w:type="gramEnd"/>
      <w:r>
        <w:rPr>
          <w:rFonts w:eastAsiaTheme="minorHAnsi"/>
        </w:rPr>
        <w:t xml:space="preserve"> was via bile in bile duct</w:t>
      </w:r>
      <w:r>
        <w:rPr>
          <w:rFonts w:eastAsiaTheme="minorHAnsi"/>
        </w:rPr>
        <w:noBreakHyphen/>
        <w:t xml:space="preserve">cannulated dogs, indicating a major route of elimination is through biliary excretion </w:t>
      </w:r>
      <w:r>
        <w:t>and via faeces</w:t>
      </w:r>
      <w:r w:rsidR="00586A39">
        <w:rPr>
          <w:rFonts w:eastAsiaTheme="minorHAnsi"/>
        </w:rPr>
        <w:t>.</w:t>
      </w:r>
    </w:p>
    <w:p w:rsidR="00FC702B" w:rsidRDefault="00FC702B" w:rsidP="00773FDC">
      <w:pPr>
        <w:pStyle w:val="Heading4"/>
      </w:pPr>
      <w:bookmarkStart w:id="49" w:name="_Toc294861725"/>
      <w:r>
        <w:t>Pharmacokinetic drug interactions</w:t>
      </w:r>
      <w:bookmarkEnd w:id="49"/>
    </w:p>
    <w:p w:rsidR="00773FDC" w:rsidRPr="00773FDC" w:rsidRDefault="00FC702B" w:rsidP="00773FDC">
      <w:pPr>
        <w:pStyle w:val="Heading5"/>
      </w:pPr>
      <w:r w:rsidRPr="00773FDC">
        <w:t>FTC (Emtriva)</w:t>
      </w:r>
    </w:p>
    <w:p w:rsidR="00586A39" w:rsidRDefault="00FC702B" w:rsidP="00773FDC">
      <w:r>
        <w:t>FTC is primarily eliminated in urine as unchanged drug with very little metabolism, especially very minor Phase I oxidative metabolism, which suggests that it has a low potential for pharmacokinetic drug interactions at the level of hepatic or other organ metabolism in humans.</w:t>
      </w:r>
      <w:r w:rsidR="00347444">
        <w:t xml:space="preserve"> </w:t>
      </w:r>
      <w:r>
        <w:t xml:space="preserve">Since FTC is predominantly eliminated by the </w:t>
      </w:r>
      <w:r w:rsidRPr="00773FDC">
        <w:t xml:space="preserve">renal route, interaction with drugs that are also mainly eliminated by the kidney is a possibility. Studies submitted showed high stability of FTC in the presence of CYP450, </w:t>
      </w:r>
      <w:r w:rsidR="00773FDC" w:rsidRPr="00773FDC">
        <w:t>Uridine Diphosphate Glucuronyltransferase (</w:t>
      </w:r>
      <w:r w:rsidRPr="00773FDC">
        <w:t>UDPGT</w:t>
      </w:r>
      <w:r w:rsidR="00773FDC" w:rsidRPr="00773FDC">
        <w:t>)</w:t>
      </w:r>
      <w:r w:rsidRPr="00773FDC">
        <w:t xml:space="preserve"> and </w:t>
      </w:r>
      <w:r w:rsidR="00773FDC" w:rsidRPr="00773FDC">
        <w:t>Flavin-Containing Monooxygenase (</w:t>
      </w:r>
      <w:r w:rsidRPr="00773FDC">
        <w:t>FMO</w:t>
      </w:r>
      <w:r w:rsidR="00773FDC" w:rsidRPr="00773FDC">
        <w:t>)</w:t>
      </w:r>
      <w:r w:rsidRPr="00773FDC">
        <w:t xml:space="preserve"> systems, and suggest that any minor hepatic and extra-hepatic metabolism is unlikely to have a significant impact on its in vivo clearance in humans.</w:t>
      </w:r>
      <w:r w:rsidR="00347444" w:rsidRPr="00773FDC">
        <w:t xml:space="preserve"> </w:t>
      </w:r>
      <w:r w:rsidRPr="00773FDC">
        <w:t xml:space="preserve">Studies suggest </w:t>
      </w:r>
      <w:r w:rsidRPr="00773FDC">
        <w:lastRenderedPageBreak/>
        <w:t>that FTC appears unlikely to alter the</w:t>
      </w:r>
      <w:r>
        <w:t xml:space="preserve"> activity of CYP450 isoenzymes at clinically relevant concentrations, suggesting no significant potential for drug-drug interactions</w:t>
      </w:r>
      <w:r w:rsidR="00586A39">
        <w:t>.</w:t>
      </w:r>
    </w:p>
    <w:p w:rsidR="00773FDC" w:rsidRDefault="00FC702B" w:rsidP="00773FDC">
      <w:pPr>
        <w:pStyle w:val="Heading5"/>
      </w:pPr>
      <w:r>
        <w:t xml:space="preserve">TAF </w:t>
      </w:r>
    </w:p>
    <w:p w:rsidR="00FC702B" w:rsidRDefault="00FC702B" w:rsidP="000230EE">
      <w:r>
        <w:t>The stability of TAF in intestinal subcellular fractions was not markedly affected following incubation with HIV-1 protease inhibitors or CYP inhibitors, indicating that FTC is unlikely to interact with high specificity of the enzymes catalysing the phosphorylation of nucleoside analogues. TAF’s lack of or weak potency for CYP inhibition indicates it will be unlikely to:</w:t>
      </w:r>
    </w:p>
    <w:p w:rsidR="00FC702B" w:rsidRPr="00773FDC" w:rsidRDefault="00FC702B" w:rsidP="008342C8">
      <w:pPr>
        <w:pStyle w:val="Numberbullet0"/>
        <w:numPr>
          <w:ilvl w:val="0"/>
          <w:numId w:val="13"/>
        </w:numPr>
      </w:pPr>
      <w:r w:rsidRPr="00773FDC">
        <w:t>Significantly affect hepatic CYP3A activity;</w:t>
      </w:r>
    </w:p>
    <w:p w:rsidR="00FC702B" w:rsidRPr="00773FDC" w:rsidRDefault="00FC702B" w:rsidP="008342C8">
      <w:pPr>
        <w:pStyle w:val="Numberbullet0"/>
        <w:numPr>
          <w:ilvl w:val="0"/>
          <w:numId w:val="13"/>
        </w:numPr>
      </w:pPr>
      <w:r w:rsidRPr="00773FDC">
        <w:t xml:space="preserve">Affect the metabolism of </w:t>
      </w:r>
      <w:r w:rsidR="00773FDC" w:rsidRPr="00773FDC">
        <w:t>Elvitegravir (</w:t>
      </w:r>
      <w:r w:rsidRPr="00773FDC">
        <w:t>EVG</w:t>
      </w:r>
      <w:r w:rsidR="00773FDC" w:rsidRPr="00773FDC">
        <w:t>)</w:t>
      </w:r>
      <w:r w:rsidRPr="00773FDC">
        <w:t xml:space="preserve"> or </w:t>
      </w:r>
      <w:r w:rsidR="00773FDC" w:rsidRPr="00773FDC">
        <w:t xml:space="preserve">cobicistat </w:t>
      </w:r>
      <w:r w:rsidR="00773FDC">
        <w:t>(</w:t>
      </w:r>
      <w:r w:rsidRPr="00773FDC">
        <w:t>COBI</w:t>
      </w:r>
      <w:r w:rsidR="00773FDC">
        <w:t>)</w:t>
      </w:r>
      <w:r w:rsidRPr="00773FDC">
        <w:t>;</w:t>
      </w:r>
    </w:p>
    <w:p w:rsidR="00FC702B" w:rsidRPr="00773FDC" w:rsidRDefault="00FC702B" w:rsidP="008342C8">
      <w:pPr>
        <w:pStyle w:val="Numberbullet0"/>
        <w:numPr>
          <w:ilvl w:val="0"/>
          <w:numId w:val="13"/>
        </w:numPr>
      </w:pPr>
      <w:r w:rsidRPr="00773FDC">
        <w:t xml:space="preserve">Activate either </w:t>
      </w:r>
      <w:r w:rsidR="00773FDC">
        <w:t>proline-x-proline (</w:t>
      </w:r>
      <w:r w:rsidRPr="00773FDC">
        <w:t>PXP</w:t>
      </w:r>
      <w:r w:rsidR="00773FDC">
        <w:t>)</w:t>
      </w:r>
      <w:r w:rsidRPr="00773FDC">
        <w:t xml:space="preserve"> or </w:t>
      </w:r>
      <w:r w:rsidR="00773FDC" w:rsidRPr="00773FDC">
        <w:t>aryl hydrocarbon (</w:t>
      </w:r>
      <w:r w:rsidRPr="00773FDC">
        <w:t>AhR</w:t>
      </w:r>
      <w:r w:rsidR="00773FDC" w:rsidRPr="00773FDC">
        <w:t>)</w:t>
      </w:r>
      <w:r w:rsidRPr="00773FDC">
        <w:t xml:space="preserve"> receptors;</w:t>
      </w:r>
    </w:p>
    <w:p w:rsidR="00FC702B" w:rsidRPr="00773FDC" w:rsidRDefault="00FC702B" w:rsidP="008342C8">
      <w:pPr>
        <w:pStyle w:val="Numberbullet0"/>
        <w:numPr>
          <w:ilvl w:val="0"/>
          <w:numId w:val="13"/>
        </w:numPr>
      </w:pPr>
      <w:r w:rsidRPr="00773FDC">
        <w:t>Contribute to renal tubular cell loading of TFV, since it is not a substrate for renal transporters (</w:t>
      </w:r>
      <w:r w:rsidR="00773FDC">
        <w:t>organic anion transporters 1 and 3 (</w:t>
      </w:r>
      <w:r w:rsidRPr="00773FDC">
        <w:t>OAT1</w:t>
      </w:r>
      <w:r w:rsidR="00773FDC">
        <w:t xml:space="preserve"> and</w:t>
      </w:r>
      <w:r w:rsidRPr="00773FDC">
        <w:t xml:space="preserve"> OAT3).</w:t>
      </w:r>
    </w:p>
    <w:p w:rsidR="00FC702B" w:rsidRPr="00773FDC" w:rsidRDefault="00FC702B" w:rsidP="008342C8">
      <w:pPr>
        <w:pStyle w:val="Numberbullet0"/>
        <w:numPr>
          <w:ilvl w:val="0"/>
          <w:numId w:val="13"/>
        </w:numPr>
      </w:pPr>
      <w:r w:rsidRPr="00773FDC">
        <w:t>Be a pharmaceutical agent to mediate transporter drug interactions.</w:t>
      </w:r>
    </w:p>
    <w:p w:rsidR="004334C7" w:rsidRPr="004334C7" w:rsidRDefault="00FC702B" w:rsidP="000230EE">
      <w:r>
        <w:t xml:space="preserve">However, TAF is a substrate for intestinal </w:t>
      </w:r>
      <w:r w:rsidRPr="00773FDC">
        <w:t>efflux transporters (</w:t>
      </w:r>
      <w:r w:rsidR="00773FDC" w:rsidRPr="00773FDC">
        <w:t>P-glycoprotein (</w:t>
      </w:r>
      <w:r w:rsidRPr="00773FDC">
        <w:t>P-gp</w:t>
      </w:r>
      <w:r w:rsidR="00773FDC" w:rsidRPr="00773FDC">
        <w:t>)</w:t>
      </w:r>
      <w:r w:rsidRPr="00773FDC">
        <w:t xml:space="preserve">; </w:t>
      </w:r>
      <w:r w:rsidR="00773FDC" w:rsidRPr="00773FDC">
        <w:t>Breast Cancer Resistance Protein (</w:t>
      </w:r>
      <w:r w:rsidRPr="00773FDC">
        <w:t>BCRP</w:t>
      </w:r>
      <w:r w:rsidR="00773FDC" w:rsidRPr="00773FDC">
        <w:t>)</w:t>
      </w:r>
      <w:r w:rsidRPr="00773FDC">
        <w:t>) and hepatic uptake transporters (OATP1B1; OATP1B3), its exposure may be affected</w:t>
      </w:r>
      <w:r>
        <w:t xml:space="preserve"> by inhibitors and/or inducers of the intestinal efflux transporters and inhibitors or genetic polymorphisms of OATPs.</w:t>
      </w:r>
    </w:p>
    <w:p w:rsidR="00FC702B" w:rsidRDefault="00FC702B" w:rsidP="006924CA">
      <w:pPr>
        <w:pStyle w:val="Heading3"/>
      </w:pPr>
      <w:bookmarkStart w:id="50" w:name="_Toc438710444"/>
      <w:bookmarkStart w:id="51" w:name="_Toc346609369"/>
      <w:bookmarkStart w:id="52" w:name="_Toc295290865"/>
      <w:bookmarkStart w:id="53" w:name="_Toc294861723"/>
      <w:bookmarkStart w:id="54" w:name="_Toc470175474"/>
      <w:bookmarkStart w:id="55" w:name="_Toc247691514"/>
      <w:bookmarkStart w:id="56" w:name="_Toc314842498"/>
      <w:r w:rsidRPr="006924CA">
        <w:t>Pharmacology</w:t>
      </w:r>
      <w:bookmarkEnd w:id="50"/>
      <w:bookmarkEnd w:id="51"/>
      <w:bookmarkEnd w:id="52"/>
      <w:bookmarkEnd w:id="53"/>
      <w:bookmarkEnd w:id="54"/>
    </w:p>
    <w:p w:rsidR="00FC702B" w:rsidRDefault="00FC702B" w:rsidP="006924CA">
      <w:r>
        <w:t>No nonclinical efficacy studies with the proposed combination were submitted.</w:t>
      </w:r>
    </w:p>
    <w:p w:rsidR="00FC702B" w:rsidRPr="006924CA" w:rsidRDefault="00FC702B" w:rsidP="006924CA">
      <w:pPr>
        <w:pStyle w:val="Heading3"/>
      </w:pPr>
      <w:bookmarkStart w:id="57" w:name="_Toc438710446"/>
      <w:bookmarkStart w:id="58" w:name="_Toc346609371"/>
      <w:bookmarkStart w:id="59" w:name="_Toc295290867"/>
      <w:bookmarkStart w:id="60" w:name="_Toc294861726"/>
      <w:bookmarkStart w:id="61" w:name="_Toc470175475"/>
      <w:bookmarkStart w:id="62" w:name="_Toc247691515"/>
      <w:bookmarkStart w:id="63" w:name="_Toc314842499"/>
      <w:bookmarkEnd w:id="55"/>
      <w:bookmarkEnd w:id="56"/>
      <w:r>
        <w:t>Toxicity</w:t>
      </w:r>
      <w:bookmarkEnd w:id="57"/>
      <w:bookmarkEnd w:id="58"/>
      <w:bookmarkEnd w:id="59"/>
      <w:bookmarkEnd w:id="60"/>
      <w:bookmarkEnd w:id="61"/>
    </w:p>
    <w:p w:rsidR="006924CA" w:rsidRDefault="00FC702B" w:rsidP="006924CA">
      <w:pPr>
        <w:pStyle w:val="Heading4"/>
      </w:pPr>
      <w:r>
        <w:t>FTC (Emtriva)</w:t>
      </w:r>
    </w:p>
    <w:p w:rsidR="00586A39" w:rsidRDefault="00FC702B" w:rsidP="006924CA">
      <w:r>
        <w:t>A comprehensive package of toxicology studies was submitted in support of FTC registration, documenting acute toxicity in rodents, chronic toxicity in rodents and monkeys (up to 3</w:t>
      </w:r>
      <w:r>
        <w:noBreakHyphen/>
        <w:t xml:space="preserve">12 months), carcinogenicity studies in rodents (up to 2 years), </w:t>
      </w:r>
      <w:r w:rsidRPr="006924CA">
        <w:t>genotoxicity in vitro and in vivo</w:t>
      </w:r>
      <w:r>
        <w:t>, reproductive toxicity in rodents and rabbits, and immunotoxicity in rats. Emtricitabine was generally well-tolerated in the toxicity studies</w:t>
      </w:r>
      <w:r w:rsidR="00586A39">
        <w:t>.</w:t>
      </w:r>
    </w:p>
    <w:p w:rsidR="00FC702B" w:rsidRDefault="00FC702B" w:rsidP="006924CA">
      <w:pPr>
        <w:pStyle w:val="Heading5"/>
      </w:pPr>
      <w:r>
        <w:t>Relative exposure in repeat-dose toxicity studies</w:t>
      </w:r>
    </w:p>
    <w:p w:rsidR="006924CA" w:rsidRPr="006924CA" w:rsidRDefault="006924CA" w:rsidP="006924CA">
      <w:r>
        <w:t>Relative exposures (animal: human) in the repeat-dose studies are shown below in Table 3.</w:t>
      </w:r>
    </w:p>
    <w:p w:rsidR="00FC702B" w:rsidRDefault="006924CA" w:rsidP="00D534BC">
      <w:pPr>
        <w:pStyle w:val="TableTitle"/>
      </w:pPr>
      <w:r w:rsidRPr="007606E1">
        <w:t>Table 3:</w:t>
      </w:r>
      <w:r w:rsidR="00FC702B" w:rsidRPr="007606E1">
        <w:t xml:space="preserve"> Emtricitabine (</w:t>
      </w:r>
      <w:r w:rsidR="00D50C81">
        <w:t>t</w:t>
      </w:r>
      <w:r w:rsidR="00FC702B" w:rsidRPr="007606E1">
        <w:t xml:space="preserve">able sourced from </w:t>
      </w:r>
      <w:r w:rsidRPr="007606E1">
        <w:t>Emtriva</w:t>
      </w:r>
      <w:r w:rsidR="00FC702B" w:rsidRPr="007606E1">
        <w:t xml:space="preserve"> Submission)</w:t>
      </w:r>
    </w:p>
    <w:tbl>
      <w:tblPr>
        <w:tblStyle w:val="TableTGAblue"/>
        <w:tblW w:w="8713" w:type="dxa"/>
        <w:tblLayout w:type="fixed"/>
        <w:tblLook w:val="00A0" w:firstRow="1" w:lastRow="0" w:firstColumn="1" w:lastColumn="0" w:noHBand="0" w:noVBand="0"/>
      </w:tblPr>
      <w:tblGrid>
        <w:gridCol w:w="1429"/>
        <w:gridCol w:w="1231"/>
        <w:gridCol w:w="142"/>
        <w:gridCol w:w="1331"/>
        <w:gridCol w:w="1145"/>
        <w:gridCol w:w="1145"/>
        <w:gridCol w:w="1145"/>
        <w:gridCol w:w="1145"/>
      </w:tblGrid>
      <w:tr w:rsidR="00FC702B" w:rsidRPr="004C37E1" w:rsidTr="00561FBE">
        <w:trPr>
          <w:cnfStyle w:val="100000000000" w:firstRow="1" w:lastRow="0" w:firstColumn="0" w:lastColumn="0" w:oddVBand="0" w:evenVBand="0" w:oddHBand="0" w:evenHBand="0" w:firstRowFirstColumn="0" w:firstRowLastColumn="0" w:lastRowFirstColumn="0" w:lastRowLastColumn="0"/>
          <w:cantSplit/>
          <w:trHeight w:val="269"/>
        </w:trPr>
        <w:tc>
          <w:tcPr>
            <w:tcW w:w="1429" w:type="dxa"/>
            <w:vMerge w:val="restart"/>
            <w:hideMark/>
          </w:tcPr>
          <w:p w:rsidR="00FC702B" w:rsidRPr="004C37E1" w:rsidRDefault="00FC702B" w:rsidP="00D50C81">
            <w:pPr>
              <w:rPr>
                <w:rFonts w:asciiTheme="minorHAnsi" w:eastAsia="Times New Roman" w:hAnsiTheme="minorHAnsi"/>
                <w:szCs w:val="22"/>
              </w:rPr>
            </w:pPr>
            <w:r w:rsidRPr="004C37E1">
              <w:rPr>
                <w:rFonts w:asciiTheme="minorHAnsi" w:hAnsiTheme="minorHAnsi"/>
                <w:szCs w:val="22"/>
              </w:rPr>
              <w:t>Species</w:t>
            </w:r>
          </w:p>
        </w:tc>
        <w:tc>
          <w:tcPr>
            <w:tcW w:w="13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Duration</w:t>
            </w:r>
          </w:p>
        </w:tc>
        <w:tc>
          <w:tcPr>
            <w:tcW w:w="1331" w:type="dxa"/>
            <w:hideMark/>
          </w:tcPr>
          <w:p w:rsidR="00561FBE" w:rsidRPr="004C37E1" w:rsidRDefault="00FC702B" w:rsidP="00C40D85">
            <w:pPr>
              <w:rPr>
                <w:rFonts w:asciiTheme="minorHAnsi" w:hAnsiTheme="minorHAnsi"/>
                <w:szCs w:val="22"/>
              </w:rPr>
            </w:pPr>
            <w:r w:rsidRPr="004C37E1">
              <w:rPr>
                <w:rFonts w:asciiTheme="minorHAnsi" w:hAnsiTheme="minorHAnsi"/>
                <w:szCs w:val="22"/>
              </w:rPr>
              <w:t>Dose mg/kg/</w:t>
            </w:r>
          </w:p>
          <w:p w:rsidR="00FC702B" w:rsidRPr="004C37E1" w:rsidRDefault="00FC702B" w:rsidP="00C40D85">
            <w:pPr>
              <w:rPr>
                <w:rFonts w:asciiTheme="minorHAnsi" w:eastAsia="Times New Roman" w:hAnsiTheme="minorHAnsi"/>
                <w:szCs w:val="22"/>
              </w:rPr>
            </w:pPr>
            <w:r w:rsidRPr="004C37E1">
              <w:rPr>
                <w:rFonts w:asciiTheme="minorHAnsi" w:hAnsiTheme="minorHAnsi"/>
                <w:szCs w:val="22"/>
              </w:rPr>
              <w:t>d</w:t>
            </w:r>
            <w:r w:rsidR="00561FBE" w:rsidRPr="004C37E1">
              <w:rPr>
                <w:rFonts w:asciiTheme="minorHAnsi" w:hAnsiTheme="minorHAnsi"/>
                <w:szCs w:val="22"/>
              </w:rPr>
              <w:t>ay</w:t>
            </w:r>
          </w:p>
        </w:tc>
        <w:tc>
          <w:tcPr>
            <w:tcW w:w="2290"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lang w:val="en-GB"/>
              </w:rPr>
              <w:t>AUC</w:t>
            </w:r>
            <w:r w:rsidRPr="004C37E1">
              <w:rPr>
                <w:rFonts w:asciiTheme="minorHAnsi" w:hAnsiTheme="minorHAnsi"/>
                <w:szCs w:val="22"/>
                <w:vertAlign w:val="subscript"/>
                <w:lang w:val="en-GB"/>
              </w:rPr>
              <w:t>0-24 h</w:t>
            </w:r>
            <w:r w:rsidRPr="004C37E1">
              <w:rPr>
                <w:rFonts w:asciiTheme="minorHAnsi" w:hAnsiTheme="minorHAnsi"/>
                <w:szCs w:val="22"/>
                <w:lang w:val="en-GB"/>
              </w:rPr>
              <w:t xml:space="preserve"> </w:t>
            </w:r>
            <w:r w:rsidRPr="004C37E1">
              <w:rPr>
                <w:rFonts w:asciiTheme="minorHAnsi" w:hAnsiTheme="minorHAnsi"/>
                <w:szCs w:val="22"/>
                <w:lang w:val="en-GB"/>
              </w:rPr>
              <w:sym w:font="Symbol" w:char="F06D"/>
            </w:r>
            <w:r w:rsidRPr="004C37E1">
              <w:rPr>
                <w:rFonts w:asciiTheme="minorHAnsi" w:hAnsiTheme="minorHAnsi"/>
                <w:szCs w:val="22"/>
                <w:lang w:val="en-GB"/>
              </w:rPr>
              <w:t>g.h/mL</w:t>
            </w:r>
          </w:p>
        </w:tc>
        <w:tc>
          <w:tcPr>
            <w:tcW w:w="2290"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Exposure ratio</w:t>
            </w:r>
          </w:p>
        </w:tc>
      </w:tr>
      <w:tr w:rsidR="00FC702B" w:rsidRPr="004C37E1" w:rsidTr="000F38DD">
        <w:trPr>
          <w:cantSplit/>
          <w:trHeight w:val="269"/>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kern w:val="16"/>
                <w:szCs w:val="22"/>
              </w:rPr>
            </w:pPr>
          </w:p>
        </w:tc>
        <w:tc>
          <w:tcPr>
            <w:tcW w:w="1145" w:type="dxa"/>
            <w:hideMark/>
          </w:tcPr>
          <w:p w:rsidR="00FC702B" w:rsidRPr="004C37E1" w:rsidRDefault="007606E1" w:rsidP="006924CA">
            <w:pPr>
              <w:rPr>
                <w:rFonts w:asciiTheme="minorHAnsi" w:eastAsia="Times New Roman" w:hAnsiTheme="minorHAnsi"/>
                <w:szCs w:val="22"/>
              </w:rPr>
            </w:pPr>
            <w:r w:rsidRPr="004C37E1">
              <w:rPr>
                <w:rFonts w:ascii="Times New Roman" w:hAnsi="Times New Roman"/>
                <w:szCs w:val="22"/>
              </w:rPr>
              <w:t>♂</w:t>
            </w:r>
          </w:p>
        </w:tc>
        <w:tc>
          <w:tcPr>
            <w:tcW w:w="1145" w:type="dxa"/>
            <w:hideMark/>
          </w:tcPr>
          <w:p w:rsidR="00FC702B" w:rsidRPr="004C37E1" w:rsidRDefault="007606E1" w:rsidP="006924CA">
            <w:pPr>
              <w:rPr>
                <w:rFonts w:asciiTheme="minorHAnsi" w:eastAsia="Times New Roman" w:hAnsiTheme="minorHAnsi"/>
                <w:szCs w:val="22"/>
              </w:rPr>
            </w:pPr>
            <w:r w:rsidRPr="004C37E1">
              <w:rPr>
                <w:rFonts w:ascii="Times New Roman" w:hAnsi="Times New Roman"/>
                <w:szCs w:val="22"/>
              </w:rPr>
              <w:t>♀</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imes New Roman" w:hAnsi="Times New Roman"/>
                <w:szCs w:val="22"/>
              </w:rPr>
              <w:t>♂</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imes New Roman" w:hAnsi="Times New Roman"/>
                <w:szCs w:val="22"/>
              </w:rPr>
              <w:t>♀</w:t>
            </w:r>
          </w:p>
        </w:tc>
      </w:tr>
      <w:tr w:rsidR="00FC702B" w:rsidRPr="004C37E1" w:rsidTr="000F38DD">
        <w:trPr>
          <w:trHeight w:val="137"/>
        </w:trPr>
        <w:tc>
          <w:tcPr>
            <w:tcW w:w="1429"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Mouse</w:t>
            </w:r>
          </w:p>
        </w:tc>
        <w:tc>
          <w:tcPr>
            <w:tcW w:w="1231"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 month</w:t>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 xml:space="preserve">(Day </w:t>
            </w:r>
            <w:r w:rsidRPr="004C37E1">
              <w:rPr>
                <w:rFonts w:asciiTheme="minorHAnsi" w:hAnsiTheme="minorHAnsi"/>
                <w:szCs w:val="22"/>
              </w:rPr>
              <w:lastRenderedPageBreak/>
              <w:t>32)</w:t>
            </w: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lastRenderedPageBreak/>
              <w:t>120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103</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73.9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11</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8</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499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304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52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32</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3000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1936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1516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201</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157</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 month</w:t>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(Week 26)</w:t>
            </w: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167</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82.3</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93.1</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10</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500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248</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284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29</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1500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732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899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76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93</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 month</w:t>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(Day 175)</w:t>
            </w: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120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170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115</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18</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12</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586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491</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61</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51</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3000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2026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1549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210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161</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 year</w:t>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(Week 26)</w:t>
            </w: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80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27.5</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23.7</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250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90.9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91.7</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10</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750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287</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323</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33</w:t>
            </w:r>
          </w:p>
        </w:tc>
      </w:tr>
      <w:tr w:rsidR="00FC702B" w:rsidRPr="004C37E1" w:rsidTr="000F38DD">
        <w:trPr>
          <w:trHeight w:val="453"/>
        </w:trPr>
        <w:tc>
          <w:tcPr>
            <w:tcW w:w="1429"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Rat</w:t>
            </w:r>
          </w:p>
        </w:tc>
        <w:tc>
          <w:tcPr>
            <w:tcW w:w="1231"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 month</w:t>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(Day 90)</w:t>
            </w: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120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65.6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69.3</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7</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7</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329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362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38</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3000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1276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1646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132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171</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 year</w:t>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(Week 26)</w:t>
            </w: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42.9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52.5</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5</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137</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171</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18</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327</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404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42</w:t>
            </w:r>
          </w:p>
        </w:tc>
      </w:tr>
      <w:tr w:rsidR="00FC702B" w:rsidRPr="004C37E1" w:rsidTr="000F38DD">
        <w:trPr>
          <w:trHeight w:val="453"/>
        </w:trPr>
        <w:tc>
          <w:tcPr>
            <w:tcW w:w="1429"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Monkey</w:t>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(as 2 equal divided doses)</w:t>
            </w:r>
          </w:p>
        </w:tc>
        <w:tc>
          <w:tcPr>
            <w:tcW w:w="1231"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 month</w:t>
            </w:r>
            <w:r w:rsidRPr="004C37E1">
              <w:rPr>
                <w:rFonts w:asciiTheme="minorHAnsi" w:hAnsiTheme="minorHAnsi"/>
                <w:szCs w:val="22"/>
                <w:vertAlign w:val="superscript"/>
              </w:rPr>
              <w:sym w:font="Symbol" w:char="F0AA"/>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(Day 27)</w:t>
            </w: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80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63.2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67.2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7</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7</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400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392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328</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41</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34</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2000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1460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1464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151</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152</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 month</w:t>
            </w:r>
            <w:r w:rsidRPr="004C37E1">
              <w:rPr>
                <w:rFonts w:asciiTheme="minorHAnsi" w:hAnsiTheme="minorHAnsi"/>
                <w:szCs w:val="22"/>
                <w:vertAlign w:val="superscript"/>
              </w:rPr>
              <w:sym w:font="Symbol" w:char="F0AA"/>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(Day 87)</w:t>
            </w: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40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26.2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29.0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130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109</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13</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11</w:t>
            </w:r>
          </w:p>
        </w:tc>
      </w:tr>
      <w:tr w:rsidR="00FC702B" w:rsidRPr="004C37E1" w:rsidTr="000F38DD">
        <w:trPr>
          <w:trHeight w:val="137"/>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1000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806</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548</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84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57</w:t>
            </w:r>
          </w:p>
        </w:tc>
      </w:tr>
      <w:tr w:rsidR="00FC702B" w:rsidRPr="004C37E1" w:rsidTr="000F38DD">
        <w:trPr>
          <w:trHeight w:val="214"/>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val="restart"/>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 xml:space="preserve">12 </w:t>
            </w:r>
            <w:r w:rsidRPr="004C37E1">
              <w:rPr>
                <w:rFonts w:asciiTheme="minorHAnsi" w:hAnsiTheme="minorHAnsi"/>
                <w:szCs w:val="22"/>
              </w:rPr>
              <w:lastRenderedPageBreak/>
              <w:t>month</w:t>
            </w:r>
            <w:r w:rsidRPr="004C37E1">
              <w:rPr>
                <w:rFonts w:asciiTheme="minorHAnsi" w:hAnsiTheme="minorHAnsi"/>
                <w:szCs w:val="22"/>
                <w:vertAlign w:val="superscript"/>
              </w:rPr>
              <w:sym w:font="Symbol" w:char="F0E0"/>
            </w:r>
          </w:p>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(Week 52)</w:t>
            </w: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lastRenderedPageBreak/>
              <w:t>50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18.1</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33.3</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3</w:t>
            </w:r>
          </w:p>
        </w:tc>
      </w:tr>
      <w:tr w:rsidR="00FC702B" w:rsidRPr="004C37E1" w:rsidTr="000F38DD">
        <w:trPr>
          <w:trHeight w:val="214"/>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97.2</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97.8</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10</w:t>
            </w:r>
          </w:p>
        </w:tc>
      </w:tr>
      <w:tr w:rsidR="00FC702B" w:rsidRPr="004C37E1" w:rsidTr="000F38DD">
        <w:trPr>
          <w:trHeight w:val="214"/>
        </w:trPr>
        <w:tc>
          <w:tcPr>
            <w:tcW w:w="1429" w:type="dxa"/>
            <w:vMerge/>
            <w:hideMark/>
          </w:tcPr>
          <w:p w:rsidR="00FC702B" w:rsidRPr="004C37E1" w:rsidRDefault="00FC702B" w:rsidP="006924CA">
            <w:pPr>
              <w:rPr>
                <w:rFonts w:asciiTheme="minorHAnsi" w:eastAsia="Times New Roman" w:hAnsiTheme="minorHAnsi"/>
                <w:kern w:val="16"/>
                <w:szCs w:val="22"/>
              </w:rPr>
            </w:pPr>
          </w:p>
        </w:tc>
        <w:tc>
          <w:tcPr>
            <w:tcW w:w="1231" w:type="dxa"/>
            <w:vMerge/>
            <w:hideMark/>
          </w:tcPr>
          <w:p w:rsidR="00FC702B" w:rsidRPr="004C37E1" w:rsidRDefault="00FC702B" w:rsidP="006924CA">
            <w:pPr>
              <w:rPr>
                <w:rFonts w:asciiTheme="minorHAnsi" w:eastAsia="Times New Roman" w:hAnsiTheme="minorHAnsi"/>
                <w:kern w:val="16"/>
                <w:szCs w:val="22"/>
              </w:rPr>
            </w:pPr>
          </w:p>
        </w:tc>
        <w:tc>
          <w:tcPr>
            <w:tcW w:w="1473" w:type="dxa"/>
            <w:gridSpan w:val="2"/>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500</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274</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238</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28</w:t>
            </w:r>
          </w:p>
        </w:tc>
        <w:tc>
          <w:tcPr>
            <w:tcW w:w="1145" w:type="dxa"/>
            <w:hideMark/>
          </w:tcPr>
          <w:p w:rsidR="00FC702B" w:rsidRPr="004C37E1" w:rsidRDefault="00FC702B" w:rsidP="006924CA">
            <w:pPr>
              <w:rPr>
                <w:rFonts w:asciiTheme="minorHAnsi" w:eastAsia="Times New Roman" w:hAnsiTheme="minorHAnsi"/>
                <w:szCs w:val="22"/>
              </w:rPr>
            </w:pPr>
            <w:r w:rsidRPr="004C37E1">
              <w:rPr>
                <w:rFonts w:asciiTheme="minorHAnsi" w:hAnsiTheme="minorHAnsi"/>
                <w:szCs w:val="22"/>
              </w:rPr>
              <w:t>25</w:t>
            </w:r>
          </w:p>
        </w:tc>
      </w:tr>
    </w:tbl>
    <w:p w:rsidR="00FC702B" w:rsidRDefault="00FC702B" w:rsidP="006924CA">
      <w:pPr>
        <w:pStyle w:val="TableDescription"/>
        <w:rPr>
          <w:rFonts w:eastAsia="Times New Roman"/>
          <w:sz w:val="18"/>
        </w:rPr>
      </w:pPr>
      <w:r>
        <w:t>Sampling time indicated in parenthesis. Exposure ratio = animal/human ratio of AUC</w:t>
      </w:r>
      <w:r>
        <w:rPr>
          <w:lang w:val="en-GB"/>
        </w:rPr>
        <w:t xml:space="preserve">. </w:t>
      </w:r>
      <w:r>
        <w:rPr>
          <w:vertAlign w:val="superscript"/>
        </w:rPr>
        <w:sym w:font="Symbol" w:char="F0AA"/>
      </w:r>
      <w:r>
        <w:t>Systemic exposure was determined over a single 6 hour sampling period (AUC</w:t>
      </w:r>
      <w:r>
        <w:rPr>
          <w:vertAlign w:val="subscript"/>
        </w:rPr>
        <w:t>0-6 h</w:t>
      </w:r>
      <w:r>
        <w:t xml:space="preserve">) therefore AUC values were doubled to account for the two equal doses given over the 24 hour period; </w:t>
      </w:r>
      <w:r>
        <w:rPr>
          <w:vertAlign w:val="superscript"/>
        </w:rPr>
        <w:sym w:font="Symbol" w:char="F0E0"/>
      </w:r>
      <w:r>
        <w:t>Estimated steady state AUC</w:t>
      </w:r>
      <w:r>
        <w:rPr>
          <w:vertAlign w:val="subscript"/>
        </w:rPr>
        <w:t>0</w:t>
      </w:r>
      <w:r>
        <w:rPr>
          <w:vertAlign w:val="subscript"/>
        </w:rPr>
        <w:noBreakHyphen/>
        <w:t>24 h</w:t>
      </w:r>
      <w:r>
        <w:t xml:space="preserve"> values presented due to short sampling time (6 h).</w:t>
      </w:r>
    </w:p>
    <w:p w:rsidR="00FC702B" w:rsidRDefault="00FC702B" w:rsidP="00D534BC">
      <w:r>
        <w:t>Exposure (AUC</w:t>
      </w:r>
      <w:r>
        <w:rPr>
          <w:vertAlign w:val="subscript"/>
        </w:rPr>
        <w:t>0-24 h</w:t>
      </w:r>
      <w:r>
        <w:t xml:space="preserve">) to FTC at the proposed clinical dose (200 mg PO, once daily) was estimated to be </w:t>
      </w:r>
      <w:proofErr w:type="gramStart"/>
      <w:r>
        <w:t xml:space="preserve">9.65 </w:t>
      </w:r>
      <w:r>
        <w:sym w:font="Symbol" w:char="F06D"/>
      </w:r>
      <w:r>
        <w:t>g.h/mL from 20 HIV-infected patients (Clinical Studies FTC-101 and FTC-303)</w:t>
      </w:r>
      <w:proofErr w:type="gramEnd"/>
      <w:r>
        <w:t>.</w:t>
      </w:r>
      <w:r w:rsidR="00347444">
        <w:t xml:space="preserve"> </w:t>
      </w:r>
      <w:r>
        <w:t>No correction for protein binding was necessary, given the very low, similar extent of plasma protein binding (&lt;</w:t>
      </w:r>
      <w:r w:rsidR="006924CA">
        <w:t xml:space="preserve"> </w:t>
      </w:r>
      <w:r>
        <w:t>10%) in all species, including humans. The systemic FTC exposure at the highest doses employed in the chronic toxicity and carcinogenicity studies was asso</w:t>
      </w:r>
      <w:r w:rsidR="006924CA">
        <w:t xml:space="preserve">ciated with large multiples (25 to </w:t>
      </w:r>
      <w:r>
        <w:t>210</w:t>
      </w:r>
      <w:r w:rsidR="006924CA">
        <w:t xml:space="preserve"> times</w:t>
      </w:r>
      <w:r>
        <w:t>) of the anticipated clinical AUC.</w:t>
      </w:r>
      <w:r w:rsidR="00347444">
        <w:t xml:space="preserve"> </w:t>
      </w:r>
      <w:r>
        <w:t>High dose selection was adequate based on pharmacokinetic endpoints (</w:t>
      </w:r>
      <w:r w:rsidR="006924CA">
        <w:t xml:space="preserve">≥ </w:t>
      </w:r>
      <w:r>
        <w:t>25-fold human AUC) for all studies.</w:t>
      </w:r>
    </w:p>
    <w:p w:rsidR="006924CA" w:rsidRDefault="00FC702B" w:rsidP="006924CA">
      <w:pPr>
        <w:pStyle w:val="Heading4"/>
      </w:pPr>
      <w:bookmarkStart w:id="64" w:name="_Ref438640475"/>
      <w:r>
        <w:t xml:space="preserve">TAF </w:t>
      </w:r>
    </w:p>
    <w:p w:rsidR="00586A39" w:rsidRDefault="00FC702B" w:rsidP="00D534BC">
      <w:r>
        <w:t>A series of GLP</w:t>
      </w:r>
      <w:r w:rsidR="006924CA">
        <w:t xml:space="preserve"> </w:t>
      </w:r>
      <w:r>
        <w:t xml:space="preserve">compliant oral repeat-dose toxicity studies in mice (2, 13 weeks), rats (1, 4, 26 weeks), dogs (4, 39 weeks) and monkeys (4 weeks) were submitted. </w:t>
      </w:r>
      <w:r>
        <w:rPr>
          <w:rFonts w:eastAsiaTheme="minorHAnsi"/>
        </w:rPr>
        <w:t>The studies were in accordance with ICH Guidelines</w:t>
      </w:r>
      <w:bookmarkStart w:id="65" w:name="_Ref466534267"/>
      <w:r w:rsidR="00D50C81">
        <w:rPr>
          <w:rStyle w:val="FootnoteReference"/>
          <w:rFonts w:eastAsiaTheme="minorHAnsi"/>
        </w:rPr>
        <w:footnoteReference w:id="5"/>
      </w:r>
      <w:bookmarkEnd w:id="65"/>
      <w:r>
        <w:rPr>
          <w:rFonts w:eastAsiaTheme="minorHAnsi"/>
        </w:rPr>
        <w:t xml:space="preserve"> on repeat dose toxicity, where the repeat-dose toxicity studies have been conducted in at least two mammalian species (one non</w:t>
      </w:r>
      <w:r>
        <w:rPr>
          <w:rFonts w:eastAsiaTheme="minorHAnsi"/>
        </w:rPr>
        <w:noBreakHyphen/>
        <w:t>rodent). The studies have been well designed and attained high relative systemic exposures (</w:t>
      </w:r>
      <w:r w:rsidR="006924CA">
        <w:rPr>
          <w:rFonts w:eastAsiaTheme="minorHAnsi"/>
        </w:rPr>
        <w:t>Table 4</w:t>
      </w:r>
      <w:r>
        <w:rPr>
          <w:rFonts w:eastAsiaTheme="minorHAnsi"/>
        </w:rPr>
        <w:t>)</w:t>
      </w:r>
      <w:r w:rsidR="00586A39">
        <w:t>.</w:t>
      </w:r>
    </w:p>
    <w:p w:rsidR="00586A39" w:rsidRDefault="00FC702B" w:rsidP="00D534BC">
      <w:r>
        <w:t>It should be noted that the highest clinical dose for TAF (25 mg) has not been investigated in humans</w:t>
      </w:r>
      <w:r w:rsidR="00586A39">
        <w:t>.</w:t>
      </w:r>
    </w:p>
    <w:p w:rsidR="00FC702B" w:rsidRDefault="00FC702B" w:rsidP="006924CA">
      <w:pPr>
        <w:pStyle w:val="Heading5"/>
      </w:pPr>
      <w:r>
        <w:t>Relative exposure in repeat-dose toxicity studies</w:t>
      </w:r>
    </w:p>
    <w:p w:rsidR="006924CA" w:rsidRPr="006924CA" w:rsidRDefault="006924CA" w:rsidP="006924CA">
      <w:r>
        <w:t xml:space="preserve">Relative exposures (animal: human) in the repeat-dose studies are shown below in Table </w:t>
      </w:r>
      <w:r w:rsidR="00FC6DC1">
        <w:t>4</w:t>
      </w:r>
      <w:r>
        <w:t>.</w:t>
      </w:r>
    </w:p>
    <w:p w:rsidR="00FC702B" w:rsidRDefault="006924CA" w:rsidP="006924CA">
      <w:pPr>
        <w:pStyle w:val="TableTitle"/>
      </w:pPr>
      <w:r w:rsidRPr="007606E1">
        <w:t>Table 4:</w:t>
      </w:r>
      <w:bookmarkEnd w:id="64"/>
      <w:r w:rsidR="00FC702B" w:rsidRPr="007606E1">
        <w:t xml:space="preserve"> Tenofovir alafenamide fumarate (Table sourced from Genvoya; Submission)</w:t>
      </w:r>
    </w:p>
    <w:tbl>
      <w:tblPr>
        <w:tblStyle w:val="TableTGAblue"/>
        <w:tblW w:w="8789" w:type="dxa"/>
        <w:tblInd w:w="-34" w:type="dxa"/>
        <w:tblLayout w:type="fixed"/>
        <w:tblLook w:val="01E0" w:firstRow="1" w:lastRow="1" w:firstColumn="1" w:lastColumn="1" w:noHBand="0" w:noVBand="0"/>
      </w:tblPr>
      <w:tblGrid>
        <w:gridCol w:w="1135"/>
        <w:gridCol w:w="1275"/>
        <w:gridCol w:w="1276"/>
        <w:gridCol w:w="992"/>
        <w:gridCol w:w="1418"/>
        <w:gridCol w:w="1276"/>
        <w:gridCol w:w="1417"/>
      </w:tblGrid>
      <w:tr w:rsidR="006924CA" w:rsidTr="007B2278">
        <w:trPr>
          <w:cnfStyle w:val="100000000000" w:firstRow="1" w:lastRow="0" w:firstColumn="0" w:lastColumn="0" w:oddVBand="0" w:evenVBand="0" w:oddHBand="0" w:evenHBand="0" w:firstRowFirstColumn="0" w:firstRowLastColumn="0" w:lastRowFirstColumn="0" w:lastRowLastColumn="0"/>
        </w:trPr>
        <w:tc>
          <w:tcPr>
            <w:tcW w:w="1135" w:type="dxa"/>
            <w:hideMark/>
          </w:tcPr>
          <w:p w:rsidR="00FC702B" w:rsidRPr="006924CA" w:rsidRDefault="00FC702B" w:rsidP="006924CA">
            <w:pPr>
              <w:rPr>
                <w:rFonts w:asciiTheme="minorHAnsi" w:hAnsiTheme="minorHAnsi"/>
                <w:sz w:val="16"/>
                <w:szCs w:val="16"/>
                <w:lang w:eastAsia="en-US"/>
              </w:rPr>
            </w:pPr>
            <w:r w:rsidRPr="006924CA">
              <w:rPr>
                <w:rFonts w:asciiTheme="minorHAnsi" w:hAnsiTheme="minorHAnsi"/>
                <w:sz w:val="16"/>
                <w:szCs w:val="16"/>
                <w:lang w:eastAsia="en-US"/>
              </w:rPr>
              <w:t>Species</w:t>
            </w:r>
          </w:p>
        </w:tc>
        <w:tc>
          <w:tcPr>
            <w:tcW w:w="1275" w:type="dxa"/>
            <w:hideMark/>
          </w:tcPr>
          <w:p w:rsidR="00FC702B" w:rsidRPr="006924CA" w:rsidRDefault="00FC702B" w:rsidP="006924CA">
            <w:pPr>
              <w:rPr>
                <w:rFonts w:asciiTheme="minorHAnsi" w:hAnsiTheme="minorHAnsi"/>
                <w:sz w:val="16"/>
                <w:szCs w:val="16"/>
                <w:lang w:eastAsia="en-US"/>
              </w:rPr>
            </w:pPr>
            <w:r w:rsidRPr="006924CA">
              <w:rPr>
                <w:rFonts w:asciiTheme="minorHAnsi" w:hAnsiTheme="minorHAnsi"/>
                <w:sz w:val="16"/>
                <w:szCs w:val="16"/>
                <w:lang w:eastAsia="en-US"/>
              </w:rPr>
              <w:t>Study duration drug</w:t>
            </w:r>
          </w:p>
        </w:tc>
        <w:tc>
          <w:tcPr>
            <w:tcW w:w="1276" w:type="dxa"/>
            <w:hideMark/>
          </w:tcPr>
          <w:p w:rsidR="00FC702B" w:rsidRPr="006924CA" w:rsidRDefault="00FC702B" w:rsidP="006924CA">
            <w:pPr>
              <w:rPr>
                <w:rFonts w:asciiTheme="minorHAnsi" w:hAnsiTheme="minorHAnsi"/>
                <w:sz w:val="16"/>
                <w:szCs w:val="16"/>
                <w:lang w:eastAsia="en-US"/>
              </w:rPr>
            </w:pPr>
            <w:r w:rsidRPr="006924CA">
              <w:rPr>
                <w:rFonts w:asciiTheme="minorHAnsi" w:hAnsiTheme="minorHAnsi"/>
                <w:sz w:val="16"/>
                <w:szCs w:val="16"/>
                <w:lang w:eastAsia="en-US"/>
              </w:rPr>
              <w:t>Sex</w:t>
            </w:r>
          </w:p>
        </w:tc>
        <w:tc>
          <w:tcPr>
            <w:tcW w:w="992" w:type="dxa"/>
            <w:hideMark/>
          </w:tcPr>
          <w:p w:rsidR="00FC702B" w:rsidRPr="006924CA" w:rsidRDefault="00FC702B" w:rsidP="006924CA">
            <w:pPr>
              <w:rPr>
                <w:rFonts w:asciiTheme="minorHAnsi" w:hAnsiTheme="minorHAnsi"/>
                <w:sz w:val="16"/>
                <w:szCs w:val="16"/>
                <w:lang w:eastAsia="en-US"/>
              </w:rPr>
            </w:pPr>
            <w:r w:rsidRPr="006924CA">
              <w:rPr>
                <w:rFonts w:asciiTheme="minorHAnsi" w:hAnsiTheme="minorHAnsi"/>
                <w:sz w:val="16"/>
                <w:szCs w:val="16"/>
                <w:lang w:eastAsia="en-US"/>
              </w:rPr>
              <w:t>Study dose</w:t>
            </w:r>
            <w:r w:rsidRPr="006924CA">
              <w:rPr>
                <w:rFonts w:asciiTheme="minorHAnsi" w:hAnsiTheme="minorHAnsi"/>
                <w:sz w:val="16"/>
                <w:szCs w:val="16"/>
                <w:lang w:eastAsia="en-US"/>
              </w:rPr>
              <w:br/>
            </w:r>
            <w:r w:rsidR="006924CA">
              <w:rPr>
                <w:rFonts w:asciiTheme="minorHAnsi" w:hAnsiTheme="minorHAnsi"/>
                <w:sz w:val="16"/>
                <w:szCs w:val="16"/>
                <w:lang w:eastAsia="en-US"/>
              </w:rPr>
              <w:t>mg/kg/d</w:t>
            </w:r>
            <w:r w:rsidR="007606E1">
              <w:rPr>
                <w:rFonts w:asciiTheme="minorHAnsi" w:hAnsiTheme="minorHAnsi"/>
                <w:sz w:val="16"/>
                <w:szCs w:val="16"/>
                <w:lang w:eastAsia="en-US"/>
              </w:rPr>
              <w:t>ay</w:t>
            </w:r>
          </w:p>
        </w:tc>
        <w:tc>
          <w:tcPr>
            <w:tcW w:w="1418" w:type="dxa"/>
            <w:hideMark/>
          </w:tcPr>
          <w:p w:rsidR="00FC702B" w:rsidRPr="006924CA" w:rsidRDefault="00FC702B" w:rsidP="006924CA">
            <w:pPr>
              <w:rPr>
                <w:rFonts w:asciiTheme="minorHAnsi" w:hAnsiTheme="minorHAnsi"/>
                <w:sz w:val="16"/>
                <w:szCs w:val="16"/>
                <w:lang w:eastAsia="en-US"/>
              </w:rPr>
            </w:pPr>
            <w:r w:rsidRPr="006924CA">
              <w:rPr>
                <w:rFonts w:asciiTheme="minorHAnsi" w:hAnsiTheme="minorHAnsi"/>
                <w:sz w:val="16"/>
                <w:szCs w:val="16"/>
                <w:lang w:eastAsia="en-US"/>
              </w:rPr>
              <w:t>TFV AUC</w:t>
            </w:r>
            <w:r w:rsidRPr="006924CA">
              <w:rPr>
                <w:rFonts w:asciiTheme="minorHAnsi" w:hAnsiTheme="minorHAnsi"/>
                <w:sz w:val="16"/>
                <w:szCs w:val="16"/>
                <w:vertAlign w:val="subscript"/>
                <w:lang w:eastAsia="en-US"/>
              </w:rPr>
              <w:t>ss</w:t>
            </w:r>
            <w:r w:rsidRPr="006924CA">
              <w:rPr>
                <w:rFonts w:asciiTheme="minorHAnsi" w:hAnsiTheme="minorHAnsi"/>
                <w:sz w:val="16"/>
                <w:szCs w:val="16"/>
                <w:lang w:eastAsia="en-US"/>
              </w:rPr>
              <w:t xml:space="preserve"> </w:t>
            </w:r>
            <w:r w:rsidRPr="006924CA">
              <w:rPr>
                <w:rFonts w:asciiTheme="minorHAnsi" w:hAnsiTheme="minorHAnsi"/>
                <w:sz w:val="16"/>
                <w:szCs w:val="16"/>
                <w:vertAlign w:val="subscript"/>
                <w:lang w:eastAsia="en-US"/>
              </w:rPr>
              <w:t>0–24h</w:t>
            </w:r>
            <w:r w:rsidRPr="006924CA">
              <w:rPr>
                <w:rFonts w:asciiTheme="minorHAnsi" w:hAnsiTheme="minorHAnsi"/>
                <w:sz w:val="16"/>
                <w:szCs w:val="16"/>
                <w:lang w:eastAsia="en-US"/>
              </w:rPr>
              <w:br/>
              <w:t>ng∙h/mL</w:t>
            </w:r>
          </w:p>
        </w:tc>
        <w:tc>
          <w:tcPr>
            <w:tcW w:w="1276" w:type="dxa"/>
            <w:hideMark/>
          </w:tcPr>
          <w:p w:rsidR="006924CA" w:rsidRDefault="00FC702B" w:rsidP="006924CA">
            <w:pPr>
              <w:rPr>
                <w:rFonts w:asciiTheme="minorHAnsi" w:hAnsiTheme="minorHAnsi"/>
                <w:sz w:val="16"/>
                <w:szCs w:val="16"/>
                <w:lang w:eastAsia="en-US"/>
              </w:rPr>
            </w:pPr>
            <w:r w:rsidRPr="006924CA">
              <w:rPr>
                <w:rFonts w:asciiTheme="minorHAnsi" w:hAnsiTheme="minorHAnsi"/>
                <w:sz w:val="16"/>
                <w:szCs w:val="16"/>
                <w:lang w:eastAsia="en-US"/>
              </w:rPr>
              <w:t xml:space="preserve">TAF </w:t>
            </w:r>
          </w:p>
          <w:p w:rsidR="00FC702B" w:rsidRPr="006924CA" w:rsidRDefault="006924CA" w:rsidP="006924CA">
            <w:pPr>
              <w:rPr>
                <w:rFonts w:asciiTheme="minorHAnsi" w:hAnsiTheme="minorHAnsi"/>
                <w:sz w:val="16"/>
                <w:szCs w:val="16"/>
                <w:lang w:eastAsia="en-US"/>
              </w:rPr>
            </w:pPr>
            <w:r>
              <w:rPr>
                <w:rFonts w:asciiTheme="minorHAnsi" w:hAnsiTheme="minorHAnsi"/>
                <w:sz w:val="16"/>
                <w:szCs w:val="16"/>
                <w:lang w:eastAsia="en-US"/>
              </w:rPr>
              <w:t>A</w:t>
            </w:r>
            <w:r w:rsidR="00FC702B" w:rsidRPr="006924CA">
              <w:rPr>
                <w:rFonts w:asciiTheme="minorHAnsi" w:hAnsiTheme="minorHAnsi"/>
                <w:sz w:val="16"/>
                <w:szCs w:val="16"/>
                <w:lang w:eastAsia="en-US"/>
              </w:rPr>
              <w:t>UC</w:t>
            </w:r>
            <w:r w:rsidR="00FC702B" w:rsidRPr="006924CA">
              <w:rPr>
                <w:rFonts w:asciiTheme="minorHAnsi" w:hAnsiTheme="minorHAnsi"/>
                <w:sz w:val="16"/>
                <w:szCs w:val="16"/>
                <w:vertAlign w:val="subscript"/>
                <w:lang w:eastAsia="en-US"/>
              </w:rPr>
              <w:t>ss</w:t>
            </w:r>
            <w:r w:rsidR="00FC702B" w:rsidRPr="006924CA">
              <w:rPr>
                <w:rFonts w:asciiTheme="minorHAnsi" w:hAnsiTheme="minorHAnsi"/>
                <w:sz w:val="16"/>
                <w:szCs w:val="16"/>
                <w:lang w:eastAsia="en-US"/>
              </w:rPr>
              <w:t xml:space="preserve"> </w:t>
            </w:r>
            <w:r w:rsidR="00FC702B" w:rsidRPr="006924CA">
              <w:rPr>
                <w:rFonts w:asciiTheme="minorHAnsi" w:hAnsiTheme="minorHAnsi"/>
                <w:sz w:val="16"/>
                <w:szCs w:val="16"/>
                <w:vertAlign w:val="subscript"/>
                <w:lang w:eastAsia="en-US"/>
              </w:rPr>
              <w:t>0–24h</w:t>
            </w:r>
            <w:r w:rsidR="00FC702B" w:rsidRPr="006924CA">
              <w:rPr>
                <w:rFonts w:asciiTheme="minorHAnsi" w:hAnsiTheme="minorHAnsi"/>
                <w:sz w:val="16"/>
                <w:szCs w:val="16"/>
                <w:lang w:eastAsia="en-US"/>
              </w:rPr>
              <w:br/>
              <w:t>ng∙h/mL</w:t>
            </w:r>
          </w:p>
        </w:tc>
        <w:tc>
          <w:tcPr>
            <w:tcW w:w="1417" w:type="dxa"/>
            <w:hideMark/>
          </w:tcPr>
          <w:p w:rsidR="00FC702B" w:rsidRPr="006924CA" w:rsidRDefault="00FC702B" w:rsidP="006924CA">
            <w:pPr>
              <w:rPr>
                <w:rFonts w:asciiTheme="minorHAnsi" w:hAnsiTheme="minorHAnsi"/>
                <w:sz w:val="16"/>
                <w:szCs w:val="16"/>
                <w:lang w:eastAsia="en-US"/>
              </w:rPr>
            </w:pPr>
            <w:r w:rsidRPr="006924CA">
              <w:rPr>
                <w:rFonts w:asciiTheme="minorHAnsi" w:hAnsiTheme="minorHAnsi"/>
                <w:sz w:val="16"/>
                <w:szCs w:val="16"/>
                <w:lang w:eastAsia="en-US"/>
              </w:rPr>
              <w:t>TFV/TAF exposure ratio</w:t>
            </w:r>
            <w:r w:rsidRPr="006924CA">
              <w:rPr>
                <w:rFonts w:asciiTheme="minorHAnsi" w:hAnsiTheme="minorHAnsi"/>
                <w:sz w:val="16"/>
                <w:szCs w:val="16"/>
                <w:vertAlign w:val="superscript"/>
                <w:lang w:eastAsia="en-US"/>
              </w:rPr>
              <w:t>#*</w:t>
            </w:r>
          </w:p>
        </w:tc>
      </w:tr>
      <w:tr w:rsidR="00FC702B" w:rsidTr="007B2278">
        <w:trPr>
          <w:trHeight w:val="227"/>
        </w:trPr>
        <w:tc>
          <w:tcPr>
            <w:tcW w:w="1135"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Mouse</w:t>
            </w:r>
            <w:r w:rsidRPr="006924CA">
              <w:rPr>
                <w:rFonts w:asciiTheme="minorHAnsi" w:hAnsiTheme="minorHAnsi"/>
                <w:kern w:val="2"/>
                <w:sz w:val="16"/>
                <w:szCs w:val="16"/>
              </w:rPr>
              <w:br/>
              <w:t>(CD</w:t>
            </w:r>
            <w:r w:rsidRPr="006924CA">
              <w:rPr>
                <w:rFonts w:asciiTheme="minorHAnsi" w:hAnsiTheme="minorHAnsi"/>
                <w:kern w:val="2"/>
                <w:sz w:val="16"/>
                <w:szCs w:val="16"/>
              </w:rPr>
              <w:noBreakHyphen/>
              <w:t>1)</w:t>
            </w:r>
          </w:p>
        </w:tc>
        <w:tc>
          <w:tcPr>
            <w:tcW w:w="1275"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13 weeks (TAF)</w:t>
            </w:r>
          </w:p>
        </w:tc>
        <w:tc>
          <w:tcPr>
            <w:tcW w:w="1276"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Combined</w:t>
            </w: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213</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NC</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0.72/NC</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1507</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NC</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5.14/NC</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100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7397</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NC</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25.24/NC</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 years (TDF)</w:t>
            </w:r>
          </w:p>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[carcinogenicity]</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Males</w:t>
            </w:r>
          </w:p>
        </w:tc>
        <w:tc>
          <w:tcPr>
            <w:tcW w:w="992"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600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44,300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151.19/NA</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Females</w:t>
            </w:r>
          </w:p>
        </w:tc>
        <w:tc>
          <w:tcPr>
            <w:tcW w:w="992" w:type="dxa"/>
            <w:vMerge/>
            <w:hideMark/>
          </w:tcPr>
          <w:p w:rsidR="00FC702B" w:rsidRPr="006924CA" w:rsidRDefault="00FC702B" w:rsidP="006924CA">
            <w:pPr>
              <w:rPr>
                <w:rFonts w:asciiTheme="minorHAnsi" w:eastAsia="Times New Roman" w:hAnsiTheme="minorHAnsi"/>
                <w:kern w:val="2"/>
                <w:sz w:val="16"/>
                <w:szCs w:val="16"/>
              </w:rPr>
            </w:pP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50,900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173.72/NA</w:t>
            </w:r>
          </w:p>
        </w:tc>
      </w:tr>
      <w:tr w:rsidR="00FC702B" w:rsidTr="007B2278">
        <w:trPr>
          <w:trHeight w:val="227"/>
        </w:trPr>
        <w:tc>
          <w:tcPr>
            <w:tcW w:w="1135"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Rat</w:t>
            </w:r>
          </w:p>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(SD)</w:t>
            </w:r>
          </w:p>
        </w:tc>
        <w:tc>
          <w:tcPr>
            <w:tcW w:w="1275"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6 months (TAF)</w:t>
            </w:r>
          </w:p>
        </w:tc>
        <w:tc>
          <w:tcPr>
            <w:tcW w:w="1276"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Males</w:t>
            </w: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740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2.52</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25</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3530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12.05</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100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15,930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54.37</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Females</w:t>
            </w: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600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2.05</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25</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4000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13.65</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100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15,140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51.67</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val="restart"/>
            <w:hideMark/>
          </w:tcPr>
          <w:p w:rsidR="00FC702B" w:rsidRPr="006924CA" w:rsidRDefault="00FC702B" w:rsidP="006924CA">
            <w:pPr>
              <w:rPr>
                <w:rFonts w:asciiTheme="minorHAnsi" w:eastAsia="Times New Roman" w:hAnsiTheme="minorHAnsi"/>
                <w:color w:val="00B050"/>
                <w:kern w:val="2"/>
                <w:sz w:val="16"/>
                <w:szCs w:val="16"/>
              </w:rPr>
            </w:pPr>
            <w:r w:rsidRPr="006924CA">
              <w:rPr>
                <w:rFonts w:asciiTheme="minorHAnsi" w:hAnsiTheme="minorHAnsi"/>
                <w:kern w:val="2"/>
                <w:sz w:val="16"/>
                <w:szCs w:val="16"/>
              </w:rPr>
              <w:t>2 years (TDF)</w:t>
            </w:r>
            <w:r w:rsidRPr="006924CA">
              <w:rPr>
                <w:rFonts w:asciiTheme="minorHAnsi" w:hAnsiTheme="minorHAnsi"/>
                <w:kern w:val="2"/>
                <w:sz w:val="16"/>
                <w:szCs w:val="16"/>
              </w:rPr>
              <w:br/>
              <w:t>[carcinogenicity]</w:t>
            </w:r>
          </w:p>
        </w:tc>
        <w:tc>
          <w:tcPr>
            <w:tcW w:w="1276"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Males</w:t>
            </w:r>
          </w:p>
        </w:tc>
        <w:tc>
          <w:tcPr>
            <w:tcW w:w="992" w:type="dxa"/>
            <w:hideMark/>
          </w:tcPr>
          <w:p w:rsidR="006924CA" w:rsidRDefault="00FC702B" w:rsidP="006924CA">
            <w:pPr>
              <w:rPr>
                <w:rFonts w:asciiTheme="minorHAnsi" w:hAnsiTheme="minorHAnsi"/>
                <w:kern w:val="2"/>
                <w:sz w:val="16"/>
                <w:szCs w:val="16"/>
              </w:rPr>
            </w:pPr>
            <w:r w:rsidRPr="006924CA">
              <w:rPr>
                <w:rFonts w:asciiTheme="minorHAnsi" w:hAnsiTheme="minorHAnsi"/>
                <w:kern w:val="2"/>
                <w:sz w:val="16"/>
                <w:szCs w:val="16"/>
              </w:rPr>
              <w:t>10/</w:t>
            </w:r>
          </w:p>
          <w:p w:rsidR="00FC702B" w:rsidRPr="006924CA" w:rsidRDefault="006924CA" w:rsidP="006924CA">
            <w:pPr>
              <w:rPr>
                <w:rFonts w:asciiTheme="minorHAnsi" w:eastAsia="Times New Roman" w:hAnsiTheme="minorHAnsi"/>
                <w:kern w:val="2"/>
                <w:sz w:val="16"/>
                <w:szCs w:val="16"/>
              </w:rPr>
            </w:pPr>
            <w:r>
              <w:rPr>
                <w:rFonts w:asciiTheme="minorHAnsi" w:hAnsiTheme="minorHAnsi"/>
                <w:kern w:val="2"/>
                <w:sz w:val="16"/>
                <w:szCs w:val="16"/>
              </w:rPr>
              <w:t>3</w:t>
            </w:r>
            <w:r w:rsidR="00FC702B" w:rsidRPr="006924CA">
              <w:rPr>
                <w:rFonts w:asciiTheme="minorHAnsi" w:hAnsiTheme="minorHAnsi"/>
                <w:kern w:val="2"/>
                <w:sz w:val="16"/>
                <w:szCs w:val="16"/>
              </w:rPr>
              <w:t>00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16,690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56.96/NA</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color w:val="00B050"/>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2700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9.22/NA</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color w:val="00B050"/>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100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6600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22.53/NA</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color w:val="00B050"/>
                <w:kern w:val="2"/>
                <w:sz w:val="16"/>
                <w:szCs w:val="16"/>
              </w:rPr>
            </w:pPr>
          </w:p>
        </w:tc>
        <w:tc>
          <w:tcPr>
            <w:tcW w:w="1276"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Females</w:t>
            </w:r>
          </w:p>
        </w:tc>
        <w:tc>
          <w:tcPr>
            <w:tcW w:w="992" w:type="dxa"/>
            <w:hideMark/>
          </w:tcPr>
          <w:p w:rsidR="006924CA" w:rsidRDefault="00FC702B" w:rsidP="006924CA">
            <w:pPr>
              <w:rPr>
                <w:rFonts w:asciiTheme="minorHAnsi" w:hAnsiTheme="minorHAnsi"/>
                <w:kern w:val="2"/>
                <w:sz w:val="16"/>
                <w:szCs w:val="16"/>
              </w:rPr>
            </w:pPr>
            <w:r w:rsidRPr="006924CA">
              <w:rPr>
                <w:rFonts w:asciiTheme="minorHAnsi" w:hAnsiTheme="minorHAnsi"/>
                <w:kern w:val="2"/>
                <w:sz w:val="16"/>
                <w:szCs w:val="16"/>
              </w:rPr>
              <w:t>10/</w:t>
            </w:r>
          </w:p>
          <w:p w:rsidR="00FC702B" w:rsidRPr="006924CA" w:rsidRDefault="006924CA" w:rsidP="006924CA">
            <w:pPr>
              <w:rPr>
                <w:rFonts w:asciiTheme="minorHAnsi" w:eastAsia="Times New Roman" w:hAnsiTheme="minorHAnsi"/>
                <w:kern w:val="2"/>
                <w:sz w:val="16"/>
                <w:szCs w:val="16"/>
              </w:rPr>
            </w:pPr>
            <w:r>
              <w:rPr>
                <w:rFonts w:asciiTheme="minorHAnsi" w:hAnsiTheme="minorHAnsi"/>
                <w:kern w:val="2"/>
                <w:sz w:val="16"/>
                <w:szCs w:val="16"/>
              </w:rPr>
              <w:t>3</w:t>
            </w:r>
            <w:r w:rsidR="00FC702B" w:rsidRPr="006924CA">
              <w:rPr>
                <w:rFonts w:asciiTheme="minorHAnsi" w:hAnsiTheme="minorHAnsi"/>
                <w:kern w:val="2"/>
                <w:sz w:val="16"/>
                <w:szCs w:val="16"/>
              </w:rPr>
              <w:t>00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15,720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53.65/NA</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color w:val="00B050"/>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3060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10.44/NA</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color w:val="00B050"/>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100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7460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NA</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25.46/NA</w:t>
            </w:r>
          </w:p>
        </w:tc>
      </w:tr>
      <w:tr w:rsidR="00FC702B" w:rsidTr="007B2278">
        <w:trPr>
          <w:trHeight w:val="227"/>
        </w:trPr>
        <w:tc>
          <w:tcPr>
            <w:tcW w:w="1135"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Dog</w:t>
            </w:r>
            <w:r w:rsidRPr="006924CA">
              <w:rPr>
                <w:rFonts w:asciiTheme="minorHAnsi" w:hAnsiTheme="minorHAnsi"/>
                <w:kern w:val="2"/>
                <w:sz w:val="16"/>
                <w:szCs w:val="16"/>
              </w:rPr>
              <w:br/>
              <w:t>(Beagle)</w:t>
            </w:r>
          </w:p>
        </w:tc>
        <w:tc>
          <w:tcPr>
            <w:tcW w:w="1275"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9 months (TAF)</w:t>
            </w:r>
          </w:p>
        </w:tc>
        <w:tc>
          <w:tcPr>
            <w:tcW w:w="1276"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Males</w:t>
            </w: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1300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90</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4.44/0.44</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6</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3890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1290</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6.25/6.26</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18/12</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14,900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2160</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13.28/10.48</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Females</w:t>
            </w: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1070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60</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3.65/0.29</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6</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5010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780</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17.10/3.79</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18/12</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12,570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1750</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42.90/8.50</w:t>
            </w:r>
          </w:p>
        </w:tc>
      </w:tr>
      <w:tr w:rsidR="00FC702B" w:rsidTr="007B2278">
        <w:trPr>
          <w:trHeight w:val="227"/>
        </w:trPr>
        <w:tc>
          <w:tcPr>
            <w:tcW w:w="1135"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Monkey</w:t>
            </w:r>
          </w:p>
          <w:p w:rsidR="00FC702B" w:rsidRPr="006924CA" w:rsidRDefault="006924CA" w:rsidP="006924CA">
            <w:pPr>
              <w:rPr>
                <w:rFonts w:asciiTheme="minorHAnsi" w:eastAsia="Times New Roman" w:hAnsiTheme="minorHAnsi"/>
                <w:kern w:val="2"/>
                <w:sz w:val="16"/>
                <w:szCs w:val="16"/>
              </w:rPr>
            </w:pPr>
            <w:r>
              <w:rPr>
                <w:rFonts w:asciiTheme="minorHAnsi" w:hAnsiTheme="minorHAnsi"/>
                <w:kern w:val="2"/>
                <w:sz w:val="16"/>
                <w:szCs w:val="16"/>
              </w:rPr>
              <w:t>Rhesus</w:t>
            </w:r>
          </w:p>
        </w:tc>
        <w:tc>
          <w:tcPr>
            <w:tcW w:w="1275"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4 weeks (TAF)</w:t>
            </w:r>
          </w:p>
        </w:tc>
        <w:tc>
          <w:tcPr>
            <w:tcW w:w="1276" w:type="dxa"/>
            <w:vMerge w:val="restart"/>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Combined</w:t>
            </w: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350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NC</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1.19/NA</w:t>
            </w:r>
          </w:p>
        </w:tc>
      </w:tr>
      <w:tr w:rsidR="00FC702B" w:rsidTr="007B2278">
        <w:trPr>
          <w:trHeight w:val="227"/>
        </w:trPr>
        <w:tc>
          <w:tcPr>
            <w:tcW w:w="1135" w:type="dxa"/>
            <w:vMerge/>
            <w:hideMark/>
          </w:tcPr>
          <w:p w:rsidR="00FC702B" w:rsidRPr="006924CA" w:rsidRDefault="00FC702B" w:rsidP="006924CA">
            <w:pPr>
              <w:rPr>
                <w:rFonts w:asciiTheme="minorHAnsi" w:eastAsia="Times New Roman" w:hAnsiTheme="minorHAnsi"/>
                <w:kern w:val="2"/>
                <w:sz w:val="16"/>
                <w:szCs w:val="16"/>
              </w:rPr>
            </w:pPr>
          </w:p>
        </w:tc>
        <w:tc>
          <w:tcPr>
            <w:tcW w:w="1275" w:type="dxa"/>
            <w:vMerge/>
            <w:hideMark/>
          </w:tcPr>
          <w:p w:rsidR="00FC702B" w:rsidRPr="006924CA" w:rsidRDefault="00FC702B" w:rsidP="006924CA">
            <w:pPr>
              <w:rPr>
                <w:rFonts w:asciiTheme="minorHAnsi" w:eastAsia="Times New Roman" w:hAnsiTheme="minorHAnsi"/>
                <w:kern w:val="2"/>
                <w:sz w:val="16"/>
                <w:szCs w:val="16"/>
              </w:rPr>
            </w:pPr>
          </w:p>
        </w:tc>
        <w:tc>
          <w:tcPr>
            <w:tcW w:w="1276" w:type="dxa"/>
            <w:vMerge/>
            <w:hideMark/>
          </w:tcPr>
          <w:p w:rsidR="00FC702B" w:rsidRPr="006924CA" w:rsidRDefault="00FC702B" w:rsidP="006924CA">
            <w:pPr>
              <w:rPr>
                <w:rFonts w:asciiTheme="minorHAnsi" w:eastAsia="Times New Roman" w:hAnsiTheme="minorHAnsi"/>
                <w:kern w:val="2"/>
                <w:sz w:val="16"/>
                <w:szCs w:val="16"/>
              </w:rPr>
            </w:pP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30</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5870</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1030</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20.03/5.0</w:t>
            </w:r>
          </w:p>
        </w:tc>
      </w:tr>
      <w:tr w:rsidR="00FC702B" w:rsidTr="007B2278">
        <w:trPr>
          <w:trHeight w:val="235"/>
        </w:trPr>
        <w:tc>
          <w:tcPr>
            <w:tcW w:w="1135"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lastRenderedPageBreak/>
              <w:t>Human</w:t>
            </w:r>
            <w:r w:rsidRPr="006924CA">
              <w:rPr>
                <w:rFonts w:asciiTheme="minorHAnsi" w:hAnsiTheme="minorHAnsi"/>
                <w:kern w:val="2"/>
                <w:sz w:val="16"/>
                <w:szCs w:val="16"/>
              </w:rPr>
              <w:br/>
              <w:t>healthy volunt</w:t>
            </w:r>
            <w:r w:rsidR="006924CA">
              <w:rPr>
                <w:rFonts w:asciiTheme="minorHAnsi" w:hAnsiTheme="minorHAnsi"/>
                <w:kern w:val="2"/>
                <w:sz w:val="16"/>
                <w:szCs w:val="16"/>
              </w:rPr>
              <w:t>-</w:t>
            </w:r>
            <w:r w:rsidRPr="006924CA">
              <w:rPr>
                <w:rFonts w:asciiTheme="minorHAnsi" w:hAnsiTheme="minorHAnsi"/>
                <w:kern w:val="2"/>
                <w:sz w:val="16"/>
                <w:szCs w:val="16"/>
              </w:rPr>
              <w:t>eers</w:t>
            </w:r>
          </w:p>
        </w:tc>
        <w:tc>
          <w:tcPr>
            <w:tcW w:w="1275"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steady state (TAF)</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w:t>
            </w:r>
          </w:p>
        </w:tc>
        <w:tc>
          <w:tcPr>
            <w:tcW w:w="992"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[1</w:t>
            </w:r>
            <w:r w:rsidR="00E04BFC">
              <w:rPr>
                <w:rFonts w:asciiTheme="minorHAnsi" w:hAnsiTheme="minorHAnsi"/>
                <w:kern w:val="2"/>
                <w:sz w:val="16"/>
                <w:szCs w:val="16"/>
              </w:rPr>
              <w:t>0 mg</w:t>
            </w:r>
            <w:r w:rsidRPr="006924CA">
              <w:rPr>
                <w:rFonts w:asciiTheme="minorHAnsi" w:hAnsiTheme="minorHAnsi"/>
                <w:kern w:val="2"/>
                <w:sz w:val="16"/>
                <w:szCs w:val="16"/>
              </w:rPr>
              <w:t>]</w:t>
            </w:r>
          </w:p>
        </w:tc>
        <w:tc>
          <w:tcPr>
            <w:tcW w:w="1418"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293*</w:t>
            </w:r>
          </w:p>
        </w:tc>
        <w:tc>
          <w:tcPr>
            <w:tcW w:w="1276"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206*</w:t>
            </w:r>
          </w:p>
        </w:tc>
        <w:tc>
          <w:tcPr>
            <w:tcW w:w="1417" w:type="dxa"/>
            <w:hideMark/>
          </w:tcPr>
          <w:p w:rsidR="00FC702B" w:rsidRPr="006924CA" w:rsidRDefault="00FC702B" w:rsidP="006924CA">
            <w:pPr>
              <w:rPr>
                <w:rFonts w:asciiTheme="minorHAnsi" w:eastAsia="Times New Roman" w:hAnsiTheme="minorHAnsi"/>
                <w:kern w:val="2"/>
                <w:sz w:val="16"/>
                <w:szCs w:val="16"/>
              </w:rPr>
            </w:pPr>
            <w:r w:rsidRPr="006924CA">
              <w:rPr>
                <w:rFonts w:asciiTheme="minorHAnsi" w:hAnsiTheme="minorHAnsi"/>
                <w:kern w:val="2"/>
                <w:sz w:val="16"/>
                <w:szCs w:val="16"/>
              </w:rPr>
              <w:t>–</w:t>
            </w:r>
          </w:p>
        </w:tc>
      </w:tr>
    </w:tbl>
    <w:p w:rsidR="00586A39" w:rsidRDefault="00FC702B" w:rsidP="00D534BC">
      <w:pPr>
        <w:pStyle w:val="TableDescription"/>
      </w:pPr>
      <w:r>
        <w:t>*</w:t>
      </w:r>
      <w:r>
        <w:rPr>
          <w:vertAlign w:val="superscript"/>
        </w:rPr>
        <w:t xml:space="preserve"> </w:t>
      </w:r>
      <w:r>
        <w:t>Mean steady-state AUC</w:t>
      </w:r>
      <w:r>
        <w:rPr>
          <w:vertAlign w:val="subscript"/>
        </w:rPr>
        <w:t>SS</w:t>
      </w:r>
      <w:r>
        <w:t xml:space="preserve"> in pivotal studies for TFV (GS-US-292-0104 and GS-US-292-0111); ** = animal</w:t>
      </w:r>
      <w:r w:rsidR="00CC7403">
        <w:t>: human</w:t>
      </w:r>
      <w:r>
        <w:t> plasma AUC</w:t>
      </w:r>
      <w:r>
        <w:rPr>
          <w:vertAlign w:val="subscript"/>
        </w:rPr>
        <w:t>ss 0–24h</w:t>
      </w:r>
      <w:r>
        <w:t>; NC = Not calculated, NA = Not applicable</w:t>
      </w:r>
      <w:r w:rsidR="00586A39">
        <w:t>.</w:t>
      </w:r>
    </w:p>
    <w:p w:rsidR="00586A39" w:rsidRDefault="00FC702B" w:rsidP="00D534BC">
      <w:pPr>
        <w:rPr>
          <w:kern w:val="2"/>
          <w:szCs w:val="20"/>
        </w:rPr>
      </w:pPr>
      <w:r>
        <w:t>Exposure ratios have been calculated based on TFV animal:</w:t>
      </w:r>
      <w:r w:rsidR="006924CA">
        <w:t xml:space="preserve"> </w:t>
      </w:r>
      <w:r>
        <w:t>human plasma AUC</w:t>
      </w:r>
      <w:r w:rsidRPr="006924CA">
        <w:rPr>
          <w:vertAlign w:val="subscript"/>
        </w:rPr>
        <w:t>0–24 h</w:t>
      </w:r>
      <w:r>
        <w:t>. Human reference values are from Clinical Study GS-US-292-0104 and GS-US-292-0111. Relative exposure in mice was observed from very low at the lowest concentration of TAF used to very high at the highest TAF dose used. A 6 month rat study found that the relative exposure for TAF ranged from very low to extremely high, while the carcinogenicity study using TDF and compared to TFV steady state values in humans found that the relative exposure ranged from moderate to extremely high in the doses used for both sexes. The 9</w:t>
      </w:r>
      <w:r w:rsidR="006924CA">
        <w:t xml:space="preserve"> </w:t>
      </w:r>
      <w:r>
        <w:t xml:space="preserve">month study in dogs observed exposure ratios ranging from subclinical to moderate. </w:t>
      </w:r>
      <w:r>
        <w:rPr>
          <w:kern w:val="2"/>
          <w:szCs w:val="20"/>
        </w:rPr>
        <w:t>The exposures observed in the repeat-dose toxicity studies have greatly exceeded the human exposure levels observed in the clinical studies of TAF within the FDC</w:t>
      </w:r>
      <w:r w:rsidR="00586A39">
        <w:rPr>
          <w:kern w:val="2"/>
          <w:szCs w:val="20"/>
        </w:rPr>
        <w:t>.</w:t>
      </w:r>
    </w:p>
    <w:p w:rsidR="00FC702B" w:rsidRDefault="00FC702B" w:rsidP="00D534BC">
      <w:r>
        <w:t>Th</w:t>
      </w:r>
      <w:r w:rsidR="00797DC0">
        <w:t>ere have been no safety, single</w:t>
      </w:r>
      <w:r>
        <w:t xml:space="preserve"> and/or repeat dose toxicity studies submitted using the FDC. The absence of nonclinical safety studies with the FDC is in accordance with the </w:t>
      </w:r>
      <w:r w:rsidR="00797DC0">
        <w:t>relevant EU guideline</w:t>
      </w:r>
      <w:bookmarkStart w:id="66" w:name="_Ref465866054"/>
      <w:r w:rsidR="00797DC0">
        <w:rPr>
          <w:rStyle w:val="FootnoteReference"/>
        </w:rPr>
        <w:footnoteReference w:id="6"/>
      </w:r>
      <w:bookmarkEnd w:id="66"/>
      <w:r w:rsidR="00797DC0">
        <w:t>.</w:t>
      </w:r>
    </w:p>
    <w:p w:rsidR="00FC702B" w:rsidRDefault="00FC702B" w:rsidP="00797DC0">
      <w:pPr>
        <w:pStyle w:val="Heading4"/>
      </w:pPr>
      <w:r>
        <w:t>Reproductive toxicity</w:t>
      </w:r>
    </w:p>
    <w:p w:rsidR="00FC702B" w:rsidRPr="00797DC0" w:rsidRDefault="00FC702B" w:rsidP="00797DC0">
      <w:r w:rsidRPr="00797DC0">
        <w:t>No toxicological interactions are expected with the FDC and further studies are not required in accordance with the ICH M3 (R2) guideline</w:t>
      </w:r>
      <w:r w:rsidR="00FC6DC1" w:rsidRPr="00FC6DC1">
        <w:rPr>
          <w:vertAlign w:val="superscript"/>
        </w:rPr>
        <w:fldChar w:fldCharType="begin"/>
      </w:r>
      <w:r w:rsidR="00FC6DC1" w:rsidRPr="00FC6DC1">
        <w:rPr>
          <w:vertAlign w:val="superscript"/>
        </w:rPr>
        <w:instrText xml:space="preserve"> NOTEREF _Ref466534267 \h </w:instrText>
      </w:r>
      <w:r w:rsidR="00FC6DC1">
        <w:rPr>
          <w:vertAlign w:val="superscript"/>
        </w:rPr>
        <w:instrText xml:space="preserve"> \* MERGEFORMAT </w:instrText>
      </w:r>
      <w:r w:rsidR="00FC6DC1" w:rsidRPr="00FC6DC1">
        <w:rPr>
          <w:vertAlign w:val="superscript"/>
        </w:rPr>
      </w:r>
      <w:r w:rsidR="00FC6DC1" w:rsidRPr="00FC6DC1">
        <w:rPr>
          <w:vertAlign w:val="superscript"/>
        </w:rPr>
        <w:fldChar w:fldCharType="separate"/>
      </w:r>
      <w:r w:rsidR="00020C24">
        <w:rPr>
          <w:vertAlign w:val="superscript"/>
        </w:rPr>
        <w:t>5</w:t>
      </w:r>
      <w:r w:rsidR="00FC6DC1" w:rsidRPr="00FC6DC1">
        <w:rPr>
          <w:vertAlign w:val="superscript"/>
        </w:rPr>
        <w:fldChar w:fldCharType="end"/>
      </w:r>
      <w:r w:rsidRPr="00797DC0">
        <w:t>. Previously submitted studies for the registration of FTC and TAF demonstrated no significant effects on embryo-fetal development in rats or rabbits.</w:t>
      </w:r>
    </w:p>
    <w:p w:rsidR="00797DC0" w:rsidRDefault="00FC702B" w:rsidP="00797DC0">
      <w:pPr>
        <w:pStyle w:val="Heading5"/>
      </w:pPr>
      <w:r w:rsidRPr="00797DC0">
        <w:t>FTC (Emtriva)</w:t>
      </w:r>
    </w:p>
    <w:p w:rsidR="00FC702B" w:rsidRPr="00797DC0" w:rsidRDefault="00FC702B" w:rsidP="00797DC0">
      <w:r w:rsidRPr="00797DC0">
        <w:t>A comprehensive reproductive toxicology assessment of FTC was conducted in mice and rabbits, with an additional male fertility study conducted in rats.</w:t>
      </w:r>
      <w:r w:rsidR="00347444" w:rsidRPr="00797DC0">
        <w:t xml:space="preserve"> </w:t>
      </w:r>
      <w:r w:rsidRPr="00797DC0">
        <w:t>All studies were conducted according to GLP, utilising adequate animal numbers and appropriate high doses (based on pharmacokinetic endpoints; refer below).</w:t>
      </w:r>
      <w:r w:rsidR="00347444" w:rsidRPr="00797DC0">
        <w:t xml:space="preserve"> </w:t>
      </w:r>
      <w:r w:rsidRPr="00797DC0">
        <w:t>Mice and rats were appropriate models for human reproductive toxicity testing.</w:t>
      </w:r>
      <w:r w:rsidR="00347444" w:rsidRPr="00797DC0">
        <w:t xml:space="preserve"> </w:t>
      </w:r>
      <w:r w:rsidRPr="00797DC0">
        <w:t>Placental transfer was demonstrated in both mice and rabbits and semen penetration was reported in healthy volunteers.</w:t>
      </w:r>
      <w:r w:rsidR="00347444" w:rsidRPr="00797DC0">
        <w:t xml:space="preserve"> </w:t>
      </w:r>
      <w:r w:rsidRPr="00797DC0">
        <w:t>No milk excretion studies were performed.</w:t>
      </w:r>
    </w:p>
    <w:p w:rsidR="00586A39" w:rsidRDefault="00FC702B" w:rsidP="00797DC0">
      <w:r w:rsidRPr="00797DC0">
        <w:t>Estimated FTC exposure at the highest doses employed in the reproductive toxicity studies was associated with large multiples (52-132</w:t>
      </w:r>
      <w:r w:rsidR="00797DC0">
        <w:t xml:space="preserve"> times</w:t>
      </w:r>
      <w:r w:rsidRPr="00797DC0">
        <w:t>) of the anticipated clinical AUC (</w:t>
      </w:r>
      <w:r w:rsidR="00797DC0">
        <w:t>Table 5</w:t>
      </w:r>
      <w:r w:rsidRPr="00797DC0">
        <w:t>)</w:t>
      </w:r>
      <w:r w:rsidR="00586A39">
        <w:t>.</w:t>
      </w:r>
    </w:p>
    <w:p w:rsidR="00FC702B" w:rsidRPr="00797DC0" w:rsidRDefault="00FC702B" w:rsidP="00797DC0">
      <w:r w:rsidRPr="00797DC0">
        <w:t>Emtricitabine had no effect on fertility or reproductive performance in female or male mice given PO doses up to 1000 mg/kg/day (52</w:t>
      </w:r>
      <w:r w:rsidR="00586A39">
        <w:t xml:space="preserve"> </w:t>
      </w:r>
      <w:r w:rsidRPr="00797DC0">
        <w:t>and 77</w:t>
      </w:r>
      <w:r w:rsidR="00797DC0">
        <w:t xml:space="preserve"> times</w:t>
      </w:r>
      <w:r w:rsidRPr="00797DC0">
        <w:t xml:space="preserve"> the anticipated clinical AUC) or male rats given PO </w:t>
      </w:r>
      <w:r w:rsidR="00797DC0">
        <w:t>doses up to 3000 mg/kg/day (132 times</w:t>
      </w:r>
      <w:r w:rsidRPr="00797DC0">
        <w:t xml:space="preserve"> the anticipated clinical AUC).</w:t>
      </w:r>
      <w:r w:rsidR="00347444" w:rsidRPr="00797DC0">
        <w:t xml:space="preserve"> </w:t>
      </w:r>
      <w:r w:rsidRPr="00797DC0">
        <w:t xml:space="preserve">No effects on embryofetal development were observed in mice or rabbits, given PO emtricitabine doses up </w:t>
      </w:r>
      <w:r w:rsidR="00797DC0">
        <w:t>to 1000 mg/kg/day (52</w:t>
      </w:r>
      <w:r w:rsidRPr="00797DC0">
        <w:t xml:space="preserve"> and 130</w:t>
      </w:r>
      <w:r w:rsidR="00797DC0">
        <w:t xml:space="preserve"> times</w:t>
      </w:r>
      <w:r w:rsidRPr="00797DC0">
        <w:t xml:space="preserve"> the anticipated clinical </w:t>
      </w:r>
      <w:r w:rsidRPr="00797DC0">
        <w:lastRenderedPageBreak/>
        <w:t>AUC).</w:t>
      </w:r>
      <w:r w:rsidR="00347444" w:rsidRPr="00797DC0">
        <w:t xml:space="preserve"> </w:t>
      </w:r>
      <w:r w:rsidRPr="00797DC0">
        <w:t>No effects on pre or post-natal development were also observed in mice at PO emtricitabine</w:t>
      </w:r>
      <w:r w:rsidR="00797DC0">
        <w:t xml:space="preserve"> doses up to 1000 mg/kg/day (52 times</w:t>
      </w:r>
      <w:r w:rsidRPr="00797DC0">
        <w:t xml:space="preserve"> the anticipated clinical AUC).</w:t>
      </w:r>
    </w:p>
    <w:p w:rsidR="00FC702B" w:rsidRDefault="00FC702B" w:rsidP="00797DC0">
      <w:pPr>
        <w:pStyle w:val="Heading5"/>
      </w:pPr>
      <w:r>
        <w:t>Relative exposure</w:t>
      </w:r>
    </w:p>
    <w:p w:rsidR="00797DC0" w:rsidRDefault="00797DC0" w:rsidP="00797DC0">
      <w:r>
        <w:t>Relative exposures (animal: human) in the reproductive toxicity studies are shown below in Table 5.</w:t>
      </w:r>
    </w:p>
    <w:p w:rsidR="00FC702B" w:rsidRDefault="00797DC0" w:rsidP="00797DC0">
      <w:pPr>
        <w:pStyle w:val="TableTitle"/>
        <w:rPr>
          <w:i/>
        </w:rPr>
      </w:pPr>
      <w:bookmarkStart w:id="67" w:name="_Ref438642961"/>
      <w:r>
        <w:t>Table 5:</w:t>
      </w:r>
      <w:bookmarkEnd w:id="67"/>
      <w:r w:rsidR="00FC702B">
        <w:t xml:space="preserve"> Emtricitabine (Table sourced from </w:t>
      </w:r>
      <w:r w:rsidR="00FC702B" w:rsidRPr="00797DC0">
        <w:t>Emtriva</w:t>
      </w:r>
      <w:r>
        <w:t xml:space="preserve"> submission</w:t>
      </w:r>
      <w:r w:rsidR="00FC702B">
        <w:t>)</w:t>
      </w:r>
    </w:p>
    <w:tbl>
      <w:tblPr>
        <w:tblStyle w:val="TableTGAblue"/>
        <w:tblW w:w="8755" w:type="dxa"/>
        <w:tblLayout w:type="fixed"/>
        <w:tblLook w:val="00A0" w:firstRow="1" w:lastRow="0" w:firstColumn="1" w:lastColumn="0" w:noHBand="0" w:noVBand="0"/>
      </w:tblPr>
      <w:tblGrid>
        <w:gridCol w:w="1384"/>
        <w:gridCol w:w="2302"/>
        <w:gridCol w:w="1525"/>
        <w:gridCol w:w="1843"/>
        <w:gridCol w:w="1701"/>
      </w:tblGrid>
      <w:tr w:rsidR="00FC702B" w:rsidTr="00797DC0">
        <w:trPr>
          <w:cnfStyle w:val="100000000000" w:firstRow="1" w:lastRow="0" w:firstColumn="0" w:lastColumn="0" w:oddVBand="0" w:evenVBand="0" w:oddHBand="0" w:evenHBand="0" w:firstRowFirstColumn="0" w:firstRowLastColumn="0" w:lastRowFirstColumn="0" w:lastRowLastColumn="0"/>
        </w:trPr>
        <w:tc>
          <w:tcPr>
            <w:tcW w:w="1384" w:type="dxa"/>
            <w:hideMark/>
          </w:tcPr>
          <w:p w:rsidR="00FC702B" w:rsidRPr="00797DC0" w:rsidRDefault="00FC702B" w:rsidP="00797DC0">
            <w:pPr>
              <w:rPr>
                <w:rFonts w:eastAsia="Times New Roman"/>
                <w:sz w:val="18"/>
                <w:szCs w:val="18"/>
              </w:rPr>
            </w:pPr>
            <w:r w:rsidRPr="00797DC0">
              <w:rPr>
                <w:sz w:val="18"/>
                <w:szCs w:val="18"/>
              </w:rPr>
              <w:t>Species</w:t>
            </w:r>
          </w:p>
        </w:tc>
        <w:tc>
          <w:tcPr>
            <w:tcW w:w="2302" w:type="dxa"/>
            <w:hideMark/>
          </w:tcPr>
          <w:p w:rsidR="00FC702B" w:rsidRPr="00797DC0" w:rsidRDefault="00FC702B" w:rsidP="00797DC0">
            <w:pPr>
              <w:rPr>
                <w:rFonts w:eastAsia="Times New Roman"/>
                <w:sz w:val="18"/>
                <w:szCs w:val="18"/>
              </w:rPr>
            </w:pPr>
            <w:r w:rsidRPr="00797DC0">
              <w:rPr>
                <w:sz w:val="18"/>
                <w:szCs w:val="18"/>
              </w:rPr>
              <w:t>Study/Treatment Duration</w:t>
            </w:r>
          </w:p>
        </w:tc>
        <w:tc>
          <w:tcPr>
            <w:tcW w:w="1525" w:type="dxa"/>
            <w:hideMark/>
          </w:tcPr>
          <w:p w:rsidR="00FC702B" w:rsidRPr="00797DC0" w:rsidRDefault="00FC702B" w:rsidP="00797DC0">
            <w:pPr>
              <w:rPr>
                <w:rFonts w:eastAsia="Times New Roman"/>
                <w:sz w:val="18"/>
                <w:szCs w:val="18"/>
              </w:rPr>
            </w:pPr>
            <w:r w:rsidRPr="00797DC0">
              <w:rPr>
                <w:sz w:val="18"/>
                <w:szCs w:val="18"/>
              </w:rPr>
              <w:t>Dose mg/kg/day</w:t>
            </w:r>
          </w:p>
        </w:tc>
        <w:tc>
          <w:tcPr>
            <w:tcW w:w="1843" w:type="dxa"/>
            <w:hideMark/>
          </w:tcPr>
          <w:p w:rsidR="00FC702B" w:rsidRPr="00797DC0" w:rsidRDefault="00FC702B" w:rsidP="00797DC0">
            <w:pPr>
              <w:rPr>
                <w:rFonts w:eastAsia="Times New Roman"/>
                <w:sz w:val="18"/>
                <w:szCs w:val="18"/>
              </w:rPr>
            </w:pPr>
            <w:r w:rsidRPr="00797DC0">
              <w:rPr>
                <w:sz w:val="18"/>
                <w:szCs w:val="18"/>
                <w:lang w:val="en-GB"/>
              </w:rPr>
              <w:t>Estimated AUC</w:t>
            </w:r>
            <w:r w:rsidRPr="00797DC0">
              <w:rPr>
                <w:sz w:val="18"/>
                <w:szCs w:val="18"/>
                <w:vertAlign w:val="subscript"/>
                <w:lang w:val="en-GB"/>
              </w:rPr>
              <w:t>0-24 h</w:t>
            </w:r>
            <w:r w:rsidRPr="00797DC0">
              <w:rPr>
                <w:sz w:val="18"/>
                <w:szCs w:val="18"/>
                <w:lang w:val="en-GB"/>
              </w:rPr>
              <w:t xml:space="preserve"> </w:t>
            </w:r>
            <w:r w:rsidRPr="00797DC0">
              <w:rPr>
                <w:sz w:val="18"/>
                <w:szCs w:val="18"/>
                <w:lang w:val="en-GB"/>
              </w:rPr>
              <w:sym w:font="Symbol" w:char="F06D"/>
            </w:r>
            <w:r w:rsidRPr="00797DC0">
              <w:rPr>
                <w:sz w:val="18"/>
                <w:szCs w:val="18"/>
                <w:lang w:val="en-GB"/>
              </w:rPr>
              <w:t>g.h/mL</w:t>
            </w:r>
          </w:p>
        </w:tc>
        <w:tc>
          <w:tcPr>
            <w:tcW w:w="1701" w:type="dxa"/>
            <w:hideMark/>
          </w:tcPr>
          <w:p w:rsidR="00FC702B" w:rsidRPr="00797DC0" w:rsidRDefault="00FC702B" w:rsidP="00797DC0">
            <w:pPr>
              <w:rPr>
                <w:rFonts w:eastAsia="Times New Roman"/>
                <w:sz w:val="18"/>
                <w:szCs w:val="18"/>
              </w:rPr>
            </w:pPr>
            <w:r w:rsidRPr="00797DC0">
              <w:rPr>
                <w:sz w:val="18"/>
                <w:szCs w:val="18"/>
              </w:rPr>
              <w:t>Estimated</w:t>
            </w:r>
          </w:p>
          <w:p w:rsidR="00FC702B" w:rsidRPr="00797DC0" w:rsidRDefault="00FC702B" w:rsidP="00797DC0">
            <w:pPr>
              <w:rPr>
                <w:rFonts w:eastAsia="Times New Roman"/>
                <w:sz w:val="18"/>
                <w:szCs w:val="18"/>
              </w:rPr>
            </w:pPr>
            <w:r w:rsidRPr="00797DC0">
              <w:rPr>
                <w:sz w:val="18"/>
                <w:szCs w:val="18"/>
              </w:rPr>
              <w:t>Exposure ratio</w:t>
            </w:r>
          </w:p>
        </w:tc>
      </w:tr>
      <w:tr w:rsidR="00FC702B" w:rsidTr="00797DC0">
        <w:tc>
          <w:tcPr>
            <w:tcW w:w="1384" w:type="dxa"/>
            <w:vMerge w:val="restart"/>
          </w:tcPr>
          <w:p w:rsidR="00FC702B" w:rsidRPr="00797DC0" w:rsidRDefault="00FC702B" w:rsidP="00797DC0">
            <w:pPr>
              <w:rPr>
                <w:rFonts w:eastAsia="Times New Roman"/>
                <w:sz w:val="18"/>
                <w:szCs w:val="18"/>
              </w:rPr>
            </w:pPr>
            <w:r w:rsidRPr="00797DC0">
              <w:rPr>
                <w:sz w:val="18"/>
                <w:szCs w:val="18"/>
              </w:rPr>
              <w:t>Mouse</w:t>
            </w:r>
            <w:r w:rsidRPr="00797DC0">
              <w:rPr>
                <w:sz w:val="18"/>
                <w:szCs w:val="18"/>
                <w:vertAlign w:val="superscript"/>
              </w:rPr>
              <w:t>*</w:t>
            </w:r>
          </w:p>
          <w:p w:rsidR="00FC702B" w:rsidRPr="00797DC0" w:rsidRDefault="00FC702B" w:rsidP="00797DC0">
            <w:pPr>
              <w:rPr>
                <w:rFonts w:eastAsia="Times New Roman"/>
                <w:sz w:val="18"/>
                <w:szCs w:val="18"/>
              </w:rPr>
            </w:pPr>
          </w:p>
        </w:tc>
        <w:tc>
          <w:tcPr>
            <w:tcW w:w="2302" w:type="dxa"/>
            <w:vMerge w:val="restart"/>
            <w:hideMark/>
          </w:tcPr>
          <w:p w:rsidR="00FC702B" w:rsidRPr="00797DC0" w:rsidRDefault="00FC702B" w:rsidP="00797DC0">
            <w:pPr>
              <w:rPr>
                <w:rFonts w:eastAsia="Times New Roman"/>
                <w:sz w:val="18"/>
                <w:szCs w:val="18"/>
              </w:rPr>
            </w:pPr>
            <w:r w:rsidRPr="00797DC0">
              <w:rPr>
                <w:sz w:val="18"/>
                <w:szCs w:val="18"/>
              </w:rPr>
              <w:t>Fertility, Embryofetal</w:t>
            </w:r>
          </w:p>
          <w:p w:rsidR="00FC702B" w:rsidRPr="00797DC0" w:rsidRDefault="00FC702B" w:rsidP="00797DC0">
            <w:pPr>
              <w:rPr>
                <w:sz w:val="18"/>
                <w:szCs w:val="18"/>
              </w:rPr>
            </w:pPr>
            <w:r w:rsidRPr="00797DC0">
              <w:rPr>
                <w:sz w:val="18"/>
                <w:szCs w:val="18"/>
              </w:rPr>
              <w:t>Pre- &amp; post-natal development</w:t>
            </w:r>
          </w:p>
          <w:p w:rsidR="00FC702B" w:rsidRPr="00797DC0" w:rsidRDefault="00FC702B" w:rsidP="00797DC0">
            <w:pPr>
              <w:rPr>
                <w:rFonts w:eastAsia="Times New Roman"/>
                <w:sz w:val="18"/>
                <w:szCs w:val="18"/>
              </w:rPr>
            </w:pPr>
            <w:r w:rsidRPr="00797DC0">
              <w:rPr>
                <w:sz w:val="18"/>
                <w:szCs w:val="18"/>
              </w:rPr>
              <w:t>(4 studies)</w:t>
            </w:r>
          </w:p>
        </w:tc>
        <w:tc>
          <w:tcPr>
            <w:tcW w:w="1525" w:type="dxa"/>
            <w:hideMark/>
          </w:tcPr>
          <w:p w:rsidR="00FC702B" w:rsidRPr="00797DC0" w:rsidRDefault="00FC702B" w:rsidP="00797DC0">
            <w:pPr>
              <w:rPr>
                <w:rFonts w:eastAsia="Times New Roman"/>
                <w:sz w:val="18"/>
                <w:szCs w:val="18"/>
              </w:rPr>
            </w:pPr>
            <w:r w:rsidRPr="00797DC0">
              <w:rPr>
                <w:sz w:val="18"/>
                <w:szCs w:val="18"/>
              </w:rPr>
              <w:t>250</w:t>
            </w:r>
          </w:p>
        </w:tc>
        <w:tc>
          <w:tcPr>
            <w:tcW w:w="1843" w:type="dxa"/>
            <w:hideMark/>
          </w:tcPr>
          <w:p w:rsidR="00FC702B" w:rsidRPr="00797DC0" w:rsidRDefault="00FC702B" w:rsidP="00797DC0">
            <w:pPr>
              <w:rPr>
                <w:rFonts w:eastAsia="Times New Roman"/>
                <w:sz w:val="18"/>
                <w:szCs w:val="18"/>
              </w:rPr>
            </w:pPr>
            <w:r w:rsidRPr="00797DC0">
              <w:rPr>
                <w:sz w:val="18"/>
                <w:szCs w:val="18"/>
              </w:rPr>
              <w:t>211</w:t>
            </w:r>
            <w:r w:rsidRPr="00797DC0">
              <w:rPr>
                <w:rFonts w:ascii="Times New Roman" w:hAnsi="Times New Roman"/>
                <w:sz w:val="18"/>
                <w:szCs w:val="18"/>
              </w:rPr>
              <w:t>♂</w:t>
            </w:r>
            <w:r w:rsidRPr="00797DC0">
              <w:rPr>
                <w:sz w:val="18"/>
                <w:szCs w:val="18"/>
              </w:rPr>
              <w:t xml:space="preserve"> 141</w:t>
            </w:r>
            <w:r w:rsidRPr="00797DC0">
              <w:rPr>
                <w:rFonts w:ascii="Times New Roman" w:hAnsi="Times New Roman"/>
                <w:sz w:val="18"/>
                <w:szCs w:val="18"/>
              </w:rPr>
              <w:t>♀</w:t>
            </w:r>
          </w:p>
        </w:tc>
        <w:tc>
          <w:tcPr>
            <w:tcW w:w="1701" w:type="dxa"/>
            <w:hideMark/>
          </w:tcPr>
          <w:p w:rsidR="00FC702B" w:rsidRPr="00797DC0" w:rsidRDefault="00FC702B" w:rsidP="00797DC0">
            <w:pPr>
              <w:rPr>
                <w:rFonts w:eastAsia="Times New Roman"/>
                <w:sz w:val="18"/>
                <w:szCs w:val="18"/>
              </w:rPr>
            </w:pPr>
            <w:r w:rsidRPr="00797DC0">
              <w:rPr>
                <w:sz w:val="18"/>
                <w:szCs w:val="18"/>
              </w:rPr>
              <w:t>22</w:t>
            </w:r>
            <w:r w:rsidRPr="00797DC0">
              <w:rPr>
                <w:rFonts w:ascii="Times New Roman" w:hAnsi="Times New Roman"/>
                <w:sz w:val="18"/>
                <w:szCs w:val="18"/>
              </w:rPr>
              <w:t>♂</w:t>
            </w:r>
            <w:r w:rsidRPr="00797DC0">
              <w:rPr>
                <w:sz w:val="18"/>
                <w:szCs w:val="18"/>
              </w:rPr>
              <w:t xml:space="preserve"> 15</w:t>
            </w:r>
            <w:r w:rsidRPr="00797DC0">
              <w:rPr>
                <w:rFonts w:ascii="Times New Roman" w:hAnsi="Times New Roman"/>
                <w:sz w:val="18"/>
                <w:szCs w:val="18"/>
              </w:rPr>
              <w:t>♀</w:t>
            </w:r>
          </w:p>
        </w:tc>
      </w:tr>
      <w:tr w:rsidR="00FC702B" w:rsidTr="00797DC0">
        <w:tc>
          <w:tcPr>
            <w:tcW w:w="1384" w:type="dxa"/>
            <w:vMerge/>
            <w:hideMark/>
          </w:tcPr>
          <w:p w:rsidR="00FC702B" w:rsidRPr="00797DC0" w:rsidRDefault="00FC702B" w:rsidP="00797DC0">
            <w:pPr>
              <w:rPr>
                <w:rFonts w:eastAsia="Times New Roman"/>
                <w:kern w:val="16"/>
                <w:sz w:val="18"/>
                <w:szCs w:val="18"/>
              </w:rPr>
            </w:pPr>
          </w:p>
        </w:tc>
        <w:tc>
          <w:tcPr>
            <w:tcW w:w="2302" w:type="dxa"/>
            <w:vMerge/>
            <w:hideMark/>
          </w:tcPr>
          <w:p w:rsidR="00FC702B" w:rsidRPr="00797DC0" w:rsidRDefault="00FC702B" w:rsidP="00797DC0">
            <w:pPr>
              <w:rPr>
                <w:rFonts w:eastAsia="Times New Roman"/>
                <w:kern w:val="16"/>
                <w:sz w:val="18"/>
                <w:szCs w:val="18"/>
              </w:rPr>
            </w:pPr>
          </w:p>
        </w:tc>
        <w:tc>
          <w:tcPr>
            <w:tcW w:w="1525" w:type="dxa"/>
            <w:hideMark/>
          </w:tcPr>
          <w:p w:rsidR="00FC702B" w:rsidRPr="00797DC0" w:rsidRDefault="00FC702B" w:rsidP="00797DC0">
            <w:pPr>
              <w:rPr>
                <w:rFonts w:eastAsia="Times New Roman"/>
                <w:sz w:val="18"/>
                <w:szCs w:val="18"/>
              </w:rPr>
            </w:pPr>
            <w:r w:rsidRPr="00797DC0">
              <w:rPr>
                <w:sz w:val="18"/>
                <w:szCs w:val="18"/>
              </w:rPr>
              <w:t>500</w:t>
            </w:r>
          </w:p>
        </w:tc>
        <w:tc>
          <w:tcPr>
            <w:tcW w:w="1843" w:type="dxa"/>
            <w:hideMark/>
          </w:tcPr>
          <w:p w:rsidR="00FC702B" w:rsidRPr="00797DC0" w:rsidRDefault="00FC702B" w:rsidP="00797DC0">
            <w:pPr>
              <w:rPr>
                <w:rFonts w:eastAsia="Times New Roman"/>
                <w:sz w:val="18"/>
                <w:szCs w:val="18"/>
              </w:rPr>
            </w:pPr>
            <w:r w:rsidRPr="00797DC0">
              <w:rPr>
                <w:sz w:val="18"/>
                <w:szCs w:val="18"/>
              </w:rPr>
              <w:t>416</w:t>
            </w:r>
            <w:r w:rsidRPr="00797DC0">
              <w:rPr>
                <w:rFonts w:ascii="Times New Roman" w:hAnsi="Times New Roman"/>
                <w:sz w:val="18"/>
                <w:szCs w:val="18"/>
              </w:rPr>
              <w:t>♂</w:t>
            </w:r>
            <w:r w:rsidRPr="00797DC0">
              <w:rPr>
                <w:sz w:val="18"/>
                <w:szCs w:val="18"/>
              </w:rPr>
              <w:t xml:space="preserve"> 253</w:t>
            </w:r>
            <w:r w:rsidRPr="00797DC0">
              <w:rPr>
                <w:rFonts w:ascii="Times New Roman" w:hAnsi="Times New Roman"/>
                <w:sz w:val="18"/>
                <w:szCs w:val="18"/>
              </w:rPr>
              <w:t>♀</w:t>
            </w:r>
          </w:p>
        </w:tc>
        <w:tc>
          <w:tcPr>
            <w:tcW w:w="1701" w:type="dxa"/>
            <w:hideMark/>
          </w:tcPr>
          <w:p w:rsidR="00FC702B" w:rsidRPr="00797DC0" w:rsidRDefault="00FC702B" w:rsidP="00797DC0">
            <w:pPr>
              <w:rPr>
                <w:rFonts w:eastAsia="Times New Roman"/>
                <w:sz w:val="18"/>
                <w:szCs w:val="18"/>
              </w:rPr>
            </w:pPr>
            <w:r w:rsidRPr="00797DC0">
              <w:rPr>
                <w:sz w:val="18"/>
                <w:szCs w:val="18"/>
              </w:rPr>
              <w:t>43</w:t>
            </w:r>
            <w:r w:rsidRPr="00797DC0">
              <w:rPr>
                <w:rFonts w:ascii="Times New Roman" w:hAnsi="Times New Roman"/>
                <w:sz w:val="18"/>
                <w:szCs w:val="18"/>
              </w:rPr>
              <w:t>♂</w:t>
            </w:r>
            <w:r w:rsidRPr="00797DC0">
              <w:rPr>
                <w:sz w:val="18"/>
                <w:szCs w:val="18"/>
              </w:rPr>
              <w:t xml:space="preserve"> 26</w:t>
            </w:r>
            <w:r w:rsidRPr="00797DC0">
              <w:rPr>
                <w:rFonts w:ascii="Times New Roman" w:hAnsi="Times New Roman"/>
                <w:sz w:val="18"/>
                <w:szCs w:val="18"/>
              </w:rPr>
              <w:t>♀</w:t>
            </w:r>
          </w:p>
        </w:tc>
      </w:tr>
      <w:tr w:rsidR="00FC702B" w:rsidTr="00797DC0">
        <w:tc>
          <w:tcPr>
            <w:tcW w:w="1384" w:type="dxa"/>
            <w:vMerge/>
            <w:hideMark/>
          </w:tcPr>
          <w:p w:rsidR="00FC702B" w:rsidRPr="00797DC0" w:rsidRDefault="00FC702B" w:rsidP="00797DC0">
            <w:pPr>
              <w:rPr>
                <w:rFonts w:eastAsia="Times New Roman"/>
                <w:kern w:val="16"/>
                <w:sz w:val="18"/>
                <w:szCs w:val="18"/>
              </w:rPr>
            </w:pPr>
          </w:p>
        </w:tc>
        <w:tc>
          <w:tcPr>
            <w:tcW w:w="2302" w:type="dxa"/>
            <w:vMerge/>
            <w:hideMark/>
          </w:tcPr>
          <w:p w:rsidR="00FC702B" w:rsidRPr="00797DC0" w:rsidRDefault="00FC702B" w:rsidP="00797DC0">
            <w:pPr>
              <w:rPr>
                <w:rFonts w:eastAsia="Times New Roman"/>
                <w:kern w:val="16"/>
                <w:sz w:val="18"/>
                <w:szCs w:val="18"/>
              </w:rPr>
            </w:pPr>
          </w:p>
        </w:tc>
        <w:tc>
          <w:tcPr>
            <w:tcW w:w="1525" w:type="dxa"/>
            <w:hideMark/>
          </w:tcPr>
          <w:p w:rsidR="00FC702B" w:rsidRPr="00797DC0" w:rsidRDefault="00FC702B" w:rsidP="00797DC0">
            <w:pPr>
              <w:rPr>
                <w:rFonts w:eastAsia="Times New Roman"/>
                <w:sz w:val="18"/>
                <w:szCs w:val="18"/>
              </w:rPr>
            </w:pPr>
            <w:r w:rsidRPr="00797DC0">
              <w:rPr>
                <w:sz w:val="18"/>
                <w:szCs w:val="18"/>
              </w:rPr>
              <w:t>1000</w:t>
            </w:r>
          </w:p>
        </w:tc>
        <w:tc>
          <w:tcPr>
            <w:tcW w:w="1843" w:type="dxa"/>
            <w:hideMark/>
          </w:tcPr>
          <w:p w:rsidR="00FC702B" w:rsidRPr="00797DC0" w:rsidRDefault="00FC702B" w:rsidP="00797DC0">
            <w:pPr>
              <w:rPr>
                <w:rFonts w:eastAsia="Times New Roman"/>
                <w:sz w:val="18"/>
                <w:szCs w:val="18"/>
              </w:rPr>
            </w:pPr>
            <w:r w:rsidRPr="00797DC0">
              <w:rPr>
                <w:sz w:val="18"/>
                <w:szCs w:val="18"/>
              </w:rPr>
              <w:t>739</w:t>
            </w:r>
            <w:r w:rsidRPr="00797DC0">
              <w:rPr>
                <w:rFonts w:ascii="Times New Roman" w:hAnsi="Times New Roman"/>
                <w:sz w:val="18"/>
                <w:szCs w:val="18"/>
              </w:rPr>
              <w:t>♂</w:t>
            </w:r>
            <w:r w:rsidRPr="00797DC0">
              <w:rPr>
                <w:sz w:val="18"/>
                <w:szCs w:val="18"/>
              </w:rPr>
              <w:t xml:space="preserve"> 506</w:t>
            </w:r>
            <w:r w:rsidRPr="00797DC0">
              <w:rPr>
                <w:rFonts w:ascii="Times New Roman" w:hAnsi="Times New Roman"/>
                <w:sz w:val="18"/>
                <w:szCs w:val="18"/>
              </w:rPr>
              <w:t>♀</w:t>
            </w:r>
          </w:p>
        </w:tc>
        <w:tc>
          <w:tcPr>
            <w:tcW w:w="1701" w:type="dxa"/>
            <w:hideMark/>
          </w:tcPr>
          <w:p w:rsidR="00FC702B" w:rsidRPr="00797DC0" w:rsidRDefault="00FC702B" w:rsidP="00797DC0">
            <w:pPr>
              <w:rPr>
                <w:rFonts w:eastAsia="Times New Roman"/>
                <w:sz w:val="18"/>
                <w:szCs w:val="18"/>
              </w:rPr>
            </w:pPr>
            <w:r w:rsidRPr="00797DC0">
              <w:rPr>
                <w:sz w:val="18"/>
                <w:szCs w:val="18"/>
              </w:rPr>
              <w:t>77</w:t>
            </w:r>
            <w:r w:rsidRPr="00797DC0">
              <w:rPr>
                <w:rFonts w:ascii="Times New Roman" w:hAnsi="Times New Roman"/>
                <w:sz w:val="18"/>
                <w:szCs w:val="18"/>
              </w:rPr>
              <w:t>♂</w:t>
            </w:r>
            <w:r w:rsidRPr="00797DC0">
              <w:rPr>
                <w:sz w:val="18"/>
                <w:szCs w:val="18"/>
              </w:rPr>
              <w:t xml:space="preserve"> 52</w:t>
            </w:r>
            <w:r w:rsidRPr="00797DC0">
              <w:rPr>
                <w:rFonts w:ascii="Times New Roman" w:hAnsi="Times New Roman"/>
                <w:sz w:val="18"/>
                <w:szCs w:val="18"/>
              </w:rPr>
              <w:t>♀</w:t>
            </w:r>
          </w:p>
        </w:tc>
      </w:tr>
      <w:tr w:rsidR="00FC702B" w:rsidTr="00797DC0">
        <w:tc>
          <w:tcPr>
            <w:tcW w:w="1384" w:type="dxa"/>
            <w:vMerge w:val="restart"/>
          </w:tcPr>
          <w:p w:rsidR="00FC702B" w:rsidRPr="00797DC0" w:rsidRDefault="00FC702B" w:rsidP="00797DC0">
            <w:pPr>
              <w:rPr>
                <w:rFonts w:eastAsia="Times New Roman"/>
                <w:sz w:val="18"/>
                <w:szCs w:val="18"/>
              </w:rPr>
            </w:pPr>
            <w:r w:rsidRPr="00797DC0">
              <w:rPr>
                <w:sz w:val="18"/>
                <w:szCs w:val="18"/>
              </w:rPr>
              <w:t>Rat</w:t>
            </w:r>
            <w:r w:rsidRPr="00797DC0">
              <w:rPr>
                <w:sz w:val="18"/>
                <w:szCs w:val="18"/>
                <w:vertAlign w:val="superscript"/>
              </w:rPr>
              <w:t>#</w:t>
            </w:r>
          </w:p>
          <w:p w:rsidR="00FC702B" w:rsidRPr="00797DC0" w:rsidRDefault="00FC702B" w:rsidP="00797DC0">
            <w:pPr>
              <w:rPr>
                <w:rFonts w:eastAsia="Times New Roman"/>
                <w:sz w:val="18"/>
                <w:szCs w:val="18"/>
              </w:rPr>
            </w:pPr>
          </w:p>
        </w:tc>
        <w:tc>
          <w:tcPr>
            <w:tcW w:w="2302" w:type="dxa"/>
            <w:vMerge w:val="restart"/>
            <w:hideMark/>
          </w:tcPr>
          <w:p w:rsidR="00FC702B" w:rsidRPr="00797DC0" w:rsidRDefault="00FC702B" w:rsidP="00797DC0">
            <w:pPr>
              <w:rPr>
                <w:rFonts w:eastAsia="Times New Roman"/>
                <w:sz w:val="18"/>
                <w:szCs w:val="18"/>
              </w:rPr>
            </w:pPr>
            <w:r w:rsidRPr="00797DC0">
              <w:rPr>
                <w:sz w:val="18"/>
                <w:szCs w:val="18"/>
              </w:rPr>
              <w:t>Male Fertility</w:t>
            </w:r>
          </w:p>
        </w:tc>
        <w:tc>
          <w:tcPr>
            <w:tcW w:w="1525" w:type="dxa"/>
            <w:hideMark/>
          </w:tcPr>
          <w:p w:rsidR="00FC702B" w:rsidRPr="00797DC0" w:rsidRDefault="00FC702B" w:rsidP="00797DC0">
            <w:pPr>
              <w:rPr>
                <w:rFonts w:eastAsia="Times New Roman"/>
                <w:sz w:val="18"/>
                <w:szCs w:val="18"/>
              </w:rPr>
            </w:pPr>
            <w:r w:rsidRPr="00797DC0">
              <w:rPr>
                <w:sz w:val="18"/>
                <w:szCs w:val="18"/>
              </w:rPr>
              <w:t>150</w:t>
            </w:r>
          </w:p>
        </w:tc>
        <w:tc>
          <w:tcPr>
            <w:tcW w:w="1843" w:type="dxa"/>
            <w:hideMark/>
          </w:tcPr>
          <w:p w:rsidR="00FC702B" w:rsidRPr="00797DC0" w:rsidRDefault="00FC702B" w:rsidP="00797DC0">
            <w:pPr>
              <w:rPr>
                <w:rFonts w:eastAsia="Times New Roman"/>
                <w:sz w:val="18"/>
                <w:szCs w:val="18"/>
              </w:rPr>
            </w:pPr>
            <w:r w:rsidRPr="00797DC0">
              <w:rPr>
                <w:sz w:val="18"/>
                <w:szCs w:val="18"/>
              </w:rPr>
              <w:t>82</w:t>
            </w:r>
          </w:p>
        </w:tc>
        <w:tc>
          <w:tcPr>
            <w:tcW w:w="1701" w:type="dxa"/>
            <w:hideMark/>
          </w:tcPr>
          <w:p w:rsidR="00FC702B" w:rsidRPr="00797DC0" w:rsidRDefault="00FC702B" w:rsidP="00797DC0">
            <w:pPr>
              <w:rPr>
                <w:rFonts w:eastAsia="Times New Roman"/>
                <w:sz w:val="18"/>
                <w:szCs w:val="18"/>
              </w:rPr>
            </w:pPr>
            <w:r w:rsidRPr="00797DC0">
              <w:rPr>
                <w:sz w:val="18"/>
                <w:szCs w:val="18"/>
              </w:rPr>
              <w:t>8</w:t>
            </w:r>
          </w:p>
        </w:tc>
      </w:tr>
      <w:tr w:rsidR="00FC702B" w:rsidTr="00797DC0">
        <w:tc>
          <w:tcPr>
            <w:tcW w:w="1384" w:type="dxa"/>
            <w:vMerge/>
            <w:hideMark/>
          </w:tcPr>
          <w:p w:rsidR="00FC702B" w:rsidRPr="00797DC0" w:rsidRDefault="00FC702B" w:rsidP="00797DC0">
            <w:pPr>
              <w:rPr>
                <w:rFonts w:eastAsia="Times New Roman"/>
                <w:kern w:val="16"/>
                <w:sz w:val="18"/>
                <w:szCs w:val="18"/>
              </w:rPr>
            </w:pPr>
          </w:p>
        </w:tc>
        <w:tc>
          <w:tcPr>
            <w:tcW w:w="2302" w:type="dxa"/>
            <w:vMerge/>
            <w:hideMark/>
          </w:tcPr>
          <w:p w:rsidR="00FC702B" w:rsidRPr="00797DC0" w:rsidRDefault="00FC702B" w:rsidP="00797DC0">
            <w:pPr>
              <w:rPr>
                <w:rFonts w:eastAsia="Times New Roman"/>
                <w:kern w:val="16"/>
                <w:sz w:val="18"/>
                <w:szCs w:val="18"/>
              </w:rPr>
            </w:pPr>
          </w:p>
        </w:tc>
        <w:tc>
          <w:tcPr>
            <w:tcW w:w="1525" w:type="dxa"/>
            <w:hideMark/>
          </w:tcPr>
          <w:p w:rsidR="00FC702B" w:rsidRPr="00797DC0" w:rsidRDefault="00FC702B" w:rsidP="00797DC0">
            <w:pPr>
              <w:rPr>
                <w:rFonts w:eastAsia="Times New Roman"/>
                <w:sz w:val="18"/>
                <w:szCs w:val="18"/>
              </w:rPr>
            </w:pPr>
            <w:r w:rsidRPr="00797DC0">
              <w:rPr>
                <w:sz w:val="18"/>
                <w:szCs w:val="18"/>
              </w:rPr>
              <w:t>750</w:t>
            </w:r>
          </w:p>
        </w:tc>
        <w:tc>
          <w:tcPr>
            <w:tcW w:w="1843" w:type="dxa"/>
            <w:hideMark/>
          </w:tcPr>
          <w:p w:rsidR="00FC702B" w:rsidRPr="00797DC0" w:rsidRDefault="00FC702B" w:rsidP="00797DC0">
            <w:pPr>
              <w:rPr>
                <w:rFonts w:eastAsia="Times New Roman"/>
                <w:sz w:val="18"/>
                <w:szCs w:val="18"/>
              </w:rPr>
            </w:pPr>
            <w:r w:rsidRPr="00797DC0">
              <w:rPr>
                <w:sz w:val="18"/>
                <w:szCs w:val="18"/>
              </w:rPr>
              <w:t>411</w:t>
            </w:r>
          </w:p>
        </w:tc>
        <w:tc>
          <w:tcPr>
            <w:tcW w:w="1701" w:type="dxa"/>
            <w:hideMark/>
          </w:tcPr>
          <w:p w:rsidR="00FC702B" w:rsidRPr="00797DC0" w:rsidRDefault="00FC702B" w:rsidP="00797DC0">
            <w:pPr>
              <w:rPr>
                <w:rFonts w:eastAsia="Times New Roman"/>
                <w:sz w:val="18"/>
                <w:szCs w:val="18"/>
              </w:rPr>
            </w:pPr>
            <w:r w:rsidRPr="00797DC0">
              <w:rPr>
                <w:sz w:val="18"/>
                <w:szCs w:val="18"/>
              </w:rPr>
              <w:t>43</w:t>
            </w:r>
          </w:p>
        </w:tc>
      </w:tr>
      <w:tr w:rsidR="00FC702B" w:rsidTr="00797DC0">
        <w:tc>
          <w:tcPr>
            <w:tcW w:w="1384" w:type="dxa"/>
            <w:vMerge/>
            <w:hideMark/>
          </w:tcPr>
          <w:p w:rsidR="00FC702B" w:rsidRPr="00797DC0" w:rsidRDefault="00FC702B" w:rsidP="00797DC0">
            <w:pPr>
              <w:rPr>
                <w:rFonts w:eastAsia="Times New Roman"/>
                <w:kern w:val="16"/>
                <w:sz w:val="18"/>
                <w:szCs w:val="18"/>
              </w:rPr>
            </w:pPr>
          </w:p>
        </w:tc>
        <w:tc>
          <w:tcPr>
            <w:tcW w:w="2302" w:type="dxa"/>
            <w:vMerge/>
            <w:hideMark/>
          </w:tcPr>
          <w:p w:rsidR="00FC702B" w:rsidRPr="00797DC0" w:rsidRDefault="00FC702B" w:rsidP="00797DC0">
            <w:pPr>
              <w:rPr>
                <w:rFonts w:eastAsia="Times New Roman"/>
                <w:kern w:val="16"/>
                <w:sz w:val="18"/>
                <w:szCs w:val="18"/>
              </w:rPr>
            </w:pPr>
          </w:p>
        </w:tc>
        <w:tc>
          <w:tcPr>
            <w:tcW w:w="1525" w:type="dxa"/>
            <w:hideMark/>
          </w:tcPr>
          <w:p w:rsidR="00FC702B" w:rsidRPr="00797DC0" w:rsidRDefault="00FC702B" w:rsidP="00797DC0">
            <w:pPr>
              <w:rPr>
                <w:rFonts w:eastAsia="Times New Roman"/>
                <w:sz w:val="18"/>
                <w:szCs w:val="18"/>
              </w:rPr>
            </w:pPr>
            <w:r w:rsidRPr="00797DC0">
              <w:rPr>
                <w:sz w:val="18"/>
                <w:szCs w:val="18"/>
              </w:rPr>
              <w:t>3000</w:t>
            </w:r>
          </w:p>
        </w:tc>
        <w:tc>
          <w:tcPr>
            <w:tcW w:w="1843" w:type="dxa"/>
            <w:hideMark/>
          </w:tcPr>
          <w:p w:rsidR="00FC702B" w:rsidRPr="00797DC0" w:rsidRDefault="00FC702B" w:rsidP="00797DC0">
            <w:pPr>
              <w:rPr>
                <w:rFonts w:eastAsia="Times New Roman"/>
                <w:sz w:val="18"/>
                <w:szCs w:val="18"/>
              </w:rPr>
            </w:pPr>
            <w:r w:rsidRPr="00797DC0">
              <w:rPr>
                <w:sz w:val="18"/>
                <w:szCs w:val="18"/>
              </w:rPr>
              <w:t>1276</w:t>
            </w:r>
          </w:p>
        </w:tc>
        <w:tc>
          <w:tcPr>
            <w:tcW w:w="1701" w:type="dxa"/>
            <w:hideMark/>
          </w:tcPr>
          <w:p w:rsidR="00FC702B" w:rsidRPr="00797DC0" w:rsidRDefault="00FC702B" w:rsidP="00797DC0">
            <w:pPr>
              <w:rPr>
                <w:rFonts w:eastAsia="Times New Roman"/>
                <w:sz w:val="18"/>
                <w:szCs w:val="18"/>
              </w:rPr>
            </w:pPr>
            <w:r w:rsidRPr="00797DC0">
              <w:rPr>
                <w:sz w:val="18"/>
                <w:szCs w:val="18"/>
              </w:rPr>
              <w:t>132</w:t>
            </w:r>
          </w:p>
        </w:tc>
      </w:tr>
      <w:tr w:rsidR="00FC702B" w:rsidTr="00797DC0">
        <w:tc>
          <w:tcPr>
            <w:tcW w:w="1384" w:type="dxa"/>
            <w:vMerge w:val="restart"/>
          </w:tcPr>
          <w:p w:rsidR="00FC702B" w:rsidRPr="00797DC0" w:rsidRDefault="00FC702B" w:rsidP="00797DC0">
            <w:pPr>
              <w:rPr>
                <w:rFonts w:eastAsia="Times New Roman"/>
                <w:sz w:val="18"/>
                <w:szCs w:val="18"/>
              </w:rPr>
            </w:pPr>
            <w:r w:rsidRPr="00797DC0">
              <w:rPr>
                <w:sz w:val="18"/>
                <w:szCs w:val="18"/>
              </w:rPr>
              <w:t>Rabbit</w:t>
            </w:r>
          </w:p>
          <w:p w:rsidR="00FC702B" w:rsidRPr="00797DC0" w:rsidRDefault="00FC702B" w:rsidP="00797DC0">
            <w:pPr>
              <w:rPr>
                <w:rFonts w:eastAsia="Times New Roman"/>
                <w:sz w:val="18"/>
                <w:szCs w:val="18"/>
              </w:rPr>
            </w:pPr>
          </w:p>
        </w:tc>
        <w:tc>
          <w:tcPr>
            <w:tcW w:w="2302" w:type="dxa"/>
            <w:vMerge w:val="restart"/>
          </w:tcPr>
          <w:p w:rsidR="00FC702B" w:rsidRPr="00797DC0" w:rsidRDefault="00FC702B" w:rsidP="00797DC0">
            <w:pPr>
              <w:rPr>
                <w:rFonts w:eastAsia="Times New Roman"/>
                <w:sz w:val="18"/>
                <w:szCs w:val="18"/>
              </w:rPr>
            </w:pPr>
            <w:r w:rsidRPr="00797DC0">
              <w:rPr>
                <w:sz w:val="18"/>
                <w:szCs w:val="18"/>
              </w:rPr>
              <w:t>Embryofetal development</w:t>
            </w:r>
          </w:p>
          <w:p w:rsidR="00FC702B" w:rsidRPr="00797DC0" w:rsidRDefault="00FC702B" w:rsidP="00797DC0">
            <w:pPr>
              <w:rPr>
                <w:rFonts w:eastAsia="Times New Roman"/>
                <w:sz w:val="18"/>
                <w:szCs w:val="18"/>
              </w:rPr>
            </w:pPr>
          </w:p>
        </w:tc>
        <w:tc>
          <w:tcPr>
            <w:tcW w:w="1525" w:type="dxa"/>
            <w:hideMark/>
          </w:tcPr>
          <w:p w:rsidR="00FC702B" w:rsidRPr="00797DC0" w:rsidRDefault="00FC702B" w:rsidP="00797DC0">
            <w:pPr>
              <w:rPr>
                <w:rFonts w:eastAsia="Times New Roman"/>
                <w:sz w:val="18"/>
                <w:szCs w:val="18"/>
              </w:rPr>
            </w:pPr>
            <w:r w:rsidRPr="00797DC0">
              <w:rPr>
                <w:sz w:val="18"/>
                <w:szCs w:val="18"/>
              </w:rPr>
              <w:t>100</w:t>
            </w:r>
          </w:p>
        </w:tc>
        <w:tc>
          <w:tcPr>
            <w:tcW w:w="1843" w:type="dxa"/>
            <w:hideMark/>
          </w:tcPr>
          <w:p w:rsidR="00FC702B" w:rsidRPr="00797DC0" w:rsidRDefault="00FC702B" w:rsidP="00797DC0">
            <w:pPr>
              <w:rPr>
                <w:rFonts w:eastAsia="Times New Roman"/>
                <w:sz w:val="18"/>
                <w:szCs w:val="18"/>
              </w:rPr>
            </w:pPr>
            <w:r w:rsidRPr="00797DC0">
              <w:rPr>
                <w:sz w:val="18"/>
                <w:szCs w:val="18"/>
              </w:rPr>
              <w:t>87.3</w:t>
            </w:r>
          </w:p>
        </w:tc>
        <w:tc>
          <w:tcPr>
            <w:tcW w:w="1701" w:type="dxa"/>
            <w:hideMark/>
          </w:tcPr>
          <w:p w:rsidR="00FC702B" w:rsidRPr="00797DC0" w:rsidRDefault="00FC702B" w:rsidP="00797DC0">
            <w:pPr>
              <w:rPr>
                <w:rFonts w:eastAsia="Times New Roman"/>
                <w:sz w:val="18"/>
                <w:szCs w:val="18"/>
              </w:rPr>
            </w:pPr>
            <w:r w:rsidRPr="00797DC0">
              <w:rPr>
                <w:sz w:val="18"/>
                <w:szCs w:val="18"/>
              </w:rPr>
              <w:t>9</w:t>
            </w:r>
          </w:p>
        </w:tc>
      </w:tr>
      <w:tr w:rsidR="00FC702B" w:rsidTr="00797DC0">
        <w:tc>
          <w:tcPr>
            <w:tcW w:w="1384" w:type="dxa"/>
            <w:vMerge/>
            <w:hideMark/>
          </w:tcPr>
          <w:p w:rsidR="00FC702B" w:rsidRPr="00797DC0" w:rsidRDefault="00FC702B" w:rsidP="00797DC0">
            <w:pPr>
              <w:rPr>
                <w:rFonts w:eastAsia="Times New Roman"/>
                <w:kern w:val="16"/>
                <w:sz w:val="18"/>
                <w:szCs w:val="18"/>
              </w:rPr>
            </w:pPr>
          </w:p>
        </w:tc>
        <w:tc>
          <w:tcPr>
            <w:tcW w:w="2302" w:type="dxa"/>
            <w:vMerge/>
            <w:hideMark/>
          </w:tcPr>
          <w:p w:rsidR="00FC702B" w:rsidRPr="00797DC0" w:rsidRDefault="00FC702B" w:rsidP="00797DC0">
            <w:pPr>
              <w:rPr>
                <w:rFonts w:eastAsia="Times New Roman"/>
                <w:kern w:val="16"/>
                <w:sz w:val="18"/>
                <w:szCs w:val="18"/>
              </w:rPr>
            </w:pPr>
          </w:p>
        </w:tc>
        <w:tc>
          <w:tcPr>
            <w:tcW w:w="1525" w:type="dxa"/>
            <w:hideMark/>
          </w:tcPr>
          <w:p w:rsidR="00FC702B" w:rsidRPr="00797DC0" w:rsidRDefault="00FC702B" w:rsidP="00797DC0">
            <w:pPr>
              <w:rPr>
                <w:rFonts w:eastAsia="Times New Roman"/>
                <w:sz w:val="18"/>
                <w:szCs w:val="18"/>
              </w:rPr>
            </w:pPr>
            <w:r w:rsidRPr="00797DC0">
              <w:rPr>
                <w:sz w:val="18"/>
                <w:szCs w:val="18"/>
              </w:rPr>
              <w:t>300</w:t>
            </w:r>
          </w:p>
        </w:tc>
        <w:tc>
          <w:tcPr>
            <w:tcW w:w="1843" w:type="dxa"/>
            <w:hideMark/>
          </w:tcPr>
          <w:p w:rsidR="00FC702B" w:rsidRPr="00797DC0" w:rsidRDefault="00FC702B" w:rsidP="00797DC0">
            <w:pPr>
              <w:rPr>
                <w:rFonts w:eastAsia="Times New Roman"/>
                <w:sz w:val="18"/>
                <w:szCs w:val="18"/>
              </w:rPr>
            </w:pPr>
            <w:r w:rsidRPr="00797DC0">
              <w:rPr>
                <w:sz w:val="18"/>
                <w:szCs w:val="18"/>
              </w:rPr>
              <w:t>315</w:t>
            </w:r>
          </w:p>
        </w:tc>
        <w:tc>
          <w:tcPr>
            <w:tcW w:w="1701" w:type="dxa"/>
            <w:hideMark/>
          </w:tcPr>
          <w:p w:rsidR="00FC702B" w:rsidRPr="00797DC0" w:rsidRDefault="00FC702B" w:rsidP="00797DC0">
            <w:pPr>
              <w:rPr>
                <w:rFonts w:eastAsia="Times New Roman"/>
                <w:sz w:val="18"/>
                <w:szCs w:val="18"/>
              </w:rPr>
            </w:pPr>
            <w:r w:rsidRPr="00797DC0">
              <w:rPr>
                <w:sz w:val="18"/>
                <w:szCs w:val="18"/>
              </w:rPr>
              <w:t>33</w:t>
            </w:r>
          </w:p>
        </w:tc>
      </w:tr>
      <w:tr w:rsidR="00FC702B" w:rsidTr="00797DC0">
        <w:tc>
          <w:tcPr>
            <w:tcW w:w="1384" w:type="dxa"/>
            <w:vMerge/>
            <w:hideMark/>
          </w:tcPr>
          <w:p w:rsidR="00FC702B" w:rsidRPr="00797DC0" w:rsidRDefault="00FC702B" w:rsidP="00797DC0">
            <w:pPr>
              <w:rPr>
                <w:rFonts w:eastAsia="Times New Roman"/>
                <w:kern w:val="16"/>
                <w:sz w:val="18"/>
                <w:szCs w:val="18"/>
              </w:rPr>
            </w:pPr>
          </w:p>
        </w:tc>
        <w:tc>
          <w:tcPr>
            <w:tcW w:w="2302" w:type="dxa"/>
            <w:vMerge/>
            <w:hideMark/>
          </w:tcPr>
          <w:p w:rsidR="00FC702B" w:rsidRPr="00797DC0" w:rsidRDefault="00FC702B" w:rsidP="00797DC0">
            <w:pPr>
              <w:rPr>
                <w:rFonts w:eastAsia="Times New Roman"/>
                <w:kern w:val="16"/>
                <w:sz w:val="18"/>
                <w:szCs w:val="18"/>
              </w:rPr>
            </w:pPr>
          </w:p>
        </w:tc>
        <w:tc>
          <w:tcPr>
            <w:tcW w:w="1525" w:type="dxa"/>
            <w:hideMark/>
          </w:tcPr>
          <w:p w:rsidR="00FC702B" w:rsidRPr="00797DC0" w:rsidRDefault="00FC702B" w:rsidP="00797DC0">
            <w:pPr>
              <w:rPr>
                <w:rFonts w:eastAsia="Times New Roman"/>
                <w:sz w:val="18"/>
                <w:szCs w:val="18"/>
              </w:rPr>
            </w:pPr>
            <w:r w:rsidRPr="00797DC0">
              <w:rPr>
                <w:sz w:val="18"/>
                <w:szCs w:val="18"/>
              </w:rPr>
              <w:t>1000</w:t>
            </w:r>
          </w:p>
        </w:tc>
        <w:tc>
          <w:tcPr>
            <w:tcW w:w="1843" w:type="dxa"/>
            <w:hideMark/>
          </w:tcPr>
          <w:p w:rsidR="00FC702B" w:rsidRPr="00797DC0" w:rsidRDefault="00FC702B" w:rsidP="00797DC0">
            <w:pPr>
              <w:rPr>
                <w:rFonts w:eastAsia="Times New Roman"/>
                <w:sz w:val="18"/>
                <w:szCs w:val="18"/>
              </w:rPr>
            </w:pPr>
            <w:r w:rsidRPr="00797DC0">
              <w:rPr>
                <w:sz w:val="18"/>
                <w:szCs w:val="18"/>
              </w:rPr>
              <w:t>1258</w:t>
            </w:r>
          </w:p>
        </w:tc>
        <w:tc>
          <w:tcPr>
            <w:tcW w:w="1701" w:type="dxa"/>
            <w:hideMark/>
          </w:tcPr>
          <w:p w:rsidR="00FC702B" w:rsidRPr="00797DC0" w:rsidRDefault="00FC702B" w:rsidP="00797DC0">
            <w:pPr>
              <w:rPr>
                <w:rFonts w:eastAsia="Times New Roman"/>
                <w:sz w:val="18"/>
                <w:szCs w:val="18"/>
              </w:rPr>
            </w:pPr>
            <w:r w:rsidRPr="00797DC0">
              <w:rPr>
                <w:sz w:val="18"/>
                <w:szCs w:val="18"/>
              </w:rPr>
              <w:t>130</w:t>
            </w:r>
          </w:p>
        </w:tc>
      </w:tr>
    </w:tbl>
    <w:p w:rsidR="00FC702B" w:rsidRDefault="00FC702B" w:rsidP="00797DC0">
      <w:pPr>
        <w:pStyle w:val="TableDescription"/>
        <w:rPr>
          <w:rFonts w:eastAsiaTheme="minorEastAsia" w:cstheme="minorBidi"/>
        </w:rPr>
      </w:pPr>
      <w:r>
        <w:t xml:space="preserve">Extrapolations made by the evaluator from </w:t>
      </w:r>
      <w:r w:rsidR="00797DC0">
        <w:t>toxicokinetic data obtained on D</w:t>
      </w:r>
      <w:r>
        <w:t>ay 32 from the 1 month study in male and non-pregnant female mice (TOX599)</w:t>
      </w:r>
      <w:r>
        <w:rPr>
          <w:vertAlign w:val="superscript"/>
        </w:rPr>
        <w:t>*</w:t>
      </w:r>
      <w:r>
        <w:t xml:space="preserve"> and on </w:t>
      </w:r>
      <w:r w:rsidR="00797DC0">
        <w:t>D</w:t>
      </w:r>
      <w:r>
        <w:t>ay 90 from the 3 month study in male rats (TOX097)</w:t>
      </w:r>
      <w:r>
        <w:rPr>
          <w:vertAlign w:val="superscript"/>
        </w:rPr>
        <w:t>#</w:t>
      </w:r>
      <w:r>
        <w:t>.</w:t>
      </w:r>
    </w:p>
    <w:p w:rsidR="00FC702B" w:rsidRDefault="00FC702B" w:rsidP="00797DC0">
      <w:pPr>
        <w:pStyle w:val="Heading5"/>
      </w:pPr>
      <w:r>
        <w:t xml:space="preserve">TAF </w:t>
      </w:r>
    </w:p>
    <w:p w:rsidR="00FC702B" w:rsidRDefault="00FC702B" w:rsidP="00331352">
      <w:pPr>
        <w:rPr>
          <w:color w:val="3366CC"/>
          <w:kern w:val="2"/>
        </w:rPr>
      </w:pPr>
      <w:r>
        <w:t>A fertility and early embryonic development study in rats with TAF found n</w:t>
      </w:r>
      <w:r>
        <w:rPr>
          <w:rFonts w:eastAsiaTheme="minorHAnsi"/>
        </w:rPr>
        <w:t xml:space="preserve">o statistically significant treatment-related changes in organ weights for the epididymis, prostate, seminal vesicles or pituitary. Females were observed with no treatment-related differences in any reproductive parameters measured, or </w:t>
      </w:r>
      <w:r>
        <w:t>macroscopic findings at necropsy.</w:t>
      </w:r>
      <w:r>
        <w:rPr>
          <w:rFonts w:eastAsiaTheme="minorHAnsi"/>
        </w:rPr>
        <w:t xml:space="preserve"> There were no statistically significant differences in reproductive organ weights or treatment-related effects on any of the caesarean section parameters. </w:t>
      </w:r>
      <w:r>
        <w:t>Embryofetal development studies in rats and rabbits found n</w:t>
      </w:r>
      <w:r>
        <w:rPr>
          <w:rFonts w:eastAsiaTheme="minorHAnsi"/>
        </w:rPr>
        <w:t xml:space="preserve">o treatment-related evidence of embryolethality or teratogenicity. The </w:t>
      </w:r>
      <w:r>
        <w:t>perinatal/postnatal reproduction study in rats administered TDF found:</w:t>
      </w:r>
    </w:p>
    <w:p w:rsidR="00FC702B" w:rsidRDefault="00FC702B" w:rsidP="00797DC0">
      <w:pPr>
        <w:pStyle w:val="ListBullet"/>
      </w:pPr>
      <w:r>
        <w:t>No significant treatment-related behavioural evaluations of F1 generation pups.</w:t>
      </w:r>
    </w:p>
    <w:p w:rsidR="00586A39" w:rsidRDefault="00FC702B" w:rsidP="00797DC0">
      <w:pPr>
        <w:pStyle w:val="ListBullet"/>
      </w:pPr>
      <w:r>
        <w:t>Mating performance of both F1 generation sexes was unaffected by treatment of F0 generation dams</w:t>
      </w:r>
      <w:r w:rsidR="00586A39">
        <w:t>.</w:t>
      </w:r>
    </w:p>
    <w:p w:rsidR="00586A39" w:rsidRDefault="00FC702B" w:rsidP="00797DC0">
      <w:pPr>
        <w:pStyle w:val="ListBullet"/>
      </w:pPr>
      <w:r>
        <w:t>Administration of TAF to the F0 generation dams resulted in no treatment-related effects in F1 generation female rats. Analysis of caesarean-sectioning and litter parameters found that</w:t>
      </w:r>
      <w:r w:rsidR="00347444">
        <w:t xml:space="preserve"> </w:t>
      </w:r>
      <w:r>
        <w:t>litter averages for corpora lutea, implantations, litter sizes, live fetuses, early and late resorptions, fetal body weights, per</w:t>
      </w:r>
      <w:r w:rsidR="00CC7403">
        <w:t xml:space="preserve"> </w:t>
      </w:r>
      <w:r>
        <w:t>cent resorbed conceptuses, and per</w:t>
      </w:r>
      <w:r w:rsidR="00CC7403">
        <w:t xml:space="preserve"> </w:t>
      </w:r>
      <w:r>
        <w:t>cent live male fetuses were comparable to control</w:t>
      </w:r>
      <w:r w:rsidR="00586A39">
        <w:t>.</w:t>
      </w:r>
    </w:p>
    <w:p w:rsidR="00FC702B" w:rsidRDefault="00FC702B" w:rsidP="00797DC0">
      <w:pPr>
        <w:pStyle w:val="ListBullet"/>
      </w:pPr>
      <w:r>
        <w:t>All placentae appeared normal.</w:t>
      </w:r>
    </w:p>
    <w:p w:rsidR="00FC702B" w:rsidRDefault="00FC702B" w:rsidP="00797DC0">
      <w:pPr>
        <w:pStyle w:val="Heading5"/>
      </w:pPr>
      <w:r>
        <w:lastRenderedPageBreak/>
        <w:t>Relative exposure</w:t>
      </w:r>
    </w:p>
    <w:p w:rsidR="00797DC0" w:rsidRPr="00797DC0" w:rsidRDefault="00797DC0" w:rsidP="00797DC0">
      <w:r>
        <w:t xml:space="preserve">Relative exposures (animal: human) in the studies are shown below in </w:t>
      </w:r>
      <w:r w:rsidR="00E806EF">
        <w:t>Table 6 and 7.</w:t>
      </w:r>
    </w:p>
    <w:p w:rsidR="00FC702B" w:rsidRPr="00E806EF" w:rsidRDefault="00E806EF" w:rsidP="00E806EF">
      <w:pPr>
        <w:pStyle w:val="TableTitle"/>
      </w:pPr>
      <w:r>
        <w:t xml:space="preserve">Table 6: </w:t>
      </w:r>
      <w:r w:rsidR="00FC702B">
        <w:t xml:space="preserve">Tenofovir (TFV) after administration of TAF in embryofetal development studies </w:t>
      </w:r>
      <w:r w:rsidR="00FC702B" w:rsidRPr="00E806EF">
        <w:t>(Table sourced from Genvoya)</w:t>
      </w:r>
    </w:p>
    <w:tbl>
      <w:tblPr>
        <w:tblStyle w:val="TableTGAblue"/>
        <w:tblW w:w="9039" w:type="dxa"/>
        <w:tblLayout w:type="fixed"/>
        <w:tblLook w:val="01E0" w:firstRow="1" w:lastRow="1" w:firstColumn="1" w:lastColumn="1" w:noHBand="0" w:noVBand="0"/>
      </w:tblPr>
      <w:tblGrid>
        <w:gridCol w:w="1384"/>
        <w:gridCol w:w="1276"/>
        <w:gridCol w:w="1276"/>
        <w:gridCol w:w="1242"/>
        <w:gridCol w:w="1302"/>
        <w:gridCol w:w="1141"/>
        <w:gridCol w:w="1418"/>
      </w:tblGrid>
      <w:tr w:rsidR="00FC702B" w:rsidTr="00E806EF">
        <w:trPr>
          <w:cnfStyle w:val="100000000000" w:firstRow="1" w:lastRow="0" w:firstColumn="0" w:lastColumn="0" w:oddVBand="0" w:evenVBand="0" w:oddHBand="0" w:evenHBand="0" w:firstRowFirstColumn="0" w:firstRowLastColumn="0" w:lastRowFirstColumn="0" w:lastRowLastColumn="0"/>
        </w:trPr>
        <w:tc>
          <w:tcPr>
            <w:tcW w:w="1384" w:type="dxa"/>
            <w:hideMark/>
          </w:tcPr>
          <w:p w:rsidR="00FC702B" w:rsidRPr="00E806EF" w:rsidRDefault="00FC702B" w:rsidP="00E806EF">
            <w:pPr>
              <w:rPr>
                <w:rFonts w:asciiTheme="minorHAnsi" w:eastAsia="Times New Roman" w:hAnsiTheme="minorHAnsi"/>
                <w:sz w:val="18"/>
                <w:szCs w:val="18"/>
              </w:rPr>
            </w:pPr>
            <w:r w:rsidRPr="00E806EF">
              <w:rPr>
                <w:rFonts w:asciiTheme="minorHAnsi" w:hAnsiTheme="minorHAnsi"/>
                <w:sz w:val="18"/>
                <w:szCs w:val="18"/>
              </w:rPr>
              <w:t>Species</w:t>
            </w:r>
          </w:p>
        </w:tc>
        <w:tc>
          <w:tcPr>
            <w:tcW w:w="1276" w:type="dxa"/>
            <w:hideMark/>
          </w:tcPr>
          <w:p w:rsidR="00FC702B" w:rsidRPr="00E806EF" w:rsidRDefault="00FC702B" w:rsidP="00E806EF">
            <w:pPr>
              <w:rPr>
                <w:rFonts w:asciiTheme="minorHAnsi" w:eastAsia="Times New Roman" w:hAnsiTheme="minorHAnsi"/>
                <w:sz w:val="18"/>
                <w:szCs w:val="18"/>
              </w:rPr>
            </w:pPr>
            <w:r w:rsidRPr="00E806EF">
              <w:rPr>
                <w:rFonts w:asciiTheme="minorHAnsi" w:hAnsiTheme="minorHAnsi"/>
                <w:sz w:val="18"/>
                <w:szCs w:val="18"/>
              </w:rPr>
              <w:t>Study</w:t>
            </w:r>
          </w:p>
        </w:tc>
        <w:tc>
          <w:tcPr>
            <w:tcW w:w="1276" w:type="dxa"/>
            <w:hideMark/>
          </w:tcPr>
          <w:p w:rsidR="00FC702B" w:rsidRPr="00E806EF" w:rsidRDefault="00FC702B" w:rsidP="00E806EF">
            <w:pPr>
              <w:rPr>
                <w:rFonts w:asciiTheme="minorHAnsi" w:eastAsia="Times New Roman" w:hAnsiTheme="minorHAnsi"/>
                <w:sz w:val="18"/>
                <w:szCs w:val="18"/>
              </w:rPr>
            </w:pPr>
            <w:r w:rsidRPr="00E806EF">
              <w:rPr>
                <w:rFonts w:asciiTheme="minorHAnsi" w:hAnsiTheme="minorHAnsi"/>
                <w:sz w:val="18"/>
                <w:szCs w:val="18"/>
              </w:rPr>
              <w:t>Test Article</w:t>
            </w:r>
          </w:p>
        </w:tc>
        <w:tc>
          <w:tcPr>
            <w:tcW w:w="1242" w:type="dxa"/>
            <w:hideMark/>
          </w:tcPr>
          <w:p w:rsidR="00FC702B" w:rsidRPr="00E806EF" w:rsidRDefault="00FC702B" w:rsidP="00E806EF">
            <w:pPr>
              <w:rPr>
                <w:rFonts w:asciiTheme="minorHAnsi" w:eastAsia="Times New Roman" w:hAnsiTheme="minorHAnsi"/>
                <w:sz w:val="18"/>
                <w:szCs w:val="18"/>
              </w:rPr>
            </w:pPr>
            <w:r w:rsidRPr="00E806EF">
              <w:rPr>
                <w:rFonts w:asciiTheme="minorHAnsi" w:hAnsiTheme="minorHAnsi"/>
                <w:sz w:val="18"/>
                <w:szCs w:val="18"/>
              </w:rPr>
              <w:t>Test dose</w:t>
            </w:r>
            <w:r w:rsidRPr="00E806EF">
              <w:rPr>
                <w:rFonts w:asciiTheme="minorHAnsi" w:hAnsiTheme="minorHAnsi"/>
                <w:sz w:val="18"/>
                <w:szCs w:val="18"/>
              </w:rPr>
              <w:br/>
              <w:t>mg/kg/day</w:t>
            </w:r>
          </w:p>
        </w:tc>
        <w:tc>
          <w:tcPr>
            <w:tcW w:w="1302" w:type="dxa"/>
            <w:hideMark/>
          </w:tcPr>
          <w:p w:rsidR="00FC702B" w:rsidRPr="00E806EF" w:rsidRDefault="00FC702B" w:rsidP="00E806EF">
            <w:pPr>
              <w:rPr>
                <w:rFonts w:asciiTheme="minorHAnsi" w:eastAsia="Times New Roman" w:hAnsiTheme="minorHAnsi"/>
                <w:sz w:val="18"/>
                <w:szCs w:val="18"/>
              </w:rPr>
            </w:pPr>
            <w:r w:rsidRPr="00E806EF">
              <w:rPr>
                <w:rFonts w:asciiTheme="minorHAnsi" w:hAnsiTheme="minorHAnsi"/>
                <w:sz w:val="18"/>
                <w:szCs w:val="18"/>
              </w:rPr>
              <w:t>TFV AUC</w:t>
            </w:r>
            <w:r w:rsidRPr="00E806EF">
              <w:rPr>
                <w:rFonts w:asciiTheme="minorHAnsi" w:hAnsiTheme="minorHAnsi"/>
                <w:sz w:val="18"/>
                <w:szCs w:val="18"/>
                <w:vertAlign w:val="subscript"/>
              </w:rPr>
              <w:t>0–t</w:t>
            </w:r>
            <w:r w:rsidRPr="00E806EF">
              <w:rPr>
                <w:rFonts w:asciiTheme="minorHAnsi" w:hAnsiTheme="minorHAnsi"/>
                <w:sz w:val="18"/>
                <w:szCs w:val="18"/>
              </w:rPr>
              <w:br/>
              <w:t>ng∙h/mL</w:t>
            </w:r>
          </w:p>
        </w:tc>
        <w:tc>
          <w:tcPr>
            <w:tcW w:w="1141" w:type="dxa"/>
            <w:hideMark/>
          </w:tcPr>
          <w:p w:rsidR="00FC702B" w:rsidRPr="00E806EF" w:rsidRDefault="00FC702B" w:rsidP="00E806EF">
            <w:pPr>
              <w:rPr>
                <w:rFonts w:asciiTheme="minorHAnsi" w:eastAsia="Times New Roman" w:hAnsiTheme="minorHAnsi"/>
                <w:sz w:val="18"/>
                <w:szCs w:val="18"/>
              </w:rPr>
            </w:pPr>
            <w:r w:rsidRPr="00E806EF">
              <w:rPr>
                <w:rFonts w:asciiTheme="minorHAnsi" w:hAnsiTheme="minorHAnsi"/>
                <w:sz w:val="18"/>
                <w:szCs w:val="18"/>
              </w:rPr>
              <w:t>TAF AUC</w:t>
            </w:r>
            <w:r w:rsidRPr="00E806EF">
              <w:rPr>
                <w:rFonts w:asciiTheme="minorHAnsi" w:hAnsiTheme="minorHAnsi"/>
                <w:sz w:val="18"/>
                <w:szCs w:val="18"/>
                <w:vertAlign w:val="subscript"/>
              </w:rPr>
              <w:t>0–t</w:t>
            </w:r>
            <w:r w:rsidRPr="00E806EF">
              <w:rPr>
                <w:rFonts w:asciiTheme="minorHAnsi" w:hAnsiTheme="minorHAnsi"/>
                <w:sz w:val="18"/>
                <w:szCs w:val="18"/>
              </w:rPr>
              <w:br/>
              <w:t>ng∙h/mL</w:t>
            </w:r>
          </w:p>
        </w:tc>
        <w:tc>
          <w:tcPr>
            <w:tcW w:w="1418" w:type="dxa"/>
            <w:hideMark/>
          </w:tcPr>
          <w:p w:rsidR="00FC702B" w:rsidRPr="00E806EF" w:rsidRDefault="00FC702B" w:rsidP="00E806EF">
            <w:pPr>
              <w:rPr>
                <w:rFonts w:asciiTheme="minorHAnsi" w:eastAsia="Times New Roman" w:hAnsiTheme="minorHAnsi"/>
                <w:sz w:val="18"/>
                <w:szCs w:val="18"/>
              </w:rPr>
            </w:pPr>
            <w:r w:rsidRPr="00E806EF">
              <w:rPr>
                <w:rFonts w:asciiTheme="minorHAnsi" w:hAnsiTheme="minorHAnsi"/>
                <w:sz w:val="18"/>
                <w:szCs w:val="18"/>
              </w:rPr>
              <w:t>TFV/TAF exposure ratio</w:t>
            </w:r>
            <w:r w:rsidRPr="00E806EF">
              <w:rPr>
                <w:rFonts w:asciiTheme="minorHAnsi" w:hAnsiTheme="minorHAnsi"/>
                <w:sz w:val="18"/>
                <w:szCs w:val="18"/>
                <w:vertAlign w:val="superscript"/>
              </w:rPr>
              <w:t>#*</w:t>
            </w:r>
          </w:p>
        </w:tc>
      </w:tr>
      <w:tr w:rsidR="00FC702B" w:rsidTr="00E806EF">
        <w:trPr>
          <w:trHeight w:val="227"/>
        </w:trPr>
        <w:tc>
          <w:tcPr>
            <w:tcW w:w="1384"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Rat</w:t>
            </w:r>
          </w:p>
          <w:p w:rsidR="00FC702B" w:rsidRPr="00E806EF" w:rsidRDefault="00FC702B" w:rsidP="00E806EF">
            <w:pPr>
              <w:rPr>
                <w:rFonts w:asciiTheme="minorHAnsi" w:eastAsia="Times New Roman" w:hAnsiTheme="minorHAnsi"/>
                <w:color w:val="00B050"/>
                <w:kern w:val="2"/>
                <w:sz w:val="18"/>
                <w:szCs w:val="18"/>
              </w:rPr>
            </w:pPr>
            <w:r w:rsidRPr="00E806EF">
              <w:rPr>
                <w:rFonts w:asciiTheme="minorHAnsi" w:hAnsiTheme="minorHAnsi"/>
                <w:kern w:val="2"/>
                <w:sz w:val="18"/>
                <w:szCs w:val="18"/>
              </w:rPr>
              <w:t>(SD)</w:t>
            </w:r>
          </w:p>
        </w:tc>
        <w:tc>
          <w:tcPr>
            <w:tcW w:w="1276"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TX-120-2001</w:t>
            </w:r>
          </w:p>
        </w:tc>
        <w:tc>
          <w:tcPr>
            <w:tcW w:w="1276"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TAF</w:t>
            </w: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5</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414</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NC</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1.41/NA</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color w:val="00B050"/>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100</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20,588</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NC</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70.27/NA</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color w:val="00B050"/>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200</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35,682</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NC</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121.78/NA</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color w:val="00B050"/>
                <w:kern w:val="2"/>
                <w:sz w:val="18"/>
                <w:szCs w:val="18"/>
              </w:rPr>
            </w:pPr>
          </w:p>
        </w:tc>
        <w:tc>
          <w:tcPr>
            <w:tcW w:w="1276"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TX-120-2002</w:t>
            </w:r>
          </w:p>
        </w:tc>
        <w:tc>
          <w:tcPr>
            <w:tcW w:w="1276"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TAF</w:t>
            </w: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25</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2803</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NC</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9.57/NA</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color w:val="00B050"/>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100</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17,392</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242</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59.36/1.17</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color w:val="00B050"/>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250</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55,728</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1382</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190.20/6.71</w:t>
            </w:r>
          </w:p>
        </w:tc>
      </w:tr>
      <w:tr w:rsidR="00FC702B" w:rsidTr="00E806EF">
        <w:trPr>
          <w:trHeight w:val="227"/>
        </w:trPr>
        <w:tc>
          <w:tcPr>
            <w:tcW w:w="1384"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Rabbit</w:t>
            </w:r>
            <w:r w:rsidRPr="00E806EF">
              <w:rPr>
                <w:rFonts w:asciiTheme="minorHAnsi" w:hAnsiTheme="minorHAnsi"/>
                <w:kern w:val="2"/>
                <w:sz w:val="18"/>
                <w:szCs w:val="18"/>
              </w:rPr>
              <w:br/>
              <w:t>(NZW)</w:t>
            </w:r>
          </w:p>
        </w:tc>
        <w:tc>
          <w:tcPr>
            <w:tcW w:w="1276"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TX-120-2004</w:t>
            </w:r>
          </w:p>
        </w:tc>
        <w:tc>
          <w:tcPr>
            <w:tcW w:w="1276"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TAF</w:t>
            </w: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5</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1560</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NC</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5.32/NA</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25</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6014</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NC</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20.53/NA</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20</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11,769</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NC</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40.17/NA</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100</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23,525</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NC</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80.29/NA</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TX-120-2005</w:t>
            </w:r>
          </w:p>
        </w:tc>
        <w:tc>
          <w:tcPr>
            <w:tcW w:w="1276" w:type="dxa"/>
            <w:vMerge w:val="restart"/>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TAF</w:t>
            </w: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10</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2018</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NC</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6.89/NA</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30</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5005</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1135</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17.08/5.51</w:t>
            </w:r>
          </w:p>
        </w:tc>
      </w:tr>
      <w:tr w:rsidR="00FC702B" w:rsidTr="00E806EF">
        <w:trPr>
          <w:trHeight w:val="227"/>
        </w:trPr>
        <w:tc>
          <w:tcPr>
            <w:tcW w:w="1384"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76" w:type="dxa"/>
            <w:vMerge/>
            <w:hideMark/>
          </w:tcPr>
          <w:p w:rsidR="00FC702B" w:rsidRPr="00E806EF" w:rsidRDefault="00FC702B" w:rsidP="00E806EF">
            <w:pPr>
              <w:rPr>
                <w:rFonts w:asciiTheme="minorHAnsi" w:eastAsia="Times New Roman" w:hAnsiTheme="minorHAnsi"/>
                <w:kern w:val="2"/>
                <w:sz w:val="18"/>
                <w:szCs w:val="18"/>
              </w:rPr>
            </w:pP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100</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27,251</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11,043</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93.00/53.61</w:t>
            </w:r>
          </w:p>
        </w:tc>
      </w:tr>
      <w:tr w:rsidR="00FC702B" w:rsidTr="00E806EF">
        <w:trPr>
          <w:trHeight w:val="283"/>
        </w:trPr>
        <w:tc>
          <w:tcPr>
            <w:tcW w:w="1384"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Human</w:t>
            </w:r>
            <w:r w:rsidRPr="00E806EF">
              <w:rPr>
                <w:rFonts w:asciiTheme="minorHAnsi" w:hAnsiTheme="minorHAnsi"/>
                <w:kern w:val="2"/>
                <w:sz w:val="18"/>
                <w:szCs w:val="18"/>
              </w:rPr>
              <w:br/>
              <w:t>healthy volunteers</w:t>
            </w:r>
          </w:p>
        </w:tc>
        <w:tc>
          <w:tcPr>
            <w:tcW w:w="1276"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steady state *</w:t>
            </w:r>
          </w:p>
        </w:tc>
        <w:tc>
          <w:tcPr>
            <w:tcW w:w="1276"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w:t>
            </w:r>
          </w:p>
        </w:tc>
        <w:tc>
          <w:tcPr>
            <w:tcW w:w="124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[1</w:t>
            </w:r>
            <w:r w:rsidR="00E04BFC">
              <w:rPr>
                <w:rFonts w:asciiTheme="minorHAnsi" w:hAnsiTheme="minorHAnsi"/>
                <w:kern w:val="2"/>
                <w:sz w:val="18"/>
                <w:szCs w:val="18"/>
              </w:rPr>
              <w:t>0 mg</w:t>
            </w:r>
            <w:r w:rsidRPr="00E806EF">
              <w:rPr>
                <w:rFonts w:asciiTheme="minorHAnsi" w:hAnsiTheme="minorHAnsi"/>
                <w:kern w:val="2"/>
                <w:sz w:val="18"/>
                <w:szCs w:val="18"/>
              </w:rPr>
              <w:t>]</w:t>
            </w:r>
          </w:p>
        </w:tc>
        <w:tc>
          <w:tcPr>
            <w:tcW w:w="1302"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293.00</w:t>
            </w:r>
          </w:p>
        </w:tc>
        <w:tc>
          <w:tcPr>
            <w:tcW w:w="1141"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206.0</w:t>
            </w:r>
          </w:p>
        </w:tc>
        <w:tc>
          <w:tcPr>
            <w:tcW w:w="1418" w:type="dxa"/>
            <w:hideMark/>
          </w:tcPr>
          <w:p w:rsidR="00FC702B" w:rsidRPr="00E806EF" w:rsidRDefault="00FC702B" w:rsidP="00E806EF">
            <w:pPr>
              <w:rPr>
                <w:rFonts w:asciiTheme="minorHAnsi" w:eastAsia="Times New Roman" w:hAnsiTheme="minorHAnsi"/>
                <w:kern w:val="2"/>
                <w:sz w:val="18"/>
                <w:szCs w:val="18"/>
              </w:rPr>
            </w:pPr>
            <w:r w:rsidRPr="00E806EF">
              <w:rPr>
                <w:rFonts w:asciiTheme="minorHAnsi" w:hAnsiTheme="minorHAnsi"/>
                <w:kern w:val="2"/>
                <w:sz w:val="18"/>
                <w:szCs w:val="18"/>
              </w:rPr>
              <w:t>–</w:t>
            </w:r>
          </w:p>
        </w:tc>
      </w:tr>
    </w:tbl>
    <w:p w:rsidR="00586A39" w:rsidRDefault="00FC702B" w:rsidP="00E806EF">
      <w:pPr>
        <w:pStyle w:val="TableDescription"/>
      </w:pPr>
      <w:r>
        <w:t>*</w:t>
      </w:r>
      <w:r>
        <w:rPr>
          <w:vertAlign w:val="superscript"/>
        </w:rPr>
        <w:t xml:space="preserve"> </w:t>
      </w:r>
      <w:r>
        <w:t>Mean steady-state AUC</w:t>
      </w:r>
      <w:r>
        <w:rPr>
          <w:vertAlign w:val="subscript"/>
        </w:rPr>
        <w:t>SS</w:t>
      </w:r>
      <w:r>
        <w:t xml:space="preserve"> in pivotal studies for TAF (GS-US-292-0104 and GS-US-292-0111)</w:t>
      </w:r>
      <w:r w:rsidR="00586A39">
        <w:t>;</w:t>
      </w:r>
    </w:p>
    <w:p w:rsidR="00586A39" w:rsidRDefault="00FC702B" w:rsidP="00E806EF">
      <w:pPr>
        <w:pStyle w:val="TableDescription"/>
        <w:rPr>
          <w:szCs w:val="18"/>
        </w:rPr>
      </w:pPr>
      <w:r>
        <w:t>*</w:t>
      </w:r>
      <w:r>
        <w:rPr>
          <w:vertAlign w:val="superscript"/>
        </w:rPr>
        <w:t>#</w:t>
      </w:r>
      <w:r>
        <w:t xml:space="preserve"> = animal</w:t>
      </w:r>
      <w:r w:rsidR="00CC7403">
        <w:t>: human</w:t>
      </w:r>
      <w:r>
        <w:t xml:space="preserve"> plasma AUC</w:t>
      </w:r>
      <w:r>
        <w:rPr>
          <w:vertAlign w:val="subscript"/>
        </w:rPr>
        <w:t>0–24</w:t>
      </w:r>
      <w:r>
        <w:rPr>
          <w:w w:val="50"/>
          <w:vertAlign w:val="subscript"/>
        </w:rPr>
        <w:t> </w:t>
      </w:r>
      <w:r>
        <w:rPr>
          <w:vertAlign w:val="subscript"/>
        </w:rPr>
        <w:t>h</w:t>
      </w:r>
      <w:r>
        <w:t xml:space="preserve">; </w:t>
      </w:r>
      <w:r>
        <w:rPr>
          <w:szCs w:val="18"/>
        </w:rPr>
        <w:t>NC = Not calculated; NA = Not applicable</w:t>
      </w:r>
      <w:r w:rsidR="00586A39">
        <w:rPr>
          <w:szCs w:val="18"/>
        </w:rPr>
        <w:t>.</w:t>
      </w:r>
    </w:p>
    <w:p w:rsidR="00FC702B" w:rsidRDefault="00FC702B" w:rsidP="00E806EF">
      <w:pPr>
        <w:pStyle w:val="TableTitle"/>
      </w:pPr>
      <w:r>
        <w:t xml:space="preserve">Table </w:t>
      </w:r>
      <w:r w:rsidR="00E806EF">
        <w:t>7</w:t>
      </w:r>
      <w:r>
        <w:t>: TFV/TAF exposure ratios at the NOAELs in reproductive toxicity studies</w:t>
      </w:r>
    </w:p>
    <w:tbl>
      <w:tblPr>
        <w:tblStyle w:val="TableTGAblue"/>
        <w:tblW w:w="8897" w:type="dxa"/>
        <w:tblLayout w:type="fixed"/>
        <w:tblLook w:val="04A0" w:firstRow="1" w:lastRow="0" w:firstColumn="1" w:lastColumn="0" w:noHBand="0" w:noVBand="1"/>
      </w:tblPr>
      <w:tblGrid>
        <w:gridCol w:w="1327"/>
        <w:gridCol w:w="1080"/>
        <w:gridCol w:w="1245"/>
        <w:gridCol w:w="1418"/>
        <w:gridCol w:w="1134"/>
        <w:gridCol w:w="1275"/>
        <w:gridCol w:w="1418"/>
      </w:tblGrid>
      <w:tr w:rsidR="00FC702B" w:rsidTr="00006A96">
        <w:trPr>
          <w:cnfStyle w:val="100000000000" w:firstRow="1" w:lastRow="0" w:firstColumn="0" w:lastColumn="0" w:oddVBand="0" w:evenVBand="0" w:oddHBand="0" w:evenHBand="0" w:firstRowFirstColumn="0" w:firstRowLastColumn="0" w:lastRowFirstColumn="0" w:lastRowLastColumn="0"/>
          <w:cantSplit/>
        </w:trPr>
        <w:tc>
          <w:tcPr>
            <w:tcW w:w="1327" w:type="dxa"/>
            <w:vMerge w:val="restart"/>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Target Organ Effect</w:t>
            </w:r>
          </w:p>
        </w:tc>
        <w:tc>
          <w:tcPr>
            <w:tcW w:w="1080" w:type="dxa"/>
            <w:vMerge w:val="restart"/>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Study</w:t>
            </w:r>
          </w:p>
        </w:tc>
        <w:tc>
          <w:tcPr>
            <w:tcW w:w="1245" w:type="dxa"/>
            <w:vMerge w:val="restart"/>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Species</w:t>
            </w:r>
          </w:p>
        </w:tc>
        <w:tc>
          <w:tcPr>
            <w:tcW w:w="1418" w:type="dxa"/>
            <w:vMerge w:val="restart"/>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Study duration</w:t>
            </w:r>
          </w:p>
        </w:tc>
        <w:tc>
          <w:tcPr>
            <w:tcW w:w="1134" w:type="dxa"/>
            <w:vMerge w:val="restart"/>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TAF NOAEL mg/kg/day</w:t>
            </w:r>
          </w:p>
        </w:tc>
        <w:tc>
          <w:tcPr>
            <w:tcW w:w="1275"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AUC</w:t>
            </w:r>
            <w:r w:rsidRPr="00E806EF">
              <w:rPr>
                <w:rFonts w:asciiTheme="minorHAnsi" w:hAnsiTheme="minorHAnsi"/>
                <w:sz w:val="18"/>
                <w:szCs w:val="18"/>
                <w:vertAlign w:val="subscript"/>
                <w:lang w:eastAsia="en-US"/>
              </w:rPr>
              <w:t>ss</w:t>
            </w:r>
            <w:r w:rsidRPr="00E806EF">
              <w:rPr>
                <w:rFonts w:asciiTheme="minorHAnsi" w:hAnsiTheme="minorHAnsi"/>
                <w:sz w:val="18"/>
                <w:szCs w:val="18"/>
                <w:lang w:eastAsia="en-US"/>
              </w:rPr>
              <w:t xml:space="preserve"> ng</w:t>
            </w:r>
            <w:r w:rsidR="00CC7403">
              <w:rPr>
                <w:rFonts w:asciiTheme="minorHAnsi" w:hAnsiTheme="minorHAnsi"/>
                <w:sz w:val="18"/>
                <w:szCs w:val="18"/>
                <w:lang w:eastAsia="en-US"/>
              </w:rPr>
              <w:t>.</w:t>
            </w:r>
            <w:r w:rsidRPr="00E806EF">
              <w:rPr>
                <w:rFonts w:asciiTheme="minorHAnsi" w:hAnsiTheme="minorHAnsi"/>
                <w:sz w:val="18"/>
                <w:szCs w:val="18"/>
                <w:lang w:eastAsia="en-US"/>
              </w:rPr>
              <w:t>h/mL</w:t>
            </w:r>
          </w:p>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NOAEL</w:t>
            </w:r>
          </w:p>
        </w:tc>
        <w:tc>
          <w:tcPr>
            <w:tcW w:w="1418"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Margin Relative to Human AUC</w:t>
            </w:r>
            <w:r w:rsidRPr="00E806EF">
              <w:rPr>
                <w:rFonts w:asciiTheme="minorHAnsi" w:hAnsiTheme="minorHAnsi"/>
                <w:sz w:val="18"/>
                <w:szCs w:val="18"/>
                <w:vertAlign w:val="subscript"/>
                <w:lang w:eastAsia="en-US"/>
              </w:rPr>
              <w:t>ss</w:t>
            </w:r>
          </w:p>
        </w:tc>
      </w:tr>
      <w:tr w:rsidR="00FC702B" w:rsidTr="00006A96">
        <w:trPr>
          <w:cantSplit/>
        </w:trPr>
        <w:tc>
          <w:tcPr>
            <w:tcW w:w="1327" w:type="dxa"/>
            <w:vMerge/>
            <w:hideMark/>
          </w:tcPr>
          <w:p w:rsidR="00FC702B" w:rsidRPr="00E806EF" w:rsidRDefault="00FC702B" w:rsidP="00E806EF">
            <w:pPr>
              <w:rPr>
                <w:rFonts w:asciiTheme="minorHAnsi" w:hAnsiTheme="minorHAnsi"/>
                <w:b/>
                <w:kern w:val="16"/>
                <w:sz w:val="18"/>
                <w:szCs w:val="18"/>
                <w:lang w:eastAsia="en-US"/>
              </w:rPr>
            </w:pPr>
          </w:p>
        </w:tc>
        <w:tc>
          <w:tcPr>
            <w:tcW w:w="1080" w:type="dxa"/>
            <w:vMerge/>
            <w:hideMark/>
          </w:tcPr>
          <w:p w:rsidR="00FC702B" w:rsidRPr="00E806EF" w:rsidRDefault="00FC702B" w:rsidP="00E806EF">
            <w:pPr>
              <w:rPr>
                <w:rFonts w:asciiTheme="minorHAnsi" w:hAnsiTheme="minorHAnsi"/>
                <w:b/>
                <w:kern w:val="16"/>
                <w:sz w:val="18"/>
                <w:szCs w:val="18"/>
                <w:lang w:eastAsia="en-US"/>
              </w:rPr>
            </w:pPr>
          </w:p>
        </w:tc>
        <w:tc>
          <w:tcPr>
            <w:tcW w:w="1245" w:type="dxa"/>
            <w:vMerge/>
            <w:hideMark/>
          </w:tcPr>
          <w:p w:rsidR="00FC702B" w:rsidRPr="00E806EF" w:rsidRDefault="00FC702B" w:rsidP="00E806EF">
            <w:pPr>
              <w:rPr>
                <w:rFonts w:asciiTheme="minorHAnsi" w:hAnsiTheme="minorHAnsi"/>
                <w:b/>
                <w:kern w:val="16"/>
                <w:sz w:val="18"/>
                <w:szCs w:val="18"/>
                <w:lang w:eastAsia="en-US"/>
              </w:rPr>
            </w:pPr>
          </w:p>
        </w:tc>
        <w:tc>
          <w:tcPr>
            <w:tcW w:w="1418" w:type="dxa"/>
            <w:vMerge/>
            <w:hideMark/>
          </w:tcPr>
          <w:p w:rsidR="00FC702B" w:rsidRPr="00E806EF" w:rsidRDefault="00FC702B" w:rsidP="00E806EF">
            <w:pPr>
              <w:rPr>
                <w:rFonts w:asciiTheme="minorHAnsi" w:hAnsiTheme="minorHAnsi"/>
                <w:b/>
                <w:kern w:val="16"/>
                <w:sz w:val="18"/>
                <w:szCs w:val="18"/>
                <w:lang w:eastAsia="en-US"/>
              </w:rPr>
            </w:pPr>
          </w:p>
        </w:tc>
        <w:tc>
          <w:tcPr>
            <w:tcW w:w="1134" w:type="dxa"/>
            <w:vMerge/>
            <w:hideMark/>
          </w:tcPr>
          <w:p w:rsidR="00FC702B" w:rsidRPr="00E806EF" w:rsidRDefault="00FC702B" w:rsidP="00E806EF">
            <w:pPr>
              <w:rPr>
                <w:rFonts w:asciiTheme="minorHAnsi" w:hAnsiTheme="minorHAnsi"/>
                <w:b/>
                <w:kern w:val="16"/>
                <w:sz w:val="18"/>
                <w:szCs w:val="18"/>
                <w:lang w:eastAsia="en-US"/>
              </w:rPr>
            </w:pPr>
          </w:p>
        </w:tc>
        <w:tc>
          <w:tcPr>
            <w:tcW w:w="1275" w:type="dxa"/>
            <w:hideMark/>
          </w:tcPr>
          <w:p w:rsidR="00FC702B" w:rsidRPr="00E806EF" w:rsidRDefault="00FC702B" w:rsidP="00E806EF">
            <w:pPr>
              <w:rPr>
                <w:rFonts w:asciiTheme="minorHAnsi" w:hAnsiTheme="minorHAnsi"/>
                <w:b/>
                <w:sz w:val="18"/>
                <w:szCs w:val="18"/>
                <w:lang w:eastAsia="en-US"/>
              </w:rPr>
            </w:pPr>
            <w:r w:rsidRPr="00E806EF">
              <w:rPr>
                <w:rFonts w:asciiTheme="minorHAnsi" w:hAnsiTheme="minorHAnsi"/>
                <w:sz w:val="18"/>
                <w:szCs w:val="18"/>
                <w:lang w:eastAsia="en-US"/>
              </w:rPr>
              <w:t>TFV/TAF</w:t>
            </w:r>
          </w:p>
        </w:tc>
        <w:tc>
          <w:tcPr>
            <w:tcW w:w="1418" w:type="dxa"/>
            <w:hideMark/>
          </w:tcPr>
          <w:p w:rsidR="00FC702B" w:rsidRPr="00E806EF" w:rsidRDefault="00FC702B" w:rsidP="00E806EF">
            <w:pPr>
              <w:rPr>
                <w:rFonts w:asciiTheme="minorHAnsi" w:hAnsiTheme="minorHAnsi"/>
                <w:b/>
                <w:sz w:val="18"/>
                <w:szCs w:val="18"/>
                <w:lang w:eastAsia="en-US"/>
              </w:rPr>
            </w:pPr>
            <w:r w:rsidRPr="00E806EF">
              <w:rPr>
                <w:rFonts w:asciiTheme="minorHAnsi" w:hAnsiTheme="minorHAnsi"/>
                <w:sz w:val="18"/>
                <w:szCs w:val="18"/>
                <w:lang w:eastAsia="en-US"/>
              </w:rPr>
              <w:t>TFV</w:t>
            </w:r>
            <w:r w:rsidRPr="00E806EF">
              <w:rPr>
                <w:rFonts w:asciiTheme="minorHAnsi" w:hAnsiTheme="minorHAnsi"/>
                <w:sz w:val="18"/>
                <w:szCs w:val="18"/>
                <w:vertAlign w:val="superscript"/>
                <w:lang w:eastAsia="en-US"/>
              </w:rPr>
              <w:t>a</w:t>
            </w:r>
            <w:r w:rsidRPr="00E806EF">
              <w:rPr>
                <w:rFonts w:asciiTheme="minorHAnsi" w:hAnsiTheme="minorHAnsi"/>
                <w:sz w:val="18"/>
                <w:szCs w:val="18"/>
                <w:lang w:eastAsia="en-US"/>
              </w:rPr>
              <w:t>/TAF</w:t>
            </w:r>
            <w:r w:rsidRPr="00E806EF">
              <w:rPr>
                <w:rFonts w:asciiTheme="minorHAnsi" w:hAnsiTheme="minorHAnsi"/>
                <w:sz w:val="18"/>
                <w:szCs w:val="18"/>
                <w:vertAlign w:val="superscript"/>
                <w:lang w:eastAsia="en-US"/>
              </w:rPr>
              <w:t>b</w:t>
            </w:r>
          </w:p>
        </w:tc>
      </w:tr>
      <w:tr w:rsidR="00FC702B" w:rsidTr="00FC6DC1">
        <w:tc>
          <w:tcPr>
            <w:tcW w:w="1327"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 xml:space="preserve">Fertility </w:t>
            </w:r>
            <w:r w:rsidRPr="00E806EF">
              <w:rPr>
                <w:rFonts w:asciiTheme="minorHAnsi" w:hAnsiTheme="minorHAnsi"/>
                <w:sz w:val="18"/>
                <w:szCs w:val="18"/>
                <w:vertAlign w:val="superscript"/>
                <w:lang w:eastAsia="en-US"/>
              </w:rPr>
              <w:t>c</w:t>
            </w:r>
          </w:p>
        </w:tc>
        <w:tc>
          <w:tcPr>
            <w:tcW w:w="1080"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TX-120-</w:t>
            </w:r>
            <w:r w:rsidRPr="00E806EF">
              <w:rPr>
                <w:rFonts w:asciiTheme="minorHAnsi" w:hAnsiTheme="minorHAnsi"/>
                <w:sz w:val="18"/>
                <w:szCs w:val="18"/>
                <w:lang w:eastAsia="en-US"/>
              </w:rPr>
              <w:lastRenderedPageBreak/>
              <w:t>2012</w:t>
            </w:r>
          </w:p>
        </w:tc>
        <w:tc>
          <w:tcPr>
            <w:tcW w:w="1245"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lastRenderedPageBreak/>
              <w:t>Rat</w:t>
            </w:r>
          </w:p>
        </w:tc>
        <w:tc>
          <w:tcPr>
            <w:tcW w:w="1418"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sym w:font="Symbol" w:char="F0A3"/>
            </w:r>
            <w:r w:rsidRPr="00E806EF">
              <w:rPr>
                <w:rFonts w:asciiTheme="minorHAnsi" w:hAnsiTheme="minorHAnsi"/>
                <w:sz w:val="18"/>
                <w:szCs w:val="18"/>
                <w:lang w:eastAsia="en-US"/>
              </w:rPr>
              <w:t>10 weeks</w:t>
            </w:r>
          </w:p>
        </w:tc>
        <w:tc>
          <w:tcPr>
            <w:tcW w:w="1134"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160</w:t>
            </w:r>
          </w:p>
        </w:tc>
        <w:tc>
          <w:tcPr>
            <w:tcW w:w="1275"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NA</w:t>
            </w:r>
          </w:p>
        </w:tc>
        <w:tc>
          <w:tcPr>
            <w:tcW w:w="1418"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NA</w:t>
            </w:r>
          </w:p>
        </w:tc>
      </w:tr>
      <w:tr w:rsidR="00FC702B" w:rsidTr="00FC6DC1">
        <w:tc>
          <w:tcPr>
            <w:tcW w:w="1327" w:type="dxa"/>
            <w:vMerge w:val="restart"/>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lastRenderedPageBreak/>
              <w:t>Embryo</w:t>
            </w:r>
            <w:r w:rsidR="00E806EF">
              <w:rPr>
                <w:rFonts w:asciiTheme="minorHAnsi" w:hAnsiTheme="minorHAnsi"/>
                <w:sz w:val="18"/>
                <w:szCs w:val="18"/>
                <w:lang w:eastAsia="en-US"/>
              </w:rPr>
              <w:t>-</w:t>
            </w:r>
            <w:r w:rsidRPr="00E806EF">
              <w:rPr>
                <w:rFonts w:asciiTheme="minorHAnsi" w:hAnsiTheme="minorHAnsi"/>
                <w:sz w:val="18"/>
                <w:szCs w:val="18"/>
                <w:lang w:eastAsia="en-US"/>
              </w:rPr>
              <w:t>fetal develop</w:t>
            </w:r>
            <w:r w:rsidR="00E806EF">
              <w:rPr>
                <w:rFonts w:asciiTheme="minorHAnsi" w:hAnsiTheme="minorHAnsi"/>
                <w:sz w:val="18"/>
                <w:szCs w:val="18"/>
                <w:lang w:eastAsia="en-US"/>
              </w:rPr>
              <w:t>-</w:t>
            </w:r>
            <w:r w:rsidRPr="00E806EF">
              <w:rPr>
                <w:rFonts w:asciiTheme="minorHAnsi" w:hAnsiTheme="minorHAnsi"/>
                <w:sz w:val="18"/>
                <w:szCs w:val="18"/>
                <w:lang w:eastAsia="en-US"/>
              </w:rPr>
              <w:t xml:space="preserve">ment </w:t>
            </w:r>
            <w:r w:rsidRPr="00E806EF">
              <w:rPr>
                <w:rFonts w:asciiTheme="minorHAnsi" w:hAnsiTheme="minorHAnsi"/>
                <w:sz w:val="18"/>
                <w:szCs w:val="18"/>
                <w:vertAlign w:val="superscript"/>
                <w:lang w:eastAsia="en-US"/>
              </w:rPr>
              <w:t>c</w:t>
            </w:r>
          </w:p>
        </w:tc>
        <w:tc>
          <w:tcPr>
            <w:tcW w:w="1080"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TX-120-2002</w:t>
            </w:r>
          </w:p>
        </w:tc>
        <w:tc>
          <w:tcPr>
            <w:tcW w:w="1245"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Rat</w:t>
            </w:r>
          </w:p>
        </w:tc>
        <w:tc>
          <w:tcPr>
            <w:tcW w:w="1418"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12 days</w:t>
            </w:r>
          </w:p>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(GD6</w:t>
            </w:r>
            <w:r w:rsidRPr="00E806EF">
              <w:rPr>
                <w:rFonts w:asciiTheme="minorHAnsi" w:hAnsiTheme="minorHAnsi"/>
                <w:sz w:val="18"/>
                <w:szCs w:val="18"/>
                <w:lang w:eastAsia="en-US"/>
              </w:rPr>
              <w:sym w:font="Symbol" w:char="F02D"/>
            </w:r>
            <w:r w:rsidRPr="00E806EF">
              <w:rPr>
                <w:rFonts w:asciiTheme="minorHAnsi" w:hAnsiTheme="minorHAnsi"/>
                <w:sz w:val="18"/>
                <w:szCs w:val="18"/>
                <w:lang w:eastAsia="en-US"/>
              </w:rPr>
              <w:t>GD17)</w:t>
            </w:r>
          </w:p>
        </w:tc>
        <w:tc>
          <w:tcPr>
            <w:tcW w:w="1134"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&lt;100</w:t>
            </w:r>
          </w:p>
        </w:tc>
        <w:tc>
          <w:tcPr>
            <w:tcW w:w="1275"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17,392/242</w:t>
            </w:r>
          </w:p>
        </w:tc>
        <w:tc>
          <w:tcPr>
            <w:tcW w:w="1418"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59.36/1.17</w:t>
            </w:r>
          </w:p>
        </w:tc>
      </w:tr>
      <w:tr w:rsidR="00FC702B" w:rsidTr="00FC6DC1">
        <w:tc>
          <w:tcPr>
            <w:tcW w:w="1327" w:type="dxa"/>
            <w:vMerge/>
            <w:hideMark/>
          </w:tcPr>
          <w:p w:rsidR="00FC702B" w:rsidRPr="00E806EF" w:rsidRDefault="00FC702B" w:rsidP="00E806EF">
            <w:pPr>
              <w:rPr>
                <w:rFonts w:asciiTheme="minorHAnsi" w:hAnsiTheme="minorHAnsi"/>
                <w:kern w:val="16"/>
                <w:sz w:val="18"/>
                <w:szCs w:val="18"/>
                <w:lang w:eastAsia="en-US"/>
              </w:rPr>
            </w:pPr>
          </w:p>
        </w:tc>
        <w:tc>
          <w:tcPr>
            <w:tcW w:w="1080"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TX-120-2005</w:t>
            </w:r>
          </w:p>
        </w:tc>
        <w:tc>
          <w:tcPr>
            <w:tcW w:w="1245"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Rabbit</w:t>
            </w:r>
          </w:p>
        </w:tc>
        <w:tc>
          <w:tcPr>
            <w:tcW w:w="1418"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14 days</w:t>
            </w:r>
          </w:p>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(GD7</w:t>
            </w:r>
            <w:r w:rsidRPr="00E806EF">
              <w:rPr>
                <w:rFonts w:asciiTheme="minorHAnsi" w:hAnsiTheme="minorHAnsi"/>
                <w:sz w:val="18"/>
                <w:szCs w:val="18"/>
                <w:lang w:eastAsia="en-US"/>
              </w:rPr>
              <w:sym w:font="Symbol" w:char="F02D"/>
            </w:r>
            <w:r w:rsidRPr="00E806EF">
              <w:rPr>
                <w:rFonts w:asciiTheme="minorHAnsi" w:hAnsiTheme="minorHAnsi"/>
                <w:sz w:val="18"/>
                <w:szCs w:val="18"/>
                <w:lang w:eastAsia="en-US"/>
              </w:rPr>
              <w:t>GD20)</w:t>
            </w:r>
          </w:p>
        </w:tc>
        <w:tc>
          <w:tcPr>
            <w:tcW w:w="1134"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100</w:t>
            </w:r>
          </w:p>
        </w:tc>
        <w:tc>
          <w:tcPr>
            <w:tcW w:w="1275"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27,251/11,043</w:t>
            </w:r>
          </w:p>
        </w:tc>
        <w:tc>
          <w:tcPr>
            <w:tcW w:w="1418"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93.01/53.61</w:t>
            </w:r>
          </w:p>
        </w:tc>
      </w:tr>
      <w:tr w:rsidR="00FC702B" w:rsidTr="00FC6DC1">
        <w:tc>
          <w:tcPr>
            <w:tcW w:w="1327" w:type="dxa"/>
            <w:hideMark/>
          </w:tcPr>
          <w:p w:rsidR="00FC702B" w:rsidRPr="00E806EF" w:rsidRDefault="00E806EF" w:rsidP="00E806EF">
            <w:pPr>
              <w:rPr>
                <w:rFonts w:asciiTheme="minorHAnsi" w:hAnsiTheme="minorHAnsi"/>
                <w:sz w:val="18"/>
                <w:szCs w:val="18"/>
                <w:lang w:eastAsia="en-US"/>
              </w:rPr>
            </w:pPr>
            <w:r>
              <w:rPr>
                <w:rFonts w:asciiTheme="minorHAnsi" w:hAnsiTheme="minorHAnsi"/>
                <w:sz w:val="18"/>
                <w:szCs w:val="18"/>
                <w:lang w:eastAsia="en-US"/>
              </w:rPr>
              <w:t>Perinatal</w:t>
            </w:r>
            <w:r w:rsidR="00FC702B" w:rsidRPr="00E806EF">
              <w:rPr>
                <w:rFonts w:asciiTheme="minorHAnsi" w:hAnsiTheme="minorHAnsi"/>
                <w:sz w:val="18"/>
                <w:szCs w:val="18"/>
                <w:lang w:eastAsia="en-US"/>
              </w:rPr>
              <w:t xml:space="preserve">postnatal </w:t>
            </w:r>
            <w:r w:rsidR="00FC702B" w:rsidRPr="00E806EF">
              <w:rPr>
                <w:rFonts w:asciiTheme="minorHAnsi" w:hAnsiTheme="minorHAnsi"/>
                <w:sz w:val="18"/>
                <w:szCs w:val="18"/>
                <w:vertAlign w:val="superscript"/>
                <w:lang w:eastAsia="en-US"/>
              </w:rPr>
              <w:t>c</w:t>
            </w:r>
          </w:p>
        </w:tc>
        <w:tc>
          <w:tcPr>
            <w:tcW w:w="1080"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R990202</w:t>
            </w:r>
          </w:p>
        </w:tc>
        <w:tc>
          <w:tcPr>
            <w:tcW w:w="1245"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Rat</w:t>
            </w:r>
          </w:p>
        </w:tc>
        <w:tc>
          <w:tcPr>
            <w:tcW w:w="1418"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27 days (GD7</w:t>
            </w:r>
            <w:r w:rsidRPr="00E806EF">
              <w:rPr>
                <w:rFonts w:asciiTheme="minorHAnsi" w:hAnsiTheme="minorHAnsi"/>
                <w:sz w:val="18"/>
                <w:szCs w:val="18"/>
                <w:lang w:eastAsia="en-US"/>
              </w:rPr>
              <w:sym w:font="Symbol" w:char="F02D"/>
            </w:r>
            <w:r w:rsidRPr="00E806EF">
              <w:rPr>
                <w:rFonts w:asciiTheme="minorHAnsi" w:hAnsiTheme="minorHAnsi"/>
                <w:sz w:val="18"/>
                <w:szCs w:val="18"/>
                <w:lang w:eastAsia="en-US"/>
              </w:rPr>
              <w:t>LD20)</w:t>
            </w:r>
          </w:p>
        </w:tc>
        <w:tc>
          <w:tcPr>
            <w:tcW w:w="1134"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150</w:t>
            </w:r>
          </w:p>
        </w:tc>
        <w:tc>
          <w:tcPr>
            <w:tcW w:w="1275"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11,716/NA</w:t>
            </w:r>
          </w:p>
        </w:tc>
        <w:tc>
          <w:tcPr>
            <w:tcW w:w="1418" w:type="dxa"/>
            <w:hideMark/>
          </w:tcPr>
          <w:p w:rsidR="00FC702B" w:rsidRPr="00E806EF" w:rsidRDefault="00FC702B" w:rsidP="00E806EF">
            <w:pPr>
              <w:rPr>
                <w:rFonts w:asciiTheme="minorHAnsi" w:hAnsiTheme="minorHAnsi"/>
                <w:sz w:val="18"/>
                <w:szCs w:val="18"/>
                <w:lang w:eastAsia="en-US"/>
              </w:rPr>
            </w:pPr>
            <w:r w:rsidRPr="00E806EF">
              <w:rPr>
                <w:rFonts w:asciiTheme="minorHAnsi" w:hAnsiTheme="minorHAnsi"/>
                <w:sz w:val="18"/>
                <w:szCs w:val="18"/>
                <w:lang w:eastAsia="en-US"/>
              </w:rPr>
              <w:t>39.99/NA</w:t>
            </w:r>
          </w:p>
        </w:tc>
      </w:tr>
      <w:tr w:rsidR="00FC702B" w:rsidTr="00E806EF">
        <w:tc>
          <w:tcPr>
            <w:tcW w:w="8897" w:type="dxa"/>
            <w:gridSpan w:val="7"/>
            <w:hideMark/>
          </w:tcPr>
          <w:p w:rsidR="00FC702B" w:rsidRPr="00E806EF" w:rsidRDefault="00FC702B" w:rsidP="00E806EF">
            <w:pPr>
              <w:pStyle w:val="TableDescription"/>
            </w:pPr>
            <w:r w:rsidRPr="00E806EF">
              <w:t>NA = not applicable; NC = insufficient data to calculate</w:t>
            </w:r>
          </w:p>
          <w:p w:rsidR="00FC702B" w:rsidRPr="00E806EF" w:rsidRDefault="00FC702B" w:rsidP="00E806EF">
            <w:pPr>
              <w:pStyle w:val="TableDescription"/>
            </w:pPr>
            <w:r w:rsidRPr="00E806EF">
              <w:t xml:space="preserve">a Predicted safety margin for TFV human exposure is based on pooled PK data from E/C/F/TAF </w:t>
            </w:r>
            <w:r w:rsidR="00E04BFC">
              <w:t>Phase III</w:t>
            </w:r>
            <w:r w:rsidRPr="00E806EF">
              <w:t xml:space="preserve"> pivotal studies</w:t>
            </w:r>
          </w:p>
          <w:p w:rsidR="00586A39" w:rsidRDefault="00FC702B" w:rsidP="00E806EF">
            <w:pPr>
              <w:pStyle w:val="TableDescription"/>
            </w:pPr>
            <w:r w:rsidRPr="00E806EF">
              <w:t>GS-US-292-104 and GS-US-292-111 where the mean TFV AUCss = 293 ng.h/mL</w:t>
            </w:r>
            <w:r w:rsidR="00586A39">
              <w:t>;</w:t>
            </w:r>
          </w:p>
          <w:p w:rsidR="00FC702B" w:rsidRPr="00E806EF" w:rsidRDefault="00FC702B" w:rsidP="00E806EF">
            <w:pPr>
              <w:pStyle w:val="TableDescription"/>
            </w:pPr>
            <w:r w:rsidRPr="00E806EF">
              <w:t xml:space="preserve">b Predicted safety margin for TAF human exposure is based on pooled PK data from E/C/F/TAF </w:t>
            </w:r>
            <w:r w:rsidR="00E04BFC">
              <w:t>Phase III</w:t>
            </w:r>
            <w:r w:rsidRPr="00E806EF">
              <w:t xml:space="preserve"> pivotal studies</w:t>
            </w:r>
          </w:p>
          <w:p w:rsidR="00586A39" w:rsidRDefault="00FC702B" w:rsidP="00E806EF">
            <w:pPr>
              <w:pStyle w:val="TableDescription"/>
            </w:pPr>
            <w:r w:rsidRPr="00E806EF">
              <w:t>GS-US-292-104 and GS-US-292-111 where the mean TAF AUCss = 206 ng.h/mL</w:t>
            </w:r>
            <w:r w:rsidR="00586A39">
              <w:t>;</w:t>
            </w:r>
          </w:p>
          <w:p w:rsidR="00FC702B" w:rsidRDefault="00FC702B" w:rsidP="00E806EF">
            <w:pPr>
              <w:pStyle w:val="TableDescription"/>
              <w:rPr>
                <w:lang w:eastAsia="en-US"/>
              </w:rPr>
            </w:pPr>
            <w:r w:rsidRPr="00E806EF">
              <w:t>c NOAEL for reproductive endpoints provided; AUC data is for maternal exposure; the peri/postnatal study was conducted with TDF not TAF</w:t>
            </w:r>
          </w:p>
        </w:tc>
      </w:tr>
    </w:tbl>
    <w:p w:rsidR="00FC702B" w:rsidRDefault="00FC702B" w:rsidP="00E806EF">
      <w:pPr>
        <w:pStyle w:val="Heading5"/>
      </w:pPr>
      <w:r>
        <w:t>Pregnancy classification</w:t>
      </w:r>
    </w:p>
    <w:p w:rsidR="00FC702B" w:rsidRDefault="00FC702B" w:rsidP="00331352">
      <w:r>
        <w:rPr>
          <w:szCs w:val="20"/>
        </w:rPr>
        <w:t xml:space="preserve">The pregnancy category for </w:t>
      </w:r>
      <w:r>
        <w:t>FTC is B1</w:t>
      </w:r>
      <w:r w:rsidR="00E806EF">
        <w:rPr>
          <w:rStyle w:val="FootnoteReference"/>
        </w:rPr>
        <w:footnoteReference w:id="7"/>
      </w:r>
      <w:r>
        <w:t xml:space="preserve"> and for TAF is B3</w:t>
      </w:r>
      <w:r w:rsidR="00E806EF">
        <w:rPr>
          <w:rStyle w:val="FootnoteReference"/>
        </w:rPr>
        <w:footnoteReference w:id="8"/>
      </w:r>
      <w:r>
        <w:t xml:space="preserve">. </w:t>
      </w:r>
      <w:r>
        <w:rPr>
          <w:szCs w:val="20"/>
        </w:rPr>
        <w:t xml:space="preserve">The sponsor has proposed Pregnancy Category B3 </w:t>
      </w:r>
      <w:r>
        <w:t xml:space="preserve">for </w:t>
      </w:r>
      <w:r w:rsidRPr="00E806EF">
        <w:t>Descovy</w:t>
      </w:r>
      <w:r>
        <w:t>, which is appropriate.</w:t>
      </w:r>
    </w:p>
    <w:p w:rsidR="008E7846" w:rsidRDefault="008E7846" w:rsidP="008E7846">
      <w:pPr>
        <w:pStyle w:val="Heading3"/>
      </w:pPr>
      <w:bookmarkStart w:id="68" w:name="_Toc470175476"/>
      <w:r>
        <w:t>Nonclinical summary and conclusions</w:t>
      </w:r>
      <w:bookmarkEnd w:id="62"/>
      <w:bookmarkEnd w:id="63"/>
      <w:bookmarkEnd w:id="68"/>
    </w:p>
    <w:p w:rsidR="00586A39" w:rsidRDefault="00FC702B" w:rsidP="00331352">
      <w:pPr>
        <w:pStyle w:val="ListBullet"/>
      </w:pPr>
      <w:bookmarkStart w:id="69" w:name="_Toc196046462"/>
      <w:bookmarkStart w:id="70" w:name="_Toc247691516"/>
      <w:bookmarkStart w:id="71" w:name="_Toc314842500"/>
      <w:bookmarkStart w:id="72" w:name="_Toc163441353"/>
      <w:bookmarkStart w:id="73" w:name="_Toc163441348"/>
      <w:r w:rsidRPr="00331352">
        <w:t>The daily FTC dose of 200 mg in Descovy is the same as the approved once daily combination products, Truvada, Atripla, Stribild and Genvoya. TAF is an oral prodrug of tenofovir with an improved renal and bone toxicity profile to the previously registered tenofovir disoproxil fumarate (TDF). TAF has been registered at a daily dose of 10 mg for use in combination with emtricitabine (FTC), elvitegravir (EVG), and cobicistat (COBI) in Genvoya. The lower TAF dose of 10 mg TAF in Descovy is recommended in combination with a protease inhibitor (</w:t>
      </w:r>
      <w:r w:rsidR="00B10B7D">
        <w:t>such as</w:t>
      </w:r>
      <w:r w:rsidRPr="00331352">
        <w:t xml:space="preserve"> atazanavir, darunavir</w:t>
      </w:r>
      <w:r w:rsidR="00B10B7D">
        <w:t xml:space="preserve"> and</w:t>
      </w:r>
      <w:r w:rsidRPr="00331352">
        <w:t xml:space="preserve"> lopinavir) boosted with either ritonavir or cobicistat, that substantially increase TAF exposure by inhibition of intestinal P-glycoprotein</w:t>
      </w:r>
      <w:r w:rsidR="00586A39">
        <w:t>.</w:t>
      </w:r>
    </w:p>
    <w:p w:rsidR="00FC702B" w:rsidRPr="00331352" w:rsidRDefault="00FC702B" w:rsidP="00331352">
      <w:pPr>
        <w:pStyle w:val="ListBullet"/>
      </w:pPr>
      <w:r w:rsidRPr="00331352">
        <w:lastRenderedPageBreak/>
        <w:t xml:space="preserve">The one new </w:t>
      </w:r>
      <w:r w:rsidR="00B10B7D">
        <w:t xml:space="preserve">nonclinical </w:t>
      </w:r>
      <w:r w:rsidRPr="00331352">
        <w:t xml:space="preserve">secondary pharmacology study regarding TAF metabolites found that M28 showed very weak inhibition of HIV-1 replication with </w:t>
      </w:r>
      <w:r w:rsidR="00B10B7D">
        <w:t xml:space="preserve">≤ </w:t>
      </w:r>
      <w:r w:rsidRPr="00331352">
        <w:t>2630</w:t>
      </w:r>
      <w:r w:rsidR="00B10B7D">
        <w:t xml:space="preserve"> times</w:t>
      </w:r>
      <w:r w:rsidRPr="00331352">
        <w:t xml:space="preserve"> lower inhibitory potency compared to TAF. In comparison, M18 showed higher antiviral activity, however values were </w:t>
      </w:r>
      <w:r w:rsidR="00B10B7D">
        <w:t xml:space="preserve">≤ </w:t>
      </w:r>
      <w:r w:rsidRPr="00331352">
        <w:t>130</w:t>
      </w:r>
      <w:r w:rsidR="00B10B7D">
        <w:t xml:space="preserve"> times</w:t>
      </w:r>
      <w:r w:rsidRPr="00331352">
        <w:t xml:space="preserve"> lower in potency compared to TAF. The TAF metabolites had no observed cellular toxicity up to the highest tested drug concentration of 57 µM.</w:t>
      </w:r>
    </w:p>
    <w:p w:rsidR="00FC702B" w:rsidRPr="00331352" w:rsidRDefault="00FC702B" w:rsidP="00331352">
      <w:pPr>
        <w:pStyle w:val="ListBullet"/>
      </w:pPr>
      <w:r w:rsidRPr="00331352">
        <w:t>No toxicity studies with FTC in combination with TAF were submitted, and adequate scientific justification was provided for their absence. The ICH M3 (R2) – questions and answers guideline</w:t>
      </w:r>
      <w:r w:rsidR="00B10B7D" w:rsidRPr="00B10B7D">
        <w:rPr>
          <w:vertAlign w:val="superscript"/>
        </w:rPr>
        <w:fldChar w:fldCharType="begin"/>
      </w:r>
      <w:r w:rsidR="00B10B7D" w:rsidRPr="00B10B7D">
        <w:rPr>
          <w:vertAlign w:val="superscript"/>
        </w:rPr>
        <w:instrText xml:space="preserve"> NOTEREF _Ref465866145 \h </w:instrText>
      </w:r>
      <w:r w:rsidR="00B10B7D">
        <w:rPr>
          <w:vertAlign w:val="superscript"/>
        </w:rPr>
        <w:instrText xml:space="preserve"> \* MERGEFORMAT </w:instrText>
      </w:r>
      <w:r w:rsidR="00B10B7D" w:rsidRPr="00B10B7D">
        <w:rPr>
          <w:vertAlign w:val="superscript"/>
        </w:rPr>
      </w:r>
      <w:r w:rsidR="00B10B7D" w:rsidRPr="00B10B7D">
        <w:rPr>
          <w:vertAlign w:val="superscript"/>
        </w:rPr>
        <w:fldChar w:fldCharType="separate"/>
      </w:r>
      <w:r w:rsidR="00020C24">
        <w:rPr>
          <w:vertAlign w:val="superscript"/>
        </w:rPr>
        <w:t>4</w:t>
      </w:r>
      <w:r w:rsidR="00B10B7D" w:rsidRPr="00B10B7D">
        <w:rPr>
          <w:vertAlign w:val="superscript"/>
        </w:rPr>
        <w:fldChar w:fldCharType="end"/>
      </w:r>
      <w:r w:rsidRPr="00331352">
        <w:t xml:space="preserve"> states </w:t>
      </w:r>
      <w:r w:rsidR="00B10B7D">
        <w:t>‘</w:t>
      </w:r>
      <w:r w:rsidRPr="00B10B7D">
        <w:rPr>
          <w:i/>
        </w:rPr>
        <w:t xml:space="preserve">It is accepted that combination toxicity studies on … HIV products are generally not warranted unless there is a specific cause for concern under </w:t>
      </w:r>
      <w:r w:rsidR="00B10B7D" w:rsidRPr="00B10B7D">
        <w:rPr>
          <w:i/>
        </w:rPr>
        <w:t>clinically relevant conditions.</w:t>
      </w:r>
      <w:r w:rsidR="00B10B7D">
        <w:t>’</w:t>
      </w:r>
      <w:r w:rsidRPr="00331352">
        <w:t xml:space="preserve"> Although the TAF high-dose of 25 mg/day in the FTC/TAF combination is higher than the TAF dose of 10 mg/day in Genvoya, the sponsor claimed that 2 pivotal clinical studies demonstrated bioequivalence of TAF and FTC between the 2 combinations.</w:t>
      </w:r>
    </w:p>
    <w:p w:rsidR="00FC702B" w:rsidRDefault="00FC702B" w:rsidP="00331352">
      <w:pPr>
        <w:pStyle w:val="ListBullet"/>
        <w:rPr>
          <w:kern w:val="2"/>
        </w:rPr>
      </w:pPr>
      <w:r>
        <w:rPr>
          <w:kern w:val="2"/>
        </w:rPr>
        <w:t xml:space="preserve">There are no nonclinical objections to the registration of </w:t>
      </w:r>
      <w:proofErr w:type="gramStart"/>
      <w:r w:rsidRPr="00B10B7D">
        <w:t>Descovy</w:t>
      </w:r>
      <w:r>
        <w:t>,</w:t>
      </w:r>
      <w:proofErr w:type="gramEnd"/>
      <w:r>
        <w:t xml:space="preserve"> provided that the clinical evaluator is satisfied that bioequivalence has been demonstrated between TAF 10 mg (with ritonavir or cobicistat) and 25 mg (without booster) and emtricitabine in </w:t>
      </w:r>
      <w:r w:rsidRPr="00B10B7D">
        <w:t>Descovy and Genvoya</w:t>
      </w:r>
      <w:r>
        <w:t>.</w:t>
      </w:r>
    </w:p>
    <w:p w:rsidR="00FC702B" w:rsidRDefault="00B10B7D" w:rsidP="00331352">
      <w:pPr>
        <w:pStyle w:val="ListBullet"/>
        <w:rPr>
          <w:kern w:val="2"/>
        </w:rPr>
      </w:pPr>
      <w:r>
        <w:rPr>
          <w:kern w:val="2"/>
        </w:rPr>
        <w:t xml:space="preserve">Amendments to the </w:t>
      </w:r>
      <w:r w:rsidR="00FC702B">
        <w:rPr>
          <w:kern w:val="2"/>
        </w:rPr>
        <w:t xml:space="preserve">draft Product Information </w:t>
      </w:r>
      <w:r>
        <w:rPr>
          <w:kern w:val="2"/>
        </w:rPr>
        <w:t xml:space="preserve">were recommended but these are </w:t>
      </w:r>
      <w:r w:rsidR="00CC7403">
        <w:rPr>
          <w:kern w:val="2"/>
        </w:rPr>
        <w:t>beyond</w:t>
      </w:r>
      <w:r>
        <w:rPr>
          <w:kern w:val="2"/>
        </w:rPr>
        <w:t xml:space="preserve"> the scope of this AusPAR</w:t>
      </w:r>
      <w:r w:rsidR="00FC702B">
        <w:rPr>
          <w:kern w:val="2"/>
        </w:rPr>
        <w:t>.</w:t>
      </w:r>
    </w:p>
    <w:p w:rsidR="008E7846" w:rsidRPr="00254787" w:rsidRDefault="008E7846" w:rsidP="008E7846">
      <w:pPr>
        <w:pStyle w:val="Heading2"/>
      </w:pPr>
      <w:bookmarkStart w:id="74" w:name="_Toc470175477"/>
      <w:r>
        <w:t xml:space="preserve">IV. </w:t>
      </w:r>
      <w:r w:rsidRPr="00254787">
        <w:t>Clinical</w:t>
      </w:r>
      <w:bookmarkEnd w:id="69"/>
      <w:r>
        <w:t xml:space="preserve"> </w:t>
      </w:r>
      <w:r w:rsidR="003A7F6C">
        <w:t>f</w:t>
      </w:r>
      <w:r>
        <w:t>indings</w:t>
      </w:r>
      <w:bookmarkEnd w:id="70"/>
      <w:bookmarkEnd w:id="71"/>
      <w:bookmarkEnd w:id="74"/>
    </w:p>
    <w:p w:rsidR="00C80137" w:rsidRDefault="00C80137" w:rsidP="00D425BB">
      <w:bookmarkStart w:id="7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6" w:name="_Toc247691517"/>
      <w:bookmarkStart w:id="77" w:name="_Toc314842501"/>
      <w:bookmarkStart w:id="78" w:name="_Toc470175478"/>
      <w:r w:rsidRPr="00254787">
        <w:t>Introduction</w:t>
      </w:r>
      <w:bookmarkEnd w:id="75"/>
      <w:bookmarkEnd w:id="76"/>
      <w:bookmarkEnd w:id="77"/>
      <w:bookmarkEnd w:id="78"/>
    </w:p>
    <w:p w:rsidR="00605AD4" w:rsidRDefault="00605AD4" w:rsidP="00605AD4">
      <w:pPr>
        <w:pStyle w:val="Heading4"/>
      </w:pPr>
      <w:bookmarkStart w:id="79" w:name="_Toc196046464"/>
      <w:bookmarkStart w:id="80" w:name="_Toc247691518"/>
      <w:bookmarkStart w:id="81" w:name="_Toc314842502"/>
      <w:r w:rsidRPr="00605AD4">
        <w:t xml:space="preserve">Clinical </w:t>
      </w:r>
      <w:r w:rsidR="00EF59DC">
        <w:t>r</w:t>
      </w:r>
      <w:r w:rsidRPr="00605AD4">
        <w:t>ationale</w:t>
      </w:r>
    </w:p>
    <w:p w:rsidR="00B14064" w:rsidRDefault="00B14064" w:rsidP="001865AA">
      <w:r>
        <w:t>Standard of care for the treatment of HIV-1 infection uses combination antiretroviral therapy (ART) to suppress viral replication to below detectable limits, increase CD4 cell counts, and stop disease progression. For ART-naive HIV-1 infected patients, current treatment guidelines suggest that initial therapy consist of 2 nucleos(t)ide reverse transcriptase inhibitors (N[t]RTI) and either a non-nucleoside reverse transcriptase inhibitor (NNRTI), a boosted protease inhibitor (PI), or an integrase strand-transfer inhibitor (INSTI).</w:t>
      </w:r>
    </w:p>
    <w:p w:rsidR="00B14064" w:rsidRDefault="00B14064" w:rsidP="001865AA">
      <w:r>
        <w:t>The success of potent and well-tolerated antiretroviral therapy (ART) means that morbidity and mortality in the HIV-infected population is increasingly driven by non-AIDS–associated co-morbidities. Clinical attention has become more</w:t>
      </w:r>
      <w:r w:rsidR="00E04BFC">
        <w:t xml:space="preserve"> focused on the optimis</w:t>
      </w:r>
      <w:r>
        <w:t xml:space="preserve">ation of tolerability, long-term safety, and adherence to potent ART regimens. There remains a significant medical need for new, effective therapies that take into consideration the non-HIV co-morbidities, demographics of the aging HIV-infected population, antiretroviral (ARV) resistance, and regimen simplification. Chronic kidney disease is important, since observational studies have demonstrated a relationship between kidney disease and progression to AIDS and death. Moreover, HIV-associated nephropathy present in up to 30% of patients is a common cause of end-stage renal disease (ESRD) requiring dialysis and potential transplantation. ART with proven efficacy and safety in the both elderly and young patients is important; however there are limited data and treatment options are available in both populations. The elderly have increased risks for co-morbidities, including those related to renal function and bone mineralisation. </w:t>
      </w:r>
      <w:r>
        <w:lastRenderedPageBreak/>
        <w:t>There are specific and complex challenges for the treatment of adolescents, especially related to adherence, and who also represent the population that will require ART for the longest time.</w:t>
      </w:r>
    </w:p>
    <w:p w:rsidR="00586A39" w:rsidRDefault="00B14064" w:rsidP="001865AA">
      <w:r>
        <w:t>Given the duration for which a newly diagnosed person with HIV-1 may take an ART regimen throughout his or her lifetime, the F/TAF (Descovy) tablet, when administered with other antiretroviral agents, may provide the potential for the longevity of treatment that optimi</w:t>
      </w:r>
      <w:r w:rsidR="00E04BFC">
        <w:t>s</w:t>
      </w:r>
      <w:r>
        <w:t>es tolerability, long-term safety and durable efficacy. For HIV-infected patients, Descovy may have advantages over the existing marketed product of Truvada; specifically less proteinuria, less need for renal monitoring and less impact on bone mineralisation relative to F/TDF treatment. The relatively low dose of TAF (10 mg v</w:t>
      </w:r>
      <w:r w:rsidR="00E04BFC">
        <w:t>ersu</w:t>
      </w:r>
      <w:r>
        <w:t>s TDF 300 mg) that is used in the boosted F/TAF also allows for co-formulation and co-administration with multiple other third ARV agents. This will allow HIV-infected, virologically suppressed patients to convert from a TDF-based regimen with possible renal and bone safety advantages</w:t>
      </w:r>
      <w:r w:rsidR="00586A39">
        <w:t>.</w:t>
      </w:r>
    </w:p>
    <w:p w:rsidR="00B14064" w:rsidRDefault="00B14064" w:rsidP="00E04BFC">
      <w:pPr>
        <w:pStyle w:val="Comment"/>
      </w:pPr>
      <w:r>
        <w:rPr>
          <w:b/>
        </w:rPr>
        <w:t>Comment</w:t>
      </w:r>
      <w:r>
        <w:t>:</w:t>
      </w:r>
      <w:r w:rsidR="00586A39">
        <w:t xml:space="preserve"> </w:t>
      </w:r>
      <w:r>
        <w:t>The rationale for developing HIV-1 therapies that have long-term effectiveness while minimising non-HIV related morbidities is an essential goal.</w:t>
      </w:r>
    </w:p>
    <w:p w:rsidR="00605AD4" w:rsidRDefault="00605AD4" w:rsidP="00605AD4">
      <w:pPr>
        <w:pStyle w:val="Heading4"/>
      </w:pPr>
      <w:r w:rsidRPr="00605AD4">
        <w:t>Guidance</w:t>
      </w:r>
    </w:p>
    <w:p w:rsidR="00586A39" w:rsidRDefault="00B14064" w:rsidP="001865AA">
      <w:r>
        <w:t xml:space="preserve">During pre-submission, the TGA noted that there were no clinical Phase </w:t>
      </w:r>
      <w:r w:rsidR="00E04BFC">
        <w:t>III</w:t>
      </w:r>
      <w:r>
        <w:t xml:space="preserve"> studies being submitted to support the clinical safety and efficacy of the proposed FDC. This was accepted by the </w:t>
      </w:r>
      <w:r w:rsidR="00E04BFC">
        <w:t>s</w:t>
      </w:r>
      <w:r>
        <w:t xml:space="preserve">ponsor who observed that the Phase </w:t>
      </w:r>
      <w:r w:rsidR="00E04BFC">
        <w:t>III</w:t>
      </w:r>
      <w:r>
        <w:t xml:space="preserve"> study results may be available at the second round question/follow-up stage of the submission process. The relevant study may be </w:t>
      </w:r>
      <w:r w:rsidRPr="00E04BFC">
        <w:t>GS-US-311-1089</w:t>
      </w:r>
      <w:r>
        <w:t xml:space="preserve"> which is a Phase </w:t>
      </w:r>
      <w:r w:rsidR="00E04BFC">
        <w:t>III</w:t>
      </w:r>
      <w:r>
        <w:t xml:space="preserve"> study. The justifi</w:t>
      </w:r>
      <w:r w:rsidR="00E04BFC">
        <w:t>cation for not including Phase III</w:t>
      </w:r>
      <w:r>
        <w:t xml:space="preserve"> data with this submission is based on the bioequivalence between the Genvoya clinical trial data and the bioavailability studies of Descovy which form the basis of this submission.</w:t>
      </w:r>
      <w:r w:rsidR="00586A39">
        <w:t xml:space="preserve"> </w:t>
      </w:r>
      <w:r w:rsidR="00D45320">
        <w:t>The TGA noted that a lack of Phase III studies would be an evaluation issue, and a strong justification would be required at pre-submission</w:t>
      </w:r>
      <w:r w:rsidR="00586A39">
        <w:t>.</w:t>
      </w:r>
    </w:p>
    <w:p w:rsidR="00B14064" w:rsidRDefault="00E713A7" w:rsidP="001865AA">
      <w:r>
        <w:t xml:space="preserve"> </w:t>
      </w:r>
      <w:r w:rsidR="00D45320">
        <w:t>T</w:t>
      </w:r>
      <w:r>
        <w:t xml:space="preserve">he evaluator notes </w:t>
      </w:r>
      <w:r w:rsidR="00006A96">
        <w:t xml:space="preserve">here </w:t>
      </w:r>
      <w:r>
        <w:t xml:space="preserve">that </w:t>
      </w:r>
      <w:r w:rsidR="00B14064">
        <w:t xml:space="preserve">there remains the critically important issue of both a lack of direct clinical Phase </w:t>
      </w:r>
      <w:r w:rsidR="00E04BFC">
        <w:t>III</w:t>
      </w:r>
      <w:r w:rsidR="00B14064">
        <w:t xml:space="preserve"> data in the target population and clinical trial data on the use of F/TAF with other antiretroviral agents that are boosted with Ritonavir</w:t>
      </w:r>
      <w:r w:rsidR="00E04BFC">
        <w:t>, for example</w:t>
      </w:r>
      <w:r w:rsidR="00B14064">
        <w:t xml:space="preserve"> lopinavir, darunavir and atazanavir and those not boosted with either cobicistat or ritonavir. Preliminary bioequivalence data are available and presented in this assessment but there are no clinical </w:t>
      </w:r>
      <w:r w:rsidR="00CC7403">
        <w:t>data</w:t>
      </w:r>
      <w:r w:rsidR="00B14064">
        <w:t xml:space="preserve">, except for the Genvoya clinical trial data. Study </w:t>
      </w:r>
      <w:r w:rsidR="00B14064" w:rsidRPr="00E04BFC">
        <w:t>GS-US-120-0118</w:t>
      </w:r>
      <w:r w:rsidR="00B14064">
        <w:t xml:space="preserve"> has been submitted as a Phase </w:t>
      </w:r>
      <w:r w:rsidR="00E04BFC">
        <w:t>I</w:t>
      </w:r>
      <w:r w:rsidR="00B14064">
        <w:t xml:space="preserve"> bioequivalence drug-drug interaction study that will be discussed. This will be highlighted throughout the assessment and represents a major omission by the sponsor</w:t>
      </w:r>
    </w:p>
    <w:p w:rsidR="00B14064" w:rsidRDefault="00B14064" w:rsidP="00B14064">
      <w:pPr>
        <w:jc w:val="both"/>
      </w:pPr>
      <w:r>
        <w:t>TGA has adopted the following EU guidelines relevant to this submission:</w:t>
      </w:r>
    </w:p>
    <w:p w:rsidR="00E04BFC" w:rsidRDefault="00B14064" w:rsidP="00E04BFC">
      <w:pPr>
        <w:pStyle w:val="ListBullet"/>
      </w:pPr>
      <w:r w:rsidRPr="00E04BFC">
        <w:t>Guideline on the Clinical Development of Medicinal Products for the Treatment of HIV Infection EMEA/CPMP/EWP/633/02 Revision 2, which came into effect in June 2009 and as adopted by TGA in July 2009</w:t>
      </w:r>
    </w:p>
    <w:p w:rsidR="00E04BFC" w:rsidRDefault="00B14064" w:rsidP="00E04BFC">
      <w:pPr>
        <w:pStyle w:val="ListBullet"/>
      </w:pPr>
      <w:r w:rsidRPr="00E04BFC">
        <w:t>Points to Consider on Switching Between Superiority and Non inferiority CPMP/EWP/482/99, which came into effect in July 2000 and was adopted by TGA in June 2000</w:t>
      </w:r>
    </w:p>
    <w:p w:rsidR="00B14064" w:rsidRPr="00E04BFC" w:rsidRDefault="00B14064" w:rsidP="00E04BFC">
      <w:pPr>
        <w:pStyle w:val="ListBullet"/>
      </w:pPr>
      <w:r w:rsidRPr="00E04BFC">
        <w:t>Guideline on Reporting the Results of Population Pharmacokinetic Analyses. CHMP/EWP/185990/06 which came into effect in January 2008 and was adopted by TGA in February 2009</w:t>
      </w:r>
    </w:p>
    <w:p w:rsidR="00605AD4" w:rsidRDefault="00605AD4" w:rsidP="00605AD4">
      <w:pPr>
        <w:pStyle w:val="Heading4"/>
      </w:pPr>
      <w:r w:rsidRPr="00605AD4">
        <w:lastRenderedPageBreak/>
        <w:t>Contents of the clinical dossier</w:t>
      </w:r>
    </w:p>
    <w:p w:rsidR="00B14064" w:rsidRDefault="00B14064" w:rsidP="001865AA">
      <w:pPr>
        <w:pStyle w:val="Heading5"/>
      </w:pPr>
      <w:bookmarkStart w:id="82" w:name="_Toc435440649"/>
      <w:bookmarkStart w:id="83" w:name="_Toc290846234"/>
      <w:r>
        <w:t>Scope of the clinical dossier</w:t>
      </w:r>
      <w:bookmarkEnd w:id="82"/>
      <w:bookmarkEnd w:id="83"/>
    </w:p>
    <w:p w:rsidR="00B14064" w:rsidRDefault="00B14064" w:rsidP="001865AA">
      <w:r>
        <w:t>The submission is divided into two components</w:t>
      </w:r>
    </w:p>
    <w:p w:rsidR="00E04BFC" w:rsidRDefault="00B14064" w:rsidP="008342C8">
      <w:pPr>
        <w:pStyle w:val="Numberbullet0"/>
        <w:numPr>
          <w:ilvl w:val="0"/>
          <w:numId w:val="9"/>
        </w:numPr>
      </w:pPr>
      <w:r w:rsidRPr="00E04BFC">
        <w:t xml:space="preserve">The two bioequivalence studies describing the bioequivalence of F/TAF as stand-alone FDC when compared with the Genvoya FDC, which contains F/TAF and for which there are substantial Phase </w:t>
      </w:r>
      <w:r w:rsidR="00E04BFC">
        <w:t>III</w:t>
      </w:r>
      <w:r w:rsidRPr="00E04BFC">
        <w:t xml:space="preserve"> efficacy and safety data. The bioequivalence data are for the FDC F/TAF 200</w:t>
      </w:r>
      <w:r w:rsidR="00E04BFC">
        <w:t xml:space="preserve"> </w:t>
      </w:r>
      <w:r w:rsidRPr="00E04BFC">
        <w:t>mg/1</w:t>
      </w:r>
      <w:r w:rsidR="00E04BFC">
        <w:t>0 mg</w:t>
      </w:r>
      <w:r w:rsidRPr="00E04BFC">
        <w:t xml:space="preserve"> and F/TAF 200</w:t>
      </w:r>
      <w:r w:rsidR="00E04BFC">
        <w:t xml:space="preserve"> </w:t>
      </w:r>
      <w:r w:rsidRPr="00E04BFC">
        <w:t>mg/25</w:t>
      </w:r>
      <w:r w:rsidR="00E04BFC">
        <w:t xml:space="preserve"> </w:t>
      </w:r>
      <w:r w:rsidRPr="00E04BFC">
        <w:t>mg as studies GS-US-311-1472 and GS-US-311-1473. The additional study, not included in the Genvoya dossier, is the GS-US-311-1</w:t>
      </w:r>
      <w:r w:rsidR="009157B3">
        <w:t>0</w:t>
      </w:r>
      <w:r w:rsidRPr="00E04BFC">
        <w:t xml:space="preserve">89, which is a preliminary PK report of TFV-DP in PBMCs in a cohort of patients who are enrolled in a pivotal </w:t>
      </w:r>
      <w:r w:rsidR="00E04BFC">
        <w:t>Phase III</w:t>
      </w:r>
      <w:r w:rsidRPr="00E04BFC">
        <w:t xml:space="preserve"> clinical efficacy and safety study of Descovy versus Truvada and various third agents, both boosted and unboosted. This study has not been reported in full as it appears not to have been completed and analysed at the time of this submission.</w:t>
      </w:r>
    </w:p>
    <w:p w:rsidR="00586A39" w:rsidRDefault="00B14064" w:rsidP="008342C8">
      <w:pPr>
        <w:pStyle w:val="Numberbullet0"/>
        <w:numPr>
          <w:ilvl w:val="0"/>
          <w:numId w:val="9"/>
        </w:numPr>
      </w:pPr>
      <w:r w:rsidRPr="00E04BFC">
        <w:t>The sponsor has included, in this submission, the total dossier for their Genvoya application in order to support</w:t>
      </w:r>
      <w:r>
        <w:t xml:space="preserve"> their supposition that, as there is bioequivalence between F/TAF as an FDC and F/TAF as a component of Genvoya, the </w:t>
      </w:r>
      <w:r w:rsidR="00E04BFC">
        <w:t>Phase III</w:t>
      </w:r>
      <w:r>
        <w:t xml:space="preserve"> clinical trial data for Genvoya should be considered in the assessment of this Descovy application. In total, the sponsor has submitted 27 study dossiers of clinical trial data, in addition to clinical discussion papers. Many of these studies overlap in terms of their objectives and therefore cannot be clearly categorised as efficacy, safety or pharmacokinetics/pharmacodynamics. The assessor has focussed on the most relevant and pivotal studies for review as many of the studies submitted have </w:t>
      </w:r>
      <w:r w:rsidRPr="007606E1">
        <w:t>identical designs, methodologies and analytical frameworks and geographic locations</w:t>
      </w:r>
      <w:r w:rsidR="00586A39">
        <w:t>.</w:t>
      </w:r>
    </w:p>
    <w:p w:rsidR="00586A39" w:rsidRDefault="00A25E0E" w:rsidP="0098210B">
      <w:r w:rsidRPr="007606E1">
        <w:t xml:space="preserve">The following clinical data </w:t>
      </w:r>
      <w:r w:rsidR="00BF16A3">
        <w:t xml:space="preserve">from the Genvoya application </w:t>
      </w:r>
      <w:r w:rsidRPr="007606E1">
        <w:t>were submitted</w:t>
      </w:r>
      <w:r w:rsidR="00586A39">
        <w:t>:</w:t>
      </w:r>
    </w:p>
    <w:p w:rsidR="00B14064" w:rsidRPr="007606E1" w:rsidRDefault="00B14064" w:rsidP="0098210B">
      <w:pPr>
        <w:pStyle w:val="ListBullet"/>
      </w:pPr>
      <w:r w:rsidRPr="007606E1">
        <w:t xml:space="preserve">15 Phase </w:t>
      </w:r>
      <w:r w:rsidR="00A25E0E" w:rsidRPr="007606E1">
        <w:t>I</w:t>
      </w:r>
      <w:r w:rsidRPr="007606E1">
        <w:t xml:space="preserve"> and Phase </w:t>
      </w:r>
      <w:r w:rsidR="00A25E0E" w:rsidRPr="007606E1">
        <w:t>II</w:t>
      </w:r>
      <w:r w:rsidRPr="007606E1">
        <w:t xml:space="preserve"> studies of clinical pharmacology, including 10 that provided pharmacokinetic data and 5 that provided pharmacodynamic data. For further detailed analysis of these studies please refer to assessment for Genvoya</w:t>
      </w:r>
      <w:r w:rsidR="00A25E0E" w:rsidRPr="007606E1">
        <w:t xml:space="preserve"> (</w:t>
      </w:r>
      <w:r w:rsidR="007606E1" w:rsidRPr="007606E1">
        <w:t>Genvoya AusP</w:t>
      </w:r>
      <w:r w:rsidR="00A25E0E" w:rsidRPr="007606E1">
        <w:t>AR (</w:t>
      </w:r>
      <w:r w:rsidR="007606E1" w:rsidRPr="007606E1">
        <w:t>https://www.tga.gov.au/auspar/auspar-tenofovir-alafenamide-fumarate-elvitegravir-cobicistat-emtricitabine</w:t>
      </w:r>
      <w:r w:rsidR="00A25E0E" w:rsidRPr="007606E1">
        <w:t>))</w:t>
      </w:r>
      <w:r w:rsidRPr="007606E1">
        <w:t>.</w:t>
      </w:r>
    </w:p>
    <w:p w:rsidR="00B14064" w:rsidRDefault="00B14064" w:rsidP="0098210B">
      <w:pPr>
        <w:pStyle w:val="ListBullet"/>
      </w:pPr>
      <w:r>
        <w:t xml:space="preserve">2 pivotal efficacy/safety studies </w:t>
      </w:r>
      <w:r w:rsidRPr="00A25E0E">
        <w:t>GS-US-292-0104 and GS-US-292-0111.</w:t>
      </w:r>
      <w:r w:rsidR="00A25E0E">
        <w:t xml:space="preserve"> Both studies are randomis</w:t>
      </w:r>
      <w:r>
        <w:t>ed; double-blind trials conducted in HIV-1 infected adults and provide a direct comparison of E/C/F/TAF (Genvoya) with E/C/F/TDF (Stribild), the currently approved and marketed FDC.</w:t>
      </w:r>
    </w:p>
    <w:p w:rsidR="00A70509" w:rsidRPr="00A25E0E" w:rsidRDefault="00B14064" w:rsidP="0098210B">
      <w:pPr>
        <w:pStyle w:val="ListBullet"/>
      </w:pPr>
      <w:r>
        <w:t xml:space="preserve">Additional studies include </w:t>
      </w:r>
      <w:r w:rsidRPr="00A25E0E">
        <w:t xml:space="preserve">GS-US-292-0109; a </w:t>
      </w:r>
      <w:r w:rsidR="00E04BFC" w:rsidRPr="00A25E0E">
        <w:t>Phase III</w:t>
      </w:r>
      <w:r w:rsidRPr="00A25E0E">
        <w:t xml:space="preserve">, open-label study to evaluate the potential renal and/or bone mineralisation benefits of switching from a TDF-based regimen to the </w:t>
      </w:r>
      <w:r w:rsidR="00AA3643" w:rsidRPr="00A25E0E">
        <w:t>Genvoya</w:t>
      </w:r>
      <w:r w:rsidRPr="00A25E0E">
        <w:t xml:space="preserve"> in virologically-suppressed HIV-1 positive subjects; GS-US-292-0112; an open-label study of </w:t>
      </w:r>
      <w:r w:rsidR="00AA3643" w:rsidRPr="00A25E0E">
        <w:t>Genvoya</w:t>
      </w:r>
      <w:r w:rsidRPr="00A25E0E">
        <w:t xml:space="preserve"> in patients with mild to moderate renal impairment and GS-US-292-0106; an open-label study of </w:t>
      </w:r>
      <w:r w:rsidR="00AA3643" w:rsidRPr="00A25E0E">
        <w:t>Genvoya</w:t>
      </w:r>
      <w:r w:rsidRPr="00A25E0E">
        <w:t xml:space="preserve"> in HIV-infected treatment naive adolescents</w:t>
      </w:r>
      <w:r w:rsidR="00A70509">
        <w:t>.</w:t>
      </w:r>
    </w:p>
    <w:p w:rsidR="00B14064" w:rsidRPr="00A25E0E" w:rsidRDefault="00B14064" w:rsidP="001865AA">
      <w:pPr>
        <w:pStyle w:val="ListBullet"/>
      </w:pPr>
      <w:r w:rsidRPr="00A25E0E">
        <w:t>Data on the bioequivalence of Descovy with a range of third antiretroviral agents are submitted in GS-US-120-0118.</w:t>
      </w:r>
    </w:p>
    <w:p w:rsidR="00605AD4" w:rsidRDefault="00605AD4" w:rsidP="00605AD4">
      <w:pPr>
        <w:pStyle w:val="Heading4"/>
      </w:pPr>
      <w:r w:rsidRPr="00605AD4">
        <w:t>Paediatric data</w:t>
      </w:r>
    </w:p>
    <w:p w:rsidR="00B14064" w:rsidRDefault="00B14064" w:rsidP="001865AA">
      <w:r>
        <w:t>The submission included paediatric data as related to clinical studies on Genvoya, not specifically on Descovy. The Genvoya data are provided on HIV</w:t>
      </w:r>
      <w:r w:rsidR="00A25E0E">
        <w:t xml:space="preserve"> </w:t>
      </w:r>
      <w:r>
        <w:t>infected treatment naive adolescents 12 years old or greater (</w:t>
      </w:r>
      <w:r w:rsidRPr="00A25E0E">
        <w:t>GS-US-292-0106</w:t>
      </w:r>
      <w:r>
        <w:t>). There are no bioequivalence or clinical data for Descovy in adolescents. This is especially relevant in relation to the recommended use of Descovy 20</w:t>
      </w:r>
      <w:r w:rsidR="00E04BFC">
        <w:t>0 mg</w:t>
      </w:r>
      <w:r>
        <w:t>/1</w:t>
      </w:r>
      <w:r w:rsidR="00E04BFC">
        <w:t>0 mg</w:t>
      </w:r>
      <w:r>
        <w:t xml:space="preserve"> administered in combination with anti-</w:t>
      </w:r>
      <w:r>
        <w:lastRenderedPageBreak/>
        <w:t>retroviral therapies boosted by Ritonavir and those in the 20</w:t>
      </w:r>
      <w:r w:rsidR="00E04BFC">
        <w:t>0 mg</w:t>
      </w:r>
      <w:r>
        <w:t>/2</w:t>
      </w:r>
      <w:r w:rsidR="00E04BFC">
        <w:t>5 mg</w:t>
      </w:r>
      <w:r>
        <w:t xml:space="preserve"> dosage not boosted with either cobicistat or ritonavir.</w:t>
      </w:r>
    </w:p>
    <w:p w:rsidR="00B14064" w:rsidRDefault="00B14064" w:rsidP="001865AA">
      <w:pPr>
        <w:pStyle w:val="Heading4"/>
      </w:pPr>
      <w:bookmarkStart w:id="84" w:name="_Toc435440651"/>
      <w:bookmarkStart w:id="85" w:name="_Toc290846236"/>
      <w:bookmarkStart w:id="86" w:name="_Toc272414612"/>
      <w:r>
        <w:t>Good clinical practice</w:t>
      </w:r>
      <w:bookmarkEnd w:id="84"/>
      <w:bookmarkEnd w:id="85"/>
      <w:bookmarkEnd w:id="86"/>
    </w:p>
    <w:p w:rsidR="00B14064" w:rsidRDefault="00B14064" w:rsidP="001865AA">
      <w:bookmarkStart w:id="87" w:name="_Toc241374282"/>
      <w:r>
        <w:t xml:space="preserve">The clinical studies reviewed in this evaluation were in compliance with </w:t>
      </w:r>
      <w:r w:rsidRPr="00A25E0E">
        <w:t>CPMP/ICH/135/95</w:t>
      </w:r>
      <w:r>
        <w:t xml:space="preserve"> Note for Guidance on Good Clinical Practice. All of the studies were conducted under a United States Investigational New Drug Application (IND) and in accordance with recognised international scientific and ethical standards, including but not limited to the International Conference on Harmonisation guideline for Good Clinical Practice (ICH GCP) and the original principles embodied in the Declaration of Helsinki. These standards are consistent with the requirements of the US Code of Federal Regulations (CFR) Title 21, Part 312 (21CFR312), and the European Community Directive 2001/20/EC.</w:t>
      </w:r>
    </w:p>
    <w:p w:rsidR="00B14064" w:rsidRDefault="00B14064" w:rsidP="001865AA">
      <w:r>
        <w:t>The protocol, consent form, study subject information sheets, and advertisement were submitted by each investigator to a duly constituted Institutional Review Board for review and approval before study initiation. All patients provided written informed consent after adequate explanation of the aims, methods, objectives, and potential hazards of the study and before undertaking any study-related procedures.</w:t>
      </w:r>
      <w:bookmarkEnd w:id="87"/>
    </w:p>
    <w:p w:rsidR="008E7846" w:rsidRDefault="008E7846" w:rsidP="00605AD4">
      <w:pPr>
        <w:pStyle w:val="Heading3"/>
      </w:pPr>
      <w:bookmarkStart w:id="88" w:name="_Toc470175479"/>
      <w:r w:rsidRPr="00254787">
        <w:t>Pharmacokinetics</w:t>
      </w:r>
      <w:bookmarkEnd w:id="72"/>
      <w:bookmarkEnd w:id="79"/>
      <w:bookmarkEnd w:id="80"/>
      <w:bookmarkEnd w:id="81"/>
      <w:bookmarkEnd w:id="88"/>
    </w:p>
    <w:p w:rsidR="00D4740D" w:rsidRDefault="00D4740D" w:rsidP="00D4740D">
      <w:pPr>
        <w:pStyle w:val="Heading4"/>
      </w:pPr>
      <w:r>
        <w:t xml:space="preserve">Studies providing pharmacokinetic data </w:t>
      </w:r>
    </w:p>
    <w:p w:rsidR="00B14064" w:rsidRDefault="00B14064" w:rsidP="001865AA">
      <w:r>
        <w:t xml:space="preserve">Table </w:t>
      </w:r>
      <w:r w:rsidR="00A25E0E">
        <w:t>8</w:t>
      </w:r>
      <w:r>
        <w:t xml:space="preserve"> below shows the studies relating to each pharmacokinetic topic.</w:t>
      </w:r>
    </w:p>
    <w:p w:rsidR="00B14064" w:rsidRDefault="00B14064" w:rsidP="00A25E0E">
      <w:pPr>
        <w:pStyle w:val="TableTitle"/>
      </w:pPr>
      <w:bookmarkStart w:id="89" w:name="_Ref295029654"/>
      <w:bookmarkStart w:id="90" w:name="_Toc435440654"/>
      <w:bookmarkStart w:id="91" w:name="_Toc435439203"/>
      <w:bookmarkStart w:id="92" w:name="_Toc435437951"/>
      <w:bookmarkStart w:id="93" w:name="_Toc433632953"/>
      <w:bookmarkStart w:id="94" w:name="_Toc432551221"/>
      <w:bookmarkStart w:id="95" w:name="_Toc295038726"/>
      <w:r>
        <w:t xml:space="preserve">Table </w:t>
      </w:r>
      <w:bookmarkEnd w:id="89"/>
      <w:r w:rsidR="00A25E0E">
        <w:t>8:</w:t>
      </w:r>
      <w:r>
        <w:t xml:space="preserve"> Submitted pharmacokinetic studies</w:t>
      </w:r>
      <w:bookmarkEnd w:id="90"/>
      <w:bookmarkEnd w:id="91"/>
      <w:bookmarkEnd w:id="92"/>
      <w:bookmarkEnd w:id="93"/>
      <w:bookmarkEnd w:id="94"/>
      <w:bookmarkEnd w:id="95"/>
    </w:p>
    <w:tbl>
      <w:tblPr>
        <w:tblStyle w:val="TableTGAblue"/>
        <w:tblW w:w="8613" w:type="dxa"/>
        <w:tblLayout w:type="fixed"/>
        <w:tblLook w:val="04A0" w:firstRow="1" w:lastRow="0" w:firstColumn="1" w:lastColumn="0" w:noHBand="0" w:noVBand="1"/>
      </w:tblPr>
      <w:tblGrid>
        <w:gridCol w:w="1669"/>
        <w:gridCol w:w="3260"/>
        <w:gridCol w:w="1983"/>
        <w:gridCol w:w="1701"/>
      </w:tblGrid>
      <w:tr w:rsidR="001865AA" w:rsidRPr="001865AA" w:rsidTr="001865AA">
        <w:trPr>
          <w:cnfStyle w:val="100000000000" w:firstRow="1" w:lastRow="0" w:firstColumn="0" w:lastColumn="0" w:oddVBand="0" w:evenVBand="0" w:oddHBand="0" w:evenHBand="0" w:firstRowFirstColumn="0" w:firstRowLastColumn="0" w:lastRowFirstColumn="0" w:lastRowLastColumn="0"/>
          <w:cantSplit/>
        </w:trPr>
        <w:tc>
          <w:tcPr>
            <w:tcW w:w="1669" w:type="dxa"/>
            <w:hideMark/>
          </w:tcPr>
          <w:p w:rsidR="001865AA" w:rsidRPr="001865AA" w:rsidRDefault="001865AA" w:rsidP="0098210B">
            <w:r w:rsidRPr="001865AA">
              <w:t>PK topic</w:t>
            </w:r>
          </w:p>
        </w:tc>
        <w:tc>
          <w:tcPr>
            <w:tcW w:w="3260" w:type="dxa"/>
            <w:hideMark/>
          </w:tcPr>
          <w:p w:rsidR="001865AA" w:rsidRPr="001865AA" w:rsidRDefault="001865AA" w:rsidP="0098210B">
            <w:r w:rsidRPr="001865AA">
              <w:t>Subtopic</w:t>
            </w:r>
          </w:p>
        </w:tc>
        <w:tc>
          <w:tcPr>
            <w:tcW w:w="1983" w:type="dxa"/>
            <w:hideMark/>
          </w:tcPr>
          <w:p w:rsidR="001865AA" w:rsidRPr="001865AA" w:rsidRDefault="001865AA" w:rsidP="0098210B">
            <w:r w:rsidRPr="001865AA">
              <w:t>Study ID</w:t>
            </w:r>
          </w:p>
        </w:tc>
        <w:tc>
          <w:tcPr>
            <w:tcW w:w="1701" w:type="dxa"/>
            <w:hideMark/>
          </w:tcPr>
          <w:p w:rsidR="001865AA" w:rsidRPr="001865AA" w:rsidRDefault="001865AA" w:rsidP="0098210B">
            <w:pPr>
              <w:rPr>
                <w:kern w:val="16"/>
                <w:sz w:val="20"/>
                <w:szCs w:val="20"/>
              </w:rPr>
            </w:pPr>
            <w:r w:rsidRPr="001865AA">
              <w:t>Primary</w:t>
            </w:r>
          </w:p>
          <w:p w:rsidR="001865AA" w:rsidRPr="001865AA" w:rsidRDefault="001865AA" w:rsidP="0098210B">
            <w:r w:rsidRPr="001865AA">
              <w:t>Drug</w:t>
            </w:r>
          </w:p>
        </w:tc>
      </w:tr>
      <w:tr w:rsidR="001865AA" w:rsidTr="001865AA">
        <w:tc>
          <w:tcPr>
            <w:tcW w:w="1669" w:type="dxa"/>
            <w:vMerge w:val="restart"/>
          </w:tcPr>
          <w:p w:rsidR="001865AA" w:rsidRPr="0098210B" w:rsidRDefault="001865AA" w:rsidP="0098210B">
            <w:pPr>
              <w:rPr>
                <w:b/>
                <w:kern w:val="16"/>
                <w:sz w:val="20"/>
                <w:szCs w:val="20"/>
              </w:rPr>
            </w:pPr>
            <w:r w:rsidRPr="0098210B">
              <w:rPr>
                <w:b/>
              </w:rPr>
              <w:t>PK in healthy adults</w:t>
            </w:r>
          </w:p>
          <w:p w:rsidR="001865AA" w:rsidRDefault="001865AA" w:rsidP="0098210B"/>
        </w:tc>
        <w:tc>
          <w:tcPr>
            <w:tcW w:w="3260" w:type="dxa"/>
            <w:hideMark/>
          </w:tcPr>
          <w:p w:rsidR="001865AA" w:rsidRDefault="001865AA" w:rsidP="0098210B">
            <w:r>
              <w:t>General PK</w:t>
            </w:r>
            <w:r>
              <w:tab/>
              <w:t xml:space="preserve"> Single dose</w:t>
            </w:r>
          </w:p>
        </w:tc>
        <w:tc>
          <w:tcPr>
            <w:tcW w:w="1983" w:type="dxa"/>
            <w:hideMark/>
          </w:tcPr>
          <w:p w:rsidR="001865AA" w:rsidRDefault="001865AA" w:rsidP="0098210B">
            <w:r>
              <w:t>GS-US-292-0108</w:t>
            </w:r>
          </w:p>
        </w:tc>
        <w:tc>
          <w:tcPr>
            <w:tcW w:w="1701" w:type="dxa"/>
            <w:hideMark/>
          </w:tcPr>
          <w:p w:rsidR="001865AA" w:rsidRDefault="001865AA" w:rsidP="0098210B">
            <w:r>
              <w:t>E/C/F/TAF</w:t>
            </w:r>
          </w:p>
        </w:tc>
      </w:tr>
      <w:tr w:rsidR="001865AA" w:rsidTr="001865AA">
        <w:tc>
          <w:tcPr>
            <w:tcW w:w="1669" w:type="dxa"/>
            <w:vMerge/>
            <w:hideMark/>
          </w:tcPr>
          <w:p w:rsidR="001865AA" w:rsidRDefault="001865AA" w:rsidP="0098210B">
            <w:pPr>
              <w:rPr>
                <w:kern w:val="16"/>
                <w:sz w:val="20"/>
                <w:szCs w:val="20"/>
              </w:rPr>
            </w:pPr>
          </w:p>
        </w:tc>
        <w:tc>
          <w:tcPr>
            <w:tcW w:w="3260" w:type="dxa"/>
            <w:vMerge w:val="restart"/>
            <w:hideMark/>
          </w:tcPr>
          <w:p w:rsidR="001865AA" w:rsidRDefault="00586A39" w:rsidP="0098210B">
            <w:r>
              <w:t xml:space="preserve">    </w:t>
            </w:r>
            <w:r w:rsidR="001865AA">
              <w:t>Multi-dose</w:t>
            </w:r>
          </w:p>
        </w:tc>
        <w:tc>
          <w:tcPr>
            <w:tcW w:w="1983" w:type="dxa"/>
            <w:hideMark/>
          </w:tcPr>
          <w:p w:rsidR="001865AA" w:rsidRDefault="001865AA" w:rsidP="0098210B">
            <w:r>
              <w:t>GS-US-292-0103</w:t>
            </w:r>
          </w:p>
        </w:tc>
        <w:tc>
          <w:tcPr>
            <w:tcW w:w="1701" w:type="dxa"/>
            <w:hideMark/>
          </w:tcPr>
          <w:p w:rsidR="001865AA" w:rsidRDefault="001865AA" w:rsidP="0098210B">
            <w:r>
              <w:t>E/C/F/TAF</w:t>
            </w:r>
          </w:p>
        </w:tc>
      </w:tr>
      <w:tr w:rsidR="001865AA" w:rsidTr="001865AA">
        <w:tc>
          <w:tcPr>
            <w:tcW w:w="1669" w:type="dxa"/>
            <w:vMerge/>
            <w:hideMark/>
          </w:tcPr>
          <w:p w:rsidR="001865AA" w:rsidRDefault="001865AA" w:rsidP="0098210B">
            <w:pPr>
              <w:rPr>
                <w:kern w:val="16"/>
                <w:sz w:val="20"/>
                <w:szCs w:val="20"/>
              </w:rPr>
            </w:pPr>
          </w:p>
        </w:tc>
        <w:tc>
          <w:tcPr>
            <w:tcW w:w="3260" w:type="dxa"/>
            <w:vMerge/>
          </w:tcPr>
          <w:p w:rsidR="001865AA" w:rsidRDefault="001865AA" w:rsidP="0098210B"/>
        </w:tc>
        <w:tc>
          <w:tcPr>
            <w:tcW w:w="1983" w:type="dxa"/>
            <w:hideMark/>
          </w:tcPr>
          <w:p w:rsidR="001865AA" w:rsidRDefault="001865AA" w:rsidP="0098210B">
            <w:r>
              <w:t>GS-US-292-0101</w:t>
            </w:r>
          </w:p>
        </w:tc>
        <w:tc>
          <w:tcPr>
            <w:tcW w:w="1701" w:type="dxa"/>
            <w:hideMark/>
          </w:tcPr>
          <w:p w:rsidR="001865AA" w:rsidRDefault="001865AA" w:rsidP="0098210B">
            <w:r>
              <w:t>TAF</w:t>
            </w:r>
          </w:p>
        </w:tc>
      </w:tr>
      <w:tr w:rsidR="001865AA" w:rsidTr="001865AA">
        <w:tc>
          <w:tcPr>
            <w:tcW w:w="1669" w:type="dxa"/>
            <w:vMerge/>
            <w:hideMark/>
          </w:tcPr>
          <w:p w:rsidR="001865AA" w:rsidRDefault="001865AA" w:rsidP="0098210B">
            <w:pPr>
              <w:rPr>
                <w:kern w:val="16"/>
                <w:sz w:val="20"/>
                <w:szCs w:val="20"/>
              </w:rPr>
            </w:pPr>
          </w:p>
        </w:tc>
        <w:tc>
          <w:tcPr>
            <w:tcW w:w="3260" w:type="dxa"/>
            <w:vMerge w:val="restart"/>
            <w:hideMark/>
          </w:tcPr>
          <w:p w:rsidR="001865AA" w:rsidRDefault="001865AA" w:rsidP="0098210B">
            <w:r>
              <w:t>Bioequivalence† - Single dose</w:t>
            </w:r>
          </w:p>
        </w:tc>
        <w:tc>
          <w:tcPr>
            <w:tcW w:w="1983" w:type="dxa"/>
            <w:hideMark/>
          </w:tcPr>
          <w:p w:rsidR="001865AA" w:rsidRDefault="001865AA" w:rsidP="0098210B">
            <w:pPr>
              <w:rPr>
                <w:kern w:val="16"/>
                <w:sz w:val="20"/>
                <w:szCs w:val="20"/>
              </w:rPr>
            </w:pPr>
            <w:r>
              <w:t>GS-US-311-1472 and GS-US-311-1473</w:t>
            </w:r>
          </w:p>
          <w:p w:rsidR="001865AA" w:rsidRDefault="001865AA" w:rsidP="0098210B">
            <w:r>
              <w:t>GS-US-311-1</w:t>
            </w:r>
            <w:r w:rsidR="00D40039">
              <w:t>0</w:t>
            </w:r>
            <w:r>
              <w:t>89</w:t>
            </w:r>
          </w:p>
        </w:tc>
        <w:tc>
          <w:tcPr>
            <w:tcW w:w="1701" w:type="dxa"/>
            <w:hideMark/>
          </w:tcPr>
          <w:p w:rsidR="001865AA" w:rsidRDefault="001865AA" w:rsidP="0098210B">
            <w:r>
              <w:t>F/TAF</w:t>
            </w:r>
          </w:p>
        </w:tc>
      </w:tr>
      <w:tr w:rsidR="001865AA" w:rsidTr="001865AA">
        <w:tc>
          <w:tcPr>
            <w:tcW w:w="1669" w:type="dxa"/>
            <w:vMerge/>
            <w:hideMark/>
          </w:tcPr>
          <w:p w:rsidR="001865AA" w:rsidRDefault="001865AA" w:rsidP="0098210B">
            <w:pPr>
              <w:rPr>
                <w:kern w:val="16"/>
                <w:sz w:val="20"/>
                <w:szCs w:val="20"/>
              </w:rPr>
            </w:pPr>
          </w:p>
        </w:tc>
        <w:tc>
          <w:tcPr>
            <w:tcW w:w="3260" w:type="dxa"/>
            <w:vMerge/>
          </w:tcPr>
          <w:p w:rsidR="001865AA" w:rsidRDefault="001865AA" w:rsidP="0098210B"/>
        </w:tc>
        <w:tc>
          <w:tcPr>
            <w:tcW w:w="1983" w:type="dxa"/>
          </w:tcPr>
          <w:p w:rsidR="001865AA" w:rsidRDefault="001865AA" w:rsidP="0098210B"/>
        </w:tc>
        <w:tc>
          <w:tcPr>
            <w:tcW w:w="1701" w:type="dxa"/>
            <w:hideMark/>
          </w:tcPr>
          <w:p w:rsidR="001865AA" w:rsidRDefault="001865AA" w:rsidP="0098210B"/>
        </w:tc>
      </w:tr>
      <w:tr w:rsidR="001865AA" w:rsidTr="001865AA">
        <w:tc>
          <w:tcPr>
            <w:tcW w:w="1669" w:type="dxa"/>
            <w:vMerge/>
            <w:hideMark/>
          </w:tcPr>
          <w:p w:rsidR="001865AA" w:rsidRDefault="001865AA" w:rsidP="0098210B">
            <w:pPr>
              <w:rPr>
                <w:kern w:val="16"/>
                <w:sz w:val="20"/>
                <w:szCs w:val="20"/>
              </w:rPr>
            </w:pPr>
          </w:p>
        </w:tc>
        <w:tc>
          <w:tcPr>
            <w:tcW w:w="3260" w:type="dxa"/>
            <w:hideMark/>
          </w:tcPr>
          <w:p w:rsidR="001865AA" w:rsidRDefault="001865AA" w:rsidP="0098210B">
            <w:r>
              <w:t>Food effect</w:t>
            </w:r>
          </w:p>
        </w:tc>
        <w:tc>
          <w:tcPr>
            <w:tcW w:w="1983" w:type="dxa"/>
            <w:hideMark/>
          </w:tcPr>
          <w:p w:rsidR="001865AA" w:rsidRDefault="001865AA" w:rsidP="0098210B">
            <w:r>
              <w:t>GS-US-292-0110</w:t>
            </w:r>
          </w:p>
        </w:tc>
        <w:tc>
          <w:tcPr>
            <w:tcW w:w="1701" w:type="dxa"/>
            <w:hideMark/>
          </w:tcPr>
          <w:p w:rsidR="001865AA" w:rsidRDefault="001865AA" w:rsidP="0098210B">
            <w:r>
              <w:t>E/C/F/TAF</w:t>
            </w:r>
          </w:p>
        </w:tc>
      </w:tr>
      <w:tr w:rsidR="001865AA" w:rsidTr="001865AA">
        <w:tc>
          <w:tcPr>
            <w:tcW w:w="1669" w:type="dxa"/>
            <w:vMerge w:val="restart"/>
          </w:tcPr>
          <w:p w:rsidR="001865AA" w:rsidRPr="0098210B" w:rsidRDefault="001865AA" w:rsidP="0098210B">
            <w:pPr>
              <w:rPr>
                <w:b/>
                <w:kern w:val="16"/>
                <w:sz w:val="20"/>
                <w:szCs w:val="20"/>
              </w:rPr>
            </w:pPr>
            <w:r w:rsidRPr="0098210B">
              <w:rPr>
                <w:b/>
              </w:rPr>
              <w:t xml:space="preserve">PK in </w:t>
            </w:r>
            <w:r w:rsidRPr="0098210B">
              <w:rPr>
                <w:b/>
              </w:rPr>
              <w:lastRenderedPageBreak/>
              <w:t>special populations</w:t>
            </w:r>
          </w:p>
          <w:p w:rsidR="001865AA" w:rsidRDefault="001865AA" w:rsidP="0098210B"/>
        </w:tc>
        <w:tc>
          <w:tcPr>
            <w:tcW w:w="3260" w:type="dxa"/>
            <w:hideMark/>
          </w:tcPr>
          <w:p w:rsidR="00A25E0E" w:rsidRDefault="001865AA" w:rsidP="0098210B">
            <w:r>
              <w:lastRenderedPageBreak/>
              <w:t>Target HIV infected</w:t>
            </w:r>
            <w:r>
              <w:tab/>
            </w:r>
          </w:p>
          <w:p w:rsidR="001865AA" w:rsidRDefault="001865AA" w:rsidP="0098210B">
            <w:r>
              <w:lastRenderedPageBreak/>
              <w:t>Multi-dose</w:t>
            </w:r>
          </w:p>
        </w:tc>
        <w:tc>
          <w:tcPr>
            <w:tcW w:w="1983" w:type="dxa"/>
          </w:tcPr>
          <w:p w:rsidR="001865AA" w:rsidRDefault="001865AA" w:rsidP="0098210B">
            <w:pPr>
              <w:rPr>
                <w:kern w:val="16"/>
                <w:sz w:val="20"/>
                <w:szCs w:val="20"/>
              </w:rPr>
            </w:pPr>
            <w:r>
              <w:lastRenderedPageBreak/>
              <w:t>GS-US-292-</w:t>
            </w:r>
            <w:r>
              <w:lastRenderedPageBreak/>
              <w:t>0112</w:t>
            </w:r>
          </w:p>
          <w:p w:rsidR="001865AA" w:rsidRDefault="001865AA" w:rsidP="0098210B"/>
        </w:tc>
        <w:tc>
          <w:tcPr>
            <w:tcW w:w="1701" w:type="dxa"/>
            <w:hideMark/>
          </w:tcPr>
          <w:p w:rsidR="001865AA" w:rsidRDefault="001865AA" w:rsidP="0098210B">
            <w:r>
              <w:lastRenderedPageBreak/>
              <w:t>TAF</w:t>
            </w:r>
          </w:p>
        </w:tc>
      </w:tr>
      <w:tr w:rsidR="001865AA" w:rsidTr="001865AA">
        <w:tc>
          <w:tcPr>
            <w:tcW w:w="1669" w:type="dxa"/>
            <w:vMerge/>
            <w:hideMark/>
          </w:tcPr>
          <w:p w:rsidR="001865AA" w:rsidRDefault="001865AA" w:rsidP="0098210B">
            <w:pPr>
              <w:rPr>
                <w:kern w:val="16"/>
                <w:sz w:val="20"/>
                <w:szCs w:val="20"/>
              </w:rPr>
            </w:pPr>
          </w:p>
        </w:tc>
        <w:tc>
          <w:tcPr>
            <w:tcW w:w="3260" w:type="dxa"/>
            <w:hideMark/>
          </w:tcPr>
          <w:p w:rsidR="001865AA" w:rsidRDefault="001865AA" w:rsidP="0098210B">
            <w:r>
              <w:t>Hepatic impairment</w:t>
            </w:r>
          </w:p>
        </w:tc>
        <w:tc>
          <w:tcPr>
            <w:tcW w:w="1983" w:type="dxa"/>
            <w:hideMark/>
          </w:tcPr>
          <w:p w:rsidR="001865AA" w:rsidRDefault="001865AA" w:rsidP="0098210B">
            <w:r>
              <w:t>GS-US-120-0114</w:t>
            </w:r>
          </w:p>
        </w:tc>
        <w:tc>
          <w:tcPr>
            <w:tcW w:w="1701" w:type="dxa"/>
            <w:hideMark/>
          </w:tcPr>
          <w:p w:rsidR="001865AA" w:rsidRDefault="001865AA" w:rsidP="0098210B">
            <w:r>
              <w:t>TAF</w:t>
            </w:r>
          </w:p>
        </w:tc>
      </w:tr>
      <w:tr w:rsidR="001865AA" w:rsidTr="001865AA">
        <w:tc>
          <w:tcPr>
            <w:tcW w:w="1669" w:type="dxa"/>
            <w:vMerge/>
            <w:hideMark/>
          </w:tcPr>
          <w:p w:rsidR="001865AA" w:rsidRDefault="001865AA" w:rsidP="0098210B">
            <w:pPr>
              <w:rPr>
                <w:kern w:val="16"/>
                <w:sz w:val="20"/>
                <w:szCs w:val="20"/>
              </w:rPr>
            </w:pPr>
          </w:p>
        </w:tc>
        <w:tc>
          <w:tcPr>
            <w:tcW w:w="3260" w:type="dxa"/>
            <w:hideMark/>
          </w:tcPr>
          <w:p w:rsidR="001865AA" w:rsidRDefault="001865AA" w:rsidP="0098210B">
            <w:r>
              <w:t>Renal impairment</w:t>
            </w:r>
          </w:p>
        </w:tc>
        <w:tc>
          <w:tcPr>
            <w:tcW w:w="1983" w:type="dxa"/>
            <w:hideMark/>
          </w:tcPr>
          <w:p w:rsidR="001865AA" w:rsidRDefault="001865AA" w:rsidP="0098210B">
            <w:r>
              <w:t>GS-US-120-0108</w:t>
            </w:r>
          </w:p>
        </w:tc>
        <w:tc>
          <w:tcPr>
            <w:tcW w:w="1701" w:type="dxa"/>
          </w:tcPr>
          <w:p w:rsidR="001865AA" w:rsidRDefault="001865AA" w:rsidP="0098210B">
            <w:pPr>
              <w:rPr>
                <w:kern w:val="16"/>
                <w:sz w:val="20"/>
                <w:szCs w:val="20"/>
              </w:rPr>
            </w:pPr>
            <w:r>
              <w:t>E/C/F/TAF</w:t>
            </w:r>
          </w:p>
          <w:p w:rsidR="001865AA" w:rsidRDefault="001865AA" w:rsidP="0098210B"/>
        </w:tc>
      </w:tr>
      <w:tr w:rsidR="001865AA" w:rsidTr="001865AA">
        <w:tc>
          <w:tcPr>
            <w:tcW w:w="1669" w:type="dxa"/>
            <w:vMerge/>
            <w:hideMark/>
          </w:tcPr>
          <w:p w:rsidR="001865AA" w:rsidRDefault="001865AA" w:rsidP="0098210B">
            <w:pPr>
              <w:rPr>
                <w:kern w:val="16"/>
                <w:sz w:val="20"/>
                <w:szCs w:val="20"/>
              </w:rPr>
            </w:pPr>
          </w:p>
        </w:tc>
        <w:tc>
          <w:tcPr>
            <w:tcW w:w="3260" w:type="dxa"/>
            <w:hideMark/>
          </w:tcPr>
          <w:p w:rsidR="001865AA" w:rsidRDefault="001865AA" w:rsidP="0098210B">
            <w:r>
              <w:t xml:space="preserve">Adolescents (12-18 years of age) </w:t>
            </w:r>
          </w:p>
        </w:tc>
        <w:tc>
          <w:tcPr>
            <w:tcW w:w="1983" w:type="dxa"/>
            <w:hideMark/>
          </w:tcPr>
          <w:p w:rsidR="001865AA" w:rsidRDefault="001865AA" w:rsidP="0098210B">
            <w:r>
              <w:t>GS-US-292-0106</w:t>
            </w:r>
          </w:p>
        </w:tc>
        <w:tc>
          <w:tcPr>
            <w:tcW w:w="1701" w:type="dxa"/>
            <w:hideMark/>
          </w:tcPr>
          <w:p w:rsidR="001865AA" w:rsidRDefault="001865AA" w:rsidP="0098210B">
            <w:r>
              <w:t>E/C/F/TAF</w:t>
            </w:r>
          </w:p>
        </w:tc>
      </w:tr>
      <w:tr w:rsidR="001865AA" w:rsidTr="001865AA">
        <w:tc>
          <w:tcPr>
            <w:tcW w:w="1669" w:type="dxa"/>
            <w:vMerge/>
            <w:hideMark/>
          </w:tcPr>
          <w:p w:rsidR="001865AA" w:rsidRDefault="001865AA" w:rsidP="0098210B">
            <w:pPr>
              <w:rPr>
                <w:kern w:val="16"/>
                <w:sz w:val="20"/>
                <w:szCs w:val="20"/>
              </w:rPr>
            </w:pPr>
          </w:p>
        </w:tc>
        <w:tc>
          <w:tcPr>
            <w:tcW w:w="3260" w:type="dxa"/>
            <w:hideMark/>
          </w:tcPr>
          <w:p w:rsidR="001865AA" w:rsidRDefault="001865AA" w:rsidP="0098210B">
            <w:r>
              <w:t>Elderly</w:t>
            </w:r>
          </w:p>
        </w:tc>
        <w:tc>
          <w:tcPr>
            <w:tcW w:w="1983" w:type="dxa"/>
          </w:tcPr>
          <w:p w:rsidR="001865AA" w:rsidRDefault="001865AA" w:rsidP="0098210B"/>
        </w:tc>
        <w:tc>
          <w:tcPr>
            <w:tcW w:w="1701" w:type="dxa"/>
          </w:tcPr>
          <w:p w:rsidR="001865AA" w:rsidRDefault="001865AA" w:rsidP="0098210B"/>
        </w:tc>
      </w:tr>
      <w:tr w:rsidR="001865AA" w:rsidTr="001865AA">
        <w:tc>
          <w:tcPr>
            <w:tcW w:w="1669" w:type="dxa"/>
            <w:vMerge/>
            <w:hideMark/>
          </w:tcPr>
          <w:p w:rsidR="001865AA" w:rsidRDefault="001865AA" w:rsidP="0098210B">
            <w:pPr>
              <w:rPr>
                <w:kern w:val="16"/>
                <w:sz w:val="20"/>
                <w:szCs w:val="20"/>
              </w:rPr>
            </w:pPr>
          </w:p>
        </w:tc>
        <w:tc>
          <w:tcPr>
            <w:tcW w:w="3260" w:type="dxa"/>
            <w:hideMark/>
          </w:tcPr>
          <w:p w:rsidR="001865AA" w:rsidRDefault="001865AA" w:rsidP="0098210B">
            <w:r>
              <w:t>Japanese Healthy subjects</w:t>
            </w:r>
          </w:p>
        </w:tc>
        <w:tc>
          <w:tcPr>
            <w:tcW w:w="1983" w:type="dxa"/>
            <w:hideMark/>
          </w:tcPr>
          <w:p w:rsidR="001865AA" w:rsidRDefault="001865AA" w:rsidP="0098210B">
            <w:r>
              <w:t>GS-US-292-0108</w:t>
            </w:r>
          </w:p>
        </w:tc>
        <w:tc>
          <w:tcPr>
            <w:tcW w:w="1701" w:type="dxa"/>
            <w:hideMark/>
          </w:tcPr>
          <w:p w:rsidR="001865AA" w:rsidRDefault="001865AA" w:rsidP="0098210B">
            <w:r>
              <w:t>E/C/F/TAF</w:t>
            </w:r>
          </w:p>
        </w:tc>
      </w:tr>
      <w:tr w:rsidR="001865AA" w:rsidTr="001865AA">
        <w:tc>
          <w:tcPr>
            <w:tcW w:w="1669" w:type="dxa"/>
            <w:vMerge w:val="restart"/>
            <w:hideMark/>
          </w:tcPr>
          <w:p w:rsidR="001865AA" w:rsidRPr="0098210B" w:rsidRDefault="001865AA" w:rsidP="0098210B">
            <w:pPr>
              <w:rPr>
                <w:b/>
              </w:rPr>
            </w:pPr>
            <w:r w:rsidRPr="0098210B">
              <w:rPr>
                <w:b/>
              </w:rPr>
              <w:t>PK interactions of Genvoya</w:t>
            </w:r>
          </w:p>
        </w:tc>
        <w:tc>
          <w:tcPr>
            <w:tcW w:w="3260" w:type="dxa"/>
            <w:hideMark/>
          </w:tcPr>
          <w:p w:rsidR="001865AA" w:rsidRDefault="001865AA" w:rsidP="0098210B">
            <w:r>
              <w:t>Sertraline</w:t>
            </w:r>
          </w:p>
        </w:tc>
        <w:tc>
          <w:tcPr>
            <w:tcW w:w="1983" w:type="dxa"/>
            <w:hideMark/>
          </w:tcPr>
          <w:p w:rsidR="001865AA" w:rsidRDefault="001865AA" w:rsidP="0098210B">
            <w:r>
              <w:t>GS-US-292-1316</w:t>
            </w:r>
          </w:p>
        </w:tc>
        <w:tc>
          <w:tcPr>
            <w:tcW w:w="1701" w:type="dxa"/>
            <w:hideMark/>
          </w:tcPr>
          <w:p w:rsidR="001865AA" w:rsidRDefault="001865AA" w:rsidP="0098210B">
            <w:r>
              <w:t>E/C/F/TAF</w:t>
            </w:r>
          </w:p>
        </w:tc>
      </w:tr>
      <w:tr w:rsidR="001865AA" w:rsidTr="001865AA">
        <w:tc>
          <w:tcPr>
            <w:tcW w:w="1669" w:type="dxa"/>
            <w:vMerge/>
            <w:hideMark/>
          </w:tcPr>
          <w:p w:rsidR="001865AA" w:rsidRDefault="001865AA" w:rsidP="0098210B">
            <w:pPr>
              <w:rPr>
                <w:kern w:val="16"/>
                <w:sz w:val="20"/>
                <w:szCs w:val="20"/>
              </w:rPr>
            </w:pPr>
          </w:p>
        </w:tc>
        <w:tc>
          <w:tcPr>
            <w:tcW w:w="3260" w:type="dxa"/>
            <w:hideMark/>
          </w:tcPr>
          <w:p w:rsidR="001865AA" w:rsidRDefault="001865AA" w:rsidP="0098210B">
            <w:r>
              <w:t>Sofosbuvir</w:t>
            </w:r>
          </w:p>
        </w:tc>
        <w:tc>
          <w:tcPr>
            <w:tcW w:w="1983" w:type="dxa"/>
            <w:hideMark/>
          </w:tcPr>
          <w:p w:rsidR="001865AA" w:rsidRDefault="001865AA" w:rsidP="0098210B">
            <w:r>
              <w:t>GS-US-342-1167</w:t>
            </w:r>
          </w:p>
        </w:tc>
        <w:tc>
          <w:tcPr>
            <w:tcW w:w="1701" w:type="dxa"/>
            <w:hideMark/>
          </w:tcPr>
          <w:p w:rsidR="001865AA" w:rsidRDefault="001865AA" w:rsidP="0098210B">
            <w:r>
              <w:t>E/C/F/TAF</w:t>
            </w:r>
          </w:p>
        </w:tc>
      </w:tr>
      <w:tr w:rsidR="001865AA" w:rsidTr="001865AA">
        <w:tc>
          <w:tcPr>
            <w:tcW w:w="1669" w:type="dxa"/>
            <w:vMerge/>
            <w:hideMark/>
          </w:tcPr>
          <w:p w:rsidR="001865AA" w:rsidRDefault="001865AA" w:rsidP="0098210B">
            <w:pPr>
              <w:rPr>
                <w:kern w:val="16"/>
                <w:sz w:val="20"/>
                <w:szCs w:val="20"/>
              </w:rPr>
            </w:pPr>
          </w:p>
        </w:tc>
        <w:tc>
          <w:tcPr>
            <w:tcW w:w="3260" w:type="dxa"/>
            <w:hideMark/>
          </w:tcPr>
          <w:p w:rsidR="001865AA" w:rsidRDefault="001865AA" w:rsidP="0098210B">
            <w:r>
              <w:t>Efavirenz and Darunavir</w:t>
            </w:r>
          </w:p>
        </w:tc>
        <w:tc>
          <w:tcPr>
            <w:tcW w:w="1983" w:type="dxa"/>
            <w:hideMark/>
          </w:tcPr>
          <w:p w:rsidR="001865AA" w:rsidRDefault="001865AA" w:rsidP="0098210B">
            <w:r>
              <w:t>GS-US-311-0101</w:t>
            </w:r>
          </w:p>
        </w:tc>
        <w:tc>
          <w:tcPr>
            <w:tcW w:w="1701" w:type="dxa"/>
            <w:hideMark/>
          </w:tcPr>
          <w:p w:rsidR="001865AA" w:rsidRDefault="001865AA" w:rsidP="0098210B">
            <w:r>
              <w:t>TAF+COBI</w:t>
            </w:r>
          </w:p>
        </w:tc>
      </w:tr>
      <w:tr w:rsidR="001865AA" w:rsidTr="001865AA">
        <w:tc>
          <w:tcPr>
            <w:tcW w:w="1669" w:type="dxa"/>
            <w:vMerge/>
          </w:tcPr>
          <w:p w:rsidR="001865AA" w:rsidRDefault="001865AA" w:rsidP="0098210B"/>
        </w:tc>
        <w:tc>
          <w:tcPr>
            <w:tcW w:w="3260" w:type="dxa"/>
            <w:hideMark/>
          </w:tcPr>
          <w:p w:rsidR="001865AA" w:rsidRDefault="001865AA" w:rsidP="0098210B">
            <w:r>
              <w:t>Rilpivirine</w:t>
            </w:r>
          </w:p>
        </w:tc>
        <w:tc>
          <w:tcPr>
            <w:tcW w:w="1983" w:type="dxa"/>
            <w:hideMark/>
          </w:tcPr>
          <w:p w:rsidR="001865AA" w:rsidRDefault="001865AA" w:rsidP="0098210B">
            <w:r>
              <w:t>GS-US-120-0117</w:t>
            </w:r>
          </w:p>
        </w:tc>
        <w:tc>
          <w:tcPr>
            <w:tcW w:w="1701" w:type="dxa"/>
            <w:hideMark/>
          </w:tcPr>
          <w:p w:rsidR="001865AA" w:rsidRDefault="001865AA" w:rsidP="0098210B">
            <w:r>
              <w:t>TAF</w:t>
            </w:r>
          </w:p>
        </w:tc>
      </w:tr>
      <w:tr w:rsidR="001865AA" w:rsidTr="001865AA">
        <w:tc>
          <w:tcPr>
            <w:tcW w:w="1669" w:type="dxa"/>
            <w:vMerge/>
          </w:tcPr>
          <w:p w:rsidR="001865AA" w:rsidRDefault="001865AA" w:rsidP="0098210B"/>
        </w:tc>
        <w:tc>
          <w:tcPr>
            <w:tcW w:w="3260" w:type="dxa"/>
            <w:hideMark/>
          </w:tcPr>
          <w:p w:rsidR="001865AA" w:rsidRDefault="001865AA" w:rsidP="0098210B">
            <w:r>
              <w:t>ATV+RTV/DRV+RTV/LPR/r</w:t>
            </w:r>
          </w:p>
        </w:tc>
        <w:tc>
          <w:tcPr>
            <w:tcW w:w="1983" w:type="dxa"/>
            <w:hideMark/>
          </w:tcPr>
          <w:p w:rsidR="001865AA" w:rsidRDefault="001865AA" w:rsidP="0098210B">
            <w:r>
              <w:t>GS-US-120-0118</w:t>
            </w:r>
          </w:p>
        </w:tc>
        <w:tc>
          <w:tcPr>
            <w:tcW w:w="1701" w:type="dxa"/>
            <w:hideMark/>
          </w:tcPr>
          <w:p w:rsidR="001865AA" w:rsidRDefault="001865AA" w:rsidP="0098210B">
            <w:r>
              <w:t>TAF</w:t>
            </w:r>
          </w:p>
        </w:tc>
      </w:tr>
      <w:tr w:rsidR="001865AA" w:rsidTr="001865AA">
        <w:tc>
          <w:tcPr>
            <w:tcW w:w="1669" w:type="dxa"/>
            <w:vMerge/>
          </w:tcPr>
          <w:p w:rsidR="001865AA" w:rsidRDefault="001865AA" w:rsidP="0098210B"/>
        </w:tc>
        <w:tc>
          <w:tcPr>
            <w:tcW w:w="3260" w:type="dxa"/>
            <w:hideMark/>
          </w:tcPr>
          <w:p w:rsidR="001865AA" w:rsidRDefault="001865AA" w:rsidP="0098210B">
            <w:r>
              <w:t>Methadone and Buprenorphine/Naloxone</w:t>
            </w:r>
          </w:p>
        </w:tc>
        <w:tc>
          <w:tcPr>
            <w:tcW w:w="1983" w:type="dxa"/>
            <w:hideMark/>
          </w:tcPr>
          <w:p w:rsidR="001865AA" w:rsidRDefault="001865AA" w:rsidP="0098210B">
            <w:r>
              <w:t>GS-US-216-0125</w:t>
            </w:r>
          </w:p>
        </w:tc>
        <w:tc>
          <w:tcPr>
            <w:tcW w:w="1701" w:type="dxa"/>
            <w:hideMark/>
          </w:tcPr>
          <w:p w:rsidR="001865AA" w:rsidRDefault="001865AA" w:rsidP="0098210B">
            <w:r>
              <w:t>EVG/COBI</w:t>
            </w:r>
          </w:p>
        </w:tc>
      </w:tr>
    </w:tbl>
    <w:p w:rsidR="00B14064" w:rsidRPr="00A25E0E" w:rsidRDefault="00B14064" w:rsidP="00A25E0E">
      <w:pPr>
        <w:pStyle w:val="TableDescription"/>
      </w:pPr>
      <w:r w:rsidRPr="00A25E0E">
        <w:t>† Bioequivalence of different formulations.</w:t>
      </w:r>
    </w:p>
    <w:p w:rsidR="00B14064" w:rsidRDefault="00B14064" w:rsidP="00A25E0E">
      <w:pPr>
        <w:pStyle w:val="TableDescription"/>
        <w:rPr>
          <w:szCs w:val="20"/>
        </w:rPr>
      </w:pPr>
      <w:r w:rsidRPr="00A25E0E">
        <w:t>§ Subjects who</w:t>
      </w:r>
      <w:r>
        <w:rPr>
          <w:szCs w:val="20"/>
        </w:rPr>
        <w:t xml:space="preserve"> would be eligible to receive the drug if approved for the proposed indication.</w:t>
      </w:r>
    </w:p>
    <w:p w:rsidR="00B14064" w:rsidRDefault="00B14064" w:rsidP="00B14064">
      <w:pPr>
        <w:jc w:val="both"/>
        <w:rPr>
          <w:i/>
        </w:rPr>
      </w:pPr>
      <w:r>
        <w:t xml:space="preserve">None of the pharmacokinetic studies had deficiencies that excluded their results from consideration. </w:t>
      </w:r>
      <w:r>
        <w:rPr>
          <w:i/>
        </w:rPr>
        <w:t>Studies where the primary drug is E/C/F/TAF were submitted as part of the Genvoya assessment dossier.</w:t>
      </w:r>
    </w:p>
    <w:p w:rsidR="00605AD4" w:rsidRDefault="00605AD4" w:rsidP="00605AD4">
      <w:pPr>
        <w:pStyle w:val="Heading4"/>
      </w:pPr>
      <w:r>
        <w:t>Evaluator’s conclusions on pharmacokinetics</w:t>
      </w:r>
    </w:p>
    <w:p w:rsidR="00B14064" w:rsidRPr="001F1EAF" w:rsidRDefault="00B14064" w:rsidP="001865AA">
      <w:r w:rsidRPr="007606E1">
        <w:t>TAF is a prodrug of tenofovir which is metabolised intracellularly by CatA to tenofovir diphosphate, the form that has anti-viral activity. The reason the sponsor is applying to replace</w:t>
      </w:r>
      <w:r>
        <w:t xml:space="preserve"> TDF with TAF is that TDF has higher and more prolonged plasma circulating levels of tenofovir which is associated with an increased risk of renal and bone toxicity. The PK studies submitted by the sponsor indicate that TAF at a dose of 1</w:t>
      </w:r>
      <w:r w:rsidR="00E04BFC">
        <w:t>0 mg</w:t>
      </w:r>
      <w:r>
        <w:t xml:space="preserve"> in the STR (boosted by COBI or RTV) or 2</w:t>
      </w:r>
      <w:r w:rsidR="00E04BFC">
        <w:t>5 mg</w:t>
      </w:r>
      <w:r>
        <w:t xml:space="preserve"> (unboosted) have a circulating level of tenofovir that is 90% less than the current dose of TDF 30</w:t>
      </w:r>
      <w:r w:rsidR="00E04BFC">
        <w:t>0 mg</w:t>
      </w:r>
      <w:r>
        <w:t xml:space="preserve">, which is the approved dose component of </w:t>
      </w:r>
      <w:r>
        <w:lastRenderedPageBreak/>
        <w:t xml:space="preserve">Truvada. The sponsor has submitted an extensive number of studies to support this application which indicate that the pharmacokinetics of TAF are not affected by race, mild to moderate hepatic failure, renal failure or age (for teenagers more than 12 years of age). Specifically, the clinical trial with Japanese subjects </w:t>
      </w:r>
      <w:r w:rsidRPr="001F1EAF">
        <w:t>GS-US-292-0108 demonstrated no PK effect of Japanese origins. PK studies conducted as a part of the pivotal efficacy/safety clinical trial, GS-US-292-0104 and GS-US-0111 show that the AUC</w:t>
      </w:r>
      <w:r w:rsidRPr="001F1EAF">
        <w:rPr>
          <w:vertAlign w:val="subscript"/>
        </w:rPr>
        <w:t>tau</w:t>
      </w:r>
      <w:r w:rsidR="00347444" w:rsidRPr="001F1EAF">
        <w:rPr>
          <w:vertAlign w:val="subscript"/>
        </w:rPr>
        <w:t xml:space="preserve"> </w:t>
      </w:r>
      <w:r w:rsidRPr="001F1EAF">
        <w:t xml:space="preserve">of E/C/F/TAF was 91% lower than tenofovir exposure compared with E/C/F/TDF and the PBMC AUC </w:t>
      </w:r>
      <w:r w:rsidRPr="001F1EAF">
        <w:rPr>
          <w:vertAlign w:val="subscript"/>
        </w:rPr>
        <w:t>tau</w:t>
      </w:r>
      <w:r w:rsidRPr="001F1EAF">
        <w:t xml:space="preserve"> was 4.1 times higher with administration of E/C/F/TAF compared with E/C/F/TDF.</w:t>
      </w:r>
    </w:p>
    <w:p w:rsidR="00B14064" w:rsidRDefault="00B14064" w:rsidP="001865AA">
      <w:r>
        <w:t xml:space="preserve">The </w:t>
      </w:r>
      <w:r w:rsidR="001F1EAF" w:rsidRPr="001F1EAF">
        <w:t>S</w:t>
      </w:r>
      <w:r w:rsidRPr="001F1EAF">
        <w:t>tudy GS-US-311-1386</w:t>
      </w:r>
      <w:r>
        <w:t xml:space="preserve"> indicated that under fed conditions the overall TAF exposure increased by 75%, when compared with fasted conditions. While this increase may not be relevant in relation to the safety margin for dosing, it may be relevant for the role of boosting the 1</w:t>
      </w:r>
      <w:r w:rsidR="00E04BFC">
        <w:t>0 mg</w:t>
      </w:r>
      <w:r>
        <w:t xml:space="preserve"> dose when substituted for the 2</w:t>
      </w:r>
      <w:r w:rsidR="00E04BFC">
        <w:t>5 mg</w:t>
      </w:r>
      <w:r>
        <w:t xml:space="preserve"> dose. As it appears the 1</w:t>
      </w:r>
      <w:r w:rsidR="00E04BFC">
        <w:t>0 mg</w:t>
      </w:r>
      <w:r>
        <w:t xml:space="preserve"> dose when increased by 75% following ingestion with food may be equal to the exposure when administered as with a booster. The difference is not made clear by the sponsor and requires some clarification. The observation that one subject had a spontaneous abortion after stopping the TAF dose, and this was related to the study drug was not addressed by the sponsor. This observation may require further clarification, especially in relation to the issue of increased exposure following ingestion with food. The study looking at boosters with TAF shows that DRV+Rtv does not increase TAF exposure while the other combination</w:t>
      </w:r>
      <w:r w:rsidR="001F1EAF">
        <w:t xml:space="preserve"> </w:t>
      </w:r>
      <w:r>
        <w:t>do</w:t>
      </w:r>
      <w:r w:rsidR="001F1EAF">
        <w:t>es</w:t>
      </w:r>
      <w:r>
        <w:t xml:space="preserve"> increase TAF exposure. The study with boosters should be repeated in fasted state rather than fed state as it is not possible to determine the role of booster vs fed state.</w:t>
      </w:r>
    </w:p>
    <w:p w:rsidR="00B14064" w:rsidRDefault="00B14064" w:rsidP="001865AA">
      <w:r>
        <w:t xml:space="preserve">In </w:t>
      </w:r>
      <w:r w:rsidR="001F1EAF">
        <w:t>S</w:t>
      </w:r>
      <w:r>
        <w:t xml:space="preserve">tudy </w:t>
      </w:r>
      <w:r w:rsidRPr="001F1EAF">
        <w:t>GS-US-311-1</w:t>
      </w:r>
      <w:r w:rsidR="002575A8">
        <w:t>0</w:t>
      </w:r>
      <w:r w:rsidRPr="001F1EAF">
        <w:t>89</w:t>
      </w:r>
      <w:r>
        <w:t xml:space="preserve"> the results of F/TAF with the boosted third agents indicate the intracellular concentration of TFV-DP is around 2</w:t>
      </w:r>
      <w:r w:rsidR="001F1EAF">
        <w:t xml:space="preserve"> to </w:t>
      </w:r>
      <w:r>
        <w:t xml:space="preserve">3 times the concentration seen with FTC/TDF, rather than the four fold difference noted by the sponsor in the Genvoya studies. It is also noted that the concentration seems to be independent of the level of boosting agent used as </w:t>
      </w:r>
      <w:r w:rsidRPr="00CD2CF3">
        <w:t>the PBMC concentration</w:t>
      </w:r>
      <w:r>
        <w:t xml:space="preserve"> is marginally lower with 20</w:t>
      </w:r>
      <w:r w:rsidR="00E04BFC">
        <w:t>0 mg</w:t>
      </w:r>
      <w:r>
        <w:t xml:space="preserve"> </w:t>
      </w:r>
      <w:r w:rsidRPr="00CD2CF3">
        <w:t>of RTV (LPV/r)</w:t>
      </w:r>
      <w:r>
        <w:t xml:space="preserve"> compared with boosting with RTV 10</w:t>
      </w:r>
      <w:r w:rsidR="00E04BFC">
        <w:t>0 mg</w:t>
      </w:r>
      <w:r>
        <w:t xml:space="preserve"> (ATV+RTV and DRV+RTV). As the </w:t>
      </w:r>
      <w:r w:rsidRPr="00CD2CF3">
        <w:t>95% CIs are</w:t>
      </w:r>
      <w:r>
        <w:t xml:space="preserve"> so wide for many of the results, it would be useful to also have the median values. It appears the exposure of TAF does not have a proportional relationship with the intracellular TFV-DP concentration and may be interpreted as not totally dependent of boosting with RTV at the dose of 1</w:t>
      </w:r>
      <w:r w:rsidR="00E04BFC">
        <w:t>0 mg</w:t>
      </w:r>
      <w:r>
        <w:t xml:space="preserve"> and that taking the 1</w:t>
      </w:r>
      <w:r w:rsidR="00E04BFC">
        <w:t>0 mg</w:t>
      </w:r>
      <w:r>
        <w:t xml:space="preserve"> dose with food may have the same PBMC intracellular effect.</w:t>
      </w:r>
    </w:p>
    <w:p w:rsidR="008E7846" w:rsidRDefault="008E7846" w:rsidP="008E7846">
      <w:pPr>
        <w:pStyle w:val="Heading3"/>
      </w:pPr>
      <w:bookmarkStart w:id="96" w:name="_Toc196046481"/>
      <w:bookmarkStart w:id="97" w:name="_Toc247691520"/>
      <w:bookmarkStart w:id="98" w:name="_Toc314842503"/>
      <w:bookmarkStart w:id="99" w:name="_Toc470175480"/>
      <w:r w:rsidRPr="00254787">
        <w:t>Pharmacodynamics</w:t>
      </w:r>
      <w:bookmarkEnd w:id="73"/>
      <w:bookmarkEnd w:id="96"/>
      <w:bookmarkEnd w:id="97"/>
      <w:bookmarkEnd w:id="98"/>
      <w:bookmarkEnd w:id="99"/>
    </w:p>
    <w:p w:rsidR="00605AD4" w:rsidRDefault="00605AD4" w:rsidP="00605AD4">
      <w:pPr>
        <w:pStyle w:val="Heading4"/>
      </w:pPr>
      <w:r>
        <w:t>Studies providing pharmacodynamic data</w:t>
      </w:r>
    </w:p>
    <w:p w:rsidR="00B14064" w:rsidRDefault="001F1EAF" w:rsidP="001865AA">
      <w:r>
        <w:t>Table 9</w:t>
      </w:r>
      <w:r w:rsidR="00B14064">
        <w:t xml:space="preserve"> shows the studies relating to each pharmacodynamic topic </w:t>
      </w:r>
    </w:p>
    <w:p w:rsidR="00B14064" w:rsidRDefault="00B14064" w:rsidP="001865AA">
      <w:pPr>
        <w:pStyle w:val="TableTitle"/>
      </w:pPr>
      <w:bookmarkStart w:id="100" w:name="_Ref269985397"/>
      <w:bookmarkStart w:id="101" w:name="_Toc433632995"/>
      <w:bookmarkStart w:id="102" w:name="_Toc432551222"/>
      <w:bookmarkStart w:id="103" w:name="_Toc435440724"/>
      <w:bookmarkStart w:id="104" w:name="_Toc435439273"/>
      <w:r>
        <w:lastRenderedPageBreak/>
        <w:t xml:space="preserve">Table </w:t>
      </w:r>
      <w:bookmarkEnd w:id="100"/>
      <w:r w:rsidR="001F1EAF">
        <w:t>9:</w:t>
      </w:r>
      <w:r>
        <w:t xml:space="preserve"> Submitted pharmacodynamic studies</w:t>
      </w:r>
      <w:bookmarkEnd w:id="101"/>
      <w:bookmarkEnd w:id="102"/>
      <w:r>
        <w:t>, primarily from Genvoya dossier</w:t>
      </w:r>
      <w:r w:rsidR="001F1EAF">
        <w:t xml:space="preserve">; </w:t>
      </w:r>
      <w:proofErr w:type="gramStart"/>
      <w:r>
        <w:t>Not</w:t>
      </w:r>
      <w:proofErr w:type="gramEnd"/>
      <w:r>
        <w:t xml:space="preserve"> specifically for Descovy as taking with third agents, other than EVG/COBI</w:t>
      </w:r>
      <w:bookmarkEnd w:id="103"/>
      <w:bookmarkEnd w:id="104"/>
    </w:p>
    <w:tbl>
      <w:tblPr>
        <w:tblStyle w:val="TableTGAblue"/>
        <w:tblW w:w="8613" w:type="dxa"/>
        <w:tblLayout w:type="fixed"/>
        <w:tblLook w:val="04A0" w:firstRow="1" w:lastRow="0" w:firstColumn="1" w:lastColumn="0" w:noHBand="0" w:noVBand="1"/>
      </w:tblPr>
      <w:tblGrid>
        <w:gridCol w:w="2093"/>
        <w:gridCol w:w="2377"/>
        <w:gridCol w:w="2159"/>
        <w:gridCol w:w="1984"/>
      </w:tblGrid>
      <w:tr w:rsidR="00B14064" w:rsidRPr="001865AA" w:rsidTr="001F1EAF">
        <w:trPr>
          <w:cnfStyle w:val="100000000000" w:firstRow="1" w:lastRow="0" w:firstColumn="0" w:lastColumn="0" w:oddVBand="0" w:evenVBand="0" w:oddHBand="0" w:evenHBand="0" w:firstRowFirstColumn="0" w:firstRowLastColumn="0" w:lastRowFirstColumn="0" w:lastRowLastColumn="0"/>
        </w:trPr>
        <w:tc>
          <w:tcPr>
            <w:tcW w:w="2093" w:type="dxa"/>
            <w:hideMark/>
          </w:tcPr>
          <w:p w:rsidR="00B14064" w:rsidRPr="001865AA" w:rsidRDefault="00B14064">
            <w:pPr>
              <w:pStyle w:val="Tabletext"/>
            </w:pPr>
            <w:r w:rsidRPr="001865AA">
              <w:t>PD Topic</w:t>
            </w:r>
          </w:p>
        </w:tc>
        <w:tc>
          <w:tcPr>
            <w:tcW w:w="2377" w:type="dxa"/>
            <w:hideMark/>
          </w:tcPr>
          <w:p w:rsidR="00B14064" w:rsidRPr="001865AA" w:rsidRDefault="00B14064">
            <w:pPr>
              <w:pStyle w:val="Tabletext"/>
            </w:pPr>
            <w:r w:rsidRPr="001865AA">
              <w:t>Subtopic</w:t>
            </w:r>
          </w:p>
        </w:tc>
        <w:tc>
          <w:tcPr>
            <w:tcW w:w="2159" w:type="dxa"/>
            <w:hideMark/>
          </w:tcPr>
          <w:p w:rsidR="00B14064" w:rsidRPr="001865AA" w:rsidRDefault="00B14064">
            <w:pPr>
              <w:pStyle w:val="Tabletext"/>
            </w:pPr>
            <w:r w:rsidRPr="001865AA">
              <w:t>Study ID</w:t>
            </w:r>
          </w:p>
        </w:tc>
        <w:tc>
          <w:tcPr>
            <w:tcW w:w="1984" w:type="dxa"/>
            <w:hideMark/>
          </w:tcPr>
          <w:p w:rsidR="00B14064" w:rsidRPr="001865AA" w:rsidRDefault="00B14064">
            <w:pPr>
              <w:pStyle w:val="Tabletext"/>
            </w:pPr>
            <w:r w:rsidRPr="001865AA">
              <w:t>Primary Drug</w:t>
            </w:r>
          </w:p>
        </w:tc>
      </w:tr>
      <w:tr w:rsidR="008A4E67" w:rsidTr="001F1EAF">
        <w:tc>
          <w:tcPr>
            <w:tcW w:w="2093" w:type="dxa"/>
            <w:vMerge w:val="restart"/>
            <w:hideMark/>
          </w:tcPr>
          <w:p w:rsidR="008A4E67" w:rsidRDefault="008A4E67">
            <w:pPr>
              <w:pStyle w:val="Tabletext"/>
              <w:keepNext/>
              <w:rPr>
                <w:b/>
              </w:rPr>
            </w:pPr>
            <w:r>
              <w:rPr>
                <w:b/>
              </w:rPr>
              <w:t>Primary Pharmacology</w:t>
            </w:r>
          </w:p>
        </w:tc>
        <w:tc>
          <w:tcPr>
            <w:tcW w:w="2377" w:type="dxa"/>
            <w:hideMark/>
          </w:tcPr>
          <w:p w:rsidR="008A4E67" w:rsidRDefault="008A4E67">
            <w:pPr>
              <w:pStyle w:val="Tabletext"/>
              <w:keepNext/>
            </w:pPr>
            <w:r>
              <w:t>Effect on antiviral activity</w:t>
            </w:r>
          </w:p>
        </w:tc>
        <w:tc>
          <w:tcPr>
            <w:tcW w:w="2159" w:type="dxa"/>
            <w:hideMark/>
          </w:tcPr>
          <w:p w:rsidR="008A4E67" w:rsidRDefault="008A4E67">
            <w:pPr>
              <w:pStyle w:val="Tabletext"/>
              <w:keepNext/>
            </w:pPr>
            <w:r>
              <w:t>GS-US-120-1101</w:t>
            </w:r>
          </w:p>
        </w:tc>
        <w:tc>
          <w:tcPr>
            <w:tcW w:w="1984" w:type="dxa"/>
            <w:hideMark/>
          </w:tcPr>
          <w:p w:rsidR="008A4E67" w:rsidRDefault="008A4E67">
            <w:pPr>
              <w:pStyle w:val="Tabletext"/>
              <w:keepNext/>
              <w:jc w:val="center"/>
            </w:pPr>
            <w:r>
              <w:t>TAF</w:t>
            </w:r>
          </w:p>
        </w:tc>
      </w:tr>
      <w:tr w:rsidR="008A4E67" w:rsidTr="001F1EAF">
        <w:tc>
          <w:tcPr>
            <w:tcW w:w="2093" w:type="dxa"/>
            <w:vMerge/>
          </w:tcPr>
          <w:p w:rsidR="008A4E67" w:rsidRDefault="008A4E67">
            <w:pPr>
              <w:pStyle w:val="Tabletext"/>
              <w:keepNext/>
              <w:rPr>
                <w:b/>
              </w:rPr>
            </w:pPr>
          </w:p>
        </w:tc>
        <w:tc>
          <w:tcPr>
            <w:tcW w:w="2377" w:type="dxa"/>
            <w:hideMark/>
          </w:tcPr>
          <w:p w:rsidR="008A4E67" w:rsidRDefault="008A4E67">
            <w:pPr>
              <w:pStyle w:val="Tabletext"/>
              <w:keepNext/>
            </w:pPr>
            <w:r>
              <w:t>Effect on Antiviral activity of escalating doses</w:t>
            </w:r>
          </w:p>
        </w:tc>
        <w:tc>
          <w:tcPr>
            <w:tcW w:w="2159" w:type="dxa"/>
            <w:hideMark/>
          </w:tcPr>
          <w:p w:rsidR="008A4E67" w:rsidRDefault="008A4E67">
            <w:pPr>
              <w:pStyle w:val="Tabletext"/>
              <w:keepNext/>
            </w:pPr>
            <w:r>
              <w:t>GS-US-120-0104</w:t>
            </w:r>
          </w:p>
        </w:tc>
        <w:tc>
          <w:tcPr>
            <w:tcW w:w="1984" w:type="dxa"/>
            <w:hideMark/>
          </w:tcPr>
          <w:p w:rsidR="008A4E67" w:rsidRDefault="008A4E67">
            <w:pPr>
              <w:pStyle w:val="Tabletext"/>
              <w:keepNext/>
              <w:jc w:val="center"/>
            </w:pPr>
            <w:r>
              <w:t>TAF</w:t>
            </w:r>
          </w:p>
        </w:tc>
      </w:tr>
      <w:tr w:rsidR="00B14064" w:rsidTr="001F1EAF">
        <w:tc>
          <w:tcPr>
            <w:tcW w:w="2093" w:type="dxa"/>
            <w:hideMark/>
          </w:tcPr>
          <w:p w:rsidR="00B14064" w:rsidRDefault="00B14064">
            <w:pPr>
              <w:pStyle w:val="Tabletext"/>
              <w:keepNext/>
              <w:rPr>
                <w:b/>
              </w:rPr>
            </w:pPr>
            <w:r>
              <w:rPr>
                <w:b/>
              </w:rPr>
              <w:t>Secondary Pharmacology</w:t>
            </w:r>
          </w:p>
        </w:tc>
        <w:tc>
          <w:tcPr>
            <w:tcW w:w="2377" w:type="dxa"/>
            <w:hideMark/>
          </w:tcPr>
          <w:p w:rsidR="00B14064" w:rsidRDefault="00B14064">
            <w:pPr>
              <w:pStyle w:val="Tabletext"/>
              <w:keepNext/>
            </w:pPr>
            <w:r>
              <w:t>Effect on QTcF</w:t>
            </w:r>
          </w:p>
        </w:tc>
        <w:tc>
          <w:tcPr>
            <w:tcW w:w="2159" w:type="dxa"/>
            <w:hideMark/>
          </w:tcPr>
          <w:p w:rsidR="00B14064" w:rsidRDefault="00B14064">
            <w:pPr>
              <w:pStyle w:val="Tabletext"/>
              <w:keepNext/>
            </w:pPr>
            <w:r>
              <w:t>GS-US-120-0107</w:t>
            </w:r>
          </w:p>
        </w:tc>
        <w:tc>
          <w:tcPr>
            <w:tcW w:w="1984" w:type="dxa"/>
            <w:hideMark/>
          </w:tcPr>
          <w:p w:rsidR="00B14064" w:rsidRDefault="00B14064">
            <w:pPr>
              <w:pStyle w:val="Tabletext"/>
              <w:keepNext/>
              <w:jc w:val="center"/>
            </w:pPr>
            <w:r>
              <w:t>TAF</w:t>
            </w:r>
          </w:p>
        </w:tc>
      </w:tr>
      <w:tr w:rsidR="008A4E67" w:rsidTr="001F1EAF">
        <w:tc>
          <w:tcPr>
            <w:tcW w:w="2093" w:type="dxa"/>
            <w:vMerge w:val="restart"/>
            <w:hideMark/>
          </w:tcPr>
          <w:p w:rsidR="008A4E67" w:rsidRDefault="008A4E67">
            <w:pPr>
              <w:pStyle w:val="Tabletext"/>
              <w:keepNext/>
              <w:rPr>
                <w:b/>
              </w:rPr>
            </w:pPr>
            <w:r>
              <w:rPr>
                <w:b/>
              </w:rPr>
              <w:t>Population PD and PK-PD analyses</w:t>
            </w:r>
          </w:p>
        </w:tc>
        <w:tc>
          <w:tcPr>
            <w:tcW w:w="2377" w:type="dxa"/>
            <w:hideMark/>
          </w:tcPr>
          <w:p w:rsidR="008A4E67" w:rsidRDefault="008A4E67">
            <w:pPr>
              <w:pStyle w:val="Tabletext"/>
              <w:keepNext/>
            </w:pPr>
            <w:r>
              <w:t>Healthy subjects</w:t>
            </w:r>
          </w:p>
        </w:tc>
        <w:tc>
          <w:tcPr>
            <w:tcW w:w="2159" w:type="dxa"/>
            <w:hideMark/>
          </w:tcPr>
          <w:p w:rsidR="008A4E67" w:rsidRDefault="008A4E67">
            <w:pPr>
              <w:pStyle w:val="Tabletext"/>
              <w:keepNext/>
              <w:rPr>
                <w:kern w:val="16"/>
                <w:sz w:val="20"/>
                <w:szCs w:val="20"/>
              </w:rPr>
            </w:pPr>
            <w:r>
              <w:t>GS-US-292-0103</w:t>
            </w:r>
          </w:p>
          <w:p w:rsidR="008A4E67" w:rsidRDefault="008A4E67">
            <w:pPr>
              <w:pStyle w:val="Tabletext"/>
              <w:keepNext/>
            </w:pPr>
            <w:r>
              <w:t>GS-US-292-0108</w:t>
            </w:r>
          </w:p>
          <w:p w:rsidR="008A4E67" w:rsidRDefault="008A4E67">
            <w:pPr>
              <w:pStyle w:val="Tabletext"/>
              <w:keepNext/>
            </w:pPr>
            <w:r>
              <w:t>GS-US-292-0110</w:t>
            </w:r>
          </w:p>
        </w:tc>
        <w:tc>
          <w:tcPr>
            <w:tcW w:w="1984" w:type="dxa"/>
          </w:tcPr>
          <w:p w:rsidR="008A4E67" w:rsidRDefault="008A4E67">
            <w:pPr>
              <w:pStyle w:val="Tabletext"/>
              <w:keepNext/>
              <w:jc w:val="center"/>
            </w:pPr>
          </w:p>
        </w:tc>
      </w:tr>
      <w:tr w:rsidR="008A4E67" w:rsidTr="001F1EAF">
        <w:tc>
          <w:tcPr>
            <w:tcW w:w="2093" w:type="dxa"/>
            <w:vMerge/>
          </w:tcPr>
          <w:p w:rsidR="008A4E67" w:rsidRDefault="008A4E67">
            <w:pPr>
              <w:pStyle w:val="Tabletext"/>
              <w:keepNext/>
            </w:pPr>
          </w:p>
        </w:tc>
        <w:tc>
          <w:tcPr>
            <w:tcW w:w="2377" w:type="dxa"/>
            <w:hideMark/>
          </w:tcPr>
          <w:p w:rsidR="008A4E67" w:rsidRDefault="008A4E67">
            <w:pPr>
              <w:pStyle w:val="Tabletext"/>
              <w:keepNext/>
            </w:pPr>
            <w:r>
              <w:t>Target population ‡§</w:t>
            </w:r>
          </w:p>
        </w:tc>
        <w:tc>
          <w:tcPr>
            <w:tcW w:w="2159" w:type="dxa"/>
            <w:hideMark/>
          </w:tcPr>
          <w:p w:rsidR="008A4E67" w:rsidRDefault="008A4E67">
            <w:pPr>
              <w:pStyle w:val="Tabletext"/>
              <w:keepNext/>
              <w:rPr>
                <w:kern w:val="16"/>
                <w:sz w:val="20"/>
                <w:szCs w:val="20"/>
              </w:rPr>
            </w:pPr>
            <w:r>
              <w:t>GS-US-292-0102</w:t>
            </w:r>
          </w:p>
          <w:p w:rsidR="008A4E67" w:rsidRDefault="008A4E67">
            <w:pPr>
              <w:pStyle w:val="Tabletext"/>
              <w:keepNext/>
            </w:pPr>
            <w:r>
              <w:t>GS-US-292-0106</w:t>
            </w:r>
          </w:p>
          <w:p w:rsidR="008A4E67" w:rsidRDefault="008A4E67">
            <w:pPr>
              <w:pStyle w:val="Tabletext"/>
              <w:keepNext/>
            </w:pPr>
            <w:r>
              <w:t>GS-US-292-0104</w:t>
            </w:r>
          </w:p>
          <w:p w:rsidR="008A4E67" w:rsidRDefault="008A4E67">
            <w:pPr>
              <w:pStyle w:val="Tabletext"/>
              <w:keepNext/>
            </w:pPr>
            <w:r>
              <w:t>GS-US-292-0109</w:t>
            </w:r>
          </w:p>
          <w:p w:rsidR="008A4E67" w:rsidRDefault="008A4E67">
            <w:pPr>
              <w:pStyle w:val="Tabletext"/>
              <w:keepNext/>
            </w:pPr>
            <w:r>
              <w:t>GS-US-292-0111</w:t>
            </w:r>
          </w:p>
          <w:p w:rsidR="008A4E67" w:rsidRDefault="008A4E67">
            <w:pPr>
              <w:pStyle w:val="Tabletext"/>
              <w:keepNext/>
            </w:pPr>
            <w:r>
              <w:t>GS-US_292-0112</w:t>
            </w:r>
          </w:p>
        </w:tc>
        <w:tc>
          <w:tcPr>
            <w:tcW w:w="1984" w:type="dxa"/>
          </w:tcPr>
          <w:p w:rsidR="008A4E67" w:rsidRDefault="008A4E67">
            <w:pPr>
              <w:pStyle w:val="Tabletext"/>
              <w:keepNext/>
              <w:jc w:val="center"/>
            </w:pPr>
          </w:p>
        </w:tc>
      </w:tr>
    </w:tbl>
    <w:p w:rsidR="00B14064" w:rsidRDefault="00B14064" w:rsidP="001F1EAF">
      <w:pPr>
        <w:pStyle w:val="TableDescription"/>
        <w:rPr>
          <w:kern w:val="16"/>
        </w:rPr>
      </w:pPr>
      <w:r>
        <w:t>* Indicates the primary aim of the study.</w:t>
      </w:r>
    </w:p>
    <w:p w:rsidR="00B14064" w:rsidRDefault="00B14064" w:rsidP="001F1EAF">
      <w:pPr>
        <w:pStyle w:val="TableDescription"/>
        <w:rPr>
          <w:szCs w:val="20"/>
        </w:rPr>
      </w:pPr>
      <w:r>
        <w:t>§</w:t>
      </w:r>
      <w:r>
        <w:rPr>
          <w:szCs w:val="20"/>
        </w:rPr>
        <w:t xml:space="preserve"> Subjects who would be eligible to receive the drug if approved for the proposed indication.</w:t>
      </w:r>
    </w:p>
    <w:p w:rsidR="00B14064" w:rsidRDefault="00B14064" w:rsidP="001F1EAF">
      <w:pPr>
        <w:pStyle w:val="TableDescription"/>
        <w:rPr>
          <w:szCs w:val="20"/>
        </w:rPr>
      </w:pPr>
      <w:r>
        <w:t>‡</w:t>
      </w:r>
      <w:r>
        <w:rPr>
          <w:szCs w:val="20"/>
        </w:rPr>
        <w:t xml:space="preserve"> And adolescents if applicable.</w:t>
      </w:r>
    </w:p>
    <w:p w:rsidR="00B14064" w:rsidRPr="00B14064" w:rsidRDefault="00B14064" w:rsidP="001F1EAF">
      <w:r>
        <w:t>None of the pharmacodynamic studies had deficiencies that excluded their results from consideration.</w:t>
      </w:r>
    </w:p>
    <w:p w:rsidR="00605AD4" w:rsidRDefault="00605AD4" w:rsidP="00605AD4">
      <w:pPr>
        <w:pStyle w:val="Heading4"/>
      </w:pPr>
      <w:r>
        <w:t>Evaluator’s conclusions on pharmacodynamics</w:t>
      </w:r>
    </w:p>
    <w:p w:rsidR="00B14064" w:rsidRPr="00B14064" w:rsidRDefault="00B14064" w:rsidP="008A4E67">
      <w:r w:rsidRPr="001F1EAF">
        <w:t>The pharmacodynamic data presented in this section has been assessed from the Genvoya dossier as there are no specific pharmacodynamic studies related to Descovy. Study GS-US-311-</w:t>
      </w:r>
      <w:r w:rsidR="002575A8">
        <w:t>108</w:t>
      </w:r>
      <w:r w:rsidR="002575A8" w:rsidRPr="001F1EAF">
        <w:t xml:space="preserve">9 </w:t>
      </w:r>
      <w:r w:rsidRPr="001F1EAF">
        <w:t>has data on the concentration of TFV-DP in PBMCs in the presence Descovy and a range of third agents, both boosted with RTV and unboosted. These pharmacokinetic data provide some indirect evidence that the pharmacodynamics of Descovy will be similar to those of Truvada, but this is not specifically addressed in the submission. It is possible that when the GS-US-311-1</w:t>
      </w:r>
      <w:r w:rsidR="002575A8">
        <w:t>0</w:t>
      </w:r>
      <w:r w:rsidRPr="001F1EAF">
        <w:t>89 study</w:t>
      </w:r>
      <w:r>
        <w:t xml:space="preserve"> is analysed there will be specific pharmacodynamic data to draw conclusions on Descovy.</w:t>
      </w:r>
    </w:p>
    <w:p w:rsidR="008E7846" w:rsidRDefault="00605AD4" w:rsidP="00605AD4">
      <w:pPr>
        <w:pStyle w:val="Heading3"/>
      </w:pPr>
      <w:bookmarkStart w:id="105" w:name="_Toc470175481"/>
      <w:r>
        <w:t>Dosage selection for the pivotal studies</w:t>
      </w:r>
      <w:bookmarkEnd w:id="105"/>
    </w:p>
    <w:p w:rsidR="00B14064" w:rsidRDefault="00B14064" w:rsidP="008A4E67">
      <w:r>
        <w:t xml:space="preserve">The pivotal studies submitted by the sponsor are two </w:t>
      </w:r>
      <w:proofErr w:type="gramStart"/>
      <w:r>
        <w:t>Phase</w:t>
      </w:r>
      <w:proofErr w:type="gramEnd"/>
      <w:r>
        <w:t xml:space="preserve"> </w:t>
      </w:r>
      <w:r w:rsidR="001F1EAF">
        <w:t>I</w:t>
      </w:r>
      <w:r>
        <w:t xml:space="preserve"> bioequivalence studies in healthy subjects. The studies have been presented in detail in </w:t>
      </w:r>
      <w:r w:rsidR="001F1EAF">
        <w:t>Attachment 2 Extract from the CER</w:t>
      </w:r>
      <w:r>
        <w:t>.</w:t>
      </w:r>
    </w:p>
    <w:p w:rsidR="008E7846" w:rsidRPr="00254787" w:rsidRDefault="008E7846" w:rsidP="008E7846">
      <w:pPr>
        <w:pStyle w:val="Heading3"/>
      </w:pPr>
      <w:bookmarkStart w:id="106" w:name="_Toc163441372"/>
      <w:bookmarkStart w:id="107" w:name="_Toc196046485"/>
      <w:bookmarkStart w:id="108" w:name="_Toc247691521"/>
      <w:bookmarkStart w:id="109" w:name="_Toc314842504"/>
      <w:bookmarkStart w:id="110" w:name="_Toc470175482"/>
      <w:r w:rsidRPr="00254787">
        <w:lastRenderedPageBreak/>
        <w:t>Efficacy</w:t>
      </w:r>
      <w:bookmarkEnd w:id="106"/>
      <w:bookmarkEnd w:id="107"/>
      <w:bookmarkEnd w:id="108"/>
      <w:bookmarkEnd w:id="109"/>
      <w:bookmarkEnd w:id="110"/>
    </w:p>
    <w:p w:rsidR="00B14064" w:rsidRPr="001F1EAF" w:rsidRDefault="00B14064" w:rsidP="001F1EAF">
      <w:bookmarkStart w:id="111" w:name="_Toc184439992"/>
      <w:bookmarkStart w:id="112" w:name="_Toc184440279"/>
      <w:bookmarkStart w:id="113" w:name="_Toc184444657"/>
      <w:bookmarkStart w:id="114" w:name="_Toc196046487"/>
      <w:r w:rsidRPr="001F1EAF">
        <w:t xml:space="preserve">No clinical efficacy studies using the FDC FTC/TAF have been submitted to directly support this application. The sponsor has provided two pivotal bioequivalence </w:t>
      </w:r>
      <w:r w:rsidR="001F1EAF">
        <w:t>S</w:t>
      </w:r>
      <w:r w:rsidRPr="001F1EAF">
        <w:t>tudies GS-US-</w:t>
      </w:r>
      <w:r w:rsidR="00BF02AA">
        <w:t>3</w:t>
      </w:r>
      <w:r w:rsidRPr="001F1EAF">
        <w:t>11-1472 and GS-US</w:t>
      </w:r>
      <w:r w:rsidR="00BF02AA">
        <w:t>-311</w:t>
      </w:r>
      <w:r w:rsidRPr="001F1EAF">
        <w:t xml:space="preserve">-1473. These Phase </w:t>
      </w:r>
      <w:r w:rsidR="001F1EAF">
        <w:t>I</w:t>
      </w:r>
      <w:r w:rsidRPr="001F1EAF">
        <w:t xml:space="preserve"> studies in healthy adults do not address any issues of clinical efficacy. By demonstrating bioequivalence the sponsor is then using the Genvoya data on clinical efficacy to support the inference that Descovy as a standalone FDC will have the same clinical efficacy as Genvoya when combined with COBI and EVG (as in Genvoya) or with other boosted or unboosted anti-retroviral combinations.</w:t>
      </w:r>
    </w:p>
    <w:p w:rsidR="00B14064" w:rsidRPr="001F1EAF" w:rsidRDefault="00B14064" w:rsidP="001F1EAF">
      <w:r w:rsidRPr="001F1EAF">
        <w:t xml:space="preserve">The six clinical studies (GS-US-292-0102 (Phase </w:t>
      </w:r>
      <w:r w:rsidR="001F1EAF">
        <w:t>II</w:t>
      </w:r>
      <w:r w:rsidRPr="001F1EAF">
        <w:t>); GS-US-292-0104 (</w:t>
      </w:r>
      <w:r w:rsidR="00E04BFC" w:rsidRPr="001F1EAF">
        <w:t>Phase III</w:t>
      </w:r>
      <w:r w:rsidRPr="001F1EAF">
        <w:t>; naive); GS-US-292-0111 (</w:t>
      </w:r>
      <w:r w:rsidR="00E04BFC" w:rsidRPr="001F1EAF">
        <w:t>Phase III</w:t>
      </w:r>
      <w:r w:rsidRPr="001F1EAF">
        <w:t>; naive); GS-US-292-0109 (</w:t>
      </w:r>
      <w:r w:rsidR="00E04BFC" w:rsidRPr="001F1EAF">
        <w:t>Phase III</w:t>
      </w:r>
      <w:r w:rsidRPr="001F1EAF">
        <w:t>; virologically suppressed; switch study)</w:t>
      </w:r>
    </w:p>
    <w:p w:rsidR="00B14064" w:rsidRPr="001F1EAF" w:rsidRDefault="00B14064" w:rsidP="001F1EAF">
      <w:r w:rsidRPr="001F1EAF">
        <w:t xml:space="preserve">GS-US-292-0106 (single arm; adolescents); GS-US-292-0112 (renal impairment) submitted to support the application were conducted with the Genvoya FDC and not with the Descovy FDC. While this may indirectly support the clinical efficacy of Descovy, the studies </w:t>
      </w:r>
      <w:r w:rsidRPr="00CD2CF3">
        <w:t xml:space="preserve">do not address the issues of Descovy administered in any form other than as an FDC in combination with COBI and EVG. The clinical efficacy of this combination was assessed in </w:t>
      </w:r>
      <w:r w:rsidR="001F1EAF" w:rsidRPr="00CD2CF3">
        <w:t xml:space="preserve">the Genvoya </w:t>
      </w:r>
      <w:r w:rsidRPr="00CD2CF3">
        <w:t xml:space="preserve">submission </w:t>
      </w:r>
      <w:r w:rsidR="001F1EAF" w:rsidRPr="00CD2CF3">
        <w:t>(</w:t>
      </w:r>
      <w:r w:rsidR="00CD2CF3" w:rsidRPr="00CD2CF3">
        <w:t>Genvoya AusPA</w:t>
      </w:r>
      <w:r w:rsidR="00CC7403">
        <w:t>R</w:t>
      </w:r>
      <w:r w:rsidR="00CC7403">
        <w:rPr>
          <w:rStyle w:val="FootnoteReference"/>
        </w:rPr>
        <w:footnoteReference w:id="9"/>
      </w:r>
      <w:r w:rsidR="001F1EAF" w:rsidRPr="00CD2CF3">
        <w:t>)</w:t>
      </w:r>
      <w:r w:rsidRPr="00CD2CF3">
        <w:t>.</w:t>
      </w:r>
    </w:p>
    <w:p w:rsidR="00B14064" w:rsidRPr="001F1EAF" w:rsidRDefault="001F1EAF" w:rsidP="001F1EAF">
      <w:r w:rsidRPr="00CD2CF3">
        <w:t>T</w:t>
      </w:r>
      <w:r w:rsidR="00B14064" w:rsidRPr="00CD2CF3">
        <w:t xml:space="preserve">his dossier contains exactly the same efficacy studies that were submitted for </w:t>
      </w:r>
      <w:r w:rsidR="00A27647" w:rsidRPr="00CD2CF3">
        <w:t>the Genvoya application</w:t>
      </w:r>
      <w:r w:rsidR="00B14064" w:rsidRPr="00CD2CF3">
        <w:t xml:space="preserve">. No other clinical efficacy </w:t>
      </w:r>
      <w:r w:rsidR="00E04BFC" w:rsidRPr="00CD2CF3">
        <w:t>Phase III</w:t>
      </w:r>
      <w:r w:rsidR="00B14064" w:rsidRPr="00CD2CF3">
        <w:t xml:space="preserve"> studies are included in the dossier. Study GS-US-311-1</w:t>
      </w:r>
      <w:r w:rsidR="002575A8">
        <w:t>0</w:t>
      </w:r>
      <w:r w:rsidR="00B14064" w:rsidRPr="00CD2CF3">
        <w:t xml:space="preserve">89 is a </w:t>
      </w:r>
      <w:r w:rsidR="00E04BFC" w:rsidRPr="00CD2CF3">
        <w:t>Phase III</w:t>
      </w:r>
      <w:r w:rsidR="00B14064" w:rsidRPr="00CD2CF3">
        <w:t xml:space="preserve"> clinical efficacy and safety study which would possibly provide data to support</w:t>
      </w:r>
      <w:r w:rsidR="00B14064" w:rsidRPr="001F1EAF">
        <w:t xml:space="preserve"> the application. A preliminary pharmacokinetic sub-study of this clinical trial is assessed in detail in this report, but it is limited to the concentration of TFV-DP in PBMCs.</w:t>
      </w:r>
    </w:p>
    <w:p w:rsidR="008E7846" w:rsidRPr="00A27647" w:rsidRDefault="008E7846" w:rsidP="00A27647">
      <w:pPr>
        <w:pStyle w:val="Heading3"/>
      </w:pPr>
      <w:bookmarkStart w:id="115" w:name="_Toc163441378"/>
      <w:bookmarkStart w:id="116" w:name="_Toc196046495"/>
      <w:bookmarkStart w:id="117" w:name="_Toc247691522"/>
      <w:bookmarkStart w:id="118" w:name="_Toc314842505"/>
      <w:bookmarkStart w:id="119" w:name="_Toc470175483"/>
      <w:bookmarkEnd w:id="111"/>
      <w:bookmarkEnd w:id="112"/>
      <w:bookmarkEnd w:id="113"/>
      <w:bookmarkEnd w:id="114"/>
      <w:r w:rsidRPr="002E238E">
        <w:t>Safety</w:t>
      </w:r>
      <w:bookmarkEnd w:id="115"/>
      <w:bookmarkEnd w:id="116"/>
      <w:bookmarkEnd w:id="117"/>
      <w:bookmarkEnd w:id="118"/>
      <w:bookmarkEnd w:id="119"/>
    </w:p>
    <w:p w:rsidR="00605AD4" w:rsidRPr="00A27647" w:rsidRDefault="00605AD4" w:rsidP="00A27647">
      <w:pPr>
        <w:pStyle w:val="Heading4"/>
      </w:pPr>
      <w:bookmarkStart w:id="120" w:name="_Toc247691524"/>
      <w:bookmarkStart w:id="121" w:name="_Toc314842508"/>
      <w:bookmarkStart w:id="122" w:name="_Toc196046504"/>
      <w:bookmarkStart w:id="123" w:name="_Toc163441390"/>
      <w:r w:rsidRPr="00605AD4">
        <w:t>Studies providing safety data</w:t>
      </w:r>
    </w:p>
    <w:p w:rsidR="00B14064" w:rsidRPr="00A27647" w:rsidRDefault="00B14064" w:rsidP="00A27647">
      <w:bookmarkStart w:id="124" w:name="_Ref268776745"/>
      <w:r w:rsidRPr="00A27647">
        <w:t xml:space="preserve">No specific studies were submitted to address safety issues in the target population. The pivotal bioequivalence </w:t>
      </w:r>
      <w:r w:rsidR="00A27647">
        <w:t>S</w:t>
      </w:r>
      <w:r w:rsidRPr="00A27647">
        <w:t>tudies GS-US-</w:t>
      </w:r>
      <w:r w:rsidR="00BF02AA">
        <w:t>3</w:t>
      </w:r>
      <w:r w:rsidRPr="00A27647">
        <w:t>11-1472 and GS-US</w:t>
      </w:r>
      <w:r w:rsidR="00BF02AA">
        <w:t>-311</w:t>
      </w:r>
      <w:r w:rsidRPr="00A27647">
        <w:t>-1473 were conducted in healthy adults and the food affect study was also conducted in healthy adults. These were the only studies where safety was directly observed, as a secondary outcome, in a population administered Descovy.</w:t>
      </w:r>
      <w:r w:rsidR="00347444" w:rsidRPr="00A27647">
        <w:t xml:space="preserve"> </w:t>
      </w:r>
      <w:r w:rsidRPr="00A27647">
        <w:t xml:space="preserve">GS-US-120-0118 is the other study where safety was observed was an open label study in healthy adults administered Descovy and a </w:t>
      </w:r>
      <w:r w:rsidRPr="00CD2CF3">
        <w:t xml:space="preserve">range of other anti-retroviral drugs, both boosted and non-boosted to measure pharmacokinetics. The studies on clinical safety have been assessed in detail in </w:t>
      </w:r>
      <w:r w:rsidR="00A27647" w:rsidRPr="00CD2CF3">
        <w:t>the Genvoya evaluatio</w:t>
      </w:r>
      <w:r w:rsidR="00CD2CF3">
        <w:t>n</w:t>
      </w:r>
      <w:r w:rsidR="00FC6DC1">
        <w:rPr>
          <w:rStyle w:val="FootnoteReference"/>
        </w:rPr>
        <w:footnoteReference w:id="10"/>
      </w:r>
      <w:r w:rsidRPr="00CD2CF3">
        <w:t>.There were 6 pivotal safety efficacy studies assessed in the Genvoya dossier and these are the same studies submitted in this dossier. These studies include the FDC E/C/F/TAF as</w:t>
      </w:r>
      <w:r w:rsidRPr="00A27647">
        <w:t xml:space="preserve"> Genvoya and compare the safety and efficacy to Stribild, previous approved by TGA. There are no </w:t>
      </w:r>
      <w:r w:rsidR="00E04BFC" w:rsidRPr="00A27647">
        <w:t>Phase III</w:t>
      </w:r>
      <w:r w:rsidRPr="00A27647">
        <w:t xml:space="preserve"> clinical studies in the target population of HIV-1 infected patients, either adults or adolescents, in this dossier that consider the safety of the FDC Descovy.</w:t>
      </w:r>
    </w:p>
    <w:bookmarkEnd w:id="124"/>
    <w:p w:rsidR="00586A39" w:rsidRDefault="00B14064" w:rsidP="00A27647">
      <w:r w:rsidRPr="00A27647">
        <w:t>Data are provided on safety parameters for TAF and FTC as separate components but not in the form which is the subject of this application</w:t>
      </w:r>
      <w:r w:rsidR="00586A39">
        <w:t>.</w:t>
      </w:r>
    </w:p>
    <w:p w:rsidR="00605AD4" w:rsidRDefault="00605AD4" w:rsidP="00605AD4">
      <w:pPr>
        <w:pStyle w:val="Heading4"/>
      </w:pPr>
      <w:r w:rsidRPr="00605AD4">
        <w:lastRenderedPageBreak/>
        <w:t>Postmarketing data</w:t>
      </w:r>
    </w:p>
    <w:p w:rsidR="00B14064" w:rsidRDefault="00B14064" w:rsidP="008A4E67">
      <w:r>
        <w:t>There is no post-marketing experience with Descovy.</w:t>
      </w:r>
    </w:p>
    <w:p w:rsidR="00605AD4" w:rsidRDefault="00605AD4" w:rsidP="00605AD4">
      <w:pPr>
        <w:pStyle w:val="Heading4"/>
      </w:pPr>
      <w:r w:rsidRPr="00605AD4">
        <w:t>Evaluator’s conclusions on safety</w:t>
      </w:r>
    </w:p>
    <w:p w:rsidR="00B14064" w:rsidRPr="00A27647" w:rsidRDefault="00B14064" w:rsidP="00A27647">
      <w:r w:rsidRPr="00A27647">
        <w:t xml:space="preserve">The safety data for this submission contains no data for the specific FDC of Descovy that is directly the subject of the application by the sponsor. There are data on the combination of the components of Descovy (FTC and TAF) as they are combined with EVG and COBI in Genvoya, but there are no safety data for the subject of the application which is to use Descovy in combination with a boosted or unboosted range of second anti-retroviral agents such as ATV, DRV, </w:t>
      </w:r>
      <w:r w:rsidR="003F7A2A" w:rsidRPr="00A27647">
        <w:t>and LPV</w:t>
      </w:r>
      <w:r w:rsidRPr="00A27647">
        <w:t xml:space="preserve">. The limited safety data presented as secondary outcomes in the Phase </w:t>
      </w:r>
      <w:r w:rsidR="00A27647">
        <w:t>I</w:t>
      </w:r>
      <w:r w:rsidRPr="00A27647">
        <w:t xml:space="preserve"> studies of fed and fasting conditions in healthy adults and in the pharmacokinetic studies with other anti-retroviral agents in healthy adult subjects do not meet the criteria of having appropriately designed </w:t>
      </w:r>
      <w:r w:rsidR="00E04BFC" w:rsidRPr="00A27647">
        <w:t>Phase III</w:t>
      </w:r>
      <w:r w:rsidRPr="00A27647">
        <w:t xml:space="preserve"> clinical study in the target population. The sponsor will need to submit a </w:t>
      </w:r>
      <w:r w:rsidR="00E04BFC" w:rsidRPr="00A27647">
        <w:t>Phase III</w:t>
      </w:r>
      <w:r w:rsidRPr="00A27647">
        <w:t xml:space="preserve"> study before clinical safety can be assessed for </w:t>
      </w:r>
      <w:r w:rsidR="002575A8">
        <w:t>Descovy</w:t>
      </w:r>
      <w:r w:rsidRPr="00A27647">
        <w:t xml:space="preserve">. The limited safety data presented as secondary outcomes in the GS-US-120-0118 study give some assurance that with a single dose of FTC and TAF as separate agents with selected secondary agents, there are limited safety concerns, except with the ATV+RTV combination where there appears to be suggestion that the FTC+TAF may exacerbate the bilirubin increase usually attributed to the ATV. This cannot be confirmed in this short-term Phase </w:t>
      </w:r>
      <w:r w:rsidR="00A27647">
        <w:t>I</w:t>
      </w:r>
      <w:r w:rsidRPr="00A27647">
        <w:t xml:space="preserve"> study, considering the limited exposure to both FTC-TAF and to ATV+RTV and given this study was conducted in healthy subjects. The case of a spontaneous abortion in the GS-US-311-1386 appears to have been a coincidental finding, but given the investigator attributed the cause of the spontaneous abortion to the FTC+TAF study drug it needs to be considered as a safety issue. No information is provided by the sponsor to elucidate this issue, even though it was classified as a study drug related SAE.</w:t>
      </w:r>
    </w:p>
    <w:p w:rsidR="00605AD4" w:rsidRPr="00605AD4" w:rsidRDefault="006A725A" w:rsidP="00605AD4">
      <w:pPr>
        <w:pStyle w:val="Heading3"/>
        <w:rPr>
          <w:rFonts w:eastAsia="Cambria"/>
        </w:rPr>
      </w:pPr>
      <w:bookmarkStart w:id="125" w:name="_Toc470175484"/>
      <w:r>
        <w:rPr>
          <w:rFonts w:eastAsia="Cambria"/>
        </w:rPr>
        <w:t>First round benefit-risk a</w:t>
      </w:r>
      <w:r w:rsidR="00605AD4" w:rsidRPr="00605AD4">
        <w:rPr>
          <w:rFonts w:eastAsia="Cambria"/>
        </w:rPr>
        <w:t>ssessment</w:t>
      </w:r>
      <w:bookmarkEnd w:id="125"/>
    </w:p>
    <w:p w:rsidR="00B14064" w:rsidRPr="00A27647" w:rsidRDefault="00B14064" w:rsidP="00A27647">
      <w:pPr>
        <w:pStyle w:val="Heading4"/>
      </w:pPr>
      <w:bookmarkStart w:id="126" w:name="_Toc435440744"/>
      <w:bookmarkStart w:id="127" w:name="_Toc290846331"/>
      <w:bookmarkStart w:id="128" w:name="_Toc272414693"/>
      <w:bookmarkStart w:id="129" w:name="_Ref272160836"/>
      <w:bookmarkStart w:id="130" w:name="_Toc241374331"/>
      <w:bookmarkStart w:id="131" w:name="_Toc236802592"/>
      <w:r>
        <w:t>First round assessment of benefits</w:t>
      </w:r>
      <w:bookmarkEnd w:id="126"/>
      <w:bookmarkEnd w:id="127"/>
      <w:bookmarkEnd w:id="128"/>
      <w:bookmarkEnd w:id="129"/>
      <w:bookmarkEnd w:id="130"/>
      <w:bookmarkEnd w:id="131"/>
    </w:p>
    <w:p w:rsidR="00B14064" w:rsidRDefault="00B14064" w:rsidP="00A27647">
      <w:r>
        <w:t>The benefits of Descovy in the proposed usage are:</w:t>
      </w:r>
    </w:p>
    <w:p w:rsidR="00586A39" w:rsidRDefault="00B14064" w:rsidP="00A27647">
      <w:pPr>
        <w:pStyle w:val="ListBullet"/>
      </w:pPr>
      <w:r w:rsidRPr="00A27647">
        <w:t xml:space="preserve">The benefit of Descovy is the same as the benefit of Truvada which is an FDC comprising a nucleotide and a nucleoside reverse transcriptase inhibitor. However, </w:t>
      </w:r>
      <w:r w:rsidR="00A27647">
        <w:t>t</w:t>
      </w:r>
      <w:r w:rsidRPr="00A27647">
        <w:t xml:space="preserve">he actual benefits of Descovy cannot be assessed until a </w:t>
      </w:r>
      <w:r w:rsidR="00E04BFC" w:rsidRPr="00A27647">
        <w:t>Phase III</w:t>
      </w:r>
      <w:r w:rsidRPr="00A27647">
        <w:t xml:space="preserve"> clinical trial has been conducted and the results assessed</w:t>
      </w:r>
      <w:r w:rsidR="00586A39">
        <w:t>.</w:t>
      </w:r>
    </w:p>
    <w:p w:rsidR="00B14064" w:rsidRPr="00A27647" w:rsidRDefault="00B14064" w:rsidP="00A27647">
      <w:pPr>
        <w:pStyle w:val="ListBullet"/>
      </w:pPr>
      <w:r w:rsidRPr="00A27647">
        <w:t>Descovy will be available in two dose formulations to be administered with and without booster. The described advantage of Descovy as a once</w:t>
      </w:r>
      <w:r w:rsidR="00A27647">
        <w:t xml:space="preserve"> </w:t>
      </w:r>
      <w:r w:rsidRPr="00A27647">
        <w:t>daily tablet that can be taken with or without food is a potential advantage.</w:t>
      </w:r>
    </w:p>
    <w:p w:rsidR="00B14064" w:rsidRPr="00A27647" w:rsidRDefault="00B14064" w:rsidP="00A27647">
      <w:pPr>
        <w:pStyle w:val="ListBullet"/>
      </w:pPr>
      <w:r w:rsidRPr="00A27647">
        <w:t>The apparent benefit of the TAF component of Descovy, when administered to HIV-1 infected patients may be to reduce the risk of renal impairment and reduction in bone mineral density. However, this benefit has only been shown with the Genvoya FDC, not when used with other anti-retroviral drugs. The apparent benefits of Descovy have been shown with the TAF 1</w:t>
      </w:r>
      <w:r w:rsidR="00E04BFC" w:rsidRPr="00A27647">
        <w:t>0 mg</w:t>
      </w:r>
      <w:r w:rsidRPr="00A27647">
        <w:t xml:space="preserve"> dose when booster with Cobicistat 15</w:t>
      </w:r>
      <w:r w:rsidR="00E04BFC" w:rsidRPr="00A27647">
        <w:t>0 mg</w:t>
      </w:r>
      <w:r w:rsidRPr="00A27647">
        <w:t>. No data have been submitted on the clinical benefit of TAF 2</w:t>
      </w:r>
      <w:r w:rsidR="00E04BFC" w:rsidRPr="00A27647">
        <w:t>5 mg</w:t>
      </w:r>
      <w:r w:rsidRPr="00A27647">
        <w:t xml:space="preserve"> when administered with FTC and other non-boosted anti-retroviral agents.</w:t>
      </w:r>
    </w:p>
    <w:p w:rsidR="00B14064" w:rsidRDefault="00B14064" w:rsidP="008A4E67">
      <w:pPr>
        <w:pStyle w:val="Heading4"/>
      </w:pPr>
      <w:bookmarkStart w:id="132" w:name="_Toc435440745"/>
      <w:bookmarkStart w:id="133" w:name="_Toc290846332"/>
      <w:bookmarkStart w:id="134" w:name="_Toc272414694"/>
      <w:bookmarkStart w:id="135" w:name="_Ref272160964"/>
      <w:bookmarkStart w:id="136" w:name="_Toc241374334"/>
      <w:bookmarkStart w:id="137" w:name="_Toc236802596"/>
      <w:r>
        <w:t>First round assessment of risks</w:t>
      </w:r>
      <w:bookmarkEnd w:id="132"/>
      <w:bookmarkEnd w:id="133"/>
      <w:bookmarkEnd w:id="134"/>
      <w:bookmarkEnd w:id="135"/>
      <w:bookmarkEnd w:id="136"/>
      <w:bookmarkEnd w:id="137"/>
    </w:p>
    <w:p w:rsidR="00B14064" w:rsidRDefault="00B14064" w:rsidP="008A4E67">
      <w:r>
        <w:t>The risks of Descovy in the proposed usage are:</w:t>
      </w:r>
    </w:p>
    <w:p w:rsidR="00B14064" w:rsidRDefault="00B14064" w:rsidP="008A4E67">
      <w:pPr>
        <w:pStyle w:val="ListBullet"/>
      </w:pPr>
      <w:r>
        <w:lastRenderedPageBreak/>
        <w:t xml:space="preserve">It is not possible to determine the risks of Descovy in the absence of a </w:t>
      </w:r>
      <w:r w:rsidR="00E04BFC">
        <w:t>Phase III</w:t>
      </w:r>
      <w:r>
        <w:t xml:space="preserve"> clinical trial in the target population. It appears a </w:t>
      </w:r>
      <w:r w:rsidR="00A27647">
        <w:t>S</w:t>
      </w:r>
      <w:r>
        <w:t>tudy GS-US-311-1</w:t>
      </w:r>
      <w:r w:rsidR="00D40039">
        <w:t>0</w:t>
      </w:r>
      <w:r>
        <w:t>89 may provide some data to clarify this issue when it is analysed and the results presented by the sponsor.</w:t>
      </w:r>
    </w:p>
    <w:p w:rsidR="00B14064" w:rsidRDefault="00B14064" w:rsidP="008A4E67">
      <w:pPr>
        <w:pStyle w:val="Heading4"/>
      </w:pPr>
      <w:bookmarkStart w:id="138" w:name="_Toc435440746"/>
      <w:bookmarkStart w:id="139" w:name="_Toc290846333"/>
      <w:bookmarkStart w:id="140" w:name="_Toc272414695"/>
      <w:bookmarkStart w:id="141" w:name="_Toc241374335"/>
      <w:bookmarkStart w:id="142" w:name="_Toc236802597"/>
      <w:r>
        <w:t>First round assessment of benefit-risk balance</w:t>
      </w:r>
      <w:bookmarkEnd w:id="138"/>
      <w:bookmarkEnd w:id="139"/>
      <w:bookmarkEnd w:id="140"/>
      <w:bookmarkEnd w:id="141"/>
      <w:bookmarkEnd w:id="142"/>
    </w:p>
    <w:p w:rsidR="00605AD4" w:rsidRPr="00605AD4" w:rsidRDefault="00B14064" w:rsidP="008A4E67">
      <w:r>
        <w:t>The benefit-risk balance of Descovy, given the proposed usage, is favourable, when administered as the FDC, Genvoya. There are not sufficient data to determine the benefit-risk balance in the proposed usage, except where Descovy will be used in combination with EVG and COBI either separately or as the FDC Genvoya. This combination is under consideration by the TGA.</w:t>
      </w:r>
    </w:p>
    <w:p w:rsidR="00605AD4" w:rsidRPr="00605AD4" w:rsidRDefault="006A725A" w:rsidP="008A4E67">
      <w:pPr>
        <w:pStyle w:val="Heading4"/>
      </w:pPr>
      <w:r>
        <w:t>First round recommendation regarding a</w:t>
      </w:r>
      <w:r w:rsidR="00605AD4" w:rsidRPr="00605AD4">
        <w:t>uthorisation</w:t>
      </w:r>
    </w:p>
    <w:p w:rsidR="00B14064" w:rsidRDefault="00B14064" w:rsidP="008A4E67">
      <w:r>
        <w:t>The first round recommendation is that Descovy should not be approved for its proposed usage. The recommendation is that Descovy can be approved for HIV-1 infection when administered in the FTC/TAF 20</w:t>
      </w:r>
      <w:r w:rsidR="00E04BFC">
        <w:t>0 mg</w:t>
      </w:r>
      <w:r>
        <w:t>/1</w:t>
      </w:r>
      <w:r w:rsidR="00E04BFC">
        <w:t>0 mg</w:t>
      </w:r>
      <w:r>
        <w:t xml:space="preserve"> formulation in combination with Cobicistat and Elvitegravir, including adolescents 12</w:t>
      </w:r>
      <w:r w:rsidR="00A27647">
        <w:t xml:space="preserve"> to </w:t>
      </w:r>
      <w:r>
        <w:t>18 years of age.</w:t>
      </w:r>
      <w:r w:rsidR="00347444">
        <w:t xml:space="preserve"> </w:t>
      </w:r>
      <w:r>
        <w:t xml:space="preserve">As there are no </w:t>
      </w:r>
      <w:r w:rsidR="00E04BFC">
        <w:t>Phase III</w:t>
      </w:r>
      <w:r>
        <w:t xml:space="preserve"> data on the clinical efficacy and safety of Descovy in adults and</w:t>
      </w:r>
      <w:r w:rsidR="00347444">
        <w:t xml:space="preserve"> </w:t>
      </w:r>
      <w:r>
        <w:t>adolescents (12</w:t>
      </w:r>
      <w:r w:rsidR="00A27647">
        <w:t xml:space="preserve"> to </w:t>
      </w:r>
      <w:r>
        <w:t xml:space="preserve">18 years of age) when administered with other anti-retrovirals or boosted with ritonavir, this indication should not be approved until </w:t>
      </w:r>
      <w:r w:rsidR="00E04BFC">
        <w:t>Phase III</w:t>
      </w:r>
      <w:r>
        <w:t xml:space="preserve"> clinical trial data are available in the target population.</w:t>
      </w:r>
    </w:p>
    <w:p w:rsidR="00605AD4" w:rsidRPr="00605AD4" w:rsidRDefault="006A725A" w:rsidP="00605AD4">
      <w:pPr>
        <w:pStyle w:val="Heading3"/>
        <w:rPr>
          <w:rFonts w:eastAsia="Cambria"/>
        </w:rPr>
      </w:pPr>
      <w:bookmarkStart w:id="143" w:name="_Toc470175485"/>
      <w:r>
        <w:rPr>
          <w:rFonts w:eastAsia="Cambria"/>
        </w:rPr>
        <w:t>Clinical q</w:t>
      </w:r>
      <w:r w:rsidR="00605AD4" w:rsidRPr="00605AD4">
        <w:rPr>
          <w:rFonts w:eastAsia="Cambria"/>
        </w:rPr>
        <w:t>uestions</w:t>
      </w:r>
      <w:bookmarkEnd w:id="143"/>
    </w:p>
    <w:p w:rsidR="00B14064" w:rsidRDefault="00B14064" w:rsidP="008A4E67">
      <w:pPr>
        <w:pStyle w:val="Heading4"/>
      </w:pPr>
      <w:bookmarkStart w:id="144" w:name="_Toc435440754"/>
      <w:bookmarkStart w:id="145" w:name="_Toc290846342"/>
      <w:bookmarkStart w:id="146" w:name="_Toc272414702"/>
      <w:r>
        <w:t>Pharmacokinetics</w:t>
      </w:r>
      <w:bookmarkEnd w:id="144"/>
      <w:bookmarkEnd w:id="145"/>
      <w:bookmarkEnd w:id="146"/>
    </w:p>
    <w:p w:rsidR="00B14064" w:rsidRDefault="00B14064" w:rsidP="008A4E67">
      <w:r>
        <w:t>The administration of FTC/TAF 20</w:t>
      </w:r>
      <w:r w:rsidR="00E04BFC">
        <w:t>0 mg</w:t>
      </w:r>
      <w:r>
        <w:t>/1</w:t>
      </w:r>
      <w:r w:rsidR="00E04BFC">
        <w:t>0 mg</w:t>
      </w:r>
      <w:r>
        <w:t xml:space="preserve"> with DRV + RTV indicated there was no change in the exposure to TAF in healthy adults. The rationale for administration of the 10 mg dose formula of TAF is that its serum exposure will be increased when administered with a booster such as COBI or RTV and the mechanism for this increased serum exposure is that the booster will increase exposure and therefore increase the intracellular TFV </w:t>
      </w:r>
      <w:r w:rsidRPr="00CD2CF3">
        <w:t>level. However, the booster increased the TAF level by 91% with ATV + RTV and 47% with LPV/rtv, but not at all with the DRV + RTV or the Dolutegravir alone. This can see in the table below.</w:t>
      </w:r>
    </w:p>
    <w:p w:rsidR="00B14064" w:rsidRDefault="00B14064" w:rsidP="00203728">
      <w:pPr>
        <w:pStyle w:val="TableTitle"/>
      </w:pPr>
      <w:bookmarkStart w:id="147" w:name="_Toc435440755"/>
      <w:bookmarkStart w:id="148" w:name="_Toc435439304"/>
      <w:bookmarkStart w:id="149" w:name="_Toc435438049"/>
      <w:bookmarkStart w:id="150" w:name="_Toc433634856"/>
      <w:bookmarkStart w:id="151" w:name="_Toc433633025"/>
      <w:r>
        <w:t xml:space="preserve">Table </w:t>
      </w:r>
      <w:r w:rsidR="00203728">
        <w:t>10:</w:t>
      </w:r>
      <w:r>
        <w:t xml:space="preserve"> TAF Study GS-US-120-0118</w:t>
      </w:r>
      <w:r w:rsidR="00203728">
        <w:t xml:space="preserve"> </w:t>
      </w:r>
      <w:r>
        <w:t>Statistical Comparisons of TAF PK Parameter Estimates Between Test and Reference Treatments (PK Analysis Sets)</w:t>
      </w:r>
      <w:bookmarkEnd w:id="147"/>
      <w:bookmarkEnd w:id="148"/>
      <w:bookmarkEnd w:id="149"/>
      <w:bookmarkEnd w:id="150"/>
      <w:bookmarkEnd w:id="151"/>
    </w:p>
    <w:tbl>
      <w:tblPr>
        <w:tblStyle w:val="TableTGAblue"/>
        <w:tblW w:w="0" w:type="auto"/>
        <w:tblLook w:val="04A0" w:firstRow="1" w:lastRow="0" w:firstColumn="1" w:lastColumn="0" w:noHBand="0" w:noVBand="1"/>
      </w:tblPr>
      <w:tblGrid>
        <w:gridCol w:w="2201"/>
        <w:gridCol w:w="2157"/>
        <w:gridCol w:w="1928"/>
        <w:gridCol w:w="269"/>
        <w:gridCol w:w="2165"/>
      </w:tblGrid>
      <w:tr w:rsidR="00662E2E" w:rsidTr="00636357">
        <w:trPr>
          <w:cnfStyle w:val="100000000000" w:firstRow="1" w:lastRow="0" w:firstColumn="0" w:lastColumn="0" w:oddVBand="0" w:evenVBand="0" w:oddHBand="0" w:evenHBand="0" w:firstRowFirstColumn="0" w:firstRowLastColumn="0" w:lastRowFirstColumn="0" w:lastRowLastColumn="0"/>
        </w:trPr>
        <w:tc>
          <w:tcPr>
            <w:tcW w:w="2310" w:type="dxa"/>
          </w:tcPr>
          <w:p w:rsidR="00662E2E" w:rsidRDefault="00662E2E" w:rsidP="00636357">
            <w:r w:rsidRPr="00203728">
              <w:rPr>
                <w:rFonts w:asciiTheme="minorHAnsi" w:eastAsiaTheme="minorHAnsi" w:hAnsiTheme="minorHAnsi" w:cstheme="minorBidi"/>
                <w:sz w:val="18"/>
                <w:szCs w:val="18"/>
                <w:lang w:val="en-US"/>
              </w:rPr>
              <w:t>TAF PK</w:t>
            </w:r>
            <w:r w:rsidRPr="00203728">
              <w:rPr>
                <w:rFonts w:asciiTheme="minorHAnsi" w:eastAsiaTheme="minorHAnsi" w:hAnsiTheme="minorHAnsi" w:cstheme="minorBidi"/>
                <w:spacing w:val="-11"/>
                <w:sz w:val="18"/>
                <w:szCs w:val="18"/>
                <w:lang w:val="en-US"/>
              </w:rPr>
              <w:t xml:space="preserve"> </w:t>
            </w:r>
            <w:r w:rsidRPr="00203728">
              <w:rPr>
                <w:rFonts w:asciiTheme="minorHAnsi" w:eastAsiaTheme="minorHAnsi" w:hAnsiTheme="minorHAnsi" w:cstheme="minorBidi"/>
                <w:sz w:val="18"/>
                <w:szCs w:val="18"/>
                <w:lang w:val="en-US"/>
              </w:rPr>
              <w:t>Parameter</w:t>
            </w:r>
          </w:p>
        </w:tc>
        <w:tc>
          <w:tcPr>
            <w:tcW w:w="2310" w:type="dxa"/>
          </w:tcPr>
          <w:p w:rsidR="00662E2E" w:rsidRDefault="00662E2E" w:rsidP="00636357">
            <w:r w:rsidRPr="00203728">
              <w:rPr>
                <w:rFonts w:asciiTheme="minorHAnsi" w:eastAsiaTheme="minorHAnsi" w:hAnsiTheme="minorHAnsi" w:cstheme="minorBidi"/>
                <w:sz w:val="18"/>
                <w:szCs w:val="18"/>
                <w:lang w:val="en-US"/>
              </w:rPr>
              <w:t>Test Mean</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(%CV)</w:t>
            </w:r>
          </w:p>
        </w:tc>
        <w:tc>
          <w:tcPr>
            <w:tcW w:w="2311" w:type="dxa"/>
            <w:gridSpan w:val="2"/>
          </w:tcPr>
          <w:p w:rsidR="00662E2E" w:rsidRDefault="00662E2E" w:rsidP="00636357">
            <w:r w:rsidRPr="00203728">
              <w:rPr>
                <w:rFonts w:asciiTheme="minorHAnsi" w:eastAsiaTheme="minorHAnsi" w:hAnsiTheme="minorHAnsi" w:cstheme="minorBidi"/>
                <w:sz w:val="18"/>
                <w:szCs w:val="18"/>
                <w:lang w:val="en-US"/>
              </w:rPr>
              <w:t>Reference Mean</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(%CV)</w:t>
            </w:r>
          </w:p>
        </w:tc>
        <w:tc>
          <w:tcPr>
            <w:tcW w:w="2311" w:type="dxa"/>
          </w:tcPr>
          <w:p w:rsidR="00662E2E" w:rsidRDefault="00662E2E" w:rsidP="00636357">
            <w:r w:rsidRPr="00203728">
              <w:rPr>
                <w:rFonts w:asciiTheme="minorHAnsi" w:eastAsiaTheme="minorHAnsi" w:hAnsiTheme="minorHAnsi" w:cstheme="minorBidi"/>
                <w:sz w:val="18"/>
                <w:szCs w:val="18"/>
                <w:lang w:val="en-US"/>
              </w:rPr>
              <w:t>GLSM Ratio (90% CI),</w:t>
            </w:r>
            <w:r w:rsidRPr="00203728">
              <w:rPr>
                <w:rFonts w:asciiTheme="minorHAnsi" w:eastAsiaTheme="minorHAnsi" w:hAnsiTheme="minorHAnsi" w:cstheme="minorBidi"/>
                <w:spacing w:val="-5"/>
                <w:sz w:val="18"/>
                <w:szCs w:val="18"/>
                <w:lang w:val="en-US"/>
              </w:rPr>
              <w:t xml:space="preserve"> </w:t>
            </w:r>
            <w:r w:rsidRPr="00203728">
              <w:rPr>
                <w:rFonts w:asciiTheme="minorHAnsi" w:eastAsiaTheme="minorHAnsi" w:hAnsiTheme="minorHAnsi" w:cstheme="minorBidi"/>
                <w:sz w:val="18"/>
                <w:szCs w:val="18"/>
                <w:lang w:val="en-US"/>
              </w:rPr>
              <w:t>%</w:t>
            </w:r>
          </w:p>
        </w:tc>
      </w:tr>
      <w:tr w:rsidR="00662E2E" w:rsidTr="00636357">
        <w:tc>
          <w:tcPr>
            <w:tcW w:w="9242" w:type="dxa"/>
            <w:gridSpan w:val="5"/>
          </w:tcPr>
          <w:p w:rsidR="00662E2E" w:rsidRPr="00870936" w:rsidRDefault="00662E2E" w:rsidP="00636357">
            <w:pPr>
              <w:rPr>
                <w:rFonts w:asciiTheme="minorHAnsi" w:hAnsiTheme="minorHAnsi"/>
                <w:sz w:val="18"/>
                <w:szCs w:val="18"/>
                <w:lang w:val="en-US"/>
              </w:rPr>
            </w:pPr>
            <w:r w:rsidRPr="00203728">
              <w:rPr>
                <w:rFonts w:asciiTheme="minorHAnsi" w:eastAsiaTheme="minorHAnsi" w:hAnsiTheme="minorHAnsi" w:cstheme="minorBidi"/>
                <w:b/>
                <w:sz w:val="18"/>
                <w:szCs w:val="18"/>
                <w:lang w:val="en-US"/>
              </w:rPr>
              <w:t xml:space="preserve">Cohort 1: FTC+TAF 10 </w:t>
            </w:r>
            <w:r w:rsidRPr="00203728">
              <w:rPr>
                <w:rFonts w:asciiTheme="minorHAnsi" w:eastAsiaTheme="minorHAnsi" w:hAnsiTheme="minorHAnsi" w:cstheme="minorBidi"/>
                <w:b/>
                <w:spacing w:val="-4"/>
                <w:sz w:val="18"/>
                <w:szCs w:val="18"/>
                <w:lang w:val="en-US"/>
              </w:rPr>
              <w:t xml:space="preserve">mg </w:t>
            </w:r>
            <w:r w:rsidRPr="00203728">
              <w:rPr>
                <w:rFonts w:asciiTheme="minorHAnsi" w:eastAsiaTheme="minorHAnsi" w:hAnsiTheme="minorHAnsi" w:cstheme="minorBidi"/>
                <w:b/>
                <w:sz w:val="18"/>
                <w:szCs w:val="18"/>
                <w:lang w:val="en-US"/>
              </w:rPr>
              <w:t xml:space="preserve">+ATV+RTV (Test) vs FTC+TAF 10 </w:t>
            </w:r>
            <w:r w:rsidRPr="00203728">
              <w:rPr>
                <w:rFonts w:asciiTheme="minorHAnsi" w:eastAsiaTheme="minorHAnsi" w:hAnsiTheme="minorHAnsi" w:cstheme="minorBidi"/>
                <w:b/>
                <w:spacing w:val="-4"/>
                <w:sz w:val="18"/>
                <w:szCs w:val="18"/>
                <w:lang w:val="en-US"/>
              </w:rPr>
              <w:t xml:space="preserve">mg </w:t>
            </w:r>
            <w:r w:rsidRPr="00203728">
              <w:rPr>
                <w:rFonts w:asciiTheme="minorHAnsi" w:eastAsiaTheme="minorHAnsi" w:hAnsiTheme="minorHAnsi" w:cstheme="minorBidi"/>
                <w:b/>
                <w:sz w:val="18"/>
                <w:szCs w:val="18"/>
                <w:lang w:val="en-US"/>
              </w:rPr>
              <w:t>(Reference) (N =</w:t>
            </w:r>
            <w:r w:rsidRPr="00203728">
              <w:rPr>
                <w:rFonts w:asciiTheme="minorHAnsi" w:eastAsiaTheme="minorHAnsi" w:hAnsiTheme="minorHAnsi" w:cstheme="minorBidi"/>
                <w:b/>
                <w:spacing w:val="-4"/>
                <w:sz w:val="18"/>
                <w:szCs w:val="18"/>
                <w:lang w:val="en-US"/>
              </w:rPr>
              <w:t xml:space="preserve"> </w:t>
            </w:r>
            <w:r w:rsidRPr="00203728">
              <w:rPr>
                <w:rFonts w:asciiTheme="minorHAnsi" w:eastAsiaTheme="minorHAnsi" w:hAnsiTheme="minorHAnsi" w:cstheme="minorBidi"/>
                <w:b/>
                <w:sz w:val="18"/>
                <w:szCs w:val="18"/>
                <w:lang w:val="en-US"/>
              </w:rPr>
              <w:t>10)</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hAnsiTheme="minorHAnsi"/>
                <w:sz w:val="18"/>
                <w:szCs w:val="18"/>
                <w:lang w:val="en-US"/>
              </w:rPr>
              <w:t>AUC</w:t>
            </w:r>
            <w:r w:rsidRPr="00203728">
              <w:rPr>
                <w:rFonts w:asciiTheme="minorHAnsi" w:hAnsiTheme="minorHAnsi"/>
                <w:position w:val="-2"/>
                <w:sz w:val="18"/>
                <w:szCs w:val="18"/>
                <w:lang w:val="en-US"/>
              </w:rPr>
              <w:t>inf</w:t>
            </w:r>
            <w:r w:rsidRPr="00203728">
              <w:rPr>
                <w:rFonts w:asciiTheme="minorHAnsi" w:hAnsiTheme="minorHAnsi"/>
                <w:spacing w:val="11"/>
                <w:position w:val="-2"/>
                <w:sz w:val="18"/>
                <w:szCs w:val="18"/>
                <w:lang w:val="en-US"/>
              </w:rPr>
              <w:t xml:space="preserve"> </w:t>
            </w:r>
            <w:r w:rsidRPr="00203728">
              <w:rPr>
                <w:rFonts w:asciiTheme="minorHAnsi" w:hAnsiTheme="minorHAnsi"/>
                <w:sz w:val="18"/>
                <w:szCs w:val="18"/>
                <w:lang w:val="en-US"/>
              </w:rPr>
              <w:t>(ng•h/mL)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164.8</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(18.1)</w:t>
            </w:r>
          </w:p>
        </w:tc>
        <w:tc>
          <w:tcPr>
            <w:tcW w:w="2009" w:type="dxa"/>
          </w:tcPr>
          <w:p w:rsidR="00662E2E" w:rsidRPr="00203728" w:rsidRDefault="00662E2E" w:rsidP="00636357">
            <w:pPr>
              <w:jc w:val="center"/>
              <w:rPr>
                <w:rFonts w:asciiTheme="minorHAnsi" w:hAnsiTheme="minorHAnsi"/>
                <w:sz w:val="18"/>
                <w:szCs w:val="18"/>
                <w:lang w:val="en-US"/>
              </w:rPr>
            </w:pPr>
            <w:r w:rsidRPr="00203728">
              <w:rPr>
                <w:rFonts w:asciiTheme="minorHAnsi" w:eastAsiaTheme="minorHAnsi" w:hAnsiTheme="minorHAnsi" w:cstheme="minorBidi"/>
                <w:sz w:val="18"/>
                <w:szCs w:val="18"/>
                <w:lang w:val="en-US"/>
              </w:rPr>
              <w:t>91.6</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(39.9)</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188.92 (155.37,</w:t>
            </w:r>
            <w:r w:rsidRPr="00203728">
              <w:rPr>
                <w:rFonts w:asciiTheme="minorHAnsi" w:eastAsiaTheme="minorHAnsi" w:hAnsiTheme="minorHAnsi" w:cstheme="minorBidi"/>
                <w:spacing w:val="-7"/>
                <w:sz w:val="18"/>
                <w:szCs w:val="18"/>
                <w:lang w:val="en-US"/>
              </w:rPr>
              <w:t xml:space="preserve"> </w:t>
            </w:r>
            <w:r w:rsidRPr="00203728">
              <w:rPr>
                <w:rFonts w:asciiTheme="minorHAnsi" w:eastAsiaTheme="minorHAnsi" w:hAnsiTheme="minorHAnsi" w:cstheme="minorBidi"/>
                <w:sz w:val="18"/>
                <w:szCs w:val="18"/>
                <w:lang w:val="en-US"/>
              </w:rPr>
              <w:t>229.71)</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hAnsiTheme="minorHAnsi"/>
                <w:sz w:val="18"/>
                <w:szCs w:val="18"/>
                <w:lang w:val="en-US"/>
              </w:rPr>
              <w:t>AUC</w:t>
            </w:r>
            <w:r w:rsidRPr="00203728">
              <w:rPr>
                <w:rFonts w:asciiTheme="minorHAnsi" w:hAnsiTheme="minorHAnsi"/>
                <w:position w:val="-2"/>
                <w:sz w:val="18"/>
                <w:szCs w:val="18"/>
                <w:lang w:val="en-US"/>
              </w:rPr>
              <w:t>last</w:t>
            </w:r>
            <w:r w:rsidRPr="00203728">
              <w:rPr>
                <w:rFonts w:asciiTheme="minorHAnsi" w:hAnsiTheme="minorHAnsi"/>
                <w:spacing w:val="10"/>
                <w:position w:val="-2"/>
                <w:sz w:val="18"/>
                <w:szCs w:val="18"/>
                <w:lang w:val="en-US"/>
              </w:rPr>
              <w:t xml:space="preserve"> </w:t>
            </w:r>
            <w:r w:rsidRPr="00203728">
              <w:rPr>
                <w:rFonts w:asciiTheme="minorHAnsi" w:hAnsiTheme="minorHAnsi"/>
                <w:sz w:val="18"/>
                <w:szCs w:val="18"/>
                <w:lang w:val="en-US"/>
              </w:rPr>
              <w:t>(ng•h/mL)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162.6</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(18.8)</w:t>
            </w:r>
          </w:p>
        </w:tc>
        <w:tc>
          <w:tcPr>
            <w:tcW w:w="2009" w:type="dxa"/>
          </w:tcPr>
          <w:p w:rsidR="00662E2E" w:rsidRPr="00203728" w:rsidRDefault="00662E2E" w:rsidP="00636357">
            <w:pPr>
              <w:jc w:val="center"/>
              <w:rPr>
                <w:rFonts w:asciiTheme="minorHAnsi" w:hAnsiTheme="minorHAnsi"/>
                <w:sz w:val="18"/>
                <w:szCs w:val="18"/>
                <w:lang w:val="en-US"/>
              </w:rPr>
            </w:pPr>
            <w:r w:rsidRPr="00203728">
              <w:rPr>
                <w:rFonts w:asciiTheme="minorHAnsi" w:eastAsiaTheme="minorHAnsi" w:hAnsiTheme="minorHAnsi" w:cstheme="minorBidi"/>
                <w:sz w:val="18"/>
                <w:szCs w:val="18"/>
                <w:lang w:val="en-US"/>
              </w:rPr>
              <w:t>89.5</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(40.8)</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191.06 (155.08,</w:t>
            </w:r>
            <w:r w:rsidRPr="00203728">
              <w:rPr>
                <w:rFonts w:asciiTheme="minorHAnsi" w:eastAsiaTheme="minorHAnsi" w:hAnsiTheme="minorHAnsi" w:cstheme="minorBidi"/>
                <w:spacing w:val="-7"/>
                <w:sz w:val="18"/>
                <w:szCs w:val="18"/>
                <w:lang w:val="en-US"/>
              </w:rPr>
              <w:t xml:space="preserve"> </w:t>
            </w:r>
            <w:r w:rsidRPr="00203728">
              <w:rPr>
                <w:rFonts w:asciiTheme="minorHAnsi" w:eastAsiaTheme="minorHAnsi" w:hAnsiTheme="minorHAnsi" w:cstheme="minorBidi"/>
                <w:sz w:val="18"/>
                <w:szCs w:val="18"/>
                <w:lang w:val="en-US"/>
              </w:rPr>
              <w:t>235.40)</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Cmax</w:t>
            </w:r>
            <w:r w:rsidRPr="00203728">
              <w:rPr>
                <w:rFonts w:asciiTheme="minorHAnsi" w:eastAsiaTheme="minorHAnsi" w:hAnsiTheme="minorHAnsi" w:cstheme="minorBidi"/>
                <w:spacing w:val="10"/>
                <w:position w:val="-2"/>
                <w:sz w:val="18"/>
                <w:szCs w:val="18"/>
                <w:lang w:val="en-US"/>
              </w:rPr>
              <w:t xml:space="preserve"> </w:t>
            </w:r>
            <w:r w:rsidRPr="00203728">
              <w:rPr>
                <w:rFonts w:asciiTheme="minorHAnsi" w:eastAsiaTheme="minorHAnsi" w:hAnsiTheme="minorHAnsi" w:cstheme="minorBidi"/>
                <w:sz w:val="18"/>
                <w:szCs w:val="18"/>
                <w:lang w:val="en-US"/>
              </w:rPr>
              <w:t>(ng/mL)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146.5</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(46.9)</w:t>
            </w:r>
          </w:p>
        </w:tc>
        <w:tc>
          <w:tcPr>
            <w:tcW w:w="2009" w:type="dxa"/>
          </w:tcPr>
          <w:p w:rsidR="00662E2E" w:rsidRPr="00203728" w:rsidRDefault="00662E2E" w:rsidP="00636357">
            <w:pPr>
              <w:jc w:val="center"/>
              <w:rPr>
                <w:rFonts w:asciiTheme="minorHAnsi" w:hAnsiTheme="minorHAnsi"/>
                <w:sz w:val="18"/>
                <w:szCs w:val="18"/>
                <w:lang w:val="en-US"/>
              </w:rPr>
            </w:pPr>
            <w:r w:rsidRPr="00203728">
              <w:rPr>
                <w:rFonts w:asciiTheme="minorHAnsi" w:eastAsiaTheme="minorHAnsi" w:hAnsiTheme="minorHAnsi" w:cstheme="minorBidi"/>
                <w:sz w:val="18"/>
                <w:szCs w:val="18"/>
                <w:lang w:val="en-US"/>
              </w:rPr>
              <w:t>76.8</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(29.4)</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176.72 (128.19,</w:t>
            </w:r>
            <w:r w:rsidRPr="00203728">
              <w:rPr>
                <w:rFonts w:asciiTheme="minorHAnsi" w:eastAsiaTheme="minorHAnsi" w:hAnsiTheme="minorHAnsi" w:cstheme="minorBidi"/>
                <w:spacing w:val="-7"/>
                <w:sz w:val="18"/>
                <w:szCs w:val="18"/>
                <w:lang w:val="en-US"/>
              </w:rPr>
              <w:t xml:space="preserve"> </w:t>
            </w:r>
            <w:r w:rsidRPr="00203728">
              <w:rPr>
                <w:rFonts w:asciiTheme="minorHAnsi" w:eastAsiaTheme="minorHAnsi" w:hAnsiTheme="minorHAnsi" w:cstheme="minorBidi"/>
                <w:sz w:val="18"/>
                <w:szCs w:val="18"/>
                <w:lang w:val="en-US"/>
              </w:rPr>
              <w:t>243.63)</w:t>
            </w:r>
          </w:p>
        </w:tc>
      </w:tr>
      <w:tr w:rsidR="00662E2E" w:rsidTr="00636357">
        <w:tc>
          <w:tcPr>
            <w:tcW w:w="9242" w:type="dxa"/>
            <w:gridSpan w:val="5"/>
          </w:tcPr>
          <w:p w:rsidR="00662E2E" w:rsidRPr="00870936" w:rsidRDefault="00662E2E" w:rsidP="00636357">
            <w:pPr>
              <w:rPr>
                <w:rFonts w:asciiTheme="minorHAnsi" w:hAnsiTheme="minorHAnsi"/>
                <w:sz w:val="18"/>
                <w:szCs w:val="18"/>
                <w:lang w:val="en-US"/>
              </w:rPr>
            </w:pPr>
            <w:r w:rsidRPr="00203728">
              <w:rPr>
                <w:rFonts w:asciiTheme="minorHAnsi" w:eastAsiaTheme="minorHAnsi" w:hAnsiTheme="minorHAnsi" w:cstheme="minorBidi"/>
                <w:b/>
                <w:sz w:val="18"/>
                <w:szCs w:val="18"/>
                <w:lang w:val="en-US"/>
              </w:rPr>
              <w:t xml:space="preserve">Cohort 2: FTC+TAF 10 </w:t>
            </w:r>
            <w:r w:rsidRPr="00203728">
              <w:rPr>
                <w:rFonts w:asciiTheme="minorHAnsi" w:eastAsiaTheme="minorHAnsi" w:hAnsiTheme="minorHAnsi" w:cstheme="minorBidi"/>
                <w:b/>
                <w:spacing w:val="-4"/>
                <w:sz w:val="18"/>
                <w:szCs w:val="18"/>
                <w:lang w:val="en-US"/>
              </w:rPr>
              <w:t xml:space="preserve">mg </w:t>
            </w:r>
            <w:r w:rsidRPr="00203728">
              <w:rPr>
                <w:rFonts w:asciiTheme="minorHAnsi" w:eastAsiaTheme="minorHAnsi" w:hAnsiTheme="minorHAnsi" w:cstheme="minorBidi"/>
                <w:b/>
                <w:sz w:val="18"/>
                <w:szCs w:val="18"/>
                <w:lang w:val="en-US"/>
              </w:rPr>
              <w:t xml:space="preserve">+DRV+RTV (Test) vs FTC+TAF 10 </w:t>
            </w:r>
            <w:r w:rsidRPr="00203728">
              <w:rPr>
                <w:rFonts w:asciiTheme="minorHAnsi" w:eastAsiaTheme="minorHAnsi" w:hAnsiTheme="minorHAnsi" w:cstheme="minorBidi"/>
                <w:b/>
                <w:spacing w:val="-4"/>
                <w:sz w:val="18"/>
                <w:szCs w:val="18"/>
                <w:lang w:val="en-US"/>
              </w:rPr>
              <w:t xml:space="preserve">mg </w:t>
            </w:r>
            <w:r w:rsidRPr="00203728">
              <w:rPr>
                <w:rFonts w:asciiTheme="minorHAnsi" w:eastAsiaTheme="minorHAnsi" w:hAnsiTheme="minorHAnsi" w:cstheme="minorBidi"/>
                <w:b/>
                <w:sz w:val="18"/>
                <w:szCs w:val="18"/>
                <w:lang w:val="en-US"/>
              </w:rPr>
              <w:t>(Reference) (N =</w:t>
            </w:r>
            <w:r w:rsidRPr="00203728">
              <w:rPr>
                <w:rFonts w:asciiTheme="minorHAnsi" w:eastAsiaTheme="minorHAnsi" w:hAnsiTheme="minorHAnsi" w:cstheme="minorBidi"/>
                <w:b/>
                <w:spacing w:val="-4"/>
                <w:sz w:val="18"/>
                <w:szCs w:val="18"/>
                <w:lang w:val="en-US"/>
              </w:rPr>
              <w:t xml:space="preserve"> </w:t>
            </w:r>
            <w:r w:rsidRPr="00203728">
              <w:rPr>
                <w:rFonts w:asciiTheme="minorHAnsi" w:eastAsiaTheme="minorHAnsi" w:hAnsiTheme="minorHAnsi" w:cstheme="minorBidi"/>
                <w:b/>
                <w:sz w:val="18"/>
                <w:szCs w:val="18"/>
                <w:lang w:val="en-US"/>
              </w:rPr>
              <w:t>10)</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hAnsiTheme="minorHAnsi"/>
                <w:sz w:val="18"/>
                <w:szCs w:val="18"/>
                <w:lang w:val="en-US"/>
              </w:rPr>
              <w:t>AUC</w:t>
            </w:r>
            <w:r w:rsidRPr="00203728">
              <w:rPr>
                <w:rFonts w:asciiTheme="minorHAnsi" w:hAnsiTheme="minorHAnsi"/>
                <w:position w:val="-2"/>
                <w:sz w:val="18"/>
                <w:szCs w:val="18"/>
                <w:lang w:val="en-US"/>
              </w:rPr>
              <w:t>inf</w:t>
            </w:r>
            <w:r w:rsidRPr="00203728">
              <w:rPr>
                <w:rFonts w:asciiTheme="minorHAnsi" w:hAnsiTheme="minorHAnsi"/>
                <w:spacing w:val="11"/>
                <w:position w:val="-2"/>
                <w:sz w:val="18"/>
                <w:szCs w:val="18"/>
                <w:lang w:val="en-US"/>
              </w:rPr>
              <w:t xml:space="preserve"> </w:t>
            </w:r>
            <w:r w:rsidRPr="00203728">
              <w:rPr>
                <w:rFonts w:asciiTheme="minorHAnsi" w:hAnsiTheme="minorHAnsi"/>
                <w:sz w:val="18"/>
                <w:szCs w:val="18"/>
                <w:lang w:val="en-US"/>
              </w:rPr>
              <w:t>(ng•h/mL)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80.5</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(30.4)</w:t>
            </w:r>
          </w:p>
        </w:tc>
        <w:tc>
          <w:tcPr>
            <w:tcW w:w="2009"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80.0</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(41.8)</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104.34 (84.14,</w:t>
            </w:r>
            <w:r w:rsidRPr="00203728">
              <w:rPr>
                <w:rFonts w:asciiTheme="minorHAnsi" w:eastAsiaTheme="minorHAnsi" w:hAnsiTheme="minorHAnsi" w:cstheme="minorBidi"/>
                <w:spacing w:val="-6"/>
                <w:sz w:val="18"/>
                <w:szCs w:val="18"/>
                <w:lang w:val="en-US"/>
              </w:rPr>
              <w:t xml:space="preserve"> </w:t>
            </w:r>
            <w:r w:rsidRPr="00203728">
              <w:rPr>
                <w:rFonts w:asciiTheme="minorHAnsi" w:eastAsiaTheme="minorHAnsi" w:hAnsiTheme="minorHAnsi" w:cstheme="minorBidi"/>
                <w:sz w:val="18"/>
                <w:szCs w:val="18"/>
                <w:lang w:val="en-US"/>
              </w:rPr>
              <w:t>129.39)</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hAnsiTheme="minorHAnsi"/>
                <w:sz w:val="18"/>
                <w:szCs w:val="18"/>
                <w:lang w:val="en-US"/>
              </w:rPr>
              <w:lastRenderedPageBreak/>
              <w:t>AUC</w:t>
            </w:r>
            <w:r w:rsidRPr="00203728">
              <w:rPr>
                <w:rFonts w:asciiTheme="minorHAnsi" w:hAnsiTheme="minorHAnsi"/>
                <w:position w:val="-2"/>
                <w:sz w:val="18"/>
                <w:szCs w:val="18"/>
                <w:lang w:val="en-US"/>
              </w:rPr>
              <w:t>last</w:t>
            </w:r>
            <w:r w:rsidRPr="00203728">
              <w:rPr>
                <w:rFonts w:asciiTheme="minorHAnsi" w:hAnsiTheme="minorHAnsi"/>
                <w:spacing w:val="10"/>
                <w:position w:val="-2"/>
                <w:sz w:val="18"/>
                <w:szCs w:val="18"/>
                <w:lang w:val="en-US"/>
              </w:rPr>
              <w:t xml:space="preserve"> </w:t>
            </w:r>
            <w:r w:rsidRPr="00203728">
              <w:rPr>
                <w:rFonts w:asciiTheme="minorHAnsi" w:hAnsiTheme="minorHAnsi"/>
                <w:sz w:val="18"/>
                <w:szCs w:val="18"/>
                <w:lang w:val="en-US"/>
              </w:rPr>
              <w:t>(ng•h/mL)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78.6</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(30.9)</w:t>
            </w:r>
          </w:p>
        </w:tc>
        <w:tc>
          <w:tcPr>
            <w:tcW w:w="2009"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77.4</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(43.6)</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106.27 (83.59,</w:t>
            </w:r>
            <w:r w:rsidRPr="00203728">
              <w:rPr>
                <w:rFonts w:asciiTheme="minorHAnsi" w:eastAsiaTheme="minorHAnsi" w:hAnsiTheme="minorHAnsi" w:cstheme="minorBidi"/>
                <w:spacing w:val="-6"/>
                <w:sz w:val="18"/>
                <w:szCs w:val="18"/>
                <w:lang w:val="en-US"/>
              </w:rPr>
              <w:t xml:space="preserve"> </w:t>
            </w:r>
            <w:r w:rsidRPr="00203728">
              <w:rPr>
                <w:rFonts w:asciiTheme="minorHAnsi" w:eastAsiaTheme="minorHAnsi" w:hAnsiTheme="minorHAnsi" w:cstheme="minorBidi"/>
                <w:sz w:val="18"/>
                <w:szCs w:val="18"/>
                <w:lang w:val="en-US"/>
              </w:rPr>
              <w:t>135.10)</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Cmax</w:t>
            </w:r>
            <w:r w:rsidRPr="00203728">
              <w:rPr>
                <w:rFonts w:asciiTheme="minorHAnsi" w:eastAsiaTheme="minorHAnsi" w:hAnsiTheme="minorHAnsi" w:cstheme="minorBidi"/>
                <w:spacing w:val="10"/>
                <w:position w:val="-2"/>
                <w:sz w:val="18"/>
                <w:szCs w:val="18"/>
                <w:lang w:val="en-US"/>
              </w:rPr>
              <w:t xml:space="preserve"> </w:t>
            </w:r>
            <w:r w:rsidRPr="00203728">
              <w:rPr>
                <w:rFonts w:asciiTheme="minorHAnsi" w:eastAsiaTheme="minorHAnsi" w:hAnsiTheme="minorHAnsi" w:cstheme="minorBidi"/>
                <w:sz w:val="18"/>
                <w:szCs w:val="18"/>
                <w:lang w:val="en-US"/>
              </w:rPr>
              <w:t>(ng/mL)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102.3</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(46.5)</w:t>
            </w:r>
          </w:p>
        </w:tc>
        <w:tc>
          <w:tcPr>
            <w:tcW w:w="2009"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73.4</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(49.4)</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141.80 (96.11,</w:t>
            </w:r>
            <w:r w:rsidRPr="00203728">
              <w:rPr>
                <w:rFonts w:asciiTheme="minorHAnsi" w:eastAsiaTheme="minorHAnsi" w:hAnsiTheme="minorHAnsi" w:cstheme="minorBidi"/>
                <w:spacing w:val="-6"/>
                <w:sz w:val="18"/>
                <w:szCs w:val="18"/>
                <w:lang w:val="en-US"/>
              </w:rPr>
              <w:t xml:space="preserve"> </w:t>
            </w:r>
            <w:r w:rsidRPr="00203728">
              <w:rPr>
                <w:rFonts w:asciiTheme="minorHAnsi" w:eastAsiaTheme="minorHAnsi" w:hAnsiTheme="minorHAnsi" w:cstheme="minorBidi"/>
                <w:sz w:val="18"/>
                <w:szCs w:val="18"/>
                <w:lang w:val="en-US"/>
              </w:rPr>
              <w:t>209.22)</w:t>
            </w:r>
          </w:p>
        </w:tc>
      </w:tr>
      <w:tr w:rsidR="00662E2E" w:rsidTr="00636357">
        <w:tc>
          <w:tcPr>
            <w:tcW w:w="9242" w:type="dxa"/>
            <w:gridSpan w:val="5"/>
          </w:tcPr>
          <w:p w:rsidR="00662E2E" w:rsidRDefault="00662E2E" w:rsidP="00636357">
            <w:r w:rsidRPr="00203728">
              <w:rPr>
                <w:rFonts w:asciiTheme="minorHAnsi" w:eastAsiaTheme="minorHAnsi" w:hAnsiTheme="minorHAnsi" w:cstheme="minorBidi"/>
                <w:b/>
                <w:sz w:val="18"/>
                <w:szCs w:val="18"/>
                <w:lang w:val="en-US"/>
              </w:rPr>
              <w:t xml:space="preserve">Cohort 3: FTC+TAF 10 </w:t>
            </w:r>
            <w:r w:rsidRPr="00203728">
              <w:rPr>
                <w:rFonts w:asciiTheme="minorHAnsi" w:eastAsiaTheme="minorHAnsi" w:hAnsiTheme="minorHAnsi" w:cstheme="minorBidi"/>
                <w:b/>
                <w:spacing w:val="-4"/>
                <w:sz w:val="18"/>
                <w:szCs w:val="18"/>
                <w:lang w:val="en-US"/>
              </w:rPr>
              <w:t xml:space="preserve">mg </w:t>
            </w:r>
            <w:r w:rsidRPr="00203728">
              <w:rPr>
                <w:rFonts w:asciiTheme="minorHAnsi" w:eastAsiaTheme="minorHAnsi" w:hAnsiTheme="minorHAnsi" w:cstheme="minorBidi"/>
                <w:b/>
                <w:sz w:val="18"/>
                <w:szCs w:val="18"/>
                <w:lang w:val="en-US"/>
              </w:rPr>
              <w:t xml:space="preserve">+LPV/r (Test) vs FTC+TAF 10 </w:t>
            </w:r>
            <w:r w:rsidRPr="00203728">
              <w:rPr>
                <w:rFonts w:asciiTheme="minorHAnsi" w:eastAsiaTheme="minorHAnsi" w:hAnsiTheme="minorHAnsi" w:cstheme="minorBidi"/>
                <w:b/>
                <w:spacing w:val="-4"/>
                <w:sz w:val="18"/>
                <w:szCs w:val="18"/>
                <w:lang w:val="en-US"/>
              </w:rPr>
              <w:t xml:space="preserve">mg </w:t>
            </w:r>
            <w:r w:rsidRPr="00203728">
              <w:rPr>
                <w:rFonts w:asciiTheme="minorHAnsi" w:eastAsiaTheme="minorHAnsi" w:hAnsiTheme="minorHAnsi" w:cstheme="minorBidi"/>
                <w:b/>
                <w:sz w:val="18"/>
                <w:szCs w:val="18"/>
                <w:lang w:val="en-US"/>
              </w:rPr>
              <w:t>(Reference) (N = 10)</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hAnsiTheme="minorHAnsi"/>
                <w:sz w:val="18"/>
                <w:szCs w:val="18"/>
                <w:lang w:val="en-US"/>
              </w:rPr>
              <w:t>AUC</w:t>
            </w:r>
            <w:r w:rsidRPr="00203728">
              <w:rPr>
                <w:rFonts w:asciiTheme="minorHAnsi" w:hAnsiTheme="minorHAnsi"/>
                <w:position w:val="-2"/>
                <w:sz w:val="18"/>
                <w:szCs w:val="18"/>
                <w:lang w:val="en-US"/>
              </w:rPr>
              <w:t>inf</w:t>
            </w:r>
            <w:r w:rsidRPr="00203728">
              <w:rPr>
                <w:rFonts w:asciiTheme="minorHAnsi" w:hAnsiTheme="minorHAnsi"/>
                <w:spacing w:val="11"/>
                <w:position w:val="-2"/>
                <w:sz w:val="18"/>
                <w:szCs w:val="18"/>
                <w:lang w:val="en-US"/>
              </w:rPr>
              <w:t xml:space="preserve"> </w:t>
            </w:r>
            <w:r w:rsidRPr="00203728">
              <w:rPr>
                <w:rFonts w:asciiTheme="minorHAnsi" w:hAnsiTheme="minorHAnsi"/>
                <w:sz w:val="18"/>
                <w:szCs w:val="18"/>
                <w:lang w:val="en-US"/>
              </w:rPr>
              <w:t>(ng•h/mL)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122.5</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(42.7)</w:t>
            </w:r>
          </w:p>
        </w:tc>
        <w:tc>
          <w:tcPr>
            <w:tcW w:w="2009"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82.7</w:t>
            </w:r>
            <w:r w:rsidRPr="00203728">
              <w:rPr>
                <w:rFonts w:asciiTheme="minorHAnsi" w:eastAsiaTheme="minorHAnsi" w:hAnsiTheme="minorHAnsi" w:cstheme="minorBidi"/>
                <w:spacing w:val="-2"/>
                <w:sz w:val="18"/>
                <w:szCs w:val="18"/>
                <w:lang w:val="en-US"/>
              </w:rPr>
              <w:t xml:space="preserve"> </w:t>
            </w:r>
            <w:r w:rsidRPr="00203728">
              <w:rPr>
                <w:rFonts w:asciiTheme="minorHAnsi" w:eastAsiaTheme="minorHAnsi" w:hAnsiTheme="minorHAnsi" w:cstheme="minorBidi"/>
                <w:sz w:val="18"/>
                <w:szCs w:val="18"/>
                <w:lang w:val="en-US"/>
              </w:rPr>
              <w:t>(34.0)</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144.75 (114.15,</w:t>
            </w:r>
            <w:r w:rsidRPr="00203728">
              <w:rPr>
                <w:rFonts w:asciiTheme="minorHAnsi" w:eastAsiaTheme="minorHAnsi" w:hAnsiTheme="minorHAnsi" w:cstheme="minorBidi"/>
                <w:spacing w:val="-7"/>
                <w:sz w:val="18"/>
                <w:szCs w:val="18"/>
                <w:lang w:val="en-US"/>
              </w:rPr>
              <w:t xml:space="preserve"> </w:t>
            </w:r>
            <w:r w:rsidRPr="00203728">
              <w:rPr>
                <w:rFonts w:asciiTheme="minorHAnsi" w:eastAsiaTheme="minorHAnsi" w:hAnsiTheme="minorHAnsi" w:cstheme="minorBidi"/>
                <w:sz w:val="18"/>
                <w:szCs w:val="18"/>
                <w:lang w:val="en-US"/>
              </w:rPr>
              <w:t>183.55)</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hAnsiTheme="minorHAnsi"/>
                <w:sz w:val="18"/>
                <w:szCs w:val="18"/>
                <w:lang w:val="en-US"/>
              </w:rPr>
              <w:t>AUC</w:t>
            </w:r>
            <w:r w:rsidRPr="00203728">
              <w:rPr>
                <w:rFonts w:asciiTheme="minorHAnsi" w:hAnsiTheme="minorHAnsi"/>
                <w:position w:val="-2"/>
                <w:sz w:val="18"/>
                <w:szCs w:val="18"/>
                <w:lang w:val="en-US"/>
              </w:rPr>
              <w:t>last</w:t>
            </w:r>
            <w:r w:rsidRPr="00203728">
              <w:rPr>
                <w:rFonts w:asciiTheme="minorHAnsi" w:hAnsiTheme="minorHAnsi"/>
                <w:spacing w:val="10"/>
                <w:position w:val="-2"/>
                <w:sz w:val="18"/>
                <w:szCs w:val="18"/>
                <w:lang w:val="en-US"/>
              </w:rPr>
              <w:t xml:space="preserve"> </w:t>
            </w:r>
            <w:r w:rsidRPr="00203728">
              <w:rPr>
                <w:rFonts w:asciiTheme="minorHAnsi" w:hAnsiTheme="minorHAnsi"/>
                <w:sz w:val="18"/>
                <w:szCs w:val="18"/>
                <w:lang w:val="en-US"/>
              </w:rPr>
              <w:t>(ng•h/mL)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120.8</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(43.9)</w:t>
            </w:r>
          </w:p>
        </w:tc>
        <w:tc>
          <w:tcPr>
            <w:tcW w:w="2009"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80.0</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(34.1)</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146.73 (116.60,</w:t>
            </w:r>
            <w:r w:rsidRPr="00203728">
              <w:rPr>
                <w:rFonts w:asciiTheme="minorHAnsi" w:eastAsiaTheme="minorHAnsi" w:hAnsiTheme="minorHAnsi" w:cstheme="minorBidi"/>
                <w:spacing w:val="-7"/>
                <w:sz w:val="18"/>
                <w:szCs w:val="18"/>
                <w:lang w:val="en-US"/>
              </w:rPr>
              <w:t xml:space="preserve"> </w:t>
            </w:r>
            <w:r w:rsidRPr="00203728">
              <w:rPr>
                <w:rFonts w:asciiTheme="minorHAnsi" w:eastAsiaTheme="minorHAnsi" w:hAnsiTheme="minorHAnsi" w:cstheme="minorBidi"/>
                <w:sz w:val="18"/>
                <w:szCs w:val="18"/>
                <w:lang w:val="en-US"/>
              </w:rPr>
              <w:t>184.65)</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Cmax</w:t>
            </w:r>
            <w:r w:rsidRPr="00203728">
              <w:rPr>
                <w:rFonts w:asciiTheme="minorHAnsi" w:eastAsiaTheme="minorHAnsi" w:hAnsiTheme="minorHAnsi" w:cstheme="minorBidi"/>
                <w:spacing w:val="10"/>
                <w:position w:val="-2"/>
                <w:sz w:val="18"/>
                <w:szCs w:val="18"/>
                <w:lang w:val="en-US"/>
              </w:rPr>
              <w:t xml:space="preserve"> </w:t>
            </w:r>
            <w:r w:rsidRPr="00203728">
              <w:rPr>
                <w:rFonts w:asciiTheme="minorHAnsi" w:eastAsiaTheme="minorHAnsi" w:hAnsiTheme="minorHAnsi" w:cstheme="minorBidi"/>
                <w:sz w:val="18"/>
                <w:szCs w:val="18"/>
                <w:lang w:val="en-US"/>
              </w:rPr>
              <w:t>(ng/mL)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157.5</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(39.4)</w:t>
            </w:r>
          </w:p>
        </w:tc>
        <w:tc>
          <w:tcPr>
            <w:tcW w:w="2009"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68.7</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(28.7)</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218.97 (171.88,</w:t>
            </w:r>
            <w:r w:rsidRPr="00203728">
              <w:rPr>
                <w:rFonts w:asciiTheme="minorHAnsi" w:eastAsiaTheme="minorHAnsi" w:hAnsiTheme="minorHAnsi" w:cstheme="minorBidi"/>
                <w:spacing w:val="-7"/>
                <w:sz w:val="18"/>
                <w:szCs w:val="18"/>
                <w:lang w:val="en-US"/>
              </w:rPr>
              <w:t xml:space="preserve"> </w:t>
            </w:r>
            <w:r w:rsidRPr="00203728">
              <w:rPr>
                <w:rFonts w:asciiTheme="minorHAnsi" w:eastAsiaTheme="minorHAnsi" w:hAnsiTheme="minorHAnsi" w:cstheme="minorBidi"/>
                <w:sz w:val="18"/>
                <w:szCs w:val="18"/>
                <w:lang w:val="en-US"/>
              </w:rPr>
              <w:t>278.97)</w:t>
            </w:r>
          </w:p>
        </w:tc>
      </w:tr>
      <w:tr w:rsidR="00662E2E" w:rsidTr="00636357">
        <w:tc>
          <w:tcPr>
            <w:tcW w:w="9242" w:type="dxa"/>
            <w:gridSpan w:val="5"/>
          </w:tcPr>
          <w:p w:rsidR="00662E2E" w:rsidRDefault="00662E2E" w:rsidP="00636357">
            <w:r w:rsidRPr="00203728">
              <w:rPr>
                <w:rFonts w:asciiTheme="minorHAnsi" w:eastAsiaTheme="minorHAnsi" w:hAnsiTheme="minorHAnsi" w:cstheme="minorBidi"/>
                <w:b/>
                <w:sz w:val="18"/>
                <w:szCs w:val="18"/>
                <w:lang w:val="en-US"/>
              </w:rPr>
              <w:t xml:space="preserve">Cohort 4: FTC+TAF 10 </w:t>
            </w:r>
            <w:r w:rsidRPr="00203728">
              <w:rPr>
                <w:rFonts w:asciiTheme="minorHAnsi" w:eastAsiaTheme="minorHAnsi" w:hAnsiTheme="minorHAnsi" w:cstheme="minorBidi"/>
                <w:b/>
                <w:spacing w:val="-4"/>
                <w:sz w:val="18"/>
                <w:szCs w:val="18"/>
                <w:lang w:val="en-US"/>
              </w:rPr>
              <w:t xml:space="preserve">mg </w:t>
            </w:r>
            <w:r w:rsidRPr="00203728">
              <w:rPr>
                <w:rFonts w:asciiTheme="minorHAnsi" w:eastAsiaTheme="minorHAnsi" w:hAnsiTheme="minorHAnsi" w:cstheme="minorBidi"/>
                <w:b/>
                <w:sz w:val="18"/>
                <w:szCs w:val="18"/>
                <w:lang w:val="en-US"/>
              </w:rPr>
              <w:t xml:space="preserve">+DTG (Test) vs FTC+TAF 10 </w:t>
            </w:r>
            <w:r w:rsidRPr="00203728">
              <w:rPr>
                <w:rFonts w:asciiTheme="minorHAnsi" w:eastAsiaTheme="minorHAnsi" w:hAnsiTheme="minorHAnsi" w:cstheme="minorBidi"/>
                <w:b/>
                <w:spacing w:val="-4"/>
                <w:sz w:val="18"/>
                <w:szCs w:val="18"/>
                <w:lang w:val="en-US"/>
              </w:rPr>
              <w:t xml:space="preserve">mg </w:t>
            </w:r>
            <w:r w:rsidRPr="00203728">
              <w:rPr>
                <w:rFonts w:asciiTheme="minorHAnsi" w:eastAsiaTheme="minorHAnsi" w:hAnsiTheme="minorHAnsi" w:cstheme="minorBidi"/>
                <w:b/>
                <w:sz w:val="18"/>
                <w:szCs w:val="18"/>
                <w:lang w:val="en-US"/>
              </w:rPr>
              <w:t>(Reference) (N =</w:t>
            </w:r>
            <w:r w:rsidRPr="00203728">
              <w:rPr>
                <w:rFonts w:asciiTheme="minorHAnsi" w:eastAsiaTheme="minorHAnsi" w:hAnsiTheme="minorHAnsi" w:cstheme="minorBidi"/>
                <w:b/>
                <w:spacing w:val="-2"/>
                <w:sz w:val="18"/>
                <w:szCs w:val="18"/>
                <w:lang w:val="en-US"/>
              </w:rPr>
              <w:t xml:space="preserve"> </w:t>
            </w:r>
            <w:r w:rsidRPr="00203728">
              <w:rPr>
                <w:rFonts w:asciiTheme="minorHAnsi" w:eastAsiaTheme="minorHAnsi" w:hAnsiTheme="minorHAnsi" w:cstheme="minorBidi"/>
                <w:b/>
                <w:sz w:val="18"/>
                <w:szCs w:val="18"/>
                <w:lang w:val="en-US"/>
              </w:rPr>
              <w:t>10)</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hAnsiTheme="minorHAnsi"/>
                <w:sz w:val="18"/>
                <w:szCs w:val="18"/>
                <w:lang w:val="en-US"/>
              </w:rPr>
              <w:t>AUC</w:t>
            </w:r>
            <w:r w:rsidRPr="00203728">
              <w:rPr>
                <w:rFonts w:asciiTheme="minorHAnsi" w:hAnsiTheme="minorHAnsi"/>
                <w:position w:val="-2"/>
                <w:sz w:val="18"/>
                <w:szCs w:val="18"/>
                <w:lang w:val="en-US"/>
              </w:rPr>
              <w:t>inf</w:t>
            </w:r>
            <w:r w:rsidRPr="00203728">
              <w:rPr>
                <w:rFonts w:asciiTheme="minorHAnsi" w:hAnsiTheme="minorHAnsi"/>
                <w:spacing w:val="11"/>
                <w:position w:val="-2"/>
                <w:sz w:val="18"/>
                <w:szCs w:val="18"/>
                <w:lang w:val="en-US"/>
              </w:rPr>
              <w:t xml:space="preserve"> </w:t>
            </w:r>
            <w:r w:rsidRPr="00203728">
              <w:rPr>
                <w:rFonts w:asciiTheme="minorHAnsi" w:hAnsiTheme="minorHAnsi"/>
                <w:sz w:val="18"/>
                <w:szCs w:val="18"/>
                <w:lang w:val="en-US"/>
              </w:rPr>
              <w:t>(ng•h/mL)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105.1</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(31.7)</w:t>
            </w:r>
          </w:p>
        </w:tc>
        <w:tc>
          <w:tcPr>
            <w:tcW w:w="2009"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100.9 (</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51.2)</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116.62 (93.49,</w:t>
            </w:r>
            <w:r w:rsidRPr="00203728">
              <w:rPr>
                <w:rFonts w:asciiTheme="minorHAnsi" w:eastAsiaTheme="minorHAnsi" w:hAnsiTheme="minorHAnsi" w:cstheme="minorBidi"/>
                <w:spacing w:val="-6"/>
                <w:sz w:val="18"/>
                <w:szCs w:val="18"/>
                <w:lang w:val="en-US"/>
              </w:rPr>
              <w:t xml:space="preserve"> </w:t>
            </w:r>
            <w:r w:rsidRPr="00203728">
              <w:rPr>
                <w:rFonts w:asciiTheme="minorHAnsi" w:eastAsiaTheme="minorHAnsi" w:hAnsiTheme="minorHAnsi" w:cstheme="minorBidi"/>
                <w:sz w:val="18"/>
                <w:szCs w:val="18"/>
                <w:lang w:val="en-US"/>
              </w:rPr>
              <w:t>145.48)</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hAnsiTheme="minorHAnsi"/>
                <w:sz w:val="18"/>
                <w:szCs w:val="18"/>
                <w:lang w:val="en-US"/>
              </w:rPr>
              <w:t>AUC</w:t>
            </w:r>
            <w:r w:rsidRPr="00203728">
              <w:rPr>
                <w:rFonts w:asciiTheme="minorHAnsi" w:hAnsiTheme="minorHAnsi"/>
                <w:position w:val="-2"/>
                <w:sz w:val="18"/>
                <w:szCs w:val="18"/>
                <w:lang w:val="en-US"/>
              </w:rPr>
              <w:t>last</w:t>
            </w:r>
            <w:r w:rsidRPr="00203728">
              <w:rPr>
                <w:rFonts w:asciiTheme="minorHAnsi" w:hAnsiTheme="minorHAnsi"/>
                <w:spacing w:val="10"/>
                <w:position w:val="-2"/>
                <w:sz w:val="18"/>
                <w:szCs w:val="18"/>
                <w:lang w:val="en-US"/>
              </w:rPr>
              <w:t xml:space="preserve"> </w:t>
            </w:r>
            <w:r w:rsidRPr="00203728">
              <w:rPr>
                <w:rFonts w:asciiTheme="minorHAnsi" w:hAnsiTheme="minorHAnsi"/>
                <w:sz w:val="18"/>
                <w:szCs w:val="18"/>
                <w:lang w:val="en-US"/>
              </w:rPr>
              <w:t>(ng•h/mL)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103.0</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(30.6)</w:t>
            </w:r>
          </w:p>
        </w:tc>
        <w:tc>
          <w:tcPr>
            <w:tcW w:w="2009"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98.5 (</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53.3)</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119.02 (95.83,</w:t>
            </w:r>
            <w:r w:rsidRPr="00203728">
              <w:rPr>
                <w:rFonts w:asciiTheme="minorHAnsi" w:eastAsiaTheme="minorHAnsi" w:hAnsiTheme="minorHAnsi" w:cstheme="minorBidi"/>
                <w:spacing w:val="-6"/>
                <w:sz w:val="18"/>
                <w:szCs w:val="18"/>
                <w:lang w:val="en-US"/>
              </w:rPr>
              <w:t xml:space="preserve"> </w:t>
            </w:r>
            <w:r w:rsidRPr="00203728">
              <w:rPr>
                <w:rFonts w:asciiTheme="minorHAnsi" w:eastAsiaTheme="minorHAnsi" w:hAnsiTheme="minorHAnsi" w:cstheme="minorBidi"/>
                <w:sz w:val="18"/>
                <w:szCs w:val="18"/>
                <w:lang w:val="en-US"/>
              </w:rPr>
              <w:t>147.82)</w:t>
            </w:r>
          </w:p>
        </w:tc>
      </w:tr>
      <w:tr w:rsidR="00662E2E" w:rsidTr="00636357">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Cmax</w:t>
            </w:r>
            <w:r w:rsidRPr="00203728">
              <w:rPr>
                <w:rFonts w:asciiTheme="minorHAnsi" w:eastAsiaTheme="minorHAnsi" w:hAnsiTheme="minorHAnsi" w:cstheme="minorBidi"/>
                <w:spacing w:val="10"/>
                <w:position w:val="-2"/>
                <w:sz w:val="18"/>
                <w:szCs w:val="18"/>
                <w:lang w:val="en-US"/>
              </w:rPr>
              <w:t xml:space="preserve"> </w:t>
            </w:r>
            <w:r w:rsidRPr="00203728">
              <w:rPr>
                <w:rFonts w:asciiTheme="minorHAnsi" w:eastAsiaTheme="minorHAnsi" w:hAnsiTheme="minorHAnsi" w:cstheme="minorBidi"/>
                <w:sz w:val="18"/>
                <w:szCs w:val="18"/>
                <w:lang w:val="en-US"/>
              </w:rPr>
              <w:t>(ng/mL)</w:t>
            </w:r>
          </w:p>
        </w:tc>
        <w:tc>
          <w:tcPr>
            <w:tcW w:w="2310"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83.4</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(30.6)</w:t>
            </w:r>
          </w:p>
        </w:tc>
        <w:tc>
          <w:tcPr>
            <w:tcW w:w="2009" w:type="dxa"/>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79.9 (</w:t>
            </w:r>
            <w:r w:rsidRPr="00203728">
              <w:rPr>
                <w:rFonts w:asciiTheme="minorHAnsi" w:eastAsiaTheme="minorHAnsi" w:hAnsiTheme="minorHAnsi" w:cstheme="minorBidi"/>
                <w:spacing w:val="-4"/>
                <w:sz w:val="18"/>
                <w:szCs w:val="18"/>
                <w:lang w:val="en-US"/>
              </w:rPr>
              <w:t xml:space="preserve"> </w:t>
            </w:r>
            <w:r w:rsidRPr="00203728">
              <w:rPr>
                <w:rFonts w:asciiTheme="minorHAnsi" w:eastAsiaTheme="minorHAnsi" w:hAnsiTheme="minorHAnsi" w:cstheme="minorBidi"/>
                <w:sz w:val="18"/>
                <w:szCs w:val="18"/>
                <w:lang w:val="en-US"/>
              </w:rPr>
              <w:t>60.6)</w:t>
            </w:r>
          </w:p>
        </w:tc>
        <w:tc>
          <w:tcPr>
            <w:tcW w:w="2613" w:type="dxa"/>
            <w:gridSpan w:val="2"/>
          </w:tcPr>
          <w:p w:rsidR="00662E2E" w:rsidRPr="00203728" w:rsidRDefault="00662E2E" w:rsidP="00636357">
            <w:pPr>
              <w:rPr>
                <w:rFonts w:asciiTheme="minorHAnsi" w:hAnsiTheme="minorHAnsi"/>
                <w:sz w:val="18"/>
                <w:szCs w:val="18"/>
                <w:lang w:val="en-US"/>
              </w:rPr>
            </w:pPr>
            <w:r w:rsidRPr="00203728">
              <w:rPr>
                <w:rFonts w:asciiTheme="minorHAnsi" w:eastAsiaTheme="minorHAnsi" w:hAnsiTheme="minorHAnsi" w:cstheme="minorBidi"/>
                <w:sz w:val="18"/>
                <w:szCs w:val="18"/>
                <w:lang w:val="en-US"/>
              </w:rPr>
              <w:t>123.64 (87.79,</w:t>
            </w:r>
            <w:r w:rsidRPr="00203728">
              <w:rPr>
                <w:rFonts w:asciiTheme="minorHAnsi" w:eastAsiaTheme="minorHAnsi" w:hAnsiTheme="minorHAnsi" w:cstheme="minorBidi"/>
                <w:spacing w:val="-6"/>
                <w:sz w:val="18"/>
                <w:szCs w:val="18"/>
                <w:lang w:val="en-US"/>
              </w:rPr>
              <w:t xml:space="preserve"> </w:t>
            </w:r>
            <w:r w:rsidRPr="00203728">
              <w:rPr>
                <w:rFonts w:asciiTheme="minorHAnsi" w:eastAsiaTheme="minorHAnsi" w:hAnsiTheme="minorHAnsi" w:cstheme="minorBidi"/>
                <w:sz w:val="18"/>
                <w:szCs w:val="18"/>
                <w:lang w:val="en-US"/>
              </w:rPr>
              <w:t>174.13)</w:t>
            </w:r>
          </w:p>
        </w:tc>
      </w:tr>
    </w:tbl>
    <w:p w:rsidR="00662E2E" w:rsidRDefault="00662E2E" w:rsidP="00203728"/>
    <w:p w:rsidR="00B14064" w:rsidRDefault="00B14064" w:rsidP="00203728">
      <w:r>
        <w:t>Therefore, there appears to be a completely inconsistent pattern of boosting with Ritonavir. The PK studies have been conducted in healthy adults, not in the target population who may have factors associated with bowel absorption of TAF in the presence of ritonavir. Can the sponsor explain the inconsistencies of boosting by ritonavir and why all studies have been conducted in fed populations when it is noted that TAF exposure increases by around 80% in the fed state as compared with the fasted state. Furthermore, there are no PK studies in the adolescent population for which the sponsor is seeking approval, especially given the possibility of dose adjustment requirements in young adolescent populations.</w:t>
      </w:r>
    </w:p>
    <w:p w:rsidR="00B14064" w:rsidRDefault="00B14064" w:rsidP="00203728">
      <w:r>
        <w:t xml:space="preserve">Regarding </w:t>
      </w:r>
      <w:r w:rsidR="00203728">
        <w:t>S</w:t>
      </w:r>
      <w:r>
        <w:t xml:space="preserve">tudy </w:t>
      </w:r>
      <w:r w:rsidRPr="00203728">
        <w:t>GS-US-311-1</w:t>
      </w:r>
      <w:r w:rsidR="00D40039">
        <w:t>0</w:t>
      </w:r>
      <w:r w:rsidRPr="00203728">
        <w:t>89</w:t>
      </w:r>
      <w:r>
        <w:t xml:space="preserve"> the results of F/TAF with the boosted third agents indicate the intracellular concentration of TFV-DP is around 2</w:t>
      </w:r>
      <w:r w:rsidR="00203728">
        <w:t xml:space="preserve"> to </w:t>
      </w:r>
      <w:r>
        <w:t>3 times the concentration seen with FTC/TDF, rather than the four fold difference noted by the sponsor in the Genvoya studies. It is also noted that the concentration seems to be independent of the level of boosting agent used as the PBMC concentration is marginally lower with 20</w:t>
      </w:r>
      <w:r w:rsidR="00E04BFC">
        <w:t>0 mg</w:t>
      </w:r>
      <w:r>
        <w:t xml:space="preserve"> of RTV (LPV/r) compared with boosting with RTV 10</w:t>
      </w:r>
      <w:r w:rsidR="00E04BFC">
        <w:t>0 mg</w:t>
      </w:r>
      <w:r>
        <w:t xml:space="preserve"> (ATV+RTV and DRV+RTV). As the 95% CIs are so wide for many of the results, it would be useful to also have the median values. It appears the exposure of TAF does not have a proportional relationship with the intracellular TFV-DP concentration and may be interpreted as not totally dependent of boosting with RTV at the dose of 1</w:t>
      </w:r>
      <w:r w:rsidR="00E04BFC">
        <w:t>0 mg</w:t>
      </w:r>
      <w:r>
        <w:t xml:space="preserve"> and that taking the 1</w:t>
      </w:r>
      <w:r w:rsidR="00E04BFC">
        <w:t>0 mg</w:t>
      </w:r>
      <w:r>
        <w:t xml:space="preserve"> dose with food may have the same PBMC intracellular effect.</w:t>
      </w:r>
    </w:p>
    <w:p w:rsidR="00B14064" w:rsidRPr="00203728" w:rsidRDefault="00B14064" w:rsidP="00203728">
      <w:pPr>
        <w:pStyle w:val="Heading4"/>
      </w:pPr>
      <w:bookmarkStart w:id="152" w:name="_Toc435440756"/>
      <w:bookmarkStart w:id="153" w:name="_Toc290846343"/>
      <w:bookmarkStart w:id="154" w:name="_Toc272414703"/>
      <w:r>
        <w:t>Pharmacodynamics</w:t>
      </w:r>
      <w:bookmarkEnd w:id="152"/>
      <w:bookmarkEnd w:id="153"/>
      <w:bookmarkEnd w:id="154"/>
    </w:p>
    <w:p w:rsidR="00B14064" w:rsidRDefault="00203728" w:rsidP="00203728">
      <w:r>
        <w:t>The S</w:t>
      </w:r>
      <w:r w:rsidR="00B14064">
        <w:t xml:space="preserve">tudy </w:t>
      </w:r>
      <w:r w:rsidR="00B14064" w:rsidRPr="00203728">
        <w:t>GS-US-311-1386</w:t>
      </w:r>
      <w:r w:rsidR="00B14064">
        <w:rPr>
          <w:b/>
        </w:rPr>
        <w:t xml:space="preserve"> </w:t>
      </w:r>
      <w:r w:rsidR="00B14064">
        <w:t>conducted</w:t>
      </w:r>
      <w:r w:rsidR="00B14064">
        <w:rPr>
          <w:b/>
        </w:rPr>
        <w:t xml:space="preserve"> </w:t>
      </w:r>
      <w:r w:rsidR="00B14064">
        <w:t xml:space="preserve">in healthy adult subjects investigated the effect of fed and fasted conditions on the exposure to TAF and FTC. This study, which is detailed in </w:t>
      </w:r>
      <w:r>
        <w:t xml:space="preserve">Attachment </w:t>
      </w:r>
      <w:r w:rsidR="003F7A2A">
        <w:t>2,</w:t>
      </w:r>
      <w:r w:rsidR="00B14064">
        <w:t xml:space="preserve"> demonstrated that the exposure of TAF 2</w:t>
      </w:r>
      <w:r w:rsidR="00E04BFC">
        <w:t>5 mg</w:t>
      </w:r>
      <w:r w:rsidR="00B14064">
        <w:t xml:space="preserve"> in a fed condition was increased by 75%. This is about the same level of increased exposure that was observed with boosted TAF. It is therefore unclear as to why the dose of TAF of 10 mg is recommended for unboosted when it would seem biologically plausible that a 1</w:t>
      </w:r>
      <w:r w:rsidR="00E04BFC">
        <w:t>0 mg</w:t>
      </w:r>
      <w:r w:rsidR="00B14064">
        <w:t xml:space="preserve"> dose with a meal would result in similar exposure to TAF as would be gained by administration </w:t>
      </w:r>
      <w:r w:rsidR="00B14064">
        <w:lastRenderedPageBreak/>
        <w:t>of a 25 mg dose. This discrepancy should be explained by the sponsor.</w:t>
      </w:r>
      <w:r w:rsidR="00347444">
        <w:t xml:space="preserve"> </w:t>
      </w:r>
      <w:r w:rsidR="00B14064">
        <w:t>The sponsor is requested to explain why all studies have been conducted in fed populations, rather than assessing the effect of food on the pharmacodynamics as it appears the increased exposure of TAF in the fed state, as compared with the fasted state as this may be an important factor in determining the intracellular concentration of TAF.</w:t>
      </w:r>
    </w:p>
    <w:p w:rsidR="00B14064" w:rsidRDefault="00B14064" w:rsidP="008A4E67">
      <w:pPr>
        <w:pStyle w:val="Heading4"/>
      </w:pPr>
      <w:bookmarkStart w:id="155" w:name="_Toc435440757"/>
      <w:bookmarkStart w:id="156" w:name="_Toc290846344"/>
      <w:bookmarkStart w:id="157" w:name="_Toc272414704"/>
      <w:r>
        <w:t>Efficacy</w:t>
      </w:r>
      <w:bookmarkEnd w:id="155"/>
      <w:bookmarkEnd w:id="156"/>
      <w:bookmarkEnd w:id="157"/>
    </w:p>
    <w:p w:rsidR="00B14064" w:rsidRDefault="00B14064" w:rsidP="00203728">
      <w:r>
        <w:t xml:space="preserve">The efficacy of Descovy has not been shown in this submission, other than as a component of Genvoya. The efficacy of Descovy should be reported in the results of a </w:t>
      </w:r>
      <w:r w:rsidR="00E04BFC">
        <w:t>Phase III</w:t>
      </w:r>
      <w:r>
        <w:t xml:space="preserve"> clinical trial. It is necessary for the </w:t>
      </w:r>
      <w:r w:rsidR="00203728">
        <w:t>s</w:t>
      </w:r>
      <w:r>
        <w:t>ponsor to provide evidence of efficacy of Descovy in combination with anti-retrovirals, other than EVG and boosted with other than COBI.</w:t>
      </w:r>
    </w:p>
    <w:p w:rsidR="00B14064" w:rsidRDefault="00B14064" w:rsidP="008A4E67">
      <w:pPr>
        <w:pStyle w:val="Heading4"/>
      </w:pPr>
      <w:bookmarkStart w:id="158" w:name="_Toc435440758"/>
      <w:bookmarkStart w:id="159" w:name="_Toc290846345"/>
      <w:bookmarkStart w:id="160" w:name="_Toc272414705"/>
      <w:r>
        <w:t>Safety</w:t>
      </w:r>
      <w:bookmarkEnd w:id="158"/>
      <w:bookmarkEnd w:id="159"/>
      <w:bookmarkEnd w:id="160"/>
    </w:p>
    <w:p w:rsidR="00B14064" w:rsidRDefault="00B14064" w:rsidP="004D668A">
      <w:pPr>
        <w:pStyle w:val="ListBullet"/>
      </w:pPr>
      <w:r>
        <w:t xml:space="preserve">The safety of Descovy is implied in this submission but requires controlled </w:t>
      </w:r>
      <w:r w:rsidR="00E04BFC">
        <w:t>Phase III</w:t>
      </w:r>
      <w:r>
        <w:t xml:space="preserve"> clinical trial scrutiny to document safety in the target population.</w:t>
      </w:r>
    </w:p>
    <w:p w:rsidR="00B14064" w:rsidRDefault="00B14064" w:rsidP="004D668A">
      <w:pPr>
        <w:pStyle w:val="ListBullet"/>
      </w:pPr>
      <w:r>
        <w:t>The association between TAF 2</w:t>
      </w:r>
      <w:r w:rsidR="00E04BFC">
        <w:t>5 mg</w:t>
      </w:r>
      <w:r>
        <w:t xml:space="preserve"> and spontaneous abortion should be clarified.</w:t>
      </w:r>
    </w:p>
    <w:p w:rsidR="00B14064" w:rsidRDefault="00B14064" w:rsidP="004D668A">
      <w:pPr>
        <w:pStyle w:val="ListBullet"/>
      </w:pPr>
      <w:r>
        <w:t>The association between administration of Descovy, in combination with ATV+RTV and increase bilirubin, beyond the expected level, should be clarified.</w:t>
      </w:r>
    </w:p>
    <w:p w:rsidR="00605AD4" w:rsidRPr="00605AD4" w:rsidRDefault="006A725A" w:rsidP="008A4E67">
      <w:pPr>
        <w:pStyle w:val="Heading3"/>
        <w:rPr>
          <w:rFonts w:eastAsia="Cambria"/>
        </w:rPr>
      </w:pPr>
      <w:bookmarkStart w:id="161" w:name="_Toc470175486"/>
      <w:r>
        <w:rPr>
          <w:rFonts w:eastAsia="Cambria"/>
        </w:rPr>
        <w:t>Second round e</w:t>
      </w:r>
      <w:r w:rsidR="00605AD4" w:rsidRPr="00605AD4">
        <w:rPr>
          <w:rFonts w:eastAsia="Cambria"/>
        </w:rPr>
        <w:t xml:space="preserve">valuation of </w:t>
      </w:r>
      <w:r w:rsidR="00605AD4" w:rsidRPr="008A4E67">
        <w:rPr>
          <w:rFonts w:eastAsia="Cambria"/>
        </w:rPr>
        <w:t>clinical</w:t>
      </w:r>
      <w:r w:rsidR="00605AD4" w:rsidRPr="00605AD4">
        <w:rPr>
          <w:rFonts w:eastAsia="Cambria"/>
        </w:rPr>
        <w:t xml:space="preserve"> data submitted in response to questions</w:t>
      </w:r>
      <w:bookmarkEnd w:id="161"/>
    </w:p>
    <w:p w:rsidR="006136D7" w:rsidRPr="00605AD4" w:rsidRDefault="006136D7" w:rsidP="006136D7">
      <w:r>
        <w:t>For details of the sponsor’s responses and the evaluation of these responses please see Attachment 2.</w:t>
      </w:r>
    </w:p>
    <w:p w:rsidR="00605AD4" w:rsidRPr="00605AD4" w:rsidRDefault="00605AD4" w:rsidP="00546154">
      <w:pPr>
        <w:pStyle w:val="Heading3"/>
        <w:rPr>
          <w:rFonts w:eastAsia="Cambria"/>
        </w:rPr>
      </w:pPr>
      <w:bookmarkStart w:id="162" w:name="_Toc470175487"/>
      <w:r w:rsidRPr="00605AD4">
        <w:rPr>
          <w:rFonts w:eastAsia="Cambria"/>
        </w:rPr>
        <w:t>Second</w:t>
      </w:r>
      <w:r w:rsidR="006A725A">
        <w:rPr>
          <w:rFonts w:eastAsia="Cambria"/>
        </w:rPr>
        <w:t xml:space="preserve"> round benefit-risk a</w:t>
      </w:r>
      <w:r w:rsidRPr="00605AD4">
        <w:rPr>
          <w:rFonts w:eastAsia="Cambria"/>
        </w:rPr>
        <w:t>ssessment</w:t>
      </w:r>
      <w:bookmarkEnd w:id="162"/>
    </w:p>
    <w:p w:rsidR="00B14064" w:rsidRDefault="00B14064" w:rsidP="008A4E67">
      <w:pPr>
        <w:pStyle w:val="Heading4"/>
      </w:pPr>
      <w:bookmarkStart w:id="163" w:name="_Toc435440762"/>
      <w:bookmarkStart w:id="164" w:name="_Toc290846349"/>
      <w:bookmarkStart w:id="165" w:name="_Toc272414709"/>
      <w:r>
        <w:t>Second round assessment of benefits</w:t>
      </w:r>
      <w:bookmarkEnd w:id="163"/>
      <w:bookmarkEnd w:id="164"/>
      <w:bookmarkEnd w:id="165"/>
    </w:p>
    <w:p w:rsidR="00B14064" w:rsidRDefault="00B14064" w:rsidP="004D668A">
      <w:r>
        <w:t>After consideration of the responses to clinical questions, the benefits of Descovy in the proposed usage are:</w:t>
      </w:r>
    </w:p>
    <w:p w:rsidR="00B14064" w:rsidRPr="004D668A" w:rsidRDefault="00B14064" w:rsidP="004D668A">
      <w:pPr>
        <w:pStyle w:val="ListBullet"/>
      </w:pPr>
      <w:r w:rsidRPr="004D668A">
        <w:t>Non-inferior to Truvada when administered with a broad range of third agents.</w:t>
      </w:r>
    </w:p>
    <w:p w:rsidR="00B14064" w:rsidRPr="004D668A" w:rsidRDefault="00B14064" w:rsidP="004D668A">
      <w:pPr>
        <w:pStyle w:val="ListBullet"/>
      </w:pPr>
      <w:r w:rsidRPr="004D668A">
        <w:t>Statistically significant safety advantages over Truvada in terms of improvement in bone mineral density. There was a decrease in bone turnover after switching from FTC/TDF to F/TAF. Decreases from baseline were observed in serum levels of the bone formation biomarker P1NP and also in PTH, a hormone involved in bone formation and resorption, in the F/TAF+</w:t>
      </w:r>
      <w:r w:rsidR="00A378FB" w:rsidRPr="008E3BE8">
        <w:t>3</w:t>
      </w:r>
      <w:r w:rsidR="00A378FB" w:rsidRPr="00A378FB">
        <w:rPr>
          <w:vertAlign w:val="superscript"/>
        </w:rPr>
        <w:t>rd</w:t>
      </w:r>
      <w:r w:rsidRPr="004D668A">
        <w:t xml:space="preserve"> Agent group compared with minimal changes in both parameters in the FTC/TDF+</w:t>
      </w:r>
      <w:r w:rsidR="00A378FB" w:rsidRPr="008E3BE8">
        <w:t>3</w:t>
      </w:r>
      <w:r w:rsidR="00A378FB" w:rsidRPr="00A378FB">
        <w:rPr>
          <w:vertAlign w:val="superscript"/>
        </w:rPr>
        <w:t>rd</w:t>
      </w:r>
      <w:r w:rsidRPr="004D668A">
        <w:t xml:space="preserve"> Agent group at Week 48 (p &lt; 0.001 for the differences between groups). In addition, decreases from baseline were observed in serum levels of the bone resorption biomarker CTx, which were greater in the F/TAF+</w:t>
      </w:r>
      <w:r w:rsidR="00A378FB" w:rsidRPr="008E3BE8">
        <w:t>3</w:t>
      </w:r>
      <w:r w:rsidR="00A378FB" w:rsidRPr="00A378FB">
        <w:rPr>
          <w:vertAlign w:val="superscript"/>
        </w:rPr>
        <w:t>rd</w:t>
      </w:r>
      <w:r w:rsidRPr="004D668A">
        <w:t xml:space="preserve"> Agent group compared with the FTC/TDF+</w:t>
      </w:r>
      <w:r w:rsidR="00A378FB" w:rsidRPr="008E3BE8">
        <w:t>3</w:t>
      </w:r>
      <w:r w:rsidR="00A378FB" w:rsidRPr="00A378FB">
        <w:rPr>
          <w:vertAlign w:val="superscript"/>
        </w:rPr>
        <w:t>rd</w:t>
      </w:r>
      <w:r w:rsidRPr="004D668A">
        <w:t xml:space="preserve"> Agent at Week 48 (p &lt; 0.001)</w:t>
      </w:r>
      <w:r w:rsidR="004D668A">
        <w:t>.</w:t>
      </w:r>
    </w:p>
    <w:p w:rsidR="00B14064" w:rsidRDefault="00B14064" w:rsidP="008A4E67">
      <w:pPr>
        <w:pStyle w:val="Heading4"/>
      </w:pPr>
      <w:bookmarkStart w:id="166" w:name="_Toc435440763"/>
      <w:bookmarkStart w:id="167" w:name="_Toc290846350"/>
      <w:bookmarkStart w:id="168" w:name="_Toc272414710"/>
      <w:r>
        <w:t>Second round assessment of risks</w:t>
      </w:r>
      <w:bookmarkEnd w:id="166"/>
      <w:bookmarkEnd w:id="167"/>
      <w:bookmarkEnd w:id="168"/>
    </w:p>
    <w:p w:rsidR="00B14064" w:rsidRDefault="00B14064" w:rsidP="008A4E67">
      <w:r>
        <w:t>After consideration of the responses to clinical questions, the risks of Descovy in the proposed usage are:</w:t>
      </w:r>
    </w:p>
    <w:p w:rsidR="00B14064" w:rsidRDefault="00B14064" w:rsidP="008A4E67">
      <w:pPr>
        <w:pStyle w:val="ListBullet"/>
      </w:pPr>
      <w:r>
        <w:lastRenderedPageBreak/>
        <w:t xml:space="preserve">There is a lack of specific clinical evidence for efficacy and safety in an adolescent population. However, data presented by the </w:t>
      </w:r>
      <w:r w:rsidR="004D668A">
        <w:t>s</w:t>
      </w:r>
      <w:r>
        <w:t xml:space="preserve">ponsor related to Genvoya and evidence from </w:t>
      </w:r>
      <w:r w:rsidR="004D668A">
        <w:t>Study</w:t>
      </w:r>
      <w:r>
        <w:t xml:space="preserve"> GS-US-311-1089, indicates that efficacy and safety of Descovy should be similar to that of Truvada and probably also have the </w:t>
      </w:r>
      <w:r w:rsidRPr="00CD2CF3">
        <w:t>same BMD and</w:t>
      </w:r>
      <w:r>
        <w:t xml:space="preserve"> renal advantages of Descovy, when used with third agents. Study GS-US-292-0106 involved administering Genvoya to ART naïve adolescents and demonstrated similar efficacy (91.3%) to Descovy administered with third agents to HIV-1 infected adults and also to ART naïve adults. The similarity of both efficacy and safety in these populations provides a level of confidence that Descovy, when administered with third agents to adolescents, will have a similar level of efficacy and safety. While this level of confidence is reasonable, it is supported by inference, not by direct clinical trial evidence.</w:t>
      </w:r>
    </w:p>
    <w:p w:rsidR="00B14064" w:rsidRDefault="00B14064" w:rsidP="008A4E67">
      <w:pPr>
        <w:pStyle w:val="ListBullet"/>
      </w:pPr>
      <w:r>
        <w:t xml:space="preserve">There were increases from baseline in fasting values of total cholesterol, </w:t>
      </w:r>
      <w:r w:rsidR="00CD2CF3">
        <w:t xml:space="preserve">low density </w:t>
      </w:r>
      <w:r w:rsidR="00CD2CF3" w:rsidRPr="00CD2CF3">
        <w:t>lipoprotein (</w:t>
      </w:r>
      <w:r w:rsidRPr="00CD2CF3">
        <w:t>LDL</w:t>
      </w:r>
      <w:r w:rsidR="00CD2CF3" w:rsidRPr="00CD2CF3">
        <w:t>)</w:t>
      </w:r>
      <w:r w:rsidRPr="00CD2CF3">
        <w:t xml:space="preserve"> cholesterol, </w:t>
      </w:r>
      <w:r w:rsidR="00CD2CF3" w:rsidRPr="00CD2CF3">
        <w:t>high density lipoprotein (</w:t>
      </w:r>
      <w:r w:rsidRPr="00CD2CF3">
        <w:t>HDL</w:t>
      </w:r>
      <w:r w:rsidR="00CD2CF3" w:rsidRPr="00CD2CF3">
        <w:t>)</w:t>
      </w:r>
      <w:r w:rsidRPr="00CD2CF3">
        <w:t xml:space="preserve"> cholesterol, and</w:t>
      </w:r>
      <w:r>
        <w:t xml:space="preserve"> triglycerides in the F/TAF+</w:t>
      </w:r>
      <w:r w:rsidR="00A378FB" w:rsidRPr="008E3BE8">
        <w:t>3</w:t>
      </w:r>
      <w:r w:rsidR="00A378FB" w:rsidRPr="00A378FB">
        <w:rPr>
          <w:vertAlign w:val="superscript"/>
        </w:rPr>
        <w:t>rd</w:t>
      </w:r>
      <w:r>
        <w:t xml:space="preserve"> Agent group, while these parameters had little change in the FTC/TDF+</w:t>
      </w:r>
      <w:r w:rsidR="00A378FB" w:rsidRPr="008E3BE8">
        <w:t>3</w:t>
      </w:r>
      <w:r w:rsidR="00A378FB" w:rsidRPr="00A378FB">
        <w:rPr>
          <w:vertAlign w:val="superscript"/>
        </w:rPr>
        <w:t>rd</w:t>
      </w:r>
      <w:r>
        <w:t xml:space="preserve"> Agent group at both Week 24 and Week 48 (p &lt; 0.001 for the differences between groups for total cholesterol, LDL cholesterol, and HDL cholesterol; p = 0.016 at Week 24 and p = 0.002 at Week 48 for triglycerides). However, because TDF is known to reduce blood lipids, the apparent ‘increases’ in blood lipids observed with Descovy in GS-US-311-1089, compared with Truvada may be due to blood lipids returning to their pre-Truvada levels.</w:t>
      </w:r>
    </w:p>
    <w:p w:rsidR="00B14064" w:rsidRDefault="00B14064" w:rsidP="008A4E67">
      <w:pPr>
        <w:pStyle w:val="Heading4"/>
      </w:pPr>
      <w:bookmarkStart w:id="169" w:name="_Toc435440764"/>
      <w:bookmarkStart w:id="170" w:name="_Toc290846351"/>
      <w:bookmarkStart w:id="171" w:name="_Toc272414711"/>
      <w:r>
        <w:t>Second round assessment of benefit-risk balance</w:t>
      </w:r>
      <w:bookmarkEnd w:id="169"/>
      <w:bookmarkEnd w:id="170"/>
      <w:bookmarkEnd w:id="171"/>
    </w:p>
    <w:p w:rsidR="00B14064" w:rsidRDefault="00B14064" w:rsidP="008A4E67">
      <w:r>
        <w:t>The benefit-risk balance of Descovy, given the proposed usage, is favourable.</w:t>
      </w:r>
    </w:p>
    <w:p w:rsidR="00B14064" w:rsidRDefault="00B14064" w:rsidP="008A4E67">
      <w:pPr>
        <w:pStyle w:val="Heading3"/>
      </w:pPr>
      <w:bookmarkStart w:id="172" w:name="_Toc435440765"/>
      <w:bookmarkStart w:id="173" w:name="_Toc290846352"/>
      <w:bookmarkStart w:id="174" w:name="_Toc272414713"/>
      <w:bookmarkStart w:id="175" w:name="_Ref272160677"/>
      <w:bookmarkStart w:id="176" w:name="_Toc470175488"/>
      <w:r>
        <w:t xml:space="preserve">Second </w:t>
      </w:r>
      <w:r w:rsidRPr="008A4E67">
        <w:t>round</w:t>
      </w:r>
      <w:r>
        <w:t xml:space="preserve"> recommendation regarding authorisation</w:t>
      </w:r>
      <w:bookmarkEnd w:id="172"/>
      <w:bookmarkEnd w:id="173"/>
      <w:bookmarkEnd w:id="174"/>
      <w:bookmarkEnd w:id="175"/>
      <w:bookmarkEnd w:id="176"/>
      <w:r>
        <w:t xml:space="preserve"> </w:t>
      </w:r>
    </w:p>
    <w:p w:rsidR="00B14064" w:rsidRDefault="00B14064" w:rsidP="008A4E67">
      <w:r>
        <w:t xml:space="preserve">The </w:t>
      </w:r>
      <w:r w:rsidR="004D668A">
        <w:t>e</w:t>
      </w:r>
      <w:r>
        <w:t>valuator recommends authorisation of Descovy.</w:t>
      </w:r>
    </w:p>
    <w:p w:rsidR="008E7846" w:rsidRPr="00E41208" w:rsidRDefault="008E7846" w:rsidP="00546154">
      <w:pPr>
        <w:pStyle w:val="Heading2"/>
      </w:pPr>
      <w:bookmarkStart w:id="177" w:name="_Toc470175489"/>
      <w:r w:rsidRPr="00E41208">
        <w:t xml:space="preserve">V. Pharmacovigilance </w:t>
      </w:r>
      <w:r>
        <w:t>f</w:t>
      </w:r>
      <w:r w:rsidRPr="00E41208">
        <w:t>indings</w:t>
      </w:r>
      <w:bookmarkEnd w:id="120"/>
      <w:bookmarkEnd w:id="121"/>
      <w:bookmarkEnd w:id="177"/>
    </w:p>
    <w:p w:rsidR="008E7846" w:rsidRDefault="00386150" w:rsidP="008E7846">
      <w:pPr>
        <w:pStyle w:val="Heading3"/>
        <w:rPr>
          <w:lang w:eastAsia="en-AU"/>
        </w:rPr>
      </w:pPr>
      <w:bookmarkStart w:id="178" w:name="_Toc247691526"/>
      <w:bookmarkStart w:id="179" w:name="_Toc314842509"/>
      <w:bookmarkStart w:id="180" w:name="_Toc470175490"/>
      <w:r>
        <w:rPr>
          <w:lang w:eastAsia="en-AU"/>
        </w:rPr>
        <w:t>Risk m</w:t>
      </w:r>
      <w:r w:rsidR="008E7846">
        <w:rPr>
          <w:lang w:eastAsia="en-AU"/>
        </w:rPr>
        <w:t xml:space="preserve">anagement </w:t>
      </w:r>
      <w:r>
        <w:rPr>
          <w:lang w:eastAsia="en-AU"/>
        </w:rPr>
        <w:t>p</w:t>
      </w:r>
      <w:r w:rsidR="008E7846">
        <w:rPr>
          <w:lang w:eastAsia="en-AU"/>
        </w:rPr>
        <w:t>lan</w:t>
      </w:r>
      <w:bookmarkEnd w:id="178"/>
      <w:bookmarkEnd w:id="179"/>
      <w:bookmarkEnd w:id="180"/>
    </w:p>
    <w:p w:rsidR="008E7846" w:rsidRDefault="008E7846" w:rsidP="004D668A">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FC702B" w:rsidRPr="00511344">
        <w:rPr>
          <w:kern w:val="2"/>
        </w:rPr>
        <w:t xml:space="preserve">EU-RMP </w:t>
      </w:r>
      <w:r w:rsidR="00FC702B" w:rsidRPr="00B07DCF">
        <w:t>(</w:t>
      </w:r>
      <w:r w:rsidR="00FC702B" w:rsidRPr="00B07DCF">
        <w:rPr>
          <w:iCs/>
        </w:rPr>
        <w:t xml:space="preserve">Version: </w:t>
      </w:r>
      <w:r w:rsidR="00FC702B">
        <w:rPr>
          <w:iCs/>
        </w:rPr>
        <w:t>0.1</w:t>
      </w:r>
      <w:r w:rsidR="00FC702B" w:rsidRPr="00B07DCF">
        <w:rPr>
          <w:iCs/>
        </w:rPr>
        <w:t xml:space="preserve">, dated </w:t>
      </w:r>
      <w:r w:rsidR="00FC702B">
        <w:rPr>
          <w:iCs/>
        </w:rPr>
        <w:t>1 April 2015</w:t>
      </w:r>
      <w:r w:rsidR="00FC702B" w:rsidRPr="00B07DCF">
        <w:rPr>
          <w:iCs/>
        </w:rPr>
        <w:t>)</w:t>
      </w:r>
      <w:r w:rsidR="00FC702B">
        <w:rPr>
          <w:iCs/>
        </w:rPr>
        <w:t xml:space="preserve"> </w:t>
      </w:r>
      <w:r w:rsidR="00FC702B" w:rsidRPr="00B07DCF">
        <w:rPr>
          <w:iCs/>
        </w:rPr>
        <w:t xml:space="preserve">with an Australian Specific Annex (ASA) </w:t>
      </w:r>
      <w:r w:rsidR="00FC702B">
        <w:rPr>
          <w:iCs/>
        </w:rPr>
        <w:t>as Annex 13 (undated)</w:t>
      </w:r>
      <w:r w:rsidRPr="006F25B8">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662E2E" w:rsidRDefault="008E7846" w:rsidP="008A4E67">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4D668A">
        <w:rPr>
          <w:lang w:eastAsia="en-AU"/>
        </w:rPr>
        <w:t>11</w:t>
      </w:r>
      <w:r>
        <w:rPr>
          <w:lang w:eastAsia="en-AU"/>
        </w:rPr>
        <w:t>.</w:t>
      </w:r>
    </w:p>
    <w:p w:rsidR="00662E2E" w:rsidRDefault="00662E2E">
      <w:pPr>
        <w:spacing w:before="0" w:after="200" w:line="0" w:lineRule="auto"/>
        <w:rPr>
          <w:lang w:eastAsia="en-AU"/>
        </w:rPr>
      </w:pPr>
      <w:r>
        <w:rPr>
          <w:lang w:eastAsia="en-AU"/>
        </w:rPr>
        <w:br w:type="page"/>
      </w:r>
    </w:p>
    <w:p w:rsidR="008E7846" w:rsidRDefault="008E7846" w:rsidP="008A4E67">
      <w:pPr>
        <w:rPr>
          <w:lang w:eastAsia="en-AU"/>
        </w:rPr>
      </w:pPr>
    </w:p>
    <w:p w:rsidR="004D668A" w:rsidRDefault="004D668A" w:rsidP="006762A5">
      <w:pPr>
        <w:pStyle w:val="TableTitle"/>
        <w:rPr>
          <w:lang w:eastAsia="en-AU"/>
        </w:rPr>
      </w:pPr>
      <w:r>
        <w:rPr>
          <w:lang w:eastAsia="en-AU"/>
        </w:rPr>
        <w:t>Table 11: Summary of ongoing summary of safety concerns</w:t>
      </w:r>
    </w:p>
    <w:tbl>
      <w:tblPr>
        <w:tblStyle w:val="TableTGAblue1"/>
        <w:tblW w:w="8789" w:type="dxa"/>
        <w:tblInd w:w="108" w:type="dxa"/>
        <w:tblLook w:val="04A0" w:firstRow="1" w:lastRow="0" w:firstColumn="1" w:lastColumn="0" w:noHBand="0" w:noVBand="1"/>
      </w:tblPr>
      <w:tblGrid>
        <w:gridCol w:w="4252"/>
        <w:gridCol w:w="4537"/>
      </w:tblGrid>
      <w:tr w:rsidR="004D668A" w:rsidTr="00531332">
        <w:trPr>
          <w:cnfStyle w:val="100000000000" w:firstRow="1" w:lastRow="0" w:firstColumn="0" w:lastColumn="0" w:oddVBand="0" w:evenVBand="0" w:oddHBand="0" w:evenHBand="0" w:firstRowFirstColumn="0" w:firstRowLastColumn="0" w:lastRowFirstColumn="0" w:lastRowLastColumn="0"/>
          <w:cantSplit/>
          <w:tblHeader/>
        </w:trPr>
        <w:tc>
          <w:tcPr>
            <w:tcW w:w="4252" w:type="dxa"/>
          </w:tcPr>
          <w:p w:rsidR="004D668A" w:rsidRPr="00CD2CF3" w:rsidRDefault="004D668A" w:rsidP="006762A5">
            <w:pPr>
              <w:rPr>
                <w:sz w:val="20"/>
                <w:szCs w:val="20"/>
                <w:lang w:eastAsia="en-AU"/>
              </w:rPr>
            </w:pPr>
          </w:p>
        </w:tc>
        <w:tc>
          <w:tcPr>
            <w:tcW w:w="4537" w:type="dxa"/>
          </w:tcPr>
          <w:p w:rsidR="004D668A" w:rsidRPr="00CD2CF3" w:rsidRDefault="00CD2CF3" w:rsidP="008A4E67">
            <w:pPr>
              <w:rPr>
                <w:sz w:val="20"/>
                <w:szCs w:val="20"/>
                <w:lang w:eastAsia="en-AU"/>
              </w:rPr>
            </w:pPr>
            <w:r w:rsidRPr="00CD2CF3">
              <w:rPr>
                <w:sz w:val="20"/>
                <w:szCs w:val="20"/>
                <w:lang w:eastAsia="en-AU"/>
              </w:rPr>
              <w:t>Safety concern</w:t>
            </w:r>
          </w:p>
        </w:tc>
      </w:tr>
      <w:tr w:rsidR="004D668A" w:rsidTr="00531332">
        <w:tc>
          <w:tcPr>
            <w:tcW w:w="4252" w:type="dxa"/>
          </w:tcPr>
          <w:p w:rsidR="004D668A" w:rsidRPr="00CD2CF3" w:rsidRDefault="004D668A" w:rsidP="008A4E67">
            <w:pPr>
              <w:rPr>
                <w:b/>
                <w:sz w:val="20"/>
                <w:szCs w:val="20"/>
                <w:lang w:eastAsia="en-AU"/>
              </w:rPr>
            </w:pPr>
            <w:r w:rsidRPr="00CD2CF3">
              <w:rPr>
                <w:b/>
                <w:sz w:val="20"/>
                <w:szCs w:val="20"/>
              </w:rPr>
              <w:t>Important identified risks</w:t>
            </w:r>
          </w:p>
        </w:tc>
        <w:tc>
          <w:tcPr>
            <w:tcW w:w="4537" w:type="dxa"/>
          </w:tcPr>
          <w:p w:rsidR="004D668A" w:rsidRPr="00CD2CF3" w:rsidRDefault="004D668A" w:rsidP="008A4E67">
            <w:pPr>
              <w:rPr>
                <w:sz w:val="20"/>
                <w:szCs w:val="20"/>
                <w:lang w:eastAsia="en-AU"/>
              </w:rPr>
            </w:pPr>
            <w:r w:rsidRPr="00CD2CF3">
              <w:rPr>
                <w:sz w:val="20"/>
                <w:szCs w:val="20"/>
              </w:rPr>
              <w:t>Post-treatment hepatic flares in HIV/HBV co-infected patients</w:t>
            </w:r>
          </w:p>
        </w:tc>
      </w:tr>
      <w:tr w:rsidR="004D668A" w:rsidTr="00531332">
        <w:tc>
          <w:tcPr>
            <w:tcW w:w="4252" w:type="dxa"/>
          </w:tcPr>
          <w:p w:rsidR="004D668A" w:rsidRPr="006762A5" w:rsidRDefault="004D668A" w:rsidP="008A4E67">
            <w:pPr>
              <w:rPr>
                <w:b/>
                <w:sz w:val="20"/>
                <w:szCs w:val="20"/>
                <w:lang w:eastAsia="en-AU"/>
              </w:rPr>
            </w:pPr>
            <w:r w:rsidRPr="006762A5">
              <w:rPr>
                <w:b/>
                <w:sz w:val="20"/>
                <w:szCs w:val="20"/>
              </w:rPr>
              <w:t>Important</w:t>
            </w:r>
            <w:r w:rsidR="00586A39">
              <w:rPr>
                <w:b/>
                <w:sz w:val="20"/>
                <w:szCs w:val="20"/>
              </w:rPr>
              <w:t xml:space="preserve"> </w:t>
            </w:r>
            <w:r w:rsidRPr="006762A5">
              <w:rPr>
                <w:b/>
                <w:sz w:val="20"/>
                <w:szCs w:val="20"/>
              </w:rPr>
              <w:t>potential risk</w:t>
            </w:r>
          </w:p>
        </w:tc>
        <w:tc>
          <w:tcPr>
            <w:tcW w:w="4537" w:type="dxa"/>
          </w:tcPr>
          <w:p w:rsidR="004D668A" w:rsidRPr="006762A5" w:rsidRDefault="004D668A" w:rsidP="008A4E67">
            <w:pPr>
              <w:rPr>
                <w:sz w:val="20"/>
                <w:szCs w:val="20"/>
                <w:lang w:eastAsia="en-AU"/>
              </w:rPr>
            </w:pPr>
            <w:r w:rsidRPr="006762A5">
              <w:rPr>
                <w:sz w:val="20"/>
                <w:szCs w:val="20"/>
              </w:rPr>
              <w:t>None</w:t>
            </w:r>
          </w:p>
        </w:tc>
      </w:tr>
      <w:tr w:rsidR="006762A5" w:rsidTr="00531332">
        <w:tc>
          <w:tcPr>
            <w:tcW w:w="4252" w:type="dxa"/>
            <w:vMerge w:val="restart"/>
          </w:tcPr>
          <w:p w:rsidR="006762A5" w:rsidRPr="006762A5" w:rsidRDefault="006762A5" w:rsidP="008A4E67">
            <w:pPr>
              <w:rPr>
                <w:b/>
                <w:sz w:val="20"/>
                <w:szCs w:val="20"/>
                <w:lang w:eastAsia="en-AU"/>
              </w:rPr>
            </w:pPr>
            <w:r w:rsidRPr="006762A5">
              <w:rPr>
                <w:b/>
                <w:sz w:val="20"/>
                <w:szCs w:val="20"/>
              </w:rPr>
              <w:t>Missing information</w:t>
            </w:r>
          </w:p>
        </w:tc>
        <w:tc>
          <w:tcPr>
            <w:tcW w:w="4537" w:type="dxa"/>
          </w:tcPr>
          <w:p w:rsidR="006762A5" w:rsidRPr="006762A5" w:rsidRDefault="006762A5" w:rsidP="008A4E67">
            <w:pPr>
              <w:rPr>
                <w:sz w:val="20"/>
                <w:szCs w:val="20"/>
                <w:lang w:eastAsia="en-AU"/>
              </w:rPr>
            </w:pPr>
            <w:r w:rsidRPr="006762A5">
              <w:rPr>
                <w:sz w:val="20"/>
                <w:szCs w:val="20"/>
              </w:rPr>
              <w:t>Long-term safety information in adults and adolescents</w:t>
            </w:r>
          </w:p>
        </w:tc>
      </w:tr>
      <w:tr w:rsidR="006762A5" w:rsidTr="00531332">
        <w:tc>
          <w:tcPr>
            <w:tcW w:w="4252" w:type="dxa"/>
            <w:vMerge/>
          </w:tcPr>
          <w:p w:rsidR="006762A5" w:rsidRPr="006762A5" w:rsidRDefault="006762A5" w:rsidP="008A4E67">
            <w:pPr>
              <w:rPr>
                <w:sz w:val="20"/>
                <w:szCs w:val="20"/>
                <w:lang w:eastAsia="en-AU"/>
              </w:rPr>
            </w:pPr>
          </w:p>
        </w:tc>
        <w:tc>
          <w:tcPr>
            <w:tcW w:w="4537" w:type="dxa"/>
          </w:tcPr>
          <w:p w:rsidR="006762A5" w:rsidRPr="006762A5" w:rsidRDefault="006762A5" w:rsidP="008A4E67">
            <w:pPr>
              <w:rPr>
                <w:sz w:val="20"/>
                <w:szCs w:val="20"/>
                <w:lang w:eastAsia="en-AU"/>
              </w:rPr>
            </w:pPr>
            <w:r w:rsidRPr="006762A5">
              <w:rPr>
                <w:sz w:val="20"/>
                <w:szCs w:val="20"/>
              </w:rPr>
              <w:t>Safety in children aged 4 weeks to &lt; 18 years</w:t>
            </w:r>
          </w:p>
        </w:tc>
      </w:tr>
      <w:tr w:rsidR="006762A5" w:rsidTr="00531332">
        <w:tc>
          <w:tcPr>
            <w:tcW w:w="4252" w:type="dxa"/>
            <w:vMerge/>
          </w:tcPr>
          <w:p w:rsidR="006762A5" w:rsidRPr="006762A5" w:rsidRDefault="006762A5" w:rsidP="008A4E67">
            <w:pPr>
              <w:rPr>
                <w:sz w:val="20"/>
                <w:szCs w:val="20"/>
                <w:lang w:eastAsia="en-AU"/>
              </w:rPr>
            </w:pPr>
          </w:p>
        </w:tc>
        <w:tc>
          <w:tcPr>
            <w:tcW w:w="4537" w:type="dxa"/>
          </w:tcPr>
          <w:p w:rsidR="006762A5" w:rsidRPr="006762A5" w:rsidRDefault="006762A5" w:rsidP="008A4E67">
            <w:pPr>
              <w:rPr>
                <w:sz w:val="20"/>
                <w:szCs w:val="20"/>
                <w:lang w:eastAsia="en-AU"/>
              </w:rPr>
            </w:pPr>
            <w:r w:rsidRPr="006762A5">
              <w:rPr>
                <w:sz w:val="20"/>
                <w:szCs w:val="20"/>
              </w:rPr>
              <w:t>Safety in pregnancy</w:t>
            </w:r>
          </w:p>
        </w:tc>
      </w:tr>
      <w:tr w:rsidR="006762A5" w:rsidTr="00531332">
        <w:tc>
          <w:tcPr>
            <w:tcW w:w="4252" w:type="dxa"/>
            <w:vMerge/>
          </w:tcPr>
          <w:p w:rsidR="006762A5" w:rsidRPr="006762A5" w:rsidRDefault="006762A5" w:rsidP="008A4E67">
            <w:pPr>
              <w:rPr>
                <w:sz w:val="20"/>
                <w:szCs w:val="20"/>
                <w:lang w:eastAsia="en-AU"/>
              </w:rPr>
            </w:pPr>
          </w:p>
        </w:tc>
        <w:tc>
          <w:tcPr>
            <w:tcW w:w="4537" w:type="dxa"/>
          </w:tcPr>
          <w:p w:rsidR="006762A5" w:rsidRPr="006762A5" w:rsidRDefault="006762A5" w:rsidP="008A4E67">
            <w:pPr>
              <w:rPr>
                <w:sz w:val="20"/>
                <w:szCs w:val="20"/>
                <w:lang w:eastAsia="en-AU"/>
              </w:rPr>
            </w:pPr>
            <w:r w:rsidRPr="006762A5">
              <w:rPr>
                <w:sz w:val="20"/>
                <w:szCs w:val="20"/>
              </w:rPr>
              <w:t>Safety in lactation</w:t>
            </w:r>
          </w:p>
        </w:tc>
      </w:tr>
      <w:tr w:rsidR="006762A5" w:rsidTr="00531332">
        <w:tc>
          <w:tcPr>
            <w:tcW w:w="4252" w:type="dxa"/>
            <w:vMerge/>
          </w:tcPr>
          <w:p w:rsidR="006762A5" w:rsidRPr="006762A5" w:rsidRDefault="006762A5" w:rsidP="008A4E67">
            <w:pPr>
              <w:rPr>
                <w:sz w:val="20"/>
                <w:szCs w:val="20"/>
                <w:lang w:eastAsia="en-AU"/>
              </w:rPr>
            </w:pPr>
          </w:p>
        </w:tc>
        <w:tc>
          <w:tcPr>
            <w:tcW w:w="4537" w:type="dxa"/>
          </w:tcPr>
          <w:p w:rsidR="006762A5" w:rsidRPr="006762A5" w:rsidRDefault="006762A5" w:rsidP="00445D1A">
            <w:pPr>
              <w:rPr>
                <w:sz w:val="20"/>
                <w:szCs w:val="20"/>
                <w:lang w:eastAsia="en-AU"/>
              </w:rPr>
            </w:pPr>
            <w:r w:rsidRPr="006762A5">
              <w:rPr>
                <w:sz w:val="20"/>
                <w:szCs w:val="20"/>
              </w:rPr>
              <w:t>Safety in severe hepatic impairment (CPT Class C)</w:t>
            </w:r>
          </w:p>
        </w:tc>
      </w:tr>
      <w:tr w:rsidR="006762A5" w:rsidTr="00531332">
        <w:tc>
          <w:tcPr>
            <w:tcW w:w="4252" w:type="dxa"/>
            <w:vMerge/>
          </w:tcPr>
          <w:p w:rsidR="006762A5" w:rsidRPr="006762A5" w:rsidRDefault="006762A5" w:rsidP="008A4E67">
            <w:pPr>
              <w:rPr>
                <w:sz w:val="20"/>
                <w:szCs w:val="20"/>
                <w:lang w:eastAsia="en-AU"/>
              </w:rPr>
            </w:pPr>
          </w:p>
        </w:tc>
        <w:tc>
          <w:tcPr>
            <w:tcW w:w="4537" w:type="dxa"/>
          </w:tcPr>
          <w:p w:rsidR="006762A5" w:rsidRPr="006762A5" w:rsidRDefault="006762A5" w:rsidP="00445D1A">
            <w:pPr>
              <w:rPr>
                <w:sz w:val="20"/>
                <w:szCs w:val="20"/>
              </w:rPr>
            </w:pPr>
            <w:r w:rsidRPr="006762A5">
              <w:rPr>
                <w:sz w:val="20"/>
                <w:szCs w:val="20"/>
              </w:rPr>
              <w:t>Safety in patients with HBV and HCV co-infection</w:t>
            </w:r>
          </w:p>
        </w:tc>
      </w:tr>
    </w:tbl>
    <w:p w:rsidR="004D668A" w:rsidRDefault="00445D1A" w:rsidP="006762A5">
      <w:pPr>
        <w:pStyle w:val="TableDescription"/>
        <w:rPr>
          <w:lang w:eastAsia="en-AU"/>
        </w:rPr>
      </w:pPr>
      <w:r>
        <w:rPr>
          <w:lang w:eastAsia="en-AU"/>
        </w:rPr>
        <w:t>CPT=Child-Pugh-Turcotte; HBV=</w:t>
      </w:r>
      <w:r w:rsidR="006762A5">
        <w:rPr>
          <w:lang w:eastAsia="en-AU"/>
        </w:rPr>
        <w:t>Hepatitis B virus; HPC=Hepatitis C virus; HIV=human immunodeficiency virus</w:t>
      </w:r>
    </w:p>
    <w:p w:rsidR="008E7846" w:rsidRDefault="008E7846" w:rsidP="006762A5">
      <w:pPr>
        <w:pStyle w:val="Heading4"/>
        <w:rPr>
          <w:lang w:eastAsia="en-AU"/>
        </w:rPr>
      </w:pPr>
      <w:r>
        <w:rPr>
          <w:lang w:eastAsia="en-AU"/>
        </w:rPr>
        <w:t xml:space="preserve">Pharmacovigilance </w:t>
      </w:r>
      <w:r w:rsidR="003A7F6C">
        <w:rPr>
          <w:lang w:eastAsia="en-AU"/>
        </w:rPr>
        <w:t>p</w:t>
      </w:r>
      <w:r>
        <w:rPr>
          <w:lang w:eastAsia="en-AU"/>
        </w:rPr>
        <w:t>lan</w:t>
      </w:r>
    </w:p>
    <w:p w:rsidR="00586A39" w:rsidRDefault="00FC702B" w:rsidP="006762A5">
      <w:r>
        <w:t>The ASA proposes only routine pharmacovigilance activities to monitor all the specified safety c</w:t>
      </w:r>
      <w:r w:rsidR="008A4E67">
        <w:t>oncerns and missing information</w:t>
      </w:r>
      <w:r>
        <w:t>.</w:t>
      </w:r>
      <w:r w:rsidR="00347444">
        <w:t xml:space="preserve"> </w:t>
      </w:r>
      <w:r>
        <w:t xml:space="preserve">However, the ASA states that routine activities include ongoing and planned clinical studies, including a Phase </w:t>
      </w:r>
      <w:r w:rsidR="006762A5">
        <w:t>II</w:t>
      </w:r>
      <w:r>
        <w:t>/</w:t>
      </w:r>
      <w:r w:rsidR="006762A5">
        <w:t>III</w:t>
      </w:r>
      <w:r>
        <w:t xml:space="preserve"> switch study and the An</w:t>
      </w:r>
      <w:r w:rsidR="008A4E67">
        <w:t>tiretroviral Pregnancy Registry</w:t>
      </w:r>
      <w:r w:rsidR="00586A39">
        <w:t>.</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A4E67" w:rsidRDefault="008A4E67" w:rsidP="006762A5">
      <w:pPr>
        <w:rPr>
          <w:rFonts w:asciiTheme="minorHAnsi" w:hAnsiTheme="minorHAnsi" w:cstheme="minorHAnsi"/>
        </w:rPr>
      </w:pPr>
      <w:r>
        <w:t>The ASA proposes routine risk minimisation activities for all the specified safety concerns and missing information are sufficient, except for the missing information: ‘</w:t>
      </w:r>
      <w:r w:rsidRPr="006762A5">
        <w:rPr>
          <w:i/>
        </w:rPr>
        <w:t>Long-term safety information in adults and adolescents</w:t>
      </w:r>
      <w:r>
        <w:t>’ for which no risk minimisation is proposed.</w:t>
      </w:r>
    </w:p>
    <w:p w:rsidR="006F25B8" w:rsidRDefault="006F25B8" w:rsidP="006F25B8">
      <w:pPr>
        <w:pStyle w:val="Heading4"/>
        <w:rPr>
          <w:lang w:eastAsia="en-AU"/>
        </w:rPr>
      </w:pPr>
      <w:bookmarkStart w:id="181" w:name="_Toc247691527"/>
      <w:r w:rsidRPr="006F25B8">
        <w:rPr>
          <w:lang w:eastAsia="en-AU"/>
        </w:rPr>
        <w:t xml:space="preserve">Reconciliation of issues outlined in the RMP report </w:t>
      </w:r>
    </w:p>
    <w:p w:rsidR="00FC702B" w:rsidRDefault="006F25B8" w:rsidP="00FC702B">
      <w:pPr>
        <w:rPr>
          <w:lang w:eastAsia="en-AU"/>
        </w:rPr>
      </w:pPr>
      <w:r>
        <w:rPr>
          <w:lang w:eastAsia="en-AU"/>
        </w:rPr>
        <w:t xml:space="preserve">Table </w:t>
      </w:r>
      <w:r w:rsidR="006762A5">
        <w:rPr>
          <w:lang w:eastAsia="en-AU"/>
        </w:rPr>
        <w:t>12</w:t>
      </w:r>
      <w:r>
        <w:rPr>
          <w:lang w:eastAsia="en-AU"/>
        </w:rPr>
        <w:t xml:space="preserve"> summarises the first round evaluation of the RMP, the sponsor’s responses to issues raised </w:t>
      </w:r>
      <w:r w:rsidR="006762A5">
        <w:rPr>
          <w:lang w:eastAsia="en-AU"/>
        </w:rPr>
        <w:t xml:space="preserve">and an </w:t>
      </w:r>
      <w:r>
        <w:rPr>
          <w:lang w:eastAsia="en-AU"/>
        </w:rPr>
        <w:t>evaluat</w:t>
      </w:r>
      <w:r w:rsidR="00FC702B">
        <w:rPr>
          <w:lang w:eastAsia="en-AU"/>
        </w:rPr>
        <w:t>ion of the sponsor’s responses.</w:t>
      </w:r>
    </w:p>
    <w:p w:rsidR="00FC702B" w:rsidRPr="00C31998" w:rsidRDefault="006762A5" w:rsidP="006762A5">
      <w:pPr>
        <w:pStyle w:val="TableTitle"/>
      </w:pPr>
      <w:r>
        <w:t xml:space="preserve">Table 12: </w:t>
      </w:r>
      <w:r w:rsidR="00FC702B" w:rsidRPr="00C31998">
        <w:t xml:space="preserve">Reconciliation of issues outlined in the RMP </w:t>
      </w:r>
      <w:r w:rsidR="00FC702B">
        <w:t>Evaluation Report</w:t>
      </w:r>
    </w:p>
    <w:tbl>
      <w:tblPr>
        <w:tblStyle w:val="TableTGAblue"/>
        <w:tblW w:w="4981" w:type="pct"/>
        <w:jc w:val="center"/>
        <w:tblInd w:w="760" w:type="dxa"/>
        <w:tblLayout w:type="fixed"/>
        <w:tblLook w:val="04A0" w:firstRow="1" w:lastRow="0" w:firstColumn="1" w:lastColumn="0" w:noHBand="0" w:noVBand="1"/>
      </w:tblPr>
      <w:tblGrid>
        <w:gridCol w:w="3116"/>
        <w:gridCol w:w="3344"/>
        <w:gridCol w:w="2227"/>
      </w:tblGrid>
      <w:tr w:rsidR="00FC702B" w:rsidRPr="00107999" w:rsidTr="00531332">
        <w:trPr>
          <w:cnfStyle w:val="100000000000" w:firstRow="1" w:lastRow="0" w:firstColumn="0" w:lastColumn="0" w:oddVBand="0" w:evenVBand="0" w:oddHBand="0" w:evenHBand="0" w:firstRowFirstColumn="0" w:firstRowLastColumn="0" w:lastRowFirstColumn="0" w:lastRowLastColumn="0"/>
          <w:jc w:val="center"/>
        </w:trPr>
        <w:tc>
          <w:tcPr>
            <w:tcW w:w="1793" w:type="pct"/>
            <w:noWrap/>
          </w:tcPr>
          <w:p w:rsidR="00FC702B" w:rsidRPr="00CD76EC" w:rsidRDefault="00FC702B" w:rsidP="00CD76EC">
            <w:pPr>
              <w:rPr>
                <w:sz w:val="20"/>
                <w:szCs w:val="20"/>
              </w:rPr>
            </w:pPr>
            <w:r w:rsidRPr="00CD76EC">
              <w:rPr>
                <w:sz w:val="20"/>
                <w:szCs w:val="20"/>
              </w:rPr>
              <w:t>Recommendation in RMP evaluation report</w:t>
            </w:r>
          </w:p>
        </w:tc>
        <w:tc>
          <w:tcPr>
            <w:tcW w:w="1925" w:type="pct"/>
            <w:noWrap/>
          </w:tcPr>
          <w:p w:rsidR="00FC702B" w:rsidRPr="00CD76EC" w:rsidRDefault="00FC702B" w:rsidP="00CD76EC">
            <w:pPr>
              <w:rPr>
                <w:b w:val="0"/>
                <w:sz w:val="20"/>
                <w:szCs w:val="20"/>
              </w:rPr>
            </w:pPr>
            <w:r w:rsidRPr="00CD76EC">
              <w:rPr>
                <w:sz w:val="20"/>
                <w:szCs w:val="20"/>
              </w:rPr>
              <w:t>Sponsor’s response</w:t>
            </w:r>
          </w:p>
          <w:p w:rsidR="00FC702B" w:rsidRPr="00CD76EC" w:rsidRDefault="00FC702B" w:rsidP="00CD76EC">
            <w:pPr>
              <w:rPr>
                <w:sz w:val="20"/>
                <w:szCs w:val="20"/>
              </w:rPr>
            </w:pPr>
          </w:p>
        </w:tc>
        <w:tc>
          <w:tcPr>
            <w:tcW w:w="1283" w:type="pct"/>
            <w:noWrap/>
          </w:tcPr>
          <w:p w:rsidR="00FC702B" w:rsidRPr="00CD76EC" w:rsidRDefault="00FC702B" w:rsidP="00CD76EC">
            <w:pPr>
              <w:rPr>
                <w:sz w:val="20"/>
                <w:szCs w:val="20"/>
              </w:rPr>
            </w:pPr>
            <w:r w:rsidRPr="00CD76EC">
              <w:rPr>
                <w:sz w:val="20"/>
                <w:szCs w:val="20"/>
              </w:rPr>
              <w:t>RMP evaluator’s comment</w:t>
            </w:r>
          </w:p>
        </w:tc>
      </w:tr>
      <w:tr w:rsidR="00FC702B" w:rsidTr="00531332">
        <w:trPr>
          <w:trHeight w:val="1673"/>
          <w:jc w:val="center"/>
        </w:trPr>
        <w:tc>
          <w:tcPr>
            <w:tcW w:w="17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6762A5">
            <w:pPr>
              <w:rPr>
                <w:sz w:val="20"/>
                <w:szCs w:val="20"/>
              </w:rPr>
            </w:pPr>
            <w:r w:rsidRPr="00CD76EC">
              <w:rPr>
                <w:rFonts w:cstheme="minorHAnsi"/>
                <w:sz w:val="20"/>
                <w:szCs w:val="20"/>
              </w:rPr>
              <w:t>The sponsor should apply appropriate document control (</w:t>
            </w:r>
            <w:r w:rsidR="006762A5">
              <w:rPr>
                <w:rFonts w:cstheme="minorHAnsi"/>
                <w:sz w:val="20"/>
                <w:szCs w:val="20"/>
              </w:rPr>
              <w:t>such as</w:t>
            </w:r>
            <w:r w:rsidRPr="00CD76EC">
              <w:rPr>
                <w:rFonts w:cstheme="minorHAnsi"/>
                <w:sz w:val="20"/>
                <w:szCs w:val="20"/>
              </w:rPr>
              <w:t xml:space="preserve"> version and date) to the ASA.</w:t>
            </w:r>
          </w:p>
        </w:tc>
        <w:tc>
          <w:tcPr>
            <w:tcW w:w="19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CD76EC">
            <w:pPr>
              <w:rPr>
                <w:rFonts w:eastAsia="TimesNewRoman" w:cs="TimesNewRoman"/>
                <w:sz w:val="20"/>
                <w:szCs w:val="20"/>
              </w:rPr>
            </w:pPr>
            <w:r w:rsidRPr="00CD76EC">
              <w:rPr>
                <w:sz w:val="20"/>
                <w:szCs w:val="20"/>
              </w:rPr>
              <w:t>The sponsor states</w:t>
            </w:r>
            <w:r w:rsidRPr="00CD76EC">
              <w:rPr>
                <w:i/>
                <w:sz w:val="20"/>
                <w:szCs w:val="20"/>
              </w:rPr>
              <w:t xml:space="preserve">: </w:t>
            </w:r>
            <w:r w:rsidR="00EF064E">
              <w:rPr>
                <w:i/>
                <w:sz w:val="20"/>
                <w:szCs w:val="20"/>
              </w:rPr>
              <w:t>‘</w:t>
            </w:r>
            <w:r w:rsidRPr="00CD76EC">
              <w:rPr>
                <w:i/>
                <w:sz w:val="20"/>
                <w:szCs w:val="20"/>
              </w:rPr>
              <w:t>Gilead has amended the ASA with version and date</w:t>
            </w:r>
            <w:r w:rsidR="00EF064E">
              <w:rPr>
                <w:i/>
                <w:sz w:val="20"/>
                <w:szCs w:val="20"/>
              </w:rPr>
              <w:t>’</w:t>
            </w:r>
            <w:r w:rsidRPr="00CD76EC">
              <w:rPr>
                <w:i/>
                <w:sz w:val="20"/>
                <w:szCs w:val="20"/>
              </w:rPr>
              <w:t>.</w:t>
            </w:r>
          </w:p>
        </w:tc>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CD76EC">
            <w:pPr>
              <w:rPr>
                <w:sz w:val="20"/>
                <w:szCs w:val="20"/>
              </w:rPr>
            </w:pPr>
            <w:r w:rsidRPr="00CD76EC">
              <w:rPr>
                <w:rFonts w:cs="TimesNewRoman"/>
                <w:sz w:val="20"/>
                <w:szCs w:val="20"/>
              </w:rPr>
              <w:t>This is acceptable</w:t>
            </w:r>
            <w:r w:rsidRPr="00CD76EC">
              <w:rPr>
                <w:rFonts w:eastAsia="TimesNewRoman"/>
                <w:sz w:val="20"/>
                <w:szCs w:val="20"/>
              </w:rPr>
              <w:t xml:space="preserve">. </w:t>
            </w:r>
          </w:p>
        </w:tc>
      </w:tr>
      <w:tr w:rsidR="00FC702B" w:rsidRPr="00926FE5" w:rsidTr="00531332">
        <w:trPr>
          <w:trHeight w:val="1084"/>
          <w:jc w:val="center"/>
        </w:trPr>
        <w:tc>
          <w:tcPr>
            <w:tcW w:w="17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6762A5">
            <w:pPr>
              <w:rPr>
                <w:sz w:val="20"/>
                <w:szCs w:val="20"/>
              </w:rPr>
            </w:pPr>
            <w:r w:rsidRPr="00CD76EC">
              <w:rPr>
                <w:color w:val="000000"/>
                <w:sz w:val="20"/>
                <w:szCs w:val="20"/>
              </w:rPr>
              <w:lastRenderedPageBreak/>
              <w:t>Safety considerations may be raised by the nonclinical and clinical evaluators.</w:t>
            </w:r>
            <w:r w:rsidR="00347444">
              <w:rPr>
                <w:color w:val="000000"/>
                <w:sz w:val="20"/>
                <w:szCs w:val="20"/>
              </w:rPr>
              <w:t xml:space="preserve"> </w:t>
            </w:r>
            <w:r w:rsidRPr="00CD76EC">
              <w:rPr>
                <w:color w:val="000000"/>
                <w:sz w:val="20"/>
                <w:szCs w:val="20"/>
              </w:rPr>
              <w:t xml:space="preserve">It is important to ensure that the information provided in response to these </w:t>
            </w:r>
            <w:r w:rsidR="003F7A2A" w:rsidRPr="00CD76EC">
              <w:rPr>
                <w:color w:val="000000"/>
                <w:sz w:val="20"/>
                <w:szCs w:val="20"/>
              </w:rPr>
              <w:t>includes</w:t>
            </w:r>
            <w:r w:rsidRPr="00CD76EC">
              <w:rPr>
                <w:color w:val="000000"/>
                <w:sz w:val="20"/>
                <w:szCs w:val="20"/>
              </w:rPr>
              <w:t xml:space="preserve"> a consideration of the relevance for the Risk Management Plan, and any specific information needed to address this issue in the RMP.</w:t>
            </w:r>
            <w:r w:rsidR="00347444">
              <w:rPr>
                <w:sz w:val="20"/>
                <w:szCs w:val="20"/>
              </w:rPr>
              <w:t xml:space="preserve"> </w:t>
            </w:r>
            <w:r w:rsidRPr="00CD76EC">
              <w:rPr>
                <w:bCs/>
                <w:color w:val="000000"/>
                <w:sz w:val="20"/>
                <w:szCs w:val="20"/>
              </w:rPr>
              <w:t xml:space="preserve">For any safety considerations so raised, </w:t>
            </w:r>
            <w:r w:rsidRPr="00CD76EC">
              <w:rPr>
                <w:sz w:val="20"/>
                <w:szCs w:val="20"/>
              </w:rPr>
              <w:t>the sponsor should</w:t>
            </w:r>
            <w:r w:rsidRPr="00CD76EC">
              <w:rPr>
                <w:bCs/>
                <w:color w:val="000000"/>
                <w:sz w:val="20"/>
                <w:szCs w:val="20"/>
              </w:rPr>
              <w:t xml:space="preserve"> provide information that is relevant and necessary to address the issue in the RMP.</w:t>
            </w:r>
          </w:p>
        </w:tc>
        <w:tc>
          <w:tcPr>
            <w:tcW w:w="192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6762A5">
            <w:pPr>
              <w:rPr>
                <w:rFonts w:cs="Calibri"/>
                <w:sz w:val="20"/>
                <w:szCs w:val="20"/>
              </w:rPr>
            </w:pPr>
            <w:r w:rsidRPr="00CD76EC">
              <w:rPr>
                <w:sz w:val="20"/>
                <w:szCs w:val="20"/>
              </w:rPr>
              <w:t xml:space="preserve">The sponsor states: </w:t>
            </w:r>
            <w:r w:rsidR="006762A5">
              <w:rPr>
                <w:sz w:val="20"/>
                <w:szCs w:val="20"/>
              </w:rPr>
              <w:t>‘</w:t>
            </w:r>
            <w:r w:rsidRPr="00CD76EC">
              <w:rPr>
                <w:i/>
                <w:sz w:val="20"/>
                <w:szCs w:val="20"/>
              </w:rPr>
              <w:t>Gilead confirms that no safety considerations were raised by the nonclinical and clinical evaluators</w:t>
            </w:r>
            <w:r w:rsidR="006762A5">
              <w:rPr>
                <w:i/>
                <w:sz w:val="20"/>
                <w:szCs w:val="20"/>
              </w:rPr>
              <w:t>’</w:t>
            </w:r>
            <w:r w:rsidRPr="00CD76EC">
              <w:rPr>
                <w:i/>
                <w:sz w:val="20"/>
                <w:szCs w:val="20"/>
              </w:rPr>
              <w:t>.</w:t>
            </w:r>
          </w:p>
        </w:tc>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CD76EC">
            <w:pPr>
              <w:rPr>
                <w:sz w:val="20"/>
                <w:szCs w:val="20"/>
              </w:rPr>
            </w:pPr>
            <w:r w:rsidRPr="00CD76EC">
              <w:rPr>
                <w:rFonts w:cs="TimesNewRoman"/>
                <w:sz w:val="20"/>
                <w:szCs w:val="20"/>
              </w:rPr>
              <w:t>This is acceptable</w:t>
            </w:r>
            <w:r w:rsidRPr="00CD76EC">
              <w:rPr>
                <w:rFonts w:eastAsia="TimesNewRoman"/>
                <w:sz w:val="20"/>
                <w:szCs w:val="20"/>
              </w:rPr>
              <w:t xml:space="preserve">, although it would be expected that </w:t>
            </w:r>
            <w:r w:rsidRPr="00CD76EC">
              <w:rPr>
                <w:sz w:val="20"/>
                <w:szCs w:val="20"/>
              </w:rPr>
              <w:t>safety data from Study GS-US-311-1089 will be included in the EU-RMP when this document is next updated.</w:t>
            </w:r>
          </w:p>
        </w:tc>
      </w:tr>
      <w:tr w:rsidR="00FC702B" w:rsidTr="00531332">
        <w:trPr>
          <w:trHeight w:val="1153"/>
          <w:jc w:val="center"/>
        </w:trPr>
        <w:tc>
          <w:tcPr>
            <w:tcW w:w="17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CD76EC">
            <w:pPr>
              <w:rPr>
                <w:sz w:val="20"/>
                <w:szCs w:val="20"/>
              </w:rPr>
            </w:pPr>
            <w:r w:rsidRPr="00CD76EC">
              <w:rPr>
                <w:sz w:val="20"/>
                <w:szCs w:val="20"/>
              </w:rPr>
              <w:t xml:space="preserve">The sponsor should systematically identify and justify </w:t>
            </w:r>
            <w:r w:rsidRPr="00CD76EC">
              <w:rPr>
                <w:iCs/>
                <w:sz w:val="20"/>
                <w:szCs w:val="20"/>
              </w:rPr>
              <w:t xml:space="preserve">any differences between the summaries </w:t>
            </w:r>
            <w:r w:rsidRPr="00CD76EC">
              <w:rPr>
                <w:rFonts w:cstheme="minorHAnsi"/>
                <w:sz w:val="20"/>
                <w:szCs w:val="20"/>
              </w:rPr>
              <w:t xml:space="preserve">of the safety concerns and missing information for the </w:t>
            </w:r>
            <w:r w:rsidRPr="00CD76EC">
              <w:rPr>
                <w:rFonts w:eastAsia="TimesNewRoman" w:cs="TimesNewRoman"/>
                <w:sz w:val="20"/>
                <w:szCs w:val="20"/>
              </w:rPr>
              <w:t xml:space="preserve">similar products, </w:t>
            </w:r>
            <w:r w:rsidR="005A6D01" w:rsidRPr="00CD76EC">
              <w:rPr>
                <w:rFonts w:eastAsia="TimesNewRoman" w:cs="TimesNewRoman"/>
                <w:sz w:val="20"/>
                <w:szCs w:val="20"/>
              </w:rPr>
              <w:t>Descovy</w:t>
            </w:r>
            <w:r w:rsidRPr="00CD76EC">
              <w:rPr>
                <w:rFonts w:eastAsia="TimesNewRoman" w:cs="TimesNewRoman"/>
                <w:sz w:val="20"/>
                <w:szCs w:val="20"/>
              </w:rPr>
              <w:t xml:space="preserve"> and </w:t>
            </w:r>
            <w:r w:rsidR="00AA3643">
              <w:rPr>
                <w:rFonts w:eastAsia="TimesNewRoman" w:cs="TimesNewRoman"/>
                <w:sz w:val="20"/>
                <w:szCs w:val="20"/>
              </w:rPr>
              <w:t>Genvoya</w:t>
            </w:r>
            <w:r w:rsidRPr="00CD76EC">
              <w:rPr>
                <w:rFonts w:eastAsia="TimesNewRoman" w:cs="TimesNewRoman"/>
                <w:sz w:val="20"/>
                <w:szCs w:val="20"/>
              </w:rPr>
              <w:t>.</w:t>
            </w:r>
            <w:r w:rsidR="00347444">
              <w:rPr>
                <w:rFonts w:eastAsia="TimesNewRoman" w:cs="TimesNewRoman"/>
                <w:sz w:val="20"/>
                <w:szCs w:val="20"/>
              </w:rPr>
              <w:t xml:space="preserve"> </w:t>
            </w:r>
            <w:r w:rsidRPr="00CD76EC">
              <w:rPr>
                <w:sz w:val="20"/>
                <w:szCs w:val="20"/>
              </w:rPr>
              <w:t xml:space="preserve">Any subsequent changes to the summary of </w:t>
            </w:r>
            <w:r w:rsidRPr="00CD76EC">
              <w:rPr>
                <w:rFonts w:cstheme="minorHAnsi"/>
                <w:sz w:val="20"/>
                <w:szCs w:val="20"/>
              </w:rPr>
              <w:t xml:space="preserve">the safety concerns and missing information for </w:t>
            </w:r>
            <w:r w:rsidR="005A6D01" w:rsidRPr="00CD76EC">
              <w:rPr>
                <w:rFonts w:cstheme="minorHAnsi"/>
                <w:sz w:val="20"/>
                <w:szCs w:val="20"/>
              </w:rPr>
              <w:t>Descovy</w:t>
            </w:r>
            <w:r w:rsidRPr="00CD76EC">
              <w:rPr>
                <w:rFonts w:cstheme="minorHAnsi"/>
                <w:sz w:val="20"/>
                <w:szCs w:val="20"/>
              </w:rPr>
              <w:t xml:space="preserve"> </w:t>
            </w:r>
            <w:r w:rsidRPr="00CD76EC">
              <w:rPr>
                <w:sz w:val="20"/>
                <w:szCs w:val="20"/>
              </w:rPr>
              <w:t>as specified in the ASA must be entirely captured in a revised ASA to be provided to the TGA for review.</w:t>
            </w:r>
            <w:r w:rsidR="00347444">
              <w:rPr>
                <w:sz w:val="20"/>
                <w:szCs w:val="20"/>
              </w:rPr>
              <w:t xml:space="preserve"> </w:t>
            </w:r>
            <w:r w:rsidRPr="00CD76EC">
              <w:rPr>
                <w:sz w:val="20"/>
                <w:szCs w:val="20"/>
              </w:rPr>
              <w:t>In addition consideration must be given to proposing appropriate pharmacovigilance and risk minimisation activities for any new ongoing safety concerns, to be reflected accordingly in the revised ASA.</w:t>
            </w:r>
          </w:p>
        </w:tc>
        <w:tc>
          <w:tcPr>
            <w:tcW w:w="1925" w:type="pct"/>
            <w:tcBorders>
              <w:top w:val="single" w:sz="8" w:space="0" w:color="000000" w:themeColor="text1"/>
              <w:left w:val="single" w:sz="8" w:space="0" w:color="000000" w:themeColor="text1"/>
              <w:bottom w:val="single" w:sz="4" w:space="0" w:color="auto"/>
              <w:right w:val="single" w:sz="8" w:space="0" w:color="000000" w:themeColor="text1"/>
            </w:tcBorders>
            <w:noWrap/>
          </w:tcPr>
          <w:p w:rsidR="00FC702B" w:rsidRPr="00CD76EC" w:rsidRDefault="00FC702B" w:rsidP="00CD76EC">
            <w:pPr>
              <w:rPr>
                <w:rFonts w:eastAsiaTheme="minorHAnsi"/>
                <w:sz w:val="20"/>
                <w:szCs w:val="20"/>
              </w:rPr>
            </w:pPr>
            <w:r w:rsidRPr="00CD76EC">
              <w:rPr>
                <w:sz w:val="20"/>
                <w:szCs w:val="20"/>
              </w:rPr>
              <w:t xml:space="preserve">The sponsor has </w:t>
            </w:r>
            <w:r w:rsidRPr="00CD76EC">
              <w:rPr>
                <w:rFonts w:eastAsiaTheme="minorHAnsi"/>
                <w:sz w:val="20"/>
                <w:szCs w:val="20"/>
              </w:rPr>
              <w:t xml:space="preserve">prepared a summary of the differences between the safety concerns and missing information for these similar products and concluded that no changes to the summary of the safety concerns or missing information are required, </w:t>
            </w:r>
            <w:r w:rsidRPr="00CD76EC">
              <w:rPr>
                <w:sz w:val="20"/>
                <w:szCs w:val="20"/>
              </w:rPr>
              <w:t>apart from the addition of safety in patients with severe renal impairment as missing information.</w:t>
            </w:r>
          </w:p>
        </w:tc>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CD76EC">
            <w:pPr>
              <w:rPr>
                <w:sz w:val="20"/>
                <w:szCs w:val="20"/>
              </w:rPr>
            </w:pPr>
            <w:r w:rsidRPr="00CD76EC">
              <w:rPr>
                <w:rFonts w:cs="TimesNewRoman"/>
                <w:sz w:val="20"/>
                <w:szCs w:val="20"/>
              </w:rPr>
              <w:t>This is acceptable</w:t>
            </w:r>
            <w:r w:rsidRPr="00CD76EC">
              <w:rPr>
                <w:rFonts w:eastAsia="TimesNewRoman"/>
                <w:sz w:val="20"/>
                <w:szCs w:val="20"/>
              </w:rPr>
              <w:t xml:space="preserve">. </w:t>
            </w:r>
          </w:p>
        </w:tc>
      </w:tr>
      <w:tr w:rsidR="00FC702B" w:rsidTr="00531332">
        <w:trPr>
          <w:trHeight w:val="869"/>
          <w:jc w:val="center"/>
        </w:trPr>
        <w:tc>
          <w:tcPr>
            <w:tcW w:w="17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CD76EC">
            <w:pPr>
              <w:rPr>
                <w:sz w:val="20"/>
                <w:szCs w:val="20"/>
              </w:rPr>
            </w:pPr>
            <w:r w:rsidRPr="00CD76EC">
              <w:rPr>
                <w:sz w:val="20"/>
                <w:szCs w:val="20"/>
              </w:rPr>
              <w:t xml:space="preserve">The sponsor should provide an assurance that the draft protocol for the </w:t>
            </w:r>
            <w:r w:rsidRPr="00CD76EC">
              <w:rPr>
                <w:rFonts w:eastAsiaTheme="minorHAnsi" w:cs="TimesNewRomanPSMT"/>
                <w:sz w:val="20"/>
                <w:szCs w:val="20"/>
              </w:rPr>
              <w:t xml:space="preserve">planned clinical study of E/C/F/TAF in ARV treatment-experienced, HIV-1 infected patients from 6 to &lt; 18 years of age (GS-US-292-0113) </w:t>
            </w:r>
            <w:r w:rsidRPr="00CD76EC">
              <w:rPr>
                <w:sz w:val="20"/>
                <w:szCs w:val="20"/>
              </w:rPr>
              <w:t>will be attached to the ASA once it becomes available.</w:t>
            </w:r>
          </w:p>
        </w:tc>
        <w:tc>
          <w:tcPr>
            <w:tcW w:w="1925" w:type="pct"/>
            <w:tcBorders>
              <w:top w:val="single" w:sz="4" w:space="0" w:color="auto"/>
              <w:left w:val="single" w:sz="8" w:space="0" w:color="000000" w:themeColor="text1"/>
              <w:bottom w:val="single" w:sz="4" w:space="0" w:color="auto"/>
              <w:right w:val="single" w:sz="8" w:space="0" w:color="000000" w:themeColor="text1"/>
            </w:tcBorders>
            <w:noWrap/>
          </w:tcPr>
          <w:p w:rsidR="00FC702B" w:rsidRPr="00CD76EC" w:rsidRDefault="00FC702B" w:rsidP="006762A5">
            <w:pPr>
              <w:rPr>
                <w:sz w:val="20"/>
                <w:szCs w:val="20"/>
              </w:rPr>
            </w:pPr>
            <w:r w:rsidRPr="00CD76EC">
              <w:rPr>
                <w:sz w:val="20"/>
                <w:szCs w:val="20"/>
              </w:rPr>
              <w:t>The sponso</w:t>
            </w:r>
            <w:r w:rsidR="006762A5">
              <w:rPr>
                <w:sz w:val="20"/>
                <w:szCs w:val="20"/>
              </w:rPr>
              <w:t xml:space="preserve">r states </w:t>
            </w:r>
            <w:r w:rsidRPr="00CD76EC">
              <w:rPr>
                <w:i/>
                <w:sz w:val="20"/>
                <w:szCs w:val="20"/>
              </w:rPr>
              <w:t>Study</w:t>
            </w:r>
            <w:r w:rsidRPr="00CD76EC">
              <w:rPr>
                <w:i/>
                <w:spacing w:val="-5"/>
                <w:sz w:val="20"/>
                <w:szCs w:val="20"/>
              </w:rPr>
              <w:t xml:space="preserve"> </w:t>
            </w:r>
            <w:r w:rsidRPr="00CD76EC">
              <w:rPr>
                <w:i/>
                <w:spacing w:val="-1"/>
                <w:sz w:val="20"/>
                <w:szCs w:val="20"/>
              </w:rPr>
              <w:t>GS-US-292-0113</w:t>
            </w:r>
            <w:r w:rsidRPr="00CD76EC">
              <w:rPr>
                <w:i/>
                <w:spacing w:val="2"/>
                <w:sz w:val="20"/>
                <w:szCs w:val="20"/>
              </w:rPr>
              <w:t xml:space="preserve"> </w:t>
            </w:r>
            <w:r w:rsidRPr="00CD76EC">
              <w:rPr>
                <w:i/>
                <w:spacing w:val="-1"/>
                <w:sz w:val="20"/>
                <w:szCs w:val="20"/>
              </w:rPr>
              <w:t>was</w:t>
            </w:r>
            <w:r w:rsidRPr="00CD76EC">
              <w:rPr>
                <w:i/>
                <w:sz w:val="20"/>
                <w:szCs w:val="20"/>
              </w:rPr>
              <w:t xml:space="preserve"> </w:t>
            </w:r>
            <w:r w:rsidRPr="00CD76EC">
              <w:rPr>
                <w:i/>
                <w:spacing w:val="-1"/>
                <w:sz w:val="20"/>
                <w:szCs w:val="20"/>
              </w:rPr>
              <w:t>planned</w:t>
            </w:r>
            <w:r w:rsidRPr="00CD76EC">
              <w:rPr>
                <w:i/>
                <w:sz w:val="20"/>
                <w:szCs w:val="20"/>
              </w:rPr>
              <w:t xml:space="preserve"> to study</w:t>
            </w:r>
            <w:r w:rsidRPr="00CD76EC">
              <w:rPr>
                <w:i/>
                <w:spacing w:val="-5"/>
                <w:sz w:val="20"/>
                <w:szCs w:val="20"/>
              </w:rPr>
              <w:t xml:space="preserve"> </w:t>
            </w:r>
            <w:r w:rsidRPr="00CD76EC">
              <w:rPr>
                <w:i/>
                <w:spacing w:val="-1"/>
                <w:sz w:val="20"/>
                <w:szCs w:val="20"/>
              </w:rPr>
              <w:t>E/C/F/TAF</w:t>
            </w:r>
            <w:r w:rsidRPr="00CD76EC">
              <w:rPr>
                <w:i/>
                <w:spacing w:val="-2"/>
                <w:sz w:val="20"/>
                <w:szCs w:val="20"/>
              </w:rPr>
              <w:t xml:space="preserve"> </w:t>
            </w:r>
            <w:r w:rsidRPr="00CD76EC">
              <w:rPr>
                <w:i/>
                <w:sz w:val="20"/>
                <w:szCs w:val="20"/>
              </w:rPr>
              <w:t xml:space="preserve">in </w:t>
            </w:r>
            <w:r w:rsidRPr="00CD76EC">
              <w:rPr>
                <w:i/>
                <w:spacing w:val="-1"/>
                <w:sz w:val="20"/>
                <w:szCs w:val="20"/>
              </w:rPr>
              <w:t>ARV treatment-experienced, HIV-1</w:t>
            </w:r>
            <w:r w:rsidRPr="00CD76EC">
              <w:rPr>
                <w:i/>
                <w:sz w:val="20"/>
                <w:szCs w:val="20"/>
              </w:rPr>
              <w:t xml:space="preserve"> </w:t>
            </w:r>
            <w:r w:rsidRPr="00CD76EC">
              <w:rPr>
                <w:i/>
                <w:spacing w:val="-1"/>
                <w:sz w:val="20"/>
                <w:szCs w:val="20"/>
              </w:rPr>
              <w:t>infected</w:t>
            </w:r>
            <w:r w:rsidRPr="00CD76EC">
              <w:rPr>
                <w:i/>
                <w:sz w:val="20"/>
                <w:szCs w:val="20"/>
              </w:rPr>
              <w:t xml:space="preserve"> </w:t>
            </w:r>
            <w:r w:rsidRPr="00CD76EC">
              <w:rPr>
                <w:i/>
                <w:spacing w:val="-1"/>
                <w:sz w:val="20"/>
                <w:szCs w:val="20"/>
              </w:rPr>
              <w:t>patients</w:t>
            </w:r>
            <w:r w:rsidRPr="00CD76EC">
              <w:rPr>
                <w:i/>
                <w:sz w:val="20"/>
                <w:szCs w:val="20"/>
              </w:rPr>
              <w:t xml:space="preserve"> from 6 to &lt;</w:t>
            </w:r>
            <w:r w:rsidRPr="00CD76EC">
              <w:rPr>
                <w:i/>
                <w:spacing w:val="-1"/>
                <w:sz w:val="20"/>
                <w:szCs w:val="20"/>
              </w:rPr>
              <w:t xml:space="preserve"> </w:t>
            </w:r>
            <w:r w:rsidRPr="00CD76EC">
              <w:rPr>
                <w:i/>
                <w:sz w:val="20"/>
                <w:szCs w:val="20"/>
              </w:rPr>
              <w:t>18</w:t>
            </w:r>
            <w:r w:rsidRPr="00CD76EC">
              <w:rPr>
                <w:i/>
                <w:spacing w:val="2"/>
                <w:sz w:val="20"/>
                <w:szCs w:val="20"/>
              </w:rPr>
              <w:t xml:space="preserve"> </w:t>
            </w:r>
            <w:r w:rsidRPr="00CD76EC">
              <w:rPr>
                <w:i/>
                <w:spacing w:val="-2"/>
                <w:sz w:val="20"/>
                <w:szCs w:val="20"/>
              </w:rPr>
              <w:t>years</w:t>
            </w:r>
            <w:r w:rsidRPr="00CD76EC">
              <w:rPr>
                <w:i/>
                <w:sz w:val="20"/>
                <w:szCs w:val="20"/>
              </w:rPr>
              <w:t xml:space="preserve"> </w:t>
            </w:r>
            <w:r w:rsidRPr="00CD76EC">
              <w:rPr>
                <w:i/>
                <w:spacing w:val="1"/>
                <w:sz w:val="20"/>
                <w:szCs w:val="20"/>
              </w:rPr>
              <w:t>of</w:t>
            </w:r>
            <w:r w:rsidRPr="00CD76EC">
              <w:rPr>
                <w:i/>
                <w:spacing w:val="-1"/>
                <w:sz w:val="20"/>
                <w:szCs w:val="20"/>
              </w:rPr>
              <w:t xml:space="preserve"> </w:t>
            </w:r>
            <w:r w:rsidRPr="00CD76EC">
              <w:rPr>
                <w:i/>
                <w:sz w:val="20"/>
                <w:szCs w:val="20"/>
              </w:rPr>
              <w:t>age. Virologically</w:t>
            </w:r>
            <w:r w:rsidRPr="00CD76EC">
              <w:rPr>
                <w:i/>
                <w:spacing w:val="-5"/>
                <w:sz w:val="20"/>
                <w:szCs w:val="20"/>
              </w:rPr>
              <w:t xml:space="preserve"> </w:t>
            </w:r>
            <w:r w:rsidRPr="00CD76EC">
              <w:rPr>
                <w:i/>
                <w:spacing w:val="-1"/>
                <w:sz w:val="20"/>
                <w:szCs w:val="20"/>
              </w:rPr>
              <w:t>suppressed,</w:t>
            </w:r>
            <w:r w:rsidRPr="00CD76EC">
              <w:rPr>
                <w:i/>
                <w:sz w:val="20"/>
                <w:szCs w:val="20"/>
              </w:rPr>
              <w:t xml:space="preserve"> </w:t>
            </w:r>
            <w:r w:rsidRPr="00CD76EC">
              <w:rPr>
                <w:i/>
                <w:spacing w:val="-1"/>
                <w:sz w:val="20"/>
                <w:szCs w:val="20"/>
              </w:rPr>
              <w:t>HIV-infected</w:t>
            </w:r>
            <w:r w:rsidRPr="00CD76EC">
              <w:rPr>
                <w:i/>
                <w:spacing w:val="60"/>
                <w:sz w:val="20"/>
                <w:szCs w:val="20"/>
              </w:rPr>
              <w:t xml:space="preserve"> </w:t>
            </w:r>
            <w:r w:rsidRPr="00CD76EC">
              <w:rPr>
                <w:i/>
                <w:spacing w:val="-1"/>
                <w:sz w:val="20"/>
                <w:szCs w:val="20"/>
              </w:rPr>
              <w:t>children</w:t>
            </w:r>
            <w:r w:rsidRPr="00CD76EC">
              <w:rPr>
                <w:i/>
                <w:sz w:val="20"/>
                <w:szCs w:val="20"/>
              </w:rPr>
              <w:t xml:space="preserve"> 6 to &lt;</w:t>
            </w:r>
            <w:r w:rsidRPr="00CD76EC">
              <w:rPr>
                <w:i/>
                <w:spacing w:val="-1"/>
                <w:sz w:val="20"/>
                <w:szCs w:val="20"/>
              </w:rPr>
              <w:t xml:space="preserve"> </w:t>
            </w:r>
            <w:r w:rsidRPr="00CD76EC">
              <w:rPr>
                <w:i/>
                <w:sz w:val="20"/>
                <w:szCs w:val="20"/>
              </w:rPr>
              <w:t>12</w:t>
            </w:r>
            <w:r w:rsidRPr="00CD76EC">
              <w:rPr>
                <w:i/>
                <w:spacing w:val="4"/>
                <w:sz w:val="20"/>
                <w:szCs w:val="20"/>
              </w:rPr>
              <w:t xml:space="preserve"> </w:t>
            </w:r>
            <w:r w:rsidRPr="00CD76EC">
              <w:rPr>
                <w:i/>
                <w:spacing w:val="-2"/>
                <w:sz w:val="20"/>
                <w:szCs w:val="20"/>
              </w:rPr>
              <w:t>years</w:t>
            </w:r>
            <w:r w:rsidRPr="00CD76EC">
              <w:rPr>
                <w:i/>
                <w:sz w:val="20"/>
                <w:szCs w:val="20"/>
              </w:rPr>
              <w:t xml:space="preserve"> </w:t>
            </w:r>
            <w:r w:rsidRPr="00CD76EC">
              <w:rPr>
                <w:i/>
                <w:spacing w:val="1"/>
                <w:sz w:val="20"/>
                <w:szCs w:val="20"/>
              </w:rPr>
              <w:t>of</w:t>
            </w:r>
            <w:r w:rsidRPr="00CD76EC">
              <w:rPr>
                <w:i/>
                <w:spacing w:val="-1"/>
                <w:sz w:val="20"/>
                <w:szCs w:val="20"/>
              </w:rPr>
              <w:t xml:space="preserve"> age </w:t>
            </w:r>
            <w:r w:rsidRPr="00CD76EC">
              <w:rPr>
                <w:i/>
                <w:sz w:val="20"/>
                <w:szCs w:val="20"/>
              </w:rPr>
              <w:t>are</w:t>
            </w:r>
            <w:r w:rsidRPr="00CD76EC">
              <w:rPr>
                <w:i/>
                <w:spacing w:val="-1"/>
                <w:sz w:val="20"/>
                <w:szCs w:val="20"/>
              </w:rPr>
              <w:t xml:space="preserve"> </w:t>
            </w:r>
            <w:r w:rsidRPr="00CD76EC">
              <w:rPr>
                <w:i/>
                <w:sz w:val="20"/>
                <w:szCs w:val="20"/>
              </w:rPr>
              <w:t>now</w:t>
            </w:r>
            <w:r w:rsidRPr="00CD76EC">
              <w:rPr>
                <w:i/>
                <w:spacing w:val="-1"/>
                <w:sz w:val="20"/>
                <w:szCs w:val="20"/>
              </w:rPr>
              <w:t xml:space="preserve"> </w:t>
            </w:r>
            <w:r w:rsidRPr="00CD76EC">
              <w:rPr>
                <w:i/>
                <w:sz w:val="20"/>
                <w:szCs w:val="20"/>
              </w:rPr>
              <w:t>being</w:t>
            </w:r>
            <w:r w:rsidRPr="00CD76EC">
              <w:rPr>
                <w:i/>
                <w:spacing w:val="-3"/>
                <w:sz w:val="20"/>
                <w:szCs w:val="20"/>
              </w:rPr>
              <w:t xml:space="preserve"> </w:t>
            </w:r>
            <w:r w:rsidRPr="00CD76EC">
              <w:rPr>
                <w:i/>
                <w:spacing w:val="-1"/>
                <w:sz w:val="20"/>
                <w:szCs w:val="20"/>
              </w:rPr>
              <w:t>enrolled</w:t>
            </w:r>
            <w:r w:rsidRPr="00CD76EC">
              <w:rPr>
                <w:i/>
                <w:sz w:val="20"/>
                <w:szCs w:val="20"/>
              </w:rPr>
              <w:t xml:space="preserve"> into </w:t>
            </w:r>
            <w:r w:rsidRPr="00CD76EC">
              <w:rPr>
                <w:i/>
                <w:spacing w:val="-1"/>
                <w:sz w:val="20"/>
                <w:szCs w:val="20"/>
              </w:rPr>
              <w:t>Cohort</w:t>
            </w:r>
            <w:r w:rsidRPr="00CD76EC">
              <w:rPr>
                <w:i/>
                <w:sz w:val="20"/>
                <w:szCs w:val="20"/>
              </w:rPr>
              <w:t xml:space="preserve"> 2 of</w:t>
            </w:r>
            <w:r w:rsidRPr="00CD76EC">
              <w:rPr>
                <w:i/>
                <w:spacing w:val="-1"/>
                <w:sz w:val="20"/>
                <w:szCs w:val="20"/>
              </w:rPr>
              <w:t xml:space="preserve"> </w:t>
            </w:r>
            <w:r w:rsidRPr="00CD76EC">
              <w:rPr>
                <w:i/>
                <w:sz w:val="20"/>
                <w:szCs w:val="20"/>
              </w:rPr>
              <w:t>the</w:t>
            </w:r>
            <w:r w:rsidRPr="00CD76EC">
              <w:rPr>
                <w:i/>
                <w:spacing w:val="-1"/>
                <w:sz w:val="20"/>
                <w:szCs w:val="20"/>
              </w:rPr>
              <w:t xml:space="preserve"> ongoing,</w:t>
            </w:r>
            <w:r w:rsidRPr="00CD76EC">
              <w:rPr>
                <w:i/>
                <w:sz w:val="20"/>
                <w:szCs w:val="20"/>
              </w:rPr>
              <w:t xml:space="preserve"> </w:t>
            </w:r>
            <w:r w:rsidRPr="00CD76EC">
              <w:rPr>
                <w:i/>
                <w:spacing w:val="-1"/>
                <w:sz w:val="20"/>
                <w:szCs w:val="20"/>
              </w:rPr>
              <w:t>pediatric</w:t>
            </w:r>
            <w:r w:rsidRPr="00CD76EC">
              <w:rPr>
                <w:i/>
                <w:spacing w:val="75"/>
                <w:sz w:val="20"/>
                <w:szCs w:val="20"/>
              </w:rPr>
              <w:t xml:space="preserve"> </w:t>
            </w:r>
            <w:r w:rsidRPr="00CD76EC">
              <w:rPr>
                <w:i/>
                <w:sz w:val="20"/>
                <w:szCs w:val="20"/>
              </w:rPr>
              <w:t>Study</w:t>
            </w:r>
            <w:r w:rsidRPr="00CD76EC">
              <w:rPr>
                <w:i/>
                <w:spacing w:val="-5"/>
                <w:sz w:val="20"/>
                <w:szCs w:val="20"/>
              </w:rPr>
              <w:t xml:space="preserve"> </w:t>
            </w:r>
            <w:r w:rsidRPr="00CD76EC">
              <w:rPr>
                <w:i/>
                <w:spacing w:val="-1"/>
                <w:sz w:val="20"/>
                <w:szCs w:val="20"/>
              </w:rPr>
              <w:t>GS-US-292-0106</w:t>
            </w:r>
            <w:r w:rsidRPr="00CD76EC">
              <w:rPr>
                <w:i/>
                <w:sz w:val="20"/>
                <w:szCs w:val="20"/>
              </w:rPr>
              <w:t xml:space="preserve"> </w:t>
            </w:r>
            <w:r w:rsidRPr="00CD76EC">
              <w:rPr>
                <w:i/>
                <w:spacing w:val="-1"/>
                <w:sz w:val="20"/>
                <w:szCs w:val="20"/>
              </w:rPr>
              <w:t>rather than</w:t>
            </w:r>
            <w:r w:rsidRPr="00CD76EC">
              <w:rPr>
                <w:i/>
                <w:sz w:val="20"/>
                <w:szCs w:val="20"/>
              </w:rPr>
              <w:t xml:space="preserve"> Study</w:t>
            </w:r>
            <w:r w:rsidRPr="00CD76EC">
              <w:rPr>
                <w:i/>
                <w:spacing w:val="-3"/>
                <w:sz w:val="20"/>
                <w:szCs w:val="20"/>
              </w:rPr>
              <w:t xml:space="preserve"> </w:t>
            </w:r>
            <w:r w:rsidRPr="00CD76EC">
              <w:rPr>
                <w:i/>
                <w:spacing w:val="-1"/>
                <w:sz w:val="20"/>
                <w:szCs w:val="20"/>
              </w:rPr>
              <w:t>GS-</w:t>
            </w:r>
            <w:r w:rsidRPr="00CD76EC">
              <w:rPr>
                <w:i/>
                <w:spacing w:val="-1"/>
                <w:sz w:val="20"/>
                <w:szCs w:val="20"/>
              </w:rPr>
              <w:lastRenderedPageBreak/>
              <w:t>US-292-0113.</w:t>
            </w:r>
            <w:r w:rsidR="00347444">
              <w:rPr>
                <w:i/>
                <w:sz w:val="20"/>
                <w:szCs w:val="20"/>
              </w:rPr>
              <w:t xml:space="preserve"> </w:t>
            </w:r>
            <w:r w:rsidRPr="00CD76EC">
              <w:rPr>
                <w:i/>
                <w:sz w:val="20"/>
                <w:szCs w:val="20"/>
              </w:rPr>
              <w:t>Study</w:t>
            </w:r>
            <w:r w:rsidRPr="00CD76EC">
              <w:rPr>
                <w:i/>
                <w:spacing w:val="-5"/>
                <w:sz w:val="20"/>
                <w:szCs w:val="20"/>
              </w:rPr>
              <w:t xml:space="preserve"> </w:t>
            </w:r>
            <w:r w:rsidRPr="00CD76EC">
              <w:rPr>
                <w:i/>
                <w:spacing w:val="-1"/>
                <w:sz w:val="20"/>
                <w:szCs w:val="20"/>
              </w:rPr>
              <w:t>GS-US-292-0113</w:t>
            </w:r>
            <w:r w:rsidRPr="00CD76EC">
              <w:rPr>
                <w:i/>
                <w:sz w:val="20"/>
                <w:szCs w:val="20"/>
              </w:rPr>
              <w:t xml:space="preserve"> </w:t>
            </w:r>
            <w:r w:rsidRPr="00CD76EC">
              <w:rPr>
                <w:i/>
                <w:spacing w:val="-1"/>
                <w:sz w:val="20"/>
                <w:szCs w:val="20"/>
              </w:rPr>
              <w:t>has</w:t>
            </w:r>
            <w:r w:rsidRPr="00CD76EC">
              <w:rPr>
                <w:i/>
                <w:spacing w:val="99"/>
                <w:sz w:val="20"/>
                <w:szCs w:val="20"/>
              </w:rPr>
              <w:t xml:space="preserve"> </w:t>
            </w:r>
            <w:r w:rsidRPr="00CD76EC">
              <w:rPr>
                <w:i/>
                <w:spacing w:val="-1"/>
                <w:sz w:val="20"/>
                <w:szCs w:val="20"/>
              </w:rPr>
              <w:t>been</w:t>
            </w:r>
            <w:r w:rsidRPr="00CD76EC">
              <w:rPr>
                <w:i/>
                <w:sz w:val="20"/>
                <w:szCs w:val="20"/>
              </w:rPr>
              <w:t xml:space="preserve"> </w:t>
            </w:r>
            <w:r w:rsidRPr="00CD76EC">
              <w:rPr>
                <w:i/>
                <w:spacing w:val="-1"/>
                <w:sz w:val="20"/>
                <w:szCs w:val="20"/>
              </w:rPr>
              <w:t>renumbered</w:t>
            </w:r>
            <w:r w:rsidRPr="00CD76EC">
              <w:rPr>
                <w:i/>
                <w:spacing w:val="2"/>
                <w:sz w:val="20"/>
                <w:szCs w:val="20"/>
              </w:rPr>
              <w:t xml:space="preserve"> </w:t>
            </w:r>
            <w:r w:rsidRPr="00CD76EC">
              <w:rPr>
                <w:i/>
                <w:spacing w:val="-1"/>
                <w:sz w:val="20"/>
                <w:szCs w:val="20"/>
              </w:rPr>
              <w:t>as</w:t>
            </w:r>
            <w:r w:rsidRPr="00CD76EC">
              <w:rPr>
                <w:i/>
                <w:sz w:val="20"/>
                <w:szCs w:val="20"/>
              </w:rPr>
              <w:t xml:space="preserve"> Study</w:t>
            </w:r>
            <w:r w:rsidRPr="00CD76EC">
              <w:rPr>
                <w:i/>
                <w:spacing w:val="-3"/>
                <w:sz w:val="20"/>
                <w:szCs w:val="20"/>
              </w:rPr>
              <w:t xml:space="preserve"> </w:t>
            </w:r>
            <w:r w:rsidRPr="00CD76EC">
              <w:rPr>
                <w:i/>
                <w:spacing w:val="-1"/>
                <w:sz w:val="20"/>
                <w:szCs w:val="20"/>
              </w:rPr>
              <w:t>GS-US-292-1515</w:t>
            </w:r>
            <w:r w:rsidRPr="00CD76EC">
              <w:rPr>
                <w:i/>
                <w:sz w:val="20"/>
                <w:szCs w:val="20"/>
              </w:rPr>
              <w:t xml:space="preserve"> </w:t>
            </w:r>
            <w:r w:rsidRPr="00CD76EC">
              <w:rPr>
                <w:i/>
                <w:spacing w:val="-1"/>
                <w:sz w:val="20"/>
                <w:szCs w:val="20"/>
              </w:rPr>
              <w:t>for</w:t>
            </w:r>
            <w:r w:rsidRPr="00CD76EC">
              <w:rPr>
                <w:i/>
                <w:spacing w:val="1"/>
                <w:sz w:val="20"/>
                <w:szCs w:val="20"/>
              </w:rPr>
              <w:t xml:space="preserve"> </w:t>
            </w:r>
            <w:r w:rsidRPr="00CD76EC">
              <w:rPr>
                <w:i/>
                <w:spacing w:val="-1"/>
                <w:sz w:val="20"/>
                <w:szCs w:val="20"/>
              </w:rPr>
              <w:t>administrative reasons.</w:t>
            </w:r>
            <w:r w:rsidRPr="00CD76EC">
              <w:rPr>
                <w:i/>
                <w:sz w:val="20"/>
                <w:szCs w:val="20"/>
              </w:rPr>
              <w:t xml:space="preserve"> </w:t>
            </w:r>
            <w:r w:rsidRPr="00CD76EC">
              <w:rPr>
                <w:i/>
                <w:spacing w:val="-1"/>
                <w:sz w:val="20"/>
                <w:szCs w:val="20"/>
              </w:rPr>
              <w:t>As</w:t>
            </w:r>
            <w:r w:rsidRPr="00CD76EC">
              <w:rPr>
                <w:i/>
                <w:spacing w:val="5"/>
                <w:sz w:val="20"/>
                <w:szCs w:val="20"/>
              </w:rPr>
              <w:t xml:space="preserve"> </w:t>
            </w:r>
            <w:r w:rsidRPr="00CD76EC">
              <w:rPr>
                <w:i/>
                <w:spacing w:val="-1"/>
                <w:sz w:val="20"/>
                <w:szCs w:val="20"/>
              </w:rPr>
              <w:t>younger children</w:t>
            </w:r>
            <w:r w:rsidRPr="00CD76EC">
              <w:rPr>
                <w:i/>
                <w:spacing w:val="99"/>
                <w:sz w:val="20"/>
                <w:szCs w:val="20"/>
              </w:rPr>
              <w:t xml:space="preserve"> </w:t>
            </w:r>
            <w:r w:rsidRPr="00CD76EC">
              <w:rPr>
                <w:i/>
                <w:sz w:val="20"/>
                <w:szCs w:val="20"/>
              </w:rPr>
              <w:t>6 to &lt;</w:t>
            </w:r>
            <w:r w:rsidRPr="00CD76EC">
              <w:rPr>
                <w:i/>
                <w:spacing w:val="-1"/>
                <w:sz w:val="20"/>
                <w:szCs w:val="20"/>
              </w:rPr>
              <w:t xml:space="preserve"> </w:t>
            </w:r>
            <w:r w:rsidRPr="00CD76EC">
              <w:rPr>
                <w:i/>
                <w:sz w:val="20"/>
                <w:szCs w:val="20"/>
              </w:rPr>
              <w:t>12</w:t>
            </w:r>
            <w:r w:rsidRPr="00CD76EC">
              <w:rPr>
                <w:i/>
                <w:spacing w:val="2"/>
                <w:sz w:val="20"/>
                <w:szCs w:val="20"/>
              </w:rPr>
              <w:t xml:space="preserve"> </w:t>
            </w:r>
            <w:r w:rsidRPr="00CD76EC">
              <w:rPr>
                <w:i/>
                <w:spacing w:val="-2"/>
                <w:sz w:val="20"/>
                <w:szCs w:val="20"/>
              </w:rPr>
              <w:t>years</w:t>
            </w:r>
            <w:r w:rsidRPr="00CD76EC">
              <w:rPr>
                <w:i/>
                <w:sz w:val="20"/>
                <w:szCs w:val="20"/>
              </w:rPr>
              <w:t xml:space="preserve"> </w:t>
            </w:r>
            <w:r w:rsidRPr="00CD76EC">
              <w:rPr>
                <w:i/>
                <w:spacing w:val="1"/>
                <w:sz w:val="20"/>
                <w:szCs w:val="20"/>
              </w:rPr>
              <w:t>of</w:t>
            </w:r>
            <w:r w:rsidRPr="00CD76EC">
              <w:rPr>
                <w:i/>
                <w:spacing w:val="-1"/>
                <w:sz w:val="20"/>
                <w:szCs w:val="20"/>
              </w:rPr>
              <w:t xml:space="preserve"> age</w:t>
            </w:r>
            <w:r w:rsidRPr="00CD76EC">
              <w:rPr>
                <w:i/>
                <w:spacing w:val="1"/>
                <w:sz w:val="20"/>
                <w:szCs w:val="20"/>
              </w:rPr>
              <w:t xml:space="preserve"> </w:t>
            </w:r>
            <w:r w:rsidRPr="00CD76EC">
              <w:rPr>
                <w:i/>
                <w:spacing w:val="-1"/>
                <w:sz w:val="20"/>
                <w:szCs w:val="20"/>
              </w:rPr>
              <w:t>are</w:t>
            </w:r>
            <w:r w:rsidRPr="00CD76EC">
              <w:rPr>
                <w:i/>
                <w:spacing w:val="1"/>
                <w:sz w:val="20"/>
                <w:szCs w:val="20"/>
              </w:rPr>
              <w:t xml:space="preserve"> </w:t>
            </w:r>
            <w:r w:rsidRPr="00CD76EC">
              <w:rPr>
                <w:i/>
                <w:sz w:val="20"/>
                <w:szCs w:val="20"/>
              </w:rPr>
              <w:t>now</w:t>
            </w:r>
            <w:r w:rsidRPr="00CD76EC">
              <w:rPr>
                <w:i/>
                <w:spacing w:val="-1"/>
                <w:sz w:val="20"/>
                <w:szCs w:val="20"/>
              </w:rPr>
              <w:t xml:space="preserve"> being</w:t>
            </w:r>
            <w:r w:rsidRPr="00CD76EC">
              <w:rPr>
                <w:i/>
                <w:sz w:val="20"/>
                <w:szCs w:val="20"/>
              </w:rPr>
              <w:t xml:space="preserve"> </w:t>
            </w:r>
            <w:r w:rsidRPr="00CD76EC">
              <w:rPr>
                <w:i/>
                <w:spacing w:val="-1"/>
                <w:sz w:val="20"/>
                <w:szCs w:val="20"/>
              </w:rPr>
              <w:t>enrolled</w:t>
            </w:r>
            <w:r w:rsidRPr="00CD76EC">
              <w:rPr>
                <w:i/>
                <w:sz w:val="20"/>
                <w:szCs w:val="20"/>
              </w:rPr>
              <w:t xml:space="preserve"> in Cohort 2 of</w:t>
            </w:r>
            <w:r w:rsidRPr="00CD76EC">
              <w:rPr>
                <w:i/>
                <w:spacing w:val="-1"/>
                <w:sz w:val="20"/>
                <w:szCs w:val="20"/>
              </w:rPr>
              <w:t xml:space="preserve"> </w:t>
            </w:r>
            <w:r w:rsidRPr="00CD76EC">
              <w:rPr>
                <w:i/>
                <w:sz w:val="20"/>
                <w:szCs w:val="20"/>
              </w:rPr>
              <w:t>Study</w:t>
            </w:r>
            <w:r w:rsidRPr="00CD76EC">
              <w:rPr>
                <w:i/>
                <w:spacing w:val="-5"/>
                <w:sz w:val="20"/>
                <w:szCs w:val="20"/>
              </w:rPr>
              <w:t xml:space="preserve"> </w:t>
            </w:r>
            <w:r w:rsidRPr="00CD76EC">
              <w:rPr>
                <w:i/>
                <w:spacing w:val="-1"/>
                <w:sz w:val="20"/>
                <w:szCs w:val="20"/>
              </w:rPr>
              <w:t>GS-US-292-0106,</w:t>
            </w:r>
            <w:r w:rsidRPr="00CD76EC">
              <w:rPr>
                <w:i/>
                <w:sz w:val="20"/>
                <w:szCs w:val="20"/>
              </w:rPr>
              <w:t xml:space="preserve"> Study</w:t>
            </w:r>
            <w:r w:rsidRPr="00CD76EC">
              <w:rPr>
                <w:i/>
                <w:spacing w:val="67"/>
                <w:sz w:val="20"/>
                <w:szCs w:val="20"/>
              </w:rPr>
              <w:t xml:space="preserve"> </w:t>
            </w:r>
            <w:r w:rsidRPr="00CD76EC">
              <w:rPr>
                <w:i/>
                <w:spacing w:val="-1"/>
                <w:sz w:val="20"/>
                <w:szCs w:val="20"/>
              </w:rPr>
              <w:t>GS-US-292-1515</w:t>
            </w:r>
            <w:r w:rsidRPr="00CD76EC">
              <w:rPr>
                <w:i/>
                <w:sz w:val="20"/>
                <w:szCs w:val="20"/>
              </w:rPr>
              <w:t xml:space="preserve"> is enrolling</w:t>
            </w:r>
            <w:r w:rsidRPr="00CD76EC">
              <w:rPr>
                <w:i/>
                <w:spacing w:val="-3"/>
                <w:sz w:val="20"/>
                <w:szCs w:val="20"/>
              </w:rPr>
              <w:t xml:space="preserve"> </w:t>
            </w:r>
            <w:r w:rsidRPr="00CD76EC">
              <w:rPr>
                <w:i/>
                <w:spacing w:val="-1"/>
                <w:sz w:val="20"/>
                <w:szCs w:val="20"/>
              </w:rPr>
              <w:t>virologically</w:t>
            </w:r>
            <w:r w:rsidRPr="00CD76EC">
              <w:rPr>
                <w:i/>
                <w:spacing w:val="-5"/>
                <w:sz w:val="20"/>
                <w:szCs w:val="20"/>
              </w:rPr>
              <w:t xml:space="preserve"> </w:t>
            </w:r>
            <w:r w:rsidRPr="00CD76EC">
              <w:rPr>
                <w:i/>
                <w:sz w:val="20"/>
                <w:szCs w:val="20"/>
              </w:rPr>
              <w:t xml:space="preserve">suppressed, </w:t>
            </w:r>
            <w:r w:rsidRPr="00CD76EC">
              <w:rPr>
                <w:i/>
                <w:spacing w:val="-1"/>
                <w:sz w:val="20"/>
                <w:szCs w:val="20"/>
              </w:rPr>
              <w:t>HIV-infected</w:t>
            </w:r>
            <w:r w:rsidRPr="00CD76EC">
              <w:rPr>
                <w:i/>
                <w:spacing w:val="2"/>
                <w:sz w:val="20"/>
                <w:szCs w:val="20"/>
              </w:rPr>
              <w:t xml:space="preserve"> </w:t>
            </w:r>
            <w:r w:rsidRPr="00CD76EC">
              <w:rPr>
                <w:i/>
                <w:spacing w:val="-1"/>
                <w:sz w:val="20"/>
                <w:szCs w:val="20"/>
              </w:rPr>
              <w:t>adolescents</w:t>
            </w:r>
            <w:r w:rsidRPr="00CD76EC">
              <w:rPr>
                <w:i/>
                <w:sz w:val="20"/>
                <w:szCs w:val="20"/>
              </w:rPr>
              <w:t xml:space="preserve"> 12 to &lt;</w:t>
            </w:r>
            <w:r w:rsidRPr="00CD76EC">
              <w:rPr>
                <w:i/>
                <w:spacing w:val="-1"/>
                <w:sz w:val="20"/>
                <w:szCs w:val="20"/>
              </w:rPr>
              <w:t xml:space="preserve"> </w:t>
            </w:r>
            <w:r w:rsidRPr="00CD76EC">
              <w:rPr>
                <w:i/>
                <w:sz w:val="20"/>
                <w:szCs w:val="20"/>
              </w:rPr>
              <w:t>18</w:t>
            </w:r>
            <w:r w:rsidRPr="00CD76EC">
              <w:rPr>
                <w:i/>
                <w:spacing w:val="71"/>
                <w:sz w:val="20"/>
                <w:szCs w:val="20"/>
              </w:rPr>
              <w:t xml:space="preserve"> </w:t>
            </w:r>
            <w:r w:rsidRPr="00CD76EC">
              <w:rPr>
                <w:i/>
                <w:spacing w:val="-1"/>
                <w:sz w:val="20"/>
                <w:szCs w:val="20"/>
              </w:rPr>
              <w:t>years</w:t>
            </w:r>
            <w:r w:rsidRPr="00CD76EC">
              <w:rPr>
                <w:i/>
                <w:sz w:val="20"/>
                <w:szCs w:val="20"/>
              </w:rPr>
              <w:t xml:space="preserve"> of</w:t>
            </w:r>
            <w:r w:rsidRPr="00CD76EC">
              <w:rPr>
                <w:i/>
                <w:spacing w:val="1"/>
                <w:sz w:val="20"/>
                <w:szCs w:val="20"/>
              </w:rPr>
              <w:t xml:space="preserve"> </w:t>
            </w:r>
            <w:r w:rsidRPr="00CD76EC">
              <w:rPr>
                <w:i/>
                <w:spacing w:val="-1"/>
                <w:sz w:val="20"/>
                <w:szCs w:val="20"/>
              </w:rPr>
              <w:t xml:space="preserve">age </w:t>
            </w:r>
            <w:r w:rsidRPr="00CD76EC">
              <w:rPr>
                <w:i/>
                <w:sz w:val="20"/>
                <w:szCs w:val="20"/>
              </w:rPr>
              <w:t>only.</w:t>
            </w:r>
            <w:r w:rsidR="00347444">
              <w:rPr>
                <w:i/>
                <w:sz w:val="20"/>
                <w:szCs w:val="20"/>
              </w:rPr>
              <w:t xml:space="preserve"> </w:t>
            </w:r>
            <w:r w:rsidRPr="00CD76EC">
              <w:rPr>
                <w:i/>
                <w:spacing w:val="-1"/>
                <w:sz w:val="20"/>
                <w:szCs w:val="20"/>
              </w:rPr>
              <w:t>The protocols</w:t>
            </w:r>
            <w:r w:rsidRPr="00CD76EC">
              <w:rPr>
                <w:i/>
                <w:sz w:val="20"/>
                <w:szCs w:val="20"/>
              </w:rPr>
              <w:t xml:space="preserve"> </w:t>
            </w:r>
            <w:r w:rsidRPr="00CD76EC">
              <w:rPr>
                <w:i/>
                <w:spacing w:val="-1"/>
                <w:sz w:val="20"/>
                <w:szCs w:val="20"/>
              </w:rPr>
              <w:t>for Studies</w:t>
            </w:r>
            <w:r w:rsidRPr="00CD76EC">
              <w:rPr>
                <w:i/>
                <w:spacing w:val="2"/>
                <w:sz w:val="20"/>
                <w:szCs w:val="20"/>
              </w:rPr>
              <w:t xml:space="preserve"> </w:t>
            </w:r>
            <w:r w:rsidRPr="00CD76EC">
              <w:rPr>
                <w:i/>
                <w:spacing w:val="-1"/>
                <w:sz w:val="20"/>
                <w:szCs w:val="20"/>
              </w:rPr>
              <w:t>GS-US-292-0106</w:t>
            </w:r>
            <w:r w:rsidRPr="00CD76EC">
              <w:rPr>
                <w:i/>
                <w:sz w:val="20"/>
                <w:szCs w:val="20"/>
              </w:rPr>
              <w:t xml:space="preserve"> </w:t>
            </w:r>
            <w:r w:rsidRPr="00CD76EC">
              <w:rPr>
                <w:i/>
                <w:spacing w:val="-1"/>
                <w:sz w:val="20"/>
                <w:szCs w:val="20"/>
              </w:rPr>
              <w:t>and</w:t>
            </w:r>
            <w:r w:rsidRPr="00CD76EC">
              <w:rPr>
                <w:i/>
                <w:sz w:val="20"/>
                <w:szCs w:val="20"/>
              </w:rPr>
              <w:t xml:space="preserve"> </w:t>
            </w:r>
            <w:r w:rsidRPr="00CD76EC">
              <w:rPr>
                <w:i/>
                <w:spacing w:val="-1"/>
                <w:sz w:val="20"/>
                <w:szCs w:val="20"/>
              </w:rPr>
              <w:t>GS-US-292-1515</w:t>
            </w:r>
            <w:r w:rsidRPr="00CD76EC">
              <w:rPr>
                <w:i/>
                <w:sz w:val="20"/>
                <w:szCs w:val="20"/>
              </w:rPr>
              <w:t xml:space="preserve"> </w:t>
            </w:r>
            <w:r w:rsidRPr="00CD76EC">
              <w:rPr>
                <w:i/>
                <w:spacing w:val="-1"/>
                <w:sz w:val="20"/>
                <w:szCs w:val="20"/>
              </w:rPr>
              <w:t xml:space="preserve">have </w:t>
            </w:r>
            <w:r w:rsidRPr="00CD76EC">
              <w:rPr>
                <w:i/>
                <w:sz w:val="20"/>
                <w:szCs w:val="20"/>
              </w:rPr>
              <w:t xml:space="preserve">been </w:t>
            </w:r>
            <w:r w:rsidRPr="00CD76EC">
              <w:rPr>
                <w:i/>
                <w:spacing w:val="-1"/>
                <w:sz w:val="20"/>
                <w:szCs w:val="20"/>
              </w:rPr>
              <w:t>provided</w:t>
            </w:r>
            <w:r w:rsidRPr="00CD76EC">
              <w:rPr>
                <w:i/>
                <w:sz w:val="20"/>
                <w:szCs w:val="20"/>
              </w:rPr>
              <w:t xml:space="preserve"> to the</w:t>
            </w:r>
            <w:r w:rsidR="006762A5">
              <w:rPr>
                <w:i/>
                <w:sz w:val="20"/>
                <w:szCs w:val="20"/>
              </w:rPr>
              <w:t xml:space="preserve"> </w:t>
            </w:r>
            <w:r w:rsidRPr="00CD76EC">
              <w:rPr>
                <w:i/>
                <w:spacing w:val="-1"/>
                <w:sz w:val="20"/>
                <w:szCs w:val="20"/>
              </w:rPr>
              <w:t xml:space="preserve">TGA </w:t>
            </w:r>
            <w:r w:rsidRPr="00CD76EC">
              <w:rPr>
                <w:i/>
                <w:sz w:val="20"/>
                <w:szCs w:val="20"/>
              </w:rPr>
              <w:t xml:space="preserve">in </w:t>
            </w:r>
            <w:r w:rsidRPr="00CD76EC">
              <w:rPr>
                <w:i/>
                <w:spacing w:val="-1"/>
                <w:sz w:val="20"/>
                <w:szCs w:val="20"/>
              </w:rPr>
              <w:t xml:space="preserve">response </w:t>
            </w:r>
            <w:r w:rsidRPr="00CD76EC">
              <w:rPr>
                <w:i/>
                <w:sz w:val="20"/>
                <w:szCs w:val="20"/>
              </w:rPr>
              <w:t xml:space="preserve">to </w:t>
            </w:r>
            <w:r w:rsidR="006762A5">
              <w:rPr>
                <w:i/>
                <w:sz w:val="20"/>
                <w:szCs w:val="20"/>
              </w:rPr>
              <w:t xml:space="preserve">the </w:t>
            </w:r>
            <w:r w:rsidR="00AA3643">
              <w:rPr>
                <w:i/>
                <w:spacing w:val="-1"/>
                <w:sz w:val="20"/>
                <w:szCs w:val="20"/>
              </w:rPr>
              <w:t>Genvoya</w:t>
            </w:r>
            <w:r w:rsidR="006762A5">
              <w:rPr>
                <w:i/>
                <w:spacing w:val="-1"/>
                <w:sz w:val="20"/>
                <w:szCs w:val="20"/>
              </w:rPr>
              <w:t xml:space="preserve"> tablets application</w:t>
            </w:r>
            <w:r w:rsidRPr="00CD76EC">
              <w:rPr>
                <w:i/>
                <w:spacing w:val="-1"/>
                <w:sz w:val="20"/>
                <w:szCs w:val="20"/>
              </w:rPr>
              <w:t>.</w:t>
            </w:r>
          </w:p>
        </w:tc>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CD76EC">
            <w:pPr>
              <w:rPr>
                <w:sz w:val="20"/>
                <w:szCs w:val="20"/>
              </w:rPr>
            </w:pPr>
            <w:r w:rsidRPr="00CD76EC">
              <w:rPr>
                <w:rFonts w:eastAsiaTheme="minorHAnsi" w:cs="TimesNewRomanPSMT"/>
                <w:sz w:val="20"/>
                <w:szCs w:val="20"/>
              </w:rPr>
              <w:lastRenderedPageBreak/>
              <w:t>Th</w:t>
            </w:r>
            <w:r w:rsidRPr="00CD76EC">
              <w:rPr>
                <w:rFonts w:cs="TimesNewRoman"/>
                <w:sz w:val="20"/>
                <w:szCs w:val="20"/>
              </w:rPr>
              <w:t>is is acceptable</w:t>
            </w:r>
            <w:r w:rsidRPr="00CD76EC">
              <w:rPr>
                <w:rFonts w:eastAsia="TimesNewRoman"/>
                <w:sz w:val="20"/>
                <w:szCs w:val="20"/>
              </w:rPr>
              <w:t>.</w:t>
            </w:r>
            <w:r w:rsidR="00347444">
              <w:rPr>
                <w:rFonts w:eastAsia="TimesNewRoman"/>
                <w:sz w:val="20"/>
                <w:szCs w:val="20"/>
              </w:rPr>
              <w:t xml:space="preserve"> </w:t>
            </w:r>
          </w:p>
        </w:tc>
      </w:tr>
      <w:tr w:rsidR="00FC702B" w:rsidTr="00531332">
        <w:trPr>
          <w:trHeight w:val="869"/>
          <w:jc w:val="center"/>
        </w:trPr>
        <w:tc>
          <w:tcPr>
            <w:tcW w:w="17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6762A5">
            <w:pPr>
              <w:rPr>
                <w:sz w:val="20"/>
                <w:szCs w:val="20"/>
              </w:rPr>
            </w:pPr>
            <w:r w:rsidRPr="00CD76EC">
              <w:rPr>
                <w:rFonts w:eastAsiaTheme="minorHAnsi" w:cs="TimesNewRomanPS-BoldMT"/>
                <w:bCs/>
                <w:sz w:val="20"/>
                <w:szCs w:val="20"/>
              </w:rPr>
              <w:lastRenderedPageBreak/>
              <w:t xml:space="preserve">Table 6: ‘Summary Table of </w:t>
            </w:r>
            <w:r w:rsidRPr="00CD76EC">
              <w:rPr>
                <w:bCs/>
                <w:sz w:val="20"/>
                <w:szCs w:val="20"/>
              </w:rPr>
              <w:t xml:space="preserve">Pharmacovigilance Activities and </w:t>
            </w:r>
            <w:r w:rsidRPr="00CD76EC">
              <w:rPr>
                <w:rFonts w:eastAsiaTheme="minorHAnsi" w:cs="TimesNewRomanPS-BoldMT"/>
                <w:bCs/>
                <w:sz w:val="20"/>
                <w:szCs w:val="20"/>
              </w:rPr>
              <w:t xml:space="preserve">Risk Minimization Measures’ of the ASA is not consistent with </w:t>
            </w:r>
            <w:r w:rsidRPr="00CD76EC">
              <w:rPr>
                <w:rFonts w:eastAsiaTheme="minorHAnsi"/>
                <w:bCs/>
                <w:sz w:val="20"/>
                <w:szCs w:val="20"/>
              </w:rPr>
              <w:t xml:space="preserve">Table 4-1: ‘Required Additional Pharmacovigilance Activities (Category 3)’ </w:t>
            </w:r>
            <w:r w:rsidR="006762A5">
              <w:rPr>
                <w:rFonts w:eastAsiaTheme="minorHAnsi"/>
                <w:bCs/>
                <w:sz w:val="20"/>
                <w:szCs w:val="20"/>
              </w:rPr>
              <w:t>and</w:t>
            </w:r>
            <w:r w:rsidRPr="00CD76EC">
              <w:rPr>
                <w:rFonts w:eastAsiaTheme="minorHAnsi"/>
                <w:bCs/>
                <w:sz w:val="20"/>
                <w:szCs w:val="20"/>
              </w:rPr>
              <w:t xml:space="preserve"> Table 4-2: ‘Stated Additional Pharmacovigilance Activities (Category 4)’ of the EU-RMP, in that </w:t>
            </w:r>
            <w:r w:rsidRPr="00CD76EC">
              <w:rPr>
                <w:sz w:val="20"/>
                <w:szCs w:val="20"/>
              </w:rPr>
              <w:t xml:space="preserve">all the additional pharmacovigilance activities for the specified </w:t>
            </w:r>
            <w:r w:rsidRPr="00CD76EC">
              <w:rPr>
                <w:rFonts w:cstheme="minorHAnsi"/>
                <w:sz w:val="20"/>
                <w:szCs w:val="20"/>
              </w:rPr>
              <w:t xml:space="preserve">safety concerns and missing information have been erroneously classified as routine </w:t>
            </w:r>
            <w:r w:rsidRPr="00CD76EC">
              <w:rPr>
                <w:sz w:val="20"/>
                <w:szCs w:val="20"/>
              </w:rPr>
              <w:t>pharmacovigilance</w:t>
            </w:r>
            <w:r w:rsidRPr="00CD76EC">
              <w:rPr>
                <w:rFonts w:cstheme="minorHAnsi"/>
                <w:sz w:val="20"/>
                <w:szCs w:val="20"/>
              </w:rPr>
              <w:t>.</w:t>
            </w:r>
            <w:r w:rsidR="00347444">
              <w:rPr>
                <w:rFonts w:cstheme="minorHAnsi"/>
                <w:sz w:val="20"/>
                <w:szCs w:val="20"/>
              </w:rPr>
              <w:t xml:space="preserve"> </w:t>
            </w:r>
            <w:r w:rsidRPr="00CD76EC">
              <w:rPr>
                <w:rFonts w:cstheme="minorHAnsi"/>
                <w:sz w:val="20"/>
                <w:szCs w:val="20"/>
              </w:rPr>
              <w:t>These errors should be corrected in a revised ASA to be consistent with the EU-RMP.</w:t>
            </w:r>
          </w:p>
        </w:tc>
        <w:tc>
          <w:tcPr>
            <w:tcW w:w="1925" w:type="pct"/>
            <w:tcBorders>
              <w:top w:val="single" w:sz="4" w:space="0" w:color="auto"/>
              <w:left w:val="single" w:sz="8" w:space="0" w:color="000000" w:themeColor="text1"/>
              <w:bottom w:val="single" w:sz="8" w:space="0" w:color="000000" w:themeColor="text1"/>
              <w:right w:val="single" w:sz="8" w:space="0" w:color="000000" w:themeColor="text1"/>
            </w:tcBorders>
            <w:noWrap/>
          </w:tcPr>
          <w:p w:rsidR="00FC702B" w:rsidRPr="00CD76EC" w:rsidRDefault="00FC702B" w:rsidP="00AC339A">
            <w:pPr>
              <w:rPr>
                <w:sz w:val="20"/>
                <w:szCs w:val="20"/>
              </w:rPr>
            </w:pPr>
            <w:r w:rsidRPr="00CD76EC">
              <w:rPr>
                <w:sz w:val="20"/>
                <w:szCs w:val="20"/>
              </w:rPr>
              <w:t xml:space="preserve">The sponsor states: </w:t>
            </w:r>
            <w:r w:rsidR="00AC339A">
              <w:rPr>
                <w:sz w:val="20"/>
                <w:szCs w:val="20"/>
              </w:rPr>
              <w:t>‘</w:t>
            </w:r>
            <w:r w:rsidRPr="00CD76EC">
              <w:rPr>
                <w:i/>
                <w:sz w:val="20"/>
                <w:szCs w:val="20"/>
              </w:rPr>
              <w:t>Gilead has revised the classification of pharmacovigilance activities accordingly</w:t>
            </w:r>
            <w:r w:rsidR="00AC339A">
              <w:rPr>
                <w:i/>
                <w:sz w:val="20"/>
                <w:szCs w:val="20"/>
              </w:rPr>
              <w:t>’</w:t>
            </w:r>
            <w:r w:rsidRPr="00CD76EC">
              <w:rPr>
                <w:i/>
                <w:sz w:val="20"/>
                <w:szCs w:val="20"/>
              </w:rPr>
              <w:t>.</w:t>
            </w:r>
          </w:p>
        </w:tc>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C702B" w:rsidRPr="00CD76EC" w:rsidRDefault="00FC702B" w:rsidP="00CD76EC">
            <w:pPr>
              <w:rPr>
                <w:rFonts w:eastAsiaTheme="minorHAnsi" w:cs="TimesNewRomanPSMT"/>
                <w:sz w:val="20"/>
                <w:szCs w:val="20"/>
              </w:rPr>
            </w:pPr>
            <w:r w:rsidRPr="00CD76EC">
              <w:rPr>
                <w:rFonts w:eastAsiaTheme="minorHAnsi" w:cs="TimesNewRomanPSMT"/>
                <w:sz w:val="20"/>
                <w:szCs w:val="20"/>
              </w:rPr>
              <w:t>Th</w:t>
            </w:r>
            <w:r w:rsidRPr="00CD76EC">
              <w:rPr>
                <w:rFonts w:cs="TimesNewRoman"/>
                <w:sz w:val="20"/>
                <w:szCs w:val="20"/>
              </w:rPr>
              <w:t>is is acceptable</w:t>
            </w:r>
            <w:r w:rsidRPr="00CD76EC">
              <w:rPr>
                <w:rFonts w:eastAsia="TimesNewRoman"/>
                <w:sz w:val="20"/>
                <w:szCs w:val="20"/>
              </w:rPr>
              <w:t xml:space="preserve">. </w:t>
            </w:r>
          </w:p>
        </w:tc>
      </w:tr>
    </w:tbl>
    <w:p w:rsidR="008E7846" w:rsidRDefault="008E7846" w:rsidP="00CD76EC">
      <w:pPr>
        <w:pStyle w:val="Heading4"/>
        <w:rPr>
          <w:lang w:eastAsia="en-AU"/>
        </w:rPr>
      </w:pPr>
      <w:r w:rsidRPr="00CD76EC">
        <w:t>Summary</w:t>
      </w:r>
      <w:r>
        <w:rPr>
          <w:lang w:eastAsia="en-AU"/>
        </w:rPr>
        <w:t xml:space="preserve"> of </w:t>
      </w:r>
      <w:r w:rsidR="003A7F6C">
        <w:rPr>
          <w:lang w:eastAsia="en-AU"/>
        </w:rPr>
        <w:t>r</w:t>
      </w:r>
      <w:r>
        <w:rPr>
          <w:lang w:eastAsia="en-AU"/>
        </w:rPr>
        <w:t>ecommendations</w:t>
      </w:r>
    </w:p>
    <w:p w:rsidR="00FC702B" w:rsidRDefault="00CD76EC" w:rsidP="00CD76EC">
      <w:bookmarkStart w:id="182" w:name="_Toc314842510"/>
      <w:r>
        <w:t>I</w:t>
      </w:r>
      <w:r w:rsidR="00FC702B">
        <w:t>t is considered that the sponsor’s response to the TGA has adequately addressed all of the issues identified in the RMP evaluation report.</w:t>
      </w:r>
    </w:p>
    <w:p w:rsidR="00FC702B" w:rsidRDefault="00FC702B" w:rsidP="00AC339A">
      <w:pPr>
        <w:pStyle w:val="Heading5"/>
      </w:pPr>
      <w:r>
        <w:t>Outstanding issues</w:t>
      </w:r>
    </w:p>
    <w:p w:rsidR="00FC702B" w:rsidRDefault="00FC702B" w:rsidP="00CD76EC">
      <w:pPr>
        <w:pStyle w:val="Heading6"/>
        <w:rPr>
          <w:szCs w:val="24"/>
        </w:rPr>
      </w:pPr>
      <w:r>
        <w:t xml:space="preserve">Issues in relation to the RMP </w:t>
      </w:r>
    </w:p>
    <w:p w:rsidR="00586A39" w:rsidRDefault="00FC702B" w:rsidP="00CD76EC">
      <w:r>
        <w:t>There are no outstanding issues in relation to the RMP for this submission</w:t>
      </w:r>
      <w:r w:rsidR="00586A39">
        <w:t>.</w:t>
      </w:r>
    </w:p>
    <w:p w:rsidR="00FC702B" w:rsidRPr="00CD76EC" w:rsidRDefault="00FC702B" w:rsidP="00CD76EC">
      <w:pPr>
        <w:pStyle w:val="Heading5"/>
      </w:pPr>
      <w:r w:rsidRPr="00CD76EC">
        <w:t>Advice from the Advisory Committee on the Safety of Medicines (ACSOM)</w:t>
      </w:r>
    </w:p>
    <w:p w:rsidR="00FC702B" w:rsidRDefault="00FC702B" w:rsidP="00CD76EC">
      <w:r>
        <w:t>ACSOM advice was not sought for this submission.</w:t>
      </w:r>
    </w:p>
    <w:p w:rsidR="00FC702B" w:rsidRDefault="00FC702B" w:rsidP="00CD76EC">
      <w:pPr>
        <w:pStyle w:val="Heading5"/>
      </w:pPr>
      <w:r>
        <w:lastRenderedPageBreak/>
        <w:t xml:space="preserve">Key changes to the updated RMP </w:t>
      </w:r>
    </w:p>
    <w:p w:rsidR="00FC702B" w:rsidRDefault="00FC702B" w:rsidP="00CD76EC">
      <w:r>
        <w:t xml:space="preserve">In their response to the TGA the sponsor provided an updated ASA (Version: </w:t>
      </w:r>
      <w:r>
        <w:sym w:font="Symbol" w:char="F020"/>
      </w:r>
      <w:r>
        <w:t>0.2, dated January 2016) Key changes from the versions evaluated at Round 1 are summarised below</w:t>
      </w:r>
      <w:r w:rsidR="00AC339A">
        <w:t xml:space="preserve"> (Table 13).</w:t>
      </w:r>
    </w:p>
    <w:p w:rsidR="00AC339A" w:rsidRDefault="00AC339A" w:rsidP="00AC339A">
      <w:pPr>
        <w:pStyle w:val="TableTitle"/>
        <w:rPr>
          <w:u w:val="single"/>
        </w:rPr>
      </w:pPr>
      <w:r>
        <w:t>Table 13: Key changes to the ASA</w:t>
      </w:r>
    </w:p>
    <w:tbl>
      <w:tblPr>
        <w:tblStyle w:val="TableTGAblue1"/>
        <w:tblW w:w="0" w:type="auto"/>
        <w:tblLook w:val="04A0" w:firstRow="1" w:lastRow="0" w:firstColumn="1" w:lastColumn="0" w:noHBand="0" w:noVBand="1"/>
      </w:tblPr>
      <w:tblGrid>
        <w:gridCol w:w="1646"/>
        <w:gridCol w:w="7074"/>
      </w:tblGrid>
      <w:tr w:rsidR="00FC702B" w:rsidTr="00DF20DB">
        <w:trPr>
          <w:cnfStyle w:val="100000000000" w:firstRow="1" w:lastRow="0" w:firstColumn="0" w:lastColumn="0" w:oddVBand="0" w:evenVBand="0" w:oddHBand="0" w:evenHBand="0" w:firstRowFirstColumn="0" w:firstRowLastColumn="0" w:lastRowFirstColumn="0" w:lastRowLastColumn="0"/>
          <w:cantSplit/>
          <w:trHeight w:val="536"/>
          <w:tblHeader/>
        </w:trPr>
        <w:tc>
          <w:tcPr>
            <w:tcW w:w="1688" w:type="dxa"/>
          </w:tcPr>
          <w:p w:rsidR="00FC702B" w:rsidRPr="00AC339A" w:rsidRDefault="00CD76EC" w:rsidP="00AC339A">
            <w:pPr>
              <w:rPr>
                <w:sz w:val="20"/>
                <w:szCs w:val="20"/>
                <w:lang w:eastAsia="en-AU"/>
              </w:rPr>
            </w:pPr>
            <w:r w:rsidRPr="00AC339A">
              <w:rPr>
                <w:sz w:val="20"/>
                <w:szCs w:val="20"/>
                <w:lang w:eastAsia="en-AU"/>
              </w:rPr>
              <w:t>Document</w:t>
            </w:r>
          </w:p>
        </w:tc>
        <w:tc>
          <w:tcPr>
            <w:tcW w:w="7525" w:type="dxa"/>
          </w:tcPr>
          <w:p w:rsidR="00FC702B" w:rsidRPr="00AC339A" w:rsidRDefault="00CD76EC" w:rsidP="00AC339A">
            <w:pPr>
              <w:rPr>
                <w:sz w:val="20"/>
                <w:szCs w:val="20"/>
                <w:lang w:eastAsia="en-AU"/>
              </w:rPr>
            </w:pPr>
            <w:r w:rsidRPr="00AC339A">
              <w:rPr>
                <w:sz w:val="20"/>
                <w:szCs w:val="20"/>
                <w:lang w:eastAsia="en-AU"/>
              </w:rPr>
              <w:t>Key change</w:t>
            </w:r>
          </w:p>
        </w:tc>
      </w:tr>
      <w:tr w:rsidR="00FC702B" w:rsidTr="00CD76EC">
        <w:trPr>
          <w:trHeight w:val="524"/>
        </w:trPr>
        <w:tc>
          <w:tcPr>
            <w:tcW w:w="1688" w:type="dxa"/>
            <w:hideMark/>
          </w:tcPr>
          <w:p w:rsidR="00FC702B" w:rsidRPr="00AC339A" w:rsidRDefault="00FC702B" w:rsidP="00AC339A">
            <w:pPr>
              <w:rPr>
                <w:sz w:val="20"/>
                <w:szCs w:val="20"/>
                <w:lang w:eastAsia="en-AU"/>
              </w:rPr>
            </w:pPr>
            <w:r w:rsidRPr="00AC339A">
              <w:rPr>
                <w:sz w:val="20"/>
                <w:szCs w:val="20"/>
                <w:lang w:eastAsia="en-AU"/>
              </w:rPr>
              <w:t>ASA</w:t>
            </w:r>
          </w:p>
        </w:tc>
        <w:tc>
          <w:tcPr>
            <w:tcW w:w="7525" w:type="dxa"/>
            <w:hideMark/>
          </w:tcPr>
          <w:p w:rsidR="00FC702B" w:rsidRPr="00AC339A" w:rsidRDefault="00FC702B" w:rsidP="00AC339A">
            <w:pPr>
              <w:rPr>
                <w:sz w:val="20"/>
                <w:szCs w:val="20"/>
              </w:rPr>
            </w:pPr>
            <w:r w:rsidRPr="00AC339A">
              <w:rPr>
                <w:rFonts w:eastAsiaTheme="minorHAnsi"/>
                <w:bCs/>
                <w:sz w:val="20"/>
                <w:szCs w:val="20"/>
              </w:rPr>
              <w:t>Amend the missing information: ‘</w:t>
            </w:r>
            <w:r w:rsidRPr="00AC339A">
              <w:rPr>
                <w:sz w:val="20"/>
                <w:szCs w:val="20"/>
              </w:rPr>
              <w:t xml:space="preserve">Safety in children aged 4 weeks to &lt; 18 years’ to ‘Safety in children aged 4 weeks to &lt; 12 years’ in order to align with the </w:t>
            </w:r>
            <w:r w:rsidRPr="00AC339A">
              <w:rPr>
                <w:rFonts w:eastAsiaTheme="minorHAnsi" w:cs="Calibri"/>
                <w:sz w:val="20"/>
                <w:szCs w:val="20"/>
              </w:rPr>
              <w:t>proposed indication statement.</w:t>
            </w:r>
          </w:p>
          <w:p w:rsidR="00FC702B" w:rsidRPr="00AC339A" w:rsidRDefault="00FC702B" w:rsidP="00AC339A">
            <w:pPr>
              <w:rPr>
                <w:sz w:val="20"/>
                <w:szCs w:val="20"/>
              </w:rPr>
            </w:pPr>
            <w:r w:rsidRPr="00AC339A">
              <w:rPr>
                <w:sz w:val="20"/>
                <w:szCs w:val="20"/>
              </w:rPr>
              <w:t xml:space="preserve">In regard to additional </w:t>
            </w:r>
            <w:r w:rsidRPr="00AC339A">
              <w:rPr>
                <w:rFonts w:eastAsiaTheme="minorHAnsi" w:cs="Cambria"/>
                <w:sz w:val="20"/>
                <w:szCs w:val="20"/>
              </w:rPr>
              <w:t xml:space="preserve">pharmacovigilance activities for </w:t>
            </w:r>
            <w:r w:rsidRPr="00AC339A">
              <w:rPr>
                <w:rFonts w:eastAsiaTheme="minorHAnsi"/>
                <w:bCs/>
                <w:sz w:val="20"/>
                <w:szCs w:val="20"/>
              </w:rPr>
              <w:t xml:space="preserve">the missing information: </w:t>
            </w:r>
            <w:r w:rsidRPr="00AC339A">
              <w:rPr>
                <w:sz w:val="20"/>
                <w:szCs w:val="20"/>
              </w:rPr>
              <w:t>‘Safety in children aged 4 weeks to &lt; 12 years’, virologically suppressed, HIV-infected children 6 to &lt; 12 years of age are now being enrolled into Cohort 2 of the ongoing, paediatric Study GS-US-292-0106 rather than planned Study GS-US-292-0113.</w:t>
            </w:r>
          </w:p>
          <w:p w:rsidR="00FC702B" w:rsidRPr="00AC339A" w:rsidRDefault="00FC702B" w:rsidP="00AC339A">
            <w:pPr>
              <w:rPr>
                <w:sz w:val="20"/>
                <w:szCs w:val="20"/>
              </w:rPr>
            </w:pPr>
            <w:r w:rsidRPr="00AC339A">
              <w:rPr>
                <w:sz w:val="20"/>
                <w:szCs w:val="20"/>
              </w:rPr>
              <w:t>Add ‘</w:t>
            </w:r>
            <w:r w:rsidRPr="00AC339A">
              <w:rPr>
                <w:rFonts w:eastAsiaTheme="minorHAnsi" w:cs="Calibri"/>
                <w:sz w:val="20"/>
                <w:szCs w:val="20"/>
              </w:rPr>
              <w:t xml:space="preserve">Safety in patients with severe renal impairment’ </w:t>
            </w:r>
            <w:r w:rsidRPr="00AC339A">
              <w:rPr>
                <w:sz w:val="20"/>
                <w:szCs w:val="20"/>
              </w:rPr>
              <w:t xml:space="preserve">as </w:t>
            </w:r>
            <w:r w:rsidRPr="00AC339A">
              <w:rPr>
                <w:rFonts w:eastAsiaTheme="minorHAnsi"/>
                <w:bCs/>
                <w:sz w:val="20"/>
                <w:szCs w:val="20"/>
              </w:rPr>
              <w:t>missing information.</w:t>
            </w:r>
          </w:p>
        </w:tc>
      </w:tr>
    </w:tbl>
    <w:p w:rsidR="00FC702B" w:rsidRDefault="00FC702B" w:rsidP="00CD76EC">
      <w:pPr>
        <w:pStyle w:val="Heading5"/>
        <w:rPr>
          <w:rFonts w:cs="Arial"/>
        </w:rPr>
      </w:pPr>
      <w:r>
        <w:t xml:space="preserve">Suggested wording for conditions of registration </w:t>
      </w:r>
    </w:p>
    <w:p w:rsidR="00FC702B" w:rsidRDefault="00FC702B" w:rsidP="00CD76EC">
      <w:pPr>
        <w:pStyle w:val="Heading6"/>
        <w:rPr>
          <w:szCs w:val="24"/>
        </w:rPr>
      </w:pPr>
      <w:r>
        <w:t>RMP</w:t>
      </w:r>
    </w:p>
    <w:p w:rsidR="00FC702B" w:rsidRDefault="00FC702B" w:rsidP="00CD76EC">
      <w:r>
        <w:t>Any changes to which the sponsor agreed become part of the risk management system, whether they are included in the currently available version of the RMP document, or not included, inadvertently or otherwise.</w:t>
      </w:r>
    </w:p>
    <w:p w:rsidR="00FC702B" w:rsidRDefault="00FC702B" w:rsidP="00CD76EC">
      <w:r>
        <w:t>The suggested wording is:</w:t>
      </w:r>
    </w:p>
    <w:p w:rsidR="00FC702B" w:rsidRPr="00AC339A" w:rsidRDefault="00FC702B" w:rsidP="00AC339A">
      <w:pPr>
        <w:ind w:left="720"/>
        <w:rPr>
          <w:i/>
        </w:rPr>
      </w:pPr>
      <w:r w:rsidRPr="00AC339A">
        <w:rPr>
          <w:i/>
        </w:rPr>
        <w:t xml:space="preserve">The European Risk Management Plan (Version: 0.1, dated 1 April 2015), as qualified by the Australian Specific Annex (Version: </w:t>
      </w:r>
      <w:r w:rsidRPr="00AC339A">
        <w:rPr>
          <w:i/>
        </w:rPr>
        <w:sym w:font="Symbol" w:char="F020"/>
      </w:r>
      <w:r w:rsidRPr="00AC339A">
        <w:rPr>
          <w:i/>
        </w:rPr>
        <w:t>0.2, dated January 2016), must be implemented.</w:t>
      </w:r>
    </w:p>
    <w:p w:rsidR="008E7846" w:rsidRPr="00792A32" w:rsidRDefault="008E7846" w:rsidP="008E7846">
      <w:pPr>
        <w:pStyle w:val="Heading2"/>
      </w:pPr>
      <w:bookmarkStart w:id="183" w:name="_Toc47017549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2"/>
      <w:bookmarkEnd w:id="181"/>
      <w:bookmarkEnd w:id="182"/>
      <w:bookmarkEnd w:id="183"/>
    </w:p>
    <w:p w:rsidR="008E7846" w:rsidRDefault="008E7846" w:rsidP="008E7846">
      <w:bookmarkStart w:id="18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85" w:name="_Toc314842511"/>
      <w:bookmarkStart w:id="186" w:name="_Toc470175492"/>
      <w:r>
        <w:t>Quality</w:t>
      </w:r>
      <w:bookmarkEnd w:id="184"/>
      <w:bookmarkEnd w:id="185"/>
      <w:bookmarkEnd w:id="186"/>
    </w:p>
    <w:p w:rsidR="00FC702B" w:rsidRDefault="00FC702B" w:rsidP="00AC339A">
      <w:bookmarkStart w:id="187" w:name="_Toc314842512"/>
      <w:r>
        <w:t xml:space="preserve">There are no outstanding issues in relation to </w:t>
      </w:r>
      <w:r w:rsidR="00AC339A">
        <w:t>the quality part</w:t>
      </w:r>
      <w:r>
        <w:t xml:space="preserve"> for this submission. GMP clearance at all sites needs confirmation prior to finalisation.</w:t>
      </w:r>
      <w:r w:rsidR="00AC339A">
        <w:t xml:space="preserve"> Pharmaceutical Subcommittee (</w:t>
      </w:r>
      <w:r>
        <w:t>PSC</w:t>
      </w:r>
      <w:r w:rsidR="00AC339A">
        <w:t>)</w:t>
      </w:r>
      <w:r>
        <w:t xml:space="preserve"> advice was not sought.</w:t>
      </w:r>
    </w:p>
    <w:p w:rsidR="008E7846" w:rsidRDefault="008E7846" w:rsidP="008E7846">
      <w:pPr>
        <w:pStyle w:val="Heading3"/>
      </w:pPr>
      <w:bookmarkStart w:id="188" w:name="_Toc470175493"/>
      <w:r>
        <w:t>Nonclinical</w:t>
      </w:r>
      <w:bookmarkEnd w:id="187"/>
      <w:bookmarkEnd w:id="188"/>
    </w:p>
    <w:p w:rsidR="00FC702B" w:rsidRDefault="00FC702B" w:rsidP="00AC339A">
      <w:bookmarkStart w:id="189" w:name="_Toc247691530"/>
      <w:bookmarkStart w:id="190" w:name="_Toc314842513"/>
      <w:r>
        <w:t xml:space="preserve">There are no </w:t>
      </w:r>
      <w:r w:rsidR="00AC339A">
        <w:t>nonclinical</w:t>
      </w:r>
      <w:r>
        <w:t xml:space="preserve"> objections to the registration of </w:t>
      </w:r>
      <w:r w:rsidR="005A6D01">
        <w:t>Descovy</w:t>
      </w:r>
      <w:r>
        <w:t xml:space="preserve">. The TGA nonclinical reports prepared for </w:t>
      </w:r>
      <w:r w:rsidR="005A6D01">
        <w:t>Descovy</w:t>
      </w:r>
      <w:r>
        <w:t xml:space="preserve"> and </w:t>
      </w:r>
      <w:r w:rsidR="00AA3643">
        <w:t>Genvoya</w:t>
      </w:r>
      <w:r>
        <w:t xml:space="preserve"> both apply to this submission. Pregnancy class is B3. Recommendations for PI have been detailed.</w:t>
      </w:r>
    </w:p>
    <w:p w:rsidR="008E7846" w:rsidRDefault="008E7846" w:rsidP="008E7846">
      <w:pPr>
        <w:pStyle w:val="Heading3"/>
      </w:pPr>
      <w:bookmarkStart w:id="191" w:name="_Toc470175494"/>
      <w:r>
        <w:t>Clinical</w:t>
      </w:r>
      <w:bookmarkEnd w:id="189"/>
      <w:bookmarkEnd w:id="190"/>
      <w:bookmarkEnd w:id="191"/>
    </w:p>
    <w:p w:rsidR="00FC702B" w:rsidRDefault="00FC702B" w:rsidP="00AC339A">
      <w:bookmarkStart w:id="192" w:name="_Toc314842514"/>
      <w:r>
        <w:t xml:space="preserve">The clinical development program for </w:t>
      </w:r>
      <w:r w:rsidR="00AA3643">
        <w:t>Genvoya</w:t>
      </w:r>
      <w:r>
        <w:t xml:space="preserve"> (EVG/COBI/FTC/TAF 150/150/200/10) is also the proposed evidence of clinical efficacy of </w:t>
      </w:r>
      <w:r w:rsidR="005A6D01">
        <w:t>Descovy</w:t>
      </w:r>
      <w:r>
        <w:t>.</w:t>
      </w:r>
    </w:p>
    <w:p w:rsidR="00FC702B" w:rsidRDefault="00AA3643" w:rsidP="00AC339A">
      <w:r>
        <w:lastRenderedPageBreak/>
        <w:t>Genvoya</w:t>
      </w:r>
      <w:r w:rsidR="00FC702B">
        <w:t xml:space="preserve"> has been approved (ARTG 233398) for the following indication:</w:t>
      </w:r>
    </w:p>
    <w:p w:rsidR="00FC702B" w:rsidRPr="00AC339A" w:rsidRDefault="00AA3643" w:rsidP="00AC339A">
      <w:pPr>
        <w:ind w:left="720"/>
        <w:rPr>
          <w:i/>
        </w:rPr>
      </w:pPr>
      <w:r w:rsidRPr="00AC339A">
        <w:rPr>
          <w:i/>
        </w:rPr>
        <w:t>Genvoya</w:t>
      </w:r>
      <w:r w:rsidR="00FC702B" w:rsidRPr="00AC339A">
        <w:rPr>
          <w:i/>
        </w:rPr>
        <w:t xml:space="preserve"> is indicated as a single tablet regimen for the treatment of HIV-1 infection in adults and adolescents aged 12 years of age and older with body weight at least 35 kg who are either treatment-naïve; or virologically suppressed (HIV-1 RNA &lt;50 copies/mL) on a stable antiretroviral regimen at start of therapy in order to replace their current antiretroviral treatment regimen (see CLINICAL TRIALS). Patients must not have a history of treatment failure or known mutations associated with resistance to the antire</w:t>
      </w:r>
      <w:r w:rsidR="00CD76EC" w:rsidRPr="00AC339A">
        <w:rPr>
          <w:i/>
        </w:rPr>
        <w:t xml:space="preserve">troviral components of </w:t>
      </w:r>
      <w:r w:rsidRPr="00AC339A">
        <w:rPr>
          <w:i/>
        </w:rPr>
        <w:t>Genvoya</w:t>
      </w:r>
      <w:r w:rsidR="00CD76EC" w:rsidRPr="00AC339A">
        <w:rPr>
          <w:i/>
        </w:rPr>
        <w:t>.</w:t>
      </w:r>
    </w:p>
    <w:p w:rsidR="00FC702B" w:rsidRDefault="00FC702B" w:rsidP="00AC339A">
      <w:r>
        <w:t xml:space="preserve">The </w:t>
      </w:r>
      <w:r w:rsidR="00AA3643">
        <w:t>Genvoya</w:t>
      </w:r>
      <w:r>
        <w:t xml:space="preserve"> clinical dossier included two pivotal </w:t>
      </w:r>
      <w:r w:rsidR="00E04BFC">
        <w:t>Phase III</w:t>
      </w:r>
      <w:r>
        <w:t xml:space="preserve"> efficacy trials in treatment naïve patients (GS-US-292-0104</w:t>
      </w:r>
      <w:r>
        <w:rPr>
          <w:b/>
        </w:rPr>
        <w:t xml:space="preserve"> </w:t>
      </w:r>
      <w:r>
        <w:t xml:space="preserve">and GS-US-292-0111) comparing </w:t>
      </w:r>
      <w:r w:rsidR="00AA3643">
        <w:t>Genvoya</w:t>
      </w:r>
      <w:r>
        <w:t xml:space="preserve"> (EVG/COBI/FTC/TAF 150/150/200/10) v</w:t>
      </w:r>
      <w:r w:rsidR="00AC339A">
        <w:t>ersu</w:t>
      </w:r>
      <w:r>
        <w:t xml:space="preserve">s </w:t>
      </w:r>
      <w:r w:rsidR="00AC339A" w:rsidRPr="00AC339A">
        <w:t>Stribild</w:t>
      </w:r>
      <w:r w:rsidR="00AC339A">
        <w:t xml:space="preserve"> </w:t>
      </w:r>
      <w:r>
        <w:t xml:space="preserve">(EVG/COBI/FTC/TDF 150/150/200/300), one </w:t>
      </w:r>
      <w:r w:rsidR="00E04BFC">
        <w:t>Phase III</w:t>
      </w:r>
      <w:r>
        <w:t xml:space="preserve"> TDF-based regimen/</w:t>
      </w:r>
      <w:r w:rsidR="00AA3643">
        <w:t>Genvoya</w:t>
      </w:r>
      <w:r>
        <w:t xml:space="preserve"> switching study in treatment experienced patients (GS-US-292-0109), one Phase </w:t>
      </w:r>
      <w:r w:rsidR="00AC339A">
        <w:t>II</w:t>
      </w:r>
      <w:r>
        <w:t xml:space="preserve"> </w:t>
      </w:r>
      <w:r w:rsidR="00AA3643">
        <w:t>Genvoya</w:t>
      </w:r>
      <w:r>
        <w:t xml:space="preserve"> efficacy study (GS-US-292-0102, including patients rolled over from DRV/COBI containing regimen in another </w:t>
      </w:r>
      <w:r w:rsidR="0043420A">
        <w:t xml:space="preserve">Study </w:t>
      </w:r>
      <w:r>
        <w:t>GS-US</w:t>
      </w:r>
      <w:r w:rsidR="00BF02AA">
        <w:t>-</w:t>
      </w:r>
      <w:r>
        <w:t xml:space="preserve">299-0102), one </w:t>
      </w:r>
      <w:r w:rsidR="00AA3643">
        <w:t>Genvoya</w:t>
      </w:r>
      <w:r>
        <w:t xml:space="preserve"> renal impairment study (GS-US-292-0112), one </w:t>
      </w:r>
      <w:r w:rsidR="00AA3643">
        <w:t>Genvoya</w:t>
      </w:r>
      <w:r>
        <w:t xml:space="preserve"> study in treatment-naïve HIV-infected 12 to &lt;18 years old adolescents (GS-US-292-0106) and one FTC/TAF drug interaction study (GS-US-120-0118).</w:t>
      </w:r>
    </w:p>
    <w:p w:rsidR="00FC702B" w:rsidRDefault="00FC702B" w:rsidP="00AC339A">
      <w:r>
        <w:t xml:space="preserve">The PK information, to be included in the </w:t>
      </w:r>
      <w:r w:rsidR="005A6D01">
        <w:t>Descovy</w:t>
      </w:r>
      <w:r>
        <w:t xml:space="preserve"> PI, is also based on data already assessed in the </w:t>
      </w:r>
      <w:r w:rsidR="00AA3643">
        <w:t>Genvoya</w:t>
      </w:r>
      <w:r>
        <w:t xml:space="preserve"> dossier including </w:t>
      </w:r>
      <w:r w:rsidRPr="00AC339A">
        <w:t>in vitro</w:t>
      </w:r>
      <w:r>
        <w:t xml:space="preserve"> data, dose selection (GS-US-120-0104) and comparability of TAF 1</w:t>
      </w:r>
      <w:r w:rsidR="00E04BFC">
        <w:t>0 mg</w:t>
      </w:r>
      <w:r>
        <w:t xml:space="preserve"> boosted v</w:t>
      </w:r>
      <w:r w:rsidR="00AC339A">
        <w:t>ersu</w:t>
      </w:r>
      <w:r>
        <w:t>s 2</w:t>
      </w:r>
      <w:r w:rsidR="00E04BFC">
        <w:t>5 mg</w:t>
      </w:r>
      <w:r>
        <w:t xml:space="preserve"> unboosted (studies GS-US-292-0103, GS-US-292-0101 and GS-US-311-0101), among others.</w:t>
      </w:r>
    </w:p>
    <w:p w:rsidR="00FC702B" w:rsidRDefault="00FC702B" w:rsidP="00AC339A">
      <w:r>
        <w:t xml:space="preserve">The </w:t>
      </w:r>
      <w:r w:rsidR="00AA3643">
        <w:t>Genvoya</w:t>
      </w:r>
      <w:r>
        <w:t xml:space="preserve"> clinical evaluation </w:t>
      </w:r>
      <w:proofErr w:type="gramStart"/>
      <w:r>
        <w:t xml:space="preserve">report, Delegate’s Request for </w:t>
      </w:r>
      <w:r w:rsidR="00CD2CF3">
        <w:t>Advisory Committee on Prescription Medicines (</w:t>
      </w:r>
      <w:r>
        <w:t>ACPM</w:t>
      </w:r>
      <w:r w:rsidR="00CD2CF3">
        <w:t>)</w:t>
      </w:r>
      <w:r>
        <w:t xml:space="preserve"> advice and the ACPM minutes for </w:t>
      </w:r>
      <w:r w:rsidR="00AA3643">
        <w:t>Genvoya</w:t>
      </w:r>
      <w:r>
        <w:t xml:space="preserve"> </w:t>
      </w:r>
      <w:r w:rsidR="00AC339A">
        <w:t>were</w:t>
      </w:r>
      <w:proofErr w:type="gramEnd"/>
      <w:r>
        <w:t xml:space="preserve"> provided </w:t>
      </w:r>
      <w:r w:rsidR="00AC339A">
        <w:t xml:space="preserve">to </w:t>
      </w:r>
      <w:r w:rsidR="00AC339A" w:rsidRPr="00CD2CF3">
        <w:t xml:space="preserve">the ACPM </w:t>
      </w:r>
      <w:r w:rsidRPr="00CD2CF3">
        <w:t>and should</w:t>
      </w:r>
      <w:r>
        <w:t xml:space="preserve"> be read in conjunction with this </w:t>
      </w:r>
      <w:r w:rsidR="00AC339A">
        <w:t xml:space="preserve">Delegate’s </w:t>
      </w:r>
      <w:r>
        <w:t xml:space="preserve">Overview. Only the </w:t>
      </w:r>
      <w:r w:rsidR="00EF064E">
        <w:t>S</w:t>
      </w:r>
      <w:r>
        <w:t xml:space="preserve">tudies GS-US-292-0106 (adolescents study) and GS-US-120-0118 (drug interactions) from the </w:t>
      </w:r>
      <w:r w:rsidR="00AA3643">
        <w:t>Genvoya</w:t>
      </w:r>
      <w:r>
        <w:t xml:space="preserve"> dossier are also briefly discussed in this </w:t>
      </w:r>
      <w:r w:rsidR="00AC339A">
        <w:t xml:space="preserve">Delegate’s </w:t>
      </w:r>
      <w:r>
        <w:t>Overview.</w:t>
      </w:r>
    </w:p>
    <w:p w:rsidR="00FC702B" w:rsidRDefault="00FC702B" w:rsidP="00AC339A">
      <w:r>
        <w:t xml:space="preserve">From regulatory standpoint, </w:t>
      </w:r>
      <w:r w:rsidR="005A6D01">
        <w:t>Descovy</w:t>
      </w:r>
      <w:r>
        <w:t xml:space="preserve"> is not a generic of </w:t>
      </w:r>
      <w:r w:rsidR="00AC339A">
        <w:t>Truvada</w:t>
      </w:r>
      <w:r>
        <w:t xml:space="preserve">. Hence its assessment as a standalone product, based principally on the </w:t>
      </w:r>
      <w:r w:rsidR="00AA3643">
        <w:t>Genvoya</w:t>
      </w:r>
      <w:r>
        <w:t xml:space="preserve"> clinical dossier, has limitations of inference </w:t>
      </w:r>
      <w:r w:rsidR="00AC339A">
        <w:t>for example,</w:t>
      </w:r>
      <w:r>
        <w:t xml:space="preserve"> </w:t>
      </w:r>
      <w:r w:rsidR="00AA3643">
        <w:t>Genvoya</w:t>
      </w:r>
      <w:r>
        <w:t xml:space="preserve"> studies do not address the issue of </w:t>
      </w:r>
      <w:r w:rsidR="005A6D01">
        <w:t>Descovy</w:t>
      </w:r>
      <w:r>
        <w:t xml:space="preserve"> (200/10) administered with any ART other than with EVG/COBI or use of </w:t>
      </w:r>
      <w:r w:rsidR="005A6D01">
        <w:t>Descovy</w:t>
      </w:r>
      <w:r>
        <w:t xml:space="preserve"> (200/25) unboosted with </w:t>
      </w:r>
      <w:r w:rsidR="00AC339A">
        <w:t>third</w:t>
      </w:r>
      <w:r>
        <w:t xml:space="preserve"> anti-retroviral agents. In other words, the </w:t>
      </w:r>
      <w:r w:rsidR="00AA3643">
        <w:t>Genvoya</w:t>
      </w:r>
      <w:r>
        <w:t xml:space="preserve"> dossier can only go so far as to establish the efficacy of FTC/TDF (200/10) in combination with EVG/COB (150/150) either as fixed dose or in free combination.</w:t>
      </w:r>
    </w:p>
    <w:p w:rsidR="00FC702B" w:rsidRDefault="00FC702B" w:rsidP="00CD76EC">
      <w:pPr>
        <w:pStyle w:val="Heading4"/>
        <w:rPr>
          <w:szCs w:val="20"/>
        </w:rPr>
      </w:pPr>
      <w:r>
        <w:t>Pharmacokinetics</w:t>
      </w:r>
    </w:p>
    <w:p w:rsidR="00FC702B" w:rsidRDefault="00FC702B" w:rsidP="00AC339A">
      <w:r>
        <w:t xml:space="preserve">The PI data particular to this submission consists of two Bioequivalence (BE) studies of </w:t>
      </w:r>
      <w:r w:rsidR="005A6D01">
        <w:t>Descovy</w:t>
      </w:r>
      <w:r>
        <w:t xml:space="preserve"> v</w:t>
      </w:r>
      <w:r w:rsidR="00AC339A">
        <w:t>ersu</w:t>
      </w:r>
      <w:r>
        <w:t xml:space="preserve">s </w:t>
      </w:r>
      <w:r w:rsidR="00AA3643">
        <w:t>Genvoya</w:t>
      </w:r>
      <w:r>
        <w:t>. The FTC/TAF 200/10 and 200/25 formulations for which BE to EVG/COBI/FTC/TAF was demonstrated, are identical to the proposed commercial FTC/TAF tablets.</w:t>
      </w:r>
    </w:p>
    <w:p w:rsidR="00FC702B" w:rsidRDefault="00FC702B" w:rsidP="00AC339A">
      <w:r>
        <w:t xml:space="preserve">The 2 </w:t>
      </w:r>
      <w:r w:rsidR="00AC339A">
        <w:t>bioequivalence (</w:t>
      </w:r>
      <w:r>
        <w:t>BE</w:t>
      </w:r>
      <w:r w:rsidR="00AC339A">
        <w:t>)</w:t>
      </w:r>
      <w:r>
        <w:t xml:space="preserve"> studies of </w:t>
      </w:r>
      <w:r w:rsidR="005A6D01">
        <w:t>Descovy</w:t>
      </w:r>
      <w:r>
        <w:t xml:space="preserve"> (Study GS-US-311-1472 </w:t>
      </w:r>
      <w:r w:rsidR="00AC339A">
        <w:t>and</w:t>
      </w:r>
      <w:r>
        <w:t xml:space="preserve"> Study GS-US-311-1473) were carried out as the bridging evidence linking </w:t>
      </w:r>
      <w:r w:rsidR="005A6D01">
        <w:t>Descovy</w:t>
      </w:r>
      <w:r>
        <w:t xml:space="preserve"> (FTC/FTC) to </w:t>
      </w:r>
      <w:r w:rsidR="00AA3643">
        <w:t>Genvoya</w:t>
      </w:r>
      <w:r>
        <w:t xml:space="preserve"> (EVG/COBI/FTC/TAF) implying that </w:t>
      </w:r>
      <w:r w:rsidR="005A6D01">
        <w:t>Descovy</w:t>
      </w:r>
      <w:r>
        <w:t xml:space="preserve"> (FTC/TAF) has same clinical efficacy as </w:t>
      </w:r>
      <w:r w:rsidR="00AA3643">
        <w:t>Genvoya</w:t>
      </w:r>
      <w:r>
        <w:t xml:space="preserve"> when combined with COBI and EVG in a free combination or when combined with various other anti-retroviral agents with or without boosting with cobicistat or ritonavir. The latter extrapolation is more problematic.</w:t>
      </w:r>
    </w:p>
    <w:p w:rsidR="00FC702B" w:rsidRDefault="00FC702B" w:rsidP="00AC339A">
      <w:r>
        <w:t>Both studies were single dose, 2-way crossover studies in healthy volunteers under fed conditions:</w:t>
      </w:r>
    </w:p>
    <w:p w:rsidR="00FC702B" w:rsidRPr="008342C8" w:rsidRDefault="00FC702B" w:rsidP="008342C8">
      <w:r w:rsidRPr="008342C8">
        <w:rPr>
          <w:rStyle w:val="Heading5Char"/>
          <w:rFonts w:eastAsia="Cambria"/>
        </w:rPr>
        <w:t>Study GS-US-311-1472</w:t>
      </w:r>
      <w:r w:rsidRPr="008342C8">
        <w:t xml:space="preserve"> satisfactorily demonstrated the BE of FTC and TAF for FTC/TAF (200/10) plus EVG/COBI (150/150) versus EVG/COBI/FTC/TAF (150/150/200/10)</w:t>
      </w:r>
      <w:r w:rsidR="00AC339A" w:rsidRPr="008342C8">
        <w:t xml:space="preserve"> (Table 14).</w:t>
      </w:r>
    </w:p>
    <w:p w:rsidR="00AC339A" w:rsidRDefault="008342C8" w:rsidP="008342C8">
      <w:pPr>
        <w:pStyle w:val="TableTitle"/>
      </w:pPr>
      <w:r>
        <w:lastRenderedPageBreak/>
        <w:t xml:space="preserve">Table 14: </w:t>
      </w:r>
      <w:r w:rsidRPr="008342C8">
        <w:t>Study GS-US-311-1472</w:t>
      </w:r>
      <w:r>
        <w:t xml:space="preserve"> results</w:t>
      </w:r>
    </w:p>
    <w:tbl>
      <w:tblPr>
        <w:tblStyle w:val="TableTGAblue"/>
        <w:tblW w:w="0" w:type="auto"/>
        <w:tblInd w:w="108" w:type="dxa"/>
        <w:tblLook w:val="04A0" w:firstRow="1" w:lastRow="0" w:firstColumn="1" w:lastColumn="0" w:noHBand="0" w:noVBand="1"/>
      </w:tblPr>
      <w:tblGrid>
        <w:gridCol w:w="2694"/>
        <w:gridCol w:w="3118"/>
        <w:gridCol w:w="2552"/>
      </w:tblGrid>
      <w:tr w:rsidR="00FC702B" w:rsidRPr="00662E2E" w:rsidTr="0043420A">
        <w:trPr>
          <w:cnfStyle w:val="100000000000" w:firstRow="1" w:lastRow="0" w:firstColumn="0" w:lastColumn="0" w:oddVBand="0" w:evenVBand="0" w:oddHBand="0" w:evenHBand="0" w:firstRowFirstColumn="0" w:firstRowLastColumn="0" w:lastRowFirstColumn="0" w:lastRowLastColumn="0"/>
        </w:trPr>
        <w:tc>
          <w:tcPr>
            <w:tcW w:w="2694" w:type="dxa"/>
            <w:hideMark/>
          </w:tcPr>
          <w:p w:rsidR="00FC702B" w:rsidRPr="00662E2E" w:rsidRDefault="00FC702B" w:rsidP="00662E2E">
            <w:pPr>
              <w:rPr>
                <w:rFonts w:eastAsia="MS Mincho"/>
                <w:lang w:eastAsia="ja-JP"/>
              </w:rPr>
            </w:pPr>
            <w:r w:rsidRPr="00662E2E">
              <w:t>Study GS-US-311-1472</w:t>
            </w:r>
          </w:p>
        </w:tc>
        <w:tc>
          <w:tcPr>
            <w:tcW w:w="3118" w:type="dxa"/>
            <w:hideMark/>
          </w:tcPr>
          <w:p w:rsidR="00FC702B" w:rsidRPr="00662E2E" w:rsidRDefault="00FC702B" w:rsidP="00662E2E">
            <w:pPr>
              <w:rPr>
                <w:rFonts w:eastAsia="MS Mincho"/>
                <w:lang w:eastAsia="ja-JP"/>
              </w:rPr>
            </w:pPr>
            <w:r w:rsidRPr="00662E2E">
              <w:t>Ratio of means (%)</w:t>
            </w:r>
          </w:p>
        </w:tc>
        <w:tc>
          <w:tcPr>
            <w:tcW w:w="2552" w:type="dxa"/>
            <w:hideMark/>
          </w:tcPr>
          <w:p w:rsidR="00FC702B" w:rsidRPr="00662E2E" w:rsidRDefault="00FC702B" w:rsidP="00662E2E">
            <w:pPr>
              <w:rPr>
                <w:rFonts w:eastAsia="MS Mincho"/>
                <w:lang w:eastAsia="ja-JP"/>
              </w:rPr>
            </w:pPr>
            <w:r w:rsidRPr="00662E2E">
              <w:t>90%CI</w:t>
            </w:r>
          </w:p>
        </w:tc>
      </w:tr>
      <w:tr w:rsidR="00FC702B" w:rsidRPr="00662E2E" w:rsidTr="0043420A">
        <w:tc>
          <w:tcPr>
            <w:tcW w:w="2694" w:type="dxa"/>
            <w:hideMark/>
          </w:tcPr>
          <w:p w:rsidR="00FC702B" w:rsidRPr="00662E2E" w:rsidRDefault="00FC702B" w:rsidP="00662E2E">
            <w:pPr>
              <w:rPr>
                <w:rFonts w:eastAsia="MS Mincho"/>
                <w:b/>
                <w:lang w:eastAsia="ja-JP"/>
              </w:rPr>
            </w:pPr>
            <w:r w:rsidRPr="00662E2E">
              <w:rPr>
                <w:b/>
              </w:rPr>
              <w:t>TAF</w:t>
            </w:r>
          </w:p>
        </w:tc>
        <w:tc>
          <w:tcPr>
            <w:tcW w:w="3118" w:type="dxa"/>
          </w:tcPr>
          <w:p w:rsidR="00FC702B" w:rsidRPr="00662E2E" w:rsidRDefault="00FC702B" w:rsidP="00662E2E">
            <w:pPr>
              <w:rPr>
                <w:rFonts w:eastAsia="MS Mincho"/>
                <w:lang w:eastAsia="ja-JP"/>
              </w:rPr>
            </w:pPr>
          </w:p>
        </w:tc>
        <w:tc>
          <w:tcPr>
            <w:tcW w:w="2552" w:type="dxa"/>
          </w:tcPr>
          <w:p w:rsidR="00FC702B" w:rsidRPr="00662E2E" w:rsidRDefault="00FC702B" w:rsidP="00662E2E">
            <w:pPr>
              <w:rPr>
                <w:rFonts w:eastAsia="MS Mincho"/>
                <w:lang w:eastAsia="ja-JP"/>
              </w:rPr>
            </w:pPr>
          </w:p>
        </w:tc>
      </w:tr>
      <w:tr w:rsidR="00FC702B" w:rsidRPr="00662E2E" w:rsidTr="0043420A">
        <w:tc>
          <w:tcPr>
            <w:tcW w:w="2694" w:type="dxa"/>
            <w:hideMark/>
          </w:tcPr>
          <w:p w:rsidR="00FC702B" w:rsidRPr="00662E2E" w:rsidRDefault="00FC702B" w:rsidP="00662E2E">
            <w:pPr>
              <w:rPr>
                <w:rFonts w:eastAsia="MS Mincho"/>
                <w:b/>
                <w:lang w:eastAsia="ja-JP"/>
              </w:rPr>
            </w:pPr>
            <w:r w:rsidRPr="00662E2E">
              <w:rPr>
                <w:b/>
              </w:rPr>
              <w:t>C</w:t>
            </w:r>
            <w:r w:rsidRPr="00662E2E">
              <w:rPr>
                <w:b/>
                <w:vertAlign w:val="subscript"/>
              </w:rPr>
              <w:t>max</w:t>
            </w:r>
          </w:p>
        </w:tc>
        <w:tc>
          <w:tcPr>
            <w:tcW w:w="3118" w:type="dxa"/>
            <w:hideMark/>
          </w:tcPr>
          <w:p w:rsidR="00FC702B" w:rsidRPr="00662E2E" w:rsidRDefault="00FC702B" w:rsidP="00662E2E">
            <w:pPr>
              <w:rPr>
                <w:rFonts w:eastAsia="MS Mincho"/>
                <w:lang w:eastAsia="ja-JP"/>
              </w:rPr>
            </w:pPr>
            <w:r w:rsidRPr="00662E2E">
              <w:t>96.86</w:t>
            </w:r>
          </w:p>
        </w:tc>
        <w:tc>
          <w:tcPr>
            <w:tcW w:w="2552" w:type="dxa"/>
            <w:hideMark/>
          </w:tcPr>
          <w:p w:rsidR="00FC702B" w:rsidRPr="00662E2E" w:rsidRDefault="00FC702B" w:rsidP="00662E2E">
            <w:pPr>
              <w:rPr>
                <w:rFonts w:eastAsia="MS Mincho"/>
                <w:lang w:eastAsia="ja-JP"/>
              </w:rPr>
            </w:pPr>
            <w:r w:rsidRPr="00662E2E">
              <w:t>89.36, 104.99</w:t>
            </w:r>
          </w:p>
        </w:tc>
      </w:tr>
      <w:tr w:rsidR="00FC702B" w:rsidRPr="00662E2E" w:rsidTr="0043420A">
        <w:tc>
          <w:tcPr>
            <w:tcW w:w="2694" w:type="dxa"/>
            <w:hideMark/>
          </w:tcPr>
          <w:p w:rsidR="00FC702B" w:rsidRPr="00662E2E" w:rsidRDefault="00FC702B" w:rsidP="00662E2E">
            <w:pPr>
              <w:rPr>
                <w:rFonts w:eastAsia="MS Mincho"/>
                <w:b/>
                <w:lang w:eastAsia="ja-JP"/>
              </w:rPr>
            </w:pPr>
            <w:r w:rsidRPr="00662E2E">
              <w:rPr>
                <w:b/>
              </w:rPr>
              <w:t>AUC</w:t>
            </w:r>
            <w:r w:rsidRPr="00662E2E">
              <w:rPr>
                <w:b/>
                <w:vertAlign w:val="subscript"/>
              </w:rPr>
              <w:t>inf</w:t>
            </w:r>
          </w:p>
        </w:tc>
        <w:tc>
          <w:tcPr>
            <w:tcW w:w="3118" w:type="dxa"/>
            <w:hideMark/>
          </w:tcPr>
          <w:p w:rsidR="00FC702B" w:rsidRPr="00662E2E" w:rsidRDefault="00FC702B" w:rsidP="00662E2E">
            <w:pPr>
              <w:rPr>
                <w:rFonts w:eastAsia="MS Mincho"/>
                <w:lang w:eastAsia="ja-JP"/>
              </w:rPr>
            </w:pPr>
            <w:r w:rsidRPr="00662E2E">
              <w:t>98.34</w:t>
            </w:r>
          </w:p>
        </w:tc>
        <w:tc>
          <w:tcPr>
            <w:tcW w:w="2552" w:type="dxa"/>
            <w:hideMark/>
          </w:tcPr>
          <w:p w:rsidR="00FC702B" w:rsidRPr="00662E2E" w:rsidRDefault="00FC702B" w:rsidP="00662E2E">
            <w:pPr>
              <w:rPr>
                <w:rFonts w:eastAsia="MS Mincho"/>
                <w:lang w:eastAsia="ja-JP"/>
              </w:rPr>
            </w:pPr>
            <w:r w:rsidRPr="00662E2E">
              <w:t>94.81, 101.00</w:t>
            </w:r>
          </w:p>
        </w:tc>
      </w:tr>
      <w:tr w:rsidR="00FC702B" w:rsidRPr="00662E2E" w:rsidTr="0043420A">
        <w:tc>
          <w:tcPr>
            <w:tcW w:w="2694" w:type="dxa"/>
            <w:hideMark/>
          </w:tcPr>
          <w:p w:rsidR="00FC702B" w:rsidRPr="00662E2E" w:rsidRDefault="00FC702B" w:rsidP="00662E2E">
            <w:pPr>
              <w:rPr>
                <w:rFonts w:eastAsia="MS Mincho"/>
                <w:b/>
                <w:lang w:eastAsia="ja-JP"/>
              </w:rPr>
            </w:pPr>
            <w:r w:rsidRPr="00662E2E">
              <w:rPr>
                <w:b/>
              </w:rPr>
              <w:t>FTC</w:t>
            </w:r>
          </w:p>
        </w:tc>
        <w:tc>
          <w:tcPr>
            <w:tcW w:w="3118" w:type="dxa"/>
          </w:tcPr>
          <w:p w:rsidR="00FC702B" w:rsidRPr="00662E2E" w:rsidRDefault="00FC702B" w:rsidP="00662E2E">
            <w:pPr>
              <w:rPr>
                <w:rFonts w:eastAsia="MS Mincho"/>
                <w:lang w:eastAsia="ja-JP"/>
              </w:rPr>
            </w:pPr>
          </w:p>
        </w:tc>
        <w:tc>
          <w:tcPr>
            <w:tcW w:w="2552" w:type="dxa"/>
          </w:tcPr>
          <w:p w:rsidR="00FC702B" w:rsidRPr="00662E2E" w:rsidRDefault="00FC702B" w:rsidP="00662E2E">
            <w:pPr>
              <w:rPr>
                <w:rFonts w:eastAsia="MS Mincho"/>
                <w:lang w:eastAsia="ja-JP"/>
              </w:rPr>
            </w:pPr>
          </w:p>
        </w:tc>
      </w:tr>
      <w:tr w:rsidR="00FC702B" w:rsidRPr="00662E2E" w:rsidTr="0043420A">
        <w:tc>
          <w:tcPr>
            <w:tcW w:w="2694" w:type="dxa"/>
            <w:hideMark/>
          </w:tcPr>
          <w:p w:rsidR="00FC702B" w:rsidRPr="00662E2E" w:rsidRDefault="00FC702B" w:rsidP="00662E2E">
            <w:pPr>
              <w:rPr>
                <w:rFonts w:eastAsia="MS Mincho"/>
                <w:b/>
                <w:lang w:eastAsia="ja-JP"/>
              </w:rPr>
            </w:pPr>
            <w:r w:rsidRPr="00662E2E">
              <w:rPr>
                <w:b/>
              </w:rPr>
              <w:t>C</w:t>
            </w:r>
            <w:r w:rsidRPr="00662E2E">
              <w:rPr>
                <w:b/>
                <w:vertAlign w:val="subscript"/>
              </w:rPr>
              <w:t>max</w:t>
            </w:r>
          </w:p>
        </w:tc>
        <w:tc>
          <w:tcPr>
            <w:tcW w:w="3118" w:type="dxa"/>
            <w:hideMark/>
          </w:tcPr>
          <w:p w:rsidR="00FC702B" w:rsidRPr="00662E2E" w:rsidRDefault="00FC702B" w:rsidP="00662E2E">
            <w:pPr>
              <w:rPr>
                <w:rFonts w:eastAsia="MS Mincho"/>
                <w:lang w:eastAsia="ja-JP"/>
              </w:rPr>
            </w:pPr>
            <w:r w:rsidRPr="00662E2E">
              <w:t>99.57</w:t>
            </w:r>
          </w:p>
        </w:tc>
        <w:tc>
          <w:tcPr>
            <w:tcW w:w="2552" w:type="dxa"/>
            <w:hideMark/>
          </w:tcPr>
          <w:p w:rsidR="00FC702B" w:rsidRPr="00662E2E" w:rsidRDefault="00FC702B" w:rsidP="00662E2E">
            <w:pPr>
              <w:rPr>
                <w:rFonts w:eastAsia="MS Mincho"/>
                <w:lang w:eastAsia="ja-JP"/>
              </w:rPr>
            </w:pPr>
            <w:r w:rsidRPr="00662E2E">
              <w:t>96.78, 102.44</w:t>
            </w:r>
          </w:p>
        </w:tc>
      </w:tr>
      <w:tr w:rsidR="00FC702B" w:rsidRPr="00662E2E" w:rsidTr="0043420A">
        <w:tc>
          <w:tcPr>
            <w:tcW w:w="2694" w:type="dxa"/>
            <w:hideMark/>
          </w:tcPr>
          <w:p w:rsidR="00FC702B" w:rsidRPr="00662E2E" w:rsidRDefault="00FC702B" w:rsidP="00662E2E">
            <w:pPr>
              <w:rPr>
                <w:rFonts w:eastAsia="MS Mincho"/>
                <w:b/>
                <w:lang w:eastAsia="ja-JP"/>
              </w:rPr>
            </w:pPr>
            <w:r w:rsidRPr="00662E2E">
              <w:rPr>
                <w:b/>
              </w:rPr>
              <w:t>AUC</w:t>
            </w:r>
            <w:r w:rsidRPr="00662E2E">
              <w:rPr>
                <w:b/>
                <w:vertAlign w:val="subscript"/>
              </w:rPr>
              <w:t>inf</w:t>
            </w:r>
          </w:p>
        </w:tc>
        <w:tc>
          <w:tcPr>
            <w:tcW w:w="3118" w:type="dxa"/>
            <w:hideMark/>
          </w:tcPr>
          <w:p w:rsidR="00FC702B" w:rsidRPr="00662E2E" w:rsidRDefault="00FC702B" w:rsidP="00662E2E">
            <w:pPr>
              <w:rPr>
                <w:rFonts w:eastAsia="MS Mincho"/>
                <w:lang w:eastAsia="ja-JP"/>
              </w:rPr>
            </w:pPr>
            <w:r w:rsidRPr="00662E2E">
              <w:t>100.67</w:t>
            </w:r>
          </w:p>
        </w:tc>
        <w:tc>
          <w:tcPr>
            <w:tcW w:w="2552" w:type="dxa"/>
            <w:hideMark/>
          </w:tcPr>
          <w:p w:rsidR="00FC702B" w:rsidRPr="00662E2E" w:rsidRDefault="00FC702B" w:rsidP="00662E2E">
            <w:pPr>
              <w:rPr>
                <w:rFonts w:eastAsia="MS Mincho"/>
                <w:lang w:eastAsia="ja-JP"/>
              </w:rPr>
            </w:pPr>
            <w:r w:rsidRPr="00662E2E">
              <w:t>98.24, 103.16</w:t>
            </w:r>
          </w:p>
        </w:tc>
      </w:tr>
    </w:tbl>
    <w:p w:rsidR="00FC702B" w:rsidRDefault="00FC702B" w:rsidP="00CD76EC">
      <w:pPr>
        <w:rPr>
          <w:rFonts w:eastAsia="MS Mincho"/>
          <w:szCs w:val="20"/>
          <w:lang w:eastAsia="ja-JP"/>
        </w:rPr>
      </w:pPr>
      <w:r>
        <w:t>This study supports the use of TAF 1</w:t>
      </w:r>
      <w:r w:rsidR="00E04BFC">
        <w:t>0 mg</w:t>
      </w:r>
      <w:r>
        <w:t xml:space="preserve"> dose when boosting (with COBI).</w:t>
      </w:r>
    </w:p>
    <w:p w:rsidR="00FC702B" w:rsidRDefault="00FC702B" w:rsidP="008342C8">
      <w:r w:rsidRPr="008342C8">
        <w:rPr>
          <w:rStyle w:val="Heading5Char"/>
          <w:rFonts w:eastAsia="Cambria"/>
        </w:rPr>
        <w:t>Study GS-US-311-1473</w:t>
      </w:r>
      <w:r>
        <w:t xml:space="preserve"> satisfactorily demonstrated the BE of FTC and TAF for unboosted FTC/TAF (200/25) </w:t>
      </w:r>
      <w:r w:rsidRPr="008342C8">
        <w:t>versus</w:t>
      </w:r>
      <w:r>
        <w:t xml:space="preserve"> EVG/COBI/FTC/TAF (</w:t>
      </w:r>
      <w:r w:rsidR="008342C8">
        <w:t>150/150/200/10) (Table 15).</w:t>
      </w:r>
    </w:p>
    <w:p w:rsidR="008342C8" w:rsidRDefault="008342C8" w:rsidP="008342C8">
      <w:pPr>
        <w:pStyle w:val="TableTitle"/>
      </w:pPr>
      <w:r>
        <w:t xml:space="preserve">Table 16: </w:t>
      </w:r>
      <w:r w:rsidRPr="00CD76EC">
        <w:t>Study GS-US-311-1473</w:t>
      </w:r>
      <w:r>
        <w:t xml:space="preserve"> results</w:t>
      </w:r>
    </w:p>
    <w:tbl>
      <w:tblPr>
        <w:tblStyle w:val="TableTGAblue"/>
        <w:tblW w:w="0" w:type="auto"/>
        <w:tblLook w:val="04A0" w:firstRow="1" w:lastRow="0" w:firstColumn="1" w:lastColumn="0" w:noHBand="0" w:noVBand="1"/>
      </w:tblPr>
      <w:tblGrid>
        <w:gridCol w:w="2410"/>
        <w:gridCol w:w="2552"/>
        <w:gridCol w:w="2976"/>
      </w:tblGrid>
      <w:tr w:rsidR="00FC702B" w:rsidRPr="00662E2E" w:rsidTr="008342C8">
        <w:trPr>
          <w:cnfStyle w:val="100000000000" w:firstRow="1" w:lastRow="0" w:firstColumn="0" w:lastColumn="0" w:oddVBand="0" w:evenVBand="0" w:oddHBand="0" w:evenHBand="0" w:firstRowFirstColumn="0" w:firstRowLastColumn="0" w:lastRowFirstColumn="0" w:lastRowLastColumn="0"/>
        </w:trPr>
        <w:tc>
          <w:tcPr>
            <w:tcW w:w="2410" w:type="dxa"/>
            <w:hideMark/>
          </w:tcPr>
          <w:p w:rsidR="00FC702B" w:rsidRPr="00662E2E" w:rsidRDefault="00FC702B" w:rsidP="00662E2E">
            <w:pPr>
              <w:rPr>
                <w:rFonts w:eastAsia="MS Mincho"/>
                <w:lang w:eastAsia="ja-JP"/>
              </w:rPr>
            </w:pPr>
            <w:r w:rsidRPr="00662E2E">
              <w:t>Study GS-US-311-1473</w:t>
            </w:r>
          </w:p>
        </w:tc>
        <w:tc>
          <w:tcPr>
            <w:tcW w:w="2552" w:type="dxa"/>
            <w:hideMark/>
          </w:tcPr>
          <w:p w:rsidR="00FC702B" w:rsidRPr="00662E2E" w:rsidRDefault="00FC702B" w:rsidP="00662E2E">
            <w:pPr>
              <w:rPr>
                <w:rFonts w:eastAsia="MS Mincho"/>
                <w:lang w:eastAsia="ja-JP"/>
              </w:rPr>
            </w:pPr>
            <w:r w:rsidRPr="00662E2E">
              <w:t>Ratio of means (%)</w:t>
            </w:r>
          </w:p>
        </w:tc>
        <w:tc>
          <w:tcPr>
            <w:tcW w:w="2976" w:type="dxa"/>
            <w:hideMark/>
          </w:tcPr>
          <w:p w:rsidR="00FC702B" w:rsidRPr="00662E2E" w:rsidRDefault="00FC702B" w:rsidP="00662E2E">
            <w:pPr>
              <w:rPr>
                <w:rFonts w:eastAsia="MS Mincho"/>
                <w:lang w:eastAsia="ja-JP"/>
              </w:rPr>
            </w:pPr>
            <w:r w:rsidRPr="00662E2E">
              <w:t>90%CI</w:t>
            </w:r>
          </w:p>
        </w:tc>
      </w:tr>
      <w:tr w:rsidR="00FC702B" w:rsidRPr="00662E2E" w:rsidTr="008342C8">
        <w:tc>
          <w:tcPr>
            <w:tcW w:w="2410" w:type="dxa"/>
            <w:hideMark/>
          </w:tcPr>
          <w:p w:rsidR="00FC702B" w:rsidRPr="00662E2E" w:rsidRDefault="00FC702B" w:rsidP="00662E2E">
            <w:pPr>
              <w:rPr>
                <w:rFonts w:eastAsia="MS Mincho"/>
                <w:b/>
                <w:lang w:eastAsia="ja-JP"/>
              </w:rPr>
            </w:pPr>
            <w:r w:rsidRPr="00662E2E">
              <w:rPr>
                <w:b/>
              </w:rPr>
              <w:t>TAF</w:t>
            </w:r>
          </w:p>
        </w:tc>
        <w:tc>
          <w:tcPr>
            <w:tcW w:w="2552" w:type="dxa"/>
          </w:tcPr>
          <w:p w:rsidR="00FC702B" w:rsidRPr="00662E2E" w:rsidRDefault="00FC702B" w:rsidP="00662E2E">
            <w:pPr>
              <w:rPr>
                <w:rFonts w:eastAsia="MS Mincho"/>
                <w:lang w:eastAsia="ja-JP"/>
              </w:rPr>
            </w:pPr>
          </w:p>
        </w:tc>
        <w:tc>
          <w:tcPr>
            <w:tcW w:w="2976" w:type="dxa"/>
          </w:tcPr>
          <w:p w:rsidR="00FC702B" w:rsidRPr="00662E2E" w:rsidRDefault="00FC702B" w:rsidP="00662E2E">
            <w:pPr>
              <w:rPr>
                <w:rFonts w:eastAsia="MS Mincho"/>
                <w:lang w:eastAsia="ja-JP"/>
              </w:rPr>
            </w:pPr>
          </w:p>
        </w:tc>
      </w:tr>
      <w:tr w:rsidR="00FC702B" w:rsidRPr="00662E2E" w:rsidTr="008342C8">
        <w:tc>
          <w:tcPr>
            <w:tcW w:w="2410" w:type="dxa"/>
            <w:hideMark/>
          </w:tcPr>
          <w:p w:rsidR="00FC702B" w:rsidRPr="00662E2E" w:rsidRDefault="00FC702B" w:rsidP="00662E2E">
            <w:pPr>
              <w:rPr>
                <w:rFonts w:eastAsia="MS Mincho"/>
                <w:b/>
                <w:lang w:eastAsia="ja-JP"/>
              </w:rPr>
            </w:pPr>
            <w:r w:rsidRPr="00662E2E">
              <w:rPr>
                <w:b/>
              </w:rPr>
              <w:t>C</w:t>
            </w:r>
            <w:r w:rsidRPr="00662E2E">
              <w:rPr>
                <w:b/>
                <w:vertAlign w:val="subscript"/>
              </w:rPr>
              <w:t>max</w:t>
            </w:r>
          </w:p>
        </w:tc>
        <w:tc>
          <w:tcPr>
            <w:tcW w:w="2552" w:type="dxa"/>
            <w:hideMark/>
          </w:tcPr>
          <w:p w:rsidR="00FC702B" w:rsidRPr="00662E2E" w:rsidRDefault="00FC702B" w:rsidP="00662E2E">
            <w:pPr>
              <w:rPr>
                <w:rFonts w:eastAsia="MS Mincho"/>
                <w:lang w:eastAsia="ja-JP"/>
              </w:rPr>
            </w:pPr>
            <w:r w:rsidRPr="00662E2E">
              <w:t>103.63</w:t>
            </w:r>
          </w:p>
        </w:tc>
        <w:tc>
          <w:tcPr>
            <w:tcW w:w="2976" w:type="dxa"/>
            <w:hideMark/>
          </w:tcPr>
          <w:p w:rsidR="00FC702B" w:rsidRPr="00662E2E" w:rsidRDefault="00FC702B" w:rsidP="00662E2E">
            <w:pPr>
              <w:rPr>
                <w:rFonts w:eastAsia="MS Mincho"/>
                <w:lang w:eastAsia="ja-JP"/>
              </w:rPr>
            </w:pPr>
            <w:r w:rsidRPr="00662E2E">
              <w:t>95.46, 112.49</w:t>
            </w:r>
          </w:p>
        </w:tc>
      </w:tr>
      <w:tr w:rsidR="00FC702B" w:rsidRPr="00662E2E" w:rsidTr="008342C8">
        <w:tc>
          <w:tcPr>
            <w:tcW w:w="2410" w:type="dxa"/>
            <w:hideMark/>
          </w:tcPr>
          <w:p w:rsidR="00FC702B" w:rsidRPr="00662E2E" w:rsidRDefault="00FC702B" w:rsidP="00662E2E">
            <w:pPr>
              <w:rPr>
                <w:rFonts w:eastAsia="MS Mincho"/>
                <w:b/>
                <w:lang w:eastAsia="ja-JP"/>
              </w:rPr>
            </w:pPr>
            <w:r w:rsidRPr="00662E2E">
              <w:rPr>
                <w:b/>
              </w:rPr>
              <w:t>AUC</w:t>
            </w:r>
            <w:r w:rsidRPr="00662E2E">
              <w:rPr>
                <w:b/>
                <w:vertAlign w:val="subscript"/>
              </w:rPr>
              <w:t>inf</w:t>
            </w:r>
          </w:p>
        </w:tc>
        <w:tc>
          <w:tcPr>
            <w:tcW w:w="2552" w:type="dxa"/>
            <w:hideMark/>
          </w:tcPr>
          <w:p w:rsidR="00FC702B" w:rsidRPr="00662E2E" w:rsidRDefault="00FC702B" w:rsidP="00662E2E">
            <w:pPr>
              <w:rPr>
                <w:rFonts w:eastAsia="MS Mincho"/>
                <w:lang w:eastAsia="ja-JP"/>
              </w:rPr>
            </w:pPr>
            <w:r w:rsidRPr="00662E2E">
              <w:t>98.54</w:t>
            </w:r>
          </w:p>
        </w:tc>
        <w:tc>
          <w:tcPr>
            <w:tcW w:w="2976" w:type="dxa"/>
            <w:hideMark/>
          </w:tcPr>
          <w:p w:rsidR="00FC702B" w:rsidRPr="00662E2E" w:rsidRDefault="00FC702B" w:rsidP="00662E2E">
            <w:pPr>
              <w:rPr>
                <w:rFonts w:eastAsia="MS Mincho"/>
                <w:lang w:eastAsia="ja-JP"/>
              </w:rPr>
            </w:pPr>
            <w:r w:rsidRPr="00662E2E">
              <w:t>94.61, 102.62</w:t>
            </w:r>
          </w:p>
        </w:tc>
      </w:tr>
      <w:tr w:rsidR="00FC702B" w:rsidRPr="00662E2E" w:rsidTr="008342C8">
        <w:tc>
          <w:tcPr>
            <w:tcW w:w="2410" w:type="dxa"/>
            <w:hideMark/>
          </w:tcPr>
          <w:p w:rsidR="00FC702B" w:rsidRPr="00662E2E" w:rsidRDefault="00FC702B" w:rsidP="00662E2E">
            <w:pPr>
              <w:rPr>
                <w:rFonts w:eastAsia="MS Mincho"/>
                <w:b/>
                <w:lang w:eastAsia="ja-JP"/>
              </w:rPr>
            </w:pPr>
            <w:r w:rsidRPr="00662E2E">
              <w:rPr>
                <w:b/>
              </w:rPr>
              <w:t>FTC</w:t>
            </w:r>
          </w:p>
        </w:tc>
        <w:tc>
          <w:tcPr>
            <w:tcW w:w="2552" w:type="dxa"/>
          </w:tcPr>
          <w:p w:rsidR="00FC702B" w:rsidRPr="00662E2E" w:rsidRDefault="00FC702B" w:rsidP="00662E2E">
            <w:pPr>
              <w:rPr>
                <w:rFonts w:eastAsia="MS Mincho"/>
                <w:lang w:eastAsia="ja-JP"/>
              </w:rPr>
            </w:pPr>
          </w:p>
        </w:tc>
        <w:tc>
          <w:tcPr>
            <w:tcW w:w="2976" w:type="dxa"/>
          </w:tcPr>
          <w:p w:rsidR="00FC702B" w:rsidRPr="00662E2E" w:rsidRDefault="00FC702B" w:rsidP="00662E2E">
            <w:pPr>
              <w:rPr>
                <w:rFonts w:eastAsia="MS Mincho"/>
                <w:lang w:eastAsia="ja-JP"/>
              </w:rPr>
            </w:pPr>
          </w:p>
        </w:tc>
      </w:tr>
      <w:tr w:rsidR="00FC702B" w:rsidRPr="00662E2E" w:rsidTr="008342C8">
        <w:tc>
          <w:tcPr>
            <w:tcW w:w="2410" w:type="dxa"/>
            <w:hideMark/>
          </w:tcPr>
          <w:p w:rsidR="00FC702B" w:rsidRPr="00662E2E" w:rsidRDefault="00FC702B" w:rsidP="00662E2E">
            <w:pPr>
              <w:rPr>
                <w:rFonts w:eastAsia="MS Mincho"/>
                <w:b/>
                <w:lang w:eastAsia="ja-JP"/>
              </w:rPr>
            </w:pPr>
            <w:r w:rsidRPr="00662E2E">
              <w:rPr>
                <w:b/>
              </w:rPr>
              <w:t>C</w:t>
            </w:r>
            <w:r w:rsidRPr="00662E2E">
              <w:rPr>
                <w:b/>
                <w:vertAlign w:val="subscript"/>
              </w:rPr>
              <w:t>max</w:t>
            </w:r>
          </w:p>
        </w:tc>
        <w:tc>
          <w:tcPr>
            <w:tcW w:w="2552" w:type="dxa"/>
            <w:hideMark/>
          </w:tcPr>
          <w:p w:rsidR="00FC702B" w:rsidRPr="00662E2E" w:rsidRDefault="00FC702B" w:rsidP="00662E2E">
            <w:pPr>
              <w:rPr>
                <w:rFonts w:eastAsia="MS Mincho"/>
                <w:lang w:eastAsia="ja-JP"/>
              </w:rPr>
            </w:pPr>
            <w:r w:rsidRPr="00662E2E">
              <w:t>97.26</w:t>
            </w:r>
          </w:p>
        </w:tc>
        <w:tc>
          <w:tcPr>
            <w:tcW w:w="2976" w:type="dxa"/>
            <w:hideMark/>
          </w:tcPr>
          <w:p w:rsidR="00FC702B" w:rsidRPr="00662E2E" w:rsidRDefault="00FC702B" w:rsidP="00662E2E">
            <w:pPr>
              <w:rPr>
                <w:rFonts w:eastAsia="MS Mincho"/>
                <w:lang w:eastAsia="ja-JP"/>
              </w:rPr>
            </w:pPr>
            <w:r w:rsidRPr="00662E2E">
              <w:t>94.57, 100.03</w:t>
            </w:r>
          </w:p>
        </w:tc>
      </w:tr>
      <w:tr w:rsidR="00FC702B" w:rsidRPr="00662E2E" w:rsidTr="008342C8">
        <w:tc>
          <w:tcPr>
            <w:tcW w:w="2410" w:type="dxa"/>
            <w:hideMark/>
          </w:tcPr>
          <w:p w:rsidR="00FC702B" w:rsidRPr="00662E2E" w:rsidRDefault="00FC702B" w:rsidP="00662E2E">
            <w:pPr>
              <w:rPr>
                <w:rFonts w:eastAsia="MS Mincho"/>
                <w:b/>
                <w:lang w:eastAsia="ja-JP"/>
              </w:rPr>
            </w:pPr>
            <w:r w:rsidRPr="00662E2E">
              <w:rPr>
                <w:b/>
              </w:rPr>
              <w:t>AUC</w:t>
            </w:r>
            <w:r w:rsidRPr="00662E2E">
              <w:rPr>
                <w:b/>
                <w:vertAlign w:val="subscript"/>
              </w:rPr>
              <w:t>inf</w:t>
            </w:r>
          </w:p>
        </w:tc>
        <w:tc>
          <w:tcPr>
            <w:tcW w:w="2552" w:type="dxa"/>
            <w:hideMark/>
          </w:tcPr>
          <w:p w:rsidR="00FC702B" w:rsidRPr="00662E2E" w:rsidRDefault="00FC702B" w:rsidP="00662E2E">
            <w:pPr>
              <w:rPr>
                <w:rFonts w:eastAsia="MS Mincho"/>
                <w:lang w:eastAsia="ja-JP"/>
              </w:rPr>
            </w:pPr>
            <w:r w:rsidRPr="00662E2E">
              <w:t>90.20</w:t>
            </w:r>
          </w:p>
        </w:tc>
        <w:tc>
          <w:tcPr>
            <w:tcW w:w="2976" w:type="dxa"/>
            <w:hideMark/>
          </w:tcPr>
          <w:p w:rsidR="00FC702B" w:rsidRPr="00662E2E" w:rsidRDefault="00FC702B" w:rsidP="00662E2E">
            <w:pPr>
              <w:rPr>
                <w:rFonts w:eastAsia="MS Mincho"/>
                <w:lang w:eastAsia="ja-JP"/>
              </w:rPr>
            </w:pPr>
            <w:r w:rsidRPr="00662E2E">
              <w:t>89.06, 91.35</w:t>
            </w:r>
          </w:p>
        </w:tc>
      </w:tr>
    </w:tbl>
    <w:p w:rsidR="00FC702B" w:rsidRDefault="00FC702B" w:rsidP="00CD76EC">
      <w:pPr>
        <w:rPr>
          <w:rFonts w:eastAsia="MS Mincho"/>
          <w:lang w:eastAsia="ja-JP"/>
        </w:rPr>
      </w:pPr>
      <w:r>
        <w:t>This study supports the use of TAF 2</w:t>
      </w:r>
      <w:r w:rsidR="00E04BFC">
        <w:t>5 mg</w:t>
      </w:r>
      <w:r>
        <w:t xml:space="preserve"> dose without boosting (with COBI).</w:t>
      </w:r>
    </w:p>
    <w:p w:rsidR="00FC702B" w:rsidRDefault="00FC702B" w:rsidP="00CD76EC">
      <w:pPr>
        <w:rPr>
          <w:szCs w:val="20"/>
        </w:rPr>
      </w:pPr>
      <w:r w:rsidRPr="00CD76EC">
        <w:rPr>
          <w:b/>
        </w:rPr>
        <w:t>Study GS-US-311-1386</w:t>
      </w:r>
      <w:r>
        <w:t xml:space="preserve"> examined the PK of FTC/TAF (200/25) under fasting and fed conditions and (together with a </w:t>
      </w:r>
      <w:r w:rsidR="00AA3643">
        <w:t>Genvoya</w:t>
      </w:r>
      <w:r>
        <w:t xml:space="preserve"> Study GS-US-292-0110) provides evidence of a moderate food effect.</w:t>
      </w:r>
    </w:p>
    <w:p w:rsidR="00FC702B" w:rsidRDefault="00FC702B" w:rsidP="00CD76EC">
      <w:pPr>
        <w:rPr>
          <w:rFonts w:asciiTheme="minorHAnsi" w:hAnsiTheme="minorHAnsi"/>
        </w:rPr>
      </w:pPr>
      <w:r>
        <w:rPr>
          <w:rFonts w:asciiTheme="minorHAnsi" w:hAnsiTheme="minorHAnsi"/>
        </w:rPr>
        <w:t>This was a single dose, 2-way crossover study in healthy volunteers in which administration of a single dose of FTC/TAF (200/25) indicated (fed/fasting) approximately 75% higher TAF AUC under fed conditions</w:t>
      </w:r>
      <w:r w:rsidR="00DF20DB">
        <w:rPr>
          <w:rFonts w:asciiTheme="minorHAnsi" w:hAnsiTheme="minorHAnsi"/>
        </w:rPr>
        <w:t xml:space="preserve"> (Table 17).</w:t>
      </w:r>
    </w:p>
    <w:p w:rsidR="00DF20DB" w:rsidRPr="00DF20DB" w:rsidRDefault="00DF20DB" w:rsidP="00DF20DB">
      <w:pPr>
        <w:pStyle w:val="TableTitle"/>
      </w:pPr>
      <w:r w:rsidRPr="00DF20DB">
        <w:t>Table 17: Study GS-US-311-1386 results</w:t>
      </w:r>
    </w:p>
    <w:tbl>
      <w:tblPr>
        <w:tblStyle w:val="TableTGAblue"/>
        <w:tblW w:w="0" w:type="auto"/>
        <w:tblLook w:val="04A0" w:firstRow="1" w:lastRow="0" w:firstColumn="1" w:lastColumn="0" w:noHBand="0" w:noVBand="1"/>
      </w:tblPr>
      <w:tblGrid>
        <w:gridCol w:w="2410"/>
        <w:gridCol w:w="2552"/>
        <w:gridCol w:w="2976"/>
      </w:tblGrid>
      <w:tr w:rsidR="00FC702B" w:rsidRPr="00662E2E" w:rsidTr="00CD76EC">
        <w:trPr>
          <w:cnfStyle w:val="100000000000" w:firstRow="1" w:lastRow="0" w:firstColumn="0" w:lastColumn="0" w:oddVBand="0" w:evenVBand="0" w:oddHBand="0" w:evenHBand="0" w:firstRowFirstColumn="0" w:firstRowLastColumn="0" w:lastRowFirstColumn="0" w:lastRowLastColumn="0"/>
        </w:trPr>
        <w:tc>
          <w:tcPr>
            <w:tcW w:w="2410" w:type="dxa"/>
            <w:hideMark/>
          </w:tcPr>
          <w:p w:rsidR="00FC702B" w:rsidRPr="00662E2E" w:rsidRDefault="00FC702B" w:rsidP="00662E2E">
            <w:pPr>
              <w:rPr>
                <w:rFonts w:eastAsia="MS Mincho"/>
                <w:lang w:eastAsia="ja-JP"/>
              </w:rPr>
            </w:pPr>
            <w:r w:rsidRPr="00662E2E">
              <w:t>Study GS-US-311-1386</w:t>
            </w:r>
          </w:p>
        </w:tc>
        <w:tc>
          <w:tcPr>
            <w:tcW w:w="2552" w:type="dxa"/>
            <w:hideMark/>
          </w:tcPr>
          <w:p w:rsidR="00FC702B" w:rsidRPr="00662E2E" w:rsidRDefault="00FC702B" w:rsidP="00662E2E">
            <w:pPr>
              <w:rPr>
                <w:rFonts w:eastAsia="MS Mincho"/>
                <w:lang w:eastAsia="ja-JP"/>
              </w:rPr>
            </w:pPr>
            <w:r w:rsidRPr="00662E2E">
              <w:t>Ratio of means (%)</w:t>
            </w:r>
          </w:p>
        </w:tc>
        <w:tc>
          <w:tcPr>
            <w:tcW w:w="2976" w:type="dxa"/>
            <w:hideMark/>
          </w:tcPr>
          <w:p w:rsidR="00FC702B" w:rsidRPr="00662E2E" w:rsidRDefault="00FC702B" w:rsidP="00662E2E">
            <w:pPr>
              <w:rPr>
                <w:rFonts w:eastAsia="MS Mincho"/>
                <w:lang w:eastAsia="ja-JP"/>
              </w:rPr>
            </w:pPr>
            <w:r w:rsidRPr="00662E2E">
              <w:t>90%CI</w:t>
            </w:r>
          </w:p>
        </w:tc>
      </w:tr>
      <w:tr w:rsidR="00FC702B" w:rsidRPr="00662E2E" w:rsidTr="00CD76EC">
        <w:tc>
          <w:tcPr>
            <w:tcW w:w="2410" w:type="dxa"/>
            <w:hideMark/>
          </w:tcPr>
          <w:p w:rsidR="00FC702B" w:rsidRPr="00662E2E" w:rsidRDefault="00FC702B" w:rsidP="00662E2E">
            <w:pPr>
              <w:rPr>
                <w:rFonts w:eastAsia="MS Mincho"/>
                <w:b/>
                <w:lang w:eastAsia="ja-JP"/>
              </w:rPr>
            </w:pPr>
            <w:r w:rsidRPr="00662E2E">
              <w:rPr>
                <w:b/>
              </w:rPr>
              <w:t>TAF</w:t>
            </w:r>
          </w:p>
        </w:tc>
        <w:tc>
          <w:tcPr>
            <w:tcW w:w="2552" w:type="dxa"/>
          </w:tcPr>
          <w:p w:rsidR="00FC702B" w:rsidRPr="00662E2E" w:rsidRDefault="00FC702B" w:rsidP="00662E2E">
            <w:pPr>
              <w:rPr>
                <w:rFonts w:eastAsia="MS Mincho"/>
                <w:lang w:eastAsia="ja-JP"/>
              </w:rPr>
            </w:pPr>
          </w:p>
        </w:tc>
        <w:tc>
          <w:tcPr>
            <w:tcW w:w="2976" w:type="dxa"/>
          </w:tcPr>
          <w:p w:rsidR="00FC702B" w:rsidRPr="00662E2E" w:rsidRDefault="00FC702B" w:rsidP="00662E2E">
            <w:pPr>
              <w:rPr>
                <w:rFonts w:eastAsia="MS Mincho"/>
                <w:lang w:eastAsia="ja-JP"/>
              </w:rPr>
            </w:pPr>
          </w:p>
        </w:tc>
      </w:tr>
      <w:tr w:rsidR="00FC702B" w:rsidRPr="00662E2E" w:rsidTr="00CD76EC">
        <w:tc>
          <w:tcPr>
            <w:tcW w:w="2410" w:type="dxa"/>
            <w:hideMark/>
          </w:tcPr>
          <w:p w:rsidR="00FC702B" w:rsidRPr="00662E2E" w:rsidRDefault="00FC702B" w:rsidP="00662E2E">
            <w:pPr>
              <w:rPr>
                <w:rFonts w:eastAsia="MS Mincho"/>
                <w:b/>
                <w:lang w:eastAsia="ja-JP"/>
              </w:rPr>
            </w:pPr>
            <w:r w:rsidRPr="00662E2E">
              <w:rPr>
                <w:b/>
              </w:rPr>
              <w:lastRenderedPageBreak/>
              <w:t>C</w:t>
            </w:r>
            <w:r w:rsidRPr="00662E2E">
              <w:rPr>
                <w:b/>
                <w:vertAlign w:val="subscript"/>
              </w:rPr>
              <w:t>max</w:t>
            </w:r>
          </w:p>
        </w:tc>
        <w:tc>
          <w:tcPr>
            <w:tcW w:w="2552" w:type="dxa"/>
            <w:hideMark/>
          </w:tcPr>
          <w:p w:rsidR="00FC702B" w:rsidRPr="00662E2E" w:rsidRDefault="00FC702B" w:rsidP="00662E2E">
            <w:pPr>
              <w:rPr>
                <w:rFonts w:eastAsia="MS Mincho"/>
                <w:lang w:eastAsia="ja-JP"/>
              </w:rPr>
            </w:pPr>
            <w:r w:rsidRPr="00662E2E">
              <w:t>84.53</w:t>
            </w:r>
          </w:p>
        </w:tc>
        <w:tc>
          <w:tcPr>
            <w:tcW w:w="2976" w:type="dxa"/>
            <w:hideMark/>
          </w:tcPr>
          <w:p w:rsidR="00FC702B" w:rsidRPr="00662E2E" w:rsidRDefault="00FC702B" w:rsidP="00662E2E">
            <w:pPr>
              <w:rPr>
                <w:rFonts w:eastAsia="MS Mincho"/>
                <w:lang w:eastAsia="ja-JP"/>
              </w:rPr>
            </w:pPr>
            <w:r w:rsidRPr="00662E2E">
              <w:t>74.92, 95.27</w:t>
            </w:r>
          </w:p>
        </w:tc>
      </w:tr>
      <w:tr w:rsidR="00FC702B" w:rsidRPr="00662E2E" w:rsidTr="00CD76EC">
        <w:tc>
          <w:tcPr>
            <w:tcW w:w="2410" w:type="dxa"/>
            <w:hideMark/>
          </w:tcPr>
          <w:p w:rsidR="00FC702B" w:rsidRPr="00662E2E" w:rsidRDefault="00FC702B" w:rsidP="00662E2E">
            <w:pPr>
              <w:rPr>
                <w:rFonts w:eastAsia="MS Mincho"/>
                <w:b/>
                <w:lang w:eastAsia="ja-JP"/>
              </w:rPr>
            </w:pPr>
            <w:r w:rsidRPr="00662E2E">
              <w:rPr>
                <w:b/>
              </w:rPr>
              <w:t>AUC</w:t>
            </w:r>
            <w:r w:rsidRPr="00662E2E">
              <w:rPr>
                <w:b/>
                <w:vertAlign w:val="subscript"/>
              </w:rPr>
              <w:t>inf</w:t>
            </w:r>
          </w:p>
        </w:tc>
        <w:tc>
          <w:tcPr>
            <w:tcW w:w="2552" w:type="dxa"/>
            <w:hideMark/>
          </w:tcPr>
          <w:p w:rsidR="00FC702B" w:rsidRPr="00662E2E" w:rsidRDefault="00FC702B" w:rsidP="00662E2E">
            <w:pPr>
              <w:rPr>
                <w:rFonts w:eastAsia="MS Mincho"/>
                <w:lang w:eastAsia="ja-JP"/>
              </w:rPr>
            </w:pPr>
            <w:r w:rsidRPr="00662E2E">
              <w:t>175.38</w:t>
            </w:r>
          </w:p>
        </w:tc>
        <w:tc>
          <w:tcPr>
            <w:tcW w:w="2976" w:type="dxa"/>
            <w:hideMark/>
          </w:tcPr>
          <w:p w:rsidR="00FC702B" w:rsidRPr="00662E2E" w:rsidRDefault="00FC702B" w:rsidP="00662E2E">
            <w:pPr>
              <w:rPr>
                <w:rFonts w:eastAsia="MS Mincho"/>
                <w:lang w:eastAsia="ja-JP"/>
              </w:rPr>
            </w:pPr>
            <w:r w:rsidRPr="00662E2E">
              <w:t>163.93, 187.63</w:t>
            </w:r>
          </w:p>
        </w:tc>
      </w:tr>
      <w:tr w:rsidR="00FC702B" w:rsidRPr="00662E2E" w:rsidTr="00CD76EC">
        <w:tc>
          <w:tcPr>
            <w:tcW w:w="2410" w:type="dxa"/>
            <w:hideMark/>
          </w:tcPr>
          <w:p w:rsidR="00FC702B" w:rsidRPr="00662E2E" w:rsidRDefault="00FC702B" w:rsidP="00662E2E">
            <w:pPr>
              <w:rPr>
                <w:rFonts w:eastAsia="MS Mincho"/>
                <w:b/>
                <w:lang w:eastAsia="ja-JP"/>
              </w:rPr>
            </w:pPr>
            <w:r w:rsidRPr="00662E2E">
              <w:rPr>
                <w:b/>
              </w:rPr>
              <w:t>FTC</w:t>
            </w:r>
          </w:p>
        </w:tc>
        <w:tc>
          <w:tcPr>
            <w:tcW w:w="2552" w:type="dxa"/>
          </w:tcPr>
          <w:p w:rsidR="00FC702B" w:rsidRPr="00662E2E" w:rsidRDefault="00FC702B" w:rsidP="00662E2E">
            <w:pPr>
              <w:rPr>
                <w:rFonts w:eastAsia="MS Mincho"/>
                <w:lang w:eastAsia="ja-JP"/>
              </w:rPr>
            </w:pPr>
          </w:p>
        </w:tc>
        <w:tc>
          <w:tcPr>
            <w:tcW w:w="2976" w:type="dxa"/>
          </w:tcPr>
          <w:p w:rsidR="00FC702B" w:rsidRPr="00662E2E" w:rsidRDefault="00FC702B" w:rsidP="00662E2E">
            <w:pPr>
              <w:rPr>
                <w:rFonts w:eastAsia="MS Mincho"/>
                <w:lang w:eastAsia="ja-JP"/>
              </w:rPr>
            </w:pPr>
          </w:p>
        </w:tc>
      </w:tr>
      <w:tr w:rsidR="00FC702B" w:rsidRPr="00662E2E" w:rsidTr="00CD76EC">
        <w:tc>
          <w:tcPr>
            <w:tcW w:w="2410" w:type="dxa"/>
            <w:hideMark/>
          </w:tcPr>
          <w:p w:rsidR="00FC702B" w:rsidRPr="00662E2E" w:rsidRDefault="00FC702B" w:rsidP="00662E2E">
            <w:pPr>
              <w:rPr>
                <w:rFonts w:eastAsia="MS Mincho"/>
                <w:b/>
                <w:lang w:eastAsia="ja-JP"/>
              </w:rPr>
            </w:pPr>
            <w:r w:rsidRPr="00662E2E">
              <w:rPr>
                <w:b/>
              </w:rPr>
              <w:t>C</w:t>
            </w:r>
            <w:r w:rsidRPr="00662E2E">
              <w:rPr>
                <w:b/>
                <w:vertAlign w:val="subscript"/>
              </w:rPr>
              <w:t>max</w:t>
            </w:r>
          </w:p>
        </w:tc>
        <w:tc>
          <w:tcPr>
            <w:tcW w:w="2552" w:type="dxa"/>
            <w:hideMark/>
          </w:tcPr>
          <w:p w:rsidR="00FC702B" w:rsidRPr="00662E2E" w:rsidRDefault="00FC702B" w:rsidP="00662E2E">
            <w:pPr>
              <w:rPr>
                <w:rFonts w:eastAsia="MS Mincho"/>
                <w:lang w:eastAsia="ja-JP"/>
              </w:rPr>
            </w:pPr>
            <w:r w:rsidRPr="00662E2E">
              <w:t>73.50</w:t>
            </w:r>
          </w:p>
        </w:tc>
        <w:tc>
          <w:tcPr>
            <w:tcW w:w="2976" w:type="dxa"/>
            <w:hideMark/>
          </w:tcPr>
          <w:p w:rsidR="00FC702B" w:rsidRPr="00662E2E" w:rsidRDefault="00FC702B" w:rsidP="00662E2E">
            <w:pPr>
              <w:rPr>
                <w:rFonts w:eastAsia="MS Mincho"/>
                <w:lang w:eastAsia="ja-JP"/>
              </w:rPr>
            </w:pPr>
            <w:r w:rsidRPr="00662E2E">
              <w:t>69.26, 78.00</w:t>
            </w:r>
          </w:p>
        </w:tc>
      </w:tr>
      <w:tr w:rsidR="00FC702B" w:rsidRPr="00662E2E" w:rsidTr="00CD76EC">
        <w:tc>
          <w:tcPr>
            <w:tcW w:w="2410" w:type="dxa"/>
            <w:hideMark/>
          </w:tcPr>
          <w:p w:rsidR="00FC702B" w:rsidRPr="00662E2E" w:rsidRDefault="00FC702B" w:rsidP="00662E2E">
            <w:pPr>
              <w:rPr>
                <w:rFonts w:eastAsia="MS Mincho"/>
                <w:b/>
                <w:lang w:eastAsia="ja-JP"/>
              </w:rPr>
            </w:pPr>
            <w:r w:rsidRPr="00662E2E">
              <w:rPr>
                <w:b/>
              </w:rPr>
              <w:t>AUC</w:t>
            </w:r>
            <w:r w:rsidRPr="00662E2E">
              <w:rPr>
                <w:b/>
                <w:vertAlign w:val="subscript"/>
              </w:rPr>
              <w:t>inf</w:t>
            </w:r>
          </w:p>
        </w:tc>
        <w:tc>
          <w:tcPr>
            <w:tcW w:w="2552" w:type="dxa"/>
            <w:hideMark/>
          </w:tcPr>
          <w:p w:rsidR="00FC702B" w:rsidRPr="00662E2E" w:rsidRDefault="00FC702B" w:rsidP="00662E2E">
            <w:pPr>
              <w:rPr>
                <w:rFonts w:eastAsia="MS Mincho"/>
                <w:lang w:eastAsia="ja-JP"/>
              </w:rPr>
            </w:pPr>
            <w:r w:rsidRPr="00662E2E">
              <w:t>91.11</w:t>
            </w:r>
          </w:p>
        </w:tc>
        <w:tc>
          <w:tcPr>
            <w:tcW w:w="2976" w:type="dxa"/>
            <w:hideMark/>
          </w:tcPr>
          <w:p w:rsidR="00FC702B" w:rsidRPr="00662E2E" w:rsidRDefault="00FC702B" w:rsidP="00662E2E">
            <w:pPr>
              <w:rPr>
                <w:rFonts w:eastAsia="MS Mincho"/>
                <w:lang w:eastAsia="ja-JP"/>
              </w:rPr>
            </w:pPr>
            <w:r w:rsidRPr="00662E2E">
              <w:t>88.84, 93.44</w:t>
            </w:r>
          </w:p>
        </w:tc>
      </w:tr>
    </w:tbl>
    <w:p w:rsidR="00FC702B" w:rsidRDefault="00FC702B" w:rsidP="00CD76EC">
      <w:pPr>
        <w:rPr>
          <w:rFonts w:eastAsia="MS Mincho"/>
          <w:lang w:eastAsia="ja-JP"/>
        </w:rPr>
      </w:pPr>
      <w:r>
        <w:t>No direct clinical data on the food effect with boosted 25/10 formulation (except as part of EVG/COBI/FTC/TAF) or boosting with RTV are available.</w:t>
      </w:r>
    </w:p>
    <w:p w:rsidR="00FC702B" w:rsidRDefault="00FC702B" w:rsidP="00CD76EC">
      <w:r>
        <w:t xml:space="preserve">The sponsor’s response and the evaluator’s comment are noted and </w:t>
      </w:r>
      <w:r w:rsidR="00DF20DB">
        <w:t>the Delegate</w:t>
      </w:r>
      <w:r>
        <w:t xml:space="preserve"> agree</w:t>
      </w:r>
      <w:r w:rsidR="00DF20DB">
        <w:t>s</w:t>
      </w:r>
      <w:r>
        <w:t xml:space="preserve"> that food effect may not be used as a recommendation for dose-related administration of in the context of </w:t>
      </w:r>
      <w:r w:rsidR="005A6D01">
        <w:t>Descovy</w:t>
      </w:r>
      <w:r>
        <w:t xml:space="preserve"> use in combination with other ART.</w:t>
      </w:r>
    </w:p>
    <w:p w:rsidR="00FC702B" w:rsidRDefault="00FC702B" w:rsidP="00CD76EC">
      <w:pPr>
        <w:pStyle w:val="ListBullet"/>
        <w:rPr>
          <w:szCs w:val="20"/>
        </w:rPr>
      </w:pPr>
      <w:r w:rsidRPr="00CD76EC">
        <w:rPr>
          <w:b/>
        </w:rPr>
        <w:t>Study GS-US-120-0118</w:t>
      </w:r>
      <w:r>
        <w:t xml:space="preserve"> was a drug interaction study evaluated in the </w:t>
      </w:r>
      <w:r w:rsidR="00AA3643">
        <w:t>Genvoya</w:t>
      </w:r>
      <w:r>
        <w:t xml:space="preserve"> dossier.</w:t>
      </w:r>
    </w:p>
    <w:p w:rsidR="00FC702B" w:rsidRDefault="005A6D01" w:rsidP="00CD76EC">
      <w:r>
        <w:t>Descovy</w:t>
      </w:r>
      <w:r w:rsidR="00FC702B">
        <w:t xml:space="preserve"> (FTC/TAF) is proposed for administration with a booster (using FTC/TAF 200/10) or without booster (using FTC/TAF 2</w:t>
      </w:r>
      <w:r w:rsidR="00E04BFC">
        <w:t>5 mg</w:t>
      </w:r>
      <w:r w:rsidR="00FC702B">
        <w:t xml:space="preserve">). The recommendation to use with COBI as a booster is supported by </w:t>
      </w:r>
      <w:r w:rsidR="00AA3643">
        <w:t>Genvoya</w:t>
      </w:r>
      <w:r w:rsidR="00FC702B">
        <w:t xml:space="preserve"> data. The Study GS-US-120-0118 addresses the issue of use of FTC/TDF (200/10) with RTV as a booster</w:t>
      </w:r>
      <w:r w:rsidR="00DF20DB">
        <w:t>.</w:t>
      </w:r>
    </w:p>
    <w:p w:rsidR="00FC702B" w:rsidRDefault="00FC702B" w:rsidP="00CD76EC">
      <w:pPr>
        <w:rPr>
          <w:szCs w:val="20"/>
        </w:rPr>
      </w:pPr>
      <w:r>
        <w:t>In this steady-state study in (N=40) healthy volunteers, FTC/TAF (200/10) was given with or without various RTV-boosted HIV protease inhibitor (PI) containing regimens of atazanavir (ATV/r), darunavir (DRV/r) and (lopinavir) LPV/r, or unboosted integrase strand-transfer inhibitor dolutegravir (DTG).</w:t>
      </w:r>
    </w:p>
    <w:p w:rsidR="00FC702B" w:rsidRDefault="00FC702B" w:rsidP="00CD76EC">
      <w:r>
        <w:t>The results (ratio of means with/without boosting) indicated higher systemic exposure of TFV, more consistently than TAF, on co</w:t>
      </w:r>
      <w:r w:rsidR="00DF20DB">
        <w:t>-</w:t>
      </w:r>
      <w:r>
        <w:t>administration with the 3 boosted PIs. There was no effect on co</w:t>
      </w:r>
      <w:r w:rsidR="00DF20DB">
        <w:t>-</w:t>
      </w:r>
      <w:r>
        <w:t>administration with DTG</w:t>
      </w:r>
      <w:r w:rsidR="00DF20DB">
        <w:t xml:space="preserve"> (Table 18D).</w:t>
      </w:r>
    </w:p>
    <w:p w:rsidR="00FC702B" w:rsidRDefault="00DF20DB" w:rsidP="00DF20DB">
      <w:pPr>
        <w:pStyle w:val="TableTitle"/>
      </w:pPr>
      <w:r>
        <w:t xml:space="preserve">Table 18A: </w:t>
      </w:r>
      <w:r w:rsidR="00FC702B">
        <w:t xml:space="preserve">FTC/TAF (200/10) </w:t>
      </w:r>
      <w:r w:rsidR="00FC702B" w:rsidRPr="00DF20DB">
        <w:t>plus</w:t>
      </w:r>
      <w:r w:rsidR="00FC702B">
        <w:t xml:space="preserve"> ATV/r (300/100)</w:t>
      </w:r>
    </w:p>
    <w:tbl>
      <w:tblPr>
        <w:tblStyle w:val="TableTGAblue"/>
        <w:tblW w:w="0" w:type="auto"/>
        <w:tblLook w:val="04A0" w:firstRow="1" w:lastRow="0" w:firstColumn="1" w:lastColumn="0" w:noHBand="0" w:noVBand="1"/>
      </w:tblPr>
      <w:tblGrid>
        <w:gridCol w:w="1208"/>
        <w:gridCol w:w="1275"/>
        <w:gridCol w:w="1716"/>
        <w:gridCol w:w="1208"/>
        <w:gridCol w:w="1276"/>
        <w:gridCol w:w="1666"/>
      </w:tblGrid>
      <w:tr w:rsidR="00FC702B" w:rsidRPr="00662E2E" w:rsidTr="00CD76EC">
        <w:trPr>
          <w:cnfStyle w:val="100000000000" w:firstRow="1" w:lastRow="0" w:firstColumn="0" w:lastColumn="0" w:oddVBand="0" w:evenVBand="0" w:oddHBand="0" w:evenHBand="0" w:firstRowFirstColumn="0" w:firstRowLastColumn="0" w:lastRowFirstColumn="0" w:lastRowLastColumn="0"/>
        </w:trPr>
        <w:tc>
          <w:tcPr>
            <w:tcW w:w="993" w:type="dxa"/>
            <w:hideMark/>
          </w:tcPr>
          <w:p w:rsidR="00FC702B" w:rsidRPr="00662E2E" w:rsidRDefault="00FC702B" w:rsidP="00662E2E">
            <w:pPr>
              <w:rPr>
                <w:rFonts w:eastAsiaTheme="minorHAnsi"/>
                <w:lang w:eastAsia="ja-JP"/>
              </w:rPr>
            </w:pPr>
            <w:r w:rsidRPr="00662E2E">
              <w:t>TAF</w:t>
            </w:r>
          </w:p>
        </w:tc>
        <w:tc>
          <w:tcPr>
            <w:tcW w:w="1275" w:type="dxa"/>
            <w:hideMark/>
          </w:tcPr>
          <w:p w:rsidR="00FC702B" w:rsidRPr="00662E2E" w:rsidRDefault="00FC702B" w:rsidP="00662E2E">
            <w:pPr>
              <w:rPr>
                <w:rFonts w:eastAsiaTheme="minorHAnsi"/>
                <w:lang w:eastAsia="ja-JP"/>
              </w:rPr>
            </w:pPr>
            <w:r w:rsidRPr="00662E2E">
              <w:t>Ratio (%)</w:t>
            </w:r>
          </w:p>
        </w:tc>
        <w:tc>
          <w:tcPr>
            <w:tcW w:w="1716" w:type="dxa"/>
            <w:hideMark/>
          </w:tcPr>
          <w:p w:rsidR="00FC702B" w:rsidRPr="00662E2E" w:rsidRDefault="00FC702B" w:rsidP="00662E2E">
            <w:pPr>
              <w:rPr>
                <w:rFonts w:eastAsiaTheme="minorHAnsi"/>
                <w:lang w:eastAsia="ja-JP"/>
              </w:rPr>
            </w:pPr>
            <w:r w:rsidRPr="00662E2E">
              <w:t>90%CI (%)</w:t>
            </w:r>
          </w:p>
        </w:tc>
        <w:tc>
          <w:tcPr>
            <w:tcW w:w="1119" w:type="dxa"/>
            <w:hideMark/>
          </w:tcPr>
          <w:p w:rsidR="00FC702B" w:rsidRPr="00662E2E" w:rsidRDefault="00FC702B" w:rsidP="00662E2E">
            <w:pPr>
              <w:rPr>
                <w:rFonts w:eastAsiaTheme="minorHAnsi"/>
                <w:lang w:eastAsia="ja-JP"/>
              </w:rPr>
            </w:pPr>
            <w:r w:rsidRPr="00662E2E">
              <w:t>TVF</w:t>
            </w:r>
          </w:p>
        </w:tc>
        <w:tc>
          <w:tcPr>
            <w:tcW w:w="1276" w:type="dxa"/>
            <w:hideMark/>
          </w:tcPr>
          <w:p w:rsidR="00FC702B" w:rsidRPr="00662E2E" w:rsidRDefault="00FC702B" w:rsidP="00662E2E">
            <w:pPr>
              <w:rPr>
                <w:rFonts w:eastAsiaTheme="minorHAnsi"/>
                <w:lang w:eastAsia="ja-JP"/>
              </w:rPr>
            </w:pPr>
            <w:r w:rsidRPr="00662E2E">
              <w:t>Ratio (%)</w:t>
            </w:r>
          </w:p>
        </w:tc>
        <w:tc>
          <w:tcPr>
            <w:tcW w:w="1666" w:type="dxa"/>
            <w:hideMark/>
          </w:tcPr>
          <w:p w:rsidR="00FC702B" w:rsidRPr="00662E2E" w:rsidRDefault="00FC702B" w:rsidP="00662E2E">
            <w:pPr>
              <w:rPr>
                <w:rFonts w:eastAsiaTheme="minorHAnsi"/>
                <w:lang w:eastAsia="ja-JP"/>
              </w:rPr>
            </w:pPr>
            <w:r w:rsidRPr="00662E2E">
              <w:t>90%CI (%)</w:t>
            </w:r>
          </w:p>
        </w:tc>
      </w:tr>
      <w:tr w:rsidR="00FC702B" w:rsidRPr="00662E2E" w:rsidTr="00CD76EC">
        <w:tc>
          <w:tcPr>
            <w:tcW w:w="993" w:type="dxa"/>
            <w:hideMark/>
          </w:tcPr>
          <w:p w:rsidR="00FC702B" w:rsidRPr="00662E2E" w:rsidRDefault="00FC702B" w:rsidP="00662E2E">
            <w:pPr>
              <w:rPr>
                <w:rFonts w:eastAsiaTheme="minorHAnsi"/>
                <w:b/>
                <w:color w:val="000000"/>
                <w:lang w:eastAsia="ja-JP"/>
              </w:rPr>
            </w:pPr>
            <w:r w:rsidRPr="00662E2E">
              <w:rPr>
                <w:b/>
                <w:color w:val="000000"/>
              </w:rPr>
              <w:t>AUC</w:t>
            </w:r>
            <w:r w:rsidRPr="00662E2E">
              <w:rPr>
                <w:b/>
                <w:color w:val="000000"/>
                <w:vertAlign w:val="subscript"/>
              </w:rPr>
              <w:t>last</w:t>
            </w:r>
          </w:p>
        </w:tc>
        <w:tc>
          <w:tcPr>
            <w:tcW w:w="1275" w:type="dxa"/>
            <w:hideMark/>
          </w:tcPr>
          <w:p w:rsidR="00FC702B" w:rsidRPr="00662E2E" w:rsidRDefault="00FC702B" w:rsidP="00662E2E">
            <w:pPr>
              <w:rPr>
                <w:rFonts w:eastAsiaTheme="minorHAnsi"/>
                <w:color w:val="000000"/>
                <w:lang w:eastAsia="ja-JP"/>
              </w:rPr>
            </w:pPr>
            <w:r w:rsidRPr="00662E2E">
              <w:rPr>
                <w:color w:val="000000"/>
              </w:rPr>
              <w:t>191.06</w:t>
            </w:r>
          </w:p>
        </w:tc>
        <w:tc>
          <w:tcPr>
            <w:tcW w:w="1716" w:type="dxa"/>
            <w:hideMark/>
          </w:tcPr>
          <w:p w:rsidR="00FC702B" w:rsidRPr="00662E2E" w:rsidRDefault="00FC702B" w:rsidP="00662E2E">
            <w:pPr>
              <w:rPr>
                <w:rFonts w:eastAsiaTheme="minorHAnsi"/>
                <w:color w:val="000000"/>
                <w:lang w:eastAsia="ja-JP"/>
              </w:rPr>
            </w:pPr>
            <w:r w:rsidRPr="00662E2E">
              <w:rPr>
                <w:color w:val="000000"/>
              </w:rPr>
              <w:t>155.08, 235.40</w:t>
            </w:r>
          </w:p>
        </w:tc>
        <w:tc>
          <w:tcPr>
            <w:tcW w:w="1119" w:type="dxa"/>
            <w:hideMark/>
          </w:tcPr>
          <w:p w:rsidR="00FC702B" w:rsidRPr="00662E2E" w:rsidRDefault="00FC702B" w:rsidP="00662E2E">
            <w:pPr>
              <w:rPr>
                <w:rFonts w:eastAsiaTheme="minorHAnsi"/>
                <w:b/>
                <w:color w:val="000000"/>
                <w:lang w:eastAsia="ja-JP"/>
              </w:rPr>
            </w:pPr>
            <w:r w:rsidRPr="00662E2E">
              <w:rPr>
                <w:b/>
                <w:color w:val="000000"/>
              </w:rPr>
              <w:t>AUC</w:t>
            </w:r>
            <w:r w:rsidRPr="00662E2E">
              <w:rPr>
                <w:b/>
                <w:color w:val="000000"/>
                <w:vertAlign w:val="subscript"/>
              </w:rPr>
              <w:t>last</w:t>
            </w:r>
          </w:p>
        </w:tc>
        <w:tc>
          <w:tcPr>
            <w:tcW w:w="1276" w:type="dxa"/>
            <w:hideMark/>
          </w:tcPr>
          <w:p w:rsidR="00FC702B" w:rsidRPr="00662E2E" w:rsidRDefault="00FC702B" w:rsidP="00662E2E">
            <w:pPr>
              <w:rPr>
                <w:rFonts w:eastAsiaTheme="minorHAnsi"/>
                <w:color w:val="000000"/>
                <w:lang w:eastAsia="ja-JP"/>
              </w:rPr>
            </w:pPr>
            <w:r w:rsidRPr="00662E2E">
              <w:rPr>
                <w:color w:val="000000"/>
              </w:rPr>
              <w:t>247.77</w:t>
            </w:r>
          </w:p>
        </w:tc>
        <w:tc>
          <w:tcPr>
            <w:tcW w:w="1666" w:type="dxa"/>
            <w:hideMark/>
          </w:tcPr>
          <w:p w:rsidR="00FC702B" w:rsidRPr="00662E2E" w:rsidRDefault="00FC702B" w:rsidP="00662E2E">
            <w:pPr>
              <w:rPr>
                <w:rFonts w:eastAsiaTheme="minorHAnsi"/>
                <w:color w:val="000000"/>
                <w:lang w:eastAsia="ja-JP"/>
              </w:rPr>
            </w:pPr>
            <w:r w:rsidRPr="00662E2E">
              <w:rPr>
                <w:color w:val="000000"/>
              </w:rPr>
              <w:t>216.82, 283.14</w:t>
            </w:r>
          </w:p>
        </w:tc>
      </w:tr>
      <w:tr w:rsidR="00FC702B" w:rsidRPr="00662E2E" w:rsidTr="00CD76EC">
        <w:tc>
          <w:tcPr>
            <w:tcW w:w="993" w:type="dxa"/>
            <w:hideMark/>
          </w:tcPr>
          <w:p w:rsidR="00FC702B" w:rsidRPr="00662E2E" w:rsidRDefault="00FC702B" w:rsidP="00662E2E">
            <w:pPr>
              <w:rPr>
                <w:rFonts w:eastAsiaTheme="minorHAnsi"/>
                <w:b/>
                <w:color w:val="000000"/>
                <w:lang w:eastAsia="ja-JP"/>
              </w:rPr>
            </w:pPr>
            <w:r w:rsidRPr="00662E2E">
              <w:rPr>
                <w:b/>
                <w:color w:val="000000"/>
              </w:rPr>
              <w:t>C</w:t>
            </w:r>
            <w:r w:rsidRPr="00662E2E">
              <w:rPr>
                <w:b/>
                <w:color w:val="000000"/>
                <w:vertAlign w:val="subscript"/>
              </w:rPr>
              <w:t>max</w:t>
            </w:r>
          </w:p>
        </w:tc>
        <w:tc>
          <w:tcPr>
            <w:tcW w:w="1275" w:type="dxa"/>
            <w:hideMark/>
          </w:tcPr>
          <w:p w:rsidR="00FC702B" w:rsidRPr="00662E2E" w:rsidRDefault="00FC702B" w:rsidP="00662E2E">
            <w:pPr>
              <w:rPr>
                <w:rFonts w:eastAsiaTheme="minorHAnsi"/>
                <w:color w:val="000000"/>
                <w:lang w:eastAsia="ja-JP"/>
              </w:rPr>
            </w:pPr>
            <w:r w:rsidRPr="00662E2E">
              <w:rPr>
                <w:color w:val="000000"/>
              </w:rPr>
              <w:t>176.72</w:t>
            </w:r>
          </w:p>
        </w:tc>
        <w:tc>
          <w:tcPr>
            <w:tcW w:w="1716" w:type="dxa"/>
            <w:hideMark/>
          </w:tcPr>
          <w:p w:rsidR="00FC702B" w:rsidRPr="00662E2E" w:rsidRDefault="00FC702B" w:rsidP="00662E2E">
            <w:pPr>
              <w:rPr>
                <w:rFonts w:eastAsiaTheme="minorHAnsi"/>
                <w:color w:val="000000"/>
                <w:lang w:eastAsia="ja-JP"/>
              </w:rPr>
            </w:pPr>
            <w:r w:rsidRPr="00662E2E">
              <w:rPr>
                <w:color w:val="000000"/>
              </w:rPr>
              <w:t>128.19, 243.63</w:t>
            </w:r>
          </w:p>
        </w:tc>
        <w:tc>
          <w:tcPr>
            <w:tcW w:w="1119" w:type="dxa"/>
            <w:hideMark/>
          </w:tcPr>
          <w:p w:rsidR="00FC702B" w:rsidRPr="00662E2E" w:rsidRDefault="00FC702B" w:rsidP="00662E2E">
            <w:pPr>
              <w:rPr>
                <w:rFonts w:eastAsiaTheme="minorHAnsi"/>
                <w:b/>
                <w:color w:val="000000"/>
                <w:lang w:eastAsia="ja-JP"/>
              </w:rPr>
            </w:pPr>
            <w:r w:rsidRPr="00662E2E">
              <w:rPr>
                <w:b/>
                <w:color w:val="000000"/>
              </w:rPr>
              <w:t>C</w:t>
            </w:r>
            <w:r w:rsidRPr="00662E2E">
              <w:rPr>
                <w:b/>
                <w:color w:val="000000"/>
                <w:vertAlign w:val="subscript"/>
              </w:rPr>
              <w:t>max</w:t>
            </w:r>
          </w:p>
        </w:tc>
        <w:tc>
          <w:tcPr>
            <w:tcW w:w="1276" w:type="dxa"/>
            <w:hideMark/>
          </w:tcPr>
          <w:p w:rsidR="00FC702B" w:rsidRPr="00662E2E" w:rsidRDefault="00FC702B" w:rsidP="00662E2E">
            <w:pPr>
              <w:rPr>
                <w:rFonts w:eastAsiaTheme="minorHAnsi"/>
                <w:color w:val="000000"/>
                <w:lang w:eastAsia="ja-JP"/>
              </w:rPr>
            </w:pPr>
            <w:r w:rsidRPr="00662E2E">
              <w:rPr>
                <w:color w:val="000000"/>
              </w:rPr>
              <w:t>212.35</w:t>
            </w:r>
          </w:p>
        </w:tc>
        <w:tc>
          <w:tcPr>
            <w:tcW w:w="1666" w:type="dxa"/>
            <w:hideMark/>
          </w:tcPr>
          <w:p w:rsidR="00FC702B" w:rsidRPr="00662E2E" w:rsidRDefault="00FC702B" w:rsidP="00662E2E">
            <w:pPr>
              <w:rPr>
                <w:rFonts w:eastAsiaTheme="minorHAnsi"/>
                <w:color w:val="000000"/>
                <w:lang w:eastAsia="ja-JP"/>
              </w:rPr>
            </w:pPr>
            <w:r w:rsidRPr="00662E2E">
              <w:rPr>
                <w:color w:val="000000"/>
              </w:rPr>
              <w:t>185.83, 242.65</w:t>
            </w:r>
          </w:p>
        </w:tc>
      </w:tr>
    </w:tbl>
    <w:p w:rsidR="00FC702B" w:rsidRDefault="00DF20DB" w:rsidP="00DF20DB">
      <w:pPr>
        <w:pStyle w:val="TableTitle"/>
        <w:rPr>
          <w:rFonts w:eastAsia="MS Mincho"/>
          <w:lang w:eastAsia="ja-JP"/>
        </w:rPr>
      </w:pPr>
      <w:r>
        <w:t xml:space="preserve">Table 18B: </w:t>
      </w:r>
      <w:r w:rsidR="00FC702B">
        <w:t>FTC/TAF (200/10) plus DRV/r (800/100)</w:t>
      </w:r>
    </w:p>
    <w:tbl>
      <w:tblPr>
        <w:tblStyle w:val="TableTGAblue"/>
        <w:tblW w:w="0" w:type="auto"/>
        <w:tblLook w:val="04A0" w:firstRow="1" w:lastRow="0" w:firstColumn="1" w:lastColumn="0" w:noHBand="0" w:noVBand="1"/>
      </w:tblPr>
      <w:tblGrid>
        <w:gridCol w:w="1208"/>
        <w:gridCol w:w="1275"/>
        <w:gridCol w:w="1716"/>
        <w:gridCol w:w="1208"/>
        <w:gridCol w:w="1276"/>
        <w:gridCol w:w="1666"/>
      </w:tblGrid>
      <w:tr w:rsidR="00FC702B" w:rsidTr="00CD76EC">
        <w:trPr>
          <w:cnfStyle w:val="100000000000" w:firstRow="1" w:lastRow="0" w:firstColumn="0" w:lastColumn="0" w:oddVBand="0" w:evenVBand="0" w:oddHBand="0" w:evenHBand="0" w:firstRowFirstColumn="0" w:firstRowLastColumn="0" w:lastRowFirstColumn="0" w:lastRowLastColumn="0"/>
        </w:trPr>
        <w:tc>
          <w:tcPr>
            <w:tcW w:w="993" w:type="dxa"/>
            <w:hideMark/>
          </w:tcPr>
          <w:p w:rsidR="00FC702B" w:rsidRPr="00DF20DB" w:rsidRDefault="00FC702B" w:rsidP="00662E2E">
            <w:pPr>
              <w:rPr>
                <w:rFonts w:eastAsiaTheme="minorHAnsi"/>
                <w:lang w:eastAsia="ja-JP"/>
              </w:rPr>
            </w:pPr>
            <w:r w:rsidRPr="00DF20DB">
              <w:t>TAF</w:t>
            </w:r>
          </w:p>
        </w:tc>
        <w:tc>
          <w:tcPr>
            <w:tcW w:w="1275" w:type="dxa"/>
            <w:hideMark/>
          </w:tcPr>
          <w:p w:rsidR="00FC702B" w:rsidRPr="00DF20DB" w:rsidRDefault="00FC702B" w:rsidP="00662E2E">
            <w:pPr>
              <w:rPr>
                <w:rFonts w:eastAsiaTheme="minorHAnsi"/>
                <w:lang w:eastAsia="ja-JP"/>
              </w:rPr>
            </w:pPr>
            <w:r w:rsidRPr="00DF20DB">
              <w:t>Ratio (%)</w:t>
            </w:r>
          </w:p>
        </w:tc>
        <w:tc>
          <w:tcPr>
            <w:tcW w:w="1716" w:type="dxa"/>
            <w:hideMark/>
          </w:tcPr>
          <w:p w:rsidR="00FC702B" w:rsidRPr="00DF20DB" w:rsidRDefault="00FC702B" w:rsidP="00662E2E">
            <w:pPr>
              <w:rPr>
                <w:rFonts w:eastAsiaTheme="minorHAnsi"/>
                <w:lang w:eastAsia="ja-JP"/>
              </w:rPr>
            </w:pPr>
            <w:r w:rsidRPr="00DF20DB">
              <w:t>90%CI (%)</w:t>
            </w:r>
          </w:p>
        </w:tc>
        <w:tc>
          <w:tcPr>
            <w:tcW w:w="1119" w:type="dxa"/>
            <w:hideMark/>
          </w:tcPr>
          <w:p w:rsidR="00FC702B" w:rsidRPr="00DF20DB" w:rsidRDefault="00FC702B" w:rsidP="00662E2E">
            <w:pPr>
              <w:rPr>
                <w:rFonts w:eastAsiaTheme="minorHAnsi"/>
                <w:sz w:val="21"/>
                <w:szCs w:val="22"/>
                <w:lang w:eastAsia="ja-JP"/>
              </w:rPr>
            </w:pPr>
            <w:r w:rsidRPr="00DF20DB">
              <w:rPr>
                <w:sz w:val="21"/>
                <w:szCs w:val="22"/>
              </w:rPr>
              <w:t>TVF</w:t>
            </w:r>
          </w:p>
        </w:tc>
        <w:tc>
          <w:tcPr>
            <w:tcW w:w="1276" w:type="dxa"/>
            <w:hideMark/>
          </w:tcPr>
          <w:p w:rsidR="00FC702B" w:rsidRPr="00DF20DB" w:rsidRDefault="00FC702B" w:rsidP="00662E2E">
            <w:pPr>
              <w:rPr>
                <w:rFonts w:eastAsiaTheme="minorHAnsi"/>
                <w:lang w:eastAsia="ja-JP"/>
              </w:rPr>
            </w:pPr>
            <w:r w:rsidRPr="00DF20DB">
              <w:t>Ratio (%)</w:t>
            </w:r>
          </w:p>
        </w:tc>
        <w:tc>
          <w:tcPr>
            <w:tcW w:w="1666" w:type="dxa"/>
            <w:hideMark/>
          </w:tcPr>
          <w:p w:rsidR="00FC702B" w:rsidRPr="00DF20DB" w:rsidRDefault="00FC702B" w:rsidP="00662E2E">
            <w:pPr>
              <w:rPr>
                <w:rFonts w:eastAsiaTheme="minorHAnsi"/>
                <w:lang w:eastAsia="ja-JP"/>
              </w:rPr>
            </w:pPr>
            <w:r w:rsidRPr="00DF20DB">
              <w:t>90%CI (%)</w:t>
            </w:r>
          </w:p>
        </w:tc>
      </w:tr>
      <w:tr w:rsidR="00FC702B" w:rsidTr="00CD76EC">
        <w:tc>
          <w:tcPr>
            <w:tcW w:w="993" w:type="dxa"/>
            <w:hideMark/>
          </w:tcPr>
          <w:p w:rsidR="00FC702B" w:rsidRPr="00662E2E" w:rsidRDefault="00FC702B" w:rsidP="00662E2E">
            <w:pPr>
              <w:rPr>
                <w:rFonts w:eastAsiaTheme="minorHAnsi"/>
                <w:b/>
                <w:sz w:val="21"/>
                <w:szCs w:val="22"/>
                <w:lang w:eastAsia="ja-JP"/>
              </w:rPr>
            </w:pPr>
            <w:r w:rsidRPr="00662E2E">
              <w:rPr>
                <w:b/>
              </w:rPr>
              <w:t>AUC</w:t>
            </w:r>
            <w:r w:rsidRPr="00662E2E">
              <w:rPr>
                <w:b/>
                <w:vertAlign w:val="subscript"/>
              </w:rPr>
              <w:t>last</w:t>
            </w:r>
          </w:p>
        </w:tc>
        <w:tc>
          <w:tcPr>
            <w:tcW w:w="1275" w:type="dxa"/>
            <w:hideMark/>
          </w:tcPr>
          <w:p w:rsidR="00FC702B" w:rsidRDefault="00FC702B" w:rsidP="00662E2E">
            <w:pPr>
              <w:rPr>
                <w:rFonts w:eastAsiaTheme="minorHAnsi"/>
                <w:sz w:val="21"/>
                <w:szCs w:val="22"/>
                <w:lang w:eastAsia="ja-JP"/>
              </w:rPr>
            </w:pPr>
            <w:r>
              <w:rPr>
                <w:sz w:val="21"/>
                <w:szCs w:val="22"/>
              </w:rPr>
              <w:t>106.27</w:t>
            </w:r>
          </w:p>
        </w:tc>
        <w:tc>
          <w:tcPr>
            <w:tcW w:w="1716" w:type="dxa"/>
            <w:hideMark/>
          </w:tcPr>
          <w:p w:rsidR="00FC702B" w:rsidRDefault="00FC702B" w:rsidP="00662E2E">
            <w:pPr>
              <w:rPr>
                <w:rFonts w:eastAsiaTheme="minorHAnsi"/>
                <w:sz w:val="21"/>
                <w:szCs w:val="22"/>
                <w:lang w:eastAsia="ja-JP"/>
              </w:rPr>
            </w:pPr>
            <w:r>
              <w:rPr>
                <w:sz w:val="21"/>
                <w:szCs w:val="22"/>
              </w:rPr>
              <w:t>83.59, 135.10</w:t>
            </w:r>
          </w:p>
        </w:tc>
        <w:tc>
          <w:tcPr>
            <w:tcW w:w="1119" w:type="dxa"/>
            <w:hideMark/>
          </w:tcPr>
          <w:p w:rsidR="00FC702B" w:rsidRPr="00662E2E" w:rsidRDefault="00FC702B" w:rsidP="00662E2E">
            <w:pPr>
              <w:rPr>
                <w:rFonts w:eastAsiaTheme="minorHAnsi"/>
                <w:b/>
                <w:sz w:val="21"/>
                <w:szCs w:val="22"/>
                <w:lang w:eastAsia="ja-JP"/>
              </w:rPr>
            </w:pPr>
            <w:r w:rsidRPr="00662E2E">
              <w:rPr>
                <w:b/>
              </w:rPr>
              <w:t>AUC</w:t>
            </w:r>
            <w:r w:rsidRPr="00662E2E">
              <w:rPr>
                <w:b/>
                <w:vertAlign w:val="subscript"/>
              </w:rPr>
              <w:t>last</w:t>
            </w:r>
          </w:p>
        </w:tc>
        <w:tc>
          <w:tcPr>
            <w:tcW w:w="1276" w:type="dxa"/>
            <w:hideMark/>
          </w:tcPr>
          <w:p w:rsidR="00FC702B" w:rsidRDefault="00FC702B" w:rsidP="00662E2E">
            <w:pPr>
              <w:rPr>
                <w:rFonts w:eastAsiaTheme="minorHAnsi"/>
                <w:sz w:val="21"/>
                <w:szCs w:val="22"/>
                <w:lang w:eastAsia="ja-JP"/>
              </w:rPr>
            </w:pPr>
            <w:r>
              <w:t>242.74</w:t>
            </w:r>
          </w:p>
        </w:tc>
        <w:tc>
          <w:tcPr>
            <w:tcW w:w="1666" w:type="dxa"/>
            <w:hideMark/>
          </w:tcPr>
          <w:p w:rsidR="00FC702B" w:rsidRDefault="00FC702B" w:rsidP="00662E2E">
            <w:pPr>
              <w:rPr>
                <w:rFonts w:eastAsiaTheme="minorHAnsi"/>
                <w:sz w:val="21"/>
                <w:szCs w:val="22"/>
                <w:lang w:eastAsia="ja-JP"/>
              </w:rPr>
            </w:pPr>
            <w:r>
              <w:t>207.17, 284.41</w:t>
            </w:r>
          </w:p>
        </w:tc>
      </w:tr>
      <w:tr w:rsidR="00FC702B" w:rsidTr="00CD76EC">
        <w:tc>
          <w:tcPr>
            <w:tcW w:w="993" w:type="dxa"/>
            <w:hideMark/>
          </w:tcPr>
          <w:p w:rsidR="00FC702B" w:rsidRPr="00662E2E" w:rsidRDefault="00FC702B" w:rsidP="00662E2E">
            <w:pPr>
              <w:rPr>
                <w:rFonts w:eastAsiaTheme="minorHAnsi"/>
                <w:b/>
                <w:sz w:val="21"/>
                <w:szCs w:val="22"/>
                <w:lang w:eastAsia="ja-JP"/>
              </w:rPr>
            </w:pPr>
            <w:r w:rsidRPr="00662E2E">
              <w:rPr>
                <w:b/>
              </w:rPr>
              <w:lastRenderedPageBreak/>
              <w:t>C</w:t>
            </w:r>
            <w:r w:rsidRPr="00662E2E">
              <w:rPr>
                <w:b/>
                <w:vertAlign w:val="subscript"/>
              </w:rPr>
              <w:t>max</w:t>
            </w:r>
          </w:p>
        </w:tc>
        <w:tc>
          <w:tcPr>
            <w:tcW w:w="1275" w:type="dxa"/>
            <w:hideMark/>
          </w:tcPr>
          <w:p w:rsidR="00FC702B" w:rsidRDefault="00FC702B" w:rsidP="00662E2E">
            <w:pPr>
              <w:rPr>
                <w:rFonts w:eastAsiaTheme="minorHAnsi"/>
                <w:sz w:val="21"/>
                <w:szCs w:val="22"/>
                <w:lang w:eastAsia="ja-JP"/>
              </w:rPr>
            </w:pPr>
            <w:r>
              <w:rPr>
                <w:sz w:val="21"/>
                <w:szCs w:val="22"/>
              </w:rPr>
              <w:t>141.80</w:t>
            </w:r>
          </w:p>
        </w:tc>
        <w:tc>
          <w:tcPr>
            <w:tcW w:w="1716" w:type="dxa"/>
            <w:hideMark/>
          </w:tcPr>
          <w:p w:rsidR="00FC702B" w:rsidRDefault="00FC702B" w:rsidP="00662E2E">
            <w:pPr>
              <w:rPr>
                <w:rFonts w:eastAsiaTheme="minorHAnsi"/>
                <w:sz w:val="21"/>
                <w:szCs w:val="22"/>
                <w:lang w:eastAsia="ja-JP"/>
              </w:rPr>
            </w:pPr>
            <w:r>
              <w:rPr>
                <w:sz w:val="21"/>
                <w:szCs w:val="22"/>
              </w:rPr>
              <w:t>96.11, 209.22</w:t>
            </w:r>
          </w:p>
        </w:tc>
        <w:tc>
          <w:tcPr>
            <w:tcW w:w="1119" w:type="dxa"/>
            <w:hideMark/>
          </w:tcPr>
          <w:p w:rsidR="00FC702B" w:rsidRPr="00662E2E" w:rsidRDefault="00FC702B" w:rsidP="00662E2E">
            <w:pPr>
              <w:rPr>
                <w:rFonts w:eastAsiaTheme="minorHAnsi"/>
                <w:b/>
                <w:sz w:val="21"/>
                <w:szCs w:val="22"/>
                <w:lang w:eastAsia="ja-JP"/>
              </w:rPr>
            </w:pPr>
            <w:r w:rsidRPr="00662E2E">
              <w:rPr>
                <w:b/>
              </w:rPr>
              <w:t>C</w:t>
            </w:r>
            <w:r w:rsidRPr="00662E2E">
              <w:rPr>
                <w:b/>
                <w:vertAlign w:val="subscript"/>
              </w:rPr>
              <w:t>max</w:t>
            </w:r>
          </w:p>
        </w:tc>
        <w:tc>
          <w:tcPr>
            <w:tcW w:w="1276" w:type="dxa"/>
            <w:hideMark/>
          </w:tcPr>
          <w:p w:rsidR="00FC702B" w:rsidRDefault="00FC702B" w:rsidP="00662E2E">
            <w:pPr>
              <w:rPr>
                <w:rFonts w:eastAsiaTheme="minorHAnsi"/>
                <w:sz w:val="21"/>
                <w:szCs w:val="22"/>
                <w:lang w:eastAsia="ja-JP"/>
              </w:rPr>
            </w:pPr>
            <w:r>
              <w:t>241.54</w:t>
            </w:r>
          </w:p>
        </w:tc>
        <w:tc>
          <w:tcPr>
            <w:tcW w:w="1666" w:type="dxa"/>
            <w:hideMark/>
          </w:tcPr>
          <w:p w:rsidR="00FC702B" w:rsidRDefault="00FC702B" w:rsidP="00662E2E">
            <w:pPr>
              <w:rPr>
                <w:rFonts w:eastAsiaTheme="minorHAnsi"/>
                <w:sz w:val="21"/>
                <w:szCs w:val="22"/>
                <w:lang w:eastAsia="ja-JP"/>
              </w:rPr>
            </w:pPr>
            <w:r>
              <w:t>198.10, 294.51</w:t>
            </w:r>
          </w:p>
        </w:tc>
      </w:tr>
    </w:tbl>
    <w:p w:rsidR="00FC702B" w:rsidRDefault="00DF20DB" w:rsidP="00DF20DB">
      <w:pPr>
        <w:pStyle w:val="TableTitle"/>
        <w:rPr>
          <w:rFonts w:eastAsia="MS Mincho"/>
          <w:lang w:eastAsia="ja-JP"/>
        </w:rPr>
      </w:pPr>
      <w:r>
        <w:t xml:space="preserve">Table 18C: </w:t>
      </w:r>
      <w:r w:rsidR="00FC702B">
        <w:t>FTC/TAF (200/10) plus LPV/r (200/50)</w:t>
      </w:r>
    </w:p>
    <w:tbl>
      <w:tblPr>
        <w:tblStyle w:val="TableTGAblue"/>
        <w:tblW w:w="0" w:type="auto"/>
        <w:tblLook w:val="04A0" w:firstRow="1" w:lastRow="0" w:firstColumn="1" w:lastColumn="0" w:noHBand="0" w:noVBand="1"/>
      </w:tblPr>
      <w:tblGrid>
        <w:gridCol w:w="1208"/>
        <w:gridCol w:w="1275"/>
        <w:gridCol w:w="1716"/>
        <w:gridCol w:w="1208"/>
        <w:gridCol w:w="1276"/>
        <w:gridCol w:w="1666"/>
      </w:tblGrid>
      <w:tr w:rsidR="00FC702B" w:rsidTr="00CD76EC">
        <w:trPr>
          <w:cnfStyle w:val="100000000000" w:firstRow="1" w:lastRow="0" w:firstColumn="0" w:lastColumn="0" w:oddVBand="0" w:evenVBand="0" w:oddHBand="0" w:evenHBand="0" w:firstRowFirstColumn="0" w:firstRowLastColumn="0" w:lastRowFirstColumn="0" w:lastRowLastColumn="0"/>
        </w:trPr>
        <w:tc>
          <w:tcPr>
            <w:tcW w:w="993" w:type="dxa"/>
            <w:hideMark/>
          </w:tcPr>
          <w:p w:rsidR="00FC702B" w:rsidRPr="00DF20DB" w:rsidRDefault="00FC702B" w:rsidP="00662E2E">
            <w:pPr>
              <w:rPr>
                <w:rFonts w:eastAsiaTheme="minorHAnsi"/>
                <w:lang w:eastAsia="ja-JP"/>
              </w:rPr>
            </w:pPr>
            <w:r w:rsidRPr="00DF20DB">
              <w:t>TAF</w:t>
            </w:r>
          </w:p>
        </w:tc>
        <w:tc>
          <w:tcPr>
            <w:tcW w:w="1275" w:type="dxa"/>
            <w:hideMark/>
          </w:tcPr>
          <w:p w:rsidR="00FC702B" w:rsidRPr="00DF20DB" w:rsidRDefault="00FC702B" w:rsidP="00662E2E">
            <w:pPr>
              <w:rPr>
                <w:rFonts w:eastAsiaTheme="minorHAnsi"/>
                <w:lang w:eastAsia="ja-JP"/>
              </w:rPr>
            </w:pPr>
            <w:r w:rsidRPr="00DF20DB">
              <w:t>Ratio (%)</w:t>
            </w:r>
          </w:p>
        </w:tc>
        <w:tc>
          <w:tcPr>
            <w:tcW w:w="1716" w:type="dxa"/>
            <w:hideMark/>
          </w:tcPr>
          <w:p w:rsidR="00FC702B" w:rsidRPr="00DF20DB" w:rsidRDefault="00FC702B" w:rsidP="00662E2E">
            <w:pPr>
              <w:rPr>
                <w:rFonts w:eastAsiaTheme="minorHAnsi"/>
                <w:lang w:eastAsia="ja-JP"/>
              </w:rPr>
            </w:pPr>
            <w:r w:rsidRPr="00DF20DB">
              <w:t>90%CI (%)</w:t>
            </w:r>
          </w:p>
        </w:tc>
        <w:tc>
          <w:tcPr>
            <w:tcW w:w="1119" w:type="dxa"/>
            <w:hideMark/>
          </w:tcPr>
          <w:p w:rsidR="00FC702B" w:rsidRPr="00DF20DB" w:rsidRDefault="00FC702B" w:rsidP="00662E2E">
            <w:pPr>
              <w:rPr>
                <w:rFonts w:eastAsiaTheme="minorHAnsi"/>
                <w:sz w:val="21"/>
                <w:szCs w:val="22"/>
                <w:lang w:eastAsia="ja-JP"/>
              </w:rPr>
            </w:pPr>
            <w:r w:rsidRPr="00DF20DB">
              <w:rPr>
                <w:sz w:val="21"/>
                <w:szCs w:val="22"/>
              </w:rPr>
              <w:t>TVF</w:t>
            </w:r>
          </w:p>
        </w:tc>
        <w:tc>
          <w:tcPr>
            <w:tcW w:w="1276" w:type="dxa"/>
            <w:hideMark/>
          </w:tcPr>
          <w:p w:rsidR="00FC702B" w:rsidRPr="00DF20DB" w:rsidRDefault="00FC702B" w:rsidP="00662E2E">
            <w:pPr>
              <w:rPr>
                <w:rFonts w:eastAsiaTheme="minorHAnsi"/>
                <w:lang w:eastAsia="ja-JP"/>
              </w:rPr>
            </w:pPr>
            <w:r w:rsidRPr="00DF20DB">
              <w:t>Ratio (%)</w:t>
            </w:r>
          </w:p>
        </w:tc>
        <w:tc>
          <w:tcPr>
            <w:tcW w:w="1666" w:type="dxa"/>
            <w:hideMark/>
          </w:tcPr>
          <w:p w:rsidR="00FC702B" w:rsidRPr="00DF20DB" w:rsidRDefault="00FC702B" w:rsidP="00662E2E">
            <w:pPr>
              <w:rPr>
                <w:rFonts w:eastAsiaTheme="minorHAnsi"/>
                <w:lang w:eastAsia="ja-JP"/>
              </w:rPr>
            </w:pPr>
            <w:r w:rsidRPr="00DF20DB">
              <w:t>90%CI (%)</w:t>
            </w:r>
          </w:p>
        </w:tc>
      </w:tr>
      <w:tr w:rsidR="00FC702B" w:rsidTr="00CD76EC">
        <w:tc>
          <w:tcPr>
            <w:tcW w:w="993" w:type="dxa"/>
            <w:hideMark/>
          </w:tcPr>
          <w:p w:rsidR="00FC702B" w:rsidRPr="00662E2E" w:rsidRDefault="00FC702B" w:rsidP="00662E2E">
            <w:pPr>
              <w:rPr>
                <w:rFonts w:eastAsiaTheme="minorHAnsi"/>
                <w:b/>
                <w:sz w:val="21"/>
                <w:szCs w:val="22"/>
                <w:lang w:eastAsia="ja-JP"/>
              </w:rPr>
            </w:pPr>
            <w:r w:rsidRPr="00662E2E">
              <w:rPr>
                <w:b/>
              </w:rPr>
              <w:t>AUC</w:t>
            </w:r>
            <w:r w:rsidRPr="00662E2E">
              <w:rPr>
                <w:b/>
                <w:vertAlign w:val="subscript"/>
              </w:rPr>
              <w:t>last</w:t>
            </w:r>
          </w:p>
        </w:tc>
        <w:tc>
          <w:tcPr>
            <w:tcW w:w="1275" w:type="dxa"/>
            <w:hideMark/>
          </w:tcPr>
          <w:p w:rsidR="00FC702B" w:rsidRDefault="00FC702B" w:rsidP="00662E2E">
            <w:pPr>
              <w:rPr>
                <w:rFonts w:eastAsiaTheme="minorHAnsi"/>
                <w:sz w:val="21"/>
                <w:szCs w:val="22"/>
                <w:lang w:eastAsia="ja-JP"/>
              </w:rPr>
            </w:pPr>
            <w:r>
              <w:rPr>
                <w:sz w:val="21"/>
                <w:szCs w:val="22"/>
              </w:rPr>
              <w:t>146.73</w:t>
            </w:r>
          </w:p>
        </w:tc>
        <w:tc>
          <w:tcPr>
            <w:tcW w:w="1716" w:type="dxa"/>
            <w:hideMark/>
          </w:tcPr>
          <w:p w:rsidR="00FC702B" w:rsidRDefault="00FC702B" w:rsidP="00662E2E">
            <w:pPr>
              <w:rPr>
                <w:rFonts w:eastAsiaTheme="minorHAnsi"/>
                <w:sz w:val="21"/>
                <w:szCs w:val="22"/>
                <w:lang w:eastAsia="ja-JP"/>
              </w:rPr>
            </w:pPr>
            <w:r>
              <w:rPr>
                <w:sz w:val="21"/>
                <w:szCs w:val="22"/>
              </w:rPr>
              <w:t>116.60, 184.65</w:t>
            </w:r>
          </w:p>
        </w:tc>
        <w:tc>
          <w:tcPr>
            <w:tcW w:w="1119" w:type="dxa"/>
            <w:hideMark/>
          </w:tcPr>
          <w:p w:rsidR="00FC702B" w:rsidRPr="00662E2E" w:rsidRDefault="00FC702B" w:rsidP="00662E2E">
            <w:pPr>
              <w:rPr>
                <w:rFonts w:eastAsiaTheme="minorHAnsi"/>
                <w:b/>
                <w:sz w:val="21"/>
                <w:szCs w:val="22"/>
                <w:lang w:eastAsia="ja-JP"/>
              </w:rPr>
            </w:pPr>
            <w:r w:rsidRPr="00662E2E">
              <w:rPr>
                <w:b/>
              </w:rPr>
              <w:t>AUC</w:t>
            </w:r>
            <w:r w:rsidRPr="00662E2E">
              <w:rPr>
                <w:b/>
                <w:vertAlign w:val="subscript"/>
              </w:rPr>
              <w:t>last</w:t>
            </w:r>
          </w:p>
        </w:tc>
        <w:tc>
          <w:tcPr>
            <w:tcW w:w="1276" w:type="dxa"/>
            <w:hideMark/>
          </w:tcPr>
          <w:p w:rsidR="00FC702B" w:rsidRDefault="00FC702B" w:rsidP="00662E2E">
            <w:pPr>
              <w:rPr>
                <w:rFonts w:eastAsiaTheme="minorHAnsi"/>
                <w:sz w:val="21"/>
                <w:szCs w:val="22"/>
                <w:lang w:eastAsia="ja-JP"/>
              </w:rPr>
            </w:pPr>
            <w:r>
              <w:t>322.01</w:t>
            </w:r>
          </w:p>
        </w:tc>
        <w:tc>
          <w:tcPr>
            <w:tcW w:w="1666" w:type="dxa"/>
            <w:hideMark/>
          </w:tcPr>
          <w:p w:rsidR="00FC702B" w:rsidRDefault="00FC702B" w:rsidP="00662E2E">
            <w:pPr>
              <w:rPr>
                <w:rFonts w:eastAsiaTheme="minorHAnsi"/>
                <w:sz w:val="21"/>
                <w:szCs w:val="22"/>
                <w:lang w:eastAsia="ja-JP"/>
              </w:rPr>
            </w:pPr>
            <w:r>
              <w:t>298.02, 347.93</w:t>
            </w:r>
          </w:p>
        </w:tc>
      </w:tr>
      <w:tr w:rsidR="00FC702B" w:rsidTr="00CD76EC">
        <w:tc>
          <w:tcPr>
            <w:tcW w:w="993" w:type="dxa"/>
            <w:hideMark/>
          </w:tcPr>
          <w:p w:rsidR="00FC702B" w:rsidRPr="00662E2E" w:rsidRDefault="00FC702B" w:rsidP="00662E2E">
            <w:pPr>
              <w:rPr>
                <w:rFonts w:eastAsiaTheme="minorHAnsi"/>
                <w:b/>
                <w:sz w:val="21"/>
                <w:szCs w:val="22"/>
                <w:lang w:eastAsia="ja-JP"/>
              </w:rPr>
            </w:pPr>
            <w:r w:rsidRPr="00662E2E">
              <w:rPr>
                <w:b/>
              </w:rPr>
              <w:t>C</w:t>
            </w:r>
            <w:r w:rsidRPr="00662E2E">
              <w:rPr>
                <w:b/>
                <w:vertAlign w:val="subscript"/>
              </w:rPr>
              <w:t>max</w:t>
            </w:r>
          </w:p>
        </w:tc>
        <w:tc>
          <w:tcPr>
            <w:tcW w:w="1275" w:type="dxa"/>
            <w:hideMark/>
          </w:tcPr>
          <w:p w:rsidR="00FC702B" w:rsidRDefault="00FC702B" w:rsidP="00662E2E">
            <w:pPr>
              <w:rPr>
                <w:rFonts w:eastAsiaTheme="minorHAnsi"/>
                <w:sz w:val="21"/>
                <w:szCs w:val="22"/>
                <w:lang w:eastAsia="ja-JP"/>
              </w:rPr>
            </w:pPr>
            <w:r>
              <w:rPr>
                <w:sz w:val="21"/>
                <w:szCs w:val="22"/>
              </w:rPr>
              <w:t>218.97</w:t>
            </w:r>
          </w:p>
        </w:tc>
        <w:tc>
          <w:tcPr>
            <w:tcW w:w="1716" w:type="dxa"/>
            <w:hideMark/>
          </w:tcPr>
          <w:p w:rsidR="00FC702B" w:rsidRDefault="00FC702B" w:rsidP="00662E2E">
            <w:pPr>
              <w:rPr>
                <w:rFonts w:eastAsiaTheme="minorHAnsi"/>
                <w:sz w:val="21"/>
                <w:szCs w:val="22"/>
                <w:lang w:eastAsia="ja-JP"/>
              </w:rPr>
            </w:pPr>
            <w:r>
              <w:rPr>
                <w:sz w:val="21"/>
                <w:szCs w:val="22"/>
              </w:rPr>
              <w:t>172.88, 278.97</w:t>
            </w:r>
          </w:p>
        </w:tc>
        <w:tc>
          <w:tcPr>
            <w:tcW w:w="1119" w:type="dxa"/>
            <w:hideMark/>
          </w:tcPr>
          <w:p w:rsidR="00FC702B" w:rsidRPr="00662E2E" w:rsidRDefault="00FC702B" w:rsidP="00662E2E">
            <w:pPr>
              <w:rPr>
                <w:rFonts w:eastAsiaTheme="minorHAnsi"/>
                <w:b/>
                <w:sz w:val="21"/>
                <w:szCs w:val="22"/>
                <w:lang w:eastAsia="ja-JP"/>
              </w:rPr>
            </w:pPr>
            <w:r w:rsidRPr="00662E2E">
              <w:rPr>
                <w:b/>
              </w:rPr>
              <w:t>C</w:t>
            </w:r>
            <w:r w:rsidRPr="00662E2E">
              <w:rPr>
                <w:b/>
                <w:vertAlign w:val="subscript"/>
              </w:rPr>
              <w:t>max</w:t>
            </w:r>
          </w:p>
        </w:tc>
        <w:tc>
          <w:tcPr>
            <w:tcW w:w="1276" w:type="dxa"/>
            <w:hideMark/>
          </w:tcPr>
          <w:p w:rsidR="00FC702B" w:rsidRDefault="00FC702B" w:rsidP="00662E2E">
            <w:pPr>
              <w:rPr>
                <w:rFonts w:eastAsiaTheme="minorHAnsi"/>
                <w:sz w:val="21"/>
                <w:szCs w:val="22"/>
                <w:lang w:eastAsia="ja-JP"/>
              </w:rPr>
            </w:pPr>
            <w:r>
              <w:t>374.52</w:t>
            </w:r>
          </w:p>
        </w:tc>
        <w:tc>
          <w:tcPr>
            <w:tcW w:w="1666" w:type="dxa"/>
            <w:hideMark/>
          </w:tcPr>
          <w:p w:rsidR="00FC702B" w:rsidRDefault="00FC702B" w:rsidP="00662E2E">
            <w:pPr>
              <w:rPr>
                <w:rFonts w:eastAsiaTheme="minorHAnsi"/>
                <w:sz w:val="21"/>
                <w:szCs w:val="22"/>
                <w:lang w:eastAsia="ja-JP"/>
              </w:rPr>
            </w:pPr>
            <w:r>
              <w:t>319.28, 439.30</w:t>
            </w:r>
          </w:p>
        </w:tc>
      </w:tr>
    </w:tbl>
    <w:p w:rsidR="00FC702B" w:rsidRDefault="00DF20DB" w:rsidP="00DF20DB">
      <w:pPr>
        <w:pStyle w:val="TableTitle"/>
        <w:rPr>
          <w:rFonts w:eastAsia="MS Mincho"/>
          <w:lang w:eastAsia="ja-JP"/>
        </w:rPr>
      </w:pPr>
      <w:r>
        <w:t xml:space="preserve">Table 18D: </w:t>
      </w:r>
      <w:r w:rsidR="00FC702B">
        <w:t>FTC/TAF (200/10) plus DTG (5</w:t>
      </w:r>
      <w:r w:rsidR="00E04BFC">
        <w:t xml:space="preserve">0 </w:t>
      </w:r>
      <w:r w:rsidR="00E04BFC" w:rsidRPr="00DF20DB">
        <w:t>mg</w:t>
      </w:r>
      <w:r w:rsidR="00FC702B">
        <w:t>)</w:t>
      </w:r>
    </w:p>
    <w:tbl>
      <w:tblPr>
        <w:tblStyle w:val="TableTGAblue"/>
        <w:tblW w:w="0" w:type="auto"/>
        <w:tblLook w:val="04A0" w:firstRow="1" w:lastRow="0" w:firstColumn="1" w:lastColumn="0" w:noHBand="0" w:noVBand="1"/>
      </w:tblPr>
      <w:tblGrid>
        <w:gridCol w:w="1208"/>
        <w:gridCol w:w="1275"/>
        <w:gridCol w:w="1716"/>
        <w:gridCol w:w="1208"/>
        <w:gridCol w:w="1276"/>
        <w:gridCol w:w="1666"/>
      </w:tblGrid>
      <w:tr w:rsidR="00FC702B" w:rsidTr="00CD76EC">
        <w:trPr>
          <w:cnfStyle w:val="100000000000" w:firstRow="1" w:lastRow="0" w:firstColumn="0" w:lastColumn="0" w:oddVBand="0" w:evenVBand="0" w:oddHBand="0" w:evenHBand="0" w:firstRowFirstColumn="0" w:firstRowLastColumn="0" w:lastRowFirstColumn="0" w:lastRowLastColumn="0"/>
        </w:trPr>
        <w:tc>
          <w:tcPr>
            <w:tcW w:w="993" w:type="dxa"/>
            <w:hideMark/>
          </w:tcPr>
          <w:p w:rsidR="00FC702B" w:rsidRPr="00DF20DB" w:rsidRDefault="00FC702B" w:rsidP="00662E2E">
            <w:pPr>
              <w:rPr>
                <w:rFonts w:eastAsiaTheme="minorHAnsi"/>
                <w:lang w:eastAsia="ja-JP"/>
              </w:rPr>
            </w:pPr>
            <w:r w:rsidRPr="00DF20DB">
              <w:t>TAF</w:t>
            </w:r>
          </w:p>
        </w:tc>
        <w:tc>
          <w:tcPr>
            <w:tcW w:w="1275" w:type="dxa"/>
            <w:hideMark/>
          </w:tcPr>
          <w:p w:rsidR="00FC702B" w:rsidRPr="00DF20DB" w:rsidRDefault="00FC702B" w:rsidP="00662E2E">
            <w:pPr>
              <w:rPr>
                <w:rFonts w:eastAsiaTheme="minorHAnsi"/>
                <w:lang w:eastAsia="ja-JP"/>
              </w:rPr>
            </w:pPr>
            <w:r w:rsidRPr="00DF20DB">
              <w:t>Ratio (%)</w:t>
            </w:r>
          </w:p>
        </w:tc>
        <w:tc>
          <w:tcPr>
            <w:tcW w:w="1716" w:type="dxa"/>
            <w:hideMark/>
          </w:tcPr>
          <w:p w:rsidR="00FC702B" w:rsidRPr="00DF20DB" w:rsidRDefault="00FC702B" w:rsidP="00662E2E">
            <w:pPr>
              <w:rPr>
                <w:rFonts w:eastAsiaTheme="minorHAnsi"/>
                <w:lang w:eastAsia="ja-JP"/>
              </w:rPr>
            </w:pPr>
            <w:r w:rsidRPr="00DF20DB">
              <w:t>90%CI (%)</w:t>
            </w:r>
          </w:p>
        </w:tc>
        <w:tc>
          <w:tcPr>
            <w:tcW w:w="1119" w:type="dxa"/>
            <w:hideMark/>
          </w:tcPr>
          <w:p w:rsidR="00FC702B" w:rsidRPr="00DF20DB" w:rsidRDefault="00FC702B" w:rsidP="00662E2E">
            <w:pPr>
              <w:rPr>
                <w:rFonts w:eastAsiaTheme="minorHAnsi"/>
                <w:sz w:val="21"/>
                <w:szCs w:val="22"/>
                <w:lang w:eastAsia="ja-JP"/>
              </w:rPr>
            </w:pPr>
            <w:r w:rsidRPr="00DF20DB">
              <w:rPr>
                <w:sz w:val="21"/>
                <w:szCs w:val="22"/>
              </w:rPr>
              <w:t>TVF</w:t>
            </w:r>
          </w:p>
        </w:tc>
        <w:tc>
          <w:tcPr>
            <w:tcW w:w="1276" w:type="dxa"/>
            <w:hideMark/>
          </w:tcPr>
          <w:p w:rsidR="00FC702B" w:rsidRPr="00DF20DB" w:rsidRDefault="00FC702B" w:rsidP="00662E2E">
            <w:pPr>
              <w:rPr>
                <w:rFonts w:eastAsiaTheme="minorHAnsi"/>
                <w:lang w:eastAsia="ja-JP"/>
              </w:rPr>
            </w:pPr>
            <w:r w:rsidRPr="00DF20DB">
              <w:t>Ratio (%)</w:t>
            </w:r>
          </w:p>
        </w:tc>
        <w:tc>
          <w:tcPr>
            <w:tcW w:w="1666" w:type="dxa"/>
            <w:hideMark/>
          </w:tcPr>
          <w:p w:rsidR="00FC702B" w:rsidRPr="00DF20DB" w:rsidRDefault="00FC702B" w:rsidP="00662E2E">
            <w:pPr>
              <w:rPr>
                <w:rFonts w:eastAsiaTheme="minorHAnsi"/>
                <w:lang w:eastAsia="ja-JP"/>
              </w:rPr>
            </w:pPr>
            <w:r w:rsidRPr="00DF20DB">
              <w:t>90%CI (%)</w:t>
            </w:r>
          </w:p>
        </w:tc>
      </w:tr>
      <w:tr w:rsidR="00FC702B" w:rsidTr="00CD76EC">
        <w:tc>
          <w:tcPr>
            <w:tcW w:w="993" w:type="dxa"/>
            <w:hideMark/>
          </w:tcPr>
          <w:p w:rsidR="00FC702B" w:rsidRPr="00662E2E" w:rsidRDefault="00FC702B" w:rsidP="00662E2E">
            <w:pPr>
              <w:rPr>
                <w:rFonts w:eastAsiaTheme="minorHAnsi"/>
                <w:b/>
                <w:sz w:val="21"/>
                <w:szCs w:val="22"/>
                <w:lang w:eastAsia="ja-JP"/>
              </w:rPr>
            </w:pPr>
            <w:r w:rsidRPr="00662E2E">
              <w:rPr>
                <w:b/>
              </w:rPr>
              <w:t>AUC</w:t>
            </w:r>
            <w:r w:rsidRPr="00662E2E">
              <w:rPr>
                <w:b/>
                <w:vertAlign w:val="subscript"/>
              </w:rPr>
              <w:t>last</w:t>
            </w:r>
          </w:p>
        </w:tc>
        <w:tc>
          <w:tcPr>
            <w:tcW w:w="1275" w:type="dxa"/>
            <w:hideMark/>
          </w:tcPr>
          <w:p w:rsidR="00FC702B" w:rsidRDefault="00FC702B" w:rsidP="00662E2E">
            <w:pPr>
              <w:rPr>
                <w:rFonts w:eastAsiaTheme="minorHAnsi"/>
                <w:sz w:val="21"/>
                <w:szCs w:val="22"/>
                <w:lang w:eastAsia="ja-JP"/>
              </w:rPr>
            </w:pPr>
            <w:r>
              <w:rPr>
                <w:sz w:val="21"/>
                <w:szCs w:val="22"/>
              </w:rPr>
              <w:t>119.02</w:t>
            </w:r>
          </w:p>
        </w:tc>
        <w:tc>
          <w:tcPr>
            <w:tcW w:w="1716" w:type="dxa"/>
            <w:hideMark/>
          </w:tcPr>
          <w:p w:rsidR="00FC702B" w:rsidRDefault="00FC702B" w:rsidP="00662E2E">
            <w:pPr>
              <w:rPr>
                <w:rFonts w:eastAsiaTheme="minorHAnsi"/>
                <w:sz w:val="21"/>
                <w:szCs w:val="22"/>
                <w:lang w:eastAsia="ja-JP"/>
              </w:rPr>
            </w:pPr>
            <w:r>
              <w:rPr>
                <w:sz w:val="21"/>
                <w:szCs w:val="22"/>
              </w:rPr>
              <w:t>95.83, 147.82</w:t>
            </w:r>
          </w:p>
        </w:tc>
        <w:tc>
          <w:tcPr>
            <w:tcW w:w="1119" w:type="dxa"/>
            <w:hideMark/>
          </w:tcPr>
          <w:p w:rsidR="00FC702B" w:rsidRPr="00662E2E" w:rsidRDefault="00FC702B" w:rsidP="00662E2E">
            <w:pPr>
              <w:rPr>
                <w:rFonts w:eastAsiaTheme="minorHAnsi"/>
                <w:b/>
                <w:sz w:val="21"/>
                <w:szCs w:val="22"/>
                <w:lang w:eastAsia="ja-JP"/>
              </w:rPr>
            </w:pPr>
            <w:r w:rsidRPr="00662E2E">
              <w:rPr>
                <w:b/>
              </w:rPr>
              <w:t>AUC</w:t>
            </w:r>
            <w:r w:rsidRPr="00662E2E">
              <w:rPr>
                <w:b/>
                <w:vertAlign w:val="subscript"/>
              </w:rPr>
              <w:t>last</w:t>
            </w:r>
          </w:p>
        </w:tc>
        <w:tc>
          <w:tcPr>
            <w:tcW w:w="1276" w:type="dxa"/>
            <w:hideMark/>
          </w:tcPr>
          <w:p w:rsidR="00FC702B" w:rsidRDefault="00FC702B" w:rsidP="00662E2E">
            <w:pPr>
              <w:rPr>
                <w:rFonts w:eastAsiaTheme="minorHAnsi"/>
                <w:sz w:val="21"/>
                <w:szCs w:val="22"/>
                <w:lang w:eastAsia="ja-JP"/>
              </w:rPr>
            </w:pPr>
            <w:r>
              <w:t>104.25</w:t>
            </w:r>
          </w:p>
        </w:tc>
        <w:tc>
          <w:tcPr>
            <w:tcW w:w="1666" w:type="dxa"/>
            <w:hideMark/>
          </w:tcPr>
          <w:p w:rsidR="00FC702B" w:rsidRDefault="00FC702B" w:rsidP="00662E2E">
            <w:pPr>
              <w:rPr>
                <w:rFonts w:eastAsiaTheme="minorHAnsi"/>
                <w:sz w:val="21"/>
                <w:szCs w:val="22"/>
                <w:lang w:eastAsia="ja-JP"/>
              </w:rPr>
            </w:pPr>
            <w:r>
              <w:t>98.74, 110.08</w:t>
            </w:r>
          </w:p>
        </w:tc>
      </w:tr>
      <w:tr w:rsidR="00FC702B" w:rsidTr="00CD76EC">
        <w:tc>
          <w:tcPr>
            <w:tcW w:w="993" w:type="dxa"/>
            <w:hideMark/>
          </w:tcPr>
          <w:p w:rsidR="00FC702B" w:rsidRPr="00662E2E" w:rsidRDefault="00FC702B" w:rsidP="00662E2E">
            <w:pPr>
              <w:rPr>
                <w:rFonts w:eastAsiaTheme="minorHAnsi"/>
                <w:b/>
                <w:sz w:val="21"/>
                <w:szCs w:val="22"/>
                <w:lang w:eastAsia="ja-JP"/>
              </w:rPr>
            </w:pPr>
            <w:r w:rsidRPr="00662E2E">
              <w:rPr>
                <w:b/>
              </w:rPr>
              <w:t>C</w:t>
            </w:r>
            <w:r w:rsidRPr="00662E2E">
              <w:rPr>
                <w:b/>
                <w:vertAlign w:val="subscript"/>
              </w:rPr>
              <w:t>max</w:t>
            </w:r>
          </w:p>
        </w:tc>
        <w:tc>
          <w:tcPr>
            <w:tcW w:w="1275" w:type="dxa"/>
            <w:hideMark/>
          </w:tcPr>
          <w:p w:rsidR="00FC702B" w:rsidRDefault="00FC702B" w:rsidP="00662E2E">
            <w:pPr>
              <w:rPr>
                <w:rFonts w:eastAsiaTheme="minorHAnsi"/>
                <w:sz w:val="21"/>
                <w:szCs w:val="22"/>
                <w:lang w:eastAsia="ja-JP"/>
              </w:rPr>
            </w:pPr>
            <w:r>
              <w:rPr>
                <w:sz w:val="21"/>
                <w:szCs w:val="22"/>
              </w:rPr>
              <w:t>123.64</w:t>
            </w:r>
          </w:p>
        </w:tc>
        <w:tc>
          <w:tcPr>
            <w:tcW w:w="1716" w:type="dxa"/>
            <w:hideMark/>
          </w:tcPr>
          <w:p w:rsidR="00FC702B" w:rsidRDefault="00FC702B" w:rsidP="00662E2E">
            <w:pPr>
              <w:rPr>
                <w:rFonts w:eastAsiaTheme="minorHAnsi"/>
                <w:sz w:val="21"/>
                <w:szCs w:val="22"/>
                <w:lang w:eastAsia="ja-JP"/>
              </w:rPr>
            </w:pPr>
            <w:r>
              <w:rPr>
                <w:sz w:val="21"/>
                <w:szCs w:val="22"/>
              </w:rPr>
              <w:t>87.79, 174.13</w:t>
            </w:r>
          </w:p>
        </w:tc>
        <w:tc>
          <w:tcPr>
            <w:tcW w:w="1119" w:type="dxa"/>
            <w:hideMark/>
          </w:tcPr>
          <w:p w:rsidR="00FC702B" w:rsidRPr="00662E2E" w:rsidRDefault="00FC702B" w:rsidP="00662E2E">
            <w:pPr>
              <w:rPr>
                <w:rFonts w:eastAsiaTheme="minorHAnsi"/>
                <w:b/>
                <w:sz w:val="21"/>
                <w:szCs w:val="22"/>
                <w:lang w:eastAsia="ja-JP"/>
              </w:rPr>
            </w:pPr>
            <w:r w:rsidRPr="00662E2E">
              <w:rPr>
                <w:b/>
              </w:rPr>
              <w:t>C</w:t>
            </w:r>
            <w:r w:rsidRPr="00662E2E">
              <w:rPr>
                <w:b/>
                <w:vertAlign w:val="subscript"/>
              </w:rPr>
              <w:t>max</w:t>
            </w:r>
          </w:p>
        </w:tc>
        <w:tc>
          <w:tcPr>
            <w:tcW w:w="1276" w:type="dxa"/>
            <w:hideMark/>
          </w:tcPr>
          <w:p w:rsidR="00FC702B" w:rsidRDefault="00FC702B" w:rsidP="00662E2E">
            <w:pPr>
              <w:rPr>
                <w:rFonts w:eastAsiaTheme="minorHAnsi"/>
                <w:sz w:val="21"/>
                <w:szCs w:val="22"/>
                <w:lang w:eastAsia="ja-JP"/>
              </w:rPr>
            </w:pPr>
            <w:r>
              <w:t>109.91</w:t>
            </w:r>
          </w:p>
        </w:tc>
        <w:tc>
          <w:tcPr>
            <w:tcW w:w="1666" w:type="dxa"/>
            <w:hideMark/>
          </w:tcPr>
          <w:p w:rsidR="00FC702B" w:rsidRDefault="00FC702B" w:rsidP="00662E2E">
            <w:pPr>
              <w:rPr>
                <w:rFonts w:eastAsiaTheme="minorHAnsi"/>
                <w:sz w:val="21"/>
                <w:szCs w:val="22"/>
                <w:lang w:eastAsia="ja-JP"/>
              </w:rPr>
            </w:pPr>
            <w:r>
              <w:t>96.39, 125.32</w:t>
            </w:r>
          </w:p>
        </w:tc>
      </w:tr>
    </w:tbl>
    <w:p w:rsidR="00FC702B" w:rsidRDefault="00FC702B" w:rsidP="00CD76EC">
      <w:pPr>
        <w:rPr>
          <w:rFonts w:eastAsia="MS Mincho"/>
          <w:lang w:eastAsia="ja-JP"/>
        </w:rPr>
      </w:pPr>
      <w:r>
        <w:t>The co-administration also did not affect the pharmacokinetics of the three PIs or DTG. The pharmacokinetics of FTC were not reported but are not expected to be affected.</w:t>
      </w:r>
    </w:p>
    <w:p w:rsidR="00FC702B" w:rsidRDefault="00FC702B" w:rsidP="00CD76EC">
      <w:r>
        <w:t xml:space="preserve">Overall, the study supports the use of FTC/TAF (200/100) with RTV containing ART regimens. Please also see the </w:t>
      </w:r>
      <w:r w:rsidR="005A6D01">
        <w:t>Descovy</w:t>
      </w:r>
      <w:r>
        <w:t xml:space="preserve"> CER and </w:t>
      </w:r>
      <w:r w:rsidR="00AA3643">
        <w:t>Genvoya</w:t>
      </w:r>
      <w:r>
        <w:t xml:space="preserve"> documents in relation to other established and expected drug interactions including clinically important drug interactions with P-gp inducers (</w:t>
      </w:r>
      <w:r w:rsidR="00DF20DB">
        <w:t>such as</w:t>
      </w:r>
      <w:r>
        <w:t xml:space="preserve"> rifampicin) which may reduce, or inhibitors (</w:t>
      </w:r>
      <w:r w:rsidR="00DF20DB">
        <w:t>for example,</w:t>
      </w:r>
      <w:r>
        <w:t xml:space="preserve"> ketoconazole) which may increase bioavailability of TAF to clinically important extent.</w:t>
      </w:r>
    </w:p>
    <w:p w:rsidR="00FC702B" w:rsidRDefault="00662E2E" w:rsidP="00202575">
      <w:pPr>
        <w:pStyle w:val="Heading4"/>
        <w:rPr>
          <w:szCs w:val="20"/>
        </w:rPr>
      </w:pPr>
      <w:r>
        <w:t>Clinical e</w:t>
      </w:r>
      <w:r w:rsidR="00FC702B">
        <w:t>fficacy</w:t>
      </w:r>
    </w:p>
    <w:p w:rsidR="00202575" w:rsidRDefault="00FC702B" w:rsidP="00202575">
      <w:r>
        <w:t xml:space="preserve">As noted earlier, the clinical dossier for </w:t>
      </w:r>
      <w:r w:rsidR="00AA3643">
        <w:t>Genvoya</w:t>
      </w:r>
      <w:r>
        <w:t xml:space="preserve"> is also the proposed supporting evidence of clinical efficacy of </w:t>
      </w:r>
      <w:r w:rsidR="005A6D01">
        <w:t>Descovy</w:t>
      </w:r>
      <w:r>
        <w:t xml:space="preserve">. The only clinical study particular to </w:t>
      </w:r>
      <w:r w:rsidR="005A6D01">
        <w:t>Descovy</w:t>
      </w:r>
      <w:r>
        <w:t xml:space="preserve"> included in the dossier was Study GS-US-311-1</w:t>
      </w:r>
      <w:r w:rsidR="00D40039">
        <w:t>0</w:t>
      </w:r>
      <w:r>
        <w:t xml:space="preserve">89 which is discussed below. In addition, the adolescent study from </w:t>
      </w:r>
      <w:r w:rsidR="00AA3643">
        <w:t>Genvoya</w:t>
      </w:r>
      <w:r>
        <w:t xml:space="preserve"> dossier is noted below:</w:t>
      </w:r>
    </w:p>
    <w:p w:rsidR="00FC702B" w:rsidRPr="00202575" w:rsidRDefault="00FC702B" w:rsidP="00202575">
      <w:r w:rsidRPr="00202575">
        <w:rPr>
          <w:b/>
        </w:rPr>
        <w:t>Study GS-US-311-1</w:t>
      </w:r>
      <w:r w:rsidR="00D40039">
        <w:rPr>
          <w:b/>
        </w:rPr>
        <w:t>0</w:t>
      </w:r>
      <w:r w:rsidRPr="00202575">
        <w:rPr>
          <w:b/>
        </w:rPr>
        <w:t>89</w:t>
      </w:r>
      <w:r>
        <w:t xml:space="preserve"> is an ongoing </w:t>
      </w:r>
      <w:r w:rsidR="00E04BFC">
        <w:t>Phase III</w:t>
      </w:r>
      <w:r>
        <w:t xml:space="preserve"> study for which the interim results have become available for review within this submission. This is a randomised, double-blind trial to assess switching from FTC/TDF (200/300) to FTC/TAF (200/25 or 200/10) versus maintaining FTC/TDF in HIV-1 patients who were virologically suppressed (HIV-1 RNA &lt;50 copies/mL for ≥</w:t>
      </w:r>
      <w:r w:rsidR="00DF20DB">
        <w:t xml:space="preserve"> </w:t>
      </w:r>
      <w:r>
        <w:t xml:space="preserve">6 months prior to enrolment) and were currently on stable (for at least previous 6 months) ART regimens containing FTC/TDF. The purpose of the study was to establish the non-inferiority of FTC/TAF with a broad range of </w:t>
      </w:r>
      <w:r w:rsidR="00A378FB" w:rsidRPr="008E3BE8">
        <w:t>3</w:t>
      </w:r>
      <w:r w:rsidR="00A378FB" w:rsidRPr="00A378FB">
        <w:rPr>
          <w:vertAlign w:val="superscript"/>
        </w:rPr>
        <w:t>rd</w:t>
      </w:r>
      <w:r>
        <w:t xml:space="preserve"> agents compared to continuing FTC/TDF with a similar broad range of </w:t>
      </w:r>
      <w:r w:rsidR="00A378FB" w:rsidRPr="008E3BE8">
        <w:t>3</w:t>
      </w:r>
      <w:r w:rsidR="00A378FB" w:rsidRPr="00A378FB">
        <w:rPr>
          <w:vertAlign w:val="superscript"/>
        </w:rPr>
        <w:t>rd</w:t>
      </w:r>
      <w:r>
        <w:t xml:space="preserve"> agents.</w:t>
      </w:r>
    </w:p>
    <w:p w:rsidR="00FC702B" w:rsidRDefault="00FC702B" w:rsidP="00202575">
      <w:r>
        <w:lastRenderedPageBreak/>
        <w:t>At the time of this report, a total of 668 patients were randomised to two groups (334 each in group) i.e. FTC/TAF+</w:t>
      </w:r>
      <w:r w:rsidR="00A378FB" w:rsidRPr="008E3BE8">
        <w:t>3</w:t>
      </w:r>
      <w:r w:rsidR="00A378FB" w:rsidRPr="00A378FB">
        <w:rPr>
          <w:vertAlign w:val="superscript"/>
        </w:rPr>
        <w:t>rd</w:t>
      </w:r>
      <w:r>
        <w:t xml:space="preserve"> agent group and FTC/TDF+</w:t>
      </w:r>
      <w:r w:rsidR="00A378FB" w:rsidRPr="008E3BE8">
        <w:t>3</w:t>
      </w:r>
      <w:r w:rsidR="00A378FB" w:rsidRPr="00A378FB">
        <w:rPr>
          <w:vertAlign w:val="superscript"/>
        </w:rPr>
        <w:t>rd</w:t>
      </w:r>
      <w:r>
        <w:t xml:space="preserve"> agent group. At Week 48, the efficacy results supported the conclusion that switching to FTC/TAF+</w:t>
      </w:r>
      <w:r w:rsidR="00A378FB" w:rsidRPr="008E3BE8">
        <w:t>3</w:t>
      </w:r>
      <w:r w:rsidR="00A378FB" w:rsidRPr="00A378FB">
        <w:rPr>
          <w:vertAlign w:val="superscript"/>
        </w:rPr>
        <w:t>rd</w:t>
      </w:r>
      <w:r>
        <w:t xml:space="preserve"> agent was non-inferior to maintaining FTC/TDF+</w:t>
      </w:r>
      <w:r w:rsidR="00A378FB" w:rsidRPr="008E3BE8">
        <w:t>3</w:t>
      </w:r>
      <w:r w:rsidR="00A378FB" w:rsidRPr="00A378FB">
        <w:rPr>
          <w:vertAlign w:val="superscript"/>
        </w:rPr>
        <w:t>rd</w:t>
      </w:r>
      <w:r>
        <w:t xml:space="preserve"> agent as shown below</w:t>
      </w:r>
      <w:r w:rsidR="00DF20DB">
        <w:t xml:space="preserve"> (Table 19).</w:t>
      </w:r>
    </w:p>
    <w:p w:rsidR="00FC702B" w:rsidRDefault="00DF20DB" w:rsidP="00202575">
      <w:pPr>
        <w:pStyle w:val="TableTitle"/>
        <w:rPr>
          <w:rFonts w:asciiTheme="minorHAnsi" w:hAnsiTheme="minorHAnsi"/>
        </w:rPr>
      </w:pPr>
      <w:r>
        <w:t xml:space="preserve">Table 19: </w:t>
      </w:r>
      <w:r w:rsidR="00FC702B">
        <w:t>Virologic Outcomes at Week 48 using Snapshot Algorithm and HIV-1 RNA &lt;50 copies/mL (Full Analysis Set)</w:t>
      </w:r>
    </w:p>
    <w:p w:rsidR="00FC702B" w:rsidRDefault="00FC702B" w:rsidP="00202575">
      <w:pPr>
        <w:rPr>
          <w:rFonts w:asciiTheme="minorHAnsi" w:hAnsiTheme="minorHAnsi"/>
        </w:rPr>
      </w:pPr>
      <w:r>
        <w:rPr>
          <w:noProof/>
          <w:lang w:eastAsia="en-AU"/>
        </w:rPr>
        <w:drawing>
          <wp:inline distT="0" distB="0" distL="0" distR="0" wp14:anchorId="2D9A7812" wp14:editId="19FD0AAE">
            <wp:extent cx="4746929" cy="4290403"/>
            <wp:effectExtent l="0" t="0" r="0" b="0"/>
            <wp:docPr id="12" name="Picture 12" descr="Table 19: Virologic Outcomes at Week 48 using Snapshot Algorithm and HIV-1 RNA &lt;50 copies/m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752345" cy="4295298"/>
                    </a:xfrm>
                    <a:prstGeom prst="rect">
                      <a:avLst/>
                    </a:prstGeom>
                    <a:noFill/>
                    <a:ln>
                      <a:noFill/>
                    </a:ln>
                  </pic:spPr>
                </pic:pic>
              </a:graphicData>
            </a:graphic>
          </wp:inline>
        </w:drawing>
      </w:r>
    </w:p>
    <w:p w:rsidR="00FC702B" w:rsidRDefault="00FC702B" w:rsidP="00202575">
      <w:r>
        <w:t xml:space="preserve">Although not predefined, the virologic success rates were also similar between treatment groups for individual </w:t>
      </w:r>
      <w:r w:rsidR="00A378FB" w:rsidRPr="008E3BE8">
        <w:t>3</w:t>
      </w:r>
      <w:r w:rsidR="00A378FB" w:rsidRPr="00A378FB">
        <w:rPr>
          <w:vertAlign w:val="superscript"/>
        </w:rPr>
        <w:t>rd</w:t>
      </w:r>
      <w:r>
        <w:t xml:space="preserve"> agents:</w:t>
      </w:r>
      <w:r w:rsidR="00DF20DB">
        <w:t xml:space="preserve"> (Table 20).</w:t>
      </w:r>
    </w:p>
    <w:p w:rsidR="00FC702B" w:rsidRDefault="00DF20DB" w:rsidP="00202575">
      <w:pPr>
        <w:pStyle w:val="TableTitle"/>
      </w:pPr>
      <w:r>
        <w:t xml:space="preserve">Table 20: </w:t>
      </w:r>
      <w:r w:rsidR="00FC702B">
        <w:t xml:space="preserve">Virologic Success rate (HIV-1 RNA &lt; 50 copies/mL) at Week 48 using Snapshot Algorithm by </w:t>
      </w:r>
      <w:r w:rsidR="00A378FB" w:rsidRPr="008E3BE8">
        <w:t>3</w:t>
      </w:r>
      <w:r w:rsidR="00A378FB" w:rsidRPr="00A378FB">
        <w:rPr>
          <w:vertAlign w:val="superscript"/>
        </w:rPr>
        <w:t>rd</w:t>
      </w:r>
      <w:r w:rsidR="00FC702B">
        <w:t xml:space="preserve"> agent (Full Analysis Set)</w:t>
      </w:r>
    </w:p>
    <w:p w:rsidR="00FC702B" w:rsidRDefault="00FC702B" w:rsidP="00202575">
      <w:pPr>
        <w:rPr>
          <w:rFonts w:asciiTheme="minorHAnsi" w:hAnsiTheme="minorHAnsi"/>
        </w:rPr>
      </w:pPr>
      <w:r>
        <w:rPr>
          <w:noProof/>
          <w:lang w:eastAsia="en-AU"/>
        </w:rPr>
        <w:drawing>
          <wp:inline distT="0" distB="0" distL="0" distR="0" wp14:anchorId="1B8F7B45" wp14:editId="6A78D989">
            <wp:extent cx="5092700" cy="2158365"/>
            <wp:effectExtent l="0" t="0" r="0" b="0"/>
            <wp:docPr id="6" name="Picture 6" descr="Table 20: Virologic Success rate (HIV-1 RNA &lt; 50 copies/mL) at Week 48 using Snapshot Algorithm by 3rd ag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5092700" cy="2158365"/>
                    </a:xfrm>
                    <a:prstGeom prst="rect">
                      <a:avLst/>
                    </a:prstGeom>
                    <a:noFill/>
                    <a:ln>
                      <a:noFill/>
                    </a:ln>
                  </pic:spPr>
                </pic:pic>
              </a:graphicData>
            </a:graphic>
          </wp:inline>
        </w:drawing>
      </w:r>
    </w:p>
    <w:p w:rsidR="00FC702B" w:rsidRDefault="00FC702B" w:rsidP="00202575">
      <w:r>
        <w:lastRenderedPageBreak/>
        <w:t>The resistance analysis was comprised of 3 patients who experienced confirmed virologic rebound in first 48 weeks of study. This included 2 patients from FTC/TAF+3r agent group and one patient from FTC/TDF+</w:t>
      </w:r>
      <w:r w:rsidR="00A378FB" w:rsidRPr="008E3BE8">
        <w:t>3</w:t>
      </w:r>
      <w:r w:rsidR="00A378FB" w:rsidRPr="00A378FB">
        <w:rPr>
          <w:vertAlign w:val="superscript"/>
        </w:rPr>
        <w:t>rd</w:t>
      </w:r>
      <w:r>
        <w:t xml:space="preserve"> agent group.</w:t>
      </w:r>
    </w:p>
    <w:p w:rsidR="00FC702B" w:rsidRDefault="00FC702B" w:rsidP="00202575">
      <w:r>
        <w:t>In FTC/TAF+</w:t>
      </w:r>
      <w:r w:rsidR="00A378FB" w:rsidRPr="008E3BE8">
        <w:t>3</w:t>
      </w:r>
      <w:r w:rsidR="00A378FB" w:rsidRPr="00A378FB">
        <w:rPr>
          <w:vertAlign w:val="superscript"/>
        </w:rPr>
        <w:t>rd</w:t>
      </w:r>
      <w:r>
        <w:t xml:space="preserve"> agent group, 1 patient developed an NRTI resistance mutation to FTC (M184V) and one patient had pre-existing NNRTI resistance mutations detected.</w:t>
      </w:r>
    </w:p>
    <w:p w:rsidR="00FC702B" w:rsidRDefault="00FC702B" w:rsidP="00202575">
      <w:r>
        <w:t>In the FTC/TDF+</w:t>
      </w:r>
      <w:r w:rsidR="00A378FB" w:rsidRPr="008E3BE8">
        <w:t>3</w:t>
      </w:r>
      <w:r w:rsidR="00A378FB" w:rsidRPr="00A378FB">
        <w:rPr>
          <w:vertAlign w:val="superscript"/>
        </w:rPr>
        <w:t>rd</w:t>
      </w:r>
      <w:r>
        <w:t xml:space="preserve"> agent group, one patient had a pre-existing primary PI resistance mutation (Q58E) detected without phenotypic resistance to the </w:t>
      </w:r>
      <w:r w:rsidR="00A378FB" w:rsidRPr="008E3BE8">
        <w:t>3</w:t>
      </w:r>
      <w:r w:rsidR="00A378FB" w:rsidRPr="00A378FB">
        <w:rPr>
          <w:vertAlign w:val="superscript"/>
        </w:rPr>
        <w:t>rd</w:t>
      </w:r>
      <w:r>
        <w:t xml:space="preserve"> agent (DRV/r).</w:t>
      </w:r>
    </w:p>
    <w:p w:rsidR="00FC702B" w:rsidRDefault="00FC702B" w:rsidP="00202575">
      <w:r>
        <w:t>The PK component of the study included measurement of intracellular levels of TFV-DP. The results at 48 weeks</w:t>
      </w:r>
      <w:r w:rsidR="003F7A2A">
        <w:t xml:space="preserve"> are</w:t>
      </w:r>
      <w:r>
        <w:t xml:space="preserve"> indicative of higher intracellular concentration of TFV-DP with TCF/TAF (200/10 with boosted regimes and 200/25 with unboosted regimes) ver</w:t>
      </w:r>
      <w:r w:rsidR="00FA1F24">
        <w:t>sus FTC/TDF (200/300) (Table 21).</w:t>
      </w:r>
    </w:p>
    <w:p w:rsidR="00FC702B" w:rsidRDefault="00FA1F24" w:rsidP="00202575">
      <w:pPr>
        <w:pStyle w:val="TableTitle"/>
        <w:rPr>
          <w:rFonts w:asciiTheme="minorHAnsi" w:hAnsiTheme="minorHAnsi"/>
        </w:rPr>
      </w:pPr>
      <w:r>
        <w:t xml:space="preserve">Table 21: </w:t>
      </w:r>
      <w:r w:rsidR="00FC702B">
        <w:t>Median Intracellular TFV-DP levels between Test and Reference Treatments by Co-administered Third Agent (PBMC PK Analysis Set)</w:t>
      </w:r>
    </w:p>
    <w:p w:rsidR="00FC702B" w:rsidRDefault="00FC702B" w:rsidP="00202575">
      <w:pPr>
        <w:rPr>
          <w:rFonts w:asciiTheme="minorHAnsi" w:hAnsiTheme="minorHAnsi"/>
        </w:rPr>
      </w:pPr>
      <w:r>
        <w:rPr>
          <w:noProof/>
          <w:lang w:eastAsia="en-AU"/>
        </w:rPr>
        <w:drawing>
          <wp:inline distT="0" distB="0" distL="0" distR="0" wp14:anchorId="393E43F2" wp14:editId="24C17953">
            <wp:extent cx="4773930" cy="2924175"/>
            <wp:effectExtent l="0" t="0" r="7620" b="9525"/>
            <wp:docPr id="2" name="Picture 2" descr="Table 21: Median Intracellular TFV-DP levels between Test and Reference Treatments by Co-administered Third Agent (PBMC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4773930" cy="2924175"/>
                    </a:xfrm>
                    <a:prstGeom prst="rect">
                      <a:avLst/>
                    </a:prstGeom>
                    <a:noFill/>
                    <a:ln>
                      <a:noFill/>
                    </a:ln>
                  </pic:spPr>
                </pic:pic>
              </a:graphicData>
            </a:graphic>
          </wp:inline>
        </w:drawing>
      </w:r>
    </w:p>
    <w:p w:rsidR="00202575" w:rsidRDefault="00FC702B" w:rsidP="00FA1F24">
      <w:r>
        <w:t>The study is study continuing to 96 weeks with re</w:t>
      </w:r>
      <w:r w:rsidR="00202575">
        <w:t>spect to the clinical outcomes.</w:t>
      </w:r>
    </w:p>
    <w:p w:rsidR="00FC702B" w:rsidRDefault="00FC702B" w:rsidP="00202575">
      <w:r w:rsidRPr="00202575">
        <w:rPr>
          <w:b/>
        </w:rPr>
        <w:t>Study GS-US-292-0106</w:t>
      </w:r>
      <w:r>
        <w:t xml:space="preserve"> was a Phase </w:t>
      </w:r>
      <w:r w:rsidR="00FA1F24">
        <w:t>II</w:t>
      </w:r>
      <w:r>
        <w:t>/</w:t>
      </w:r>
      <w:r w:rsidR="00FA1F24">
        <w:t>III</w:t>
      </w:r>
      <w:r>
        <w:t xml:space="preserve">, single arm study of treatment with </w:t>
      </w:r>
      <w:r w:rsidR="00AA3643">
        <w:t>Genvoya</w:t>
      </w:r>
      <w:r>
        <w:t xml:space="preserve"> (N=50) in HIV-1 infected, antiretroviral treatment-naive adolescents (12 to &lt;18 years of age, body weight &gt;35 kg) over 48 weeks with the objective of assessing pharmacokinetics, safety, tolerability and antiviral activity of EVG/COBI/FTC/TA. Some salient findings were as follows:</w:t>
      </w:r>
    </w:p>
    <w:p w:rsidR="00FC702B" w:rsidRDefault="00FC702B" w:rsidP="00202575">
      <w:r>
        <w:t>TAF plasma exposure in adolescents was consistent with the range of exposure associated with antiviral activity in adults, despite being lower than that in adults. TFV exposure in adolescents was similar to that in adults. FTC exposure in adolescents was consistent with adult data.</w:t>
      </w:r>
    </w:p>
    <w:p w:rsidR="00FC702B" w:rsidRDefault="00FC702B" w:rsidP="00202575">
      <w:r>
        <w:t>At Week 48, HIV-1 RNA &lt;50 copies/mL virologic response rate (92%) was similar to response rates reported in trials of treatment naïve HIV-1 infected adults. The tolerability and the adverse effects profile was similar to that reported in adults.</w:t>
      </w:r>
    </w:p>
    <w:p w:rsidR="00FC702B" w:rsidRDefault="00FC702B" w:rsidP="00202575">
      <w:r>
        <w:t xml:space="preserve">While noting that there were no data on the use of </w:t>
      </w:r>
      <w:r w:rsidR="005A6D01">
        <w:t>Descovy</w:t>
      </w:r>
      <w:r>
        <w:t xml:space="preserve"> with ART agents other than EVG/COBI, either administered alone or boosted with RTV, the clinical evaluator has observed that </w:t>
      </w:r>
      <w:r w:rsidR="00EF064E">
        <w:t>‘</w:t>
      </w:r>
      <w:r>
        <w:t xml:space="preserve">it is, however, reasonable to extrapolate the PK data from the GS-US-311-1089 study to adolescents, given there is no major differences between PK data from the </w:t>
      </w:r>
      <w:r w:rsidR="00AA3643">
        <w:t>Genvoya</w:t>
      </w:r>
      <w:r>
        <w:t xml:space="preserve"> clinical study in adolescents (GS-US-292-0106) and the 1089 study</w:t>
      </w:r>
      <w:r w:rsidR="00EF064E">
        <w:t>’</w:t>
      </w:r>
      <w:r>
        <w:t xml:space="preserve">. The </w:t>
      </w:r>
      <w:r w:rsidR="00FA1F24">
        <w:t>D</w:t>
      </w:r>
      <w:r>
        <w:t>elegate agrees with this assessment.</w:t>
      </w:r>
    </w:p>
    <w:p w:rsidR="00FC702B" w:rsidRDefault="00662E2E" w:rsidP="00202575">
      <w:pPr>
        <w:pStyle w:val="Heading4"/>
        <w:rPr>
          <w:szCs w:val="20"/>
        </w:rPr>
      </w:pPr>
      <w:r>
        <w:lastRenderedPageBreak/>
        <w:t>Clinical s</w:t>
      </w:r>
      <w:r w:rsidR="00FC702B">
        <w:t>afety</w:t>
      </w:r>
    </w:p>
    <w:p w:rsidR="00586A39" w:rsidRDefault="00FC702B" w:rsidP="00202575">
      <w:r>
        <w:t xml:space="preserve">A total of 2497 HIV-1 infected patients received FTC/TAF containing regimen as EVG/COBI/FTC/TAF (n=2394 with median exposure of 48 weeks) or DRV/COBI/FTC/TAF (n=103 with a median exposure of 68 weeks) in Phase </w:t>
      </w:r>
      <w:r w:rsidR="00FA1F24">
        <w:t xml:space="preserve">II and III </w:t>
      </w:r>
      <w:r>
        <w:t xml:space="preserve">clinical trials of </w:t>
      </w:r>
      <w:r w:rsidR="00AA3643">
        <w:t>Genvoya</w:t>
      </w:r>
      <w:r>
        <w:t xml:space="preserve">. The occurrence of ocular icterus in 10 subjects (100) in FTC/TAF+ATV/r versus none in the control arm in </w:t>
      </w:r>
      <w:r w:rsidR="00FA1F24">
        <w:t>S</w:t>
      </w:r>
      <w:r>
        <w:t>tudy GS-US-120-0118 is noted</w:t>
      </w:r>
      <w:r w:rsidR="00586A39">
        <w:t>.</w:t>
      </w:r>
    </w:p>
    <w:p w:rsidR="00FC702B" w:rsidRDefault="00FC702B" w:rsidP="00202575">
      <w:pPr>
        <w:rPr>
          <w:bCs/>
        </w:rPr>
      </w:pPr>
      <w:r>
        <w:t>Detai</w:t>
      </w:r>
      <w:r w:rsidR="00FA1F24">
        <w:t>led safety results for S</w:t>
      </w:r>
      <w:r>
        <w:t xml:space="preserve">tudy </w:t>
      </w:r>
      <w:r>
        <w:rPr>
          <w:bCs/>
        </w:rPr>
        <w:t xml:space="preserve">GS-US-311-1089 have been provided and reviewed in the </w:t>
      </w:r>
      <w:r w:rsidR="005A6D01">
        <w:rPr>
          <w:bCs/>
        </w:rPr>
        <w:t>Descovy</w:t>
      </w:r>
      <w:r>
        <w:rPr>
          <w:bCs/>
        </w:rPr>
        <w:t xml:space="preserve"> clinical evaluation report and are </w:t>
      </w:r>
      <w:r>
        <w:t xml:space="preserve">indicative of an adverse effects profile of </w:t>
      </w:r>
      <w:r w:rsidR="005A6D01">
        <w:t>Descovy</w:t>
      </w:r>
      <w:r>
        <w:t xml:space="preserve"> is similar to </w:t>
      </w:r>
      <w:r w:rsidR="00EF064E">
        <w:t>Truvada</w:t>
      </w:r>
      <w:r>
        <w:t xml:space="preserve"> when administered with a range of </w:t>
      </w:r>
      <w:r w:rsidR="00A378FB" w:rsidRPr="008E3BE8">
        <w:t>3</w:t>
      </w:r>
      <w:r w:rsidR="00A378FB" w:rsidRPr="00A378FB">
        <w:rPr>
          <w:vertAlign w:val="superscript"/>
        </w:rPr>
        <w:t>rd</w:t>
      </w:r>
      <w:r>
        <w:t xml:space="preserve"> ART. A clinically meaningful advantage with respect to bone and renal safety was reported in FTC/TAF+</w:t>
      </w:r>
      <w:r w:rsidR="00A378FB" w:rsidRPr="008E3BE8">
        <w:t>3</w:t>
      </w:r>
      <w:r w:rsidR="00A378FB" w:rsidRPr="00A378FB">
        <w:rPr>
          <w:vertAlign w:val="superscript"/>
        </w:rPr>
        <w:t>rd</w:t>
      </w:r>
      <w:r>
        <w:t xml:space="preserve"> agent arm compared with FTC/TDF+</w:t>
      </w:r>
      <w:r w:rsidR="00A378FB" w:rsidRPr="008E3BE8">
        <w:t>3</w:t>
      </w:r>
      <w:r w:rsidR="00A378FB" w:rsidRPr="00A378FB">
        <w:rPr>
          <w:vertAlign w:val="superscript"/>
        </w:rPr>
        <w:t>rd</w:t>
      </w:r>
      <w:r>
        <w:t xml:space="preserve"> agent arm.</w:t>
      </w:r>
    </w:p>
    <w:p w:rsidR="008E7846" w:rsidRDefault="00386150" w:rsidP="007B6132">
      <w:pPr>
        <w:pStyle w:val="Heading3"/>
        <w:rPr>
          <w:lang w:eastAsia="en-AU"/>
        </w:rPr>
      </w:pPr>
      <w:bookmarkStart w:id="193" w:name="_Toc470175495"/>
      <w:r>
        <w:rPr>
          <w:lang w:eastAsia="en-AU"/>
        </w:rPr>
        <w:t>Risk m</w:t>
      </w:r>
      <w:r w:rsidR="008E7846">
        <w:rPr>
          <w:lang w:eastAsia="en-AU"/>
        </w:rPr>
        <w:t xml:space="preserve">anagement </w:t>
      </w:r>
      <w:r>
        <w:rPr>
          <w:lang w:eastAsia="en-AU"/>
        </w:rPr>
        <w:t>p</w:t>
      </w:r>
      <w:r w:rsidR="008E7846">
        <w:rPr>
          <w:lang w:eastAsia="en-AU"/>
        </w:rPr>
        <w:t>lan</w:t>
      </w:r>
      <w:bookmarkEnd w:id="192"/>
      <w:bookmarkEnd w:id="193"/>
    </w:p>
    <w:p w:rsidR="00FC702B" w:rsidRDefault="00FC702B" w:rsidP="00202575">
      <w:pPr>
        <w:rPr>
          <w:rFonts w:asciiTheme="minorHAnsi" w:hAnsiTheme="minorHAnsi"/>
        </w:rPr>
      </w:pPr>
      <w:r>
        <w:rPr>
          <w:rFonts w:asciiTheme="minorHAnsi" w:hAnsiTheme="minorHAnsi"/>
        </w:rPr>
        <w:t>A Risk Management Plan (</w:t>
      </w:r>
      <w:r>
        <w:rPr>
          <w:kern w:val="2"/>
        </w:rPr>
        <w:t xml:space="preserve">EU-RMP </w:t>
      </w:r>
      <w:r>
        <w:t xml:space="preserve">(Version 0.1, dated 1 April 2015) with an Australian Specific Annex (ASA) as Annex 13) is applicable to this submission. </w:t>
      </w:r>
      <w:r>
        <w:rPr>
          <w:rFonts w:asciiTheme="minorHAnsi" w:hAnsiTheme="minorHAnsi"/>
        </w:rPr>
        <w:t>There are no outstanding issues in relation to the RMP.</w:t>
      </w:r>
    </w:p>
    <w:p w:rsidR="00FC702B" w:rsidRDefault="00FC702B" w:rsidP="00202575">
      <w:pPr>
        <w:rPr>
          <w:rFonts w:asciiTheme="minorHAnsi" w:hAnsiTheme="minorHAnsi"/>
        </w:rPr>
      </w:pPr>
      <w:r>
        <w:rPr>
          <w:rFonts w:asciiTheme="minorHAnsi" w:hAnsiTheme="minorHAnsi"/>
        </w:rPr>
        <w:t>ACSOM advice was not sought.</w:t>
      </w:r>
    </w:p>
    <w:p w:rsidR="008E7846" w:rsidRDefault="00AA0ED0" w:rsidP="008E7846">
      <w:pPr>
        <w:pStyle w:val="Heading3"/>
      </w:pPr>
      <w:bookmarkStart w:id="194" w:name="_Toc247691531"/>
      <w:bookmarkStart w:id="195" w:name="_Toc314842515"/>
      <w:bookmarkStart w:id="196" w:name="_Toc470175496"/>
      <w:bookmarkStart w:id="197" w:name="_Toc196046505"/>
      <w:bookmarkStart w:id="198" w:name="_Toc196046949"/>
      <w:r>
        <w:t>Risk-benefit a</w:t>
      </w:r>
      <w:r w:rsidR="008E7846">
        <w:t>nalysis</w:t>
      </w:r>
      <w:bookmarkEnd w:id="194"/>
      <w:bookmarkEnd w:id="195"/>
      <w:bookmarkEnd w:id="196"/>
    </w:p>
    <w:p w:rsidR="00FC702B" w:rsidRDefault="00202575" w:rsidP="00202575">
      <w:pPr>
        <w:pStyle w:val="Heading4"/>
      </w:pPr>
      <w:r>
        <w:t xml:space="preserve">Delegate’s </w:t>
      </w:r>
      <w:r w:rsidR="00FC702B">
        <w:t xml:space="preserve">summary </w:t>
      </w:r>
      <w:r>
        <w:t>and</w:t>
      </w:r>
      <w:r w:rsidR="00FC702B">
        <w:t xml:space="preserve"> comments</w:t>
      </w:r>
    </w:p>
    <w:p w:rsidR="00FC702B" w:rsidRDefault="00FC702B" w:rsidP="008342C8">
      <w:pPr>
        <w:pStyle w:val="Numberbullet0"/>
        <w:numPr>
          <w:ilvl w:val="0"/>
          <w:numId w:val="10"/>
        </w:numPr>
      </w:pPr>
      <w:r>
        <w:t xml:space="preserve">This is a Type B submission for registration of a new Fixed Dose Combination product </w:t>
      </w:r>
      <w:r w:rsidR="005A6D01">
        <w:t>Descovy</w:t>
      </w:r>
      <w:r>
        <w:t xml:space="preserve"> (</w:t>
      </w:r>
      <w:r w:rsidRPr="00202575">
        <w:rPr>
          <w:rFonts w:cs="Arial"/>
        </w:rPr>
        <w:t>Emtricitabine/Tenofovir alafenamide fumarate</w:t>
      </w:r>
      <w:r>
        <w:t>) in two oral tablet strengths (200/10 mg and 200/25 mg) for the treatment of HIV-1 infection in patients above 12 years of age. It may be used in combination with boosted (using Cobicistat (COBI) or Ritonavir (RTV) as pharmacokinetic enhancer) or unboosted antiretroviral therapy.</w:t>
      </w:r>
    </w:p>
    <w:p w:rsidR="00FC702B" w:rsidRDefault="00FC702B" w:rsidP="008342C8">
      <w:pPr>
        <w:pStyle w:val="Numberbullet0"/>
        <w:numPr>
          <w:ilvl w:val="0"/>
          <w:numId w:val="10"/>
        </w:numPr>
      </w:pPr>
      <w:r>
        <w:t xml:space="preserve">Emtricitabine (FTC) and the earlier Tenofovir disoproxil fumarate (TDF) are established NRTI class of anti-HIV agents in current clinical practice. The newer form </w:t>
      </w:r>
      <w:r w:rsidRPr="00202575">
        <w:rPr>
          <w:rFonts w:cs="Arial"/>
        </w:rPr>
        <w:t xml:space="preserve">Tenofovir alafenamide fumarate (TAF) has also received approval in Australia as a component in the Fixed Dose Combination </w:t>
      </w:r>
      <w:r w:rsidR="00AA3643">
        <w:rPr>
          <w:rFonts w:cs="Arial"/>
        </w:rPr>
        <w:t>Genvoya</w:t>
      </w:r>
      <w:r w:rsidRPr="00202575">
        <w:rPr>
          <w:rFonts w:cs="Arial"/>
        </w:rPr>
        <w:t xml:space="preserve"> (Elvitegravir/</w:t>
      </w:r>
      <w:r w:rsidRPr="00202575">
        <w:rPr>
          <w:rFonts w:cs="Arial"/>
        </w:rPr>
        <w:br/>
        <w:t>COBI/FTC/TAF 150/150/200/10 mg) in the treatment of HIV-1 infection in patients 12 years of age and above.</w:t>
      </w:r>
    </w:p>
    <w:p w:rsidR="00FC702B" w:rsidRDefault="005A6D01" w:rsidP="008342C8">
      <w:pPr>
        <w:pStyle w:val="Numberbullet0"/>
        <w:numPr>
          <w:ilvl w:val="0"/>
          <w:numId w:val="10"/>
        </w:numPr>
      </w:pPr>
      <w:r w:rsidRPr="00FA1F24">
        <w:t>Descovy</w:t>
      </w:r>
      <w:r w:rsidR="00FC702B" w:rsidRPr="00FA1F24">
        <w:t xml:space="preserve"> (FTC/TAF 200/10 mg and 200/25 mg), which is the subject of this submission, has received approval in the USA (treatment of HIV-1 infection in patients 12 years of age and above) and has received positive opinion from the </w:t>
      </w:r>
      <w:r w:rsidR="00FA1F24" w:rsidRPr="00FA1F24">
        <w:t>Committee for Medicinal Products for Human Use (CHMP)</w:t>
      </w:r>
      <w:r w:rsidR="00FC702B" w:rsidRPr="00FA1F24">
        <w:t xml:space="preserve"> in the EU (expected use in the treatment of HIV-1 infection in patients 12 years and above with body weight at least 35 kg</w:t>
      </w:r>
      <w:r w:rsidR="00FC702B" w:rsidRPr="00202575">
        <w:rPr>
          <w:rFonts w:cs="Arial"/>
        </w:rPr>
        <w:t>).</w:t>
      </w:r>
    </w:p>
    <w:p w:rsidR="00FC702B" w:rsidRDefault="00FC702B" w:rsidP="008342C8">
      <w:pPr>
        <w:pStyle w:val="Numberbullet0"/>
        <w:numPr>
          <w:ilvl w:val="0"/>
          <w:numId w:val="10"/>
        </w:numPr>
      </w:pPr>
      <w:r>
        <w:t xml:space="preserve">This submission for </w:t>
      </w:r>
      <w:r w:rsidR="005A6D01">
        <w:t>Descovy</w:t>
      </w:r>
      <w:r>
        <w:t xml:space="preserve"> (FTC/TAF) relies principally on the previously evaluated dossier for </w:t>
      </w:r>
      <w:r w:rsidR="00AA3643">
        <w:t>Genvoya</w:t>
      </w:r>
      <w:r>
        <w:t xml:space="preserve"> (EVG/COBI/FTC/TAF) in regard to all aspects such as Chemistry</w:t>
      </w:r>
      <w:r w:rsidR="00FA1F24">
        <w:t xml:space="preserve"> (quality)</w:t>
      </w:r>
      <w:r>
        <w:t>, Toxicology</w:t>
      </w:r>
      <w:r w:rsidR="00FA1F24">
        <w:t xml:space="preserve"> (nonclinical), Pharmacodynamics and</w:t>
      </w:r>
      <w:r>
        <w:t xml:space="preserve"> Pharmacokinetics including drug interactions and, Clinical Efficacy/Safety.</w:t>
      </w:r>
    </w:p>
    <w:p w:rsidR="00FA1F24" w:rsidRPr="00FA1F24" w:rsidRDefault="00FC702B" w:rsidP="00FA1F24">
      <w:pPr>
        <w:pStyle w:val="Numberbullet0"/>
        <w:numPr>
          <w:ilvl w:val="0"/>
          <w:numId w:val="10"/>
        </w:numPr>
        <w:rPr>
          <w:rFonts w:eastAsia="MS Mincho"/>
          <w:lang w:eastAsia="ja-JP"/>
        </w:rPr>
      </w:pPr>
      <w:r>
        <w:t xml:space="preserve">Absolute Bioavailability of TAF is expected to be around 40% based on animal data. The chemical structures of TAF and TDF are </w:t>
      </w:r>
      <w:r w:rsidR="00FA1F24">
        <w:t>shown under Quality findings above.</w:t>
      </w:r>
    </w:p>
    <w:p w:rsidR="00FC702B" w:rsidRDefault="00FC702B" w:rsidP="00662E2E">
      <w:pPr>
        <w:rPr>
          <w:rFonts w:eastAsia="MS Mincho"/>
          <w:lang w:eastAsia="ja-JP"/>
        </w:rPr>
      </w:pPr>
      <w:r>
        <w:t>TAF is subject to food effect and to boosting with strong P-gp inhibitors such as ketoconazole whereby the bioavailability may approach above 75%.</w:t>
      </w:r>
    </w:p>
    <w:p w:rsidR="00FC702B" w:rsidRDefault="00FC702B" w:rsidP="00202575">
      <w:r>
        <w:lastRenderedPageBreak/>
        <w:t xml:space="preserve">A </w:t>
      </w:r>
      <w:r w:rsidR="005A6D01">
        <w:t>Descovy</w:t>
      </w:r>
      <w:r>
        <w:t xml:space="preserve"> specific food study (GS-US-311-1386) in this dossier and a previously evaluated drug-drug interactions study (GS-US-120-0118) provided further useful information about pharmacokinetic behaviour expected of TAF.</w:t>
      </w:r>
    </w:p>
    <w:p w:rsidR="00FC702B" w:rsidRDefault="00FC702B" w:rsidP="00202575">
      <w:r>
        <w:t xml:space="preserve">Known drug interactions based on </w:t>
      </w:r>
      <w:r w:rsidR="00AA3643">
        <w:t>Genvoya</w:t>
      </w:r>
      <w:r>
        <w:t xml:space="preserve"> dossier also apply to </w:t>
      </w:r>
      <w:r w:rsidR="005A6D01">
        <w:t>Descovy</w:t>
      </w:r>
      <w:r>
        <w:t xml:space="preserve"> </w:t>
      </w:r>
      <w:r w:rsidR="00FA1F24">
        <w:t>such as</w:t>
      </w:r>
      <w:r>
        <w:t xml:space="preserve"> clinically significant reduction in bioavailability with strong P-gp inducers such as rifampicin.</w:t>
      </w:r>
    </w:p>
    <w:p w:rsidR="00FC702B" w:rsidRDefault="00FC702B" w:rsidP="00202575">
      <w:r>
        <w:t xml:space="preserve">The data also support co-administration of TAF with the tested HIV protease inhibitors (DRV, ATV, LPV and RTV) but not the HCV protease inhibitors </w:t>
      </w:r>
      <w:r>
        <w:rPr>
          <w:sz w:val="23"/>
          <w:szCs w:val="23"/>
        </w:rPr>
        <w:t xml:space="preserve">that are inhibitors of cathepsin A </w:t>
      </w:r>
      <w:r>
        <w:t>(</w:t>
      </w:r>
      <w:r w:rsidR="003F7A2A">
        <w:t>for example,</w:t>
      </w:r>
      <w:r>
        <w:t xml:space="preserve"> telaprevir and boceprevir).</w:t>
      </w:r>
    </w:p>
    <w:p w:rsidR="00FC702B" w:rsidRDefault="00FC702B" w:rsidP="00202575">
      <w:r>
        <w:t>TAF (10-25 mg) provides advantage over TDF (300 mg) by its ability to achieve very high intracellular levels of the active TFV-DP in target cells with much lower clinical doses. This has a clinically useful expectation of improved bone and renal effects profile.</w:t>
      </w:r>
    </w:p>
    <w:p w:rsidR="00FC702B" w:rsidRDefault="00FC702B" w:rsidP="00202575">
      <w:r>
        <w:t xml:space="preserve">Two Bioequivalence (BE) studies of </w:t>
      </w:r>
      <w:r w:rsidR="005A6D01">
        <w:t>Descovy</w:t>
      </w:r>
      <w:r>
        <w:t xml:space="preserve"> were specific to this submission and successfully demonstrated the bioequivalence of </w:t>
      </w:r>
      <w:r w:rsidR="005A6D01">
        <w:t>Descovy</w:t>
      </w:r>
      <w:r>
        <w:t xml:space="preserve"> (200/10 boosted with EVG/COBI 150/150 in study GS-US-311-1472) and </w:t>
      </w:r>
      <w:r w:rsidR="005A6D01">
        <w:t>Descovy</w:t>
      </w:r>
      <w:r>
        <w:t xml:space="preserve"> (200/25 unboosted in study GS-US-311-1473) to the FTC </w:t>
      </w:r>
      <w:r w:rsidR="00FA1F24">
        <w:t>and</w:t>
      </w:r>
      <w:r>
        <w:t xml:space="preserve"> TAF components in </w:t>
      </w:r>
      <w:r w:rsidR="00AA3643">
        <w:t>Genvoya</w:t>
      </w:r>
      <w:r>
        <w:t xml:space="preserve"> (EVG/COBI/FTC/TAF 150/150/200/10) using the conventional criterion of 90%CI for the ratio of means to be within 80-125% equivalence margin for both AUC and C</w:t>
      </w:r>
      <w:r w:rsidRPr="00FA1F24">
        <w:rPr>
          <w:vertAlign w:val="subscript"/>
        </w:rPr>
        <w:t>max</w:t>
      </w:r>
      <w:r>
        <w:t xml:space="preserve">. Thus these BE studies established a link for the clinical efficacy of </w:t>
      </w:r>
      <w:r w:rsidR="00AA3643">
        <w:t>Genvoya</w:t>
      </w:r>
      <w:r>
        <w:t xml:space="preserve"> (including both the treatment new patients</w:t>
      </w:r>
      <w:r w:rsidR="00FA1F24">
        <w:t>, that is</w:t>
      </w:r>
      <w:r>
        <w:t xml:space="preserve"> treatment initiation and treatment-switching in virally suppressed patients who are currently stable on ART) to be extrapolated to </w:t>
      </w:r>
      <w:r w:rsidR="005A6D01">
        <w:t>Descovy</w:t>
      </w:r>
      <w:r>
        <w:t xml:space="preserve"> for its use with EVG/COBI, but not its use with other antiretroviral agents or boosting with RTV.</w:t>
      </w:r>
    </w:p>
    <w:p w:rsidR="00FC702B" w:rsidRDefault="00FC702B" w:rsidP="00202575">
      <w:r>
        <w:t xml:space="preserve">However, results of a </w:t>
      </w:r>
      <w:r w:rsidR="00E04BFC">
        <w:t>Phase III</w:t>
      </w:r>
      <w:r>
        <w:t xml:space="preserve"> clinical efficacy/safety study (GS-US-311-1</w:t>
      </w:r>
      <w:r w:rsidR="00D40039">
        <w:t>0</w:t>
      </w:r>
      <w:r>
        <w:t>89) were made available for review in this submission. This was a randomised, double blind, controlled trial in which virally suppressed stable patients were switched from FTC/TDF (200/300) to FTC/TAF (200/10 or 200/25) component within their current ART regimen.</w:t>
      </w:r>
    </w:p>
    <w:p w:rsidR="00FC702B" w:rsidRDefault="00FC702B" w:rsidP="00202575">
      <w:r>
        <w:t>The results showed that viral suppression continued to be successfully maintained. At Week 48, the overall proportion of patients with HIV-1 RNA &lt;50 copies/mL in FTC/TAF+</w:t>
      </w:r>
      <w:r w:rsidR="00A378FB" w:rsidRPr="008E3BE8">
        <w:t>3</w:t>
      </w:r>
      <w:r w:rsidR="00A378FB" w:rsidRPr="00A378FB">
        <w:rPr>
          <w:vertAlign w:val="superscript"/>
        </w:rPr>
        <w:t>rd</w:t>
      </w:r>
      <w:r>
        <w:t xml:space="preserve"> agent group was 314/333 (94.3%) compared to 93.0% (307/330) in FTC/TDF+</w:t>
      </w:r>
      <w:r w:rsidR="00A378FB" w:rsidRPr="008E3BE8">
        <w:t>3</w:t>
      </w:r>
      <w:r w:rsidR="00A378FB" w:rsidRPr="00A378FB">
        <w:rPr>
          <w:vertAlign w:val="superscript"/>
        </w:rPr>
        <w:t>rd</w:t>
      </w:r>
      <w:r>
        <w:t xml:space="preserve"> agent group. The treatment difference was 1.3% (95%CI from -2.5% to +5.1%) indicating non-inferiority. The response rates were also similar between the two groups for individual </w:t>
      </w:r>
      <w:r w:rsidR="00A378FB" w:rsidRPr="008E3BE8">
        <w:t>3</w:t>
      </w:r>
      <w:r w:rsidR="00A378FB" w:rsidRPr="00A378FB">
        <w:rPr>
          <w:vertAlign w:val="superscript"/>
        </w:rPr>
        <w:t>rd</w:t>
      </w:r>
      <w:r>
        <w:t xml:space="preserve"> agents, although the numbers were too small for some agents.</w:t>
      </w:r>
    </w:p>
    <w:p w:rsidR="00FC702B" w:rsidRDefault="00FC702B" w:rsidP="00202575">
      <w:r>
        <w:t xml:space="preserve">HIV-1 RNA &lt;50 copies/mL response rates by individual </w:t>
      </w:r>
      <w:r w:rsidR="00A378FB" w:rsidRPr="008E3BE8">
        <w:t>3</w:t>
      </w:r>
      <w:r w:rsidR="00A378FB" w:rsidRPr="00A378FB">
        <w:rPr>
          <w:vertAlign w:val="superscript"/>
        </w:rPr>
        <w:t>rd</w:t>
      </w:r>
      <w:r>
        <w:t xml:space="preserve"> ART agents in patients with available plasma TAF levels (in FTC/TAF+</w:t>
      </w:r>
      <w:r w:rsidR="00A378FB" w:rsidRPr="008E3BE8">
        <w:t>3</w:t>
      </w:r>
      <w:r w:rsidR="00A378FB" w:rsidRPr="00A378FB">
        <w:rPr>
          <w:vertAlign w:val="superscript"/>
        </w:rPr>
        <w:t>rd</w:t>
      </w:r>
      <w:r>
        <w:t xml:space="preserve"> agent group) were as follows indicative effective maintenance of response in both groups</w:t>
      </w:r>
      <w:r w:rsidR="00FA1F24">
        <w:t xml:space="preserve"> (Table 22).</w:t>
      </w:r>
    </w:p>
    <w:p w:rsidR="00FA1F24" w:rsidRDefault="00FA1F24" w:rsidP="00FA1F24">
      <w:pPr>
        <w:pStyle w:val="TableTitle"/>
      </w:pPr>
      <w:r>
        <w:lastRenderedPageBreak/>
        <w:t xml:space="preserve">Table 22: HIV-1 RNA &lt;50 copies/mL response rates by individual </w:t>
      </w:r>
      <w:r w:rsidR="00A378FB" w:rsidRPr="008E3BE8">
        <w:t>3</w:t>
      </w:r>
      <w:r w:rsidR="00A378FB" w:rsidRPr="00A378FB">
        <w:rPr>
          <w:vertAlign w:val="superscript"/>
        </w:rPr>
        <w:t>rd</w:t>
      </w:r>
      <w:r>
        <w:t xml:space="preserve"> ART agents in patients with available plasma TAF levels (in FTC/TAF+</w:t>
      </w:r>
      <w:r w:rsidR="00A378FB" w:rsidRPr="008E3BE8">
        <w:t>3</w:t>
      </w:r>
      <w:r w:rsidR="00A378FB" w:rsidRPr="00A378FB">
        <w:rPr>
          <w:vertAlign w:val="superscript"/>
        </w:rPr>
        <w:t>rd</w:t>
      </w:r>
      <w:r>
        <w:t xml:space="preserve"> agent group)</w:t>
      </w:r>
    </w:p>
    <w:p w:rsidR="00FC702B" w:rsidRDefault="00FC702B" w:rsidP="00202575">
      <w:r>
        <w:rPr>
          <w:noProof/>
          <w:lang w:eastAsia="en-AU"/>
        </w:rPr>
        <w:drawing>
          <wp:inline distT="0" distB="0" distL="0" distR="0" wp14:anchorId="2D5839E6" wp14:editId="2CB1F0BE">
            <wp:extent cx="5199380" cy="3030220"/>
            <wp:effectExtent l="0" t="0" r="1270" b="0"/>
            <wp:docPr id="14" name="Picture 14" descr="Table 22: HIV-1 RNA &lt;50 copies/mL response rates by individual 3rd ART agents in patients with available plasma TAF levels (in FTC/TAF+3rd ag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5199380" cy="3030220"/>
                    </a:xfrm>
                    <a:prstGeom prst="rect">
                      <a:avLst/>
                    </a:prstGeom>
                    <a:noFill/>
                    <a:ln>
                      <a:noFill/>
                    </a:ln>
                  </pic:spPr>
                </pic:pic>
              </a:graphicData>
            </a:graphic>
          </wp:inline>
        </w:drawing>
      </w:r>
    </w:p>
    <w:p w:rsidR="00FC702B" w:rsidRDefault="00FC702B" w:rsidP="00202575">
      <w:r>
        <w:t>The results of measurement of intracellular TFV-DP levels in PBMCs in a subgroup in this study was consistent with the expected high PBMC intracellular levels with FTC/TAF (200/10 with boosted ART regimes and 200/25 with unboosted ART regimes) compared with the administration of FTC/TDF.</w:t>
      </w:r>
    </w:p>
    <w:p w:rsidR="00FC702B" w:rsidRDefault="00FC702B" w:rsidP="00202575">
      <w:r>
        <w:t>The resistance analysis comprised 3 patients who experienced confirmed virologic rebound in first 48 weeks of study:</w:t>
      </w:r>
    </w:p>
    <w:p w:rsidR="00FC702B" w:rsidRDefault="00FC702B" w:rsidP="00B00D28">
      <w:pPr>
        <w:pStyle w:val="ListBullet"/>
      </w:pPr>
      <w:r>
        <w:t>In FTC/TAF+</w:t>
      </w:r>
      <w:r w:rsidR="00A378FB" w:rsidRPr="008E3BE8">
        <w:t>3</w:t>
      </w:r>
      <w:r w:rsidR="00A378FB" w:rsidRPr="00A378FB">
        <w:rPr>
          <w:vertAlign w:val="superscript"/>
        </w:rPr>
        <w:t>rd</w:t>
      </w:r>
      <w:r>
        <w:t xml:space="preserve"> agent group, these included 1 patient who developed an NRTI resistance mutation to FTC (M184V) and one patient who had pre-existing NNRTI resistance mutations detected.</w:t>
      </w:r>
    </w:p>
    <w:p w:rsidR="00FC702B" w:rsidRDefault="00FC702B" w:rsidP="00B00D28">
      <w:pPr>
        <w:pStyle w:val="ListBullet"/>
      </w:pPr>
      <w:r>
        <w:t>In FTC/TDF+</w:t>
      </w:r>
      <w:r w:rsidR="00A378FB" w:rsidRPr="008E3BE8">
        <w:t>3</w:t>
      </w:r>
      <w:r w:rsidR="00A378FB" w:rsidRPr="00A378FB">
        <w:rPr>
          <w:vertAlign w:val="superscript"/>
        </w:rPr>
        <w:t>rd</w:t>
      </w:r>
      <w:r>
        <w:t xml:space="preserve"> agent group, one patient had a pre-existing primary PI resistance mutation (Q58E) detected without phenotypic resistance to the </w:t>
      </w:r>
      <w:r w:rsidR="00A378FB" w:rsidRPr="008E3BE8">
        <w:t>3</w:t>
      </w:r>
      <w:r w:rsidR="00A378FB" w:rsidRPr="00A378FB">
        <w:rPr>
          <w:vertAlign w:val="superscript"/>
        </w:rPr>
        <w:t>rd</w:t>
      </w:r>
      <w:r>
        <w:t xml:space="preserve"> agent (DRV/r).</w:t>
      </w:r>
    </w:p>
    <w:p w:rsidR="00FC702B" w:rsidRDefault="00FC702B" w:rsidP="00202575">
      <w:r>
        <w:t>The GS-US-311-1</w:t>
      </w:r>
      <w:r w:rsidR="00D40039">
        <w:t>0</w:t>
      </w:r>
      <w:r>
        <w:t>89 is continuing to 96 weeks. The study report should be submitted to TGA for evaluation when available.</w:t>
      </w:r>
    </w:p>
    <w:p w:rsidR="00FC702B" w:rsidRDefault="00FC702B" w:rsidP="00202575">
      <w:r>
        <w:t>Overall, clinical adverse effect profile with TAF is similar to that with TDF. The clinical efficacy/safety study GS-US-311-1</w:t>
      </w:r>
      <w:r w:rsidR="00D40039">
        <w:t>0</w:t>
      </w:r>
      <w:r>
        <w:t>89 in this dossier provided additional safety data including a demonstration of safer bone and renal profile with TAF. A Risk Management Plan applies to this submission.</w:t>
      </w:r>
    </w:p>
    <w:p w:rsidR="00FC702B" w:rsidRDefault="00FC702B" w:rsidP="00202575">
      <w:r>
        <w:t xml:space="preserve">The issue of differential TAF boosting with RTV versus boosting with COBI was addressed in the sponsor’s response to </w:t>
      </w:r>
      <w:r w:rsidR="00B00D28">
        <w:t>TGA</w:t>
      </w:r>
      <w:r>
        <w:t xml:space="preserve"> questions using data from different studies and was indicative (</w:t>
      </w:r>
      <w:r w:rsidR="00B00D28">
        <w:t>for example,</w:t>
      </w:r>
      <w:r>
        <w:t xml:space="preserve"> ATV/r v</w:t>
      </w:r>
      <w:r w:rsidR="00B00D28">
        <w:t>ersu</w:t>
      </w:r>
      <w:r>
        <w:t>s ARV/COBI) but not conclusive (overall limited data) of similar magnitude of boosting using RTV or COBI as shown below</w:t>
      </w:r>
      <w:r w:rsidR="00B00D28">
        <w:t xml:space="preserve"> (Table 23).</w:t>
      </w:r>
    </w:p>
    <w:p w:rsidR="00B00D28" w:rsidRDefault="00B00D28" w:rsidP="00B00D28">
      <w:pPr>
        <w:pStyle w:val="TableTitle"/>
      </w:pPr>
      <w:r>
        <w:lastRenderedPageBreak/>
        <w:t>Table 23: TAF boosting with RTV versus boosting with COBI</w:t>
      </w:r>
    </w:p>
    <w:p w:rsidR="00FC702B" w:rsidRDefault="00FC702B" w:rsidP="00B00D28">
      <w:r>
        <w:rPr>
          <w:noProof/>
          <w:lang w:eastAsia="en-AU"/>
        </w:rPr>
        <w:drawing>
          <wp:inline distT="0" distB="0" distL="0" distR="0" wp14:anchorId="416D67BD" wp14:editId="1D3198C7">
            <wp:extent cx="4923155" cy="2626360"/>
            <wp:effectExtent l="0" t="0" r="0" b="2540"/>
            <wp:docPr id="13" name="Picture 13" descr="Table 23: TAF boosting with RTV versus boosting with C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23155" cy="2626360"/>
                    </a:xfrm>
                    <a:prstGeom prst="rect">
                      <a:avLst/>
                    </a:prstGeom>
                    <a:noFill/>
                    <a:ln>
                      <a:noFill/>
                    </a:ln>
                  </pic:spPr>
                </pic:pic>
              </a:graphicData>
            </a:graphic>
          </wp:inline>
        </w:drawing>
      </w:r>
    </w:p>
    <w:p w:rsidR="00FC702B" w:rsidRDefault="00FC702B" w:rsidP="00202575">
      <w:r>
        <w:t>Additional arguments explaining the differential absorption of TAF with RTV and COBI include mixed inductive/inhibitory effect on P-gp in the presence of full ART combination therapy</w:t>
      </w:r>
      <w:r w:rsidR="00B00D28">
        <w:t>, that is,</w:t>
      </w:r>
      <w:r>
        <w:t xml:space="preserve"> influence of the </w:t>
      </w:r>
      <w:r w:rsidR="00A378FB" w:rsidRPr="008E3BE8">
        <w:t>3</w:t>
      </w:r>
      <w:r w:rsidR="00A378FB" w:rsidRPr="00A378FB">
        <w:rPr>
          <w:vertAlign w:val="superscript"/>
        </w:rPr>
        <w:t>rd</w:t>
      </w:r>
      <w:r>
        <w:t xml:space="preserve"> agent.</w:t>
      </w:r>
    </w:p>
    <w:p w:rsidR="00FC702B" w:rsidRDefault="00FC702B" w:rsidP="00202575">
      <w:r>
        <w:t>However, with the availability of efficacy results in the treatment-switching study GS-US-311-1</w:t>
      </w:r>
      <w:r w:rsidR="00D40039">
        <w:t>0</w:t>
      </w:r>
      <w:r>
        <w:t>89, the differential boosting with COBI or RTV is considered clinically acceptable.</w:t>
      </w:r>
    </w:p>
    <w:p w:rsidR="00FC702B" w:rsidRDefault="005A6D01" w:rsidP="00202575">
      <w:r>
        <w:t>Descovy</w:t>
      </w:r>
      <w:r w:rsidR="00FC702B">
        <w:t xml:space="preserve"> is proposed for use in HIV-1 patients 12 years of age and above. There are no direct PK/bioequivalence data or clinical data for </w:t>
      </w:r>
      <w:r>
        <w:t>Descovy</w:t>
      </w:r>
      <w:r w:rsidR="00FC702B">
        <w:t xml:space="preserve"> in adolescents.</w:t>
      </w:r>
    </w:p>
    <w:p w:rsidR="00FC702B" w:rsidRDefault="00FC702B" w:rsidP="00202575">
      <w:r>
        <w:t xml:space="preserve">The proposed use in adolescents is inferred from the study GS-US-292-0106 which was part of the </w:t>
      </w:r>
      <w:r w:rsidR="00AA3643">
        <w:t>Genvoya</w:t>
      </w:r>
      <w:r>
        <w:t xml:space="preserve"> dossier and led to the approval of </w:t>
      </w:r>
      <w:r w:rsidR="00AA3643">
        <w:t>Genvoya</w:t>
      </w:r>
      <w:r>
        <w:t xml:space="preserve"> for use in this age group. Extrapolation to </w:t>
      </w:r>
      <w:r w:rsidR="005A6D01">
        <w:t>Descovy</w:t>
      </w:r>
      <w:r>
        <w:t xml:space="preserve"> is considered clinically appropriate.</w:t>
      </w:r>
    </w:p>
    <w:p w:rsidR="00FC702B" w:rsidRDefault="00202575" w:rsidP="00202575">
      <w:pPr>
        <w:pStyle w:val="Heading4"/>
        <w:rPr>
          <w:szCs w:val="20"/>
        </w:rPr>
      </w:pPr>
      <w:r>
        <w:t>Delegate’s conclusion and</w:t>
      </w:r>
      <w:r w:rsidR="00FC702B">
        <w:t xml:space="preserve"> recommendation</w:t>
      </w:r>
    </w:p>
    <w:p w:rsidR="00FC702B" w:rsidRDefault="00B00D28" w:rsidP="00202575">
      <w:r>
        <w:t xml:space="preserve">The quality, nonclinical and RMP </w:t>
      </w:r>
      <w:r w:rsidR="00FC702B">
        <w:t xml:space="preserve">evaluators support approval of </w:t>
      </w:r>
      <w:r w:rsidR="005A6D01">
        <w:t>Descovy</w:t>
      </w:r>
      <w:r w:rsidR="00FC702B">
        <w:t xml:space="preserve"> (FTC/TAF 200/10, 200/25) for the proposed use. The issues raised by the clinical evaluator have been satisfactorily addressed in </w:t>
      </w:r>
      <w:r>
        <w:t>the second round evaluation</w:t>
      </w:r>
      <w:r w:rsidR="00FC702B">
        <w:t xml:space="preserve"> and the evaluator recommends approval. This was, in the main, a result of availability of 48 weeks data in the </w:t>
      </w:r>
      <w:r w:rsidR="005A6D01">
        <w:t>Descovy</w:t>
      </w:r>
      <w:r w:rsidR="00FC702B">
        <w:t xml:space="preserve"> swi</w:t>
      </w:r>
      <w:r>
        <w:t>tching S</w:t>
      </w:r>
      <w:r w:rsidR="00FC702B">
        <w:t>tudy GS-US-311-1</w:t>
      </w:r>
      <w:r w:rsidR="00D40039">
        <w:t>0</w:t>
      </w:r>
      <w:r w:rsidR="00FC702B">
        <w:t>89.</w:t>
      </w:r>
    </w:p>
    <w:p w:rsidR="00FC702B" w:rsidRDefault="00FC702B" w:rsidP="00202575">
      <w:r>
        <w:t xml:space="preserve">Overall, the totality of evidence from </w:t>
      </w:r>
      <w:r w:rsidR="00AA3643">
        <w:t>Genvoya</w:t>
      </w:r>
      <w:r>
        <w:t xml:space="preserve"> and </w:t>
      </w:r>
      <w:r w:rsidR="005A6D01">
        <w:t>Descovy</w:t>
      </w:r>
      <w:r>
        <w:t xml:space="preserve"> dossiers supports approval for the proposed use from age 12 years and above, except where the proposed broad wording of indication may imply use beyond supplied data</w:t>
      </w:r>
      <w:r w:rsidR="00B00D28">
        <w:t>, that is</w:t>
      </w:r>
      <w:r>
        <w:t xml:space="preserve"> previously failed patients.</w:t>
      </w:r>
    </w:p>
    <w:p w:rsidR="00FC702B" w:rsidRDefault="00FC702B" w:rsidP="00202575">
      <w:r>
        <w:t xml:space="preserve">The following therapeutic indication, along the lines approved for </w:t>
      </w:r>
      <w:r w:rsidR="00AA3643">
        <w:t>Genvoya</w:t>
      </w:r>
      <w:r>
        <w:t>, with additional note, is recommended:</w:t>
      </w:r>
    </w:p>
    <w:p w:rsidR="00FC702B" w:rsidRPr="00202575" w:rsidRDefault="005A6D01" w:rsidP="00202575">
      <w:pPr>
        <w:ind w:left="720"/>
        <w:rPr>
          <w:i/>
        </w:rPr>
      </w:pPr>
      <w:r w:rsidRPr="00202575">
        <w:rPr>
          <w:i/>
        </w:rPr>
        <w:t>Descovy</w:t>
      </w:r>
      <w:r w:rsidR="00FC702B" w:rsidRPr="00202575">
        <w:rPr>
          <w:i/>
        </w:rPr>
        <w:t xml:space="preserve"> is indicated, in combination with other antiretroviral agents, for the treatment of HIV-1 infection in adults and adolescents aged 12 years of age and older with body weight at least 35 kg. The patients must not have a history of treatment failure or known mutations associated with resistance to the individual components of </w:t>
      </w:r>
      <w:r w:rsidRPr="00202575">
        <w:rPr>
          <w:i/>
        </w:rPr>
        <w:t>Descovy</w:t>
      </w:r>
      <w:r w:rsidR="00FC702B" w:rsidRPr="00202575">
        <w:rPr>
          <w:i/>
        </w:rPr>
        <w:t>.</w:t>
      </w:r>
    </w:p>
    <w:p w:rsidR="00FC702B" w:rsidRPr="00202575" w:rsidRDefault="005A6D01" w:rsidP="00202575">
      <w:pPr>
        <w:ind w:left="720"/>
        <w:rPr>
          <w:i/>
        </w:rPr>
      </w:pPr>
      <w:r w:rsidRPr="00202575">
        <w:rPr>
          <w:i/>
        </w:rPr>
        <w:t>Descovy</w:t>
      </w:r>
      <w:r w:rsidR="00FC702B" w:rsidRPr="00202575">
        <w:rPr>
          <w:i/>
        </w:rPr>
        <w:t xml:space="preserve"> is not for use in P</w:t>
      </w:r>
      <w:r w:rsidR="00202575" w:rsidRPr="00202575">
        <w:rPr>
          <w:i/>
        </w:rPr>
        <w:t>re-Exposure Prophylaxis (PrEP).</w:t>
      </w:r>
    </w:p>
    <w:p w:rsidR="00FC702B" w:rsidRDefault="00FC702B" w:rsidP="00FC702B">
      <w:pPr>
        <w:jc w:val="both"/>
        <w:rPr>
          <w:rFonts w:asciiTheme="minorHAnsi" w:hAnsiTheme="minorHAnsi" w:cs="Arial"/>
        </w:rPr>
      </w:pPr>
      <w:r>
        <w:rPr>
          <w:rFonts w:asciiTheme="minorHAnsi" w:hAnsiTheme="minorHAnsi" w:cs="Arial"/>
        </w:rPr>
        <w:t>The recommended dosing is as proposed by the sponsor.</w:t>
      </w:r>
    </w:p>
    <w:p w:rsidR="00202575" w:rsidRDefault="00FC702B" w:rsidP="00202575">
      <w:pPr>
        <w:pStyle w:val="Heading4"/>
      </w:pPr>
      <w:r w:rsidRPr="00FC702B">
        <w:lastRenderedPageBreak/>
        <w:t>Summary of issues</w:t>
      </w:r>
      <w:r w:rsidRPr="00FC702B">
        <w:tab/>
      </w:r>
    </w:p>
    <w:p w:rsidR="00FC702B" w:rsidRPr="00FC702B" w:rsidRDefault="00FC702B" w:rsidP="00202575">
      <w:pPr>
        <w:pStyle w:val="ListBullet"/>
      </w:pPr>
      <w:r w:rsidRPr="00FC702B">
        <w:t xml:space="preserve">Adequacy of </w:t>
      </w:r>
      <w:r w:rsidR="00AA3643">
        <w:t>Genvoya</w:t>
      </w:r>
      <w:r w:rsidRPr="00FC702B">
        <w:t xml:space="preserve"> clinical dossier as evidence of clinical efficacy/safety of </w:t>
      </w:r>
      <w:r w:rsidR="005A6D01">
        <w:t>Descovy</w:t>
      </w:r>
      <w:r w:rsidRPr="00FC702B">
        <w:t xml:space="preserve"> in combination with ART agents other than EVG and boosting with agent other than COBI.</w:t>
      </w:r>
    </w:p>
    <w:p w:rsidR="00FC702B" w:rsidRPr="00FC702B" w:rsidRDefault="00FC702B" w:rsidP="00202575">
      <w:pPr>
        <w:pStyle w:val="ListBullet"/>
      </w:pPr>
      <w:r w:rsidRPr="00FC702B">
        <w:t xml:space="preserve">Use </w:t>
      </w:r>
      <w:r w:rsidR="005A6D01">
        <w:t>Descovy</w:t>
      </w:r>
      <w:r w:rsidRPr="00FC702B">
        <w:t xml:space="preserve"> 200/1</w:t>
      </w:r>
      <w:r w:rsidR="00E04BFC">
        <w:t>0 mg</w:t>
      </w:r>
      <w:r w:rsidRPr="00FC702B">
        <w:t xml:space="preserve"> boosted v</w:t>
      </w:r>
      <w:r w:rsidR="00B00D28">
        <w:t>ersu</w:t>
      </w:r>
      <w:r w:rsidRPr="00FC702B">
        <w:t>s 200/20 unboosted.</w:t>
      </w:r>
    </w:p>
    <w:p w:rsidR="00FC702B" w:rsidRPr="00FC702B" w:rsidRDefault="00FC702B" w:rsidP="00202575">
      <w:pPr>
        <w:pStyle w:val="ListBullet"/>
      </w:pPr>
      <w:r w:rsidRPr="00FC702B">
        <w:t>Effect of food and concomitant drugs on bioavailability of TAF.</w:t>
      </w:r>
    </w:p>
    <w:p w:rsidR="00FC702B" w:rsidRPr="00FC702B" w:rsidRDefault="00FC702B" w:rsidP="00202575">
      <w:pPr>
        <w:pStyle w:val="ListBullet"/>
      </w:pPr>
      <w:r w:rsidRPr="00FC702B">
        <w:t xml:space="preserve">Use in adolescents 12 years and above based on </w:t>
      </w:r>
      <w:r w:rsidR="00AA3643">
        <w:t>Genvoya</w:t>
      </w:r>
      <w:r w:rsidRPr="00FC702B">
        <w:t xml:space="preserve"> study and approval for </w:t>
      </w:r>
      <w:r w:rsidR="00AA3643">
        <w:t>Genvoya</w:t>
      </w:r>
      <w:r w:rsidRPr="00FC702B">
        <w:t>.</w:t>
      </w:r>
    </w:p>
    <w:p w:rsidR="00FC702B" w:rsidRDefault="00FC702B" w:rsidP="00202575">
      <w:pPr>
        <w:pStyle w:val="ListBullet"/>
      </w:pPr>
      <w:r w:rsidRPr="00FC702B">
        <w:t>Proposed indication implies use in failed patients.</w:t>
      </w:r>
    </w:p>
    <w:p w:rsidR="00D23139" w:rsidRDefault="00D23139" w:rsidP="00D23139">
      <w:pPr>
        <w:pStyle w:val="Heading4"/>
      </w:pPr>
      <w:r w:rsidRPr="00D23139">
        <w:t>Proposed action</w:t>
      </w:r>
    </w:p>
    <w:p w:rsidR="00FC702B" w:rsidRPr="00FC702B" w:rsidRDefault="00B00D28" w:rsidP="00202575">
      <w:r>
        <w:t>The Delegate</w:t>
      </w:r>
      <w:r w:rsidR="00FC702B" w:rsidRPr="00FC702B">
        <w:t xml:space="preserve"> ha</w:t>
      </w:r>
      <w:r>
        <w:t>d</w:t>
      </w:r>
      <w:r w:rsidR="00FC702B" w:rsidRPr="00FC702B">
        <w:t xml:space="preserve"> no reason to say, at this time, that the application for </w:t>
      </w:r>
      <w:r w:rsidR="005A6D01">
        <w:t>Descovy</w:t>
      </w:r>
      <w:r w:rsidR="00FC702B" w:rsidRPr="00FC702B">
        <w:t xml:space="preserve"> should not be approved for registration.</w:t>
      </w:r>
    </w:p>
    <w:p w:rsidR="00D23139" w:rsidRDefault="00D23139" w:rsidP="00D23139">
      <w:pPr>
        <w:pStyle w:val="Heading4"/>
      </w:pPr>
      <w:r w:rsidRPr="00D23139">
        <w:t>Request for ACPM advice</w:t>
      </w:r>
    </w:p>
    <w:p w:rsidR="00FC702B" w:rsidRDefault="00FC702B" w:rsidP="00FC702B">
      <w:pPr>
        <w:spacing w:before="80" w:after="80"/>
        <w:jc w:val="both"/>
        <w:rPr>
          <w:rFonts w:asciiTheme="minorHAnsi" w:hAnsiTheme="minorHAnsi"/>
          <w:sz w:val="20"/>
        </w:rPr>
      </w:pPr>
      <w:r>
        <w:rPr>
          <w:rFonts w:asciiTheme="minorHAnsi" w:hAnsiTheme="minorHAnsi"/>
          <w:sz w:val="20"/>
        </w:rPr>
        <w:t>The ACPM is requested to provide advice on the following specific issues:</w:t>
      </w:r>
    </w:p>
    <w:p w:rsidR="00FC702B" w:rsidRDefault="00FC702B" w:rsidP="008342C8">
      <w:pPr>
        <w:pStyle w:val="Numberbullet0"/>
        <w:numPr>
          <w:ilvl w:val="0"/>
          <w:numId w:val="11"/>
        </w:numPr>
      </w:pPr>
      <w:r>
        <w:t xml:space="preserve">Does the </w:t>
      </w:r>
      <w:r w:rsidR="00B00D28">
        <w:t>c</w:t>
      </w:r>
      <w:r>
        <w:t xml:space="preserve">ommittee consider the totality of evidence, including principal reliance on </w:t>
      </w:r>
      <w:r w:rsidR="00AA3643">
        <w:t>Genvoya</w:t>
      </w:r>
      <w:r>
        <w:t xml:space="preserve"> dossier but with significant additional data specific to the current submission, sufficient to support the use </w:t>
      </w:r>
      <w:r w:rsidR="005A6D01">
        <w:t>Descovy</w:t>
      </w:r>
      <w:r>
        <w:t>, including use in adolescents aged 12 years and above?</w:t>
      </w:r>
    </w:p>
    <w:p w:rsidR="00FC702B" w:rsidRDefault="00B00D28" w:rsidP="008342C8">
      <w:pPr>
        <w:pStyle w:val="Numberbullet0"/>
        <w:numPr>
          <w:ilvl w:val="0"/>
          <w:numId w:val="11"/>
        </w:numPr>
      </w:pPr>
      <w:r>
        <w:t>Does the c</w:t>
      </w:r>
      <w:r w:rsidR="00FC702B">
        <w:t xml:space="preserve">ommittee support the exclusion of </w:t>
      </w:r>
      <w:r w:rsidR="00EF064E">
        <w:t>‘</w:t>
      </w:r>
      <w:r w:rsidR="00FC702B">
        <w:t>patients with history or treatment failure</w:t>
      </w:r>
      <w:r w:rsidR="00EF064E">
        <w:t>’</w:t>
      </w:r>
      <w:r w:rsidR="00FC702B">
        <w:t xml:space="preserve"> in the therapeutic indication or prefer a broader indication as proposed by the sponsor?</w:t>
      </w:r>
    </w:p>
    <w:p w:rsidR="00FC702B" w:rsidRPr="00FC702B" w:rsidRDefault="00B00D28" w:rsidP="00202575">
      <w:r>
        <w:t>The c</w:t>
      </w:r>
      <w:r w:rsidR="00FC702B">
        <w:t>ommittee is also requested to provide advice on any other issues that it thinks may be relevant to a decision including recommendations for the Australian PI.</w:t>
      </w:r>
    </w:p>
    <w:p w:rsidR="00D23139" w:rsidRDefault="00D23139" w:rsidP="00D23139">
      <w:pPr>
        <w:pStyle w:val="Heading4"/>
      </w:pPr>
      <w:r w:rsidRPr="00D23139">
        <w:t xml:space="preserve">Response from Sponsor </w:t>
      </w:r>
    </w:p>
    <w:p w:rsidR="008E3BE8" w:rsidRPr="00202575" w:rsidRDefault="00202575" w:rsidP="00202575">
      <w:pPr>
        <w:pStyle w:val="Heading5"/>
        <w:rPr>
          <w:rFonts w:eastAsiaTheme="minorHAnsi"/>
        </w:rPr>
      </w:pPr>
      <w:r w:rsidRPr="00202575">
        <w:t xml:space="preserve">Summary </w:t>
      </w:r>
    </w:p>
    <w:p w:rsidR="00586A39" w:rsidRDefault="005A6D01" w:rsidP="00202575">
      <w:r>
        <w:t>Descovy</w:t>
      </w:r>
      <w:r w:rsidR="008E3BE8" w:rsidRPr="008E3BE8">
        <w:t xml:space="preserve"> represents a new once-daily nucleos(t)ide reverse transcriptase inhibitor (N(t)RTI) backbone option for HIV-infected patients without any known mutations associated with resistance to the individual components of </w:t>
      </w:r>
      <w:r>
        <w:t>Descovy</w:t>
      </w:r>
      <w:r w:rsidR="008E3BE8" w:rsidRPr="008E3BE8">
        <w:t xml:space="preserve">, including patients with mild to moderate renal impairment, and pediatric patients 12 years of age and older. </w:t>
      </w:r>
      <w:r>
        <w:t>Descovy</w:t>
      </w:r>
      <w:r w:rsidR="008E3BE8" w:rsidRPr="008E3BE8">
        <w:t xml:space="preserve"> is intended to be co-prescribed with a third agent from either the integrase strand-transfer inhibitor (INSTI), protease inhibitor (PI) or nonnucleoside reverse transcriptase inhibitor (NNRTI) classes</w:t>
      </w:r>
      <w:r w:rsidR="00586A39">
        <w:t>.</w:t>
      </w:r>
    </w:p>
    <w:p w:rsidR="00586A39" w:rsidRDefault="008E3BE8" w:rsidP="00202575">
      <w:r w:rsidRPr="008E3BE8">
        <w:t>In ART-naive or virologically suppressed patients, a fixed dose combination (FDC) that is a complete regimen (</w:t>
      </w:r>
      <w:r w:rsidR="003F7A2A">
        <w:t>that is</w:t>
      </w:r>
      <w:r w:rsidRPr="008E3BE8">
        <w:t xml:space="preserve">, single-tablet regimen) is generally preferred; however, the availability of a stand-alone nucleoside reverse transcriptase inhibitor (NRTI) backbone is important as it allows flexibility for clinicians to combine </w:t>
      </w:r>
      <w:r w:rsidR="005A6D01">
        <w:t>Descovy</w:t>
      </w:r>
      <w:r w:rsidRPr="008E3BE8">
        <w:t xml:space="preserve"> with other third antiretroviral (ARV) agents to address individual patient’s specific efficacy or safety/tolerability concerns</w:t>
      </w:r>
      <w:r w:rsidR="00586A39">
        <w:t>.</w:t>
      </w:r>
    </w:p>
    <w:p w:rsidR="00586A39" w:rsidRDefault="00EF064E" w:rsidP="00202575">
      <w:r>
        <w:t>Truvada</w:t>
      </w:r>
      <w:r w:rsidR="008E3BE8" w:rsidRPr="008E3BE8">
        <w:t xml:space="preserve"> (FTC/TDF 200/300, AUST R 107072) has become the most-widely prescribed backbone in Australia in a wide range of patient populations, including treatment experienced patients. The FTC/TDF combination is contained in four of the five </w:t>
      </w:r>
      <w:r>
        <w:t>‘</w:t>
      </w:r>
      <w:r w:rsidR="008E3BE8" w:rsidRPr="008E3BE8">
        <w:t>Recommended</w:t>
      </w:r>
      <w:r>
        <w:t>’</w:t>
      </w:r>
      <w:r w:rsidR="008E3BE8" w:rsidRPr="008E3BE8">
        <w:t xml:space="preserve"> antiretroviral therapy (ART) starting regimens cited in the current ASHM </w:t>
      </w:r>
      <w:r w:rsidR="008E3BE8" w:rsidRPr="008E3BE8">
        <w:lastRenderedPageBreak/>
        <w:t>guidelines</w:t>
      </w:r>
      <w:r w:rsidR="003F7A2A">
        <w:rPr>
          <w:rStyle w:val="FootnoteReference"/>
        </w:rPr>
        <w:footnoteReference w:id="11"/>
      </w:r>
      <w:r w:rsidR="008E3BE8" w:rsidRPr="008E3BE8">
        <w:t xml:space="preserve">. It has been recognised, however, that some patients have TDF-associated renal and/or bone toxicities that may preclude its long-term use. Gilead proposes to address the unmet medical need for a highly efficacious </w:t>
      </w:r>
      <w:proofErr w:type="gramStart"/>
      <w:r w:rsidR="008E3BE8" w:rsidRPr="008E3BE8">
        <w:t>N(</w:t>
      </w:r>
      <w:proofErr w:type="gramEnd"/>
      <w:r w:rsidR="008E3BE8" w:rsidRPr="008E3BE8">
        <w:t>t)RTI backbone that has an improved renal and bone safety profile compared with TDF-containing backbones, while maintaining the advantages of TDF over other NRTIs. Tenofovir alafenamide (TAF) is a new prodrug of tenofovir (TFV) and its active moiety is intracellular tenofovir diphosphate (TFV-DP). Compared to TDF, TAF achieves higher intracellular TFV-DP and lower plasma TFV exposures. By reducing plasma concentration of TFV by over 90% (v</w:t>
      </w:r>
      <w:r w:rsidR="00B00D28">
        <w:t>ersu</w:t>
      </w:r>
      <w:r w:rsidR="008E3BE8" w:rsidRPr="008E3BE8">
        <w:t>s TDF) at the clinical doses, TAF reduces the concentration-dependent renal and bone toxicity</w:t>
      </w:r>
      <w:r w:rsidR="00586A39">
        <w:t>.</w:t>
      </w:r>
    </w:p>
    <w:p w:rsidR="00586A39" w:rsidRDefault="005A6D01" w:rsidP="00202575">
      <w:r>
        <w:t>Descovy</w:t>
      </w:r>
      <w:r w:rsidR="008E3BE8" w:rsidRPr="008E3BE8">
        <w:t xml:space="preserve"> is similar to the TGA-approved </w:t>
      </w:r>
      <w:r w:rsidR="00EF064E">
        <w:t>Truvada</w:t>
      </w:r>
      <w:r w:rsidR="008E3BE8" w:rsidRPr="008E3BE8">
        <w:t xml:space="preserve">, and is likely to replace it in practice following the availability of </w:t>
      </w:r>
      <w:r>
        <w:t>Descovy</w:t>
      </w:r>
      <w:r w:rsidR="008E3BE8" w:rsidRPr="008E3BE8">
        <w:t xml:space="preserve">. The key difference between </w:t>
      </w:r>
      <w:r>
        <w:t>Descovy</w:t>
      </w:r>
      <w:r w:rsidR="008E3BE8" w:rsidRPr="008E3BE8">
        <w:t xml:space="preserve"> and </w:t>
      </w:r>
      <w:r w:rsidR="00EF064E">
        <w:t>Truvada</w:t>
      </w:r>
      <w:r w:rsidR="008E3BE8" w:rsidRPr="008E3BE8">
        <w:t xml:space="preserve"> is the different prodrug of TFV, </w:t>
      </w:r>
      <w:r w:rsidR="00B00D28">
        <w:t>that is</w:t>
      </w:r>
      <w:r w:rsidR="003F7A2A">
        <w:t>,</w:t>
      </w:r>
      <w:r w:rsidR="008E3BE8" w:rsidRPr="008E3BE8">
        <w:t xml:space="preserve"> TAF v</w:t>
      </w:r>
      <w:r w:rsidR="00B00D28">
        <w:t>ersu</w:t>
      </w:r>
      <w:r w:rsidR="008E3BE8" w:rsidRPr="008E3BE8">
        <w:t xml:space="preserve">s TDF. </w:t>
      </w:r>
      <w:r>
        <w:t>Descovy</w:t>
      </w:r>
      <w:r w:rsidR="008E3BE8" w:rsidRPr="008E3BE8">
        <w:t xml:space="preserve"> has an improved renal and bone safety profile compared with </w:t>
      </w:r>
      <w:r w:rsidR="00EF064E">
        <w:t>Truvada</w:t>
      </w:r>
      <w:r w:rsidR="008E3BE8" w:rsidRPr="008E3BE8">
        <w:t>, while maintaining the advantages of TDF over other NRTIs</w:t>
      </w:r>
      <w:r w:rsidR="00586A39">
        <w:t>.</w:t>
      </w:r>
    </w:p>
    <w:p w:rsidR="00586A39" w:rsidRDefault="008E3BE8" w:rsidP="00202575">
      <w:r w:rsidRPr="008E3BE8">
        <w:t xml:space="preserve">Gilead agrees with the Delegates recommendation that the application for </w:t>
      </w:r>
      <w:r w:rsidR="005A6D01">
        <w:t>Descovy</w:t>
      </w:r>
      <w:r w:rsidRPr="008E3BE8">
        <w:t xml:space="preserve"> should be approved for registration. Further, Gilead considers that the established efficacy and safety profile for </w:t>
      </w:r>
      <w:r w:rsidR="005A6D01">
        <w:t>Descovy</w:t>
      </w:r>
      <w:r w:rsidRPr="008E3BE8">
        <w:t xml:space="preserve"> tablets supports an indication for use in combination with other antiretroviral agents for the treatment of HIV-1 infection as follows</w:t>
      </w:r>
      <w:r w:rsidR="00586A39">
        <w:t>:</w:t>
      </w:r>
    </w:p>
    <w:p w:rsidR="00586A39" w:rsidRDefault="005A6D01" w:rsidP="00EF064E">
      <w:pPr>
        <w:ind w:left="720"/>
        <w:rPr>
          <w:i/>
        </w:rPr>
      </w:pPr>
      <w:r w:rsidRPr="00EF064E">
        <w:rPr>
          <w:i/>
        </w:rPr>
        <w:t>Descovy</w:t>
      </w:r>
      <w:r w:rsidR="008E3BE8" w:rsidRPr="00EF064E">
        <w:rPr>
          <w:i/>
        </w:rPr>
        <w:t xml:space="preserve"> is indicated in combination with other antiretroviral agents for the treatment of HIV-1 infection in adults and paediatric patients 12 years of age and older with body weight at least 35 kg without any known mutations associated with resistance to the individual components of </w:t>
      </w:r>
      <w:r w:rsidRPr="00EF064E">
        <w:rPr>
          <w:i/>
        </w:rPr>
        <w:t>Descovy</w:t>
      </w:r>
      <w:r w:rsidR="00586A39">
        <w:rPr>
          <w:i/>
        </w:rPr>
        <w:t>.</w:t>
      </w:r>
    </w:p>
    <w:p w:rsidR="00586A39" w:rsidRDefault="005A6D01" w:rsidP="00EF064E">
      <w:pPr>
        <w:ind w:left="720"/>
        <w:rPr>
          <w:rFonts w:eastAsia="Arial Unicode MS"/>
          <w:i/>
        </w:rPr>
      </w:pPr>
      <w:r w:rsidRPr="00EF064E">
        <w:rPr>
          <w:i/>
        </w:rPr>
        <w:t>Descovy</w:t>
      </w:r>
      <w:r w:rsidR="008E3BE8" w:rsidRPr="00EF064E">
        <w:rPr>
          <w:i/>
        </w:rPr>
        <w:t xml:space="preserve"> is not for use in Pre</w:t>
      </w:r>
      <w:r w:rsidR="008E3BE8" w:rsidRPr="00EF064E">
        <w:rPr>
          <w:rFonts w:ascii="Arial Unicode MS" w:eastAsia="Arial Unicode MS" w:cs="Arial Unicode MS" w:hint="eastAsia"/>
          <w:i/>
        </w:rPr>
        <w:t>‐</w:t>
      </w:r>
      <w:r w:rsidR="008E3BE8" w:rsidRPr="00EF064E">
        <w:rPr>
          <w:rFonts w:eastAsia="Arial Unicode MS"/>
          <w:i/>
        </w:rPr>
        <w:t>Exposure Prophylaxis (PrEP)</w:t>
      </w:r>
      <w:r w:rsidR="00586A39">
        <w:rPr>
          <w:rFonts w:eastAsia="Arial Unicode MS"/>
          <w:i/>
        </w:rPr>
        <w:t>.</w:t>
      </w:r>
    </w:p>
    <w:p w:rsidR="00586A39" w:rsidRDefault="008E3BE8" w:rsidP="00202575">
      <w:r w:rsidRPr="008E3BE8">
        <w:t xml:space="preserve">The indication statement as proposed by the Delegate that excludes </w:t>
      </w:r>
      <w:r w:rsidR="00EF064E">
        <w:t>‘</w:t>
      </w:r>
      <w:r w:rsidRPr="008E3BE8">
        <w:t>patients with history of treatment failure</w:t>
      </w:r>
      <w:r w:rsidR="00EF064E">
        <w:t>’</w:t>
      </w:r>
      <w:r w:rsidRPr="008E3BE8">
        <w:t xml:space="preserve"> unnecessarily restricts the use of </w:t>
      </w:r>
      <w:r w:rsidR="005A6D01">
        <w:t>Descovy</w:t>
      </w:r>
      <w:r w:rsidRPr="008E3BE8">
        <w:t xml:space="preserve"> by excluding patients who may otherwise benefit from the potent efficacy and improved safety profile of </w:t>
      </w:r>
      <w:r w:rsidR="005A6D01">
        <w:t>Descovy</w:t>
      </w:r>
      <w:r w:rsidR="00586A39">
        <w:t>.</w:t>
      </w:r>
    </w:p>
    <w:p w:rsidR="008E3BE8" w:rsidRPr="008E3BE8" w:rsidRDefault="00202575" w:rsidP="00202575">
      <w:pPr>
        <w:pStyle w:val="Heading5"/>
        <w:rPr>
          <w:rFonts w:eastAsiaTheme="minorHAnsi"/>
        </w:rPr>
      </w:pPr>
      <w:r w:rsidRPr="008E3BE8">
        <w:rPr>
          <w:rFonts w:eastAsiaTheme="minorHAnsi"/>
        </w:rPr>
        <w:t xml:space="preserve">Discussion of </w:t>
      </w:r>
      <w:r>
        <w:rPr>
          <w:rFonts w:eastAsiaTheme="minorHAnsi"/>
        </w:rPr>
        <w:t>D</w:t>
      </w:r>
      <w:r w:rsidRPr="008E3BE8">
        <w:rPr>
          <w:rFonts w:eastAsiaTheme="minorHAnsi"/>
        </w:rPr>
        <w:t xml:space="preserve">elegate’s comments </w:t>
      </w:r>
    </w:p>
    <w:p w:rsidR="00586A39" w:rsidRDefault="008E3BE8" w:rsidP="00202575">
      <w:r w:rsidRPr="008E3BE8">
        <w:t>The Delegates’ comments are presented in bold print, and are followed by Gilead’s response</w:t>
      </w:r>
      <w:r w:rsidR="00586A39">
        <w:t>.</w:t>
      </w:r>
    </w:p>
    <w:p w:rsidR="008E3BE8" w:rsidRPr="008E3BE8" w:rsidRDefault="008E3BE8" w:rsidP="00202575">
      <w:pPr>
        <w:pStyle w:val="Heading6"/>
        <w:rPr>
          <w:rFonts w:eastAsiaTheme="minorHAnsi"/>
        </w:rPr>
      </w:pPr>
      <w:r w:rsidRPr="008E3BE8">
        <w:rPr>
          <w:rFonts w:eastAsiaTheme="minorHAnsi"/>
        </w:rPr>
        <w:t xml:space="preserve">ACPM advice being sought by the TGA Delegate </w:t>
      </w:r>
    </w:p>
    <w:p w:rsidR="008E3BE8" w:rsidRPr="008E3BE8" w:rsidRDefault="008E3BE8" w:rsidP="00662E2E">
      <w:pPr>
        <w:pStyle w:val="Heading7"/>
        <w:rPr>
          <w:rFonts w:eastAsiaTheme="minorHAnsi"/>
        </w:rPr>
      </w:pPr>
      <w:r w:rsidRPr="008E3BE8">
        <w:rPr>
          <w:rFonts w:eastAsiaTheme="minorHAnsi"/>
        </w:rPr>
        <w:t xml:space="preserve">1. Does the Committee consider the totality of evidence, including principal reliance on </w:t>
      </w:r>
      <w:r w:rsidR="00AA3643">
        <w:rPr>
          <w:rFonts w:eastAsiaTheme="minorHAnsi"/>
        </w:rPr>
        <w:t>Genvoya</w:t>
      </w:r>
      <w:r w:rsidRPr="008E3BE8">
        <w:rPr>
          <w:rFonts w:eastAsiaTheme="minorHAnsi"/>
        </w:rPr>
        <w:t xml:space="preserve"> dossier but with significant additional data specific to the current submission, sufficient to support the use </w:t>
      </w:r>
      <w:r w:rsidR="005A6D01">
        <w:rPr>
          <w:rFonts w:eastAsiaTheme="minorHAnsi"/>
        </w:rPr>
        <w:t>Descovy</w:t>
      </w:r>
      <w:r w:rsidRPr="008E3BE8">
        <w:rPr>
          <w:rFonts w:eastAsiaTheme="minorHAnsi"/>
        </w:rPr>
        <w:t xml:space="preserve">, including use in adolescents aged 12 years and above? </w:t>
      </w:r>
    </w:p>
    <w:p w:rsidR="00586A39" w:rsidRDefault="008E3BE8" w:rsidP="00202575">
      <w:r w:rsidRPr="008E3BE8">
        <w:t xml:space="preserve">The registration strategy for </w:t>
      </w:r>
      <w:r w:rsidR="005A6D01">
        <w:t>Descovy</w:t>
      </w:r>
      <w:r w:rsidRPr="008E3BE8">
        <w:t xml:space="preserve"> is based on 2 pivotal bioequivalence studies that pharmacokinetically bridge the exposure of the parent drugs, FTC and TAF, between each of the </w:t>
      </w:r>
      <w:r w:rsidR="005A6D01">
        <w:t>Descovy</w:t>
      </w:r>
      <w:r w:rsidRPr="008E3BE8">
        <w:t xml:space="preserve"> tablet strengths (200/25 mg and 200/10 mg) to the FDC tablet, </w:t>
      </w:r>
      <w:r w:rsidR="00AA3643">
        <w:t>Genvoya</w:t>
      </w:r>
      <w:r w:rsidRPr="008E3BE8">
        <w:t xml:space="preserve"> (E/C/F/TAF), which has been shown to be efficacious, safe, and well tolerated in a broad spectrum of HIV-infected patients including renally impaired patients and adolescents aged 12 years and above. This was supported further with results from the </w:t>
      </w:r>
      <w:r w:rsidR="00E04BFC">
        <w:t>Phase III</w:t>
      </w:r>
      <w:r w:rsidRPr="008E3BE8">
        <w:t xml:space="preserve"> randomised, controlled Study GS-US-311-1089 (Study 1089), which evaluated </w:t>
      </w:r>
      <w:r w:rsidR="005A6D01">
        <w:t>Descovy</w:t>
      </w:r>
      <w:r w:rsidRPr="008E3BE8">
        <w:t xml:space="preserve"> in virologically suppressed patients on regimens containing </w:t>
      </w:r>
      <w:r w:rsidR="00EF064E">
        <w:t>Truvada</w:t>
      </w:r>
      <w:r w:rsidRPr="008E3BE8">
        <w:t xml:space="preserve"> in combination with different third ARV agents</w:t>
      </w:r>
      <w:r w:rsidR="00586A39">
        <w:t>.</w:t>
      </w:r>
    </w:p>
    <w:p w:rsidR="00586A39" w:rsidRDefault="008E3BE8" w:rsidP="00202575">
      <w:r w:rsidRPr="008E3BE8">
        <w:lastRenderedPageBreak/>
        <w:t>In accordance with the TGA adopted industry guideline on the investigati</w:t>
      </w:r>
      <w:r w:rsidR="00B00D28">
        <w:t>on of bioequivalence</w:t>
      </w:r>
      <w:r w:rsidR="00B00D28">
        <w:rPr>
          <w:rStyle w:val="FootnoteReference"/>
        </w:rPr>
        <w:footnoteReference w:id="12"/>
      </w:r>
      <w:r w:rsidRPr="008E3BE8">
        <w:t xml:space="preserve">, Gilead considers that no further studies are required for the purposes of registration. This approach also ensures </w:t>
      </w:r>
      <w:r w:rsidR="005A6D01">
        <w:t>Descovy</w:t>
      </w:r>
      <w:r w:rsidRPr="008E3BE8">
        <w:t xml:space="preserve"> is made available to patients without unnecessary delay</w:t>
      </w:r>
      <w:r w:rsidR="00586A39">
        <w:t>.</w:t>
      </w:r>
    </w:p>
    <w:p w:rsidR="00586A39" w:rsidRDefault="008E3BE8" w:rsidP="00202575">
      <w:r w:rsidRPr="008E3BE8">
        <w:t xml:space="preserve">Gilead agrees with the Delegates’ conclusion that the totality of evidence from the </w:t>
      </w:r>
      <w:r w:rsidR="00AA3643">
        <w:t>Genvoya</w:t>
      </w:r>
      <w:r w:rsidRPr="008E3BE8">
        <w:t xml:space="preserve"> and </w:t>
      </w:r>
      <w:r w:rsidR="005A6D01">
        <w:t>Descovy</w:t>
      </w:r>
      <w:r w:rsidRPr="008E3BE8">
        <w:t xml:space="preserve"> dossiers supports the approval of </w:t>
      </w:r>
      <w:r w:rsidR="005A6D01">
        <w:t>Descovy</w:t>
      </w:r>
      <w:r w:rsidRPr="008E3BE8">
        <w:t xml:space="preserve"> for the proposed use from age 12 years and above with body weight at least 35 kg</w:t>
      </w:r>
      <w:r w:rsidR="00586A39">
        <w:t>.</w:t>
      </w:r>
    </w:p>
    <w:p w:rsidR="008E3BE8" w:rsidRPr="008E3BE8" w:rsidRDefault="008E3BE8" w:rsidP="00662E2E">
      <w:pPr>
        <w:pStyle w:val="Heading7"/>
        <w:rPr>
          <w:rFonts w:eastAsiaTheme="minorHAnsi"/>
        </w:rPr>
      </w:pPr>
      <w:r w:rsidRPr="008E3BE8">
        <w:rPr>
          <w:rFonts w:eastAsiaTheme="minorHAnsi"/>
        </w:rPr>
        <w:t xml:space="preserve">2. Does the Committee support the exclusion of </w:t>
      </w:r>
      <w:r w:rsidR="00EF064E">
        <w:rPr>
          <w:rFonts w:eastAsiaTheme="minorHAnsi"/>
        </w:rPr>
        <w:t>‘</w:t>
      </w:r>
      <w:r w:rsidRPr="008E3BE8">
        <w:rPr>
          <w:rFonts w:eastAsiaTheme="minorHAnsi"/>
        </w:rPr>
        <w:t>patients with history of treatment failure</w:t>
      </w:r>
      <w:r w:rsidR="00EF064E">
        <w:rPr>
          <w:rFonts w:eastAsiaTheme="minorHAnsi"/>
        </w:rPr>
        <w:t>’</w:t>
      </w:r>
      <w:r w:rsidRPr="008E3BE8">
        <w:rPr>
          <w:rFonts w:eastAsiaTheme="minorHAnsi"/>
        </w:rPr>
        <w:t xml:space="preserve"> in the therapeutic indication or prefer a broader indication as proposed by the sponsor? </w:t>
      </w:r>
    </w:p>
    <w:p w:rsidR="00586A39" w:rsidRDefault="008E3BE8" w:rsidP="00202575">
      <w:r w:rsidRPr="008E3BE8">
        <w:t xml:space="preserve">Gilead believes that the indication statement as proposed by the Delegate that excludes </w:t>
      </w:r>
      <w:r w:rsidR="00EF064E">
        <w:t>‘</w:t>
      </w:r>
      <w:r w:rsidRPr="008E3BE8">
        <w:t>patients with history of treatment failure</w:t>
      </w:r>
      <w:r w:rsidR="00EF064E">
        <w:t>’</w:t>
      </w:r>
      <w:r w:rsidRPr="008E3BE8">
        <w:t xml:space="preserve"> unnecessarily restricts the use of </w:t>
      </w:r>
      <w:r w:rsidR="005A6D01">
        <w:t>Descovy</w:t>
      </w:r>
      <w:r w:rsidRPr="008E3BE8">
        <w:t xml:space="preserve"> by excluding patients who may otherwise benefit from the potent efficacy and improved safety profile of </w:t>
      </w:r>
      <w:r w:rsidR="005A6D01">
        <w:t>Descovy</w:t>
      </w:r>
      <w:r w:rsidR="00586A39">
        <w:t>.</w:t>
      </w:r>
    </w:p>
    <w:p w:rsidR="00586A39" w:rsidRDefault="005A6D01" w:rsidP="00202575">
      <w:r>
        <w:t>Descovy</w:t>
      </w:r>
      <w:r w:rsidR="008E3BE8" w:rsidRPr="008E3BE8">
        <w:t xml:space="preserve"> will be used as a backbone for ART in combination with various </w:t>
      </w:r>
      <w:r w:rsidR="00A378FB" w:rsidRPr="008E3BE8">
        <w:t>3</w:t>
      </w:r>
      <w:r w:rsidR="00A378FB" w:rsidRPr="00A378FB">
        <w:rPr>
          <w:vertAlign w:val="superscript"/>
        </w:rPr>
        <w:t>rd</w:t>
      </w:r>
      <w:r w:rsidR="008E3BE8" w:rsidRPr="008E3BE8">
        <w:t xml:space="preserve"> agents. This is different from single tablet regimens, such as </w:t>
      </w:r>
      <w:r w:rsidR="00AA3643">
        <w:t>Genvoya</w:t>
      </w:r>
      <w:r w:rsidR="008E3BE8" w:rsidRPr="008E3BE8">
        <w:t xml:space="preserve">, in which the </w:t>
      </w:r>
      <w:r w:rsidR="00A378FB" w:rsidRPr="008E3BE8">
        <w:t>3</w:t>
      </w:r>
      <w:r w:rsidR="00A378FB" w:rsidRPr="00A378FB">
        <w:rPr>
          <w:vertAlign w:val="superscript"/>
        </w:rPr>
        <w:t>rd</w:t>
      </w:r>
      <w:r w:rsidR="008E3BE8" w:rsidRPr="008E3BE8">
        <w:t xml:space="preserve"> agent is fixed to EVG+COBI. The flexibility to use </w:t>
      </w:r>
      <w:r>
        <w:t>Descovy</w:t>
      </w:r>
      <w:r w:rsidR="008E3BE8" w:rsidRPr="008E3BE8">
        <w:t xml:space="preserve"> with various </w:t>
      </w:r>
      <w:r w:rsidR="00A378FB" w:rsidRPr="008E3BE8">
        <w:t>3</w:t>
      </w:r>
      <w:r w:rsidR="00A378FB" w:rsidRPr="00A378FB">
        <w:rPr>
          <w:vertAlign w:val="superscript"/>
        </w:rPr>
        <w:t>rd</w:t>
      </w:r>
      <w:r w:rsidR="008E3BE8" w:rsidRPr="008E3BE8">
        <w:t xml:space="preserve"> agents (other than EVG+COBI) is an important benefit to patients who need a more individualised antiretroviral regimen, such as those who fail the available single tablet regimens (</w:t>
      </w:r>
      <w:r w:rsidR="00A378FB">
        <w:t xml:space="preserve">for example, </w:t>
      </w:r>
      <w:r w:rsidR="008E3BE8" w:rsidRPr="008E3BE8">
        <w:t>A</w:t>
      </w:r>
      <w:r w:rsidR="00A378FB">
        <w:t>tripla</w:t>
      </w:r>
      <w:r w:rsidR="008E3BE8" w:rsidRPr="008E3BE8">
        <w:t xml:space="preserve"> [EFV/FTC/TDF, ATR]) as first line treatment</w:t>
      </w:r>
      <w:r w:rsidR="00586A39">
        <w:t>.</w:t>
      </w:r>
    </w:p>
    <w:p w:rsidR="008E3BE8" w:rsidRDefault="008E3BE8" w:rsidP="00202575">
      <w:r w:rsidRPr="008E3BE8">
        <w:t>Importantly, when patients experience treatment failure, one cannot assume that the treatment failure is due to virologic reasons (</w:t>
      </w:r>
      <w:r w:rsidR="00A378FB">
        <w:t>for example,</w:t>
      </w:r>
      <w:r w:rsidRPr="008E3BE8">
        <w:t xml:space="preserve"> emergent resistance), as it is more often due to other reasons (</w:t>
      </w:r>
      <w:r w:rsidR="00A378FB">
        <w:t>such as</w:t>
      </w:r>
      <w:r w:rsidRPr="008E3BE8">
        <w:t xml:space="preserve"> poor adherence, transient blips or low level viremia, adverse events, co-morbidities, difficulty in accessing drugs, etc). In these patients, clinicians often continue or restart the same regimen, and patients achieve virologic suppression, while resistance mutations rarely develop. In addition, as long as there is no documented or suspected mutation(s) that confer HIV-1 resistance to a given antiretroviral agent(s), there is no reason to think that such agent(s) will not be active. For example, when patients experience treatment failure while receiving ATR due to emergent K103N mutation, some clinicians will choose to construct a second line regimen using </w:t>
      </w:r>
      <w:r w:rsidR="005A6D01">
        <w:t>Descovy</w:t>
      </w:r>
      <w:r w:rsidRPr="008E3BE8">
        <w:t xml:space="preserve"> plus boosted PI, as long as there were no emergent resistances to FTC or TAF. Furthermore, Gilead considers that restricting the use of an antiretroviral agent(s) that is likely active against the HIV-1 in patients with history of treatment failure can severely limit the clinicians’ ability to construct an effective regimen for them.</w:t>
      </w:r>
    </w:p>
    <w:p w:rsidR="00586A39" w:rsidRDefault="008E3BE8" w:rsidP="00202575">
      <w:r w:rsidRPr="008E3BE8">
        <w:t xml:space="preserve">Gilead considers that previous treatment failure specifically due to emergent resistance to either or both components of </w:t>
      </w:r>
      <w:r w:rsidR="005A6D01">
        <w:t>Descovy</w:t>
      </w:r>
      <w:r w:rsidRPr="008E3BE8">
        <w:t xml:space="preserve"> is the only scenario where </w:t>
      </w:r>
      <w:r w:rsidR="005A6D01">
        <w:t>Descovy</w:t>
      </w:r>
      <w:r w:rsidRPr="008E3BE8">
        <w:t xml:space="preserve"> should not be used. The indication as proposed by Gilead addresses this scenario while preserving maximal treatment options for other patients</w:t>
      </w:r>
      <w:r w:rsidR="00586A39">
        <w:t>.</w:t>
      </w:r>
    </w:p>
    <w:p w:rsidR="00586A39" w:rsidRDefault="005A6D01" w:rsidP="00202575">
      <w:r>
        <w:t>Descovy</w:t>
      </w:r>
      <w:r w:rsidR="008E3BE8" w:rsidRPr="008E3BE8">
        <w:t xml:space="preserve"> is similar to the TGA-approved </w:t>
      </w:r>
      <w:r w:rsidR="00EF064E">
        <w:t>Truvada</w:t>
      </w:r>
      <w:r w:rsidR="008E3BE8" w:rsidRPr="008E3BE8">
        <w:t xml:space="preserve">, and is likely to replace it in practice following the availability of </w:t>
      </w:r>
      <w:r>
        <w:t>Descovy</w:t>
      </w:r>
      <w:r w:rsidR="008E3BE8" w:rsidRPr="008E3BE8">
        <w:t xml:space="preserve">. </w:t>
      </w:r>
      <w:r w:rsidR="00EF064E">
        <w:t>Truvada</w:t>
      </w:r>
      <w:r w:rsidR="008E3BE8" w:rsidRPr="008E3BE8">
        <w:t xml:space="preserve"> was approved by the TGA in 2005 based on a bioequivalence (BE) strategy similar to </w:t>
      </w:r>
      <w:r>
        <w:t>Descovy</w:t>
      </w:r>
      <w:r w:rsidR="008E3BE8" w:rsidRPr="008E3BE8">
        <w:t xml:space="preserve"> tablets, and is currently indicated </w:t>
      </w:r>
      <w:r w:rsidR="008E3BE8" w:rsidRPr="008E3BE8">
        <w:rPr>
          <w:i/>
          <w:iCs/>
        </w:rPr>
        <w:t xml:space="preserve">for the treatment of HIV infected adults over the age of 18 years, in combination with other antiretroviral agents. </w:t>
      </w:r>
      <w:r w:rsidR="00EF064E">
        <w:t>Truvada</w:t>
      </w:r>
      <w:r w:rsidR="008E3BE8" w:rsidRPr="008E3BE8">
        <w:t xml:space="preserve"> has become the most-widely prescribed backbone in Australia in a wide range of patient populations, including treatment experienced patients. The FTC/TDF combination is contained in four of the five </w:t>
      </w:r>
      <w:r w:rsidR="00EF064E">
        <w:t>‘</w:t>
      </w:r>
      <w:r w:rsidR="008E3BE8" w:rsidRPr="008E3BE8">
        <w:t>Recommended</w:t>
      </w:r>
      <w:r w:rsidR="00EF064E">
        <w:t>’</w:t>
      </w:r>
      <w:r w:rsidR="008E3BE8" w:rsidRPr="008E3BE8">
        <w:t xml:space="preserve"> anti-retroviral (ART) starting regimens cited in the current ASHM guidelines</w:t>
      </w:r>
      <w:r w:rsidR="00586A39">
        <w:t>.</w:t>
      </w:r>
    </w:p>
    <w:p w:rsidR="00586A39" w:rsidRDefault="008E3BE8" w:rsidP="00202575">
      <w:r w:rsidRPr="008E3BE8">
        <w:t xml:space="preserve">As such, Gilead considers that the established efficacy and safety profile for </w:t>
      </w:r>
      <w:r w:rsidR="005A6D01">
        <w:t>Descovy</w:t>
      </w:r>
      <w:r w:rsidRPr="008E3BE8">
        <w:t xml:space="preserve"> tablets supports an indication for use in combination with other antiretroviral agents for the treatment of HIV-1 infection as follows</w:t>
      </w:r>
      <w:r w:rsidR="00586A39">
        <w:t>:</w:t>
      </w:r>
    </w:p>
    <w:p w:rsidR="00586A39" w:rsidRDefault="005A6D01" w:rsidP="00202575">
      <w:pPr>
        <w:rPr>
          <w:i/>
          <w:iCs/>
        </w:rPr>
      </w:pPr>
      <w:r>
        <w:rPr>
          <w:i/>
          <w:iCs/>
        </w:rPr>
        <w:lastRenderedPageBreak/>
        <w:t>Descovy</w:t>
      </w:r>
      <w:r w:rsidR="008E3BE8" w:rsidRPr="008E3BE8">
        <w:rPr>
          <w:i/>
          <w:iCs/>
        </w:rPr>
        <w:t xml:space="preserve"> is indicated in combination with other antiretroviral agents for the treatment of HIV-1 infection in adults and paediatric patients 12 years of age and older with body weight at least 35 kg without any known mutations associated with resistance to the individual components of </w:t>
      </w:r>
      <w:r>
        <w:rPr>
          <w:i/>
          <w:iCs/>
        </w:rPr>
        <w:t>Descovy</w:t>
      </w:r>
      <w:r w:rsidR="00586A39">
        <w:rPr>
          <w:i/>
          <w:iCs/>
        </w:rPr>
        <w:t>.</w:t>
      </w:r>
    </w:p>
    <w:p w:rsidR="00586A39" w:rsidRDefault="005A6D01" w:rsidP="00202575">
      <w:pPr>
        <w:rPr>
          <w:rFonts w:eastAsia="Arial Unicode MS"/>
          <w:i/>
          <w:iCs/>
        </w:rPr>
      </w:pPr>
      <w:r>
        <w:rPr>
          <w:i/>
          <w:iCs/>
        </w:rPr>
        <w:t>Descovy</w:t>
      </w:r>
      <w:r w:rsidR="008E3BE8" w:rsidRPr="008E3BE8">
        <w:rPr>
          <w:i/>
          <w:iCs/>
        </w:rPr>
        <w:t xml:space="preserve"> is not for use in Pre</w:t>
      </w:r>
      <w:r w:rsidR="008E3BE8" w:rsidRPr="008E3BE8">
        <w:rPr>
          <w:rFonts w:ascii="Arial Unicode MS" w:eastAsia="Arial Unicode MS" w:cs="Arial Unicode MS" w:hint="eastAsia"/>
        </w:rPr>
        <w:t>‐</w:t>
      </w:r>
      <w:r w:rsidR="008E3BE8" w:rsidRPr="008E3BE8">
        <w:rPr>
          <w:rFonts w:eastAsia="Arial Unicode MS"/>
          <w:i/>
          <w:iCs/>
        </w:rPr>
        <w:t>Exposure Prophylaxis (PrEP)</w:t>
      </w:r>
      <w:r w:rsidR="00586A39">
        <w:rPr>
          <w:rFonts w:eastAsia="Arial Unicode MS"/>
          <w:i/>
          <w:iCs/>
        </w:rPr>
        <w:t>.</w:t>
      </w:r>
    </w:p>
    <w:p w:rsidR="00586A39" w:rsidRDefault="008E3BE8" w:rsidP="00662E2E">
      <w:pPr>
        <w:pStyle w:val="Heading7"/>
        <w:rPr>
          <w:rFonts w:eastAsia="Arial Unicode MS"/>
        </w:rPr>
      </w:pPr>
      <w:r w:rsidRPr="008E3BE8">
        <w:rPr>
          <w:rFonts w:eastAsia="Arial Unicode MS"/>
        </w:rPr>
        <w:t>3. The Committee is also requested to provide advice on any other issues that it thinks may be relevant to a decision including recommendations for the Australian PI</w:t>
      </w:r>
      <w:r w:rsidR="00586A39">
        <w:rPr>
          <w:rFonts w:eastAsia="Arial Unicode MS"/>
        </w:rPr>
        <w:t>.</w:t>
      </w:r>
    </w:p>
    <w:p w:rsidR="008E3BE8" w:rsidRPr="008E3BE8" w:rsidRDefault="008E3BE8" w:rsidP="00202575">
      <w:r w:rsidRPr="008E3BE8">
        <w:t>Gilead has noted the review of the PI and has amended the PI accordingly.</w:t>
      </w:r>
    </w:p>
    <w:p w:rsidR="00586A39" w:rsidRDefault="008E3BE8" w:rsidP="00202575">
      <w:r w:rsidRPr="008E3BE8">
        <w:t xml:space="preserve">The </w:t>
      </w:r>
      <w:r w:rsidR="005A6D01">
        <w:t>Descovy</w:t>
      </w:r>
      <w:r w:rsidRPr="008E3BE8">
        <w:t xml:space="preserve"> PI was developed to be consistent with the approved Australian </w:t>
      </w:r>
      <w:r w:rsidR="00EF064E">
        <w:t>Truvada</w:t>
      </w:r>
      <w:r w:rsidRPr="008E3BE8">
        <w:t xml:space="preserve"> PI, whilst taking into account the improved safety profile of TAF compared to TDF</w:t>
      </w:r>
      <w:r w:rsidR="00586A39">
        <w:t>.</w:t>
      </w:r>
    </w:p>
    <w:p w:rsidR="008E3BE8" w:rsidRPr="008E3BE8" w:rsidRDefault="008E3BE8" w:rsidP="00202575">
      <w:pPr>
        <w:pStyle w:val="Heading5"/>
        <w:rPr>
          <w:rFonts w:eastAsia="Arial Unicode MS"/>
        </w:rPr>
      </w:pPr>
      <w:r w:rsidRPr="008E3BE8">
        <w:rPr>
          <w:rFonts w:eastAsia="Arial Unicode MS"/>
        </w:rPr>
        <w:t xml:space="preserve">Summary of issues raised by the TGA Delegate </w:t>
      </w:r>
    </w:p>
    <w:p w:rsidR="00586A39" w:rsidRDefault="008E3BE8" w:rsidP="00202575">
      <w:r w:rsidRPr="008E3BE8">
        <w:t>The Delegates’ comments are presented in bold print, and are followed by Gilead’s response</w:t>
      </w:r>
      <w:r w:rsidR="00586A39">
        <w:t>.</w:t>
      </w:r>
    </w:p>
    <w:p w:rsidR="008E3BE8" w:rsidRPr="00662E2E" w:rsidRDefault="008E3BE8" w:rsidP="00662E2E">
      <w:pPr>
        <w:pStyle w:val="Heading4"/>
      </w:pPr>
      <w:r w:rsidRPr="00662E2E">
        <w:t xml:space="preserve">Adequacy of </w:t>
      </w:r>
      <w:r w:rsidR="00B4261F" w:rsidRPr="00662E2E">
        <w:t xml:space="preserve">Genvoya </w:t>
      </w:r>
      <w:r w:rsidRPr="00662E2E">
        <w:t xml:space="preserve">clinical dossier as evidence of clinical efficacy/safety of </w:t>
      </w:r>
      <w:r w:rsidR="005A6D01" w:rsidRPr="00662E2E">
        <w:t>Descovy</w:t>
      </w:r>
      <w:r w:rsidRPr="00662E2E">
        <w:t xml:space="preserve"> in combination with ART agents other than EVG and boos</w:t>
      </w:r>
      <w:r w:rsidR="00EF064E" w:rsidRPr="00662E2E">
        <w:t>ting with agent other than COBI</w:t>
      </w:r>
      <w:r w:rsidRPr="00662E2E">
        <w:t xml:space="preserve"> </w:t>
      </w:r>
    </w:p>
    <w:p w:rsidR="00586A39" w:rsidRDefault="008E3BE8" w:rsidP="00B4261F">
      <w:r w:rsidRPr="008E3BE8">
        <w:t xml:space="preserve">As discussed above in the response to </w:t>
      </w:r>
      <w:r w:rsidR="00A378FB">
        <w:t>P</w:t>
      </w:r>
      <w:r w:rsidRPr="008E3BE8">
        <w:t xml:space="preserve">oint 1, the registration strategy for </w:t>
      </w:r>
      <w:r w:rsidR="005A6D01">
        <w:t>Descovy</w:t>
      </w:r>
      <w:r w:rsidRPr="008E3BE8">
        <w:t xml:space="preserve"> is based on 2 pivotal bioequivalence studies that pharmacokinetically bridge the exposure of FTC and TAF, between each of the </w:t>
      </w:r>
      <w:r w:rsidR="005A6D01">
        <w:t>Descovy</w:t>
      </w:r>
      <w:r w:rsidRPr="008E3BE8">
        <w:t xml:space="preserve"> tablet strengths (200/25 mg and 200/10 mg) to the </w:t>
      </w:r>
      <w:r w:rsidR="00AA3643">
        <w:t>Genvoya</w:t>
      </w:r>
      <w:r w:rsidRPr="008E3BE8">
        <w:t xml:space="preserve"> FDC tablet, which has been shown to be efficacious, safe, and well tolerated in a broad spectrum of HIV-infected patients including renally impaired patients and adolescents aged 12 years and above</w:t>
      </w:r>
      <w:r w:rsidR="00586A39">
        <w:t>.</w:t>
      </w:r>
    </w:p>
    <w:p w:rsidR="00586A39" w:rsidRDefault="008E3BE8" w:rsidP="00B4261F">
      <w:r w:rsidRPr="008E3BE8">
        <w:t xml:space="preserve">Gilead agrees with the Delegates’ conclusion that the totality of evidence from the </w:t>
      </w:r>
      <w:r w:rsidR="00AA3643">
        <w:t>Genvoya</w:t>
      </w:r>
      <w:r w:rsidRPr="008E3BE8">
        <w:t xml:space="preserve"> and </w:t>
      </w:r>
      <w:r w:rsidR="005A6D01">
        <w:t>Descovy</w:t>
      </w:r>
      <w:r w:rsidRPr="008E3BE8">
        <w:t xml:space="preserve"> dossiers supports the approval of </w:t>
      </w:r>
      <w:r w:rsidR="005A6D01">
        <w:t>Descovy</w:t>
      </w:r>
      <w:r w:rsidRPr="008E3BE8">
        <w:t xml:space="preserve"> for the proposed use from age 12 years and above with body weight at least 35 kg</w:t>
      </w:r>
      <w:r w:rsidR="00586A39">
        <w:t>.</w:t>
      </w:r>
    </w:p>
    <w:p w:rsidR="008E3BE8" w:rsidRDefault="008E3BE8" w:rsidP="00B4261F">
      <w:r w:rsidRPr="008E3BE8">
        <w:t xml:space="preserve">Acceptability of the BE strategy as outlined above has been validated by the recent approval of </w:t>
      </w:r>
      <w:r w:rsidR="005A6D01">
        <w:t>Descovy</w:t>
      </w:r>
      <w:r w:rsidRPr="008E3BE8">
        <w:t xml:space="preserve"> tablets by the US FDA, European Medicines Agency and Health Canada. An update of the overseas regulatory status is provided.</w:t>
      </w:r>
    </w:p>
    <w:p w:rsidR="008E3BE8" w:rsidRPr="008E3BE8" w:rsidRDefault="008E3BE8" w:rsidP="00662E2E">
      <w:pPr>
        <w:pStyle w:val="Heading4"/>
      </w:pPr>
      <w:r w:rsidRPr="00B4261F">
        <w:t xml:space="preserve">Use </w:t>
      </w:r>
      <w:r w:rsidR="005A6D01" w:rsidRPr="00B4261F">
        <w:t>Descovy</w:t>
      </w:r>
      <w:r w:rsidRPr="00B4261F">
        <w:t xml:space="preserve"> 200/1</w:t>
      </w:r>
      <w:r w:rsidR="00E04BFC">
        <w:t>0 mg</w:t>
      </w:r>
      <w:r w:rsidRPr="00B4261F">
        <w:t xml:space="preserve"> boosted vs 200/25 unboosted</w:t>
      </w:r>
      <w:r w:rsidRPr="008E3BE8">
        <w:t xml:space="preserve"> </w:t>
      </w:r>
    </w:p>
    <w:p w:rsidR="00586A39" w:rsidRDefault="008E3BE8" w:rsidP="00B4261F">
      <w:r w:rsidRPr="008E3BE8">
        <w:t xml:space="preserve">The recommendation for </w:t>
      </w:r>
      <w:r w:rsidR="005A6D01">
        <w:t>Descovy</w:t>
      </w:r>
      <w:r w:rsidRPr="008E3BE8">
        <w:t xml:space="preserve"> administration is 200/10 mg for boosted regimens (with COBI or RTV), and 200/25 mg for unboosted regimens. The recommended dose of </w:t>
      </w:r>
      <w:r w:rsidR="005A6D01">
        <w:t>Descovy</w:t>
      </w:r>
      <w:r w:rsidRPr="008E3BE8">
        <w:t xml:space="preserve"> per the third ARV agent is based on ensuring that patients have a TAF systemic exposure that is within the range of the reference exposure achieved with TAF 10 mg when administered as </w:t>
      </w:r>
      <w:r w:rsidR="00AA3643">
        <w:t>Genvoya</w:t>
      </w:r>
      <w:r w:rsidRPr="008E3BE8">
        <w:t>, for which an extensive efficacy and safety database exists. The different TAF dose (10 or 25 mg) is based on whether or not the coadministered third agent has any clinically relevant effect on TAF (</w:t>
      </w:r>
      <w:r w:rsidR="00A378FB">
        <w:t xml:space="preserve">for example, </w:t>
      </w:r>
      <w:r w:rsidRPr="008E3BE8">
        <w:t xml:space="preserve">via inhibition of intestinal P-gp). Given the wide range of safe and efficacious TAF exposure established in the single-agent proof-of-concept study (Study GS-US-120-0104), in the Phase </w:t>
      </w:r>
      <w:r w:rsidR="00A378FB">
        <w:t>II</w:t>
      </w:r>
      <w:r w:rsidRPr="008E3BE8">
        <w:t xml:space="preserve"> study of D/C/F/TAF (Study GS-US-299-0102), and Phase </w:t>
      </w:r>
      <w:r w:rsidR="00A378FB">
        <w:t>II</w:t>
      </w:r>
      <w:r w:rsidRPr="008E3BE8">
        <w:t xml:space="preserve"> and </w:t>
      </w:r>
      <w:r w:rsidR="00E04BFC">
        <w:t>Phase III</w:t>
      </w:r>
      <w:r w:rsidRPr="008E3BE8">
        <w:t xml:space="preserve"> studies of </w:t>
      </w:r>
      <w:r w:rsidR="00AA3643">
        <w:t>Genvoya</w:t>
      </w:r>
      <w:r w:rsidRPr="008E3BE8">
        <w:t>, where uniformly high rates of virologic success were observed across all quartiles of TAF exposures (AUC</w:t>
      </w:r>
      <w:r w:rsidRPr="008E3BE8">
        <w:rPr>
          <w:sz w:val="16"/>
          <w:szCs w:val="16"/>
        </w:rPr>
        <w:t xml:space="preserve">tau </w:t>
      </w:r>
      <w:r w:rsidRPr="008E3BE8">
        <w:t>from 47 to 1869 ng•h/mL) in ART-naive patients with no trends in exposure response relationship, the variability in TAF-equivalent dose by the third agent is considered acceptable</w:t>
      </w:r>
      <w:r w:rsidR="00586A39">
        <w:t>.</w:t>
      </w:r>
    </w:p>
    <w:p w:rsidR="008E3BE8" w:rsidRDefault="008E3BE8" w:rsidP="00B4261F">
      <w:r w:rsidRPr="008E3BE8">
        <w:t xml:space="preserve">The dosing recommendations for </w:t>
      </w:r>
      <w:r w:rsidR="005A6D01">
        <w:t>Descovy</w:t>
      </w:r>
      <w:r w:rsidRPr="008E3BE8">
        <w:t xml:space="preserve"> (Table </w:t>
      </w:r>
      <w:r w:rsidR="00A378FB">
        <w:t>23</w:t>
      </w:r>
      <w:r w:rsidRPr="008E3BE8">
        <w:t xml:space="preserve">) are further supported by intracellular TFV-DP data from patients receiving </w:t>
      </w:r>
      <w:r w:rsidR="005A6D01">
        <w:t>Descovy</w:t>
      </w:r>
      <w:r w:rsidRPr="008E3BE8">
        <w:t xml:space="preserve"> 200/25 mg with an unboosted third agent (DTG, EFV, MVC, NVP, RAL or RPV) or </w:t>
      </w:r>
      <w:r w:rsidR="005A6D01">
        <w:t>Descovy</w:t>
      </w:r>
      <w:r w:rsidRPr="008E3BE8">
        <w:t xml:space="preserve"> 200/10 mg with a RTV-boosted </w:t>
      </w:r>
      <w:r w:rsidRPr="008E3BE8">
        <w:lastRenderedPageBreak/>
        <w:t>PI in Study GS-US-311-1089, which tracked closely with TAF-equivalent dose (Table 1) and were several fold higher than the intracellular TFV-DP concentrations following FTC/TDF administration.</w:t>
      </w:r>
    </w:p>
    <w:p w:rsidR="00A378FB" w:rsidRDefault="00A378FB" w:rsidP="00A378FB">
      <w:pPr>
        <w:pStyle w:val="TableTitle"/>
      </w:pPr>
      <w:r>
        <w:t>Table 23: Dose recommendations for F/TAF with potential concomitant antiretroviral drugs</w:t>
      </w:r>
    </w:p>
    <w:p w:rsidR="008E3BE8" w:rsidRDefault="008E3BE8" w:rsidP="008E3BE8">
      <w:r>
        <w:rPr>
          <w:noProof/>
          <w:lang w:eastAsia="en-AU"/>
        </w:rPr>
        <w:drawing>
          <wp:inline distT="0" distB="0" distL="0" distR="0" wp14:anchorId="12BEB8FA" wp14:editId="39CB0884">
            <wp:extent cx="5400000" cy="2064600"/>
            <wp:effectExtent l="0" t="0" r="0" b="0"/>
            <wp:docPr id="17" name="Picture 17" descr="Table 23: Dose recommendations for F/TAF with potential concomitant antiretroviral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t="10040"/>
                    <a:stretch/>
                  </pic:blipFill>
                  <pic:spPr bwMode="auto">
                    <a:xfrm>
                      <a:off x="0" y="0"/>
                      <a:ext cx="5400040" cy="2064615"/>
                    </a:xfrm>
                    <a:prstGeom prst="rect">
                      <a:avLst/>
                    </a:prstGeom>
                    <a:ln>
                      <a:noFill/>
                    </a:ln>
                    <a:extLst>
                      <a:ext uri="{53640926-AAD7-44D8-BBD7-CCE9431645EC}">
                        <a14:shadowObscured xmlns:a14="http://schemas.microsoft.com/office/drawing/2010/main"/>
                      </a:ext>
                    </a:extLst>
                  </pic:spPr>
                </pic:pic>
              </a:graphicData>
            </a:graphic>
          </wp:inline>
        </w:drawing>
      </w:r>
    </w:p>
    <w:p w:rsidR="008E3BE8" w:rsidRPr="00B4261F" w:rsidRDefault="008E3BE8" w:rsidP="00662E2E">
      <w:pPr>
        <w:pStyle w:val="Heading4"/>
      </w:pPr>
      <w:r w:rsidRPr="00B4261F">
        <w:t xml:space="preserve">Effect of food and concomitant drugs on bioavailability of TAF </w:t>
      </w:r>
    </w:p>
    <w:p w:rsidR="00586A39" w:rsidRDefault="008E3BE8" w:rsidP="00EF064E">
      <w:r w:rsidRPr="00EF064E">
        <w:t xml:space="preserve">Food has minimum effect on TAF when </w:t>
      </w:r>
      <w:r w:rsidR="00AA3643" w:rsidRPr="00EF064E">
        <w:t>Genvoya</w:t>
      </w:r>
      <w:r w:rsidRPr="00EF064E">
        <w:t xml:space="preserve"> is administered, but increases TAF absorption when </w:t>
      </w:r>
      <w:r w:rsidR="005A6D01" w:rsidRPr="00EF064E">
        <w:t>Descovy</w:t>
      </w:r>
      <w:r w:rsidRPr="00EF064E">
        <w:t xml:space="preserve"> is administered without a booster. TAF exposure (AUC</w:t>
      </w:r>
      <w:r w:rsidRPr="00A378FB">
        <w:rPr>
          <w:vertAlign w:val="subscript"/>
        </w:rPr>
        <w:t>last</w:t>
      </w:r>
      <w:r w:rsidRPr="00EF064E">
        <w:t xml:space="preserve">) increased by </w:t>
      </w:r>
      <w:r w:rsidR="00A378FB">
        <w:t xml:space="preserve">approximately </w:t>
      </w:r>
      <w:r w:rsidRPr="00EF064E">
        <w:t xml:space="preserve">77% when </w:t>
      </w:r>
      <w:r w:rsidR="005A6D01" w:rsidRPr="00EF064E">
        <w:t>Descovy</w:t>
      </w:r>
      <w:r w:rsidRPr="00EF064E">
        <w:t xml:space="preserve"> (200/25 mg) was administered following a high fat meal compared with fasted conditions. However, the totality of TAF plasma PK data from DDI studies, and the wide range of safe and efficacious TAF exposures established in the proof-of-concept study and Phase </w:t>
      </w:r>
      <w:r w:rsidR="00A378FB">
        <w:t>II</w:t>
      </w:r>
      <w:r w:rsidRPr="00EF064E">
        <w:t xml:space="preserve"> and </w:t>
      </w:r>
      <w:r w:rsidR="00E04BFC" w:rsidRPr="00EF064E">
        <w:t>Phase III</w:t>
      </w:r>
      <w:r w:rsidRPr="00EF064E">
        <w:t xml:space="preserve"> </w:t>
      </w:r>
      <w:r w:rsidR="00AA3643" w:rsidRPr="00EF064E">
        <w:t>Genvoya</w:t>
      </w:r>
      <w:r w:rsidRPr="00EF064E">
        <w:t xml:space="preserve"> studies suggest that the difference of TAF exposure when administered with or without food is not considered clinically meaningful. As such, Gilead considers that </w:t>
      </w:r>
      <w:r w:rsidR="005A6D01" w:rsidRPr="00EF064E">
        <w:t>Descovy</w:t>
      </w:r>
      <w:r w:rsidRPr="00EF064E">
        <w:t xml:space="preserve"> can be administered without regard to food. This approach also has practical implication, since as an NRTI-backbone to be used in combination with third agents, </w:t>
      </w:r>
      <w:r w:rsidR="005A6D01" w:rsidRPr="00EF064E">
        <w:t>Descovy</w:t>
      </w:r>
      <w:r w:rsidRPr="00EF064E">
        <w:t xml:space="preserve"> will be administered under the food condition dictated by the co</w:t>
      </w:r>
      <w:r w:rsidR="00A378FB">
        <w:t>-</w:t>
      </w:r>
      <w:r w:rsidRPr="00EF064E">
        <w:t>administered third agent (</w:t>
      </w:r>
      <w:r w:rsidR="00A378FB">
        <w:t>that is,</w:t>
      </w:r>
      <w:r w:rsidRPr="00EF064E">
        <w:t xml:space="preserve"> with or without food, or without regard to food). The </w:t>
      </w:r>
      <w:r w:rsidR="005A6D01" w:rsidRPr="00EF064E">
        <w:t>Descovy</w:t>
      </w:r>
      <w:r w:rsidRPr="00EF064E">
        <w:t xml:space="preserve"> 200/10 mg tablet is recommended to be used with boosted PIs, which are to be taken with food. The </w:t>
      </w:r>
      <w:r w:rsidR="005A6D01" w:rsidRPr="00EF064E">
        <w:t>Descovy</w:t>
      </w:r>
      <w:r w:rsidRPr="00EF064E">
        <w:t xml:space="preserve"> 200/25 mg tablet is expected to be used in combination with unboosted third agents. Most of those third agents are to be taken without regard to food (dolutegravir [DTG], raltegravir [RAL], nevirapine [NVP], and maraviroc [MVC]), with specific food restrictions that apply only for rilpivirine (RPV) (taken with a meal) and EFV (taken on an empty stomach). As such, the flexibility to use </w:t>
      </w:r>
      <w:r w:rsidR="005A6D01" w:rsidRPr="00EF064E">
        <w:t>Descovy</w:t>
      </w:r>
      <w:r w:rsidRPr="00EF064E">
        <w:t xml:space="preserve"> without regard to food makes it convenient for patients and clinicians to pair it with any third agent regardless of the food requirement</w:t>
      </w:r>
      <w:r w:rsidR="00586A39">
        <w:t>.</w:t>
      </w:r>
    </w:p>
    <w:p w:rsidR="00586A39" w:rsidRDefault="008E3BE8" w:rsidP="00EF064E">
      <w:r w:rsidRPr="00EF064E">
        <w:t>A similar approach has been taken in making recommendations on the use of concomitant non ARV drugs.</w:t>
      </w:r>
      <w:r w:rsidR="003F7A2A">
        <w:t xml:space="preserve"> </w:t>
      </w:r>
      <w:r w:rsidRPr="00EF064E">
        <w:t xml:space="preserve">Generally, given the wide range of TAF exposures seen in clinical studies, concomitant non ARV drugs that lead to higher TAF exposures when coadministered with </w:t>
      </w:r>
      <w:r w:rsidR="005A6D01" w:rsidRPr="00EF064E">
        <w:t>Descovy</w:t>
      </w:r>
      <w:r w:rsidRPr="00EF064E">
        <w:t xml:space="preserve"> were considered more acceptable (</w:t>
      </w:r>
      <w:r w:rsidR="00EF064E">
        <w:t xml:space="preserve">for example, </w:t>
      </w:r>
      <w:r w:rsidRPr="00EF064E">
        <w:t xml:space="preserve">for itraconazole </w:t>
      </w:r>
      <w:r w:rsidR="00EF064E">
        <w:t>‘</w:t>
      </w:r>
      <w:r w:rsidRPr="00EF064E">
        <w:t>no dose adjustment is required</w:t>
      </w:r>
      <w:r w:rsidR="00EF064E">
        <w:t>’</w:t>
      </w:r>
      <w:r w:rsidRPr="00EF064E">
        <w:t>) than those that lead to lower TAF exposures (</w:t>
      </w:r>
      <w:r w:rsidR="00EF064E">
        <w:t>for example,</w:t>
      </w:r>
      <w:r w:rsidR="00EF064E" w:rsidRPr="00EF064E">
        <w:t xml:space="preserve"> </w:t>
      </w:r>
      <w:r w:rsidRPr="00EF064E">
        <w:t xml:space="preserve">for rifampicin </w:t>
      </w:r>
      <w:r w:rsidR="00EF064E">
        <w:t>‘</w:t>
      </w:r>
      <w:r w:rsidRPr="00EF064E">
        <w:t>Coadministration of rifabutin, rifampicin, or rifapentine is not recommended.</w:t>
      </w:r>
      <w:r w:rsidR="00EF064E">
        <w:t>’</w:t>
      </w:r>
      <w:r w:rsidRPr="00EF064E">
        <w:t>). Table 12 within the proposed PI provides details of the ‘Established and Other Potentially Significant Drug Interactions’</w:t>
      </w:r>
      <w:r w:rsidR="00586A39">
        <w:t>.</w:t>
      </w:r>
    </w:p>
    <w:p w:rsidR="008E3BE8" w:rsidRPr="00B4261F" w:rsidRDefault="008E3BE8" w:rsidP="00EF064E">
      <w:pPr>
        <w:pStyle w:val="Heading5"/>
      </w:pPr>
      <w:r w:rsidRPr="00B4261F">
        <w:lastRenderedPageBreak/>
        <w:t xml:space="preserve">Use in adolescents 12 years and above based on </w:t>
      </w:r>
      <w:r w:rsidR="00AA3643">
        <w:t>Genvoya</w:t>
      </w:r>
      <w:r w:rsidRPr="00B4261F">
        <w:t xml:space="preserve"> study and approval for </w:t>
      </w:r>
      <w:r w:rsidR="00AA3643">
        <w:t>Genvoya</w:t>
      </w:r>
      <w:r w:rsidRPr="00B4261F">
        <w:t xml:space="preserve"> </w:t>
      </w:r>
    </w:p>
    <w:p w:rsidR="00586A39" w:rsidRDefault="008E3BE8" w:rsidP="00B4261F">
      <w:r w:rsidRPr="008E3BE8">
        <w:t xml:space="preserve">Clinical data, including pharmacokinetic data are available in the adolescent population for </w:t>
      </w:r>
      <w:r w:rsidR="00AA3643">
        <w:t>Genvoya</w:t>
      </w:r>
      <w:r w:rsidRPr="008E3BE8">
        <w:t xml:space="preserve"> Study GS-US-292-0106 (Study 0106). The exposures of the individual components and TFV in adolescents upon administration of </w:t>
      </w:r>
      <w:r w:rsidR="00AA3643">
        <w:t>Genvoya</w:t>
      </w:r>
      <w:r w:rsidRPr="008E3BE8">
        <w:t xml:space="preserve"> are comparable to those in adults. The submission for </w:t>
      </w:r>
      <w:r w:rsidR="005A6D01">
        <w:t>Descovy</w:t>
      </w:r>
      <w:r w:rsidRPr="008E3BE8">
        <w:t xml:space="preserve"> is based on 2 pivotal bioequivalence studies) that provide a pharmacokinetic (PK) bridge between the 2 </w:t>
      </w:r>
      <w:r w:rsidR="005A6D01">
        <w:t>Descovy</w:t>
      </w:r>
      <w:r w:rsidRPr="008E3BE8">
        <w:t xml:space="preserve"> tablet strengths (200/25 mg and 200/10 mg) and </w:t>
      </w:r>
      <w:r w:rsidR="00AA3643">
        <w:t>Genvoya</w:t>
      </w:r>
      <w:r w:rsidRPr="008E3BE8">
        <w:t xml:space="preserve">. Both studies have demonstrated bioequivalent exposure of </w:t>
      </w:r>
      <w:r w:rsidR="005A6D01">
        <w:t>Descovy</w:t>
      </w:r>
      <w:r w:rsidRPr="008E3BE8">
        <w:t xml:space="preserve"> when compared to </w:t>
      </w:r>
      <w:r w:rsidR="00AA3643">
        <w:t>Genvoya</w:t>
      </w:r>
      <w:r w:rsidRPr="008E3BE8">
        <w:t xml:space="preserve"> within the guidance specified bioequivalence limit of 80 </w:t>
      </w:r>
      <w:r w:rsidR="00A378FB">
        <w:t>to</w:t>
      </w:r>
      <w:r w:rsidRPr="008E3BE8">
        <w:t xml:space="preserve"> 125% for the ratio of exposure parameters, therefore in line with current guidance, additional special population studies are not required for </w:t>
      </w:r>
      <w:r w:rsidR="005A6D01">
        <w:t>Descovy</w:t>
      </w:r>
      <w:r w:rsidRPr="008E3BE8">
        <w:t xml:space="preserve">. </w:t>
      </w:r>
      <w:r w:rsidR="00AA3643">
        <w:t>Genvoya</w:t>
      </w:r>
      <w:r w:rsidRPr="008E3BE8">
        <w:t xml:space="preserve"> (AUST R 233398) was approved by the TGA on 12 January 2016 for use in adults and adolescents aged 12 years of age and older with body weight at least 35 kg</w:t>
      </w:r>
      <w:r w:rsidR="00586A39">
        <w:t>.</w:t>
      </w:r>
    </w:p>
    <w:p w:rsidR="00586A39" w:rsidRDefault="008E3BE8" w:rsidP="00B4261F">
      <w:r w:rsidRPr="008E3BE8">
        <w:t xml:space="preserve">Gilead agrees with the Delegates’ conclusion that extrapolation of results from Study 0106 to </w:t>
      </w:r>
      <w:r w:rsidR="005A6D01">
        <w:t>Descovy</w:t>
      </w:r>
      <w:r w:rsidRPr="008E3BE8">
        <w:t xml:space="preserve"> is considered clinically appropriate</w:t>
      </w:r>
      <w:r w:rsidR="00586A39">
        <w:t>.</w:t>
      </w:r>
    </w:p>
    <w:p w:rsidR="008E3BE8" w:rsidRPr="008E3BE8" w:rsidRDefault="008E3BE8" w:rsidP="00662E2E">
      <w:pPr>
        <w:pStyle w:val="Heading4"/>
      </w:pPr>
      <w:r w:rsidRPr="00B4261F">
        <w:t>Proposed indication implies use in failed patients</w:t>
      </w:r>
      <w:r w:rsidRPr="008E3BE8">
        <w:t xml:space="preserve"> </w:t>
      </w:r>
    </w:p>
    <w:p w:rsidR="00586A39" w:rsidRDefault="008E3BE8" w:rsidP="00B4261F">
      <w:r w:rsidRPr="008E3BE8">
        <w:t xml:space="preserve">As </w:t>
      </w:r>
      <w:r w:rsidR="00A378FB">
        <w:t>discussed above in response to P</w:t>
      </w:r>
      <w:r w:rsidRPr="008E3BE8">
        <w:t xml:space="preserve">oint 2, exclusion of </w:t>
      </w:r>
      <w:r w:rsidR="00EF064E">
        <w:t>‘</w:t>
      </w:r>
      <w:r w:rsidRPr="00A378FB">
        <w:rPr>
          <w:i/>
        </w:rPr>
        <w:t>patients with history of treatment failure</w:t>
      </w:r>
      <w:r w:rsidR="00EF064E">
        <w:t>’</w:t>
      </w:r>
      <w:r w:rsidRPr="008E3BE8">
        <w:t xml:space="preserve"> in the therapeutic indication, as proposed by the Delegate unreasonably restricts the use of </w:t>
      </w:r>
      <w:r w:rsidR="005A6D01">
        <w:t>Descovy</w:t>
      </w:r>
      <w:r w:rsidRPr="008E3BE8">
        <w:t xml:space="preserve"> tablets in instances where efficacy can still be expected. In fact, Gilead expects that </w:t>
      </w:r>
      <w:r w:rsidR="005A6D01">
        <w:t>Descovy</w:t>
      </w:r>
      <w:r w:rsidRPr="008E3BE8">
        <w:t xml:space="preserve"> will be used in patients with history of treatment failure. For example, in patients who have failed 1 or 2 single tablet regimens (</w:t>
      </w:r>
      <w:r w:rsidR="00A378FB">
        <w:t>for example,</w:t>
      </w:r>
      <w:r w:rsidRPr="008E3BE8">
        <w:t xml:space="preserve"> </w:t>
      </w:r>
      <w:r w:rsidR="00A378FB" w:rsidRPr="008E3BE8">
        <w:t xml:space="preserve">Atripla </w:t>
      </w:r>
      <w:r w:rsidRPr="008E3BE8">
        <w:t xml:space="preserve">or </w:t>
      </w:r>
      <w:r w:rsidR="00A378FB" w:rsidRPr="008E3BE8">
        <w:t>Eviplera</w:t>
      </w:r>
      <w:r w:rsidRPr="008E3BE8">
        <w:t xml:space="preserve">) due to emergent resistance to the third agent but not to the backbone, </w:t>
      </w:r>
      <w:r w:rsidR="005A6D01">
        <w:t>Descovy</w:t>
      </w:r>
      <w:r w:rsidRPr="008E3BE8">
        <w:t xml:space="preserve"> can be the backbone of choice if clinicians wish to construct a regimen containing a boosted protease inhibitor. Gilead considers that the established efficacy and safety profile for </w:t>
      </w:r>
      <w:r w:rsidR="005A6D01">
        <w:t>Descovy</w:t>
      </w:r>
      <w:r w:rsidRPr="008E3BE8">
        <w:t xml:space="preserve"> supports an indication for use in combination with other antiretroviral agents for the treatment of HIV-1 infection as follows</w:t>
      </w:r>
      <w:r w:rsidR="00586A39">
        <w:t>:</w:t>
      </w:r>
    </w:p>
    <w:p w:rsidR="00586A39" w:rsidRDefault="005A6D01" w:rsidP="0043420A">
      <w:pPr>
        <w:ind w:left="720"/>
        <w:rPr>
          <w:i/>
          <w:iCs/>
        </w:rPr>
      </w:pPr>
      <w:r>
        <w:rPr>
          <w:i/>
          <w:iCs/>
        </w:rPr>
        <w:t>Descovy</w:t>
      </w:r>
      <w:r w:rsidR="008E3BE8" w:rsidRPr="008E3BE8">
        <w:rPr>
          <w:i/>
          <w:iCs/>
        </w:rPr>
        <w:t xml:space="preserve"> is indicated in combination with other antiretroviral agents for the treatment of HIV-1 infection in adults and paediatric patients 12 years of age and older with body weight at least 35 kg without any known mutations associated with resistance to the individual components of </w:t>
      </w:r>
      <w:r>
        <w:rPr>
          <w:i/>
          <w:iCs/>
        </w:rPr>
        <w:t>Descovy</w:t>
      </w:r>
      <w:r w:rsidR="00586A39">
        <w:rPr>
          <w:i/>
          <w:iCs/>
        </w:rPr>
        <w:t>.</w:t>
      </w:r>
    </w:p>
    <w:p w:rsidR="00586A39" w:rsidRDefault="005A6D01" w:rsidP="0043420A">
      <w:pPr>
        <w:ind w:left="720"/>
        <w:rPr>
          <w:rFonts w:eastAsia="Arial Unicode MS"/>
          <w:i/>
          <w:iCs/>
        </w:rPr>
      </w:pPr>
      <w:r>
        <w:rPr>
          <w:i/>
          <w:iCs/>
        </w:rPr>
        <w:t>Descovy</w:t>
      </w:r>
      <w:r w:rsidR="008E3BE8" w:rsidRPr="008E3BE8">
        <w:rPr>
          <w:i/>
          <w:iCs/>
        </w:rPr>
        <w:t xml:space="preserve"> is not for use in Pre</w:t>
      </w:r>
      <w:r w:rsidR="008E3BE8" w:rsidRPr="008E3BE8">
        <w:rPr>
          <w:rFonts w:ascii="Arial Unicode MS" w:eastAsia="Arial Unicode MS" w:cs="Arial Unicode MS" w:hint="eastAsia"/>
        </w:rPr>
        <w:t>‐</w:t>
      </w:r>
      <w:r w:rsidR="008E3BE8" w:rsidRPr="008E3BE8">
        <w:rPr>
          <w:rFonts w:eastAsia="Arial Unicode MS"/>
          <w:i/>
          <w:iCs/>
        </w:rPr>
        <w:t>Exposure Prophylaxis (PrEP)</w:t>
      </w:r>
      <w:r w:rsidR="00586A39">
        <w:rPr>
          <w:rFonts w:eastAsia="Arial Unicode MS"/>
          <w:i/>
          <w:iCs/>
        </w:rPr>
        <w:t>.</w:t>
      </w:r>
    </w:p>
    <w:p w:rsidR="008E3BE8" w:rsidRPr="008E3BE8" w:rsidRDefault="00B4261F" w:rsidP="00A378FB">
      <w:pPr>
        <w:pStyle w:val="Heading4"/>
      </w:pPr>
      <w:r w:rsidRPr="008E3BE8">
        <w:t xml:space="preserve">Conclusion </w:t>
      </w:r>
    </w:p>
    <w:p w:rsidR="008E3BE8" w:rsidRDefault="008E3BE8" w:rsidP="00B4261F">
      <w:r w:rsidRPr="008E3BE8">
        <w:t>TAF represents an important advance in the development of ART and constitutes part of a dual N[t</w:t>
      </w:r>
      <w:proofErr w:type="gramStart"/>
      <w:r w:rsidRPr="008E3BE8">
        <w:t>]RTI</w:t>
      </w:r>
      <w:proofErr w:type="gramEnd"/>
      <w:r w:rsidRPr="008E3BE8">
        <w:t xml:space="preserve"> backbone, </w:t>
      </w:r>
      <w:r w:rsidR="005A6D01">
        <w:t>Descovy</w:t>
      </w:r>
      <w:r w:rsidRPr="008E3BE8">
        <w:t xml:space="preserve">, which is designed to simplify and promote patient adherence and achieve maximum antiviral activity while minimising toxic effects. The benefits provided by </w:t>
      </w:r>
      <w:r w:rsidR="005A6D01">
        <w:t>Descovy</w:t>
      </w:r>
      <w:r w:rsidRPr="008E3BE8">
        <w:t>, in particular the lessened impact of therapy on parameters associated with renal and bone toxicities, meet an important unmet need for the optimisation of long-term treatment in an aging cohort of HIV infected individuals who now have</w:t>
      </w:r>
      <w:r>
        <w:t xml:space="preserve"> a life-expectancy close to that observed in the general population, and are therefore exposed to ARV drugs for long periods of time.</w:t>
      </w:r>
    </w:p>
    <w:p w:rsidR="008E7846" w:rsidRDefault="008E7846" w:rsidP="008E7846">
      <w:pPr>
        <w:pStyle w:val="Heading4"/>
      </w:pPr>
      <w:r>
        <w:t>Advisory Committee Considerations</w:t>
      </w:r>
    </w:p>
    <w:p w:rsidR="008E7846" w:rsidRDefault="00D23139" w:rsidP="00B4261F">
      <w:r w:rsidRPr="00D23139">
        <w:t>The Advisory Committee on Prescription Medicines (ACPM), having considered the evaluations and the Delegate’s overview, as well as the sponsor’s response to these documents, advised the following:</w:t>
      </w:r>
    </w:p>
    <w:p w:rsidR="00586A39" w:rsidRDefault="003011BD" w:rsidP="00B4261F">
      <w:pPr>
        <w:rPr>
          <w:rFonts w:cs="Calibri"/>
          <w:b/>
        </w:rPr>
      </w:pPr>
      <w:r w:rsidRPr="002E1AEE">
        <w:rPr>
          <w:rFonts w:cs="Calibri"/>
        </w:rPr>
        <w:t xml:space="preserve">The ACPM, taking into account the submitted evidence of efficacy, safety and quality, agreed with the </w:t>
      </w:r>
      <w:r w:rsidR="00713B47">
        <w:rPr>
          <w:rFonts w:cs="Calibri"/>
        </w:rPr>
        <w:t>D</w:t>
      </w:r>
      <w:r w:rsidRPr="002E1AEE">
        <w:rPr>
          <w:rFonts w:cs="Calibri"/>
        </w:rPr>
        <w:t xml:space="preserve">elegate and considered </w:t>
      </w:r>
      <w:r w:rsidR="005A6D01">
        <w:rPr>
          <w:noProof/>
        </w:rPr>
        <w:t>Descovy</w:t>
      </w:r>
      <w:r w:rsidRPr="00C7694B">
        <w:t xml:space="preserve"> </w:t>
      </w:r>
      <w:r w:rsidRPr="00C7694B">
        <w:rPr>
          <w:noProof/>
        </w:rPr>
        <w:t>tablet</w:t>
      </w:r>
      <w:r w:rsidRPr="00C7694B">
        <w:t xml:space="preserve"> containing </w:t>
      </w:r>
      <w:r w:rsidRPr="00C7694B">
        <w:rPr>
          <w:noProof/>
        </w:rPr>
        <w:t xml:space="preserve">200 mg emtricitabine/ </w:t>
      </w:r>
      <w:r w:rsidRPr="00C7694B">
        <w:rPr>
          <w:noProof/>
        </w:rPr>
        <w:lastRenderedPageBreak/>
        <w:t>10 mg tenofovir alafenamide fumarate and 200 mg emtricitabine/ 25 mg tenofovir alafenamide fumarate</w:t>
      </w:r>
      <w:r w:rsidRPr="00C7694B">
        <w:t xml:space="preserve"> </w:t>
      </w:r>
      <w:r w:rsidRPr="002E1AEE">
        <w:rPr>
          <w:rFonts w:cs="Calibri"/>
        </w:rPr>
        <w:t>to have an overall positive benefit–risk profile for the amended indication</w:t>
      </w:r>
      <w:r w:rsidR="00586A39">
        <w:rPr>
          <w:rFonts w:cs="Calibri"/>
          <w:b/>
        </w:rPr>
        <w:t>;</w:t>
      </w:r>
    </w:p>
    <w:p w:rsidR="003011BD" w:rsidRPr="00B4261F" w:rsidRDefault="005A6D01" w:rsidP="00713B47">
      <w:pPr>
        <w:ind w:left="720"/>
        <w:rPr>
          <w:rFonts w:cs="Calibri"/>
          <w:i/>
          <w:noProof/>
        </w:rPr>
      </w:pPr>
      <w:r w:rsidRPr="00713B47">
        <w:rPr>
          <w:i/>
        </w:rPr>
        <w:t>Descovy</w:t>
      </w:r>
      <w:r w:rsidR="003011BD" w:rsidRPr="00B4261F">
        <w:rPr>
          <w:i/>
        </w:rPr>
        <w:t xml:space="preserve"> is indicated, in combination with other antiretroviral agents, for the treatment of HIV-1 infection in adults and adolescents aged 12 years of age and older with body weight at least 35 kg. The patients must not have a history of treatment failure or known mutations associated with resistance to tenofovir.</w:t>
      </w:r>
    </w:p>
    <w:p w:rsidR="003011BD" w:rsidRPr="00B4261F" w:rsidRDefault="005A6D01" w:rsidP="00713B47">
      <w:pPr>
        <w:ind w:left="720"/>
        <w:rPr>
          <w:rFonts w:cs="Arial"/>
          <w:bCs/>
          <w:i/>
          <w:iCs/>
          <w:noProof/>
          <w:color w:val="FF0000"/>
        </w:rPr>
      </w:pPr>
      <w:r w:rsidRPr="00B4261F">
        <w:rPr>
          <w:rFonts w:cs="Arial"/>
          <w:bCs/>
          <w:i/>
          <w:iCs/>
          <w:noProof/>
        </w:rPr>
        <w:t>Descovy</w:t>
      </w:r>
      <w:r w:rsidR="003011BD" w:rsidRPr="00B4261F">
        <w:rPr>
          <w:rFonts w:cs="Arial"/>
          <w:bCs/>
          <w:i/>
          <w:iCs/>
          <w:noProof/>
        </w:rPr>
        <w:t xml:space="preserve"> is not for use in Pre-Exposure Prophylaxis (PrEP).</w:t>
      </w:r>
    </w:p>
    <w:p w:rsidR="003011BD" w:rsidRPr="002848CC" w:rsidRDefault="003011BD" w:rsidP="00B4261F">
      <w:r w:rsidRPr="002848CC">
        <w:t>In maki</w:t>
      </w:r>
      <w:r>
        <w:t>ng this recommendation the ACPM:</w:t>
      </w:r>
    </w:p>
    <w:p w:rsidR="003011BD" w:rsidRPr="008C79C1" w:rsidRDefault="003011BD" w:rsidP="00AA3643">
      <w:pPr>
        <w:pStyle w:val="ListBullet"/>
      </w:pPr>
      <w:r>
        <w:t>Advised that b</w:t>
      </w:r>
      <w:r w:rsidRPr="008F7054">
        <w:t xml:space="preserve">ioequivalence and </w:t>
      </w:r>
      <w:r>
        <w:t>efficacy data</w:t>
      </w:r>
      <w:r w:rsidRPr="008F7054">
        <w:t xml:space="preserve"> from the </w:t>
      </w:r>
      <w:r w:rsidR="00AA3643">
        <w:t>Genvoya</w:t>
      </w:r>
      <w:r w:rsidRPr="008F7054">
        <w:t xml:space="preserve"> data set</w:t>
      </w:r>
      <w:r>
        <w:t>, supported by pharmacokinetic data</w:t>
      </w:r>
      <w:r w:rsidRPr="008F7054">
        <w:t xml:space="preserve"> and </w:t>
      </w:r>
      <w:r>
        <w:t xml:space="preserve">efficacy </w:t>
      </w:r>
      <w:r w:rsidRPr="008F7054">
        <w:t>data from the switch study</w:t>
      </w:r>
      <w:r>
        <w:t xml:space="preserve"> are sufficient to support use of </w:t>
      </w:r>
      <w:r w:rsidR="005A6D01">
        <w:t>Descovy</w:t>
      </w:r>
      <w:r w:rsidRPr="008F7054">
        <w:t xml:space="preserve">. </w:t>
      </w:r>
      <w:r>
        <w:t xml:space="preserve">In addition the </w:t>
      </w:r>
      <w:r w:rsidRPr="008F7054">
        <w:t xml:space="preserve">bridging PK data, and the extrapolation of </w:t>
      </w:r>
      <w:r w:rsidR="00AA3643">
        <w:t>Genvoya</w:t>
      </w:r>
      <w:r w:rsidRPr="008F7054">
        <w:t xml:space="preserve"> data </w:t>
      </w:r>
      <w:r>
        <w:t xml:space="preserve">support use in </w:t>
      </w:r>
      <w:r w:rsidRPr="008F7054">
        <w:t>adolescent</w:t>
      </w:r>
      <w:r>
        <w:t>s</w:t>
      </w:r>
    </w:p>
    <w:p w:rsidR="003011BD" w:rsidRPr="003A30D5" w:rsidRDefault="003011BD" w:rsidP="00AA3643">
      <w:pPr>
        <w:pStyle w:val="ListBullet"/>
      </w:pPr>
      <w:r>
        <w:t xml:space="preserve">Noted that in the </w:t>
      </w:r>
      <w:r w:rsidR="00AA3643">
        <w:t>Genvoya</w:t>
      </w:r>
      <w:r>
        <w:t xml:space="preserve"> data set, tenofovir alafenamide (TAF) produced equivalent viral suppression to well established tenofovir </w:t>
      </w:r>
      <w:r w:rsidRPr="005F4752">
        <w:t>disoproxil fumarate</w:t>
      </w:r>
      <w:r>
        <w:t>.</w:t>
      </w:r>
    </w:p>
    <w:p w:rsidR="003011BD" w:rsidRDefault="003011BD" w:rsidP="00AA3643">
      <w:pPr>
        <w:pStyle w:val="ListBullet"/>
      </w:pPr>
      <w:r>
        <w:t>Was of the view that the effect of food on the bioavailability of TAF was clinically acceptable. The ACPM noted that the effect of food/fasting upon any third/fourth drug was likely to be of more concern.</w:t>
      </w:r>
    </w:p>
    <w:p w:rsidR="003011BD" w:rsidRDefault="003011BD" w:rsidP="00AA3643">
      <w:pPr>
        <w:pStyle w:val="ListBullet"/>
      </w:pPr>
      <w:r>
        <w:t xml:space="preserve">Advised that it would be more appropriate if the indication specified that patients must not have a history of treatment failure or known mutations associated with resistance to tenofovir rather than components of </w:t>
      </w:r>
      <w:r w:rsidR="005A6D01">
        <w:t>Descovy</w:t>
      </w:r>
      <w:r>
        <w:t>.</w:t>
      </w:r>
    </w:p>
    <w:p w:rsidR="003011BD" w:rsidRDefault="003011BD" w:rsidP="00AA3643">
      <w:pPr>
        <w:pStyle w:val="ListBullet"/>
      </w:pPr>
      <w:r>
        <w:t xml:space="preserve">Agreed that the indication should specify that </w:t>
      </w:r>
      <w:r w:rsidR="005A6D01">
        <w:t>Descovy</w:t>
      </w:r>
      <w:r>
        <w:t xml:space="preserve"> should not be used for PrEP as there are no data to support the use of this formulation.</w:t>
      </w:r>
    </w:p>
    <w:p w:rsidR="003011BD" w:rsidRPr="008F7054" w:rsidRDefault="003011BD" w:rsidP="00662E2E">
      <w:pPr>
        <w:pStyle w:val="Heading5"/>
        <w:rPr>
          <w:iCs/>
        </w:rPr>
      </w:pPr>
      <w:r w:rsidRPr="00D724FC">
        <w:t>Proposed conditions of registration</w:t>
      </w:r>
    </w:p>
    <w:p w:rsidR="00586A39" w:rsidRDefault="003011BD" w:rsidP="003011BD">
      <w:pPr>
        <w:spacing w:after="0" w:line="240" w:lineRule="auto"/>
        <w:rPr>
          <w:bCs/>
        </w:rPr>
      </w:pPr>
      <w:r w:rsidRPr="002848CC">
        <w:rPr>
          <w:bCs/>
        </w:rPr>
        <w:t xml:space="preserve">The ACPM agreed with the </w:t>
      </w:r>
      <w:r w:rsidR="00AA3643">
        <w:rPr>
          <w:bCs/>
        </w:rPr>
        <w:t>D</w:t>
      </w:r>
      <w:r w:rsidRPr="002848CC">
        <w:rPr>
          <w:bCs/>
        </w:rPr>
        <w:t>elegate on the proposed conditions of registration</w:t>
      </w:r>
      <w:r w:rsidR="00586A39">
        <w:rPr>
          <w:bCs/>
        </w:rPr>
        <w:t>.</w:t>
      </w:r>
    </w:p>
    <w:p w:rsidR="003011BD" w:rsidRPr="00D724FC" w:rsidRDefault="003011BD" w:rsidP="00662E2E">
      <w:pPr>
        <w:pStyle w:val="Heading5"/>
        <w:rPr>
          <w:u w:val="single"/>
        </w:rPr>
      </w:pPr>
      <w:r w:rsidRPr="00D724FC">
        <w:t>Proposed Product Information (PI)/Consumer Medicine Information (CMI) amendments</w:t>
      </w:r>
    </w:p>
    <w:p w:rsidR="00586A39" w:rsidRDefault="003011BD" w:rsidP="003011BD">
      <w:pPr>
        <w:spacing w:after="0"/>
        <w:rPr>
          <w:bCs/>
        </w:rPr>
      </w:pPr>
      <w:r w:rsidRPr="00982A78">
        <w:rPr>
          <w:bCs/>
        </w:rPr>
        <w:t xml:space="preserve">The ACPM agreed with the </w:t>
      </w:r>
      <w:r w:rsidR="00EF064E">
        <w:rPr>
          <w:bCs/>
        </w:rPr>
        <w:t>D</w:t>
      </w:r>
      <w:r w:rsidRPr="00982A78">
        <w:rPr>
          <w:bCs/>
        </w:rPr>
        <w:t>elegate to the proposed amendments to the Product Information (PI) and Consumer Medicine Information (CMI) and specifically advised on the inclusion of the following</w:t>
      </w:r>
      <w:r w:rsidR="00586A39">
        <w:rPr>
          <w:bCs/>
        </w:rPr>
        <w:t>:</w:t>
      </w:r>
    </w:p>
    <w:p w:rsidR="00586A39" w:rsidRDefault="003011BD" w:rsidP="00B4261F">
      <w:pPr>
        <w:pStyle w:val="ListBullet"/>
      </w:pPr>
      <w:r w:rsidRPr="00B4261F">
        <w:t>A statement in the Dosage and Administration section reflecting choice of dose according to use of third/subsequent additional agents and inclusion of Table 1 ‘</w:t>
      </w:r>
      <w:r w:rsidRPr="00713B47">
        <w:rPr>
          <w:i/>
        </w:rPr>
        <w:t>Dose of Descovy according to third agent in the HIV treatment regimen</w:t>
      </w:r>
      <w:r w:rsidRPr="00B4261F">
        <w:t>’ under Posology and method of administration from the European Summary of Product Characteristics</w:t>
      </w:r>
      <w:r w:rsidR="00586A39">
        <w:t>.</w:t>
      </w:r>
    </w:p>
    <w:p w:rsidR="003011BD" w:rsidRPr="00B4261F" w:rsidRDefault="003011BD" w:rsidP="00B4261F">
      <w:pPr>
        <w:pStyle w:val="ListBullet"/>
      </w:pPr>
      <w:r w:rsidRPr="00B4261F">
        <w:t>Amend the following statement in the PI regarding risk of HIV transmission: ‘</w:t>
      </w:r>
      <w:r w:rsidRPr="00713B47">
        <w:rPr>
          <w:i/>
        </w:rPr>
        <w:t xml:space="preserve">Patients should be advised that antiretroviral therapies, including </w:t>
      </w:r>
      <w:r w:rsidR="005A6D01" w:rsidRPr="00713B47">
        <w:rPr>
          <w:i/>
        </w:rPr>
        <w:t>Descovy</w:t>
      </w:r>
      <w:r w:rsidRPr="00713B47">
        <w:rPr>
          <w:i/>
        </w:rPr>
        <w:t>, have not been proven to prevent the risk of transmission of HIV</w:t>
      </w:r>
      <w:r w:rsidRPr="00B4261F">
        <w:t>’ and replace with the following from the European Summary of Product Characteristics: ‘</w:t>
      </w:r>
      <w:r w:rsidRPr="00713B47">
        <w:rPr>
          <w:i/>
        </w:rPr>
        <w:t>While effective viral suppression with antiretroviral therapy has been proven to substantially reduce the risk of sexual transmission, a residual risk cannot be excluded</w:t>
      </w:r>
      <w:r w:rsidRPr="00B4261F">
        <w:t>.’</w:t>
      </w:r>
    </w:p>
    <w:p w:rsidR="00586A39" w:rsidRDefault="003011BD" w:rsidP="00B4261F">
      <w:pPr>
        <w:pStyle w:val="ListBullet"/>
      </w:pPr>
      <w:r w:rsidRPr="00B4261F">
        <w:t>Up-date the Drug interactions section of the PI with the missing information on dolutegravir, rilpivirine, efavirenz and anti-hepatitis C medications similar to Table 2 ‘</w:t>
      </w:r>
      <w:r w:rsidR="00EF064E" w:rsidRPr="00B4261F">
        <w:t>Interactions Between The Individual Components Of Descovy And Other Medicinal Products</w:t>
      </w:r>
      <w:r w:rsidRPr="00B4261F">
        <w:t>’ under Interaction with other medicinal products and other forms of interaction: Other Interactions as per the European Summary of Product Characteristics</w:t>
      </w:r>
      <w:r w:rsidR="00586A39">
        <w:t>.</w:t>
      </w:r>
    </w:p>
    <w:p w:rsidR="003011BD" w:rsidRPr="00B4261F" w:rsidRDefault="003011BD" w:rsidP="00B4261F">
      <w:pPr>
        <w:pStyle w:val="ListBullet"/>
      </w:pPr>
      <w:r w:rsidRPr="00B4261F">
        <w:lastRenderedPageBreak/>
        <w:t xml:space="preserve">Under Renal Impairment add a statement advising estimated creatinine clearance, urine glucose, and urine protein should be measured prior to starting </w:t>
      </w:r>
      <w:r w:rsidR="005A6D01" w:rsidRPr="00B4261F">
        <w:t>Descovy</w:t>
      </w:r>
      <w:r w:rsidRPr="00B4261F">
        <w:t>, and should be monitored routinely during treatment. In addition, serum phosphate should be routinely measured in patients with chronic kidney disease.</w:t>
      </w:r>
    </w:p>
    <w:p w:rsidR="003011BD" w:rsidRPr="00D724FC" w:rsidRDefault="00662E2E" w:rsidP="00EF064E">
      <w:pPr>
        <w:pStyle w:val="Heading5"/>
        <w:rPr>
          <w:highlight w:val="yellow"/>
        </w:rPr>
      </w:pPr>
      <w:r>
        <w:t>Specific a</w:t>
      </w:r>
      <w:r w:rsidR="003011BD" w:rsidRPr="00D724FC">
        <w:t>dvice</w:t>
      </w:r>
    </w:p>
    <w:p w:rsidR="003011BD" w:rsidRPr="008F7054" w:rsidRDefault="003011BD" w:rsidP="003011BD">
      <w:pPr>
        <w:rPr>
          <w:b/>
          <w:bCs/>
          <w:iCs/>
        </w:rPr>
      </w:pPr>
      <w:r w:rsidRPr="008F7054">
        <w:rPr>
          <w:rFonts w:cs="Arial"/>
        </w:rPr>
        <w:t xml:space="preserve">The ACPM advised the following in response to the </w:t>
      </w:r>
      <w:r w:rsidR="00EF064E">
        <w:rPr>
          <w:rFonts w:cs="Arial"/>
        </w:rPr>
        <w:t>D</w:t>
      </w:r>
      <w:r w:rsidRPr="008F7054">
        <w:rPr>
          <w:rFonts w:cs="Arial"/>
        </w:rPr>
        <w:t>elegate’s specific questions on this submission:</w:t>
      </w:r>
    </w:p>
    <w:p w:rsidR="003011BD" w:rsidRPr="008F7054" w:rsidRDefault="003011BD" w:rsidP="008342C8">
      <w:pPr>
        <w:pStyle w:val="Numberbullet0"/>
        <w:numPr>
          <w:ilvl w:val="0"/>
          <w:numId w:val="12"/>
        </w:numPr>
        <w:rPr>
          <w:noProof/>
        </w:rPr>
      </w:pPr>
      <w:r w:rsidRPr="008F7054">
        <w:rPr>
          <w:noProof/>
        </w:rPr>
        <w:t xml:space="preserve">Does the </w:t>
      </w:r>
      <w:r w:rsidR="00713B47">
        <w:rPr>
          <w:noProof/>
        </w:rPr>
        <w:t>c</w:t>
      </w:r>
      <w:r w:rsidRPr="008F7054">
        <w:rPr>
          <w:noProof/>
        </w:rPr>
        <w:t xml:space="preserve">ommittee consider the totality of evidence, including principal reliance on </w:t>
      </w:r>
      <w:r w:rsidR="00AA3643">
        <w:rPr>
          <w:noProof/>
        </w:rPr>
        <w:t>Genvoya</w:t>
      </w:r>
      <w:r w:rsidRPr="008F7054">
        <w:rPr>
          <w:noProof/>
        </w:rPr>
        <w:t xml:space="preserve"> dossier but with significant additional data specific to the current submission, sufficient to support the use </w:t>
      </w:r>
      <w:r w:rsidR="005A6D01">
        <w:rPr>
          <w:noProof/>
        </w:rPr>
        <w:t>Descovy</w:t>
      </w:r>
      <w:r w:rsidRPr="008F7054">
        <w:rPr>
          <w:noProof/>
        </w:rPr>
        <w:t>, including use in adolescents aged 12 years and above?</w:t>
      </w:r>
    </w:p>
    <w:p w:rsidR="003011BD" w:rsidRPr="008F7054" w:rsidRDefault="003011BD" w:rsidP="00B4261F">
      <w:pPr>
        <w:rPr>
          <w:noProof/>
        </w:rPr>
      </w:pPr>
      <w:r>
        <w:t>The ACPM advised that b</w:t>
      </w:r>
      <w:r w:rsidRPr="008F7054">
        <w:t xml:space="preserve">ioequivalence and </w:t>
      </w:r>
      <w:r>
        <w:t>efficacy data</w:t>
      </w:r>
      <w:r w:rsidRPr="008F7054">
        <w:t xml:space="preserve"> from the </w:t>
      </w:r>
      <w:r w:rsidR="00AA3643">
        <w:t>Genvoya</w:t>
      </w:r>
      <w:r w:rsidRPr="008F7054">
        <w:t xml:space="preserve"> data set</w:t>
      </w:r>
      <w:r>
        <w:t>, supported by pharmacokinetic data</w:t>
      </w:r>
      <w:r w:rsidRPr="008F7054">
        <w:t xml:space="preserve"> and </w:t>
      </w:r>
      <w:r>
        <w:t xml:space="preserve">efficacy </w:t>
      </w:r>
      <w:r w:rsidRPr="008F7054">
        <w:t>data from the switch study</w:t>
      </w:r>
      <w:r>
        <w:t xml:space="preserve"> are sufficient to support use of </w:t>
      </w:r>
      <w:r w:rsidR="005A6D01">
        <w:t>Descovy</w:t>
      </w:r>
      <w:r w:rsidRPr="008F7054">
        <w:t xml:space="preserve">. </w:t>
      </w:r>
      <w:r>
        <w:t xml:space="preserve">In addition the </w:t>
      </w:r>
      <w:r w:rsidRPr="008F7054">
        <w:t xml:space="preserve">bridging PK data and the extrapolation of </w:t>
      </w:r>
      <w:r w:rsidR="00AA3643">
        <w:t>Genvoya</w:t>
      </w:r>
      <w:r w:rsidRPr="008F7054">
        <w:t xml:space="preserve"> data </w:t>
      </w:r>
      <w:r>
        <w:t xml:space="preserve">support use in </w:t>
      </w:r>
      <w:r w:rsidRPr="008F7054">
        <w:t>adolescent</w:t>
      </w:r>
      <w:r>
        <w:t>s</w:t>
      </w:r>
      <w:r w:rsidRPr="008F7054">
        <w:t>.</w:t>
      </w:r>
    </w:p>
    <w:p w:rsidR="003011BD" w:rsidRPr="008F7054" w:rsidRDefault="003011BD" w:rsidP="00B4261F">
      <w:pPr>
        <w:pStyle w:val="Numberbullet0"/>
        <w:rPr>
          <w:noProof/>
        </w:rPr>
      </w:pPr>
      <w:r w:rsidRPr="008F7054">
        <w:rPr>
          <w:noProof/>
        </w:rPr>
        <w:t xml:space="preserve">Does the </w:t>
      </w:r>
      <w:r w:rsidR="00713B47">
        <w:rPr>
          <w:noProof/>
        </w:rPr>
        <w:t>c</w:t>
      </w:r>
      <w:r w:rsidRPr="008F7054">
        <w:rPr>
          <w:noProof/>
        </w:rPr>
        <w:t xml:space="preserve">ommittee support the exclusion of </w:t>
      </w:r>
      <w:r w:rsidR="00EF064E">
        <w:rPr>
          <w:noProof/>
        </w:rPr>
        <w:t>‘</w:t>
      </w:r>
      <w:r w:rsidRPr="008F7054">
        <w:rPr>
          <w:noProof/>
        </w:rPr>
        <w:t>patients with history or treatment failure</w:t>
      </w:r>
      <w:r w:rsidR="00EF064E">
        <w:rPr>
          <w:noProof/>
        </w:rPr>
        <w:t>’</w:t>
      </w:r>
      <w:r w:rsidRPr="008F7054">
        <w:rPr>
          <w:noProof/>
        </w:rPr>
        <w:t xml:space="preserve"> in the therapeutic indication or prefer a broader indication as proposed by the sponsor?</w:t>
      </w:r>
    </w:p>
    <w:p w:rsidR="00586A39" w:rsidRDefault="003011BD" w:rsidP="00B4261F">
      <w:r>
        <w:t xml:space="preserve">The ACPM advised </w:t>
      </w:r>
      <w:r w:rsidRPr="008F7054">
        <w:t>studies</w:t>
      </w:r>
      <w:r>
        <w:t xml:space="preserve"> were performed in </w:t>
      </w:r>
      <w:r w:rsidRPr="008F7054">
        <w:t xml:space="preserve">treatment naive populations or drug-agent switching in already virologically suppressed populations on stable </w:t>
      </w:r>
      <w:r>
        <w:t>anti-retroviral (</w:t>
      </w:r>
      <w:r w:rsidRPr="008F7054">
        <w:t>ARV</w:t>
      </w:r>
      <w:r>
        <w:t>) treatment. As resistance mutations may be archived,</w:t>
      </w:r>
      <w:r w:rsidRPr="008F7054">
        <w:t xml:space="preserve"> a history of ARV treatment failure </w:t>
      </w:r>
      <w:r>
        <w:t xml:space="preserve">to tenofovir </w:t>
      </w:r>
      <w:r w:rsidRPr="008F7054">
        <w:t>should be</w:t>
      </w:r>
      <w:r w:rsidRPr="00B441E0">
        <w:t xml:space="preserve"> </w:t>
      </w:r>
      <w:r>
        <w:t xml:space="preserve">specifically listed as </w:t>
      </w:r>
      <w:proofErr w:type="gramStart"/>
      <w:r>
        <w:t>an exclusion</w:t>
      </w:r>
      <w:proofErr w:type="gramEnd"/>
      <w:r>
        <w:t xml:space="preserve"> along with resistance mutations</w:t>
      </w:r>
      <w:r w:rsidR="00586A39">
        <w:t>.</w:t>
      </w:r>
    </w:p>
    <w:p w:rsidR="003011BD" w:rsidRDefault="003011BD" w:rsidP="00B4261F">
      <w:pPr>
        <w:rPr>
          <w:noProof/>
        </w:rPr>
      </w:pPr>
      <w:r w:rsidRPr="008F7054">
        <w:rPr>
          <w:noProof/>
        </w:rPr>
        <w:t>The Committee is also requested to provide advice on any other issues that it thinks may be relevant to a decision including recommendations for the Australian PI.</w:t>
      </w:r>
    </w:p>
    <w:p w:rsidR="00586A39" w:rsidRDefault="003011BD" w:rsidP="00B4261F">
      <w:pPr>
        <w:pStyle w:val="ListBullet"/>
        <w:rPr>
          <w:noProof/>
        </w:rPr>
      </w:pPr>
      <w:r w:rsidRPr="002E1AEE">
        <w:rPr>
          <w:noProof/>
        </w:rPr>
        <w:t>See Proposed Product Info</w:t>
      </w:r>
      <w:r w:rsidR="00713B47">
        <w:rPr>
          <w:noProof/>
        </w:rPr>
        <w:t>r</w:t>
      </w:r>
      <w:r w:rsidRPr="002E1AEE">
        <w:rPr>
          <w:noProof/>
        </w:rPr>
        <w:t>mation/Consumer Medication Information amendments</w:t>
      </w:r>
      <w:r w:rsidR="00586A39">
        <w:rPr>
          <w:noProof/>
        </w:rPr>
        <w:t>.</w:t>
      </w:r>
    </w:p>
    <w:p w:rsidR="003011BD" w:rsidRPr="00A322B3" w:rsidRDefault="003011BD" w:rsidP="00B4261F">
      <w:r w:rsidRPr="002848CC">
        <w:t>The ACPM advised that implementation by the sponsor of the recommendations outlined above to the satisfaction of the TGA, in addition to the evidence of efficacy and safety provided would support the safe an</w:t>
      </w:r>
      <w:r>
        <w:t>d effective use of these products.</w:t>
      </w:r>
    </w:p>
    <w:p w:rsidR="008E7846" w:rsidRPr="002E238E" w:rsidRDefault="008E7846" w:rsidP="008E7846">
      <w:pPr>
        <w:pStyle w:val="Heading3"/>
      </w:pPr>
      <w:bookmarkStart w:id="199" w:name="_Toc247691532"/>
      <w:bookmarkStart w:id="200" w:name="_Toc314842516"/>
      <w:bookmarkStart w:id="201" w:name="_Toc470175497"/>
      <w:bookmarkEnd w:id="123"/>
      <w:bookmarkEnd w:id="197"/>
      <w:bookmarkEnd w:id="198"/>
      <w:r>
        <w:t>Outcome</w:t>
      </w:r>
      <w:bookmarkEnd w:id="199"/>
      <w:bookmarkEnd w:id="200"/>
      <w:bookmarkEnd w:id="201"/>
    </w:p>
    <w:p w:rsidR="00D23139" w:rsidRPr="00D23139" w:rsidRDefault="00D23139" w:rsidP="00531332">
      <w:bookmarkStart w:id="202" w:name="_Toc247691533"/>
      <w:bookmarkStart w:id="203" w:name="_Toc314842517"/>
      <w:r w:rsidRPr="00D23139">
        <w:t xml:space="preserve">Based on a review of quality, safety and efficacy, TGA approved the registration of </w:t>
      </w:r>
      <w:r w:rsidR="00D508DB">
        <w:t>Descovy 200 mg/25 mg (200 mg emtricitabine/2</w:t>
      </w:r>
      <w:r w:rsidR="00E04BFC">
        <w:t>5</w:t>
      </w:r>
      <w:r w:rsidR="00531332">
        <w:t xml:space="preserve"> </w:t>
      </w:r>
      <w:r w:rsidR="00E04BFC">
        <w:t>mg</w:t>
      </w:r>
      <w:r w:rsidR="00D508DB">
        <w:t xml:space="preserve"> tenofovir</w:t>
      </w:r>
      <w:r w:rsidR="00B4261F">
        <w:t xml:space="preserve"> </w:t>
      </w:r>
      <w:r w:rsidR="00D508DB">
        <w:t>alafenamide) and 200 mg/10 mg (200 mg emtricitabine/10 mg tenofovir alafenamide) tablets</w:t>
      </w:r>
      <w:r w:rsidRPr="00D23139">
        <w:t>, indicated for:</w:t>
      </w:r>
    </w:p>
    <w:p w:rsidR="00D508DB" w:rsidRPr="00B4261F" w:rsidRDefault="00D508DB" w:rsidP="00B4261F">
      <w:pPr>
        <w:ind w:left="720"/>
        <w:rPr>
          <w:i/>
        </w:rPr>
      </w:pPr>
      <w:r w:rsidRPr="00B4261F">
        <w:rPr>
          <w:i/>
        </w:rPr>
        <w:t>Descovy is indicated in combination with other antiretroviral agents for the treatment of HIV-1 infection in adults and adolescents aged 12 years and older with body weight at least 35 kg. The patients must not have a history of treatment failure or known mutations associated with resistance to the individual components o</w:t>
      </w:r>
      <w:r w:rsidR="005A6D01" w:rsidRPr="00B4261F">
        <w:rPr>
          <w:i/>
        </w:rPr>
        <w:t xml:space="preserve">f </w:t>
      </w:r>
      <w:r w:rsidRPr="00B4261F">
        <w:rPr>
          <w:i/>
        </w:rPr>
        <w:t>Descovy (see Pharmacology).</w:t>
      </w:r>
    </w:p>
    <w:p w:rsidR="00D508DB" w:rsidRPr="00B4261F" w:rsidRDefault="00D508DB" w:rsidP="00B4261F">
      <w:pPr>
        <w:ind w:left="720"/>
        <w:rPr>
          <w:i/>
        </w:rPr>
      </w:pPr>
      <w:r w:rsidRPr="00B4261F">
        <w:rPr>
          <w:i/>
        </w:rPr>
        <w:t>Descovy is not for use in Pre‐Exposure Prophylaxis (PrEP).</w:t>
      </w:r>
    </w:p>
    <w:p w:rsidR="00D23139" w:rsidRPr="00D23139" w:rsidRDefault="00D23139" w:rsidP="00D23139">
      <w:pPr>
        <w:pStyle w:val="Heading4"/>
      </w:pPr>
      <w:r w:rsidRPr="00D23139">
        <w:t>Specific conditions of registration applying to these goods</w:t>
      </w:r>
    </w:p>
    <w:p w:rsidR="00D23139" w:rsidRPr="005A6D01" w:rsidRDefault="00D508DB" w:rsidP="00B4261F">
      <w:r w:rsidRPr="005A6D01">
        <w:t>The Descovy fixed dose combination tablets of (emtricitabine/ tenofovir alafenamide fumarate) Risk Management Plan (RMP), the European Risk Management Plan (Version: 0.1, dated 1 April 2015), as qualified by the Australian Specific Annex (Version: 0.2, dated January 2016), included with submission PM-2015-01283-1-2, and any subsequent revisions, as agreed with the TGA will be implemented in Australia.</w:t>
      </w:r>
    </w:p>
    <w:p w:rsidR="008E7846" w:rsidRDefault="00A80B5B" w:rsidP="00D23139">
      <w:pPr>
        <w:pStyle w:val="Heading2"/>
      </w:pPr>
      <w:bookmarkStart w:id="204" w:name="_Toc470175498"/>
      <w:proofErr w:type="gramStart"/>
      <w:r>
        <w:lastRenderedPageBreak/>
        <w:t>Attachment 1.</w:t>
      </w:r>
      <w:proofErr w:type="gramEnd"/>
      <w:r>
        <w:t xml:space="preserve"> </w:t>
      </w:r>
      <w:r w:rsidR="008E7846">
        <w:t xml:space="preserve">Product </w:t>
      </w:r>
      <w:r w:rsidR="00AA0ED0">
        <w:t>I</w:t>
      </w:r>
      <w:r w:rsidR="008E7846">
        <w:t>nformation</w:t>
      </w:r>
      <w:bookmarkEnd w:id="202"/>
      <w:bookmarkEnd w:id="203"/>
      <w:bookmarkEnd w:id="204"/>
    </w:p>
    <w:p w:rsidR="00586A39" w:rsidRDefault="006136D7" w:rsidP="00C80137">
      <w:r w:rsidRPr="002B3624">
        <w:t xml:space="preserve">The </w:t>
      </w:r>
      <w:r>
        <w:t>PI</w:t>
      </w:r>
      <w:r w:rsidRPr="002B3624">
        <w:t xml:space="preserve"> for </w:t>
      </w:r>
      <w:r w:rsidR="00D508DB">
        <w:t>Descovy</w:t>
      </w:r>
      <w:r w:rsidR="0034744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7C6B9B" w:rsidRPr="007C6B9B">
        <w:t>&gt;</w:t>
      </w:r>
      <w:r w:rsidR="00586A39">
        <w:t>.</w:t>
      </w:r>
    </w:p>
    <w:p w:rsidR="005A6D01" w:rsidRDefault="00C80137" w:rsidP="003F669E">
      <w:pPr>
        <w:pStyle w:val="Heading2"/>
        <w:rPr>
          <w:lang w:eastAsia="ja-JP"/>
        </w:rPr>
      </w:pPr>
      <w:bookmarkStart w:id="205" w:name="_Toc470175499"/>
      <w:proofErr w:type="gramStart"/>
      <w:r>
        <w:rPr>
          <w:lang w:eastAsia="en-AU"/>
        </w:rPr>
        <w:t>Attachment 2.</w:t>
      </w:r>
      <w:proofErr w:type="gramEnd"/>
      <w:r w:rsidR="00A80B5B">
        <w:rPr>
          <w:lang w:eastAsia="en-AU"/>
        </w:rPr>
        <w:t xml:space="preserve"> </w:t>
      </w:r>
      <w:r>
        <w:rPr>
          <w:lang w:eastAsia="en-AU"/>
        </w:rPr>
        <w:t>Extract from the Clinical Evaluation Report</w:t>
      </w:r>
      <w:bookmarkEnd w:id="205"/>
    </w:p>
    <w:p w:rsidR="001C32CD" w:rsidRDefault="00AD0083" w:rsidP="00291957">
      <w:pPr>
        <w:rPr>
          <w:lang w:eastAsia="ja-JP"/>
        </w:rPr>
      </w:pPr>
      <w:r>
        <w:rPr>
          <w:lang w:eastAsia="ja-JP"/>
        </w:rPr>
        <w:t xml:space="preserve"> </w:t>
      </w:r>
    </w:p>
    <w:p w:rsidR="00770CAC" w:rsidRDefault="00770CAC" w:rsidP="00291957">
      <w:pPr>
        <w:rPr>
          <w:lang w:eastAsia="ja-JP"/>
        </w:rPr>
      </w:pPr>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6" w:history="1">
              <w:r w:rsidRPr="004C239D">
                <w:rPr>
                  <w:rStyle w:val="Hyperlink"/>
                </w:rPr>
                <w:t>info@tga.gov.au</w:t>
              </w:r>
            </w:hyperlink>
            <w:r w:rsidR="00347444">
              <w:t xml:space="preserve"> </w:t>
            </w:r>
            <w:r w:rsidRPr="00487162">
              <w:t>Phone: 1800 020 653</w:t>
            </w:r>
            <w:r w:rsidR="00347444">
              <w:t xml:space="preserve"> </w:t>
            </w:r>
            <w:r w:rsidRPr="00487162">
              <w:t>Fax: 02 6232 8605</w:t>
            </w:r>
          </w:p>
          <w:p w:rsidR="001C32CD" w:rsidRPr="004C239D" w:rsidRDefault="005C2E24"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A39" w:rsidRDefault="00586A39" w:rsidP="00C40A36">
      <w:pPr>
        <w:spacing w:after="0"/>
      </w:pPr>
      <w:r>
        <w:separator/>
      </w:r>
    </w:p>
  </w:endnote>
  <w:endnote w:type="continuationSeparator" w:id="0">
    <w:p w:rsidR="00586A39" w:rsidRDefault="00586A3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P'F8ø◊ÁÂ">
    <w:altName w:val="Cambria"/>
    <w:panose1 w:val="00000000000000000000"/>
    <w:charset w:val="4D"/>
    <w:family w:val="auto"/>
    <w:notTrueType/>
    <w:pitch w:val="default"/>
    <w:sig w:usb0="00000003" w:usb1="00000000" w:usb2="00000000" w:usb3="00000000" w:csb0="00000001" w:csb1="00000000"/>
  </w:font>
  <w:font w:name="¿øÙø◊7È">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00"/>
    <w:family w:val="roman"/>
    <w:notTrueType/>
    <w:pitch w:val="default"/>
    <w:sig w:usb0="00000003" w:usb1="09070000" w:usb2="00000010" w:usb3="00000000" w:csb0="000A0001" w:csb1="00000000"/>
  </w:font>
  <w:font w:name="TimesNewRomanPSMT">
    <w:altName w:val="Times New Roman"/>
    <w:panose1 w:val="00000000000000000000"/>
    <w:charset w:val="00"/>
    <w:family w:val="roman"/>
    <w:notTrueType/>
    <w:pitch w:val="default"/>
    <w:sig w:usb0="00000003" w:usb1="09070000" w:usb2="00000010" w:usb3="00000000" w:csb0="000A0001" w:csb1="00000000"/>
  </w:font>
  <w:font w:name="TimesNewRomanPS-BoldMT">
    <w:altName w:val="Times New Roman"/>
    <w:panose1 w:val="00000000000000000000"/>
    <w:charset w:val="00"/>
    <w:family w:val="roman"/>
    <w:notTrueType/>
    <w:pitch w:val="default"/>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86A39" w:rsidRPr="00487162" w:rsidTr="00DB750B">
      <w:trPr>
        <w:trHeight w:val="269"/>
      </w:trPr>
      <w:tc>
        <w:tcPr>
          <w:tcW w:w="7371" w:type="dxa"/>
          <w:tcMar>
            <w:top w:w="142" w:type="dxa"/>
            <w:bottom w:w="0" w:type="dxa"/>
          </w:tcMar>
        </w:tcPr>
        <w:p w:rsidR="00586A39" w:rsidRDefault="00586A39" w:rsidP="00EC1D58">
          <w:pPr>
            <w:pStyle w:val="Footer"/>
            <w:rPr>
              <w:rFonts w:asciiTheme="minorHAnsi" w:hAnsiTheme="minorHAnsi" w:cs="Arial"/>
              <w:szCs w:val="17"/>
            </w:rPr>
          </w:pPr>
          <w:r w:rsidRPr="005A6209">
            <w:rPr>
              <w:rFonts w:asciiTheme="minorHAnsi" w:hAnsiTheme="minorHAnsi"/>
              <w:szCs w:val="17"/>
            </w:rPr>
            <w:t>AusPAR Descovy Emtricitabine</w:t>
          </w:r>
          <w:r>
            <w:rPr>
              <w:rFonts w:asciiTheme="minorHAnsi" w:hAnsiTheme="minorHAnsi"/>
              <w:szCs w:val="17"/>
            </w:rPr>
            <w:t>/</w:t>
          </w:r>
          <w:r w:rsidRPr="005A6209">
            <w:rPr>
              <w:rFonts w:asciiTheme="minorHAnsi" w:hAnsiTheme="minorHAnsi"/>
              <w:szCs w:val="17"/>
            </w:rPr>
            <w:t xml:space="preserve">Tenofovir alafenamide (as fumarate) </w:t>
          </w:r>
          <w:r w:rsidRPr="005A6209">
            <w:rPr>
              <w:rFonts w:asciiTheme="minorHAnsi" w:hAnsiTheme="minorHAnsi" w:cs="Arial"/>
              <w:szCs w:val="17"/>
            </w:rPr>
            <w:t xml:space="preserve">Gilead Sciences Pty Ltd </w:t>
          </w:r>
        </w:p>
        <w:p w:rsidR="00586A39" w:rsidRPr="005A6209" w:rsidRDefault="00586A39" w:rsidP="007B2278">
          <w:pPr>
            <w:pStyle w:val="Footer"/>
            <w:rPr>
              <w:rFonts w:asciiTheme="minorHAnsi" w:hAnsiTheme="minorHAnsi"/>
              <w:szCs w:val="17"/>
            </w:rPr>
          </w:pPr>
          <w:r>
            <w:rPr>
              <w:rFonts w:asciiTheme="minorHAnsi" w:hAnsiTheme="minorHAnsi"/>
              <w:szCs w:val="17"/>
            </w:rPr>
            <w:t>PM-2015-01283-1-3 Final 20 December 2016</w:t>
          </w:r>
        </w:p>
      </w:tc>
      <w:tc>
        <w:tcPr>
          <w:tcW w:w="1490" w:type="dxa"/>
          <w:tcMar>
            <w:top w:w="142" w:type="dxa"/>
            <w:bottom w:w="0" w:type="dxa"/>
          </w:tcMar>
        </w:tcPr>
        <w:p w:rsidR="00586A39" w:rsidRPr="00487162" w:rsidRDefault="00586A39" w:rsidP="00DB750B">
          <w:pPr>
            <w:pStyle w:val="Footer"/>
            <w:jc w:val="right"/>
          </w:pPr>
          <w:r w:rsidRPr="00487162">
            <w:t xml:space="preserve">Page </w:t>
          </w:r>
          <w:r>
            <w:fldChar w:fldCharType="begin"/>
          </w:r>
          <w:r>
            <w:instrText xml:space="preserve"> PAGE  \* Arabic </w:instrText>
          </w:r>
          <w:r>
            <w:fldChar w:fldCharType="separate"/>
          </w:r>
          <w:r w:rsidR="005C2E24">
            <w:rPr>
              <w:noProof/>
            </w:rPr>
            <w:t>66</w:t>
          </w:r>
          <w:r>
            <w:fldChar w:fldCharType="end"/>
          </w:r>
          <w:r w:rsidRPr="00487162">
            <w:t xml:space="preserve"> of </w:t>
          </w:r>
          <w:r w:rsidR="005C2E24">
            <w:fldChar w:fldCharType="begin"/>
          </w:r>
          <w:r w:rsidR="005C2E24">
            <w:instrText xml:space="preserve"> NUMPAGES  \* Arabic </w:instrText>
          </w:r>
          <w:r w:rsidR="005C2E24">
            <w:fldChar w:fldCharType="separate"/>
          </w:r>
          <w:r w:rsidR="005C2E24">
            <w:rPr>
              <w:noProof/>
            </w:rPr>
            <w:t>67</w:t>
          </w:r>
          <w:r w:rsidR="005C2E24">
            <w:rPr>
              <w:noProof/>
            </w:rPr>
            <w:fldChar w:fldCharType="end"/>
          </w:r>
        </w:p>
      </w:tc>
    </w:tr>
  </w:tbl>
  <w:p w:rsidR="00586A39" w:rsidRDefault="00586A3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86A39" w:rsidRPr="00487162" w:rsidTr="00E45619">
      <w:trPr>
        <w:trHeight w:val="269"/>
      </w:trPr>
      <w:tc>
        <w:tcPr>
          <w:tcW w:w="4519" w:type="dxa"/>
          <w:tcBorders>
            <w:top w:val="single" w:sz="4" w:space="0" w:color="auto"/>
          </w:tcBorders>
          <w:tcMar>
            <w:top w:w="142" w:type="dxa"/>
            <w:bottom w:w="0" w:type="dxa"/>
          </w:tcMar>
        </w:tcPr>
        <w:p w:rsidR="00586A39" w:rsidRPr="00487162" w:rsidRDefault="00586A39" w:rsidP="00FE1DEE">
          <w:pPr>
            <w:pStyle w:val="Footer"/>
          </w:pPr>
          <w:r w:rsidRPr="00487162">
            <w:t>Document title, Part #, Section # - Section title</w:t>
          </w:r>
        </w:p>
        <w:p w:rsidR="00586A39" w:rsidRPr="00487162" w:rsidRDefault="00586A39" w:rsidP="00FE1DEE">
          <w:pPr>
            <w:pStyle w:val="Footer"/>
          </w:pPr>
          <w:r w:rsidRPr="00487162">
            <w:t>V1.0 October 2010</w:t>
          </w:r>
        </w:p>
      </w:tc>
      <w:tc>
        <w:tcPr>
          <w:tcW w:w="4342" w:type="dxa"/>
          <w:tcBorders>
            <w:top w:val="single" w:sz="4" w:space="0" w:color="auto"/>
          </w:tcBorders>
          <w:tcMar>
            <w:top w:w="142" w:type="dxa"/>
            <w:bottom w:w="0" w:type="dxa"/>
          </w:tcMar>
        </w:tcPr>
        <w:p w:rsidR="00586A39" w:rsidRPr="00487162" w:rsidRDefault="00586A3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C2E24">
            <w:fldChar w:fldCharType="begin"/>
          </w:r>
          <w:r w:rsidR="005C2E24">
            <w:instrText xml:space="preserve"> NUMPAGES  </w:instrText>
          </w:r>
          <w:r w:rsidR="005C2E24">
            <w:fldChar w:fldCharType="separate"/>
          </w:r>
          <w:r>
            <w:rPr>
              <w:noProof/>
            </w:rPr>
            <w:t>1</w:t>
          </w:r>
          <w:r w:rsidR="005C2E24">
            <w:rPr>
              <w:noProof/>
            </w:rPr>
            <w:fldChar w:fldCharType="end"/>
          </w:r>
        </w:p>
      </w:tc>
    </w:tr>
  </w:tbl>
  <w:p w:rsidR="00586A39" w:rsidRDefault="00586A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9" w:rsidRPr="001C32CD" w:rsidRDefault="00586A3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86A39" w:rsidTr="0010601F">
      <w:trPr>
        <w:trHeight w:val="108"/>
      </w:trPr>
      <w:tc>
        <w:tcPr>
          <w:tcW w:w="8875" w:type="dxa"/>
          <w:gridSpan w:val="2"/>
          <w:tcBorders>
            <w:bottom w:val="single" w:sz="4" w:space="0" w:color="auto"/>
          </w:tcBorders>
          <w:tcMar>
            <w:right w:w="284" w:type="dxa"/>
          </w:tcMar>
        </w:tcPr>
        <w:p w:rsidR="00586A39" w:rsidRDefault="00586A39" w:rsidP="006E08B3">
          <w:pPr>
            <w:pStyle w:val="Heading3"/>
          </w:pPr>
          <w:r>
            <w:t>Copyright</w:t>
          </w:r>
        </w:p>
        <w:p w:rsidR="00586A39" w:rsidRDefault="00586A39" w:rsidP="006E08B3">
          <w:r>
            <w:rPr>
              <w:rFonts w:cs="Arial"/>
            </w:rPr>
            <w:t>©</w:t>
          </w:r>
          <w:r>
            <w:t xml:space="preserve"> Commonwealth of Australia [add year]</w:t>
          </w:r>
        </w:p>
        <w:p w:rsidR="00586A39" w:rsidRDefault="00586A39" w:rsidP="006E08B3"/>
        <w:p w:rsidR="00586A39" w:rsidRDefault="00586A3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86A39" w:rsidRDefault="00586A39" w:rsidP="006E08B3"/>
        <w:p w:rsidR="00586A39" w:rsidRDefault="00586A39" w:rsidP="006E08B3">
          <w:pPr>
            <w:pStyle w:val="Heading3"/>
          </w:pPr>
          <w:r>
            <w:t>Confidentiality</w:t>
          </w:r>
        </w:p>
        <w:p w:rsidR="00586A39" w:rsidRDefault="00586A3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86A39" w:rsidRDefault="00586A39" w:rsidP="006E08B3"/>
        <w:p w:rsidR="00586A39" w:rsidRDefault="00586A39" w:rsidP="006E08B3">
          <w:r>
            <w:t>For submission made by individuals, all personal details, other than your name, will be removed from your submission before it is published on the TGA’s Internet site.</w:t>
          </w:r>
        </w:p>
        <w:p w:rsidR="00586A39" w:rsidRDefault="00586A39" w:rsidP="006E08B3"/>
        <w:p w:rsidR="00586A39" w:rsidRDefault="00586A39" w:rsidP="003F7A2A">
          <w:r>
            <w:t>In addition, a list of parties making submissions will be published. If you do not wish to be identified with your submission you must specifically request this in the space provided i the submission coversheet.</w:t>
          </w:r>
        </w:p>
      </w:tc>
    </w:tr>
    <w:tr w:rsidR="00586A39" w:rsidTr="0010601F">
      <w:trPr>
        <w:trHeight w:val="417"/>
      </w:trPr>
      <w:tc>
        <w:tcPr>
          <w:tcW w:w="4519" w:type="dxa"/>
          <w:tcBorders>
            <w:top w:val="single" w:sz="4" w:space="0" w:color="auto"/>
          </w:tcBorders>
          <w:tcMar>
            <w:top w:w="142" w:type="dxa"/>
            <w:bottom w:w="0" w:type="dxa"/>
          </w:tcMar>
        </w:tcPr>
        <w:p w:rsidR="00586A39" w:rsidRDefault="00586A39" w:rsidP="006E08B3">
          <w:r>
            <w:t>Document title, Part #, Section # - Section title</w:t>
          </w:r>
        </w:p>
        <w:p w:rsidR="00586A39" w:rsidRDefault="00586A39" w:rsidP="006E08B3">
          <w:r>
            <w:t>V1.0 October 2010</w:t>
          </w:r>
        </w:p>
      </w:tc>
      <w:tc>
        <w:tcPr>
          <w:tcW w:w="4356" w:type="dxa"/>
          <w:tcBorders>
            <w:top w:val="single" w:sz="4" w:space="0" w:color="auto"/>
          </w:tcBorders>
          <w:tcMar>
            <w:top w:w="142" w:type="dxa"/>
            <w:bottom w:w="0" w:type="dxa"/>
          </w:tcMar>
        </w:tcPr>
        <w:p w:rsidR="00586A39" w:rsidRDefault="00586A3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C2E24">
            <w:fldChar w:fldCharType="begin"/>
          </w:r>
          <w:r w:rsidR="005C2E24">
            <w:instrText xml:space="preserve"> NUMPAGES  \* Arabic </w:instrText>
          </w:r>
          <w:r w:rsidR="005C2E24">
            <w:fldChar w:fldCharType="separate"/>
          </w:r>
          <w:r>
            <w:rPr>
              <w:noProof/>
            </w:rPr>
            <w:t>1</w:t>
          </w:r>
          <w:r w:rsidR="005C2E24">
            <w:rPr>
              <w:noProof/>
            </w:rPr>
            <w:fldChar w:fldCharType="end"/>
          </w:r>
          <w:r>
            <w:t xml:space="preserve"> </w:t>
          </w:r>
        </w:p>
      </w:tc>
    </w:tr>
  </w:tbl>
  <w:p w:rsidR="00586A39" w:rsidRDefault="00586A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A39" w:rsidRDefault="00586A39" w:rsidP="00C40A36">
      <w:pPr>
        <w:spacing w:after="0"/>
      </w:pPr>
      <w:r>
        <w:separator/>
      </w:r>
    </w:p>
  </w:footnote>
  <w:footnote w:type="continuationSeparator" w:id="0">
    <w:p w:rsidR="00586A39" w:rsidRDefault="00586A39" w:rsidP="00C40A36">
      <w:pPr>
        <w:spacing w:after="0"/>
      </w:pPr>
      <w:r>
        <w:continuationSeparator/>
      </w:r>
    </w:p>
  </w:footnote>
  <w:footnote w:id="1">
    <w:p w:rsidR="00586A39" w:rsidRPr="00F634D0" w:rsidRDefault="00586A39">
      <w:pPr>
        <w:pStyle w:val="FootnoteText"/>
        <w:rPr>
          <w:lang w:val="en-US"/>
        </w:rPr>
      </w:pPr>
      <w:r>
        <w:rPr>
          <w:rStyle w:val="FootnoteReference"/>
        </w:rPr>
        <w:footnoteRef/>
      </w:r>
      <w:r>
        <w:t xml:space="preserve"> </w:t>
      </w:r>
      <w:r w:rsidRPr="00452B40">
        <w:t>Gilead Science</w:t>
      </w:r>
      <w:r>
        <w:t>:</w:t>
      </w:r>
      <w:r w:rsidRPr="00452B40">
        <w:t xml:space="preserve"> Genvoya elvitegravir (E)/cobicistat (C)/emtricitabine (F)/TAF fumarate 150/150/200/10 mg tablet (AUST R 233398)</w:t>
      </w:r>
    </w:p>
  </w:footnote>
  <w:footnote w:id="2">
    <w:p w:rsidR="00586A39" w:rsidRDefault="00586A39" w:rsidP="005A6209">
      <w:pPr>
        <w:pStyle w:val="FootnoteText"/>
      </w:pPr>
      <w:r>
        <w:rPr>
          <w:rStyle w:val="FootnoteReference"/>
        </w:rPr>
        <w:footnoteRef/>
      </w:r>
      <w:r>
        <w:t xml:space="preserve"> </w:t>
      </w:r>
      <w:r w:rsidRPr="00267FEF">
        <w:t>https://www.tga.gov.au/publication/best-practice-guideline-prescription-medicine-labelling</w:t>
      </w:r>
    </w:p>
  </w:footnote>
  <w:footnote w:id="3">
    <w:p w:rsidR="00586A39" w:rsidRPr="00A474ED" w:rsidRDefault="00586A39">
      <w:pPr>
        <w:pStyle w:val="FootnoteText"/>
        <w:rPr>
          <w:rFonts w:asciiTheme="minorHAnsi" w:hAnsiTheme="minorHAnsi"/>
          <w:lang w:val="en-US"/>
        </w:rPr>
      </w:pPr>
      <w:r w:rsidRPr="00A474ED">
        <w:rPr>
          <w:rStyle w:val="FootnoteReference"/>
          <w:rFonts w:asciiTheme="minorHAnsi" w:hAnsiTheme="minorHAnsi"/>
        </w:rPr>
        <w:footnoteRef/>
      </w:r>
      <w:r w:rsidRPr="00A474ED">
        <w:rPr>
          <w:rFonts w:asciiTheme="minorHAnsi" w:hAnsiTheme="minorHAnsi"/>
        </w:rPr>
        <w:t xml:space="preserve"> </w:t>
      </w:r>
      <w:r w:rsidRPr="00A474ED">
        <w:rPr>
          <w:rStyle w:val="tgc"/>
          <w:rFonts w:asciiTheme="minorHAnsi" w:hAnsiTheme="minorHAnsi" w:cs="Arial"/>
          <w:color w:val="222222"/>
        </w:rPr>
        <w:t xml:space="preserve">The </w:t>
      </w:r>
      <w:r w:rsidRPr="00A474ED">
        <w:rPr>
          <w:rStyle w:val="tgc"/>
          <w:rFonts w:asciiTheme="minorHAnsi" w:hAnsiTheme="minorHAnsi" w:cs="Arial"/>
          <w:bCs/>
          <w:color w:val="222222"/>
        </w:rPr>
        <w:t>Biopharmaceutics Classification</w:t>
      </w:r>
      <w:r w:rsidRPr="00A474ED">
        <w:rPr>
          <w:rStyle w:val="tgc"/>
          <w:rFonts w:asciiTheme="minorHAnsi" w:hAnsiTheme="minorHAnsi" w:cs="Arial"/>
          <w:color w:val="222222"/>
        </w:rPr>
        <w:t xml:space="preserve"> System is a system to differentiate the drugs on the basis of their solubility and permeability. The solubility </w:t>
      </w:r>
      <w:r w:rsidRPr="00A474ED">
        <w:rPr>
          <w:rStyle w:val="tgc"/>
          <w:rFonts w:asciiTheme="minorHAnsi" w:hAnsiTheme="minorHAnsi" w:cs="Arial"/>
          <w:bCs/>
          <w:color w:val="222222"/>
        </w:rPr>
        <w:t>classification</w:t>
      </w:r>
      <w:r w:rsidRPr="00A474ED">
        <w:rPr>
          <w:rStyle w:val="tgc"/>
          <w:rFonts w:asciiTheme="minorHAnsi" w:hAnsiTheme="minorHAnsi" w:cs="Arial"/>
          <w:color w:val="222222"/>
        </w:rPr>
        <w:t xml:space="preserve"> is based on a United States Pharmacopoeia (USP) aperture.</w:t>
      </w:r>
    </w:p>
  </w:footnote>
  <w:footnote w:id="4">
    <w:p w:rsidR="00586A39" w:rsidRPr="00787586" w:rsidRDefault="00586A39" w:rsidP="0045461D">
      <w:pPr>
        <w:pStyle w:val="Default"/>
        <w:rPr>
          <w:rFonts w:asciiTheme="minorHAnsi" w:hAnsiTheme="minorHAnsi"/>
          <w:sz w:val="18"/>
          <w:szCs w:val="18"/>
        </w:rPr>
      </w:pPr>
      <w:r w:rsidRPr="00787586">
        <w:rPr>
          <w:rStyle w:val="FootnoteReference"/>
          <w:rFonts w:asciiTheme="minorHAnsi" w:hAnsiTheme="minorHAnsi"/>
          <w:sz w:val="18"/>
          <w:szCs w:val="18"/>
        </w:rPr>
        <w:footnoteRef/>
      </w:r>
      <w:r w:rsidRPr="0045461D">
        <w:rPr>
          <w:rFonts w:asciiTheme="minorHAnsi" w:eastAsiaTheme="minorHAnsi" w:hAnsiTheme="minorHAnsi" w:cs="Verdana"/>
          <w:sz w:val="18"/>
          <w:szCs w:val="18"/>
        </w:rPr>
        <w:t>May 2012</w:t>
      </w:r>
      <w:r>
        <w:rPr>
          <w:rFonts w:asciiTheme="minorHAnsi" w:eastAsiaTheme="minorHAnsi" w:hAnsiTheme="minorHAnsi" w:cs="Verdana"/>
          <w:sz w:val="18"/>
          <w:szCs w:val="18"/>
        </w:rPr>
        <w:t xml:space="preserve"> </w:t>
      </w:r>
      <w:r w:rsidRPr="00787586">
        <w:rPr>
          <w:rFonts w:asciiTheme="minorHAnsi" w:eastAsiaTheme="minorHAnsi" w:hAnsiTheme="minorHAnsi" w:cs="Verdana"/>
          <w:sz w:val="18"/>
          <w:szCs w:val="18"/>
        </w:rPr>
        <w:t>EMA/CHMP/ICH/507008/2011</w:t>
      </w:r>
    </w:p>
  </w:footnote>
  <w:footnote w:id="5">
    <w:p w:rsidR="00586A39" w:rsidRPr="00D50C81" w:rsidRDefault="00586A39" w:rsidP="00D50C81">
      <w:pPr>
        <w:rPr>
          <w:sz w:val="18"/>
          <w:szCs w:val="18"/>
          <w:lang w:val="en-US"/>
        </w:rPr>
      </w:pPr>
      <w:r w:rsidRPr="00FC6DC1">
        <w:rPr>
          <w:rStyle w:val="FootnoteReference"/>
          <w:sz w:val="18"/>
          <w:szCs w:val="18"/>
        </w:rPr>
        <w:footnoteRef/>
      </w:r>
      <w:r w:rsidRPr="00FC6DC1">
        <w:rPr>
          <w:sz w:val="18"/>
          <w:szCs w:val="18"/>
        </w:rPr>
        <w:t xml:space="preserve"> </w:t>
      </w:r>
      <w:r w:rsidRPr="00FC6DC1">
        <w:rPr>
          <w:rFonts w:eastAsiaTheme="minorHAnsi"/>
          <w:sz w:val="18"/>
          <w:szCs w:val="18"/>
        </w:rPr>
        <w:t>ICH M3 (R2)</w:t>
      </w:r>
      <w:r>
        <w:rPr>
          <w:rFonts w:eastAsiaTheme="minorHAnsi"/>
          <w:sz w:val="18"/>
          <w:szCs w:val="18"/>
        </w:rPr>
        <w:t xml:space="preserve"> </w:t>
      </w:r>
      <w:r w:rsidRPr="00FC6DC1">
        <w:rPr>
          <w:sz w:val="18"/>
          <w:szCs w:val="18"/>
        </w:rPr>
        <w:t>Guidance</w:t>
      </w:r>
      <w:r w:rsidRPr="00D50C81">
        <w:rPr>
          <w:sz w:val="18"/>
          <w:szCs w:val="18"/>
        </w:rPr>
        <w:t xml:space="preserve"> on nonclinical safety studies for the conduct of human clinical trials and marketing authorization for pharmaceuticals. </w:t>
      </w:r>
    </w:p>
  </w:footnote>
  <w:footnote w:id="6">
    <w:p w:rsidR="00586A39" w:rsidRPr="00797DC0" w:rsidRDefault="00586A39">
      <w:pPr>
        <w:pStyle w:val="FootnoteText"/>
        <w:rPr>
          <w:lang w:val="en-US"/>
        </w:rPr>
      </w:pPr>
      <w:r>
        <w:rPr>
          <w:rStyle w:val="FootnoteReference"/>
        </w:rPr>
        <w:footnoteRef/>
      </w:r>
      <w:r>
        <w:t xml:space="preserve"> Committee for Medicinal Products for Human Use (CHMP) Guideline on the Non-Clinical Development of Fixed Combinations of Medicinal Products (EMEA/CHMP/SWP/258498/2005, January 2008)</w:t>
      </w:r>
    </w:p>
  </w:footnote>
  <w:footnote w:id="7">
    <w:p w:rsidR="00586A39" w:rsidRPr="00B10B7D" w:rsidRDefault="00586A39" w:rsidP="00B10B7D">
      <w:pPr>
        <w:spacing w:before="0" w:after="0" w:line="240" w:lineRule="auto"/>
        <w:outlineLvl w:val="3"/>
        <w:rPr>
          <w:rFonts w:asciiTheme="minorHAnsi" w:eastAsia="Times New Roman" w:hAnsiTheme="minorHAnsi"/>
          <w:sz w:val="18"/>
          <w:szCs w:val="18"/>
          <w:lang w:val="en" w:eastAsia="en-AU"/>
        </w:rPr>
      </w:pPr>
      <w:r w:rsidRPr="00B10B7D">
        <w:rPr>
          <w:rStyle w:val="FootnoteReference"/>
          <w:rFonts w:asciiTheme="minorHAnsi" w:hAnsiTheme="minorHAnsi"/>
          <w:sz w:val="18"/>
          <w:szCs w:val="18"/>
        </w:rPr>
        <w:footnoteRef/>
      </w:r>
      <w:r w:rsidRPr="00B10B7D">
        <w:rPr>
          <w:rFonts w:asciiTheme="minorHAnsi" w:eastAsia="Times New Roman" w:hAnsiTheme="minorHAnsi"/>
          <w:bCs/>
          <w:color w:val="00264C"/>
          <w:sz w:val="18"/>
          <w:szCs w:val="18"/>
          <w:lang w:val="en" w:eastAsia="en-AU"/>
        </w:rPr>
        <w:t xml:space="preserve">Category B1: </w:t>
      </w:r>
      <w:r w:rsidRPr="00B10B7D">
        <w:rPr>
          <w:rFonts w:asciiTheme="minorHAnsi" w:eastAsia="Times New Roman" w:hAnsiTheme="minorHAnsi"/>
          <w:sz w:val="18"/>
          <w:szCs w:val="18"/>
          <w:lang w:val="en" w:eastAsia="en-AU"/>
        </w:rPr>
        <w:t>Drugs which have been taken by only a limited number of pregnant women and women of childbearing age, without an increase in the frequency of malformation or other direct or indirect harmful effects on the human fetus having been observed.</w:t>
      </w:r>
    </w:p>
    <w:p w:rsidR="00586A39" w:rsidRPr="00B10B7D" w:rsidRDefault="00586A39" w:rsidP="00B10B7D">
      <w:pPr>
        <w:spacing w:before="0" w:after="0" w:line="240" w:lineRule="auto"/>
        <w:rPr>
          <w:rFonts w:asciiTheme="minorHAnsi" w:eastAsia="Times New Roman" w:hAnsiTheme="minorHAnsi"/>
          <w:sz w:val="18"/>
          <w:szCs w:val="18"/>
          <w:lang w:val="en" w:eastAsia="en-AU"/>
        </w:rPr>
      </w:pPr>
      <w:r w:rsidRPr="00B10B7D">
        <w:rPr>
          <w:rFonts w:asciiTheme="minorHAnsi" w:eastAsia="Times New Roman" w:hAnsiTheme="minorHAnsi"/>
          <w:sz w:val="18"/>
          <w:szCs w:val="18"/>
          <w:lang w:val="en" w:eastAsia="en-AU"/>
        </w:rPr>
        <w:t>Studies in animals have not shown evidence of an increa</w:t>
      </w:r>
      <w:r>
        <w:rPr>
          <w:rFonts w:asciiTheme="minorHAnsi" w:eastAsia="Times New Roman" w:hAnsiTheme="minorHAnsi"/>
          <w:sz w:val="18"/>
          <w:szCs w:val="18"/>
          <w:lang w:val="en" w:eastAsia="en-AU"/>
        </w:rPr>
        <w:t>sed occurrence of fetal damage.</w:t>
      </w:r>
    </w:p>
  </w:footnote>
  <w:footnote w:id="8">
    <w:p w:rsidR="00586A39" w:rsidRPr="00B10B7D" w:rsidRDefault="00586A39" w:rsidP="00B10B7D">
      <w:pPr>
        <w:spacing w:before="0" w:after="0" w:line="240" w:lineRule="auto"/>
        <w:outlineLvl w:val="3"/>
        <w:rPr>
          <w:rFonts w:asciiTheme="minorHAnsi" w:eastAsia="Times New Roman" w:hAnsiTheme="minorHAnsi"/>
          <w:sz w:val="18"/>
          <w:szCs w:val="18"/>
          <w:lang w:val="en" w:eastAsia="en-AU"/>
        </w:rPr>
      </w:pPr>
      <w:r w:rsidRPr="00B10B7D">
        <w:rPr>
          <w:rStyle w:val="FootnoteReference"/>
          <w:rFonts w:asciiTheme="minorHAnsi" w:hAnsiTheme="minorHAnsi"/>
          <w:sz w:val="18"/>
          <w:szCs w:val="18"/>
        </w:rPr>
        <w:footnoteRef/>
      </w:r>
      <w:r w:rsidRPr="00B10B7D">
        <w:rPr>
          <w:rFonts w:asciiTheme="minorHAnsi" w:eastAsia="Times New Roman" w:hAnsiTheme="minorHAnsi"/>
          <w:bCs/>
          <w:color w:val="00264C"/>
          <w:sz w:val="18"/>
          <w:szCs w:val="18"/>
          <w:lang w:val="en" w:eastAsia="en-AU"/>
        </w:rPr>
        <w:t xml:space="preserve">Category B3: </w:t>
      </w:r>
      <w:r w:rsidRPr="00B10B7D">
        <w:rPr>
          <w:rFonts w:asciiTheme="minorHAnsi" w:eastAsia="Times New Roman" w:hAnsiTheme="minorHAnsi"/>
          <w:sz w:val="18"/>
          <w:szCs w:val="18"/>
          <w:lang w:val="en" w:eastAsia="en-AU"/>
        </w:rPr>
        <w:t>Drugs which have been taken by only a limited number of pregnant women and women of childbearing age, without an increase in the frequency of malformation or other direct or indirect harmful effects on the human fetus having been observed.</w:t>
      </w:r>
    </w:p>
    <w:p w:rsidR="00586A39" w:rsidRPr="00B10B7D" w:rsidRDefault="00586A39" w:rsidP="00B10B7D">
      <w:pPr>
        <w:spacing w:before="0" w:after="0" w:line="240" w:lineRule="auto"/>
        <w:rPr>
          <w:rFonts w:asciiTheme="minorHAnsi" w:eastAsia="Times New Roman" w:hAnsiTheme="minorHAnsi"/>
          <w:sz w:val="18"/>
          <w:szCs w:val="18"/>
          <w:lang w:val="en" w:eastAsia="en-AU"/>
        </w:rPr>
      </w:pPr>
      <w:r w:rsidRPr="00B10B7D">
        <w:rPr>
          <w:rFonts w:asciiTheme="minorHAnsi" w:eastAsia="Times New Roman" w:hAnsiTheme="minorHAnsi"/>
          <w:sz w:val="18"/>
          <w:szCs w:val="18"/>
          <w:lang w:val="en" w:eastAsia="en-AU"/>
        </w:rPr>
        <w:t>Studies in animals have shown evidence of an increased occurrence of fetal damage, the significance of which is considered uncertain in humans.</w:t>
      </w:r>
    </w:p>
    <w:p w:rsidR="00586A39" w:rsidRPr="00E806EF" w:rsidRDefault="00586A39">
      <w:pPr>
        <w:pStyle w:val="FootnoteText"/>
        <w:rPr>
          <w:lang w:val="en-US"/>
        </w:rPr>
      </w:pPr>
    </w:p>
  </w:footnote>
  <w:footnote w:id="9">
    <w:p w:rsidR="00586A39" w:rsidRPr="00CC7403" w:rsidRDefault="00586A39">
      <w:pPr>
        <w:pStyle w:val="FootnoteText"/>
        <w:rPr>
          <w:lang w:val="en-US"/>
        </w:rPr>
      </w:pPr>
      <w:r>
        <w:rPr>
          <w:rStyle w:val="FootnoteReference"/>
        </w:rPr>
        <w:footnoteRef/>
      </w:r>
      <w:r>
        <w:t xml:space="preserve"> </w:t>
      </w:r>
      <w:r w:rsidRPr="00CD2CF3">
        <w:t>at https://www.tga.gov.au/auspar/auspar-tenofovir-alafenamide-fumarate-elvitegravir-cobicistat-emtricitabine</w:t>
      </w:r>
    </w:p>
  </w:footnote>
  <w:footnote w:id="10">
    <w:p w:rsidR="00586A39" w:rsidRPr="00FC6DC1" w:rsidRDefault="00586A39">
      <w:pPr>
        <w:pStyle w:val="FootnoteText"/>
        <w:rPr>
          <w:lang w:val="en-US"/>
        </w:rPr>
      </w:pPr>
      <w:r>
        <w:rPr>
          <w:rStyle w:val="FootnoteReference"/>
        </w:rPr>
        <w:footnoteRef/>
      </w:r>
      <w:r>
        <w:t xml:space="preserve"> </w:t>
      </w:r>
      <w:r w:rsidRPr="00CD2CF3">
        <w:t>see https://www.tga.gov.au/auspar/auspar-tenofovir-alafenamide-fumarate-elvitegravir-cobicistat-emtricitabine</w:t>
      </w:r>
    </w:p>
  </w:footnote>
  <w:footnote w:id="11">
    <w:p w:rsidR="00586A39" w:rsidRPr="003F7A2A" w:rsidRDefault="00586A39" w:rsidP="003F7A2A">
      <w:r>
        <w:rPr>
          <w:rStyle w:val="FootnoteReference"/>
        </w:rPr>
        <w:footnoteRef/>
      </w:r>
      <w:r w:rsidRPr="003F7A2A">
        <w:rPr>
          <w:sz w:val="16"/>
          <w:szCs w:val="16"/>
        </w:rPr>
        <w:t>ASHM 2015 Australian Commentary on the US Department of Health and Human Services (DHHS) Guidelines for the use</w:t>
      </w:r>
      <w:r>
        <w:rPr>
          <w:sz w:val="16"/>
          <w:szCs w:val="16"/>
        </w:rPr>
        <w:t xml:space="preserve"> </w:t>
      </w:r>
      <w:r w:rsidRPr="003F7A2A">
        <w:rPr>
          <w:sz w:val="16"/>
          <w:szCs w:val="16"/>
        </w:rPr>
        <w:t xml:space="preserve">of Antiretroviral Agents in HIV-1-Infected Adults and Adolescents. 20 August. </w:t>
      </w:r>
      <w:proofErr w:type="gramStart"/>
      <w:r w:rsidRPr="003F7A2A">
        <w:rPr>
          <w:sz w:val="16"/>
          <w:szCs w:val="16"/>
        </w:rPr>
        <w:t>Accessed Jan 2016.</w:t>
      </w:r>
      <w:proofErr w:type="gramEnd"/>
      <w:r w:rsidRPr="003F7A2A">
        <w:rPr>
          <w:sz w:val="16"/>
          <w:szCs w:val="16"/>
        </w:rPr>
        <w:t xml:space="preserve"> http://arv.ashm.org.au/.</w:t>
      </w:r>
      <w:r>
        <w:rPr>
          <w:sz w:val="16"/>
          <w:szCs w:val="16"/>
        </w:rPr>
        <w:t xml:space="preserve"> </w:t>
      </w:r>
    </w:p>
  </w:footnote>
  <w:footnote w:id="12">
    <w:p w:rsidR="00586A39" w:rsidRPr="00B00D28" w:rsidRDefault="00586A39">
      <w:pPr>
        <w:pStyle w:val="FootnoteText"/>
        <w:rPr>
          <w:lang w:val="en-US"/>
        </w:rPr>
      </w:pPr>
      <w:r>
        <w:rPr>
          <w:rStyle w:val="FootnoteReference"/>
        </w:rPr>
        <w:footnoteRef/>
      </w:r>
      <w:r>
        <w:t xml:space="preserve"> </w:t>
      </w:r>
      <w:proofErr w:type="gramStart"/>
      <w:r w:rsidRPr="008E3BE8">
        <w:t>CPM</w:t>
      </w:r>
      <w:r>
        <w:t>P/EWP/QWP/1401/98 Rev. 1/Corr** G</w:t>
      </w:r>
      <w:r w:rsidRPr="00B00D28">
        <w:t>uideline on the investigation of bioequivalence</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9" w:rsidRDefault="00586A3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9" w:rsidRDefault="00586A39">
    <w:pPr>
      <w:rPr>
        <w:noProof/>
        <w:lang w:eastAsia="en-AU"/>
      </w:rPr>
    </w:pPr>
    <w:r w:rsidRPr="00347824">
      <w:rPr>
        <w:noProof/>
        <w:lang w:eastAsia="en-AU"/>
      </w:rPr>
      <w:drawing>
        <wp:anchor distT="0" distB="0" distL="114300" distR="114300" simplePos="0" relativeHeight="251659264" behindDoc="1" locked="0" layoutInCell="1" allowOverlap="1" wp14:anchorId="0520FDE8" wp14:editId="5DB96A45">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86A39" w:rsidRDefault="00586A39" w:rsidP="00593AD1">
    <w:pPr>
      <w:pStyle w:val="HeaderNoLine"/>
    </w:pPr>
    <w:r>
      <w:rPr>
        <w:noProof/>
        <w:lang w:eastAsia="en-AU"/>
      </w:rPr>
      <w:drawing>
        <wp:inline distT="0" distB="0" distL="0" distR="0" wp14:anchorId="2D2ED3BA" wp14:editId="787D474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9" w:rsidRDefault="00586A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9" w:rsidRDefault="00586A3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9" w:rsidRDefault="00586A3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9" w:rsidRDefault="00586A3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9" w:rsidRDefault="00586A3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39" w:rsidRDefault="00586A39" w:rsidP="006E08B3">
    <w:r>
      <w:t>Therapeutic Goods Administration</w:t>
    </w:r>
  </w:p>
  <w:p w:rsidR="00586A39" w:rsidRDefault="00586A3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1">
    <w:nsid w:val="FFFFFF83"/>
    <w:multiLevelType w:val="singleLevel"/>
    <w:tmpl w:val="DF987E36"/>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BBB24724"/>
    <w:lvl w:ilvl="0">
      <w:start w:val="1"/>
      <w:numFmt w:val="bullet"/>
      <w:lvlText w:val=""/>
      <w:lvlJc w:val="left"/>
      <w:pPr>
        <w:tabs>
          <w:tab w:val="num" w:pos="360"/>
        </w:tabs>
        <w:ind w:left="360" w:hanging="360"/>
      </w:pPr>
      <w:rPr>
        <w:rFonts w:ascii="Symbol" w:hAnsi="Symbol" w:hint="default"/>
      </w:rPr>
    </w:lvl>
  </w:abstractNum>
  <w:abstractNum w:abstractNumId="3">
    <w:nsid w:val="10053F11"/>
    <w:multiLevelType w:val="multilevel"/>
    <w:tmpl w:val="0386A7E6"/>
    <w:styleLink w:val="NumberBullet"/>
    <w:lvl w:ilvl="0">
      <w:start w:val="1"/>
      <w:numFmt w:val="decimal"/>
      <w:pStyle w:val="Numberbullet0"/>
      <w:lvlText w:val="%1."/>
      <w:lvlJc w:val="left"/>
      <w:pPr>
        <w:ind w:left="567"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7">
    <w:nsid w:val="3B5D1274"/>
    <w:multiLevelType w:val="hybridMultilevel"/>
    <w:tmpl w:val="25CEC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567"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0"/>
    <w:lvlOverride w:ilvl="0">
      <w:startOverride w:val="1"/>
    </w:lvlOverride>
  </w:num>
  <w:num w:numId="6">
    <w:abstractNumId w:val="8"/>
  </w:num>
  <w:num w:numId="7">
    <w:abstractNumId w:val="6"/>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 w:ilvl="0">
        <w:start w:val="1"/>
        <w:numFmt w:val="decimal"/>
        <w:pStyle w:val="Numberbullet0"/>
        <w:lvlText w:val="%1."/>
        <w:lvlJc w:val="left"/>
        <w:pPr>
          <w:ind w:left="567"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7"/>
  </w:num>
  <w:num w:numId="15">
    <w:abstractNumId w:val="1"/>
  </w:num>
  <w:num w:numId="1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09"/>
    <w:rsid w:val="00002031"/>
    <w:rsid w:val="00004734"/>
    <w:rsid w:val="00006A96"/>
    <w:rsid w:val="00006B22"/>
    <w:rsid w:val="0001276A"/>
    <w:rsid w:val="00020C24"/>
    <w:rsid w:val="000230EE"/>
    <w:rsid w:val="000246AE"/>
    <w:rsid w:val="0002485A"/>
    <w:rsid w:val="00025C67"/>
    <w:rsid w:val="00031321"/>
    <w:rsid w:val="00044772"/>
    <w:rsid w:val="0005559E"/>
    <w:rsid w:val="000604D6"/>
    <w:rsid w:val="000621E5"/>
    <w:rsid w:val="000651E6"/>
    <w:rsid w:val="000734D8"/>
    <w:rsid w:val="0007573A"/>
    <w:rsid w:val="00077775"/>
    <w:rsid w:val="00085D19"/>
    <w:rsid w:val="00090471"/>
    <w:rsid w:val="00096AA7"/>
    <w:rsid w:val="00097395"/>
    <w:rsid w:val="000A3AED"/>
    <w:rsid w:val="000B3532"/>
    <w:rsid w:val="000B3A75"/>
    <w:rsid w:val="000B3BCD"/>
    <w:rsid w:val="000C00C2"/>
    <w:rsid w:val="000C690F"/>
    <w:rsid w:val="000D1295"/>
    <w:rsid w:val="000D391B"/>
    <w:rsid w:val="000D3D6D"/>
    <w:rsid w:val="000D4FC7"/>
    <w:rsid w:val="000E6196"/>
    <w:rsid w:val="000F1FF3"/>
    <w:rsid w:val="000F38DD"/>
    <w:rsid w:val="000F4869"/>
    <w:rsid w:val="000F5B42"/>
    <w:rsid w:val="000F6E6F"/>
    <w:rsid w:val="0010601F"/>
    <w:rsid w:val="0010788A"/>
    <w:rsid w:val="00107A31"/>
    <w:rsid w:val="00110EA5"/>
    <w:rsid w:val="00112F56"/>
    <w:rsid w:val="0011765E"/>
    <w:rsid w:val="00125318"/>
    <w:rsid w:val="001305A2"/>
    <w:rsid w:val="00133238"/>
    <w:rsid w:val="00133A1B"/>
    <w:rsid w:val="0014197B"/>
    <w:rsid w:val="001447CD"/>
    <w:rsid w:val="0014541A"/>
    <w:rsid w:val="001516B1"/>
    <w:rsid w:val="00154EBB"/>
    <w:rsid w:val="00156316"/>
    <w:rsid w:val="00161181"/>
    <w:rsid w:val="00162D14"/>
    <w:rsid w:val="00165389"/>
    <w:rsid w:val="0017693F"/>
    <w:rsid w:val="0018110E"/>
    <w:rsid w:val="00181684"/>
    <w:rsid w:val="001843C6"/>
    <w:rsid w:val="001850E0"/>
    <w:rsid w:val="001865AA"/>
    <w:rsid w:val="0019365F"/>
    <w:rsid w:val="001A2158"/>
    <w:rsid w:val="001A525F"/>
    <w:rsid w:val="001B09F9"/>
    <w:rsid w:val="001B5C90"/>
    <w:rsid w:val="001B6448"/>
    <w:rsid w:val="001C32CD"/>
    <w:rsid w:val="001D2984"/>
    <w:rsid w:val="001E07CF"/>
    <w:rsid w:val="001E59F1"/>
    <w:rsid w:val="001F1EAF"/>
    <w:rsid w:val="001F2CEE"/>
    <w:rsid w:val="001F49EB"/>
    <w:rsid w:val="001F6CBA"/>
    <w:rsid w:val="002009D7"/>
    <w:rsid w:val="00201D4E"/>
    <w:rsid w:val="00202575"/>
    <w:rsid w:val="00203728"/>
    <w:rsid w:val="002076C9"/>
    <w:rsid w:val="00212F12"/>
    <w:rsid w:val="00220B8A"/>
    <w:rsid w:val="002257F3"/>
    <w:rsid w:val="00233456"/>
    <w:rsid w:val="002339A5"/>
    <w:rsid w:val="002575A8"/>
    <w:rsid w:val="00257848"/>
    <w:rsid w:val="0027084A"/>
    <w:rsid w:val="00286434"/>
    <w:rsid w:val="00286C59"/>
    <w:rsid w:val="00291957"/>
    <w:rsid w:val="002942D1"/>
    <w:rsid w:val="0029501A"/>
    <w:rsid w:val="002A0A63"/>
    <w:rsid w:val="002A3721"/>
    <w:rsid w:val="002B1638"/>
    <w:rsid w:val="002B3624"/>
    <w:rsid w:val="002D02B0"/>
    <w:rsid w:val="002D0952"/>
    <w:rsid w:val="002D2F69"/>
    <w:rsid w:val="002E40B3"/>
    <w:rsid w:val="002E4C9A"/>
    <w:rsid w:val="002F11F8"/>
    <w:rsid w:val="002F162D"/>
    <w:rsid w:val="002F3F56"/>
    <w:rsid w:val="002F44B5"/>
    <w:rsid w:val="003011BD"/>
    <w:rsid w:val="00311AC0"/>
    <w:rsid w:val="003176FC"/>
    <w:rsid w:val="0031778D"/>
    <w:rsid w:val="0032583B"/>
    <w:rsid w:val="00327883"/>
    <w:rsid w:val="00331352"/>
    <w:rsid w:val="00335504"/>
    <w:rsid w:val="00335899"/>
    <w:rsid w:val="00340C18"/>
    <w:rsid w:val="003442FD"/>
    <w:rsid w:val="00347444"/>
    <w:rsid w:val="00347824"/>
    <w:rsid w:val="00350567"/>
    <w:rsid w:val="003521E8"/>
    <w:rsid w:val="00353AB8"/>
    <w:rsid w:val="00370CE3"/>
    <w:rsid w:val="003728F3"/>
    <w:rsid w:val="0037496E"/>
    <w:rsid w:val="00383221"/>
    <w:rsid w:val="00386150"/>
    <w:rsid w:val="003874CE"/>
    <w:rsid w:val="00390900"/>
    <w:rsid w:val="003A7F6C"/>
    <w:rsid w:val="003A7FC4"/>
    <w:rsid w:val="003B4D60"/>
    <w:rsid w:val="003B7E39"/>
    <w:rsid w:val="003C58DC"/>
    <w:rsid w:val="003D1E62"/>
    <w:rsid w:val="003E0B99"/>
    <w:rsid w:val="003E2486"/>
    <w:rsid w:val="003E3208"/>
    <w:rsid w:val="003E3F37"/>
    <w:rsid w:val="003F0B04"/>
    <w:rsid w:val="003F669E"/>
    <w:rsid w:val="003F7A2A"/>
    <w:rsid w:val="0040134E"/>
    <w:rsid w:val="0041134F"/>
    <w:rsid w:val="004334C7"/>
    <w:rsid w:val="0043420A"/>
    <w:rsid w:val="00440A2D"/>
    <w:rsid w:val="00441C3F"/>
    <w:rsid w:val="00445D1A"/>
    <w:rsid w:val="00452B40"/>
    <w:rsid w:val="0045461D"/>
    <w:rsid w:val="004564A7"/>
    <w:rsid w:val="004617BF"/>
    <w:rsid w:val="00463658"/>
    <w:rsid w:val="004637A0"/>
    <w:rsid w:val="004722CC"/>
    <w:rsid w:val="00487E52"/>
    <w:rsid w:val="004936E4"/>
    <w:rsid w:val="00494E60"/>
    <w:rsid w:val="00497487"/>
    <w:rsid w:val="004A6189"/>
    <w:rsid w:val="004A7390"/>
    <w:rsid w:val="004B7B76"/>
    <w:rsid w:val="004C239D"/>
    <w:rsid w:val="004C291F"/>
    <w:rsid w:val="004C2DCA"/>
    <w:rsid w:val="004C37E1"/>
    <w:rsid w:val="004C61D2"/>
    <w:rsid w:val="004D356D"/>
    <w:rsid w:val="004D668A"/>
    <w:rsid w:val="004D6D4E"/>
    <w:rsid w:val="004F0C4A"/>
    <w:rsid w:val="004F0F38"/>
    <w:rsid w:val="004F47D6"/>
    <w:rsid w:val="00501921"/>
    <w:rsid w:val="00530354"/>
    <w:rsid w:val="00531332"/>
    <w:rsid w:val="0053625B"/>
    <w:rsid w:val="005400E3"/>
    <w:rsid w:val="005434C6"/>
    <w:rsid w:val="00543B39"/>
    <w:rsid w:val="00546154"/>
    <w:rsid w:val="00550096"/>
    <w:rsid w:val="005543D4"/>
    <w:rsid w:val="00555280"/>
    <w:rsid w:val="00557FF9"/>
    <w:rsid w:val="00561FBE"/>
    <w:rsid w:val="00562327"/>
    <w:rsid w:val="005711D5"/>
    <w:rsid w:val="00576378"/>
    <w:rsid w:val="00577130"/>
    <w:rsid w:val="00577945"/>
    <w:rsid w:val="00577E38"/>
    <w:rsid w:val="00582BF8"/>
    <w:rsid w:val="00585322"/>
    <w:rsid w:val="005857C6"/>
    <w:rsid w:val="00586A39"/>
    <w:rsid w:val="00592F6E"/>
    <w:rsid w:val="00593AD1"/>
    <w:rsid w:val="005A6209"/>
    <w:rsid w:val="005A68B6"/>
    <w:rsid w:val="005A6D01"/>
    <w:rsid w:val="005C2E24"/>
    <w:rsid w:val="005C5570"/>
    <w:rsid w:val="005C79A4"/>
    <w:rsid w:val="005D5442"/>
    <w:rsid w:val="00603F32"/>
    <w:rsid w:val="00605AD4"/>
    <w:rsid w:val="006136D7"/>
    <w:rsid w:val="00625A6E"/>
    <w:rsid w:val="00632398"/>
    <w:rsid w:val="00640FC3"/>
    <w:rsid w:val="00642020"/>
    <w:rsid w:val="006531EA"/>
    <w:rsid w:val="0065337B"/>
    <w:rsid w:val="0065419D"/>
    <w:rsid w:val="006604D8"/>
    <w:rsid w:val="00662E2E"/>
    <w:rsid w:val="00664A5B"/>
    <w:rsid w:val="0066735C"/>
    <w:rsid w:val="00674CB0"/>
    <w:rsid w:val="006762A5"/>
    <w:rsid w:val="006763D2"/>
    <w:rsid w:val="00680C08"/>
    <w:rsid w:val="006916A0"/>
    <w:rsid w:val="006924CA"/>
    <w:rsid w:val="006931B1"/>
    <w:rsid w:val="006951C6"/>
    <w:rsid w:val="006A15C0"/>
    <w:rsid w:val="006A725A"/>
    <w:rsid w:val="006A754F"/>
    <w:rsid w:val="006B7FCC"/>
    <w:rsid w:val="006C3E2A"/>
    <w:rsid w:val="006C642F"/>
    <w:rsid w:val="006D03E5"/>
    <w:rsid w:val="006D5D3E"/>
    <w:rsid w:val="006E08B3"/>
    <w:rsid w:val="006E3C92"/>
    <w:rsid w:val="006F17AC"/>
    <w:rsid w:val="006F25B8"/>
    <w:rsid w:val="006F572E"/>
    <w:rsid w:val="00700727"/>
    <w:rsid w:val="007046D6"/>
    <w:rsid w:val="00705DB0"/>
    <w:rsid w:val="00713B47"/>
    <w:rsid w:val="00722B57"/>
    <w:rsid w:val="00730F8A"/>
    <w:rsid w:val="007342C9"/>
    <w:rsid w:val="00735A8C"/>
    <w:rsid w:val="0074253D"/>
    <w:rsid w:val="0074429B"/>
    <w:rsid w:val="007606E1"/>
    <w:rsid w:val="007615BC"/>
    <w:rsid w:val="00762F05"/>
    <w:rsid w:val="007652FF"/>
    <w:rsid w:val="00770CAC"/>
    <w:rsid w:val="00770EF1"/>
    <w:rsid w:val="007710BC"/>
    <w:rsid w:val="00773EF7"/>
    <w:rsid w:val="00773FDC"/>
    <w:rsid w:val="00774E1D"/>
    <w:rsid w:val="007765D8"/>
    <w:rsid w:val="0077675A"/>
    <w:rsid w:val="00780355"/>
    <w:rsid w:val="007819FD"/>
    <w:rsid w:val="00785717"/>
    <w:rsid w:val="00785721"/>
    <w:rsid w:val="00787586"/>
    <w:rsid w:val="00793A59"/>
    <w:rsid w:val="00797DC0"/>
    <w:rsid w:val="007B2278"/>
    <w:rsid w:val="007B6132"/>
    <w:rsid w:val="007B6E9F"/>
    <w:rsid w:val="007C1216"/>
    <w:rsid w:val="007C1AF7"/>
    <w:rsid w:val="007C6B9B"/>
    <w:rsid w:val="007D736C"/>
    <w:rsid w:val="007E72F3"/>
    <w:rsid w:val="00805D27"/>
    <w:rsid w:val="00806DCB"/>
    <w:rsid w:val="00820D3E"/>
    <w:rsid w:val="00821776"/>
    <w:rsid w:val="008321F5"/>
    <w:rsid w:val="00832369"/>
    <w:rsid w:val="008342C8"/>
    <w:rsid w:val="00834660"/>
    <w:rsid w:val="00836BC2"/>
    <w:rsid w:val="0085156D"/>
    <w:rsid w:val="0085641B"/>
    <w:rsid w:val="00857136"/>
    <w:rsid w:val="00872A03"/>
    <w:rsid w:val="00875A6B"/>
    <w:rsid w:val="00885B11"/>
    <w:rsid w:val="00886D15"/>
    <w:rsid w:val="00887DD8"/>
    <w:rsid w:val="00891BA9"/>
    <w:rsid w:val="00896018"/>
    <w:rsid w:val="008960DD"/>
    <w:rsid w:val="0089635C"/>
    <w:rsid w:val="008A2B9D"/>
    <w:rsid w:val="008A3D9F"/>
    <w:rsid w:val="008A4E67"/>
    <w:rsid w:val="008A5E0B"/>
    <w:rsid w:val="008A6D59"/>
    <w:rsid w:val="008B4B03"/>
    <w:rsid w:val="008B596F"/>
    <w:rsid w:val="008C159F"/>
    <w:rsid w:val="008C1623"/>
    <w:rsid w:val="008C1850"/>
    <w:rsid w:val="008C51A9"/>
    <w:rsid w:val="008E3BE8"/>
    <w:rsid w:val="008E7846"/>
    <w:rsid w:val="008F02E5"/>
    <w:rsid w:val="008F1CCC"/>
    <w:rsid w:val="008F2967"/>
    <w:rsid w:val="008F6943"/>
    <w:rsid w:val="00902A21"/>
    <w:rsid w:val="00914F1C"/>
    <w:rsid w:val="009157B3"/>
    <w:rsid w:val="00920330"/>
    <w:rsid w:val="009219D7"/>
    <w:rsid w:val="00922D53"/>
    <w:rsid w:val="00923B70"/>
    <w:rsid w:val="00924482"/>
    <w:rsid w:val="0092713A"/>
    <w:rsid w:val="00930237"/>
    <w:rsid w:val="00930B15"/>
    <w:rsid w:val="00937C17"/>
    <w:rsid w:val="00940A89"/>
    <w:rsid w:val="00946EA5"/>
    <w:rsid w:val="00963C08"/>
    <w:rsid w:val="009752A5"/>
    <w:rsid w:val="0098210B"/>
    <w:rsid w:val="0098585A"/>
    <w:rsid w:val="009A4CED"/>
    <w:rsid w:val="009A690D"/>
    <w:rsid w:val="009B1D12"/>
    <w:rsid w:val="009B416B"/>
    <w:rsid w:val="009B69E3"/>
    <w:rsid w:val="009C4BD5"/>
    <w:rsid w:val="009D7B77"/>
    <w:rsid w:val="009E0BB0"/>
    <w:rsid w:val="009E3FBB"/>
    <w:rsid w:val="009E6A86"/>
    <w:rsid w:val="009F7353"/>
    <w:rsid w:val="00A04F85"/>
    <w:rsid w:val="00A05FA4"/>
    <w:rsid w:val="00A102E4"/>
    <w:rsid w:val="00A12C42"/>
    <w:rsid w:val="00A149CD"/>
    <w:rsid w:val="00A14DF7"/>
    <w:rsid w:val="00A25E0E"/>
    <w:rsid w:val="00A27647"/>
    <w:rsid w:val="00A3246D"/>
    <w:rsid w:val="00A36FA7"/>
    <w:rsid w:val="00A378FB"/>
    <w:rsid w:val="00A43AA4"/>
    <w:rsid w:val="00A44DDB"/>
    <w:rsid w:val="00A474ED"/>
    <w:rsid w:val="00A475B7"/>
    <w:rsid w:val="00A47AF7"/>
    <w:rsid w:val="00A47C3E"/>
    <w:rsid w:val="00A50226"/>
    <w:rsid w:val="00A50975"/>
    <w:rsid w:val="00A60BAD"/>
    <w:rsid w:val="00A70509"/>
    <w:rsid w:val="00A80B5B"/>
    <w:rsid w:val="00A83C40"/>
    <w:rsid w:val="00A84E36"/>
    <w:rsid w:val="00A964D1"/>
    <w:rsid w:val="00AA0ED0"/>
    <w:rsid w:val="00AA3643"/>
    <w:rsid w:val="00AA5538"/>
    <w:rsid w:val="00AC2B40"/>
    <w:rsid w:val="00AC2BB2"/>
    <w:rsid w:val="00AC2C3C"/>
    <w:rsid w:val="00AC339A"/>
    <w:rsid w:val="00AC512D"/>
    <w:rsid w:val="00AC7C0D"/>
    <w:rsid w:val="00AD0083"/>
    <w:rsid w:val="00AD3935"/>
    <w:rsid w:val="00AE5879"/>
    <w:rsid w:val="00AE65EB"/>
    <w:rsid w:val="00AE67A7"/>
    <w:rsid w:val="00AF1D94"/>
    <w:rsid w:val="00AF60C5"/>
    <w:rsid w:val="00B009C6"/>
    <w:rsid w:val="00B00D28"/>
    <w:rsid w:val="00B01548"/>
    <w:rsid w:val="00B10B7D"/>
    <w:rsid w:val="00B13EBD"/>
    <w:rsid w:val="00B14064"/>
    <w:rsid w:val="00B21D29"/>
    <w:rsid w:val="00B25034"/>
    <w:rsid w:val="00B33588"/>
    <w:rsid w:val="00B33863"/>
    <w:rsid w:val="00B37D17"/>
    <w:rsid w:val="00B4175E"/>
    <w:rsid w:val="00B4261F"/>
    <w:rsid w:val="00B452CE"/>
    <w:rsid w:val="00B54C25"/>
    <w:rsid w:val="00B76B91"/>
    <w:rsid w:val="00B77EB1"/>
    <w:rsid w:val="00B811C6"/>
    <w:rsid w:val="00B855B0"/>
    <w:rsid w:val="00B91D4C"/>
    <w:rsid w:val="00B92E08"/>
    <w:rsid w:val="00B9593F"/>
    <w:rsid w:val="00BC302A"/>
    <w:rsid w:val="00BC50BC"/>
    <w:rsid w:val="00BC622A"/>
    <w:rsid w:val="00BE0A78"/>
    <w:rsid w:val="00BE22E3"/>
    <w:rsid w:val="00BE79F0"/>
    <w:rsid w:val="00BF02AA"/>
    <w:rsid w:val="00BF046D"/>
    <w:rsid w:val="00BF1190"/>
    <w:rsid w:val="00BF14F5"/>
    <w:rsid w:val="00BF16A3"/>
    <w:rsid w:val="00BF52BC"/>
    <w:rsid w:val="00BF5D04"/>
    <w:rsid w:val="00C009AA"/>
    <w:rsid w:val="00C1164D"/>
    <w:rsid w:val="00C16861"/>
    <w:rsid w:val="00C22DEF"/>
    <w:rsid w:val="00C31B3B"/>
    <w:rsid w:val="00C346AB"/>
    <w:rsid w:val="00C404A6"/>
    <w:rsid w:val="00C40A36"/>
    <w:rsid w:val="00C40D85"/>
    <w:rsid w:val="00C44419"/>
    <w:rsid w:val="00C45E7B"/>
    <w:rsid w:val="00C471B1"/>
    <w:rsid w:val="00C6316B"/>
    <w:rsid w:val="00C634A9"/>
    <w:rsid w:val="00C64586"/>
    <w:rsid w:val="00C70D53"/>
    <w:rsid w:val="00C73D0B"/>
    <w:rsid w:val="00C772FF"/>
    <w:rsid w:val="00C80137"/>
    <w:rsid w:val="00C801AF"/>
    <w:rsid w:val="00C80256"/>
    <w:rsid w:val="00C873AB"/>
    <w:rsid w:val="00C94CD4"/>
    <w:rsid w:val="00C9597D"/>
    <w:rsid w:val="00C9747E"/>
    <w:rsid w:val="00CA36CA"/>
    <w:rsid w:val="00CB6BC0"/>
    <w:rsid w:val="00CC1B7C"/>
    <w:rsid w:val="00CC727F"/>
    <w:rsid w:val="00CC7403"/>
    <w:rsid w:val="00CD2CF3"/>
    <w:rsid w:val="00CD76EC"/>
    <w:rsid w:val="00CE566A"/>
    <w:rsid w:val="00CF15C3"/>
    <w:rsid w:val="00CF2B6F"/>
    <w:rsid w:val="00CF2F3E"/>
    <w:rsid w:val="00CF58B6"/>
    <w:rsid w:val="00D0062D"/>
    <w:rsid w:val="00D017ED"/>
    <w:rsid w:val="00D040D3"/>
    <w:rsid w:val="00D04C65"/>
    <w:rsid w:val="00D201D2"/>
    <w:rsid w:val="00D224FE"/>
    <w:rsid w:val="00D23139"/>
    <w:rsid w:val="00D348EF"/>
    <w:rsid w:val="00D40039"/>
    <w:rsid w:val="00D425BB"/>
    <w:rsid w:val="00D45320"/>
    <w:rsid w:val="00D4740D"/>
    <w:rsid w:val="00D508DB"/>
    <w:rsid w:val="00D50C81"/>
    <w:rsid w:val="00D534BC"/>
    <w:rsid w:val="00D6493E"/>
    <w:rsid w:val="00D7195D"/>
    <w:rsid w:val="00D7301E"/>
    <w:rsid w:val="00D83AE1"/>
    <w:rsid w:val="00D855D4"/>
    <w:rsid w:val="00D902C9"/>
    <w:rsid w:val="00D93466"/>
    <w:rsid w:val="00DA1124"/>
    <w:rsid w:val="00DB6124"/>
    <w:rsid w:val="00DB750B"/>
    <w:rsid w:val="00DB75B7"/>
    <w:rsid w:val="00DC3B24"/>
    <w:rsid w:val="00DC51E7"/>
    <w:rsid w:val="00DC6E02"/>
    <w:rsid w:val="00DD15DE"/>
    <w:rsid w:val="00DD28CD"/>
    <w:rsid w:val="00DE02AE"/>
    <w:rsid w:val="00DF01CA"/>
    <w:rsid w:val="00DF1D7F"/>
    <w:rsid w:val="00DF20DB"/>
    <w:rsid w:val="00DF4BE4"/>
    <w:rsid w:val="00E02FB4"/>
    <w:rsid w:val="00E04BFC"/>
    <w:rsid w:val="00E13FC7"/>
    <w:rsid w:val="00E20571"/>
    <w:rsid w:val="00E235F7"/>
    <w:rsid w:val="00E23659"/>
    <w:rsid w:val="00E239D4"/>
    <w:rsid w:val="00E26130"/>
    <w:rsid w:val="00E40B22"/>
    <w:rsid w:val="00E44ED1"/>
    <w:rsid w:val="00E45131"/>
    <w:rsid w:val="00E45619"/>
    <w:rsid w:val="00E4588F"/>
    <w:rsid w:val="00E46DA3"/>
    <w:rsid w:val="00E51BB1"/>
    <w:rsid w:val="00E624A5"/>
    <w:rsid w:val="00E636AA"/>
    <w:rsid w:val="00E64BA4"/>
    <w:rsid w:val="00E713A7"/>
    <w:rsid w:val="00E7344E"/>
    <w:rsid w:val="00E806EF"/>
    <w:rsid w:val="00E82665"/>
    <w:rsid w:val="00E971B0"/>
    <w:rsid w:val="00EA2843"/>
    <w:rsid w:val="00EB0798"/>
    <w:rsid w:val="00EB40AD"/>
    <w:rsid w:val="00EB586E"/>
    <w:rsid w:val="00EB5FC8"/>
    <w:rsid w:val="00EC1D58"/>
    <w:rsid w:val="00EC463D"/>
    <w:rsid w:val="00EC7A85"/>
    <w:rsid w:val="00ED2922"/>
    <w:rsid w:val="00ED3CAD"/>
    <w:rsid w:val="00ED5A41"/>
    <w:rsid w:val="00EE1DE8"/>
    <w:rsid w:val="00EE27C2"/>
    <w:rsid w:val="00EE48C6"/>
    <w:rsid w:val="00EF064E"/>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56478"/>
    <w:rsid w:val="00F634D0"/>
    <w:rsid w:val="00F640B6"/>
    <w:rsid w:val="00F64375"/>
    <w:rsid w:val="00F66DF2"/>
    <w:rsid w:val="00F80E40"/>
    <w:rsid w:val="00F848D9"/>
    <w:rsid w:val="00F95B47"/>
    <w:rsid w:val="00FA1F24"/>
    <w:rsid w:val="00FA5B82"/>
    <w:rsid w:val="00FA639E"/>
    <w:rsid w:val="00FC1FCA"/>
    <w:rsid w:val="00FC25E4"/>
    <w:rsid w:val="00FC4EF7"/>
    <w:rsid w:val="00FC6DC1"/>
    <w:rsid w:val="00FC702B"/>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List Number 2" w:uiPriority="0"/>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009D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ind w:left="425"/>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E04BFC"/>
    <w:pPr>
      <w:ind w:left="1134" w:hanging="1134"/>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5A620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Head2">
    <w:name w:val="A-Head 2"/>
    <w:basedOn w:val="Normal"/>
    <w:rsid w:val="005A6209"/>
    <w:pPr>
      <w:tabs>
        <w:tab w:val="left" w:pos="1134"/>
      </w:tabs>
      <w:spacing w:before="240" w:after="60" w:line="240" w:lineRule="auto"/>
      <w:ind w:right="-108"/>
    </w:pPr>
    <w:rPr>
      <w:rFonts w:ascii="Arial" w:eastAsia="Times New Roman" w:hAnsi="Arial"/>
      <w:b/>
      <w:sz w:val="32"/>
      <w:szCs w:val="20"/>
    </w:rPr>
  </w:style>
  <w:style w:type="paragraph" w:customStyle="1" w:styleId="A-Head6">
    <w:name w:val="A-Head 6"/>
    <w:basedOn w:val="Normal"/>
    <w:link w:val="A-Head6Char"/>
    <w:rsid w:val="005A6209"/>
    <w:pPr>
      <w:spacing w:before="60" w:after="0" w:line="240" w:lineRule="auto"/>
    </w:pPr>
    <w:rPr>
      <w:rFonts w:ascii="Arial" w:eastAsia="Times New Roman" w:hAnsi="Arial"/>
      <w:b/>
      <w:szCs w:val="20"/>
      <w:lang w:eastAsia="en-AU"/>
    </w:rPr>
  </w:style>
  <w:style w:type="character" w:customStyle="1" w:styleId="A-Head6Char">
    <w:name w:val="A-Head 6 Char"/>
    <w:link w:val="A-Head6"/>
    <w:rsid w:val="005A6209"/>
    <w:rPr>
      <w:rFonts w:ascii="Arial" w:eastAsia="Times New Roman" w:hAnsi="Arial" w:cs="Times New Roman"/>
      <w:b/>
      <w:szCs w:val="20"/>
      <w:lang w:eastAsia="en-AU"/>
    </w:rPr>
  </w:style>
  <w:style w:type="paragraph" w:customStyle="1" w:styleId="A-Head3">
    <w:name w:val="A-Head 3"/>
    <w:basedOn w:val="Normal"/>
    <w:link w:val="A-Head3Char"/>
    <w:rsid w:val="005A6209"/>
    <w:pPr>
      <w:widowControl w:val="0"/>
      <w:tabs>
        <w:tab w:val="left" w:pos="851"/>
      </w:tabs>
      <w:spacing w:after="60" w:line="240" w:lineRule="auto"/>
      <w:ind w:left="1418" w:right="-108" w:hanging="1418"/>
    </w:pPr>
    <w:rPr>
      <w:rFonts w:ascii="Arial" w:eastAsia="Times New Roman" w:hAnsi="Arial"/>
      <w:b/>
      <w:sz w:val="28"/>
      <w:szCs w:val="20"/>
      <w:lang w:eastAsia="en-AU"/>
    </w:rPr>
  </w:style>
  <w:style w:type="character" w:customStyle="1" w:styleId="A-Head3Char">
    <w:name w:val="A-Head 3 Char"/>
    <w:basedOn w:val="DefaultParagraphFont"/>
    <w:link w:val="A-Head3"/>
    <w:locked/>
    <w:rsid w:val="005A6209"/>
    <w:rPr>
      <w:rFonts w:ascii="Arial" w:eastAsia="Times New Roman" w:hAnsi="Arial" w:cs="Times New Roman"/>
      <w:b/>
      <w:sz w:val="28"/>
      <w:szCs w:val="20"/>
      <w:lang w:eastAsia="en-AU"/>
    </w:rPr>
  </w:style>
  <w:style w:type="paragraph" w:styleId="ListParagraph">
    <w:name w:val="List Paragraph"/>
    <w:basedOn w:val="Normal"/>
    <w:uiPriority w:val="34"/>
    <w:qFormat/>
    <w:rsid w:val="005A6209"/>
    <w:pPr>
      <w:spacing w:before="60" w:after="60" w:line="240" w:lineRule="auto"/>
      <w:ind w:left="720"/>
      <w:jc w:val="both"/>
    </w:pPr>
    <w:rPr>
      <w:rFonts w:ascii="Times New Roman" w:eastAsia="Times New Roman" w:hAnsi="Times New Roman"/>
      <w:sz w:val="24"/>
      <w:lang w:eastAsia="en-AU"/>
    </w:rPr>
  </w:style>
  <w:style w:type="character" w:customStyle="1" w:styleId="StandardChar">
    <w:name w:val="Standard Char"/>
    <w:basedOn w:val="DefaultParagraphFont"/>
    <w:link w:val="Standard"/>
    <w:locked/>
    <w:rsid w:val="00FC702B"/>
    <w:rPr>
      <w:rFonts w:ascii="Cambria" w:eastAsia="Times New Roman" w:hAnsi="Cambria" w:cs="Times New Roman"/>
      <w:kern w:val="16"/>
      <w:szCs w:val="24"/>
      <w:lang w:eastAsia="en-AU"/>
    </w:rPr>
  </w:style>
  <w:style w:type="paragraph" w:customStyle="1" w:styleId="Standard">
    <w:name w:val="Standard"/>
    <w:basedOn w:val="Normal"/>
    <w:link w:val="StandardChar"/>
    <w:qFormat/>
    <w:rsid w:val="00FC702B"/>
    <w:pPr>
      <w:snapToGrid w:val="0"/>
      <w:spacing w:before="0" w:after="200" w:line="240" w:lineRule="exact"/>
    </w:pPr>
    <w:rPr>
      <w:rFonts w:eastAsia="Times New Roman"/>
      <w:kern w:val="16"/>
      <w:szCs w:val="24"/>
      <w:lang w:eastAsia="en-AU"/>
    </w:rPr>
  </w:style>
  <w:style w:type="paragraph" w:customStyle="1" w:styleId="AssessmentSubsection">
    <w:name w:val="Assessment Subsection"/>
    <w:basedOn w:val="Standard"/>
    <w:next w:val="Standard"/>
    <w:rsid w:val="00FC702B"/>
    <w:pPr>
      <w:keepNext/>
      <w:spacing w:after="110"/>
      <w:outlineLvl w:val="2"/>
    </w:pPr>
    <w:rPr>
      <w:b/>
      <w:i/>
    </w:rPr>
  </w:style>
  <w:style w:type="paragraph" w:customStyle="1" w:styleId="AssessmentSection">
    <w:name w:val="Assessment Section"/>
    <w:basedOn w:val="AssessmentSubsection"/>
    <w:next w:val="Standard"/>
    <w:rsid w:val="00FC702B"/>
    <w:pPr>
      <w:outlineLvl w:val="1"/>
    </w:pPr>
    <w:rPr>
      <w:i w:val="0"/>
    </w:rPr>
  </w:style>
  <w:style w:type="paragraph" w:styleId="ListNumber2">
    <w:name w:val="List Number 2"/>
    <w:basedOn w:val="Normal"/>
    <w:semiHidden/>
    <w:unhideWhenUsed/>
    <w:rsid w:val="00FC702B"/>
    <w:pPr>
      <w:numPr>
        <w:numId w:val="5"/>
      </w:numPr>
      <w:spacing w:before="0" w:after="200" w:line="276" w:lineRule="auto"/>
    </w:pPr>
    <w:rPr>
      <w:rFonts w:ascii="Times New Roman" w:eastAsia="Times New Roman" w:hAnsi="Times New Roman"/>
      <w:sz w:val="24"/>
      <w:szCs w:val="24"/>
      <w:lang w:eastAsia="en-AU"/>
    </w:rPr>
  </w:style>
  <w:style w:type="character" w:customStyle="1" w:styleId="TableTitleChar">
    <w:name w:val="Table Title Char"/>
    <w:basedOn w:val="StandardChar"/>
    <w:link w:val="TableTitle"/>
    <w:locked/>
    <w:rsid w:val="00FC702B"/>
    <w:rPr>
      <w:rFonts w:ascii="Cambria" w:eastAsia="Cambria" w:hAnsi="Cambria" w:cs="Times New Roman"/>
      <w:b/>
      <w:kern w:val="16"/>
      <w:szCs w:val="24"/>
      <w:lang w:eastAsia="en-AU"/>
    </w:rPr>
  </w:style>
  <w:style w:type="character" w:customStyle="1" w:styleId="TableCaptionChar">
    <w:name w:val="Table Caption Char"/>
    <w:basedOn w:val="TabletextChar"/>
    <w:link w:val="TableCaption"/>
    <w:semiHidden/>
    <w:locked/>
    <w:rsid w:val="00FC702B"/>
    <w:rPr>
      <w:rFonts w:ascii="Cambria" w:eastAsia="Cambria" w:hAnsi="Cambria" w:cs="Times New Roman"/>
      <w:sz w:val="19"/>
    </w:rPr>
  </w:style>
  <w:style w:type="paragraph" w:customStyle="1" w:styleId="TableCaption">
    <w:name w:val="Table Caption"/>
    <w:basedOn w:val="Standard"/>
    <w:next w:val="Standard"/>
    <w:link w:val="TableCaptionChar"/>
    <w:semiHidden/>
    <w:rsid w:val="00FC702B"/>
    <w:pPr>
      <w:spacing w:before="60" w:after="440" w:line="215" w:lineRule="exact"/>
      <w:ind w:left="170"/>
    </w:pPr>
    <w:rPr>
      <w:sz w:val="18"/>
      <w:szCs w:val="19"/>
    </w:rPr>
  </w:style>
  <w:style w:type="character" w:customStyle="1" w:styleId="TabletextChar">
    <w:name w:val="Table text Char"/>
    <w:basedOn w:val="DefaultParagraphFont"/>
    <w:link w:val="Tabletext"/>
    <w:locked/>
    <w:rsid w:val="00FC702B"/>
    <w:rPr>
      <w:rFonts w:ascii="Cambria" w:eastAsia="Cambria" w:hAnsi="Cambria" w:cs="Times New Roman"/>
      <w:sz w:val="19"/>
    </w:rPr>
  </w:style>
  <w:style w:type="paragraph" w:customStyle="1" w:styleId="AssessmentSubsection2">
    <w:name w:val="Assessment Subsection 2"/>
    <w:basedOn w:val="AssessmentSubsection"/>
    <w:next w:val="Standard"/>
    <w:semiHidden/>
    <w:rsid w:val="00FC702B"/>
    <w:pPr>
      <w:outlineLvl w:val="3"/>
    </w:pPr>
    <w:rPr>
      <w:b w:val="0"/>
    </w:rPr>
  </w:style>
  <w:style w:type="paragraph" w:customStyle="1" w:styleId="TableHeader">
    <w:name w:val="Table Header"/>
    <w:basedOn w:val="Normal"/>
    <w:semiHidden/>
    <w:rsid w:val="00FC702B"/>
    <w:pPr>
      <w:keepNext/>
      <w:keepLines/>
      <w:widowControl w:val="0"/>
      <w:spacing w:before="60" w:after="60" w:line="200" w:lineRule="exact"/>
      <w:jc w:val="center"/>
    </w:pPr>
    <w:rPr>
      <w:rFonts w:asciiTheme="minorHAnsi" w:eastAsiaTheme="minorEastAsia" w:hAnsiTheme="minorHAnsi" w:cstheme="minorBidi"/>
      <w:b/>
      <w:kern w:val="2"/>
      <w:sz w:val="19"/>
      <w:szCs w:val="19"/>
      <w:lang w:eastAsia="en-AU"/>
    </w:rPr>
  </w:style>
  <w:style w:type="character" w:customStyle="1" w:styleId="SectionHeadingCharChar">
    <w:name w:val="Section Heading Char Char"/>
    <w:basedOn w:val="DefaultParagraphFont"/>
    <w:link w:val="SectionHeading"/>
    <w:locked/>
    <w:rsid w:val="00FC702B"/>
    <w:rPr>
      <w:rFonts w:ascii="Cambria" w:eastAsia="Times New Roman" w:hAnsi="Cambria" w:cs="Times New Roman"/>
      <w:b/>
      <w:caps/>
      <w:kern w:val="16"/>
      <w:sz w:val="24"/>
      <w:szCs w:val="24"/>
      <w:lang w:eastAsia="en-AU"/>
    </w:rPr>
  </w:style>
  <w:style w:type="paragraph" w:customStyle="1" w:styleId="SectionHeading">
    <w:name w:val="Section Heading"/>
    <w:basedOn w:val="Standard"/>
    <w:next w:val="Standard"/>
    <w:link w:val="SectionHeadingCharChar"/>
    <w:rsid w:val="00FC702B"/>
    <w:pPr>
      <w:keepNext/>
      <w:outlineLvl w:val="0"/>
    </w:pPr>
    <w:rPr>
      <w:b/>
      <w:caps/>
      <w:sz w:val="24"/>
    </w:rPr>
  </w:style>
  <w:style w:type="paragraph" w:customStyle="1" w:styleId="Bulletpoint">
    <w:name w:val="Bullet point"/>
    <w:basedOn w:val="Standard"/>
    <w:rsid w:val="00FC702B"/>
    <w:pPr>
      <w:numPr>
        <w:numId w:val="6"/>
      </w:numPr>
      <w:tabs>
        <w:tab w:val="clear" w:pos="369"/>
        <w:tab w:val="num" w:pos="360"/>
        <w:tab w:val="left" w:pos="397"/>
      </w:tabs>
      <w:spacing w:after="180"/>
      <w:ind w:left="0" w:firstLine="0"/>
    </w:pPr>
  </w:style>
  <w:style w:type="character" w:customStyle="1" w:styleId="st1">
    <w:name w:val="st1"/>
    <w:basedOn w:val="DefaultParagraphFont"/>
    <w:rsid w:val="00FC702B"/>
  </w:style>
  <w:style w:type="table" w:customStyle="1" w:styleId="TableTGAblue1">
    <w:name w:val="Table TGA blue1"/>
    <w:basedOn w:val="TableNormal"/>
    <w:uiPriority w:val="99"/>
    <w:qFormat/>
    <w:rsid w:val="00FC702B"/>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Bullet2">
    <w:name w:val="Bullet 2"/>
    <w:basedOn w:val="Normal"/>
    <w:rsid w:val="00B14064"/>
    <w:pPr>
      <w:numPr>
        <w:numId w:val="7"/>
      </w:numPr>
      <w:spacing w:after="0" w:line="240" w:lineRule="auto"/>
    </w:pPr>
    <w:rPr>
      <w:rFonts w:eastAsia="Times New Roman"/>
      <w:kern w:val="24"/>
      <w:szCs w:val="24"/>
      <w:lang w:eastAsia="en-AU"/>
    </w:rPr>
  </w:style>
  <w:style w:type="paragraph" w:customStyle="1" w:styleId="Bullet1">
    <w:name w:val="Bullet 1"/>
    <w:basedOn w:val="Normal"/>
    <w:rsid w:val="00B14064"/>
    <w:pPr>
      <w:numPr>
        <w:numId w:val="8"/>
      </w:numPr>
      <w:spacing w:after="0" w:line="240" w:lineRule="auto"/>
    </w:pPr>
    <w:rPr>
      <w:rFonts w:eastAsia="Times New Roman"/>
      <w:kern w:val="24"/>
      <w:szCs w:val="24"/>
      <w:lang w:eastAsia="en-AU"/>
    </w:rPr>
  </w:style>
  <w:style w:type="paragraph" w:customStyle="1" w:styleId="Abbreviations">
    <w:name w:val="Abbreviations"/>
    <w:basedOn w:val="Normal"/>
    <w:rsid w:val="000230E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tgc">
    <w:name w:val="_tgc"/>
    <w:basedOn w:val="DefaultParagraphFont"/>
    <w:rsid w:val="00AA3643"/>
  </w:style>
  <w:style w:type="character" w:styleId="Emphasis">
    <w:name w:val="Emphasis"/>
    <w:basedOn w:val="DefaultParagraphFont"/>
    <w:uiPriority w:val="20"/>
    <w:qFormat/>
    <w:rsid w:val="00773FDC"/>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List Number 2" w:uiPriority="0"/>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009D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ind w:left="425"/>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E04BFC"/>
    <w:pPr>
      <w:ind w:left="1134" w:hanging="1134"/>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5A620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Head2">
    <w:name w:val="A-Head 2"/>
    <w:basedOn w:val="Normal"/>
    <w:rsid w:val="005A6209"/>
    <w:pPr>
      <w:tabs>
        <w:tab w:val="left" w:pos="1134"/>
      </w:tabs>
      <w:spacing w:before="240" w:after="60" w:line="240" w:lineRule="auto"/>
      <w:ind w:right="-108"/>
    </w:pPr>
    <w:rPr>
      <w:rFonts w:ascii="Arial" w:eastAsia="Times New Roman" w:hAnsi="Arial"/>
      <w:b/>
      <w:sz w:val="32"/>
      <w:szCs w:val="20"/>
    </w:rPr>
  </w:style>
  <w:style w:type="paragraph" w:customStyle="1" w:styleId="A-Head6">
    <w:name w:val="A-Head 6"/>
    <w:basedOn w:val="Normal"/>
    <w:link w:val="A-Head6Char"/>
    <w:rsid w:val="005A6209"/>
    <w:pPr>
      <w:spacing w:before="60" w:after="0" w:line="240" w:lineRule="auto"/>
    </w:pPr>
    <w:rPr>
      <w:rFonts w:ascii="Arial" w:eastAsia="Times New Roman" w:hAnsi="Arial"/>
      <w:b/>
      <w:szCs w:val="20"/>
      <w:lang w:eastAsia="en-AU"/>
    </w:rPr>
  </w:style>
  <w:style w:type="character" w:customStyle="1" w:styleId="A-Head6Char">
    <w:name w:val="A-Head 6 Char"/>
    <w:link w:val="A-Head6"/>
    <w:rsid w:val="005A6209"/>
    <w:rPr>
      <w:rFonts w:ascii="Arial" w:eastAsia="Times New Roman" w:hAnsi="Arial" w:cs="Times New Roman"/>
      <w:b/>
      <w:szCs w:val="20"/>
      <w:lang w:eastAsia="en-AU"/>
    </w:rPr>
  </w:style>
  <w:style w:type="paragraph" w:customStyle="1" w:styleId="A-Head3">
    <w:name w:val="A-Head 3"/>
    <w:basedOn w:val="Normal"/>
    <w:link w:val="A-Head3Char"/>
    <w:rsid w:val="005A6209"/>
    <w:pPr>
      <w:widowControl w:val="0"/>
      <w:tabs>
        <w:tab w:val="left" w:pos="851"/>
      </w:tabs>
      <w:spacing w:after="60" w:line="240" w:lineRule="auto"/>
      <w:ind w:left="1418" w:right="-108" w:hanging="1418"/>
    </w:pPr>
    <w:rPr>
      <w:rFonts w:ascii="Arial" w:eastAsia="Times New Roman" w:hAnsi="Arial"/>
      <w:b/>
      <w:sz w:val="28"/>
      <w:szCs w:val="20"/>
      <w:lang w:eastAsia="en-AU"/>
    </w:rPr>
  </w:style>
  <w:style w:type="character" w:customStyle="1" w:styleId="A-Head3Char">
    <w:name w:val="A-Head 3 Char"/>
    <w:basedOn w:val="DefaultParagraphFont"/>
    <w:link w:val="A-Head3"/>
    <w:locked/>
    <w:rsid w:val="005A6209"/>
    <w:rPr>
      <w:rFonts w:ascii="Arial" w:eastAsia="Times New Roman" w:hAnsi="Arial" w:cs="Times New Roman"/>
      <w:b/>
      <w:sz w:val="28"/>
      <w:szCs w:val="20"/>
      <w:lang w:eastAsia="en-AU"/>
    </w:rPr>
  </w:style>
  <w:style w:type="paragraph" w:styleId="ListParagraph">
    <w:name w:val="List Paragraph"/>
    <w:basedOn w:val="Normal"/>
    <w:uiPriority w:val="34"/>
    <w:qFormat/>
    <w:rsid w:val="005A6209"/>
    <w:pPr>
      <w:spacing w:before="60" w:after="60" w:line="240" w:lineRule="auto"/>
      <w:ind w:left="720"/>
      <w:jc w:val="both"/>
    </w:pPr>
    <w:rPr>
      <w:rFonts w:ascii="Times New Roman" w:eastAsia="Times New Roman" w:hAnsi="Times New Roman"/>
      <w:sz w:val="24"/>
      <w:lang w:eastAsia="en-AU"/>
    </w:rPr>
  </w:style>
  <w:style w:type="character" w:customStyle="1" w:styleId="StandardChar">
    <w:name w:val="Standard Char"/>
    <w:basedOn w:val="DefaultParagraphFont"/>
    <w:link w:val="Standard"/>
    <w:locked/>
    <w:rsid w:val="00FC702B"/>
    <w:rPr>
      <w:rFonts w:ascii="Cambria" w:eastAsia="Times New Roman" w:hAnsi="Cambria" w:cs="Times New Roman"/>
      <w:kern w:val="16"/>
      <w:szCs w:val="24"/>
      <w:lang w:eastAsia="en-AU"/>
    </w:rPr>
  </w:style>
  <w:style w:type="paragraph" w:customStyle="1" w:styleId="Standard">
    <w:name w:val="Standard"/>
    <w:basedOn w:val="Normal"/>
    <w:link w:val="StandardChar"/>
    <w:qFormat/>
    <w:rsid w:val="00FC702B"/>
    <w:pPr>
      <w:snapToGrid w:val="0"/>
      <w:spacing w:before="0" w:after="200" w:line="240" w:lineRule="exact"/>
    </w:pPr>
    <w:rPr>
      <w:rFonts w:eastAsia="Times New Roman"/>
      <w:kern w:val="16"/>
      <w:szCs w:val="24"/>
      <w:lang w:eastAsia="en-AU"/>
    </w:rPr>
  </w:style>
  <w:style w:type="paragraph" w:customStyle="1" w:styleId="AssessmentSubsection">
    <w:name w:val="Assessment Subsection"/>
    <w:basedOn w:val="Standard"/>
    <w:next w:val="Standard"/>
    <w:rsid w:val="00FC702B"/>
    <w:pPr>
      <w:keepNext/>
      <w:spacing w:after="110"/>
      <w:outlineLvl w:val="2"/>
    </w:pPr>
    <w:rPr>
      <w:b/>
      <w:i/>
    </w:rPr>
  </w:style>
  <w:style w:type="paragraph" w:customStyle="1" w:styleId="AssessmentSection">
    <w:name w:val="Assessment Section"/>
    <w:basedOn w:val="AssessmentSubsection"/>
    <w:next w:val="Standard"/>
    <w:rsid w:val="00FC702B"/>
    <w:pPr>
      <w:outlineLvl w:val="1"/>
    </w:pPr>
    <w:rPr>
      <w:i w:val="0"/>
    </w:rPr>
  </w:style>
  <w:style w:type="paragraph" w:styleId="ListNumber2">
    <w:name w:val="List Number 2"/>
    <w:basedOn w:val="Normal"/>
    <w:semiHidden/>
    <w:unhideWhenUsed/>
    <w:rsid w:val="00FC702B"/>
    <w:pPr>
      <w:numPr>
        <w:numId w:val="5"/>
      </w:numPr>
      <w:spacing w:before="0" w:after="200" w:line="276" w:lineRule="auto"/>
    </w:pPr>
    <w:rPr>
      <w:rFonts w:ascii="Times New Roman" w:eastAsia="Times New Roman" w:hAnsi="Times New Roman"/>
      <w:sz w:val="24"/>
      <w:szCs w:val="24"/>
      <w:lang w:eastAsia="en-AU"/>
    </w:rPr>
  </w:style>
  <w:style w:type="character" w:customStyle="1" w:styleId="TableTitleChar">
    <w:name w:val="Table Title Char"/>
    <w:basedOn w:val="StandardChar"/>
    <w:link w:val="TableTitle"/>
    <w:locked/>
    <w:rsid w:val="00FC702B"/>
    <w:rPr>
      <w:rFonts w:ascii="Cambria" w:eastAsia="Cambria" w:hAnsi="Cambria" w:cs="Times New Roman"/>
      <w:b/>
      <w:kern w:val="16"/>
      <w:szCs w:val="24"/>
      <w:lang w:eastAsia="en-AU"/>
    </w:rPr>
  </w:style>
  <w:style w:type="character" w:customStyle="1" w:styleId="TableCaptionChar">
    <w:name w:val="Table Caption Char"/>
    <w:basedOn w:val="TabletextChar"/>
    <w:link w:val="TableCaption"/>
    <w:semiHidden/>
    <w:locked/>
    <w:rsid w:val="00FC702B"/>
    <w:rPr>
      <w:rFonts w:ascii="Cambria" w:eastAsia="Cambria" w:hAnsi="Cambria" w:cs="Times New Roman"/>
      <w:sz w:val="19"/>
    </w:rPr>
  </w:style>
  <w:style w:type="paragraph" w:customStyle="1" w:styleId="TableCaption">
    <w:name w:val="Table Caption"/>
    <w:basedOn w:val="Standard"/>
    <w:next w:val="Standard"/>
    <w:link w:val="TableCaptionChar"/>
    <w:semiHidden/>
    <w:rsid w:val="00FC702B"/>
    <w:pPr>
      <w:spacing w:before="60" w:after="440" w:line="215" w:lineRule="exact"/>
      <w:ind w:left="170"/>
    </w:pPr>
    <w:rPr>
      <w:sz w:val="18"/>
      <w:szCs w:val="19"/>
    </w:rPr>
  </w:style>
  <w:style w:type="character" w:customStyle="1" w:styleId="TabletextChar">
    <w:name w:val="Table text Char"/>
    <w:basedOn w:val="DefaultParagraphFont"/>
    <w:link w:val="Tabletext"/>
    <w:locked/>
    <w:rsid w:val="00FC702B"/>
    <w:rPr>
      <w:rFonts w:ascii="Cambria" w:eastAsia="Cambria" w:hAnsi="Cambria" w:cs="Times New Roman"/>
      <w:sz w:val="19"/>
    </w:rPr>
  </w:style>
  <w:style w:type="paragraph" w:customStyle="1" w:styleId="AssessmentSubsection2">
    <w:name w:val="Assessment Subsection 2"/>
    <w:basedOn w:val="AssessmentSubsection"/>
    <w:next w:val="Standard"/>
    <w:semiHidden/>
    <w:rsid w:val="00FC702B"/>
    <w:pPr>
      <w:outlineLvl w:val="3"/>
    </w:pPr>
    <w:rPr>
      <w:b w:val="0"/>
    </w:rPr>
  </w:style>
  <w:style w:type="paragraph" w:customStyle="1" w:styleId="TableHeader">
    <w:name w:val="Table Header"/>
    <w:basedOn w:val="Normal"/>
    <w:semiHidden/>
    <w:rsid w:val="00FC702B"/>
    <w:pPr>
      <w:keepNext/>
      <w:keepLines/>
      <w:widowControl w:val="0"/>
      <w:spacing w:before="60" w:after="60" w:line="200" w:lineRule="exact"/>
      <w:jc w:val="center"/>
    </w:pPr>
    <w:rPr>
      <w:rFonts w:asciiTheme="minorHAnsi" w:eastAsiaTheme="minorEastAsia" w:hAnsiTheme="minorHAnsi" w:cstheme="minorBidi"/>
      <w:b/>
      <w:kern w:val="2"/>
      <w:sz w:val="19"/>
      <w:szCs w:val="19"/>
      <w:lang w:eastAsia="en-AU"/>
    </w:rPr>
  </w:style>
  <w:style w:type="character" w:customStyle="1" w:styleId="SectionHeadingCharChar">
    <w:name w:val="Section Heading Char Char"/>
    <w:basedOn w:val="DefaultParagraphFont"/>
    <w:link w:val="SectionHeading"/>
    <w:locked/>
    <w:rsid w:val="00FC702B"/>
    <w:rPr>
      <w:rFonts w:ascii="Cambria" w:eastAsia="Times New Roman" w:hAnsi="Cambria" w:cs="Times New Roman"/>
      <w:b/>
      <w:caps/>
      <w:kern w:val="16"/>
      <w:sz w:val="24"/>
      <w:szCs w:val="24"/>
      <w:lang w:eastAsia="en-AU"/>
    </w:rPr>
  </w:style>
  <w:style w:type="paragraph" w:customStyle="1" w:styleId="SectionHeading">
    <w:name w:val="Section Heading"/>
    <w:basedOn w:val="Standard"/>
    <w:next w:val="Standard"/>
    <w:link w:val="SectionHeadingCharChar"/>
    <w:rsid w:val="00FC702B"/>
    <w:pPr>
      <w:keepNext/>
      <w:outlineLvl w:val="0"/>
    </w:pPr>
    <w:rPr>
      <w:b/>
      <w:caps/>
      <w:sz w:val="24"/>
    </w:rPr>
  </w:style>
  <w:style w:type="paragraph" w:customStyle="1" w:styleId="Bulletpoint">
    <w:name w:val="Bullet point"/>
    <w:basedOn w:val="Standard"/>
    <w:rsid w:val="00FC702B"/>
    <w:pPr>
      <w:numPr>
        <w:numId w:val="6"/>
      </w:numPr>
      <w:tabs>
        <w:tab w:val="clear" w:pos="369"/>
        <w:tab w:val="num" w:pos="360"/>
        <w:tab w:val="left" w:pos="397"/>
      </w:tabs>
      <w:spacing w:after="180"/>
      <w:ind w:left="0" w:firstLine="0"/>
    </w:pPr>
  </w:style>
  <w:style w:type="character" w:customStyle="1" w:styleId="st1">
    <w:name w:val="st1"/>
    <w:basedOn w:val="DefaultParagraphFont"/>
    <w:rsid w:val="00FC702B"/>
  </w:style>
  <w:style w:type="table" w:customStyle="1" w:styleId="TableTGAblue1">
    <w:name w:val="Table TGA blue1"/>
    <w:basedOn w:val="TableNormal"/>
    <w:uiPriority w:val="99"/>
    <w:qFormat/>
    <w:rsid w:val="00FC702B"/>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Bullet2">
    <w:name w:val="Bullet 2"/>
    <w:basedOn w:val="Normal"/>
    <w:rsid w:val="00B14064"/>
    <w:pPr>
      <w:numPr>
        <w:numId w:val="7"/>
      </w:numPr>
      <w:spacing w:after="0" w:line="240" w:lineRule="auto"/>
    </w:pPr>
    <w:rPr>
      <w:rFonts w:eastAsia="Times New Roman"/>
      <w:kern w:val="24"/>
      <w:szCs w:val="24"/>
      <w:lang w:eastAsia="en-AU"/>
    </w:rPr>
  </w:style>
  <w:style w:type="paragraph" w:customStyle="1" w:styleId="Bullet1">
    <w:name w:val="Bullet 1"/>
    <w:basedOn w:val="Normal"/>
    <w:rsid w:val="00B14064"/>
    <w:pPr>
      <w:numPr>
        <w:numId w:val="8"/>
      </w:numPr>
      <w:spacing w:after="0" w:line="240" w:lineRule="auto"/>
    </w:pPr>
    <w:rPr>
      <w:rFonts w:eastAsia="Times New Roman"/>
      <w:kern w:val="24"/>
      <w:szCs w:val="24"/>
      <w:lang w:eastAsia="en-AU"/>
    </w:rPr>
  </w:style>
  <w:style w:type="paragraph" w:customStyle="1" w:styleId="Abbreviations">
    <w:name w:val="Abbreviations"/>
    <w:basedOn w:val="Normal"/>
    <w:rsid w:val="000230E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tgc">
    <w:name w:val="_tgc"/>
    <w:basedOn w:val="DefaultParagraphFont"/>
    <w:rsid w:val="00AA3643"/>
  </w:style>
  <w:style w:type="character" w:styleId="Emphasis">
    <w:name w:val="Emphasis"/>
    <w:basedOn w:val="DefaultParagraphFont"/>
    <w:uiPriority w:val="20"/>
    <w:qFormat/>
    <w:rsid w:val="00773FDC"/>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1311">
      <w:bodyDiv w:val="1"/>
      <w:marLeft w:val="0"/>
      <w:marRight w:val="0"/>
      <w:marTop w:val="0"/>
      <w:marBottom w:val="0"/>
      <w:divBdr>
        <w:top w:val="none" w:sz="0" w:space="0" w:color="auto"/>
        <w:left w:val="none" w:sz="0" w:space="0" w:color="auto"/>
        <w:bottom w:val="none" w:sz="0" w:space="0" w:color="auto"/>
        <w:right w:val="none" w:sz="0" w:space="0" w:color="auto"/>
      </w:divBdr>
    </w:div>
    <w:div w:id="123273974">
      <w:bodyDiv w:val="1"/>
      <w:marLeft w:val="0"/>
      <w:marRight w:val="0"/>
      <w:marTop w:val="0"/>
      <w:marBottom w:val="0"/>
      <w:divBdr>
        <w:top w:val="none" w:sz="0" w:space="0" w:color="auto"/>
        <w:left w:val="none" w:sz="0" w:space="0" w:color="auto"/>
        <w:bottom w:val="none" w:sz="0" w:space="0" w:color="auto"/>
        <w:right w:val="none" w:sz="0" w:space="0" w:color="auto"/>
      </w:divBdr>
    </w:div>
    <w:div w:id="265115736">
      <w:bodyDiv w:val="1"/>
      <w:marLeft w:val="0"/>
      <w:marRight w:val="0"/>
      <w:marTop w:val="0"/>
      <w:marBottom w:val="0"/>
      <w:divBdr>
        <w:top w:val="none" w:sz="0" w:space="0" w:color="auto"/>
        <w:left w:val="none" w:sz="0" w:space="0" w:color="auto"/>
        <w:bottom w:val="none" w:sz="0" w:space="0" w:color="auto"/>
        <w:right w:val="none" w:sz="0" w:space="0" w:color="auto"/>
      </w:divBdr>
      <w:divsChild>
        <w:div w:id="1737435066">
          <w:marLeft w:val="0"/>
          <w:marRight w:val="0"/>
          <w:marTop w:val="0"/>
          <w:marBottom w:val="0"/>
          <w:divBdr>
            <w:top w:val="none" w:sz="0" w:space="0" w:color="auto"/>
            <w:left w:val="none" w:sz="0" w:space="0" w:color="auto"/>
            <w:bottom w:val="none" w:sz="0" w:space="0" w:color="auto"/>
            <w:right w:val="none" w:sz="0" w:space="0" w:color="auto"/>
          </w:divBdr>
          <w:divsChild>
            <w:div w:id="383023065">
              <w:marLeft w:val="0"/>
              <w:marRight w:val="0"/>
              <w:marTop w:val="0"/>
              <w:marBottom w:val="0"/>
              <w:divBdr>
                <w:top w:val="none" w:sz="0" w:space="0" w:color="auto"/>
                <w:left w:val="none" w:sz="0" w:space="0" w:color="auto"/>
                <w:bottom w:val="none" w:sz="0" w:space="0" w:color="auto"/>
                <w:right w:val="none" w:sz="0" w:space="0" w:color="auto"/>
              </w:divBdr>
              <w:divsChild>
                <w:div w:id="1930776679">
                  <w:marLeft w:val="0"/>
                  <w:marRight w:val="0"/>
                  <w:marTop w:val="0"/>
                  <w:marBottom w:val="0"/>
                  <w:divBdr>
                    <w:top w:val="none" w:sz="0" w:space="0" w:color="auto"/>
                    <w:left w:val="none" w:sz="0" w:space="0" w:color="auto"/>
                    <w:bottom w:val="none" w:sz="0" w:space="0" w:color="auto"/>
                    <w:right w:val="none" w:sz="0" w:space="0" w:color="auto"/>
                  </w:divBdr>
                  <w:divsChild>
                    <w:div w:id="1709797023">
                      <w:marLeft w:val="0"/>
                      <w:marRight w:val="0"/>
                      <w:marTop w:val="0"/>
                      <w:marBottom w:val="0"/>
                      <w:divBdr>
                        <w:top w:val="none" w:sz="0" w:space="0" w:color="auto"/>
                        <w:left w:val="none" w:sz="0" w:space="0" w:color="auto"/>
                        <w:bottom w:val="none" w:sz="0" w:space="0" w:color="auto"/>
                        <w:right w:val="none" w:sz="0" w:space="0" w:color="auto"/>
                      </w:divBdr>
                      <w:divsChild>
                        <w:div w:id="536813473">
                          <w:marLeft w:val="0"/>
                          <w:marRight w:val="0"/>
                          <w:marTop w:val="0"/>
                          <w:marBottom w:val="0"/>
                          <w:divBdr>
                            <w:top w:val="none" w:sz="0" w:space="0" w:color="auto"/>
                            <w:left w:val="none" w:sz="0" w:space="0" w:color="auto"/>
                            <w:bottom w:val="none" w:sz="0" w:space="0" w:color="auto"/>
                            <w:right w:val="none" w:sz="0" w:space="0" w:color="auto"/>
                          </w:divBdr>
                          <w:divsChild>
                            <w:div w:id="852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186673">
      <w:bodyDiv w:val="1"/>
      <w:marLeft w:val="0"/>
      <w:marRight w:val="0"/>
      <w:marTop w:val="0"/>
      <w:marBottom w:val="0"/>
      <w:divBdr>
        <w:top w:val="none" w:sz="0" w:space="0" w:color="auto"/>
        <w:left w:val="none" w:sz="0" w:space="0" w:color="auto"/>
        <w:bottom w:val="none" w:sz="0" w:space="0" w:color="auto"/>
        <w:right w:val="none" w:sz="0" w:space="0" w:color="auto"/>
      </w:divBdr>
    </w:div>
    <w:div w:id="413940435">
      <w:bodyDiv w:val="1"/>
      <w:marLeft w:val="0"/>
      <w:marRight w:val="0"/>
      <w:marTop w:val="0"/>
      <w:marBottom w:val="0"/>
      <w:divBdr>
        <w:top w:val="none" w:sz="0" w:space="0" w:color="auto"/>
        <w:left w:val="none" w:sz="0" w:space="0" w:color="auto"/>
        <w:bottom w:val="none" w:sz="0" w:space="0" w:color="auto"/>
        <w:right w:val="none" w:sz="0" w:space="0" w:color="auto"/>
      </w:divBdr>
    </w:div>
    <w:div w:id="450825792">
      <w:bodyDiv w:val="1"/>
      <w:marLeft w:val="0"/>
      <w:marRight w:val="0"/>
      <w:marTop w:val="0"/>
      <w:marBottom w:val="0"/>
      <w:divBdr>
        <w:top w:val="none" w:sz="0" w:space="0" w:color="auto"/>
        <w:left w:val="none" w:sz="0" w:space="0" w:color="auto"/>
        <w:bottom w:val="none" w:sz="0" w:space="0" w:color="auto"/>
        <w:right w:val="none" w:sz="0" w:space="0" w:color="auto"/>
      </w:divBdr>
    </w:div>
    <w:div w:id="458845853">
      <w:bodyDiv w:val="1"/>
      <w:marLeft w:val="0"/>
      <w:marRight w:val="0"/>
      <w:marTop w:val="0"/>
      <w:marBottom w:val="0"/>
      <w:divBdr>
        <w:top w:val="none" w:sz="0" w:space="0" w:color="auto"/>
        <w:left w:val="none" w:sz="0" w:space="0" w:color="auto"/>
        <w:bottom w:val="none" w:sz="0" w:space="0" w:color="auto"/>
        <w:right w:val="none" w:sz="0" w:space="0" w:color="auto"/>
      </w:divBdr>
    </w:div>
    <w:div w:id="543251119">
      <w:bodyDiv w:val="1"/>
      <w:marLeft w:val="0"/>
      <w:marRight w:val="0"/>
      <w:marTop w:val="0"/>
      <w:marBottom w:val="0"/>
      <w:divBdr>
        <w:top w:val="none" w:sz="0" w:space="0" w:color="auto"/>
        <w:left w:val="none" w:sz="0" w:space="0" w:color="auto"/>
        <w:bottom w:val="none" w:sz="0" w:space="0" w:color="auto"/>
        <w:right w:val="none" w:sz="0" w:space="0" w:color="auto"/>
      </w:divBdr>
    </w:div>
    <w:div w:id="590311496">
      <w:bodyDiv w:val="1"/>
      <w:marLeft w:val="0"/>
      <w:marRight w:val="0"/>
      <w:marTop w:val="0"/>
      <w:marBottom w:val="0"/>
      <w:divBdr>
        <w:top w:val="none" w:sz="0" w:space="0" w:color="auto"/>
        <w:left w:val="none" w:sz="0" w:space="0" w:color="auto"/>
        <w:bottom w:val="none" w:sz="0" w:space="0" w:color="auto"/>
        <w:right w:val="none" w:sz="0" w:space="0" w:color="auto"/>
      </w:divBdr>
    </w:div>
    <w:div w:id="632171799">
      <w:bodyDiv w:val="1"/>
      <w:marLeft w:val="0"/>
      <w:marRight w:val="0"/>
      <w:marTop w:val="0"/>
      <w:marBottom w:val="0"/>
      <w:divBdr>
        <w:top w:val="none" w:sz="0" w:space="0" w:color="auto"/>
        <w:left w:val="none" w:sz="0" w:space="0" w:color="auto"/>
        <w:bottom w:val="none" w:sz="0" w:space="0" w:color="auto"/>
        <w:right w:val="none" w:sz="0" w:space="0" w:color="auto"/>
      </w:divBdr>
    </w:div>
    <w:div w:id="699285953">
      <w:bodyDiv w:val="1"/>
      <w:marLeft w:val="0"/>
      <w:marRight w:val="0"/>
      <w:marTop w:val="0"/>
      <w:marBottom w:val="0"/>
      <w:divBdr>
        <w:top w:val="none" w:sz="0" w:space="0" w:color="auto"/>
        <w:left w:val="none" w:sz="0" w:space="0" w:color="auto"/>
        <w:bottom w:val="none" w:sz="0" w:space="0" w:color="auto"/>
        <w:right w:val="none" w:sz="0" w:space="0" w:color="auto"/>
      </w:divBdr>
    </w:div>
    <w:div w:id="707874875">
      <w:bodyDiv w:val="1"/>
      <w:marLeft w:val="0"/>
      <w:marRight w:val="0"/>
      <w:marTop w:val="0"/>
      <w:marBottom w:val="0"/>
      <w:divBdr>
        <w:top w:val="none" w:sz="0" w:space="0" w:color="auto"/>
        <w:left w:val="none" w:sz="0" w:space="0" w:color="auto"/>
        <w:bottom w:val="none" w:sz="0" w:space="0" w:color="auto"/>
        <w:right w:val="none" w:sz="0" w:space="0" w:color="auto"/>
      </w:divBdr>
    </w:div>
    <w:div w:id="718164224">
      <w:bodyDiv w:val="1"/>
      <w:marLeft w:val="0"/>
      <w:marRight w:val="0"/>
      <w:marTop w:val="0"/>
      <w:marBottom w:val="0"/>
      <w:divBdr>
        <w:top w:val="none" w:sz="0" w:space="0" w:color="auto"/>
        <w:left w:val="none" w:sz="0" w:space="0" w:color="auto"/>
        <w:bottom w:val="none" w:sz="0" w:space="0" w:color="auto"/>
        <w:right w:val="none" w:sz="0" w:space="0" w:color="auto"/>
      </w:divBdr>
    </w:div>
    <w:div w:id="848913363">
      <w:bodyDiv w:val="1"/>
      <w:marLeft w:val="0"/>
      <w:marRight w:val="0"/>
      <w:marTop w:val="0"/>
      <w:marBottom w:val="0"/>
      <w:divBdr>
        <w:top w:val="none" w:sz="0" w:space="0" w:color="auto"/>
        <w:left w:val="none" w:sz="0" w:space="0" w:color="auto"/>
        <w:bottom w:val="none" w:sz="0" w:space="0" w:color="auto"/>
        <w:right w:val="none" w:sz="0" w:space="0" w:color="auto"/>
      </w:divBdr>
    </w:div>
    <w:div w:id="851528607">
      <w:bodyDiv w:val="1"/>
      <w:marLeft w:val="0"/>
      <w:marRight w:val="0"/>
      <w:marTop w:val="0"/>
      <w:marBottom w:val="0"/>
      <w:divBdr>
        <w:top w:val="none" w:sz="0" w:space="0" w:color="auto"/>
        <w:left w:val="none" w:sz="0" w:space="0" w:color="auto"/>
        <w:bottom w:val="none" w:sz="0" w:space="0" w:color="auto"/>
        <w:right w:val="none" w:sz="0" w:space="0" w:color="auto"/>
      </w:divBdr>
    </w:div>
    <w:div w:id="856773011">
      <w:bodyDiv w:val="1"/>
      <w:marLeft w:val="0"/>
      <w:marRight w:val="0"/>
      <w:marTop w:val="0"/>
      <w:marBottom w:val="0"/>
      <w:divBdr>
        <w:top w:val="none" w:sz="0" w:space="0" w:color="auto"/>
        <w:left w:val="none" w:sz="0" w:space="0" w:color="auto"/>
        <w:bottom w:val="none" w:sz="0" w:space="0" w:color="auto"/>
        <w:right w:val="none" w:sz="0" w:space="0" w:color="auto"/>
      </w:divBdr>
    </w:div>
    <w:div w:id="878470123">
      <w:bodyDiv w:val="1"/>
      <w:marLeft w:val="0"/>
      <w:marRight w:val="0"/>
      <w:marTop w:val="0"/>
      <w:marBottom w:val="0"/>
      <w:divBdr>
        <w:top w:val="none" w:sz="0" w:space="0" w:color="auto"/>
        <w:left w:val="none" w:sz="0" w:space="0" w:color="auto"/>
        <w:bottom w:val="none" w:sz="0" w:space="0" w:color="auto"/>
        <w:right w:val="none" w:sz="0" w:space="0" w:color="auto"/>
      </w:divBdr>
    </w:div>
    <w:div w:id="910577730">
      <w:bodyDiv w:val="1"/>
      <w:marLeft w:val="0"/>
      <w:marRight w:val="0"/>
      <w:marTop w:val="0"/>
      <w:marBottom w:val="0"/>
      <w:divBdr>
        <w:top w:val="none" w:sz="0" w:space="0" w:color="auto"/>
        <w:left w:val="none" w:sz="0" w:space="0" w:color="auto"/>
        <w:bottom w:val="none" w:sz="0" w:space="0" w:color="auto"/>
        <w:right w:val="none" w:sz="0" w:space="0" w:color="auto"/>
      </w:divBdr>
    </w:div>
    <w:div w:id="920060369">
      <w:bodyDiv w:val="1"/>
      <w:marLeft w:val="0"/>
      <w:marRight w:val="0"/>
      <w:marTop w:val="0"/>
      <w:marBottom w:val="0"/>
      <w:divBdr>
        <w:top w:val="none" w:sz="0" w:space="0" w:color="auto"/>
        <w:left w:val="none" w:sz="0" w:space="0" w:color="auto"/>
        <w:bottom w:val="none" w:sz="0" w:space="0" w:color="auto"/>
        <w:right w:val="none" w:sz="0" w:space="0" w:color="auto"/>
      </w:divBdr>
    </w:div>
    <w:div w:id="960503079">
      <w:bodyDiv w:val="1"/>
      <w:marLeft w:val="0"/>
      <w:marRight w:val="0"/>
      <w:marTop w:val="0"/>
      <w:marBottom w:val="0"/>
      <w:divBdr>
        <w:top w:val="none" w:sz="0" w:space="0" w:color="auto"/>
        <w:left w:val="none" w:sz="0" w:space="0" w:color="auto"/>
        <w:bottom w:val="none" w:sz="0" w:space="0" w:color="auto"/>
        <w:right w:val="none" w:sz="0" w:space="0" w:color="auto"/>
      </w:divBdr>
    </w:div>
    <w:div w:id="1021398182">
      <w:bodyDiv w:val="1"/>
      <w:marLeft w:val="0"/>
      <w:marRight w:val="0"/>
      <w:marTop w:val="0"/>
      <w:marBottom w:val="0"/>
      <w:divBdr>
        <w:top w:val="none" w:sz="0" w:space="0" w:color="auto"/>
        <w:left w:val="none" w:sz="0" w:space="0" w:color="auto"/>
        <w:bottom w:val="none" w:sz="0" w:space="0" w:color="auto"/>
        <w:right w:val="none" w:sz="0" w:space="0" w:color="auto"/>
      </w:divBdr>
    </w:div>
    <w:div w:id="1065687019">
      <w:bodyDiv w:val="1"/>
      <w:marLeft w:val="0"/>
      <w:marRight w:val="0"/>
      <w:marTop w:val="0"/>
      <w:marBottom w:val="0"/>
      <w:divBdr>
        <w:top w:val="none" w:sz="0" w:space="0" w:color="auto"/>
        <w:left w:val="none" w:sz="0" w:space="0" w:color="auto"/>
        <w:bottom w:val="none" w:sz="0" w:space="0" w:color="auto"/>
        <w:right w:val="none" w:sz="0" w:space="0" w:color="auto"/>
      </w:divBdr>
    </w:div>
    <w:div w:id="1117793175">
      <w:bodyDiv w:val="1"/>
      <w:marLeft w:val="0"/>
      <w:marRight w:val="0"/>
      <w:marTop w:val="0"/>
      <w:marBottom w:val="0"/>
      <w:divBdr>
        <w:top w:val="none" w:sz="0" w:space="0" w:color="auto"/>
        <w:left w:val="none" w:sz="0" w:space="0" w:color="auto"/>
        <w:bottom w:val="none" w:sz="0" w:space="0" w:color="auto"/>
        <w:right w:val="none" w:sz="0" w:space="0" w:color="auto"/>
      </w:divBdr>
    </w:div>
    <w:div w:id="1137994659">
      <w:bodyDiv w:val="1"/>
      <w:marLeft w:val="0"/>
      <w:marRight w:val="0"/>
      <w:marTop w:val="0"/>
      <w:marBottom w:val="0"/>
      <w:divBdr>
        <w:top w:val="none" w:sz="0" w:space="0" w:color="auto"/>
        <w:left w:val="none" w:sz="0" w:space="0" w:color="auto"/>
        <w:bottom w:val="none" w:sz="0" w:space="0" w:color="auto"/>
        <w:right w:val="none" w:sz="0" w:space="0" w:color="auto"/>
      </w:divBdr>
    </w:div>
    <w:div w:id="1209295916">
      <w:bodyDiv w:val="1"/>
      <w:marLeft w:val="0"/>
      <w:marRight w:val="0"/>
      <w:marTop w:val="0"/>
      <w:marBottom w:val="0"/>
      <w:divBdr>
        <w:top w:val="none" w:sz="0" w:space="0" w:color="auto"/>
        <w:left w:val="none" w:sz="0" w:space="0" w:color="auto"/>
        <w:bottom w:val="none" w:sz="0" w:space="0" w:color="auto"/>
        <w:right w:val="none" w:sz="0" w:space="0" w:color="auto"/>
      </w:divBdr>
    </w:div>
    <w:div w:id="1310281475">
      <w:bodyDiv w:val="1"/>
      <w:marLeft w:val="0"/>
      <w:marRight w:val="0"/>
      <w:marTop w:val="0"/>
      <w:marBottom w:val="0"/>
      <w:divBdr>
        <w:top w:val="none" w:sz="0" w:space="0" w:color="auto"/>
        <w:left w:val="none" w:sz="0" w:space="0" w:color="auto"/>
        <w:bottom w:val="none" w:sz="0" w:space="0" w:color="auto"/>
        <w:right w:val="none" w:sz="0" w:space="0" w:color="auto"/>
      </w:divBdr>
    </w:div>
    <w:div w:id="1408309093">
      <w:bodyDiv w:val="1"/>
      <w:marLeft w:val="0"/>
      <w:marRight w:val="0"/>
      <w:marTop w:val="0"/>
      <w:marBottom w:val="0"/>
      <w:divBdr>
        <w:top w:val="none" w:sz="0" w:space="0" w:color="auto"/>
        <w:left w:val="none" w:sz="0" w:space="0" w:color="auto"/>
        <w:bottom w:val="none" w:sz="0" w:space="0" w:color="auto"/>
        <w:right w:val="none" w:sz="0" w:space="0" w:color="auto"/>
      </w:divBdr>
    </w:div>
    <w:div w:id="1532186447">
      <w:bodyDiv w:val="1"/>
      <w:marLeft w:val="0"/>
      <w:marRight w:val="0"/>
      <w:marTop w:val="0"/>
      <w:marBottom w:val="0"/>
      <w:divBdr>
        <w:top w:val="none" w:sz="0" w:space="0" w:color="auto"/>
        <w:left w:val="none" w:sz="0" w:space="0" w:color="auto"/>
        <w:bottom w:val="none" w:sz="0" w:space="0" w:color="auto"/>
        <w:right w:val="none" w:sz="0" w:space="0" w:color="auto"/>
      </w:divBdr>
      <w:divsChild>
        <w:div w:id="924530491">
          <w:marLeft w:val="0"/>
          <w:marRight w:val="0"/>
          <w:marTop w:val="0"/>
          <w:marBottom w:val="0"/>
          <w:divBdr>
            <w:top w:val="none" w:sz="0" w:space="0" w:color="auto"/>
            <w:left w:val="none" w:sz="0" w:space="0" w:color="auto"/>
            <w:bottom w:val="none" w:sz="0" w:space="0" w:color="auto"/>
            <w:right w:val="none" w:sz="0" w:space="0" w:color="auto"/>
          </w:divBdr>
          <w:divsChild>
            <w:div w:id="1598177046">
              <w:marLeft w:val="0"/>
              <w:marRight w:val="0"/>
              <w:marTop w:val="0"/>
              <w:marBottom w:val="0"/>
              <w:divBdr>
                <w:top w:val="none" w:sz="0" w:space="0" w:color="auto"/>
                <w:left w:val="none" w:sz="0" w:space="0" w:color="auto"/>
                <w:bottom w:val="none" w:sz="0" w:space="0" w:color="auto"/>
                <w:right w:val="none" w:sz="0" w:space="0" w:color="auto"/>
              </w:divBdr>
              <w:divsChild>
                <w:div w:id="1468157800">
                  <w:marLeft w:val="0"/>
                  <w:marRight w:val="0"/>
                  <w:marTop w:val="0"/>
                  <w:marBottom w:val="0"/>
                  <w:divBdr>
                    <w:top w:val="none" w:sz="0" w:space="0" w:color="auto"/>
                    <w:left w:val="none" w:sz="0" w:space="0" w:color="auto"/>
                    <w:bottom w:val="none" w:sz="0" w:space="0" w:color="auto"/>
                    <w:right w:val="none" w:sz="0" w:space="0" w:color="auto"/>
                  </w:divBdr>
                  <w:divsChild>
                    <w:div w:id="1851139991">
                      <w:marLeft w:val="0"/>
                      <w:marRight w:val="0"/>
                      <w:marTop w:val="0"/>
                      <w:marBottom w:val="0"/>
                      <w:divBdr>
                        <w:top w:val="none" w:sz="0" w:space="0" w:color="auto"/>
                        <w:left w:val="none" w:sz="0" w:space="0" w:color="auto"/>
                        <w:bottom w:val="none" w:sz="0" w:space="0" w:color="auto"/>
                        <w:right w:val="none" w:sz="0" w:space="0" w:color="auto"/>
                      </w:divBdr>
                      <w:divsChild>
                        <w:div w:id="1065646495">
                          <w:marLeft w:val="0"/>
                          <w:marRight w:val="0"/>
                          <w:marTop w:val="0"/>
                          <w:marBottom w:val="0"/>
                          <w:divBdr>
                            <w:top w:val="none" w:sz="0" w:space="0" w:color="auto"/>
                            <w:left w:val="none" w:sz="0" w:space="0" w:color="auto"/>
                            <w:bottom w:val="none" w:sz="0" w:space="0" w:color="auto"/>
                            <w:right w:val="none" w:sz="0" w:space="0" w:color="auto"/>
                          </w:divBdr>
                          <w:divsChild>
                            <w:div w:id="7453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581862">
      <w:bodyDiv w:val="1"/>
      <w:marLeft w:val="0"/>
      <w:marRight w:val="0"/>
      <w:marTop w:val="0"/>
      <w:marBottom w:val="0"/>
      <w:divBdr>
        <w:top w:val="none" w:sz="0" w:space="0" w:color="auto"/>
        <w:left w:val="none" w:sz="0" w:space="0" w:color="auto"/>
        <w:bottom w:val="none" w:sz="0" w:space="0" w:color="auto"/>
        <w:right w:val="none" w:sz="0" w:space="0" w:color="auto"/>
      </w:divBdr>
    </w:div>
    <w:div w:id="1724013987">
      <w:bodyDiv w:val="1"/>
      <w:marLeft w:val="0"/>
      <w:marRight w:val="0"/>
      <w:marTop w:val="0"/>
      <w:marBottom w:val="0"/>
      <w:divBdr>
        <w:top w:val="none" w:sz="0" w:space="0" w:color="auto"/>
        <w:left w:val="none" w:sz="0" w:space="0" w:color="auto"/>
        <w:bottom w:val="none" w:sz="0" w:space="0" w:color="auto"/>
        <w:right w:val="none" w:sz="0" w:space="0" w:color="auto"/>
      </w:divBdr>
    </w:div>
    <w:div w:id="1898710069">
      <w:bodyDiv w:val="1"/>
      <w:marLeft w:val="0"/>
      <w:marRight w:val="0"/>
      <w:marTop w:val="0"/>
      <w:marBottom w:val="0"/>
      <w:divBdr>
        <w:top w:val="none" w:sz="0" w:space="0" w:color="auto"/>
        <w:left w:val="none" w:sz="0" w:space="0" w:color="auto"/>
        <w:bottom w:val="none" w:sz="0" w:space="0" w:color="auto"/>
        <w:right w:val="none" w:sz="0" w:space="0" w:color="auto"/>
      </w:divBdr>
    </w:div>
    <w:div w:id="1977905195">
      <w:bodyDiv w:val="1"/>
      <w:marLeft w:val="0"/>
      <w:marRight w:val="0"/>
      <w:marTop w:val="0"/>
      <w:marBottom w:val="0"/>
      <w:divBdr>
        <w:top w:val="none" w:sz="0" w:space="0" w:color="auto"/>
        <w:left w:val="none" w:sz="0" w:space="0" w:color="auto"/>
        <w:bottom w:val="none" w:sz="0" w:space="0" w:color="auto"/>
        <w:right w:val="none" w:sz="0" w:space="0" w:color="auto"/>
      </w:divBdr>
    </w:div>
    <w:div w:id="1983657092">
      <w:bodyDiv w:val="1"/>
      <w:marLeft w:val="0"/>
      <w:marRight w:val="0"/>
      <w:marTop w:val="0"/>
      <w:marBottom w:val="0"/>
      <w:divBdr>
        <w:top w:val="none" w:sz="0" w:space="0" w:color="auto"/>
        <w:left w:val="none" w:sz="0" w:space="0" w:color="auto"/>
        <w:bottom w:val="none" w:sz="0" w:space="0" w:color="auto"/>
        <w:right w:val="none" w:sz="0" w:space="0" w:color="auto"/>
      </w:divBdr>
    </w:div>
    <w:div w:id="1990287995">
      <w:bodyDiv w:val="1"/>
      <w:marLeft w:val="0"/>
      <w:marRight w:val="0"/>
      <w:marTop w:val="0"/>
      <w:marBottom w:val="0"/>
      <w:divBdr>
        <w:top w:val="none" w:sz="0" w:space="0" w:color="auto"/>
        <w:left w:val="none" w:sz="0" w:space="0" w:color="auto"/>
        <w:bottom w:val="none" w:sz="0" w:space="0" w:color="auto"/>
        <w:right w:val="none" w:sz="0" w:space="0" w:color="auto"/>
      </w:divBdr>
    </w:div>
    <w:div w:id="2038382240">
      <w:bodyDiv w:val="1"/>
      <w:marLeft w:val="0"/>
      <w:marRight w:val="0"/>
      <w:marTop w:val="0"/>
      <w:marBottom w:val="0"/>
      <w:divBdr>
        <w:top w:val="none" w:sz="0" w:space="0" w:color="auto"/>
        <w:left w:val="none" w:sz="0" w:space="0" w:color="auto"/>
        <w:bottom w:val="none" w:sz="0" w:space="0" w:color="auto"/>
        <w:right w:val="none" w:sz="0" w:space="0" w:color="auto"/>
      </w:divBdr>
    </w:div>
    <w:div w:id="2051997837">
      <w:bodyDiv w:val="1"/>
      <w:marLeft w:val="0"/>
      <w:marRight w:val="0"/>
      <w:marTop w:val="0"/>
      <w:marBottom w:val="0"/>
      <w:divBdr>
        <w:top w:val="none" w:sz="0" w:space="0" w:color="auto"/>
        <w:left w:val="none" w:sz="0" w:space="0" w:color="auto"/>
        <w:bottom w:val="none" w:sz="0" w:space="0" w:color="auto"/>
        <w:right w:val="none" w:sz="0" w:space="0" w:color="auto"/>
      </w:divBdr>
    </w:div>
    <w:div w:id="2117095547">
      <w:bodyDiv w:val="1"/>
      <w:marLeft w:val="0"/>
      <w:marRight w:val="0"/>
      <w:marTop w:val="0"/>
      <w:marBottom w:val="0"/>
      <w:divBdr>
        <w:top w:val="none" w:sz="0" w:space="0" w:color="auto"/>
        <w:left w:val="none" w:sz="0" w:space="0" w:color="auto"/>
        <w:bottom w:val="none" w:sz="0" w:space="0" w:color="auto"/>
        <w:right w:val="none" w:sz="0" w:space="0" w:color="auto"/>
      </w:divBdr>
    </w:div>
    <w:div w:id="21406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http://images.rxlist.com/images/rxlist/viread1.gif" TargetMode="External"/><Relationship Id="rId26" Type="http://schemas.openxmlformats.org/officeDocument/2006/relationships/image" Target="media/image13.emf"/><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gif"/><Relationship Id="rId25" Type="http://schemas.openxmlformats.org/officeDocument/2006/relationships/image" Target="media/image12.emf"/><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microsoft.com/office/2007/relationships/hdphoto" Target="media/hdphoto1.wdp"/><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openxmlformats.org/officeDocument/2006/relationships/image" Target="media/image14.png"/><Relationship Id="rId30" Type="http://schemas.microsoft.com/office/2007/relationships/hdphoto" Target="media/hdphoto2.wdp"/><Relationship Id="rId35" Type="http://schemas.openxmlformats.org/officeDocument/2006/relationships/footer" Target="foot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50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58E98-EA47-4ABE-84A6-F0D8A791E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28</TotalTime>
  <Pages>67</Pages>
  <Words>22348</Words>
  <Characters>127386</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Australian Public Assessment Report for Emtricitabine/Tenofovir alafenamide (as fumarate)</vt:lpstr>
    </vt:vector>
  </TitlesOfParts>
  <Company>Department of Health Therapeutic Goods Administration</Company>
  <LinksUpToDate>false</LinksUpToDate>
  <CharactersWithSpaces>149436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Emtricitabine/Tenofovir alafenamide (as fumarate)</dc:title>
  <dc:subject>prescription medicines</dc:subject>
  <dc:creator>Therapeutic Goods Administration</dc:creator>
  <cp:keywords>auspar</cp:keywords>
  <cp:lastModifiedBy>STARKEY, Paige</cp:lastModifiedBy>
  <cp:revision>6</cp:revision>
  <cp:lastPrinted>2016-11-09T05:17:00Z</cp:lastPrinted>
  <dcterms:created xsi:type="dcterms:W3CDTF">2016-12-22T00:06:00Z</dcterms:created>
  <dcterms:modified xsi:type="dcterms:W3CDTF">2016-12-22T22:57:00Z</dcterms:modified>
</cp:coreProperties>
</file>