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5969BBD" w14:textId="0533EA8D" w:rsidR="00A3559E" w:rsidRPr="00E223AF" w:rsidRDefault="00A3559E" w:rsidP="00A3559E">
      <w:pPr>
        <w:rPr>
          <w:color w:val="auto"/>
          <w:lang w:val="en-AU"/>
        </w:rPr>
      </w:pPr>
      <w:r w:rsidRPr="00E223AF">
        <w:rPr>
          <w:noProof/>
          <w:color w:val="auto"/>
          <w:lang w:val="en-AU"/>
        </w:rPr>
        <mc:AlternateContent>
          <mc:Choice Requires="wps">
            <w:drawing>
              <wp:inline distT="0" distB="0" distL="0" distR="0" wp14:anchorId="33B9C5C4" wp14:editId="78E4BFEC">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9A81" w14:textId="77777777" w:rsidR="00A6674F" w:rsidRPr="00BE2A26" w:rsidRDefault="00A6674F" w:rsidP="00A3559E">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3B9C5C4"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edQIAAP4E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xv/qedQIAAP4EAAAOAAAAAAAAAAAA&#10;AAAAAC4CAABkcnMvZTJvRG9jLnhtbFBLAQItABQABgAIAAAAIQBj9U4M2QAAAAMBAAAPAAAAAAAA&#10;AAAAAAAAAM8EAABkcnMvZG93bnJldi54bWxQSwUGAAAAAAQABADzAAAA1QUAAAAA&#10;" stroked="f">
                <v:textbox inset="0,0,0,0">
                  <w:txbxContent>
                    <w:p w14:paraId="42499A81" w14:textId="77777777" w:rsidR="00A6674F" w:rsidRPr="00BE2A26" w:rsidRDefault="00A6674F" w:rsidP="00A3559E">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E223AF">
        <w:rPr>
          <w:color w:val="auto"/>
          <w:lang w:val="en-AU"/>
        </w:rPr>
        <w:t>This medicinal product is subject to additional monitoring in Australia. This will allow</w:t>
      </w:r>
    </w:p>
    <w:p w14:paraId="3DE1725C" w14:textId="77777777" w:rsidR="00A3559E" w:rsidRPr="00E223AF" w:rsidRDefault="00A3559E" w:rsidP="00A3559E">
      <w:pPr>
        <w:rPr>
          <w:color w:val="auto"/>
          <w:lang w:val="en-AU"/>
        </w:rPr>
      </w:pPr>
      <w:r w:rsidRPr="00E223AF">
        <w:rPr>
          <w:color w:val="auto"/>
          <w:lang w:val="en-AU"/>
        </w:rPr>
        <w:t>quick identification of new safety information. Healthcare professionals are asked to report</w:t>
      </w:r>
    </w:p>
    <w:p w14:paraId="73621958" w14:textId="6F5C3BD1" w:rsidR="00A3559E" w:rsidRPr="00E223AF" w:rsidRDefault="00A3559E" w:rsidP="00A3559E">
      <w:pPr>
        <w:rPr>
          <w:color w:val="auto"/>
          <w:lang w:val="en-AU"/>
        </w:rPr>
      </w:pPr>
      <w:r w:rsidRPr="00E223AF">
        <w:rPr>
          <w:color w:val="auto"/>
          <w:lang w:val="en-AU"/>
        </w:rPr>
        <w:t xml:space="preserve">any suspected adverse events at </w:t>
      </w:r>
      <w:r w:rsidRPr="00E223AF">
        <w:rPr>
          <w:rStyle w:val="Hyperlink"/>
          <w:color w:val="auto"/>
          <w:u w:val="none"/>
          <w:lang w:val="en-AU"/>
        </w:rPr>
        <w:t>w</w:t>
      </w:r>
      <w:r w:rsidR="00B0376D" w:rsidRPr="00E223AF">
        <w:rPr>
          <w:rStyle w:val="Hyperlink"/>
          <w:color w:val="auto"/>
          <w:u w:val="none"/>
          <w:lang w:val="en-AU"/>
        </w:rPr>
        <w:t>ww.tga.gov.au/reporting-problems</w:t>
      </w:r>
      <w:r w:rsidRPr="00E223AF">
        <w:rPr>
          <w:color w:val="auto"/>
          <w:lang w:val="en-AU"/>
        </w:rPr>
        <w:t>.</w:t>
      </w:r>
    </w:p>
    <w:p w14:paraId="186F1B84" w14:textId="77777777" w:rsidR="00A3559E" w:rsidRPr="00E223AF" w:rsidRDefault="00A3559E" w:rsidP="00A3559E">
      <w:pPr>
        <w:rPr>
          <w:color w:val="auto"/>
          <w:lang w:val="en-AU"/>
        </w:rPr>
      </w:pPr>
    </w:p>
    <w:p w14:paraId="2A0584C7" w14:textId="54094A00" w:rsidR="00834C48" w:rsidRPr="00E223AF" w:rsidRDefault="00834C48" w:rsidP="00834C48">
      <w:pPr>
        <w:jc w:val="center"/>
        <w:rPr>
          <w:b/>
          <w:color w:val="auto"/>
          <w:sz w:val="28"/>
          <w:szCs w:val="28"/>
          <w:lang w:val="fr-FR"/>
        </w:rPr>
      </w:pPr>
      <w:r w:rsidRPr="00E223AF">
        <w:rPr>
          <w:b/>
          <w:color w:val="auto"/>
          <w:sz w:val="28"/>
          <w:szCs w:val="28"/>
          <w:lang w:val="fr-FR"/>
        </w:rPr>
        <w:t>AUSTRALIAN PRODUCT INFORMATION</w:t>
      </w:r>
    </w:p>
    <w:p w14:paraId="30C39173" w14:textId="4846AFAF" w:rsidR="00834C48" w:rsidRPr="00E223AF" w:rsidRDefault="00AC22FD" w:rsidP="00834C48">
      <w:pPr>
        <w:jc w:val="center"/>
        <w:rPr>
          <w:color w:val="auto"/>
          <w:lang w:val="fr-FR"/>
        </w:rPr>
      </w:pPr>
      <w:proofErr w:type="spellStart"/>
      <w:r w:rsidRPr="00E223AF">
        <w:rPr>
          <w:b/>
          <w:color w:val="auto"/>
          <w:sz w:val="28"/>
          <w:szCs w:val="28"/>
          <w:lang w:val="fr-FR"/>
        </w:rPr>
        <w:t>Rozlytrek</w:t>
      </w:r>
      <w:r w:rsidR="003B2CB2" w:rsidRPr="00E223AF">
        <w:rPr>
          <w:b/>
          <w:color w:val="auto"/>
          <w:sz w:val="20"/>
          <w:szCs w:val="20"/>
          <w:vertAlign w:val="superscript"/>
          <w:lang w:val="fr-FR"/>
        </w:rPr>
        <w:t>TM</w:t>
      </w:r>
      <w:proofErr w:type="spellEnd"/>
      <w:r w:rsidRPr="00E223AF">
        <w:rPr>
          <w:b/>
          <w:color w:val="auto"/>
          <w:sz w:val="28"/>
          <w:szCs w:val="28"/>
          <w:lang w:val="fr-FR"/>
        </w:rPr>
        <w:t xml:space="preserve"> </w:t>
      </w:r>
      <w:r w:rsidR="00834C48" w:rsidRPr="00E223AF">
        <w:rPr>
          <w:b/>
          <w:color w:val="auto"/>
          <w:sz w:val="28"/>
          <w:szCs w:val="28"/>
          <w:lang w:val="fr-FR"/>
        </w:rPr>
        <w:t>(</w:t>
      </w:r>
      <w:r w:rsidR="00EE7129" w:rsidRPr="00E223AF">
        <w:rPr>
          <w:b/>
          <w:color w:val="auto"/>
          <w:sz w:val="28"/>
          <w:szCs w:val="28"/>
          <w:lang w:val="fr-FR"/>
        </w:rPr>
        <w:t>entrectinib</w:t>
      </w:r>
      <w:r w:rsidR="00834C48" w:rsidRPr="00E223AF">
        <w:rPr>
          <w:b/>
          <w:color w:val="auto"/>
          <w:sz w:val="28"/>
          <w:szCs w:val="28"/>
          <w:lang w:val="fr-FR"/>
        </w:rPr>
        <w:t>)</w:t>
      </w:r>
    </w:p>
    <w:p w14:paraId="59AFA35F" w14:textId="77777777" w:rsidR="00834C48" w:rsidRPr="00E223AF" w:rsidRDefault="00834C48">
      <w:pPr>
        <w:rPr>
          <w:color w:val="auto"/>
          <w:sz w:val="22"/>
          <w:szCs w:val="22"/>
          <w:lang w:val="fr-FR"/>
        </w:rPr>
      </w:pPr>
    </w:p>
    <w:p w14:paraId="421B4F00" w14:textId="77777777" w:rsidR="00D52399" w:rsidRPr="00E223AF" w:rsidRDefault="006C73C2" w:rsidP="0087549F">
      <w:pPr>
        <w:pStyle w:val="Heading1"/>
        <w:numPr>
          <w:ilvl w:val="0"/>
          <w:numId w:val="3"/>
        </w:numPr>
        <w:spacing w:before="0"/>
        <w:rPr>
          <w:color w:val="auto"/>
        </w:rPr>
      </w:pPr>
      <w:r w:rsidRPr="00E223AF">
        <w:rPr>
          <w:color w:val="auto"/>
        </w:rPr>
        <w:t>NAME OF THE MEDICINE</w:t>
      </w:r>
    </w:p>
    <w:p w14:paraId="2CB28486" w14:textId="58F9AAEA" w:rsidR="004E0DEC" w:rsidRPr="00E223AF" w:rsidRDefault="004E0DEC" w:rsidP="004E0DEC">
      <w:pPr>
        <w:spacing w:after="240"/>
        <w:rPr>
          <w:color w:val="auto"/>
        </w:rPr>
      </w:pPr>
      <w:r w:rsidRPr="00E223AF">
        <w:rPr>
          <w:color w:val="auto"/>
        </w:rPr>
        <w:t>entrectinib</w:t>
      </w:r>
    </w:p>
    <w:p w14:paraId="5792D422" w14:textId="77777777" w:rsidR="00D52399" w:rsidRPr="00E223AF" w:rsidRDefault="00615052" w:rsidP="009F4C5B">
      <w:pPr>
        <w:pStyle w:val="Heading1"/>
        <w:numPr>
          <w:ilvl w:val="0"/>
          <w:numId w:val="3"/>
        </w:numPr>
        <w:spacing w:before="0"/>
        <w:rPr>
          <w:color w:val="auto"/>
        </w:rPr>
      </w:pPr>
      <w:r w:rsidRPr="00E223AF">
        <w:rPr>
          <w:color w:val="auto"/>
        </w:rPr>
        <w:t>QUALITATIVE AND QUANTITATIVE COMPOSITION</w:t>
      </w:r>
    </w:p>
    <w:p w14:paraId="36E0F2D2" w14:textId="77777777" w:rsidR="004E0DEC" w:rsidRPr="00E223AF" w:rsidRDefault="004E0DEC" w:rsidP="004E0DEC">
      <w:pPr>
        <w:spacing w:after="240"/>
        <w:rPr>
          <w:color w:val="auto"/>
        </w:rPr>
      </w:pPr>
      <w:bookmarkStart w:id="1" w:name="_gjdgxs" w:colFirst="0" w:colLast="0"/>
      <w:bookmarkEnd w:id="1"/>
      <w:r w:rsidRPr="00E223AF">
        <w:rPr>
          <w:color w:val="auto"/>
        </w:rPr>
        <w:t>Each 100 mg hard capsule contains 100 mg entrectinib.</w:t>
      </w:r>
    </w:p>
    <w:p w14:paraId="6ED02D4A" w14:textId="3CB8CF5C" w:rsidR="00EE7129" w:rsidRPr="00E223AF" w:rsidRDefault="004E0DEC" w:rsidP="004E0DEC">
      <w:pPr>
        <w:spacing w:after="240"/>
        <w:rPr>
          <w:color w:val="auto"/>
        </w:rPr>
      </w:pPr>
      <w:r w:rsidRPr="00E223AF">
        <w:rPr>
          <w:color w:val="auto"/>
        </w:rPr>
        <w:t>Each 200 mg hard capsule contains 200 mg entrectinib.</w:t>
      </w:r>
    </w:p>
    <w:p w14:paraId="18F7D477" w14:textId="06B83DF2" w:rsidR="00CA603C" w:rsidRPr="00E223AF" w:rsidRDefault="00CA603C" w:rsidP="004E0DEC">
      <w:pPr>
        <w:spacing w:after="240"/>
        <w:rPr>
          <w:color w:val="auto"/>
        </w:rPr>
      </w:pPr>
      <w:r w:rsidRPr="00E223AF">
        <w:rPr>
          <w:color w:val="auto"/>
          <w:lang w:val="pt-BR"/>
        </w:rPr>
        <w:t>Entrectinib has the molecular formula C</w:t>
      </w:r>
      <w:r w:rsidRPr="00E223AF">
        <w:rPr>
          <w:color w:val="auto"/>
          <w:vertAlign w:val="subscript"/>
          <w:lang w:val="pt-BR"/>
        </w:rPr>
        <w:t>31</w:t>
      </w:r>
      <w:r w:rsidRPr="00E223AF">
        <w:rPr>
          <w:color w:val="auto"/>
          <w:lang w:val="pt-BR"/>
        </w:rPr>
        <w:t>H</w:t>
      </w:r>
      <w:r w:rsidRPr="00E223AF">
        <w:rPr>
          <w:color w:val="auto"/>
          <w:vertAlign w:val="subscript"/>
          <w:lang w:val="pt-BR"/>
        </w:rPr>
        <w:t>34</w:t>
      </w:r>
      <w:r w:rsidRPr="00E223AF">
        <w:rPr>
          <w:color w:val="auto"/>
          <w:lang w:val="pt-BR"/>
        </w:rPr>
        <w:t>F</w:t>
      </w:r>
      <w:r w:rsidRPr="00E223AF">
        <w:rPr>
          <w:color w:val="auto"/>
          <w:vertAlign w:val="subscript"/>
          <w:lang w:val="pt-BR"/>
        </w:rPr>
        <w:t>2</w:t>
      </w:r>
      <w:r w:rsidRPr="00E223AF">
        <w:rPr>
          <w:color w:val="auto"/>
          <w:lang w:val="pt-BR"/>
        </w:rPr>
        <w:t>N</w:t>
      </w:r>
      <w:r w:rsidRPr="00E223AF">
        <w:rPr>
          <w:color w:val="auto"/>
          <w:vertAlign w:val="subscript"/>
          <w:lang w:val="pt-BR"/>
        </w:rPr>
        <w:t>6</w:t>
      </w:r>
      <w:r w:rsidRPr="00E223AF">
        <w:rPr>
          <w:color w:val="auto"/>
          <w:lang w:val="pt-BR"/>
        </w:rPr>
        <w:t>O</w:t>
      </w:r>
      <w:r w:rsidRPr="00E223AF">
        <w:rPr>
          <w:color w:val="auto"/>
          <w:vertAlign w:val="subscript"/>
          <w:lang w:val="pt-BR"/>
        </w:rPr>
        <w:t>2</w:t>
      </w:r>
      <w:r w:rsidRPr="00E223AF">
        <w:rPr>
          <w:color w:val="auto"/>
          <w:lang w:val="pt-BR"/>
        </w:rPr>
        <w:t xml:space="preserve">. The molecular weight is 560.6. The chemical name is N-{5-[(3,5-difluorophenyl)methyl]-1H-indazol-3-yl}-4-(4-methylpiperazin-1-yl)-2-[(oxan-4-yl)amino]benzamide. </w:t>
      </w:r>
      <w:r w:rsidRPr="00E223AF">
        <w:rPr>
          <w:color w:val="auto"/>
          <w:lang w:val="en-AU"/>
        </w:rPr>
        <w:t>The solubility in aqueous media decreases over the range pH 1.2 to pH 8.0.</w:t>
      </w:r>
    </w:p>
    <w:p w14:paraId="43666944" w14:textId="77777777" w:rsidR="00EE7129" w:rsidRPr="00E223AF" w:rsidRDefault="004E0DEC" w:rsidP="004E0DEC">
      <w:pPr>
        <w:pStyle w:val="Heading4"/>
        <w:rPr>
          <w:color w:val="auto"/>
        </w:rPr>
      </w:pPr>
      <w:r w:rsidRPr="00E223AF">
        <w:rPr>
          <w:color w:val="auto"/>
        </w:rPr>
        <w:t>Excipients with known effect</w:t>
      </w:r>
    </w:p>
    <w:p w14:paraId="4AE1396F" w14:textId="32E71F24" w:rsidR="00D52399" w:rsidRPr="00E223AF" w:rsidRDefault="004E0DEC" w:rsidP="009F4C5B">
      <w:pPr>
        <w:spacing w:after="240"/>
        <w:rPr>
          <w:color w:val="auto"/>
          <w:u w:val="single"/>
        </w:rPr>
      </w:pPr>
      <w:r w:rsidRPr="00E223AF">
        <w:rPr>
          <w:color w:val="auto"/>
        </w:rPr>
        <w:t>Each 100 mg hard capsule contains 65 mg lactose. E</w:t>
      </w:r>
      <w:r w:rsidR="00771A86" w:rsidRPr="00E223AF">
        <w:rPr>
          <w:color w:val="auto"/>
        </w:rPr>
        <w:t xml:space="preserve"> </w:t>
      </w:r>
      <w:r w:rsidRPr="00E223AF">
        <w:rPr>
          <w:color w:val="auto"/>
        </w:rPr>
        <w:t xml:space="preserve">ach 200 mg hard capsule contains 130 mg lactose. </w:t>
      </w:r>
      <w:r w:rsidR="00615052" w:rsidRPr="00E223AF">
        <w:rPr>
          <w:color w:val="auto"/>
        </w:rPr>
        <w:t>For the full list of excipients, see section 6.1</w:t>
      </w:r>
      <w:r w:rsidR="009F4C5B" w:rsidRPr="00E223AF">
        <w:rPr>
          <w:color w:val="auto"/>
        </w:rPr>
        <w:t xml:space="preserve"> </w:t>
      </w:r>
      <w:r w:rsidR="009F4C5B" w:rsidRPr="00E223AF">
        <w:rPr>
          <w:i/>
          <w:color w:val="auto"/>
        </w:rPr>
        <w:t>List of excipients</w:t>
      </w:r>
      <w:r w:rsidR="00615052" w:rsidRPr="00E223AF">
        <w:rPr>
          <w:color w:val="auto"/>
        </w:rPr>
        <w:t>.</w:t>
      </w:r>
    </w:p>
    <w:p w14:paraId="3D652819" w14:textId="77777777" w:rsidR="00D52399" w:rsidRPr="00E223AF" w:rsidRDefault="00615052" w:rsidP="009F4C5B">
      <w:pPr>
        <w:pStyle w:val="Heading1"/>
        <w:numPr>
          <w:ilvl w:val="0"/>
          <w:numId w:val="3"/>
        </w:numPr>
        <w:spacing w:before="0"/>
        <w:rPr>
          <w:color w:val="auto"/>
        </w:rPr>
      </w:pPr>
      <w:r w:rsidRPr="00E223AF">
        <w:rPr>
          <w:color w:val="auto"/>
        </w:rPr>
        <w:t>PHARMACEUTICAL FORM</w:t>
      </w:r>
    </w:p>
    <w:p w14:paraId="6CC01993" w14:textId="77777777" w:rsidR="00B2399E" w:rsidRPr="00E223AF" w:rsidRDefault="00B2399E" w:rsidP="00B2399E">
      <w:pPr>
        <w:spacing w:after="240"/>
        <w:rPr>
          <w:color w:val="auto"/>
        </w:rPr>
      </w:pPr>
      <w:r w:rsidRPr="00E223AF">
        <w:rPr>
          <w:color w:val="auto"/>
        </w:rPr>
        <w:t>Hard capsule.</w:t>
      </w:r>
    </w:p>
    <w:p w14:paraId="20A21C15" w14:textId="17CB81FA" w:rsidR="00B2399E" w:rsidRPr="00E223AF" w:rsidRDefault="00AC22FD" w:rsidP="00B2399E">
      <w:pPr>
        <w:spacing w:after="240"/>
        <w:rPr>
          <w:color w:val="auto"/>
        </w:rPr>
      </w:pPr>
      <w:r w:rsidRPr="00E223AF">
        <w:rPr>
          <w:color w:val="auto"/>
        </w:rPr>
        <w:t>Rozlytrek</w:t>
      </w:r>
      <w:r w:rsidR="005B688B" w:rsidRPr="00E223AF">
        <w:rPr>
          <w:color w:val="auto"/>
        </w:rPr>
        <w:t xml:space="preserve"> </w:t>
      </w:r>
      <w:r w:rsidR="00B2399E" w:rsidRPr="00E223AF">
        <w:rPr>
          <w:color w:val="auto"/>
        </w:rPr>
        <w:t xml:space="preserve">100 mg </w:t>
      </w:r>
      <w:r w:rsidR="00CA603C" w:rsidRPr="00E223AF">
        <w:rPr>
          <w:color w:val="auto"/>
        </w:rPr>
        <w:t xml:space="preserve">are size 2 </w:t>
      </w:r>
      <w:r w:rsidR="00B2399E" w:rsidRPr="00E223AF">
        <w:rPr>
          <w:color w:val="auto"/>
        </w:rPr>
        <w:t>hard capsule</w:t>
      </w:r>
      <w:r w:rsidR="00DB0D33" w:rsidRPr="00E223AF">
        <w:rPr>
          <w:color w:val="auto"/>
        </w:rPr>
        <w:t>s</w:t>
      </w:r>
      <w:r w:rsidR="00B2399E" w:rsidRPr="00E223AF">
        <w:rPr>
          <w:color w:val="auto"/>
        </w:rPr>
        <w:t xml:space="preserve"> </w:t>
      </w:r>
      <w:r w:rsidR="00CA603C" w:rsidRPr="00E223AF">
        <w:rPr>
          <w:color w:val="auto"/>
        </w:rPr>
        <w:t>with</w:t>
      </w:r>
      <w:r w:rsidR="00B2399E" w:rsidRPr="00E223AF">
        <w:rPr>
          <w:color w:val="auto"/>
        </w:rPr>
        <w:t xml:space="preserve"> yellow </w:t>
      </w:r>
      <w:r w:rsidR="00CA603C" w:rsidRPr="00E223AF">
        <w:rPr>
          <w:color w:val="auto"/>
        </w:rPr>
        <w:t xml:space="preserve">body and cap with </w:t>
      </w:r>
      <w:r w:rsidR="00DB0D33" w:rsidRPr="00E223AF">
        <w:rPr>
          <w:color w:val="auto"/>
        </w:rPr>
        <w:t>“</w:t>
      </w:r>
      <w:r w:rsidR="00B2399E" w:rsidRPr="00E223AF">
        <w:rPr>
          <w:color w:val="auto"/>
        </w:rPr>
        <w:t>ENT 100</w:t>
      </w:r>
      <w:r w:rsidR="00DB0D33" w:rsidRPr="00E223AF">
        <w:rPr>
          <w:color w:val="auto"/>
        </w:rPr>
        <w:t>”</w:t>
      </w:r>
      <w:r w:rsidR="00B2399E" w:rsidRPr="00E223AF">
        <w:rPr>
          <w:color w:val="auto"/>
        </w:rPr>
        <w:t xml:space="preserve"> imprinted in blue on the body.</w:t>
      </w:r>
    </w:p>
    <w:p w14:paraId="061C18E4" w14:textId="49437CE5" w:rsidR="00D52399" w:rsidRPr="00E223AF" w:rsidRDefault="00AC22FD" w:rsidP="00B2399E">
      <w:pPr>
        <w:spacing w:after="240"/>
        <w:rPr>
          <w:color w:val="auto"/>
        </w:rPr>
      </w:pPr>
      <w:r w:rsidRPr="00E223AF">
        <w:rPr>
          <w:color w:val="auto"/>
        </w:rPr>
        <w:t>Rozlytrek</w:t>
      </w:r>
      <w:r w:rsidR="005B688B" w:rsidRPr="00E223AF">
        <w:rPr>
          <w:color w:val="auto"/>
        </w:rPr>
        <w:t xml:space="preserve"> </w:t>
      </w:r>
      <w:r w:rsidR="00B2399E" w:rsidRPr="00E223AF">
        <w:rPr>
          <w:color w:val="auto"/>
        </w:rPr>
        <w:t>200 mg</w:t>
      </w:r>
      <w:r w:rsidR="00CA603C" w:rsidRPr="00E223AF">
        <w:rPr>
          <w:color w:val="auto"/>
        </w:rPr>
        <w:t xml:space="preserve"> are size 0 </w:t>
      </w:r>
      <w:r w:rsidR="00B2399E" w:rsidRPr="00E223AF">
        <w:rPr>
          <w:color w:val="auto"/>
        </w:rPr>
        <w:t xml:space="preserve">hard capsules </w:t>
      </w:r>
      <w:r w:rsidR="00CA603C" w:rsidRPr="00E223AF">
        <w:rPr>
          <w:color w:val="auto"/>
        </w:rPr>
        <w:t xml:space="preserve">with </w:t>
      </w:r>
      <w:r w:rsidR="00B2399E" w:rsidRPr="00E223AF">
        <w:rPr>
          <w:color w:val="auto"/>
        </w:rPr>
        <w:t xml:space="preserve">orange </w:t>
      </w:r>
      <w:r w:rsidR="00CA603C" w:rsidRPr="00E223AF">
        <w:rPr>
          <w:color w:val="auto"/>
        </w:rPr>
        <w:t xml:space="preserve">body and cap </w:t>
      </w:r>
      <w:r w:rsidR="00B2399E" w:rsidRPr="00E223AF">
        <w:rPr>
          <w:color w:val="auto"/>
        </w:rPr>
        <w:t xml:space="preserve">with </w:t>
      </w:r>
      <w:r w:rsidR="00DB0D33" w:rsidRPr="00E223AF">
        <w:rPr>
          <w:color w:val="auto"/>
        </w:rPr>
        <w:t>“</w:t>
      </w:r>
      <w:r w:rsidR="00B2399E" w:rsidRPr="00E223AF">
        <w:rPr>
          <w:color w:val="auto"/>
        </w:rPr>
        <w:t>ENT 200</w:t>
      </w:r>
      <w:r w:rsidR="00DB0D33" w:rsidRPr="00E223AF">
        <w:rPr>
          <w:color w:val="auto"/>
        </w:rPr>
        <w:t>”</w:t>
      </w:r>
      <w:r w:rsidR="00B2399E" w:rsidRPr="00E223AF">
        <w:rPr>
          <w:color w:val="auto"/>
        </w:rPr>
        <w:t xml:space="preserve"> imprinted in blue on the body.</w:t>
      </w:r>
    </w:p>
    <w:p w14:paraId="7EF38C56" w14:textId="77777777" w:rsidR="00D52399" w:rsidRPr="00E223AF" w:rsidRDefault="00615052" w:rsidP="009F4C5B">
      <w:pPr>
        <w:pStyle w:val="Heading1"/>
        <w:numPr>
          <w:ilvl w:val="0"/>
          <w:numId w:val="3"/>
        </w:numPr>
        <w:spacing w:before="0"/>
        <w:rPr>
          <w:color w:val="auto"/>
        </w:rPr>
      </w:pPr>
      <w:r w:rsidRPr="00E223AF">
        <w:rPr>
          <w:color w:val="auto"/>
        </w:rPr>
        <w:t>CLINICAL PARTICULARS</w:t>
      </w:r>
    </w:p>
    <w:p w14:paraId="605BB135" w14:textId="77777777" w:rsidR="00D52399" w:rsidRPr="00E223AF" w:rsidRDefault="00902EBE" w:rsidP="00EE7129">
      <w:pPr>
        <w:pStyle w:val="Heading2"/>
        <w:numPr>
          <w:ilvl w:val="0"/>
          <w:numId w:val="1"/>
        </w:numPr>
        <w:spacing w:before="0"/>
        <w:ind w:hanging="786"/>
        <w:rPr>
          <w:color w:val="auto"/>
        </w:rPr>
      </w:pPr>
      <w:r w:rsidRPr="00E223AF">
        <w:rPr>
          <w:color w:val="auto"/>
        </w:rPr>
        <w:t>THERAPEUTIC INDICATIONS</w:t>
      </w:r>
    </w:p>
    <w:p w14:paraId="0421EC32" w14:textId="77777777" w:rsidR="00DB0D33" w:rsidRPr="00E223AF" w:rsidRDefault="00DB0D33" w:rsidP="00DB0D33">
      <w:pPr>
        <w:rPr>
          <w:color w:val="auto"/>
        </w:rPr>
      </w:pPr>
    </w:p>
    <w:p w14:paraId="246EF0F0" w14:textId="77777777" w:rsidR="00DB0D33" w:rsidRPr="00E223AF" w:rsidRDefault="00DB0D33" w:rsidP="00DB0D33">
      <w:pPr>
        <w:rPr>
          <w:b/>
          <w:color w:val="auto"/>
        </w:rPr>
      </w:pPr>
      <w:r w:rsidRPr="00E223AF">
        <w:rPr>
          <w:b/>
          <w:color w:val="auto"/>
        </w:rPr>
        <w:t>Non-small cell lung cancer (NSCLC)</w:t>
      </w:r>
    </w:p>
    <w:p w14:paraId="4F1DF88F" w14:textId="421ED3F6" w:rsidR="00EE7129" w:rsidRPr="00E223AF" w:rsidRDefault="00AC22FD" w:rsidP="00DB0D33">
      <w:pPr>
        <w:rPr>
          <w:color w:val="auto"/>
        </w:rPr>
      </w:pPr>
      <w:r w:rsidRPr="00E223AF">
        <w:rPr>
          <w:color w:val="auto"/>
        </w:rPr>
        <w:t>Rozlytrek</w:t>
      </w:r>
      <w:r w:rsidR="00DB0D33" w:rsidRPr="00E223AF">
        <w:rPr>
          <w:color w:val="auto"/>
        </w:rPr>
        <w:t xml:space="preserve"> is indicated for the treatment of </w:t>
      </w:r>
      <w:r w:rsidR="00917E84" w:rsidRPr="00E223AF">
        <w:rPr>
          <w:color w:val="auto"/>
        </w:rPr>
        <w:t xml:space="preserve">adult </w:t>
      </w:r>
      <w:r w:rsidR="00DB0D33" w:rsidRPr="00E223AF">
        <w:rPr>
          <w:color w:val="auto"/>
        </w:rPr>
        <w:t xml:space="preserve">patients with </w:t>
      </w:r>
      <w:r w:rsidR="007F3D0C" w:rsidRPr="00E223AF">
        <w:rPr>
          <w:color w:val="auto"/>
        </w:rPr>
        <w:t>advanced</w:t>
      </w:r>
      <w:r w:rsidR="00917E84" w:rsidRPr="00E223AF">
        <w:rPr>
          <w:color w:val="auto"/>
        </w:rPr>
        <w:t xml:space="preserve"> non-small cell lung cancer (NSCLC) whose tumours are </w:t>
      </w:r>
      <w:r w:rsidR="00DB0D33" w:rsidRPr="00E223AF">
        <w:rPr>
          <w:color w:val="auto"/>
        </w:rPr>
        <w:t xml:space="preserve">ROS1-positive. </w:t>
      </w:r>
    </w:p>
    <w:p w14:paraId="4BD569D4" w14:textId="4F900481" w:rsidR="00D52399" w:rsidRPr="00E223AF" w:rsidRDefault="00D52399">
      <w:pPr>
        <w:rPr>
          <w:color w:val="auto"/>
        </w:rPr>
      </w:pPr>
    </w:p>
    <w:p w14:paraId="180F3C45" w14:textId="77777777" w:rsidR="0034053B" w:rsidRPr="00E223AF" w:rsidRDefault="0034053B" w:rsidP="0034053B">
      <w:pPr>
        <w:rPr>
          <w:b/>
          <w:color w:val="auto"/>
        </w:rPr>
      </w:pPr>
      <w:r w:rsidRPr="00E223AF">
        <w:rPr>
          <w:b/>
          <w:color w:val="auto"/>
        </w:rPr>
        <w:t>Solid tumours</w:t>
      </w:r>
    </w:p>
    <w:p w14:paraId="22DB39EF" w14:textId="12DA964F" w:rsidR="00917E84" w:rsidRPr="00E223AF" w:rsidRDefault="0034053B" w:rsidP="0034053B">
      <w:pPr>
        <w:rPr>
          <w:color w:val="auto"/>
        </w:rPr>
      </w:pPr>
      <w:r w:rsidRPr="00E223AF">
        <w:rPr>
          <w:color w:val="auto"/>
        </w:rPr>
        <w:t xml:space="preserve">Rozlytrek is indicated for the treatment of adult and paediatric patients </w:t>
      </w:r>
      <w:r w:rsidR="00917E84" w:rsidRPr="00E223AF">
        <w:rPr>
          <w:color w:val="auto"/>
        </w:rPr>
        <w:t>12 years of age and older with solid tumours that:</w:t>
      </w:r>
    </w:p>
    <w:p w14:paraId="66C50EB1" w14:textId="77777777" w:rsidR="00BC39CF" w:rsidRPr="00E223AF" w:rsidRDefault="00BC39CF" w:rsidP="0034053B">
      <w:pPr>
        <w:rPr>
          <w:color w:val="auto"/>
        </w:rPr>
      </w:pPr>
    </w:p>
    <w:p w14:paraId="0CBF6ED8" w14:textId="348F6230" w:rsidR="00917E84" w:rsidRPr="00E223AF" w:rsidRDefault="00917E84" w:rsidP="00BC39CF">
      <w:pPr>
        <w:pStyle w:val="Default"/>
        <w:numPr>
          <w:ilvl w:val="0"/>
          <w:numId w:val="10"/>
        </w:numPr>
      </w:pPr>
      <w:r w:rsidRPr="00E223AF">
        <w:rPr>
          <w:color w:val="auto"/>
        </w:rPr>
        <w:t xml:space="preserve">have a </w:t>
      </w:r>
      <w:r w:rsidRPr="00E223AF">
        <w:t>neurotrophic tyrosine receptor kinase (NTRK) gene fusion without a known acquired resistance mutation</w:t>
      </w:r>
      <w:r w:rsidR="00A549B7" w:rsidRPr="00E223AF">
        <w:t>,</w:t>
      </w:r>
    </w:p>
    <w:p w14:paraId="0EACF472" w14:textId="7BB69709" w:rsidR="00917E84" w:rsidRPr="00E223AF" w:rsidRDefault="00917E84" w:rsidP="00BC39CF">
      <w:pPr>
        <w:pStyle w:val="ListParagraph"/>
        <w:numPr>
          <w:ilvl w:val="0"/>
          <w:numId w:val="10"/>
        </w:numPr>
        <w:rPr>
          <w:color w:val="auto"/>
        </w:rPr>
      </w:pPr>
      <w:r w:rsidRPr="00E223AF">
        <w:rPr>
          <w:color w:val="auto"/>
          <w:lang w:val="en-AU"/>
        </w:rPr>
        <w:t>are metastatic or where surgical resection is likely to result in severe morbidity</w:t>
      </w:r>
      <w:r w:rsidR="00A549B7" w:rsidRPr="00E223AF">
        <w:rPr>
          <w:color w:val="auto"/>
          <w:lang w:val="en-AU"/>
        </w:rPr>
        <w:t>,</w:t>
      </w:r>
      <w:r w:rsidRPr="00E223AF">
        <w:rPr>
          <w:color w:val="auto"/>
          <w:lang w:val="en-AU"/>
        </w:rPr>
        <w:t xml:space="preserve"> and</w:t>
      </w:r>
    </w:p>
    <w:p w14:paraId="54BAF03E" w14:textId="680D661B" w:rsidR="00917E84" w:rsidRPr="00E223AF" w:rsidRDefault="00917E84" w:rsidP="00BC39CF">
      <w:pPr>
        <w:pStyle w:val="ListParagraph"/>
        <w:numPr>
          <w:ilvl w:val="0"/>
          <w:numId w:val="10"/>
        </w:numPr>
        <w:rPr>
          <w:color w:val="auto"/>
        </w:rPr>
      </w:pPr>
      <w:r w:rsidRPr="00E223AF">
        <w:rPr>
          <w:color w:val="auto"/>
        </w:rPr>
        <w:t xml:space="preserve">have </w:t>
      </w:r>
      <w:r w:rsidR="00E16CB8">
        <w:rPr>
          <w:color w:val="auto"/>
        </w:rPr>
        <w:t xml:space="preserve">either </w:t>
      </w:r>
      <w:r w:rsidRPr="00E223AF">
        <w:rPr>
          <w:color w:val="auto"/>
        </w:rPr>
        <w:t>progressed</w:t>
      </w:r>
      <w:r w:rsidR="00BC39CF" w:rsidRPr="00E223AF">
        <w:rPr>
          <w:color w:val="auto"/>
        </w:rPr>
        <w:t xml:space="preserve"> following treatment or have no satisfactory alternative therapy</w:t>
      </w:r>
      <w:r w:rsidR="006652DB" w:rsidRPr="00E223AF">
        <w:rPr>
          <w:color w:val="auto"/>
        </w:rPr>
        <w:t>.</w:t>
      </w:r>
    </w:p>
    <w:p w14:paraId="26B9C174" w14:textId="20955DF3" w:rsidR="00BC39CF" w:rsidRPr="00E223AF" w:rsidRDefault="00BC39CF" w:rsidP="006652DB">
      <w:pPr>
        <w:rPr>
          <w:color w:val="auto"/>
        </w:rPr>
      </w:pPr>
    </w:p>
    <w:p w14:paraId="1D420208" w14:textId="47B94E86" w:rsidR="00BC39CF" w:rsidRPr="00E223AF" w:rsidRDefault="00BC39CF" w:rsidP="006652DB">
      <w:pPr>
        <w:rPr>
          <w:color w:val="auto"/>
        </w:rPr>
      </w:pPr>
      <w:r w:rsidRPr="00E223AF">
        <w:rPr>
          <w:color w:val="auto"/>
          <w:lang w:val="en-AU"/>
        </w:rPr>
        <w:lastRenderedPageBreak/>
        <w:t xml:space="preserve">This indication was approved via the </w:t>
      </w:r>
      <w:r w:rsidRPr="00E223AF">
        <w:rPr>
          <w:b/>
          <w:bCs/>
          <w:color w:val="auto"/>
          <w:lang w:val="en-AU"/>
        </w:rPr>
        <w:t xml:space="preserve">provisional approval </w:t>
      </w:r>
      <w:r w:rsidRPr="00E223AF">
        <w:rPr>
          <w:color w:val="auto"/>
          <w:lang w:val="en-AU"/>
        </w:rPr>
        <w:t>pathway, based on objective response rate and duration of response in single-arm trials. Full registration for this indication depends on verification and description of clinical benefit in confirmatory trials</w:t>
      </w:r>
      <w:r w:rsidR="00273525">
        <w:rPr>
          <w:color w:val="auto"/>
          <w:lang w:val="en-AU"/>
        </w:rPr>
        <w:t>.</w:t>
      </w:r>
    </w:p>
    <w:p w14:paraId="6309960A" w14:textId="73E4D3E4" w:rsidR="0034053B" w:rsidRPr="00E223AF" w:rsidRDefault="0034053B" w:rsidP="0034053B">
      <w:pPr>
        <w:rPr>
          <w:color w:val="auto"/>
        </w:rPr>
      </w:pPr>
    </w:p>
    <w:p w14:paraId="5549C8B9" w14:textId="77777777" w:rsidR="00D52399" w:rsidRPr="00E223AF" w:rsidRDefault="00902EBE" w:rsidP="00A8585F">
      <w:pPr>
        <w:pStyle w:val="Heading2"/>
        <w:numPr>
          <w:ilvl w:val="1"/>
          <w:numId w:val="2"/>
        </w:numPr>
        <w:ind w:left="0" w:firstLine="0"/>
        <w:rPr>
          <w:color w:val="auto"/>
        </w:rPr>
      </w:pPr>
      <w:r w:rsidRPr="00E223AF">
        <w:rPr>
          <w:color w:val="auto"/>
        </w:rPr>
        <w:t>DOSE AND METHOD OF ADMINISTRATION</w:t>
      </w:r>
    </w:p>
    <w:p w14:paraId="0AA651D4" w14:textId="6464AF63" w:rsidR="0005321A" w:rsidRPr="00E223AF" w:rsidRDefault="0005321A" w:rsidP="0005321A">
      <w:pPr>
        <w:pStyle w:val="Heading3"/>
        <w:rPr>
          <w:color w:val="auto"/>
        </w:rPr>
      </w:pPr>
      <w:r w:rsidRPr="00E223AF">
        <w:rPr>
          <w:color w:val="auto"/>
        </w:rPr>
        <w:t xml:space="preserve">General </w:t>
      </w:r>
    </w:p>
    <w:p w14:paraId="4022B312" w14:textId="24528714" w:rsidR="004F3457" w:rsidRPr="00E223AF" w:rsidRDefault="004F3457" w:rsidP="00273525">
      <w:pPr>
        <w:pStyle w:val="Heading4"/>
      </w:pPr>
      <w:r w:rsidRPr="00E223AF">
        <w:t>Method of administration</w:t>
      </w:r>
    </w:p>
    <w:p w14:paraId="55887310" w14:textId="0E3C934E" w:rsidR="004F3457" w:rsidRPr="00E223AF" w:rsidRDefault="004F3457" w:rsidP="006D2139">
      <w:r w:rsidRPr="00E223AF">
        <w:rPr>
          <w:color w:val="auto"/>
        </w:rPr>
        <w:t>Rozlytrek can be taken with or without food. Capsules should be swallowed whole. Capsules must not be opened or dissolved.</w:t>
      </w:r>
    </w:p>
    <w:p w14:paraId="299DE5B8" w14:textId="77777777" w:rsidR="0005321A" w:rsidRPr="00E223AF" w:rsidRDefault="0005321A" w:rsidP="0005321A">
      <w:pPr>
        <w:pStyle w:val="Heading4"/>
        <w:rPr>
          <w:color w:val="auto"/>
        </w:rPr>
      </w:pPr>
      <w:r w:rsidRPr="00E223AF">
        <w:rPr>
          <w:color w:val="auto"/>
        </w:rPr>
        <w:t>Patient selection</w:t>
      </w:r>
    </w:p>
    <w:p w14:paraId="2982840F" w14:textId="77777777" w:rsidR="0005321A" w:rsidRPr="00E223AF" w:rsidRDefault="0005321A" w:rsidP="0005321A">
      <w:pPr>
        <w:pStyle w:val="Heading5"/>
        <w:rPr>
          <w:color w:val="auto"/>
        </w:rPr>
      </w:pPr>
      <w:r w:rsidRPr="00E223AF">
        <w:rPr>
          <w:color w:val="auto"/>
        </w:rPr>
        <w:t>Solid tumours</w:t>
      </w:r>
    </w:p>
    <w:p w14:paraId="0F11007B" w14:textId="334E3350" w:rsidR="0005321A" w:rsidRPr="00E223AF" w:rsidRDefault="0005321A" w:rsidP="0005321A">
      <w:pPr>
        <w:rPr>
          <w:color w:val="auto"/>
        </w:rPr>
      </w:pPr>
      <w:r w:rsidRPr="00E223AF">
        <w:rPr>
          <w:color w:val="auto"/>
        </w:rPr>
        <w:t xml:space="preserve">A validated assay is required for the selection of patients with NTRK fusion-positive locally advanced or metastatic solid tumours. NTRK fusion-positive status should be established prior to initiation of </w:t>
      </w:r>
      <w:r w:rsidR="00AC22FD" w:rsidRPr="00E223AF">
        <w:rPr>
          <w:color w:val="auto"/>
        </w:rPr>
        <w:t>Rozlytrek</w:t>
      </w:r>
      <w:r w:rsidRPr="00E223AF">
        <w:rPr>
          <w:color w:val="auto"/>
        </w:rPr>
        <w:t xml:space="preserve"> therapy.</w:t>
      </w:r>
    </w:p>
    <w:p w14:paraId="1A4C17AC" w14:textId="77777777" w:rsidR="0005321A" w:rsidRPr="00E223AF" w:rsidRDefault="0005321A" w:rsidP="0005321A">
      <w:pPr>
        <w:pStyle w:val="Heading5"/>
        <w:rPr>
          <w:color w:val="auto"/>
        </w:rPr>
      </w:pPr>
      <w:r w:rsidRPr="00E223AF">
        <w:rPr>
          <w:color w:val="auto"/>
        </w:rPr>
        <w:t xml:space="preserve">NSCLC </w:t>
      </w:r>
    </w:p>
    <w:p w14:paraId="7434E2AB" w14:textId="32FDC47D" w:rsidR="0005321A" w:rsidRPr="00E223AF" w:rsidRDefault="0005321A" w:rsidP="0005321A">
      <w:pPr>
        <w:rPr>
          <w:color w:val="auto"/>
        </w:rPr>
      </w:pPr>
      <w:r w:rsidRPr="00E223AF">
        <w:rPr>
          <w:color w:val="auto"/>
        </w:rPr>
        <w:t xml:space="preserve">A validated assay is required for the selection of patients with ROS1-positive locally advanced or metastatic NSCLC. ROS1-positive status should be established prior to initiation of </w:t>
      </w:r>
      <w:r w:rsidR="00AC22FD" w:rsidRPr="00E223AF">
        <w:rPr>
          <w:color w:val="auto"/>
        </w:rPr>
        <w:t>Rozlytrek</w:t>
      </w:r>
      <w:r w:rsidRPr="00E223AF">
        <w:rPr>
          <w:color w:val="auto"/>
        </w:rPr>
        <w:t xml:space="preserve"> therapy.</w:t>
      </w:r>
    </w:p>
    <w:p w14:paraId="2BE8BB60" w14:textId="77777777" w:rsidR="0005321A" w:rsidRPr="00E223AF" w:rsidRDefault="0005321A" w:rsidP="0005321A">
      <w:pPr>
        <w:rPr>
          <w:color w:val="auto"/>
        </w:rPr>
      </w:pPr>
    </w:p>
    <w:p w14:paraId="1A691217" w14:textId="77777777" w:rsidR="0005321A" w:rsidRPr="00E223AF" w:rsidRDefault="0005321A" w:rsidP="0005321A">
      <w:pPr>
        <w:pStyle w:val="Heading3"/>
        <w:spacing w:before="0"/>
        <w:rPr>
          <w:color w:val="auto"/>
        </w:rPr>
      </w:pPr>
      <w:r w:rsidRPr="00E223AF">
        <w:rPr>
          <w:color w:val="auto"/>
        </w:rPr>
        <w:t>Dosage</w:t>
      </w:r>
    </w:p>
    <w:p w14:paraId="3843E8D4" w14:textId="77777777" w:rsidR="0005321A" w:rsidRPr="00E223AF" w:rsidRDefault="0005321A" w:rsidP="0005321A">
      <w:pPr>
        <w:pStyle w:val="Heading4"/>
        <w:rPr>
          <w:color w:val="auto"/>
        </w:rPr>
      </w:pPr>
      <w:r w:rsidRPr="00E223AF">
        <w:rPr>
          <w:color w:val="auto"/>
        </w:rPr>
        <w:t>Adults</w:t>
      </w:r>
    </w:p>
    <w:p w14:paraId="2047E7E8" w14:textId="02E5E885" w:rsidR="0005321A" w:rsidRPr="00E223AF" w:rsidRDefault="0005321A" w:rsidP="0005321A">
      <w:pPr>
        <w:rPr>
          <w:color w:val="auto"/>
        </w:rPr>
      </w:pPr>
      <w:r w:rsidRPr="00E223AF">
        <w:rPr>
          <w:color w:val="auto"/>
        </w:rPr>
        <w:t xml:space="preserve">The recommended dose of </w:t>
      </w:r>
      <w:r w:rsidR="00AC22FD" w:rsidRPr="00E223AF">
        <w:rPr>
          <w:color w:val="auto"/>
        </w:rPr>
        <w:t>Rozlytrek</w:t>
      </w:r>
      <w:r w:rsidRPr="00E223AF">
        <w:rPr>
          <w:color w:val="auto"/>
        </w:rPr>
        <w:t xml:space="preserve"> for adults is 600 mg given orally, once daily (see section </w:t>
      </w:r>
      <w:r w:rsidR="005B688B" w:rsidRPr="00E223AF">
        <w:rPr>
          <w:color w:val="auto"/>
        </w:rPr>
        <w:t xml:space="preserve">5.2 </w:t>
      </w:r>
      <w:r w:rsidR="009150C5" w:rsidRPr="00E223AF">
        <w:rPr>
          <w:i/>
          <w:color w:val="auto"/>
        </w:rPr>
        <w:t>Pharmacokinetic properties</w:t>
      </w:r>
      <w:r w:rsidR="005C0D3D" w:rsidRPr="00E223AF">
        <w:rPr>
          <w:color w:val="auto"/>
        </w:rPr>
        <w:t>)</w:t>
      </w:r>
      <w:r w:rsidRPr="00E223AF">
        <w:rPr>
          <w:color w:val="auto"/>
        </w:rPr>
        <w:t>.</w:t>
      </w:r>
    </w:p>
    <w:p w14:paraId="4FF7484B" w14:textId="77777777" w:rsidR="0005321A" w:rsidRPr="00E223AF" w:rsidRDefault="0005321A" w:rsidP="0005321A">
      <w:pPr>
        <w:pStyle w:val="Heading4"/>
        <w:rPr>
          <w:color w:val="auto"/>
        </w:rPr>
      </w:pPr>
      <w:r w:rsidRPr="00E223AF">
        <w:rPr>
          <w:color w:val="auto"/>
        </w:rPr>
        <w:t>Paediatric patients</w:t>
      </w:r>
    </w:p>
    <w:p w14:paraId="5C9D38B7" w14:textId="24BD1EAF" w:rsidR="0005321A" w:rsidRPr="00E223AF" w:rsidRDefault="0005321A" w:rsidP="0005321A">
      <w:pPr>
        <w:rPr>
          <w:color w:val="auto"/>
        </w:rPr>
      </w:pPr>
      <w:r w:rsidRPr="00E223AF">
        <w:rPr>
          <w:color w:val="auto"/>
        </w:rPr>
        <w:t xml:space="preserve">The recommended dose of </w:t>
      </w:r>
      <w:r w:rsidR="00AC22FD" w:rsidRPr="00E223AF">
        <w:rPr>
          <w:color w:val="auto"/>
        </w:rPr>
        <w:t>Rozlytrek</w:t>
      </w:r>
      <w:r w:rsidR="005C0D3D" w:rsidRPr="00E223AF">
        <w:rPr>
          <w:color w:val="auto"/>
        </w:rPr>
        <w:t xml:space="preserve"> </w:t>
      </w:r>
      <w:r w:rsidRPr="00E223AF">
        <w:rPr>
          <w:color w:val="auto"/>
        </w:rPr>
        <w:t xml:space="preserve">for paediatric patients </w:t>
      </w:r>
      <w:r w:rsidR="00C57569" w:rsidRPr="00E223AF">
        <w:rPr>
          <w:color w:val="auto"/>
        </w:rPr>
        <w:t>is based on body surface area (BSA) as shown in Table 1 (s</w:t>
      </w:r>
      <w:r w:rsidR="005B688B" w:rsidRPr="00E223AF">
        <w:rPr>
          <w:color w:val="auto"/>
        </w:rPr>
        <w:t>ee section 5.2</w:t>
      </w:r>
      <w:r w:rsidR="005B688B" w:rsidRPr="00E223AF">
        <w:rPr>
          <w:i/>
          <w:color w:val="auto"/>
        </w:rPr>
        <w:t xml:space="preserve"> </w:t>
      </w:r>
      <w:r w:rsidR="009150C5" w:rsidRPr="00E223AF">
        <w:rPr>
          <w:i/>
          <w:color w:val="auto"/>
        </w:rPr>
        <w:t>Pharmacokinetic properties</w:t>
      </w:r>
      <w:r w:rsidR="00C57569" w:rsidRPr="00E223AF">
        <w:rPr>
          <w:i/>
          <w:color w:val="auto"/>
        </w:rPr>
        <w:t>)</w:t>
      </w:r>
      <w:r w:rsidR="005B688B" w:rsidRPr="00E223AF">
        <w:rPr>
          <w:color w:val="auto"/>
        </w:rPr>
        <w:t>.</w:t>
      </w:r>
    </w:p>
    <w:p w14:paraId="1695B720" w14:textId="77777777" w:rsidR="0005321A" w:rsidRPr="00E223AF" w:rsidRDefault="0005321A" w:rsidP="0005321A">
      <w:pPr>
        <w:rPr>
          <w:color w:val="auto"/>
        </w:rPr>
      </w:pPr>
      <w:r w:rsidRPr="00E223AF">
        <w:rPr>
          <w:color w:val="auto"/>
        </w:rPr>
        <w:t> </w:t>
      </w:r>
    </w:p>
    <w:p w14:paraId="34BD3366" w14:textId="77777777" w:rsidR="00CC362A" w:rsidRPr="00E223AF" w:rsidRDefault="00CC362A" w:rsidP="00CC362A">
      <w:pPr>
        <w:rPr>
          <w:b/>
          <w:color w:val="auto"/>
          <w:lang w:eastAsia="en-GB"/>
        </w:rPr>
      </w:pPr>
      <w:r w:rsidRPr="00E223AF">
        <w:rPr>
          <w:b/>
          <w:color w:val="auto"/>
          <w:lang w:eastAsia="en-GB"/>
        </w:rPr>
        <w:t xml:space="preserve">Table 1. </w:t>
      </w:r>
      <w:r w:rsidRPr="00E223AF">
        <w:rPr>
          <w:b/>
          <w:color w:val="auto"/>
          <w:lang w:val="en-US" w:eastAsia="en-GB"/>
        </w:rPr>
        <w:t xml:space="preserve">Dosing in </w:t>
      </w:r>
      <w:proofErr w:type="spellStart"/>
      <w:r w:rsidRPr="00E223AF">
        <w:rPr>
          <w:b/>
          <w:color w:val="auto"/>
          <w:lang w:val="en-US" w:eastAsia="en-GB"/>
        </w:rPr>
        <w:t>paediatric</w:t>
      </w:r>
      <w:proofErr w:type="spellEnd"/>
      <w:r w:rsidRPr="00E223AF">
        <w:rPr>
          <w:b/>
          <w:color w:val="auto"/>
          <w:lang w:val="en-US" w:eastAsia="en-GB"/>
        </w:rPr>
        <w:t xml:space="preserve"> patients 12 years and older (adolescents)</w:t>
      </w:r>
    </w:p>
    <w:tbl>
      <w:tblPr>
        <w:tblStyle w:val="TableGrid"/>
        <w:tblW w:w="0" w:type="auto"/>
        <w:tblInd w:w="0" w:type="dxa"/>
        <w:tblLook w:val="04A0" w:firstRow="1" w:lastRow="0" w:firstColumn="1" w:lastColumn="0" w:noHBand="0" w:noVBand="1"/>
      </w:tblPr>
      <w:tblGrid>
        <w:gridCol w:w="3528"/>
        <w:gridCol w:w="4500"/>
      </w:tblGrid>
      <w:tr w:rsidR="00CC362A" w:rsidRPr="00E223AF" w14:paraId="2E9CCADD" w14:textId="77777777" w:rsidTr="00A6674F">
        <w:trPr>
          <w:trHeight w:val="432"/>
        </w:trPr>
        <w:tc>
          <w:tcPr>
            <w:tcW w:w="3528" w:type="dxa"/>
            <w:vAlign w:val="center"/>
          </w:tcPr>
          <w:p w14:paraId="59698E78" w14:textId="77777777" w:rsidR="00CC362A" w:rsidRPr="00E223AF" w:rsidRDefault="00CC362A" w:rsidP="00A6674F">
            <w:pPr>
              <w:jc w:val="center"/>
              <w:rPr>
                <w:b/>
                <w:lang w:eastAsia="en-GB"/>
              </w:rPr>
            </w:pPr>
            <w:bookmarkStart w:id="2" w:name="_Hlk14360627"/>
            <w:r w:rsidRPr="00E223AF">
              <w:rPr>
                <w:b/>
                <w:lang w:eastAsia="en-GB"/>
              </w:rPr>
              <w:t>Body surface area (BSA)</w:t>
            </w:r>
          </w:p>
        </w:tc>
        <w:tc>
          <w:tcPr>
            <w:tcW w:w="4500" w:type="dxa"/>
            <w:vAlign w:val="center"/>
          </w:tcPr>
          <w:p w14:paraId="418B7732" w14:textId="77777777" w:rsidR="00CC362A" w:rsidRPr="00E223AF" w:rsidRDefault="00CC362A" w:rsidP="00A6674F">
            <w:pPr>
              <w:jc w:val="center"/>
              <w:rPr>
                <w:b/>
                <w:lang w:eastAsia="en-GB"/>
              </w:rPr>
            </w:pPr>
            <w:r w:rsidRPr="00E223AF">
              <w:rPr>
                <w:b/>
                <w:lang w:eastAsia="en-GB"/>
              </w:rPr>
              <w:t>Recommended dosage</w:t>
            </w:r>
          </w:p>
          <w:p w14:paraId="1E689EB2" w14:textId="77777777" w:rsidR="00CC362A" w:rsidRPr="00E223AF" w:rsidRDefault="00CC362A" w:rsidP="00A6674F">
            <w:pPr>
              <w:jc w:val="center"/>
              <w:rPr>
                <w:b/>
                <w:lang w:eastAsia="en-GB"/>
              </w:rPr>
            </w:pPr>
            <w:r w:rsidRPr="00E223AF">
              <w:rPr>
                <w:b/>
                <w:lang w:eastAsia="en-GB"/>
              </w:rPr>
              <w:t>(orally once daily)</w:t>
            </w:r>
          </w:p>
        </w:tc>
      </w:tr>
      <w:tr w:rsidR="00CC362A" w:rsidRPr="00E223AF" w14:paraId="097CF715" w14:textId="77777777" w:rsidTr="00A6674F">
        <w:trPr>
          <w:trHeight w:val="432"/>
        </w:trPr>
        <w:tc>
          <w:tcPr>
            <w:tcW w:w="3528" w:type="dxa"/>
            <w:vAlign w:val="center"/>
          </w:tcPr>
          <w:p w14:paraId="501F3C9A" w14:textId="77777777" w:rsidR="00CC362A" w:rsidRPr="00E223AF" w:rsidRDefault="00CC362A" w:rsidP="00A6674F">
            <w:pPr>
              <w:jc w:val="center"/>
              <w:rPr>
                <w:lang w:eastAsia="en-GB"/>
              </w:rPr>
            </w:pPr>
            <w:r w:rsidRPr="00E223AF">
              <w:rPr>
                <w:lang w:eastAsia="en-GB"/>
              </w:rPr>
              <w:t>Greater than 1.50 m</w:t>
            </w:r>
            <w:r w:rsidRPr="00E223AF">
              <w:rPr>
                <w:vertAlign w:val="superscript"/>
                <w:lang w:eastAsia="en-GB"/>
              </w:rPr>
              <w:t>2</w:t>
            </w:r>
          </w:p>
        </w:tc>
        <w:tc>
          <w:tcPr>
            <w:tcW w:w="4500" w:type="dxa"/>
            <w:vAlign w:val="center"/>
          </w:tcPr>
          <w:p w14:paraId="5964C240" w14:textId="77777777" w:rsidR="00CC362A" w:rsidRPr="00E223AF" w:rsidRDefault="00CC362A" w:rsidP="00A6674F">
            <w:pPr>
              <w:jc w:val="center"/>
              <w:rPr>
                <w:lang w:eastAsia="en-GB"/>
              </w:rPr>
            </w:pPr>
            <w:r w:rsidRPr="00E223AF">
              <w:rPr>
                <w:lang w:eastAsia="en-GB"/>
              </w:rPr>
              <w:t xml:space="preserve">600 mg </w:t>
            </w:r>
          </w:p>
        </w:tc>
      </w:tr>
      <w:tr w:rsidR="00CC362A" w:rsidRPr="00E223AF" w14:paraId="04EEEB7F" w14:textId="77777777" w:rsidTr="00A6674F">
        <w:trPr>
          <w:trHeight w:val="432"/>
        </w:trPr>
        <w:tc>
          <w:tcPr>
            <w:tcW w:w="3528" w:type="dxa"/>
            <w:vAlign w:val="center"/>
          </w:tcPr>
          <w:p w14:paraId="1A1F8E56" w14:textId="77777777" w:rsidR="00CC362A" w:rsidRPr="00E223AF" w:rsidRDefault="00CC362A" w:rsidP="00A6674F">
            <w:pPr>
              <w:jc w:val="center"/>
              <w:rPr>
                <w:lang w:eastAsia="en-GB"/>
              </w:rPr>
            </w:pPr>
            <w:r w:rsidRPr="00E223AF">
              <w:rPr>
                <w:lang w:eastAsia="en-GB"/>
              </w:rPr>
              <w:t>1.11 to 1.50 m</w:t>
            </w:r>
            <w:r w:rsidRPr="00E223AF">
              <w:rPr>
                <w:vertAlign w:val="superscript"/>
                <w:lang w:eastAsia="en-GB"/>
              </w:rPr>
              <w:t>2</w:t>
            </w:r>
          </w:p>
        </w:tc>
        <w:tc>
          <w:tcPr>
            <w:tcW w:w="4500" w:type="dxa"/>
            <w:vAlign w:val="center"/>
          </w:tcPr>
          <w:p w14:paraId="47A44B70" w14:textId="77777777" w:rsidR="00CC362A" w:rsidRPr="00E223AF" w:rsidRDefault="00CC362A" w:rsidP="00A6674F">
            <w:pPr>
              <w:jc w:val="center"/>
              <w:rPr>
                <w:lang w:eastAsia="en-GB"/>
              </w:rPr>
            </w:pPr>
            <w:r w:rsidRPr="00E223AF">
              <w:rPr>
                <w:lang w:eastAsia="en-GB"/>
              </w:rPr>
              <w:t xml:space="preserve">500 mg </w:t>
            </w:r>
          </w:p>
        </w:tc>
      </w:tr>
      <w:tr w:rsidR="00CC362A" w:rsidRPr="00E223AF" w14:paraId="7BF3C634" w14:textId="77777777" w:rsidTr="00A6674F">
        <w:trPr>
          <w:trHeight w:val="432"/>
        </w:trPr>
        <w:tc>
          <w:tcPr>
            <w:tcW w:w="3528" w:type="dxa"/>
            <w:vAlign w:val="center"/>
          </w:tcPr>
          <w:p w14:paraId="5CCD1883" w14:textId="77777777" w:rsidR="00CC362A" w:rsidRPr="00E223AF" w:rsidRDefault="00CC362A" w:rsidP="00A6674F">
            <w:pPr>
              <w:jc w:val="center"/>
              <w:rPr>
                <w:lang w:eastAsia="en-GB"/>
              </w:rPr>
            </w:pPr>
            <w:r w:rsidRPr="00E223AF">
              <w:rPr>
                <w:lang w:eastAsia="en-GB"/>
              </w:rPr>
              <w:t>0.91 to 1.10 m</w:t>
            </w:r>
            <w:r w:rsidRPr="00E223AF">
              <w:rPr>
                <w:vertAlign w:val="superscript"/>
                <w:lang w:eastAsia="en-GB"/>
              </w:rPr>
              <w:t>2</w:t>
            </w:r>
          </w:p>
        </w:tc>
        <w:tc>
          <w:tcPr>
            <w:tcW w:w="4500" w:type="dxa"/>
            <w:vAlign w:val="center"/>
          </w:tcPr>
          <w:p w14:paraId="43324E54" w14:textId="77777777" w:rsidR="00CC362A" w:rsidRPr="00E223AF" w:rsidRDefault="00CC362A" w:rsidP="00A6674F">
            <w:pPr>
              <w:jc w:val="center"/>
              <w:rPr>
                <w:lang w:eastAsia="en-GB"/>
              </w:rPr>
            </w:pPr>
            <w:r w:rsidRPr="00E223AF">
              <w:rPr>
                <w:lang w:eastAsia="en-GB"/>
              </w:rPr>
              <w:t xml:space="preserve">400 mg </w:t>
            </w:r>
          </w:p>
        </w:tc>
      </w:tr>
      <w:bookmarkEnd w:id="2"/>
    </w:tbl>
    <w:p w14:paraId="5207A2FD" w14:textId="77777777" w:rsidR="00CC362A" w:rsidRPr="00E223AF" w:rsidRDefault="00CC362A" w:rsidP="00CC362A">
      <w:pPr>
        <w:rPr>
          <w:b/>
          <w:color w:val="auto"/>
          <w:lang w:eastAsia="en-GB"/>
        </w:rPr>
      </w:pPr>
    </w:p>
    <w:p w14:paraId="30713313" w14:textId="7F3A6B9F" w:rsidR="0005321A" w:rsidRPr="00E223AF" w:rsidRDefault="0005321A" w:rsidP="002100B6">
      <w:pPr>
        <w:pStyle w:val="Heading4"/>
        <w:rPr>
          <w:color w:val="auto"/>
        </w:rPr>
      </w:pPr>
      <w:r w:rsidRPr="00E223AF">
        <w:rPr>
          <w:color w:val="auto"/>
        </w:rPr>
        <w:t xml:space="preserve">Duration of </w:t>
      </w:r>
      <w:r w:rsidR="00657085" w:rsidRPr="00E223AF">
        <w:rPr>
          <w:color w:val="auto"/>
        </w:rPr>
        <w:t>t</w:t>
      </w:r>
      <w:r w:rsidRPr="00E223AF">
        <w:rPr>
          <w:color w:val="auto"/>
        </w:rPr>
        <w:t>reatment</w:t>
      </w:r>
    </w:p>
    <w:p w14:paraId="01C13540" w14:textId="32400811" w:rsidR="0005321A" w:rsidRPr="00E223AF" w:rsidRDefault="0005321A" w:rsidP="0005321A">
      <w:pPr>
        <w:rPr>
          <w:color w:val="auto"/>
        </w:rPr>
      </w:pPr>
      <w:r w:rsidRPr="00E223AF">
        <w:rPr>
          <w:color w:val="auto"/>
        </w:rPr>
        <w:t xml:space="preserve">It is recommended that patients are treated with </w:t>
      </w:r>
      <w:r w:rsidR="00AC22FD" w:rsidRPr="00E223AF">
        <w:rPr>
          <w:color w:val="auto"/>
        </w:rPr>
        <w:t>Rozlytrek</w:t>
      </w:r>
      <w:r w:rsidRPr="00E223AF">
        <w:rPr>
          <w:color w:val="auto"/>
        </w:rPr>
        <w:t xml:space="preserve"> until disease progression or unacceptable toxicity.</w:t>
      </w:r>
    </w:p>
    <w:p w14:paraId="6C248774" w14:textId="3A8122DA" w:rsidR="0005321A" w:rsidRPr="00E223AF" w:rsidRDefault="0005321A" w:rsidP="0005321A">
      <w:pPr>
        <w:pStyle w:val="Heading4"/>
        <w:rPr>
          <w:color w:val="auto"/>
        </w:rPr>
      </w:pPr>
      <w:r w:rsidRPr="00E223AF">
        <w:rPr>
          <w:color w:val="auto"/>
        </w:rPr>
        <w:t xml:space="preserve">Delayed or </w:t>
      </w:r>
      <w:r w:rsidR="00657085" w:rsidRPr="00E223AF">
        <w:rPr>
          <w:color w:val="auto"/>
        </w:rPr>
        <w:t>m</w:t>
      </w:r>
      <w:r w:rsidRPr="00E223AF">
        <w:rPr>
          <w:color w:val="auto"/>
        </w:rPr>
        <w:t xml:space="preserve">issed </w:t>
      </w:r>
      <w:r w:rsidR="00657085" w:rsidRPr="00E223AF">
        <w:rPr>
          <w:color w:val="auto"/>
        </w:rPr>
        <w:t>d</w:t>
      </w:r>
      <w:r w:rsidRPr="00E223AF">
        <w:rPr>
          <w:color w:val="auto"/>
        </w:rPr>
        <w:t>oses</w:t>
      </w:r>
    </w:p>
    <w:p w14:paraId="506D579E" w14:textId="70084AA1" w:rsidR="0005321A" w:rsidRPr="00E223AF" w:rsidRDefault="0005321A" w:rsidP="0005321A">
      <w:pPr>
        <w:rPr>
          <w:color w:val="auto"/>
        </w:rPr>
      </w:pPr>
      <w:r w:rsidRPr="00E223AF">
        <w:rPr>
          <w:color w:val="auto"/>
        </w:rPr>
        <w:lastRenderedPageBreak/>
        <w:t xml:space="preserve">If a planned dose of </w:t>
      </w:r>
      <w:r w:rsidR="00AC22FD" w:rsidRPr="00E223AF">
        <w:rPr>
          <w:color w:val="auto"/>
        </w:rPr>
        <w:t>Rozlytrek</w:t>
      </w:r>
      <w:r w:rsidRPr="00E223AF">
        <w:rPr>
          <w:color w:val="auto"/>
        </w:rPr>
        <w:t xml:space="preserve"> is missed, patients can make up that dose unless the next dose is due within 12 hours. If vomiting occurs immediately after taking a dose of </w:t>
      </w:r>
      <w:r w:rsidR="00AC22FD" w:rsidRPr="00E223AF">
        <w:rPr>
          <w:color w:val="auto"/>
        </w:rPr>
        <w:t>Rozlytrek</w:t>
      </w:r>
      <w:r w:rsidRPr="00E223AF">
        <w:rPr>
          <w:color w:val="auto"/>
        </w:rPr>
        <w:t>, patients may repeat that dose.</w:t>
      </w:r>
    </w:p>
    <w:p w14:paraId="092404A4" w14:textId="37F6874F" w:rsidR="00992881" w:rsidRPr="00E223AF" w:rsidRDefault="00992881" w:rsidP="0005321A">
      <w:pPr>
        <w:rPr>
          <w:color w:val="auto"/>
        </w:rPr>
      </w:pPr>
    </w:p>
    <w:p w14:paraId="0DC71727" w14:textId="3621DB74" w:rsidR="0005321A" w:rsidRPr="00E223AF" w:rsidRDefault="0005321A" w:rsidP="0005321A">
      <w:pPr>
        <w:pStyle w:val="Heading4"/>
        <w:rPr>
          <w:color w:val="auto"/>
        </w:rPr>
      </w:pPr>
      <w:r w:rsidRPr="00E223AF">
        <w:rPr>
          <w:color w:val="auto"/>
        </w:rPr>
        <w:t xml:space="preserve">Dose </w:t>
      </w:r>
      <w:r w:rsidR="00657085" w:rsidRPr="00E223AF">
        <w:rPr>
          <w:color w:val="auto"/>
        </w:rPr>
        <w:t>m</w:t>
      </w:r>
      <w:r w:rsidRPr="00E223AF">
        <w:rPr>
          <w:color w:val="auto"/>
        </w:rPr>
        <w:t>odifications</w:t>
      </w:r>
      <w:r w:rsidR="001B2ED7" w:rsidRPr="00E223AF">
        <w:rPr>
          <w:color w:val="auto"/>
        </w:rPr>
        <w:t xml:space="preserve"> for adverse reactions</w:t>
      </w:r>
      <w:r w:rsidRPr="00E223AF">
        <w:rPr>
          <w:color w:val="auto"/>
        </w:rPr>
        <w:t xml:space="preserve"> </w:t>
      </w:r>
    </w:p>
    <w:p w14:paraId="15A79173" w14:textId="4B3D8EE9" w:rsidR="009D03D1" w:rsidRPr="00E223AF" w:rsidRDefault="0005321A" w:rsidP="00B660C2">
      <w:pPr>
        <w:rPr>
          <w:color w:val="auto"/>
        </w:rPr>
      </w:pPr>
      <w:r w:rsidRPr="00E223AF">
        <w:rPr>
          <w:color w:val="auto"/>
        </w:rPr>
        <w:t xml:space="preserve">Management of adverse </w:t>
      </w:r>
      <w:r w:rsidR="00F20AB4" w:rsidRPr="00E223AF">
        <w:rPr>
          <w:color w:val="auto"/>
        </w:rPr>
        <w:t xml:space="preserve">reactions </w:t>
      </w:r>
      <w:r w:rsidRPr="00E223AF">
        <w:rPr>
          <w:color w:val="auto"/>
        </w:rPr>
        <w:t xml:space="preserve">may require temporary interruption, dose reduction, or discontinuation of treatment with </w:t>
      </w:r>
      <w:r w:rsidR="00AC22FD" w:rsidRPr="00E223AF">
        <w:rPr>
          <w:color w:val="auto"/>
        </w:rPr>
        <w:t>Rozlytrek</w:t>
      </w:r>
      <w:r w:rsidRPr="00E223AF">
        <w:rPr>
          <w:color w:val="auto"/>
        </w:rPr>
        <w:t>.</w:t>
      </w:r>
    </w:p>
    <w:p w14:paraId="27433FF4" w14:textId="22D30D07" w:rsidR="0005321A" w:rsidRPr="00E223AF" w:rsidRDefault="00F20AB4" w:rsidP="00B660C2">
      <w:pPr>
        <w:rPr>
          <w:color w:val="auto"/>
        </w:rPr>
      </w:pPr>
      <w:r w:rsidRPr="00E223AF">
        <w:rPr>
          <w:color w:val="auto"/>
        </w:rPr>
        <w:t xml:space="preserve"> </w:t>
      </w:r>
    </w:p>
    <w:p w14:paraId="59F930C8" w14:textId="278104AA" w:rsidR="0005321A" w:rsidRPr="00E223AF" w:rsidRDefault="0054032D" w:rsidP="0005321A">
      <w:pPr>
        <w:rPr>
          <w:color w:val="auto"/>
        </w:rPr>
      </w:pPr>
      <w:r w:rsidRPr="00E223AF">
        <w:rPr>
          <w:color w:val="auto"/>
        </w:rPr>
        <w:t>Recommended dose reductions</w:t>
      </w:r>
      <w:r w:rsidR="00203408" w:rsidRPr="00E223AF">
        <w:rPr>
          <w:color w:val="auto"/>
        </w:rPr>
        <w:t xml:space="preserve"> are </w:t>
      </w:r>
      <w:r w:rsidR="001B2ED7" w:rsidRPr="00E223AF">
        <w:rPr>
          <w:color w:val="auto"/>
        </w:rPr>
        <w:t xml:space="preserve">provided in Table 2. </w:t>
      </w:r>
      <w:r w:rsidR="00F20AB4" w:rsidRPr="00E223AF">
        <w:rPr>
          <w:color w:val="auto"/>
        </w:rPr>
        <w:t>T</w:t>
      </w:r>
      <w:r w:rsidR="0005321A" w:rsidRPr="00E223AF">
        <w:rPr>
          <w:color w:val="auto"/>
        </w:rPr>
        <w:t xml:space="preserve">he dose of </w:t>
      </w:r>
      <w:r w:rsidR="00AC22FD" w:rsidRPr="00E223AF">
        <w:rPr>
          <w:color w:val="auto"/>
        </w:rPr>
        <w:t>Rozlytrek</w:t>
      </w:r>
      <w:r w:rsidR="0005321A" w:rsidRPr="00E223AF">
        <w:rPr>
          <w:color w:val="auto"/>
        </w:rPr>
        <w:t xml:space="preserve"> may be reduced up to 2 times</w:t>
      </w:r>
      <w:r w:rsidR="001B2ED7" w:rsidRPr="00E223AF">
        <w:rPr>
          <w:color w:val="auto"/>
        </w:rPr>
        <w:t>, after which</w:t>
      </w:r>
      <w:r w:rsidR="0005321A" w:rsidRPr="00E223AF">
        <w:rPr>
          <w:color w:val="auto"/>
        </w:rPr>
        <w:t xml:space="preserve"> </w:t>
      </w:r>
      <w:r w:rsidR="00AC22FD" w:rsidRPr="00E223AF">
        <w:rPr>
          <w:color w:val="auto"/>
        </w:rPr>
        <w:t>Rozlytrek</w:t>
      </w:r>
      <w:r w:rsidR="0005321A" w:rsidRPr="00E223AF">
        <w:rPr>
          <w:color w:val="auto"/>
        </w:rPr>
        <w:t xml:space="preserve"> treatment should be permanently discontinued if patients are unable to tolerate </w:t>
      </w:r>
      <w:r w:rsidR="001B2ED7" w:rsidRPr="00E223AF">
        <w:rPr>
          <w:color w:val="auto"/>
        </w:rPr>
        <w:t>the lowest reduced dose</w:t>
      </w:r>
      <w:r w:rsidR="001B2ED7" w:rsidRPr="003D4F8E">
        <w:rPr>
          <w:color w:val="auto"/>
        </w:rPr>
        <w:t>.</w:t>
      </w:r>
    </w:p>
    <w:p w14:paraId="545146FE" w14:textId="77777777" w:rsidR="0005321A" w:rsidRPr="00E223AF" w:rsidRDefault="0005321A" w:rsidP="0005321A">
      <w:pPr>
        <w:rPr>
          <w:color w:val="auto"/>
        </w:rPr>
      </w:pPr>
    </w:p>
    <w:p w14:paraId="4D1D5E55" w14:textId="083092B4" w:rsidR="0005321A" w:rsidRPr="00E223AF" w:rsidRDefault="0005321A" w:rsidP="0005321A">
      <w:pPr>
        <w:rPr>
          <w:b/>
          <w:color w:val="auto"/>
        </w:rPr>
      </w:pPr>
      <w:r w:rsidRPr="00E223AF">
        <w:rPr>
          <w:b/>
          <w:color w:val="auto"/>
        </w:rPr>
        <w:t xml:space="preserve">Table </w:t>
      </w:r>
      <w:r w:rsidR="001B2ED7" w:rsidRPr="00E223AF">
        <w:rPr>
          <w:b/>
          <w:color w:val="auto"/>
        </w:rPr>
        <w:t>2</w:t>
      </w:r>
      <w:r w:rsidR="00FC2E43" w:rsidRPr="00E223AF">
        <w:rPr>
          <w:b/>
          <w:color w:val="auto"/>
        </w:rPr>
        <w:t>.</w:t>
      </w:r>
      <w:r w:rsidRPr="00E223AF">
        <w:rPr>
          <w:b/>
          <w:color w:val="auto"/>
        </w:rPr>
        <w:t xml:space="preserve"> </w:t>
      </w:r>
      <w:r w:rsidR="0054032D" w:rsidRPr="00E223AF">
        <w:rPr>
          <w:b/>
          <w:color w:val="auto"/>
        </w:rPr>
        <w:t xml:space="preserve">Recommended </w:t>
      </w:r>
      <w:r w:rsidR="000C682F" w:rsidRPr="00E223AF">
        <w:rPr>
          <w:b/>
          <w:color w:val="auto"/>
        </w:rPr>
        <w:t>doses when reduction is required</w:t>
      </w:r>
    </w:p>
    <w:tbl>
      <w:tblPr>
        <w:tblStyle w:val="TableGrid"/>
        <w:tblW w:w="0" w:type="auto"/>
        <w:tblInd w:w="108" w:type="dxa"/>
        <w:tblLook w:val="04A0" w:firstRow="1" w:lastRow="0" w:firstColumn="1" w:lastColumn="0" w:noHBand="0" w:noVBand="1"/>
      </w:tblPr>
      <w:tblGrid>
        <w:gridCol w:w="2722"/>
        <w:gridCol w:w="2062"/>
        <w:gridCol w:w="2062"/>
        <w:gridCol w:w="2062"/>
      </w:tblGrid>
      <w:tr w:rsidR="0071308D" w:rsidRPr="00E223AF" w14:paraId="5050384D" w14:textId="77777777" w:rsidTr="00605C72">
        <w:trPr>
          <w:trHeight w:val="432"/>
        </w:trPr>
        <w:tc>
          <w:tcPr>
            <w:tcW w:w="2722" w:type="dxa"/>
            <w:vAlign w:val="center"/>
          </w:tcPr>
          <w:p w14:paraId="34538E9E" w14:textId="36727C41" w:rsidR="0071308D" w:rsidRPr="00E223AF" w:rsidRDefault="00203408" w:rsidP="0071308D">
            <w:pPr>
              <w:rPr>
                <w:b/>
                <w:bCs/>
                <w:iCs/>
                <w:sz w:val="22"/>
                <w:szCs w:val="22"/>
                <w:lang w:eastAsia="en-GB"/>
              </w:rPr>
            </w:pPr>
            <w:r w:rsidRPr="00E223AF">
              <w:rPr>
                <w:b/>
                <w:bCs/>
                <w:iCs/>
                <w:sz w:val="22"/>
                <w:szCs w:val="22"/>
                <w:lang w:eastAsia="en-GB"/>
              </w:rPr>
              <w:t>Dose level</w:t>
            </w:r>
          </w:p>
        </w:tc>
        <w:tc>
          <w:tcPr>
            <w:tcW w:w="2062" w:type="dxa"/>
            <w:vAlign w:val="center"/>
          </w:tcPr>
          <w:p w14:paraId="04931FB7" w14:textId="73F5C9C0" w:rsidR="0071308D" w:rsidRPr="00E223AF" w:rsidRDefault="001B2ED7" w:rsidP="0071308D">
            <w:pPr>
              <w:jc w:val="center"/>
              <w:rPr>
                <w:b/>
                <w:bCs/>
                <w:iCs/>
                <w:sz w:val="22"/>
                <w:szCs w:val="22"/>
                <w:lang w:eastAsia="en-GB"/>
              </w:rPr>
            </w:pPr>
            <w:r w:rsidRPr="00E223AF">
              <w:rPr>
                <w:b/>
                <w:bCs/>
                <w:iCs/>
                <w:sz w:val="22"/>
                <w:szCs w:val="22"/>
                <w:lang w:eastAsia="en-GB"/>
              </w:rPr>
              <w:t xml:space="preserve">All adults, and paediatric patients with </w:t>
            </w:r>
            <w:r w:rsidR="0071308D" w:rsidRPr="00E223AF">
              <w:rPr>
                <w:b/>
                <w:bCs/>
                <w:iCs/>
                <w:sz w:val="22"/>
                <w:szCs w:val="22"/>
                <w:lang w:eastAsia="en-GB"/>
              </w:rPr>
              <w:t xml:space="preserve">BSA </w:t>
            </w:r>
            <w:r w:rsidR="00657085" w:rsidRPr="00E223AF">
              <w:rPr>
                <w:b/>
                <w:bCs/>
                <w:iCs/>
                <w:sz w:val="22"/>
                <w:szCs w:val="22"/>
                <w:lang w:eastAsia="en-GB"/>
              </w:rPr>
              <w:t>g</w:t>
            </w:r>
            <w:r w:rsidR="0071308D" w:rsidRPr="00E223AF">
              <w:rPr>
                <w:b/>
                <w:bCs/>
                <w:iCs/>
                <w:sz w:val="22"/>
                <w:szCs w:val="22"/>
                <w:lang w:eastAsia="en-GB"/>
              </w:rPr>
              <w:t>reater than 1.50 m</w:t>
            </w:r>
            <w:r w:rsidR="0071308D" w:rsidRPr="00E223AF">
              <w:rPr>
                <w:b/>
                <w:bCs/>
                <w:iCs/>
                <w:sz w:val="22"/>
                <w:szCs w:val="22"/>
                <w:vertAlign w:val="superscript"/>
                <w:lang w:eastAsia="en-GB"/>
              </w:rPr>
              <w:t>2</w:t>
            </w:r>
          </w:p>
          <w:p w14:paraId="1B345A91" w14:textId="2676B657" w:rsidR="0071308D" w:rsidRPr="00E223AF" w:rsidRDefault="0071308D" w:rsidP="0071308D">
            <w:pPr>
              <w:jc w:val="center"/>
              <w:rPr>
                <w:b/>
                <w:bCs/>
                <w:iCs/>
                <w:sz w:val="22"/>
                <w:szCs w:val="22"/>
                <w:lang w:eastAsia="en-GB"/>
              </w:rPr>
            </w:pPr>
            <w:r w:rsidRPr="00E223AF">
              <w:rPr>
                <w:b/>
                <w:bCs/>
                <w:iCs/>
                <w:sz w:val="22"/>
                <w:szCs w:val="22"/>
                <w:lang w:eastAsia="en-GB"/>
              </w:rPr>
              <w:t>(</w:t>
            </w:r>
            <w:r w:rsidR="00657085" w:rsidRPr="00E223AF">
              <w:rPr>
                <w:b/>
                <w:bCs/>
                <w:iCs/>
                <w:sz w:val="22"/>
                <w:szCs w:val="22"/>
                <w:lang w:eastAsia="en-GB"/>
              </w:rPr>
              <w:t>o</w:t>
            </w:r>
            <w:r w:rsidRPr="00E223AF">
              <w:rPr>
                <w:b/>
                <w:bCs/>
                <w:iCs/>
                <w:sz w:val="22"/>
                <w:szCs w:val="22"/>
                <w:lang w:eastAsia="en-GB"/>
              </w:rPr>
              <w:t>rally once daily)</w:t>
            </w:r>
          </w:p>
        </w:tc>
        <w:tc>
          <w:tcPr>
            <w:tcW w:w="2062" w:type="dxa"/>
            <w:vAlign w:val="center"/>
          </w:tcPr>
          <w:p w14:paraId="42833129" w14:textId="7FC2FE82" w:rsidR="0071308D" w:rsidRPr="00E223AF" w:rsidRDefault="001B2ED7" w:rsidP="0071308D">
            <w:pPr>
              <w:jc w:val="center"/>
              <w:rPr>
                <w:b/>
                <w:bCs/>
                <w:iCs/>
                <w:sz w:val="22"/>
                <w:szCs w:val="22"/>
                <w:vertAlign w:val="superscript"/>
                <w:lang w:eastAsia="en-GB"/>
              </w:rPr>
            </w:pPr>
            <w:r w:rsidRPr="00E223AF">
              <w:rPr>
                <w:b/>
                <w:bCs/>
                <w:iCs/>
                <w:sz w:val="22"/>
                <w:szCs w:val="22"/>
                <w:lang w:eastAsia="en-GB"/>
              </w:rPr>
              <w:t xml:space="preserve">Paediatric patients with </w:t>
            </w:r>
            <w:r w:rsidR="0071308D" w:rsidRPr="00E223AF">
              <w:rPr>
                <w:b/>
                <w:bCs/>
                <w:iCs/>
                <w:sz w:val="22"/>
                <w:szCs w:val="22"/>
                <w:lang w:eastAsia="en-GB"/>
              </w:rPr>
              <w:t>BSA of 1.11 to 1.50 m</w:t>
            </w:r>
            <w:r w:rsidR="0071308D" w:rsidRPr="00E223AF">
              <w:rPr>
                <w:b/>
                <w:bCs/>
                <w:iCs/>
                <w:sz w:val="22"/>
                <w:szCs w:val="22"/>
                <w:vertAlign w:val="superscript"/>
                <w:lang w:eastAsia="en-GB"/>
              </w:rPr>
              <w:t>2</w:t>
            </w:r>
          </w:p>
          <w:p w14:paraId="3E01CC7C" w14:textId="63AAADA7" w:rsidR="0071308D" w:rsidRPr="00E223AF" w:rsidRDefault="0071308D" w:rsidP="0071308D">
            <w:pPr>
              <w:jc w:val="center"/>
              <w:rPr>
                <w:b/>
                <w:bCs/>
                <w:iCs/>
                <w:sz w:val="22"/>
                <w:szCs w:val="22"/>
                <w:lang w:eastAsia="en-GB"/>
              </w:rPr>
            </w:pPr>
            <w:r w:rsidRPr="00E223AF">
              <w:rPr>
                <w:b/>
                <w:bCs/>
                <w:iCs/>
                <w:sz w:val="22"/>
                <w:szCs w:val="22"/>
                <w:lang w:eastAsia="en-GB"/>
              </w:rPr>
              <w:t>(</w:t>
            </w:r>
            <w:r w:rsidR="00657085" w:rsidRPr="00E223AF">
              <w:rPr>
                <w:b/>
                <w:bCs/>
                <w:iCs/>
                <w:sz w:val="22"/>
                <w:szCs w:val="22"/>
                <w:lang w:eastAsia="en-GB"/>
              </w:rPr>
              <w:t>o</w:t>
            </w:r>
            <w:r w:rsidRPr="00E223AF">
              <w:rPr>
                <w:b/>
                <w:bCs/>
                <w:iCs/>
                <w:sz w:val="22"/>
                <w:szCs w:val="22"/>
                <w:lang w:eastAsia="en-GB"/>
              </w:rPr>
              <w:t>rally once daily)</w:t>
            </w:r>
          </w:p>
        </w:tc>
        <w:tc>
          <w:tcPr>
            <w:tcW w:w="2062" w:type="dxa"/>
            <w:vAlign w:val="center"/>
          </w:tcPr>
          <w:p w14:paraId="660E7BAC" w14:textId="0C2001AB" w:rsidR="0071308D" w:rsidRPr="00E223AF" w:rsidRDefault="001B2ED7" w:rsidP="0071308D">
            <w:pPr>
              <w:jc w:val="center"/>
              <w:rPr>
                <w:b/>
                <w:bCs/>
                <w:iCs/>
                <w:sz w:val="22"/>
                <w:szCs w:val="22"/>
                <w:vertAlign w:val="superscript"/>
                <w:lang w:eastAsia="en-GB"/>
              </w:rPr>
            </w:pPr>
            <w:r w:rsidRPr="00E223AF">
              <w:rPr>
                <w:b/>
                <w:bCs/>
                <w:iCs/>
                <w:sz w:val="22"/>
                <w:szCs w:val="22"/>
                <w:lang w:eastAsia="en-GB"/>
              </w:rPr>
              <w:t xml:space="preserve">Paediatric patients with </w:t>
            </w:r>
            <w:r w:rsidR="0071308D" w:rsidRPr="00E223AF">
              <w:rPr>
                <w:b/>
                <w:bCs/>
                <w:iCs/>
                <w:sz w:val="22"/>
                <w:szCs w:val="22"/>
                <w:lang w:eastAsia="en-GB"/>
              </w:rPr>
              <w:t>BSA of 0.91 to 1.10 m</w:t>
            </w:r>
            <w:r w:rsidR="0071308D" w:rsidRPr="00E223AF">
              <w:rPr>
                <w:b/>
                <w:bCs/>
                <w:iCs/>
                <w:sz w:val="22"/>
                <w:szCs w:val="22"/>
                <w:vertAlign w:val="superscript"/>
                <w:lang w:eastAsia="en-GB"/>
              </w:rPr>
              <w:t>2</w:t>
            </w:r>
          </w:p>
          <w:p w14:paraId="54AB7264" w14:textId="04740FD7" w:rsidR="0071308D" w:rsidRPr="00E223AF" w:rsidRDefault="0071308D" w:rsidP="0071308D">
            <w:pPr>
              <w:jc w:val="center"/>
              <w:rPr>
                <w:b/>
                <w:bCs/>
                <w:iCs/>
                <w:sz w:val="22"/>
                <w:szCs w:val="22"/>
                <w:lang w:eastAsia="en-GB"/>
              </w:rPr>
            </w:pPr>
            <w:r w:rsidRPr="00E223AF">
              <w:rPr>
                <w:b/>
                <w:bCs/>
                <w:iCs/>
                <w:sz w:val="22"/>
                <w:szCs w:val="22"/>
                <w:lang w:eastAsia="en-GB"/>
              </w:rPr>
              <w:t>(</w:t>
            </w:r>
            <w:r w:rsidR="00657085" w:rsidRPr="00E223AF">
              <w:rPr>
                <w:b/>
                <w:bCs/>
                <w:iCs/>
                <w:sz w:val="22"/>
                <w:szCs w:val="22"/>
                <w:lang w:eastAsia="en-GB"/>
              </w:rPr>
              <w:t>o</w:t>
            </w:r>
            <w:r w:rsidRPr="00E223AF">
              <w:rPr>
                <w:b/>
                <w:bCs/>
                <w:iCs/>
                <w:sz w:val="22"/>
                <w:szCs w:val="22"/>
                <w:lang w:eastAsia="en-GB"/>
              </w:rPr>
              <w:t>rally once daily)</w:t>
            </w:r>
          </w:p>
        </w:tc>
      </w:tr>
      <w:tr w:rsidR="00203408" w:rsidRPr="00E223AF" w14:paraId="034BE20C" w14:textId="77777777" w:rsidTr="00605C72">
        <w:trPr>
          <w:trHeight w:val="432"/>
        </w:trPr>
        <w:tc>
          <w:tcPr>
            <w:tcW w:w="2722" w:type="dxa"/>
            <w:vAlign w:val="center"/>
          </w:tcPr>
          <w:p w14:paraId="081E71CF" w14:textId="39F9E5C9" w:rsidR="00203408" w:rsidRPr="003D4F8E" w:rsidRDefault="00203408" w:rsidP="00203408">
            <w:pPr>
              <w:jc w:val="left"/>
              <w:rPr>
                <w:bCs/>
                <w:i/>
                <w:iCs/>
                <w:sz w:val="22"/>
                <w:szCs w:val="22"/>
                <w:lang w:eastAsia="en-GB"/>
              </w:rPr>
            </w:pPr>
            <w:r w:rsidRPr="003D4F8E">
              <w:rPr>
                <w:bCs/>
                <w:i/>
                <w:iCs/>
                <w:sz w:val="22"/>
                <w:szCs w:val="22"/>
                <w:lang w:eastAsia="en-GB"/>
              </w:rPr>
              <w:t>(Starting dose)</w:t>
            </w:r>
          </w:p>
        </w:tc>
        <w:tc>
          <w:tcPr>
            <w:tcW w:w="2062" w:type="dxa"/>
            <w:vAlign w:val="center"/>
          </w:tcPr>
          <w:p w14:paraId="1300D244" w14:textId="3F131F1C" w:rsidR="00203408" w:rsidRPr="003D4F8E" w:rsidRDefault="0054032D" w:rsidP="0071308D">
            <w:pPr>
              <w:jc w:val="center"/>
              <w:rPr>
                <w:bCs/>
                <w:i/>
                <w:iCs/>
                <w:sz w:val="22"/>
                <w:szCs w:val="22"/>
                <w:lang w:eastAsia="en-GB"/>
              </w:rPr>
            </w:pPr>
            <w:r w:rsidRPr="003D4F8E">
              <w:rPr>
                <w:bCs/>
                <w:i/>
                <w:iCs/>
                <w:sz w:val="22"/>
                <w:szCs w:val="22"/>
                <w:lang w:eastAsia="en-GB"/>
              </w:rPr>
              <w:t>(</w:t>
            </w:r>
            <w:r w:rsidR="00203408" w:rsidRPr="003D4F8E">
              <w:rPr>
                <w:bCs/>
                <w:i/>
                <w:iCs/>
                <w:sz w:val="22"/>
                <w:szCs w:val="22"/>
                <w:lang w:eastAsia="en-GB"/>
              </w:rPr>
              <w:t>600 mg</w:t>
            </w:r>
            <w:r w:rsidRPr="003D4F8E">
              <w:rPr>
                <w:bCs/>
                <w:i/>
                <w:iCs/>
                <w:sz w:val="22"/>
                <w:szCs w:val="22"/>
                <w:lang w:eastAsia="en-GB"/>
              </w:rPr>
              <w:t>)</w:t>
            </w:r>
          </w:p>
        </w:tc>
        <w:tc>
          <w:tcPr>
            <w:tcW w:w="2062" w:type="dxa"/>
            <w:vAlign w:val="center"/>
          </w:tcPr>
          <w:p w14:paraId="218F39CC" w14:textId="08BD48D5" w:rsidR="00203408" w:rsidRPr="003D4F8E" w:rsidRDefault="0054032D" w:rsidP="0071308D">
            <w:pPr>
              <w:jc w:val="center"/>
              <w:rPr>
                <w:bCs/>
                <w:i/>
                <w:iCs/>
                <w:sz w:val="22"/>
                <w:szCs w:val="22"/>
                <w:lang w:eastAsia="en-GB"/>
              </w:rPr>
            </w:pPr>
            <w:r w:rsidRPr="003D4F8E">
              <w:rPr>
                <w:bCs/>
                <w:i/>
                <w:iCs/>
                <w:sz w:val="22"/>
                <w:szCs w:val="22"/>
                <w:lang w:eastAsia="en-GB"/>
              </w:rPr>
              <w:t>(</w:t>
            </w:r>
            <w:r w:rsidR="00203408" w:rsidRPr="003D4F8E">
              <w:rPr>
                <w:bCs/>
                <w:i/>
                <w:iCs/>
                <w:sz w:val="22"/>
                <w:szCs w:val="22"/>
                <w:lang w:eastAsia="en-GB"/>
              </w:rPr>
              <w:t>500 mg</w:t>
            </w:r>
            <w:r w:rsidRPr="003D4F8E">
              <w:rPr>
                <w:bCs/>
                <w:i/>
                <w:iCs/>
                <w:sz w:val="22"/>
                <w:szCs w:val="22"/>
                <w:lang w:eastAsia="en-GB"/>
              </w:rPr>
              <w:t>)</w:t>
            </w:r>
          </w:p>
        </w:tc>
        <w:tc>
          <w:tcPr>
            <w:tcW w:w="2062" w:type="dxa"/>
            <w:vAlign w:val="center"/>
          </w:tcPr>
          <w:p w14:paraId="0EA8F857" w14:textId="16536146" w:rsidR="00203408" w:rsidRPr="003D4F8E" w:rsidRDefault="0054032D" w:rsidP="0071308D">
            <w:pPr>
              <w:jc w:val="center"/>
              <w:rPr>
                <w:bCs/>
                <w:i/>
                <w:iCs/>
                <w:sz w:val="22"/>
                <w:szCs w:val="22"/>
                <w:lang w:eastAsia="en-GB"/>
              </w:rPr>
            </w:pPr>
            <w:r w:rsidRPr="003D4F8E">
              <w:rPr>
                <w:bCs/>
                <w:i/>
                <w:iCs/>
                <w:sz w:val="22"/>
                <w:szCs w:val="22"/>
                <w:lang w:eastAsia="en-GB"/>
              </w:rPr>
              <w:t>(</w:t>
            </w:r>
            <w:r w:rsidR="00203408" w:rsidRPr="003D4F8E">
              <w:rPr>
                <w:bCs/>
                <w:i/>
                <w:iCs/>
                <w:sz w:val="22"/>
                <w:szCs w:val="22"/>
                <w:lang w:eastAsia="en-GB"/>
              </w:rPr>
              <w:t>400 mg</w:t>
            </w:r>
            <w:r w:rsidRPr="003D4F8E">
              <w:rPr>
                <w:bCs/>
                <w:i/>
                <w:iCs/>
                <w:sz w:val="22"/>
                <w:szCs w:val="22"/>
                <w:lang w:eastAsia="en-GB"/>
              </w:rPr>
              <w:t>)</w:t>
            </w:r>
          </w:p>
        </w:tc>
      </w:tr>
      <w:tr w:rsidR="0071308D" w:rsidRPr="00E223AF" w14:paraId="7D0F7FA2" w14:textId="77777777" w:rsidTr="00605C72">
        <w:trPr>
          <w:trHeight w:val="432"/>
        </w:trPr>
        <w:tc>
          <w:tcPr>
            <w:tcW w:w="2722" w:type="dxa"/>
            <w:vAlign w:val="center"/>
          </w:tcPr>
          <w:p w14:paraId="308CB0E0" w14:textId="485CF28D" w:rsidR="0071308D" w:rsidRPr="00E223AF" w:rsidRDefault="00203408" w:rsidP="00332841">
            <w:pPr>
              <w:jc w:val="left"/>
              <w:rPr>
                <w:bCs/>
                <w:iCs/>
                <w:sz w:val="22"/>
                <w:szCs w:val="22"/>
                <w:lang w:eastAsia="en-GB"/>
              </w:rPr>
            </w:pPr>
            <w:r w:rsidRPr="00E223AF">
              <w:rPr>
                <w:bCs/>
                <w:iCs/>
                <w:sz w:val="22"/>
                <w:szCs w:val="22"/>
                <w:lang w:eastAsia="en-GB"/>
              </w:rPr>
              <w:t xml:space="preserve">Dose </w:t>
            </w:r>
            <w:r w:rsidR="0054032D" w:rsidRPr="00E223AF">
              <w:rPr>
                <w:bCs/>
                <w:iCs/>
                <w:sz w:val="22"/>
                <w:szCs w:val="22"/>
                <w:lang w:eastAsia="en-GB"/>
              </w:rPr>
              <w:t>after</w:t>
            </w:r>
            <w:r w:rsidRPr="00E223AF">
              <w:rPr>
                <w:bCs/>
                <w:iCs/>
                <w:sz w:val="22"/>
                <w:szCs w:val="22"/>
                <w:lang w:eastAsia="en-GB"/>
              </w:rPr>
              <w:t xml:space="preserve"> f</w:t>
            </w:r>
            <w:r w:rsidR="0071308D" w:rsidRPr="00E223AF">
              <w:rPr>
                <w:bCs/>
                <w:iCs/>
                <w:sz w:val="22"/>
                <w:szCs w:val="22"/>
                <w:lang w:eastAsia="en-GB"/>
              </w:rPr>
              <w:t>irst reduction</w:t>
            </w:r>
          </w:p>
        </w:tc>
        <w:tc>
          <w:tcPr>
            <w:tcW w:w="2062" w:type="dxa"/>
            <w:vAlign w:val="center"/>
          </w:tcPr>
          <w:p w14:paraId="206A3F1E" w14:textId="77777777" w:rsidR="0071308D" w:rsidRPr="00E223AF" w:rsidRDefault="0071308D" w:rsidP="0071308D">
            <w:pPr>
              <w:jc w:val="center"/>
              <w:rPr>
                <w:bCs/>
                <w:iCs/>
                <w:sz w:val="22"/>
                <w:szCs w:val="22"/>
                <w:lang w:eastAsia="en-GB"/>
              </w:rPr>
            </w:pPr>
            <w:r w:rsidRPr="00E223AF">
              <w:rPr>
                <w:bCs/>
                <w:iCs/>
                <w:sz w:val="22"/>
                <w:szCs w:val="22"/>
                <w:lang w:eastAsia="en-GB"/>
              </w:rPr>
              <w:t xml:space="preserve">400 mg </w:t>
            </w:r>
          </w:p>
        </w:tc>
        <w:tc>
          <w:tcPr>
            <w:tcW w:w="2062" w:type="dxa"/>
            <w:vAlign w:val="center"/>
          </w:tcPr>
          <w:p w14:paraId="27042F27" w14:textId="77777777" w:rsidR="0071308D" w:rsidRPr="00E223AF" w:rsidRDefault="0071308D" w:rsidP="0071308D">
            <w:pPr>
              <w:jc w:val="center"/>
              <w:rPr>
                <w:bCs/>
                <w:iCs/>
                <w:sz w:val="22"/>
                <w:szCs w:val="22"/>
                <w:lang w:eastAsia="en-GB"/>
              </w:rPr>
            </w:pPr>
            <w:r w:rsidRPr="00E223AF">
              <w:rPr>
                <w:bCs/>
                <w:iCs/>
                <w:sz w:val="22"/>
                <w:szCs w:val="22"/>
                <w:lang w:eastAsia="en-GB"/>
              </w:rPr>
              <w:t>400 mg</w:t>
            </w:r>
          </w:p>
        </w:tc>
        <w:tc>
          <w:tcPr>
            <w:tcW w:w="2062" w:type="dxa"/>
            <w:vAlign w:val="center"/>
          </w:tcPr>
          <w:p w14:paraId="6691A90F" w14:textId="77777777" w:rsidR="0071308D" w:rsidRPr="00E223AF" w:rsidRDefault="0071308D" w:rsidP="0071308D">
            <w:pPr>
              <w:jc w:val="center"/>
              <w:rPr>
                <w:bCs/>
                <w:iCs/>
                <w:sz w:val="22"/>
                <w:szCs w:val="22"/>
                <w:lang w:eastAsia="en-GB"/>
              </w:rPr>
            </w:pPr>
            <w:r w:rsidRPr="00E223AF">
              <w:rPr>
                <w:bCs/>
                <w:iCs/>
                <w:sz w:val="22"/>
                <w:szCs w:val="22"/>
                <w:lang w:eastAsia="en-GB"/>
              </w:rPr>
              <w:t>300 mg</w:t>
            </w:r>
          </w:p>
        </w:tc>
      </w:tr>
      <w:tr w:rsidR="0071308D" w:rsidRPr="00E223AF" w14:paraId="3CEEEBD4" w14:textId="77777777" w:rsidTr="00605C72">
        <w:trPr>
          <w:trHeight w:val="432"/>
        </w:trPr>
        <w:tc>
          <w:tcPr>
            <w:tcW w:w="2722" w:type="dxa"/>
            <w:vAlign w:val="center"/>
          </w:tcPr>
          <w:p w14:paraId="56A06C3A" w14:textId="18F02FE1" w:rsidR="0071308D" w:rsidRPr="00E223AF" w:rsidRDefault="00203408" w:rsidP="00332841">
            <w:pPr>
              <w:jc w:val="left"/>
              <w:rPr>
                <w:bCs/>
                <w:iCs/>
                <w:sz w:val="22"/>
                <w:szCs w:val="22"/>
                <w:lang w:eastAsia="en-GB"/>
              </w:rPr>
            </w:pPr>
            <w:r w:rsidRPr="00E223AF">
              <w:rPr>
                <w:bCs/>
                <w:iCs/>
                <w:sz w:val="22"/>
                <w:szCs w:val="22"/>
                <w:lang w:eastAsia="en-GB"/>
              </w:rPr>
              <w:t xml:space="preserve">Dose </w:t>
            </w:r>
            <w:r w:rsidR="0054032D" w:rsidRPr="00E223AF">
              <w:rPr>
                <w:bCs/>
                <w:iCs/>
                <w:sz w:val="22"/>
                <w:szCs w:val="22"/>
                <w:lang w:eastAsia="en-GB"/>
              </w:rPr>
              <w:t>after</w:t>
            </w:r>
            <w:r w:rsidRPr="00E223AF">
              <w:rPr>
                <w:bCs/>
                <w:iCs/>
                <w:sz w:val="22"/>
                <w:szCs w:val="22"/>
                <w:lang w:eastAsia="en-GB"/>
              </w:rPr>
              <w:t xml:space="preserve"> s</w:t>
            </w:r>
            <w:r w:rsidR="0071308D" w:rsidRPr="00E223AF">
              <w:rPr>
                <w:bCs/>
                <w:iCs/>
                <w:sz w:val="22"/>
                <w:szCs w:val="22"/>
                <w:lang w:eastAsia="en-GB"/>
              </w:rPr>
              <w:t>econd reduction</w:t>
            </w:r>
          </w:p>
        </w:tc>
        <w:tc>
          <w:tcPr>
            <w:tcW w:w="2062" w:type="dxa"/>
            <w:vAlign w:val="center"/>
          </w:tcPr>
          <w:p w14:paraId="6364C901" w14:textId="77777777" w:rsidR="0071308D" w:rsidRPr="00E223AF" w:rsidRDefault="0071308D" w:rsidP="0071308D">
            <w:pPr>
              <w:jc w:val="center"/>
              <w:rPr>
                <w:bCs/>
                <w:iCs/>
                <w:sz w:val="22"/>
                <w:szCs w:val="22"/>
                <w:lang w:eastAsia="en-GB"/>
              </w:rPr>
            </w:pPr>
            <w:r w:rsidRPr="00E223AF">
              <w:rPr>
                <w:bCs/>
                <w:iCs/>
                <w:sz w:val="22"/>
                <w:szCs w:val="22"/>
                <w:lang w:eastAsia="en-GB"/>
              </w:rPr>
              <w:t xml:space="preserve">200 mg </w:t>
            </w:r>
          </w:p>
        </w:tc>
        <w:tc>
          <w:tcPr>
            <w:tcW w:w="2062" w:type="dxa"/>
            <w:vAlign w:val="center"/>
          </w:tcPr>
          <w:p w14:paraId="2C8026B2" w14:textId="77777777" w:rsidR="0071308D" w:rsidRPr="00E223AF" w:rsidRDefault="0071308D" w:rsidP="0071308D">
            <w:pPr>
              <w:jc w:val="center"/>
              <w:rPr>
                <w:bCs/>
                <w:iCs/>
                <w:sz w:val="22"/>
                <w:szCs w:val="22"/>
                <w:lang w:eastAsia="en-GB"/>
              </w:rPr>
            </w:pPr>
            <w:r w:rsidRPr="00E223AF">
              <w:rPr>
                <w:bCs/>
                <w:iCs/>
                <w:sz w:val="22"/>
                <w:szCs w:val="22"/>
                <w:lang w:eastAsia="en-GB"/>
              </w:rPr>
              <w:t>200 mg</w:t>
            </w:r>
          </w:p>
        </w:tc>
        <w:tc>
          <w:tcPr>
            <w:tcW w:w="2062" w:type="dxa"/>
            <w:vAlign w:val="center"/>
          </w:tcPr>
          <w:p w14:paraId="4B5953C1" w14:textId="77777777" w:rsidR="0071308D" w:rsidRPr="00E223AF" w:rsidRDefault="0071308D" w:rsidP="0071308D">
            <w:pPr>
              <w:jc w:val="center"/>
              <w:rPr>
                <w:bCs/>
                <w:iCs/>
                <w:sz w:val="22"/>
                <w:szCs w:val="22"/>
                <w:lang w:eastAsia="en-GB"/>
              </w:rPr>
            </w:pPr>
            <w:r w:rsidRPr="00E223AF">
              <w:rPr>
                <w:bCs/>
                <w:iCs/>
                <w:sz w:val="22"/>
                <w:szCs w:val="22"/>
                <w:lang w:eastAsia="en-GB"/>
              </w:rPr>
              <w:t>200 mg</w:t>
            </w:r>
          </w:p>
        </w:tc>
      </w:tr>
      <w:tr w:rsidR="009D03D1" w:rsidRPr="00E223AF" w14:paraId="09760599" w14:textId="77777777" w:rsidTr="00605C72">
        <w:trPr>
          <w:trHeight w:val="432"/>
        </w:trPr>
        <w:tc>
          <w:tcPr>
            <w:tcW w:w="2722" w:type="dxa"/>
            <w:vAlign w:val="center"/>
          </w:tcPr>
          <w:p w14:paraId="1AB3E594" w14:textId="66E3D740" w:rsidR="009D03D1" w:rsidRPr="003D4F8E" w:rsidRDefault="009D03D1" w:rsidP="00203408">
            <w:pPr>
              <w:jc w:val="left"/>
              <w:rPr>
                <w:bCs/>
                <w:iCs/>
                <w:sz w:val="22"/>
                <w:szCs w:val="22"/>
                <w:lang w:eastAsia="en-GB"/>
              </w:rPr>
            </w:pPr>
            <w:r w:rsidRPr="003D4F8E">
              <w:rPr>
                <w:bCs/>
                <w:iCs/>
                <w:sz w:val="22"/>
                <w:szCs w:val="22"/>
                <w:lang w:eastAsia="en-GB"/>
              </w:rPr>
              <w:t>Subsequent</w:t>
            </w:r>
            <w:r w:rsidR="00203408" w:rsidRPr="003D4F8E">
              <w:rPr>
                <w:bCs/>
                <w:iCs/>
                <w:sz w:val="22"/>
                <w:szCs w:val="22"/>
                <w:lang w:eastAsia="en-GB"/>
              </w:rPr>
              <w:t>ly</w:t>
            </w:r>
          </w:p>
        </w:tc>
        <w:tc>
          <w:tcPr>
            <w:tcW w:w="6186" w:type="dxa"/>
            <w:gridSpan w:val="3"/>
            <w:vAlign w:val="center"/>
          </w:tcPr>
          <w:p w14:paraId="748E12D9" w14:textId="111609B9" w:rsidR="009D03D1" w:rsidRPr="003D4F8E" w:rsidRDefault="009D03D1" w:rsidP="0071308D">
            <w:pPr>
              <w:jc w:val="center"/>
              <w:rPr>
                <w:bCs/>
                <w:iCs/>
                <w:sz w:val="22"/>
                <w:szCs w:val="22"/>
                <w:lang w:eastAsia="en-GB"/>
              </w:rPr>
            </w:pPr>
            <w:r w:rsidRPr="003D4F8E">
              <w:rPr>
                <w:bCs/>
                <w:iCs/>
                <w:sz w:val="22"/>
                <w:szCs w:val="22"/>
                <w:lang w:eastAsia="en-GB"/>
              </w:rPr>
              <w:t xml:space="preserve">Permanently discontinue </w:t>
            </w:r>
            <w:r w:rsidR="00E611DE" w:rsidRPr="003D4F8E">
              <w:rPr>
                <w:bCs/>
                <w:iCs/>
                <w:sz w:val="22"/>
                <w:szCs w:val="22"/>
                <w:lang w:eastAsia="en-GB"/>
              </w:rPr>
              <w:t>Rozlytrek</w:t>
            </w:r>
            <w:r w:rsidRPr="003D4F8E">
              <w:rPr>
                <w:bCs/>
                <w:iCs/>
                <w:sz w:val="22"/>
                <w:szCs w:val="22"/>
                <w:lang w:eastAsia="en-GB"/>
              </w:rPr>
              <w:t xml:space="preserve"> in patients who are unable to tolerate </w:t>
            </w:r>
            <w:r w:rsidR="00E611DE" w:rsidRPr="003D4F8E">
              <w:rPr>
                <w:bCs/>
                <w:iCs/>
                <w:sz w:val="22"/>
                <w:szCs w:val="22"/>
                <w:lang w:eastAsia="en-GB"/>
              </w:rPr>
              <w:t>Rozlytrek</w:t>
            </w:r>
            <w:r w:rsidRPr="003D4F8E">
              <w:rPr>
                <w:bCs/>
                <w:iCs/>
                <w:sz w:val="22"/>
                <w:szCs w:val="22"/>
                <w:lang w:eastAsia="en-GB"/>
              </w:rPr>
              <w:t xml:space="preserve"> after two dose reductions.</w:t>
            </w:r>
          </w:p>
        </w:tc>
      </w:tr>
    </w:tbl>
    <w:p w14:paraId="52DA434F" w14:textId="69CAD1FB" w:rsidR="0071308D" w:rsidRPr="00E223AF" w:rsidRDefault="0071308D" w:rsidP="0005321A">
      <w:pPr>
        <w:rPr>
          <w:b/>
          <w:color w:val="auto"/>
        </w:rPr>
      </w:pPr>
    </w:p>
    <w:p w14:paraId="221B2EA1" w14:textId="553328C1" w:rsidR="0005321A" w:rsidRPr="00E223AF" w:rsidRDefault="0005321A" w:rsidP="0005321A">
      <w:pPr>
        <w:rPr>
          <w:color w:val="auto"/>
        </w:rPr>
      </w:pPr>
      <w:r w:rsidRPr="00E223AF">
        <w:rPr>
          <w:color w:val="auto"/>
        </w:rPr>
        <w:t>Recommend</w:t>
      </w:r>
      <w:r w:rsidR="006445E9" w:rsidRPr="00E223AF">
        <w:rPr>
          <w:color w:val="auto"/>
        </w:rPr>
        <w:t xml:space="preserve">ed </w:t>
      </w:r>
      <w:r w:rsidRPr="00E223AF">
        <w:rPr>
          <w:color w:val="auto"/>
        </w:rPr>
        <w:t xml:space="preserve">dose modifications for specific adverse reactions are provided in Table </w:t>
      </w:r>
      <w:r w:rsidR="009C2C90" w:rsidRPr="00E223AF">
        <w:rPr>
          <w:color w:val="auto"/>
        </w:rPr>
        <w:t>3</w:t>
      </w:r>
      <w:r w:rsidRPr="00E223AF">
        <w:rPr>
          <w:color w:val="auto"/>
        </w:rPr>
        <w:t>. See section</w:t>
      </w:r>
      <w:r w:rsidR="007D3C82" w:rsidRPr="00E223AF">
        <w:rPr>
          <w:color w:val="auto"/>
        </w:rPr>
        <w:t>s</w:t>
      </w:r>
      <w:r w:rsidRPr="00E223AF">
        <w:rPr>
          <w:color w:val="auto"/>
        </w:rPr>
        <w:t xml:space="preserve"> </w:t>
      </w:r>
      <w:r w:rsidR="005B688B" w:rsidRPr="00E223AF">
        <w:rPr>
          <w:color w:val="auto"/>
        </w:rPr>
        <w:t xml:space="preserve">4.4 Special </w:t>
      </w:r>
      <w:r w:rsidR="006445E9" w:rsidRPr="00E223AF">
        <w:rPr>
          <w:color w:val="auto"/>
        </w:rPr>
        <w:t>w</w:t>
      </w:r>
      <w:r w:rsidR="005B688B" w:rsidRPr="00E223AF">
        <w:rPr>
          <w:color w:val="auto"/>
        </w:rPr>
        <w:t xml:space="preserve">arnings </w:t>
      </w:r>
      <w:r w:rsidR="006445E9" w:rsidRPr="00E223AF">
        <w:rPr>
          <w:color w:val="auto"/>
        </w:rPr>
        <w:t>a</w:t>
      </w:r>
      <w:r w:rsidR="005B688B" w:rsidRPr="00E223AF">
        <w:rPr>
          <w:color w:val="auto"/>
        </w:rPr>
        <w:t xml:space="preserve">nd </w:t>
      </w:r>
      <w:r w:rsidR="006445E9" w:rsidRPr="00E223AF">
        <w:rPr>
          <w:color w:val="auto"/>
        </w:rPr>
        <w:t>p</w:t>
      </w:r>
      <w:r w:rsidR="005B688B" w:rsidRPr="00E223AF">
        <w:rPr>
          <w:color w:val="auto"/>
        </w:rPr>
        <w:t xml:space="preserve">recautions </w:t>
      </w:r>
      <w:r w:rsidR="006445E9" w:rsidRPr="00E223AF">
        <w:rPr>
          <w:color w:val="auto"/>
        </w:rPr>
        <w:t>f</w:t>
      </w:r>
      <w:r w:rsidR="005B688B" w:rsidRPr="00E223AF">
        <w:rPr>
          <w:color w:val="auto"/>
        </w:rPr>
        <w:t xml:space="preserve">or </w:t>
      </w:r>
      <w:r w:rsidR="006445E9" w:rsidRPr="00E223AF">
        <w:rPr>
          <w:color w:val="auto"/>
        </w:rPr>
        <w:t>u</w:t>
      </w:r>
      <w:r w:rsidR="005B688B" w:rsidRPr="00E223AF">
        <w:rPr>
          <w:color w:val="auto"/>
        </w:rPr>
        <w:t>se</w:t>
      </w:r>
      <w:r w:rsidRPr="00E223AF">
        <w:rPr>
          <w:color w:val="auto"/>
        </w:rPr>
        <w:t xml:space="preserve"> and </w:t>
      </w:r>
      <w:r w:rsidR="005B688B" w:rsidRPr="00E223AF">
        <w:rPr>
          <w:color w:val="auto"/>
        </w:rPr>
        <w:t xml:space="preserve">4.8 Adverse </w:t>
      </w:r>
      <w:r w:rsidR="006445E9" w:rsidRPr="00E223AF">
        <w:rPr>
          <w:color w:val="auto"/>
        </w:rPr>
        <w:t>e</w:t>
      </w:r>
      <w:r w:rsidR="005B688B" w:rsidRPr="00E223AF">
        <w:rPr>
          <w:color w:val="auto"/>
        </w:rPr>
        <w:t>ffects (</w:t>
      </w:r>
      <w:r w:rsidR="006445E9" w:rsidRPr="00E223AF">
        <w:rPr>
          <w:color w:val="auto"/>
        </w:rPr>
        <w:t>u</w:t>
      </w:r>
      <w:r w:rsidR="005B688B" w:rsidRPr="00E223AF">
        <w:rPr>
          <w:color w:val="auto"/>
        </w:rPr>
        <w:t xml:space="preserve">ndesirable </w:t>
      </w:r>
      <w:r w:rsidR="006445E9" w:rsidRPr="00E223AF">
        <w:rPr>
          <w:color w:val="auto"/>
        </w:rPr>
        <w:t>e</w:t>
      </w:r>
      <w:r w:rsidR="005B688B" w:rsidRPr="00E223AF">
        <w:rPr>
          <w:color w:val="auto"/>
        </w:rPr>
        <w:t>ffects</w:t>
      </w:r>
      <w:r w:rsidRPr="00E223AF">
        <w:rPr>
          <w:color w:val="auto"/>
        </w:rPr>
        <w:t>).</w:t>
      </w:r>
    </w:p>
    <w:p w14:paraId="07D8913C" w14:textId="77777777" w:rsidR="0005321A" w:rsidRPr="00E223AF" w:rsidRDefault="0005321A" w:rsidP="0005321A">
      <w:pPr>
        <w:rPr>
          <w:color w:val="auto"/>
        </w:rPr>
      </w:pPr>
    </w:p>
    <w:p w14:paraId="1A486DDC" w14:textId="0B83BE1B" w:rsidR="0005321A" w:rsidRPr="00E223AF" w:rsidRDefault="0005321A" w:rsidP="0005321A">
      <w:pPr>
        <w:rPr>
          <w:b/>
          <w:color w:val="auto"/>
        </w:rPr>
      </w:pPr>
      <w:r w:rsidRPr="00E223AF">
        <w:rPr>
          <w:b/>
          <w:color w:val="auto"/>
        </w:rPr>
        <w:t xml:space="preserve">Table </w:t>
      </w:r>
      <w:r w:rsidR="009C2C90" w:rsidRPr="00E223AF">
        <w:rPr>
          <w:b/>
          <w:color w:val="auto"/>
        </w:rPr>
        <w:t>3</w:t>
      </w:r>
      <w:r w:rsidR="00FC2E43" w:rsidRPr="00E223AF">
        <w:rPr>
          <w:b/>
          <w:color w:val="auto"/>
        </w:rPr>
        <w:t>.</w:t>
      </w:r>
      <w:r w:rsidRPr="00E223AF">
        <w:rPr>
          <w:b/>
          <w:color w:val="auto"/>
        </w:rPr>
        <w:t xml:space="preserve"> Recommended dose modifications for specifi</w:t>
      </w:r>
      <w:r w:rsidR="006445E9" w:rsidRPr="00E223AF">
        <w:rPr>
          <w:b/>
          <w:color w:val="auto"/>
        </w:rPr>
        <w:t>c</w:t>
      </w:r>
      <w:r w:rsidRPr="00E223AF">
        <w:rPr>
          <w:b/>
          <w:color w:val="auto"/>
        </w:rPr>
        <w:t xml:space="preserve"> </w:t>
      </w:r>
      <w:r w:rsidR="00FC2E43" w:rsidRPr="00E223AF">
        <w:rPr>
          <w:b/>
          <w:color w:val="auto"/>
        </w:rPr>
        <w:t>a</w:t>
      </w:r>
      <w:r w:rsidRPr="00E223AF">
        <w:rPr>
          <w:b/>
          <w:color w:val="auto"/>
        </w:rPr>
        <w:t xml:space="preserve">dverse </w:t>
      </w:r>
      <w:r w:rsidR="00FC2E43" w:rsidRPr="00E223AF">
        <w:rPr>
          <w:b/>
          <w:color w:val="auto"/>
        </w:rPr>
        <w:t>d</w:t>
      </w:r>
      <w:r w:rsidRPr="00E223AF">
        <w:rPr>
          <w:b/>
          <w:color w:val="auto"/>
        </w:rPr>
        <w:t xml:space="preserve">rug </w:t>
      </w:r>
      <w:r w:rsidR="00FC2E43" w:rsidRPr="00E223AF">
        <w:rPr>
          <w:b/>
          <w:color w:val="auto"/>
        </w:rPr>
        <w:t>r</w:t>
      </w:r>
      <w:r w:rsidRPr="00E223AF">
        <w:rPr>
          <w:b/>
          <w:color w:val="auto"/>
        </w:rPr>
        <w:t xml:space="preserve">eactions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410"/>
        <w:gridCol w:w="4169"/>
      </w:tblGrid>
      <w:tr w:rsidR="009E71BD" w:rsidRPr="00E223AF" w14:paraId="17FF946A" w14:textId="77777777" w:rsidTr="009E71BD">
        <w:trPr>
          <w:tblHeader/>
        </w:trPr>
        <w:tc>
          <w:tcPr>
            <w:tcW w:w="2410" w:type="dxa"/>
          </w:tcPr>
          <w:p w14:paraId="1F2360A8" w14:textId="67C6C7AF" w:rsidR="00FC2E43" w:rsidRPr="00E223AF" w:rsidRDefault="00FC2E43" w:rsidP="00FC2E43">
            <w:pPr>
              <w:pStyle w:val="Paragraph"/>
              <w:spacing w:before="20" w:after="20"/>
              <w:jc w:val="left"/>
              <w:rPr>
                <w:rFonts w:ascii="Times New Roman" w:hAnsi="Times New Roman"/>
                <w:b/>
                <w:szCs w:val="22"/>
                <w:lang w:val="en-GB" w:eastAsia="en-GB"/>
              </w:rPr>
            </w:pPr>
            <w:r w:rsidRPr="00E223AF">
              <w:rPr>
                <w:rFonts w:ascii="Times New Roman" w:hAnsi="Times New Roman"/>
                <w:b/>
                <w:szCs w:val="22"/>
                <w:lang w:val="en-GB" w:eastAsia="en-GB"/>
              </w:rPr>
              <w:t xml:space="preserve">Adverse </w:t>
            </w:r>
            <w:r w:rsidR="009E71BD" w:rsidRPr="00E223AF">
              <w:rPr>
                <w:rFonts w:ascii="Times New Roman" w:hAnsi="Times New Roman"/>
                <w:b/>
                <w:szCs w:val="22"/>
                <w:lang w:val="en-GB" w:eastAsia="en-GB"/>
              </w:rPr>
              <w:t>d</w:t>
            </w:r>
            <w:r w:rsidRPr="00E223AF">
              <w:rPr>
                <w:rFonts w:ascii="Times New Roman" w:hAnsi="Times New Roman"/>
                <w:b/>
                <w:szCs w:val="22"/>
                <w:lang w:val="en-GB" w:eastAsia="en-GB"/>
              </w:rPr>
              <w:t xml:space="preserve">rug </w:t>
            </w:r>
            <w:r w:rsidR="009E71BD" w:rsidRPr="00E223AF">
              <w:rPr>
                <w:rFonts w:ascii="Times New Roman" w:hAnsi="Times New Roman"/>
                <w:b/>
                <w:szCs w:val="22"/>
                <w:lang w:val="en-GB" w:eastAsia="en-GB"/>
              </w:rPr>
              <w:t>r</w:t>
            </w:r>
            <w:r w:rsidRPr="00E223AF">
              <w:rPr>
                <w:rFonts w:ascii="Times New Roman" w:hAnsi="Times New Roman"/>
                <w:b/>
                <w:szCs w:val="22"/>
                <w:lang w:val="en-GB" w:eastAsia="en-GB"/>
              </w:rPr>
              <w:t xml:space="preserve">eaction </w:t>
            </w:r>
          </w:p>
        </w:tc>
        <w:tc>
          <w:tcPr>
            <w:tcW w:w="2410" w:type="dxa"/>
          </w:tcPr>
          <w:p w14:paraId="2B3FDDA8" w14:textId="77777777" w:rsidR="00FC2E43" w:rsidRPr="00E223AF" w:rsidRDefault="00FC2E43" w:rsidP="00FC2E43">
            <w:pPr>
              <w:pStyle w:val="Paragraph"/>
              <w:spacing w:before="20" w:after="20"/>
              <w:jc w:val="left"/>
              <w:rPr>
                <w:rFonts w:ascii="Times New Roman" w:hAnsi="Times New Roman"/>
                <w:b/>
                <w:szCs w:val="22"/>
                <w:lang w:val="en-GB" w:eastAsia="en-GB"/>
              </w:rPr>
            </w:pPr>
            <w:r w:rsidRPr="00E223AF">
              <w:rPr>
                <w:rFonts w:ascii="Times New Roman" w:hAnsi="Times New Roman"/>
                <w:b/>
                <w:szCs w:val="22"/>
                <w:lang w:val="en-GB" w:eastAsia="en-GB"/>
              </w:rPr>
              <w:t>Severity</w:t>
            </w:r>
            <w:r w:rsidRPr="00E223AF">
              <w:rPr>
                <w:rFonts w:ascii="Times New Roman" w:hAnsi="Times New Roman"/>
                <w:b/>
                <w:szCs w:val="22"/>
                <w:vertAlign w:val="superscript"/>
                <w:lang w:val="en-GB" w:eastAsia="en-GB"/>
              </w:rPr>
              <w:t xml:space="preserve"> *</w:t>
            </w:r>
          </w:p>
        </w:tc>
        <w:tc>
          <w:tcPr>
            <w:tcW w:w="4169" w:type="dxa"/>
          </w:tcPr>
          <w:p w14:paraId="4C273A97" w14:textId="77777777" w:rsidR="00FC2E43" w:rsidRPr="00E223AF" w:rsidRDefault="00FC2E43" w:rsidP="00FC2E43">
            <w:pPr>
              <w:pStyle w:val="Paragraph"/>
              <w:spacing w:before="20" w:after="20"/>
              <w:jc w:val="left"/>
              <w:rPr>
                <w:rFonts w:ascii="Times New Roman" w:hAnsi="Times New Roman"/>
                <w:b/>
                <w:strike/>
                <w:szCs w:val="22"/>
              </w:rPr>
            </w:pPr>
            <w:r w:rsidRPr="00E223AF">
              <w:rPr>
                <w:rFonts w:ascii="Times New Roman" w:hAnsi="Times New Roman"/>
                <w:b/>
                <w:szCs w:val="22"/>
              </w:rPr>
              <w:t>Dose modification</w:t>
            </w:r>
          </w:p>
        </w:tc>
      </w:tr>
      <w:tr w:rsidR="009E71BD" w:rsidRPr="00E223AF" w14:paraId="32A668CA" w14:textId="77777777" w:rsidTr="009150C5">
        <w:tc>
          <w:tcPr>
            <w:tcW w:w="2410" w:type="dxa"/>
            <w:vMerge w:val="restart"/>
          </w:tcPr>
          <w:p w14:paraId="0DCB15CE" w14:textId="77777777" w:rsidR="009E71BD" w:rsidRPr="00E223AF" w:rsidRDefault="009E71BD" w:rsidP="009150C5">
            <w:pPr>
              <w:pStyle w:val="Default"/>
              <w:rPr>
                <w:b/>
                <w:color w:val="auto"/>
                <w:sz w:val="22"/>
                <w:szCs w:val="22"/>
              </w:rPr>
            </w:pPr>
            <w:r w:rsidRPr="00E223AF">
              <w:rPr>
                <w:b/>
                <w:color w:val="auto"/>
                <w:sz w:val="22"/>
                <w:szCs w:val="22"/>
              </w:rPr>
              <w:t>Congestive heart failure</w:t>
            </w:r>
          </w:p>
        </w:tc>
        <w:tc>
          <w:tcPr>
            <w:tcW w:w="2410" w:type="dxa"/>
          </w:tcPr>
          <w:p w14:paraId="431049B7" w14:textId="77777777" w:rsidR="009E71BD" w:rsidRPr="00E223AF" w:rsidRDefault="009E71BD" w:rsidP="009150C5">
            <w:pPr>
              <w:pStyle w:val="Default"/>
              <w:rPr>
                <w:color w:val="auto"/>
                <w:sz w:val="22"/>
                <w:szCs w:val="22"/>
              </w:rPr>
            </w:pPr>
            <w:r w:rsidRPr="00E223AF">
              <w:rPr>
                <w:color w:val="auto"/>
                <w:sz w:val="22"/>
                <w:szCs w:val="22"/>
              </w:rPr>
              <w:t>Grade 2 or 3</w:t>
            </w:r>
          </w:p>
        </w:tc>
        <w:tc>
          <w:tcPr>
            <w:tcW w:w="4169" w:type="dxa"/>
          </w:tcPr>
          <w:p w14:paraId="62E8CF10" w14:textId="4DBCB155"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 xml:space="preserve">Withhold Rozlytrek </w:t>
            </w:r>
            <w:r w:rsidR="00FA5F11" w:rsidRPr="00E223AF">
              <w:rPr>
                <w:color w:val="auto"/>
                <w:sz w:val="22"/>
                <w:szCs w:val="22"/>
              </w:rPr>
              <w:t>until recovered to less than or equal to Grade 1</w:t>
            </w:r>
            <w:r w:rsidRPr="00E223AF">
              <w:rPr>
                <w:color w:val="auto"/>
                <w:sz w:val="22"/>
                <w:szCs w:val="22"/>
              </w:rPr>
              <w:t>.</w:t>
            </w:r>
          </w:p>
          <w:p w14:paraId="185C93FF" w14:textId="25A0261F" w:rsidR="009E71BD" w:rsidRPr="00E223AF" w:rsidRDefault="009E71BD" w:rsidP="00FA5F11">
            <w:pPr>
              <w:pStyle w:val="Default"/>
              <w:numPr>
                <w:ilvl w:val="0"/>
                <w:numId w:val="11"/>
              </w:numPr>
              <w:ind w:left="607" w:hanging="426"/>
              <w:rPr>
                <w:color w:val="auto"/>
                <w:sz w:val="22"/>
                <w:szCs w:val="22"/>
              </w:rPr>
            </w:pPr>
            <w:r w:rsidRPr="00E223AF">
              <w:rPr>
                <w:color w:val="auto"/>
                <w:sz w:val="22"/>
                <w:szCs w:val="22"/>
              </w:rPr>
              <w:t>Resume at reduced dose.</w:t>
            </w:r>
          </w:p>
        </w:tc>
      </w:tr>
      <w:tr w:rsidR="009E71BD" w:rsidRPr="00E223AF" w14:paraId="7D690AF9" w14:textId="77777777" w:rsidTr="009150C5">
        <w:tc>
          <w:tcPr>
            <w:tcW w:w="2410" w:type="dxa"/>
            <w:vMerge/>
          </w:tcPr>
          <w:p w14:paraId="350EEE57" w14:textId="77777777" w:rsidR="009E71BD" w:rsidRPr="00E223AF" w:rsidRDefault="009E71BD" w:rsidP="009150C5">
            <w:pPr>
              <w:pStyle w:val="Default"/>
              <w:rPr>
                <w:b/>
                <w:color w:val="auto"/>
                <w:sz w:val="22"/>
                <w:szCs w:val="22"/>
              </w:rPr>
            </w:pPr>
          </w:p>
        </w:tc>
        <w:tc>
          <w:tcPr>
            <w:tcW w:w="2410" w:type="dxa"/>
          </w:tcPr>
          <w:p w14:paraId="18DA5B18" w14:textId="77777777" w:rsidR="009E71BD" w:rsidRPr="00E223AF" w:rsidRDefault="009E71BD" w:rsidP="009150C5">
            <w:pPr>
              <w:pStyle w:val="Default"/>
              <w:rPr>
                <w:color w:val="auto"/>
                <w:sz w:val="22"/>
                <w:szCs w:val="22"/>
              </w:rPr>
            </w:pPr>
            <w:r w:rsidRPr="00E223AF">
              <w:rPr>
                <w:color w:val="auto"/>
                <w:sz w:val="22"/>
                <w:szCs w:val="22"/>
              </w:rPr>
              <w:t>Grade 4</w:t>
            </w:r>
          </w:p>
        </w:tc>
        <w:tc>
          <w:tcPr>
            <w:tcW w:w="4169" w:type="dxa"/>
          </w:tcPr>
          <w:p w14:paraId="0BE5793F"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Permanently discontinue Rozlytrek.</w:t>
            </w:r>
          </w:p>
        </w:tc>
      </w:tr>
      <w:tr w:rsidR="009E71BD" w:rsidRPr="00E223AF" w14:paraId="33417731" w14:textId="77777777" w:rsidTr="009150C5">
        <w:tc>
          <w:tcPr>
            <w:tcW w:w="2410" w:type="dxa"/>
            <w:vMerge w:val="restart"/>
          </w:tcPr>
          <w:p w14:paraId="41D6EF4A" w14:textId="77777777" w:rsidR="009E71BD" w:rsidRPr="00E223AF" w:rsidRDefault="009E71BD" w:rsidP="009150C5">
            <w:pPr>
              <w:pStyle w:val="Default"/>
              <w:rPr>
                <w:b/>
                <w:color w:val="auto"/>
                <w:sz w:val="22"/>
                <w:szCs w:val="22"/>
              </w:rPr>
            </w:pPr>
            <w:r w:rsidRPr="00E223AF">
              <w:rPr>
                <w:b/>
                <w:color w:val="auto"/>
                <w:sz w:val="22"/>
                <w:szCs w:val="22"/>
              </w:rPr>
              <w:t>Central nervous system effects</w:t>
            </w:r>
          </w:p>
          <w:p w14:paraId="6DA6B509" w14:textId="77777777" w:rsidR="009E71BD" w:rsidRPr="00E223AF" w:rsidRDefault="009E71BD" w:rsidP="009150C5">
            <w:pPr>
              <w:pStyle w:val="Default"/>
              <w:rPr>
                <w:b/>
                <w:color w:val="auto"/>
                <w:sz w:val="22"/>
                <w:szCs w:val="22"/>
              </w:rPr>
            </w:pPr>
          </w:p>
        </w:tc>
        <w:tc>
          <w:tcPr>
            <w:tcW w:w="2410" w:type="dxa"/>
          </w:tcPr>
          <w:p w14:paraId="2F7BFB3A" w14:textId="0BE34550" w:rsidR="009E71BD" w:rsidRPr="00E223AF" w:rsidRDefault="00FA5F11" w:rsidP="009150C5">
            <w:pPr>
              <w:pStyle w:val="Default"/>
              <w:rPr>
                <w:color w:val="auto"/>
                <w:sz w:val="22"/>
                <w:szCs w:val="22"/>
              </w:rPr>
            </w:pPr>
            <w:r w:rsidRPr="00E223AF">
              <w:rPr>
                <w:color w:val="auto"/>
                <w:sz w:val="22"/>
                <w:szCs w:val="22"/>
              </w:rPr>
              <w:t>Intolerable Grade 2</w:t>
            </w:r>
          </w:p>
        </w:tc>
        <w:tc>
          <w:tcPr>
            <w:tcW w:w="4169" w:type="dxa"/>
          </w:tcPr>
          <w:p w14:paraId="4261BBB5" w14:textId="28E6BD92"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 xml:space="preserve">Withhold Rozlytrek until recovery to </w:t>
            </w:r>
            <w:r w:rsidR="00FA5F11" w:rsidRPr="00E223AF">
              <w:rPr>
                <w:color w:val="auto"/>
                <w:sz w:val="22"/>
                <w:szCs w:val="22"/>
              </w:rPr>
              <w:t xml:space="preserve">less than or equal to </w:t>
            </w:r>
            <w:r w:rsidRPr="00E223AF">
              <w:rPr>
                <w:color w:val="auto"/>
                <w:sz w:val="22"/>
                <w:szCs w:val="22"/>
              </w:rPr>
              <w:t>Grade 1 or to baseline.</w:t>
            </w:r>
          </w:p>
          <w:p w14:paraId="3A6AEE37" w14:textId="77777777"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 xml:space="preserve">Resume at same dose or reduced dose, as clinically appropriate. </w:t>
            </w:r>
          </w:p>
        </w:tc>
      </w:tr>
      <w:tr w:rsidR="009E71BD" w:rsidRPr="00E223AF" w14:paraId="3191F491" w14:textId="77777777" w:rsidTr="009150C5">
        <w:tc>
          <w:tcPr>
            <w:tcW w:w="2410" w:type="dxa"/>
            <w:vMerge/>
          </w:tcPr>
          <w:p w14:paraId="71866A04" w14:textId="77777777" w:rsidR="009E71BD" w:rsidRPr="00E223AF" w:rsidRDefault="009E71BD" w:rsidP="009150C5">
            <w:pPr>
              <w:pStyle w:val="Default"/>
              <w:rPr>
                <w:b/>
                <w:color w:val="auto"/>
                <w:sz w:val="22"/>
                <w:szCs w:val="22"/>
              </w:rPr>
            </w:pPr>
          </w:p>
        </w:tc>
        <w:tc>
          <w:tcPr>
            <w:tcW w:w="2410" w:type="dxa"/>
          </w:tcPr>
          <w:p w14:paraId="4C9E05C7" w14:textId="77777777" w:rsidR="009E71BD" w:rsidRPr="00E223AF" w:rsidRDefault="009E71BD" w:rsidP="009150C5">
            <w:pPr>
              <w:pStyle w:val="Default"/>
              <w:rPr>
                <w:color w:val="auto"/>
                <w:sz w:val="22"/>
                <w:szCs w:val="22"/>
              </w:rPr>
            </w:pPr>
            <w:r w:rsidRPr="00E223AF">
              <w:rPr>
                <w:color w:val="auto"/>
                <w:sz w:val="22"/>
                <w:szCs w:val="22"/>
              </w:rPr>
              <w:t>Grade 3</w:t>
            </w:r>
          </w:p>
        </w:tc>
        <w:tc>
          <w:tcPr>
            <w:tcW w:w="4169" w:type="dxa"/>
          </w:tcPr>
          <w:p w14:paraId="6550738A" w14:textId="370343A9"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 xml:space="preserve">Withhold Rozlytrek until recovery to </w:t>
            </w:r>
            <w:r w:rsidR="00FA5F11" w:rsidRPr="00E223AF">
              <w:rPr>
                <w:color w:val="auto"/>
                <w:sz w:val="22"/>
                <w:szCs w:val="22"/>
              </w:rPr>
              <w:t>less than or equal to</w:t>
            </w:r>
            <w:r w:rsidR="00FA5F11" w:rsidRPr="00E223AF" w:rsidDel="00FA5F11">
              <w:rPr>
                <w:color w:val="auto"/>
                <w:sz w:val="22"/>
                <w:szCs w:val="22"/>
              </w:rPr>
              <w:t xml:space="preserve"> </w:t>
            </w:r>
            <w:r w:rsidRPr="00E223AF">
              <w:rPr>
                <w:color w:val="auto"/>
                <w:sz w:val="22"/>
                <w:szCs w:val="22"/>
              </w:rPr>
              <w:t>Grade 1 or to baseline.</w:t>
            </w:r>
          </w:p>
          <w:p w14:paraId="5A6D6393" w14:textId="13477806" w:rsidR="009E71BD" w:rsidRPr="00E223AF" w:rsidRDefault="009E71BD" w:rsidP="00FA5F11">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Resume at reduced dose.</w:t>
            </w:r>
          </w:p>
        </w:tc>
      </w:tr>
      <w:tr w:rsidR="009E71BD" w:rsidRPr="00E223AF" w14:paraId="06A4CCCD" w14:textId="77777777" w:rsidTr="009150C5">
        <w:tc>
          <w:tcPr>
            <w:tcW w:w="2410" w:type="dxa"/>
            <w:vMerge/>
          </w:tcPr>
          <w:p w14:paraId="4760234F" w14:textId="77777777" w:rsidR="009E71BD" w:rsidRPr="00E223AF" w:rsidRDefault="009E71BD" w:rsidP="009150C5">
            <w:pPr>
              <w:pStyle w:val="Default"/>
              <w:rPr>
                <w:b/>
                <w:color w:val="auto"/>
                <w:sz w:val="22"/>
                <w:szCs w:val="22"/>
              </w:rPr>
            </w:pPr>
          </w:p>
        </w:tc>
        <w:tc>
          <w:tcPr>
            <w:tcW w:w="2410" w:type="dxa"/>
          </w:tcPr>
          <w:p w14:paraId="4E377639" w14:textId="77777777" w:rsidR="009E71BD" w:rsidRPr="00E223AF" w:rsidRDefault="009E71BD" w:rsidP="009150C5">
            <w:pPr>
              <w:pStyle w:val="Default"/>
              <w:rPr>
                <w:color w:val="auto"/>
                <w:sz w:val="22"/>
                <w:szCs w:val="22"/>
              </w:rPr>
            </w:pPr>
            <w:r w:rsidRPr="00E223AF">
              <w:rPr>
                <w:color w:val="auto"/>
                <w:sz w:val="22"/>
                <w:szCs w:val="22"/>
              </w:rPr>
              <w:t>Grade 4</w:t>
            </w:r>
          </w:p>
        </w:tc>
        <w:tc>
          <w:tcPr>
            <w:tcW w:w="4169" w:type="dxa"/>
          </w:tcPr>
          <w:p w14:paraId="40BF5175" w14:textId="77777777"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Permanently discontinue Rozlytrek.</w:t>
            </w:r>
          </w:p>
        </w:tc>
      </w:tr>
      <w:tr w:rsidR="009E71BD" w:rsidRPr="00E223AF" w14:paraId="174987D0" w14:textId="77777777" w:rsidTr="009150C5">
        <w:tc>
          <w:tcPr>
            <w:tcW w:w="2410" w:type="dxa"/>
            <w:vMerge w:val="restart"/>
          </w:tcPr>
          <w:p w14:paraId="7B517909" w14:textId="77777777" w:rsidR="009E71BD" w:rsidRPr="00E223AF" w:rsidRDefault="009E71BD" w:rsidP="009150C5">
            <w:pPr>
              <w:pStyle w:val="Default"/>
              <w:rPr>
                <w:b/>
                <w:color w:val="auto"/>
                <w:sz w:val="22"/>
                <w:szCs w:val="22"/>
              </w:rPr>
            </w:pPr>
            <w:r w:rsidRPr="00E223AF">
              <w:rPr>
                <w:b/>
                <w:color w:val="auto"/>
                <w:sz w:val="22"/>
                <w:szCs w:val="22"/>
              </w:rPr>
              <w:t>Hepatotoxicity</w:t>
            </w:r>
          </w:p>
        </w:tc>
        <w:tc>
          <w:tcPr>
            <w:tcW w:w="2410" w:type="dxa"/>
          </w:tcPr>
          <w:p w14:paraId="7F9D40AE" w14:textId="77777777" w:rsidR="009E71BD" w:rsidRPr="00E223AF" w:rsidRDefault="009E71BD" w:rsidP="009150C5">
            <w:pPr>
              <w:pStyle w:val="Default"/>
              <w:rPr>
                <w:color w:val="auto"/>
                <w:sz w:val="22"/>
                <w:szCs w:val="22"/>
              </w:rPr>
            </w:pPr>
            <w:r w:rsidRPr="00E223AF">
              <w:rPr>
                <w:color w:val="auto"/>
                <w:sz w:val="22"/>
                <w:szCs w:val="22"/>
              </w:rPr>
              <w:t>Grade 3</w:t>
            </w:r>
          </w:p>
        </w:tc>
        <w:tc>
          <w:tcPr>
            <w:tcW w:w="4169" w:type="dxa"/>
          </w:tcPr>
          <w:p w14:paraId="4EC76180" w14:textId="37D4388D"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 xml:space="preserve">Withhold Rozlytrek until recovery to </w:t>
            </w:r>
            <w:r w:rsidR="00D055FF">
              <w:rPr>
                <w:color w:val="auto"/>
                <w:sz w:val="22"/>
                <w:szCs w:val="22"/>
              </w:rPr>
              <w:t>less than or equal to</w:t>
            </w:r>
            <w:r w:rsidR="00D055FF" w:rsidRPr="00E223AF">
              <w:rPr>
                <w:color w:val="auto"/>
                <w:sz w:val="22"/>
                <w:szCs w:val="22"/>
              </w:rPr>
              <w:t xml:space="preserve"> </w:t>
            </w:r>
            <w:r w:rsidRPr="00E223AF">
              <w:rPr>
                <w:color w:val="auto"/>
                <w:sz w:val="22"/>
                <w:szCs w:val="22"/>
              </w:rPr>
              <w:t>Grade 1 or to baseline.</w:t>
            </w:r>
          </w:p>
          <w:p w14:paraId="51F442F1"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lastRenderedPageBreak/>
              <w:t>Resume at same dose if resolution occurs within 4 weeks.</w:t>
            </w:r>
          </w:p>
          <w:p w14:paraId="22B8F06B" w14:textId="638A3FCE"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 xml:space="preserve">Permanently discontinue if </w:t>
            </w:r>
            <w:r w:rsidR="00F93275" w:rsidRPr="00E223AF">
              <w:rPr>
                <w:color w:val="auto"/>
                <w:sz w:val="22"/>
                <w:szCs w:val="22"/>
              </w:rPr>
              <w:t xml:space="preserve">adverse reaction does not resolve </w:t>
            </w:r>
            <w:r w:rsidRPr="00E223AF">
              <w:rPr>
                <w:color w:val="auto"/>
                <w:sz w:val="22"/>
                <w:szCs w:val="22"/>
              </w:rPr>
              <w:t>within 4 weeks.</w:t>
            </w:r>
          </w:p>
          <w:p w14:paraId="2BEBFCAF"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Resume at a reduced dose for recurrent Grade 3 events that resolve within 4 weeks.</w:t>
            </w:r>
          </w:p>
        </w:tc>
      </w:tr>
      <w:tr w:rsidR="009E71BD" w:rsidRPr="00E223AF" w14:paraId="5B23DF0F" w14:textId="77777777" w:rsidTr="009150C5">
        <w:tc>
          <w:tcPr>
            <w:tcW w:w="2410" w:type="dxa"/>
            <w:vMerge/>
          </w:tcPr>
          <w:p w14:paraId="7AEBFFEA" w14:textId="77777777" w:rsidR="009E71BD" w:rsidRPr="00E223AF" w:rsidRDefault="009E71BD" w:rsidP="009150C5">
            <w:pPr>
              <w:pStyle w:val="Default"/>
              <w:rPr>
                <w:b/>
                <w:color w:val="auto"/>
                <w:sz w:val="22"/>
                <w:szCs w:val="22"/>
              </w:rPr>
            </w:pPr>
          </w:p>
        </w:tc>
        <w:tc>
          <w:tcPr>
            <w:tcW w:w="2410" w:type="dxa"/>
          </w:tcPr>
          <w:p w14:paraId="4AC5AD8B" w14:textId="77777777" w:rsidR="009E71BD" w:rsidRPr="00E223AF" w:rsidRDefault="009E71BD" w:rsidP="009150C5">
            <w:pPr>
              <w:pStyle w:val="Default"/>
              <w:rPr>
                <w:color w:val="auto"/>
                <w:sz w:val="22"/>
                <w:szCs w:val="22"/>
              </w:rPr>
            </w:pPr>
            <w:r w:rsidRPr="00E223AF">
              <w:rPr>
                <w:color w:val="auto"/>
                <w:sz w:val="22"/>
                <w:szCs w:val="22"/>
              </w:rPr>
              <w:t>Grade 4</w:t>
            </w:r>
          </w:p>
        </w:tc>
        <w:tc>
          <w:tcPr>
            <w:tcW w:w="4169" w:type="dxa"/>
          </w:tcPr>
          <w:p w14:paraId="1C9F78F4" w14:textId="49BE9FB9"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 xml:space="preserve">Withhold Rozlytrek until recovery to </w:t>
            </w:r>
            <w:r w:rsidR="006C10E9">
              <w:rPr>
                <w:color w:val="auto"/>
                <w:sz w:val="22"/>
                <w:szCs w:val="22"/>
              </w:rPr>
              <w:t>less than or equal to</w:t>
            </w:r>
            <w:r w:rsidRPr="00E223AF">
              <w:rPr>
                <w:color w:val="auto"/>
                <w:sz w:val="22"/>
                <w:szCs w:val="22"/>
              </w:rPr>
              <w:t xml:space="preserve"> Grade 1 or to baseline.</w:t>
            </w:r>
          </w:p>
          <w:p w14:paraId="2CEFD8BF"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Resume at reduced dose if resolution occurs within 4 weeks.</w:t>
            </w:r>
          </w:p>
          <w:p w14:paraId="085AE265" w14:textId="3102468A"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 xml:space="preserve">Permanently discontinue if </w:t>
            </w:r>
            <w:r w:rsidR="00F93275" w:rsidRPr="00E223AF">
              <w:rPr>
                <w:color w:val="auto"/>
                <w:sz w:val="22"/>
                <w:szCs w:val="22"/>
              </w:rPr>
              <w:t>adverse reaction does not resolve</w:t>
            </w:r>
            <w:r w:rsidRPr="00E223AF">
              <w:rPr>
                <w:color w:val="auto"/>
                <w:sz w:val="22"/>
                <w:szCs w:val="22"/>
              </w:rPr>
              <w:t xml:space="preserve"> within 4 weeks.</w:t>
            </w:r>
          </w:p>
          <w:p w14:paraId="21ABE95A" w14:textId="77777777"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Permanently discontinue for recurrent Grade 4 events.</w:t>
            </w:r>
          </w:p>
        </w:tc>
      </w:tr>
      <w:tr w:rsidR="009E71BD" w:rsidRPr="00E223AF" w14:paraId="39C91854" w14:textId="77777777" w:rsidTr="009150C5">
        <w:tc>
          <w:tcPr>
            <w:tcW w:w="2410" w:type="dxa"/>
            <w:vMerge/>
          </w:tcPr>
          <w:p w14:paraId="0A313997" w14:textId="77777777" w:rsidR="009E71BD" w:rsidRPr="00E223AF" w:rsidRDefault="009E71BD" w:rsidP="009150C5">
            <w:pPr>
              <w:pStyle w:val="Default"/>
              <w:rPr>
                <w:b/>
                <w:color w:val="auto"/>
                <w:sz w:val="22"/>
                <w:szCs w:val="22"/>
              </w:rPr>
            </w:pPr>
          </w:p>
        </w:tc>
        <w:tc>
          <w:tcPr>
            <w:tcW w:w="2410" w:type="dxa"/>
          </w:tcPr>
          <w:p w14:paraId="1D7B01FE" w14:textId="4E3558EE" w:rsidR="009E71BD" w:rsidRPr="00E223AF" w:rsidRDefault="009E71BD" w:rsidP="009150C5">
            <w:pPr>
              <w:pStyle w:val="Default"/>
              <w:rPr>
                <w:color w:val="auto"/>
                <w:sz w:val="22"/>
                <w:szCs w:val="22"/>
              </w:rPr>
            </w:pPr>
            <w:r w:rsidRPr="00E223AF">
              <w:rPr>
                <w:color w:val="auto"/>
                <w:sz w:val="22"/>
                <w:szCs w:val="22"/>
              </w:rPr>
              <w:t xml:space="preserve">ALT or AST </w:t>
            </w:r>
            <w:r w:rsidR="006C10E9">
              <w:rPr>
                <w:color w:val="auto"/>
                <w:sz w:val="22"/>
                <w:szCs w:val="22"/>
              </w:rPr>
              <w:t>greater than</w:t>
            </w:r>
            <w:r w:rsidRPr="00E223AF">
              <w:rPr>
                <w:color w:val="auto"/>
                <w:sz w:val="22"/>
                <w:szCs w:val="22"/>
              </w:rPr>
              <w:t xml:space="preserve"> 3 times the upper limit of normal (ULN) with concurrent total bilirubin </w:t>
            </w:r>
            <w:r w:rsidR="00CA29A7">
              <w:rPr>
                <w:color w:val="auto"/>
                <w:sz w:val="22"/>
                <w:szCs w:val="22"/>
              </w:rPr>
              <w:t>greater than</w:t>
            </w:r>
            <w:r w:rsidRPr="00E223AF">
              <w:rPr>
                <w:color w:val="auto"/>
                <w:sz w:val="22"/>
                <w:szCs w:val="22"/>
              </w:rPr>
              <w:t xml:space="preserve"> 1.5 times ULN (in the absence of cholestasis or haemolysis).</w:t>
            </w:r>
          </w:p>
        </w:tc>
        <w:tc>
          <w:tcPr>
            <w:tcW w:w="4169" w:type="dxa"/>
          </w:tcPr>
          <w:p w14:paraId="1308203A" w14:textId="77777777"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Permanently discontinue Rozlytrek.</w:t>
            </w:r>
          </w:p>
        </w:tc>
      </w:tr>
      <w:tr w:rsidR="009E71BD" w:rsidRPr="00E223AF" w14:paraId="6FDB1CC9" w14:textId="77777777" w:rsidTr="009150C5">
        <w:tc>
          <w:tcPr>
            <w:tcW w:w="2410" w:type="dxa"/>
          </w:tcPr>
          <w:p w14:paraId="72B71E63" w14:textId="77777777" w:rsidR="009E71BD" w:rsidRPr="00E223AF" w:rsidRDefault="009E71BD" w:rsidP="009150C5">
            <w:pPr>
              <w:pStyle w:val="Default"/>
              <w:rPr>
                <w:b/>
                <w:color w:val="auto"/>
                <w:sz w:val="22"/>
                <w:szCs w:val="22"/>
              </w:rPr>
            </w:pPr>
            <w:proofErr w:type="spellStart"/>
            <w:r w:rsidRPr="00E223AF">
              <w:rPr>
                <w:b/>
                <w:color w:val="auto"/>
                <w:sz w:val="22"/>
                <w:szCs w:val="22"/>
              </w:rPr>
              <w:t>Hyperuricaemia</w:t>
            </w:r>
            <w:proofErr w:type="spellEnd"/>
          </w:p>
        </w:tc>
        <w:tc>
          <w:tcPr>
            <w:tcW w:w="2410" w:type="dxa"/>
          </w:tcPr>
          <w:p w14:paraId="7615ADEE" w14:textId="6FA16FDC" w:rsidR="009E71BD" w:rsidRPr="00E223AF" w:rsidRDefault="000A356F" w:rsidP="009150C5">
            <w:pPr>
              <w:pStyle w:val="Default"/>
              <w:rPr>
                <w:color w:val="auto"/>
                <w:sz w:val="22"/>
                <w:szCs w:val="22"/>
              </w:rPr>
            </w:pPr>
            <w:r w:rsidRPr="00E223AF">
              <w:rPr>
                <w:color w:val="auto"/>
                <w:sz w:val="22"/>
                <w:szCs w:val="22"/>
              </w:rPr>
              <w:t>S</w:t>
            </w:r>
            <w:r w:rsidR="009E71BD" w:rsidRPr="00E223AF">
              <w:rPr>
                <w:color w:val="auto"/>
                <w:sz w:val="22"/>
                <w:szCs w:val="22"/>
              </w:rPr>
              <w:t>ymptomatic</w:t>
            </w:r>
            <w:r w:rsidRPr="00E223AF">
              <w:rPr>
                <w:color w:val="auto"/>
                <w:sz w:val="22"/>
                <w:szCs w:val="22"/>
              </w:rPr>
              <w:t xml:space="preserve"> or Grade 4</w:t>
            </w:r>
          </w:p>
        </w:tc>
        <w:tc>
          <w:tcPr>
            <w:tcW w:w="4169" w:type="dxa"/>
          </w:tcPr>
          <w:p w14:paraId="38BE67F1"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Initiate urate-lowering medication.</w:t>
            </w:r>
          </w:p>
          <w:p w14:paraId="7BA6525A" w14:textId="77777777" w:rsidR="009E71BD" w:rsidRPr="00E223AF" w:rsidRDefault="009E71BD" w:rsidP="009150C5">
            <w:pPr>
              <w:pStyle w:val="Default"/>
              <w:numPr>
                <w:ilvl w:val="0"/>
                <w:numId w:val="11"/>
              </w:numPr>
              <w:ind w:left="607" w:hanging="426"/>
              <w:rPr>
                <w:color w:val="auto"/>
                <w:sz w:val="22"/>
                <w:szCs w:val="22"/>
              </w:rPr>
            </w:pPr>
            <w:proofErr w:type="spellStart"/>
            <w:r w:rsidRPr="00E223AF">
              <w:rPr>
                <w:color w:val="auto"/>
                <w:sz w:val="22"/>
                <w:szCs w:val="22"/>
              </w:rPr>
              <w:t>Withold</w:t>
            </w:r>
            <w:proofErr w:type="spellEnd"/>
            <w:r w:rsidRPr="00E223AF">
              <w:rPr>
                <w:color w:val="auto"/>
                <w:sz w:val="22"/>
                <w:szCs w:val="22"/>
              </w:rPr>
              <w:t xml:space="preserve"> Rozlytrek until improvement of signs or symptoms.</w:t>
            </w:r>
          </w:p>
          <w:p w14:paraId="36B243AD"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Resume Rozlytrek at same or reduced dose.</w:t>
            </w:r>
          </w:p>
        </w:tc>
      </w:tr>
      <w:tr w:rsidR="009E71BD" w:rsidRPr="00E223AF" w14:paraId="39235794" w14:textId="77777777" w:rsidTr="009150C5">
        <w:tc>
          <w:tcPr>
            <w:tcW w:w="2410" w:type="dxa"/>
            <w:vMerge w:val="restart"/>
          </w:tcPr>
          <w:p w14:paraId="58CCD586" w14:textId="624CF56F" w:rsidR="009E71BD" w:rsidRPr="00E223AF" w:rsidRDefault="009E71BD" w:rsidP="00080E7B">
            <w:pPr>
              <w:pStyle w:val="Default"/>
              <w:rPr>
                <w:color w:val="auto"/>
                <w:sz w:val="22"/>
                <w:szCs w:val="22"/>
              </w:rPr>
            </w:pPr>
            <w:r w:rsidRPr="00E223AF">
              <w:rPr>
                <w:b/>
                <w:color w:val="auto"/>
                <w:sz w:val="22"/>
                <w:szCs w:val="22"/>
              </w:rPr>
              <w:t>QT interval prolongation</w:t>
            </w:r>
          </w:p>
        </w:tc>
        <w:tc>
          <w:tcPr>
            <w:tcW w:w="2410" w:type="dxa"/>
          </w:tcPr>
          <w:p w14:paraId="45284D59" w14:textId="1F4D3D1D" w:rsidR="009E71BD" w:rsidRPr="00E223AF" w:rsidRDefault="009E71BD" w:rsidP="000A356F">
            <w:pPr>
              <w:pStyle w:val="Default"/>
              <w:rPr>
                <w:color w:val="auto"/>
                <w:sz w:val="22"/>
                <w:szCs w:val="22"/>
              </w:rPr>
            </w:pPr>
            <w:proofErr w:type="spellStart"/>
            <w:r w:rsidRPr="00E223AF">
              <w:rPr>
                <w:color w:val="auto"/>
                <w:sz w:val="22"/>
                <w:szCs w:val="22"/>
              </w:rPr>
              <w:t>QTc</w:t>
            </w:r>
            <w:proofErr w:type="spellEnd"/>
            <w:r w:rsidRPr="00E223AF">
              <w:rPr>
                <w:color w:val="auto"/>
                <w:sz w:val="22"/>
                <w:szCs w:val="22"/>
              </w:rPr>
              <w:t xml:space="preserve"> </w:t>
            </w:r>
            <w:r w:rsidR="000A356F" w:rsidRPr="00E223AF">
              <w:rPr>
                <w:color w:val="auto"/>
                <w:sz w:val="22"/>
                <w:szCs w:val="22"/>
              </w:rPr>
              <w:t xml:space="preserve">greater than </w:t>
            </w:r>
            <w:r w:rsidRPr="00E223AF">
              <w:rPr>
                <w:color w:val="auto"/>
                <w:sz w:val="22"/>
                <w:szCs w:val="22"/>
              </w:rPr>
              <w:t xml:space="preserve">500 </w:t>
            </w:r>
            <w:proofErr w:type="spellStart"/>
            <w:r w:rsidRPr="00E223AF">
              <w:rPr>
                <w:color w:val="auto"/>
                <w:sz w:val="22"/>
                <w:szCs w:val="22"/>
              </w:rPr>
              <w:t>msec</w:t>
            </w:r>
            <w:proofErr w:type="spellEnd"/>
          </w:p>
        </w:tc>
        <w:tc>
          <w:tcPr>
            <w:tcW w:w="4169" w:type="dxa"/>
          </w:tcPr>
          <w:p w14:paraId="362C16BD"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 xml:space="preserve">Withhold Rozlytrek until </w:t>
            </w:r>
            <w:proofErr w:type="spellStart"/>
            <w:r w:rsidRPr="00E223AF">
              <w:rPr>
                <w:color w:val="auto"/>
                <w:sz w:val="22"/>
                <w:szCs w:val="22"/>
              </w:rPr>
              <w:t>QTc</w:t>
            </w:r>
            <w:proofErr w:type="spellEnd"/>
            <w:r w:rsidRPr="00E223AF">
              <w:rPr>
                <w:color w:val="auto"/>
                <w:sz w:val="22"/>
                <w:szCs w:val="22"/>
              </w:rPr>
              <w:t xml:space="preserve"> interval recovers to baseline.</w:t>
            </w:r>
          </w:p>
          <w:p w14:paraId="54712E78"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Resume at same dose if factors that cause QT prolongation are identified and corrected.</w:t>
            </w:r>
          </w:p>
          <w:p w14:paraId="15109B52" w14:textId="77777777" w:rsidR="009E71BD" w:rsidRPr="00E223AF" w:rsidRDefault="009E71BD" w:rsidP="009150C5">
            <w:pPr>
              <w:pStyle w:val="Default"/>
              <w:numPr>
                <w:ilvl w:val="0"/>
                <w:numId w:val="11"/>
              </w:numPr>
              <w:ind w:left="607" w:hanging="426"/>
              <w:rPr>
                <w:color w:val="auto"/>
                <w:sz w:val="22"/>
                <w:szCs w:val="22"/>
              </w:rPr>
            </w:pPr>
            <w:r w:rsidRPr="00E223AF">
              <w:rPr>
                <w:color w:val="auto"/>
                <w:sz w:val="22"/>
                <w:szCs w:val="22"/>
              </w:rPr>
              <w:t xml:space="preserve">Resume at reduced dose if other factors that cause QT prolongation are </w:t>
            </w:r>
            <w:r w:rsidRPr="00E223AF">
              <w:rPr>
                <w:color w:val="auto"/>
                <w:sz w:val="22"/>
                <w:szCs w:val="22"/>
                <w:u w:val="single"/>
              </w:rPr>
              <w:t>not</w:t>
            </w:r>
            <w:r w:rsidRPr="00E223AF">
              <w:rPr>
                <w:color w:val="auto"/>
                <w:sz w:val="22"/>
                <w:szCs w:val="22"/>
              </w:rPr>
              <w:t xml:space="preserve"> identified.</w:t>
            </w:r>
          </w:p>
        </w:tc>
      </w:tr>
      <w:tr w:rsidR="009E71BD" w:rsidRPr="00E223AF" w14:paraId="6D33F6EE" w14:textId="77777777" w:rsidTr="009150C5">
        <w:tc>
          <w:tcPr>
            <w:tcW w:w="2410" w:type="dxa"/>
            <w:vMerge/>
          </w:tcPr>
          <w:p w14:paraId="1BE3AAD9" w14:textId="77777777" w:rsidR="009E71BD" w:rsidRPr="00E223AF" w:rsidRDefault="009E71BD" w:rsidP="009150C5">
            <w:pPr>
              <w:pStyle w:val="Default"/>
              <w:rPr>
                <w:b/>
                <w:color w:val="auto"/>
                <w:sz w:val="22"/>
                <w:szCs w:val="22"/>
              </w:rPr>
            </w:pPr>
          </w:p>
        </w:tc>
        <w:tc>
          <w:tcPr>
            <w:tcW w:w="2410" w:type="dxa"/>
          </w:tcPr>
          <w:p w14:paraId="081E17C2" w14:textId="77777777" w:rsidR="009E71BD" w:rsidRPr="00E223AF" w:rsidRDefault="009E71BD" w:rsidP="009150C5">
            <w:pPr>
              <w:pStyle w:val="Default"/>
              <w:rPr>
                <w:color w:val="auto"/>
                <w:sz w:val="22"/>
                <w:szCs w:val="22"/>
              </w:rPr>
            </w:pPr>
            <w:r w:rsidRPr="00E223AF">
              <w:rPr>
                <w:color w:val="auto"/>
                <w:sz w:val="22"/>
                <w:szCs w:val="22"/>
              </w:rPr>
              <w:t>Torsades de pointes, polymorphic ventricular tachycardia, or signs/symptoms of serious arrhythmia</w:t>
            </w:r>
          </w:p>
        </w:tc>
        <w:tc>
          <w:tcPr>
            <w:tcW w:w="4169" w:type="dxa"/>
          </w:tcPr>
          <w:p w14:paraId="0582278D" w14:textId="77777777"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Permanently discontinue Rozlytrek.</w:t>
            </w:r>
          </w:p>
        </w:tc>
      </w:tr>
      <w:tr w:rsidR="009E71BD" w:rsidRPr="00E223AF" w14:paraId="324FF06D" w14:textId="77777777" w:rsidTr="009150C5">
        <w:tc>
          <w:tcPr>
            <w:tcW w:w="2410" w:type="dxa"/>
          </w:tcPr>
          <w:p w14:paraId="7D94F6D4" w14:textId="33843731" w:rsidR="009E71BD" w:rsidRPr="00E223AF" w:rsidRDefault="009E71BD" w:rsidP="009150C5">
            <w:pPr>
              <w:pStyle w:val="Default"/>
              <w:rPr>
                <w:b/>
                <w:color w:val="auto"/>
                <w:sz w:val="22"/>
                <w:szCs w:val="22"/>
              </w:rPr>
            </w:pPr>
            <w:r w:rsidRPr="00E223AF">
              <w:rPr>
                <w:b/>
                <w:color w:val="auto"/>
                <w:sz w:val="22"/>
                <w:szCs w:val="22"/>
              </w:rPr>
              <w:t>Vision disorders</w:t>
            </w:r>
          </w:p>
        </w:tc>
        <w:tc>
          <w:tcPr>
            <w:tcW w:w="2410" w:type="dxa"/>
          </w:tcPr>
          <w:p w14:paraId="56CE1248" w14:textId="57BE9E1B" w:rsidR="009E71BD" w:rsidRPr="00E223AF" w:rsidRDefault="009E71BD" w:rsidP="009150C5">
            <w:pPr>
              <w:autoSpaceDE w:val="0"/>
              <w:autoSpaceDN w:val="0"/>
              <w:adjustRightInd w:val="0"/>
              <w:jc w:val="left"/>
              <w:rPr>
                <w:color w:val="auto"/>
                <w:sz w:val="22"/>
                <w:szCs w:val="22"/>
              </w:rPr>
            </w:pPr>
            <w:r w:rsidRPr="00E223AF">
              <w:rPr>
                <w:color w:val="auto"/>
                <w:sz w:val="22"/>
                <w:szCs w:val="22"/>
              </w:rPr>
              <w:t>Grade 2 or above</w:t>
            </w:r>
          </w:p>
        </w:tc>
        <w:tc>
          <w:tcPr>
            <w:tcW w:w="4169" w:type="dxa"/>
          </w:tcPr>
          <w:p w14:paraId="643CE6AA" w14:textId="77777777"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Withhold Rozlytrek until improvement or stabilisation.</w:t>
            </w:r>
          </w:p>
          <w:p w14:paraId="3AA04A52" w14:textId="6A7DB038" w:rsidR="009E71BD" w:rsidRPr="00E223AF" w:rsidRDefault="009E71BD" w:rsidP="009150C5">
            <w:pPr>
              <w:pStyle w:val="ListParagraph"/>
              <w:numPr>
                <w:ilvl w:val="0"/>
                <w:numId w:val="11"/>
              </w:numPr>
              <w:autoSpaceDE w:val="0"/>
              <w:autoSpaceDN w:val="0"/>
              <w:adjustRightInd w:val="0"/>
              <w:ind w:left="607" w:hanging="426"/>
              <w:jc w:val="left"/>
              <w:rPr>
                <w:color w:val="auto"/>
                <w:sz w:val="22"/>
                <w:szCs w:val="22"/>
              </w:rPr>
            </w:pPr>
            <w:r w:rsidRPr="00E223AF">
              <w:rPr>
                <w:color w:val="auto"/>
                <w:sz w:val="22"/>
                <w:szCs w:val="22"/>
              </w:rPr>
              <w:t>Resume at same dose or reduced dose, as clinically appropriate.</w:t>
            </w:r>
          </w:p>
        </w:tc>
      </w:tr>
      <w:tr w:rsidR="009E71BD" w:rsidRPr="00E223AF" w14:paraId="53887106" w14:textId="77777777" w:rsidTr="009E71BD">
        <w:tc>
          <w:tcPr>
            <w:tcW w:w="2410" w:type="dxa"/>
          </w:tcPr>
          <w:p w14:paraId="42ED6D04" w14:textId="026D169E" w:rsidR="00F75D04" w:rsidRPr="00E223AF" w:rsidRDefault="00F75D04" w:rsidP="00F75D04">
            <w:pPr>
              <w:pStyle w:val="Default"/>
              <w:rPr>
                <w:color w:val="auto"/>
                <w:sz w:val="22"/>
                <w:szCs w:val="22"/>
              </w:rPr>
            </w:pPr>
            <w:r w:rsidRPr="00E223AF">
              <w:rPr>
                <w:b/>
                <w:color w:val="auto"/>
                <w:sz w:val="22"/>
                <w:szCs w:val="22"/>
              </w:rPr>
              <w:t>Anaemia or neutropenia</w:t>
            </w:r>
            <w:r w:rsidRPr="00E223AF">
              <w:rPr>
                <w:color w:val="auto"/>
                <w:sz w:val="22"/>
                <w:szCs w:val="22"/>
              </w:rPr>
              <w:t xml:space="preserve"> </w:t>
            </w:r>
          </w:p>
        </w:tc>
        <w:tc>
          <w:tcPr>
            <w:tcW w:w="2410" w:type="dxa"/>
          </w:tcPr>
          <w:p w14:paraId="297C095F" w14:textId="14892BBB" w:rsidR="00F75D04" w:rsidRPr="00E223AF" w:rsidRDefault="00F75D04" w:rsidP="00F75D04">
            <w:pPr>
              <w:pStyle w:val="Default"/>
              <w:rPr>
                <w:color w:val="auto"/>
                <w:sz w:val="22"/>
                <w:szCs w:val="22"/>
              </w:rPr>
            </w:pPr>
            <w:r w:rsidRPr="00E223AF">
              <w:rPr>
                <w:color w:val="auto"/>
                <w:sz w:val="22"/>
                <w:szCs w:val="22"/>
              </w:rPr>
              <w:t>Grade 3 or Grade 4</w:t>
            </w:r>
          </w:p>
        </w:tc>
        <w:tc>
          <w:tcPr>
            <w:tcW w:w="4169" w:type="dxa"/>
          </w:tcPr>
          <w:p w14:paraId="2CFC28E7" w14:textId="196BCF73" w:rsidR="009E71BD" w:rsidRPr="00E223AF" w:rsidRDefault="00F75D04" w:rsidP="00605C7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7" w:hanging="426"/>
              <w:jc w:val="left"/>
              <w:rPr>
                <w:color w:val="auto"/>
                <w:sz w:val="22"/>
                <w:szCs w:val="22"/>
              </w:rPr>
            </w:pPr>
            <w:r w:rsidRPr="00E223AF">
              <w:rPr>
                <w:color w:val="auto"/>
                <w:sz w:val="22"/>
                <w:szCs w:val="22"/>
              </w:rPr>
              <w:t xml:space="preserve">Withhold Rozlytrek until recovery to </w:t>
            </w:r>
            <w:r w:rsidR="000A356F" w:rsidRPr="00E223AF">
              <w:rPr>
                <w:color w:val="auto"/>
                <w:sz w:val="22"/>
                <w:szCs w:val="22"/>
              </w:rPr>
              <w:t>less than or equal to</w:t>
            </w:r>
            <w:r w:rsidR="000A356F" w:rsidRPr="00E223AF" w:rsidDel="000A356F">
              <w:rPr>
                <w:color w:val="auto"/>
                <w:sz w:val="22"/>
                <w:szCs w:val="22"/>
              </w:rPr>
              <w:t xml:space="preserve"> </w:t>
            </w:r>
            <w:r w:rsidRPr="00E223AF">
              <w:rPr>
                <w:color w:val="auto"/>
                <w:sz w:val="22"/>
                <w:szCs w:val="22"/>
              </w:rPr>
              <w:t>Grade 2</w:t>
            </w:r>
            <w:r w:rsidR="009E71BD" w:rsidRPr="00E223AF">
              <w:rPr>
                <w:color w:val="auto"/>
                <w:sz w:val="22"/>
                <w:szCs w:val="22"/>
              </w:rPr>
              <w:t>.</w:t>
            </w:r>
          </w:p>
          <w:p w14:paraId="16804FF7" w14:textId="343C8792" w:rsidR="00F75D04" w:rsidRPr="00E223AF" w:rsidRDefault="009E71BD" w:rsidP="00605C7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7" w:hanging="426"/>
              <w:jc w:val="left"/>
              <w:rPr>
                <w:color w:val="auto"/>
                <w:sz w:val="22"/>
                <w:szCs w:val="22"/>
              </w:rPr>
            </w:pPr>
            <w:r w:rsidRPr="00E223AF">
              <w:rPr>
                <w:color w:val="auto"/>
                <w:sz w:val="22"/>
                <w:szCs w:val="22"/>
              </w:rPr>
              <w:lastRenderedPageBreak/>
              <w:t>R</w:t>
            </w:r>
            <w:r w:rsidR="00F75D04" w:rsidRPr="00E223AF">
              <w:rPr>
                <w:color w:val="auto"/>
                <w:sz w:val="22"/>
                <w:szCs w:val="22"/>
              </w:rPr>
              <w:t>esume treatment at</w:t>
            </w:r>
            <w:r w:rsidRPr="00E223AF">
              <w:rPr>
                <w:color w:val="auto"/>
                <w:sz w:val="22"/>
                <w:szCs w:val="22"/>
              </w:rPr>
              <w:t xml:space="preserve"> the</w:t>
            </w:r>
            <w:r w:rsidR="00F75D04" w:rsidRPr="00E223AF">
              <w:rPr>
                <w:color w:val="auto"/>
                <w:sz w:val="22"/>
                <w:szCs w:val="22"/>
              </w:rPr>
              <w:t xml:space="preserve"> same dose or reduced dose, as clinically </w:t>
            </w:r>
            <w:r w:rsidRPr="00E223AF">
              <w:rPr>
                <w:color w:val="auto"/>
                <w:sz w:val="22"/>
                <w:szCs w:val="22"/>
              </w:rPr>
              <w:t>appropriate</w:t>
            </w:r>
            <w:r w:rsidR="00F75D04" w:rsidRPr="00E223AF">
              <w:rPr>
                <w:color w:val="auto"/>
                <w:sz w:val="22"/>
                <w:szCs w:val="22"/>
              </w:rPr>
              <w:t>.</w:t>
            </w:r>
          </w:p>
        </w:tc>
      </w:tr>
      <w:tr w:rsidR="00A62A68" w:rsidRPr="00E223AF" w14:paraId="732B5308" w14:textId="77777777" w:rsidTr="009E71BD">
        <w:tc>
          <w:tcPr>
            <w:tcW w:w="2410" w:type="dxa"/>
          </w:tcPr>
          <w:p w14:paraId="332D0B39" w14:textId="644AB823" w:rsidR="00A62A68" w:rsidRPr="00E223AF" w:rsidRDefault="00A62A68" w:rsidP="00F75D04">
            <w:pPr>
              <w:pStyle w:val="Default"/>
              <w:rPr>
                <w:b/>
                <w:color w:val="auto"/>
                <w:sz w:val="22"/>
                <w:szCs w:val="22"/>
              </w:rPr>
            </w:pPr>
            <w:r w:rsidRPr="00E223AF">
              <w:rPr>
                <w:b/>
                <w:color w:val="auto"/>
                <w:sz w:val="22"/>
                <w:szCs w:val="22"/>
              </w:rPr>
              <w:lastRenderedPageBreak/>
              <w:t>Other clinically relevant adverse reactions</w:t>
            </w:r>
          </w:p>
        </w:tc>
        <w:tc>
          <w:tcPr>
            <w:tcW w:w="2410" w:type="dxa"/>
          </w:tcPr>
          <w:p w14:paraId="62144CC4" w14:textId="725C07E1" w:rsidR="00A62A68" w:rsidRPr="00E223AF" w:rsidRDefault="00A62A68" w:rsidP="00F75D04">
            <w:pPr>
              <w:pStyle w:val="Default"/>
              <w:rPr>
                <w:color w:val="auto"/>
                <w:sz w:val="22"/>
                <w:szCs w:val="22"/>
              </w:rPr>
            </w:pPr>
            <w:r w:rsidRPr="00E223AF">
              <w:rPr>
                <w:color w:val="auto"/>
                <w:sz w:val="22"/>
                <w:szCs w:val="22"/>
              </w:rPr>
              <w:t>Grade 3 or 4</w:t>
            </w:r>
          </w:p>
        </w:tc>
        <w:tc>
          <w:tcPr>
            <w:tcW w:w="4169" w:type="dxa"/>
          </w:tcPr>
          <w:p w14:paraId="28BB5476" w14:textId="6430F18F" w:rsidR="00A62A68" w:rsidRPr="00E223AF" w:rsidRDefault="000C6D73" w:rsidP="0041012A">
            <w:pPr>
              <w:pStyle w:val="Default"/>
              <w:numPr>
                <w:ilvl w:val="0"/>
                <w:numId w:val="18"/>
              </w:numPr>
              <w:rPr>
                <w:color w:val="auto"/>
                <w:sz w:val="22"/>
                <w:szCs w:val="22"/>
              </w:rPr>
            </w:pPr>
            <w:r w:rsidRPr="00E223AF">
              <w:rPr>
                <w:color w:val="auto"/>
                <w:sz w:val="22"/>
                <w:szCs w:val="22"/>
                <w:lang w:val="en-NZ"/>
              </w:rPr>
              <w:t>Withhold ROZLYTREK until adverse reaction resolves</w:t>
            </w:r>
            <w:r w:rsidR="00F93275" w:rsidRPr="00E223AF">
              <w:rPr>
                <w:color w:val="auto"/>
                <w:sz w:val="22"/>
                <w:szCs w:val="22"/>
                <w:lang w:val="en-NZ"/>
              </w:rPr>
              <w:t xml:space="preserve"> </w:t>
            </w:r>
            <w:r w:rsidRPr="00E223AF">
              <w:rPr>
                <w:color w:val="auto"/>
                <w:sz w:val="22"/>
                <w:szCs w:val="22"/>
                <w:lang w:val="en-NZ"/>
              </w:rPr>
              <w:t>or improves to recovery or improvement to Grade 1 or baseline</w:t>
            </w:r>
            <w:r w:rsidR="00A62A68" w:rsidRPr="00E223AF">
              <w:rPr>
                <w:color w:val="auto"/>
                <w:sz w:val="22"/>
                <w:szCs w:val="22"/>
              </w:rPr>
              <w:t xml:space="preserve">. </w:t>
            </w:r>
          </w:p>
          <w:p w14:paraId="463571DB" w14:textId="64E50D6F" w:rsidR="000C6D73" w:rsidRPr="00E223AF" w:rsidRDefault="000C6D73" w:rsidP="00F93275">
            <w:pPr>
              <w:pStyle w:val="Default"/>
              <w:numPr>
                <w:ilvl w:val="0"/>
                <w:numId w:val="18"/>
              </w:numPr>
              <w:rPr>
                <w:color w:val="auto"/>
                <w:sz w:val="22"/>
                <w:szCs w:val="22"/>
                <w:lang w:val="en-NZ"/>
              </w:rPr>
            </w:pPr>
            <w:r w:rsidRPr="00E223AF">
              <w:rPr>
                <w:color w:val="auto"/>
                <w:sz w:val="22"/>
                <w:szCs w:val="22"/>
                <w:lang w:val="en-NZ"/>
              </w:rPr>
              <w:t>Resume at the same or reduced dose, if resolution occurs</w:t>
            </w:r>
            <w:r w:rsidR="00F93275" w:rsidRPr="00E223AF">
              <w:rPr>
                <w:color w:val="auto"/>
                <w:sz w:val="22"/>
                <w:szCs w:val="22"/>
                <w:lang w:val="en-NZ"/>
              </w:rPr>
              <w:t xml:space="preserve"> </w:t>
            </w:r>
            <w:r w:rsidRPr="00E223AF">
              <w:rPr>
                <w:color w:val="auto"/>
                <w:sz w:val="22"/>
                <w:szCs w:val="22"/>
                <w:lang w:val="en-NZ"/>
              </w:rPr>
              <w:t>within 4 weeks.</w:t>
            </w:r>
          </w:p>
          <w:p w14:paraId="07A0D697" w14:textId="77777777" w:rsidR="003E6780" w:rsidRPr="00E223AF" w:rsidRDefault="000C6D73" w:rsidP="003E6780">
            <w:pPr>
              <w:pStyle w:val="Default"/>
              <w:numPr>
                <w:ilvl w:val="0"/>
                <w:numId w:val="18"/>
              </w:numPr>
              <w:rPr>
                <w:color w:val="auto"/>
                <w:sz w:val="22"/>
                <w:szCs w:val="22"/>
                <w:lang w:val="en-NZ"/>
              </w:rPr>
            </w:pPr>
            <w:r w:rsidRPr="00E223AF">
              <w:rPr>
                <w:color w:val="auto"/>
                <w:sz w:val="22"/>
                <w:szCs w:val="22"/>
                <w:lang w:val="en-NZ"/>
              </w:rPr>
              <w:t>Permanently discontinue if adverse reaction does not</w:t>
            </w:r>
            <w:r w:rsidR="003E6780" w:rsidRPr="00E223AF">
              <w:rPr>
                <w:color w:val="auto"/>
                <w:sz w:val="22"/>
                <w:szCs w:val="22"/>
                <w:lang w:val="en-NZ"/>
              </w:rPr>
              <w:t xml:space="preserve"> </w:t>
            </w:r>
            <w:r w:rsidRPr="00E223AF">
              <w:rPr>
                <w:color w:val="auto"/>
                <w:sz w:val="22"/>
                <w:szCs w:val="22"/>
                <w:lang w:val="en-NZ"/>
              </w:rPr>
              <w:t>resolve within 4 weeks.</w:t>
            </w:r>
          </w:p>
          <w:p w14:paraId="6DAA7AC6" w14:textId="0BF66C2E" w:rsidR="000C6D73" w:rsidRPr="00E223AF" w:rsidRDefault="000C6D73" w:rsidP="003E6780">
            <w:pPr>
              <w:pStyle w:val="Default"/>
              <w:numPr>
                <w:ilvl w:val="0"/>
                <w:numId w:val="18"/>
              </w:numPr>
              <w:rPr>
                <w:color w:val="auto"/>
                <w:sz w:val="22"/>
                <w:szCs w:val="22"/>
                <w:lang w:val="en-NZ"/>
              </w:rPr>
            </w:pPr>
            <w:r w:rsidRPr="00E223AF">
              <w:rPr>
                <w:color w:val="auto"/>
                <w:sz w:val="22"/>
                <w:szCs w:val="22"/>
              </w:rPr>
              <w:t>Permanently discontinue for recurrent Grade 4 events.</w:t>
            </w:r>
          </w:p>
          <w:p w14:paraId="3FD1EAD9" w14:textId="44A8B43E" w:rsidR="00A62A68" w:rsidRPr="00E223AF" w:rsidRDefault="00A62A68" w:rsidP="00EF5AD2">
            <w:pPr>
              <w:pStyle w:val="ListParagraph"/>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7"/>
              <w:jc w:val="left"/>
              <w:rPr>
                <w:color w:val="auto"/>
                <w:sz w:val="22"/>
                <w:szCs w:val="22"/>
              </w:rPr>
            </w:pPr>
          </w:p>
        </w:tc>
      </w:tr>
    </w:tbl>
    <w:p w14:paraId="3EFF39DC" w14:textId="79E5E1A0" w:rsidR="009E71BD" w:rsidRPr="00E223AF" w:rsidRDefault="00FC2E43" w:rsidP="0005321A">
      <w:pPr>
        <w:rPr>
          <w:color w:val="auto"/>
          <w:sz w:val="22"/>
          <w:szCs w:val="22"/>
        </w:rPr>
      </w:pPr>
      <w:r w:rsidRPr="00E223AF">
        <w:rPr>
          <w:color w:val="auto"/>
          <w:sz w:val="22"/>
          <w:szCs w:val="22"/>
        </w:rPr>
        <w:t>*Severity as defined by National Cancer Institute Common Terminology Criteria for Adverse Events (NCI CTCAE)</w:t>
      </w:r>
      <w:r w:rsidR="0005321A" w:rsidRPr="00E223AF">
        <w:rPr>
          <w:color w:val="auto"/>
          <w:sz w:val="22"/>
          <w:szCs w:val="22"/>
        </w:rPr>
        <w:tab/>
      </w:r>
    </w:p>
    <w:p w14:paraId="64C04B62" w14:textId="6574B728" w:rsidR="0005321A" w:rsidRPr="00E223AF" w:rsidRDefault="0005321A" w:rsidP="00FC2E43">
      <w:pPr>
        <w:pStyle w:val="Heading4"/>
        <w:rPr>
          <w:color w:val="auto"/>
        </w:rPr>
      </w:pPr>
      <w:r w:rsidRPr="00E223AF">
        <w:rPr>
          <w:color w:val="auto"/>
        </w:rPr>
        <w:t xml:space="preserve">Dose </w:t>
      </w:r>
      <w:r w:rsidR="00FC2E43" w:rsidRPr="00E223AF">
        <w:rPr>
          <w:color w:val="auto"/>
        </w:rPr>
        <w:t>m</w:t>
      </w:r>
      <w:r w:rsidRPr="00E223AF">
        <w:rPr>
          <w:color w:val="auto"/>
        </w:rPr>
        <w:t xml:space="preserve">odifications for </w:t>
      </w:r>
      <w:r w:rsidR="00FC2E43" w:rsidRPr="00E223AF">
        <w:rPr>
          <w:color w:val="auto"/>
        </w:rPr>
        <w:t>s</w:t>
      </w:r>
      <w:r w:rsidRPr="00E223AF">
        <w:rPr>
          <w:color w:val="auto"/>
        </w:rPr>
        <w:t xml:space="preserve">pecific </w:t>
      </w:r>
      <w:r w:rsidR="005B688B" w:rsidRPr="00E223AF">
        <w:rPr>
          <w:color w:val="auto"/>
        </w:rPr>
        <w:t>medicine</w:t>
      </w:r>
      <w:r w:rsidRPr="00E223AF">
        <w:rPr>
          <w:color w:val="auto"/>
        </w:rPr>
        <w:t xml:space="preserve"> </w:t>
      </w:r>
      <w:r w:rsidR="00FC2E43" w:rsidRPr="00E223AF">
        <w:rPr>
          <w:color w:val="auto"/>
        </w:rPr>
        <w:t>i</w:t>
      </w:r>
      <w:r w:rsidRPr="00E223AF">
        <w:rPr>
          <w:color w:val="auto"/>
        </w:rPr>
        <w:t xml:space="preserve">nteractions </w:t>
      </w:r>
    </w:p>
    <w:p w14:paraId="521E96E7" w14:textId="56BEA98B" w:rsidR="001E63F7" w:rsidRPr="00E223AF" w:rsidRDefault="00516916" w:rsidP="001E63F7">
      <w:pPr>
        <w:pStyle w:val="Heading5"/>
      </w:pPr>
      <w:r w:rsidRPr="00E223AF">
        <w:rPr>
          <w:color w:val="auto"/>
        </w:rPr>
        <w:t>S</w:t>
      </w:r>
      <w:r w:rsidR="0005321A" w:rsidRPr="00E223AF">
        <w:rPr>
          <w:color w:val="auto"/>
        </w:rPr>
        <w:t>trong or moderate C</w:t>
      </w:r>
      <w:r w:rsidR="00FC2E43" w:rsidRPr="00E223AF">
        <w:rPr>
          <w:color w:val="auto"/>
        </w:rPr>
        <w:t>YP3A inhibitors</w:t>
      </w:r>
    </w:p>
    <w:p w14:paraId="21123D29" w14:textId="0FEB409C" w:rsidR="008256E7" w:rsidRPr="00E223AF" w:rsidRDefault="008256E7" w:rsidP="00605C72">
      <w:pPr>
        <w:spacing w:before="240"/>
        <w:rPr>
          <w:color w:val="auto"/>
        </w:rPr>
      </w:pPr>
      <w:r w:rsidRPr="00E223AF">
        <w:rPr>
          <w:color w:val="auto"/>
        </w:rPr>
        <w:t>Avoid concomitant use of strong or moderate CYP3A inhibitors with Rozlytrek</w:t>
      </w:r>
      <w:r w:rsidR="00516916" w:rsidRPr="00E223AF">
        <w:rPr>
          <w:color w:val="auto"/>
        </w:rPr>
        <w:t xml:space="preserve"> </w:t>
      </w:r>
      <w:r w:rsidR="00516916" w:rsidRPr="00E223AF" w:rsidDel="001E63F7">
        <w:rPr>
          <w:color w:val="auto"/>
        </w:rPr>
        <w:t xml:space="preserve">(see section </w:t>
      </w:r>
      <w:r w:rsidR="00516916" w:rsidRPr="00E223AF" w:rsidDel="001E63F7">
        <w:rPr>
          <w:i/>
          <w:color w:val="auto"/>
        </w:rPr>
        <w:t>4.5 Interactions with other medicines and other forms of interactions</w:t>
      </w:r>
      <w:r w:rsidR="00516916" w:rsidRPr="00E223AF" w:rsidDel="001E63F7">
        <w:rPr>
          <w:color w:val="auto"/>
        </w:rPr>
        <w:t>)</w:t>
      </w:r>
      <w:r w:rsidRPr="00E223AF">
        <w:rPr>
          <w:color w:val="auto"/>
        </w:rPr>
        <w:t xml:space="preserve">. </w:t>
      </w:r>
    </w:p>
    <w:p w14:paraId="58BE8CBF" w14:textId="77777777" w:rsidR="008256E7" w:rsidRPr="00E223AF" w:rsidRDefault="008256E7" w:rsidP="001E63F7">
      <w:pPr>
        <w:rPr>
          <w:color w:val="auto"/>
        </w:rPr>
      </w:pPr>
    </w:p>
    <w:p w14:paraId="7B82B856" w14:textId="40261C9C" w:rsidR="001E63F7" w:rsidRPr="00E223AF" w:rsidRDefault="008256E7" w:rsidP="001E63F7">
      <w:pPr>
        <w:rPr>
          <w:color w:val="auto"/>
        </w:rPr>
      </w:pPr>
      <w:r w:rsidRPr="00E223AF">
        <w:rPr>
          <w:color w:val="auto"/>
        </w:rPr>
        <w:t>F</w:t>
      </w:r>
      <w:r w:rsidR="001E63F7" w:rsidRPr="00E223AF">
        <w:rPr>
          <w:color w:val="auto"/>
        </w:rPr>
        <w:t xml:space="preserve">or adults and </w:t>
      </w:r>
      <w:r w:rsidR="00725EC2" w:rsidRPr="00E223AF">
        <w:rPr>
          <w:color w:val="auto"/>
        </w:rPr>
        <w:t xml:space="preserve">for </w:t>
      </w:r>
      <w:r w:rsidR="001E63F7" w:rsidRPr="00E223AF">
        <w:rPr>
          <w:color w:val="auto"/>
        </w:rPr>
        <w:t>paediatric patients 12 years and older who have a BSA greater than 1.50 m</w:t>
      </w:r>
      <w:r w:rsidR="001E63F7" w:rsidRPr="00E223AF">
        <w:rPr>
          <w:color w:val="auto"/>
          <w:vertAlign w:val="superscript"/>
        </w:rPr>
        <w:t>2</w:t>
      </w:r>
      <w:r w:rsidR="001E63F7" w:rsidRPr="00E223AF">
        <w:rPr>
          <w:color w:val="auto"/>
        </w:rPr>
        <w:t>,</w:t>
      </w:r>
      <w:r w:rsidRPr="00E223AF">
        <w:rPr>
          <w:color w:val="auto"/>
        </w:rPr>
        <w:t xml:space="preserve"> if t</w:t>
      </w:r>
      <w:r w:rsidR="0005321A" w:rsidRPr="00E223AF">
        <w:rPr>
          <w:color w:val="auto"/>
        </w:rPr>
        <w:t xml:space="preserve">he concomitant use </w:t>
      </w:r>
      <w:r w:rsidRPr="00E223AF">
        <w:rPr>
          <w:color w:val="auto"/>
        </w:rPr>
        <w:t xml:space="preserve">of </w:t>
      </w:r>
      <w:r w:rsidR="0005321A" w:rsidRPr="00E223AF">
        <w:rPr>
          <w:color w:val="auto"/>
        </w:rPr>
        <w:t>strong or moderate CYP3A inhibitor</w:t>
      </w:r>
      <w:r w:rsidRPr="00E223AF">
        <w:rPr>
          <w:color w:val="auto"/>
        </w:rPr>
        <w:t>s</w:t>
      </w:r>
      <w:r w:rsidR="0005321A" w:rsidRPr="00E223AF">
        <w:rPr>
          <w:color w:val="auto"/>
        </w:rPr>
        <w:t xml:space="preserve"> </w:t>
      </w:r>
      <w:r w:rsidRPr="00E223AF">
        <w:rPr>
          <w:color w:val="auto"/>
        </w:rPr>
        <w:t xml:space="preserve">with Rozlytrek </w:t>
      </w:r>
      <w:r w:rsidR="0005321A" w:rsidRPr="00E223AF">
        <w:rPr>
          <w:color w:val="auto"/>
        </w:rPr>
        <w:t>ca</w:t>
      </w:r>
      <w:r w:rsidR="00655571" w:rsidRPr="00E223AF">
        <w:rPr>
          <w:color w:val="auto"/>
        </w:rPr>
        <w:t>nnot</w:t>
      </w:r>
      <w:r w:rsidR="0005321A" w:rsidRPr="00E223AF">
        <w:rPr>
          <w:color w:val="auto"/>
        </w:rPr>
        <w:t xml:space="preserve"> be avoided, </w:t>
      </w:r>
      <w:r w:rsidR="001E63F7" w:rsidRPr="00E223AF">
        <w:rPr>
          <w:color w:val="auto"/>
        </w:rPr>
        <w:t xml:space="preserve">the </w:t>
      </w:r>
      <w:r w:rsidR="00AC22FD" w:rsidRPr="00E223AF">
        <w:rPr>
          <w:color w:val="auto"/>
        </w:rPr>
        <w:t>Rozlytrek</w:t>
      </w:r>
      <w:r w:rsidR="00FC2E43" w:rsidRPr="00E223AF">
        <w:rPr>
          <w:color w:val="auto"/>
        </w:rPr>
        <w:t xml:space="preserve"> </w:t>
      </w:r>
      <w:r w:rsidR="0005321A" w:rsidRPr="00E223AF">
        <w:rPr>
          <w:color w:val="auto"/>
        </w:rPr>
        <w:t>dose should be reduced</w:t>
      </w:r>
      <w:r w:rsidR="00725EC2" w:rsidRPr="00E223AF">
        <w:rPr>
          <w:color w:val="auto"/>
        </w:rPr>
        <w:t xml:space="preserve"> to</w:t>
      </w:r>
      <w:r w:rsidR="001E63F7" w:rsidRPr="00E223AF">
        <w:rPr>
          <w:color w:val="auto"/>
        </w:rPr>
        <w:t>:</w:t>
      </w:r>
    </w:p>
    <w:p w14:paraId="4A884E17" w14:textId="545E4F6F" w:rsidR="001E63F7" w:rsidRPr="00E223AF" w:rsidRDefault="0005321A" w:rsidP="00605C72">
      <w:pPr>
        <w:pStyle w:val="ListParagraph"/>
        <w:numPr>
          <w:ilvl w:val="0"/>
          <w:numId w:val="13"/>
        </w:numPr>
        <w:rPr>
          <w:color w:val="auto"/>
        </w:rPr>
      </w:pPr>
      <w:r w:rsidRPr="00E223AF">
        <w:rPr>
          <w:color w:val="auto"/>
        </w:rPr>
        <w:t xml:space="preserve">100 mg once daily </w:t>
      </w:r>
      <w:r w:rsidR="00F22D2C" w:rsidRPr="00E223AF">
        <w:rPr>
          <w:color w:val="auto"/>
        </w:rPr>
        <w:t>if it is</w:t>
      </w:r>
      <w:r w:rsidRPr="00E223AF">
        <w:rPr>
          <w:color w:val="auto"/>
        </w:rPr>
        <w:t xml:space="preserve"> </w:t>
      </w:r>
      <w:r w:rsidR="00F22D2C" w:rsidRPr="00E223AF">
        <w:rPr>
          <w:color w:val="auto"/>
        </w:rPr>
        <w:t xml:space="preserve">a </w:t>
      </w:r>
      <w:r w:rsidRPr="00E223AF">
        <w:rPr>
          <w:color w:val="auto"/>
        </w:rPr>
        <w:t xml:space="preserve">strong CYP3A inhibitor and </w:t>
      </w:r>
    </w:p>
    <w:p w14:paraId="61AFC3BE" w14:textId="2B2447E1" w:rsidR="0005321A" w:rsidRPr="00E223AF" w:rsidRDefault="0005321A" w:rsidP="00605C72">
      <w:pPr>
        <w:pStyle w:val="ListParagraph"/>
        <w:numPr>
          <w:ilvl w:val="0"/>
          <w:numId w:val="13"/>
        </w:numPr>
        <w:rPr>
          <w:color w:val="auto"/>
        </w:rPr>
      </w:pPr>
      <w:r w:rsidRPr="00E223AF">
        <w:rPr>
          <w:color w:val="auto"/>
        </w:rPr>
        <w:t xml:space="preserve">200 mg once daily </w:t>
      </w:r>
      <w:r w:rsidR="00F22D2C" w:rsidRPr="00E223AF">
        <w:rPr>
          <w:color w:val="auto"/>
        </w:rPr>
        <w:t>if it is a</w:t>
      </w:r>
      <w:r w:rsidRPr="00E223AF">
        <w:rPr>
          <w:color w:val="auto"/>
        </w:rPr>
        <w:t xml:space="preserve"> moderate CYP3A inhibitor.</w:t>
      </w:r>
    </w:p>
    <w:p w14:paraId="0A50A3BC" w14:textId="7E0B5E4F" w:rsidR="008256E7" w:rsidRPr="00E223AF" w:rsidRDefault="0005321A" w:rsidP="0005321A">
      <w:pPr>
        <w:rPr>
          <w:color w:val="auto"/>
        </w:rPr>
      </w:pPr>
      <w:r w:rsidRPr="00E223AF">
        <w:rPr>
          <w:color w:val="auto"/>
        </w:rPr>
        <w:t xml:space="preserve">After discontinuation of </w:t>
      </w:r>
      <w:r w:rsidR="001E63F7" w:rsidRPr="00E223AF">
        <w:rPr>
          <w:color w:val="auto"/>
        </w:rPr>
        <w:t>a</w:t>
      </w:r>
      <w:r w:rsidRPr="00E223AF">
        <w:rPr>
          <w:color w:val="auto"/>
        </w:rPr>
        <w:t xml:space="preserve"> strong or moderate CYP3A inhibitor,</w:t>
      </w:r>
      <w:r w:rsidR="00F22D2C" w:rsidRPr="00E223AF">
        <w:rPr>
          <w:color w:val="auto"/>
        </w:rPr>
        <w:t xml:space="preserve"> and after a</w:t>
      </w:r>
      <w:r w:rsidR="00725EC2" w:rsidRPr="00E223AF">
        <w:rPr>
          <w:color w:val="auto"/>
        </w:rPr>
        <w:t>n appropriate</w:t>
      </w:r>
      <w:r w:rsidR="00F22D2C" w:rsidRPr="00E223AF">
        <w:rPr>
          <w:color w:val="auto"/>
        </w:rPr>
        <w:t xml:space="preserve"> </w:t>
      </w:r>
      <w:r w:rsidR="00725EC2" w:rsidRPr="00E223AF">
        <w:rPr>
          <w:color w:val="auto"/>
        </w:rPr>
        <w:t xml:space="preserve">wash-out </w:t>
      </w:r>
      <w:r w:rsidR="00F22D2C" w:rsidRPr="00E223AF">
        <w:rPr>
          <w:color w:val="auto"/>
        </w:rPr>
        <w:t xml:space="preserve">period </w:t>
      </w:r>
      <w:r w:rsidR="00725EC2" w:rsidRPr="00E223AF">
        <w:rPr>
          <w:color w:val="auto"/>
        </w:rPr>
        <w:t>(</w:t>
      </w:r>
      <w:r w:rsidR="00F22D2C" w:rsidRPr="00E223AF">
        <w:rPr>
          <w:color w:val="auto"/>
        </w:rPr>
        <w:t>3 to 5 times</w:t>
      </w:r>
      <w:r w:rsidR="00725EC2" w:rsidRPr="00E223AF">
        <w:rPr>
          <w:color w:val="auto"/>
        </w:rPr>
        <w:t xml:space="preserve"> the</w:t>
      </w:r>
      <w:r w:rsidR="00F22D2C" w:rsidRPr="00E223AF">
        <w:rPr>
          <w:color w:val="auto"/>
        </w:rPr>
        <w:t xml:space="preserve"> elimination half-life</w:t>
      </w:r>
      <w:r w:rsidR="00725EC2" w:rsidRPr="00E223AF">
        <w:rPr>
          <w:color w:val="auto"/>
        </w:rPr>
        <w:t xml:space="preserve"> of the CYP3A inhibitor)</w:t>
      </w:r>
      <w:r w:rsidR="00F22D2C" w:rsidRPr="00E223AF">
        <w:rPr>
          <w:color w:val="auto"/>
        </w:rPr>
        <w:t>,</w:t>
      </w:r>
      <w:r w:rsidRPr="00E223AF">
        <w:rPr>
          <w:color w:val="auto"/>
        </w:rPr>
        <w:t xml:space="preserve"> </w:t>
      </w:r>
      <w:r w:rsidR="00F22D2C" w:rsidRPr="00E223AF">
        <w:rPr>
          <w:color w:val="auto"/>
        </w:rPr>
        <w:t xml:space="preserve">the </w:t>
      </w:r>
      <w:r w:rsidR="00AC22FD" w:rsidRPr="00E223AF">
        <w:rPr>
          <w:color w:val="auto"/>
        </w:rPr>
        <w:t>Rozlytrek</w:t>
      </w:r>
      <w:r w:rsidR="00FC2E43" w:rsidRPr="00E223AF">
        <w:rPr>
          <w:color w:val="auto"/>
        </w:rPr>
        <w:t xml:space="preserve"> </w:t>
      </w:r>
      <w:r w:rsidRPr="00E223AF">
        <w:rPr>
          <w:color w:val="auto"/>
        </w:rPr>
        <w:t xml:space="preserve">dose that was taken prior to initiating the CYP3A inhibitor can be resumed. </w:t>
      </w:r>
    </w:p>
    <w:p w14:paraId="2EF5321B" w14:textId="7D6ACA33" w:rsidR="0005321A" w:rsidRPr="00E223AF" w:rsidRDefault="0005321A" w:rsidP="0005321A">
      <w:pPr>
        <w:rPr>
          <w:color w:val="auto"/>
        </w:rPr>
      </w:pPr>
    </w:p>
    <w:p w14:paraId="49EE8797" w14:textId="4690CCAA" w:rsidR="008256E7" w:rsidRPr="00E223AF" w:rsidRDefault="008256E7" w:rsidP="0005321A">
      <w:pPr>
        <w:rPr>
          <w:color w:val="auto"/>
        </w:rPr>
      </w:pPr>
      <w:r w:rsidRPr="00E223AF">
        <w:rPr>
          <w:color w:val="auto"/>
        </w:rPr>
        <w:t>For paediatric patients 12 years and older who have a BSA less than or equal to 1.50 m</w:t>
      </w:r>
      <w:r w:rsidRPr="00E223AF">
        <w:rPr>
          <w:color w:val="auto"/>
          <w:vertAlign w:val="superscript"/>
        </w:rPr>
        <w:t>2</w:t>
      </w:r>
      <w:r w:rsidRPr="00E223AF">
        <w:rPr>
          <w:color w:val="auto"/>
        </w:rPr>
        <w:t>, t</w:t>
      </w:r>
      <w:r w:rsidR="0005321A" w:rsidRPr="00E223AF" w:rsidDel="001E63F7">
        <w:rPr>
          <w:color w:val="auto"/>
        </w:rPr>
        <w:t xml:space="preserve">he concomitant use of strong or moderate CYP3A inhibitors </w:t>
      </w:r>
      <w:r w:rsidRPr="00E223AF">
        <w:rPr>
          <w:color w:val="auto"/>
        </w:rPr>
        <w:t xml:space="preserve">with Rozlytrek </w:t>
      </w:r>
      <w:r w:rsidR="0005321A" w:rsidRPr="00E223AF" w:rsidDel="001E63F7">
        <w:rPr>
          <w:color w:val="auto"/>
        </w:rPr>
        <w:t>should be avoided</w:t>
      </w:r>
      <w:r w:rsidR="005B688B" w:rsidRPr="00E223AF" w:rsidDel="001E63F7">
        <w:rPr>
          <w:color w:val="auto"/>
        </w:rPr>
        <w:t xml:space="preserve"> </w:t>
      </w:r>
      <w:r w:rsidRPr="00E223AF">
        <w:rPr>
          <w:color w:val="auto"/>
        </w:rPr>
        <w:t>altogether</w:t>
      </w:r>
      <w:r w:rsidR="005B688B" w:rsidRPr="00E223AF" w:rsidDel="001E63F7">
        <w:rPr>
          <w:color w:val="auto"/>
        </w:rPr>
        <w:t>.</w:t>
      </w:r>
      <w:r w:rsidRPr="00E223AF">
        <w:rPr>
          <w:color w:val="auto"/>
        </w:rPr>
        <w:t xml:space="preserve"> </w:t>
      </w:r>
    </w:p>
    <w:p w14:paraId="47E200E1" w14:textId="77777777" w:rsidR="008256E7" w:rsidRPr="00E223AF" w:rsidRDefault="008256E7" w:rsidP="0005321A">
      <w:pPr>
        <w:rPr>
          <w:color w:val="auto"/>
        </w:rPr>
      </w:pPr>
    </w:p>
    <w:p w14:paraId="43BC724D" w14:textId="767F7A82" w:rsidR="008256E7" w:rsidRPr="00E223AF" w:rsidRDefault="008256E7" w:rsidP="008256E7">
      <w:pPr>
        <w:rPr>
          <w:color w:val="auto"/>
        </w:rPr>
      </w:pPr>
      <w:r w:rsidRPr="00E223AF">
        <w:rPr>
          <w:color w:val="auto"/>
        </w:rPr>
        <w:t xml:space="preserve">Avoid grapefruit products during treatment with </w:t>
      </w:r>
      <w:r w:rsidR="00E611DE" w:rsidRPr="00E223AF">
        <w:rPr>
          <w:color w:val="auto"/>
        </w:rPr>
        <w:t>Rozlytrek</w:t>
      </w:r>
      <w:r w:rsidRPr="00E223AF">
        <w:rPr>
          <w:color w:val="auto"/>
        </w:rPr>
        <w:t>, as they contain inhibitors of CYP3A.</w:t>
      </w:r>
    </w:p>
    <w:p w14:paraId="0E38C250" w14:textId="46BADC66" w:rsidR="0005321A" w:rsidRPr="00E223AF" w:rsidRDefault="00516916" w:rsidP="00FC2E43">
      <w:pPr>
        <w:pStyle w:val="Heading5"/>
        <w:rPr>
          <w:color w:val="auto"/>
        </w:rPr>
      </w:pPr>
      <w:r w:rsidRPr="00E223AF">
        <w:rPr>
          <w:color w:val="auto"/>
        </w:rPr>
        <w:t xml:space="preserve">Strong or moderate </w:t>
      </w:r>
      <w:r w:rsidR="00FC2E43" w:rsidRPr="00E223AF">
        <w:rPr>
          <w:color w:val="auto"/>
        </w:rPr>
        <w:t>CYP3A inducers</w:t>
      </w:r>
    </w:p>
    <w:p w14:paraId="32833FD2" w14:textId="2F3113B4" w:rsidR="0005321A" w:rsidRPr="00E223AF" w:rsidRDefault="00516916" w:rsidP="00605C72">
      <w:pPr>
        <w:spacing w:before="240"/>
        <w:rPr>
          <w:color w:val="auto"/>
        </w:rPr>
      </w:pPr>
      <w:r w:rsidRPr="00E223AF">
        <w:rPr>
          <w:color w:val="auto"/>
        </w:rPr>
        <w:t xml:space="preserve">Avoid concomitant use </w:t>
      </w:r>
      <w:r w:rsidR="0005321A" w:rsidRPr="00E223AF">
        <w:rPr>
          <w:color w:val="auto"/>
        </w:rPr>
        <w:t xml:space="preserve">of </w:t>
      </w:r>
      <w:r w:rsidR="00AC22FD" w:rsidRPr="00E223AF">
        <w:rPr>
          <w:color w:val="auto"/>
        </w:rPr>
        <w:t>Rozlytrek</w:t>
      </w:r>
      <w:r w:rsidR="00FC2E43" w:rsidRPr="00E223AF">
        <w:rPr>
          <w:color w:val="auto"/>
        </w:rPr>
        <w:t xml:space="preserve"> </w:t>
      </w:r>
      <w:r w:rsidR="0005321A" w:rsidRPr="00E223AF">
        <w:rPr>
          <w:color w:val="auto"/>
        </w:rPr>
        <w:t xml:space="preserve">with </w:t>
      </w:r>
      <w:r w:rsidRPr="00E223AF">
        <w:rPr>
          <w:color w:val="auto"/>
        </w:rPr>
        <w:t xml:space="preserve">strong or moderate </w:t>
      </w:r>
      <w:r w:rsidR="0005321A" w:rsidRPr="00E223AF">
        <w:rPr>
          <w:color w:val="auto"/>
        </w:rPr>
        <w:t>CYP3A inducers in adult and p</w:t>
      </w:r>
      <w:r w:rsidR="00FC2E43" w:rsidRPr="00E223AF">
        <w:rPr>
          <w:color w:val="auto"/>
        </w:rPr>
        <w:t>a</w:t>
      </w:r>
      <w:r w:rsidR="0005321A" w:rsidRPr="00E223AF">
        <w:rPr>
          <w:color w:val="auto"/>
        </w:rPr>
        <w:t xml:space="preserve">ediatric patients </w:t>
      </w:r>
      <w:r w:rsidR="00B52BB4" w:rsidRPr="00E223AF">
        <w:rPr>
          <w:color w:val="auto"/>
        </w:rPr>
        <w:t xml:space="preserve">(See section </w:t>
      </w:r>
      <w:r w:rsidR="00B52BB4" w:rsidRPr="00E223AF">
        <w:rPr>
          <w:i/>
          <w:color w:val="auto"/>
        </w:rPr>
        <w:t>4.5 Interactions with other medicines and other forms of interactions</w:t>
      </w:r>
      <w:r w:rsidRPr="00E223AF">
        <w:rPr>
          <w:color w:val="auto"/>
        </w:rPr>
        <w:t>)</w:t>
      </w:r>
      <w:r w:rsidR="005B688B" w:rsidRPr="00E223AF">
        <w:rPr>
          <w:color w:val="auto"/>
        </w:rPr>
        <w:t>.</w:t>
      </w:r>
    </w:p>
    <w:p w14:paraId="4092E236" w14:textId="77777777" w:rsidR="00516916" w:rsidRPr="00E223AF" w:rsidRDefault="00516916" w:rsidP="00516916">
      <w:pPr>
        <w:pStyle w:val="Heading5"/>
        <w:rPr>
          <w:color w:val="auto"/>
        </w:rPr>
      </w:pPr>
      <w:r w:rsidRPr="00E223AF">
        <w:rPr>
          <w:color w:val="auto"/>
        </w:rPr>
        <w:t>Drugs that prolong the QT interval</w:t>
      </w:r>
    </w:p>
    <w:p w14:paraId="5EB7B45F" w14:textId="1124676A" w:rsidR="00516916" w:rsidRPr="00E223AF" w:rsidRDefault="00516916" w:rsidP="00605C72">
      <w:pPr>
        <w:spacing w:before="240"/>
        <w:rPr>
          <w:color w:val="auto"/>
        </w:rPr>
      </w:pPr>
      <w:r w:rsidRPr="00E223AF">
        <w:rPr>
          <w:color w:val="auto"/>
        </w:rPr>
        <w:lastRenderedPageBreak/>
        <w:t xml:space="preserve">Avoid co-administration of </w:t>
      </w:r>
      <w:r w:rsidR="00E611DE" w:rsidRPr="00E223AF">
        <w:rPr>
          <w:color w:val="auto"/>
        </w:rPr>
        <w:t>Rozlytrek</w:t>
      </w:r>
      <w:r w:rsidRPr="00E223AF">
        <w:rPr>
          <w:color w:val="auto"/>
        </w:rPr>
        <w:t xml:space="preserve"> with other products </w:t>
      </w:r>
      <w:r w:rsidR="00DB043B" w:rsidRPr="00E223AF">
        <w:rPr>
          <w:color w:val="auto"/>
        </w:rPr>
        <w:t>known to</w:t>
      </w:r>
      <w:r w:rsidRPr="00E223AF">
        <w:rPr>
          <w:color w:val="auto"/>
        </w:rPr>
        <w:t xml:space="preserve"> prolong the QT/</w:t>
      </w:r>
      <w:proofErr w:type="spellStart"/>
      <w:r w:rsidRPr="00E223AF">
        <w:rPr>
          <w:color w:val="auto"/>
        </w:rPr>
        <w:t>QTc</w:t>
      </w:r>
      <w:proofErr w:type="spellEnd"/>
      <w:r w:rsidRPr="00E223AF">
        <w:rPr>
          <w:color w:val="auto"/>
        </w:rPr>
        <w:t xml:space="preserve"> interval (see section 4.4 S</w:t>
      </w:r>
      <w:r w:rsidRPr="00E223AF">
        <w:rPr>
          <w:i/>
          <w:color w:val="auto"/>
        </w:rPr>
        <w:t>pecial warnings and precautions for use</w:t>
      </w:r>
      <w:r w:rsidRPr="00E223AF">
        <w:rPr>
          <w:color w:val="auto"/>
        </w:rPr>
        <w:t xml:space="preserve"> and section </w:t>
      </w:r>
      <w:r w:rsidRPr="00E223AF" w:rsidDel="001E63F7">
        <w:rPr>
          <w:color w:val="auto"/>
        </w:rPr>
        <w:t>4.5</w:t>
      </w:r>
      <w:r w:rsidRPr="00E223AF" w:rsidDel="001E63F7">
        <w:rPr>
          <w:i/>
          <w:color w:val="auto"/>
        </w:rPr>
        <w:t xml:space="preserve"> Interactions with other medicines and other forms of interactions</w:t>
      </w:r>
      <w:r w:rsidRPr="00E223AF">
        <w:rPr>
          <w:color w:val="auto"/>
        </w:rPr>
        <w:t>).</w:t>
      </w:r>
    </w:p>
    <w:p w14:paraId="70341D13" w14:textId="77777777" w:rsidR="0005321A" w:rsidRPr="00E223AF" w:rsidRDefault="0005321A" w:rsidP="0005321A">
      <w:pPr>
        <w:rPr>
          <w:color w:val="auto"/>
        </w:rPr>
      </w:pPr>
    </w:p>
    <w:p w14:paraId="78676A83" w14:textId="77777777" w:rsidR="00273525" w:rsidRDefault="00273525" w:rsidP="000A665B">
      <w:pPr>
        <w:pStyle w:val="Heading4"/>
        <w:spacing w:before="0"/>
        <w:rPr>
          <w:color w:val="auto"/>
        </w:rPr>
      </w:pPr>
    </w:p>
    <w:p w14:paraId="1A4C4E2D" w14:textId="2F33FC6B" w:rsidR="00D52399" w:rsidRPr="00E223AF" w:rsidRDefault="00F22D2C" w:rsidP="000A665B">
      <w:pPr>
        <w:pStyle w:val="Heading4"/>
        <w:spacing w:before="0"/>
        <w:rPr>
          <w:color w:val="auto"/>
        </w:rPr>
      </w:pPr>
      <w:r w:rsidRPr="00E223AF">
        <w:rPr>
          <w:color w:val="auto"/>
        </w:rPr>
        <w:t>Dosing in s</w:t>
      </w:r>
      <w:r w:rsidR="00615052" w:rsidRPr="00E223AF">
        <w:rPr>
          <w:color w:val="auto"/>
        </w:rPr>
        <w:t>pecial populations</w:t>
      </w:r>
    </w:p>
    <w:p w14:paraId="40D85E18" w14:textId="314EF343" w:rsidR="00602F20" w:rsidRPr="00E223AF" w:rsidRDefault="00602F20" w:rsidP="00602F20">
      <w:pPr>
        <w:pStyle w:val="Heading5"/>
        <w:rPr>
          <w:color w:val="auto"/>
        </w:rPr>
      </w:pPr>
      <w:r w:rsidRPr="00E223AF">
        <w:rPr>
          <w:color w:val="auto"/>
        </w:rPr>
        <w:t>Paediatric populations</w:t>
      </w:r>
    </w:p>
    <w:p w14:paraId="479EA020" w14:textId="65A09C9E" w:rsidR="00602F20" w:rsidRPr="00E223AF" w:rsidRDefault="00602F20" w:rsidP="00602F20">
      <w:pPr>
        <w:rPr>
          <w:color w:val="auto"/>
        </w:rPr>
      </w:pPr>
      <w:r w:rsidRPr="00E223AF">
        <w:rPr>
          <w:color w:val="auto"/>
        </w:rPr>
        <w:t>Dosage for patients is based on body surface area (mg/m</w:t>
      </w:r>
      <w:r w:rsidRPr="00E223AF">
        <w:rPr>
          <w:color w:val="auto"/>
          <w:vertAlign w:val="superscript"/>
        </w:rPr>
        <w:t>2</w:t>
      </w:r>
      <w:r w:rsidRPr="00E223AF">
        <w:rPr>
          <w:color w:val="auto"/>
        </w:rPr>
        <w:t>) (see Table 1 for paediatric dosing).</w:t>
      </w:r>
    </w:p>
    <w:p w14:paraId="278C5216" w14:textId="3422AB24" w:rsidR="00EE7129" w:rsidRPr="00E223AF" w:rsidRDefault="00EE7129">
      <w:pPr>
        <w:pStyle w:val="Heading5"/>
        <w:rPr>
          <w:color w:val="auto"/>
        </w:rPr>
      </w:pPr>
      <w:r w:rsidRPr="00E223AF">
        <w:rPr>
          <w:color w:val="auto"/>
        </w:rPr>
        <w:t>Renal impairment</w:t>
      </w:r>
    </w:p>
    <w:p w14:paraId="31C71E0B" w14:textId="5EC30F91" w:rsidR="00FC2E43" w:rsidRPr="00E223AF" w:rsidRDefault="00FC2E43" w:rsidP="00FC2E43">
      <w:pPr>
        <w:rPr>
          <w:color w:val="auto"/>
        </w:rPr>
      </w:pPr>
      <w:r w:rsidRPr="00E223AF">
        <w:rPr>
          <w:color w:val="auto"/>
        </w:rPr>
        <w:t>No dose adjustment is required in patients with mild or moderate renal impairment</w:t>
      </w:r>
      <w:r w:rsidR="00555B47" w:rsidRPr="00E223AF">
        <w:rPr>
          <w:color w:val="auto"/>
        </w:rPr>
        <w:t xml:space="preserve"> (</w:t>
      </w:r>
      <w:proofErr w:type="spellStart"/>
      <w:r w:rsidR="00555B47" w:rsidRPr="00E223AF">
        <w:rPr>
          <w:color w:val="auto"/>
        </w:rPr>
        <w:t>CLcr</w:t>
      </w:r>
      <w:proofErr w:type="spellEnd"/>
      <w:r w:rsidR="00555B47" w:rsidRPr="00E223AF">
        <w:rPr>
          <w:color w:val="auto"/>
        </w:rPr>
        <w:t xml:space="preserve"> 30 to &lt; 90 mL/min calculated by Cockcroft-Gault equation)</w:t>
      </w:r>
      <w:r w:rsidRPr="00E223AF">
        <w:rPr>
          <w:color w:val="auto"/>
        </w:rPr>
        <w:t xml:space="preserve">. </w:t>
      </w:r>
      <w:r w:rsidR="00AC22FD" w:rsidRPr="00E223AF">
        <w:rPr>
          <w:color w:val="auto"/>
        </w:rPr>
        <w:t>Rozlytrek</w:t>
      </w:r>
      <w:r w:rsidRPr="00E223AF">
        <w:rPr>
          <w:color w:val="auto"/>
        </w:rPr>
        <w:t xml:space="preserve"> </w:t>
      </w:r>
      <w:r w:rsidR="00555B47" w:rsidRPr="00E223AF">
        <w:rPr>
          <w:color w:val="auto"/>
        </w:rPr>
        <w:t xml:space="preserve">has </w:t>
      </w:r>
      <w:r w:rsidRPr="00E223AF">
        <w:rPr>
          <w:color w:val="auto"/>
        </w:rPr>
        <w:t>not been studied in patients with severe renal impairment</w:t>
      </w:r>
      <w:r w:rsidR="00555B47" w:rsidRPr="00E223AF">
        <w:t xml:space="preserve"> </w:t>
      </w:r>
      <w:r w:rsidR="00555B47" w:rsidRPr="00E223AF">
        <w:rPr>
          <w:color w:val="auto"/>
        </w:rPr>
        <w:t>(</w:t>
      </w:r>
      <w:proofErr w:type="spellStart"/>
      <w:r w:rsidR="00555B47" w:rsidRPr="00E223AF">
        <w:rPr>
          <w:color w:val="auto"/>
        </w:rPr>
        <w:t>CLcr</w:t>
      </w:r>
      <w:proofErr w:type="spellEnd"/>
      <w:r w:rsidR="00555B47" w:rsidRPr="00E223AF">
        <w:rPr>
          <w:color w:val="auto"/>
        </w:rPr>
        <w:t xml:space="preserve"> &lt; 30 mL/min)</w:t>
      </w:r>
      <w:r w:rsidRPr="00E223AF">
        <w:rPr>
          <w:color w:val="auto"/>
        </w:rPr>
        <w:t>. However, since entrectinib elimination via the kidney is negligible, no dose adjustment is required in patient</w:t>
      </w:r>
      <w:r w:rsidR="0024295F" w:rsidRPr="00E223AF">
        <w:rPr>
          <w:color w:val="auto"/>
        </w:rPr>
        <w:t>s with severe renal impairment (s</w:t>
      </w:r>
      <w:r w:rsidRPr="00E223AF">
        <w:rPr>
          <w:color w:val="auto"/>
        </w:rPr>
        <w:t xml:space="preserve">ee sections </w:t>
      </w:r>
      <w:r w:rsidR="0024295F" w:rsidRPr="00E223AF">
        <w:rPr>
          <w:color w:val="auto"/>
        </w:rPr>
        <w:t xml:space="preserve">4.4 </w:t>
      </w:r>
      <w:r w:rsidR="0024295F" w:rsidRPr="00E223AF">
        <w:rPr>
          <w:i/>
          <w:color w:val="auto"/>
        </w:rPr>
        <w:t xml:space="preserve">Special </w:t>
      </w:r>
      <w:r w:rsidR="00555B47" w:rsidRPr="00E223AF">
        <w:rPr>
          <w:i/>
          <w:color w:val="auto"/>
        </w:rPr>
        <w:t>w</w:t>
      </w:r>
      <w:r w:rsidR="0024295F" w:rsidRPr="00E223AF">
        <w:rPr>
          <w:i/>
          <w:color w:val="auto"/>
        </w:rPr>
        <w:t xml:space="preserve">arnings </w:t>
      </w:r>
      <w:r w:rsidR="00555B47" w:rsidRPr="00E223AF">
        <w:rPr>
          <w:i/>
          <w:color w:val="auto"/>
        </w:rPr>
        <w:t>a</w:t>
      </w:r>
      <w:r w:rsidR="0024295F" w:rsidRPr="00E223AF">
        <w:rPr>
          <w:i/>
          <w:color w:val="auto"/>
        </w:rPr>
        <w:t xml:space="preserve">nd </w:t>
      </w:r>
      <w:r w:rsidR="00555B47" w:rsidRPr="00E223AF">
        <w:rPr>
          <w:i/>
          <w:color w:val="auto"/>
        </w:rPr>
        <w:t>p</w:t>
      </w:r>
      <w:r w:rsidR="0024295F" w:rsidRPr="00E223AF">
        <w:rPr>
          <w:i/>
          <w:color w:val="auto"/>
        </w:rPr>
        <w:t xml:space="preserve">recautions </w:t>
      </w:r>
      <w:r w:rsidR="00555B47" w:rsidRPr="00E223AF">
        <w:rPr>
          <w:i/>
          <w:color w:val="auto"/>
        </w:rPr>
        <w:t>f</w:t>
      </w:r>
      <w:r w:rsidR="0024295F" w:rsidRPr="00E223AF">
        <w:rPr>
          <w:i/>
          <w:color w:val="auto"/>
        </w:rPr>
        <w:t xml:space="preserve">or </w:t>
      </w:r>
      <w:r w:rsidR="00555B47" w:rsidRPr="00E223AF">
        <w:rPr>
          <w:i/>
          <w:color w:val="auto"/>
        </w:rPr>
        <w:t>u</w:t>
      </w:r>
      <w:r w:rsidR="0024295F" w:rsidRPr="00E223AF">
        <w:rPr>
          <w:i/>
          <w:color w:val="auto"/>
        </w:rPr>
        <w:t>se</w:t>
      </w:r>
      <w:r w:rsidR="0024295F" w:rsidRPr="00E223AF">
        <w:rPr>
          <w:color w:val="auto"/>
        </w:rPr>
        <w:t xml:space="preserve"> and </w:t>
      </w:r>
      <w:r w:rsidR="005B688B" w:rsidRPr="00E223AF">
        <w:rPr>
          <w:color w:val="auto"/>
        </w:rPr>
        <w:t xml:space="preserve">5.2 </w:t>
      </w:r>
      <w:r w:rsidR="005B688B" w:rsidRPr="00E223AF">
        <w:rPr>
          <w:i/>
          <w:color w:val="auto"/>
        </w:rPr>
        <w:t xml:space="preserve">Pharmacokinetic </w:t>
      </w:r>
      <w:r w:rsidR="00555B47" w:rsidRPr="00E223AF">
        <w:rPr>
          <w:i/>
          <w:color w:val="auto"/>
        </w:rPr>
        <w:t>p</w:t>
      </w:r>
      <w:r w:rsidR="005B688B" w:rsidRPr="00E223AF">
        <w:rPr>
          <w:i/>
          <w:color w:val="auto"/>
        </w:rPr>
        <w:t>roperties</w:t>
      </w:r>
      <w:r w:rsidRPr="00E223AF">
        <w:rPr>
          <w:color w:val="auto"/>
        </w:rPr>
        <w:t xml:space="preserve">). </w:t>
      </w:r>
    </w:p>
    <w:p w14:paraId="4D35CBCA" w14:textId="4E39B027" w:rsidR="00834C48" w:rsidRPr="00E223AF" w:rsidRDefault="00615052">
      <w:pPr>
        <w:pStyle w:val="Heading5"/>
        <w:rPr>
          <w:color w:val="auto"/>
        </w:rPr>
      </w:pPr>
      <w:r w:rsidRPr="00E223AF">
        <w:rPr>
          <w:color w:val="auto"/>
        </w:rPr>
        <w:t xml:space="preserve">Hepatic </w:t>
      </w:r>
      <w:r w:rsidR="00EE7129" w:rsidRPr="00E223AF">
        <w:rPr>
          <w:color w:val="auto"/>
        </w:rPr>
        <w:t>impairment</w:t>
      </w:r>
    </w:p>
    <w:p w14:paraId="25B22B67" w14:textId="0D093311" w:rsidR="00FC2E43" w:rsidRPr="00E223AF" w:rsidRDefault="00555B47" w:rsidP="00FC2E43">
      <w:pPr>
        <w:rPr>
          <w:color w:val="auto"/>
        </w:rPr>
      </w:pPr>
      <w:r w:rsidRPr="00E223AF">
        <w:rPr>
          <w:color w:val="auto"/>
        </w:rPr>
        <w:t xml:space="preserve">No dose adjustment is required in patients with mild (total bilirubin ≤ 1.5 times ULN) hepatic impairment. </w:t>
      </w:r>
      <w:r w:rsidR="00AC22FD" w:rsidRPr="00E223AF">
        <w:rPr>
          <w:color w:val="auto"/>
        </w:rPr>
        <w:t>Rozlytrek</w:t>
      </w:r>
      <w:r w:rsidR="00FC2E43" w:rsidRPr="00E223AF">
        <w:rPr>
          <w:color w:val="auto"/>
        </w:rPr>
        <w:t xml:space="preserve"> </w:t>
      </w:r>
      <w:r w:rsidRPr="00E223AF">
        <w:rPr>
          <w:color w:val="auto"/>
        </w:rPr>
        <w:t xml:space="preserve">has </w:t>
      </w:r>
      <w:r w:rsidR="00FC2E43" w:rsidRPr="00E223AF">
        <w:rPr>
          <w:color w:val="auto"/>
        </w:rPr>
        <w:t>not been studied in pati</w:t>
      </w:r>
      <w:r w:rsidR="0024295F" w:rsidRPr="00E223AF">
        <w:rPr>
          <w:color w:val="auto"/>
        </w:rPr>
        <w:t xml:space="preserve">ents with </w:t>
      </w:r>
      <w:r w:rsidRPr="00E223AF">
        <w:rPr>
          <w:color w:val="auto"/>
        </w:rPr>
        <w:t xml:space="preserve">moderate (total bilirubin &gt; 1.5 to 3 times ULN) or severe (total bilirubin &gt; 3 times ULN) </w:t>
      </w:r>
      <w:r w:rsidR="0024295F" w:rsidRPr="00E223AF">
        <w:rPr>
          <w:color w:val="auto"/>
        </w:rPr>
        <w:t xml:space="preserve">hepatic impairment (see sections 4.4 </w:t>
      </w:r>
      <w:r w:rsidRPr="00E223AF">
        <w:rPr>
          <w:i/>
          <w:color w:val="auto"/>
        </w:rPr>
        <w:t>Special warnings and precautions for use</w:t>
      </w:r>
      <w:r w:rsidRPr="00E223AF">
        <w:rPr>
          <w:color w:val="auto"/>
        </w:rPr>
        <w:t xml:space="preserve"> </w:t>
      </w:r>
      <w:r w:rsidR="0024295F" w:rsidRPr="00E223AF">
        <w:rPr>
          <w:color w:val="auto"/>
        </w:rPr>
        <w:t xml:space="preserve">and 5.2 </w:t>
      </w:r>
      <w:r w:rsidR="0024295F" w:rsidRPr="00E223AF">
        <w:rPr>
          <w:i/>
          <w:color w:val="auto"/>
        </w:rPr>
        <w:t xml:space="preserve">Pharmacokinetic </w:t>
      </w:r>
      <w:r w:rsidRPr="00E223AF">
        <w:rPr>
          <w:i/>
          <w:color w:val="auto"/>
        </w:rPr>
        <w:t>p</w:t>
      </w:r>
      <w:r w:rsidR="0024295F" w:rsidRPr="00E223AF">
        <w:rPr>
          <w:i/>
          <w:color w:val="auto"/>
        </w:rPr>
        <w:t>roperties</w:t>
      </w:r>
      <w:r w:rsidR="0024295F" w:rsidRPr="00E223AF">
        <w:rPr>
          <w:color w:val="auto"/>
        </w:rPr>
        <w:t>).</w:t>
      </w:r>
    </w:p>
    <w:p w14:paraId="2FF880A6" w14:textId="29CA4DD8" w:rsidR="00D52399" w:rsidRPr="00E223AF" w:rsidRDefault="00D52399" w:rsidP="008B3CF0">
      <w:pPr>
        <w:rPr>
          <w:color w:val="auto"/>
        </w:rPr>
      </w:pPr>
    </w:p>
    <w:p w14:paraId="2BD1C138" w14:textId="77777777" w:rsidR="008B3CF0" w:rsidRPr="00E223AF" w:rsidRDefault="008B3CF0" w:rsidP="008B3CF0">
      <w:pPr>
        <w:rPr>
          <w:color w:val="auto"/>
        </w:rPr>
      </w:pPr>
    </w:p>
    <w:p w14:paraId="6B6C2D07" w14:textId="77777777" w:rsidR="00D52399" w:rsidRPr="00E223AF" w:rsidRDefault="00902EBE" w:rsidP="009F4C5B">
      <w:pPr>
        <w:pStyle w:val="Heading2"/>
        <w:numPr>
          <w:ilvl w:val="1"/>
          <w:numId w:val="2"/>
        </w:numPr>
        <w:spacing w:before="0"/>
        <w:ind w:left="0" w:firstLine="0"/>
        <w:rPr>
          <w:color w:val="auto"/>
        </w:rPr>
      </w:pPr>
      <w:r w:rsidRPr="00E223AF">
        <w:rPr>
          <w:color w:val="auto"/>
        </w:rPr>
        <w:t>CONTRAINDICATIONS</w:t>
      </w:r>
    </w:p>
    <w:p w14:paraId="300865BF" w14:textId="0FA71D25" w:rsidR="00D52399" w:rsidRPr="00E223AF" w:rsidRDefault="00AC22FD" w:rsidP="008B3CF0">
      <w:pPr>
        <w:rPr>
          <w:color w:val="auto"/>
        </w:rPr>
      </w:pPr>
      <w:r w:rsidRPr="00E223AF">
        <w:rPr>
          <w:color w:val="auto"/>
        </w:rPr>
        <w:t>Rozlytrek</w:t>
      </w:r>
      <w:r w:rsidR="008B3CF0" w:rsidRPr="00E223AF">
        <w:rPr>
          <w:color w:val="auto"/>
        </w:rPr>
        <w:t xml:space="preserve"> is contraindicated in patients with a known hypersensitivity to entrectinib or any of the excipients.</w:t>
      </w:r>
    </w:p>
    <w:p w14:paraId="4D342222" w14:textId="77777777" w:rsidR="00EE7129" w:rsidRPr="00E223AF" w:rsidRDefault="00EE7129">
      <w:pPr>
        <w:rPr>
          <w:color w:val="auto"/>
        </w:rPr>
      </w:pPr>
    </w:p>
    <w:p w14:paraId="640E52B5" w14:textId="77777777" w:rsidR="00D52399" w:rsidRPr="00E223AF" w:rsidRDefault="00902EBE" w:rsidP="009F4C5B">
      <w:pPr>
        <w:pStyle w:val="Heading2"/>
        <w:spacing w:before="0"/>
        <w:rPr>
          <w:color w:val="auto"/>
        </w:rPr>
      </w:pPr>
      <w:r w:rsidRPr="00E223AF">
        <w:rPr>
          <w:color w:val="auto"/>
        </w:rPr>
        <w:t>4.4</w:t>
      </w:r>
      <w:r w:rsidRPr="00E223AF">
        <w:rPr>
          <w:color w:val="auto"/>
        </w:rPr>
        <w:tab/>
        <w:t>SPECIAL WARNINGS AND PRECAUTIONS FOR USE</w:t>
      </w:r>
    </w:p>
    <w:p w14:paraId="224048F5" w14:textId="5A40A5FD" w:rsidR="00EE6FA5" w:rsidRPr="00E223AF" w:rsidRDefault="00EE6FA5" w:rsidP="00EE6FA5">
      <w:pPr>
        <w:pStyle w:val="Heading3"/>
        <w:rPr>
          <w:color w:val="auto"/>
        </w:rPr>
      </w:pPr>
      <w:r w:rsidRPr="00E223AF">
        <w:rPr>
          <w:color w:val="auto"/>
        </w:rPr>
        <w:t xml:space="preserve">Congestive </w:t>
      </w:r>
      <w:r w:rsidR="00602F20" w:rsidRPr="00E223AF">
        <w:rPr>
          <w:color w:val="auto"/>
        </w:rPr>
        <w:t>h</w:t>
      </w:r>
      <w:r w:rsidRPr="00E223AF">
        <w:rPr>
          <w:color w:val="auto"/>
        </w:rPr>
        <w:t xml:space="preserve">eart </w:t>
      </w:r>
      <w:r w:rsidR="00602F20" w:rsidRPr="00E223AF">
        <w:rPr>
          <w:color w:val="auto"/>
        </w:rPr>
        <w:t>f</w:t>
      </w:r>
      <w:r w:rsidRPr="00E223AF">
        <w:rPr>
          <w:color w:val="auto"/>
        </w:rPr>
        <w:t>ailure</w:t>
      </w:r>
    </w:p>
    <w:p w14:paraId="34E27D09" w14:textId="6A704660" w:rsidR="00EE6FA5" w:rsidRPr="00E223AF" w:rsidRDefault="00EE6FA5" w:rsidP="00EE6FA5">
      <w:pPr>
        <w:rPr>
          <w:color w:val="auto"/>
        </w:rPr>
      </w:pPr>
      <w:r w:rsidRPr="00E223AF">
        <w:rPr>
          <w:color w:val="auto"/>
        </w:rPr>
        <w:t xml:space="preserve">Congestive heart failure (CHF) has been reported across clinical trials with </w:t>
      </w:r>
      <w:r w:rsidR="00AC22FD" w:rsidRPr="00E223AF">
        <w:rPr>
          <w:color w:val="auto"/>
        </w:rPr>
        <w:t>Rozlytrek</w:t>
      </w:r>
      <w:r w:rsidRPr="00E223AF">
        <w:rPr>
          <w:color w:val="auto"/>
        </w:rPr>
        <w:t xml:space="preserve"> </w:t>
      </w:r>
      <w:r w:rsidR="00136F9A" w:rsidRPr="00E223AF">
        <w:rPr>
          <w:color w:val="auto"/>
        </w:rPr>
        <w:t>(see section 4.8</w:t>
      </w:r>
      <w:r w:rsidR="00136F9A" w:rsidRPr="00E223AF">
        <w:rPr>
          <w:i/>
          <w:color w:val="auto"/>
        </w:rPr>
        <w:t xml:space="preserve"> Adverse effects (undesirable effects)</w:t>
      </w:r>
      <w:r w:rsidR="00136F9A" w:rsidRPr="00E223AF">
        <w:rPr>
          <w:color w:val="auto"/>
        </w:rPr>
        <w:t>)</w:t>
      </w:r>
      <w:r w:rsidRPr="00E223AF">
        <w:rPr>
          <w:color w:val="auto"/>
        </w:rPr>
        <w:t>. These reactions were observed in patients with or without a history of cardiac disease and resolved upon treatment with diuretics and/or dose reduction/interruption</w:t>
      </w:r>
      <w:r w:rsidR="006E6CA9" w:rsidRPr="00E223AF">
        <w:rPr>
          <w:color w:val="auto"/>
        </w:rPr>
        <w:t xml:space="preserve"> of </w:t>
      </w:r>
      <w:r w:rsidR="00AC22FD" w:rsidRPr="00E223AF">
        <w:rPr>
          <w:color w:val="auto"/>
        </w:rPr>
        <w:t>Rozlytrek</w:t>
      </w:r>
      <w:r w:rsidRPr="00E223AF">
        <w:rPr>
          <w:color w:val="auto"/>
        </w:rPr>
        <w:t xml:space="preserve">. </w:t>
      </w:r>
      <w:r w:rsidR="00C72038" w:rsidRPr="00E223AF">
        <w:rPr>
          <w:color w:val="auto"/>
        </w:rPr>
        <w:t xml:space="preserve">Assess left ventricular ejection fraction (LVEF) prior to initiation of </w:t>
      </w:r>
      <w:r w:rsidR="00E611DE" w:rsidRPr="00E223AF">
        <w:rPr>
          <w:color w:val="auto"/>
        </w:rPr>
        <w:t>Rozlytrek</w:t>
      </w:r>
      <w:r w:rsidR="00C72038" w:rsidRPr="00E223AF">
        <w:rPr>
          <w:color w:val="auto"/>
        </w:rPr>
        <w:t xml:space="preserve"> in patients with symptoms or known risk factors for CHF. Monitor patients for clinical signs and symptoms of CHF, including shortness of breath and oedema. For patients with myocarditis, with or without a decreased ejection fraction, MRI or cardiac biopsy may be required to make the diagnosis. For patients with new onset or worsening CHF, withhold </w:t>
      </w:r>
      <w:r w:rsidR="00E611DE" w:rsidRPr="00E223AF">
        <w:rPr>
          <w:color w:val="auto"/>
        </w:rPr>
        <w:t>Rozlytrek</w:t>
      </w:r>
      <w:r w:rsidR="00C72038" w:rsidRPr="00E223AF">
        <w:rPr>
          <w:color w:val="auto"/>
        </w:rPr>
        <w:t>, institute appropriate medical management, and reassess LVEF.</w:t>
      </w:r>
      <w:r w:rsidR="00C72038" w:rsidRPr="00E223AF" w:rsidDel="009150C5">
        <w:rPr>
          <w:color w:val="auto"/>
        </w:rPr>
        <w:t xml:space="preserve"> </w:t>
      </w:r>
      <w:r w:rsidRPr="00E223AF">
        <w:rPr>
          <w:color w:val="auto"/>
        </w:rPr>
        <w:t xml:space="preserve">Based on the severity of CHF, </w:t>
      </w:r>
      <w:r w:rsidR="00C72038" w:rsidRPr="00E223AF">
        <w:rPr>
          <w:color w:val="auto"/>
        </w:rPr>
        <w:t xml:space="preserve">modify </w:t>
      </w:r>
      <w:r w:rsidR="00AC22FD" w:rsidRPr="00E223AF">
        <w:rPr>
          <w:color w:val="auto"/>
        </w:rPr>
        <w:t>Rozlytrek</w:t>
      </w:r>
      <w:r w:rsidRPr="00E223AF">
        <w:rPr>
          <w:color w:val="auto"/>
        </w:rPr>
        <w:t xml:space="preserve"> treatment as described in Table</w:t>
      </w:r>
      <w:r w:rsidR="001B45FD" w:rsidRPr="00E223AF">
        <w:rPr>
          <w:color w:val="auto"/>
        </w:rPr>
        <w:t xml:space="preserve"> 3 </w:t>
      </w:r>
      <w:r w:rsidR="00C72038" w:rsidRPr="00E223AF">
        <w:rPr>
          <w:color w:val="auto"/>
        </w:rPr>
        <w:t xml:space="preserve">(see </w:t>
      </w:r>
      <w:r w:rsidRPr="00E223AF">
        <w:rPr>
          <w:color w:val="auto"/>
        </w:rPr>
        <w:t xml:space="preserve">section </w:t>
      </w:r>
      <w:r w:rsidR="0024295F" w:rsidRPr="00E223AF">
        <w:rPr>
          <w:color w:val="auto"/>
        </w:rPr>
        <w:t xml:space="preserve">4.2 </w:t>
      </w:r>
      <w:r w:rsidR="0024295F" w:rsidRPr="00E223AF">
        <w:rPr>
          <w:i/>
          <w:color w:val="auto"/>
        </w:rPr>
        <w:t xml:space="preserve">Dose </w:t>
      </w:r>
      <w:r w:rsidR="001B45FD" w:rsidRPr="00E223AF">
        <w:rPr>
          <w:i/>
          <w:color w:val="auto"/>
        </w:rPr>
        <w:t>a</w:t>
      </w:r>
      <w:r w:rsidR="0024295F" w:rsidRPr="00E223AF">
        <w:rPr>
          <w:i/>
          <w:color w:val="auto"/>
        </w:rPr>
        <w:t xml:space="preserve">nd </w:t>
      </w:r>
      <w:r w:rsidR="001B45FD" w:rsidRPr="00E223AF">
        <w:rPr>
          <w:i/>
          <w:color w:val="auto"/>
        </w:rPr>
        <w:t>m</w:t>
      </w:r>
      <w:r w:rsidR="0024295F" w:rsidRPr="00E223AF">
        <w:rPr>
          <w:i/>
          <w:color w:val="auto"/>
        </w:rPr>
        <w:t xml:space="preserve">ethod </w:t>
      </w:r>
      <w:r w:rsidR="001B45FD" w:rsidRPr="00E223AF">
        <w:rPr>
          <w:i/>
          <w:color w:val="auto"/>
        </w:rPr>
        <w:t>o</w:t>
      </w:r>
      <w:r w:rsidR="0024295F" w:rsidRPr="00E223AF">
        <w:rPr>
          <w:i/>
          <w:color w:val="auto"/>
        </w:rPr>
        <w:t xml:space="preserve">f </w:t>
      </w:r>
      <w:r w:rsidR="001B45FD" w:rsidRPr="00E223AF">
        <w:rPr>
          <w:i/>
          <w:color w:val="auto"/>
        </w:rPr>
        <w:t>a</w:t>
      </w:r>
      <w:r w:rsidR="0024295F" w:rsidRPr="00E223AF">
        <w:rPr>
          <w:i/>
          <w:color w:val="auto"/>
        </w:rPr>
        <w:t>dministration</w:t>
      </w:r>
      <w:r w:rsidR="00C72038" w:rsidRPr="00E223AF">
        <w:rPr>
          <w:color w:val="auto"/>
        </w:rPr>
        <w:t>)</w:t>
      </w:r>
      <w:r w:rsidRPr="00E223AF">
        <w:rPr>
          <w:color w:val="auto"/>
        </w:rPr>
        <w:t>.</w:t>
      </w:r>
    </w:p>
    <w:p w14:paraId="52E11AFD" w14:textId="1A773938" w:rsidR="001B45FD" w:rsidRPr="00E223AF" w:rsidRDefault="001B45FD" w:rsidP="001B45FD">
      <w:pPr>
        <w:pStyle w:val="Heading3"/>
        <w:rPr>
          <w:color w:val="auto"/>
        </w:rPr>
      </w:pPr>
      <w:r w:rsidRPr="00E223AF">
        <w:rPr>
          <w:color w:val="auto"/>
        </w:rPr>
        <w:t>C</w:t>
      </w:r>
      <w:r w:rsidR="009150C5" w:rsidRPr="00E223AF">
        <w:rPr>
          <w:color w:val="auto"/>
        </w:rPr>
        <w:t>entral nervous system</w:t>
      </w:r>
      <w:r w:rsidRPr="00E223AF">
        <w:rPr>
          <w:color w:val="auto"/>
        </w:rPr>
        <w:t xml:space="preserve"> effects</w:t>
      </w:r>
    </w:p>
    <w:p w14:paraId="1B6F7189" w14:textId="49A4C133" w:rsidR="001B45FD" w:rsidRPr="00E223AF" w:rsidRDefault="001B45FD" w:rsidP="002B63D2">
      <w:pPr>
        <w:rPr>
          <w:color w:val="auto"/>
        </w:rPr>
      </w:pPr>
      <w:r w:rsidRPr="00E223AF">
        <w:rPr>
          <w:color w:val="auto"/>
        </w:rPr>
        <w:t xml:space="preserve">A broad spectrum of central nervous system (CNS) adverse reactions were reported in clinical trials with Rozlytrek, </w:t>
      </w:r>
      <w:r w:rsidR="00136F9A" w:rsidRPr="00E223AF">
        <w:rPr>
          <w:color w:val="auto"/>
        </w:rPr>
        <w:t>including</w:t>
      </w:r>
      <w:r w:rsidRPr="00E223AF">
        <w:rPr>
          <w:color w:val="auto"/>
        </w:rPr>
        <w:t xml:space="preserve"> cognitive impairment</w:t>
      </w:r>
      <w:r w:rsidR="009150C5" w:rsidRPr="00E223AF">
        <w:rPr>
          <w:color w:val="auto"/>
        </w:rPr>
        <w:t>, mood disorders, dizziness and sleep disturbances</w:t>
      </w:r>
      <w:r w:rsidRPr="00E223AF">
        <w:rPr>
          <w:color w:val="auto"/>
        </w:rPr>
        <w:t xml:space="preserve"> </w:t>
      </w:r>
      <w:r w:rsidR="00F662C5" w:rsidRPr="00E223AF">
        <w:rPr>
          <w:color w:val="auto"/>
        </w:rPr>
        <w:t>(see section 4.8</w:t>
      </w:r>
      <w:r w:rsidR="00F662C5" w:rsidRPr="00E223AF">
        <w:rPr>
          <w:i/>
          <w:color w:val="auto"/>
        </w:rPr>
        <w:t xml:space="preserve"> Adverse effects (undesirable effects)</w:t>
      </w:r>
      <w:r w:rsidR="00F662C5" w:rsidRPr="00E223AF">
        <w:rPr>
          <w:color w:val="auto"/>
        </w:rPr>
        <w:t>)</w:t>
      </w:r>
      <w:r w:rsidRPr="00E223AF">
        <w:rPr>
          <w:color w:val="auto"/>
        </w:rPr>
        <w:t xml:space="preserve">. </w:t>
      </w:r>
      <w:r w:rsidR="00C72038" w:rsidRPr="00E223AF">
        <w:rPr>
          <w:color w:val="auto"/>
        </w:rPr>
        <w:t>Monitor for signs of CNS adverse reactions, and advise patients and caregivers of these risks with Rozlytrek. Advise patients</w:t>
      </w:r>
      <w:r w:rsidRPr="00E223AF">
        <w:rPr>
          <w:color w:val="auto"/>
        </w:rPr>
        <w:t xml:space="preserve"> not to drive or </w:t>
      </w:r>
      <w:r w:rsidR="00C72038" w:rsidRPr="00E223AF">
        <w:rPr>
          <w:color w:val="auto"/>
        </w:rPr>
        <w:t xml:space="preserve">operate hazardous machinery </w:t>
      </w:r>
      <w:r w:rsidRPr="00E223AF">
        <w:rPr>
          <w:color w:val="auto"/>
        </w:rPr>
        <w:t>if they</w:t>
      </w:r>
      <w:r w:rsidR="00C72038" w:rsidRPr="00E223AF">
        <w:rPr>
          <w:color w:val="auto"/>
        </w:rPr>
        <w:t xml:space="preserve"> are</w:t>
      </w:r>
      <w:r w:rsidRPr="00E223AF">
        <w:rPr>
          <w:color w:val="auto"/>
        </w:rPr>
        <w:t xml:space="preserve"> experienc</w:t>
      </w:r>
      <w:r w:rsidR="00C72038" w:rsidRPr="00E223AF">
        <w:rPr>
          <w:color w:val="auto"/>
        </w:rPr>
        <w:t>ing</w:t>
      </w:r>
      <w:r w:rsidRPr="00E223AF">
        <w:rPr>
          <w:color w:val="auto"/>
        </w:rPr>
        <w:t xml:space="preserve"> </w:t>
      </w:r>
      <w:r w:rsidR="00C72038" w:rsidRPr="00E223AF">
        <w:rPr>
          <w:color w:val="auto"/>
        </w:rPr>
        <w:t>CNS adverse reactions</w:t>
      </w:r>
      <w:r w:rsidR="00C72038" w:rsidRPr="00E223AF" w:rsidDel="00C72038">
        <w:rPr>
          <w:color w:val="auto"/>
        </w:rPr>
        <w:t xml:space="preserve"> </w:t>
      </w:r>
      <w:r w:rsidRPr="00E223AF">
        <w:rPr>
          <w:color w:val="auto"/>
        </w:rPr>
        <w:t xml:space="preserve">(see section 4.7 </w:t>
      </w:r>
      <w:r w:rsidR="009150C5" w:rsidRPr="00E223AF">
        <w:rPr>
          <w:i/>
          <w:color w:val="auto"/>
        </w:rPr>
        <w:t>Effects on ability to drive and use machines</w:t>
      </w:r>
      <w:r w:rsidRPr="00E223AF">
        <w:rPr>
          <w:color w:val="auto"/>
        </w:rPr>
        <w:t>).</w:t>
      </w:r>
      <w:r w:rsidR="00C72038" w:rsidRPr="00E223AF">
        <w:rPr>
          <w:color w:val="auto"/>
        </w:rPr>
        <w:t xml:space="preserve"> Based on the severity </w:t>
      </w:r>
      <w:r w:rsidR="00C72038" w:rsidRPr="00E223AF">
        <w:rPr>
          <w:color w:val="auto"/>
        </w:rPr>
        <w:lastRenderedPageBreak/>
        <w:t xml:space="preserve">of the CNS effects, modify Rozlytrek treatment as described in Table 3 (see section 4.2 </w:t>
      </w:r>
      <w:r w:rsidR="00C72038" w:rsidRPr="00E223AF">
        <w:rPr>
          <w:i/>
          <w:color w:val="auto"/>
        </w:rPr>
        <w:t>Dose and method of administration</w:t>
      </w:r>
      <w:r w:rsidR="00C72038" w:rsidRPr="00E223AF">
        <w:rPr>
          <w:color w:val="auto"/>
        </w:rPr>
        <w:t>).</w:t>
      </w:r>
    </w:p>
    <w:p w14:paraId="2335A990" w14:textId="2C4458FB" w:rsidR="00EC758D" w:rsidRPr="00E223AF" w:rsidRDefault="00EC758D" w:rsidP="0052071F">
      <w:pPr>
        <w:pStyle w:val="Heading3"/>
        <w:rPr>
          <w:color w:val="auto"/>
        </w:rPr>
      </w:pPr>
      <w:r w:rsidRPr="00E223AF">
        <w:rPr>
          <w:color w:val="auto"/>
        </w:rPr>
        <w:t>Skeletal fractures</w:t>
      </w:r>
    </w:p>
    <w:p w14:paraId="55166C79" w14:textId="377C6994" w:rsidR="007A2A31" w:rsidRPr="00E223AF" w:rsidRDefault="00E611DE" w:rsidP="00BD3575">
      <w:r w:rsidRPr="00E223AF">
        <w:t>Rozlytrek</w:t>
      </w:r>
      <w:r w:rsidR="007A2A31" w:rsidRPr="00E223AF">
        <w:t xml:space="preserve"> increases the risk of fractures </w:t>
      </w:r>
      <w:r w:rsidR="007A2A31" w:rsidRPr="00E223AF">
        <w:rPr>
          <w:color w:val="auto"/>
        </w:rPr>
        <w:t>(see section 4.8</w:t>
      </w:r>
      <w:r w:rsidR="007A2A31" w:rsidRPr="00E223AF">
        <w:rPr>
          <w:i/>
          <w:color w:val="auto"/>
        </w:rPr>
        <w:t xml:space="preserve"> Adverse effects (undesirable effects) – Description of selected adverse events</w:t>
      </w:r>
      <w:r w:rsidR="007A2A31" w:rsidRPr="00E223AF">
        <w:rPr>
          <w:color w:val="auto"/>
        </w:rPr>
        <w:t>)</w:t>
      </w:r>
      <w:r w:rsidR="007A2A31" w:rsidRPr="00E223AF">
        <w:t xml:space="preserve">. Promptly evaluate patients with signs or symptoms (e.g., pain, changes in mobility, deformity) of fractures. There are no data on the effects of </w:t>
      </w:r>
      <w:r w:rsidRPr="00E223AF">
        <w:t>Rozlytrek</w:t>
      </w:r>
      <w:r w:rsidR="007A2A31" w:rsidRPr="00E223AF">
        <w:t xml:space="preserve"> on healing of known fractures and risk of future fractures.</w:t>
      </w:r>
    </w:p>
    <w:p w14:paraId="5D9DC23D" w14:textId="14AB418B" w:rsidR="00EC758D" w:rsidRPr="00E223AF" w:rsidRDefault="00EC758D" w:rsidP="0052071F">
      <w:pPr>
        <w:pStyle w:val="Heading3"/>
        <w:rPr>
          <w:color w:val="auto"/>
        </w:rPr>
      </w:pPr>
      <w:r w:rsidRPr="00E223AF">
        <w:rPr>
          <w:color w:val="auto"/>
        </w:rPr>
        <w:t>Hepatotoxicity</w:t>
      </w:r>
    </w:p>
    <w:p w14:paraId="08FE24FA" w14:textId="1F1DDD0E" w:rsidR="007A2A31" w:rsidRPr="00E223AF" w:rsidRDefault="00E76905" w:rsidP="00BD3575">
      <w:r w:rsidRPr="00E223AF">
        <w:t>H</w:t>
      </w:r>
      <w:r w:rsidR="007A2A31" w:rsidRPr="00E223AF">
        <w:t xml:space="preserve">epatic transaminase elevation </w:t>
      </w:r>
      <w:r w:rsidRPr="00E223AF">
        <w:t>was frequently</w:t>
      </w:r>
      <w:r w:rsidR="007A2A31" w:rsidRPr="00E223AF">
        <w:t xml:space="preserve"> reported in entrectinib clinical trials</w:t>
      </w:r>
      <w:r w:rsidRPr="00E223AF">
        <w:t xml:space="preserve"> </w:t>
      </w:r>
      <w:r w:rsidR="00F662C5" w:rsidRPr="00E223AF">
        <w:rPr>
          <w:color w:val="auto"/>
        </w:rPr>
        <w:t>(see section 4.8</w:t>
      </w:r>
      <w:r w:rsidR="00F662C5" w:rsidRPr="00E223AF">
        <w:rPr>
          <w:i/>
          <w:color w:val="auto"/>
        </w:rPr>
        <w:t xml:space="preserve"> Adverse effects (undesirable effects)</w:t>
      </w:r>
      <w:r w:rsidR="00F662C5" w:rsidRPr="00E223AF">
        <w:rPr>
          <w:color w:val="auto"/>
        </w:rPr>
        <w:t>)</w:t>
      </w:r>
      <w:r w:rsidR="007A2A31" w:rsidRPr="00E223AF">
        <w:t xml:space="preserve">, and hepatotoxicity is a known effect of other ROS1 inhibitors. Monitor liver function tests, including ALT and AST, every 2 weeks during the first month of treatment, then monthly thereafter, and as clinically indicated. Based on the severity of hepatic enzyme elevation, </w:t>
      </w:r>
      <w:r w:rsidR="007A2A31" w:rsidRPr="00E223AF">
        <w:rPr>
          <w:color w:val="auto"/>
        </w:rPr>
        <w:t xml:space="preserve">modify Rozlytrek treatment as described in Table 3 (see section 4.2 </w:t>
      </w:r>
      <w:r w:rsidR="007A2A31" w:rsidRPr="00E223AF">
        <w:rPr>
          <w:i/>
          <w:color w:val="auto"/>
        </w:rPr>
        <w:t>Dose and method of administration</w:t>
      </w:r>
      <w:r w:rsidR="007A2A31" w:rsidRPr="00E223AF">
        <w:rPr>
          <w:color w:val="auto"/>
        </w:rPr>
        <w:t>).</w:t>
      </w:r>
    </w:p>
    <w:p w14:paraId="3601F4D7" w14:textId="0B814940" w:rsidR="00EC758D" w:rsidRPr="00E223AF" w:rsidRDefault="00EC758D" w:rsidP="0052071F">
      <w:pPr>
        <w:pStyle w:val="Heading3"/>
        <w:rPr>
          <w:color w:val="auto"/>
        </w:rPr>
      </w:pPr>
      <w:proofErr w:type="spellStart"/>
      <w:r w:rsidRPr="00E223AF">
        <w:rPr>
          <w:color w:val="auto"/>
        </w:rPr>
        <w:t>Hyperuricaemia</w:t>
      </w:r>
      <w:proofErr w:type="spellEnd"/>
    </w:p>
    <w:p w14:paraId="79E3D7F7" w14:textId="58518A61" w:rsidR="007A2A31" w:rsidRPr="00E223AF" w:rsidRDefault="00E76905" w:rsidP="00BD3575">
      <w:proofErr w:type="spellStart"/>
      <w:r w:rsidRPr="00E223AF">
        <w:t>Hyperuricaemia</w:t>
      </w:r>
      <w:proofErr w:type="spellEnd"/>
      <w:r w:rsidRPr="00E223AF">
        <w:t xml:space="preserve"> was frequently reported in entrectinib clinical trials</w:t>
      </w:r>
      <w:r w:rsidR="00F662C5" w:rsidRPr="00E223AF">
        <w:t xml:space="preserve"> </w:t>
      </w:r>
      <w:r w:rsidR="00F662C5" w:rsidRPr="00E223AF">
        <w:rPr>
          <w:color w:val="auto"/>
        </w:rPr>
        <w:t>(see section 4.8</w:t>
      </w:r>
      <w:r w:rsidR="00F662C5" w:rsidRPr="00E223AF">
        <w:rPr>
          <w:i/>
          <w:color w:val="auto"/>
        </w:rPr>
        <w:t xml:space="preserve"> Adverse effects (undesirable effects)</w:t>
      </w:r>
      <w:r w:rsidR="00F662C5" w:rsidRPr="00E223AF">
        <w:rPr>
          <w:color w:val="auto"/>
        </w:rPr>
        <w:t>)</w:t>
      </w:r>
      <w:r w:rsidRPr="00E223AF">
        <w:t xml:space="preserve">, and </w:t>
      </w:r>
      <w:r w:rsidR="005C095B" w:rsidRPr="00E223AF">
        <w:t xml:space="preserve">34% of </w:t>
      </w:r>
      <w:r w:rsidR="00BE222C">
        <w:t>cases</w:t>
      </w:r>
      <w:r w:rsidRPr="00E223AF">
        <w:t xml:space="preserve"> required medical intervention to reduce serum urate. </w:t>
      </w:r>
      <w:r w:rsidR="007A2A31" w:rsidRPr="00E223AF">
        <w:t xml:space="preserve">Assess serum </w:t>
      </w:r>
      <w:r w:rsidRPr="00E223AF">
        <w:t>urate</w:t>
      </w:r>
      <w:r w:rsidR="007A2A31" w:rsidRPr="00E223AF">
        <w:t xml:space="preserve"> prior to initiating </w:t>
      </w:r>
      <w:r w:rsidR="00E611DE" w:rsidRPr="00E223AF">
        <w:t>Rozlytrek</w:t>
      </w:r>
      <w:r w:rsidR="007A2A31" w:rsidRPr="00E223AF">
        <w:t xml:space="preserve"> and periodically during treatment. Monitor patients for signs and symptoms of </w:t>
      </w:r>
      <w:proofErr w:type="spellStart"/>
      <w:r w:rsidR="007A2A31" w:rsidRPr="00E223AF">
        <w:t>hyperuric</w:t>
      </w:r>
      <w:r w:rsidR="00AD7CB2" w:rsidRPr="00E223AF">
        <w:t>a</w:t>
      </w:r>
      <w:r w:rsidR="007A2A31" w:rsidRPr="00E223AF">
        <w:t>emia</w:t>
      </w:r>
      <w:proofErr w:type="spellEnd"/>
      <w:r w:rsidR="007A2A31" w:rsidRPr="00E223AF">
        <w:t xml:space="preserve">. Initiate treatment with urate-lowering medications as clinically indicated and withhold </w:t>
      </w:r>
      <w:r w:rsidR="00E611DE" w:rsidRPr="00E223AF">
        <w:t>Rozlytrek</w:t>
      </w:r>
      <w:r w:rsidR="007A2A31" w:rsidRPr="00E223AF">
        <w:t xml:space="preserve"> for signs and symptoms of </w:t>
      </w:r>
      <w:proofErr w:type="spellStart"/>
      <w:r w:rsidR="007A2A31" w:rsidRPr="00E223AF">
        <w:t>hyperuric</w:t>
      </w:r>
      <w:r w:rsidR="00AD7CB2" w:rsidRPr="00E223AF">
        <w:t>a</w:t>
      </w:r>
      <w:r w:rsidR="007A2A31" w:rsidRPr="00E223AF">
        <w:t>emia</w:t>
      </w:r>
      <w:proofErr w:type="spellEnd"/>
      <w:r w:rsidR="00AD7CB2" w:rsidRPr="00E223AF">
        <w:t xml:space="preserve">, as described in </w:t>
      </w:r>
      <w:r w:rsidR="00AD7CB2" w:rsidRPr="00E223AF">
        <w:rPr>
          <w:color w:val="auto"/>
        </w:rPr>
        <w:t xml:space="preserve">Table 3 (see section 4.2 </w:t>
      </w:r>
      <w:r w:rsidR="00AD7CB2" w:rsidRPr="00E223AF">
        <w:rPr>
          <w:i/>
          <w:color w:val="auto"/>
        </w:rPr>
        <w:t>Dose and method of administration</w:t>
      </w:r>
      <w:r w:rsidR="00AD7CB2" w:rsidRPr="00E223AF">
        <w:rPr>
          <w:color w:val="auto"/>
        </w:rPr>
        <w:t>).</w:t>
      </w:r>
    </w:p>
    <w:p w14:paraId="6FE39C2E" w14:textId="1CFD21AF" w:rsidR="00EE6FA5" w:rsidRPr="00E223AF" w:rsidRDefault="00EE6FA5" w:rsidP="0052071F">
      <w:pPr>
        <w:pStyle w:val="Heading3"/>
        <w:rPr>
          <w:color w:val="auto"/>
        </w:rPr>
      </w:pPr>
      <w:proofErr w:type="spellStart"/>
      <w:r w:rsidRPr="00E223AF">
        <w:rPr>
          <w:color w:val="auto"/>
        </w:rPr>
        <w:t>QTc</w:t>
      </w:r>
      <w:proofErr w:type="spellEnd"/>
      <w:r w:rsidRPr="00E223AF">
        <w:rPr>
          <w:color w:val="auto"/>
        </w:rPr>
        <w:t xml:space="preserve"> </w:t>
      </w:r>
      <w:r w:rsidR="00602F20" w:rsidRPr="00E223AF">
        <w:rPr>
          <w:color w:val="auto"/>
        </w:rPr>
        <w:t>i</w:t>
      </w:r>
      <w:r w:rsidRPr="00E223AF">
        <w:rPr>
          <w:color w:val="auto"/>
        </w:rPr>
        <w:t xml:space="preserve">nterval </w:t>
      </w:r>
      <w:r w:rsidR="00602F20" w:rsidRPr="00E223AF">
        <w:rPr>
          <w:color w:val="auto"/>
        </w:rPr>
        <w:t>p</w:t>
      </w:r>
      <w:r w:rsidRPr="00E223AF">
        <w:rPr>
          <w:color w:val="auto"/>
        </w:rPr>
        <w:t>rolongation</w:t>
      </w:r>
    </w:p>
    <w:p w14:paraId="55F85838" w14:textId="773DDB48" w:rsidR="00EE6FA5" w:rsidRPr="00E223AF" w:rsidRDefault="00EE6FA5" w:rsidP="00EE6FA5">
      <w:pPr>
        <w:rPr>
          <w:color w:val="auto"/>
        </w:rPr>
      </w:pPr>
      <w:r w:rsidRPr="00E223AF">
        <w:rPr>
          <w:color w:val="auto"/>
        </w:rPr>
        <w:t xml:space="preserve">QT interval prolongation </w:t>
      </w:r>
      <w:r w:rsidR="00F662C5" w:rsidRPr="00E223AF">
        <w:rPr>
          <w:color w:val="auto"/>
        </w:rPr>
        <w:t>was</w:t>
      </w:r>
      <w:r w:rsidRPr="00E223AF">
        <w:rPr>
          <w:color w:val="auto"/>
        </w:rPr>
        <w:t xml:space="preserve"> observed in patients treated with </w:t>
      </w:r>
      <w:r w:rsidR="00AC22FD" w:rsidRPr="00E223AF">
        <w:rPr>
          <w:color w:val="auto"/>
        </w:rPr>
        <w:t>Rozlytrek</w:t>
      </w:r>
      <w:r w:rsidRPr="00E223AF">
        <w:rPr>
          <w:color w:val="auto"/>
        </w:rPr>
        <w:t xml:space="preserve"> in clinical trials (see section </w:t>
      </w:r>
      <w:r w:rsidR="0024295F" w:rsidRPr="00E223AF">
        <w:rPr>
          <w:i/>
          <w:color w:val="auto"/>
        </w:rPr>
        <w:t xml:space="preserve">4.8 </w:t>
      </w:r>
      <w:r w:rsidR="009150C5" w:rsidRPr="00E223AF">
        <w:rPr>
          <w:i/>
          <w:color w:val="auto"/>
        </w:rPr>
        <w:t>Adverse effects (undesirable effects)</w:t>
      </w:r>
      <w:r w:rsidRPr="00E223AF">
        <w:rPr>
          <w:color w:val="auto"/>
        </w:rPr>
        <w:t xml:space="preserve">). </w:t>
      </w:r>
      <w:r w:rsidR="003E2DE2" w:rsidRPr="00E223AF">
        <w:rPr>
          <w:color w:val="auto"/>
        </w:rPr>
        <w:t xml:space="preserve">Monitor patients who have </w:t>
      </w:r>
      <w:proofErr w:type="spellStart"/>
      <w:r w:rsidR="00400FDA" w:rsidRPr="00E223AF">
        <w:rPr>
          <w:color w:val="auto"/>
        </w:rPr>
        <w:t>QTc</w:t>
      </w:r>
      <w:proofErr w:type="spellEnd"/>
      <w:r w:rsidR="00400FDA" w:rsidRPr="00E223AF">
        <w:rPr>
          <w:color w:val="auto"/>
        </w:rPr>
        <w:t xml:space="preserve"> interval prolongation </w:t>
      </w:r>
      <w:r w:rsidR="003E2DE2" w:rsidRPr="00E223AF">
        <w:rPr>
          <w:color w:val="auto"/>
        </w:rPr>
        <w:t>or are at significant risk of developing</w:t>
      </w:r>
      <w:r w:rsidR="00400FDA" w:rsidRPr="00E223AF">
        <w:rPr>
          <w:color w:val="auto"/>
        </w:rPr>
        <w:t xml:space="preserve"> it,</w:t>
      </w:r>
      <w:r w:rsidR="003E2DE2" w:rsidRPr="00E223AF">
        <w:rPr>
          <w:color w:val="auto"/>
        </w:rPr>
        <w:t xml:space="preserve"> including patients with </w:t>
      </w:r>
      <w:r w:rsidRPr="00E223AF">
        <w:rPr>
          <w:color w:val="auto"/>
        </w:rPr>
        <w:t>congenital long QT syndrome</w:t>
      </w:r>
      <w:r w:rsidR="0033272F" w:rsidRPr="00E223AF">
        <w:rPr>
          <w:color w:val="auto"/>
        </w:rPr>
        <w:t xml:space="preserve">, </w:t>
      </w:r>
      <w:r w:rsidR="0033272F" w:rsidRPr="00E223AF">
        <w:rPr>
          <w:color w:val="auto"/>
          <w:lang w:val="en-US"/>
        </w:rPr>
        <w:t xml:space="preserve">clinically significant </w:t>
      </w:r>
      <w:proofErr w:type="spellStart"/>
      <w:r w:rsidR="0033272F" w:rsidRPr="00E223AF">
        <w:rPr>
          <w:color w:val="auto"/>
          <w:lang w:val="en-US"/>
        </w:rPr>
        <w:t>bradyarrhythmias</w:t>
      </w:r>
      <w:proofErr w:type="spellEnd"/>
      <w:r w:rsidR="0033272F" w:rsidRPr="00E223AF">
        <w:rPr>
          <w:color w:val="auto"/>
          <w:lang w:val="en-US"/>
        </w:rPr>
        <w:t xml:space="preserve">, severe or </w:t>
      </w:r>
      <w:r w:rsidR="00353410" w:rsidRPr="00E223AF">
        <w:rPr>
          <w:color w:val="auto"/>
          <w:lang w:val="en-US"/>
        </w:rPr>
        <w:t xml:space="preserve">poorly </w:t>
      </w:r>
      <w:r w:rsidR="0033272F" w:rsidRPr="00E223AF">
        <w:rPr>
          <w:color w:val="auto"/>
          <w:lang w:val="en-US"/>
        </w:rPr>
        <w:t>controlled heart failure</w:t>
      </w:r>
      <w:r w:rsidR="00F662C5" w:rsidRPr="00E223AF">
        <w:rPr>
          <w:color w:val="auto"/>
          <w:lang w:val="en-US"/>
        </w:rPr>
        <w:t xml:space="preserve"> </w:t>
      </w:r>
      <w:r w:rsidRPr="00E223AF">
        <w:rPr>
          <w:color w:val="auto"/>
        </w:rPr>
        <w:t xml:space="preserve">and patients taking medications that are </w:t>
      </w:r>
      <w:r w:rsidR="00400FDA" w:rsidRPr="00E223AF">
        <w:rPr>
          <w:color w:val="auto"/>
        </w:rPr>
        <w:t>associated with</w:t>
      </w:r>
      <w:r w:rsidR="003E2DE2" w:rsidRPr="00E223AF">
        <w:rPr>
          <w:color w:val="auto"/>
        </w:rPr>
        <w:t xml:space="preserve"> </w:t>
      </w:r>
      <w:r w:rsidRPr="00E223AF">
        <w:rPr>
          <w:color w:val="auto"/>
        </w:rPr>
        <w:t>QT interval</w:t>
      </w:r>
      <w:r w:rsidR="00400FDA" w:rsidRPr="00E223AF">
        <w:rPr>
          <w:color w:val="auto"/>
        </w:rPr>
        <w:t xml:space="preserve"> prolongation</w:t>
      </w:r>
      <w:r w:rsidRPr="00E223AF">
        <w:rPr>
          <w:color w:val="auto"/>
        </w:rPr>
        <w:t xml:space="preserve">. </w:t>
      </w:r>
      <w:r w:rsidR="003E2DE2" w:rsidRPr="00E223AF">
        <w:rPr>
          <w:color w:val="auto"/>
        </w:rPr>
        <w:t>Assess QT interval and electrolytes at baseline and periodically during treatment, adjusting frequency based upon risk</w:t>
      </w:r>
      <w:r w:rsidR="003E2DE2" w:rsidRPr="00E223AF">
        <w:t xml:space="preserve"> </w:t>
      </w:r>
      <w:r w:rsidR="003E2DE2" w:rsidRPr="00E223AF">
        <w:rPr>
          <w:color w:val="auto"/>
        </w:rPr>
        <w:t>factors such as congestive heart failure, electrolyte abnormalities, or concomitant medications.</w:t>
      </w:r>
      <w:r w:rsidR="00AD7CB2" w:rsidRPr="00E223AF">
        <w:rPr>
          <w:color w:val="auto"/>
        </w:rPr>
        <w:t xml:space="preserve"> </w:t>
      </w:r>
      <w:r w:rsidRPr="00E223AF">
        <w:rPr>
          <w:color w:val="auto"/>
        </w:rPr>
        <w:t xml:space="preserve">Based on the severity of </w:t>
      </w:r>
      <w:r w:rsidR="00400FDA" w:rsidRPr="00E223AF">
        <w:rPr>
          <w:color w:val="auto"/>
        </w:rPr>
        <w:t xml:space="preserve">any </w:t>
      </w:r>
      <w:r w:rsidRPr="00E223AF">
        <w:rPr>
          <w:color w:val="auto"/>
        </w:rPr>
        <w:t>QT</w:t>
      </w:r>
      <w:r w:rsidR="00400FDA" w:rsidRPr="00E223AF">
        <w:rPr>
          <w:color w:val="auto"/>
        </w:rPr>
        <w:t xml:space="preserve"> interval</w:t>
      </w:r>
      <w:r w:rsidRPr="00E223AF">
        <w:rPr>
          <w:color w:val="auto"/>
        </w:rPr>
        <w:t xml:space="preserve"> prolongation</w:t>
      </w:r>
      <w:r w:rsidR="00400FDA" w:rsidRPr="00E223AF">
        <w:rPr>
          <w:color w:val="auto"/>
        </w:rPr>
        <w:t xml:space="preserve"> observed</w:t>
      </w:r>
      <w:r w:rsidRPr="00E223AF">
        <w:rPr>
          <w:color w:val="auto"/>
        </w:rPr>
        <w:t xml:space="preserve">, </w:t>
      </w:r>
      <w:r w:rsidR="00AD7CB2" w:rsidRPr="00E223AF">
        <w:rPr>
          <w:color w:val="auto"/>
        </w:rPr>
        <w:t xml:space="preserve">modify </w:t>
      </w:r>
      <w:r w:rsidR="00AC22FD" w:rsidRPr="00E223AF">
        <w:rPr>
          <w:color w:val="auto"/>
        </w:rPr>
        <w:t>Rozlytrek</w:t>
      </w:r>
      <w:r w:rsidR="0052071F" w:rsidRPr="00E223AF">
        <w:rPr>
          <w:color w:val="auto"/>
        </w:rPr>
        <w:t xml:space="preserve"> </w:t>
      </w:r>
      <w:r w:rsidRPr="00E223AF">
        <w:rPr>
          <w:color w:val="auto"/>
        </w:rPr>
        <w:t xml:space="preserve">treatment as described in Table </w:t>
      </w:r>
      <w:r w:rsidR="00AD7CB2" w:rsidRPr="00E223AF">
        <w:rPr>
          <w:color w:val="auto"/>
        </w:rPr>
        <w:t>3</w:t>
      </w:r>
      <w:r w:rsidRPr="00E223AF">
        <w:rPr>
          <w:color w:val="auto"/>
        </w:rPr>
        <w:t xml:space="preserve"> </w:t>
      </w:r>
      <w:r w:rsidR="00AD7CB2" w:rsidRPr="00E223AF">
        <w:rPr>
          <w:color w:val="auto"/>
        </w:rPr>
        <w:t xml:space="preserve">(see </w:t>
      </w:r>
      <w:r w:rsidRPr="00E223AF">
        <w:rPr>
          <w:color w:val="auto"/>
        </w:rPr>
        <w:t xml:space="preserve">section </w:t>
      </w:r>
      <w:r w:rsidR="0024295F" w:rsidRPr="00E223AF">
        <w:rPr>
          <w:color w:val="auto"/>
        </w:rPr>
        <w:t xml:space="preserve">4.2 </w:t>
      </w:r>
      <w:r w:rsidR="009150C5" w:rsidRPr="00E223AF">
        <w:rPr>
          <w:i/>
          <w:color w:val="auto"/>
        </w:rPr>
        <w:t>Dose and method of administration</w:t>
      </w:r>
      <w:r w:rsidR="00AD7CB2" w:rsidRPr="00E223AF">
        <w:rPr>
          <w:color w:val="auto"/>
        </w:rPr>
        <w:t>)</w:t>
      </w:r>
      <w:r w:rsidRPr="00E223AF">
        <w:rPr>
          <w:color w:val="auto"/>
        </w:rPr>
        <w:t xml:space="preserve">. </w:t>
      </w:r>
    </w:p>
    <w:p w14:paraId="2008DE1C" w14:textId="423FED90" w:rsidR="00EC758D" w:rsidRPr="00E223AF" w:rsidRDefault="00EC758D" w:rsidP="00B1134D">
      <w:pPr>
        <w:pStyle w:val="Heading3"/>
        <w:rPr>
          <w:color w:val="auto"/>
        </w:rPr>
      </w:pPr>
      <w:r w:rsidRPr="00E223AF">
        <w:rPr>
          <w:color w:val="auto"/>
        </w:rPr>
        <w:t xml:space="preserve">Vision disorders </w:t>
      </w:r>
    </w:p>
    <w:p w14:paraId="29898ECC" w14:textId="49EA498B" w:rsidR="00400FDA" w:rsidRPr="00E223AF" w:rsidRDefault="00400FDA" w:rsidP="00F10B76">
      <w:r w:rsidRPr="00E223AF">
        <w:t xml:space="preserve">Vision changes were reported in 21% of patients treated with Rozlytrek in clinical trials </w:t>
      </w:r>
      <w:r w:rsidRPr="00E223AF">
        <w:rPr>
          <w:color w:val="auto"/>
        </w:rPr>
        <w:t xml:space="preserve">(see section </w:t>
      </w:r>
      <w:r w:rsidRPr="00E223AF">
        <w:rPr>
          <w:i/>
          <w:color w:val="auto"/>
        </w:rPr>
        <w:t>4.8 Adverse effects (undesirable effects)</w:t>
      </w:r>
      <w:r w:rsidRPr="00E223AF">
        <w:rPr>
          <w:color w:val="auto"/>
        </w:rPr>
        <w:t>)</w:t>
      </w:r>
      <w:r w:rsidRPr="00E223AF">
        <w:t xml:space="preserve">. For patients with new visual changes or changes that interfere with activities of daily living, modify Rozlytrek treatment as described in Table 3 </w:t>
      </w:r>
      <w:r w:rsidRPr="00E223AF">
        <w:rPr>
          <w:color w:val="auto"/>
        </w:rPr>
        <w:t xml:space="preserve">(see section 4.2 </w:t>
      </w:r>
      <w:r w:rsidRPr="00E223AF">
        <w:rPr>
          <w:i/>
          <w:color w:val="auto"/>
        </w:rPr>
        <w:t>Dose and method of administration</w:t>
      </w:r>
      <w:r w:rsidRPr="00E223AF">
        <w:rPr>
          <w:color w:val="auto"/>
        </w:rPr>
        <w:t>).</w:t>
      </w:r>
    </w:p>
    <w:p w14:paraId="086CFB01" w14:textId="77777777" w:rsidR="00051D67" w:rsidRPr="00E223AF" w:rsidRDefault="00051D67" w:rsidP="00051D67">
      <w:pPr>
        <w:pStyle w:val="Heading3"/>
        <w:rPr>
          <w:color w:val="auto"/>
        </w:rPr>
      </w:pPr>
      <w:r w:rsidRPr="00E223AF">
        <w:rPr>
          <w:color w:val="auto"/>
        </w:rPr>
        <w:t>Paediatric use</w:t>
      </w:r>
    </w:p>
    <w:p w14:paraId="57E61D71" w14:textId="4B3682E7" w:rsidR="00051D67" w:rsidRPr="00E223AF" w:rsidRDefault="00051D67" w:rsidP="00051D67">
      <w:pPr>
        <w:rPr>
          <w:color w:val="auto"/>
        </w:rPr>
      </w:pPr>
      <w:r w:rsidRPr="00E223AF">
        <w:rPr>
          <w:color w:val="auto"/>
        </w:rPr>
        <w:t xml:space="preserve">There is limited clinical experience with </w:t>
      </w:r>
      <w:r w:rsidR="00E611DE" w:rsidRPr="00E223AF">
        <w:rPr>
          <w:color w:val="auto"/>
        </w:rPr>
        <w:t>Rozlytrek</w:t>
      </w:r>
      <w:r w:rsidRPr="00E223AF">
        <w:rPr>
          <w:color w:val="auto"/>
        </w:rPr>
        <w:t xml:space="preserve"> in </w:t>
      </w:r>
      <w:r w:rsidR="00E611DE" w:rsidRPr="00E223AF">
        <w:rPr>
          <w:color w:val="auto"/>
        </w:rPr>
        <w:t>paediatric</w:t>
      </w:r>
      <w:r w:rsidRPr="00E223AF">
        <w:rPr>
          <w:color w:val="auto"/>
        </w:rPr>
        <w:t xml:space="preserve"> patients. </w:t>
      </w:r>
      <w:r w:rsidR="00283E6A">
        <w:rPr>
          <w:color w:val="auto"/>
        </w:rPr>
        <w:t xml:space="preserve">Rozlytrek had effects on growth and development in juvenile </w:t>
      </w:r>
      <w:r w:rsidR="00140EA2">
        <w:rPr>
          <w:color w:val="auto"/>
        </w:rPr>
        <w:t>rats</w:t>
      </w:r>
      <w:r w:rsidR="00283E6A" w:rsidRPr="00283E6A">
        <w:rPr>
          <w:color w:val="auto"/>
        </w:rPr>
        <w:t xml:space="preserve"> </w:t>
      </w:r>
      <w:r w:rsidR="00283E6A" w:rsidRPr="00E223AF">
        <w:rPr>
          <w:color w:val="auto"/>
        </w:rPr>
        <w:t xml:space="preserve">(see section 5.3 </w:t>
      </w:r>
      <w:r w:rsidR="00283E6A" w:rsidRPr="00E223AF">
        <w:rPr>
          <w:i/>
          <w:color w:val="auto"/>
        </w:rPr>
        <w:t>Preclinical safety data</w:t>
      </w:r>
      <w:r w:rsidR="00283E6A" w:rsidRPr="00E223AF">
        <w:rPr>
          <w:color w:val="auto"/>
        </w:rPr>
        <w:t>).</w:t>
      </w:r>
    </w:p>
    <w:p w14:paraId="32046E37" w14:textId="77777777" w:rsidR="00051D67" w:rsidRPr="00E223AF" w:rsidRDefault="00051D67" w:rsidP="00051D67">
      <w:pPr>
        <w:rPr>
          <w:color w:val="auto"/>
        </w:rPr>
      </w:pPr>
    </w:p>
    <w:p w14:paraId="6F04F89D" w14:textId="53D4CEBF" w:rsidR="00051D67" w:rsidRPr="00E223AF" w:rsidRDefault="00051D67" w:rsidP="00051D67">
      <w:pPr>
        <w:rPr>
          <w:color w:val="auto"/>
        </w:rPr>
      </w:pPr>
      <w:r w:rsidRPr="00E223AF">
        <w:rPr>
          <w:color w:val="auto"/>
        </w:rPr>
        <w:t xml:space="preserve">The effectiveness of </w:t>
      </w:r>
      <w:r w:rsidR="00E611DE" w:rsidRPr="00E223AF">
        <w:rPr>
          <w:color w:val="auto"/>
        </w:rPr>
        <w:t>Rozlytrek</w:t>
      </w:r>
      <w:r w:rsidRPr="00E223AF">
        <w:rPr>
          <w:color w:val="auto"/>
        </w:rPr>
        <w:t xml:space="preserve"> in </w:t>
      </w:r>
      <w:r w:rsidR="000B10A6" w:rsidRPr="00E223AF">
        <w:rPr>
          <w:color w:val="auto"/>
        </w:rPr>
        <w:t xml:space="preserve">paediatric </w:t>
      </w:r>
      <w:r w:rsidRPr="00E223AF">
        <w:rPr>
          <w:color w:val="auto"/>
        </w:rPr>
        <w:t xml:space="preserve">patients </w:t>
      </w:r>
      <w:r w:rsidR="00BD3575" w:rsidRPr="00E223AF">
        <w:rPr>
          <w:color w:val="auto"/>
        </w:rPr>
        <w:t xml:space="preserve">(12 years of age and older) </w:t>
      </w:r>
      <w:r w:rsidRPr="00E223AF">
        <w:rPr>
          <w:color w:val="auto"/>
        </w:rPr>
        <w:t xml:space="preserve">was established based on extrapolation of data from three open-label, single-arm clinical trials in adult patients with solid </w:t>
      </w:r>
      <w:r w:rsidR="00E611DE" w:rsidRPr="00E223AF">
        <w:rPr>
          <w:color w:val="auto"/>
        </w:rPr>
        <w:t>tumour</w:t>
      </w:r>
      <w:r w:rsidRPr="00E223AF">
        <w:rPr>
          <w:color w:val="auto"/>
        </w:rPr>
        <w:t xml:space="preserve">s </w:t>
      </w:r>
      <w:proofErr w:type="spellStart"/>
      <w:r w:rsidRPr="00E223AF">
        <w:rPr>
          <w:color w:val="auto"/>
        </w:rPr>
        <w:t>harboring</w:t>
      </w:r>
      <w:proofErr w:type="spellEnd"/>
      <w:r w:rsidRPr="00E223AF">
        <w:rPr>
          <w:color w:val="auto"/>
        </w:rPr>
        <w:t xml:space="preserve"> an NTRK gene fusion (ALKA, STARTRK-1, and STARTRK-2) and pharmacokinetic data in </w:t>
      </w:r>
      <w:r w:rsidR="000B10A6" w:rsidRPr="00E223AF">
        <w:rPr>
          <w:color w:val="auto"/>
        </w:rPr>
        <w:t xml:space="preserve"> paediatric patients </w:t>
      </w:r>
      <w:r w:rsidRPr="00E223AF">
        <w:rPr>
          <w:color w:val="auto"/>
        </w:rPr>
        <w:t xml:space="preserve">enrolled in STARTRK-NG. </w:t>
      </w:r>
      <w:r w:rsidR="00E611DE" w:rsidRPr="00E223AF">
        <w:rPr>
          <w:color w:val="auto"/>
        </w:rPr>
        <w:t>Rozlytrek</w:t>
      </w:r>
      <w:r w:rsidRPr="00E223AF">
        <w:rPr>
          <w:color w:val="auto"/>
        </w:rPr>
        <w:t xml:space="preserve"> doses </w:t>
      </w:r>
      <w:r w:rsidRPr="00E223AF">
        <w:rPr>
          <w:color w:val="auto"/>
        </w:rPr>
        <w:lastRenderedPageBreak/>
        <w:t xml:space="preserve">based on body surface area in </w:t>
      </w:r>
      <w:r w:rsidR="00E611DE" w:rsidRPr="00E223AF">
        <w:rPr>
          <w:color w:val="auto"/>
        </w:rPr>
        <w:t>paediatric</w:t>
      </w:r>
      <w:r w:rsidRPr="00E223AF">
        <w:rPr>
          <w:color w:val="auto"/>
        </w:rPr>
        <w:t xml:space="preserve"> patients 12 years and older resulted in similar systemic exposure compared to that in adults who received a </w:t>
      </w:r>
      <w:r w:rsidR="00E611DE" w:rsidRPr="00E223AF">
        <w:rPr>
          <w:color w:val="auto"/>
        </w:rPr>
        <w:t>Rozlytrek</w:t>
      </w:r>
      <w:r w:rsidRPr="00E223AF">
        <w:rPr>
          <w:color w:val="auto"/>
        </w:rPr>
        <w:t xml:space="preserve"> dose of 600 mg (see sections 4.2 </w:t>
      </w:r>
      <w:r w:rsidRPr="00E223AF">
        <w:rPr>
          <w:i/>
          <w:color w:val="auto"/>
        </w:rPr>
        <w:t>Dose and method of administration</w:t>
      </w:r>
      <w:r w:rsidRPr="00E223AF">
        <w:rPr>
          <w:color w:val="auto"/>
        </w:rPr>
        <w:t xml:space="preserve">, 5.1 </w:t>
      </w:r>
      <w:r w:rsidRPr="00E223AF">
        <w:rPr>
          <w:i/>
          <w:color w:val="auto"/>
        </w:rPr>
        <w:t>Pharmacodynamic properties – Clinical trials</w:t>
      </w:r>
      <w:r w:rsidRPr="00E223AF">
        <w:rPr>
          <w:color w:val="auto"/>
        </w:rPr>
        <w:t xml:space="preserve"> and 5.2 </w:t>
      </w:r>
      <w:r w:rsidRPr="00E223AF">
        <w:rPr>
          <w:i/>
          <w:color w:val="auto"/>
        </w:rPr>
        <w:t>Pharmacokinetic properties – Pharmacokinetics in special populations</w:t>
      </w:r>
      <w:r w:rsidRPr="00E223AF">
        <w:rPr>
          <w:color w:val="auto"/>
        </w:rPr>
        <w:t>).</w:t>
      </w:r>
    </w:p>
    <w:p w14:paraId="2CC28790" w14:textId="77777777" w:rsidR="00051D67" w:rsidRPr="00E223AF" w:rsidRDefault="00051D67" w:rsidP="00051D67">
      <w:pPr>
        <w:rPr>
          <w:color w:val="auto"/>
        </w:rPr>
      </w:pPr>
    </w:p>
    <w:p w14:paraId="3DD761C6" w14:textId="6E0ECB50" w:rsidR="00051D67" w:rsidRPr="00E223AF" w:rsidRDefault="00051D67" w:rsidP="00051D67">
      <w:pPr>
        <w:rPr>
          <w:color w:val="auto"/>
        </w:rPr>
      </w:pPr>
      <w:r w:rsidRPr="00E223AF">
        <w:rPr>
          <w:color w:val="auto"/>
        </w:rPr>
        <w:t xml:space="preserve">The safety of </w:t>
      </w:r>
      <w:r w:rsidR="00E611DE" w:rsidRPr="00E223AF">
        <w:rPr>
          <w:color w:val="auto"/>
        </w:rPr>
        <w:t>Rozlytrek</w:t>
      </w:r>
      <w:r w:rsidRPr="00E223AF">
        <w:rPr>
          <w:color w:val="auto"/>
        </w:rPr>
        <w:t xml:space="preserve"> in </w:t>
      </w:r>
      <w:r w:rsidR="00E611DE" w:rsidRPr="00E223AF">
        <w:rPr>
          <w:color w:val="auto"/>
        </w:rPr>
        <w:t>paediatric</w:t>
      </w:r>
      <w:r w:rsidRPr="00E223AF">
        <w:rPr>
          <w:color w:val="auto"/>
        </w:rPr>
        <w:t xml:space="preserve"> patients 12 years of age and older was established based on extrapolation of data in adults and data from 30 </w:t>
      </w:r>
      <w:r w:rsidR="00E611DE" w:rsidRPr="00E223AF">
        <w:rPr>
          <w:color w:val="auto"/>
        </w:rPr>
        <w:t>paediatric</w:t>
      </w:r>
      <w:r w:rsidRPr="00E223AF">
        <w:rPr>
          <w:color w:val="auto"/>
        </w:rPr>
        <w:t xml:space="preserve"> patients enrolled in STARTRK-NG. Of these 30</w:t>
      </w:r>
      <w:r w:rsidR="00E52764" w:rsidRPr="00E223AF">
        <w:rPr>
          <w:color w:val="auto"/>
        </w:rPr>
        <w:t xml:space="preserve"> patients, 7% were &lt;2 years (n=2), 77% were 2 to &lt;12 years (n=23), 17% were 12 to &lt;18 years (n=</w:t>
      </w:r>
      <w:r w:rsidRPr="00E223AF">
        <w:rPr>
          <w:color w:val="auto"/>
        </w:rPr>
        <w:t xml:space="preserve">5); </w:t>
      </w:r>
      <w:r w:rsidR="00E52764" w:rsidRPr="00E223AF">
        <w:rPr>
          <w:color w:val="auto"/>
        </w:rPr>
        <w:t>57% had metastatic disease (n=</w:t>
      </w:r>
      <w:r w:rsidRPr="00E223AF">
        <w:rPr>
          <w:color w:val="auto"/>
        </w:rPr>
        <w:t>17) and 44% ha</w:t>
      </w:r>
      <w:r w:rsidR="00E52764" w:rsidRPr="00E223AF">
        <w:rPr>
          <w:color w:val="auto"/>
        </w:rPr>
        <w:t>d locally advanced disease (n=</w:t>
      </w:r>
      <w:r w:rsidRPr="00E223AF">
        <w:rPr>
          <w:color w:val="auto"/>
        </w:rPr>
        <w:t xml:space="preserve">13); and all patients had received prior treatment for their cancer, including surgery, radiotherapy, or systemic therapy. The most common cancers were </w:t>
      </w:r>
      <w:proofErr w:type="spellStart"/>
      <w:r w:rsidRPr="00E223AF">
        <w:rPr>
          <w:color w:val="auto"/>
        </w:rPr>
        <w:t>neuroblastoma</w:t>
      </w:r>
      <w:proofErr w:type="spellEnd"/>
      <w:r w:rsidRPr="00E223AF">
        <w:rPr>
          <w:color w:val="auto"/>
        </w:rPr>
        <w:t xml:space="preserve"> (47%), primary CNS </w:t>
      </w:r>
      <w:r w:rsidR="00E611DE" w:rsidRPr="00E223AF">
        <w:rPr>
          <w:color w:val="auto"/>
        </w:rPr>
        <w:t>tumour</w:t>
      </w:r>
      <w:r w:rsidRPr="00E223AF">
        <w:rPr>
          <w:color w:val="auto"/>
        </w:rPr>
        <w:t xml:space="preserve">s (30%), and sarcoma (10%). The median duration of exposure for all </w:t>
      </w:r>
      <w:r w:rsidR="00E611DE" w:rsidRPr="00E223AF">
        <w:rPr>
          <w:color w:val="auto"/>
        </w:rPr>
        <w:t>paediatric</w:t>
      </w:r>
      <w:r w:rsidRPr="00E223AF">
        <w:rPr>
          <w:color w:val="auto"/>
        </w:rPr>
        <w:t xml:space="preserve"> patients was 4.2 months (range: 0.2 to 22.7 months).</w:t>
      </w:r>
    </w:p>
    <w:p w14:paraId="0ACEC731" w14:textId="77777777" w:rsidR="00051D67" w:rsidRPr="00E223AF" w:rsidRDefault="00051D67" w:rsidP="00051D67">
      <w:pPr>
        <w:rPr>
          <w:color w:val="auto"/>
        </w:rPr>
      </w:pPr>
    </w:p>
    <w:p w14:paraId="39BC699C" w14:textId="7A23A0CE" w:rsidR="00051D67" w:rsidRPr="00E223AF" w:rsidRDefault="00051D67" w:rsidP="00051D67">
      <w:pPr>
        <w:rPr>
          <w:color w:val="auto"/>
        </w:rPr>
      </w:pPr>
      <w:r w:rsidRPr="00E223AF">
        <w:rPr>
          <w:color w:val="auto"/>
        </w:rPr>
        <w:t xml:space="preserve">Due to the small number of </w:t>
      </w:r>
      <w:r w:rsidR="00E611DE" w:rsidRPr="00E223AF">
        <w:rPr>
          <w:color w:val="auto"/>
        </w:rPr>
        <w:t>paediatric</w:t>
      </w:r>
      <w:r w:rsidRPr="00E223AF">
        <w:rPr>
          <w:color w:val="auto"/>
        </w:rPr>
        <w:t xml:space="preserve"> and adult patients, the single arm design of clinical studies of </w:t>
      </w:r>
      <w:r w:rsidR="00E611DE" w:rsidRPr="00E223AF">
        <w:rPr>
          <w:color w:val="auto"/>
        </w:rPr>
        <w:t>Rozlytrek</w:t>
      </w:r>
      <w:r w:rsidRPr="00E223AF">
        <w:rPr>
          <w:color w:val="auto"/>
        </w:rPr>
        <w:t xml:space="preserve">, and confounding factors such as differences in susceptibility to infections between </w:t>
      </w:r>
      <w:r w:rsidR="00E611DE" w:rsidRPr="00E223AF">
        <w:rPr>
          <w:color w:val="auto"/>
        </w:rPr>
        <w:t>paediatric</w:t>
      </w:r>
      <w:r w:rsidRPr="00E223AF">
        <w:rPr>
          <w:color w:val="auto"/>
        </w:rPr>
        <w:t xml:space="preserve"> and adult patients, it is not possible to determine whether the observed differences in the incidence of adverse reactions to </w:t>
      </w:r>
      <w:r w:rsidR="00E611DE" w:rsidRPr="00E223AF">
        <w:rPr>
          <w:color w:val="auto"/>
        </w:rPr>
        <w:t>Rozlytrek</w:t>
      </w:r>
      <w:r w:rsidRPr="00E223AF">
        <w:rPr>
          <w:color w:val="auto"/>
        </w:rPr>
        <w:t xml:space="preserve"> are related to patient age or other factors. In an expanded safety database that included 338 adult patients and 30 </w:t>
      </w:r>
      <w:r w:rsidR="00E611DE" w:rsidRPr="00E223AF">
        <w:rPr>
          <w:color w:val="auto"/>
        </w:rPr>
        <w:t>paediatric</w:t>
      </w:r>
      <w:r w:rsidRPr="00E223AF">
        <w:rPr>
          <w:color w:val="auto"/>
        </w:rPr>
        <w:t xml:space="preserve"> patients who received </w:t>
      </w:r>
      <w:r w:rsidR="00E611DE" w:rsidRPr="00E223AF">
        <w:rPr>
          <w:color w:val="auto"/>
        </w:rPr>
        <w:t>Rozlytrek</w:t>
      </w:r>
      <w:r w:rsidRPr="00E223AF">
        <w:rPr>
          <w:color w:val="auto"/>
        </w:rPr>
        <w:t xml:space="preserve"> across clinical trials, the Grade 3 or 4 adverse reactions and laboratory abnormalities that occurred more </w:t>
      </w:r>
      <w:r w:rsidR="00E52764" w:rsidRPr="00E223AF">
        <w:rPr>
          <w:color w:val="auto"/>
        </w:rPr>
        <w:t>frequently (≥</w:t>
      </w:r>
      <w:r w:rsidRPr="00E223AF">
        <w:rPr>
          <w:color w:val="auto"/>
        </w:rPr>
        <w:t xml:space="preserve">5%) in </w:t>
      </w:r>
      <w:r w:rsidR="00E611DE" w:rsidRPr="00E223AF">
        <w:rPr>
          <w:color w:val="auto"/>
        </w:rPr>
        <w:t>paediatric</w:t>
      </w:r>
      <w:r w:rsidR="00E52764" w:rsidRPr="00E223AF">
        <w:rPr>
          <w:color w:val="auto"/>
        </w:rPr>
        <w:t xml:space="preserve"> patients (n=30) compared with adults (n=</w:t>
      </w:r>
      <w:r w:rsidRPr="00E223AF">
        <w:rPr>
          <w:color w:val="auto"/>
        </w:rPr>
        <w:t xml:space="preserve">338) were neutropenia (27% vs 2%), bone fractures (23% vs 5%), increased weight (20% vs 7%), thrombocytopenia (10% vs 0.3%), </w:t>
      </w:r>
      <w:proofErr w:type="spellStart"/>
      <w:r w:rsidRPr="00E223AF">
        <w:rPr>
          <w:color w:val="auto"/>
        </w:rPr>
        <w:t>lymphopenia</w:t>
      </w:r>
      <w:proofErr w:type="spellEnd"/>
      <w:r w:rsidRPr="00E223AF">
        <w:rPr>
          <w:color w:val="auto"/>
        </w:rPr>
        <w:t xml:space="preserve"> (7% vs 1%), increased </w:t>
      </w:r>
      <w:proofErr w:type="spellStart"/>
      <w:r w:rsidRPr="00E223AF">
        <w:rPr>
          <w:color w:val="auto"/>
        </w:rPr>
        <w:t>gammaglutamyl</w:t>
      </w:r>
      <w:proofErr w:type="spellEnd"/>
      <w:r w:rsidRPr="00E223AF">
        <w:rPr>
          <w:color w:val="auto"/>
        </w:rPr>
        <w:t xml:space="preserve"> transferase (7% vs 0%), and device-related infection (7% vs 0.3%). Three </w:t>
      </w:r>
      <w:r w:rsidR="00E611DE" w:rsidRPr="00E223AF">
        <w:rPr>
          <w:color w:val="auto"/>
        </w:rPr>
        <w:t>paediatric</w:t>
      </w:r>
      <w:r w:rsidRPr="00E223AF">
        <w:rPr>
          <w:color w:val="auto"/>
        </w:rPr>
        <w:t xml:space="preserve"> patients discontinued </w:t>
      </w:r>
      <w:r w:rsidR="00E611DE" w:rsidRPr="00E223AF">
        <w:rPr>
          <w:color w:val="auto"/>
        </w:rPr>
        <w:t>Rozlytrek</w:t>
      </w:r>
      <w:r w:rsidRPr="00E223AF">
        <w:rPr>
          <w:color w:val="auto"/>
        </w:rPr>
        <w:t xml:space="preserve"> due to an adverse reaction (Grade 4 pulmonary oedema, Grade 3 dyspnoea, and Grade 4 pancreatitis).</w:t>
      </w:r>
    </w:p>
    <w:p w14:paraId="0C2C521A" w14:textId="77777777" w:rsidR="00051D67" w:rsidRPr="00E223AF" w:rsidRDefault="00051D67" w:rsidP="00051D67">
      <w:pPr>
        <w:rPr>
          <w:color w:val="auto"/>
        </w:rPr>
      </w:pPr>
    </w:p>
    <w:p w14:paraId="1B566D6A" w14:textId="3E9566C7" w:rsidR="00051D67" w:rsidRPr="00E223AF" w:rsidRDefault="00051D67" w:rsidP="00051D67">
      <w:pPr>
        <w:rPr>
          <w:color w:val="auto"/>
        </w:rPr>
      </w:pPr>
      <w:r w:rsidRPr="00E223AF">
        <w:rPr>
          <w:color w:val="auto"/>
        </w:rPr>
        <w:t xml:space="preserve">The safety and effectiveness of </w:t>
      </w:r>
      <w:r w:rsidR="00E611DE" w:rsidRPr="00E223AF">
        <w:rPr>
          <w:color w:val="auto"/>
        </w:rPr>
        <w:t>Rozlytrek</w:t>
      </w:r>
      <w:r w:rsidRPr="00E223AF">
        <w:rPr>
          <w:color w:val="auto"/>
        </w:rPr>
        <w:t xml:space="preserve"> in </w:t>
      </w:r>
      <w:r w:rsidR="00E611DE" w:rsidRPr="00E223AF">
        <w:rPr>
          <w:color w:val="auto"/>
        </w:rPr>
        <w:t>paediatric</w:t>
      </w:r>
      <w:r w:rsidRPr="00E223AF">
        <w:rPr>
          <w:color w:val="auto"/>
        </w:rPr>
        <w:t xml:space="preserve"> patients less than 12 years of age with solid </w:t>
      </w:r>
      <w:r w:rsidR="00E611DE" w:rsidRPr="00E223AF">
        <w:rPr>
          <w:color w:val="auto"/>
        </w:rPr>
        <w:t>tumour</w:t>
      </w:r>
      <w:r w:rsidRPr="00E223AF">
        <w:rPr>
          <w:color w:val="auto"/>
        </w:rPr>
        <w:t>s who have an NTRK gene fusion have not been established.</w:t>
      </w:r>
    </w:p>
    <w:p w14:paraId="5DB0374D" w14:textId="77777777" w:rsidR="00051D67" w:rsidRPr="00E223AF" w:rsidRDefault="00051D67" w:rsidP="00051D67">
      <w:pPr>
        <w:rPr>
          <w:color w:val="auto"/>
        </w:rPr>
      </w:pPr>
    </w:p>
    <w:p w14:paraId="4C465CDD" w14:textId="2A6AE362" w:rsidR="00051D67" w:rsidRPr="00E223AF" w:rsidRDefault="00051D67" w:rsidP="00051D67">
      <w:pPr>
        <w:rPr>
          <w:color w:val="auto"/>
        </w:rPr>
      </w:pPr>
      <w:r w:rsidRPr="00E223AF">
        <w:rPr>
          <w:color w:val="auto"/>
        </w:rPr>
        <w:t xml:space="preserve">The safety and effectiveness of </w:t>
      </w:r>
      <w:r w:rsidR="00E611DE" w:rsidRPr="00E223AF">
        <w:rPr>
          <w:color w:val="auto"/>
        </w:rPr>
        <w:t>Rozlytrek</w:t>
      </w:r>
      <w:r w:rsidRPr="00E223AF">
        <w:rPr>
          <w:color w:val="auto"/>
        </w:rPr>
        <w:t xml:space="preserve"> in </w:t>
      </w:r>
      <w:r w:rsidR="00E611DE" w:rsidRPr="00E223AF">
        <w:rPr>
          <w:color w:val="auto"/>
        </w:rPr>
        <w:t>paediatric</w:t>
      </w:r>
      <w:r w:rsidRPr="00E223AF">
        <w:rPr>
          <w:color w:val="auto"/>
        </w:rPr>
        <w:t xml:space="preserve"> patients with ROS1-positive NSCLC have not been established.</w:t>
      </w:r>
    </w:p>
    <w:p w14:paraId="36609772" w14:textId="43A730C1" w:rsidR="002E3C95" w:rsidRPr="00E223AF" w:rsidRDefault="002E3C95" w:rsidP="00051D67">
      <w:pPr>
        <w:pStyle w:val="Heading3"/>
        <w:rPr>
          <w:color w:val="auto"/>
        </w:rPr>
      </w:pPr>
      <w:r w:rsidRPr="00E223AF">
        <w:rPr>
          <w:color w:val="auto"/>
        </w:rPr>
        <w:t>Use in hepatic impairment</w:t>
      </w:r>
    </w:p>
    <w:p w14:paraId="329EAF94" w14:textId="627B1BC1" w:rsidR="002E3C95" w:rsidRPr="00E223AF" w:rsidRDefault="002E3C95" w:rsidP="002E3C95">
      <w:pPr>
        <w:rPr>
          <w:color w:val="auto"/>
        </w:rPr>
      </w:pPr>
      <w:r w:rsidRPr="00E223AF">
        <w:rPr>
          <w:color w:val="auto"/>
        </w:rPr>
        <w:t xml:space="preserve">Rozlytrek has not been studied in patients with moderate (total bilirubin &gt; 1.5 to 3 times ULN) or severe (total bilirubin &gt; 3 times ULN) hepatic impairment (see sections 4.2 </w:t>
      </w:r>
      <w:r w:rsidRPr="00E223AF">
        <w:rPr>
          <w:i/>
          <w:color w:val="auto"/>
        </w:rPr>
        <w:t>Dose and method of administration</w:t>
      </w:r>
      <w:r w:rsidRPr="00E223AF">
        <w:rPr>
          <w:color w:val="auto"/>
        </w:rPr>
        <w:t xml:space="preserve"> and 5.2 </w:t>
      </w:r>
      <w:r w:rsidRPr="00E223AF">
        <w:rPr>
          <w:i/>
          <w:color w:val="auto"/>
        </w:rPr>
        <w:t>Pharmacokinetic properties</w:t>
      </w:r>
      <w:r w:rsidRPr="00E223AF">
        <w:rPr>
          <w:color w:val="auto"/>
        </w:rPr>
        <w:t>).</w:t>
      </w:r>
    </w:p>
    <w:p w14:paraId="4D8AB63F" w14:textId="77777777" w:rsidR="002E3C95" w:rsidRPr="00E223AF" w:rsidRDefault="002E3C95" w:rsidP="002E3C95">
      <w:pPr>
        <w:pStyle w:val="Heading3"/>
        <w:rPr>
          <w:color w:val="auto"/>
        </w:rPr>
      </w:pPr>
      <w:r w:rsidRPr="00E223AF">
        <w:rPr>
          <w:color w:val="auto"/>
        </w:rPr>
        <w:t>Use in renal impairment</w:t>
      </w:r>
    </w:p>
    <w:p w14:paraId="5D7E7949" w14:textId="249036FE" w:rsidR="002E3C95" w:rsidRPr="00E223AF" w:rsidRDefault="002E3C95" w:rsidP="002E3C95">
      <w:pPr>
        <w:rPr>
          <w:color w:val="auto"/>
        </w:rPr>
      </w:pPr>
      <w:r w:rsidRPr="00E223AF">
        <w:rPr>
          <w:color w:val="auto"/>
        </w:rPr>
        <w:t>Rozlytrek has not been studied in patients with severe (</w:t>
      </w:r>
      <w:proofErr w:type="spellStart"/>
      <w:r w:rsidRPr="00E223AF">
        <w:rPr>
          <w:color w:val="auto"/>
        </w:rPr>
        <w:t>CLcr</w:t>
      </w:r>
      <w:proofErr w:type="spellEnd"/>
      <w:r w:rsidRPr="00E223AF">
        <w:rPr>
          <w:color w:val="auto"/>
        </w:rPr>
        <w:t xml:space="preserve"> &lt; 30 mL/min) renal impairment (see sections 4.2 </w:t>
      </w:r>
      <w:r w:rsidRPr="00E223AF">
        <w:rPr>
          <w:i/>
          <w:color w:val="auto"/>
        </w:rPr>
        <w:t>Dose and method of administration</w:t>
      </w:r>
      <w:r w:rsidRPr="00E223AF">
        <w:rPr>
          <w:color w:val="auto"/>
        </w:rPr>
        <w:t xml:space="preserve"> and 5.2 </w:t>
      </w:r>
      <w:r w:rsidRPr="00E223AF">
        <w:rPr>
          <w:i/>
          <w:color w:val="auto"/>
        </w:rPr>
        <w:t>Pharmacokinetic properties</w:t>
      </w:r>
      <w:r w:rsidRPr="00E223AF">
        <w:rPr>
          <w:color w:val="auto"/>
        </w:rPr>
        <w:t xml:space="preserve">). </w:t>
      </w:r>
    </w:p>
    <w:p w14:paraId="3ACB88D6" w14:textId="3964DEBB" w:rsidR="00B1134D" w:rsidRPr="00E223AF" w:rsidRDefault="00407592" w:rsidP="002E3C95">
      <w:pPr>
        <w:pStyle w:val="Heading3"/>
        <w:rPr>
          <w:color w:val="auto"/>
        </w:rPr>
      </w:pPr>
      <w:r w:rsidRPr="00E223AF">
        <w:rPr>
          <w:color w:val="auto"/>
        </w:rPr>
        <w:t xml:space="preserve">Use in the </w:t>
      </w:r>
      <w:r w:rsidR="00602F20" w:rsidRPr="00E223AF">
        <w:rPr>
          <w:color w:val="auto"/>
        </w:rPr>
        <w:t>e</w:t>
      </w:r>
      <w:r w:rsidRPr="00E223AF">
        <w:rPr>
          <w:color w:val="auto"/>
        </w:rPr>
        <w:t>lderly</w:t>
      </w:r>
    </w:p>
    <w:p w14:paraId="76DFCCE6" w14:textId="2E109632" w:rsidR="00602F20" w:rsidRPr="00E223AF" w:rsidRDefault="002E3C95" w:rsidP="00602F20">
      <w:pPr>
        <w:rPr>
          <w:color w:val="auto"/>
        </w:rPr>
      </w:pPr>
      <w:r w:rsidRPr="00E223AF">
        <w:rPr>
          <w:color w:val="auto"/>
        </w:rPr>
        <w:t xml:space="preserve">Of the 355 patients who received </w:t>
      </w:r>
      <w:r w:rsidR="00E611DE" w:rsidRPr="00E223AF">
        <w:rPr>
          <w:color w:val="auto"/>
        </w:rPr>
        <w:t>Rozlytrek</w:t>
      </w:r>
      <w:r w:rsidRPr="00E223AF">
        <w:rPr>
          <w:color w:val="auto"/>
        </w:rPr>
        <w:t xml:space="preserve"> across clinical trials, 25% were 65 years or older, and 5% were 75 years of age or older. Clinical studies of </w:t>
      </w:r>
      <w:r w:rsidR="00E611DE" w:rsidRPr="00E223AF">
        <w:rPr>
          <w:color w:val="auto"/>
        </w:rPr>
        <w:t>Rozlytrek</w:t>
      </w:r>
      <w:r w:rsidRPr="00E223AF">
        <w:rPr>
          <w:color w:val="auto"/>
        </w:rPr>
        <w:t xml:space="preserve"> did not include sufficient numbers of elderly patients to determine whether they respond differently from younger patients.</w:t>
      </w:r>
    </w:p>
    <w:p w14:paraId="07F16ACF" w14:textId="77777777" w:rsidR="00834C48" w:rsidRPr="00E223AF" w:rsidRDefault="00407592" w:rsidP="00B1134D">
      <w:pPr>
        <w:pStyle w:val="Heading3"/>
        <w:rPr>
          <w:color w:val="auto"/>
        </w:rPr>
      </w:pPr>
      <w:r w:rsidRPr="00E223AF">
        <w:rPr>
          <w:color w:val="auto"/>
        </w:rPr>
        <w:t>Effects on laboratory tests</w:t>
      </w:r>
    </w:p>
    <w:p w14:paraId="539B373A" w14:textId="7D4C0934" w:rsidR="00B1134D" w:rsidRPr="00E223AF" w:rsidRDefault="00D901E7" w:rsidP="003E51CC">
      <w:pPr>
        <w:rPr>
          <w:color w:val="auto"/>
        </w:rPr>
      </w:pPr>
      <w:r w:rsidRPr="00E223AF">
        <w:rPr>
          <w:color w:val="auto"/>
        </w:rPr>
        <w:t xml:space="preserve">See section 4.8 </w:t>
      </w:r>
      <w:r w:rsidRPr="00E223AF">
        <w:rPr>
          <w:i/>
          <w:color w:val="auto"/>
        </w:rPr>
        <w:t>Adverse effects (undesirable effects) – Laboratory abnormalities.</w:t>
      </w:r>
    </w:p>
    <w:p w14:paraId="5BE79F4D" w14:textId="77777777" w:rsidR="00EE7129" w:rsidRPr="00E223AF" w:rsidRDefault="00EE7129" w:rsidP="00BD3575"/>
    <w:p w14:paraId="6C7350BC" w14:textId="77777777" w:rsidR="00D52399" w:rsidRPr="00E223AF" w:rsidRDefault="00902EBE" w:rsidP="009F4C5B">
      <w:pPr>
        <w:pStyle w:val="Heading2"/>
        <w:spacing w:before="0"/>
        <w:rPr>
          <w:color w:val="auto"/>
        </w:rPr>
      </w:pPr>
      <w:r w:rsidRPr="00E223AF">
        <w:rPr>
          <w:color w:val="auto"/>
        </w:rPr>
        <w:t>4.5</w:t>
      </w:r>
      <w:r w:rsidRPr="00E223AF">
        <w:rPr>
          <w:color w:val="auto"/>
        </w:rPr>
        <w:tab/>
        <w:t>INTERACTION</w:t>
      </w:r>
      <w:r w:rsidR="00177D8C" w:rsidRPr="00E223AF">
        <w:rPr>
          <w:color w:val="auto"/>
        </w:rPr>
        <w:t>S</w:t>
      </w:r>
      <w:r w:rsidRPr="00E223AF">
        <w:rPr>
          <w:color w:val="auto"/>
        </w:rPr>
        <w:t xml:space="preserve"> WITH OTHER MEDICINES AND OTHER FORMS OF INTERACTION</w:t>
      </w:r>
      <w:r w:rsidR="00177D8C" w:rsidRPr="00E223AF">
        <w:rPr>
          <w:color w:val="auto"/>
        </w:rPr>
        <w:t>S</w:t>
      </w:r>
    </w:p>
    <w:p w14:paraId="5A0B791A" w14:textId="4395CDBF" w:rsidR="00602F20" w:rsidRPr="00E223AF" w:rsidRDefault="00602F20" w:rsidP="00602F20">
      <w:pPr>
        <w:pStyle w:val="Heading3"/>
        <w:rPr>
          <w:color w:val="auto"/>
        </w:rPr>
      </w:pPr>
      <w:r w:rsidRPr="00E223AF">
        <w:rPr>
          <w:color w:val="auto"/>
        </w:rPr>
        <w:t>Effects of entrectinib on other drugs</w:t>
      </w:r>
    </w:p>
    <w:p w14:paraId="0531BEA1" w14:textId="50DACCED" w:rsidR="00602F20" w:rsidRPr="00E223AF" w:rsidRDefault="00602F20" w:rsidP="00602F20">
      <w:pPr>
        <w:pStyle w:val="Heading4"/>
        <w:rPr>
          <w:color w:val="auto"/>
        </w:rPr>
      </w:pPr>
      <w:r w:rsidRPr="00E223AF">
        <w:rPr>
          <w:color w:val="auto"/>
        </w:rPr>
        <w:t>CYP substrates</w:t>
      </w:r>
    </w:p>
    <w:p w14:paraId="4BE87FFF" w14:textId="08B50169" w:rsidR="00215394" w:rsidRPr="00E223AF" w:rsidRDefault="00215394" w:rsidP="00602F20">
      <w:pPr>
        <w:rPr>
          <w:color w:val="auto"/>
        </w:rPr>
      </w:pPr>
      <w:r w:rsidRPr="00E223AF">
        <w:rPr>
          <w:color w:val="auto"/>
        </w:rPr>
        <w:t xml:space="preserve">Co-administration of </w:t>
      </w:r>
      <w:r w:rsidR="00455635" w:rsidRPr="00E223AF">
        <w:rPr>
          <w:color w:val="auto"/>
        </w:rPr>
        <w:t>a single</w:t>
      </w:r>
      <w:r w:rsidRPr="00E223AF">
        <w:rPr>
          <w:color w:val="auto"/>
        </w:rPr>
        <w:t xml:space="preserve"> 600 mg </w:t>
      </w:r>
      <w:r w:rsidR="00455635" w:rsidRPr="00E223AF">
        <w:rPr>
          <w:color w:val="auto"/>
        </w:rPr>
        <w:t>Rozlytrek dose</w:t>
      </w:r>
      <w:r w:rsidRPr="00E223AF">
        <w:rPr>
          <w:color w:val="auto"/>
        </w:rPr>
        <w:t xml:space="preserve"> with oral midazolam (a sensitive CYP3A substrate) in patients increased the midazolam AUC by 50% but reduced midazolam </w:t>
      </w:r>
      <w:proofErr w:type="spellStart"/>
      <w:r w:rsidRPr="00E223AF">
        <w:rPr>
          <w:color w:val="auto"/>
        </w:rPr>
        <w:t>C</w:t>
      </w:r>
      <w:r w:rsidRPr="00E223AF">
        <w:rPr>
          <w:color w:val="auto"/>
          <w:vertAlign w:val="subscript"/>
        </w:rPr>
        <w:t>max</w:t>
      </w:r>
      <w:proofErr w:type="spellEnd"/>
      <w:r w:rsidRPr="00E223AF">
        <w:rPr>
          <w:color w:val="auto"/>
        </w:rPr>
        <w:t xml:space="preserve"> by </w:t>
      </w:r>
      <w:r w:rsidR="00E52764" w:rsidRPr="00E223AF">
        <w:rPr>
          <w:color w:val="auto"/>
        </w:rPr>
        <w:t>21%. S</w:t>
      </w:r>
      <w:r w:rsidRPr="00E223AF">
        <w:rPr>
          <w:color w:val="auto"/>
        </w:rPr>
        <w:t xml:space="preserve">ee section 4.2 </w:t>
      </w:r>
      <w:r w:rsidRPr="00E223AF">
        <w:rPr>
          <w:i/>
          <w:color w:val="auto"/>
        </w:rPr>
        <w:t>Dose and method of administration – dose modifications for specific medicine interactions</w:t>
      </w:r>
      <w:r w:rsidR="00E52764" w:rsidRPr="00E223AF">
        <w:rPr>
          <w:color w:val="auto"/>
        </w:rPr>
        <w:t>.</w:t>
      </w:r>
    </w:p>
    <w:p w14:paraId="703815ED" w14:textId="4A2900AC" w:rsidR="00602F20" w:rsidRPr="00E223AF" w:rsidRDefault="00455635" w:rsidP="00661B05">
      <w:pPr>
        <w:pStyle w:val="Heading4"/>
        <w:rPr>
          <w:color w:val="auto"/>
        </w:rPr>
      </w:pPr>
      <w:r w:rsidRPr="00E223AF">
        <w:rPr>
          <w:color w:val="auto"/>
        </w:rPr>
        <w:t xml:space="preserve">Transporter </w:t>
      </w:r>
      <w:r w:rsidR="00602F20" w:rsidRPr="00E223AF">
        <w:rPr>
          <w:color w:val="auto"/>
        </w:rPr>
        <w:t xml:space="preserve">substrates </w:t>
      </w:r>
    </w:p>
    <w:p w14:paraId="34453195" w14:textId="27FCF8BF" w:rsidR="00455635" w:rsidRPr="00E223AF" w:rsidRDefault="00215394" w:rsidP="00602F20">
      <w:pPr>
        <w:rPr>
          <w:color w:val="auto"/>
        </w:rPr>
      </w:pPr>
      <w:r w:rsidRPr="00E223AF">
        <w:rPr>
          <w:color w:val="auto"/>
        </w:rPr>
        <w:t>Co</w:t>
      </w:r>
      <w:r w:rsidR="00455635" w:rsidRPr="00E223AF">
        <w:rPr>
          <w:color w:val="auto"/>
        </w:rPr>
        <w:t>-</w:t>
      </w:r>
      <w:r w:rsidRPr="00E223AF">
        <w:rPr>
          <w:color w:val="auto"/>
        </w:rPr>
        <w:t xml:space="preserve">administration of a single 600 </w:t>
      </w:r>
      <w:r w:rsidR="00A94FB7" w:rsidRPr="00E223AF">
        <w:rPr>
          <w:color w:val="auto"/>
        </w:rPr>
        <w:t xml:space="preserve">mg </w:t>
      </w:r>
      <w:r w:rsidR="00E611DE" w:rsidRPr="00E223AF">
        <w:rPr>
          <w:color w:val="auto"/>
        </w:rPr>
        <w:t>Rozlytrek</w:t>
      </w:r>
      <w:r w:rsidR="00A94FB7" w:rsidRPr="00E223AF">
        <w:rPr>
          <w:color w:val="auto"/>
        </w:rPr>
        <w:t xml:space="preserve"> dose with </w:t>
      </w:r>
      <w:r w:rsidR="00455635" w:rsidRPr="00E223AF">
        <w:rPr>
          <w:color w:val="auto"/>
        </w:rPr>
        <w:t xml:space="preserve">oral </w:t>
      </w:r>
      <w:r w:rsidR="00A94FB7" w:rsidRPr="00E223AF">
        <w:rPr>
          <w:color w:val="auto"/>
        </w:rPr>
        <w:t>digoxin (</w:t>
      </w:r>
      <w:r w:rsidRPr="00E223AF">
        <w:rPr>
          <w:color w:val="auto"/>
        </w:rPr>
        <w:t xml:space="preserve">a sensitive </w:t>
      </w:r>
      <w:r w:rsidR="00A94FB7" w:rsidRPr="00E223AF">
        <w:rPr>
          <w:color w:val="auto"/>
        </w:rPr>
        <w:t>P-glycoprotein (P-</w:t>
      </w:r>
      <w:proofErr w:type="spellStart"/>
      <w:r w:rsidR="00A94FB7" w:rsidRPr="00E223AF">
        <w:rPr>
          <w:color w:val="auto"/>
        </w:rPr>
        <w:t>gp</w:t>
      </w:r>
      <w:proofErr w:type="spellEnd"/>
      <w:r w:rsidR="00A94FB7" w:rsidRPr="00E223AF">
        <w:rPr>
          <w:color w:val="auto"/>
        </w:rPr>
        <w:t>) substrate) in patients</w:t>
      </w:r>
      <w:r w:rsidRPr="00E223AF">
        <w:rPr>
          <w:color w:val="auto"/>
        </w:rPr>
        <w:t xml:space="preserve"> increased digoxin </w:t>
      </w:r>
      <w:proofErr w:type="spellStart"/>
      <w:r w:rsidRPr="00E223AF">
        <w:rPr>
          <w:color w:val="auto"/>
        </w:rPr>
        <w:t>C</w:t>
      </w:r>
      <w:r w:rsidRPr="00E223AF">
        <w:rPr>
          <w:color w:val="auto"/>
          <w:vertAlign w:val="subscript"/>
        </w:rPr>
        <w:t>max</w:t>
      </w:r>
      <w:proofErr w:type="spellEnd"/>
      <w:r w:rsidRPr="00E223AF">
        <w:rPr>
          <w:color w:val="auto"/>
        </w:rPr>
        <w:t xml:space="preserve"> by 28% and AUC by 18%.</w:t>
      </w:r>
      <w:r w:rsidRPr="00E223AF" w:rsidDel="00215394">
        <w:rPr>
          <w:color w:val="auto"/>
        </w:rPr>
        <w:t xml:space="preserve"> </w:t>
      </w:r>
    </w:p>
    <w:p w14:paraId="525E5F00" w14:textId="77777777" w:rsidR="00966254" w:rsidRPr="00E223AF" w:rsidRDefault="00966254" w:rsidP="00602F20">
      <w:pPr>
        <w:rPr>
          <w:i/>
          <w:color w:val="auto"/>
        </w:rPr>
      </w:pPr>
    </w:p>
    <w:p w14:paraId="76D19546" w14:textId="1F09B480" w:rsidR="005F393A" w:rsidRPr="00E223AF" w:rsidRDefault="00455635" w:rsidP="00602F20">
      <w:pPr>
        <w:rPr>
          <w:color w:val="auto"/>
        </w:rPr>
      </w:pPr>
      <w:r w:rsidRPr="00E223AF">
        <w:rPr>
          <w:i/>
          <w:color w:val="auto"/>
        </w:rPr>
        <w:t>In vitro</w:t>
      </w:r>
      <w:r w:rsidRPr="00E223AF">
        <w:rPr>
          <w:color w:val="auto"/>
        </w:rPr>
        <w:t xml:space="preserve"> data </w:t>
      </w:r>
      <w:r w:rsidR="005F393A" w:rsidRPr="00E223AF">
        <w:rPr>
          <w:color w:val="auto"/>
        </w:rPr>
        <w:t>indicates:</w:t>
      </w:r>
    </w:p>
    <w:p w14:paraId="7BD94885" w14:textId="685C9400" w:rsidR="005F393A" w:rsidRPr="00E223AF" w:rsidRDefault="005F393A" w:rsidP="00BD3575">
      <w:pPr>
        <w:pStyle w:val="ListParagraph"/>
        <w:numPr>
          <w:ilvl w:val="0"/>
          <w:numId w:val="13"/>
        </w:numPr>
        <w:rPr>
          <w:color w:val="auto"/>
        </w:rPr>
      </w:pPr>
      <w:r w:rsidRPr="00E223AF">
        <w:rPr>
          <w:color w:val="auto"/>
        </w:rPr>
        <w:t>E</w:t>
      </w:r>
      <w:r w:rsidR="00455635" w:rsidRPr="00E223AF">
        <w:rPr>
          <w:color w:val="auto"/>
        </w:rPr>
        <w:t>ntrectinib is not a substrate of P-</w:t>
      </w:r>
      <w:proofErr w:type="spellStart"/>
      <w:r w:rsidR="00455635" w:rsidRPr="00E223AF">
        <w:rPr>
          <w:color w:val="auto"/>
        </w:rPr>
        <w:t>gp</w:t>
      </w:r>
      <w:proofErr w:type="spellEnd"/>
      <w:r w:rsidR="00455635" w:rsidRPr="00E223AF">
        <w:rPr>
          <w:color w:val="auto"/>
        </w:rPr>
        <w:t xml:space="preserve"> or BCRP, but M5 i</w:t>
      </w:r>
      <w:r w:rsidRPr="00E223AF">
        <w:rPr>
          <w:color w:val="auto"/>
        </w:rPr>
        <w:t xml:space="preserve">s a substrate of </w:t>
      </w:r>
      <w:r w:rsidR="00966254" w:rsidRPr="00E223AF">
        <w:rPr>
          <w:color w:val="auto"/>
        </w:rPr>
        <w:t>both</w:t>
      </w:r>
      <w:r w:rsidRPr="00E223AF">
        <w:rPr>
          <w:color w:val="auto"/>
        </w:rPr>
        <w:t>.</w:t>
      </w:r>
    </w:p>
    <w:p w14:paraId="4EDDF70E" w14:textId="177197CD" w:rsidR="005F393A" w:rsidRPr="00E223AF" w:rsidRDefault="00455635" w:rsidP="00BD3575">
      <w:pPr>
        <w:pStyle w:val="ListParagraph"/>
        <w:numPr>
          <w:ilvl w:val="0"/>
          <w:numId w:val="13"/>
        </w:numPr>
        <w:rPr>
          <w:color w:val="auto"/>
        </w:rPr>
      </w:pPr>
      <w:r w:rsidRPr="00E223AF">
        <w:rPr>
          <w:color w:val="auto"/>
        </w:rPr>
        <w:t>Entrectinib and M5 are not substrates of OATP1B1 or OATP1B3.</w:t>
      </w:r>
    </w:p>
    <w:p w14:paraId="17A08B16" w14:textId="5109D240" w:rsidR="00602F20" w:rsidRPr="00E223AF" w:rsidRDefault="00602F20" w:rsidP="00661B05">
      <w:pPr>
        <w:pStyle w:val="Heading4"/>
        <w:rPr>
          <w:color w:val="auto"/>
        </w:rPr>
      </w:pPr>
      <w:r w:rsidRPr="00E223AF">
        <w:rPr>
          <w:color w:val="auto"/>
        </w:rPr>
        <w:t xml:space="preserve">Oral </w:t>
      </w:r>
      <w:r w:rsidR="00661B05" w:rsidRPr="00E223AF">
        <w:rPr>
          <w:color w:val="auto"/>
        </w:rPr>
        <w:t>c</w:t>
      </w:r>
      <w:r w:rsidRPr="00E223AF">
        <w:rPr>
          <w:color w:val="auto"/>
        </w:rPr>
        <w:t>ontraceptive</w:t>
      </w:r>
      <w:r w:rsidR="00661B05" w:rsidRPr="00E223AF">
        <w:rPr>
          <w:color w:val="auto"/>
        </w:rPr>
        <w:t>s</w:t>
      </w:r>
    </w:p>
    <w:p w14:paraId="79FFD896" w14:textId="4894E016" w:rsidR="00602F20" w:rsidRPr="00E223AF" w:rsidRDefault="00602F20" w:rsidP="00602F20">
      <w:pPr>
        <w:rPr>
          <w:color w:val="auto"/>
        </w:rPr>
      </w:pPr>
      <w:r w:rsidRPr="00E223AF">
        <w:rPr>
          <w:color w:val="auto"/>
        </w:rPr>
        <w:t xml:space="preserve">Physiologically-based pharmacokinetic simulation </w:t>
      </w:r>
      <w:r w:rsidR="001D7A10" w:rsidRPr="00E223AF">
        <w:rPr>
          <w:color w:val="auto"/>
        </w:rPr>
        <w:t>does not predict a significant effect of</w:t>
      </w:r>
      <w:r w:rsidR="005F393A" w:rsidRPr="00E223AF">
        <w:rPr>
          <w:color w:val="auto"/>
        </w:rPr>
        <w:t xml:space="preserve"> </w:t>
      </w:r>
      <w:r w:rsidRPr="00E223AF">
        <w:rPr>
          <w:color w:val="auto"/>
        </w:rPr>
        <w:t xml:space="preserve">entrectinib </w:t>
      </w:r>
      <w:r w:rsidR="001D7A10" w:rsidRPr="00E223AF">
        <w:rPr>
          <w:color w:val="auto"/>
        </w:rPr>
        <w:t xml:space="preserve">on the pharmacokinetics of </w:t>
      </w:r>
      <w:proofErr w:type="spellStart"/>
      <w:r w:rsidRPr="00E223AF">
        <w:rPr>
          <w:color w:val="auto"/>
        </w:rPr>
        <w:t>ethinyl</w:t>
      </w:r>
      <w:proofErr w:type="spellEnd"/>
      <w:r w:rsidRPr="00E223AF">
        <w:rPr>
          <w:color w:val="auto"/>
        </w:rPr>
        <w:t xml:space="preserve"> </w:t>
      </w:r>
      <w:proofErr w:type="spellStart"/>
      <w:r w:rsidR="005F393A" w:rsidRPr="00E223AF">
        <w:rPr>
          <w:color w:val="auto"/>
        </w:rPr>
        <w:t>o</w:t>
      </w:r>
      <w:r w:rsidRPr="00E223AF">
        <w:rPr>
          <w:color w:val="auto"/>
        </w:rPr>
        <w:t>estradiol</w:t>
      </w:r>
      <w:proofErr w:type="spellEnd"/>
      <w:r w:rsidRPr="00E223AF">
        <w:rPr>
          <w:color w:val="auto"/>
        </w:rPr>
        <w:t xml:space="preserve">. </w:t>
      </w:r>
    </w:p>
    <w:p w14:paraId="6724DC83" w14:textId="77777777" w:rsidR="00602F20" w:rsidRPr="00E223AF" w:rsidRDefault="00602F20" w:rsidP="00661B05">
      <w:pPr>
        <w:pStyle w:val="Heading3"/>
        <w:rPr>
          <w:color w:val="auto"/>
        </w:rPr>
      </w:pPr>
      <w:r w:rsidRPr="00E223AF">
        <w:rPr>
          <w:color w:val="auto"/>
        </w:rPr>
        <w:t>Effects of other drugs on entrectinib</w:t>
      </w:r>
    </w:p>
    <w:p w14:paraId="246AF4DE" w14:textId="69611281" w:rsidR="00602F20" w:rsidRPr="00E223AF" w:rsidRDefault="00602F20" w:rsidP="00661B05">
      <w:pPr>
        <w:pStyle w:val="Heading4"/>
        <w:rPr>
          <w:color w:val="auto"/>
        </w:rPr>
      </w:pPr>
      <w:r w:rsidRPr="00E223AF">
        <w:rPr>
          <w:color w:val="auto"/>
        </w:rPr>
        <w:t xml:space="preserve">CYP3A inducers </w:t>
      </w:r>
    </w:p>
    <w:p w14:paraId="6BB75AFF" w14:textId="1E91BB1E" w:rsidR="00602F20" w:rsidRPr="00E223AF" w:rsidRDefault="00602F20" w:rsidP="00285A04">
      <w:pPr>
        <w:rPr>
          <w:color w:val="auto"/>
        </w:rPr>
      </w:pPr>
      <w:r w:rsidRPr="00E223AF">
        <w:rPr>
          <w:color w:val="auto"/>
        </w:rPr>
        <w:t xml:space="preserve">Co-administration of a single oral </w:t>
      </w:r>
      <w:r w:rsidR="00966254" w:rsidRPr="00E223AF">
        <w:rPr>
          <w:color w:val="auto"/>
        </w:rPr>
        <w:t xml:space="preserve">600 mg </w:t>
      </w:r>
      <w:r w:rsidRPr="00E223AF">
        <w:rPr>
          <w:color w:val="auto"/>
        </w:rPr>
        <w:t>dose of</w:t>
      </w:r>
      <w:r w:rsidR="00966254" w:rsidRPr="00E223AF">
        <w:rPr>
          <w:color w:val="auto"/>
        </w:rPr>
        <w:t xml:space="preserve"> </w:t>
      </w:r>
      <w:r w:rsidRPr="00E223AF">
        <w:rPr>
          <w:color w:val="auto"/>
        </w:rPr>
        <w:t xml:space="preserve"> entrectinib</w:t>
      </w:r>
      <w:r w:rsidR="00966254" w:rsidRPr="00E223AF">
        <w:rPr>
          <w:color w:val="auto"/>
        </w:rPr>
        <w:t xml:space="preserve"> with rifampicin (a strong CYP3A inducer) </w:t>
      </w:r>
      <w:r w:rsidRPr="00E223AF">
        <w:rPr>
          <w:color w:val="auto"/>
        </w:rPr>
        <w:t xml:space="preserve">reduced entrectinib </w:t>
      </w:r>
      <w:proofErr w:type="spellStart"/>
      <w:r w:rsidR="00966254" w:rsidRPr="00E223AF">
        <w:rPr>
          <w:color w:val="auto"/>
        </w:rPr>
        <w:t>AUC</w:t>
      </w:r>
      <w:r w:rsidR="00966254" w:rsidRPr="00E223AF">
        <w:rPr>
          <w:color w:val="auto"/>
          <w:vertAlign w:val="subscript"/>
        </w:rPr>
        <w:t>inf</w:t>
      </w:r>
      <w:proofErr w:type="spellEnd"/>
      <w:r w:rsidR="00966254" w:rsidRPr="00E223AF">
        <w:rPr>
          <w:color w:val="auto"/>
        </w:rPr>
        <w:t xml:space="preserve"> </w:t>
      </w:r>
      <w:r w:rsidRPr="00E223AF">
        <w:rPr>
          <w:color w:val="auto"/>
        </w:rPr>
        <w:t>by 77%</w:t>
      </w:r>
      <w:r w:rsidR="00966254" w:rsidRPr="00E223AF">
        <w:rPr>
          <w:color w:val="auto"/>
        </w:rPr>
        <w:t xml:space="preserve"> and </w:t>
      </w:r>
      <w:proofErr w:type="spellStart"/>
      <w:r w:rsidR="00966254" w:rsidRPr="00E223AF">
        <w:rPr>
          <w:color w:val="auto"/>
        </w:rPr>
        <w:t>C</w:t>
      </w:r>
      <w:r w:rsidR="00966254" w:rsidRPr="00E223AF">
        <w:rPr>
          <w:color w:val="auto"/>
          <w:vertAlign w:val="subscript"/>
        </w:rPr>
        <w:t>max</w:t>
      </w:r>
      <w:proofErr w:type="spellEnd"/>
      <w:r w:rsidR="00966254" w:rsidRPr="00E223AF">
        <w:rPr>
          <w:color w:val="auto"/>
        </w:rPr>
        <w:t xml:space="preserve"> by 56%</w:t>
      </w:r>
      <w:r w:rsidRPr="00E223AF">
        <w:rPr>
          <w:color w:val="auto"/>
        </w:rPr>
        <w:t>.</w:t>
      </w:r>
      <w:r w:rsidR="00966254" w:rsidRPr="00E223AF">
        <w:rPr>
          <w:color w:val="auto"/>
        </w:rPr>
        <w:t xml:space="preserve"> Co-administration of a moderate CYP3A inducer with Rozlytrek is predicted to reduce AUC</w:t>
      </w:r>
      <w:r w:rsidR="00966254" w:rsidRPr="00E223AF">
        <w:rPr>
          <w:color w:val="auto"/>
          <w:vertAlign w:val="subscript"/>
        </w:rPr>
        <w:t>0-tau</w:t>
      </w:r>
      <w:r w:rsidR="00966254" w:rsidRPr="00E223AF">
        <w:rPr>
          <w:i/>
          <w:color w:val="auto"/>
        </w:rPr>
        <w:t xml:space="preserve"> </w:t>
      </w:r>
      <w:r w:rsidR="00966254" w:rsidRPr="00E223AF">
        <w:rPr>
          <w:color w:val="auto"/>
        </w:rPr>
        <w:t xml:space="preserve">by 56% and </w:t>
      </w:r>
      <w:proofErr w:type="spellStart"/>
      <w:r w:rsidR="00966254" w:rsidRPr="00E223AF">
        <w:rPr>
          <w:color w:val="auto"/>
        </w:rPr>
        <w:t>C</w:t>
      </w:r>
      <w:r w:rsidR="00966254" w:rsidRPr="00E223AF">
        <w:rPr>
          <w:color w:val="auto"/>
          <w:vertAlign w:val="subscript"/>
        </w:rPr>
        <w:t>max</w:t>
      </w:r>
      <w:proofErr w:type="spellEnd"/>
      <w:r w:rsidR="00966254" w:rsidRPr="00E223AF">
        <w:rPr>
          <w:color w:val="auto"/>
        </w:rPr>
        <w:t xml:space="preserve"> by 43%.</w:t>
      </w:r>
      <w:r w:rsidRPr="00E223AF">
        <w:rPr>
          <w:color w:val="auto"/>
        </w:rPr>
        <w:t xml:space="preserve"> </w:t>
      </w:r>
      <w:r w:rsidR="00285A04" w:rsidRPr="00E223AF">
        <w:rPr>
          <w:color w:val="auto"/>
        </w:rPr>
        <w:t>S</w:t>
      </w:r>
      <w:r w:rsidRPr="00E223AF">
        <w:rPr>
          <w:color w:val="auto"/>
        </w:rPr>
        <w:t xml:space="preserve">ee </w:t>
      </w:r>
      <w:r w:rsidR="008E4554" w:rsidRPr="00E223AF">
        <w:rPr>
          <w:color w:val="auto"/>
        </w:rPr>
        <w:t xml:space="preserve">section </w:t>
      </w:r>
      <w:r w:rsidR="00E520D8" w:rsidRPr="00E223AF">
        <w:rPr>
          <w:color w:val="auto"/>
        </w:rPr>
        <w:t xml:space="preserve">4.2 </w:t>
      </w:r>
      <w:r w:rsidR="009150C5" w:rsidRPr="00E223AF">
        <w:rPr>
          <w:i/>
          <w:color w:val="auto"/>
        </w:rPr>
        <w:t>Dose and method of administration</w:t>
      </w:r>
      <w:r w:rsidR="00285A04" w:rsidRPr="00E223AF">
        <w:rPr>
          <w:i/>
          <w:color w:val="auto"/>
        </w:rPr>
        <w:t xml:space="preserve"> – Dose modifications for specific medicine interactions</w:t>
      </w:r>
      <w:r w:rsidRPr="00E223AF">
        <w:rPr>
          <w:color w:val="auto"/>
        </w:rPr>
        <w:t>.</w:t>
      </w:r>
    </w:p>
    <w:p w14:paraId="2A8170E4" w14:textId="435A767F" w:rsidR="00602F20" w:rsidRPr="00E223AF" w:rsidRDefault="00661B05" w:rsidP="00661B05">
      <w:pPr>
        <w:pStyle w:val="Heading4"/>
        <w:rPr>
          <w:color w:val="auto"/>
        </w:rPr>
      </w:pPr>
      <w:r w:rsidRPr="00E223AF">
        <w:rPr>
          <w:color w:val="auto"/>
        </w:rPr>
        <w:t>CYP3A inhibitors</w:t>
      </w:r>
    </w:p>
    <w:p w14:paraId="768062CA" w14:textId="74865642" w:rsidR="00285A04" w:rsidRPr="00E223AF" w:rsidRDefault="00602F20" w:rsidP="00285A04">
      <w:pPr>
        <w:rPr>
          <w:color w:val="auto"/>
        </w:rPr>
      </w:pPr>
      <w:r w:rsidRPr="00E223AF">
        <w:rPr>
          <w:color w:val="auto"/>
        </w:rPr>
        <w:t>Co-administration of a single oral</w:t>
      </w:r>
      <w:r w:rsidR="00285A04" w:rsidRPr="00E223AF">
        <w:rPr>
          <w:color w:val="auto"/>
        </w:rPr>
        <w:t xml:space="preserve"> 1</w:t>
      </w:r>
      <w:r w:rsidR="00966254" w:rsidRPr="00E223AF">
        <w:rPr>
          <w:color w:val="auto"/>
        </w:rPr>
        <w:t>00 mg</w:t>
      </w:r>
      <w:r w:rsidRPr="00E223AF">
        <w:rPr>
          <w:color w:val="auto"/>
        </w:rPr>
        <w:t xml:space="preserve"> dose of entrectinib with </w:t>
      </w:r>
      <w:proofErr w:type="spellStart"/>
      <w:r w:rsidRPr="00E223AF">
        <w:rPr>
          <w:color w:val="auto"/>
        </w:rPr>
        <w:t>itraconazole</w:t>
      </w:r>
      <w:proofErr w:type="spellEnd"/>
      <w:r w:rsidR="00966254" w:rsidRPr="00E223AF">
        <w:rPr>
          <w:color w:val="auto"/>
        </w:rPr>
        <w:t xml:space="preserve"> (</w:t>
      </w:r>
      <w:r w:rsidRPr="00E223AF">
        <w:rPr>
          <w:color w:val="auto"/>
        </w:rPr>
        <w:t>a strong CYP3A4 inhibitor</w:t>
      </w:r>
      <w:r w:rsidR="00285A04" w:rsidRPr="00E223AF">
        <w:rPr>
          <w:color w:val="auto"/>
        </w:rPr>
        <w:t>)</w:t>
      </w:r>
      <w:r w:rsidRPr="00E223AF">
        <w:rPr>
          <w:color w:val="auto"/>
        </w:rPr>
        <w:t xml:space="preserve"> increased entrectinib </w:t>
      </w:r>
      <w:proofErr w:type="spellStart"/>
      <w:r w:rsidR="00285A04" w:rsidRPr="00E223AF">
        <w:rPr>
          <w:color w:val="auto"/>
        </w:rPr>
        <w:t>AUC</w:t>
      </w:r>
      <w:r w:rsidR="00285A04" w:rsidRPr="00E223AF">
        <w:rPr>
          <w:color w:val="auto"/>
          <w:vertAlign w:val="subscript"/>
        </w:rPr>
        <w:t>inf</w:t>
      </w:r>
      <w:proofErr w:type="spellEnd"/>
      <w:r w:rsidR="00285A04" w:rsidRPr="00E223AF">
        <w:rPr>
          <w:color w:val="auto"/>
        </w:rPr>
        <w:t xml:space="preserve"> by 504% (6-fold) and </w:t>
      </w:r>
      <w:proofErr w:type="spellStart"/>
      <w:r w:rsidR="00285A04" w:rsidRPr="00E223AF">
        <w:rPr>
          <w:color w:val="auto"/>
        </w:rPr>
        <w:t>C</w:t>
      </w:r>
      <w:r w:rsidR="00285A04" w:rsidRPr="00E223AF">
        <w:rPr>
          <w:color w:val="auto"/>
          <w:vertAlign w:val="subscript"/>
        </w:rPr>
        <w:t>max</w:t>
      </w:r>
      <w:proofErr w:type="spellEnd"/>
      <w:r w:rsidR="00285A04" w:rsidRPr="00E223AF">
        <w:rPr>
          <w:color w:val="auto"/>
        </w:rPr>
        <w:t xml:space="preserve"> by 73</w:t>
      </w:r>
      <w:r w:rsidRPr="00E223AF">
        <w:rPr>
          <w:color w:val="auto"/>
        </w:rPr>
        <w:t xml:space="preserve">%. </w:t>
      </w:r>
      <w:r w:rsidR="00285A04" w:rsidRPr="00E223AF">
        <w:rPr>
          <w:color w:val="auto"/>
        </w:rPr>
        <w:t>Co-administration of a moderate CYP3A inhibitor with Rozlytrek is predicted to increase entrectinib AUC</w:t>
      </w:r>
      <w:r w:rsidR="00285A04" w:rsidRPr="00E223AF">
        <w:rPr>
          <w:color w:val="auto"/>
          <w:vertAlign w:val="subscript"/>
        </w:rPr>
        <w:t>0-Tau</w:t>
      </w:r>
      <w:r w:rsidR="00285A04" w:rsidRPr="00E223AF">
        <w:rPr>
          <w:color w:val="auto"/>
        </w:rPr>
        <w:t xml:space="preserve"> by 3-fold and </w:t>
      </w:r>
      <w:proofErr w:type="spellStart"/>
      <w:r w:rsidR="00285A04" w:rsidRPr="00E223AF">
        <w:rPr>
          <w:color w:val="auto"/>
        </w:rPr>
        <w:t>C</w:t>
      </w:r>
      <w:r w:rsidR="00285A04" w:rsidRPr="00E223AF">
        <w:rPr>
          <w:color w:val="auto"/>
          <w:vertAlign w:val="subscript"/>
        </w:rPr>
        <w:t>max</w:t>
      </w:r>
      <w:proofErr w:type="spellEnd"/>
      <w:r w:rsidR="00285A04" w:rsidRPr="00E223AF">
        <w:rPr>
          <w:color w:val="auto"/>
        </w:rPr>
        <w:t xml:space="preserve"> by 2.9-fold. See section 4.2 </w:t>
      </w:r>
      <w:r w:rsidR="00285A04" w:rsidRPr="00E223AF">
        <w:rPr>
          <w:i/>
          <w:color w:val="auto"/>
        </w:rPr>
        <w:t>Dose and method of administration – Dose modifications for specific medicine interactions</w:t>
      </w:r>
      <w:r w:rsidR="00285A04" w:rsidRPr="00E223AF">
        <w:rPr>
          <w:color w:val="auto"/>
        </w:rPr>
        <w:t>.</w:t>
      </w:r>
    </w:p>
    <w:p w14:paraId="6F43D625" w14:textId="2B012A14" w:rsidR="00602F20" w:rsidRPr="00E223AF" w:rsidRDefault="00602F20" w:rsidP="00661B05">
      <w:pPr>
        <w:pStyle w:val="Heading4"/>
        <w:rPr>
          <w:color w:val="auto"/>
        </w:rPr>
      </w:pPr>
      <w:r w:rsidRPr="00E223AF">
        <w:rPr>
          <w:color w:val="auto"/>
        </w:rPr>
        <w:t xml:space="preserve">Medicinal products that increase gastric pH </w:t>
      </w:r>
    </w:p>
    <w:p w14:paraId="187B4A52" w14:textId="7674D551" w:rsidR="00602F20" w:rsidRPr="00E223AF" w:rsidRDefault="00512DDA" w:rsidP="00602F20">
      <w:pPr>
        <w:rPr>
          <w:color w:val="auto"/>
        </w:rPr>
      </w:pPr>
      <w:r w:rsidRPr="00E223AF">
        <w:rPr>
          <w:color w:val="auto"/>
        </w:rPr>
        <w:t>Co-</w:t>
      </w:r>
      <w:r w:rsidR="00602F20" w:rsidRPr="00E223AF">
        <w:rPr>
          <w:color w:val="auto"/>
        </w:rPr>
        <w:t xml:space="preserve">administration of </w:t>
      </w:r>
      <w:r w:rsidRPr="00E223AF">
        <w:rPr>
          <w:color w:val="auto"/>
        </w:rPr>
        <w:t xml:space="preserve">a single oral 600 mg dose of </w:t>
      </w:r>
      <w:r w:rsidR="00602F20" w:rsidRPr="00E223AF">
        <w:rPr>
          <w:color w:val="auto"/>
        </w:rPr>
        <w:t xml:space="preserve">entrectinib with lansoprazole (a proton pump inhibitor </w:t>
      </w:r>
      <w:r w:rsidR="00661B05" w:rsidRPr="00E223AF">
        <w:rPr>
          <w:color w:val="auto"/>
        </w:rPr>
        <w:t>[</w:t>
      </w:r>
      <w:r w:rsidR="00602F20" w:rsidRPr="00E223AF">
        <w:rPr>
          <w:color w:val="auto"/>
        </w:rPr>
        <w:t>PPI</w:t>
      </w:r>
      <w:r w:rsidR="00661B05" w:rsidRPr="00E223AF">
        <w:rPr>
          <w:color w:val="auto"/>
        </w:rPr>
        <w:t>]</w:t>
      </w:r>
      <w:r w:rsidR="00602F20" w:rsidRPr="00E223AF">
        <w:rPr>
          <w:color w:val="auto"/>
        </w:rPr>
        <w:t>)</w:t>
      </w:r>
      <w:r w:rsidRPr="00E223AF">
        <w:rPr>
          <w:color w:val="auto"/>
        </w:rPr>
        <w:t xml:space="preserve"> </w:t>
      </w:r>
      <w:r w:rsidR="00602F20" w:rsidRPr="00E223AF">
        <w:rPr>
          <w:color w:val="auto"/>
        </w:rPr>
        <w:t>decrease</w:t>
      </w:r>
      <w:r w:rsidRPr="00E223AF">
        <w:rPr>
          <w:color w:val="auto"/>
        </w:rPr>
        <w:t>d</w:t>
      </w:r>
      <w:r w:rsidR="00602F20" w:rsidRPr="00E223AF">
        <w:rPr>
          <w:color w:val="auto"/>
        </w:rPr>
        <w:t xml:space="preserve"> entrectinib </w:t>
      </w:r>
      <w:proofErr w:type="spellStart"/>
      <w:r w:rsidR="008E4554" w:rsidRPr="00E223AF">
        <w:rPr>
          <w:color w:val="auto"/>
        </w:rPr>
        <w:t>AUC</w:t>
      </w:r>
      <w:r w:rsidR="008E4554" w:rsidRPr="00E223AF">
        <w:rPr>
          <w:color w:val="auto"/>
          <w:vertAlign w:val="subscript"/>
        </w:rPr>
        <w:t>inf</w:t>
      </w:r>
      <w:proofErr w:type="spellEnd"/>
      <w:r w:rsidR="008E4554" w:rsidRPr="00E223AF">
        <w:rPr>
          <w:color w:val="auto"/>
        </w:rPr>
        <w:t xml:space="preserve"> </w:t>
      </w:r>
      <w:r w:rsidRPr="00E223AF">
        <w:rPr>
          <w:color w:val="auto"/>
        </w:rPr>
        <w:t>by 25%</w:t>
      </w:r>
      <w:r w:rsidR="008E4554" w:rsidRPr="00E223AF">
        <w:rPr>
          <w:color w:val="auto"/>
        </w:rPr>
        <w:t xml:space="preserve"> and </w:t>
      </w:r>
      <w:proofErr w:type="spellStart"/>
      <w:r w:rsidR="008E4554" w:rsidRPr="00E223AF">
        <w:rPr>
          <w:color w:val="auto"/>
        </w:rPr>
        <w:t>C</w:t>
      </w:r>
      <w:r w:rsidR="008E4554" w:rsidRPr="00E223AF">
        <w:rPr>
          <w:color w:val="auto"/>
          <w:vertAlign w:val="subscript"/>
        </w:rPr>
        <w:t>max</w:t>
      </w:r>
      <w:proofErr w:type="spellEnd"/>
      <w:r w:rsidR="008E4554" w:rsidRPr="00E223AF">
        <w:rPr>
          <w:color w:val="auto"/>
        </w:rPr>
        <w:t xml:space="preserve"> </w:t>
      </w:r>
      <w:r w:rsidR="008545B5" w:rsidRPr="00E223AF">
        <w:rPr>
          <w:color w:val="auto"/>
        </w:rPr>
        <w:t>by 23%</w:t>
      </w:r>
      <w:r w:rsidR="00602F20" w:rsidRPr="00E223AF">
        <w:rPr>
          <w:color w:val="auto"/>
        </w:rPr>
        <w:t xml:space="preserve">.   </w:t>
      </w:r>
    </w:p>
    <w:p w14:paraId="09E41E1E" w14:textId="77777777" w:rsidR="00EE7129" w:rsidRPr="00E223AF" w:rsidRDefault="00EE7129">
      <w:pPr>
        <w:rPr>
          <w:color w:val="auto"/>
        </w:rPr>
      </w:pPr>
    </w:p>
    <w:p w14:paraId="0F640D37" w14:textId="77777777" w:rsidR="00D52399" w:rsidRPr="00E223AF" w:rsidRDefault="00902EBE" w:rsidP="009F4C5B">
      <w:pPr>
        <w:pStyle w:val="Heading2"/>
        <w:spacing w:before="0"/>
        <w:rPr>
          <w:color w:val="auto"/>
        </w:rPr>
      </w:pPr>
      <w:r w:rsidRPr="00E223AF">
        <w:rPr>
          <w:color w:val="auto"/>
        </w:rPr>
        <w:t>4.6</w:t>
      </w:r>
      <w:r w:rsidRPr="00E223AF">
        <w:rPr>
          <w:color w:val="auto"/>
        </w:rPr>
        <w:tab/>
        <w:t>FERTILITY, PREGNANCY AND LACTATION</w:t>
      </w:r>
    </w:p>
    <w:p w14:paraId="320EEE8B" w14:textId="735CC49D" w:rsidR="00B1134D" w:rsidRPr="00E223AF" w:rsidRDefault="00A250F4" w:rsidP="00B1134D">
      <w:pPr>
        <w:pStyle w:val="Heading3"/>
        <w:rPr>
          <w:color w:val="auto"/>
        </w:rPr>
      </w:pPr>
      <w:r w:rsidRPr="00E223AF">
        <w:rPr>
          <w:color w:val="auto"/>
        </w:rPr>
        <w:t>Effects on f</w:t>
      </w:r>
      <w:r w:rsidR="00674CFD" w:rsidRPr="00E223AF">
        <w:rPr>
          <w:color w:val="auto"/>
        </w:rPr>
        <w:t>ertility</w:t>
      </w:r>
    </w:p>
    <w:p w14:paraId="1955B55A" w14:textId="6651BB22" w:rsidR="002721AC" w:rsidRPr="00E223AF" w:rsidRDefault="00E52764" w:rsidP="002721AC">
      <w:pPr>
        <w:rPr>
          <w:color w:val="auto"/>
        </w:rPr>
      </w:pPr>
      <w:r w:rsidRPr="00E223AF">
        <w:rPr>
          <w:color w:val="auto"/>
        </w:rPr>
        <w:t xml:space="preserve">Dedicated toxicological fertility </w:t>
      </w:r>
      <w:r w:rsidR="002721AC" w:rsidRPr="00E223AF">
        <w:rPr>
          <w:color w:val="auto"/>
        </w:rPr>
        <w:t xml:space="preserve">studies </w:t>
      </w:r>
      <w:r w:rsidRPr="00E223AF">
        <w:rPr>
          <w:color w:val="auto"/>
        </w:rPr>
        <w:t xml:space="preserve">of entrectinib </w:t>
      </w:r>
      <w:r w:rsidR="002721AC" w:rsidRPr="00E223AF">
        <w:rPr>
          <w:color w:val="auto"/>
        </w:rPr>
        <w:t xml:space="preserve">have </w:t>
      </w:r>
      <w:r w:rsidRPr="00E223AF">
        <w:rPr>
          <w:color w:val="auto"/>
        </w:rPr>
        <w:t xml:space="preserve">not </w:t>
      </w:r>
      <w:r w:rsidR="002721AC" w:rsidRPr="00E223AF">
        <w:rPr>
          <w:color w:val="auto"/>
        </w:rPr>
        <w:t xml:space="preserve">been performed. </w:t>
      </w:r>
      <w:r w:rsidRPr="00E223AF">
        <w:rPr>
          <w:color w:val="auto"/>
        </w:rPr>
        <w:t xml:space="preserve">In general toxicology studies, with </w:t>
      </w:r>
      <w:r w:rsidR="005C55EB" w:rsidRPr="00E223AF">
        <w:rPr>
          <w:color w:val="auto"/>
        </w:rPr>
        <w:t>the exception of dose</w:t>
      </w:r>
      <w:r w:rsidRPr="00E223AF">
        <w:rPr>
          <w:color w:val="auto"/>
        </w:rPr>
        <w:t>-</w:t>
      </w:r>
      <w:r w:rsidR="005C55EB" w:rsidRPr="00E223AF">
        <w:rPr>
          <w:color w:val="auto"/>
        </w:rPr>
        <w:t>dependent decreases in prostate weight in male dogs</w:t>
      </w:r>
      <w:r w:rsidRPr="00E223AF">
        <w:rPr>
          <w:color w:val="auto"/>
        </w:rPr>
        <w:t>,</w:t>
      </w:r>
      <w:r w:rsidR="005C55EB" w:rsidRPr="00E223AF">
        <w:rPr>
          <w:color w:val="auto"/>
        </w:rPr>
        <w:t xml:space="preserve"> n</w:t>
      </w:r>
      <w:r w:rsidR="002721AC" w:rsidRPr="00E223AF">
        <w:rPr>
          <w:color w:val="auto"/>
        </w:rPr>
        <w:t xml:space="preserve">o effects of entrectinib on reproductive organs were observed in rats </w:t>
      </w:r>
      <w:r w:rsidRPr="00E223AF">
        <w:rPr>
          <w:color w:val="auto"/>
        </w:rPr>
        <w:t xml:space="preserve">or </w:t>
      </w:r>
      <w:r w:rsidR="002721AC" w:rsidRPr="00E223AF">
        <w:rPr>
          <w:color w:val="auto"/>
        </w:rPr>
        <w:t xml:space="preserve">dogs at </w:t>
      </w:r>
      <w:r w:rsidR="00EA7AF5" w:rsidRPr="00E223AF">
        <w:rPr>
          <w:color w:val="auto"/>
        </w:rPr>
        <w:t xml:space="preserve">doses resulting in </w:t>
      </w:r>
      <w:r w:rsidR="00D972A5" w:rsidRPr="00E223AF">
        <w:rPr>
          <w:color w:val="auto"/>
        </w:rPr>
        <w:t xml:space="preserve">exposures </w:t>
      </w:r>
      <w:r w:rsidR="00EA7AF5" w:rsidRPr="00E223AF">
        <w:rPr>
          <w:color w:val="auto"/>
        </w:rPr>
        <w:t>up to approximately 3.2 times</w:t>
      </w:r>
      <w:r w:rsidR="00D972A5" w:rsidRPr="00E223AF">
        <w:rPr>
          <w:color w:val="auto"/>
        </w:rPr>
        <w:t xml:space="preserve"> </w:t>
      </w:r>
      <w:r w:rsidR="002721AC" w:rsidRPr="00E223AF">
        <w:rPr>
          <w:color w:val="auto"/>
        </w:rPr>
        <w:t xml:space="preserve">the human exposure </w:t>
      </w:r>
      <w:r w:rsidR="00EA7AF5" w:rsidRPr="00E223AF">
        <w:rPr>
          <w:color w:val="auto"/>
        </w:rPr>
        <w:t>(</w:t>
      </w:r>
      <w:r w:rsidR="002721AC" w:rsidRPr="00E223AF">
        <w:rPr>
          <w:color w:val="auto"/>
        </w:rPr>
        <w:t>AUC</w:t>
      </w:r>
      <w:r w:rsidR="00EA7AF5" w:rsidRPr="00E223AF">
        <w:rPr>
          <w:color w:val="auto"/>
        </w:rPr>
        <w:t>)</w:t>
      </w:r>
      <w:r w:rsidR="002721AC" w:rsidRPr="00E223AF">
        <w:rPr>
          <w:color w:val="auto"/>
        </w:rPr>
        <w:t xml:space="preserve"> at the recommended human dose</w:t>
      </w:r>
      <w:r w:rsidR="00EA7AF5" w:rsidRPr="00E223AF">
        <w:rPr>
          <w:color w:val="auto"/>
        </w:rPr>
        <w:t xml:space="preserve"> (600 mg)</w:t>
      </w:r>
      <w:r w:rsidR="002721AC" w:rsidRPr="00E223AF">
        <w:rPr>
          <w:color w:val="auto"/>
        </w:rPr>
        <w:t>.</w:t>
      </w:r>
    </w:p>
    <w:p w14:paraId="01E20744" w14:textId="7B59E31C" w:rsidR="00B1134D" w:rsidRPr="00E223AF" w:rsidRDefault="00674CFD" w:rsidP="00B1134D">
      <w:pPr>
        <w:pStyle w:val="Heading3"/>
        <w:rPr>
          <w:color w:val="auto"/>
        </w:rPr>
      </w:pPr>
      <w:r w:rsidRPr="00E223AF">
        <w:rPr>
          <w:color w:val="auto"/>
        </w:rPr>
        <w:lastRenderedPageBreak/>
        <w:t xml:space="preserve">Use in pregnancy </w:t>
      </w:r>
      <w:r w:rsidR="00405E7C" w:rsidRPr="00E223AF">
        <w:rPr>
          <w:color w:val="auto"/>
        </w:rPr>
        <w:t>- Category D</w:t>
      </w:r>
    </w:p>
    <w:p w14:paraId="104F1F1E" w14:textId="685B4DD3" w:rsidR="002721AC" w:rsidRPr="00E223AF" w:rsidDel="00D17083" w:rsidRDefault="00E52764" w:rsidP="00596DF6">
      <w:pPr>
        <w:rPr>
          <w:color w:val="auto"/>
        </w:rPr>
      </w:pPr>
      <w:r w:rsidRPr="00E223AF">
        <w:rPr>
          <w:color w:val="auto"/>
        </w:rPr>
        <w:t>There are no available data on the use of Rozlytrek in pregnant women, but b</w:t>
      </w:r>
      <w:r w:rsidR="002721AC" w:rsidRPr="00E223AF">
        <w:rPr>
          <w:color w:val="auto"/>
        </w:rPr>
        <w:t xml:space="preserve">ased on </w:t>
      </w:r>
      <w:r w:rsidR="00025091" w:rsidRPr="00E223AF">
        <w:rPr>
          <w:color w:val="auto"/>
        </w:rPr>
        <w:t xml:space="preserve">its </w:t>
      </w:r>
      <w:r w:rsidRPr="00E223AF">
        <w:rPr>
          <w:color w:val="auto"/>
        </w:rPr>
        <w:t xml:space="preserve">mechanism of action, </w:t>
      </w:r>
      <w:r w:rsidR="002721AC" w:rsidRPr="00E223AF">
        <w:rPr>
          <w:color w:val="auto"/>
        </w:rPr>
        <w:t>findings in animal studies</w:t>
      </w:r>
      <w:r w:rsidRPr="00E223AF">
        <w:rPr>
          <w:color w:val="auto"/>
        </w:rPr>
        <w:t xml:space="preserve"> (see below)</w:t>
      </w:r>
      <w:r w:rsidR="00D17083" w:rsidRPr="00E223AF">
        <w:rPr>
          <w:color w:val="auto"/>
        </w:rPr>
        <w:t>,</w:t>
      </w:r>
      <w:r w:rsidR="00A250F4" w:rsidRPr="00E223AF">
        <w:rPr>
          <w:color w:val="auto"/>
        </w:rPr>
        <w:t xml:space="preserve"> </w:t>
      </w:r>
      <w:r w:rsidR="00D17083" w:rsidRPr="00E223AF">
        <w:rPr>
          <w:color w:val="auto"/>
        </w:rPr>
        <w:t xml:space="preserve">and </w:t>
      </w:r>
      <w:r w:rsidRPr="00E223AF">
        <w:rPr>
          <w:color w:val="auto"/>
        </w:rPr>
        <w:t>published clinical case reports of inherited NTRK pathway deficiencies (see below)</w:t>
      </w:r>
      <w:r w:rsidR="002721AC" w:rsidRPr="00E223AF">
        <w:rPr>
          <w:color w:val="auto"/>
        </w:rPr>
        <w:t xml:space="preserve">, </w:t>
      </w:r>
      <w:r w:rsidR="00AC22FD" w:rsidRPr="00E223AF">
        <w:rPr>
          <w:color w:val="auto"/>
        </w:rPr>
        <w:t>Rozlytrek</w:t>
      </w:r>
      <w:r w:rsidR="002721AC" w:rsidRPr="00E223AF">
        <w:rPr>
          <w:color w:val="auto"/>
        </w:rPr>
        <w:t xml:space="preserve"> </w:t>
      </w:r>
      <w:r w:rsidR="00D17083" w:rsidRPr="00E223AF">
        <w:rPr>
          <w:color w:val="auto"/>
        </w:rPr>
        <w:t xml:space="preserve">can </w:t>
      </w:r>
      <w:r w:rsidR="002721AC" w:rsidRPr="00E223AF">
        <w:rPr>
          <w:color w:val="auto"/>
        </w:rPr>
        <w:t xml:space="preserve">cause </w:t>
      </w:r>
      <w:r w:rsidR="00051D67" w:rsidRPr="00E223AF">
        <w:rPr>
          <w:color w:val="auto"/>
        </w:rPr>
        <w:t>embryo-</w:t>
      </w:r>
      <w:proofErr w:type="spellStart"/>
      <w:r w:rsidR="00D972A5" w:rsidRPr="00E223AF">
        <w:rPr>
          <w:color w:val="auto"/>
        </w:rPr>
        <w:t>fetal</w:t>
      </w:r>
      <w:proofErr w:type="spellEnd"/>
      <w:r w:rsidR="00D972A5" w:rsidRPr="00E223AF">
        <w:rPr>
          <w:color w:val="auto"/>
        </w:rPr>
        <w:t xml:space="preserve"> </w:t>
      </w:r>
      <w:r w:rsidR="002721AC" w:rsidRPr="00E223AF">
        <w:rPr>
          <w:color w:val="auto"/>
        </w:rPr>
        <w:t xml:space="preserve">harm when administered to a pregnant woman. </w:t>
      </w:r>
      <w:r w:rsidR="002C612F" w:rsidRPr="00E223AF">
        <w:rPr>
          <w:color w:val="auto"/>
        </w:rPr>
        <w:t>Advise</w:t>
      </w:r>
      <w:r w:rsidR="00D905CE" w:rsidRPr="00E223AF">
        <w:rPr>
          <w:color w:val="auto"/>
        </w:rPr>
        <w:t xml:space="preserve"> </w:t>
      </w:r>
      <w:r w:rsidR="00051D67" w:rsidRPr="00E223AF">
        <w:rPr>
          <w:color w:val="auto"/>
        </w:rPr>
        <w:t xml:space="preserve">all patients, including pregnant women, </w:t>
      </w:r>
      <w:r w:rsidR="002721AC" w:rsidRPr="00E223AF" w:rsidDel="00D17083">
        <w:rPr>
          <w:color w:val="auto"/>
        </w:rPr>
        <w:t xml:space="preserve">of the potential harm to </w:t>
      </w:r>
      <w:r w:rsidR="00D905CE" w:rsidRPr="00E223AF">
        <w:rPr>
          <w:color w:val="auto"/>
        </w:rPr>
        <w:t>a</w:t>
      </w:r>
      <w:r w:rsidR="00D905CE" w:rsidRPr="00E223AF" w:rsidDel="00D17083">
        <w:rPr>
          <w:color w:val="auto"/>
        </w:rPr>
        <w:t xml:space="preserve"> </w:t>
      </w:r>
      <w:proofErr w:type="spellStart"/>
      <w:r w:rsidR="00D972A5" w:rsidRPr="00E223AF" w:rsidDel="00D17083">
        <w:rPr>
          <w:color w:val="auto"/>
        </w:rPr>
        <w:t>fetus</w:t>
      </w:r>
      <w:proofErr w:type="spellEnd"/>
      <w:r w:rsidR="002721AC" w:rsidRPr="00E223AF" w:rsidDel="00D17083">
        <w:rPr>
          <w:color w:val="auto"/>
        </w:rPr>
        <w:t xml:space="preserve">.  </w:t>
      </w:r>
    </w:p>
    <w:p w14:paraId="162F339D" w14:textId="0914F9A3" w:rsidR="00A250F4" w:rsidRPr="00E223AF" w:rsidRDefault="0069205F" w:rsidP="006D2139">
      <w:pPr>
        <w:pStyle w:val="Heading4"/>
      </w:pPr>
      <w:r w:rsidRPr="00E223AF">
        <w:t>Human data</w:t>
      </w:r>
    </w:p>
    <w:p w14:paraId="0C344ECB" w14:textId="10DBA93C" w:rsidR="00E52764" w:rsidRPr="00E223AF" w:rsidRDefault="00E52764" w:rsidP="002721AC">
      <w:pPr>
        <w:rPr>
          <w:color w:val="auto"/>
        </w:rPr>
      </w:pPr>
      <w:r w:rsidRPr="00E223AF">
        <w:rPr>
          <w:color w:val="auto"/>
        </w:rPr>
        <w:t xml:space="preserve">Published reports of individuals with congenital mutations in TRK pathway proteins suggest that decreases in TRK-mediated signalling are correlated with obesity, developmental delays, cognitive impairment, insensitivity to pain, and </w:t>
      </w:r>
      <w:proofErr w:type="spellStart"/>
      <w:r w:rsidRPr="00E223AF">
        <w:rPr>
          <w:color w:val="auto"/>
        </w:rPr>
        <w:t>anhidrosis</w:t>
      </w:r>
      <w:proofErr w:type="spellEnd"/>
      <w:r w:rsidRPr="00E223AF">
        <w:rPr>
          <w:color w:val="auto"/>
        </w:rPr>
        <w:t>.</w:t>
      </w:r>
    </w:p>
    <w:p w14:paraId="5B6FC8BC" w14:textId="4FDFEA11" w:rsidR="00E52764" w:rsidRPr="00E223AF" w:rsidRDefault="0069205F" w:rsidP="006D2139">
      <w:pPr>
        <w:pStyle w:val="Heading4"/>
      </w:pPr>
      <w:r w:rsidRPr="00E223AF">
        <w:t>Animal data</w:t>
      </w:r>
    </w:p>
    <w:p w14:paraId="2DF9CD26" w14:textId="3BA79B0E" w:rsidR="007D3C82" w:rsidRPr="00E223AF" w:rsidRDefault="00D17083" w:rsidP="002721AC">
      <w:pPr>
        <w:rPr>
          <w:color w:val="auto"/>
        </w:rPr>
      </w:pPr>
      <w:r w:rsidRPr="00E223AF">
        <w:rPr>
          <w:color w:val="auto"/>
        </w:rPr>
        <w:t>Administration of entrectinib to pregnant rats</w:t>
      </w:r>
      <w:r w:rsidR="00C844B6" w:rsidRPr="00E223AF">
        <w:rPr>
          <w:color w:val="auto"/>
        </w:rPr>
        <w:t xml:space="preserve"> during the period of organogenesis at a dose of 200 mg/kg (resulting in exposures up to 2.7 times the human exposure (AUC) at the 600 mg dose)</w:t>
      </w:r>
      <w:r w:rsidRPr="00E223AF">
        <w:rPr>
          <w:color w:val="auto"/>
        </w:rPr>
        <w:t xml:space="preserve"> resulted in</w:t>
      </w:r>
      <w:r w:rsidR="002721AC" w:rsidRPr="00E223AF">
        <w:rPr>
          <w:color w:val="auto"/>
        </w:rPr>
        <w:t xml:space="preserve"> maternal toxicity (decreased body weight gain and food consumption) and </w:t>
      </w:r>
      <w:r w:rsidR="00025091" w:rsidRPr="00E223AF">
        <w:rPr>
          <w:color w:val="auto"/>
        </w:rPr>
        <w:t xml:space="preserve">resulted in </w:t>
      </w:r>
      <w:proofErr w:type="spellStart"/>
      <w:r w:rsidR="00D972A5" w:rsidRPr="00E223AF">
        <w:rPr>
          <w:color w:val="auto"/>
        </w:rPr>
        <w:t>fetal</w:t>
      </w:r>
      <w:proofErr w:type="spellEnd"/>
      <w:r w:rsidR="002721AC" w:rsidRPr="00E223AF">
        <w:rPr>
          <w:color w:val="auto"/>
        </w:rPr>
        <w:t xml:space="preserve"> malformations </w:t>
      </w:r>
      <w:r w:rsidR="00025091" w:rsidRPr="00E223AF">
        <w:rPr>
          <w:color w:val="auto"/>
        </w:rPr>
        <w:t>including</w:t>
      </w:r>
      <w:r w:rsidR="00C844B6" w:rsidRPr="00E223AF">
        <w:rPr>
          <w:color w:val="auto"/>
        </w:rPr>
        <w:t xml:space="preserve"> </w:t>
      </w:r>
      <w:r w:rsidR="002721AC" w:rsidRPr="00E223AF">
        <w:rPr>
          <w:color w:val="auto"/>
        </w:rPr>
        <w:t>body closure defects</w:t>
      </w:r>
      <w:r w:rsidR="00D972A5" w:rsidRPr="00E223AF">
        <w:rPr>
          <w:color w:val="auto"/>
        </w:rPr>
        <w:t xml:space="preserve"> (</w:t>
      </w:r>
      <w:proofErr w:type="spellStart"/>
      <w:r w:rsidR="00D972A5" w:rsidRPr="00E223AF">
        <w:rPr>
          <w:color w:val="auto"/>
        </w:rPr>
        <w:t>omphalocele</w:t>
      </w:r>
      <w:proofErr w:type="spellEnd"/>
      <w:r w:rsidR="00D972A5" w:rsidRPr="00E223AF">
        <w:rPr>
          <w:color w:val="auto"/>
        </w:rPr>
        <w:t xml:space="preserve"> and </w:t>
      </w:r>
      <w:proofErr w:type="spellStart"/>
      <w:r w:rsidR="00D972A5" w:rsidRPr="00E223AF">
        <w:rPr>
          <w:color w:val="auto"/>
        </w:rPr>
        <w:t>gastroschisis</w:t>
      </w:r>
      <w:proofErr w:type="spellEnd"/>
      <w:r w:rsidR="00D972A5" w:rsidRPr="00E223AF">
        <w:rPr>
          <w:color w:val="auto"/>
        </w:rPr>
        <w:t xml:space="preserve">) </w:t>
      </w:r>
      <w:r w:rsidR="002721AC" w:rsidRPr="00E223AF">
        <w:rPr>
          <w:color w:val="auto"/>
        </w:rPr>
        <w:t>and malformations of the vertebrae</w:t>
      </w:r>
      <w:r w:rsidRPr="00E223AF">
        <w:rPr>
          <w:color w:val="auto"/>
        </w:rPr>
        <w:t>, ribs and</w:t>
      </w:r>
      <w:r w:rsidR="000164E4" w:rsidRPr="00E223AF">
        <w:rPr>
          <w:color w:val="auto"/>
        </w:rPr>
        <w:t xml:space="preserve"> </w:t>
      </w:r>
      <w:r w:rsidR="00D972A5" w:rsidRPr="00E223AF">
        <w:rPr>
          <w:color w:val="auto"/>
        </w:rPr>
        <w:t>limbs (</w:t>
      </w:r>
      <w:proofErr w:type="spellStart"/>
      <w:r w:rsidR="00D972A5" w:rsidRPr="00E223AF">
        <w:rPr>
          <w:color w:val="auto"/>
        </w:rPr>
        <w:t>micromelia</w:t>
      </w:r>
      <w:proofErr w:type="spellEnd"/>
      <w:r w:rsidR="00D972A5" w:rsidRPr="00E223AF">
        <w:rPr>
          <w:color w:val="auto"/>
        </w:rPr>
        <w:t xml:space="preserve"> and </w:t>
      </w:r>
      <w:proofErr w:type="spellStart"/>
      <w:r w:rsidR="00D972A5" w:rsidRPr="00E223AF">
        <w:rPr>
          <w:color w:val="auto"/>
        </w:rPr>
        <w:t>adactyly</w:t>
      </w:r>
      <w:proofErr w:type="spellEnd"/>
      <w:r w:rsidR="00D972A5" w:rsidRPr="00E223AF">
        <w:rPr>
          <w:color w:val="auto"/>
        </w:rPr>
        <w:t>)</w:t>
      </w:r>
      <w:r w:rsidR="002721AC" w:rsidRPr="00E223AF">
        <w:rPr>
          <w:color w:val="auto"/>
        </w:rPr>
        <w:t xml:space="preserve">, </w:t>
      </w:r>
      <w:r w:rsidRPr="00E223AF">
        <w:rPr>
          <w:color w:val="auto"/>
        </w:rPr>
        <w:t xml:space="preserve">but </w:t>
      </w:r>
      <w:r w:rsidR="00C844B6" w:rsidRPr="00E223AF">
        <w:rPr>
          <w:color w:val="auto"/>
        </w:rPr>
        <w:t xml:space="preserve">did not result in </w:t>
      </w:r>
      <w:proofErr w:type="spellStart"/>
      <w:r w:rsidRPr="00E223AF">
        <w:rPr>
          <w:color w:val="auto"/>
        </w:rPr>
        <w:t>embryolethality</w:t>
      </w:r>
      <w:proofErr w:type="spellEnd"/>
      <w:r w:rsidR="002721AC" w:rsidRPr="00E223AF">
        <w:rPr>
          <w:color w:val="auto"/>
        </w:rPr>
        <w:t xml:space="preserve">. Lower </w:t>
      </w:r>
      <w:proofErr w:type="spellStart"/>
      <w:r w:rsidR="00D972A5" w:rsidRPr="00E223AF">
        <w:rPr>
          <w:color w:val="auto"/>
        </w:rPr>
        <w:t>fetal</w:t>
      </w:r>
      <w:proofErr w:type="spellEnd"/>
      <w:r w:rsidR="002721AC" w:rsidRPr="00E223AF">
        <w:rPr>
          <w:color w:val="auto"/>
        </w:rPr>
        <w:t xml:space="preserve"> weights and reduced skeletal ossification </w:t>
      </w:r>
      <w:r w:rsidR="00C844B6" w:rsidRPr="00E223AF">
        <w:rPr>
          <w:color w:val="auto"/>
        </w:rPr>
        <w:t>occurred</w:t>
      </w:r>
      <w:r w:rsidR="002721AC" w:rsidRPr="00E223AF">
        <w:rPr>
          <w:color w:val="auto"/>
        </w:rPr>
        <w:t xml:space="preserve"> at </w:t>
      </w:r>
      <w:r w:rsidR="00C844B6" w:rsidRPr="00E223AF">
        <w:rPr>
          <w:color w:val="auto"/>
        </w:rPr>
        <w:t xml:space="preserve">doses ≥ 12.5 and 50 mg/kg, respectively (resulting in </w:t>
      </w:r>
      <w:r w:rsidR="002721AC" w:rsidRPr="00E223AF">
        <w:rPr>
          <w:color w:val="auto"/>
        </w:rPr>
        <w:t xml:space="preserve">exposures equivalent to </w:t>
      </w:r>
      <w:r w:rsidR="00D972A5" w:rsidRPr="00E223AF">
        <w:rPr>
          <w:color w:val="auto"/>
        </w:rPr>
        <w:t>0.</w:t>
      </w:r>
      <w:r w:rsidR="00C844B6" w:rsidRPr="00E223AF">
        <w:rPr>
          <w:color w:val="auto"/>
        </w:rPr>
        <w:t xml:space="preserve">2 and 0.9 </w:t>
      </w:r>
      <w:r w:rsidR="002721AC" w:rsidRPr="00E223AF">
        <w:rPr>
          <w:color w:val="auto"/>
        </w:rPr>
        <w:t>times the human exposure</w:t>
      </w:r>
      <w:r w:rsidR="00D972A5" w:rsidRPr="00E223AF">
        <w:rPr>
          <w:color w:val="auto"/>
        </w:rPr>
        <w:t xml:space="preserve"> </w:t>
      </w:r>
      <w:r w:rsidR="00C844B6" w:rsidRPr="00E223AF">
        <w:rPr>
          <w:color w:val="auto"/>
        </w:rPr>
        <w:t>(</w:t>
      </w:r>
      <w:r w:rsidR="002721AC" w:rsidRPr="00E223AF">
        <w:rPr>
          <w:color w:val="auto"/>
        </w:rPr>
        <w:t>AUC</w:t>
      </w:r>
      <w:r w:rsidR="00C844B6" w:rsidRPr="00E223AF">
        <w:rPr>
          <w:color w:val="auto"/>
        </w:rPr>
        <w:t>)</w:t>
      </w:r>
      <w:r w:rsidR="002721AC" w:rsidRPr="00E223AF">
        <w:rPr>
          <w:color w:val="auto"/>
        </w:rPr>
        <w:t xml:space="preserve"> at the </w:t>
      </w:r>
      <w:r w:rsidR="00C844B6" w:rsidRPr="00E223AF">
        <w:rPr>
          <w:color w:val="auto"/>
        </w:rPr>
        <w:t xml:space="preserve">600 mg </w:t>
      </w:r>
      <w:r w:rsidR="002721AC" w:rsidRPr="00E223AF">
        <w:rPr>
          <w:color w:val="auto"/>
        </w:rPr>
        <w:t>dose</w:t>
      </w:r>
      <w:r w:rsidR="00C844B6" w:rsidRPr="00E223AF">
        <w:rPr>
          <w:color w:val="auto"/>
        </w:rPr>
        <w:t>, respectively)</w:t>
      </w:r>
      <w:r w:rsidR="002721AC" w:rsidRPr="00E223AF">
        <w:rPr>
          <w:color w:val="auto"/>
        </w:rPr>
        <w:t>.</w:t>
      </w:r>
    </w:p>
    <w:p w14:paraId="07FA166A" w14:textId="7342DE83" w:rsidR="0071744C" w:rsidRPr="00E223AF" w:rsidRDefault="0071744C" w:rsidP="0071744C">
      <w:pPr>
        <w:pStyle w:val="Heading4"/>
        <w:rPr>
          <w:color w:val="auto"/>
        </w:rPr>
      </w:pPr>
      <w:r w:rsidRPr="00E223AF">
        <w:rPr>
          <w:color w:val="auto"/>
        </w:rPr>
        <w:t>Contraception in male and female patients</w:t>
      </w:r>
    </w:p>
    <w:p w14:paraId="52AB493C" w14:textId="77777777" w:rsidR="00444A0A" w:rsidRPr="00E223AF" w:rsidRDefault="00D905CE" w:rsidP="00A250F4">
      <w:pPr>
        <w:rPr>
          <w:color w:val="auto"/>
        </w:rPr>
      </w:pPr>
      <w:r w:rsidRPr="00E223AF">
        <w:rPr>
          <w:color w:val="auto"/>
        </w:rPr>
        <w:t>Rozlytrek can cause embryo-</w:t>
      </w:r>
      <w:proofErr w:type="spellStart"/>
      <w:r w:rsidRPr="00E223AF">
        <w:rPr>
          <w:color w:val="auto"/>
        </w:rPr>
        <w:t>fetal</w:t>
      </w:r>
      <w:proofErr w:type="spellEnd"/>
      <w:r w:rsidRPr="00E223AF">
        <w:rPr>
          <w:color w:val="auto"/>
        </w:rPr>
        <w:t xml:space="preserve"> harm when administered to a pregnant woman. </w:t>
      </w:r>
      <w:r w:rsidR="00051D67" w:rsidRPr="00E223AF">
        <w:rPr>
          <w:color w:val="auto"/>
        </w:rPr>
        <w:t xml:space="preserve">Advise all patients </w:t>
      </w:r>
      <w:r w:rsidR="00051D67" w:rsidRPr="00E223AF" w:rsidDel="00D17083">
        <w:rPr>
          <w:color w:val="auto"/>
        </w:rPr>
        <w:t xml:space="preserve">of the potential harm to </w:t>
      </w:r>
      <w:r w:rsidR="00051D67" w:rsidRPr="00E223AF">
        <w:rPr>
          <w:color w:val="auto"/>
        </w:rPr>
        <w:t>a</w:t>
      </w:r>
      <w:r w:rsidR="00051D67" w:rsidRPr="00E223AF" w:rsidDel="00D17083">
        <w:rPr>
          <w:color w:val="auto"/>
        </w:rPr>
        <w:t xml:space="preserve"> </w:t>
      </w:r>
      <w:proofErr w:type="spellStart"/>
      <w:r w:rsidR="00051D67" w:rsidRPr="00E223AF" w:rsidDel="00D17083">
        <w:rPr>
          <w:color w:val="auto"/>
        </w:rPr>
        <w:t>fetus</w:t>
      </w:r>
      <w:proofErr w:type="spellEnd"/>
      <w:r w:rsidR="00051D67" w:rsidRPr="00E223AF" w:rsidDel="00D17083">
        <w:rPr>
          <w:color w:val="auto"/>
        </w:rPr>
        <w:t>.</w:t>
      </w:r>
      <w:r w:rsidR="00051D67" w:rsidRPr="00E223AF">
        <w:rPr>
          <w:color w:val="auto"/>
        </w:rPr>
        <w:t xml:space="preserve"> Test for pregnancy in </w:t>
      </w:r>
      <w:r w:rsidRPr="00E223AF">
        <w:rPr>
          <w:color w:val="auto"/>
        </w:rPr>
        <w:t xml:space="preserve">females of reproductive </w:t>
      </w:r>
      <w:r w:rsidR="00A250F4" w:rsidRPr="00E223AF">
        <w:rPr>
          <w:color w:val="auto"/>
        </w:rPr>
        <w:t xml:space="preserve">potential prior to initiating </w:t>
      </w:r>
      <w:r w:rsidR="00AC22FD" w:rsidRPr="00E223AF">
        <w:rPr>
          <w:color w:val="auto"/>
        </w:rPr>
        <w:t>Rozlytrek</w:t>
      </w:r>
      <w:r w:rsidR="00A250F4" w:rsidRPr="00E223AF">
        <w:rPr>
          <w:color w:val="auto"/>
        </w:rPr>
        <w:t>.</w:t>
      </w:r>
      <w:r w:rsidRPr="00E223AF">
        <w:rPr>
          <w:color w:val="auto"/>
        </w:rPr>
        <w:t xml:space="preserve"> Advise f</w:t>
      </w:r>
      <w:r w:rsidR="0071744C" w:rsidRPr="00E223AF">
        <w:rPr>
          <w:color w:val="auto"/>
        </w:rPr>
        <w:t xml:space="preserve">emale patients of </w:t>
      </w:r>
      <w:r w:rsidR="00051D67" w:rsidRPr="00E223AF">
        <w:rPr>
          <w:color w:val="auto"/>
        </w:rPr>
        <w:t>reproductive</w:t>
      </w:r>
      <w:r w:rsidR="00A250F4" w:rsidRPr="00E223AF">
        <w:rPr>
          <w:color w:val="auto"/>
        </w:rPr>
        <w:t xml:space="preserve"> </w:t>
      </w:r>
      <w:r w:rsidR="0071744C" w:rsidRPr="00E223AF">
        <w:rPr>
          <w:color w:val="auto"/>
        </w:rPr>
        <w:t xml:space="preserve">potential </w:t>
      </w:r>
      <w:r w:rsidRPr="00E223AF">
        <w:rPr>
          <w:color w:val="auto"/>
        </w:rPr>
        <w:t xml:space="preserve">to </w:t>
      </w:r>
      <w:r w:rsidR="0071744C" w:rsidRPr="00E223AF">
        <w:rPr>
          <w:color w:val="auto"/>
        </w:rPr>
        <w:t xml:space="preserve">use highly effective contraceptive methods during treatment </w:t>
      </w:r>
      <w:r w:rsidRPr="00E223AF">
        <w:rPr>
          <w:color w:val="auto"/>
        </w:rPr>
        <w:t xml:space="preserve">with Rozlytrek </w:t>
      </w:r>
      <w:r w:rsidR="0071744C" w:rsidRPr="00E223AF">
        <w:rPr>
          <w:color w:val="auto"/>
        </w:rPr>
        <w:t>and for</w:t>
      </w:r>
      <w:r w:rsidR="00445A48" w:rsidRPr="00E223AF">
        <w:rPr>
          <w:color w:val="auto"/>
        </w:rPr>
        <w:t xml:space="preserve"> </w:t>
      </w:r>
      <w:r w:rsidRPr="00E223AF">
        <w:rPr>
          <w:color w:val="auto"/>
        </w:rPr>
        <w:t xml:space="preserve">at least </w:t>
      </w:r>
      <w:r w:rsidR="005C55EB" w:rsidRPr="00E223AF">
        <w:rPr>
          <w:color w:val="auto"/>
        </w:rPr>
        <w:t>5 weeks</w:t>
      </w:r>
      <w:r w:rsidR="0071744C" w:rsidRPr="00E223AF">
        <w:rPr>
          <w:color w:val="auto"/>
        </w:rPr>
        <w:t xml:space="preserve"> following the last dose.</w:t>
      </w:r>
      <w:r w:rsidR="00051D67" w:rsidRPr="00E223AF">
        <w:rPr>
          <w:color w:val="auto"/>
        </w:rPr>
        <w:t xml:space="preserve"> </w:t>
      </w:r>
    </w:p>
    <w:p w14:paraId="2AF88E27" w14:textId="77777777" w:rsidR="00444A0A" w:rsidRPr="00E223AF" w:rsidRDefault="00444A0A" w:rsidP="00A250F4">
      <w:pPr>
        <w:rPr>
          <w:color w:val="auto"/>
        </w:rPr>
      </w:pPr>
    </w:p>
    <w:p w14:paraId="1C56539E" w14:textId="70A5FD6F" w:rsidR="00A250F4" w:rsidRPr="00E223AF" w:rsidRDefault="00D905CE" w:rsidP="00A250F4">
      <w:pPr>
        <w:rPr>
          <w:color w:val="auto"/>
        </w:rPr>
      </w:pPr>
      <w:r w:rsidRPr="00E223AF">
        <w:rPr>
          <w:color w:val="auto"/>
        </w:rPr>
        <w:t>Advise</w:t>
      </w:r>
      <w:r w:rsidR="0071744C" w:rsidRPr="00E223AF">
        <w:rPr>
          <w:color w:val="auto"/>
        </w:rPr>
        <w:t xml:space="preserve"> male patients with female partners of </w:t>
      </w:r>
      <w:r w:rsidRPr="00E223AF">
        <w:rPr>
          <w:color w:val="auto"/>
        </w:rPr>
        <w:t>reproductive</w:t>
      </w:r>
      <w:r w:rsidR="0071744C" w:rsidRPr="00E223AF">
        <w:rPr>
          <w:color w:val="auto"/>
        </w:rPr>
        <w:t xml:space="preserve"> potential </w:t>
      </w:r>
      <w:r w:rsidRPr="00E223AF">
        <w:rPr>
          <w:color w:val="auto"/>
        </w:rPr>
        <w:t xml:space="preserve">to </w:t>
      </w:r>
      <w:r w:rsidR="0071744C" w:rsidRPr="00E223AF">
        <w:rPr>
          <w:color w:val="auto"/>
        </w:rPr>
        <w:t xml:space="preserve">use highly effective contraceptive methods during treatment </w:t>
      </w:r>
      <w:r w:rsidRPr="00E223AF">
        <w:rPr>
          <w:color w:val="auto"/>
        </w:rPr>
        <w:t xml:space="preserve">with Rozlytrek </w:t>
      </w:r>
      <w:r w:rsidR="0071744C" w:rsidRPr="00E223AF">
        <w:rPr>
          <w:color w:val="auto"/>
        </w:rPr>
        <w:t>and for 3 months following the last dose</w:t>
      </w:r>
      <w:r w:rsidR="007D3C82" w:rsidRPr="00E223AF">
        <w:rPr>
          <w:color w:val="auto"/>
        </w:rPr>
        <w:t>.</w:t>
      </w:r>
    </w:p>
    <w:p w14:paraId="573D7B17" w14:textId="77777777" w:rsidR="00834C48" w:rsidRPr="00E223AF" w:rsidRDefault="00674CFD" w:rsidP="00B1498F">
      <w:pPr>
        <w:pStyle w:val="Heading3"/>
        <w:rPr>
          <w:color w:val="auto"/>
        </w:rPr>
      </w:pPr>
      <w:r w:rsidRPr="00E223AF">
        <w:rPr>
          <w:color w:val="auto"/>
        </w:rPr>
        <w:t>Use in lactation</w:t>
      </w:r>
      <w:r w:rsidR="00834C48" w:rsidRPr="00E223AF">
        <w:rPr>
          <w:color w:val="auto"/>
        </w:rPr>
        <w:t xml:space="preserve"> </w:t>
      </w:r>
    </w:p>
    <w:p w14:paraId="63FEA01C" w14:textId="1A908D5D" w:rsidR="00BA0878" w:rsidRPr="00E223AF" w:rsidRDefault="00025091">
      <w:pPr>
        <w:rPr>
          <w:color w:val="auto"/>
        </w:rPr>
      </w:pPr>
      <w:r w:rsidRPr="00E223AF">
        <w:rPr>
          <w:color w:val="auto"/>
        </w:rPr>
        <w:t>There are no data on the presence of</w:t>
      </w:r>
      <w:r w:rsidR="002721AC" w:rsidRPr="00E223AF">
        <w:rPr>
          <w:color w:val="auto"/>
        </w:rPr>
        <w:t xml:space="preserve"> entrectinib or its metabolites in human milk</w:t>
      </w:r>
      <w:r w:rsidRPr="00E223AF">
        <w:rPr>
          <w:color w:val="auto"/>
        </w:rPr>
        <w:t xml:space="preserve"> or their effects on either the breastfed child or on </w:t>
      </w:r>
      <w:r w:rsidR="002721AC" w:rsidRPr="00E223AF">
        <w:rPr>
          <w:color w:val="auto"/>
        </w:rPr>
        <w:t xml:space="preserve">milk production. </w:t>
      </w:r>
      <w:r w:rsidRPr="00E223AF">
        <w:rPr>
          <w:color w:val="auto"/>
        </w:rPr>
        <w:t xml:space="preserve">Because of </w:t>
      </w:r>
      <w:r w:rsidR="002721AC" w:rsidRPr="00E223AF">
        <w:rPr>
          <w:color w:val="auto"/>
        </w:rPr>
        <w:t xml:space="preserve">the potential for harm to the </w:t>
      </w:r>
      <w:r w:rsidRPr="00E223AF">
        <w:rPr>
          <w:color w:val="auto"/>
        </w:rPr>
        <w:t xml:space="preserve">breastfed child, advise a lactating woman </w:t>
      </w:r>
      <w:r w:rsidR="002721AC" w:rsidRPr="00E223AF">
        <w:rPr>
          <w:color w:val="auto"/>
        </w:rPr>
        <w:t xml:space="preserve">to discontinue breastfeeding during treatment with </w:t>
      </w:r>
      <w:r w:rsidR="00AC22FD" w:rsidRPr="00E223AF">
        <w:rPr>
          <w:color w:val="auto"/>
        </w:rPr>
        <w:t>Rozlytrek</w:t>
      </w:r>
      <w:r w:rsidRPr="00E223AF">
        <w:rPr>
          <w:color w:val="auto"/>
        </w:rPr>
        <w:t xml:space="preserve"> and for 7 days after the final dose</w:t>
      </w:r>
      <w:r w:rsidR="002721AC" w:rsidRPr="00E223AF">
        <w:rPr>
          <w:color w:val="auto"/>
        </w:rPr>
        <w:t>.</w:t>
      </w:r>
    </w:p>
    <w:p w14:paraId="73DD7196" w14:textId="77777777" w:rsidR="0071744C" w:rsidRPr="00E223AF" w:rsidRDefault="0071744C" w:rsidP="0071744C">
      <w:pPr>
        <w:rPr>
          <w:color w:val="auto"/>
        </w:rPr>
      </w:pPr>
    </w:p>
    <w:p w14:paraId="6448F899" w14:textId="35BDB4CC" w:rsidR="00D52399" w:rsidRPr="00E223AF" w:rsidRDefault="00902EBE" w:rsidP="009F4C5B">
      <w:pPr>
        <w:pStyle w:val="Heading2"/>
        <w:spacing w:before="0"/>
        <w:rPr>
          <w:color w:val="auto"/>
        </w:rPr>
      </w:pPr>
      <w:r w:rsidRPr="00E223AF">
        <w:rPr>
          <w:color w:val="auto"/>
        </w:rPr>
        <w:t>4.7</w:t>
      </w:r>
      <w:r w:rsidRPr="00E223AF">
        <w:rPr>
          <w:color w:val="auto"/>
        </w:rPr>
        <w:tab/>
        <w:t>EFFECTS ON ABILITY TO DRIVE AND USE MACHINES</w:t>
      </w:r>
    </w:p>
    <w:p w14:paraId="49CDC89B" w14:textId="3DE5CBAB" w:rsidR="0071744C" w:rsidRPr="00E223AF" w:rsidRDefault="00AC22FD" w:rsidP="0071744C">
      <w:pPr>
        <w:rPr>
          <w:color w:val="auto"/>
        </w:rPr>
      </w:pPr>
      <w:r w:rsidRPr="00E223AF">
        <w:rPr>
          <w:color w:val="auto"/>
        </w:rPr>
        <w:t>Rozlytrek</w:t>
      </w:r>
      <w:r w:rsidR="0071744C" w:rsidRPr="00E223AF">
        <w:rPr>
          <w:color w:val="auto"/>
        </w:rPr>
        <w:t xml:space="preserve"> may influence the ability to drive and use machines. </w:t>
      </w:r>
      <w:r w:rsidR="00EB24A8" w:rsidRPr="00E223AF">
        <w:rPr>
          <w:color w:val="auto"/>
        </w:rPr>
        <w:t xml:space="preserve">Advise patients not to drive or operate hazardous machinery if they are experiencing CNS adverse reactions </w:t>
      </w:r>
      <w:r w:rsidR="007D3C82" w:rsidRPr="00E223AF">
        <w:rPr>
          <w:color w:val="auto"/>
        </w:rPr>
        <w:t>(s</w:t>
      </w:r>
      <w:r w:rsidR="0071744C" w:rsidRPr="00E223AF">
        <w:rPr>
          <w:color w:val="auto"/>
        </w:rPr>
        <w:t>ee section</w:t>
      </w:r>
      <w:r w:rsidR="007D3C82" w:rsidRPr="00E223AF">
        <w:rPr>
          <w:color w:val="auto"/>
        </w:rPr>
        <w:t>s</w:t>
      </w:r>
      <w:r w:rsidR="0071744C" w:rsidRPr="00E223AF">
        <w:rPr>
          <w:color w:val="auto"/>
        </w:rPr>
        <w:t xml:space="preserve"> </w:t>
      </w:r>
      <w:r w:rsidR="007D3C82" w:rsidRPr="00E223AF">
        <w:rPr>
          <w:color w:val="auto"/>
        </w:rPr>
        <w:t xml:space="preserve">4.4 </w:t>
      </w:r>
      <w:r w:rsidR="009150C5" w:rsidRPr="00E223AF">
        <w:rPr>
          <w:i/>
          <w:color w:val="auto"/>
        </w:rPr>
        <w:t>Special warnings and precautions for use</w:t>
      </w:r>
      <w:r w:rsidR="007D3C82" w:rsidRPr="00E223AF">
        <w:rPr>
          <w:color w:val="auto"/>
        </w:rPr>
        <w:t xml:space="preserve"> </w:t>
      </w:r>
      <w:r w:rsidR="0071744C" w:rsidRPr="00E223AF">
        <w:rPr>
          <w:color w:val="auto"/>
        </w:rPr>
        <w:t xml:space="preserve">and </w:t>
      </w:r>
      <w:r w:rsidR="007D3C82" w:rsidRPr="00E223AF">
        <w:rPr>
          <w:color w:val="auto"/>
        </w:rPr>
        <w:t xml:space="preserve">4.8 </w:t>
      </w:r>
      <w:r w:rsidR="009150C5" w:rsidRPr="00E223AF">
        <w:rPr>
          <w:i/>
          <w:color w:val="auto"/>
        </w:rPr>
        <w:t>Adverse effects (undesirable effects)</w:t>
      </w:r>
      <w:r w:rsidR="0071744C" w:rsidRPr="00E223AF">
        <w:rPr>
          <w:color w:val="auto"/>
        </w:rPr>
        <w:t xml:space="preserve">). </w:t>
      </w:r>
    </w:p>
    <w:p w14:paraId="5E75EC9B" w14:textId="77777777" w:rsidR="00EE7129" w:rsidRPr="00E223AF" w:rsidRDefault="00EE7129" w:rsidP="00BD3575"/>
    <w:p w14:paraId="6D02ED24" w14:textId="4466D305" w:rsidR="00D52399" w:rsidRPr="00E223AF" w:rsidRDefault="00902EBE" w:rsidP="009F4C5B">
      <w:pPr>
        <w:pStyle w:val="Heading2"/>
        <w:spacing w:before="0"/>
        <w:rPr>
          <w:color w:val="auto"/>
        </w:rPr>
      </w:pPr>
      <w:r w:rsidRPr="00E223AF">
        <w:rPr>
          <w:color w:val="auto"/>
        </w:rPr>
        <w:t>4.8</w:t>
      </w:r>
      <w:r w:rsidRPr="00E223AF">
        <w:rPr>
          <w:color w:val="auto"/>
        </w:rPr>
        <w:tab/>
        <w:t>ADVERSE EFFECTS (UNDESIRABLE EFFECTS)</w:t>
      </w:r>
    </w:p>
    <w:p w14:paraId="62E8748D" w14:textId="5CE0C200" w:rsidR="007668CC" w:rsidRPr="00E223AF" w:rsidRDefault="007668CC" w:rsidP="007668CC">
      <w:pPr>
        <w:pStyle w:val="Heading3"/>
        <w:rPr>
          <w:color w:val="auto"/>
        </w:rPr>
      </w:pPr>
      <w:r w:rsidRPr="00E223AF">
        <w:rPr>
          <w:color w:val="auto"/>
        </w:rPr>
        <w:t>Summary of the safety profile</w:t>
      </w:r>
    </w:p>
    <w:p w14:paraId="2033AFAA" w14:textId="342915E1" w:rsidR="00107A76" w:rsidRPr="00E223AF" w:rsidRDefault="00107A76">
      <w:pPr>
        <w:rPr>
          <w:color w:val="auto"/>
        </w:rPr>
      </w:pPr>
      <w:r w:rsidRPr="00E223AF">
        <w:t xml:space="preserve">The safety profile of </w:t>
      </w:r>
      <w:r w:rsidR="00E611DE" w:rsidRPr="00E223AF">
        <w:t>Rozlytrek</w:t>
      </w:r>
      <w:r w:rsidRPr="00E223AF">
        <w:t xml:space="preserve"> was characterised in a group</w:t>
      </w:r>
      <w:r w:rsidRPr="00E223AF">
        <w:rPr>
          <w:color w:val="auto"/>
        </w:rPr>
        <w:t xml:space="preserve"> of 355 patients, including 172 (48%) patients exposed for 6 months or longer and 84 (24%) patients exposed for 1 year or longer. </w:t>
      </w:r>
      <w:r w:rsidR="00E611DE" w:rsidRPr="00E223AF">
        <w:rPr>
          <w:color w:val="auto"/>
        </w:rPr>
        <w:t>Rozlytrek</w:t>
      </w:r>
      <w:r w:rsidRPr="00E223AF">
        <w:rPr>
          <w:color w:val="auto"/>
        </w:rPr>
        <w:t xml:space="preserve"> was studied in one dose-finding trial in adults [ALKA (n = 57)], one dose-finding and activity-estimating trial in adults [STARTRK-1 (n = 76)], one dose-finding and </w:t>
      </w:r>
      <w:r w:rsidRPr="00E223AF">
        <w:rPr>
          <w:color w:val="auto"/>
        </w:rPr>
        <w:lastRenderedPageBreak/>
        <w:t xml:space="preserve">activity-estimating trial in paediatric and adult patients [STARTRK-NG (n = 16)], and one single arm, activity-estimating trial in adults [STARTRK-2 (n = 206)]. </w:t>
      </w:r>
    </w:p>
    <w:p w14:paraId="204F5C5F" w14:textId="77777777" w:rsidR="00107A76" w:rsidRPr="00E223AF" w:rsidRDefault="00107A76" w:rsidP="0071744C">
      <w:pPr>
        <w:rPr>
          <w:color w:val="auto"/>
        </w:rPr>
      </w:pPr>
    </w:p>
    <w:p w14:paraId="32D47383" w14:textId="0973A55D" w:rsidR="00051D67" w:rsidRPr="00E223AF" w:rsidRDefault="00107A76" w:rsidP="00107A76">
      <w:pPr>
        <w:rPr>
          <w:color w:val="auto"/>
        </w:rPr>
      </w:pPr>
      <w:r w:rsidRPr="00E223AF">
        <w:rPr>
          <w:color w:val="auto"/>
        </w:rPr>
        <w:t xml:space="preserve">The population characteristics were: median age 55 years (range: 4 to 86 years); 5% (n = 17) were less than 18 years of age; 55% were female; and 66% were White, 23% were Asian, and 5% were Black; 3% were Hispanic/Latino. The most common </w:t>
      </w:r>
      <w:r w:rsidR="00E611DE" w:rsidRPr="00E223AF">
        <w:rPr>
          <w:color w:val="auto"/>
        </w:rPr>
        <w:t>tumour</w:t>
      </w:r>
      <w:r w:rsidRPr="00E223AF">
        <w:rPr>
          <w:color w:val="auto"/>
        </w:rPr>
        <w:t xml:space="preserve">s (≥ 5%) were lung (56%), sarcoma (8%), and colon (5%). ROS1 gene fusions were present in 42% and NTRK gene fusions were present in 20%. Most adults (75%) received </w:t>
      </w:r>
      <w:r w:rsidR="00E611DE" w:rsidRPr="00E223AF">
        <w:rPr>
          <w:color w:val="auto"/>
        </w:rPr>
        <w:t>Rozlytrek</w:t>
      </w:r>
      <w:r w:rsidRPr="00E223AF">
        <w:rPr>
          <w:color w:val="auto"/>
        </w:rPr>
        <w:t xml:space="preserve"> 600 mg orally once daily. The doses ranged from 100 mg/m</w:t>
      </w:r>
      <w:r w:rsidRPr="00E223AF">
        <w:rPr>
          <w:color w:val="auto"/>
          <w:vertAlign w:val="superscript"/>
        </w:rPr>
        <w:t>2</w:t>
      </w:r>
      <w:r w:rsidRPr="00E223AF">
        <w:rPr>
          <w:color w:val="auto"/>
        </w:rPr>
        <w:t xml:space="preserve"> to 1600 mg/m</w:t>
      </w:r>
      <w:r w:rsidRPr="00E223AF">
        <w:rPr>
          <w:color w:val="auto"/>
          <w:vertAlign w:val="superscript"/>
        </w:rPr>
        <w:t>2</w:t>
      </w:r>
      <w:r w:rsidRPr="00E223AF">
        <w:rPr>
          <w:color w:val="auto"/>
        </w:rPr>
        <w:t xml:space="preserve"> once daily in adults and 250 mg/m</w:t>
      </w:r>
      <w:r w:rsidRPr="00E223AF">
        <w:rPr>
          <w:color w:val="auto"/>
          <w:vertAlign w:val="superscript"/>
        </w:rPr>
        <w:t>2</w:t>
      </w:r>
      <w:r w:rsidRPr="00E223AF">
        <w:rPr>
          <w:color w:val="auto"/>
        </w:rPr>
        <w:t xml:space="preserve"> to 750 mg/m</w:t>
      </w:r>
      <w:r w:rsidRPr="00E223AF">
        <w:rPr>
          <w:color w:val="auto"/>
          <w:vertAlign w:val="superscript"/>
        </w:rPr>
        <w:t>2</w:t>
      </w:r>
      <w:r w:rsidRPr="00E223AF">
        <w:rPr>
          <w:color w:val="auto"/>
        </w:rPr>
        <w:t xml:space="preserve"> once daily in </w:t>
      </w:r>
      <w:r w:rsidR="00E611DE" w:rsidRPr="00E223AF">
        <w:rPr>
          <w:color w:val="auto"/>
        </w:rPr>
        <w:t>paediatric</w:t>
      </w:r>
      <w:r w:rsidRPr="00E223AF">
        <w:rPr>
          <w:color w:val="auto"/>
        </w:rPr>
        <w:t xml:space="preserve"> patients. </w:t>
      </w:r>
      <w:r w:rsidR="00E611DE" w:rsidRPr="00E223AF">
        <w:rPr>
          <w:color w:val="auto"/>
        </w:rPr>
        <w:t>Rozlytrek</w:t>
      </w:r>
      <w:r w:rsidRPr="00E223AF">
        <w:rPr>
          <w:color w:val="auto"/>
        </w:rPr>
        <w:t xml:space="preserve"> is not indicated for </w:t>
      </w:r>
      <w:r w:rsidR="00E611DE" w:rsidRPr="00E223AF">
        <w:rPr>
          <w:color w:val="auto"/>
        </w:rPr>
        <w:t>paediatric</w:t>
      </w:r>
      <w:r w:rsidRPr="00E223AF">
        <w:rPr>
          <w:color w:val="auto"/>
        </w:rPr>
        <w:t xml:space="preserve"> patients less than 12 years of age (see section 4.4 </w:t>
      </w:r>
      <w:r w:rsidRPr="00E223AF">
        <w:rPr>
          <w:i/>
          <w:color w:val="auto"/>
        </w:rPr>
        <w:t>Special warnings and precautions for use – Paediatric use</w:t>
      </w:r>
      <w:r w:rsidRPr="00E223AF">
        <w:rPr>
          <w:color w:val="auto"/>
        </w:rPr>
        <w:t>).</w:t>
      </w:r>
    </w:p>
    <w:p w14:paraId="07373D71" w14:textId="62CB41A7" w:rsidR="00107A76" w:rsidRPr="00E223AF" w:rsidRDefault="00107A76" w:rsidP="0071744C">
      <w:pPr>
        <w:rPr>
          <w:color w:val="auto"/>
        </w:rPr>
      </w:pPr>
    </w:p>
    <w:p w14:paraId="5A86FEC7" w14:textId="77777777" w:rsidR="00107A76" w:rsidRPr="00E223AF" w:rsidRDefault="00107A76" w:rsidP="00107A76">
      <w:pPr>
        <w:rPr>
          <w:color w:val="auto"/>
        </w:rPr>
      </w:pPr>
      <w:r w:rsidRPr="00E223AF">
        <w:rPr>
          <w:color w:val="auto"/>
        </w:rPr>
        <w:t xml:space="preserve">Serious adverse reactions occurred in 39% of patients. The most frequent serious adverse reactions (≥ 2%) were pneumonia (3.9%), dyspnoea (3.7%), pleural effusion (3.4%), sepsis (2.5%), pulmonary embolism (2.3%), respiratory failure (2%), and pyrexia (2%). </w:t>
      </w:r>
    </w:p>
    <w:p w14:paraId="64FDA23C" w14:textId="77777777" w:rsidR="00107A76" w:rsidRPr="00E223AF" w:rsidRDefault="00107A76" w:rsidP="00107A76">
      <w:pPr>
        <w:rPr>
          <w:color w:val="auto"/>
        </w:rPr>
      </w:pPr>
    </w:p>
    <w:p w14:paraId="1AB70BB8" w14:textId="77777777" w:rsidR="00107A76" w:rsidRPr="00E223AF" w:rsidRDefault="00107A76" w:rsidP="00107A76">
      <w:pPr>
        <w:rPr>
          <w:color w:val="auto"/>
        </w:rPr>
      </w:pPr>
      <w:r w:rsidRPr="00E223AF">
        <w:rPr>
          <w:color w:val="auto"/>
        </w:rPr>
        <w:t xml:space="preserve">Grade 3 or 4 adverse reactions occurred in 60% of patients; the most common (≥ 2%) were lung infection (5%), increased weight (7%), dyspnoea (6%), fatigue/asthenia (5%), cognitive disorders (4.5%), syncope (2.5%), pulmonary embolism (3.4%), hypoxia (3.4%), pleural effusion (3.1%), hypotension (2.8%), diarrhoea (2%), and urinary tract infection (2.5%). </w:t>
      </w:r>
    </w:p>
    <w:p w14:paraId="166DCD41" w14:textId="77777777" w:rsidR="00107A76" w:rsidRPr="00E223AF" w:rsidRDefault="00107A76" w:rsidP="00107A76">
      <w:pPr>
        <w:rPr>
          <w:color w:val="auto"/>
        </w:rPr>
      </w:pPr>
    </w:p>
    <w:p w14:paraId="3DD7EBFC" w14:textId="6848E227" w:rsidR="00107A76" w:rsidRPr="00E223AF" w:rsidRDefault="00107A76" w:rsidP="00107A76">
      <w:pPr>
        <w:rPr>
          <w:color w:val="auto"/>
        </w:rPr>
      </w:pPr>
      <w:r w:rsidRPr="00E223AF">
        <w:rPr>
          <w:color w:val="auto"/>
        </w:rPr>
        <w:t xml:space="preserve">Fatal events included dyspnoea (0.6%), pneumonia (0.6%), sepsis (0.6%), completed suicide (0.3%), large intestine perforation (0.3%) and </w:t>
      </w:r>
      <w:r w:rsidR="00E611DE" w:rsidRPr="00E223AF">
        <w:rPr>
          <w:color w:val="auto"/>
        </w:rPr>
        <w:t>tumour</w:t>
      </w:r>
      <w:r w:rsidRPr="00E223AF">
        <w:rPr>
          <w:color w:val="auto"/>
        </w:rPr>
        <w:t xml:space="preserve"> lysis syndrome (0.3%). One patient developed Grade 4 myocarditis after one dose of </w:t>
      </w:r>
      <w:r w:rsidR="00E611DE" w:rsidRPr="00E223AF">
        <w:rPr>
          <w:color w:val="auto"/>
        </w:rPr>
        <w:t>Rozlytrek</w:t>
      </w:r>
      <w:r w:rsidRPr="00E223AF">
        <w:rPr>
          <w:color w:val="auto"/>
        </w:rPr>
        <w:t xml:space="preserve"> which resolved after discontinuation of </w:t>
      </w:r>
      <w:r w:rsidR="00E611DE" w:rsidRPr="00E223AF">
        <w:rPr>
          <w:color w:val="auto"/>
        </w:rPr>
        <w:t>Rozlytrek</w:t>
      </w:r>
      <w:r w:rsidRPr="00E223AF">
        <w:rPr>
          <w:color w:val="auto"/>
        </w:rPr>
        <w:t xml:space="preserve"> and administration of high-dose corticosteroids.</w:t>
      </w:r>
    </w:p>
    <w:p w14:paraId="10D2E41F" w14:textId="77777777" w:rsidR="00107A76" w:rsidRPr="00E223AF" w:rsidRDefault="00107A76" w:rsidP="00107A76">
      <w:pPr>
        <w:rPr>
          <w:color w:val="auto"/>
        </w:rPr>
      </w:pPr>
    </w:p>
    <w:p w14:paraId="1F84F605" w14:textId="54CF28AB" w:rsidR="00107A76" w:rsidRPr="00E223AF" w:rsidRDefault="00107A76" w:rsidP="00107A76">
      <w:pPr>
        <w:rPr>
          <w:color w:val="auto"/>
        </w:rPr>
      </w:pPr>
      <w:r w:rsidRPr="00E223AF">
        <w:rPr>
          <w:color w:val="auto"/>
        </w:rPr>
        <w:t xml:space="preserve">Permanent discontinuation due to an adverse reaction occurred in 9% of patients who received </w:t>
      </w:r>
      <w:r w:rsidR="00E611DE" w:rsidRPr="00E223AF">
        <w:rPr>
          <w:color w:val="auto"/>
        </w:rPr>
        <w:t>Rozlytrek</w:t>
      </w:r>
      <w:r w:rsidRPr="00E223AF">
        <w:rPr>
          <w:color w:val="auto"/>
        </w:rPr>
        <w:t>. The most frequent adverse reactions (&lt; 1% each) that resulted in permanent discontinuation were pneumonia, cardio-respiratory arrest, dyspnoea, and fatigue.</w:t>
      </w:r>
    </w:p>
    <w:p w14:paraId="3118DC24" w14:textId="77777777" w:rsidR="00107A76" w:rsidRPr="00E223AF" w:rsidRDefault="00107A76" w:rsidP="00107A76">
      <w:pPr>
        <w:rPr>
          <w:color w:val="auto"/>
        </w:rPr>
      </w:pPr>
    </w:p>
    <w:p w14:paraId="4ADEDEA1" w14:textId="199DDA73" w:rsidR="00107A76" w:rsidRPr="00E223AF" w:rsidRDefault="00107A76" w:rsidP="00107A76">
      <w:pPr>
        <w:rPr>
          <w:color w:val="auto"/>
        </w:rPr>
      </w:pPr>
      <w:r w:rsidRPr="00E223AF">
        <w:rPr>
          <w:color w:val="auto"/>
        </w:rPr>
        <w:t>Dose interruptions due to adverse reactions occurred in 46% of patients. The most frequent adverse reactions (≥ 2%) that resulted in interruption were increased blood creatinine (4%), fatigue (3.7%), anaemia (3.1%), diarrhoea (2.8%), pyrexia (2.8%), dizziness (2.5%), dyspnoea (2.3%), nausea (2.3%), pneumonia (2.3%), cognitive disorder (2%) and neutropenia (2%).</w:t>
      </w:r>
    </w:p>
    <w:p w14:paraId="6AF09C10" w14:textId="77777777" w:rsidR="00107A76" w:rsidRPr="00E223AF" w:rsidRDefault="00107A76" w:rsidP="00107A76">
      <w:pPr>
        <w:rPr>
          <w:color w:val="auto"/>
        </w:rPr>
      </w:pPr>
    </w:p>
    <w:p w14:paraId="630FA4E5" w14:textId="10CE03D2" w:rsidR="00107A76" w:rsidRPr="00E223AF" w:rsidRDefault="00107A76" w:rsidP="00107A76">
      <w:pPr>
        <w:rPr>
          <w:color w:val="auto"/>
        </w:rPr>
      </w:pPr>
      <w:r w:rsidRPr="00E223AF">
        <w:rPr>
          <w:color w:val="auto"/>
        </w:rPr>
        <w:t xml:space="preserve">Dose reductions due to adverse reactions occurred in 29% of patients who received </w:t>
      </w:r>
      <w:r w:rsidR="00E611DE" w:rsidRPr="00E223AF">
        <w:rPr>
          <w:color w:val="auto"/>
        </w:rPr>
        <w:t>Rozlytrek</w:t>
      </w:r>
      <w:r w:rsidRPr="00E223AF">
        <w:rPr>
          <w:color w:val="auto"/>
        </w:rPr>
        <w:t>. The most frequent adverse reactions resulting in dose reductions (≥ 1%) were dizziness (3.9%), increased blood creatinine (3.1%), fatigue (2.3%), anaemia (1.7%), and increased weight (1.4%).</w:t>
      </w:r>
    </w:p>
    <w:p w14:paraId="66CD6E0D" w14:textId="77777777" w:rsidR="00107A76" w:rsidRPr="00E223AF" w:rsidRDefault="00107A76" w:rsidP="00107A76">
      <w:pPr>
        <w:rPr>
          <w:color w:val="auto"/>
        </w:rPr>
      </w:pPr>
    </w:p>
    <w:p w14:paraId="2AA27F75" w14:textId="1D7FF809" w:rsidR="00107A76" w:rsidRPr="00E223AF" w:rsidRDefault="00107A76" w:rsidP="00107A76">
      <w:pPr>
        <w:rPr>
          <w:color w:val="auto"/>
        </w:rPr>
      </w:pPr>
      <w:r w:rsidRPr="00E223AF">
        <w:rPr>
          <w:color w:val="auto"/>
        </w:rPr>
        <w:t xml:space="preserve">The most common adverse reactions (≥ 20%) were fatigue, constipation, </w:t>
      </w:r>
      <w:proofErr w:type="spellStart"/>
      <w:r w:rsidRPr="00E223AF">
        <w:rPr>
          <w:color w:val="auto"/>
        </w:rPr>
        <w:t>dysgeusia</w:t>
      </w:r>
      <w:proofErr w:type="spellEnd"/>
      <w:r w:rsidRPr="00E223AF">
        <w:rPr>
          <w:color w:val="auto"/>
        </w:rPr>
        <w:t xml:space="preserve">, oedema, dizziness, diarrhoea, nausea, </w:t>
      </w:r>
      <w:proofErr w:type="spellStart"/>
      <w:r w:rsidRPr="00E223AF">
        <w:rPr>
          <w:color w:val="auto"/>
        </w:rPr>
        <w:t>dysaesthesia</w:t>
      </w:r>
      <w:proofErr w:type="spellEnd"/>
      <w:r w:rsidRPr="00E223AF">
        <w:rPr>
          <w:color w:val="auto"/>
        </w:rPr>
        <w:t>, dyspnoea, myalgia, cognitive impairment, increased weight, cough, vomiting, pyrexia, arthralgia and vision disorders.</w:t>
      </w:r>
    </w:p>
    <w:p w14:paraId="662C06FC" w14:textId="77777777" w:rsidR="005722A0" w:rsidRPr="00E223AF" w:rsidRDefault="005722A0" w:rsidP="0071744C">
      <w:pPr>
        <w:rPr>
          <w:color w:val="auto"/>
        </w:rPr>
      </w:pPr>
    </w:p>
    <w:p w14:paraId="2C4280E9" w14:textId="77777777" w:rsidR="0071744C" w:rsidRPr="00E223AF" w:rsidRDefault="0071744C" w:rsidP="005722A0">
      <w:pPr>
        <w:pStyle w:val="Heading3"/>
        <w:rPr>
          <w:color w:val="auto"/>
        </w:rPr>
      </w:pPr>
      <w:r w:rsidRPr="00E223AF">
        <w:rPr>
          <w:color w:val="auto"/>
        </w:rPr>
        <w:t>Tabulated summary of adverse drug reactions from clinical trials</w:t>
      </w:r>
    </w:p>
    <w:p w14:paraId="2450816E" w14:textId="1AE49FC5" w:rsidR="00EE7129" w:rsidRPr="00E223AF" w:rsidRDefault="0071744C" w:rsidP="0071744C">
      <w:pPr>
        <w:rPr>
          <w:color w:val="auto"/>
        </w:rPr>
      </w:pPr>
      <w:r w:rsidRPr="00E223AF">
        <w:rPr>
          <w:color w:val="auto"/>
        </w:rPr>
        <w:t xml:space="preserve">Table </w:t>
      </w:r>
      <w:r w:rsidR="005A4149" w:rsidRPr="00E223AF">
        <w:rPr>
          <w:color w:val="auto"/>
        </w:rPr>
        <w:t xml:space="preserve">4 </w:t>
      </w:r>
      <w:r w:rsidRPr="00E223AF">
        <w:rPr>
          <w:color w:val="auto"/>
        </w:rPr>
        <w:t>summari</w:t>
      </w:r>
      <w:r w:rsidR="005722A0" w:rsidRPr="00E223AF">
        <w:rPr>
          <w:color w:val="auto"/>
        </w:rPr>
        <w:t>s</w:t>
      </w:r>
      <w:r w:rsidRPr="00E223AF">
        <w:rPr>
          <w:color w:val="auto"/>
        </w:rPr>
        <w:t xml:space="preserve">es the </w:t>
      </w:r>
      <w:r w:rsidR="00107A76" w:rsidRPr="00E223AF">
        <w:rPr>
          <w:color w:val="auto"/>
        </w:rPr>
        <w:t xml:space="preserve">most common </w:t>
      </w:r>
      <w:r w:rsidRPr="00E223AF">
        <w:rPr>
          <w:color w:val="auto"/>
        </w:rPr>
        <w:t>adverse drug reactions (ADRs) occurring in adult and p</w:t>
      </w:r>
      <w:r w:rsidR="005722A0" w:rsidRPr="00E223AF">
        <w:rPr>
          <w:color w:val="auto"/>
        </w:rPr>
        <w:t>a</w:t>
      </w:r>
      <w:r w:rsidRPr="00E223AF">
        <w:rPr>
          <w:color w:val="auto"/>
        </w:rPr>
        <w:t xml:space="preserve">ediatric patients treated with </w:t>
      </w:r>
      <w:r w:rsidR="00AC22FD" w:rsidRPr="00E223AF">
        <w:rPr>
          <w:color w:val="auto"/>
        </w:rPr>
        <w:t>Rozlytrek</w:t>
      </w:r>
      <w:r w:rsidRPr="00E223AF">
        <w:rPr>
          <w:color w:val="auto"/>
        </w:rPr>
        <w:t xml:space="preserve">. </w:t>
      </w:r>
    </w:p>
    <w:p w14:paraId="03E2E323" w14:textId="77777777" w:rsidR="001C1633" w:rsidRPr="00E223AF" w:rsidRDefault="001C1633" w:rsidP="0071744C">
      <w:pPr>
        <w:rPr>
          <w:color w:val="auto"/>
        </w:rPr>
      </w:pPr>
    </w:p>
    <w:p w14:paraId="67C3E880" w14:textId="77777777" w:rsidR="0069205F" w:rsidRPr="00E223AF" w:rsidRDefault="005722A0" w:rsidP="0071744C">
      <w:pPr>
        <w:rPr>
          <w:b/>
          <w:color w:val="auto"/>
        </w:rPr>
      </w:pPr>
      <w:r w:rsidRPr="00E223AF">
        <w:rPr>
          <w:b/>
          <w:color w:val="auto"/>
        </w:rPr>
        <w:lastRenderedPageBreak/>
        <w:t xml:space="preserve">Table </w:t>
      </w:r>
      <w:r w:rsidR="005A4149" w:rsidRPr="00E223AF">
        <w:rPr>
          <w:b/>
          <w:color w:val="auto"/>
        </w:rPr>
        <w:t>4</w:t>
      </w:r>
      <w:r w:rsidRPr="00E223AF">
        <w:rPr>
          <w:b/>
          <w:color w:val="auto"/>
        </w:rPr>
        <w:t xml:space="preserve">. </w:t>
      </w:r>
      <w:r w:rsidR="003F380E" w:rsidRPr="00E223AF">
        <w:rPr>
          <w:b/>
          <w:color w:val="auto"/>
        </w:rPr>
        <w:t>A</w:t>
      </w:r>
      <w:r w:rsidR="0071744C" w:rsidRPr="00E223AF">
        <w:rPr>
          <w:b/>
          <w:color w:val="auto"/>
        </w:rPr>
        <w:t xml:space="preserve">dverse reactions </w:t>
      </w:r>
      <w:r w:rsidR="003F380E" w:rsidRPr="00E223AF">
        <w:rPr>
          <w:b/>
          <w:color w:val="auto"/>
        </w:rPr>
        <w:t xml:space="preserve">that </w:t>
      </w:r>
      <w:r w:rsidR="0071744C" w:rsidRPr="00E223AF">
        <w:rPr>
          <w:b/>
          <w:color w:val="auto"/>
        </w:rPr>
        <w:t>occurr</w:t>
      </w:r>
      <w:r w:rsidR="003F380E" w:rsidRPr="00E223AF">
        <w:rPr>
          <w:b/>
          <w:color w:val="auto"/>
        </w:rPr>
        <w:t>ed</w:t>
      </w:r>
      <w:r w:rsidR="0071744C" w:rsidRPr="00E223AF">
        <w:rPr>
          <w:b/>
          <w:color w:val="auto"/>
        </w:rPr>
        <w:t xml:space="preserve"> in </w:t>
      </w:r>
      <w:r w:rsidR="003F380E" w:rsidRPr="00E223AF">
        <w:rPr>
          <w:b/>
          <w:color w:val="auto"/>
        </w:rPr>
        <w:t xml:space="preserve">at least 10% of </w:t>
      </w:r>
      <w:r w:rsidR="0071744C" w:rsidRPr="00E223AF">
        <w:rPr>
          <w:b/>
          <w:color w:val="auto"/>
        </w:rPr>
        <w:t xml:space="preserve">patients </w:t>
      </w:r>
      <w:r w:rsidR="003F380E" w:rsidRPr="00E223AF">
        <w:rPr>
          <w:b/>
          <w:color w:val="auto"/>
        </w:rPr>
        <w:t>receiving</w:t>
      </w:r>
      <w:r w:rsidR="0071744C" w:rsidRPr="00E223AF">
        <w:rPr>
          <w:b/>
          <w:color w:val="auto"/>
        </w:rPr>
        <w:t xml:space="preserve"> </w:t>
      </w:r>
      <w:r w:rsidR="00AC22FD" w:rsidRPr="00E223AF">
        <w:rPr>
          <w:b/>
          <w:color w:val="auto"/>
        </w:rPr>
        <w:t>Rozlytrek</w:t>
      </w:r>
      <w:r w:rsidRPr="00E223AF">
        <w:rPr>
          <w:b/>
          <w:color w:val="auto"/>
        </w:rPr>
        <w:t xml:space="preserve"> </w:t>
      </w:r>
      <w:r w:rsidR="0071744C" w:rsidRPr="00E223AF">
        <w:rPr>
          <w:b/>
          <w:color w:val="auto"/>
        </w:rPr>
        <w:t>in clinical trials (</w:t>
      </w:r>
      <w:r w:rsidR="003F380E" w:rsidRPr="00E223AF">
        <w:rPr>
          <w:b/>
          <w:color w:val="auto"/>
        </w:rPr>
        <w:t>ALKA, STARTRK-1, STARTRK-2 and STARTRK-NG</w:t>
      </w:r>
      <w:r w:rsidR="0071744C" w:rsidRPr="00E223AF">
        <w:rPr>
          <w:b/>
          <w:color w:val="auto"/>
        </w:rPr>
        <w:t>)</w:t>
      </w:r>
    </w:p>
    <w:p w14:paraId="174CD2EB" w14:textId="64D18B6B" w:rsidR="006C29FE" w:rsidRPr="00E223AF" w:rsidRDefault="0071744C" w:rsidP="0071744C">
      <w:pPr>
        <w:rPr>
          <w:b/>
          <w:color w:val="auto"/>
        </w:rPr>
      </w:pPr>
      <w:r w:rsidRPr="00E223AF">
        <w:rPr>
          <w:b/>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845"/>
        <w:gridCol w:w="2566"/>
      </w:tblGrid>
      <w:tr w:rsidR="00F74A45" w:rsidRPr="00E223AF" w14:paraId="4129368A" w14:textId="1669592B" w:rsidTr="00273525">
        <w:trPr>
          <w:tblHeader/>
          <w:jc w:val="center"/>
        </w:trPr>
        <w:tc>
          <w:tcPr>
            <w:tcW w:w="2332" w:type="dxa"/>
            <w:vMerge w:val="restart"/>
            <w:shd w:val="clear" w:color="auto" w:fill="auto"/>
            <w:vAlign w:val="center"/>
          </w:tcPr>
          <w:p w14:paraId="1EBE98C7"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59"/>
              <w:jc w:val="left"/>
              <w:rPr>
                <w:b/>
                <w:color w:val="auto"/>
                <w:sz w:val="22"/>
                <w:szCs w:val="22"/>
                <w:lang w:val="en-US" w:eastAsia="de-DE"/>
              </w:rPr>
            </w:pPr>
            <w:r w:rsidRPr="00E223AF">
              <w:rPr>
                <w:b/>
                <w:color w:val="auto"/>
                <w:sz w:val="22"/>
                <w:szCs w:val="22"/>
                <w:lang w:val="en-GB" w:eastAsia="en-GB"/>
              </w:rPr>
              <w:t>Adverse Reactions</w:t>
            </w:r>
          </w:p>
        </w:tc>
        <w:tc>
          <w:tcPr>
            <w:tcW w:w="4411" w:type="dxa"/>
            <w:gridSpan w:val="2"/>
            <w:shd w:val="clear" w:color="auto" w:fill="auto"/>
          </w:tcPr>
          <w:p w14:paraId="10F7C6B0"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b/>
                <w:color w:val="auto"/>
                <w:sz w:val="22"/>
                <w:szCs w:val="22"/>
                <w:lang w:val="de-DE" w:eastAsia="de-DE"/>
              </w:rPr>
            </w:pPr>
            <w:r w:rsidRPr="00E223AF">
              <w:rPr>
                <w:b/>
                <w:color w:val="auto"/>
                <w:sz w:val="22"/>
                <w:szCs w:val="22"/>
                <w:lang w:val="de-DE" w:eastAsia="de-DE"/>
              </w:rPr>
              <w:t>ROZLYTREK</w:t>
            </w:r>
          </w:p>
          <w:p w14:paraId="0C8E10DA"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b/>
                <w:color w:val="auto"/>
                <w:sz w:val="22"/>
                <w:szCs w:val="22"/>
                <w:lang w:val="de-DE" w:eastAsia="de-DE"/>
              </w:rPr>
            </w:pPr>
            <w:r w:rsidRPr="00E223AF">
              <w:rPr>
                <w:b/>
                <w:color w:val="auto"/>
                <w:sz w:val="22"/>
                <w:szCs w:val="22"/>
                <w:lang w:val="de-DE" w:eastAsia="de-DE"/>
              </w:rPr>
              <w:t>N = 355</w:t>
            </w:r>
          </w:p>
        </w:tc>
      </w:tr>
      <w:tr w:rsidR="00F74A45" w:rsidRPr="00E223AF" w14:paraId="6832F2DD" w14:textId="0DFD6D9F" w:rsidTr="00273525">
        <w:trPr>
          <w:tblHeader/>
          <w:jc w:val="center"/>
        </w:trPr>
        <w:tc>
          <w:tcPr>
            <w:tcW w:w="2332" w:type="dxa"/>
            <w:vMerge/>
            <w:shd w:val="clear" w:color="auto" w:fill="auto"/>
          </w:tcPr>
          <w:p w14:paraId="651E2093" w14:textId="77777777" w:rsidR="00F74A45" w:rsidRPr="00E223AF" w:rsidRDefault="00F74A45" w:rsidP="0069205F">
            <w:pPr>
              <w:keepNext/>
              <w:keepLines/>
              <w:pBdr>
                <w:top w:val="none" w:sz="0" w:space="0" w:color="auto"/>
                <w:left w:val="none" w:sz="0" w:space="0" w:color="auto"/>
                <w:bottom w:val="none" w:sz="0" w:space="0" w:color="auto"/>
                <w:right w:val="none" w:sz="0" w:space="0" w:color="auto"/>
                <w:between w:val="none" w:sz="0" w:space="0" w:color="auto"/>
              </w:pBdr>
              <w:shd w:val="clear" w:color="auto" w:fill="FFFFFF"/>
              <w:jc w:val="left"/>
              <w:rPr>
                <w:b/>
                <w:color w:val="auto"/>
                <w:sz w:val="22"/>
                <w:lang w:val="de-DE" w:eastAsia="de-DE"/>
              </w:rPr>
            </w:pPr>
          </w:p>
        </w:tc>
        <w:tc>
          <w:tcPr>
            <w:tcW w:w="1845" w:type="dxa"/>
            <w:shd w:val="clear" w:color="auto" w:fill="auto"/>
          </w:tcPr>
          <w:p w14:paraId="4FD49C71"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jc w:val="center"/>
              <w:rPr>
                <w:b/>
                <w:color w:val="auto"/>
                <w:sz w:val="22"/>
                <w:szCs w:val="22"/>
                <w:lang w:val="en-GB" w:eastAsia="en-GB"/>
              </w:rPr>
            </w:pPr>
            <w:r w:rsidRPr="00E223AF">
              <w:rPr>
                <w:b/>
                <w:color w:val="auto"/>
                <w:sz w:val="22"/>
                <w:szCs w:val="22"/>
                <w:lang w:val="en-GB" w:eastAsia="en-GB"/>
              </w:rPr>
              <w:t>All Grades (%)</w:t>
            </w:r>
          </w:p>
        </w:tc>
        <w:tc>
          <w:tcPr>
            <w:tcW w:w="2566" w:type="dxa"/>
            <w:shd w:val="clear" w:color="auto" w:fill="auto"/>
          </w:tcPr>
          <w:p w14:paraId="2A826A40"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jc w:val="center"/>
              <w:rPr>
                <w:b/>
                <w:color w:val="auto"/>
                <w:sz w:val="22"/>
                <w:szCs w:val="22"/>
                <w:lang w:val="en-GB" w:eastAsia="en-GB"/>
              </w:rPr>
            </w:pPr>
            <w:r w:rsidRPr="00E223AF">
              <w:rPr>
                <w:b/>
                <w:color w:val="auto"/>
                <w:sz w:val="22"/>
                <w:szCs w:val="22"/>
                <w:lang w:val="en-GB" w:eastAsia="en-GB"/>
              </w:rPr>
              <w:t>Grade ≥ 3* (%)</w:t>
            </w:r>
          </w:p>
        </w:tc>
      </w:tr>
      <w:tr w:rsidR="00F74A45" w:rsidRPr="00E223AF" w14:paraId="49A32743" w14:textId="4BE9D50E" w:rsidTr="00273525">
        <w:trPr>
          <w:jc w:val="center"/>
        </w:trPr>
        <w:tc>
          <w:tcPr>
            <w:tcW w:w="6743" w:type="dxa"/>
            <w:gridSpan w:val="3"/>
            <w:shd w:val="clear" w:color="auto" w:fill="auto"/>
          </w:tcPr>
          <w:p w14:paraId="059BEB6B" w14:textId="111C773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color w:val="auto"/>
                <w:sz w:val="22"/>
                <w:szCs w:val="22"/>
                <w:lang w:val="en-US" w:eastAsia="de-DE"/>
              </w:rPr>
            </w:pPr>
            <w:r w:rsidRPr="00E223AF">
              <w:rPr>
                <w:b/>
                <w:color w:val="auto"/>
                <w:sz w:val="22"/>
                <w:szCs w:val="22"/>
                <w:lang w:val="en-US" w:eastAsia="de-DE"/>
              </w:rPr>
              <w:t>General disorders and administration site conditions</w:t>
            </w:r>
          </w:p>
        </w:tc>
      </w:tr>
      <w:tr w:rsidR="00F74A45" w:rsidRPr="00E223AF" w14:paraId="6C043507" w14:textId="515D6602" w:rsidTr="00273525">
        <w:trPr>
          <w:jc w:val="center"/>
        </w:trPr>
        <w:tc>
          <w:tcPr>
            <w:tcW w:w="2332" w:type="dxa"/>
            <w:shd w:val="clear" w:color="auto" w:fill="auto"/>
          </w:tcPr>
          <w:p w14:paraId="13260272"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Fatigue</w:t>
            </w:r>
            <w:r w:rsidRPr="00E223AF">
              <w:rPr>
                <w:color w:val="auto"/>
                <w:sz w:val="22"/>
                <w:szCs w:val="22"/>
                <w:vertAlign w:val="superscript"/>
                <w:lang w:val="en-US" w:eastAsia="de-DE"/>
              </w:rPr>
              <w:t>1</w:t>
            </w:r>
          </w:p>
        </w:tc>
        <w:tc>
          <w:tcPr>
            <w:tcW w:w="1845" w:type="dxa"/>
            <w:shd w:val="clear" w:color="auto" w:fill="auto"/>
          </w:tcPr>
          <w:p w14:paraId="34387F5F"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48</w:t>
            </w:r>
          </w:p>
        </w:tc>
        <w:tc>
          <w:tcPr>
            <w:tcW w:w="2566" w:type="dxa"/>
            <w:shd w:val="clear" w:color="auto" w:fill="auto"/>
          </w:tcPr>
          <w:p w14:paraId="767B1C93" w14:textId="362313EB"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5</w:t>
            </w:r>
          </w:p>
        </w:tc>
      </w:tr>
      <w:tr w:rsidR="00F74A45" w:rsidRPr="00E223AF" w14:paraId="3C37B37E" w14:textId="53A92AEA" w:rsidTr="00273525">
        <w:trPr>
          <w:jc w:val="center"/>
        </w:trPr>
        <w:tc>
          <w:tcPr>
            <w:tcW w:w="2332" w:type="dxa"/>
            <w:shd w:val="clear" w:color="auto" w:fill="auto"/>
          </w:tcPr>
          <w:p w14:paraId="787330AC"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Edema</w:t>
            </w:r>
            <w:r w:rsidRPr="00E223AF">
              <w:rPr>
                <w:color w:val="auto"/>
                <w:sz w:val="22"/>
                <w:vertAlign w:val="superscript"/>
                <w:lang w:val="en-US" w:eastAsia="de-DE"/>
              </w:rPr>
              <w:t>2</w:t>
            </w:r>
          </w:p>
        </w:tc>
        <w:tc>
          <w:tcPr>
            <w:tcW w:w="1845" w:type="dxa"/>
            <w:shd w:val="clear" w:color="auto" w:fill="auto"/>
          </w:tcPr>
          <w:p w14:paraId="761F1C4F"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40</w:t>
            </w:r>
          </w:p>
        </w:tc>
        <w:tc>
          <w:tcPr>
            <w:tcW w:w="2566" w:type="dxa"/>
            <w:shd w:val="clear" w:color="auto" w:fill="auto"/>
          </w:tcPr>
          <w:p w14:paraId="228DFD36"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w:t>
            </w:r>
            <w:r w:rsidRPr="00E223AF" w:rsidDel="006E58F3">
              <w:rPr>
                <w:color w:val="auto"/>
                <w:sz w:val="22"/>
                <w:szCs w:val="22"/>
                <w:lang w:val="en-US" w:eastAsia="de-DE"/>
              </w:rPr>
              <w:t>.1</w:t>
            </w:r>
          </w:p>
        </w:tc>
      </w:tr>
      <w:tr w:rsidR="00F74A45" w:rsidRPr="00E223AF" w14:paraId="4D3D4357" w14:textId="04E2B2F4" w:rsidTr="00273525">
        <w:trPr>
          <w:jc w:val="center"/>
        </w:trPr>
        <w:tc>
          <w:tcPr>
            <w:tcW w:w="2332" w:type="dxa"/>
            <w:shd w:val="clear" w:color="auto" w:fill="auto"/>
          </w:tcPr>
          <w:p w14:paraId="3FEDCF6D"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Pyrexia</w:t>
            </w:r>
          </w:p>
        </w:tc>
        <w:tc>
          <w:tcPr>
            <w:tcW w:w="1845" w:type="dxa"/>
            <w:shd w:val="clear" w:color="auto" w:fill="auto"/>
          </w:tcPr>
          <w:p w14:paraId="213B5C98"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21</w:t>
            </w:r>
          </w:p>
        </w:tc>
        <w:tc>
          <w:tcPr>
            <w:tcW w:w="2566" w:type="dxa"/>
            <w:shd w:val="clear" w:color="auto" w:fill="auto"/>
          </w:tcPr>
          <w:p w14:paraId="7D5BFE71"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6E58F3">
              <w:rPr>
                <w:color w:val="auto"/>
                <w:sz w:val="22"/>
                <w:szCs w:val="22"/>
                <w:lang w:val="en-US" w:eastAsia="de-DE"/>
              </w:rPr>
              <w:t>0.8</w:t>
            </w:r>
          </w:p>
        </w:tc>
      </w:tr>
      <w:tr w:rsidR="00F74A45" w:rsidRPr="00E223AF" w14:paraId="276BFD3A" w14:textId="4C2F1550" w:rsidTr="00273525">
        <w:trPr>
          <w:jc w:val="center"/>
        </w:trPr>
        <w:tc>
          <w:tcPr>
            <w:tcW w:w="6743" w:type="dxa"/>
            <w:gridSpan w:val="3"/>
            <w:shd w:val="clear" w:color="auto" w:fill="auto"/>
          </w:tcPr>
          <w:p w14:paraId="424D380C" w14:textId="77777777" w:rsidR="00F74A45" w:rsidRPr="00E223AF" w:rsidRDefault="00F74A45" w:rsidP="0069205F">
            <w:pPr>
              <w:keepNext/>
              <w:pBdr>
                <w:top w:val="none" w:sz="0" w:space="0" w:color="auto"/>
                <w:left w:val="none" w:sz="0" w:space="0" w:color="auto"/>
                <w:bottom w:val="none" w:sz="0" w:space="0" w:color="auto"/>
                <w:right w:val="none" w:sz="0" w:space="0" w:color="auto"/>
                <w:between w:val="none" w:sz="0" w:space="0" w:color="auto"/>
              </w:pBdr>
              <w:shd w:val="clear" w:color="auto" w:fill="FFFFFF"/>
              <w:jc w:val="left"/>
              <w:rPr>
                <w:b/>
                <w:color w:val="auto"/>
                <w:sz w:val="22"/>
                <w:szCs w:val="22"/>
                <w:lang w:val="en-US" w:eastAsia="de-DE"/>
              </w:rPr>
            </w:pPr>
            <w:r w:rsidRPr="00E223AF">
              <w:rPr>
                <w:b/>
                <w:color w:val="auto"/>
                <w:sz w:val="22"/>
                <w:szCs w:val="22"/>
                <w:lang w:val="en-US" w:eastAsia="de-DE"/>
              </w:rPr>
              <w:t>Gastrointestinal</w:t>
            </w:r>
          </w:p>
        </w:tc>
      </w:tr>
      <w:tr w:rsidR="00F74A45" w:rsidRPr="00E223AF" w14:paraId="147A6B8A" w14:textId="62CA9B12" w:rsidTr="00273525">
        <w:trPr>
          <w:jc w:val="center"/>
        </w:trPr>
        <w:tc>
          <w:tcPr>
            <w:tcW w:w="2332" w:type="dxa"/>
            <w:shd w:val="clear" w:color="auto" w:fill="auto"/>
          </w:tcPr>
          <w:p w14:paraId="74DE5DE1"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Constipation</w:t>
            </w:r>
          </w:p>
        </w:tc>
        <w:tc>
          <w:tcPr>
            <w:tcW w:w="1845" w:type="dxa"/>
            <w:shd w:val="clear" w:color="auto" w:fill="auto"/>
          </w:tcPr>
          <w:p w14:paraId="11C46957"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46</w:t>
            </w:r>
          </w:p>
        </w:tc>
        <w:tc>
          <w:tcPr>
            <w:tcW w:w="2566" w:type="dxa"/>
            <w:shd w:val="clear" w:color="auto" w:fill="auto"/>
          </w:tcPr>
          <w:p w14:paraId="3709F7F6"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6E58F3">
              <w:rPr>
                <w:color w:val="auto"/>
                <w:sz w:val="22"/>
                <w:szCs w:val="22"/>
                <w:lang w:val="en-US" w:eastAsia="de-DE"/>
              </w:rPr>
              <w:t>0.6</w:t>
            </w:r>
          </w:p>
        </w:tc>
      </w:tr>
      <w:tr w:rsidR="00F74A45" w:rsidRPr="00E223AF" w14:paraId="2773FF21" w14:textId="099BA373" w:rsidTr="00273525">
        <w:trPr>
          <w:jc w:val="center"/>
        </w:trPr>
        <w:tc>
          <w:tcPr>
            <w:tcW w:w="2332" w:type="dxa"/>
            <w:shd w:val="clear" w:color="auto" w:fill="auto"/>
          </w:tcPr>
          <w:p w14:paraId="377C5870" w14:textId="38FF5588"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proofErr w:type="spellStart"/>
            <w:r w:rsidRPr="00E223AF">
              <w:rPr>
                <w:color w:val="auto"/>
                <w:sz w:val="22"/>
                <w:szCs w:val="22"/>
                <w:lang w:val="en-US" w:eastAsia="de-DE"/>
              </w:rPr>
              <w:t>Diarrhoea</w:t>
            </w:r>
            <w:proofErr w:type="spellEnd"/>
          </w:p>
        </w:tc>
        <w:tc>
          <w:tcPr>
            <w:tcW w:w="1845" w:type="dxa"/>
            <w:shd w:val="clear" w:color="auto" w:fill="auto"/>
          </w:tcPr>
          <w:p w14:paraId="38598938"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35</w:t>
            </w:r>
          </w:p>
        </w:tc>
        <w:tc>
          <w:tcPr>
            <w:tcW w:w="2566" w:type="dxa"/>
            <w:shd w:val="clear" w:color="auto" w:fill="auto"/>
          </w:tcPr>
          <w:p w14:paraId="5DF1FC96"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2.0</w:t>
            </w:r>
          </w:p>
        </w:tc>
      </w:tr>
      <w:tr w:rsidR="00F74A45" w:rsidRPr="00E223AF" w14:paraId="468A6BD3" w14:textId="73C6F6A1" w:rsidTr="00273525">
        <w:trPr>
          <w:jc w:val="center"/>
        </w:trPr>
        <w:tc>
          <w:tcPr>
            <w:tcW w:w="2332" w:type="dxa"/>
            <w:shd w:val="clear" w:color="auto" w:fill="auto"/>
          </w:tcPr>
          <w:p w14:paraId="280F5966"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Nausea</w:t>
            </w:r>
          </w:p>
        </w:tc>
        <w:tc>
          <w:tcPr>
            <w:tcW w:w="1845" w:type="dxa"/>
            <w:shd w:val="clear" w:color="auto" w:fill="auto"/>
          </w:tcPr>
          <w:p w14:paraId="6FE571AC"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34</w:t>
            </w:r>
          </w:p>
        </w:tc>
        <w:tc>
          <w:tcPr>
            <w:tcW w:w="2566" w:type="dxa"/>
            <w:shd w:val="clear" w:color="auto" w:fill="auto"/>
          </w:tcPr>
          <w:p w14:paraId="5046C899"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6F855828" w14:textId="4F785B34" w:rsidTr="00273525">
        <w:trPr>
          <w:jc w:val="center"/>
        </w:trPr>
        <w:tc>
          <w:tcPr>
            <w:tcW w:w="2332" w:type="dxa"/>
            <w:shd w:val="clear" w:color="auto" w:fill="auto"/>
          </w:tcPr>
          <w:p w14:paraId="47575A1D"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Vomiting</w:t>
            </w:r>
          </w:p>
        </w:tc>
        <w:tc>
          <w:tcPr>
            <w:tcW w:w="1845" w:type="dxa"/>
            <w:shd w:val="clear" w:color="auto" w:fill="auto"/>
          </w:tcPr>
          <w:p w14:paraId="7D28E9EA"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24</w:t>
            </w:r>
          </w:p>
        </w:tc>
        <w:tc>
          <w:tcPr>
            <w:tcW w:w="2566" w:type="dxa"/>
            <w:shd w:val="clear" w:color="auto" w:fill="auto"/>
          </w:tcPr>
          <w:p w14:paraId="25A2BEFB"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6E58F3">
              <w:rPr>
                <w:color w:val="auto"/>
                <w:sz w:val="22"/>
                <w:szCs w:val="22"/>
                <w:lang w:val="en-US" w:eastAsia="de-DE"/>
              </w:rPr>
              <w:t>0.8</w:t>
            </w:r>
          </w:p>
        </w:tc>
      </w:tr>
      <w:tr w:rsidR="00F74A45" w:rsidRPr="00E223AF" w14:paraId="34CBB4D5" w14:textId="26924B69" w:rsidTr="00273525">
        <w:trPr>
          <w:jc w:val="center"/>
        </w:trPr>
        <w:tc>
          <w:tcPr>
            <w:tcW w:w="2332" w:type="dxa"/>
            <w:shd w:val="clear" w:color="auto" w:fill="auto"/>
          </w:tcPr>
          <w:p w14:paraId="6993E07A"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vertAlign w:val="superscript"/>
                <w:lang w:val="en-US" w:eastAsia="de-DE"/>
              </w:rPr>
            </w:pPr>
            <w:r w:rsidRPr="00E223AF">
              <w:rPr>
                <w:color w:val="auto"/>
                <w:sz w:val="22"/>
                <w:szCs w:val="22"/>
                <w:lang w:val="en-US" w:eastAsia="de-DE"/>
              </w:rPr>
              <w:t>Abdominal pain</w:t>
            </w:r>
            <w:r w:rsidRPr="00E223AF">
              <w:rPr>
                <w:color w:val="auto"/>
                <w:sz w:val="22"/>
                <w:szCs w:val="22"/>
                <w:vertAlign w:val="superscript"/>
                <w:lang w:val="en-US" w:eastAsia="de-DE"/>
              </w:rPr>
              <w:t>3</w:t>
            </w:r>
          </w:p>
        </w:tc>
        <w:tc>
          <w:tcPr>
            <w:tcW w:w="1845" w:type="dxa"/>
            <w:shd w:val="clear" w:color="auto" w:fill="auto"/>
          </w:tcPr>
          <w:p w14:paraId="6917A287"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16</w:t>
            </w:r>
          </w:p>
        </w:tc>
        <w:tc>
          <w:tcPr>
            <w:tcW w:w="2566" w:type="dxa"/>
            <w:shd w:val="clear" w:color="auto" w:fill="auto"/>
          </w:tcPr>
          <w:p w14:paraId="4AC2F8B2" w14:textId="77777777" w:rsidR="00F74A45" w:rsidRPr="00E223AF" w:rsidRDefault="00F74A45" w:rsidP="00266F5C">
            <w:pPr>
              <w:keepNext/>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6E58F3">
              <w:rPr>
                <w:color w:val="auto"/>
                <w:sz w:val="22"/>
                <w:szCs w:val="22"/>
                <w:lang w:val="en-US" w:eastAsia="de-DE"/>
              </w:rPr>
              <w:t>0.6</w:t>
            </w:r>
          </w:p>
        </w:tc>
      </w:tr>
      <w:tr w:rsidR="00F74A45" w:rsidRPr="00E223AF" w14:paraId="42EF8094" w14:textId="6FC3D22D" w:rsidTr="00273525">
        <w:trPr>
          <w:jc w:val="center"/>
        </w:trPr>
        <w:tc>
          <w:tcPr>
            <w:tcW w:w="6743" w:type="dxa"/>
            <w:gridSpan w:val="3"/>
            <w:shd w:val="clear" w:color="auto" w:fill="auto"/>
          </w:tcPr>
          <w:p w14:paraId="05E52600" w14:textId="6A7877EF"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color w:val="auto"/>
                <w:sz w:val="22"/>
                <w:szCs w:val="22"/>
                <w:lang w:val="en-US" w:eastAsia="de-DE"/>
              </w:rPr>
            </w:pPr>
            <w:r w:rsidRPr="00E223AF">
              <w:rPr>
                <w:b/>
                <w:color w:val="auto"/>
                <w:sz w:val="22"/>
                <w:szCs w:val="22"/>
                <w:lang w:val="en-US" w:eastAsia="de-DE"/>
              </w:rPr>
              <w:t>Nervous system disorders</w:t>
            </w:r>
          </w:p>
        </w:tc>
      </w:tr>
      <w:tr w:rsidR="00F74A45" w:rsidRPr="00E223AF" w14:paraId="2FADE0BE" w14:textId="5EB0CD63" w:rsidTr="00273525">
        <w:trPr>
          <w:jc w:val="center"/>
        </w:trPr>
        <w:tc>
          <w:tcPr>
            <w:tcW w:w="2332" w:type="dxa"/>
            <w:shd w:val="clear" w:color="auto" w:fill="auto"/>
          </w:tcPr>
          <w:p w14:paraId="7924788A"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proofErr w:type="spellStart"/>
            <w:r w:rsidRPr="00E223AF">
              <w:rPr>
                <w:color w:val="auto"/>
                <w:sz w:val="22"/>
                <w:szCs w:val="22"/>
                <w:lang w:val="en-US" w:eastAsia="de-DE"/>
              </w:rPr>
              <w:t>Dysgeusia</w:t>
            </w:r>
            <w:proofErr w:type="spellEnd"/>
          </w:p>
        </w:tc>
        <w:tc>
          <w:tcPr>
            <w:tcW w:w="1845" w:type="dxa"/>
            <w:shd w:val="clear" w:color="auto" w:fill="auto"/>
          </w:tcPr>
          <w:p w14:paraId="073150FB"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44</w:t>
            </w:r>
          </w:p>
        </w:tc>
        <w:tc>
          <w:tcPr>
            <w:tcW w:w="2566" w:type="dxa"/>
            <w:shd w:val="clear" w:color="auto" w:fill="auto"/>
          </w:tcPr>
          <w:p w14:paraId="09FC50A1"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095F9F7D" w14:textId="6560C15B" w:rsidTr="00273525">
        <w:trPr>
          <w:jc w:val="center"/>
        </w:trPr>
        <w:tc>
          <w:tcPr>
            <w:tcW w:w="2332" w:type="dxa"/>
            <w:shd w:val="clear" w:color="auto" w:fill="auto"/>
          </w:tcPr>
          <w:p w14:paraId="3C93B1F7"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Dizziness</w:t>
            </w:r>
            <w:r w:rsidRPr="00E223AF">
              <w:rPr>
                <w:color w:val="auto"/>
                <w:sz w:val="22"/>
                <w:vertAlign w:val="superscript"/>
                <w:lang w:val="en-US" w:eastAsia="de-DE"/>
              </w:rPr>
              <w:t>4</w:t>
            </w:r>
          </w:p>
        </w:tc>
        <w:tc>
          <w:tcPr>
            <w:tcW w:w="1845" w:type="dxa"/>
            <w:shd w:val="clear" w:color="auto" w:fill="auto"/>
          </w:tcPr>
          <w:p w14:paraId="091F1B83"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38</w:t>
            </w:r>
          </w:p>
        </w:tc>
        <w:tc>
          <w:tcPr>
            <w:tcW w:w="2566" w:type="dxa"/>
            <w:shd w:val="clear" w:color="auto" w:fill="auto"/>
          </w:tcPr>
          <w:p w14:paraId="096F2EB6"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6E58F3">
              <w:rPr>
                <w:color w:val="auto"/>
                <w:sz w:val="22"/>
                <w:szCs w:val="22"/>
                <w:lang w:val="en-US" w:eastAsia="de-DE"/>
              </w:rPr>
              <w:t>0.8</w:t>
            </w:r>
          </w:p>
        </w:tc>
      </w:tr>
      <w:tr w:rsidR="00F74A45" w:rsidRPr="00E223AF" w14:paraId="3503F175" w14:textId="6D090BEB" w:rsidTr="00273525">
        <w:trPr>
          <w:jc w:val="center"/>
        </w:trPr>
        <w:tc>
          <w:tcPr>
            <w:tcW w:w="2332" w:type="dxa"/>
            <w:shd w:val="clear" w:color="auto" w:fill="auto"/>
          </w:tcPr>
          <w:p w14:paraId="347627B2"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Dysesthesia</w:t>
            </w:r>
            <w:r w:rsidRPr="00E223AF">
              <w:rPr>
                <w:color w:val="auto"/>
                <w:sz w:val="22"/>
                <w:vertAlign w:val="superscript"/>
                <w:lang w:val="en-US" w:eastAsia="de-DE"/>
              </w:rPr>
              <w:t>5</w:t>
            </w:r>
          </w:p>
        </w:tc>
        <w:tc>
          <w:tcPr>
            <w:tcW w:w="1845" w:type="dxa"/>
            <w:shd w:val="clear" w:color="auto" w:fill="auto"/>
          </w:tcPr>
          <w:p w14:paraId="33DDB4BA"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34</w:t>
            </w:r>
          </w:p>
        </w:tc>
        <w:tc>
          <w:tcPr>
            <w:tcW w:w="2566" w:type="dxa"/>
            <w:shd w:val="clear" w:color="auto" w:fill="auto"/>
          </w:tcPr>
          <w:p w14:paraId="5B6B0DF9"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0D39343B" w14:textId="1D71CC1F" w:rsidTr="00273525">
        <w:trPr>
          <w:trHeight w:val="70"/>
          <w:jc w:val="center"/>
        </w:trPr>
        <w:tc>
          <w:tcPr>
            <w:tcW w:w="2332" w:type="dxa"/>
            <w:shd w:val="clear" w:color="auto" w:fill="auto"/>
          </w:tcPr>
          <w:p w14:paraId="7352F3D6"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Cognitive impairment</w:t>
            </w:r>
            <w:r w:rsidRPr="00E223AF">
              <w:rPr>
                <w:color w:val="auto"/>
                <w:sz w:val="22"/>
                <w:vertAlign w:val="superscript"/>
                <w:lang w:val="en-US" w:eastAsia="de-DE"/>
              </w:rPr>
              <w:t>6</w:t>
            </w:r>
          </w:p>
        </w:tc>
        <w:tc>
          <w:tcPr>
            <w:tcW w:w="1845" w:type="dxa"/>
            <w:shd w:val="clear" w:color="auto" w:fill="auto"/>
          </w:tcPr>
          <w:p w14:paraId="50614CE1"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27</w:t>
            </w:r>
          </w:p>
        </w:tc>
        <w:tc>
          <w:tcPr>
            <w:tcW w:w="2566" w:type="dxa"/>
            <w:shd w:val="clear" w:color="auto" w:fill="auto"/>
          </w:tcPr>
          <w:p w14:paraId="3FCF428F"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tabs>
                <w:tab w:val="center" w:pos="1422"/>
                <w:tab w:val="left" w:pos="1976"/>
              </w:tabs>
              <w:jc w:val="center"/>
              <w:rPr>
                <w:color w:val="auto"/>
                <w:sz w:val="22"/>
                <w:szCs w:val="22"/>
                <w:lang w:val="en-US" w:eastAsia="de-DE"/>
              </w:rPr>
            </w:pPr>
            <w:r w:rsidRPr="00E223AF">
              <w:rPr>
                <w:color w:val="auto"/>
                <w:sz w:val="22"/>
                <w:szCs w:val="22"/>
                <w:lang w:val="en-US" w:eastAsia="de-DE"/>
              </w:rPr>
              <w:t>4.5</w:t>
            </w:r>
          </w:p>
        </w:tc>
      </w:tr>
      <w:tr w:rsidR="00F74A45" w:rsidRPr="00E223AF" w14:paraId="541304D3" w14:textId="5B21D552" w:rsidTr="00273525">
        <w:trPr>
          <w:jc w:val="center"/>
        </w:trPr>
        <w:tc>
          <w:tcPr>
            <w:tcW w:w="2332" w:type="dxa"/>
            <w:shd w:val="clear" w:color="auto" w:fill="auto"/>
          </w:tcPr>
          <w:p w14:paraId="66956B76"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Peripheral sensory neuropathy</w:t>
            </w:r>
            <w:r w:rsidRPr="00E223AF">
              <w:rPr>
                <w:color w:val="auto"/>
                <w:sz w:val="22"/>
                <w:vertAlign w:val="superscript"/>
                <w:lang w:val="en-US" w:eastAsia="de-DE"/>
              </w:rPr>
              <w:t>7</w:t>
            </w:r>
          </w:p>
        </w:tc>
        <w:tc>
          <w:tcPr>
            <w:tcW w:w="1845" w:type="dxa"/>
            <w:shd w:val="clear" w:color="auto" w:fill="auto"/>
          </w:tcPr>
          <w:p w14:paraId="0D487845"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18</w:t>
            </w:r>
          </w:p>
        </w:tc>
        <w:tc>
          <w:tcPr>
            <w:tcW w:w="2566" w:type="dxa"/>
            <w:shd w:val="clear" w:color="auto" w:fill="auto"/>
          </w:tcPr>
          <w:p w14:paraId="303A9FD9"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w:t>
            </w:r>
            <w:r w:rsidRPr="00E223AF" w:rsidDel="003B6F5B">
              <w:rPr>
                <w:color w:val="auto"/>
                <w:sz w:val="22"/>
                <w:szCs w:val="22"/>
                <w:lang w:val="en-US" w:eastAsia="de-DE"/>
              </w:rPr>
              <w:t>.1</w:t>
            </w:r>
          </w:p>
        </w:tc>
      </w:tr>
      <w:tr w:rsidR="00F74A45" w:rsidRPr="00E223AF" w14:paraId="2A1B1B0F" w14:textId="226C391A" w:rsidTr="00273525">
        <w:trPr>
          <w:jc w:val="center"/>
        </w:trPr>
        <w:tc>
          <w:tcPr>
            <w:tcW w:w="2332" w:type="dxa"/>
            <w:shd w:val="clear" w:color="auto" w:fill="auto"/>
          </w:tcPr>
          <w:p w14:paraId="78ACE6F2"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Headache</w:t>
            </w:r>
          </w:p>
        </w:tc>
        <w:tc>
          <w:tcPr>
            <w:tcW w:w="1845" w:type="dxa"/>
            <w:shd w:val="clear" w:color="auto" w:fill="auto"/>
          </w:tcPr>
          <w:p w14:paraId="1C24B905"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18</w:t>
            </w:r>
          </w:p>
        </w:tc>
        <w:tc>
          <w:tcPr>
            <w:tcW w:w="2566" w:type="dxa"/>
            <w:shd w:val="clear" w:color="auto" w:fill="auto"/>
          </w:tcPr>
          <w:p w14:paraId="47DAA5E5"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5792796E" w14:textId="5BA13F39" w:rsidTr="00273525">
        <w:trPr>
          <w:jc w:val="center"/>
        </w:trPr>
        <w:tc>
          <w:tcPr>
            <w:tcW w:w="2332" w:type="dxa"/>
            <w:shd w:val="clear" w:color="auto" w:fill="auto"/>
          </w:tcPr>
          <w:p w14:paraId="6CE9D242"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Ataxia</w:t>
            </w:r>
            <w:r w:rsidRPr="00E223AF">
              <w:rPr>
                <w:color w:val="auto"/>
                <w:sz w:val="22"/>
                <w:vertAlign w:val="superscript"/>
                <w:lang w:val="en-US" w:eastAsia="de-DE"/>
              </w:rPr>
              <w:t>8</w:t>
            </w:r>
          </w:p>
        </w:tc>
        <w:tc>
          <w:tcPr>
            <w:tcW w:w="1845" w:type="dxa"/>
            <w:shd w:val="clear" w:color="auto" w:fill="auto"/>
          </w:tcPr>
          <w:p w14:paraId="61341693"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17</w:t>
            </w:r>
          </w:p>
        </w:tc>
        <w:tc>
          <w:tcPr>
            <w:tcW w:w="2566" w:type="dxa"/>
            <w:shd w:val="clear" w:color="auto" w:fill="auto"/>
          </w:tcPr>
          <w:p w14:paraId="2652F51F"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3B6F5B">
              <w:rPr>
                <w:color w:val="auto"/>
                <w:sz w:val="22"/>
                <w:szCs w:val="22"/>
                <w:lang w:val="en-US" w:eastAsia="de-DE"/>
              </w:rPr>
              <w:t>0.8</w:t>
            </w:r>
          </w:p>
        </w:tc>
      </w:tr>
      <w:tr w:rsidR="00F74A45" w:rsidRPr="00E223AF" w14:paraId="42CE7A29" w14:textId="1EF05F9C" w:rsidTr="00273525">
        <w:trPr>
          <w:jc w:val="center"/>
        </w:trPr>
        <w:tc>
          <w:tcPr>
            <w:tcW w:w="2332" w:type="dxa"/>
            <w:shd w:val="clear" w:color="auto" w:fill="auto"/>
          </w:tcPr>
          <w:p w14:paraId="294962A1"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Sleep</w:t>
            </w:r>
            <w:r w:rsidRPr="00E223AF">
              <w:rPr>
                <w:color w:val="auto"/>
                <w:sz w:val="22"/>
                <w:szCs w:val="22"/>
                <w:vertAlign w:val="superscript"/>
                <w:lang w:val="en-US" w:eastAsia="de-DE"/>
              </w:rPr>
              <w:t>9</w:t>
            </w:r>
          </w:p>
        </w:tc>
        <w:tc>
          <w:tcPr>
            <w:tcW w:w="1845" w:type="dxa"/>
            <w:shd w:val="clear" w:color="auto" w:fill="auto"/>
          </w:tcPr>
          <w:p w14:paraId="7F598304"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14</w:t>
            </w:r>
          </w:p>
        </w:tc>
        <w:tc>
          <w:tcPr>
            <w:tcW w:w="2566" w:type="dxa"/>
            <w:shd w:val="clear" w:color="auto" w:fill="auto"/>
          </w:tcPr>
          <w:p w14:paraId="28042A10" w14:textId="77777777" w:rsidR="00F74A45" w:rsidRPr="00E223AF" w:rsidDel="003B6F5B"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0.6</w:t>
            </w:r>
          </w:p>
        </w:tc>
      </w:tr>
      <w:tr w:rsidR="00F74A45" w:rsidRPr="00E223AF" w14:paraId="5AA23823" w14:textId="74ACF6D8" w:rsidTr="00273525">
        <w:trPr>
          <w:jc w:val="center"/>
        </w:trPr>
        <w:tc>
          <w:tcPr>
            <w:tcW w:w="2332" w:type="dxa"/>
            <w:shd w:val="clear" w:color="auto" w:fill="auto"/>
          </w:tcPr>
          <w:p w14:paraId="06314247"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Mood disorders</w:t>
            </w:r>
            <w:r w:rsidRPr="00E223AF">
              <w:rPr>
                <w:color w:val="auto"/>
                <w:sz w:val="22"/>
                <w:szCs w:val="22"/>
                <w:vertAlign w:val="superscript"/>
                <w:lang w:val="en-US" w:eastAsia="de-DE"/>
              </w:rPr>
              <w:t>10</w:t>
            </w:r>
          </w:p>
        </w:tc>
        <w:tc>
          <w:tcPr>
            <w:tcW w:w="1845" w:type="dxa"/>
            <w:shd w:val="clear" w:color="auto" w:fill="auto"/>
          </w:tcPr>
          <w:p w14:paraId="2AC846EE"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10</w:t>
            </w:r>
          </w:p>
        </w:tc>
        <w:tc>
          <w:tcPr>
            <w:tcW w:w="2566" w:type="dxa"/>
            <w:shd w:val="clear" w:color="auto" w:fill="auto"/>
          </w:tcPr>
          <w:p w14:paraId="6055E795" w14:textId="77777777" w:rsidR="00F74A45" w:rsidRPr="00E223AF" w:rsidDel="003B6F5B"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strike/>
                <w:color w:val="auto"/>
                <w:sz w:val="22"/>
                <w:szCs w:val="22"/>
                <w:lang w:val="en-US" w:eastAsia="de-DE"/>
              </w:rPr>
            </w:pPr>
            <w:r w:rsidRPr="00E223AF">
              <w:rPr>
                <w:color w:val="auto"/>
                <w:sz w:val="22"/>
                <w:szCs w:val="22"/>
                <w:lang w:val="en-US" w:eastAsia="de-DE"/>
              </w:rPr>
              <w:t>0.6</w:t>
            </w:r>
          </w:p>
        </w:tc>
      </w:tr>
      <w:tr w:rsidR="00F74A45" w:rsidRPr="00E223AF" w14:paraId="56FD521B" w14:textId="0BFE5B4F" w:rsidTr="00273525">
        <w:trPr>
          <w:jc w:val="center"/>
        </w:trPr>
        <w:tc>
          <w:tcPr>
            <w:tcW w:w="6743" w:type="dxa"/>
            <w:gridSpan w:val="3"/>
            <w:shd w:val="clear" w:color="auto" w:fill="auto"/>
          </w:tcPr>
          <w:p w14:paraId="1C507DF8" w14:textId="3D7369C9" w:rsidR="00F74A45" w:rsidRPr="00E223AF" w:rsidRDefault="00F74A45" w:rsidP="0069205F">
            <w:pPr>
              <w:keepNext/>
              <w:keepLines/>
              <w:pBdr>
                <w:top w:val="none" w:sz="0" w:space="0" w:color="auto"/>
                <w:left w:val="none" w:sz="0" w:space="0" w:color="auto"/>
                <w:bottom w:val="none" w:sz="0" w:space="0" w:color="auto"/>
                <w:right w:val="none" w:sz="0" w:space="0" w:color="auto"/>
                <w:between w:val="none" w:sz="0" w:space="0" w:color="auto"/>
              </w:pBdr>
              <w:shd w:val="clear" w:color="auto" w:fill="FFFFFF"/>
              <w:jc w:val="left"/>
              <w:rPr>
                <w:color w:val="auto"/>
                <w:sz w:val="22"/>
                <w:szCs w:val="22"/>
                <w:lang w:val="en-US" w:eastAsia="de-DE"/>
              </w:rPr>
            </w:pPr>
            <w:r w:rsidRPr="00E223AF">
              <w:rPr>
                <w:b/>
                <w:color w:val="auto"/>
                <w:sz w:val="22"/>
                <w:szCs w:val="22"/>
                <w:lang w:val="en-US" w:eastAsia="de-DE"/>
              </w:rPr>
              <w:t>Respiratory, thoracic and mediastinal disorders</w:t>
            </w:r>
          </w:p>
        </w:tc>
      </w:tr>
      <w:tr w:rsidR="00F74A45" w:rsidRPr="00E223AF" w14:paraId="548138DE" w14:textId="319D36AA" w:rsidTr="00273525">
        <w:trPr>
          <w:jc w:val="center"/>
        </w:trPr>
        <w:tc>
          <w:tcPr>
            <w:tcW w:w="2332" w:type="dxa"/>
            <w:shd w:val="clear" w:color="auto" w:fill="auto"/>
          </w:tcPr>
          <w:p w14:paraId="4F43CCCB" w14:textId="6FB0882A" w:rsidR="00F74A45" w:rsidRPr="00E223AF" w:rsidRDefault="00F74A45" w:rsidP="00266F5C">
            <w:pPr>
              <w:keepNext/>
              <w:keepLines/>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proofErr w:type="spellStart"/>
            <w:r w:rsidRPr="00E223AF">
              <w:rPr>
                <w:color w:val="auto"/>
                <w:sz w:val="22"/>
                <w:szCs w:val="22"/>
                <w:lang w:val="en-US" w:eastAsia="de-DE"/>
              </w:rPr>
              <w:t>Dysopnea</w:t>
            </w:r>
            <w:proofErr w:type="spellEnd"/>
          </w:p>
        </w:tc>
        <w:tc>
          <w:tcPr>
            <w:tcW w:w="1845" w:type="dxa"/>
            <w:shd w:val="clear" w:color="auto" w:fill="auto"/>
          </w:tcPr>
          <w:p w14:paraId="771472AA" w14:textId="77777777" w:rsidR="00F74A45" w:rsidRPr="00E223AF" w:rsidRDefault="00F74A45" w:rsidP="00266F5C">
            <w:pPr>
              <w:keepNext/>
              <w:keepLines/>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30</w:t>
            </w:r>
          </w:p>
        </w:tc>
        <w:tc>
          <w:tcPr>
            <w:tcW w:w="2566" w:type="dxa"/>
            <w:shd w:val="clear" w:color="auto" w:fill="auto"/>
          </w:tcPr>
          <w:p w14:paraId="667FEBAD" w14:textId="77777777" w:rsidR="00F74A45" w:rsidRPr="00E223AF" w:rsidRDefault="00F74A45" w:rsidP="00266F5C">
            <w:pPr>
              <w:keepNext/>
              <w:keepLines/>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6*</w:t>
            </w:r>
          </w:p>
        </w:tc>
      </w:tr>
      <w:tr w:rsidR="00F74A45" w:rsidRPr="00E223AF" w14:paraId="42C821B8" w14:textId="780E27FC" w:rsidTr="00273525">
        <w:trPr>
          <w:jc w:val="center"/>
        </w:trPr>
        <w:tc>
          <w:tcPr>
            <w:tcW w:w="2332" w:type="dxa"/>
            <w:shd w:val="clear" w:color="auto" w:fill="auto"/>
          </w:tcPr>
          <w:p w14:paraId="7C6F8180" w14:textId="77777777" w:rsidR="00F74A45" w:rsidRPr="00E223AF" w:rsidRDefault="00F74A45" w:rsidP="00266F5C">
            <w:pPr>
              <w:keepNext/>
              <w:keepLines/>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Cough</w:t>
            </w:r>
          </w:p>
        </w:tc>
        <w:tc>
          <w:tcPr>
            <w:tcW w:w="1845" w:type="dxa"/>
            <w:shd w:val="clear" w:color="auto" w:fill="auto"/>
          </w:tcPr>
          <w:p w14:paraId="5CC7F812" w14:textId="77777777" w:rsidR="00F74A45" w:rsidRPr="00E223AF" w:rsidRDefault="00F74A45" w:rsidP="00266F5C">
            <w:pPr>
              <w:keepNext/>
              <w:keepLines/>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24</w:t>
            </w:r>
          </w:p>
        </w:tc>
        <w:tc>
          <w:tcPr>
            <w:tcW w:w="2566" w:type="dxa"/>
            <w:shd w:val="clear" w:color="auto" w:fill="auto"/>
          </w:tcPr>
          <w:p w14:paraId="7E84AC04" w14:textId="77777777" w:rsidR="00F74A45" w:rsidRPr="00E223AF" w:rsidRDefault="00F74A45" w:rsidP="00266F5C">
            <w:pPr>
              <w:keepNext/>
              <w:keepLines/>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478B2E2D" w14:textId="5143B239" w:rsidTr="00273525">
        <w:trPr>
          <w:jc w:val="center"/>
        </w:trPr>
        <w:tc>
          <w:tcPr>
            <w:tcW w:w="6743" w:type="dxa"/>
            <w:gridSpan w:val="3"/>
            <w:shd w:val="clear" w:color="auto" w:fill="auto"/>
          </w:tcPr>
          <w:p w14:paraId="12C26AE2" w14:textId="0343F3B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b/>
                <w:color w:val="auto"/>
                <w:sz w:val="22"/>
                <w:szCs w:val="22"/>
                <w:lang w:val="en-US" w:eastAsia="de-DE"/>
              </w:rPr>
            </w:pPr>
            <w:r w:rsidRPr="00E223AF">
              <w:rPr>
                <w:b/>
                <w:color w:val="auto"/>
                <w:sz w:val="22"/>
                <w:szCs w:val="22"/>
                <w:lang w:val="en-US" w:eastAsia="de-DE"/>
              </w:rPr>
              <w:t>Musculoskeletal and connective tissue disorders</w:t>
            </w:r>
          </w:p>
        </w:tc>
      </w:tr>
      <w:tr w:rsidR="00F74A45" w:rsidRPr="00E223AF" w14:paraId="4B4A7E85" w14:textId="393555A8" w:rsidTr="00273525">
        <w:trPr>
          <w:jc w:val="center"/>
        </w:trPr>
        <w:tc>
          <w:tcPr>
            <w:tcW w:w="2332" w:type="dxa"/>
            <w:shd w:val="clear" w:color="auto" w:fill="auto"/>
          </w:tcPr>
          <w:p w14:paraId="41775887"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Myalgia</w:t>
            </w:r>
            <w:r w:rsidRPr="00E223AF">
              <w:rPr>
                <w:color w:val="auto"/>
                <w:sz w:val="22"/>
                <w:szCs w:val="22"/>
                <w:vertAlign w:val="superscript"/>
                <w:lang w:val="en-US" w:eastAsia="de-DE"/>
              </w:rPr>
              <w:t>11</w:t>
            </w:r>
          </w:p>
        </w:tc>
        <w:tc>
          <w:tcPr>
            <w:tcW w:w="1845" w:type="dxa"/>
            <w:shd w:val="clear" w:color="auto" w:fill="auto"/>
          </w:tcPr>
          <w:p w14:paraId="1A8C0744"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28</w:t>
            </w:r>
          </w:p>
        </w:tc>
        <w:tc>
          <w:tcPr>
            <w:tcW w:w="2566" w:type="dxa"/>
            <w:shd w:val="clear" w:color="auto" w:fill="auto"/>
          </w:tcPr>
          <w:p w14:paraId="08FF757A"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355CDA">
              <w:rPr>
                <w:color w:val="auto"/>
                <w:sz w:val="22"/>
                <w:szCs w:val="22"/>
                <w:lang w:val="en-US" w:eastAsia="de-DE"/>
              </w:rPr>
              <w:t>1</w:t>
            </w:r>
            <w:r w:rsidRPr="00E223AF">
              <w:rPr>
                <w:color w:val="auto"/>
                <w:sz w:val="22"/>
                <w:szCs w:val="22"/>
                <w:lang w:val="en-US" w:eastAsia="de-DE"/>
              </w:rPr>
              <w:t>.1</w:t>
            </w:r>
          </w:p>
        </w:tc>
      </w:tr>
      <w:tr w:rsidR="00F74A45" w:rsidRPr="00E223AF" w14:paraId="484D9ECE" w14:textId="50DC9AB2" w:rsidTr="00273525">
        <w:trPr>
          <w:jc w:val="center"/>
        </w:trPr>
        <w:tc>
          <w:tcPr>
            <w:tcW w:w="2332" w:type="dxa"/>
            <w:shd w:val="clear" w:color="auto" w:fill="auto"/>
          </w:tcPr>
          <w:p w14:paraId="03E48CD0"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Arthralgia</w:t>
            </w:r>
          </w:p>
        </w:tc>
        <w:tc>
          <w:tcPr>
            <w:tcW w:w="1845" w:type="dxa"/>
            <w:shd w:val="clear" w:color="auto" w:fill="auto"/>
          </w:tcPr>
          <w:p w14:paraId="71FAA887"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21</w:t>
            </w:r>
          </w:p>
        </w:tc>
        <w:tc>
          <w:tcPr>
            <w:tcW w:w="2566" w:type="dxa"/>
            <w:shd w:val="clear" w:color="auto" w:fill="auto"/>
          </w:tcPr>
          <w:p w14:paraId="38204040"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617D00">
              <w:rPr>
                <w:color w:val="auto"/>
                <w:sz w:val="22"/>
                <w:szCs w:val="22"/>
                <w:lang w:val="en-US" w:eastAsia="de-DE"/>
              </w:rPr>
              <w:t>0.6</w:t>
            </w:r>
          </w:p>
        </w:tc>
      </w:tr>
      <w:tr w:rsidR="00F74A45" w:rsidRPr="00E223AF" w14:paraId="6F14DD70" w14:textId="1601ED27" w:rsidTr="00273525">
        <w:trPr>
          <w:jc w:val="center"/>
        </w:trPr>
        <w:tc>
          <w:tcPr>
            <w:tcW w:w="2332" w:type="dxa"/>
            <w:shd w:val="clear" w:color="auto" w:fill="auto"/>
          </w:tcPr>
          <w:p w14:paraId="64D23095"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Muscular weakness</w:t>
            </w:r>
          </w:p>
        </w:tc>
        <w:tc>
          <w:tcPr>
            <w:tcW w:w="1845" w:type="dxa"/>
            <w:shd w:val="clear" w:color="auto" w:fill="auto"/>
          </w:tcPr>
          <w:p w14:paraId="6E9EA59C"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12</w:t>
            </w:r>
          </w:p>
        </w:tc>
        <w:tc>
          <w:tcPr>
            <w:tcW w:w="2566" w:type="dxa"/>
            <w:shd w:val="clear" w:color="auto" w:fill="auto"/>
          </w:tcPr>
          <w:p w14:paraId="57443793"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C62F78">
              <w:rPr>
                <w:color w:val="auto"/>
                <w:sz w:val="22"/>
                <w:szCs w:val="22"/>
                <w:lang w:val="en-US" w:eastAsia="de-DE"/>
              </w:rPr>
              <w:t>0.8</w:t>
            </w:r>
          </w:p>
        </w:tc>
      </w:tr>
      <w:tr w:rsidR="00F74A45" w:rsidRPr="00E223AF" w14:paraId="725358FF" w14:textId="38BAF735" w:rsidTr="00273525">
        <w:trPr>
          <w:jc w:val="center"/>
        </w:trPr>
        <w:tc>
          <w:tcPr>
            <w:tcW w:w="2332" w:type="dxa"/>
            <w:shd w:val="clear" w:color="auto" w:fill="auto"/>
          </w:tcPr>
          <w:p w14:paraId="0E800621"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Back pain</w:t>
            </w:r>
          </w:p>
        </w:tc>
        <w:tc>
          <w:tcPr>
            <w:tcW w:w="1845" w:type="dxa"/>
            <w:shd w:val="clear" w:color="auto" w:fill="auto"/>
          </w:tcPr>
          <w:p w14:paraId="6077DDF4"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12</w:t>
            </w:r>
          </w:p>
        </w:tc>
        <w:tc>
          <w:tcPr>
            <w:tcW w:w="2566" w:type="dxa"/>
            <w:shd w:val="clear" w:color="auto" w:fill="auto"/>
          </w:tcPr>
          <w:p w14:paraId="718ABBCB"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w:t>
            </w:r>
          </w:p>
        </w:tc>
      </w:tr>
      <w:tr w:rsidR="00F74A45" w:rsidRPr="00E223AF" w14:paraId="65164593" w14:textId="63EFB800" w:rsidTr="00273525">
        <w:trPr>
          <w:jc w:val="center"/>
        </w:trPr>
        <w:tc>
          <w:tcPr>
            <w:tcW w:w="2332" w:type="dxa"/>
            <w:shd w:val="clear" w:color="auto" w:fill="auto"/>
          </w:tcPr>
          <w:p w14:paraId="028A3164"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Pain in extremity</w:t>
            </w:r>
          </w:p>
        </w:tc>
        <w:tc>
          <w:tcPr>
            <w:tcW w:w="1845" w:type="dxa"/>
            <w:shd w:val="clear" w:color="auto" w:fill="auto"/>
          </w:tcPr>
          <w:p w14:paraId="0A957B75"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11</w:t>
            </w:r>
          </w:p>
        </w:tc>
        <w:tc>
          <w:tcPr>
            <w:tcW w:w="2566" w:type="dxa"/>
            <w:shd w:val="clear" w:color="auto" w:fill="auto"/>
          </w:tcPr>
          <w:p w14:paraId="23ADFED7"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73AF7B60" w14:textId="14F46A8D" w:rsidTr="00273525">
        <w:trPr>
          <w:jc w:val="center"/>
        </w:trPr>
        <w:tc>
          <w:tcPr>
            <w:tcW w:w="6743" w:type="dxa"/>
            <w:gridSpan w:val="3"/>
            <w:shd w:val="clear" w:color="auto" w:fill="auto"/>
          </w:tcPr>
          <w:p w14:paraId="2278144C" w14:textId="22E28946"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color w:val="auto"/>
                <w:sz w:val="22"/>
                <w:szCs w:val="22"/>
                <w:lang w:val="en-US" w:eastAsia="de-DE"/>
              </w:rPr>
            </w:pPr>
            <w:r w:rsidRPr="00E223AF">
              <w:rPr>
                <w:b/>
                <w:color w:val="auto"/>
                <w:sz w:val="22"/>
                <w:szCs w:val="22"/>
                <w:lang w:val="en-US" w:eastAsia="de-DE"/>
              </w:rPr>
              <w:t>Metabolism and nutrition disorders</w:t>
            </w:r>
          </w:p>
        </w:tc>
      </w:tr>
      <w:tr w:rsidR="00F74A45" w:rsidRPr="00E223AF" w14:paraId="34F48796" w14:textId="7982D224" w:rsidTr="00273525">
        <w:trPr>
          <w:jc w:val="center"/>
        </w:trPr>
        <w:tc>
          <w:tcPr>
            <w:tcW w:w="2332" w:type="dxa"/>
            <w:shd w:val="clear" w:color="auto" w:fill="auto"/>
          </w:tcPr>
          <w:p w14:paraId="2E1D14ED"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Increased weight</w:t>
            </w:r>
          </w:p>
        </w:tc>
        <w:tc>
          <w:tcPr>
            <w:tcW w:w="1845" w:type="dxa"/>
            <w:shd w:val="clear" w:color="auto" w:fill="auto"/>
          </w:tcPr>
          <w:p w14:paraId="2CB89619"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25</w:t>
            </w:r>
          </w:p>
        </w:tc>
        <w:tc>
          <w:tcPr>
            <w:tcW w:w="2566" w:type="dxa"/>
            <w:shd w:val="clear" w:color="auto" w:fill="auto"/>
          </w:tcPr>
          <w:p w14:paraId="40631A4B"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C25896">
              <w:rPr>
                <w:color w:val="auto"/>
                <w:sz w:val="22"/>
                <w:szCs w:val="22"/>
                <w:lang w:val="en-US" w:eastAsia="de-DE"/>
              </w:rPr>
              <w:t>7</w:t>
            </w:r>
          </w:p>
        </w:tc>
      </w:tr>
      <w:tr w:rsidR="00F74A45" w:rsidRPr="00E223AF" w14:paraId="784F4047" w14:textId="57E99EDE" w:rsidTr="00273525">
        <w:trPr>
          <w:jc w:val="center"/>
        </w:trPr>
        <w:tc>
          <w:tcPr>
            <w:tcW w:w="2332" w:type="dxa"/>
            <w:shd w:val="clear" w:color="auto" w:fill="auto"/>
          </w:tcPr>
          <w:p w14:paraId="24026541"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Decreased appetite</w:t>
            </w:r>
          </w:p>
        </w:tc>
        <w:tc>
          <w:tcPr>
            <w:tcW w:w="1845" w:type="dxa"/>
            <w:shd w:val="clear" w:color="auto" w:fill="auto"/>
          </w:tcPr>
          <w:p w14:paraId="0AF32756"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13</w:t>
            </w:r>
          </w:p>
        </w:tc>
        <w:tc>
          <w:tcPr>
            <w:tcW w:w="2566" w:type="dxa"/>
            <w:shd w:val="clear" w:color="auto" w:fill="auto"/>
          </w:tcPr>
          <w:p w14:paraId="2D38D4FA"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0.3</w:t>
            </w:r>
          </w:p>
        </w:tc>
      </w:tr>
      <w:tr w:rsidR="00F74A45" w:rsidRPr="00E223AF" w14:paraId="57706B15" w14:textId="348A2B0B" w:rsidTr="00273525">
        <w:trPr>
          <w:jc w:val="center"/>
        </w:trPr>
        <w:tc>
          <w:tcPr>
            <w:tcW w:w="2332" w:type="dxa"/>
            <w:shd w:val="clear" w:color="auto" w:fill="auto"/>
          </w:tcPr>
          <w:p w14:paraId="1361CC3F"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Dehydration</w:t>
            </w:r>
          </w:p>
        </w:tc>
        <w:tc>
          <w:tcPr>
            <w:tcW w:w="1845" w:type="dxa"/>
            <w:shd w:val="clear" w:color="auto" w:fill="auto"/>
          </w:tcPr>
          <w:p w14:paraId="29E54875"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10</w:t>
            </w:r>
          </w:p>
        </w:tc>
        <w:tc>
          <w:tcPr>
            <w:tcW w:w="2566" w:type="dxa"/>
            <w:shd w:val="clear" w:color="auto" w:fill="auto"/>
          </w:tcPr>
          <w:p w14:paraId="5C19737D" w14:textId="77777777" w:rsidR="00F74A45" w:rsidRPr="00E223AF" w:rsidRDefault="00F74A45" w:rsidP="00266F5C">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w:t>
            </w:r>
            <w:r w:rsidRPr="00E223AF" w:rsidDel="00617D00">
              <w:rPr>
                <w:color w:val="auto"/>
                <w:sz w:val="22"/>
                <w:szCs w:val="22"/>
                <w:lang w:val="en-US" w:eastAsia="de-DE"/>
              </w:rPr>
              <w:t>.1</w:t>
            </w:r>
          </w:p>
        </w:tc>
      </w:tr>
      <w:tr w:rsidR="00F74A45" w:rsidRPr="00E223AF" w14:paraId="4F5E2179" w14:textId="69445A6D" w:rsidTr="00273525">
        <w:trPr>
          <w:jc w:val="center"/>
        </w:trPr>
        <w:tc>
          <w:tcPr>
            <w:tcW w:w="6743" w:type="dxa"/>
            <w:gridSpan w:val="3"/>
            <w:shd w:val="clear" w:color="auto" w:fill="auto"/>
          </w:tcPr>
          <w:p w14:paraId="0EC8FB52" w14:textId="1644C355"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color w:val="auto"/>
                <w:sz w:val="22"/>
                <w:szCs w:val="22"/>
                <w:lang w:val="en-US" w:eastAsia="de-DE"/>
              </w:rPr>
            </w:pPr>
            <w:r w:rsidRPr="00E223AF">
              <w:rPr>
                <w:b/>
                <w:color w:val="auto"/>
                <w:sz w:val="22"/>
                <w:szCs w:val="22"/>
                <w:lang w:val="en-US" w:eastAsia="de-DE"/>
              </w:rPr>
              <w:t>Eye disorders</w:t>
            </w:r>
          </w:p>
        </w:tc>
      </w:tr>
      <w:tr w:rsidR="00F74A45" w:rsidRPr="00E223AF" w14:paraId="200CA915" w14:textId="10D648EF" w:rsidTr="00273525">
        <w:trPr>
          <w:jc w:val="center"/>
        </w:trPr>
        <w:tc>
          <w:tcPr>
            <w:tcW w:w="2332" w:type="dxa"/>
            <w:shd w:val="clear" w:color="auto" w:fill="auto"/>
          </w:tcPr>
          <w:p w14:paraId="693710FF"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Vision disorders</w:t>
            </w:r>
            <w:r w:rsidRPr="00E223AF">
              <w:rPr>
                <w:color w:val="auto"/>
                <w:sz w:val="22"/>
                <w:szCs w:val="22"/>
                <w:vertAlign w:val="superscript"/>
                <w:lang w:val="en-US" w:eastAsia="de-DE"/>
              </w:rPr>
              <w:t>12</w:t>
            </w:r>
          </w:p>
        </w:tc>
        <w:tc>
          <w:tcPr>
            <w:tcW w:w="1845" w:type="dxa"/>
            <w:shd w:val="clear" w:color="auto" w:fill="auto"/>
          </w:tcPr>
          <w:p w14:paraId="0093F203"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21</w:t>
            </w:r>
          </w:p>
        </w:tc>
        <w:tc>
          <w:tcPr>
            <w:tcW w:w="2566" w:type="dxa"/>
            <w:shd w:val="clear" w:color="auto" w:fill="auto"/>
          </w:tcPr>
          <w:p w14:paraId="46B81BBB"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C62F78">
              <w:rPr>
                <w:color w:val="auto"/>
                <w:sz w:val="22"/>
                <w:szCs w:val="22"/>
                <w:lang w:val="en-US" w:eastAsia="de-DE"/>
              </w:rPr>
              <w:t>0.</w:t>
            </w:r>
            <w:r w:rsidRPr="00E223AF">
              <w:rPr>
                <w:color w:val="auto"/>
                <w:sz w:val="22"/>
                <w:szCs w:val="22"/>
                <w:lang w:val="en-US" w:eastAsia="de-DE"/>
              </w:rPr>
              <w:t>8</w:t>
            </w:r>
          </w:p>
        </w:tc>
      </w:tr>
      <w:tr w:rsidR="00F74A45" w:rsidRPr="00E223AF" w14:paraId="655C50DB" w14:textId="55297B73" w:rsidTr="00273525">
        <w:trPr>
          <w:jc w:val="center"/>
        </w:trPr>
        <w:tc>
          <w:tcPr>
            <w:tcW w:w="6743" w:type="dxa"/>
            <w:gridSpan w:val="3"/>
            <w:shd w:val="clear" w:color="auto" w:fill="auto"/>
          </w:tcPr>
          <w:p w14:paraId="20BF48E6" w14:textId="07039C06"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b/>
                <w:color w:val="auto"/>
                <w:sz w:val="22"/>
                <w:szCs w:val="22"/>
                <w:lang w:val="en-US" w:eastAsia="de-DE"/>
              </w:rPr>
            </w:pPr>
            <w:r w:rsidRPr="00E223AF">
              <w:rPr>
                <w:b/>
                <w:color w:val="auto"/>
                <w:sz w:val="22"/>
                <w:szCs w:val="22"/>
                <w:lang w:val="en-US" w:eastAsia="de-DE"/>
              </w:rPr>
              <w:t>Infections and infestations</w:t>
            </w:r>
          </w:p>
        </w:tc>
      </w:tr>
      <w:tr w:rsidR="00F74A45" w:rsidRPr="00E223AF" w14:paraId="6AE3EA87" w14:textId="31D80D4F" w:rsidTr="00273525">
        <w:trPr>
          <w:jc w:val="center"/>
        </w:trPr>
        <w:tc>
          <w:tcPr>
            <w:tcW w:w="2332" w:type="dxa"/>
            <w:shd w:val="clear" w:color="auto" w:fill="auto"/>
          </w:tcPr>
          <w:p w14:paraId="2196CF55"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Urinary tract infection</w:t>
            </w:r>
          </w:p>
        </w:tc>
        <w:tc>
          <w:tcPr>
            <w:tcW w:w="1845" w:type="dxa"/>
            <w:shd w:val="clear" w:color="auto" w:fill="auto"/>
          </w:tcPr>
          <w:p w14:paraId="319CA754"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13</w:t>
            </w:r>
          </w:p>
        </w:tc>
        <w:tc>
          <w:tcPr>
            <w:tcW w:w="2566" w:type="dxa"/>
            <w:shd w:val="clear" w:color="auto" w:fill="auto"/>
          </w:tcPr>
          <w:p w14:paraId="61CC04E0"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2.3</w:t>
            </w:r>
          </w:p>
        </w:tc>
      </w:tr>
      <w:tr w:rsidR="00F74A45" w:rsidRPr="00E223AF" w14:paraId="14B21E36" w14:textId="7246FDE4" w:rsidTr="00273525">
        <w:trPr>
          <w:jc w:val="center"/>
        </w:trPr>
        <w:tc>
          <w:tcPr>
            <w:tcW w:w="2332" w:type="dxa"/>
            <w:shd w:val="clear" w:color="auto" w:fill="auto"/>
          </w:tcPr>
          <w:p w14:paraId="44A91F20"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Lung infection</w:t>
            </w:r>
            <w:r w:rsidRPr="00E223AF">
              <w:rPr>
                <w:color w:val="auto"/>
                <w:sz w:val="22"/>
                <w:vertAlign w:val="superscript"/>
                <w:lang w:val="en-US" w:eastAsia="de-DE"/>
              </w:rPr>
              <w:t>13</w:t>
            </w:r>
          </w:p>
        </w:tc>
        <w:tc>
          <w:tcPr>
            <w:tcW w:w="1845" w:type="dxa"/>
            <w:shd w:val="clear" w:color="auto" w:fill="auto"/>
          </w:tcPr>
          <w:p w14:paraId="271BDFA0"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10</w:t>
            </w:r>
          </w:p>
        </w:tc>
        <w:tc>
          <w:tcPr>
            <w:tcW w:w="2566" w:type="dxa"/>
            <w:shd w:val="clear" w:color="auto" w:fill="auto"/>
          </w:tcPr>
          <w:p w14:paraId="735EBE29"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6*</w:t>
            </w:r>
          </w:p>
        </w:tc>
      </w:tr>
      <w:tr w:rsidR="00F74A45" w:rsidRPr="00E223AF" w14:paraId="2CE4932E" w14:textId="601B5408" w:rsidTr="00273525">
        <w:trPr>
          <w:jc w:val="center"/>
        </w:trPr>
        <w:tc>
          <w:tcPr>
            <w:tcW w:w="6743" w:type="dxa"/>
            <w:gridSpan w:val="3"/>
            <w:shd w:val="clear" w:color="auto" w:fill="auto"/>
          </w:tcPr>
          <w:p w14:paraId="103DC613" w14:textId="3DE4E634"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b/>
                <w:color w:val="auto"/>
                <w:sz w:val="22"/>
                <w:szCs w:val="22"/>
                <w:lang w:val="en-US" w:eastAsia="de-DE"/>
              </w:rPr>
            </w:pPr>
            <w:r w:rsidRPr="00E223AF">
              <w:rPr>
                <w:b/>
                <w:color w:val="auto"/>
                <w:sz w:val="22"/>
                <w:szCs w:val="22"/>
                <w:lang w:val="en-US" w:eastAsia="de-DE"/>
              </w:rPr>
              <w:t>Vascular disorders</w:t>
            </w:r>
          </w:p>
        </w:tc>
      </w:tr>
      <w:tr w:rsidR="00F74A45" w:rsidRPr="00E223AF" w14:paraId="5AAFB607" w14:textId="5719B7CD" w:rsidTr="00273525">
        <w:trPr>
          <w:jc w:val="center"/>
        </w:trPr>
        <w:tc>
          <w:tcPr>
            <w:tcW w:w="2332" w:type="dxa"/>
            <w:shd w:val="clear" w:color="auto" w:fill="auto"/>
          </w:tcPr>
          <w:p w14:paraId="57EF221A"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Hypotension</w:t>
            </w:r>
            <w:r w:rsidRPr="00E223AF">
              <w:rPr>
                <w:color w:val="auto"/>
                <w:sz w:val="22"/>
                <w:szCs w:val="22"/>
                <w:vertAlign w:val="superscript"/>
                <w:lang w:val="en-US" w:eastAsia="de-DE"/>
              </w:rPr>
              <w:t>14</w:t>
            </w:r>
          </w:p>
        </w:tc>
        <w:tc>
          <w:tcPr>
            <w:tcW w:w="1845" w:type="dxa"/>
            <w:shd w:val="clear" w:color="auto" w:fill="auto"/>
          </w:tcPr>
          <w:p w14:paraId="0BFC29D9"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18</w:t>
            </w:r>
          </w:p>
        </w:tc>
        <w:tc>
          <w:tcPr>
            <w:tcW w:w="2566" w:type="dxa"/>
            <w:shd w:val="clear" w:color="auto" w:fill="auto"/>
          </w:tcPr>
          <w:p w14:paraId="63DE1A9C"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C62F78">
              <w:rPr>
                <w:color w:val="auto"/>
                <w:sz w:val="22"/>
                <w:szCs w:val="22"/>
                <w:lang w:val="en-US" w:eastAsia="de-DE"/>
              </w:rPr>
              <w:t>2.8</w:t>
            </w:r>
          </w:p>
        </w:tc>
      </w:tr>
      <w:tr w:rsidR="00F74A45" w:rsidRPr="00E223AF" w14:paraId="35CB3ED8" w14:textId="5E093803" w:rsidTr="00273525">
        <w:trPr>
          <w:jc w:val="center"/>
        </w:trPr>
        <w:tc>
          <w:tcPr>
            <w:tcW w:w="6743" w:type="dxa"/>
            <w:gridSpan w:val="3"/>
            <w:tcBorders>
              <w:bottom w:val="single" w:sz="4" w:space="0" w:color="auto"/>
            </w:tcBorders>
            <w:shd w:val="clear" w:color="auto" w:fill="auto"/>
          </w:tcPr>
          <w:p w14:paraId="21E6FED7" w14:textId="7F470CAF"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left"/>
              <w:rPr>
                <w:b/>
                <w:color w:val="auto"/>
                <w:sz w:val="22"/>
                <w:szCs w:val="22"/>
                <w:lang w:val="en-US" w:eastAsia="de-DE"/>
              </w:rPr>
            </w:pPr>
            <w:r w:rsidRPr="00E223AF">
              <w:rPr>
                <w:b/>
                <w:color w:val="auto"/>
                <w:sz w:val="22"/>
                <w:szCs w:val="22"/>
                <w:lang w:val="en-US" w:eastAsia="de-DE"/>
              </w:rPr>
              <w:t>Skin and subcutaneous tissue disorders</w:t>
            </w:r>
          </w:p>
        </w:tc>
      </w:tr>
      <w:tr w:rsidR="00F74A45" w:rsidRPr="00E223AF" w14:paraId="567FA4A7" w14:textId="55E498FC" w:rsidTr="00273525">
        <w:trPr>
          <w:jc w:val="center"/>
        </w:trPr>
        <w:tc>
          <w:tcPr>
            <w:tcW w:w="2332" w:type="dxa"/>
            <w:tcBorders>
              <w:bottom w:val="single" w:sz="2" w:space="0" w:color="auto"/>
            </w:tcBorders>
            <w:shd w:val="clear" w:color="auto" w:fill="auto"/>
          </w:tcPr>
          <w:p w14:paraId="5136BBE9"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ind w:left="180"/>
              <w:jc w:val="left"/>
              <w:rPr>
                <w:color w:val="auto"/>
                <w:sz w:val="22"/>
                <w:szCs w:val="22"/>
                <w:lang w:val="en-US" w:eastAsia="de-DE"/>
              </w:rPr>
            </w:pPr>
            <w:r w:rsidRPr="00E223AF">
              <w:rPr>
                <w:color w:val="auto"/>
                <w:sz w:val="22"/>
                <w:szCs w:val="22"/>
                <w:lang w:val="en-US" w:eastAsia="de-DE"/>
              </w:rPr>
              <w:t>Rash</w:t>
            </w:r>
            <w:r w:rsidRPr="00E223AF">
              <w:rPr>
                <w:color w:val="auto"/>
                <w:sz w:val="22"/>
                <w:vertAlign w:val="superscript"/>
                <w:lang w:val="en-US" w:eastAsia="de-DE"/>
              </w:rPr>
              <w:t>15</w:t>
            </w:r>
          </w:p>
        </w:tc>
        <w:tc>
          <w:tcPr>
            <w:tcW w:w="1845" w:type="dxa"/>
            <w:tcBorders>
              <w:bottom w:val="single" w:sz="2" w:space="0" w:color="auto"/>
            </w:tcBorders>
            <w:shd w:val="clear" w:color="auto" w:fill="auto"/>
          </w:tcPr>
          <w:p w14:paraId="3BD3B283"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Pr>
                <w:color w:val="auto"/>
                <w:sz w:val="22"/>
                <w:szCs w:val="22"/>
                <w:lang w:val="en-US" w:eastAsia="de-DE"/>
              </w:rPr>
              <w:t>11</w:t>
            </w:r>
          </w:p>
        </w:tc>
        <w:tc>
          <w:tcPr>
            <w:tcW w:w="2566" w:type="dxa"/>
            <w:tcBorders>
              <w:bottom w:val="single" w:sz="2" w:space="0" w:color="auto"/>
            </w:tcBorders>
            <w:shd w:val="clear" w:color="auto" w:fill="auto"/>
          </w:tcPr>
          <w:p w14:paraId="43740F66"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shd w:val="clear" w:color="auto" w:fill="FFFFFF"/>
              <w:jc w:val="center"/>
              <w:rPr>
                <w:color w:val="auto"/>
                <w:sz w:val="22"/>
                <w:szCs w:val="22"/>
                <w:lang w:val="en-US" w:eastAsia="de-DE"/>
              </w:rPr>
            </w:pPr>
            <w:r w:rsidRPr="00E223AF" w:rsidDel="00C62F78">
              <w:rPr>
                <w:color w:val="auto"/>
                <w:sz w:val="22"/>
                <w:szCs w:val="22"/>
                <w:lang w:val="en-US" w:eastAsia="de-DE"/>
              </w:rPr>
              <w:t>0.8</w:t>
            </w:r>
          </w:p>
        </w:tc>
      </w:tr>
      <w:tr w:rsidR="00F74A45" w:rsidRPr="00E223AF" w14:paraId="7FA76329" w14:textId="1B1E788C" w:rsidTr="00273525">
        <w:trPr>
          <w:trHeight w:val="800"/>
          <w:jc w:val="center"/>
        </w:trPr>
        <w:tc>
          <w:tcPr>
            <w:tcW w:w="6743" w:type="dxa"/>
            <w:gridSpan w:val="3"/>
            <w:tcBorders>
              <w:top w:val="single" w:sz="2" w:space="0" w:color="auto"/>
              <w:left w:val="nil"/>
              <w:bottom w:val="nil"/>
              <w:right w:val="nil"/>
            </w:tcBorders>
            <w:shd w:val="clear" w:color="auto" w:fill="auto"/>
          </w:tcPr>
          <w:p w14:paraId="79DC8A62" w14:textId="771F01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lang w:val="en-US" w:eastAsia="en-US"/>
              </w:rPr>
              <w:lastRenderedPageBreak/>
              <w:t>* Grades 3 – 5, inclusive of fatal adverse reactions, including 2</w:t>
            </w:r>
            <w:r w:rsidRPr="00E223AF" w:rsidDel="009D7034">
              <w:rPr>
                <w:color w:val="auto"/>
                <w:sz w:val="20"/>
                <w:szCs w:val="18"/>
                <w:lang w:val="en-US" w:eastAsia="en-US"/>
              </w:rPr>
              <w:t xml:space="preserve"> </w:t>
            </w:r>
            <w:r w:rsidRPr="00E223AF">
              <w:rPr>
                <w:color w:val="auto"/>
                <w:sz w:val="20"/>
                <w:szCs w:val="18"/>
                <w:lang w:val="en-US" w:eastAsia="en-US"/>
              </w:rPr>
              <w:t xml:space="preserve">events of pneumonia and 2 events of </w:t>
            </w:r>
            <w:proofErr w:type="spellStart"/>
            <w:r w:rsidRPr="00566453">
              <w:rPr>
                <w:color w:val="auto"/>
                <w:sz w:val="20"/>
                <w:szCs w:val="18"/>
                <w:lang w:val="en-US" w:eastAsia="en-US"/>
              </w:rPr>
              <w:t>dysopnea</w:t>
            </w:r>
            <w:proofErr w:type="spellEnd"/>
            <w:r w:rsidRPr="00E223AF">
              <w:rPr>
                <w:color w:val="auto"/>
                <w:sz w:val="20"/>
                <w:szCs w:val="18"/>
                <w:lang w:val="en-US" w:eastAsia="en-US"/>
              </w:rPr>
              <w:t>.</w:t>
            </w:r>
            <w:r w:rsidRPr="00E223AF" w:rsidDel="00843C46">
              <w:rPr>
                <w:color w:val="auto"/>
                <w:sz w:val="20"/>
                <w:szCs w:val="18"/>
                <w:lang w:val="en-US" w:eastAsia="en-US"/>
              </w:rPr>
              <w:t xml:space="preserve"> </w:t>
            </w:r>
          </w:p>
          <w:p w14:paraId="1CB5CB23"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1</w:t>
            </w:r>
            <w:r w:rsidRPr="00E223AF">
              <w:rPr>
                <w:color w:val="auto"/>
                <w:sz w:val="20"/>
                <w:szCs w:val="18"/>
                <w:lang w:val="en-US" w:eastAsia="en-US"/>
              </w:rPr>
              <w:t>Includes fatigue, asthenia</w:t>
            </w:r>
          </w:p>
          <w:p w14:paraId="053EC92C"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2</w:t>
            </w:r>
            <w:r w:rsidRPr="00E223AF">
              <w:rPr>
                <w:color w:val="auto"/>
                <w:sz w:val="20"/>
                <w:szCs w:val="18"/>
                <w:lang w:val="en-US" w:eastAsia="en-US"/>
              </w:rPr>
              <w:t xml:space="preserve"> Includes face edema, fluid retention, generalized edema, localized edema, edema, edema peripheral, peripheral swelling</w:t>
            </w:r>
          </w:p>
          <w:p w14:paraId="54B84D16"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20"/>
                <w:lang w:val="en-US" w:eastAsia="en-US"/>
              </w:rPr>
            </w:pPr>
            <w:r w:rsidRPr="00E223AF">
              <w:rPr>
                <w:color w:val="auto"/>
                <w:sz w:val="20"/>
                <w:szCs w:val="18"/>
                <w:vertAlign w:val="superscript"/>
                <w:lang w:val="en-US" w:eastAsia="en-US"/>
              </w:rPr>
              <w:t xml:space="preserve">3 </w:t>
            </w:r>
            <w:r w:rsidRPr="00E223AF">
              <w:rPr>
                <w:color w:val="auto"/>
                <w:sz w:val="20"/>
                <w:szCs w:val="18"/>
                <w:lang w:val="en-US" w:eastAsia="en-US"/>
              </w:rPr>
              <w:t>Includes abdominal pain upper, abdominal pain, lower abdominal discomfort, abdominal tenderness</w:t>
            </w:r>
          </w:p>
          <w:p w14:paraId="3D72365C"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4</w:t>
            </w:r>
            <w:r w:rsidRPr="00E223AF">
              <w:rPr>
                <w:color w:val="auto"/>
                <w:sz w:val="20"/>
                <w:szCs w:val="18"/>
                <w:lang w:val="en-US" w:eastAsia="en-US"/>
              </w:rPr>
              <w:t xml:space="preserve"> Includes dizziness, vertigo, dizziness postural</w:t>
            </w:r>
          </w:p>
          <w:p w14:paraId="619C3A71"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vertAlign w:val="superscript"/>
                <w:lang w:val="en-US" w:eastAsia="en-US"/>
              </w:rPr>
              <w:t>5</w:t>
            </w:r>
            <w:r w:rsidRPr="00E223AF">
              <w:rPr>
                <w:color w:val="auto"/>
                <w:sz w:val="20"/>
                <w:lang w:val="en-US" w:eastAsia="en-US"/>
              </w:rPr>
              <w:t xml:space="preserve"> Includes paresthesia, hyperesthesia, hypoesthesia, dysesthesia, oral hypoesthesia, palmar-plantar </w:t>
            </w:r>
            <w:proofErr w:type="spellStart"/>
            <w:r w:rsidRPr="00E223AF">
              <w:rPr>
                <w:color w:val="auto"/>
                <w:sz w:val="20"/>
                <w:lang w:val="en-US" w:eastAsia="en-US"/>
              </w:rPr>
              <w:t>erythrodysesthesia</w:t>
            </w:r>
            <w:proofErr w:type="spellEnd"/>
            <w:r w:rsidRPr="00E223AF">
              <w:rPr>
                <w:color w:val="auto"/>
                <w:sz w:val="20"/>
                <w:lang w:val="en-US" w:eastAsia="en-US"/>
              </w:rPr>
              <w:t>, oral paresthesia, genital hypoesthesia</w:t>
            </w:r>
          </w:p>
          <w:p w14:paraId="417AE4C8"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GB" w:eastAsia="en-US"/>
              </w:rPr>
            </w:pPr>
            <w:r w:rsidRPr="00E223AF">
              <w:rPr>
                <w:color w:val="auto"/>
                <w:sz w:val="20"/>
                <w:szCs w:val="18"/>
                <w:vertAlign w:val="superscript"/>
                <w:lang w:val="en-US" w:eastAsia="en-US"/>
              </w:rPr>
              <w:t>6</w:t>
            </w:r>
            <w:r w:rsidRPr="00E223AF">
              <w:rPr>
                <w:color w:val="auto"/>
                <w:sz w:val="20"/>
                <w:szCs w:val="18"/>
                <w:lang w:val="en-US" w:eastAsia="en-US"/>
              </w:rPr>
              <w:t xml:space="preserve"> Includes </w:t>
            </w:r>
            <w:r w:rsidRPr="00E223AF">
              <w:rPr>
                <w:color w:val="auto"/>
                <w:sz w:val="20"/>
                <w:szCs w:val="18"/>
                <w:lang w:val="en-GB" w:eastAsia="en-US"/>
              </w:rPr>
              <w:t xml:space="preserve">amnesia, aphasia, cognitive disorder, </w:t>
            </w:r>
            <w:proofErr w:type="spellStart"/>
            <w:r w:rsidRPr="00E223AF">
              <w:rPr>
                <w:color w:val="auto"/>
                <w:sz w:val="20"/>
                <w:szCs w:val="18"/>
                <w:lang w:val="en-GB" w:eastAsia="en-US"/>
              </w:rPr>
              <w:t>confusional</w:t>
            </w:r>
            <w:proofErr w:type="spellEnd"/>
            <w:r w:rsidRPr="00E223AF">
              <w:rPr>
                <w:color w:val="auto"/>
                <w:sz w:val="20"/>
                <w:szCs w:val="18"/>
                <w:lang w:val="en-GB" w:eastAsia="en-US"/>
              </w:rPr>
              <w:t xml:space="preserve"> state, delirium, disturbance in attention, hallucinations, visual hallucination, </w:t>
            </w:r>
            <w:r w:rsidRPr="00E223AF">
              <w:rPr>
                <w:color w:val="auto"/>
                <w:sz w:val="20"/>
                <w:szCs w:val="18"/>
                <w:lang w:val="en-US" w:eastAsia="en-US"/>
              </w:rPr>
              <w:t>memory impairment,</w:t>
            </w:r>
            <w:r w:rsidRPr="00E223AF">
              <w:rPr>
                <w:color w:val="auto"/>
                <w:sz w:val="20"/>
                <w:szCs w:val="18"/>
                <w:lang w:val="en-GB" w:eastAsia="en-US"/>
              </w:rPr>
              <w:t xml:space="preserve"> mental disorder, mental status changes  </w:t>
            </w:r>
          </w:p>
          <w:p w14:paraId="22A79D6E"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7</w:t>
            </w:r>
            <w:r w:rsidRPr="00E223AF">
              <w:rPr>
                <w:color w:val="auto"/>
                <w:sz w:val="20"/>
                <w:szCs w:val="18"/>
                <w:lang w:val="en-US" w:eastAsia="en-US"/>
              </w:rPr>
              <w:t xml:space="preserve"> Includes neuralgia, neuropathy peripheral, peripheral motor neuropathy, peripheral sensory neuropathy</w:t>
            </w:r>
          </w:p>
          <w:p w14:paraId="134F5776"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8</w:t>
            </w:r>
            <w:r w:rsidRPr="00E223AF">
              <w:rPr>
                <w:color w:val="auto"/>
                <w:sz w:val="20"/>
                <w:szCs w:val="18"/>
                <w:lang w:val="en-US" w:eastAsia="en-US"/>
              </w:rPr>
              <w:t xml:space="preserve"> Includes ataxia, balance disorder, gait disturbances</w:t>
            </w:r>
          </w:p>
          <w:p w14:paraId="65DAFCD1"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9</w:t>
            </w:r>
            <w:r w:rsidRPr="00E223AF">
              <w:rPr>
                <w:color w:val="auto"/>
                <w:sz w:val="20"/>
                <w:szCs w:val="18"/>
                <w:lang w:val="en-US" w:eastAsia="en-US"/>
              </w:rPr>
              <w:t xml:space="preserve"> Includes hypersomnia, insomnia, sleep disorder, somnolence</w:t>
            </w:r>
          </w:p>
          <w:p w14:paraId="1D21CB8C"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10</w:t>
            </w:r>
            <w:r w:rsidRPr="00E223AF">
              <w:rPr>
                <w:color w:val="auto"/>
                <w:sz w:val="20"/>
                <w:lang w:val="en-US" w:eastAsia="en-US"/>
              </w:rPr>
              <w:t xml:space="preserve"> </w:t>
            </w:r>
            <w:r w:rsidRPr="00E223AF">
              <w:rPr>
                <w:color w:val="auto"/>
                <w:sz w:val="20"/>
                <w:szCs w:val="18"/>
                <w:lang w:val="en-US" w:eastAsia="en-US"/>
              </w:rPr>
              <w:t>Includes anxiety, affect lability, affective disorder, agitation, depressed mood, euphoric mood, mood altered, mood swings, irritability, depression, persistent depressive disorder, psychomotor retardation</w:t>
            </w:r>
          </w:p>
          <w:p w14:paraId="348A89BC"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11</w:t>
            </w:r>
            <w:r w:rsidRPr="00E223AF">
              <w:rPr>
                <w:color w:val="auto"/>
                <w:sz w:val="20"/>
                <w:szCs w:val="18"/>
                <w:lang w:val="en-US" w:eastAsia="en-US"/>
              </w:rPr>
              <w:t xml:space="preserve"> Includes musculoskeletal pain, musculoskeletal chest pain, myalgia, neck pain</w:t>
            </w:r>
          </w:p>
          <w:p w14:paraId="41D2BCE6"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12</w:t>
            </w:r>
            <w:r w:rsidRPr="00E223AF">
              <w:rPr>
                <w:color w:val="auto"/>
                <w:sz w:val="20"/>
                <w:szCs w:val="18"/>
                <w:lang w:val="en-US" w:eastAsia="en-US"/>
              </w:rPr>
              <w:t xml:space="preserve"> Includes blindness, cataract, cortical cataract, corneal erosion, diplopia, eye disorder, photophobia, </w:t>
            </w:r>
            <w:proofErr w:type="spellStart"/>
            <w:r w:rsidRPr="00E223AF">
              <w:rPr>
                <w:color w:val="auto"/>
                <w:sz w:val="20"/>
                <w:szCs w:val="18"/>
                <w:lang w:val="en-US" w:eastAsia="en-US"/>
              </w:rPr>
              <w:t>photopsia</w:t>
            </w:r>
            <w:proofErr w:type="spellEnd"/>
            <w:r w:rsidRPr="00E223AF">
              <w:rPr>
                <w:color w:val="auto"/>
                <w:sz w:val="20"/>
                <w:szCs w:val="18"/>
                <w:lang w:val="en-US" w:eastAsia="en-US"/>
              </w:rPr>
              <w:t>, retinal hemorrhage, vision blurred, visual impairment, vitreous adhesions, vitreous detachment, vitreous floaters</w:t>
            </w:r>
          </w:p>
          <w:p w14:paraId="4CA5A7F5"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13</w:t>
            </w:r>
            <w:r w:rsidRPr="00E223AF">
              <w:rPr>
                <w:color w:val="auto"/>
                <w:sz w:val="20"/>
                <w:szCs w:val="18"/>
                <w:lang w:val="en-US" w:eastAsia="en-US"/>
              </w:rPr>
              <w:t xml:space="preserve"> Includes lower respiratory tract infection, lung infection, pneumonia, respiratory tract infection</w:t>
            </w:r>
          </w:p>
          <w:p w14:paraId="0A294B22"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0"/>
                <w:szCs w:val="18"/>
                <w:lang w:val="en-US" w:eastAsia="en-US"/>
              </w:rPr>
            </w:pPr>
            <w:r w:rsidRPr="00E223AF">
              <w:rPr>
                <w:color w:val="auto"/>
                <w:sz w:val="20"/>
                <w:szCs w:val="18"/>
                <w:vertAlign w:val="superscript"/>
                <w:lang w:val="en-US" w:eastAsia="en-US"/>
              </w:rPr>
              <w:t>14</w:t>
            </w:r>
            <w:r w:rsidRPr="00E223AF">
              <w:rPr>
                <w:color w:val="auto"/>
                <w:sz w:val="20"/>
                <w:szCs w:val="18"/>
                <w:lang w:val="en-US" w:eastAsia="en-US"/>
              </w:rPr>
              <w:t xml:space="preserve"> Includes hypotension, orthostatic hypotension</w:t>
            </w:r>
            <w:r w:rsidRPr="00E223AF" w:rsidDel="003D727C">
              <w:rPr>
                <w:color w:val="auto"/>
                <w:sz w:val="20"/>
                <w:szCs w:val="18"/>
                <w:lang w:val="en-US" w:eastAsia="en-US"/>
              </w:rPr>
              <w:t xml:space="preserve"> </w:t>
            </w:r>
          </w:p>
          <w:p w14:paraId="6D3404C1" w14:textId="77777777" w:rsidR="00F74A45" w:rsidRPr="00E223AF" w:rsidRDefault="00F74A45" w:rsidP="0069205F">
            <w:pPr>
              <w:pBdr>
                <w:top w:val="none" w:sz="0" w:space="0" w:color="auto"/>
                <w:left w:val="none" w:sz="0" w:space="0" w:color="auto"/>
                <w:bottom w:val="none" w:sz="0" w:space="0" w:color="auto"/>
                <w:right w:val="none" w:sz="0" w:space="0" w:color="auto"/>
                <w:between w:val="none" w:sz="0" w:space="0" w:color="auto"/>
              </w:pBdr>
              <w:jc w:val="left"/>
              <w:rPr>
                <w:color w:val="auto"/>
                <w:sz w:val="22"/>
                <w:szCs w:val="18"/>
                <w:lang w:val="en-US" w:eastAsia="en-US"/>
              </w:rPr>
            </w:pPr>
            <w:r w:rsidRPr="00E223AF">
              <w:rPr>
                <w:color w:val="auto"/>
                <w:sz w:val="20"/>
                <w:szCs w:val="18"/>
                <w:vertAlign w:val="superscript"/>
                <w:lang w:val="en-US" w:eastAsia="en-US"/>
              </w:rPr>
              <w:t xml:space="preserve">15 </w:t>
            </w:r>
            <w:r w:rsidRPr="00E223AF">
              <w:rPr>
                <w:color w:val="auto"/>
                <w:sz w:val="20"/>
                <w:szCs w:val="18"/>
                <w:lang w:val="en-US" w:eastAsia="en-US"/>
              </w:rPr>
              <w:t xml:space="preserve">Includes rash, rash maculopapular, rash pruritic, rash erythematous, rash </w:t>
            </w:r>
            <w:proofErr w:type="spellStart"/>
            <w:r w:rsidRPr="00E223AF">
              <w:rPr>
                <w:color w:val="auto"/>
                <w:sz w:val="20"/>
                <w:szCs w:val="18"/>
                <w:lang w:val="en-US" w:eastAsia="en-US"/>
              </w:rPr>
              <w:t>papular</w:t>
            </w:r>
            <w:proofErr w:type="spellEnd"/>
            <w:r w:rsidRPr="00E223AF">
              <w:rPr>
                <w:color w:val="auto"/>
                <w:sz w:val="20"/>
                <w:szCs w:val="18"/>
                <w:lang w:val="en-US" w:eastAsia="en-US"/>
              </w:rPr>
              <w:t xml:space="preserve"> </w:t>
            </w:r>
          </w:p>
        </w:tc>
      </w:tr>
    </w:tbl>
    <w:p w14:paraId="55DE726B" w14:textId="77777777" w:rsidR="0069205F" w:rsidRPr="00E223AF" w:rsidRDefault="0069205F" w:rsidP="0071744C">
      <w:pPr>
        <w:rPr>
          <w:b/>
          <w:color w:val="auto"/>
        </w:rPr>
      </w:pPr>
    </w:p>
    <w:p w14:paraId="085D8817" w14:textId="7789FA32" w:rsidR="00B5282B" w:rsidRPr="00E223AF" w:rsidRDefault="00B5282B" w:rsidP="00833273">
      <w:pPr>
        <w:jc w:val="left"/>
        <w:rPr>
          <w:color w:val="auto"/>
          <w:sz w:val="22"/>
          <w:szCs w:val="22"/>
        </w:rPr>
      </w:pPr>
    </w:p>
    <w:p w14:paraId="4838D900" w14:textId="53836C81" w:rsidR="00E611DE" w:rsidRPr="00E223AF" w:rsidRDefault="00B5282B" w:rsidP="00833273">
      <w:pPr>
        <w:jc w:val="left"/>
        <w:rPr>
          <w:color w:val="auto"/>
          <w:sz w:val="22"/>
          <w:szCs w:val="22"/>
        </w:rPr>
      </w:pPr>
      <w:r w:rsidRPr="00E223AF">
        <w:rPr>
          <w:color w:val="auto"/>
          <w:sz w:val="22"/>
          <w:szCs w:val="22"/>
        </w:rPr>
        <w:t>Clinically relevant adverse reactions that occurred in ≤ 10% of patients include dysphagia (10%), fall (8%), pleural effusion (8%), fractures (6%), hypoxia (4.2%), pulmonary embolism (3.9%), syncope (3.9%), congestive heart failure (3.4%), and QT prolongation (3.1%).</w:t>
      </w:r>
    </w:p>
    <w:p w14:paraId="021671A4" w14:textId="77777777" w:rsidR="0071744C" w:rsidRPr="00E223AF" w:rsidRDefault="0071744C" w:rsidP="005722A0">
      <w:pPr>
        <w:pStyle w:val="Heading3"/>
        <w:rPr>
          <w:color w:val="auto"/>
        </w:rPr>
      </w:pPr>
      <w:r w:rsidRPr="00E223AF">
        <w:rPr>
          <w:color w:val="auto"/>
        </w:rPr>
        <w:t xml:space="preserve">Description of selected adverse drug reactions </w:t>
      </w:r>
    </w:p>
    <w:p w14:paraId="128650A9" w14:textId="77777777" w:rsidR="009150C5" w:rsidRPr="00E223AF" w:rsidRDefault="009150C5" w:rsidP="005722A0">
      <w:pPr>
        <w:pStyle w:val="Heading4"/>
        <w:rPr>
          <w:color w:val="auto"/>
        </w:rPr>
      </w:pPr>
      <w:r w:rsidRPr="00E223AF">
        <w:rPr>
          <w:color w:val="auto"/>
        </w:rPr>
        <w:t>Congestive heart failure (CHF)</w:t>
      </w:r>
    </w:p>
    <w:p w14:paraId="686655F9" w14:textId="5A73F4CA" w:rsidR="00EC758D" w:rsidRPr="00E223AF" w:rsidRDefault="009150C5" w:rsidP="00BD3575">
      <w:pPr>
        <w:rPr>
          <w:color w:val="auto"/>
        </w:rPr>
      </w:pPr>
      <w:r w:rsidRPr="00E223AF">
        <w:rPr>
          <w:color w:val="auto"/>
        </w:rPr>
        <w:t>Among the 355 patients who received Rozlytrek across clinical trials, congestive heart failure (CHF) occurred in 3.4% of patients, including Grade 3 (2.3%). In clinical trials, baseline cardiac function and routine cardiac monitoring other than electrocardiograms (ECGs) were not conducted and eligibility criteria excluded patients with symptomatic CHF, myocardial infarction, unstable angina, and coronary artery bypass graft within 3 months of study entry. Among the 12 patients with CHF, the median time to onset was 2 months (range: 11 days to 12 months). Rozlytrek was interrupted in 6 of these patients (50%) and discontinued in 2 of these patients (17%). CHF resolved in 6 patients (50%) following interruption or discontinuation of Rozlytrek and institution of appropriate medical management. In addition, myocarditis in the absence of CHF was documented in 0.3% of patients.</w:t>
      </w:r>
      <w:r w:rsidR="00F531A1" w:rsidRPr="00E223AF">
        <w:rPr>
          <w:color w:val="auto"/>
        </w:rPr>
        <w:t xml:space="preserve"> </w:t>
      </w:r>
      <w:r w:rsidR="00EC758D" w:rsidRPr="00E223AF">
        <w:rPr>
          <w:color w:val="auto"/>
        </w:rPr>
        <w:t xml:space="preserve">See also section </w:t>
      </w:r>
      <w:r w:rsidR="00EC758D" w:rsidRPr="00E223AF">
        <w:rPr>
          <w:i/>
          <w:color w:val="auto"/>
        </w:rPr>
        <w:t>4.4 Special warnings and precautions for use</w:t>
      </w:r>
      <w:r w:rsidR="00EC758D" w:rsidRPr="00E223AF">
        <w:rPr>
          <w:color w:val="auto"/>
        </w:rPr>
        <w:t>.</w:t>
      </w:r>
    </w:p>
    <w:p w14:paraId="3212581A" w14:textId="0851F635" w:rsidR="0071744C" w:rsidRPr="00E223AF" w:rsidRDefault="009150C5" w:rsidP="005722A0">
      <w:pPr>
        <w:pStyle w:val="Heading4"/>
        <w:rPr>
          <w:color w:val="auto"/>
        </w:rPr>
      </w:pPr>
      <w:r w:rsidRPr="00E223AF">
        <w:rPr>
          <w:color w:val="auto"/>
        </w:rPr>
        <w:t>Central nervous system effects</w:t>
      </w:r>
    </w:p>
    <w:p w14:paraId="65D0FD66" w14:textId="39B1CA7D" w:rsidR="009150C5" w:rsidRPr="00E223AF" w:rsidRDefault="009150C5" w:rsidP="009150C5">
      <w:pPr>
        <w:rPr>
          <w:color w:val="auto"/>
        </w:rPr>
      </w:pPr>
      <w:r w:rsidRPr="00E223AF">
        <w:rPr>
          <w:color w:val="auto"/>
        </w:rPr>
        <w:lastRenderedPageBreak/>
        <w:t xml:space="preserve">Among the 355 patients who received </w:t>
      </w:r>
      <w:r w:rsidR="00EC758D" w:rsidRPr="00E223AF">
        <w:rPr>
          <w:color w:val="auto"/>
        </w:rPr>
        <w:t>Rozlytrek</w:t>
      </w:r>
      <w:r w:rsidRPr="00E223AF">
        <w:rPr>
          <w:color w:val="auto"/>
        </w:rPr>
        <w:t xml:space="preserve"> across clinical trials, 96 (27%) experienced cognitive impairment; symptoms occurred within 3 months of starting </w:t>
      </w:r>
      <w:r w:rsidR="00EC758D" w:rsidRPr="00E223AF">
        <w:rPr>
          <w:color w:val="auto"/>
        </w:rPr>
        <w:t xml:space="preserve">Rozlytrek </w:t>
      </w:r>
      <w:r w:rsidRPr="00E223AF">
        <w:rPr>
          <w:color w:val="auto"/>
        </w:rPr>
        <w:t xml:space="preserve">in 74 (77%). Cognitive impairment included cognitive disorders (8%), </w:t>
      </w:r>
      <w:proofErr w:type="spellStart"/>
      <w:r w:rsidRPr="00E223AF">
        <w:rPr>
          <w:color w:val="auto"/>
        </w:rPr>
        <w:t>confusional</w:t>
      </w:r>
      <w:proofErr w:type="spellEnd"/>
      <w:r w:rsidRPr="00E223AF">
        <w:rPr>
          <w:color w:val="auto"/>
        </w:rPr>
        <w:t xml:space="preserve"> state (7%), disturbance in attention (4.8%), memory impairment (3.7%), amnesia (2.5%), aphasia (2.3%), mental status changes (2%), hallucinations (1.1%), and delirium (0.8%). Grade 3 cognitive adverse reactions occurred in 4.5% of patients. Among the 96 patients with cognitive impairment, 13% required a dose reduction, 18% required dose interruption and 1% discontinued </w:t>
      </w:r>
      <w:r w:rsidR="00EC758D" w:rsidRPr="00E223AF">
        <w:rPr>
          <w:color w:val="auto"/>
        </w:rPr>
        <w:t xml:space="preserve">Rozlytrek </w:t>
      </w:r>
      <w:r w:rsidRPr="00E223AF">
        <w:rPr>
          <w:color w:val="auto"/>
        </w:rPr>
        <w:t>due to cognitive adverse reactions.</w:t>
      </w:r>
    </w:p>
    <w:p w14:paraId="7065F764" w14:textId="77777777" w:rsidR="00EC758D" w:rsidRPr="00E223AF" w:rsidRDefault="00EC758D" w:rsidP="009150C5">
      <w:pPr>
        <w:rPr>
          <w:color w:val="auto"/>
        </w:rPr>
      </w:pPr>
    </w:p>
    <w:p w14:paraId="1D9617BC" w14:textId="12E4E478" w:rsidR="009150C5" w:rsidRPr="00E223AF" w:rsidRDefault="009150C5" w:rsidP="009150C5">
      <w:pPr>
        <w:rPr>
          <w:color w:val="auto"/>
        </w:rPr>
      </w:pPr>
      <w:r w:rsidRPr="00E223AF">
        <w:rPr>
          <w:color w:val="auto"/>
        </w:rPr>
        <w:t xml:space="preserve">Among the 355 patients who received </w:t>
      </w:r>
      <w:r w:rsidR="00EC758D" w:rsidRPr="00E223AF">
        <w:rPr>
          <w:color w:val="auto"/>
        </w:rPr>
        <w:t xml:space="preserve">Rozlytrek </w:t>
      </w:r>
      <w:r w:rsidRPr="00E223AF">
        <w:rPr>
          <w:color w:val="auto"/>
        </w:rPr>
        <w:t xml:space="preserve">across clinical trials, 36 (10%) experienced mood disorders. The median time to onset of mood disorders was 1 month (range: 1 day to 9 months). Mood disorders occurring in ≥ 1% of patients included anxiety (4.8%), depression (2.8%) and agitation (2%). Grade 3 mood disorders occurred in 0.6% of patients. One completed suicide was reported 11 days after treatment had ended. Among the 36 patients who experienced mood disorders, 6% required a dose reduction, 6% required dose interruption and no patients discontinued </w:t>
      </w:r>
      <w:r w:rsidR="00E611DE" w:rsidRPr="00E223AF">
        <w:rPr>
          <w:color w:val="auto"/>
        </w:rPr>
        <w:t>Rozlytrek</w:t>
      </w:r>
      <w:r w:rsidRPr="00E223AF">
        <w:rPr>
          <w:color w:val="auto"/>
        </w:rPr>
        <w:t xml:space="preserve"> due to mood disorders.</w:t>
      </w:r>
    </w:p>
    <w:p w14:paraId="7BC9CA99" w14:textId="77777777" w:rsidR="00F531A1" w:rsidRPr="00E223AF" w:rsidRDefault="00F531A1" w:rsidP="009150C5">
      <w:pPr>
        <w:rPr>
          <w:color w:val="auto"/>
        </w:rPr>
      </w:pPr>
    </w:p>
    <w:p w14:paraId="22194D6F" w14:textId="5CAD9659" w:rsidR="009150C5" w:rsidRPr="00E223AF" w:rsidRDefault="009150C5" w:rsidP="009150C5">
      <w:pPr>
        <w:rPr>
          <w:color w:val="auto"/>
        </w:rPr>
      </w:pPr>
      <w:r w:rsidRPr="00E223AF">
        <w:rPr>
          <w:color w:val="auto"/>
        </w:rPr>
        <w:t xml:space="preserve">Dizziness occurred in 136 (38%) of the 355 patients. Among the 136 patients who experienced dizziness, Grade 3 dizziness occurred in 2.2% of patients. Ten percent of patients required a dose reduction, 7% required dose interruption and 0.7% discontinued </w:t>
      </w:r>
      <w:r w:rsidR="00E611DE" w:rsidRPr="00E223AF">
        <w:rPr>
          <w:color w:val="auto"/>
        </w:rPr>
        <w:t>Rozlytrek</w:t>
      </w:r>
      <w:r w:rsidRPr="00E223AF">
        <w:rPr>
          <w:color w:val="auto"/>
        </w:rPr>
        <w:t xml:space="preserve"> due to dizziness.</w:t>
      </w:r>
    </w:p>
    <w:p w14:paraId="17F88E09" w14:textId="77777777" w:rsidR="00EC758D" w:rsidRPr="00E223AF" w:rsidRDefault="00EC758D" w:rsidP="009150C5">
      <w:pPr>
        <w:rPr>
          <w:color w:val="auto"/>
        </w:rPr>
      </w:pPr>
    </w:p>
    <w:p w14:paraId="3FBC4F66" w14:textId="23E2FF38" w:rsidR="009150C5" w:rsidRPr="00E223AF" w:rsidRDefault="009150C5" w:rsidP="009150C5">
      <w:pPr>
        <w:rPr>
          <w:color w:val="auto"/>
        </w:rPr>
      </w:pPr>
      <w:r w:rsidRPr="00E223AF">
        <w:rPr>
          <w:color w:val="auto"/>
        </w:rPr>
        <w:t xml:space="preserve">Among the 355 patients who received </w:t>
      </w:r>
      <w:r w:rsidR="00E611DE" w:rsidRPr="00E223AF">
        <w:rPr>
          <w:color w:val="auto"/>
        </w:rPr>
        <w:t>Rozlytrek</w:t>
      </w:r>
      <w:r w:rsidRPr="00E223AF">
        <w:rPr>
          <w:color w:val="auto"/>
        </w:rPr>
        <w:t xml:space="preserve"> across clinical trials, 51 (14%) experienced sleep disturbances. Sleep disturbances included insomnia (7%), somnolence (7%), hypersomnia (1.1%), and sleep disorder (0.3%). Grade 3 sleep disturbances occurred in 0.6% of patients. Among the 51 patients who experienced sleep disturbances, 6% required a dose reduction and no patients discontinued </w:t>
      </w:r>
      <w:r w:rsidR="00E611DE" w:rsidRPr="00E223AF">
        <w:rPr>
          <w:color w:val="auto"/>
        </w:rPr>
        <w:t>Rozlytrek</w:t>
      </w:r>
      <w:r w:rsidRPr="00E223AF">
        <w:rPr>
          <w:color w:val="auto"/>
        </w:rPr>
        <w:t xml:space="preserve"> due to sleep disturbances.</w:t>
      </w:r>
    </w:p>
    <w:p w14:paraId="3B931D8D" w14:textId="77777777" w:rsidR="00EC758D" w:rsidRPr="00E223AF" w:rsidRDefault="00EC758D" w:rsidP="009150C5">
      <w:pPr>
        <w:rPr>
          <w:color w:val="auto"/>
        </w:rPr>
      </w:pPr>
    </w:p>
    <w:p w14:paraId="26E39A1C" w14:textId="1E145DFF" w:rsidR="00BC7CF8" w:rsidRPr="00E223AF" w:rsidRDefault="009150C5" w:rsidP="009150C5">
      <w:pPr>
        <w:rPr>
          <w:color w:val="auto"/>
        </w:rPr>
      </w:pPr>
      <w:r w:rsidRPr="00E223AF">
        <w:rPr>
          <w:color w:val="auto"/>
        </w:rPr>
        <w:t>The incidence of CNS adverse reactions was similar in patients with and without CNS metastases; however, the incidence of dizziness (38% vs 31%), headache (21% vs 13%), par</w:t>
      </w:r>
      <w:r w:rsidR="00E611DE" w:rsidRPr="00E223AF">
        <w:rPr>
          <w:color w:val="auto"/>
        </w:rPr>
        <w:t>a</w:t>
      </w:r>
      <w:r w:rsidRPr="00E223AF">
        <w:rPr>
          <w:color w:val="auto"/>
        </w:rPr>
        <w:t xml:space="preserve">esthesia (20% vs 6%), balance disorder (13% vs 4%), and </w:t>
      </w:r>
      <w:proofErr w:type="spellStart"/>
      <w:r w:rsidRPr="00E223AF">
        <w:rPr>
          <w:color w:val="auto"/>
        </w:rPr>
        <w:t>confusional</w:t>
      </w:r>
      <w:proofErr w:type="spellEnd"/>
      <w:r w:rsidRPr="00E223AF">
        <w:rPr>
          <w:color w:val="auto"/>
        </w:rPr>
        <w:t xml:space="preserve"> state (11% vs 2%) appeared to be increased in patients with CNS metastases who had received prior CNS irradiation (N = 90) compared to those who did not (N = 48).</w:t>
      </w:r>
      <w:r w:rsidR="00F531A1" w:rsidRPr="00E223AF">
        <w:rPr>
          <w:color w:val="auto"/>
        </w:rPr>
        <w:t xml:space="preserve"> </w:t>
      </w:r>
      <w:r w:rsidR="0071744C" w:rsidRPr="00E223AF">
        <w:rPr>
          <w:color w:val="auto"/>
        </w:rPr>
        <w:t>Patients who had brain metastases at baseline had a higher frequency of these events (39%) compared to those without brain metastases (2</w:t>
      </w:r>
      <w:r w:rsidR="00B7448C" w:rsidRPr="00E223AF">
        <w:rPr>
          <w:color w:val="auto"/>
        </w:rPr>
        <w:t>5</w:t>
      </w:r>
      <w:r w:rsidR="0071744C" w:rsidRPr="00E223AF">
        <w:rPr>
          <w:color w:val="auto"/>
        </w:rPr>
        <w:t xml:space="preserve">%). </w:t>
      </w:r>
    </w:p>
    <w:p w14:paraId="446045A8" w14:textId="23148680" w:rsidR="00EC758D" w:rsidRPr="00E223AF" w:rsidRDefault="00EC758D" w:rsidP="009150C5">
      <w:pPr>
        <w:rPr>
          <w:color w:val="auto"/>
        </w:rPr>
      </w:pPr>
    </w:p>
    <w:p w14:paraId="6578B031" w14:textId="43F5A31D" w:rsidR="00EC758D" w:rsidRPr="00E223AF" w:rsidRDefault="00EC758D" w:rsidP="009150C5">
      <w:pPr>
        <w:rPr>
          <w:color w:val="auto"/>
        </w:rPr>
      </w:pPr>
      <w:r w:rsidRPr="00E223AF">
        <w:rPr>
          <w:color w:val="auto"/>
        </w:rPr>
        <w:t xml:space="preserve">See also section </w:t>
      </w:r>
      <w:r w:rsidRPr="00E223AF">
        <w:rPr>
          <w:i/>
          <w:color w:val="auto"/>
        </w:rPr>
        <w:t>4.4 Special warnings and precautions for use</w:t>
      </w:r>
      <w:r w:rsidRPr="00E223AF">
        <w:rPr>
          <w:color w:val="auto"/>
        </w:rPr>
        <w:t>.</w:t>
      </w:r>
    </w:p>
    <w:p w14:paraId="76251051" w14:textId="77777777" w:rsidR="00EC758D" w:rsidRPr="00E223AF" w:rsidRDefault="00EC758D" w:rsidP="009150C5">
      <w:pPr>
        <w:rPr>
          <w:color w:val="auto"/>
        </w:rPr>
      </w:pPr>
    </w:p>
    <w:p w14:paraId="6FAF61CD" w14:textId="4FFEB663" w:rsidR="00EC758D" w:rsidRPr="00E223AF" w:rsidRDefault="00EC758D" w:rsidP="00BD3575">
      <w:pPr>
        <w:pStyle w:val="Heading4"/>
        <w:rPr>
          <w:color w:val="auto"/>
        </w:rPr>
      </w:pPr>
      <w:r w:rsidRPr="00E223AF">
        <w:rPr>
          <w:color w:val="auto"/>
        </w:rPr>
        <w:t>Skeletal fractures</w:t>
      </w:r>
    </w:p>
    <w:p w14:paraId="77757DF8" w14:textId="3453DB34" w:rsidR="00EC758D" w:rsidRPr="00E223AF" w:rsidRDefault="00F531A1" w:rsidP="00EC758D">
      <w:pPr>
        <w:rPr>
          <w:color w:val="auto"/>
        </w:rPr>
      </w:pPr>
      <w:r w:rsidRPr="00E223AF">
        <w:rPr>
          <w:color w:val="auto"/>
        </w:rPr>
        <w:t xml:space="preserve">In an expanded safety population that included 338 adult patients and 30 paediatric patients who received </w:t>
      </w:r>
      <w:r w:rsidR="00E611DE" w:rsidRPr="00E223AF">
        <w:rPr>
          <w:color w:val="auto"/>
        </w:rPr>
        <w:t>Rozlytrek</w:t>
      </w:r>
      <w:r w:rsidRPr="00E223AF">
        <w:rPr>
          <w:color w:val="auto"/>
        </w:rPr>
        <w:t xml:space="preserve"> across clinical trials, 5% of adult patients and 23% of </w:t>
      </w:r>
      <w:r w:rsidR="00E611DE" w:rsidRPr="00E223AF">
        <w:rPr>
          <w:color w:val="auto"/>
        </w:rPr>
        <w:t>paediatric</w:t>
      </w:r>
      <w:r w:rsidRPr="00E223AF">
        <w:rPr>
          <w:color w:val="auto"/>
        </w:rPr>
        <w:t xml:space="preserve"> patients experienced fractures </w:t>
      </w:r>
      <w:r w:rsidR="00E611DE" w:rsidRPr="00E223AF">
        <w:rPr>
          <w:color w:val="auto"/>
        </w:rPr>
        <w:t xml:space="preserve">(see </w:t>
      </w:r>
      <w:r w:rsidR="00B7448C" w:rsidRPr="00E223AF">
        <w:rPr>
          <w:color w:val="auto"/>
        </w:rPr>
        <w:t xml:space="preserve">section 4.8 </w:t>
      </w:r>
      <w:r w:rsidR="00B7448C" w:rsidRPr="00E223AF">
        <w:rPr>
          <w:i/>
          <w:color w:val="auto"/>
        </w:rPr>
        <w:t>Adverse effects (undesirable effects)</w:t>
      </w:r>
      <w:r w:rsidR="00E611DE" w:rsidRPr="00E223AF">
        <w:rPr>
          <w:color w:val="auto"/>
        </w:rPr>
        <w:t>).</w:t>
      </w:r>
      <w:r w:rsidRPr="00E223AF">
        <w:rPr>
          <w:color w:val="auto"/>
        </w:rPr>
        <w:t xml:space="preserve"> In adult patients, some fractures occurred in the setting of a fall or other trauma to the affected area, while in </w:t>
      </w:r>
      <w:r w:rsidR="00E611DE" w:rsidRPr="00E223AF">
        <w:rPr>
          <w:color w:val="auto"/>
        </w:rPr>
        <w:t>paediatric</w:t>
      </w:r>
      <w:r w:rsidRPr="00E223AF">
        <w:rPr>
          <w:color w:val="auto"/>
        </w:rPr>
        <w:t xml:space="preserve"> patients all fractures occurred in patients with minimal or no trauma. In general, there was inadequate assessment for </w:t>
      </w:r>
      <w:r w:rsidR="00E611DE" w:rsidRPr="00E223AF">
        <w:rPr>
          <w:color w:val="auto"/>
        </w:rPr>
        <w:t>tumour</w:t>
      </w:r>
      <w:r w:rsidRPr="00E223AF">
        <w:rPr>
          <w:color w:val="auto"/>
        </w:rPr>
        <w:t xml:space="preserve"> involvement at the site of fracture; however, radiologic abnormalities possibly indicative of </w:t>
      </w:r>
      <w:r w:rsidR="00E611DE" w:rsidRPr="00E223AF">
        <w:rPr>
          <w:color w:val="auto"/>
        </w:rPr>
        <w:t>tumour</w:t>
      </w:r>
      <w:r w:rsidRPr="00E223AF">
        <w:rPr>
          <w:color w:val="auto"/>
        </w:rPr>
        <w:t xml:space="preserve"> involvement were reported in some patients. In both adult and </w:t>
      </w:r>
      <w:r w:rsidR="00E611DE" w:rsidRPr="00E223AF">
        <w:rPr>
          <w:color w:val="auto"/>
        </w:rPr>
        <w:t>paediatric</w:t>
      </w:r>
      <w:r w:rsidRPr="00E223AF">
        <w:rPr>
          <w:color w:val="auto"/>
        </w:rPr>
        <w:t xml:space="preserve"> patients, most fractures were hip or other lower extremity fractures (e.g., femoral or </w:t>
      </w:r>
      <w:proofErr w:type="spellStart"/>
      <w:r w:rsidRPr="00E223AF">
        <w:rPr>
          <w:color w:val="auto"/>
        </w:rPr>
        <w:t>tibial</w:t>
      </w:r>
      <w:proofErr w:type="spellEnd"/>
      <w:r w:rsidRPr="00E223AF">
        <w:rPr>
          <w:color w:val="auto"/>
        </w:rPr>
        <w:t xml:space="preserve"> shaft). In a limited number of patients, bilateral femoral neck fractures occurred. The median time to fracture was 3.8 months (range 0.3 to 18.5 </w:t>
      </w:r>
      <w:r w:rsidRPr="00E223AF">
        <w:rPr>
          <w:color w:val="auto"/>
        </w:rPr>
        <w:lastRenderedPageBreak/>
        <w:t xml:space="preserve">months) in adults and 4.0 months (range: 1.8 months to 7.4 months) in </w:t>
      </w:r>
      <w:r w:rsidR="00E611DE" w:rsidRPr="00E223AF">
        <w:rPr>
          <w:color w:val="auto"/>
        </w:rPr>
        <w:t>paediatric</w:t>
      </w:r>
      <w:r w:rsidRPr="00E223AF">
        <w:rPr>
          <w:color w:val="auto"/>
        </w:rPr>
        <w:t xml:space="preserve"> patients. </w:t>
      </w:r>
      <w:r w:rsidR="00E611DE" w:rsidRPr="00E223AF">
        <w:rPr>
          <w:color w:val="auto"/>
        </w:rPr>
        <w:t>Rozlytrek</w:t>
      </w:r>
      <w:r w:rsidRPr="00E223AF">
        <w:rPr>
          <w:color w:val="auto"/>
        </w:rPr>
        <w:t xml:space="preserve"> was interrupted in 41% of adults and 43% of </w:t>
      </w:r>
      <w:r w:rsidR="00E611DE" w:rsidRPr="00E223AF">
        <w:rPr>
          <w:color w:val="auto"/>
        </w:rPr>
        <w:t>paediatric</w:t>
      </w:r>
      <w:r w:rsidRPr="00E223AF">
        <w:rPr>
          <w:color w:val="auto"/>
        </w:rPr>
        <w:t xml:space="preserve"> patients due to fractures. No patients discontinued </w:t>
      </w:r>
      <w:r w:rsidR="00E611DE" w:rsidRPr="00E223AF">
        <w:rPr>
          <w:color w:val="auto"/>
        </w:rPr>
        <w:t>Rozlytrek</w:t>
      </w:r>
      <w:r w:rsidRPr="00E223AF">
        <w:rPr>
          <w:color w:val="auto"/>
        </w:rPr>
        <w:t xml:space="preserve"> due to fractures. </w:t>
      </w:r>
      <w:r w:rsidR="00EC758D" w:rsidRPr="00E223AF">
        <w:rPr>
          <w:color w:val="auto"/>
        </w:rPr>
        <w:t xml:space="preserve">See also section </w:t>
      </w:r>
      <w:r w:rsidR="00EC758D" w:rsidRPr="00E223AF">
        <w:rPr>
          <w:i/>
          <w:color w:val="auto"/>
        </w:rPr>
        <w:t>4.4 Special warnings and precautions for use</w:t>
      </w:r>
      <w:r w:rsidR="00EC758D" w:rsidRPr="00E223AF">
        <w:rPr>
          <w:color w:val="auto"/>
        </w:rPr>
        <w:t>.</w:t>
      </w:r>
    </w:p>
    <w:p w14:paraId="440744FC" w14:textId="77777777" w:rsidR="00EC758D" w:rsidRPr="00E223AF" w:rsidRDefault="00EC758D" w:rsidP="009150C5">
      <w:pPr>
        <w:rPr>
          <w:color w:val="auto"/>
        </w:rPr>
      </w:pPr>
    </w:p>
    <w:p w14:paraId="57C5D358" w14:textId="2DA78E09" w:rsidR="00EC758D" w:rsidRPr="00E223AF" w:rsidRDefault="00EC758D" w:rsidP="00BD3575">
      <w:pPr>
        <w:pStyle w:val="Heading4"/>
        <w:rPr>
          <w:color w:val="auto"/>
        </w:rPr>
      </w:pPr>
      <w:r w:rsidRPr="00E223AF">
        <w:rPr>
          <w:color w:val="auto"/>
        </w:rPr>
        <w:t>Hepatotoxicity</w:t>
      </w:r>
    </w:p>
    <w:p w14:paraId="3F9EB1C9" w14:textId="582FA46A" w:rsidR="00EC758D" w:rsidRPr="00E223AF" w:rsidRDefault="00F531A1" w:rsidP="009150C5">
      <w:pPr>
        <w:rPr>
          <w:color w:val="auto"/>
        </w:rPr>
      </w:pPr>
      <w:r w:rsidRPr="00E223AF">
        <w:rPr>
          <w:color w:val="auto"/>
        </w:rPr>
        <w:t xml:space="preserve">Among the 355 patients who received </w:t>
      </w:r>
      <w:r w:rsidR="00E611DE" w:rsidRPr="00E223AF">
        <w:rPr>
          <w:color w:val="auto"/>
        </w:rPr>
        <w:t>Rozlytrek</w:t>
      </w:r>
      <w:r w:rsidRPr="00E223AF">
        <w:rPr>
          <w:color w:val="auto"/>
        </w:rPr>
        <w:t xml:space="preserve">, increased AST of any grade occurred in 42% of patients and increased ALT of any grade occurred in 36%. Grade 3 – 4 increased AST or ALT occurred in 2.5% and 2.8% of patients, respectively; the incidence may be underestimated as 4.5% of patients had no post-treatment liver function tests (see </w:t>
      </w:r>
      <w:r w:rsidR="00E611DE" w:rsidRPr="00E223AF">
        <w:rPr>
          <w:color w:val="auto"/>
        </w:rPr>
        <w:t>Table 5</w:t>
      </w:r>
      <w:r w:rsidRPr="00E223AF">
        <w:rPr>
          <w:color w:val="auto"/>
        </w:rPr>
        <w:t xml:space="preserve">). The median time to onset of increased AST was 2 weeks (range: 1 day to 29.5 months). The median time to onset of increased ALT was 2 weeks (range: 1 day to 9.2 months). Increased AST or ALT leading to dose interruptions or reductions occurred in 0.8% and 0.8% of patients, respectively. </w:t>
      </w:r>
      <w:r w:rsidR="00E611DE" w:rsidRPr="00E223AF">
        <w:rPr>
          <w:color w:val="auto"/>
        </w:rPr>
        <w:t>Rozlytrek</w:t>
      </w:r>
      <w:r w:rsidRPr="00E223AF">
        <w:rPr>
          <w:color w:val="auto"/>
        </w:rPr>
        <w:t xml:space="preserve"> was discontinued due to increased AST or ALT in 0.8% patients. </w:t>
      </w:r>
      <w:r w:rsidR="00EC758D" w:rsidRPr="00E223AF">
        <w:rPr>
          <w:color w:val="auto"/>
        </w:rPr>
        <w:t xml:space="preserve">See also section </w:t>
      </w:r>
      <w:r w:rsidR="00EC758D" w:rsidRPr="00E223AF">
        <w:rPr>
          <w:i/>
          <w:color w:val="auto"/>
        </w:rPr>
        <w:t>4.4 Special warnings and precautions for use</w:t>
      </w:r>
      <w:r w:rsidR="00EC758D" w:rsidRPr="00E223AF">
        <w:rPr>
          <w:color w:val="auto"/>
        </w:rPr>
        <w:t>.</w:t>
      </w:r>
    </w:p>
    <w:p w14:paraId="0EBA7E4D" w14:textId="69CBE445" w:rsidR="00EC758D" w:rsidRPr="00E223AF" w:rsidRDefault="00EC758D" w:rsidP="00BD3575">
      <w:pPr>
        <w:pStyle w:val="Heading4"/>
        <w:rPr>
          <w:color w:val="auto"/>
        </w:rPr>
      </w:pPr>
      <w:proofErr w:type="spellStart"/>
      <w:r w:rsidRPr="00E223AF">
        <w:rPr>
          <w:color w:val="auto"/>
        </w:rPr>
        <w:t>Hyperuricaemia</w:t>
      </w:r>
      <w:proofErr w:type="spellEnd"/>
    </w:p>
    <w:p w14:paraId="3F326600" w14:textId="44F893FE" w:rsidR="00EC758D" w:rsidRPr="00E223AF" w:rsidRDefault="00136F9A" w:rsidP="009150C5">
      <w:pPr>
        <w:rPr>
          <w:color w:val="auto"/>
        </w:rPr>
      </w:pPr>
      <w:r w:rsidRPr="00E223AF">
        <w:rPr>
          <w:color w:val="auto"/>
        </w:rPr>
        <w:t xml:space="preserve">Among 355 patients who received </w:t>
      </w:r>
      <w:r w:rsidR="00E611DE" w:rsidRPr="00E223AF">
        <w:rPr>
          <w:color w:val="auto"/>
        </w:rPr>
        <w:t>Rozlytrek</w:t>
      </w:r>
      <w:r w:rsidRPr="00E223AF">
        <w:rPr>
          <w:color w:val="auto"/>
        </w:rPr>
        <w:t xml:space="preserve"> across clinical trials, 32 patients (9%) experienced </w:t>
      </w:r>
      <w:proofErr w:type="spellStart"/>
      <w:r w:rsidRPr="00E223AF">
        <w:rPr>
          <w:color w:val="auto"/>
        </w:rPr>
        <w:t>hyper</w:t>
      </w:r>
      <w:r w:rsidR="00E611DE" w:rsidRPr="00E223AF">
        <w:rPr>
          <w:color w:val="auto"/>
        </w:rPr>
        <w:t>uricaemia</w:t>
      </w:r>
      <w:proofErr w:type="spellEnd"/>
      <w:r w:rsidRPr="00E223AF">
        <w:rPr>
          <w:color w:val="auto"/>
        </w:rPr>
        <w:t xml:space="preserve"> reported as adverse reactions with symptoms, as well as elevated uric acid levels. Grade 4 </w:t>
      </w:r>
      <w:proofErr w:type="spellStart"/>
      <w:r w:rsidRPr="00E223AF">
        <w:rPr>
          <w:color w:val="auto"/>
        </w:rPr>
        <w:t>hyper</w:t>
      </w:r>
      <w:r w:rsidR="00E611DE" w:rsidRPr="00E223AF">
        <w:rPr>
          <w:color w:val="auto"/>
        </w:rPr>
        <w:t>uricaemia</w:t>
      </w:r>
      <w:proofErr w:type="spellEnd"/>
      <w:r w:rsidRPr="00E223AF">
        <w:rPr>
          <w:color w:val="auto"/>
        </w:rPr>
        <w:t xml:space="preserve"> occurred in 1.7% of patients, including one patient who died due to </w:t>
      </w:r>
      <w:r w:rsidR="00E611DE" w:rsidRPr="00E223AF">
        <w:rPr>
          <w:color w:val="auto"/>
        </w:rPr>
        <w:t>tumour</w:t>
      </w:r>
      <w:r w:rsidRPr="00E223AF">
        <w:rPr>
          <w:color w:val="auto"/>
        </w:rPr>
        <w:t xml:space="preserve"> lysis syndrome. Among the 32 patients with </w:t>
      </w:r>
      <w:proofErr w:type="spellStart"/>
      <w:r w:rsidRPr="00E223AF">
        <w:rPr>
          <w:color w:val="auto"/>
        </w:rPr>
        <w:t>hyperuric</w:t>
      </w:r>
      <w:r w:rsidR="00E611DE" w:rsidRPr="00E223AF">
        <w:rPr>
          <w:color w:val="auto"/>
        </w:rPr>
        <w:t>a</w:t>
      </w:r>
      <w:r w:rsidRPr="00E223AF">
        <w:rPr>
          <w:color w:val="auto"/>
        </w:rPr>
        <w:t>emic</w:t>
      </w:r>
      <w:proofErr w:type="spellEnd"/>
      <w:r w:rsidRPr="00E223AF">
        <w:rPr>
          <w:color w:val="auto"/>
        </w:rPr>
        <w:t xml:space="preserve"> adverse reactions, 34% required urate-lowering medication to reduce uric acid levels, 6% required dose reduction and 6% required dose interruption. </w:t>
      </w:r>
      <w:proofErr w:type="spellStart"/>
      <w:r w:rsidRPr="00E223AF">
        <w:rPr>
          <w:color w:val="auto"/>
        </w:rPr>
        <w:t>Hyper</w:t>
      </w:r>
      <w:r w:rsidR="00E611DE" w:rsidRPr="00E223AF">
        <w:rPr>
          <w:color w:val="auto"/>
        </w:rPr>
        <w:t>uricaemia</w:t>
      </w:r>
      <w:proofErr w:type="spellEnd"/>
      <w:r w:rsidRPr="00E223AF">
        <w:rPr>
          <w:color w:val="auto"/>
        </w:rPr>
        <w:t xml:space="preserve"> resolved in 73% of patients following initiation of urate-lowering medication without interruption or dose reduction of </w:t>
      </w:r>
      <w:r w:rsidR="00E611DE" w:rsidRPr="00E223AF">
        <w:rPr>
          <w:color w:val="auto"/>
        </w:rPr>
        <w:t>Rozlytrek</w:t>
      </w:r>
      <w:r w:rsidRPr="00E223AF">
        <w:rPr>
          <w:color w:val="auto"/>
        </w:rPr>
        <w:t xml:space="preserve">. No patients discontinued </w:t>
      </w:r>
      <w:r w:rsidR="00E611DE" w:rsidRPr="00E223AF">
        <w:rPr>
          <w:color w:val="auto"/>
        </w:rPr>
        <w:t>Rozlytrek</w:t>
      </w:r>
      <w:r w:rsidRPr="00E223AF">
        <w:rPr>
          <w:color w:val="auto"/>
        </w:rPr>
        <w:t xml:space="preserve"> due to </w:t>
      </w:r>
      <w:proofErr w:type="spellStart"/>
      <w:r w:rsidRPr="00E223AF">
        <w:rPr>
          <w:color w:val="auto"/>
        </w:rPr>
        <w:t>hyper</w:t>
      </w:r>
      <w:r w:rsidR="00E611DE" w:rsidRPr="00E223AF">
        <w:rPr>
          <w:color w:val="auto"/>
        </w:rPr>
        <w:t>uricaemia</w:t>
      </w:r>
      <w:proofErr w:type="spellEnd"/>
      <w:r w:rsidRPr="00E223AF">
        <w:rPr>
          <w:color w:val="auto"/>
        </w:rPr>
        <w:t xml:space="preserve">. </w:t>
      </w:r>
      <w:r w:rsidR="00EC758D" w:rsidRPr="00E223AF">
        <w:rPr>
          <w:color w:val="auto"/>
        </w:rPr>
        <w:t xml:space="preserve">See also section </w:t>
      </w:r>
      <w:r w:rsidR="00EC758D" w:rsidRPr="00E223AF">
        <w:rPr>
          <w:i/>
          <w:color w:val="auto"/>
        </w:rPr>
        <w:t>4.4 Special warnings and precautions for use</w:t>
      </w:r>
      <w:r w:rsidR="00EC758D" w:rsidRPr="00E223AF">
        <w:rPr>
          <w:color w:val="auto"/>
        </w:rPr>
        <w:t>.</w:t>
      </w:r>
    </w:p>
    <w:p w14:paraId="62B5614B" w14:textId="52611588" w:rsidR="00EC758D" w:rsidRPr="00E223AF" w:rsidRDefault="00EC758D" w:rsidP="00BD3575">
      <w:pPr>
        <w:pStyle w:val="Heading4"/>
        <w:rPr>
          <w:color w:val="auto"/>
        </w:rPr>
      </w:pPr>
      <w:r w:rsidRPr="00E223AF">
        <w:rPr>
          <w:color w:val="auto"/>
        </w:rPr>
        <w:t>QT interval prolongation</w:t>
      </w:r>
    </w:p>
    <w:p w14:paraId="71D84CF7" w14:textId="4341A071" w:rsidR="00EC758D" w:rsidRPr="00E223AF" w:rsidRDefault="00136F9A" w:rsidP="009150C5">
      <w:pPr>
        <w:rPr>
          <w:color w:val="auto"/>
        </w:rPr>
      </w:pPr>
      <w:r w:rsidRPr="00E223AF">
        <w:rPr>
          <w:color w:val="auto"/>
        </w:rPr>
        <w:t xml:space="preserve">Among the 355 patients who received </w:t>
      </w:r>
      <w:r w:rsidR="00E611DE" w:rsidRPr="00E223AF">
        <w:rPr>
          <w:color w:val="auto"/>
        </w:rPr>
        <w:t>Rozlytrek</w:t>
      </w:r>
      <w:r w:rsidRPr="00E223AF">
        <w:rPr>
          <w:color w:val="auto"/>
        </w:rPr>
        <w:t xml:space="preserve"> across the clinical trials, 3.1% of patients with at least one post-baseline ECG assessment experience</w:t>
      </w:r>
      <w:r w:rsidR="004F170B" w:rsidRPr="00E223AF">
        <w:rPr>
          <w:color w:val="auto"/>
        </w:rPr>
        <w:t xml:space="preserve">d </w:t>
      </w:r>
      <w:proofErr w:type="spellStart"/>
      <w:r w:rsidR="004F170B" w:rsidRPr="00E223AF">
        <w:rPr>
          <w:color w:val="auto"/>
        </w:rPr>
        <w:t>QTcF</w:t>
      </w:r>
      <w:proofErr w:type="spellEnd"/>
      <w:r w:rsidR="004F170B" w:rsidRPr="00E223AF">
        <w:rPr>
          <w:color w:val="auto"/>
        </w:rPr>
        <w:t xml:space="preserve"> interval prolongation of &gt;</w:t>
      </w:r>
      <w:r w:rsidRPr="00E223AF">
        <w:rPr>
          <w:color w:val="auto"/>
        </w:rPr>
        <w:t xml:space="preserve">60 </w:t>
      </w:r>
      <w:proofErr w:type="spellStart"/>
      <w:r w:rsidRPr="00E223AF">
        <w:rPr>
          <w:color w:val="auto"/>
        </w:rPr>
        <w:t>ms</w:t>
      </w:r>
      <w:proofErr w:type="spellEnd"/>
      <w:r w:rsidRPr="00E223AF">
        <w:rPr>
          <w:color w:val="auto"/>
        </w:rPr>
        <w:t xml:space="preserve"> after starting </w:t>
      </w:r>
      <w:r w:rsidR="00E611DE" w:rsidRPr="00E223AF">
        <w:rPr>
          <w:color w:val="auto"/>
        </w:rPr>
        <w:t>Rozlytrek</w:t>
      </w:r>
      <w:r w:rsidR="004F170B" w:rsidRPr="00E223AF">
        <w:rPr>
          <w:color w:val="auto"/>
        </w:rPr>
        <w:t xml:space="preserve"> and 0.6% had a </w:t>
      </w:r>
      <w:proofErr w:type="spellStart"/>
      <w:r w:rsidR="004F170B" w:rsidRPr="00E223AF">
        <w:rPr>
          <w:color w:val="auto"/>
        </w:rPr>
        <w:t>QTcF</w:t>
      </w:r>
      <w:proofErr w:type="spellEnd"/>
      <w:r w:rsidR="004F170B" w:rsidRPr="00E223AF">
        <w:rPr>
          <w:color w:val="auto"/>
        </w:rPr>
        <w:t xml:space="preserve"> interval &gt;</w:t>
      </w:r>
      <w:r w:rsidRPr="00E223AF">
        <w:rPr>
          <w:color w:val="auto"/>
        </w:rPr>
        <w:t xml:space="preserve">500 </w:t>
      </w:r>
      <w:proofErr w:type="spellStart"/>
      <w:r w:rsidRPr="00E223AF">
        <w:rPr>
          <w:color w:val="auto"/>
        </w:rPr>
        <w:t>ms</w:t>
      </w:r>
      <w:proofErr w:type="spellEnd"/>
      <w:r w:rsidRPr="00E223AF">
        <w:rPr>
          <w:color w:val="auto"/>
        </w:rPr>
        <w:t xml:space="preserve"> </w:t>
      </w:r>
      <w:r w:rsidR="00B7448C" w:rsidRPr="00E223AF">
        <w:rPr>
          <w:color w:val="auto"/>
        </w:rPr>
        <w:t>(see</w:t>
      </w:r>
      <w:r w:rsidRPr="00E223AF">
        <w:rPr>
          <w:color w:val="auto"/>
        </w:rPr>
        <w:t xml:space="preserve"> </w:t>
      </w:r>
      <w:r w:rsidR="00EC758D" w:rsidRPr="00E223AF">
        <w:rPr>
          <w:color w:val="auto"/>
        </w:rPr>
        <w:t>section</w:t>
      </w:r>
      <w:r w:rsidR="004F170B" w:rsidRPr="00E223AF">
        <w:rPr>
          <w:color w:val="auto"/>
        </w:rPr>
        <w:t>s</w:t>
      </w:r>
      <w:r w:rsidR="00EC758D" w:rsidRPr="00E223AF">
        <w:rPr>
          <w:color w:val="auto"/>
        </w:rPr>
        <w:t xml:space="preserve"> </w:t>
      </w:r>
      <w:r w:rsidR="00EC758D" w:rsidRPr="00E223AF">
        <w:rPr>
          <w:i/>
          <w:color w:val="auto"/>
        </w:rPr>
        <w:t>4.4 Special warnings and precautions for use</w:t>
      </w:r>
      <w:r w:rsidR="004F170B" w:rsidRPr="00E223AF">
        <w:rPr>
          <w:i/>
          <w:color w:val="auto"/>
        </w:rPr>
        <w:t xml:space="preserve"> </w:t>
      </w:r>
      <w:r w:rsidR="004F170B" w:rsidRPr="00E223AF">
        <w:rPr>
          <w:color w:val="auto"/>
        </w:rPr>
        <w:t>and 5.1</w:t>
      </w:r>
      <w:r w:rsidR="004F170B" w:rsidRPr="00E223AF">
        <w:rPr>
          <w:i/>
          <w:color w:val="auto"/>
        </w:rPr>
        <w:t xml:space="preserve"> Pharmacodynamic properties</w:t>
      </w:r>
      <w:r w:rsidR="004F170B" w:rsidRPr="00E223AF">
        <w:rPr>
          <w:color w:val="auto"/>
        </w:rPr>
        <w:t>)</w:t>
      </w:r>
      <w:r w:rsidR="00EC758D" w:rsidRPr="00E223AF">
        <w:rPr>
          <w:color w:val="auto"/>
        </w:rPr>
        <w:t>.</w:t>
      </w:r>
    </w:p>
    <w:p w14:paraId="56E1D046" w14:textId="2E050092" w:rsidR="00EC758D" w:rsidRPr="00E223AF" w:rsidRDefault="00EC758D" w:rsidP="00BD3575">
      <w:pPr>
        <w:pStyle w:val="Heading4"/>
        <w:rPr>
          <w:color w:val="auto"/>
        </w:rPr>
      </w:pPr>
      <w:r w:rsidRPr="00E223AF">
        <w:rPr>
          <w:color w:val="auto"/>
        </w:rPr>
        <w:t>Vision disorders</w:t>
      </w:r>
    </w:p>
    <w:p w14:paraId="213A5305" w14:textId="7BDF340F" w:rsidR="00EC758D" w:rsidRPr="00E223AF" w:rsidRDefault="00136F9A" w:rsidP="009150C5">
      <w:pPr>
        <w:rPr>
          <w:color w:val="auto"/>
        </w:rPr>
      </w:pPr>
      <w:r w:rsidRPr="00E223AF">
        <w:rPr>
          <w:color w:val="auto"/>
        </w:rPr>
        <w:t xml:space="preserve">Among the 355 patients who received </w:t>
      </w:r>
      <w:r w:rsidR="00E611DE" w:rsidRPr="00E223AF">
        <w:rPr>
          <w:color w:val="auto"/>
        </w:rPr>
        <w:t>Rozlytrek</w:t>
      </w:r>
      <w:r w:rsidRPr="00E223AF">
        <w:rPr>
          <w:color w:val="auto"/>
        </w:rPr>
        <w:t xml:space="preserve"> across clinical trials, vision changes occurred in 21% of patients, including Grade 1 (82%), Grade 2 (14%) and Grade 3 (0.8%). </w:t>
      </w:r>
      <w:r w:rsidR="004F170B" w:rsidRPr="00E223AF">
        <w:rPr>
          <w:color w:val="auto"/>
        </w:rPr>
        <w:t>Vision disorders occurring in ≥</w:t>
      </w:r>
      <w:r w:rsidRPr="00E223AF">
        <w:rPr>
          <w:color w:val="auto"/>
        </w:rPr>
        <w:t xml:space="preserve">1% included blurred vision (8.7%), photophobia (5.1%), diplopia (3.1%), visual impairment (2%), </w:t>
      </w:r>
      <w:proofErr w:type="spellStart"/>
      <w:r w:rsidRPr="00E223AF">
        <w:rPr>
          <w:color w:val="auto"/>
        </w:rPr>
        <w:t>photopsia</w:t>
      </w:r>
      <w:proofErr w:type="spellEnd"/>
      <w:r w:rsidRPr="00E223AF">
        <w:rPr>
          <w:color w:val="auto"/>
        </w:rPr>
        <w:t xml:space="preserve"> (1.3%), cataract (1.1%), and vitreous floaters (1.1%). </w:t>
      </w:r>
      <w:r w:rsidR="00EC758D" w:rsidRPr="00E223AF">
        <w:rPr>
          <w:color w:val="auto"/>
        </w:rPr>
        <w:t xml:space="preserve">See also section </w:t>
      </w:r>
      <w:r w:rsidR="00EC758D" w:rsidRPr="00E223AF">
        <w:rPr>
          <w:i/>
          <w:color w:val="auto"/>
        </w:rPr>
        <w:t>4.4 Special warnings and precautions for use</w:t>
      </w:r>
      <w:r w:rsidR="00EC758D" w:rsidRPr="00E223AF">
        <w:rPr>
          <w:color w:val="auto"/>
        </w:rPr>
        <w:t>.</w:t>
      </w:r>
    </w:p>
    <w:p w14:paraId="60168E36" w14:textId="717276F6" w:rsidR="00604192" w:rsidRPr="00E223AF" w:rsidRDefault="00604192" w:rsidP="009150C5">
      <w:pPr>
        <w:rPr>
          <w:color w:val="auto"/>
        </w:rPr>
      </w:pPr>
    </w:p>
    <w:p w14:paraId="4F4AB8B9" w14:textId="261AB092" w:rsidR="00604192" w:rsidRPr="00E223AF" w:rsidRDefault="00604192" w:rsidP="006770B0">
      <w:pPr>
        <w:pStyle w:val="Heading4"/>
        <w:rPr>
          <w:color w:val="auto"/>
        </w:rPr>
      </w:pPr>
      <w:r w:rsidRPr="00E223AF">
        <w:rPr>
          <w:color w:val="auto"/>
        </w:rPr>
        <w:t>Weight gain</w:t>
      </w:r>
    </w:p>
    <w:p w14:paraId="68F4984B" w14:textId="06CFA028" w:rsidR="00604192" w:rsidRPr="00E223AF" w:rsidRDefault="00604192">
      <w:r w:rsidRPr="00E223AF">
        <w:t>Increased weight was reported by around a quarter of adult patients, 7% at grade 3 severity (</w:t>
      </w:r>
      <w:r w:rsidR="004F170B" w:rsidRPr="00E223AF">
        <w:t xml:space="preserve">an increase of more than </w:t>
      </w:r>
      <w:r w:rsidRPr="00E223AF">
        <w:t>20% from baseline). Fluid retention or oedema was co-reported for a number of cases and may have contributed</w:t>
      </w:r>
      <w:r w:rsidR="00A014AD" w:rsidRPr="00E223AF">
        <w:t xml:space="preserve"> to weight gain</w:t>
      </w:r>
      <w:r w:rsidRPr="00E223AF">
        <w:t xml:space="preserve">. Among 30 paediatric patients treated with entrectinib for various NTRK-positive cancers, six (20%) reported grade 3 weight increase. </w:t>
      </w:r>
    </w:p>
    <w:p w14:paraId="722C9037" w14:textId="77777777" w:rsidR="00BC7CF8" w:rsidRPr="00E223AF" w:rsidRDefault="00BC7CF8" w:rsidP="0071744C">
      <w:pPr>
        <w:rPr>
          <w:color w:val="auto"/>
        </w:rPr>
      </w:pPr>
    </w:p>
    <w:p w14:paraId="0CDBE974" w14:textId="77777777" w:rsidR="00273525" w:rsidRDefault="00273525" w:rsidP="005722A0">
      <w:pPr>
        <w:pStyle w:val="Heading3"/>
        <w:rPr>
          <w:color w:val="auto"/>
        </w:rPr>
      </w:pPr>
    </w:p>
    <w:p w14:paraId="6D934EF6" w14:textId="4BD0305B" w:rsidR="0071744C" w:rsidRPr="00E223AF" w:rsidRDefault="0071744C" w:rsidP="005722A0">
      <w:pPr>
        <w:pStyle w:val="Heading3"/>
        <w:rPr>
          <w:color w:val="auto"/>
        </w:rPr>
      </w:pPr>
      <w:r w:rsidRPr="00E223AF">
        <w:rPr>
          <w:color w:val="auto"/>
        </w:rPr>
        <w:lastRenderedPageBreak/>
        <w:t xml:space="preserve">Laboratory </w:t>
      </w:r>
      <w:r w:rsidR="00D901E7" w:rsidRPr="00E223AF">
        <w:rPr>
          <w:color w:val="auto"/>
        </w:rPr>
        <w:t>a</w:t>
      </w:r>
      <w:r w:rsidRPr="00E223AF">
        <w:rPr>
          <w:color w:val="auto"/>
        </w:rPr>
        <w:t xml:space="preserve">bnormalities </w:t>
      </w:r>
    </w:p>
    <w:p w14:paraId="4749331F" w14:textId="43D2BF5D" w:rsidR="0071744C" w:rsidRPr="00E223AF" w:rsidRDefault="007668CC" w:rsidP="0071744C">
      <w:pPr>
        <w:rPr>
          <w:color w:val="auto"/>
        </w:rPr>
      </w:pPr>
      <w:r w:rsidRPr="00E223AF">
        <w:rPr>
          <w:color w:val="auto"/>
        </w:rPr>
        <w:t xml:space="preserve">Table 5 summarises the laboratory abnormalities that most commonly worsened from baseline in adult and paediatric patients treated with Rozlytrek. </w:t>
      </w:r>
    </w:p>
    <w:p w14:paraId="23A31376" w14:textId="527B357F" w:rsidR="0071744C" w:rsidRPr="00E223AF" w:rsidRDefault="0071744C" w:rsidP="0071744C">
      <w:pPr>
        <w:rPr>
          <w:color w:val="auto"/>
        </w:rPr>
      </w:pPr>
    </w:p>
    <w:p w14:paraId="6ED13C33" w14:textId="5603DA4A" w:rsidR="00B448D7" w:rsidRPr="00E223AF" w:rsidRDefault="00B448D7" w:rsidP="00273525">
      <w:pPr>
        <w:keepNext/>
        <w:keepLines/>
        <w:pBdr>
          <w:top w:val="none" w:sz="0" w:space="0" w:color="auto"/>
          <w:left w:val="none" w:sz="0" w:space="0" w:color="auto"/>
          <w:bottom w:val="none" w:sz="0" w:space="0" w:color="auto"/>
          <w:right w:val="none" w:sz="0" w:space="0" w:color="auto"/>
          <w:between w:val="none" w:sz="0" w:space="0" w:color="auto"/>
        </w:pBdr>
        <w:spacing w:before="60" w:afterLines="40" w:after="96" w:line="280" w:lineRule="exact"/>
        <w:ind w:left="142" w:hanging="17"/>
        <w:jc w:val="left"/>
        <w:rPr>
          <w:b/>
          <w:color w:val="auto"/>
          <w:lang w:val="en-US" w:eastAsia="en-US"/>
        </w:rPr>
      </w:pPr>
      <w:r w:rsidRPr="00E223AF">
        <w:rPr>
          <w:b/>
          <w:color w:val="auto"/>
          <w:lang w:val="en-US" w:eastAsia="en-US"/>
        </w:rPr>
        <w:t>Table 5: Laboratory abnormalities (≥ 20%) worsening from baseline in</w:t>
      </w:r>
      <w:r w:rsidR="005B0CEA" w:rsidRPr="00E223AF">
        <w:rPr>
          <w:b/>
          <w:color w:val="auto"/>
          <w:lang w:val="en-US" w:eastAsia="en-US"/>
        </w:rPr>
        <w:t xml:space="preserve"> p</w:t>
      </w:r>
      <w:r w:rsidRPr="00E223AF">
        <w:rPr>
          <w:b/>
          <w:color w:val="auto"/>
          <w:lang w:val="en-US" w:eastAsia="en-US"/>
        </w:rPr>
        <w:t>atients</w:t>
      </w:r>
      <w:r w:rsidR="005B0CEA" w:rsidRPr="00E223AF">
        <w:rPr>
          <w:b/>
          <w:color w:val="auto"/>
          <w:lang w:val="en-US" w:eastAsia="en-US"/>
        </w:rPr>
        <w:t xml:space="preserve"> r</w:t>
      </w:r>
      <w:r w:rsidRPr="00E223AF">
        <w:rPr>
          <w:b/>
          <w:color w:val="auto"/>
          <w:lang w:val="en-US" w:eastAsia="en-US"/>
        </w:rPr>
        <w:t>eceiving ROZLYTREK in ALKA, STARTRK-1, STARTRK-2, and STARTRK-NG</w:t>
      </w: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730"/>
        <w:gridCol w:w="2634"/>
        <w:gridCol w:w="2458"/>
      </w:tblGrid>
      <w:tr w:rsidR="00B448D7" w:rsidRPr="00E223AF" w14:paraId="4A271B8F" w14:textId="77777777" w:rsidTr="002E0681">
        <w:tc>
          <w:tcPr>
            <w:tcW w:w="4207" w:type="dxa"/>
            <w:vMerge w:val="restart"/>
            <w:vAlign w:val="center"/>
          </w:tcPr>
          <w:p w14:paraId="6BFF74A0"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left"/>
              <w:rPr>
                <w:b/>
                <w:color w:val="auto"/>
                <w:sz w:val="22"/>
                <w:szCs w:val="22"/>
                <w:lang w:val="en-US" w:eastAsia="de-DE"/>
              </w:rPr>
            </w:pPr>
            <w:r w:rsidRPr="00E223AF">
              <w:rPr>
                <w:b/>
                <w:color w:val="auto"/>
                <w:sz w:val="22"/>
                <w:szCs w:val="22"/>
                <w:lang w:val="en-US" w:eastAsia="de-DE"/>
              </w:rPr>
              <w:t>Laboratory Abnormality</w:t>
            </w:r>
          </w:p>
        </w:tc>
        <w:tc>
          <w:tcPr>
            <w:tcW w:w="6143" w:type="dxa"/>
            <w:gridSpan w:val="2"/>
          </w:tcPr>
          <w:p w14:paraId="422A00F5"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pt-BR" w:eastAsia="de-DE"/>
              </w:rPr>
            </w:pPr>
            <w:r w:rsidRPr="00E223AF">
              <w:rPr>
                <w:b/>
                <w:color w:val="auto"/>
                <w:sz w:val="22"/>
                <w:szCs w:val="22"/>
                <w:lang w:val="pt-BR" w:eastAsia="de-DE"/>
              </w:rPr>
              <w:t>ROZLYTREK</w:t>
            </w:r>
          </w:p>
          <w:p w14:paraId="607380F5"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pt-BR" w:eastAsia="de-DE"/>
              </w:rPr>
            </w:pPr>
            <w:r w:rsidRPr="00E223AF">
              <w:rPr>
                <w:b/>
                <w:color w:val="auto"/>
                <w:sz w:val="22"/>
                <w:szCs w:val="22"/>
                <w:lang w:val="pt-BR" w:eastAsia="de-DE"/>
              </w:rPr>
              <w:t>NCI CTCAE Grade</w:t>
            </w:r>
          </w:p>
        </w:tc>
      </w:tr>
      <w:tr w:rsidR="00B448D7" w:rsidRPr="00E223AF" w14:paraId="5CD844CE" w14:textId="77777777" w:rsidTr="002E0681">
        <w:tc>
          <w:tcPr>
            <w:tcW w:w="4207" w:type="dxa"/>
            <w:vMerge/>
          </w:tcPr>
          <w:p w14:paraId="59590DA5"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left"/>
              <w:rPr>
                <w:b/>
                <w:color w:val="auto"/>
                <w:sz w:val="22"/>
                <w:szCs w:val="22"/>
                <w:lang w:val="pt-BR" w:eastAsia="de-DE"/>
              </w:rPr>
            </w:pPr>
          </w:p>
        </w:tc>
        <w:tc>
          <w:tcPr>
            <w:tcW w:w="3173" w:type="dxa"/>
          </w:tcPr>
          <w:p w14:paraId="486D64D5"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de-DE"/>
              </w:rPr>
            </w:pPr>
            <w:r w:rsidRPr="00E223AF">
              <w:rPr>
                <w:b/>
                <w:color w:val="auto"/>
                <w:sz w:val="22"/>
                <w:szCs w:val="22"/>
                <w:lang w:val="en-US" w:eastAsia="de-DE"/>
              </w:rPr>
              <w:t>All Grades (%)</w:t>
            </w:r>
            <w:r w:rsidRPr="00E223AF">
              <w:rPr>
                <w:color w:val="auto"/>
                <w:sz w:val="22"/>
                <w:szCs w:val="22"/>
                <w:vertAlign w:val="superscript"/>
                <w:lang w:val="pt-BR" w:eastAsia="de-DE"/>
              </w:rPr>
              <w:t>1</w:t>
            </w:r>
          </w:p>
        </w:tc>
        <w:tc>
          <w:tcPr>
            <w:tcW w:w="2970" w:type="dxa"/>
          </w:tcPr>
          <w:p w14:paraId="27C21CD1"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de-DE"/>
              </w:rPr>
            </w:pPr>
            <w:r w:rsidRPr="00E223AF">
              <w:rPr>
                <w:b/>
                <w:color w:val="auto"/>
                <w:sz w:val="22"/>
                <w:szCs w:val="22"/>
                <w:lang w:val="en-US" w:eastAsia="de-DE"/>
              </w:rPr>
              <w:t>Grade 3 or 4 (%)</w:t>
            </w:r>
            <w:r w:rsidRPr="00E223AF">
              <w:rPr>
                <w:color w:val="auto"/>
                <w:sz w:val="22"/>
                <w:szCs w:val="22"/>
                <w:vertAlign w:val="superscript"/>
                <w:lang w:val="pt-BR" w:eastAsia="de-DE"/>
              </w:rPr>
              <w:t>1</w:t>
            </w:r>
          </w:p>
        </w:tc>
      </w:tr>
      <w:tr w:rsidR="00B448D7" w:rsidRPr="00E223AF" w14:paraId="4822836D" w14:textId="77777777" w:rsidTr="002E0681">
        <w:tc>
          <w:tcPr>
            <w:tcW w:w="10350" w:type="dxa"/>
            <w:gridSpan w:val="3"/>
          </w:tcPr>
          <w:p w14:paraId="6FD48C9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left"/>
              <w:rPr>
                <w:color w:val="auto"/>
                <w:sz w:val="22"/>
                <w:szCs w:val="22"/>
                <w:lang w:val="en-US" w:eastAsia="de-DE"/>
              </w:rPr>
            </w:pPr>
            <w:r w:rsidRPr="00E223AF">
              <w:rPr>
                <w:b/>
                <w:color w:val="auto"/>
                <w:sz w:val="22"/>
                <w:szCs w:val="22"/>
                <w:lang w:val="en-US" w:eastAsia="de-DE"/>
              </w:rPr>
              <w:t>Hematology</w:t>
            </w:r>
          </w:p>
        </w:tc>
      </w:tr>
      <w:tr w:rsidR="00B448D7" w:rsidRPr="00E223AF" w14:paraId="299AB30D" w14:textId="77777777" w:rsidTr="002E0681">
        <w:tc>
          <w:tcPr>
            <w:tcW w:w="4207" w:type="dxa"/>
          </w:tcPr>
          <w:p w14:paraId="6F18CF20" w14:textId="6BD9C8C6"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firstLine="250"/>
              <w:jc w:val="left"/>
              <w:rPr>
                <w:b/>
                <w:color w:val="auto"/>
                <w:sz w:val="22"/>
                <w:szCs w:val="22"/>
                <w:lang w:val="en-US" w:eastAsia="de-DE"/>
              </w:rPr>
            </w:pPr>
            <w:r w:rsidRPr="00E223AF">
              <w:rPr>
                <w:color w:val="auto"/>
                <w:sz w:val="22"/>
                <w:szCs w:val="22"/>
                <w:lang w:val="pt-BR" w:eastAsia="de-DE"/>
              </w:rPr>
              <w:t>Anaemia</w:t>
            </w:r>
          </w:p>
        </w:tc>
        <w:tc>
          <w:tcPr>
            <w:tcW w:w="3173" w:type="dxa"/>
          </w:tcPr>
          <w:p w14:paraId="25CEF95C"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 xml:space="preserve">67 </w:t>
            </w:r>
          </w:p>
        </w:tc>
        <w:tc>
          <w:tcPr>
            <w:tcW w:w="2970" w:type="dxa"/>
          </w:tcPr>
          <w:p w14:paraId="1041064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9</w:t>
            </w:r>
          </w:p>
        </w:tc>
      </w:tr>
      <w:tr w:rsidR="00B448D7" w:rsidRPr="00E223AF" w14:paraId="581BE57C" w14:textId="77777777" w:rsidTr="002E0681">
        <w:tc>
          <w:tcPr>
            <w:tcW w:w="4207" w:type="dxa"/>
          </w:tcPr>
          <w:p w14:paraId="2ED3CAB9"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firstLine="250"/>
              <w:jc w:val="left"/>
              <w:rPr>
                <w:b/>
                <w:color w:val="auto"/>
                <w:sz w:val="22"/>
                <w:szCs w:val="22"/>
                <w:lang w:val="en-US" w:eastAsia="de-DE"/>
              </w:rPr>
            </w:pPr>
            <w:r w:rsidRPr="00E223AF">
              <w:rPr>
                <w:color w:val="auto"/>
                <w:sz w:val="22"/>
                <w:szCs w:val="22"/>
                <w:lang w:val="pt-BR" w:eastAsia="de-DE"/>
              </w:rPr>
              <w:t>Lymphopenia</w:t>
            </w:r>
          </w:p>
        </w:tc>
        <w:tc>
          <w:tcPr>
            <w:tcW w:w="3173" w:type="dxa"/>
          </w:tcPr>
          <w:p w14:paraId="0E14DC40"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40</w:t>
            </w:r>
          </w:p>
        </w:tc>
        <w:tc>
          <w:tcPr>
            <w:tcW w:w="2970" w:type="dxa"/>
          </w:tcPr>
          <w:p w14:paraId="515229D6"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12</w:t>
            </w:r>
          </w:p>
        </w:tc>
      </w:tr>
      <w:tr w:rsidR="00B448D7" w:rsidRPr="00E223AF" w14:paraId="4E60434B" w14:textId="77777777" w:rsidTr="002E0681">
        <w:tc>
          <w:tcPr>
            <w:tcW w:w="4207" w:type="dxa"/>
          </w:tcPr>
          <w:p w14:paraId="413FB1B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firstLine="250"/>
              <w:jc w:val="left"/>
              <w:rPr>
                <w:b/>
                <w:color w:val="auto"/>
                <w:sz w:val="22"/>
                <w:szCs w:val="22"/>
                <w:lang w:val="en-US" w:eastAsia="de-DE"/>
              </w:rPr>
            </w:pPr>
            <w:r w:rsidRPr="00E223AF">
              <w:rPr>
                <w:color w:val="auto"/>
                <w:sz w:val="22"/>
                <w:szCs w:val="22"/>
                <w:lang w:val="pt-BR" w:eastAsia="de-DE"/>
              </w:rPr>
              <w:t>Neutropenia</w:t>
            </w:r>
          </w:p>
        </w:tc>
        <w:tc>
          <w:tcPr>
            <w:tcW w:w="3173" w:type="dxa"/>
          </w:tcPr>
          <w:p w14:paraId="4391BA5B"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 xml:space="preserve">28 </w:t>
            </w:r>
          </w:p>
        </w:tc>
        <w:tc>
          <w:tcPr>
            <w:tcW w:w="2970" w:type="dxa"/>
          </w:tcPr>
          <w:p w14:paraId="48A71F15"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7</w:t>
            </w:r>
          </w:p>
        </w:tc>
      </w:tr>
      <w:tr w:rsidR="00B448D7" w:rsidRPr="00E223AF" w14:paraId="1D09E1E4" w14:textId="77777777" w:rsidTr="002E0681">
        <w:tc>
          <w:tcPr>
            <w:tcW w:w="10350" w:type="dxa"/>
            <w:gridSpan w:val="3"/>
          </w:tcPr>
          <w:p w14:paraId="5E0265D7"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left"/>
              <w:rPr>
                <w:color w:val="auto"/>
                <w:sz w:val="22"/>
                <w:szCs w:val="22"/>
                <w:lang w:val="en-US" w:eastAsia="de-DE"/>
              </w:rPr>
            </w:pPr>
            <w:r w:rsidRPr="00E223AF">
              <w:rPr>
                <w:b/>
                <w:color w:val="auto"/>
                <w:sz w:val="22"/>
                <w:szCs w:val="22"/>
                <w:lang w:val="en-US" w:eastAsia="de-DE"/>
              </w:rPr>
              <w:t>Chemistry</w:t>
            </w:r>
          </w:p>
        </w:tc>
      </w:tr>
      <w:tr w:rsidR="00B448D7" w:rsidRPr="00E223AF" w14:paraId="7B7747BC" w14:textId="77777777" w:rsidTr="002E0681">
        <w:tc>
          <w:tcPr>
            <w:tcW w:w="4207" w:type="dxa"/>
          </w:tcPr>
          <w:p w14:paraId="1F2BBA2D"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Increased creatinine</w:t>
            </w:r>
            <w:r w:rsidRPr="00E223AF">
              <w:rPr>
                <w:color w:val="auto"/>
                <w:sz w:val="22"/>
                <w:szCs w:val="22"/>
                <w:vertAlign w:val="superscript"/>
                <w:lang w:val="pt-BR" w:eastAsia="de-DE"/>
              </w:rPr>
              <w:t>2</w:t>
            </w:r>
          </w:p>
        </w:tc>
        <w:tc>
          <w:tcPr>
            <w:tcW w:w="3173" w:type="dxa"/>
          </w:tcPr>
          <w:p w14:paraId="6B921BB9" w14:textId="77777777" w:rsidR="00B448D7" w:rsidRPr="00E223AF" w:rsidDel="005C1CE9"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73</w:t>
            </w:r>
          </w:p>
        </w:tc>
        <w:tc>
          <w:tcPr>
            <w:tcW w:w="2970" w:type="dxa"/>
          </w:tcPr>
          <w:p w14:paraId="5F3E7E11"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2.1</w:t>
            </w:r>
          </w:p>
        </w:tc>
      </w:tr>
      <w:tr w:rsidR="00B448D7" w:rsidRPr="00E223AF" w14:paraId="564C207E" w14:textId="77777777" w:rsidTr="002E0681">
        <w:tc>
          <w:tcPr>
            <w:tcW w:w="4207" w:type="dxa"/>
          </w:tcPr>
          <w:p w14:paraId="2A07F747"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Hyperuricemia</w:t>
            </w:r>
          </w:p>
        </w:tc>
        <w:tc>
          <w:tcPr>
            <w:tcW w:w="3173" w:type="dxa"/>
          </w:tcPr>
          <w:p w14:paraId="0EA61B90"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52</w:t>
            </w:r>
          </w:p>
        </w:tc>
        <w:tc>
          <w:tcPr>
            <w:tcW w:w="2970" w:type="dxa"/>
          </w:tcPr>
          <w:p w14:paraId="157C22B4"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10</w:t>
            </w:r>
          </w:p>
        </w:tc>
      </w:tr>
      <w:tr w:rsidR="00B448D7" w:rsidRPr="00E223AF" w14:paraId="20C8F424" w14:textId="77777777" w:rsidTr="002E0681">
        <w:tc>
          <w:tcPr>
            <w:tcW w:w="4207" w:type="dxa"/>
          </w:tcPr>
          <w:p w14:paraId="41875817"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Increased AST</w:t>
            </w:r>
          </w:p>
        </w:tc>
        <w:tc>
          <w:tcPr>
            <w:tcW w:w="3173" w:type="dxa"/>
          </w:tcPr>
          <w:p w14:paraId="004B4DCA" w14:textId="77777777" w:rsidR="00B448D7" w:rsidRPr="00E223AF" w:rsidDel="005C1CE9"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44</w:t>
            </w:r>
          </w:p>
        </w:tc>
        <w:tc>
          <w:tcPr>
            <w:tcW w:w="2970" w:type="dxa"/>
          </w:tcPr>
          <w:p w14:paraId="63F3F34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2.7</w:t>
            </w:r>
          </w:p>
        </w:tc>
      </w:tr>
      <w:tr w:rsidR="00B448D7" w:rsidRPr="00E223AF" w14:paraId="242B8BD5" w14:textId="77777777" w:rsidTr="002E0681">
        <w:tc>
          <w:tcPr>
            <w:tcW w:w="4207" w:type="dxa"/>
          </w:tcPr>
          <w:p w14:paraId="584AC8EA"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Increased ALT</w:t>
            </w:r>
          </w:p>
        </w:tc>
        <w:tc>
          <w:tcPr>
            <w:tcW w:w="3173" w:type="dxa"/>
          </w:tcPr>
          <w:p w14:paraId="480AAFEB"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38</w:t>
            </w:r>
          </w:p>
        </w:tc>
        <w:tc>
          <w:tcPr>
            <w:tcW w:w="2970" w:type="dxa"/>
          </w:tcPr>
          <w:p w14:paraId="5D0BAE53"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2.9</w:t>
            </w:r>
          </w:p>
        </w:tc>
      </w:tr>
      <w:tr w:rsidR="00B448D7" w:rsidRPr="00E223AF" w14:paraId="0E5BEB5F" w14:textId="77777777" w:rsidTr="002E0681">
        <w:tc>
          <w:tcPr>
            <w:tcW w:w="4207" w:type="dxa"/>
          </w:tcPr>
          <w:p w14:paraId="35A03083"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Hypernatremia</w:t>
            </w:r>
          </w:p>
        </w:tc>
        <w:tc>
          <w:tcPr>
            <w:tcW w:w="3173" w:type="dxa"/>
          </w:tcPr>
          <w:p w14:paraId="5D71EC07"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35</w:t>
            </w:r>
          </w:p>
        </w:tc>
        <w:tc>
          <w:tcPr>
            <w:tcW w:w="2970" w:type="dxa"/>
          </w:tcPr>
          <w:p w14:paraId="7678AB9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0.9</w:t>
            </w:r>
          </w:p>
        </w:tc>
      </w:tr>
      <w:tr w:rsidR="00B448D7" w:rsidRPr="00E223AF" w14:paraId="2F54B76D" w14:textId="77777777" w:rsidTr="002E0681">
        <w:tc>
          <w:tcPr>
            <w:tcW w:w="4207" w:type="dxa"/>
          </w:tcPr>
          <w:p w14:paraId="77614671"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Hypocalcemia</w:t>
            </w:r>
          </w:p>
        </w:tc>
        <w:tc>
          <w:tcPr>
            <w:tcW w:w="3173" w:type="dxa"/>
          </w:tcPr>
          <w:p w14:paraId="69D86053"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34</w:t>
            </w:r>
          </w:p>
        </w:tc>
        <w:tc>
          <w:tcPr>
            <w:tcW w:w="2970" w:type="dxa"/>
          </w:tcPr>
          <w:p w14:paraId="2CF432FC"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1.8</w:t>
            </w:r>
          </w:p>
        </w:tc>
      </w:tr>
      <w:tr w:rsidR="00B448D7" w:rsidRPr="00E223AF" w14:paraId="42D0B9ED" w14:textId="77777777" w:rsidTr="002E0681">
        <w:tc>
          <w:tcPr>
            <w:tcW w:w="4207" w:type="dxa"/>
          </w:tcPr>
          <w:p w14:paraId="600DAE2E"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Hypophosphatemia</w:t>
            </w:r>
          </w:p>
        </w:tc>
        <w:tc>
          <w:tcPr>
            <w:tcW w:w="3173" w:type="dxa"/>
          </w:tcPr>
          <w:p w14:paraId="07E015E6"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30</w:t>
            </w:r>
          </w:p>
        </w:tc>
        <w:tc>
          <w:tcPr>
            <w:tcW w:w="2970" w:type="dxa"/>
          </w:tcPr>
          <w:p w14:paraId="3AB4BD5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7</w:t>
            </w:r>
          </w:p>
        </w:tc>
      </w:tr>
      <w:tr w:rsidR="00B448D7" w:rsidRPr="00E223AF" w14:paraId="43B77EC0" w14:textId="77777777" w:rsidTr="002E0681">
        <w:tc>
          <w:tcPr>
            <w:tcW w:w="4207" w:type="dxa"/>
          </w:tcPr>
          <w:p w14:paraId="5C799495"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 xml:space="preserve">Increased lipase </w:t>
            </w:r>
          </w:p>
        </w:tc>
        <w:tc>
          <w:tcPr>
            <w:tcW w:w="3173" w:type="dxa"/>
          </w:tcPr>
          <w:p w14:paraId="3F461004"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28</w:t>
            </w:r>
          </w:p>
        </w:tc>
        <w:tc>
          <w:tcPr>
            <w:tcW w:w="2970" w:type="dxa"/>
          </w:tcPr>
          <w:p w14:paraId="7DE134E7"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10</w:t>
            </w:r>
          </w:p>
        </w:tc>
      </w:tr>
      <w:tr w:rsidR="00B448D7" w:rsidRPr="00E223AF" w14:paraId="5638878C" w14:textId="77777777" w:rsidTr="002E0681">
        <w:tc>
          <w:tcPr>
            <w:tcW w:w="4207" w:type="dxa"/>
          </w:tcPr>
          <w:p w14:paraId="718656E6"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Hypoalbuminemia</w:t>
            </w:r>
          </w:p>
        </w:tc>
        <w:tc>
          <w:tcPr>
            <w:tcW w:w="3173" w:type="dxa"/>
          </w:tcPr>
          <w:p w14:paraId="49C0BCE0" w14:textId="77777777" w:rsidR="00B448D7" w:rsidRPr="00E223AF" w:rsidDel="005C1CE9"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28</w:t>
            </w:r>
          </w:p>
        </w:tc>
        <w:tc>
          <w:tcPr>
            <w:tcW w:w="2970" w:type="dxa"/>
          </w:tcPr>
          <w:p w14:paraId="021AB904" w14:textId="77777777" w:rsidR="00B448D7" w:rsidRPr="00E223AF" w:rsidDel="005C1CE9"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2.9</w:t>
            </w:r>
          </w:p>
        </w:tc>
      </w:tr>
      <w:tr w:rsidR="00B448D7" w:rsidRPr="00E223AF" w14:paraId="750D391C" w14:textId="77777777" w:rsidTr="002E0681">
        <w:tc>
          <w:tcPr>
            <w:tcW w:w="4207" w:type="dxa"/>
          </w:tcPr>
          <w:p w14:paraId="51B4EF6F"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 xml:space="preserve">Increased amylase </w:t>
            </w:r>
          </w:p>
        </w:tc>
        <w:tc>
          <w:tcPr>
            <w:tcW w:w="3173" w:type="dxa"/>
          </w:tcPr>
          <w:p w14:paraId="2552638C" w14:textId="77777777" w:rsidR="00B448D7" w:rsidRPr="00E223AF" w:rsidDel="002C2591"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26</w:t>
            </w:r>
          </w:p>
        </w:tc>
        <w:tc>
          <w:tcPr>
            <w:tcW w:w="2970" w:type="dxa"/>
          </w:tcPr>
          <w:p w14:paraId="64C1ACC0"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5.4</w:t>
            </w:r>
          </w:p>
        </w:tc>
      </w:tr>
      <w:tr w:rsidR="00B448D7" w:rsidRPr="00E223AF" w14:paraId="100D0D5D" w14:textId="77777777" w:rsidTr="002E0681">
        <w:tc>
          <w:tcPr>
            <w:tcW w:w="4207" w:type="dxa"/>
            <w:tcBorders>
              <w:bottom w:val="single" w:sz="2" w:space="0" w:color="auto"/>
            </w:tcBorders>
          </w:tcPr>
          <w:p w14:paraId="1754CE93"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Hyperkalemia</w:t>
            </w:r>
          </w:p>
        </w:tc>
        <w:tc>
          <w:tcPr>
            <w:tcW w:w="3173" w:type="dxa"/>
            <w:tcBorders>
              <w:bottom w:val="single" w:sz="2" w:space="0" w:color="auto"/>
            </w:tcBorders>
          </w:tcPr>
          <w:p w14:paraId="2B85AA5B" w14:textId="77777777" w:rsidR="00B448D7" w:rsidRPr="00E223AF" w:rsidDel="002C2591"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25</w:t>
            </w:r>
          </w:p>
        </w:tc>
        <w:tc>
          <w:tcPr>
            <w:tcW w:w="2970" w:type="dxa"/>
            <w:tcBorders>
              <w:bottom w:val="single" w:sz="2" w:space="0" w:color="auto"/>
            </w:tcBorders>
          </w:tcPr>
          <w:p w14:paraId="41E52D71"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1.5</w:t>
            </w:r>
          </w:p>
        </w:tc>
      </w:tr>
      <w:tr w:rsidR="00B448D7" w:rsidRPr="00E223AF" w14:paraId="7A0932BB" w14:textId="77777777" w:rsidTr="002E0681">
        <w:tc>
          <w:tcPr>
            <w:tcW w:w="4207" w:type="dxa"/>
          </w:tcPr>
          <w:p w14:paraId="5FC65CEF"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Increased alkaline phosphatase</w:t>
            </w:r>
          </w:p>
        </w:tc>
        <w:tc>
          <w:tcPr>
            <w:tcW w:w="3173" w:type="dxa"/>
          </w:tcPr>
          <w:p w14:paraId="57E826D9"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25</w:t>
            </w:r>
          </w:p>
        </w:tc>
        <w:tc>
          <w:tcPr>
            <w:tcW w:w="2970" w:type="dxa"/>
          </w:tcPr>
          <w:p w14:paraId="00272D80"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0.9</w:t>
            </w:r>
          </w:p>
        </w:tc>
      </w:tr>
      <w:tr w:rsidR="00B448D7" w:rsidRPr="00E223AF" w14:paraId="208AEB5F" w14:textId="77777777" w:rsidTr="002E0681">
        <w:tc>
          <w:tcPr>
            <w:tcW w:w="4207" w:type="dxa"/>
            <w:tcBorders>
              <w:bottom w:val="single" w:sz="2" w:space="0" w:color="auto"/>
            </w:tcBorders>
          </w:tcPr>
          <w:p w14:paraId="4DEC28B8"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ind w:left="270"/>
              <w:jc w:val="left"/>
              <w:rPr>
                <w:color w:val="auto"/>
                <w:sz w:val="22"/>
                <w:szCs w:val="22"/>
                <w:lang w:val="pt-BR" w:eastAsia="de-DE"/>
              </w:rPr>
            </w:pPr>
            <w:r w:rsidRPr="00E223AF">
              <w:rPr>
                <w:color w:val="auto"/>
                <w:sz w:val="22"/>
                <w:szCs w:val="22"/>
                <w:lang w:val="pt-BR" w:eastAsia="de-DE"/>
              </w:rPr>
              <w:t>Hyperglycemia</w:t>
            </w:r>
            <w:r w:rsidRPr="00E223AF">
              <w:rPr>
                <w:color w:val="auto"/>
                <w:sz w:val="22"/>
                <w:szCs w:val="22"/>
                <w:vertAlign w:val="superscript"/>
                <w:lang w:val="pt-BR" w:eastAsia="de-DE"/>
              </w:rPr>
              <w:t>3</w:t>
            </w:r>
          </w:p>
        </w:tc>
        <w:tc>
          <w:tcPr>
            <w:tcW w:w="3173" w:type="dxa"/>
            <w:tcBorders>
              <w:bottom w:val="single" w:sz="2" w:space="0" w:color="auto"/>
            </w:tcBorders>
          </w:tcPr>
          <w:p w14:paraId="77E2FB93"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NE</w:t>
            </w:r>
            <w:r w:rsidRPr="00E223AF">
              <w:rPr>
                <w:color w:val="auto"/>
                <w:sz w:val="22"/>
                <w:szCs w:val="22"/>
                <w:vertAlign w:val="superscript"/>
                <w:lang w:val="pt-BR" w:eastAsia="de-DE"/>
              </w:rPr>
              <w:t>3</w:t>
            </w:r>
          </w:p>
        </w:tc>
        <w:tc>
          <w:tcPr>
            <w:tcW w:w="2970" w:type="dxa"/>
            <w:tcBorders>
              <w:bottom w:val="single" w:sz="2" w:space="0" w:color="auto"/>
            </w:tcBorders>
          </w:tcPr>
          <w:p w14:paraId="59DA2359" w14:textId="77777777" w:rsidR="00B448D7" w:rsidRPr="00E223AF" w:rsidRDefault="00B448D7" w:rsidP="00B448D7">
            <w:pPr>
              <w:keepNext/>
              <w:keepLines/>
              <w:pBdr>
                <w:top w:val="none" w:sz="0" w:space="0" w:color="auto"/>
                <w:left w:val="none" w:sz="0" w:space="0" w:color="auto"/>
                <w:bottom w:val="none" w:sz="0" w:space="0" w:color="auto"/>
                <w:right w:val="none" w:sz="0" w:space="0" w:color="auto"/>
                <w:between w:val="none" w:sz="0" w:space="0" w:color="auto"/>
              </w:pBdr>
              <w:jc w:val="center"/>
              <w:rPr>
                <w:color w:val="auto"/>
                <w:sz w:val="22"/>
                <w:szCs w:val="22"/>
                <w:lang w:val="en-US" w:eastAsia="de-DE"/>
              </w:rPr>
            </w:pPr>
            <w:r w:rsidRPr="00E223AF">
              <w:rPr>
                <w:color w:val="auto"/>
                <w:sz w:val="22"/>
                <w:szCs w:val="22"/>
                <w:lang w:val="en-US" w:eastAsia="de-DE"/>
              </w:rPr>
              <w:t>3.8</w:t>
            </w:r>
          </w:p>
        </w:tc>
      </w:tr>
      <w:tr w:rsidR="00B448D7" w:rsidRPr="00E223AF" w14:paraId="21FEEB80" w14:textId="77777777" w:rsidTr="002E0681">
        <w:trPr>
          <w:trHeight w:val="233"/>
        </w:trPr>
        <w:tc>
          <w:tcPr>
            <w:tcW w:w="10350" w:type="dxa"/>
            <w:gridSpan w:val="3"/>
            <w:tcBorders>
              <w:top w:val="single" w:sz="2" w:space="0" w:color="auto"/>
              <w:left w:val="nil"/>
              <w:bottom w:val="nil"/>
              <w:right w:val="nil"/>
            </w:tcBorders>
          </w:tcPr>
          <w:p w14:paraId="0C744D6B" w14:textId="77777777" w:rsidR="00B448D7" w:rsidRPr="00E223AF" w:rsidRDefault="00B448D7" w:rsidP="00B448D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color w:val="auto"/>
                <w:sz w:val="20"/>
                <w:szCs w:val="18"/>
                <w:lang w:val="en-US" w:eastAsia="en-US"/>
              </w:rPr>
            </w:pPr>
            <w:r w:rsidRPr="00E223AF">
              <w:rPr>
                <w:color w:val="auto"/>
                <w:sz w:val="20"/>
                <w:szCs w:val="18"/>
                <w:lang w:val="en-US" w:eastAsia="en-US"/>
              </w:rPr>
              <w:t>AST: Aspartate Aminotransferase; ALT: Alanine Aminotransferase</w:t>
            </w:r>
          </w:p>
          <w:p w14:paraId="64CAB44C" w14:textId="77777777" w:rsidR="00B448D7" w:rsidRPr="00E223AF" w:rsidRDefault="00B448D7" w:rsidP="00B448D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color w:val="auto"/>
                <w:sz w:val="20"/>
                <w:szCs w:val="20"/>
                <w:lang w:val="en-US" w:eastAsia="en-US"/>
              </w:rPr>
            </w:pPr>
            <w:r w:rsidRPr="00E223AF">
              <w:rPr>
                <w:color w:val="auto"/>
                <w:sz w:val="20"/>
                <w:szCs w:val="18"/>
                <w:vertAlign w:val="superscript"/>
                <w:lang w:val="en-US" w:eastAsia="en-US"/>
              </w:rPr>
              <w:t xml:space="preserve">1 </w:t>
            </w:r>
            <w:r w:rsidRPr="00E223AF">
              <w:rPr>
                <w:color w:val="auto"/>
                <w:sz w:val="20"/>
                <w:szCs w:val="18"/>
                <w:lang w:val="en-US" w:eastAsia="en-US"/>
              </w:rPr>
              <w:t>Denominator for each laboratory parameter is based on the number of patients with a baseline and post-treatment laboratory value available which ranged from 111 to 346 patients</w:t>
            </w:r>
            <w:r w:rsidRPr="00E223AF">
              <w:rPr>
                <w:color w:val="auto"/>
                <w:sz w:val="20"/>
                <w:szCs w:val="20"/>
                <w:lang w:val="en-US" w:eastAsia="en-US"/>
              </w:rPr>
              <w:t xml:space="preserve">. </w:t>
            </w:r>
          </w:p>
          <w:p w14:paraId="4F73AAD0" w14:textId="77777777" w:rsidR="00B448D7" w:rsidRPr="00E223AF" w:rsidRDefault="00B448D7" w:rsidP="00B448D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color w:val="auto"/>
                <w:sz w:val="20"/>
                <w:szCs w:val="18"/>
                <w:lang w:val="en-US" w:eastAsia="en-US"/>
              </w:rPr>
            </w:pPr>
            <w:r w:rsidRPr="00E223AF">
              <w:rPr>
                <w:color w:val="auto"/>
                <w:sz w:val="20"/>
                <w:szCs w:val="18"/>
                <w:vertAlign w:val="superscript"/>
                <w:lang w:val="en-US" w:eastAsia="en-US"/>
              </w:rPr>
              <w:t xml:space="preserve">2 </w:t>
            </w:r>
            <w:r w:rsidRPr="00E223AF">
              <w:rPr>
                <w:color w:val="auto"/>
                <w:sz w:val="20"/>
                <w:szCs w:val="18"/>
                <w:lang w:val="en-US" w:eastAsia="en-US"/>
              </w:rPr>
              <w:t>Based on NCI CTCAE v5.0</w:t>
            </w:r>
          </w:p>
          <w:p w14:paraId="236CDA49" w14:textId="77777777" w:rsidR="00B448D7" w:rsidRPr="00E223AF" w:rsidRDefault="00B448D7" w:rsidP="00B448D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color w:val="auto"/>
                <w:sz w:val="22"/>
                <w:szCs w:val="18"/>
                <w:vertAlign w:val="superscript"/>
                <w:lang w:val="en-US" w:eastAsia="en-US"/>
              </w:rPr>
            </w:pPr>
            <w:r w:rsidRPr="00E223AF">
              <w:rPr>
                <w:color w:val="auto"/>
                <w:sz w:val="20"/>
                <w:szCs w:val="18"/>
                <w:vertAlign w:val="superscript"/>
                <w:lang w:val="en-US" w:eastAsia="en-US"/>
              </w:rPr>
              <w:t xml:space="preserve">3 </w:t>
            </w:r>
            <w:r w:rsidRPr="00E223AF">
              <w:rPr>
                <w:color w:val="auto"/>
                <w:sz w:val="20"/>
                <w:szCs w:val="18"/>
                <w:lang w:val="en-US" w:eastAsia="en-US"/>
              </w:rPr>
              <w:t>NE = Not evaluable. Grade 1 and 2 could not be determined per NCI CTCAE v5.0, as fasting glucose values were not collected.</w:t>
            </w:r>
          </w:p>
        </w:tc>
      </w:tr>
    </w:tbl>
    <w:p w14:paraId="5C98894E" w14:textId="77777777" w:rsidR="00B448D7" w:rsidRPr="00E223AF" w:rsidRDefault="00B448D7" w:rsidP="005722A0">
      <w:pPr>
        <w:rPr>
          <w:b/>
          <w:color w:val="auto"/>
        </w:rPr>
      </w:pPr>
    </w:p>
    <w:p w14:paraId="3F821C79" w14:textId="77777777" w:rsidR="006F052E" w:rsidRPr="00E223AF" w:rsidRDefault="006F052E" w:rsidP="00CC6729">
      <w:pPr>
        <w:pStyle w:val="Heading3"/>
        <w:rPr>
          <w:color w:val="auto"/>
        </w:rPr>
      </w:pPr>
      <w:r w:rsidRPr="00E223AF">
        <w:rPr>
          <w:color w:val="auto"/>
        </w:rPr>
        <w:t>Reporting of suspected adverse reactions</w:t>
      </w:r>
    </w:p>
    <w:p w14:paraId="7D8B1AAE" w14:textId="126E6D69" w:rsidR="00E21CCD" w:rsidRPr="00E223AF" w:rsidRDefault="00E21CCD">
      <w:pPr>
        <w:rPr>
          <w:color w:val="auto"/>
        </w:rPr>
      </w:pPr>
      <w:r w:rsidRPr="00E223AF">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 at </w:t>
      </w:r>
      <w:r w:rsidR="00B1134D" w:rsidRPr="00E223AF">
        <w:rPr>
          <w:rStyle w:val="Hyperlink"/>
          <w:color w:val="auto"/>
        </w:rPr>
        <w:t>www.tga.gov.au/reporting-problems</w:t>
      </w:r>
      <w:r w:rsidR="00B1134D" w:rsidRPr="00E223AF">
        <w:rPr>
          <w:color w:val="auto"/>
        </w:rPr>
        <w:t>.</w:t>
      </w:r>
    </w:p>
    <w:p w14:paraId="5C8B8569" w14:textId="77777777" w:rsidR="009F4C5B" w:rsidRPr="00E223AF" w:rsidRDefault="009F4C5B">
      <w:pPr>
        <w:rPr>
          <w:color w:val="auto"/>
        </w:rPr>
      </w:pPr>
    </w:p>
    <w:p w14:paraId="6F8A0541" w14:textId="77777777" w:rsidR="00D52399" w:rsidRPr="00E223AF" w:rsidRDefault="00902EBE" w:rsidP="009F4C5B">
      <w:pPr>
        <w:pStyle w:val="Heading2"/>
        <w:spacing w:before="0"/>
        <w:rPr>
          <w:color w:val="auto"/>
        </w:rPr>
      </w:pPr>
      <w:r w:rsidRPr="00E223AF">
        <w:rPr>
          <w:color w:val="auto"/>
        </w:rPr>
        <w:t>4.9</w:t>
      </w:r>
      <w:r w:rsidRPr="00E223AF">
        <w:rPr>
          <w:color w:val="auto"/>
        </w:rPr>
        <w:tab/>
        <w:t xml:space="preserve">OVERDOSE </w:t>
      </w:r>
    </w:p>
    <w:p w14:paraId="0130CF8E" w14:textId="79F2EEEA" w:rsidR="00417605" w:rsidRPr="00E223AF" w:rsidRDefault="00417605" w:rsidP="00417605">
      <w:pPr>
        <w:spacing w:after="240"/>
        <w:rPr>
          <w:color w:val="auto"/>
        </w:rPr>
      </w:pPr>
      <w:r w:rsidRPr="00E223AF">
        <w:rPr>
          <w:color w:val="auto"/>
        </w:rPr>
        <w:t xml:space="preserve">There is no experience with overdose in clinical trials with </w:t>
      </w:r>
      <w:r w:rsidR="00AC22FD" w:rsidRPr="00E223AF">
        <w:rPr>
          <w:color w:val="auto"/>
        </w:rPr>
        <w:t>Rozlytrek</w:t>
      </w:r>
      <w:r w:rsidRPr="00E223AF">
        <w:rPr>
          <w:color w:val="auto"/>
        </w:rPr>
        <w:t xml:space="preserve">. Patients who experience overdose should be closely supervised and supportive care instituted. There are no known antidotes for </w:t>
      </w:r>
      <w:r w:rsidR="00AC22FD" w:rsidRPr="00E223AF">
        <w:rPr>
          <w:color w:val="auto"/>
        </w:rPr>
        <w:t>Rozlytrek</w:t>
      </w:r>
      <w:r w:rsidRPr="00E223AF">
        <w:rPr>
          <w:color w:val="auto"/>
        </w:rPr>
        <w:t>.</w:t>
      </w:r>
    </w:p>
    <w:p w14:paraId="1CF86EF9" w14:textId="674161D0" w:rsidR="00273525" w:rsidRDefault="008903F2" w:rsidP="00B1498F">
      <w:pPr>
        <w:spacing w:after="240"/>
        <w:rPr>
          <w:color w:val="auto"/>
        </w:rPr>
      </w:pPr>
      <w:r w:rsidRPr="00E223AF">
        <w:rPr>
          <w:color w:val="auto"/>
        </w:rPr>
        <w:t>For information on the management of overdose, contact the Poisons Information Centre on 13 11 26 (Australia).</w:t>
      </w:r>
      <w:r w:rsidR="00BA0878" w:rsidRPr="00E223AF">
        <w:rPr>
          <w:color w:val="auto"/>
        </w:rPr>
        <w:t xml:space="preserve"> </w:t>
      </w:r>
    </w:p>
    <w:p w14:paraId="52525C40" w14:textId="77777777" w:rsidR="00273525" w:rsidRDefault="00273525">
      <w:pPr>
        <w:jc w:val="left"/>
        <w:rPr>
          <w:color w:val="auto"/>
        </w:rPr>
      </w:pPr>
      <w:r>
        <w:rPr>
          <w:color w:val="auto"/>
        </w:rPr>
        <w:br w:type="page"/>
      </w:r>
    </w:p>
    <w:p w14:paraId="60E25E1D" w14:textId="77777777" w:rsidR="008903F2" w:rsidRPr="00E223AF" w:rsidRDefault="008903F2" w:rsidP="00B1498F">
      <w:pPr>
        <w:spacing w:after="240"/>
        <w:rPr>
          <w:color w:val="auto"/>
        </w:rPr>
      </w:pPr>
    </w:p>
    <w:p w14:paraId="01C610B7" w14:textId="77777777" w:rsidR="00D52399" w:rsidRPr="00E223AF" w:rsidRDefault="00615052" w:rsidP="0087549F">
      <w:pPr>
        <w:pStyle w:val="Heading1"/>
        <w:numPr>
          <w:ilvl w:val="0"/>
          <w:numId w:val="2"/>
        </w:numPr>
        <w:spacing w:before="0"/>
        <w:rPr>
          <w:color w:val="auto"/>
        </w:rPr>
      </w:pPr>
      <w:r w:rsidRPr="00E223AF">
        <w:rPr>
          <w:color w:val="auto"/>
        </w:rPr>
        <w:t>PHARMACOLOGICAL PROPERTIES</w:t>
      </w:r>
    </w:p>
    <w:p w14:paraId="473B3882" w14:textId="77777777" w:rsidR="00833273" w:rsidRPr="00E223AF" w:rsidRDefault="00833273" w:rsidP="006770B0"/>
    <w:p w14:paraId="267BF02F" w14:textId="006BEBA1" w:rsidR="00D52399" w:rsidRPr="00E223AF" w:rsidRDefault="00CC6729" w:rsidP="0087549F">
      <w:pPr>
        <w:pStyle w:val="Heading2"/>
        <w:spacing w:before="0"/>
        <w:rPr>
          <w:color w:val="auto"/>
        </w:rPr>
      </w:pPr>
      <w:r w:rsidRPr="00E223AF">
        <w:rPr>
          <w:color w:val="auto"/>
        </w:rPr>
        <w:t xml:space="preserve">5.1 </w:t>
      </w:r>
      <w:r w:rsidRPr="00E223AF">
        <w:rPr>
          <w:color w:val="auto"/>
        </w:rPr>
        <w:tab/>
      </w:r>
      <w:r w:rsidR="00902EBE" w:rsidRPr="00E223AF">
        <w:rPr>
          <w:color w:val="auto"/>
        </w:rPr>
        <w:t>PHARMACODYNAMIC PROPERTIES</w:t>
      </w:r>
    </w:p>
    <w:p w14:paraId="7BB9FB49" w14:textId="49650DA6" w:rsidR="00D52399" w:rsidRPr="00E223AF" w:rsidRDefault="00615052">
      <w:pPr>
        <w:rPr>
          <w:color w:val="auto"/>
          <w:sz w:val="28"/>
        </w:rPr>
      </w:pPr>
      <w:proofErr w:type="spellStart"/>
      <w:r w:rsidRPr="00E223AF">
        <w:rPr>
          <w:color w:val="auto"/>
          <w:szCs w:val="22"/>
        </w:rPr>
        <w:t>Pharmacotherapeutic</w:t>
      </w:r>
      <w:proofErr w:type="spellEnd"/>
      <w:r w:rsidRPr="00E223AF">
        <w:rPr>
          <w:color w:val="auto"/>
          <w:szCs w:val="22"/>
        </w:rPr>
        <w:t xml:space="preserve"> group: </w:t>
      </w:r>
      <w:r w:rsidR="00417605" w:rsidRPr="00E223AF">
        <w:rPr>
          <w:color w:val="auto"/>
          <w:szCs w:val="22"/>
        </w:rPr>
        <w:t>Antineoplastic agent, tyrosine kinase inhibitor</w:t>
      </w:r>
      <w:r w:rsidRPr="00E223AF">
        <w:rPr>
          <w:color w:val="auto"/>
          <w:szCs w:val="22"/>
        </w:rPr>
        <w:t xml:space="preserve">, ATC code: </w:t>
      </w:r>
      <w:r w:rsidR="00417605" w:rsidRPr="00E223AF">
        <w:rPr>
          <w:color w:val="auto"/>
          <w:szCs w:val="22"/>
        </w:rPr>
        <w:t>Not yet assigned.</w:t>
      </w:r>
    </w:p>
    <w:p w14:paraId="28EA29EA" w14:textId="77777777" w:rsidR="00D52399" w:rsidRPr="00E223AF" w:rsidRDefault="00615052">
      <w:pPr>
        <w:pStyle w:val="Heading3"/>
        <w:rPr>
          <w:color w:val="auto"/>
        </w:rPr>
      </w:pPr>
      <w:r w:rsidRPr="00E223AF">
        <w:rPr>
          <w:color w:val="auto"/>
        </w:rPr>
        <w:t>Mechanism of Action</w:t>
      </w:r>
    </w:p>
    <w:p w14:paraId="2D6BB3D1" w14:textId="4B866FBB" w:rsidR="00417605" w:rsidRPr="00E223AF" w:rsidRDefault="00417605" w:rsidP="00417605">
      <w:pPr>
        <w:rPr>
          <w:color w:val="auto"/>
        </w:rPr>
      </w:pPr>
      <w:r w:rsidRPr="00E223AF">
        <w:rPr>
          <w:color w:val="auto"/>
        </w:rPr>
        <w:t xml:space="preserve">Entrectinib is </w:t>
      </w:r>
      <w:r w:rsidR="000164E4" w:rsidRPr="00E223AF">
        <w:rPr>
          <w:color w:val="auto"/>
        </w:rPr>
        <w:t xml:space="preserve">an </w:t>
      </w:r>
      <w:r w:rsidRPr="00E223AF">
        <w:rPr>
          <w:color w:val="auto"/>
        </w:rPr>
        <w:t xml:space="preserve">inhibitor of </w:t>
      </w:r>
      <w:r w:rsidR="00B7448C" w:rsidRPr="00E223AF">
        <w:rPr>
          <w:color w:val="auto"/>
        </w:rPr>
        <w:t xml:space="preserve">the </w:t>
      </w:r>
      <w:r w:rsidR="000164E4" w:rsidRPr="00E223AF">
        <w:rPr>
          <w:color w:val="auto"/>
        </w:rPr>
        <w:t xml:space="preserve">tropomyosin </w:t>
      </w:r>
      <w:r w:rsidRPr="00E223AF">
        <w:rPr>
          <w:color w:val="auto"/>
        </w:rPr>
        <w:t>receptor tyrosine kinases</w:t>
      </w:r>
      <w:r w:rsidR="00B7448C" w:rsidRPr="00E223AF">
        <w:rPr>
          <w:color w:val="auto"/>
        </w:rPr>
        <w:t xml:space="preserve"> (TRK)</w:t>
      </w:r>
      <w:r w:rsidRPr="00E223AF">
        <w:rPr>
          <w:color w:val="auto"/>
        </w:rPr>
        <w:t xml:space="preserve"> TRKA, TRKB and TRKC (encoded by the </w:t>
      </w:r>
      <w:r w:rsidR="00397F03" w:rsidRPr="00E223AF">
        <w:rPr>
          <w:color w:val="auto"/>
        </w:rPr>
        <w:t>neurotrophic tyrosine receptor kinase [</w:t>
      </w:r>
      <w:r w:rsidR="008B16F1" w:rsidRPr="00E223AF">
        <w:rPr>
          <w:i/>
          <w:color w:val="auto"/>
        </w:rPr>
        <w:t>NTRK</w:t>
      </w:r>
      <w:r w:rsidR="00397F03" w:rsidRPr="00E223AF">
        <w:rPr>
          <w:color w:val="auto"/>
        </w:rPr>
        <w:t>]</w:t>
      </w:r>
      <w:r w:rsidRPr="00E223AF">
        <w:rPr>
          <w:color w:val="auto"/>
        </w:rPr>
        <w:t xml:space="preserve"> genes </w:t>
      </w:r>
      <w:r w:rsidRPr="00E223AF">
        <w:rPr>
          <w:i/>
          <w:color w:val="auto"/>
        </w:rPr>
        <w:t>NTRK1</w:t>
      </w:r>
      <w:r w:rsidRPr="00E223AF">
        <w:rPr>
          <w:color w:val="auto"/>
        </w:rPr>
        <w:t xml:space="preserve">, </w:t>
      </w:r>
      <w:r w:rsidRPr="00E223AF">
        <w:rPr>
          <w:i/>
          <w:color w:val="auto"/>
        </w:rPr>
        <w:t>NTRK2</w:t>
      </w:r>
      <w:r w:rsidRPr="00E223AF">
        <w:rPr>
          <w:color w:val="auto"/>
        </w:rPr>
        <w:t xml:space="preserve"> and </w:t>
      </w:r>
      <w:r w:rsidRPr="00E223AF">
        <w:rPr>
          <w:i/>
          <w:color w:val="auto"/>
        </w:rPr>
        <w:t>NTRK3</w:t>
      </w:r>
      <w:r w:rsidRPr="00E223AF">
        <w:rPr>
          <w:color w:val="auto"/>
        </w:rPr>
        <w:t>, respectively), proto-oncogene tyrosine-protein kinase ROS</w:t>
      </w:r>
      <w:r w:rsidR="00397F03" w:rsidRPr="00E223AF">
        <w:rPr>
          <w:color w:val="auto"/>
        </w:rPr>
        <w:t>1</w:t>
      </w:r>
      <w:r w:rsidRPr="00E223AF">
        <w:rPr>
          <w:color w:val="auto"/>
        </w:rPr>
        <w:t xml:space="preserve"> (ROS1; encoded by the gene </w:t>
      </w:r>
      <w:r w:rsidRPr="00E223AF">
        <w:rPr>
          <w:i/>
          <w:color w:val="auto"/>
        </w:rPr>
        <w:t>ROS1</w:t>
      </w:r>
      <w:r w:rsidRPr="00E223AF">
        <w:rPr>
          <w:color w:val="auto"/>
        </w:rPr>
        <w:t xml:space="preserve">), and anaplastic lymphoma kinase (ALK; encoded by the gene </w:t>
      </w:r>
      <w:r w:rsidRPr="00E223AF">
        <w:rPr>
          <w:i/>
          <w:color w:val="auto"/>
        </w:rPr>
        <w:t>ALK</w:t>
      </w:r>
      <w:r w:rsidRPr="00E223AF">
        <w:rPr>
          <w:color w:val="auto"/>
        </w:rPr>
        <w:t>)</w:t>
      </w:r>
      <w:r w:rsidR="000164E4" w:rsidRPr="00E223AF">
        <w:rPr>
          <w:color w:val="auto"/>
        </w:rPr>
        <w:t xml:space="preserve"> with IC</w:t>
      </w:r>
      <w:r w:rsidR="000164E4" w:rsidRPr="00E223AF">
        <w:rPr>
          <w:color w:val="auto"/>
          <w:vertAlign w:val="subscript"/>
        </w:rPr>
        <w:t>50</w:t>
      </w:r>
      <w:r w:rsidR="00397F03" w:rsidRPr="00E223AF">
        <w:rPr>
          <w:color w:val="auto"/>
        </w:rPr>
        <w:t xml:space="preserve"> value</w:t>
      </w:r>
      <w:r w:rsidR="000164E4" w:rsidRPr="00E223AF">
        <w:rPr>
          <w:color w:val="auto"/>
        </w:rPr>
        <w:t xml:space="preserve">s </w:t>
      </w:r>
      <w:r w:rsidR="00397F03" w:rsidRPr="00E223AF">
        <w:rPr>
          <w:color w:val="auto"/>
        </w:rPr>
        <w:t xml:space="preserve">of 0.1 to 2 </w:t>
      </w:r>
      <w:proofErr w:type="spellStart"/>
      <w:r w:rsidR="000164E4" w:rsidRPr="00E223AF">
        <w:rPr>
          <w:color w:val="auto"/>
        </w:rPr>
        <w:t>nM</w:t>
      </w:r>
      <w:proofErr w:type="spellEnd"/>
      <w:r w:rsidRPr="00E223AF">
        <w:rPr>
          <w:color w:val="auto"/>
        </w:rPr>
        <w:t xml:space="preserve">. </w:t>
      </w:r>
      <w:r w:rsidR="000164E4" w:rsidRPr="00E223AF">
        <w:rPr>
          <w:color w:val="auto"/>
        </w:rPr>
        <w:t xml:space="preserve">Entrectinib also inhibits JAK2 and TNK2 with IC50 values &gt; 5 </w:t>
      </w:r>
      <w:proofErr w:type="spellStart"/>
      <w:r w:rsidR="000164E4" w:rsidRPr="00E223AF">
        <w:rPr>
          <w:color w:val="auto"/>
        </w:rPr>
        <w:t>nM</w:t>
      </w:r>
      <w:proofErr w:type="spellEnd"/>
      <w:r w:rsidR="000164E4" w:rsidRPr="00E223AF">
        <w:rPr>
          <w:color w:val="auto"/>
        </w:rPr>
        <w:t>.</w:t>
      </w:r>
      <w:r w:rsidR="000164E4" w:rsidRPr="00E223AF">
        <w:rPr>
          <w:color w:val="auto"/>
          <w:sz w:val="22"/>
          <w:szCs w:val="22"/>
        </w:rPr>
        <w:t xml:space="preserve"> </w:t>
      </w:r>
      <w:r w:rsidRPr="00E223AF">
        <w:rPr>
          <w:color w:val="auto"/>
        </w:rPr>
        <w:t xml:space="preserve">The major active metabolite of entrectinib, M5, showed similar </w:t>
      </w:r>
      <w:r w:rsidRPr="00E223AF">
        <w:rPr>
          <w:i/>
          <w:color w:val="auto"/>
        </w:rPr>
        <w:t>in vitro</w:t>
      </w:r>
      <w:r w:rsidRPr="00E223AF">
        <w:rPr>
          <w:color w:val="auto"/>
        </w:rPr>
        <w:t xml:space="preserve"> activity</w:t>
      </w:r>
      <w:r w:rsidR="00131B04" w:rsidRPr="00E223AF">
        <w:rPr>
          <w:color w:val="auto"/>
        </w:rPr>
        <w:t xml:space="preserve"> against TRK, ROS1 and ALK</w:t>
      </w:r>
      <w:r w:rsidRPr="00E223AF">
        <w:rPr>
          <w:color w:val="auto"/>
        </w:rPr>
        <w:t xml:space="preserve">. </w:t>
      </w:r>
    </w:p>
    <w:p w14:paraId="2BF08F66" w14:textId="77777777" w:rsidR="00417605" w:rsidRPr="00E223AF" w:rsidRDefault="00417605" w:rsidP="00417605">
      <w:pPr>
        <w:rPr>
          <w:color w:val="auto"/>
        </w:rPr>
      </w:pPr>
    </w:p>
    <w:p w14:paraId="17DE1D7D" w14:textId="7FDB0F2B" w:rsidR="00417605" w:rsidRPr="00E223AF" w:rsidRDefault="00417605" w:rsidP="00417605">
      <w:pPr>
        <w:rPr>
          <w:color w:val="auto"/>
        </w:rPr>
      </w:pPr>
      <w:r w:rsidRPr="00E223AF">
        <w:rPr>
          <w:color w:val="auto"/>
        </w:rPr>
        <w:t xml:space="preserve">Fusion proteins that include TRK, ROS1 or ALK kinase domains </w:t>
      </w:r>
      <w:r w:rsidR="00131B04" w:rsidRPr="00E223AF">
        <w:rPr>
          <w:color w:val="auto"/>
        </w:rPr>
        <w:t xml:space="preserve">can </w:t>
      </w:r>
      <w:r w:rsidRPr="00E223AF">
        <w:rPr>
          <w:color w:val="auto"/>
        </w:rPr>
        <w:t xml:space="preserve">drive </w:t>
      </w:r>
      <w:proofErr w:type="spellStart"/>
      <w:r w:rsidR="008B16F1" w:rsidRPr="00E223AF">
        <w:rPr>
          <w:color w:val="auto"/>
        </w:rPr>
        <w:t>tumourigenic</w:t>
      </w:r>
      <w:proofErr w:type="spellEnd"/>
      <w:r w:rsidRPr="00E223AF">
        <w:rPr>
          <w:color w:val="auto"/>
        </w:rPr>
        <w:t xml:space="preserve"> potential through </w:t>
      </w:r>
      <w:proofErr w:type="spellStart"/>
      <w:r w:rsidRPr="00E223AF">
        <w:rPr>
          <w:color w:val="auto"/>
        </w:rPr>
        <w:t>hyperactivation</w:t>
      </w:r>
      <w:proofErr w:type="spellEnd"/>
      <w:r w:rsidRPr="00E223AF">
        <w:rPr>
          <w:color w:val="auto"/>
        </w:rPr>
        <w:t xml:space="preserve"> of downstream signalling pathways leading to unconstrained cell proliferation.  Entrectinib inhibits the TRK kinases, ROS1 and ALK, leading to inhibition of downstream signalling pathways, cell proliferation and induction of tumour cell apoptosis.  Entrectinib demonstrate</w:t>
      </w:r>
      <w:r w:rsidR="00131B04" w:rsidRPr="00E223AF">
        <w:rPr>
          <w:color w:val="auto"/>
        </w:rPr>
        <w:t xml:space="preserve">d </w:t>
      </w:r>
      <w:r w:rsidR="00131B04" w:rsidRPr="00E223AF">
        <w:rPr>
          <w:i/>
          <w:color w:val="auto"/>
        </w:rPr>
        <w:t>in vitro</w:t>
      </w:r>
      <w:r w:rsidR="00131B04" w:rsidRPr="00E223AF">
        <w:rPr>
          <w:color w:val="auto"/>
        </w:rPr>
        <w:t xml:space="preserve"> and </w:t>
      </w:r>
      <w:r w:rsidR="00131B04" w:rsidRPr="00E223AF">
        <w:rPr>
          <w:i/>
          <w:color w:val="auto"/>
        </w:rPr>
        <w:t>in vivo</w:t>
      </w:r>
      <w:r w:rsidRPr="00E223AF">
        <w:rPr>
          <w:color w:val="auto"/>
        </w:rPr>
        <w:t xml:space="preserve"> inhibition of cancer cell lines</w:t>
      </w:r>
      <w:r w:rsidR="00131B04" w:rsidRPr="00E223AF">
        <w:rPr>
          <w:color w:val="auto"/>
        </w:rPr>
        <w:t xml:space="preserve"> derived from multiple tumour types</w:t>
      </w:r>
      <w:r w:rsidRPr="00E223AF">
        <w:rPr>
          <w:color w:val="auto"/>
        </w:rPr>
        <w:t xml:space="preserve"> harbouring NTRK, ROS1 and ALK fusion genes.  </w:t>
      </w:r>
    </w:p>
    <w:p w14:paraId="562A7077" w14:textId="77777777" w:rsidR="00417605" w:rsidRPr="00E223AF" w:rsidRDefault="00417605" w:rsidP="00417605">
      <w:pPr>
        <w:rPr>
          <w:color w:val="auto"/>
        </w:rPr>
      </w:pPr>
    </w:p>
    <w:p w14:paraId="2C852B21" w14:textId="7E1DBAA1" w:rsidR="00D52399" w:rsidRPr="00E223AF" w:rsidRDefault="00F21A2A">
      <w:pPr>
        <w:rPr>
          <w:color w:val="auto"/>
          <w:lang w:val="en-AU"/>
        </w:rPr>
      </w:pPr>
      <w:r w:rsidRPr="00E223AF">
        <w:rPr>
          <w:color w:val="auto"/>
        </w:rPr>
        <w:t>E</w:t>
      </w:r>
      <w:r w:rsidR="00417605" w:rsidRPr="00E223AF">
        <w:rPr>
          <w:color w:val="auto"/>
        </w:rPr>
        <w:t xml:space="preserve">ntrectinib </w:t>
      </w:r>
      <w:r w:rsidR="00131B04" w:rsidRPr="00E223AF">
        <w:rPr>
          <w:color w:val="auto"/>
        </w:rPr>
        <w:t>demonstrated</w:t>
      </w:r>
      <w:r w:rsidR="00417605" w:rsidRPr="00E223AF">
        <w:rPr>
          <w:color w:val="auto"/>
        </w:rPr>
        <w:t xml:space="preserve"> </w:t>
      </w:r>
      <w:r w:rsidR="00FD3663" w:rsidRPr="00E223AF">
        <w:rPr>
          <w:color w:val="auto"/>
        </w:rPr>
        <w:t>s</w:t>
      </w:r>
      <w:proofErr w:type="spellStart"/>
      <w:r w:rsidR="00FD3663" w:rsidRPr="00E223AF">
        <w:rPr>
          <w:color w:val="auto"/>
          <w:lang w:val="en-US"/>
        </w:rPr>
        <w:t>teady</w:t>
      </w:r>
      <w:proofErr w:type="spellEnd"/>
      <w:r w:rsidR="00FD3663" w:rsidRPr="00E223AF">
        <w:rPr>
          <w:color w:val="auto"/>
          <w:lang w:val="en-US"/>
        </w:rPr>
        <w:t xml:space="preserve">-state </w:t>
      </w:r>
      <w:r w:rsidR="00417605" w:rsidRPr="00E223AF">
        <w:rPr>
          <w:color w:val="auto"/>
        </w:rPr>
        <w:t>brain-to-plasma concentration ratios of 0.4 - 2.2 in multiple anima</w:t>
      </w:r>
      <w:r w:rsidRPr="00E223AF">
        <w:rPr>
          <w:color w:val="auto"/>
        </w:rPr>
        <w:t>l species (mice, rats and dogs)</w:t>
      </w:r>
      <w:r w:rsidR="00131B04" w:rsidRPr="00E223AF">
        <w:rPr>
          <w:color w:val="auto"/>
        </w:rPr>
        <w:t xml:space="preserve"> and </w:t>
      </w:r>
      <w:r w:rsidR="00417605" w:rsidRPr="00E223AF">
        <w:rPr>
          <w:color w:val="auto"/>
        </w:rPr>
        <w:t xml:space="preserve">demonstrated </w:t>
      </w:r>
      <w:r w:rsidR="00131B04" w:rsidRPr="00E223AF">
        <w:rPr>
          <w:i/>
          <w:color w:val="auto"/>
        </w:rPr>
        <w:t xml:space="preserve">in vivo </w:t>
      </w:r>
      <w:r w:rsidR="00417605" w:rsidRPr="00E223AF">
        <w:rPr>
          <w:color w:val="auto"/>
        </w:rPr>
        <w:t xml:space="preserve">anti-tumour activity in </w:t>
      </w:r>
      <w:r w:rsidR="00131B04" w:rsidRPr="00E223AF">
        <w:rPr>
          <w:color w:val="auto"/>
        </w:rPr>
        <w:t xml:space="preserve">mice with intracranial implantation of </w:t>
      </w:r>
      <w:r w:rsidR="00417605" w:rsidRPr="00E223AF">
        <w:rPr>
          <w:color w:val="auto"/>
        </w:rPr>
        <w:t>TRKA</w:t>
      </w:r>
      <w:r w:rsidR="00131B04" w:rsidRPr="00E223AF">
        <w:rPr>
          <w:color w:val="auto"/>
        </w:rPr>
        <w:t>- and ALK-</w:t>
      </w:r>
      <w:r w:rsidR="00417605" w:rsidRPr="00E223AF">
        <w:rPr>
          <w:color w:val="auto"/>
        </w:rPr>
        <w:t xml:space="preserve">driven </w:t>
      </w:r>
      <w:r w:rsidR="00131B04" w:rsidRPr="00E223AF">
        <w:rPr>
          <w:color w:val="auto"/>
        </w:rPr>
        <w:t>tumour cell lines</w:t>
      </w:r>
      <w:r w:rsidR="00417605" w:rsidRPr="00E223AF">
        <w:rPr>
          <w:color w:val="auto"/>
        </w:rPr>
        <w:t>.</w:t>
      </w:r>
    </w:p>
    <w:p w14:paraId="30F7EC4A" w14:textId="77777777" w:rsidR="00B7448C" w:rsidRPr="00E223AF" w:rsidRDefault="00B7448C">
      <w:pPr>
        <w:pStyle w:val="Heading3"/>
        <w:rPr>
          <w:color w:val="auto"/>
          <w:lang w:val="en-AU"/>
        </w:rPr>
      </w:pPr>
      <w:r w:rsidRPr="00E223AF">
        <w:rPr>
          <w:color w:val="auto"/>
          <w:lang w:val="en-AU"/>
        </w:rPr>
        <w:t>Cardiac electrophysiology</w:t>
      </w:r>
    </w:p>
    <w:p w14:paraId="13AF30F1" w14:textId="129D96BE" w:rsidR="00B7448C" w:rsidRPr="00E223AF" w:rsidRDefault="00B7448C" w:rsidP="006770B0">
      <w:pPr>
        <w:pStyle w:val="NormalWeb"/>
      </w:pPr>
      <w:r w:rsidRPr="00E223AF">
        <w:t xml:space="preserve">Across clinical trials, 355 patients who received Rozlytrek (at doses ranging from 100 mg to 2600 mg daily under fasting or fed conditions; 75% received 600 mg orally once daily) had at least one post-baseline ECG assessment. Amongst this group, 3.1% experienced </w:t>
      </w:r>
      <w:proofErr w:type="spellStart"/>
      <w:r w:rsidRPr="00E223AF">
        <w:t>QTcF</w:t>
      </w:r>
      <w:proofErr w:type="spellEnd"/>
      <w:r w:rsidRPr="00E223AF">
        <w:t xml:space="preserve"> prolongation </w:t>
      </w:r>
      <w:r w:rsidR="004F170B" w:rsidRPr="00E223AF">
        <w:t>of more than</w:t>
      </w:r>
      <w:r w:rsidRPr="00E223AF">
        <w:t xml:space="preserve"> 60 </w:t>
      </w:r>
      <w:proofErr w:type="spellStart"/>
      <w:r w:rsidRPr="00E223AF">
        <w:t>ms</w:t>
      </w:r>
      <w:proofErr w:type="spellEnd"/>
      <w:r w:rsidRPr="00E223AF">
        <w:t xml:space="preserve"> </w:t>
      </w:r>
      <w:r w:rsidR="004F170B" w:rsidRPr="00E223AF">
        <w:t>past their baseline</w:t>
      </w:r>
      <w:r w:rsidRPr="00E223AF">
        <w:t xml:space="preserve"> after starting </w:t>
      </w:r>
      <w:r w:rsidR="004F170B" w:rsidRPr="00E223AF">
        <w:t>Rozlytrek,</w:t>
      </w:r>
      <w:r w:rsidRPr="00E223AF">
        <w:t xml:space="preserve"> and 0.6% had a </w:t>
      </w:r>
      <w:r w:rsidR="004F170B" w:rsidRPr="00E223AF">
        <w:t xml:space="preserve">post-baseline </w:t>
      </w:r>
      <w:proofErr w:type="spellStart"/>
      <w:r w:rsidR="004F170B" w:rsidRPr="00E223AF">
        <w:t>QTc</w:t>
      </w:r>
      <w:proofErr w:type="spellEnd"/>
      <w:r w:rsidR="004F170B" w:rsidRPr="00E223AF">
        <w:t xml:space="preserve"> interval longer than</w:t>
      </w:r>
      <w:r w:rsidRPr="00E223AF">
        <w:t xml:space="preserve"> 500 </w:t>
      </w:r>
      <w:proofErr w:type="spellStart"/>
      <w:r w:rsidRPr="00E223AF">
        <w:t>ms</w:t>
      </w:r>
      <w:proofErr w:type="spellEnd"/>
      <w:r w:rsidRPr="00E223AF">
        <w:t xml:space="preserve"> </w:t>
      </w:r>
      <w:r w:rsidR="004F170B" w:rsidRPr="00E223AF">
        <w:t>(s</w:t>
      </w:r>
      <w:r w:rsidRPr="00E223AF">
        <w:t xml:space="preserve">ee </w:t>
      </w:r>
      <w:r w:rsidR="004F170B" w:rsidRPr="00E223AF">
        <w:t xml:space="preserve">section 4.4 </w:t>
      </w:r>
      <w:r w:rsidR="004F170B" w:rsidRPr="00E223AF">
        <w:rPr>
          <w:i/>
        </w:rPr>
        <w:t>Warnings and special p</w:t>
      </w:r>
      <w:r w:rsidRPr="00E223AF">
        <w:rPr>
          <w:i/>
        </w:rPr>
        <w:t xml:space="preserve">recautions </w:t>
      </w:r>
      <w:r w:rsidR="004F170B" w:rsidRPr="00E223AF">
        <w:rPr>
          <w:i/>
        </w:rPr>
        <w:t>for use</w:t>
      </w:r>
      <w:r w:rsidR="004F170B" w:rsidRPr="00E223AF">
        <w:t>.)</w:t>
      </w:r>
    </w:p>
    <w:p w14:paraId="0BD467AF" w14:textId="3637BF35" w:rsidR="00D52399" w:rsidRPr="00E223AF" w:rsidRDefault="00615052">
      <w:pPr>
        <w:pStyle w:val="Heading3"/>
        <w:rPr>
          <w:color w:val="auto"/>
          <w:lang w:val="en-AU"/>
        </w:rPr>
      </w:pPr>
      <w:r w:rsidRPr="00E223AF">
        <w:rPr>
          <w:color w:val="auto"/>
          <w:lang w:val="en-AU"/>
        </w:rPr>
        <w:t xml:space="preserve">Clinical </w:t>
      </w:r>
      <w:r w:rsidR="00594C19" w:rsidRPr="00E223AF">
        <w:rPr>
          <w:color w:val="auto"/>
          <w:lang w:val="en-AU"/>
        </w:rPr>
        <w:t>trials</w:t>
      </w:r>
    </w:p>
    <w:p w14:paraId="4FE056D9" w14:textId="77777777" w:rsidR="0069773F" w:rsidRPr="00E223AF" w:rsidRDefault="0069773F" w:rsidP="0069773F">
      <w:pPr>
        <w:pStyle w:val="Heading4"/>
        <w:rPr>
          <w:color w:val="auto"/>
          <w:lang w:val="en-AU"/>
        </w:rPr>
      </w:pPr>
      <w:r w:rsidRPr="00E223AF">
        <w:rPr>
          <w:color w:val="auto"/>
          <w:lang w:val="en-AU"/>
        </w:rPr>
        <w:t xml:space="preserve">ROS1-positive NSCLC </w:t>
      </w:r>
    </w:p>
    <w:p w14:paraId="2139FCA0" w14:textId="5557E6C7" w:rsidR="00131B04" w:rsidRPr="00E223AF" w:rsidRDefault="0069773F" w:rsidP="00131B04">
      <w:pPr>
        <w:rPr>
          <w:color w:val="auto"/>
          <w:lang w:val="en-AU"/>
        </w:rPr>
      </w:pPr>
      <w:r w:rsidRPr="00E223AF">
        <w:rPr>
          <w:color w:val="auto"/>
          <w:lang w:val="en-AU"/>
        </w:rPr>
        <w:t xml:space="preserve">The efficacy of Rozlytrek </w:t>
      </w:r>
      <w:r w:rsidR="00131B04" w:rsidRPr="00E223AF">
        <w:rPr>
          <w:color w:val="auto"/>
          <w:lang w:val="en-AU"/>
        </w:rPr>
        <w:t xml:space="preserve">was evaluated in a pooled subgroup of patients with ROS1-positive metastatic NSCLC who received </w:t>
      </w:r>
      <w:r w:rsidR="00E611DE" w:rsidRPr="00E223AF">
        <w:rPr>
          <w:color w:val="auto"/>
          <w:lang w:val="en-AU"/>
        </w:rPr>
        <w:t>Rozlytrek</w:t>
      </w:r>
      <w:r w:rsidR="00131B04" w:rsidRPr="00E223AF">
        <w:rPr>
          <w:color w:val="auto"/>
          <w:lang w:val="en-AU"/>
        </w:rPr>
        <w:t xml:space="preserve"> at various doses and schedules (90% received </w:t>
      </w:r>
      <w:r w:rsidR="00E611DE" w:rsidRPr="00E223AF">
        <w:rPr>
          <w:color w:val="auto"/>
          <w:lang w:val="en-AU"/>
        </w:rPr>
        <w:t>Rozlytrek</w:t>
      </w:r>
      <w:r w:rsidR="00131B04" w:rsidRPr="00E223AF">
        <w:rPr>
          <w:color w:val="auto"/>
          <w:lang w:val="en-AU"/>
        </w:rPr>
        <w:t xml:space="preserve"> 600 mg orally once daily) and were enrolled in one of three multicentre, single-arm, open-label clinical trials: ALKA, STARTRK-1 and STARTRK-2. To be included in this pooled subgroup, patients were required to have histologically confirmed, recurrent or metastatic, ROS1-positive N</w:t>
      </w:r>
      <w:r w:rsidR="004F170B" w:rsidRPr="00E223AF">
        <w:rPr>
          <w:color w:val="auto"/>
          <w:lang w:val="en-AU"/>
        </w:rPr>
        <w:t>SCLC, ECOG performance status ≤</w:t>
      </w:r>
      <w:r w:rsidR="00131B04" w:rsidRPr="00E223AF">
        <w:rPr>
          <w:color w:val="auto"/>
          <w:lang w:val="en-AU"/>
        </w:rPr>
        <w:t>2, measura</w:t>
      </w:r>
      <w:r w:rsidR="004F170B" w:rsidRPr="00E223AF">
        <w:rPr>
          <w:color w:val="auto"/>
          <w:lang w:val="en-AU"/>
        </w:rPr>
        <w:t>ble disease per RECIST v1.1, ≥</w:t>
      </w:r>
      <w:r w:rsidR="00131B04" w:rsidRPr="00E223AF">
        <w:rPr>
          <w:color w:val="auto"/>
          <w:lang w:val="en-AU"/>
        </w:rPr>
        <w:t xml:space="preserve">12 months of follow-up from first post-treatment </w:t>
      </w:r>
      <w:r w:rsidR="00E611DE" w:rsidRPr="00E223AF">
        <w:rPr>
          <w:color w:val="auto"/>
          <w:lang w:val="en-AU"/>
        </w:rPr>
        <w:t>tumour</w:t>
      </w:r>
      <w:r w:rsidR="00131B04" w:rsidRPr="00E223AF">
        <w:rPr>
          <w:color w:val="auto"/>
          <w:lang w:val="en-AU"/>
        </w:rPr>
        <w:t xml:space="preserve"> assessment, and no prior therapy with a ROS1 inhibitor. Identification of ROS1 gene fusion in </w:t>
      </w:r>
      <w:r w:rsidR="00E611DE" w:rsidRPr="00E223AF">
        <w:rPr>
          <w:color w:val="auto"/>
          <w:lang w:val="en-AU"/>
        </w:rPr>
        <w:t>tumour</w:t>
      </w:r>
      <w:r w:rsidR="00131B04" w:rsidRPr="00E223AF">
        <w:rPr>
          <w:color w:val="auto"/>
          <w:lang w:val="en-AU"/>
        </w:rPr>
        <w:t xml:space="preserve"> specimens was prospectively determined in local laboratories using either a fluorescence in situ hybridization (FISH) or next-generation sequencing (NGS) laboratory-developed test. All </w:t>
      </w:r>
      <w:r w:rsidR="00131B04" w:rsidRPr="00E223AF">
        <w:rPr>
          <w:color w:val="auto"/>
          <w:lang w:val="en-AU"/>
        </w:rPr>
        <w:lastRenderedPageBreak/>
        <w:t xml:space="preserve">patients were assessed for CNS lesions at baseline. The primary efficacy outcome measures were overall response rate (ORR) and duration of response (DOR) according to RECIST v1.1 as assessed by blinded independent central review (BICR). Intracranial response according to RECIST v1.1 was assessed by BICR. </w:t>
      </w:r>
      <w:r w:rsidR="00E611DE" w:rsidRPr="00E223AF">
        <w:rPr>
          <w:color w:val="auto"/>
          <w:lang w:val="en-AU"/>
        </w:rPr>
        <w:t>Tumour</w:t>
      </w:r>
      <w:r w:rsidR="00131B04" w:rsidRPr="00E223AF">
        <w:rPr>
          <w:color w:val="auto"/>
          <w:lang w:val="en-AU"/>
        </w:rPr>
        <w:t xml:space="preserve"> assessments with imaging were performed every 8 weeks.</w:t>
      </w:r>
    </w:p>
    <w:p w14:paraId="57AAAA2B" w14:textId="77777777" w:rsidR="00131B04" w:rsidRPr="00E223AF" w:rsidRDefault="00131B04" w:rsidP="00131B04">
      <w:pPr>
        <w:rPr>
          <w:color w:val="auto"/>
          <w:lang w:val="en-AU"/>
        </w:rPr>
      </w:pPr>
    </w:p>
    <w:p w14:paraId="60C0B35C" w14:textId="391519CE" w:rsidR="0069773F" w:rsidRPr="00E223AF" w:rsidRDefault="00131B04">
      <w:pPr>
        <w:rPr>
          <w:color w:val="auto"/>
          <w:lang w:val="en-AU"/>
        </w:rPr>
      </w:pPr>
      <w:r w:rsidRPr="00E223AF">
        <w:rPr>
          <w:color w:val="auto"/>
          <w:lang w:val="en-AU"/>
        </w:rPr>
        <w:t xml:space="preserve">Efficacy was assessed in 51 patients with ROS1-positive NSCLC. The median age was 53 years (range: 27 to 72); female (67%); White (57%), Asian (37%), and Black (6%); and Hispanic or Latino (3.9%); never smoked (57%); and ECOG performance status 0 or 1 (88%). Ninety-four percent of patients had metastatic disease, including 43% with CNS metastases; 94% had adenocarcinoma; 69% received prior platinum-based chemotherapy for metastatic or recurrent disease or had progressed in less than 6 months following adjuvant or </w:t>
      </w:r>
      <w:proofErr w:type="spellStart"/>
      <w:r w:rsidRPr="00E223AF">
        <w:rPr>
          <w:color w:val="auto"/>
          <w:lang w:val="en-AU"/>
        </w:rPr>
        <w:t>neoadjuvant</w:t>
      </w:r>
      <w:proofErr w:type="spellEnd"/>
      <w:r w:rsidRPr="00E223AF">
        <w:rPr>
          <w:color w:val="auto"/>
          <w:lang w:val="en-AU"/>
        </w:rPr>
        <w:t xml:space="preserve"> therapy. ROS1 positivity was determined by NGS in 71% and by FISH in 29%. Fifty-five percent had central laboratory confirmation of ROS1 positivity using an analytically validated </w:t>
      </w:r>
      <w:r w:rsidR="00D1182D" w:rsidRPr="00E223AF">
        <w:rPr>
          <w:color w:val="auto"/>
          <w:lang w:val="en-AU"/>
        </w:rPr>
        <w:t xml:space="preserve">RNA-based </w:t>
      </w:r>
      <w:r w:rsidRPr="00E223AF">
        <w:rPr>
          <w:color w:val="auto"/>
          <w:lang w:val="en-AU"/>
        </w:rPr>
        <w:t>NGS test).</w:t>
      </w:r>
    </w:p>
    <w:p w14:paraId="5BADC3F6" w14:textId="77777777" w:rsidR="0069773F" w:rsidRPr="00E223AF" w:rsidRDefault="0069773F" w:rsidP="0069773F">
      <w:pPr>
        <w:rPr>
          <w:color w:val="auto"/>
          <w:lang w:val="en-AU"/>
        </w:rPr>
      </w:pPr>
    </w:p>
    <w:p w14:paraId="344391A7" w14:textId="67748D6D" w:rsidR="0069773F" w:rsidRPr="00E223AF" w:rsidRDefault="0069773F" w:rsidP="0069773F">
      <w:pPr>
        <w:rPr>
          <w:color w:val="auto"/>
          <w:lang w:val="en-AU"/>
        </w:rPr>
      </w:pPr>
      <w:r w:rsidRPr="00E223AF">
        <w:rPr>
          <w:color w:val="auto"/>
          <w:lang w:val="en-AU"/>
        </w:rPr>
        <w:t xml:space="preserve">Efficacy results from patients with ROS1-positive NSCLC are summarised in Table </w:t>
      </w:r>
      <w:r w:rsidR="005A4149" w:rsidRPr="00E223AF">
        <w:rPr>
          <w:color w:val="auto"/>
          <w:lang w:val="en-AU"/>
        </w:rPr>
        <w:t>6</w:t>
      </w:r>
      <w:r w:rsidRPr="00E223AF">
        <w:rPr>
          <w:color w:val="auto"/>
          <w:lang w:val="en-AU"/>
        </w:rPr>
        <w:t>.</w:t>
      </w:r>
    </w:p>
    <w:p w14:paraId="1F3792FB" w14:textId="77777777" w:rsidR="0069773F" w:rsidRPr="00E223AF" w:rsidRDefault="0069773F" w:rsidP="0069773F">
      <w:pPr>
        <w:rPr>
          <w:color w:val="auto"/>
          <w:lang w:val="en-AU"/>
        </w:rPr>
      </w:pPr>
    </w:p>
    <w:p w14:paraId="320E5C75" w14:textId="2420F42C" w:rsidR="0069773F" w:rsidRPr="00E223AF" w:rsidRDefault="0069773F" w:rsidP="0069773F">
      <w:pPr>
        <w:rPr>
          <w:b/>
          <w:color w:val="auto"/>
          <w:lang w:val="en-AU"/>
        </w:rPr>
      </w:pPr>
      <w:r w:rsidRPr="00E223AF">
        <w:rPr>
          <w:b/>
          <w:color w:val="auto"/>
          <w:lang w:val="en-AU"/>
        </w:rPr>
        <w:t xml:space="preserve">Table </w:t>
      </w:r>
      <w:r w:rsidR="005A4149" w:rsidRPr="00E223AF">
        <w:rPr>
          <w:b/>
          <w:color w:val="auto"/>
          <w:lang w:val="en-AU"/>
        </w:rPr>
        <w:t>6</w:t>
      </w:r>
      <w:r w:rsidRPr="00E223AF">
        <w:rPr>
          <w:b/>
          <w:color w:val="auto"/>
          <w:lang w:val="en-AU"/>
        </w:rPr>
        <w:t xml:space="preserve">. </w:t>
      </w:r>
      <w:r w:rsidR="00D1182D" w:rsidRPr="00E223AF">
        <w:rPr>
          <w:b/>
          <w:color w:val="auto"/>
          <w:lang w:val="en-AU"/>
        </w:rPr>
        <w:t>E</w:t>
      </w:r>
      <w:r w:rsidRPr="00E223AF">
        <w:rPr>
          <w:b/>
          <w:color w:val="auto"/>
          <w:lang w:val="en-AU"/>
        </w:rPr>
        <w:t xml:space="preserve">fficacy </w:t>
      </w:r>
      <w:r w:rsidR="00D1182D" w:rsidRPr="00E223AF">
        <w:rPr>
          <w:b/>
          <w:color w:val="auto"/>
          <w:lang w:val="en-AU"/>
        </w:rPr>
        <w:t>results</w:t>
      </w:r>
      <w:r w:rsidRPr="00E223AF">
        <w:rPr>
          <w:b/>
          <w:color w:val="auto"/>
          <w:lang w:val="en-AU"/>
        </w:rPr>
        <w:t xml:space="preserve"> </w:t>
      </w:r>
      <w:r w:rsidR="00DD2D68" w:rsidRPr="00E223AF">
        <w:rPr>
          <w:b/>
          <w:color w:val="auto"/>
          <w:lang w:val="en-AU"/>
        </w:rPr>
        <w:t>for</w:t>
      </w:r>
      <w:r w:rsidRPr="00E223AF">
        <w:rPr>
          <w:b/>
          <w:color w:val="auto"/>
          <w:lang w:val="en-AU"/>
        </w:rPr>
        <w:t xml:space="preserve"> patients with ROS1-positive NSCLC</w:t>
      </w:r>
      <w:r w:rsidR="00D1182D" w:rsidRPr="00E223AF">
        <w:rPr>
          <w:b/>
          <w:color w:val="auto"/>
          <w:lang w:val="en-AU"/>
        </w:rPr>
        <w:t xml:space="preserve"> per BICR assessment.</w:t>
      </w:r>
      <w:r w:rsidR="00F74A45" w:rsidRPr="00E223AF">
        <w:rPr>
          <w:b/>
          <w:color w:val="auto"/>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52"/>
      </w:tblGrid>
      <w:tr w:rsidR="00FB53F7" w:rsidRPr="00E223AF" w14:paraId="653D6265" w14:textId="77777777" w:rsidTr="00273525">
        <w:trPr>
          <w:jc w:val="center"/>
        </w:trPr>
        <w:tc>
          <w:tcPr>
            <w:tcW w:w="4106" w:type="dxa"/>
            <w:tcBorders>
              <w:top w:val="single" w:sz="4" w:space="0" w:color="auto"/>
              <w:left w:val="single" w:sz="4" w:space="0" w:color="auto"/>
              <w:bottom w:val="single" w:sz="4" w:space="0" w:color="auto"/>
              <w:right w:val="nil"/>
            </w:tcBorders>
            <w:shd w:val="clear" w:color="auto" w:fill="auto"/>
            <w:vAlign w:val="center"/>
          </w:tcPr>
          <w:p w14:paraId="6BFDD3F6" w14:textId="798BCC06" w:rsidR="0069773F" w:rsidRPr="00E223AF" w:rsidRDefault="0069773F" w:rsidP="003A5990">
            <w:pPr>
              <w:jc w:val="left"/>
              <w:rPr>
                <w:b/>
                <w:color w:val="auto"/>
                <w:sz w:val="22"/>
                <w:szCs w:val="22"/>
              </w:rPr>
            </w:pPr>
            <w:r w:rsidRPr="00E223AF">
              <w:rPr>
                <w:b/>
                <w:color w:val="auto"/>
                <w:sz w:val="22"/>
                <w:szCs w:val="22"/>
              </w:rPr>
              <w:t xml:space="preserve">Efficacy </w:t>
            </w:r>
            <w:r w:rsidR="003A5990">
              <w:rPr>
                <w:b/>
                <w:color w:val="auto"/>
                <w:sz w:val="22"/>
                <w:szCs w:val="22"/>
              </w:rPr>
              <w:t>Parameters</w:t>
            </w:r>
          </w:p>
        </w:tc>
        <w:tc>
          <w:tcPr>
            <w:tcW w:w="2552" w:type="dxa"/>
            <w:tcBorders>
              <w:top w:val="single" w:sz="4" w:space="0" w:color="auto"/>
              <w:left w:val="nil"/>
              <w:bottom w:val="single" w:sz="4" w:space="0" w:color="auto"/>
              <w:right w:val="single" w:sz="4" w:space="0" w:color="auto"/>
            </w:tcBorders>
            <w:shd w:val="clear" w:color="auto" w:fill="auto"/>
            <w:vAlign w:val="center"/>
          </w:tcPr>
          <w:p w14:paraId="7BBB8DD7" w14:textId="3DA8DE80" w:rsidR="0069773F" w:rsidRPr="00E223AF" w:rsidRDefault="0069773F" w:rsidP="002B63D2">
            <w:pPr>
              <w:jc w:val="center"/>
              <w:rPr>
                <w:b/>
                <w:color w:val="auto"/>
                <w:sz w:val="22"/>
                <w:szCs w:val="22"/>
              </w:rPr>
            </w:pPr>
            <w:r w:rsidRPr="00E223AF">
              <w:rPr>
                <w:b/>
                <w:color w:val="auto"/>
                <w:sz w:val="22"/>
                <w:szCs w:val="22"/>
              </w:rPr>
              <w:t>Rozlytrek</w:t>
            </w:r>
          </w:p>
        </w:tc>
      </w:tr>
      <w:tr w:rsidR="00FB53F7" w:rsidRPr="00E223AF" w14:paraId="5E34B08A" w14:textId="77777777" w:rsidTr="00273525">
        <w:trPr>
          <w:jc w:val="center"/>
        </w:trPr>
        <w:tc>
          <w:tcPr>
            <w:tcW w:w="4106" w:type="dxa"/>
            <w:tcBorders>
              <w:top w:val="single" w:sz="4" w:space="0" w:color="auto"/>
              <w:left w:val="single" w:sz="4" w:space="0" w:color="auto"/>
              <w:bottom w:val="nil"/>
              <w:right w:val="nil"/>
            </w:tcBorders>
            <w:shd w:val="clear" w:color="auto" w:fill="auto"/>
          </w:tcPr>
          <w:p w14:paraId="58B0D1F1" w14:textId="4ABAA5CA" w:rsidR="0069773F" w:rsidRPr="00E223AF" w:rsidRDefault="0069773F" w:rsidP="002B63D2">
            <w:pPr>
              <w:rPr>
                <w:color w:val="auto"/>
                <w:sz w:val="22"/>
                <w:szCs w:val="22"/>
              </w:rPr>
            </w:pPr>
            <w:r w:rsidRPr="00E223AF">
              <w:rPr>
                <w:b/>
                <w:color w:val="auto"/>
                <w:sz w:val="22"/>
                <w:szCs w:val="22"/>
              </w:rPr>
              <w:t>Objective response rate</w:t>
            </w:r>
            <w:r w:rsidR="00A2726C" w:rsidRPr="00E223AF">
              <w:rPr>
                <w:b/>
                <w:color w:val="auto"/>
                <w:sz w:val="22"/>
                <w:szCs w:val="22"/>
              </w:rPr>
              <w:t xml:space="preserve"> (ORR)</w:t>
            </w:r>
          </w:p>
        </w:tc>
        <w:tc>
          <w:tcPr>
            <w:tcW w:w="2552" w:type="dxa"/>
            <w:tcBorders>
              <w:top w:val="single" w:sz="4" w:space="0" w:color="auto"/>
              <w:left w:val="nil"/>
              <w:bottom w:val="nil"/>
              <w:right w:val="single" w:sz="4" w:space="0" w:color="auto"/>
            </w:tcBorders>
            <w:shd w:val="clear" w:color="auto" w:fill="auto"/>
          </w:tcPr>
          <w:p w14:paraId="1272EE82" w14:textId="55C25FD9" w:rsidR="0069773F" w:rsidRPr="00E223AF" w:rsidRDefault="00DD2D68" w:rsidP="00D972A5">
            <w:pPr>
              <w:jc w:val="center"/>
              <w:rPr>
                <w:color w:val="auto"/>
                <w:sz w:val="22"/>
                <w:szCs w:val="22"/>
              </w:rPr>
            </w:pPr>
            <w:r w:rsidRPr="00E223AF">
              <w:rPr>
                <w:b/>
                <w:color w:val="auto"/>
                <w:sz w:val="22"/>
                <w:szCs w:val="22"/>
              </w:rPr>
              <w:t>n = 51</w:t>
            </w:r>
          </w:p>
        </w:tc>
      </w:tr>
      <w:tr w:rsidR="00DD2D68" w:rsidRPr="00E223AF" w14:paraId="12B0A433" w14:textId="77777777" w:rsidTr="00273525">
        <w:trPr>
          <w:jc w:val="center"/>
        </w:trPr>
        <w:tc>
          <w:tcPr>
            <w:tcW w:w="4106" w:type="dxa"/>
            <w:tcBorders>
              <w:top w:val="nil"/>
              <w:left w:val="single" w:sz="4" w:space="0" w:color="auto"/>
              <w:bottom w:val="nil"/>
              <w:right w:val="nil"/>
            </w:tcBorders>
            <w:shd w:val="clear" w:color="auto" w:fill="auto"/>
            <w:vAlign w:val="bottom"/>
          </w:tcPr>
          <w:p w14:paraId="0BA0B4A4" w14:textId="3AE631DF" w:rsidR="00DD2D68" w:rsidRPr="00E223AF" w:rsidRDefault="00DD2D68" w:rsidP="00D972A5">
            <w:pPr>
              <w:ind w:left="306"/>
              <w:rPr>
                <w:color w:val="auto"/>
                <w:sz w:val="22"/>
                <w:szCs w:val="22"/>
              </w:rPr>
            </w:pPr>
            <w:r w:rsidRPr="00E223AF">
              <w:rPr>
                <w:color w:val="auto"/>
                <w:sz w:val="22"/>
                <w:szCs w:val="22"/>
              </w:rPr>
              <w:t>ORR (95% CI)</w:t>
            </w:r>
          </w:p>
        </w:tc>
        <w:tc>
          <w:tcPr>
            <w:tcW w:w="2552" w:type="dxa"/>
            <w:tcBorders>
              <w:top w:val="nil"/>
              <w:left w:val="nil"/>
              <w:bottom w:val="nil"/>
              <w:right w:val="single" w:sz="4" w:space="0" w:color="auto"/>
            </w:tcBorders>
            <w:shd w:val="clear" w:color="auto" w:fill="auto"/>
          </w:tcPr>
          <w:p w14:paraId="2F3EAE47" w14:textId="5A155D81" w:rsidR="00DD2D68" w:rsidRPr="00E223AF" w:rsidRDefault="00DD2D68" w:rsidP="00D972A5">
            <w:pPr>
              <w:jc w:val="center"/>
              <w:rPr>
                <w:color w:val="auto"/>
                <w:sz w:val="22"/>
                <w:szCs w:val="22"/>
              </w:rPr>
            </w:pPr>
            <w:r w:rsidRPr="00E223AF">
              <w:rPr>
                <w:color w:val="auto"/>
                <w:sz w:val="22"/>
                <w:szCs w:val="22"/>
              </w:rPr>
              <w:t>78% (65, 89)</w:t>
            </w:r>
          </w:p>
        </w:tc>
      </w:tr>
      <w:tr w:rsidR="00FB53F7" w:rsidRPr="00E223AF" w14:paraId="4001D3AE" w14:textId="77777777" w:rsidTr="00273525">
        <w:trPr>
          <w:jc w:val="center"/>
        </w:trPr>
        <w:tc>
          <w:tcPr>
            <w:tcW w:w="4106" w:type="dxa"/>
            <w:tcBorders>
              <w:top w:val="nil"/>
              <w:left w:val="single" w:sz="4" w:space="0" w:color="auto"/>
              <w:bottom w:val="nil"/>
              <w:right w:val="nil"/>
            </w:tcBorders>
            <w:shd w:val="clear" w:color="auto" w:fill="auto"/>
            <w:vAlign w:val="bottom"/>
          </w:tcPr>
          <w:p w14:paraId="54C1F605" w14:textId="77777777" w:rsidR="0069773F" w:rsidRPr="00E223AF" w:rsidRDefault="0069773F" w:rsidP="00D972A5">
            <w:pPr>
              <w:ind w:left="306"/>
              <w:rPr>
                <w:color w:val="auto"/>
                <w:sz w:val="22"/>
                <w:szCs w:val="22"/>
              </w:rPr>
            </w:pPr>
            <w:r w:rsidRPr="00E223AF">
              <w:rPr>
                <w:color w:val="auto"/>
                <w:sz w:val="22"/>
                <w:szCs w:val="22"/>
              </w:rPr>
              <w:t>CR, n (%)</w:t>
            </w:r>
          </w:p>
        </w:tc>
        <w:tc>
          <w:tcPr>
            <w:tcW w:w="2552" w:type="dxa"/>
            <w:tcBorders>
              <w:top w:val="nil"/>
              <w:left w:val="nil"/>
              <w:bottom w:val="nil"/>
              <w:right w:val="single" w:sz="4" w:space="0" w:color="auto"/>
            </w:tcBorders>
            <w:shd w:val="clear" w:color="auto" w:fill="auto"/>
          </w:tcPr>
          <w:p w14:paraId="30080DB0" w14:textId="5677A91C" w:rsidR="0069773F" w:rsidRPr="00E223AF" w:rsidRDefault="0069773F" w:rsidP="00F55A05">
            <w:pPr>
              <w:jc w:val="center"/>
              <w:rPr>
                <w:color w:val="auto"/>
                <w:sz w:val="22"/>
                <w:szCs w:val="22"/>
              </w:rPr>
            </w:pPr>
            <w:r w:rsidRPr="00E223AF">
              <w:rPr>
                <w:color w:val="auto"/>
                <w:sz w:val="22"/>
                <w:szCs w:val="22"/>
              </w:rPr>
              <w:t>3 (</w:t>
            </w:r>
            <w:r w:rsidR="00F55A05" w:rsidRPr="00E223AF">
              <w:rPr>
                <w:color w:val="auto"/>
                <w:sz w:val="22"/>
                <w:szCs w:val="22"/>
              </w:rPr>
              <w:t>6</w:t>
            </w:r>
            <w:r w:rsidRPr="00E223AF">
              <w:rPr>
                <w:color w:val="auto"/>
                <w:sz w:val="22"/>
                <w:szCs w:val="22"/>
              </w:rPr>
              <w:t>%)</w:t>
            </w:r>
          </w:p>
        </w:tc>
      </w:tr>
      <w:tr w:rsidR="00FB53F7" w:rsidRPr="00E223AF" w14:paraId="31316D57" w14:textId="77777777" w:rsidTr="00273525">
        <w:trPr>
          <w:jc w:val="center"/>
        </w:trPr>
        <w:tc>
          <w:tcPr>
            <w:tcW w:w="4106" w:type="dxa"/>
            <w:tcBorders>
              <w:top w:val="nil"/>
              <w:left w:val="single" w:sz="4" w:space="0" w:color="auto"/>
              <w:bottom w:val="nil"/>
              <w:right w:val="nil"/>
            </w:tcBorders>
            <w:shd w:val="clear" w:color="auto" w:fill="auto"/>
            <w:vAlign w:val="bottom"/>
          </w:tcPr>
          <w:p w14:paraId="2122A3A3" w14:textId="77777777" w:rsidR="0069773F" w:rsidRPr="00E223AF" w:rsidRDefault="0069773F" w:rsidP="00D972A5">
            <w:pPr>
              <w:ind w:left="306"/>
              <w:rPr>
                <w:color w:val="auto"/>
                <w:sz w:val="22"/>
                <w:szCs w:val="22"/>
              </w:rPr>
            </w:pPr>
            <w:r w:rsidRPr="00E223AF">
              <w:rPr>
                <w:color w:val="auto"/>
                <w:sz w:val="22"/>
                <w:szCs w:val="22"/>
              </w:rPr>
              <w:t>PR, n (%)</w:t>
            </w:r>
          </w:p>
        </w:tc>
        <w:tc>
          <w:tcPr>
            <w:tcW w:w="2552" w:type="dxa"/>
            <w:tcBorders>
              <w:top w:val="nil"/>
              <w:left w:val="nil"/>
              <w:bottom w:val="nil"/>
              <w:right w:val="single" w:sz="4" w:space="0" w:color="auto"/>
            </w:tcBorders>
            <w:shd w:val="clear" w:color="auto" w:fill="auto"/>
          </w:tcPr>
          <w:p w14:paraId="48EC6D7F" w14:textId="0320272E" w:rsidR="0069773F" w:rsidRPr="00E223AF" w:rsidRDefault="001412F3" w:rsidP="00F55A05">
            <w:pPr>
              <w:jc w:val="center"/>
              <w:rPr>
                <w:color w:val="auto"/>
                <w:sz w:val="22"/>
                <w:szCs w:val="22"/>
              </w:rPr>
            </w:pPr>
            <w:r w:rsidRPr="00E223AF">
              <w:rPr>
                <w:color w:val="auto"/>
                <w:sz w:val="22"/>
                <w:szCs w:val="22"/>
              </w:rPr>
              <w:t xml:space="preserve">37 </w:t>
            </w:r>
            <w:r w:rsidR="0069773F" w:rsidRPr="00E223AF">
              <w:rPr>
                <w:color w:val="auto"/>
                <w:sz w:val="22"/>
                <w:szCs w:val="22"/>
              </w:rPr>
              <w:t>(</w:t>
            </w:r>
            <w:r w:rsidR="00F55A05" w:rsidRPr="00E223AF">
              <w:rPr>
                <w:color w:val="auto"/>
                <w:sz w:val="22"/>
                <w:szCs w:val="22"/>
              </w:rPr>
              <w:t>73</w:t>
            </w:r>
            <w:r w:rsidR="0069773F" w:rsidRPr="00E223AF">
              <w:rPr>
                <w:color w:val="auto"/>
                <w:sz w:val="22"/>
                <w:szCs w:val="22"/>
              </w:rPr>
              <w:t>%)</w:t>
            </w:r>
          </w:p>
        </w:tc>
      </w:tr>
      <w:tr w:rsidR="00FB53F7" w:rsidRPr="00E223AF" w14:paraId="44467239" w14:textId="77777777" w:rsidTr="00273525">
        <w:trPr>
          <w:jc w:val="center"/>
        </w:trPr>
        <w:tc>
          <w:tcPr>
            <w:tcW w:w="4106" w:type="dxa"/>
            <w:tcBorders>
              <w:top w:val="single" w:sz="4" w:space="0" w:color="auto"/>
              <w:left w:val="single" w:sz="4" w:space="0" w:color="auto"/>
              <w:bottom w:val="nil"/>
              <w:right w:val="nil"/>
            </w:tcBorders>
            <w:shd w:val="clear" w:color="auto" w:fill="auto"/>
          </w:tcPr>
          <w:p w14:paraId="51CD79E8" w14:textId="038AB0E6" w:rsidR="0069773F" w:rsidRPr="00E223AF" w:rsidRDefault="0069773F" w:rsidP="00D972A5">
            <w:pPr>
              <w:rPr>
                <w:color w:val="auto"/>
                <w:sz w:val="22"/>
                <w:szCs w:val="22"/>
              </w:rPr>
            </w:pPr>
            <w:r w:rsidRPr="00E223AF">
              <w:rPr>
                <w:b/>
                <w:color w:val="auto"/>
                <w:sz w:val="22"/>
                <w:szCs w:val="22"/>
                <w:lang w:val="en-AU"/>
              </w:rPr>
              <w:t>Duration o</w:t>
            </w:r>
            <w:r w:rsidRPr="00E223AF">
              <w:rPr>
                <w:b/>
                <w:color w:val="auto"/>
                <w:sz w:val="22"/>
                <w:szCs w:val="22"/>
              </w:rPr>
              <w:t>f response</w:t>
            </w:r>
            <w:r w:rsidR="00A2726C" w:rsidRPr="00E223AF">
              <w:rPr>
                <w:b/>
                <w:color w:val="auto"/>
                <w:sz w:val="22"/>
                <w:szCs w:val="22"/>
              </w:rPr>
              <w:t xml:space="preserve"> (</w:t>
            </w:r>
            <w:r w:rsidR="00426452" w:rsidRPr="00E223AF">
              <w:rPr>
                <w:b/>
                <w:color w:val="auto"/>
                <w:sz w:val="22"/>
                <w:szCs w:val="22"/>
              </w:rPr>
              <w:t>DOR</w:t>
            </w:r>
            <w:r w:rsidR="00A2726C" w:rsidRPr="00E223AF">
              <w:rPr>
                <w:b/>
                <w:color w:val="auto"/>
                <w:sz w:val="22"/>
                <w:szCs w:val="22"/>
              </w:rPr>
              <w:t>)</w:t>
            </w:r>
            <w:r w:rsidRPr="00E223AF">
              <w:rPr>
                <w:color w:val="auto"/>
                <w:sz w:val="18"/>
                <w:szCs w:val="18"/>
              </w:rPr>
              <w:t>*</w:t>
            </w:r>
            <w:r w:rsidRPr="00E223AF">
              <w:rPr>
                <w:color w:val="auto"/>
                <w:sz w:val="22"/>
                <w:szCs w:val="22"/>
              </w:rPr>
              <w:t xml:space="preserve"> </w:t>
            </w:r>
          </w:p>
        </w:tc>
        <w:tc>
          <w:tcPr>
            <w:tcW w:w="2552" w:type="dxa"/>
            <w:tcBorders>
              <w:top w:val="single" w:sz="4" w:space="0" w:color="auto"/>
              <w:left w:val="nil"/>
              <w:bottom w:val="nil"/>
              <w:right w:val="single" w:sz="4" w:space="0" w:color="auto"/>
            </w:tcBorders>
            <w:shd w:val="clear" w:color="auto" w:fill="auto"/>
          </w:tcPr>
          <w:p w14:paraId="52CAAC72" w14:textId="7B9F22F1" w:rsidR="0069773F" w:rsidRPr="00E223AF" w:rsidRDefault="007E5CBC" w:rsidP="00D972A5">
            <w:pPr>
              <w:jc w:val="center"/>
              <w:rPr>
                <w:color w:val="auto"/>
                <w:sz w:val="22"/>
                <w:szCs w:val="22"/>
              </w:rPr>
            </w:pPr>
            <w:r w:rsidRPr="00E223AF">
              <w:rPr>
                <w:b/>
                <w:color w:val="auto"/>
                <w:sz w:val="22"/>
                <w:szCs w:val="22"/>
              </w:rPr>
              <w:t>n = 40</w:t>
            </w:r>
          </w:p>
        </w:tc>
      </w:tr>
      <w:tr w:rsidR="00FB53F7" w:rsidRPr="00E223AF" w14:paraId="49271FF5" w14:textId="77777777" w:rsidTr="00273525">
        <w:trPr>
          <w:jc w:val="center"/>
        </w:trPr>
        <w:tc>
          <w:tcPr>
            <w:tcW w:w="4106" w:type="dxa"/>
            <w:tcBorders>
              <w:top w:val="nil"/>
              <w:left w:val="single" w:sz="4" w:space="0" w:color="auto"/>
              <w:bottom w:val="nil"/>
              <w:right w:val="nil"/>
            </w:tcBorders>
            <w:shd w:val="clear" w:color="auto" w:fill="auto"/>
            <w:vAlign w:val="bottom"/>
          </w:tcPr>
          <w:p w14:paraId="3C074315" w14:textId="3ED6E2C6" w:rsidR="0069773F" w:rsidRPr="00E223AF" w:rsidRDefault="00DD2D68" w:rsidP="00D972A5">
            <w:pPr>
              <w:rPr>
                <w:iCs/>
                <w:color w:val="auto"/>
                <w:sz w:val="22"/>
                <w:szCs w:val="22"/>
              </w:rPr>
            </w:pPr>
            <w:r w:rsidRPr="00E223AF">
              <w:rPr>
                <w:iCs/>
                <w:color w:val="auto"/>
                <w:sz w:val="22"/>
                <w:szCs w:val="22"/>
              </w:rPr>
              <w:t>Range (</w:t>
            </w:r>
            <w:r w:rsidR="00426452" w:rsidRPr="00E223AF">
              <w:rPr>
                <w:iCs/>
                <w:color w:val="auto"/>
                <w:sz w:val="22"/>
                <w:szCs w:val="22"/>
              </w:rPr>
              <w:t>months</w:t>
            </w:r>
            <w:r w:rsidRPr="00E223AF">
              <w:rPr>
                <w:iCs/>
                <w:color w:val="auto"/>
                <w:sz w:val="22"/>
                <w:szCs w:val="22"/>
              </w:rPr>
              <w:t>)</w:t>
            </w:r>
          </w:p>
        </w:tc>
        <w:tc>
          <w:tcPr>
            <w:tcW w:w="2552" w:type="dxa"/>
            <w:tcBorders>
              <w:top w:val="nil"/>
              <w:left w:val="nil"/>
              <w:bottom w:val="nil"/>
              <w:right w:val="single" w:sz="4" w:space="0" w:color="auto"/>
            </w:tcBorders>
            <w:shd w:val="clear" w:color="auto" w:fill="auto"/>
            <w:vAlign w:val="bottom"/>
          </w:tcPr>
          <w:p w14:paraId="7DA54A7A" w14:textId="6D515CEC" w:rsidR="0069773F" w:rsidRPr="00E223AF" w:rsidRDefault="00426452" w:rsidP="00D972A5">
            <w:pPr>
              <w:jc w:val="center"/>
              <w:rPr>
                <w:color w:val="auto"/>
                <w:sz w:val="22"/>
                <w:szCs w:val="22"/>
              </w:rPr>
            </w:pPr>
            <w:r w:rsidRPr="00E223AF">
              <w:rPr>
                <w:color w:val="auto"/>
                <w:sz w:val="22"/>
                <w:szCs w:val="22"/>
              </w:rPr>
              <w:t>1.8,  36.8+</w:t>
            </w:r>
          </w:p>
        </w:tc>
      </w:tr>
      <w:tr w:rsidR="00FB53F7" w:rsidRPr="00E223AF" w14:paraId="3D20678F" w14:textId="77777777" w:rsidTr="00273525">
        <w:trPr>
          <w:jc w:val="center"/>
        </w:trPr>
        <w:tc>
          <w:tcPr>
            <w:tcW w:w="4106" w:type="dxa"/>
            <w:tcBorders>
              <w:top w:val="nil"/>
              <w:left w:val="single" w:sz="4" w:space="0" w:color="auto"/>
              <w:bottom w:val="nil"/>
              <w:right w:val="nil"/>
            </w:tcBorders>
            <w:shd w:val="clear" w:color="auto" w:fill="auto"/>
            <w:vAlign w:val="bottom"/>
          </w:tcPr>
          <w:p w14:paraId="7D01DABC" w14:textId="32F93263" w:rsidR="0069773F" w:rsidRPr="00E223AF" w:rsidRDefault="007E5CBC" w:rsidP="002B63D2">
            <w:pPr>
              <w:rPr>
                <w:iCs/>
                <w:color w:val="auto"/>
                <w:sz w:val="22"/>
                <w:szCs w:val="22"/>
              </w:rPr>
            </w:pPr>
            <w:r w:rsidRPr="00E223AF">
              <w:rPr>
                <w:iCs/>
                <w:color w:val="auto"/>
                <w:sz w:val="22"/>
                <w:szCs w:val="22"/>
                <w:lang w:val="en-US"/>
              </w:rPr>
              <w:t xml:space="preserve">% </w:t>
            </w:r>
            <w:r w:rsidR="00DD2D68" w:rsidRPr="00E223AF">
              <w:rPr>
                <w:iCs/>
                <w:color w:val="auto"/>
                <w:sz w:val="22"/>
                <w:szCs w:val="22"/>
                <w:lang w:val="en-US"/>
              </w:rPr>
              <w:t>with duration</w:t>
            </w:r>
            <w:r w:rsidRPr="00E223AF">
              <w:rPr>
                <w:iCs/>
                <w:color w:val="auto"/>
                <w:sz w:val="22"/>
                <w:szCs w:val="22"/>
                <w:lang w:val="en-US"/>
              </w:rPr>
              <w:t xml:space="preserve"> ≥ 9 months</w:t>
            </w:r>
            <w:r w:rsidRPr="00E223AF" w:rsidDel="007E5CBC">
              <w:rPr>
                <w:iCs/>
                <w:color w:val="auto"/>
                <w:sz w:val="22"/>
                <w:szCs w:val="22"/>
              </w:rPr>
              <w:t xml:space="preserve"> </w:t>
            </w:r>
          </w:p>
        </w:tc>
        <w:tc>
          <w:tcPr>
            <w:tcW w:w="2552" w:type="dxa"/>
            <w:tcBorders>
              <w:top w:val="nil"/>
              <w:left w:val="nil"/>
              <w:bottom w:val="nil"/>
              <w:right w:val="single" w:sz="4" w:space="0" w:color="auto"/>
            </w:tcBorders>
            <w:shd w:val="clear" w:color="auto" w:fill="auto"/>
          </w:tcPr>
          <w:p w14:paraId="4B314B3E" w14:textId="128149B9" w:rsidR="0069773F" w:rsidRPr="00E223AF" w:rsidRDefault="007E5CBC" w:rsidP="00D972A5">
            <w:pPr>
              <w:jc w:val="center"/>
              <w:rPr>
                <w:color w:val="auto"/>
                <w:sz w:val="22"/>
                <w:szCs w:val="22"/>
              </w:rPr>
            </w:pPr>
            <w:r w:rsidRPr="00E223AF">
              <w:rPr>
                <w:color w:val="auto"/>
                <w:sz w:val="22"/>
                <w:szCs w:val="22"/>
              </w:rPr>
              <w:t>70%</w:t>
            </w:r>
          </w:p>
        </w:tc>
      </w:tr>
      <w:tr w:rsidR="00FB53F7" w:rsidRPr="00E223AF" w14:paraId="4FC85FC5" w14:textId="77777777" w:rsidTr="00273525">
        <w:trPr>
          <w:jc w:val="center"/>
        </w:trPr>
        <w:tc>
          <w:tcPr>
            <w:tcW w:w="4106" w:type="dxa"/>
            <w:tcBorders>
              <w:top w:val="nil"/>
              <w:left w:val="single" w:sz="4" w:space="0" w:color="auto"/>
              <w:bottom w:val="nil"/>
              <w:right w:val="nil"/>
            </w:tcBorders>
            <w:shd w:val="clear" w:color="auto" w:fill="auto"/>
            <w:vAlign w:val="bottom"/>
          </w:tcPr>
          <w:p w14:paraId="1F31B138" w14:textId="6CC97B46" w:rsidR="0069773F" w:rsidRPr="00E223AF" w:rsidRDefault="007E5CBC" w:rsidP="002B63D2">
            <w:pPr>
              <w:rPr>
                <w:iCs/>
                <w:color w:val="auto"/>
                <w:sz w:val="22"/>
                <w:szCs w:val="22"/>
              </w:rPr>
            </w:pPr>
            <w:r w:rsidRPr="00E223AF">
              <w:rPr>
                <w:iCs/>
                <w:color w:val="auto"/>
                <w:sz w:val="22"/>
                <w:szCs w:val="22"/>
                <w:lang w:val="en-US"/>
              </w:rPr>
              <w:t xml:space="preserve">% </w:t>
            </w:r>
            <w:r w:rsidR="00DD2D68" w:rsidRPr="00E223AF">
              <w:rPr>
                <w:iCs/>
                <w:color w:val="auto"/>
                <w:sz w:val="22"/>
                <w:szCs w:val="22"/>
                <w:lang w:val="en-US"/>
              </w:rPr>
              <w:t>with duration</w:t>
            </w:r>
            <w:r w:rsidRPr="00E223AF">
              <w:rPr>
                <w:iCs/>
                <w:color w:val="auto"/>
                <w:sz w:val="22"/>
                <w:szCs w:val="22"/>
                <w:lang w:val="en-US"/>
              </w:rPr>
              <w:t xml:space="preserve"> ≥ 12 months</w:t>
            </w:r>
            <w:r w:rsidRPr="00E223AF" w:rsidDel="007E5CBC">
              <w:rPr>
                <w:iCs/>
                <w:color w:val="auto"/>
                <w:sz w:val="22"/>
                <w:szCs w:val="22"/>
              </w:rPr>
              <w:t xml:space="preserve"> </w:t>
            </w:r>
          </w:p>
        </w:tc>
        <w:tc>
          <w:tcPr>
            <w:tcW w:w="2552" w:type="dxa"/>
            <w:tcBorders>
              <w:top w:val="nil"/>
              <w:left w:val="nil"/>
              <w:bottom w:val="nil"/>
              <w:right w:val="single" w:sz="4" w:space="0" w:color="auto"/>
            </w:tcBorders>
            <w:shd w:val="clear" w:color="auto" w:fill="auto"/>
          </w:tcPr>
          <w:p w14:paraId="506863C5" w14:textId="637B5A18" w:rsidR="0069773F" w:rsidRPr="00E223AF" w:rsidRDefault="007E5CBC" w:rsidP="00D972A5">
            <w:pPr>
              <w:jc w:val="center"/>
              <w:rPr>
                <w:color w:val="auto"/>
                <w:sz w:val="22"/>
                <w:szCs w:val="22"/>
              </w:rPr>
            </w:pPr>
            <w:r w:rsidRPr="00E223AF">
              <w:rPr>
                <w:color w:val="auto"/>
                <w:sz w:val="22"/>
                <w:szCs w:val="22"/>
              </w:rPr>
              <w:t>55%</w:t>
            </w:r>
          </w:p>
        </w:tc>
      </w:tr>
      <w:tr w:rsidR="00FB53F7" w:rsidRPr="00E223AF" w14:paraId="1C9354FB" w14:textId="77777777" w:rsidTr="00273525">
        <w:trPr>
          <w:jc w:val="center"/>
        </w:trPr>
        <w:tc>
          <w:tcPr>
            <w:tcW w:w="4106" w:type="dxa"/>
            <w:tcBorders>
              <w:top w:val="nil"/>
              <w:left w:val="single" w:sz="4" w:space="0" w:color="auto"/>
              <w:bottom w:val="single" w:sz="4" w:space="0" w:color="auto"/>
              <w:right w:val="nil"/>
            </w:tcBorders>
            <w:shd w:val="clear" w:color="auto" w:fill="auto"/>
            <w:vAlign w:val="bottom"/>
          </w:tcPr>
          <w:p w14:paraId="550EF549" w14:textId="35954523" w:rsidR="0069773F" w:rsidRPr="00E223AF" w:rsidRDefault="007E5CBC" w:rsidP="002B63D2">
            <w:pPr>
              <w:rPr>
                <w:iCs/>
                <w:color w:val="auto"/>
                <w:sz w:val="22"/>
                <w:szCs w:val="22"/>
              </w:rPr>
            </w:pPr>
            <w:r w:rsidRPr="00E223AF">
              <w:rPr>
                <w:iCs/>
                <w:color w:val="auto"/>
                <w:sz w:val="22"/>
                <w:szCs w:val="22"/>
                <w:lang w:val="en-US"/>
              </w:rPr>
              <w:t xml:space="preserve">% </w:t>
            </w:r>
            <w:r w:rsidR="00DD2D68" w:rsidRPr="00E223AF">
              <w:rPr>
                <w:iCs/>
                <w:color w:val="auto"/>
                <w:sz w:val="22"/>
                <w:szCs w:val="22"/>
                <w:lang w:val="en-US"/>
              </w:rPr>
              <w:t>with duration</w:t>
            </w:r>
            <w:r w:rsidRPr="00E223AF">
              <w:rPr>
                <w:iCs/>
                <w:color w:val="auto"/>
                <w:sz w:val="22"/>
                <w:szCs w:val="22"/>
                <w:lang w:val="en-US"/>
              </w:rPr>
              <w:t xml:space="preserve"> ≥ 18 months</w:t>
            </w:r>
            <w:r w:rsidRPr="00E223AF" w:rsidDel="007E5CBC">
              <w:rPr>
                <w:iCs/>
                <w:color w:val="auto"/>
                <w:sz w:val="22"/>
                <w:szCs w:val="22"/>
              </w:rPr>
              <w:t xml:space="preserve"> </w:t>
            </w:r>
          </w:p>
        </w:tc>
        <w:tc>
          <w:tcPr>
            <w:tcW w:w="2552" w:type="dxa"/>
            <w:tcBorders>
              <w:top w:val="nil"/>
              <w:left w:val="nil"/>
              <w:bottom w:val="single" w:sz="4" w:space="0" w:color="auto"/>
              <w:right w:val="single" w:sz="4" w:space="0" w:color="auto"/>
            </w:tcBorders>
            <w:shd w:val="clear" w:color="auto" w:fill="auto"/>
          </w:tcPr>
          <w:p w14:paraId="39E4E0DD" w14:textId="19E1E9C6" w:rsidR="0069773F" w:rsidRPr="00E223AF" w:rsidRDefault="007E5CBC" w:rsidP="00D972A5">
            <w:pPr>
              <w:jc w:val="center"/>
              <w:rPr>
                <w:color w:val="auto"/>
                <w:sz w:val="22"/>
                <w:szCs w:val="22"/>
              </w:rPr>
            </w:pPr>
            <w:r w:rsidRPr="00E223AF">
              <w:rPr>
                <w:color w:val="auto"/>
                <w:sz w:val="22"/>
                <w:szCs w:val="22"/>
              </w:rPr>
              <w:t>30%</w:t>
            </w:r>
          </w:p>
        </w:tc>
      </w:tr>
    </w:tbl>
    <w:p w14:paraId="43FB9841" w14:textId="14836C29" w:rsidR="0069773F" w:rsidRPr="00273525" w:rsidRDefault="0069773F" w:rsidP="00273525">
      <w:pPr>
        <w:ind w:left="1440"/>
        <w:rPr>
          <w:rFonts w:eastAsia="CourierNewPSMT"/>
          <w:color w:val="auto"/>
          <w:sz w:val="20"/>
          <w:szCs w:val="20"/>
        </w:rPr>
      </w:pPr>
      <w:r w:rsidRPr="00273525">
        <w:rPr>
          <w:rFonts w:eastAsia="CourierNewPSMT"/>
          <w:color w:val="auto"/>
          <w:sz w:val="20"/>
          <w:szCs w:val="20"/>
        </w:rPr>
        <w:t xml:space="preserve">CR = complete response; PR = partial response; </w:t>
      </w:r>
    </w:p>
    <w:p w14:paraId="260CBEAC" w14:textId="5ED4A300" w:rsidR="0069773F" w:rsidRPr="00273525" w:rsidRDefault="0069773F" w:rsidP="00273525">
      <w:pPr>
        <w:ind w:left="1440"/>
        <w:rPr>
          <w:rFonts w:eastAsia="CourierNewPSMT"/>
          <w:color w:val="auto"/>
          <w:sz w:val="20"/>
          <w:szCs w:val="20"/>
        </w:rPr>
      </w:pPr>
      <w:r w:rsidRPr="00273525">
        <w:rPr>
          <w:rFonts w:eastAsia="CourierNewPSMT"/>
          <w:color w:val="auto"/>
          <w:sz w:val="20"/>
          <w:szCs w:val="20"/>
        </w:rPr>
        <w:t xml:space="preserve">Confidence Intervals (CI) calculated using the </w:t>
      </w:r>
      <w:proofErr w:type="spellStart"/>
      <w:r w:rsidRPr="00273525">
        <w:rPr>
          <w:rFonts w:eastAsia="CourierNewPSMT"/>
          <w:color w:val="auto"/>
          <w:sz w:val="20"/>
          <w:szCs w:val="20"/>
        </w:rPr>
        <w:t>Clopper</w:t>
      </w:r>
      <w:proofErr w:type="spellEnd"/>
      <w:r w:rsidRPr="00273525">
        <w:rPr>
          <w:rFonts w:eastAsia="CourierNewPSMT"/>
          <w:color w:val="auto"/>
          <w:sz w:val="20"/>
          <w:szCs w:val="20"/>
        </w:rPr>
        <w:t>-Pearson method.</w:t>
      </w:r>
    </w:p>
    <w:p w14:paraId="1E7E16D6" w14:textId="2C4C34AD" w:rsidR="00426452" w:rsidRPr="00273525" w:rsidRDefault="00426452" w:rsidP="00273525">
      <w:pPr>
        <w:ind w:left="1440"/>
        <w:rPr>
          <w:rFonts w:eastAsia="CourierNewPSMT"/>
          <w:color w:val="auto"/>
          <w:sz w:val="20"/>
          <w:szCs w:val="20"/>
        </w:rPr>
      </w:pPr>
      <w:r w:rsidRPr="00273525">
        <w:rPr>
          <w:rFonts w:eastAsia="CourierNewPSMT"/>
          <w:color w:val="auto"/>
          <w:sz w:val="20"/>
          <w:szCs w:val="20"/>
        </w:rPr>
        <w:t>*Observed DOR based on additional 5 months’ follow-up after the primary analysis of ORR.</w:t>
      </w:r>
    </w:p>
    <w:p w14:paraId="028DA6CB" w14:textId="3E926EB7" w:rsidR="00426452" w:rsidRPr="00E223AF" w:rsidRDefault="00426452" w:rsidP="00273525">
      <w:pPr>
        <w:ind w:left="1440"/>
        <w:rPr>
          <w:rFonts w:eastAsia="CourierNewPSMT"/>
          <w:color w:val="auto"/>
          <w:sz w:val="22"/>
          <w:szCs w:val="22"/>
        </w:rPr>
      </w:pPr>
      <w:r w:rsidRPr="00273525">
        <w:rPr>
          <w:rFonts w:eastAsia="CourierNewPSMT"/>
          <w:color w:val="auto"/>
          <w:sz w:val="20"/>
          <w:szCs w:val="20"/>
        </w:rPr>
        <w:t>+ denotes ongoing response</w:t>
      </w:r>
    </w:p>
    <w:p w14:paraId="51FB83C8" w14:textId="139B05CA" w:rsidR="0069773F" w:rsidRPr="00E223AF" w:rsidRDefault="0069773F" w:rsidP="0069773F">
      <w:pPr>
        <w:rPr>
          <w:rFonts w:eastAsia="CourierNewPSMT"/>
          <w:color w:val="auto"/>
          <w:sz w:val="22"/>
          <w:szCs w:val="22"/>
        </w:rPr>
      </w:pPr>
    </w:p>
    <w:p w14:paraId="6445B4E9" w14:textId="51A1AE63" w:rsidR="00A31C4C" w:rsidRPr="00E223AF" w:rsidRDefault="0069773F" w:rsidP="0069773F">
      <w:pPr>
        <w:rPr>
          <w:color w:val="auto"/>
        </w:rPr>
      </w:pPr>
      <w:r w:rsidRPr="00E223AF">
        <w:rPr>
          <w:color w:val="auto"/>
        </w:rPr>
        <w:t xml:space="preserve">Of the </w:t>
      </w:r>
      <w:r w:rsidR="009079E1" w:rsidRPr="00E223AF">
        <w:rPr>
          <w:color w:val="auto"/>
        </w:rPr>
        <w:t xml:space="preserve">51 </w:t>
      </w:r>
      <w:r w:rsidRPr="00E223AF">
        <w:rPr>
          <w:color w:val="auto"/>
        </w:rPr>
        <w:t>patients with ROS1-positive NSCLC in the efficacy evaluable analysis set</w:t>
      </w:r>
      <w:r w:rsidR="00426452" w:rsidRPr="00E223AF">
        <w:rPr>
          <w:color w:val="auto"/>
        </w:rPr>
        <w:t xml:space="preserve">, 7 had measurable CNS metastases at baseline as assessed by BICR and had not received radiation therapy to the brain within 2 months prior to study entry. Responses in intracranial lesions were observed in 5 of these 7 patients. </w:t>
      </w:r>
    </w:p>
    <w:p w14:paraId="76C849D7" w14:textId="01E2AF5B" w:rsidR="00417605" w:rsidRPr="00E223AF" w:rsidRDefault="00417605" w:rsidP="0010644D">
      <w:pPr>
        <w:pStyle w:val="Heading4"/>
        <w:rPr>
          <w:color w:val="auto"/>
          <w:lang w:val="en-AU"/>
        </w:rPr>
      </w:pPr>
      <w:r w:rsidRPr="00E223AF">
        <w:rPr>
          <w:color w:val="auto"/>
          <w:lang w:val="en-AU"/>
        </w:rPr>
        <w:t>NTRK fusion-positive solid tumo</w:t>
      </w:r>
      <w:r w:rsidR="0010644D" w:rsidRPr="00E223AF">
        <w:rPr>
          <w:color w:val="auto"/>
          <w:lang w:val="en-AU"/>
        </w:rPr>
        <w:t>u</w:t>
      </w:r>
      <w:r w:rsidRPr="00E223AF">
        <w:rPr>
          <w:color w:val="auto"/>
          <w:lang w:val="en-AU"/>
        </w:rPr>
        <w:t xml:space="preserve">rs </w:t>
      </w:r>
    </w:p>
    <w:p w14:paraId="7CC5BF54" w14:textId="0F3BD1FE" w:rsidR="00417605" w:rsidRPr="00E223AF" w:rsidRDefault="00417605" w:rsidP="0010644D">
      <w:pPr>
        <w:pStyle w:val="Heading5"/>
        <w:rPr>
          <w:color w:val="auto"/>
          <w:lang w:val="en-AU"/>
        </w:rPr>
      </w:pPr>
      <w:r w:rsidRPr="00E223AF">
        <w:rPr>
          <w:color w:val="auto"/>
          <w:lang w:val="en-AU"/>
        </w:rPr>
        <w:t xml:space="preserve">Efficacy in </w:t>
      </w:r>
      <w:r w:rsidR="0010644D" w:rsidRPr="00E223AF">
        <w:rPr>
          <w:color w:val="auto"/>
          <w:lang w:val="en-AU"/>
        </w:rPr>
        <w:t>a</w:t>
      </w:r>
      <w:r w:rsidRPr="00E223AF">
        <w:rPr>
          <w:color w:val="auto"/>
          <w:lang w:val="en-AU"/>
        </w:rPr>
        <w:t>dult patients</w:t>
      </w:r>
    </w:p>
    <w:p w14:paraId="3A25C8E4" w14:textId="0A398EF8" w:rsidR="00426452" w:rsidRPr="00E223AF" w:rsidRDefault="00426452" w:rsidP="00426452">
      <w:pPr>
        <w:pStyle w:val="Heading5"/>
        <w:rPr>
          <w:i w:val="0"/>
          <w:color w:val="auto"/>
          <w:lang w:val="en-AU"/>
        </w:rPr>
      </w:pPr>
      <w:r w:rsidRPr="00E223AF">
        <w:rPr>
          <w:i w:val="0"/>
          <w:color w:val="auto"/>
          <w:lang w:val="en-AU"/>
        </w:rPr>
        <w:t xml:space="preserve">The efficacy of </w:t>
      </w:r>
      <w:r w:rsidR="00E611DE" w:rsidRPr="00E223AF">
        <w:rPr>
          <w:i w:val="0"/>
          <w:color w:val="auto"/>
          <w:lang w:val="en-AU"/>
        </w:rPr>
        <w:t>Rozlytrek</w:t>
      </w:r>
      <w:r w:rsidRPr="00E223AF">
        <w:rPr>
          <w:i w:val="0"/>
          <w:color w:val="auto"/>
          <w:lang w:val="en-AU"/>
        </w:rPr>
        <w:t xml:space="preserve"> was evaluated in a pooled subgroup of adult patients with </w:t>
      </w:r>
      <w:proofErr w:type="spellStart"/>
      <w:r w:rsidRPr="00E223AF">
        <w:rPr>
          <w:i w:val="0"/>
          <w:color w:val="auto"/>
          <w:lang w:val="en-AU"/>
        </w:rPr>
        <w:t>unresectable</w:t>
      </w:r>
      <w:proofErr w:type="spellEnd"/>
      <w:r w:rsidRPr="00E223AF">
        <w:rPr>
          <w:i w:val="0"/>
          <w:color w:val="auto"/>
          <w:lang w:val="en-AU"/>
        </w:rPr>
        <w:t xml:space="preserve"> or metastatic solid </w:t>
      </w:r>
      <w:r w:rsidR="00E611DE" w:rsidRPr="00E223AF">
        <w:rPr>
          <w:i w:val="0"/>
          <w:color w:val="auto"/>
          <w:lang w:val="en-AU"/>
        </w:rPr>
        <w:t>tumour</w:t>
      </w:r>
      <w:r w:rsidRPr="00E223AF">
        <w:rPr>
          <w:i w:val="0"/>
          <w:color w:val="auto"/>
          <w:lang w:val="en-AU"/>
        </w:rPr>
        <w:t>s with a NTRK gene fusion enrolled in o</w:t>
      </w:r>
      <w:r w:rsidR="00D24451" w:rsidRPr="00E223AF">
        <w:rPr>
          <w:i w:val="0"/>
          <w:color w:val="auto"/>
          <w:lang w:val="en-AU"/>
        </w:rPr>
        <w:t>ne of three multicentre</w:t>
      </w:r>
      <w:r w:rsidRPr="00E223AF">
        <w:rPr>
          <w:i w:val="0"/>
          <w:color w:val="auto"/>
          <w:lang w:val="en-AU"/>
        </w:rPr>
        <w:t xml:space="preserve">, single-arm, open-label clinical trials: ALKA, STARTRK-1 </w:t>
      </w:r>
      <w:r w:rsidR="00A2726C" w:rsidRPr="00E223AF">
        <w:rPr>
          <w:i w:val="0"/>
          <w:color w:val="auto"/>
          <w:lang w:val="en-AU"/>
        </w:rPr>
        <w:t>and STARTRK-2</w:t>
      </w:r>
      <w:r w:rsidRPr="00E223AF">
        <w:rPr>
          <w:i w:val="0"/>
          <w:color w:val="auto"/>
          <w:lang w:val="en-AU"/>
        </w:rPr>
        <w:t xml:space="preserve">. To be included in this pooled subgroup, patients were required to have progressed following systemic therapy for their disease, if available, or would have required surgery causing significant morbidity for locally advanced disease; measurable disease per RECIST v1.1; at least 6 months of follow-up after the first dose of </w:t>
      </w:r>
      <w:r w:rsidR="00E611DE" w:rsidRPr="00E223AF">
        <w:rPr>
          <w:i w:val="0"/>
          <w:color w:val="auto"/>
          <w:lang w:val="en-AU"/>
        </w:rPr>
        <w:t>Rozlytrek</w:t>
      </w:r>
      <w:r w:rsidRPr="00E223AF">
        <w:rPr>
          <w:i w:val="0"/>
          <w:color w:val="auto"/>
          <w:lang w:val="en-AU"/>
        </w:rPr>
        <w:t xml:space="preserve">; and no prior therapy with a TRK inhibitor. Patients received </w:t>
      </w:r>
      <w:r w:rsidR="00E611DE" w:rsidRPr="00E223AF">
        <w:rPr>
          <w:i w:val="0"/>
          <w:color w:val="auto"/>
          <w:lang w:val="en-AU"/>
        </w:rPr>
        <w:t>Rozlytrek</w:t>
      </w:r>
      <w:r w:rsidRPr="00E223AF">
        <w:rPr>
          <w:i w:val="0"/>
          <w:color w:val="auto"/>
          <w:lang w:val="en-AU"/>
        </w:rPr>
        <w:t xml:space="preserve"> at various doses and schedules (94% received </w:t>
      </w:r>
      <w:r w:rsidR="00E611DE" w:rsidRPr="00E223AF">
        <w:rPr>
          <w:i w:val="0"/>
          <w:color w:val="auto"/>
          <w:lang w:val="en-AU"/>
        </w:rPr>
        <w:t>Rozlytrek</w:t>
      </w:r>
      <w:r w:rsidRPr="00E223AF">
        <w:rPr>
          <w:i w:val="0"/>
          <w:color w:val="auto"/>
          <w:lang w:val="en-AU"/>
        </w:rPr>
        <w:t xml:space="preserve"> 600 mg orally once daily) until unacceptable toxicity or disease progression. Identification of </w:t>
      </w:r>
      <w:r w:rsidRPr="00E223AF">
        <w:rPr>
          <w:i w:val="0"/>
          <w:color w:val="auto"/>
          <w:lang w:val="en-AU"/>
        </w:rPr>
        <w:lastRenderedPageBreak/>
        <w:t xml:space="preserve">positive NTRK gene fusion status was prospectively determined in local laboratories or a central laboratory using various nucleic acid-based tests. The major efficacy outcome measures were ORR and DOR, as determined by a BICR according to RECIST v1.1. Intracranial response according to RECIST v1.1 as evaluated by BICR. </w:t>
      </w:r>
      <w:r w:rsidR="00E611DE" w:rsidRPr="00E223AF">
        <w:rPr>
          <w:i w:val="0"/>
          <w:color w:val="auto"/>
          <w:lang w:val="en-AU"/>
        </w:rPr>
        <w:t>Tumour</w:t>
      </w:r>
      <w:r w:rsidRPr="00E223AF">
        <w:rPr>
          <w:i w:val="0"/>
          <w:color w:val="auto"/>
          <w:lang w:val="en-AU"/>
        </w:rPr>
        <w:t xml:space="preserve"> assessments with imaging were performed every 8 weeks.</w:t>
      </w:r>
    </w:p>
    <w:p w14:paraId="6E4C0A9A" w14:textId="77777777" w:rsidR="00A2726C" w:rsidRPr="00E223AF" w:rsidRDefault="00A2726C" w:rsidP="00417605">
      <w:pPr>
        <w:rPr>
          <w:color w:val="auto"/>
          <w:lang w:val="en-AU"/>
        </w:rPr>
      </w:pPr>
    </w:p>
    <w:p w14:paraId="69A1E099" w14:textId="202A1A8C" w:rsidR="00426452" w:rsidRPr="00E223AF" w:rsidRDefault="00426452" w:rsidP="00417605">
      <w:pPr>
        <w:rPr>
          <w:color w:val="auto"/>
          <w:lang w:val="en-AU"/>
        </w:rPr>
      </w:pPr>
      <w:r w:rsidRPr="00E223AF">
        <w:rPr>
          <w:color w:val="auto"/>
          <w:lang w:val="en-AU"/>
        </w:rPr>
        <w:t xml:space="preserve">Efficacy was assessed in the first 54 adult patients with solid </w:t>
      </w:r>
      <w:r w:rsidR="00E611DE" w:rsidRPr="00E223AF">
        <w:rPr>
          <w:color w:val="auto"/>
          <w:lang w:val="en-AU"/>
        </w:rPr>
        <w:t>tumour</w:t>
      </w:r>
      <w:r w:rsidRPr="00E223AF">
        <w:rPr>
          <w:color w:val="auto"/>
          <w:lang w:val="en-AU"/>
        </w:rPr>
        <w:t xml:space="preserve">s with an NTRK gene fusion enrolled into these trials. The median age was 57 years (range: 21 to 83); female (59%); White (80%), Asian (13%) and Hispanic or Latino (7%); and ECOG performance status 0 (43%) or 1 (46%). Ninety-six percent of patients had metastatic disease, including 22% with CNS metastases, and 4% had locally advanced, </w:t>
      </w:r>
      <w:proofErr w:type="spellStart"/>
      <w:r w:rsidRPr="00E223AF">
        <w:rPr>
          <w:color w:val="auto"/>
          <w:lang w:val="en-AU"/>
        </w:rPr>
        <w:t>unresectable</w:t>
      </w:r>
      <w:proofErr w:type="spellEnd"/>
      <w:r w:rsidRPr="00E223AF">
        <w:rPr>
          <w:color w:val="auto"/>
          <w:lang w:val="en-AU"/>
        </w:rPr>
        <w:t xml:space="preserve"> disease. All patients had received prior treatment for their cancer including sur</w:t>
      </w:r>
      <w:r w:rsidR="004F170B" w:rsidRPr="00E223AF">
        <w:rPr>
          <w:color w:val="auto"/>
          <w:lang w:val="en-AU"/>
        </w:rPr>
        <w:t>gery (n=43), radiotherapy (n=36), or systemic therapy (n=</w:t>
      </w:r>
      <w:r w:rsidRPr="00E223AF">
        <w:rPr>
          <w:color w:val="auto"/>
          <w:lang w:val="en-AU"/>
        </w:rPr>
        <w:t>48). Thirty-four patients (63%) received prior systemic therapy for metastatic disease with a median of 1 pr</w:t>
      </w:r>
      <w:r w:rsidR="004F170B" w:rsidRPr="00E223AF">
        <w:rPr>
          <w:color w:val="auto"/>
          <w:lang w:val="en-AU"/>
        </w:rPr>
        <w:t>ior systemic regimen and 17% (n=</w:t>
      </w:r>
      <w:r w:rsidRPr="00E223AF">
        <w:rPr>
          <w:color w:val="auto"/>
          <w:lang w:val="en-AU"/>
        </w:rPr>
        <w:t xml:space="preserve">9) received 3 or more prior systemic regimens. The most common cancers were sarcoma (24%), lung cancer (19%), salivary gland </w:t>
      </w:r>
      <w:r w:rsidR="00E611DE" w:rsidRPr="00E223AF">
        <w:rPr>
          <w:color w:val="auto"/>
          <w:lang w:val="en-AU"/>
        </w:rPr>
        <w:t>tumour</w:t>
      </w:r>
      <w:r w:rsidRPr="00E223AF">
        <w:rPr>
          <w:color w:val="auto"/>
          <w:lang w:val="en-AU"/>
        </w:rPr>
        <w:t xml:space="preserve">s (13%), breast cancer (11%), thyroid cancer (9%), and colorectal cancer (7%). A total of 52 (96%) patients had an NTRK gene fusion detected by NGS and 2 (4%) had an NTRK gene fusion detected by other nucleic acid-based tests. Eighty-three percent of patients had central laboratory confirmation of NTRK gene fusion using an analytically validated </w:t>
      </w:r>
      <w:r w:rsidR="00A2726C" w:rsidRPr="00E223AF">
        <w:rPr>
          <w:color w:val="auto"/>
          <w:lang w:val="en-AU"/>
        </w:rPr>
        <w:t xml:space="preserve">RNA-based </w:t>
      </w:r>
      <w:r w:rsidRPr="00E223AF">
        <w:rPr>
          <w:color w:val="auto"/>
          <w:lang w:val="en-AU"/>
        </w:rPr>
        <w:t>NGS test.</w:t>
      </w:r>
    </w:p>
    <w:p w14:paraId="1163E2D9" w14:textId="77777777" w:rsidR="00426452" w:rsidRPr="00E223AF" w:rsidRDefault="00426452" w:rsidP="00417605">
      <w:pPr>
        <w:rPr>
          <w:color w:val="auto"/>
          <w:lang w:val="en-AU"/>
        </w:rPr>
      </w:pPr>
    </w:p>
    <w:p w14:paraId="659B5650" w14:textId="0BB87E39" w:rsidR="00417605" w:rsidRPr="00E223AF" w:rsidRDefault="00A2726C" w:rsidP="00417605">
      <w:pPr>
        <w:rPr>
          <w:color w:val="auto"/>
        </w:rPr>
      </w:pPr>
      <w:r w:rsidRPr="00E223AF">
        <w:rPr>
          <w:color w:val="auto"/>
          <w:lang w:val="en-AU"/>
        </w:rPr>
        <w:t>Efficacy results from patients with NTRK-positive solid tumours are summarised in</w:t>
      </w:r>
      <w:r w:rsidRPr="00E223AF" w:rsidDel="00426452">
        <w:rPr>
          <w:color w:val="auto"/>
          <w:lang w:val="en-AU"/>
        </w:rPr>
        <w:t xml:space="preserve"> </w:t>
      </w:r>
      <w:r w:rsidR="00417605" w:rsidRPr="00E223AF">
        <w:rPr>
          <w:color w:val="auto"/>
        </w:rPr>
        <w:t xml:space="preserve">Table </w:t>
      </w:r>
      <w:r w:rsidR="005A4149" w:rsidRPr="00E223AF">
        <w:rPr>
          <w:color w:val="auto"/>
        </w:rPr>
        <w:t>7</w:t>
      </w:r>
      <w:r w:rsidR="00417605" w:rsidRPr="00E223AF">
        <w:rPr>
          <w:color w:val="auto"/>
        </w:rPr>
        <w:t xml:space="preserve">. </w:t>
      </w:r>
    </w:p>
    <w:p w14:paraId="6EF146AC" w14:textId="77777777" w:rsidR="00813741" w:rsidRPr="00E223AF" w:rsidRDefault="00813741" w:rsidP="00417605">
      <w:pPr>
        <w:rPr>
          <w:color w:val="auto"/>
        </w:rPr>
      </w:pPr>
    </w:p>
    <w:p w14:paraId="6E9A5E1E" w14:textId="39308763" w:rsidR="00D52399" w:rsidRPr="00E223AF" w:rsidRDefault="0010644D" w:rsidP="00417605">
      <w:pPr>
        <w:rPr>
          <w:b/>
          <w:color w:val="auto"/>
        </w:rPr>
      </w:pPr>
      <w:r w:rsidRPr="00E223AF">
        <w:rPr>
          <w:b/>
          <w:color w:val="auto"/>
        </w:rPr>
        <w:t xml:space="preserve">Table </w:t>
      </w:r>
      <w:r w:rsidR="005A4149" w:rsidRPr="00E223AF">
        <w:rPr>
          <w:b/>
          <w:color w:val="auto"/>
        </w:rPr>
        <w:t>7</w:t>
      </w:r>
      <w:r w:rsidRPr="00E223AF">
        <w:rPr>
          <w:b/>
          <w:color w:val="auto"/>
        </w:rPr>
        <w:t>.</w:t>
      </w:r>
      <w:r w:rsidR="00417605" w:rsidRPr="00E223AF">
        <w:rPr>
          <w:b/>
          <w:color w:val="auto"/>
        </w:rPr>
        <w:t xml:space="preserve"> </w:t>
      </w:r>
      <w:r w:rsidR="00DD2D68" w:rsidRPr="00E223AF">
        <w:rPr>
          <w:b/>
          <w:color w:val="auto"/>
        </w:rPr>
        <w:t>E</w:t>
      </w:r>
      <w:r w:rsidR="00417605" w:rsidRPr="00E223AF">
        <w:rPr>
          <w:b/>
          <w:color w:val="auto"/>
        </w:rPr>
        <w:t xml:space="preserve">fficacy </w:t>
      </w:r>
      <w:r w:rsidR="00DD2D68" w:rsidRPr="00E223AF">
        <w:rPr>
          <w:b/>
          <w:color w:val="auto"/>
        </w:rPr>
        <w:t>results for patients</w:t>
      </w:r>
      <w:r w:rsidR="008B16F1" w:rsidRPr="00E223AF">
        <w:rPr>
          <w:b/>
          <w:color w:val="auto"/>
        </w:rPr>
        <w:t xml:space="preserve"> with </w:t>
      </w:r>
      <w:r w:rsidR="00DD2D68" w:rsidRPr="00E223AF">
        <w:rPr>
          <w:b/>
          <w:color w:val="auto"/>
        </w:rPr>
        <w:t xml:space="preserve">solid tumours harbouring an </w:t>
      </w:r>
      <w:r w:rsidR="008B16F1" w:rsidRPr="00E223AF">
        <w:rPr>
          <w:b/>
          <w:color w:val="auto"/>
        </w:rPr>
        <w:t>NTRK</w:t>
      </w:r>
      <w:r w:rsidR="00DD2D68" w:rsidRPr="00E223AF">
        <w:rPr>
          <w:b/>
          <w:color w:val="auto"/>
        </w:rPr>
        <w:t xml:space="preserve"> gene </w:t>
      </w:r>
      <w:r w:rsidR="008B16F1" w:rsidRPr="00E223AF">
        <w:rPr>
          <w:b/>
          <w:color w:val="auto"/>
        </w:rPr>
        <w:t>fusion</w:t>
      </w:r>
    </w:p>
    <w:tbl>
      <w:tblPr>
        <w:tblpPr w:leftFromText="180" w:rightFromText="180" w:vertAnchor="text" w:tblpXSpec="center" w:tblpY="1"/>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tblGrid>
      <w:tr w:rsidR="00FB53F7" w:rsidRPr="00E223AF" w14:paraId="2B3D7E77" w14:textId="77777777" w:rsidTr="00273525">
        <w:trPr>
          <w:tblHeader/>
        </w:trPr>
        <w:tc>
          <w:tcPr>
            <w:tcW w:w="3828" w:type="dxa"/>
            <w:tcBorders>
              <w:top w:val="single" w:sz="4" w:space="0" w:color="auto"/>
              <w:left w:val="single" w:sz="4" w:space="0" w:color="auto"/>
              <w:bottom w:val="single" w:sz="4" w:space="0" w:color="auto"/>
              <w:right w:val="nil"/>
            </w:tcBorders>
            <w:shd w:val="clear" w:color="auto" w:fill="auto"/>
            <w:vAlign w:val="center"/>
          </w:tcPr>
          <w:p w14:paraId="0FDB61D9" w14:textId="0A491FBD" w:rsidR="00417605" w:rsidRPr="00E223AF" w:rsidRDefault="00845BF3">
            <w:pPr>
              <w:jc w:val="left"/>
              <w:rPr>
                <w:b/>
                <w:color w:val="auto"/>
                <w:sz w:val="22"/>
                <w:szCs w:val="22"/>
              </w:rPr>
            </w:pPr>
            <w:r>
              <w:rPr>
                <w:b/>
                <w:color w:val="auto"/>
                <w:sz w:val="22"/>
                <w:szCs w:val="22"/>
              </w:rPr>
              <w:t>Efficacy Parameter</w:t>
            </w:r>
          </w:p>
        </w:tc>
        <w:tc>
          <w:tcPr>
            <w:tcW w:w="3827" w:type="dxa"/>
            <w:tcBorders>
              <w:top w:val="single" w:sz="4" w:space="0" w:color="auto"/>
              <w:left w:val="nil"/>
              <w:bottom w:val="single" w:sz="4" w:space="0" w:color="auto"/>
              <w:right w:val="single" w:sz="4" w:space="0" w:color="auto"/>
            </w:tcBorders>
            <w:shd w:val="clear" w:color="auto" w:fill="auto"/>
            <w:vAlign w:val="center"/>
          </w:tcPr>
          <w:p w14:paraId="79F44665" w14:textId="18DA6DB0" w:rsidR="00417605" w:rsidRPr="00E223AF" w:rsidRDefault="00AC22FD">
            <w:pPr>
              <w:jc w:val="center"/>
              <w:rPr>
                <w:b/>
                <w:color w:val="auto"/>
                <w:sz w:val="22"/>
                <w:szCs w:val="22"/>
              </w:rPr>
            </w:pPr>
            <w:r w:rsidRPr="00E223AF">
              <w:rPr>
                <w:b/>
                <w:color w:val="auto"/>
                <w:sz w:val="22"/>
                <w:szCs w:val="22"/>
              </w:rPr>
              <w:t>Rozlytrek</w:t>
            </w:r>
          </w:p>
        </w:tc>
      </w:tr>
      <w:tr w:rsidR="00FB53F7" w:rsidRPr="00E223AF" w14:paraId="30C5D165" w14:textId="77777777" w:rsidTr="00273525">
        <w:tc>
          <w:tcPr>
            <w:tcW w:w="3828" w:type="dxa"/>
            <w:tcBorders>
              <w:top w:val="single" w:sz="4" w:space="0" w:color="auto"/>
              <w:left w:val="single" w:sz="4" w:space="0" w:color="auto"/>
              <w:bottom w:val="nil"/>
              <w:right w:val="nil"/>
            </w:tcBorders>
            <w:shd w:val="clear" w:color="auto" w:fill="auto"/>
          </w:tcPr>
          <w:p w14:paraId="33445016" w14:textId="29ED0197" w:rsidR="00417605" w:rsidRPr="00E223AF" w:rsidRDefault="00381ABD">
            <w:pPr>
              <w:rPr>
                <w:b/>
                <w:i/>
                <w:color w:val="auto"/>
                <w:sz w:val="22"/>
                <w:szCs w:val="22"/>
              </w:rPr>
            </w:pPr>
            <w:r w:rsidRPr="00E223AF">
              <w:rPr>
                <w:b/>
                <w:color w:val="auto"/>
                <w:sz w:val="22"/>
                <w:szCs w:val="22"/>
              </w:rPr>
              <w:t>Objective response rate</w:t>
            </w:r>
            <w:r w:rsidR="00A2726C" w:rsidRPr="00E223AF">
              <w:rPr>
                <w:b/>
                <w:color w:val="auto"/>
                <w:sz w:val="22"/>
                <w:szCs w:val="22"/>
              </w:rPr>
              <w:t xml:space="preserve"> (ORR) </w:t>
            </w:r>
          </w:p>
        </w:tc>
        <w:tc>
          <w:tcPr>
            <w:tcW w:w="3827" w:type="dxa"/>
            <w:tcBorders>
              <w:top w:val="single" w:sz="4" w:space="0" w:color="auto"/>
              <w:left w:val="nil"/>
              <w:bottom w:val="nil"/>
              <w:right w:val="single" w:sz="4" w:space="0" w:color="auto"/>
            </w:tcBorders>
            <w:shd w:val="clear" w:color="auto" w:fill="auto"/>
            <w:vAlign w:val="bottom"/>
          </w:tcPr>
          <w:p w14:paraId="5EC11815" w14:textId="6E047830" w:rsidR="00417605" w:rsidRPr="00E223AF" w:rsidRDefault="00DD2D68" w:rsidP="00CE070A">
            <w:pPr>
              <w:jc w:val="center"/>
              <w:rPr>
                <w:color w:val="auto"/>
                <w:sz w:val="22"/>
                <w:szCs w:val="22"/>
              </w:rPr>
            </w:pPr>
            <w:r w:rsidRPr="00E223AF">
              <w:rPr>
                <w:b/>
                <w:color w:val="auto"/>
                <w:sz w:val="22"/>
                <w:szCs w:val="22"/>
              </w:rPr>
              <w:t>n</w:t>
            </w:r>
            <w:r w:rsidR="004F170B" w:rsidRPr="00E223AF">
              <w:rPr>
                <w:b/>
                <w:color w:val="auto"/>
                <w:sz w:val="22"/>
                <w:szCs w:val="22"/>
              </w:rPr>
              <w:t>=</w:t>
            </w:r>
            <w:r w:rsidRPr="00E223AF">
              <w:rPr>
                <w:b/>
                <w:color w:val="auto"/>
                <w:sz w:val="22"/>
                <w:szCs w:val="22"/>
              </w:rPr>
              <w:t>54</w:t>
            </w:r>
          </w:p>
        </w:tc>
      </w:tr>
      <w:tr w:rsidR="00DD2D68" w:rsidRPr="00E223AF" w14:paraId="06828900" w14:textId="77777777" w:rsidTr="00273525">
        <w:tc>
          <w:tcPr>
            <w:tcW w:w="3828" w:type="dxa"/>
            <w:tcBorders>
              <w:top w:val="nil"/>
              <w:left w:val="single" w:sz="4" w:space="0" w:color="auto"/>
              <w:bottom w:val="nil"/>
              <w:right w:val="nil"/>
            </w:tcBorders>
            <w:shd w:val="clear" w:color="auto" w:fill="auto"/>
            <w:vAlign w:val="bottom"/>
          </w:tcPr>
          <w:p w14:paraId="22DC3BBC" w14:textId="543E557F" w:rsidR="00DD2D68" w:rsidRPr="00E223AF" w:rsidRDefault="00DD2D68" w:rsidP="00A2726C">
            <w:pPr>
              <w:rPr>
                <w:color w:val="auto"/>
                <w:sz w:val="22"/>
                <w:szCs w:val="22"/>
              </w:rPr>
            </w:pPr>
            <w:r w:rsidRPr="00E223AF">
              <w:rPr>
                <w:color w:val="auto"/>
                <w:sz w:val="22"/>
                <w:szCs w:val="22"/>
              </w:rPr>
              <w:t>ORR (95% CI)</w:t>
            </w:r>
          </w:p>
        </w:tc>
        <w:tc>
          <w:tcPr>
            <w:tcW w:w="3827" w:type="dxa"/>
            <w:tcBorders>
              <w:top w:val="nil"/>
              <w:left w:val="nil"/>
              <w:bottom w:val="nil"/>
              <w:right w:val="single" w:sz="4" w:space="0" w:color="auto"/>
            </w:tcBorders>
            <w:shd w:val="clear" w:color="auto" w:fill="auto"/>
            <w:vAlign w:val="bottom"/>
          </w:tcPr>
          <w:p w14:paraId="75EC54EA" w14:textId="4F36240E" w:rsidR="00DD2D68" w:rsidRPr="00E223AF" w:rsidRDefault="00DD2D68" w:rsidP="002B63D2">
            <w:pPr>
              <w:jc w:val="center"/>
              <w:rPr>
                <w:color w:val="auto"/>
                <w:sz w:val="22"/>
                <w:szCs w:val="22"/>
              </w:rPr>
            </w:pPr>
            <w:r w:rsidRPr="00E223AF">
              <w:rPr>
                <w:color w:val="auto"/>
                <w:sz w:val="22"/>
                <w:szCs w:val="22"/>
              </w:rPr>
              <w:t>57% (43, 71)</w:t>
            </w:r>
          </w:p>
        </w:tc>
      </w:tr>
      <w:tr w:rsidR="00FB53F7" w:rsidRPr="00E223AF" w14:paraId="0ED286C4" w14:textId="77777777" w:rsidTr="00273525">
        <w:tc>
          <w:tcPr>
            <w:tcW w:w="3828" w:type="dxa"/>
            <w:tcBorders>
              <w:top w:val="nil"/>
              <w:left w:val="single" w:sz="4" w:space="0" w:color="auto"/>
              <w:bottom w:val="nil"/>
              <w:right w:val="nil"/>
            </w:tcBorders>
            <w:shd w:val="clear" w:color="auto" w:fill="auto"/>
            <w:vAlign w:val="bottom"/>
          </w:tcPr>
          <w:p w14:paraId="44F5F9A5" w14:textId="11DE6CBA" w:rsidR="00417605" w:rsidRPr="00E223AF" w:rsidRDefault="008B16F1">
            <w:pPr>
              <w:ind w:left="321"/>
              <w:rPr>
                <w:color w:val="auto"/>
                <w:sz w:val="22"/>
                <w:szCs w:val="22"/>
              </w:rPr>
            </w:pPr>
            <w:r w:rsidRPr="00E223AF">
              <w:rPr>
                <w:color w:val="auto"/>
                <w:sz w:val="22"/>
                <w:szCs w:val="22"/>
              </w:rPr>
              <w:t>CR</w:t>
            </w:r>
            <w:r w:rsidR="00417605" w:rsidRPr="00E223AF">
              <w:rPr>
                <w:color w:val="auto"/>
                <w:sz w:val="22"/>
                <w:szCs w:val="22"/>
              </w:rPr>
              <w:t>, n (%)</w:t>
            </w:r>
          </w:p>
        </w:tc>
        <w:tc>
          <w:tcPr>
            <w:tcW w:w="3827" w:type="dxa"/>
            <w:tcBorders>
              <w:top w:val="nil"/>
              <w:left w:val="nil"/>
              <w:bottom w:val="nil"/>
              <w:right w:val="single" w:sz="4" w:space="0" w:color="auto"/>
            </w:tcBorders>
            <w:shd w:val="clear" w:color="auto" w:fill="auto"/>
            <w:vAlign w:val="bottom"/>
          </w:tcPr>
          <w:p w14:paraId="2B76FCF1" w14:textId="5410B43D" w:rsidR="00417605" w:rsidRPr="00E223AF" w:rsidRDefault="00417605">
            <w:pPr>
              <w:jc w:val="center"/>
              <w:rPr>
                <w:color w:val="auto"/>
                <w:sz w:val="22"/>
                <w:szCs w:val="22"/>
              </w:rPr>
            </w:pPr>
            <w:r w:rsidRPr="00E223AF">
              <w:rPr>
                <w:color w:val="auto"/>
                <w:sz w:val="22"/>
                <w:szCs w:val="22"/>
              </w:rPr>
              <w:t>4 (7%)</w:t>
            </w:r>
          </w:p>
        </w:tc>
      </w:tr>
      <w:tr w:rsidR="00FB53F7" w:rsidRPr="00E223AF" w14:paraId="26C605AE" w14:textId="77777777" w:rsidTr="00273525">
        <w:tc>
          <w:tcPr>
            <w:tcW w:w="3828" w:type="dxa"/>
            <w:tcBorders>
              <w:top w:val="nil"/>
              <w:left w:val="single" w:sz="4" w:space="0" w:color="auto"/>
              <w:bottom w:val="nil"/>
              <w:right w:val="nil"/>
            </w:tcBorders>
            <w:shd w:val="clear" w:color="auto" w:fill="auto"/>
            <w:vAlign w:val="bottom"/>
          </w:tcPr>
          <w:p w14:paraId="3D88BF2E" w14:textId="675A0B53" w:rsidR="00417605" w:rsidRPr="00E223AF" w:rsidRDefault="008B16F1">
            <w:pPr>
              <w:ind w:left="321"/>
              <w:rPr>
                <w:color w:val="auto"/>
                <w:sz w:val="22"/>
                <w:szCs w:val="22"/>
              </w:rPr>
            </w:pPr>
            <w:r w:rsidRPr="00E223AF">
              <w:rPr>
                <w:color w:val="auto"/>
                <w:sz w:val="22"/>
                <w:szCs w:val="22"/>
              </w:rPr>
              <w:t>PR</w:t>
            </w:r>
            <w:r w:rsidR="00417605" w:rsidRPr="00E223AF">
              <w:rPr>
                <w:color w:val="auto"/>
                <w:sz w:val="22"/>
                <w:szCs w:val="22"/>
              </w:rPr>
              <w:t>, n (%)</w:t>
            </w:r>
          </w:p>
        </w:tc>
        <w:tc>
          <w:tcPr>
            <w:tcW w:w="3827" w:type="dxa"/>
            <w:tcBorders>
              <w:top w:val="nil"/>
              <w:left w:val="nil"/>
              <w:bottom w:val="nil"/>
              <w:right w:val="single" w:sz="4" w:space="0" w:color="auto"/>
            </w:tcBorders>
            <w:shd w:val="clear" w:color="auto" w:fill="auto"/>
            <w:vAlign w:val="bottom"/>
          </w:tcPr>
          <w:p w14:paraId="421B2778" w14:textId="4831D26A" w:rsidR="00417605" w:rsidRPr="00E223AF" w:rsidRDefault="00417605">
            <w:pPr>
              <w:jc w:val="center"/>
              <w:rPr>
                <w:color w:val="auto"/>
                <w:sz w:val="22"/>
                <w:szCs w:val="22"/>
              </w:rPr>
            </w:pPr>
            <w:r w:rsidRPr="00E223AF">
              <w:rPr>
                <w:color w:val="auto"/>
                <w:sz w:val="22"/>
                <w:szCs w:val="22"/>
              </w:rPr>
              <w:t>27 (50%)</w:t>
            </w:r>
          </w:p>
        </w:tc>
      </w:tr>
      <w:tr w:rsidR="00FB53F7" w:rsidRPr="00E223AF" w14:paraId="7873C60B" w14:textId="77777777" w:rsidTr="00273525">
        <w:tc>
          <w:tcPr>
            <w:tcW w:w="3828" w:type="dxa"/>
            <w:tcBorders>
              <w:top w:val="single" w:sz="4" w:space="0" w:color="auto"/>
              <w:left w:val="single" w:sz="4" w:space="0" w:color="auto"/>
              <w:bottom w:val="nil"/>
              <w:right w:val="nil"/>
            </w:tcBorders>
            <w:shd w:val="clear" w:color="auto" w:fill="auto"/>
          </w:tcPr>
          <w:p w14:paraId="2719C035" w14:textId="4ED3AF92" w:rsidR="00417605" w:rsidRPr="00E223AF" w:rsidRDefault="00381ABD">
            <w:pPr>
              <w:rPr>
                <w:color w:val="auto"/>
                <w:sz w:val="22"/>
                <w:szCs w:val="22"/>
              </w:rPr>
            </w:pPr>
            <w:r w:rsidRPr="00E223AF">
              <w:rPr>
                <w:b/>
                <w:color w:val="auto"/>
                <w:sz w:val="22"/>
                <w:szCs w:val="22"/>
              </w:rPr>
              <w:t>Duration of response</w:t>
            </w:r>
            <w:r w:rsidR="00A2726C" w:rsidRPr="00E223AF">
              <w:rPr>
                <w:b/>
                <w:color w:val="auto"/>
                <w:sz w:val="22"/>
                <w:szCs w:val="22"/>
              </w:rPr>
              <w:t xml:space="preserve"> (DOR)</w:t>
            </w:r>
            <w:r w:rsidR="00417605" w:rsidRPr="00E223AF">
              <w:rPr>
                <w:color w:val="auto"/>
                <w:sz w:val="22"/>
                <w:szCs w:val="22"/>
              </w:rPr>
              <w:t xml:space="preserve">* </w:t>
            </w:r>
          </w:p>
        </w:tc>
        <w:tc>
          <w:tcPr>
            <w:tcW w:w="3827" w:type="dxa"/>
            <w:tcBorders>
              <w:top w:val="single" w:sz="4" w:space="0" w:color="auto"/>
              <w:left w:val="nil"/>
              <w:bottom w:val="nil"/>
              <w:right w:val="single" w:sz="4" w:space="0" w:color="auto"/>
            </w:tcBorders>
            <w:shd w:val="clear" w:color="auto" w:fill="auto"/>
          </w:tcPr>
          <w:p w14:paraId="21EF67F4" w14:textId="2A9F5F2B" w:rsidR="00417605" w:rsidRPr="00E223AF" w:rsidRDefault="00DD2D68" w:rsidP="00CE070A">
            <w:pPr>
              <w:jc w:val="center"/>
              <w:rPr>
                <w:b/>
                <w:color w:val="auto"/>
                <w:sz w:val="22"/>
                <w:szCs w:val="22"/>
              </w:rPr>
            </w:pPr>
            <w:r w:rsidRPr="00E223AF">
              <w:rPr>
                <w:b/>
                <w:color w:val="auto"/>
                <w:sz w:val="22"/>
                <w:szCs w:val="22"/>
              </w:rPr>
              <w:t>n=31</w:t>
            </w:r>
          </w:p>
        </w:tc>
      </w:tr>
      <w:tr w:rsidR="00FB53F7" w:rsidRPr="00E223AF" w14:paraId="6ECB3170" w14:textId="77777777" w:rsidTr="00273525">
        <w:tc>
          <w:tcPr>
            <w:tcW w:w="3828" w:type="dxa"/>
            <w:tcBorders>
              <w:top w:val="nil"/>
              <w:left w:val="single" w:sz="4" w:space="0" w:color="auto"/>
              <w:bottom w:val="nil"/>
              <w:right w:val="nil"/>
            </w:tcBorders>
            <w:shd w:val="clear" w:color="auto" w:fill="auto"/>
            <w:vAlign w:val="bottom"/>
          </w:tcPr>
          <w:p w14:paraId="313CC71B" w14:textId="68452590" w:rsidR="00417605" w:rsidRPr="00E223AF" w:rsidRDefault="00DD2D68">
            <w:pPr>
              <w:rPr>
                <w:iCs/>
                <w:color w:val="auto"/>
                <w:sz w:val="22"/>
                <w:szCs w:val="22"/>
              </w:rPr>
            </w:pPr>
            <w:r w:rsidRPr="00E223AF">
              <w:rPr>
                <w:iCs/>
                <w:color w:val="auto"/>
                <w:sz w:val="22"/>
                <w:szCs w:val="22"/>
              </w:rPr>
              <w:t>Range</w:t>
            </w:r>
            <w:r w:rsidR="00417605" w:rsidRPr="00E223AF">
              <w:rPr>
                <w:iCs/>
                <w:color w:val="auto"/>
                <w:sz w:val="22"/>
                <w:szCs w:val="22"/>
              </w:rPr>
              <w:t xml:space="preserve">, </w:t>
            </w:r>
            <w:r w:rsidRPr="00E223AF">
              <w:rPr>
                <w:iCs/>
                <w:color w:val="auto"/>
                <w:sz w:val="22"/>
                <w:szCs w:val="22"/>
              </w:rPr>
              <w:t>(months)</w:t>
            </w:r>
          </w:p>
        </w:tc>
        <w:tc>
          <w:tcPr>
            <w:tcW w:w="3827" w:type="dxa"/>
            <w:tcBorders>
              <w:top w:val="nil"/>
              <w:left w:val="nil"/>
              <w:bottom w:val="nil"/>
              <w:right w:val="single" w:sz="4" w:space="0" w:color="auto"/>
            </w:tcBorders>
            <w:shd w:val="clear" w:color="auto" w:fill="auto"/>
            <w:vAlign w:val="bottom"/>
          </w:tcPr>
          <w:p w14:paraId="03AF1527" w14:textId="38BEABB0" w:rsidR="00417605" w:rsidRPr="00E223AF" w:rsidRDefault="00DD2D68">
            <w:pPr>
              <w:jc w:val="center"/>
              <w:rPr>
                <w:color w:val="auto"/>
                <w:sz w:val="22"/>
                <w:szCs w:val="22"/>
              </w:rPr>
            </w:pPr>
            <w:r w:rsidRPr="00E223AF">
              <w:rPr>
                <w:color w:val="auto"/>
                <w:sz w:val="22"/>
                <w:szCs w:val="22"/>
              </w:rPr>
              <w:t>2.8, 26.0+</w:t>
            </w:r>
          </w:p>
        </w:tc>
      </w:tr>
      <w:tr w:rsidR="00FB53F7" w:rsidRPr="00E223AF" w14:paraId="161ECF8B" w14:textId="77777777" w:rsidTr="00273525">
        <w:tc>
          <w:tcPr>
            <w:tcW w:w="3828" w:type="dxa"/>
            <w:tcBorders>
              <w:top w:val="nil"/>
              <w:left w:val="single" w:sz="4" w:space="0" w:color="auto"/>
              <w:bottom w:val="nil"/>
              <w:right w:val="nil"/>
            </w:tcBorders>
            <w:shd w:val="clear" w:color="auto" w:fill="auto"/>
            <w:vAlign w:val="bottom"/>
          </w:tcPr>
          <w:p w14:paraId="04347F57" w14:textId="7BF3EB16" w:rsidR="00417605" w:rsidRPr="00E223AF" w:rsidRDefault="00DD2D68">
            <w:pPr>
              <w:rPr>
                <w:iCs/>
                <w:color w:val="auto"/>
                <w:sz w:val="22"/>
                <w:szCs w:val="22"/>
              </w:rPr>
            </w:pPr>
            <w:r w:rsidRPr="00E223AF">
              <w:rPr>
                <w:iCs/>
                <w:color w:val="auto"/>
                <w:sz w:val="22"/>
                <w:szCs w:val="22"/>
                <w:lang w:val="en-US"/>
              </w:rPr>
              <w:t xml:space="preserve">% with duration ≥ </w:t>
            </w:r>
            <w:r w:rsidR="00417605" w:rsidRPr="00E223AF">
              <w:rPr>
                <w:iCs/>
                <w:color w:val="auto"/>
                <w:sz w:val="22"/>
                <w:szCs w:val="22"/>
              </w:rPr>
              <w:t>6</w:t>
            </w:r>
            <w:r w:rsidRPr="00E223AF">
              <w:rPr>
                <w:iCs/>
                <w:color w:val="auto"/>
                <w:sz w:val="22"/>
                <w:szCs w:val="22"/>
              </w:rPr>
              <w:t xml:space="preserve"> </w:t>
            </w:r>
            <w:r w:rsidR="00417605" w:rsidRPr="00E223AF">
              <w:rPr>
                <w:iCs/>
                <w:color w:val="auto"/>
                <w:sz w:val="22"/>
                <w:szCs w:val="22"/>
              </w:rPr>
              <w:t>month</w:t>
            </w:r>
            <w:r w:rsidRPr="00E223AF">
              <w:rPr>
                <w:iCs/>
                <w:color w:val="auto"/>
                <w:sz w:val="22"/>
                <w:szCs w:val="22"/>
              </w:rPr>
              <w:t>s</w:t>
            </w:r>
          </w:p>
        </w:tc>
        <w:tc>
          <w:tcPr>
            <w:tcW w:w="3827" w:type="dxa"/>
            <w:tcBorders>
              <w:top w:val="nil"/>
              <w:left w:val="nil"/>
              <w:bottom w:val="nil"/>
              <w:right w:val="single" w:sz="4" w:space="0" w:color="auto"/>
            </w:tcBorders>
            <w:shd w:val="clear" w:color="auto" w:fill="auto"/>
            <w:vAlign w:val="bottom"/>
          </w:tcPr>
          <w:p w14:paraId="6D05E493" w14:textId="325355F3" w:rsidR="00417605" w:rsidRPr="00E223AF" w:rsidRDefault="00417605">
            <w:pPr>
              <w:jc w:val="center"/>
              <w:rPr>
                <w:color w:val="auto"/>
                <w:sz w:val="22"/>
                <w:szCs w:val="22"/>
              </w:rPr>
            </w:pPr>
            <w:r w:rsidRPr="00E223AF">
              <w:rPr>
                <w:color w:val="auto"/>
                <w:sz w:val="22"/>
                <w:szCs w:val="22"/>
              </w:rPr>
              <w:t>6</w:t>
            </w:r>
            <w:r w:rsidR="00E7242E" w:rsidRPr="00E223AF">
              <w:rPr>
                <w:color w:val="auto"/>
                <w:sz w:val="22"/>
                <w:szCs w:val="22"/>
              </w:rPr>
              <w:t>8</w:t>
            </w:r>
            <w:r w:rsidR="00381ABD" w:rsidRPr="00E223AF">
              <w:rPr>
                <w:color w:val="auto"/>
                <w:sz w:val="22"/>
                <w:szCs w:val="22"/>
              </w:rPr>
              <w:t>%</w:t>
            </w:r>
          </w:p>
        </w:tc>
      </w:tr>
      <w:tr w:rsidR="00FB53F7" w:rsidRPr="00E223AF" w14:paraId="6EA800C3" w14:textId="77777777" w:rsidTr="00273525">
        <w:tc>
          <w:tcPr>
            <w:tcW w:w="3828" w:type="dxa"/>
            <w:tcBorders>
              <w:top w:val="nil"/>
              <w:left w:val="single" w:sz="4" w:space="0" w:color="auto"/>
              <w:bottom w:val="nil"/>
              <w:right w:val="nil"/>
            </w:tcBorders>
            <w:shd w:val="clear" w:color="auto" w:fill="auto"/>
            <w:vAlign w:val="bottom"/>
          </w:tcPr>
          <w:p w14:paraId="370CCFF4" w14:textId="097A9B3B" w:rsidR="00417605" w:rsidRPr="00E223AF" w:rsidRDefault="00DD2D68">
            <w:pPr>
              <w:rPr>
                <w:iCs/>
                <w:color w:val="auto"/>
                <w:sz w:val="22"/>
                <w:szCs w:val="22"/>
              </w:rPr>
            </w:pPr>
            <w:r w:rsidRPr="00E223AF">
              <w:rPr>
                <w:iCs/>
                <w:color w:val="auto"/>
                <w:sz w:val="22"/>
                <w:szCs w:val="22"/>
                <w:lang w:val="en-US"/>
              </w:rPr>
              <w:t xml:space="preserve">% with duration ≥ </w:t>
            </w:r>
            <w:r w:rsidR="00417605" w:rsidRPr="00E223AF">
              <w:rPr>
                <w:iCs/>
                <w:color w:val="auto"/>
                <w:sz w:val="22"/>
                <w:szCs w:val="22"/>
              </w:rPr>
              <w:t>9</w:t>
            </w:r>
            <w:r w:rsidRPr="00E223AF">
              <w:rPr>
                <w:iCs/>
                <w:color w:val="auto"/>
                <w:sz w:val="22"/>
                <w:szCs w:val="22"/>
              </w:rPr>
              <w:t xml:space="preserve"> </w:t>
            </w:r>
            <w:r w:rsidR="00417605" w:rsidRPr="00E223AF">
              <w:rPr>
                <w:iCs/>
                <w:color w:val="auto"/>
                <w:sz w:val="22"/>
                <w:szCs w:val="22"/>
              </w:rPr>
              <w:t>month</w:t>
            </w:r>
            <w:r w:rsidRPr="00E223AF">
              <w:rPr>
                <w:iCs/>
                <w:color w:val="auto"/>
                <w:sz w:val="22"/>
                <w:szCs w:val="22"/>
              </w:rPr>
              <w:t>s</w:t>
            </w:r>
          </w:p>
        </w:tc>
        <w:tc>
          <w:tcPr>
            <w:tcW w:w="3827" w:type="dxa"/>
            <w:tcBorders>
              <w:top w:val="nil"/>
              <w:left w:val="nil"/>
              <w:bottom w:val="nil"/>
              <w:right w:val="single" w:sz="4" w:space="0" w:color="auto"/>
            </w:tcBorders>
            <w:shd w:val="clear" w:color="auto" w:fill="auto"/>
            <w:vAlign w:val="bottom"/>
          </w:tcPr>
          <w:p w14:paraId="01928FEC" w14:textId="42151F46" w:rsidR="00417605" w:rsidRPr="00E223AF" w:rsidRDefault="00E7242E">
            <w:pPr>
              <w:jc w:val="center"/>
              <w:rPr>
                <w:color w:val="auto"/>
                <w:sz w:val="22"/>
                <w:szCs w:val="22"/>
              </w:rPr>
            </w:pPr>
            <w:r w:rsidRPr="00E223AF">
              <w:rPr>
                <w:color w:val="auto"/>
                <w:sz w:val="22"/>
                <w:szCs w:val="22"/>
              </w:rPr>
              <w:t>61</w:t>
            </w:r>
            <w:r w:rsidR="00381ABD" w:rsidRPr="00E223AF">
              <w:rPr>
                <w:color w:val="auto"/>
                <w:sz w:val="22"/>
                <w:szCs w:val="22"/>
              </w:rPr>
              <w:t>%</w:t>
            </w:r>
          </w:p>
        </w:tc>
      </w:tr>
      <w:tr w:rsidR="00FB53F7" w:rsidRPr="00E223AF" w14:paraId="2D45C36A" w14:textId="77777777" w:rsidTr="00273525">
        <w:tc>
          <w:tcPr>
            <w:tcW w:w="3828" w:type="dxa"/>
            <w:tcBorders>
              <w:top w:val="nil"/>
              <w:left w:val="single" w:sz="4" w:space="0" w:color="auto"/>
              <w:bottom w:val="single" w:sz="4" w:space="0" w:color="auto"/>
              <w:right w:val="nil"/>
            </w:tcBorders>
            <w:shd w:val="clear" w:color="auto" w:fill="auto"/>
            <w:vAlign w:val="bottom"/>
          </w:tcPr>
          <w:p w14:paraId="3E32233D" w14:textId="1233602A" w:rsidR="00417605" w:rsidRPr="00E223AF" w:rsidRDefault="00DD2D68">
            <w:pPr>
              <w:rPr>
                <w:iCs/>
                <w:color w:val="auto"/>
                <w:sz w:val="22"/>
                <w:szCs w:val="22"/>
              </w:rPr>
            </w:pPr>
            <w:r w:rsidRPr="00E223AF">
              <w:rPr>
                <w:iCs/>
                <w:color w:val="auto"/>
                <w:sz w:val="22"/>
                <w:szCs w:val="22"/>
              </w:rPr>
              <w:t xml:space="preserve">% with duration </w:t>
            </w:r>
            <w:r w:rsidRPr="00E223AF">
              <w:rPr>
                <w:iCs/>
                <w:color w:val="auto"/>
                <w:sz w:val="22"/>
                <w:szCs w:val="22"/>
                <w:lang w:val="en-US"/>
              </w:rPr>
              <w:t xml:space="preserve">≥ </w:t>
            </w:r>
            <w:r w:rsidR="00417605" w:rsidRPr="00E223AF">
              <w:rPr>
                <w:iCs/>
                <w:color w:val="auto"/>
                <w:sz w:val="22"/>
                <w:szCs w:val="22"/>
              </w:rPr>
              <w:t>12</w:t>
            </w:r>
            <w:r w:rsidRPr="00E223AF">
              <w:rPr>
                <w:iCs/>
                <w:color w:val="auto"/>
                <w:sz w:val="22"/>
                <w:szCs w:val="22"/>
              </w:rPr>
              <w:t xml:space="preserve"> </w:t>
            </w:r>
            <w:r w:rsidR="00417605" w:rsidRPr="00E223AF">
              <w:rPr>
                <w:iCs/>
                <w:color w:val="auto"/>
                <w:sz w:val="22"/>
                <w:szCs w:val="22"/>
              </w:rPr>
              <w:t>month</w:t>
            </w:r>
            <w:r w:rsidRPr="00E223AF">
              <w:rPr>
                <w:iCs/>
                <w:color w:val="auto"/>
                <w:sz w:val="22"/>
                <w:szCs w:val="22"/>
              </w:rPr>
              <w:t>s</w:t>
            </w:r>
          </w:p>
        </w:tc>
        <w:tc>
          <w:tcPr>
            <w:tcW w:w="3827" w:type="dxa"/>
            <w:tcBorders>
              <w:top w:val="nil"/>
              <w:left w:val="nil"/>
              <w:bottom w:val="single" w:sz="4" w:space="0" w:color="auto"/>
              <w:right w:val="single" w:sz="4" w:space="0" w:color="auto"/>
            </w:tcBorders>
            <w:shd w:val="clear" w:color="auto" w:fill="auto"/>
            <w:vAlign w:val="bottom"/>
          </w:tcPr>
          <w:p w14:paraId="247EBDD8" w14:textId="3F5D8BA8" w:rsidR="00417605" w:rsidRPr="00E223AF" w:rsidRDefault="00417605">
            <w:pPr>
              <w:jc w:val="center"/>
              <w:rPr>
                <w:color w:val="auto"/>
                <w:sz w:val="22"/>
                <w:szCs w:val="22"/>
              </w:rPr>
            </w:pPr>
            <w:r w:rsidRPr="00E223AF">
              <w:rPr>
                <w:color w:val="auto"/>
                <w:sz w:val="22"/>
                <w:szCs w:val="22"/>
              </w:rPr>
              <w:t>4</w:t>
            </w:r>
            <w:r w:rsidR="00E7242E" w:rsidRPr="00E223AF">
              <w:rPr>
                <w:color w:val="auto"/>
                <w:sz w:val="22"/>
                <w:szCs w:val="22"/>
              </w:rPr>
              <w:t>5</w:t>
            </w:r>
            <w:r w:rsidR="00DD2D68" w:rsidRPr="00E223AF">
              <w:rPr>
                <w:color w:val="auto"/>
                <w:sz w:val="22"/>
                <w:szCs w:val="22"/>
              </w:rPr>
              <w:t>%</w:t>
            </w:r>
          </w:p>
        </w:tc>
      </w:tr>
    </w:tbl>
    <w:p w14:paraId="23CA01B5" w14:textId="7C6884C1" w:rsidR="00A2726C" w:rsidRPr="00273525" w:rsidRDefault="00A2726C" w:rsidP="00273525">
      <w:pPr>
        <w:ind w:left="720"/>
        <w:rPr>
          <w:color w:val="auto"/>
          <w:sz w:val="20"/>
          <w:szCs w:val="20"/>
        </w:rPr>
      </w:pPr>
      <w:r w:rsidRPr="009C62D2">
        <w:rPr>
          <w:color w:val="auto"/>
          <w:sz w:val="22"/>
          <w:szCs w:val="22"/>
        </w:rPr>
        <w:br w:type="textWrapping" w:clear="all"/>
      </w:r>
      <w:r w:rsidR="00CE4668" w:rsidRPr="00273525">
        <w:rPr>
          <w:color w:val="auto"/>
          <w:sz w:val="20"/>
          <w:szCs w:val="20"/>
        </w:rPr>
        <w:t xml:space="preserve">CR = complete response; PR = partial response. </w:t>
      </w:r>
    </w:p>
    <w:p w14:paraId="416E9244" w14:textId="512C190E" w:rsidR="00CE4668" w:rsidRPr="00273525" w:rsidRDefault="00CE4668" w:rsidP="00273525">
      <w:pPr>
        <w:ind w:left="720"/>
        <w:rPr>
          <w:color w:val="auto"/>
          <w:sz w:val="20"/>
          <w:szCs w:val="20"/>
        </w:rPr>
      </w:pPr>
      <w:r w:rsidRPr="00273525">
        <w:rPr>
          <w:color w:val="auto"/>
          <w:sz w:val="20"/>
          <w:szCs w:val="20"/>
        </w:rPr>
        <w:t xml:space="preserve">Confidence Intervals (CI) calculated using the </w:t>
      </w:r>
      <w:proofErr w:type="spellStart"/>
      <w:r w:rsidRPr="00273525">
        <w:rPr>
          <w:color w:val="auto"/>
          <w:sz w:val="20"/>
          <w:szCs w:val="20"/>
        </w:rPr>
        <w:t>Clopper</w:t>
      </w:r>
      <w:proofErr w:type="spellEnd"/>
      <w:r w:rsidRPr="00273525">
        <w:rPr>
          <w:color w:val="auto"/>
          <w:sz w:val="20"/>
          <w:szCs w:val="20"/>
        </w:rPr>
        <w:t>-Pearson method.</w:t>
      </w:r>
    </w:p>
    <w:p w14:paraId="437BFA64" w14:textId="436CD197" w:rsidR="00A2726C" w:rsidRPr="00273525" w:rsidRDefault="00CE4668" w:rsidP="00273525">
      <w:pPr>
        <w:ind w:left="720"/>
        <w:rPr>
          <w:rFonts w:eastAsia="CourierNewPSMT"/>
          <w:color w:val="auto"/>
          <w:sz w:val="20"/>
          <w:szCs w:val="20"/>
        </w:rPr>
      </w:pPr>
      <w:r w:rsidRPr="00273525">
        <w:rPr>
          <w:color w:val="auto"/>
          <w:sz w:val="20"/>
          <w:szCs w:val="20"/>
        </w:rPr>
        <w:t>*</w:t>
      </w:r>
      <w:r w:rsidR="00A2726C" w:rsidRPr="00273525">
        <w:rPr>
          <w:rFonts w:eastAsia="CourierNewPSMT"/>
          <w:color w:val="auto"/>
          <w:sz w:val="20"/>
          <w:szCs w:val="20"/>
        </w:rPr>
        <w:t xml:space="preserve"> Observed DOR based on additional 5 months’ follow-up after the primary analysis of ORR.</w:t>
      </w:r>
    </w:p>
    <w:p w14:paraId="0641A879" w14:textId="77777777" w:rsidR="00A2726C" w:rsidRPr="00E223AF" w:rsidRDefault="00A2726C" w:rsidP="00273525">
      <w:pPr>
        <w:ind w:left="720"/>
        <w:rPr>
          <w:rFonts w:eastAsia="CourierNewPSMT"/>
          <w:color w:val="auto"/>
          <w:sz w:val="22"/>
          <w:szCs w:val="22"/>
        </w:rPr>
      </w:pPr>
      <w:r w:rsidRPr="00273525">
        <w:rPr>
          <w:rFonts w:eastAsia="CourierNewPSMT"/>
          <w:color w:val="auto"/>
          <w:sz w:val="20"/>
          <w:szCs w:val="20"/>
        </w:rPr>
        <w:t>+ denotes ongoing response</w:t>
      </w:r>
    </w:p>
    <w:p w14:paraId="6C62F6EC" w14:textId="77777777" w:rsidR="00CE4668" w:rsidRPr="00E223AF" w:rsidRDefault="00CE4668" w:rsidP="00CE4668">
      <w:pPr>
        <w:rPr>
          <w:color w:val="auto"/>
        </w:rPr>
      </w:pPr>
    </w:p>
    <w:p w14:paraId="494C09D1" w14:textId="573BD5E9" w:rsidR="00CE71C4" w:rsidRPr="00E223AF" w:rsidRDefault="00F74A45" w:rsidP="00CE71C4">
      <w:pPr>
        <w:keepNext/>
        <w:pBdr>
          <w:top w:val="none" w:sz="0" w:space="0" w:color="auto"/>
          <w:left w:val="none" w:sz="0" w:space="0" w:color="auto"/>
          <w:bottom w:val="none" w:sz="0" w:space="0" w:color="auto"/>
          <w:right w:val="none" w:sz="0" w:space="0" w:color="auto"/>
          <w:between w:val="none" w:sz="0" w:space="0" w:color="auto"/>
        </w:pBdr>
        <w:spacing w:before="120" w:after="120"/>
        <w:rPr>
          <w:b/>
          <w:color w:val="auto"/>
          <w:lang w:val="en-US" w:eastAsia="en-US"/>
        </w:rPr>
      </w:pPr>
      <w:r w:rsidRPr="00E223AF">
        <w:rPr>
          <w:b/>
          <w:color w:val="auto"/>
          <w:lang w:val="en-US" w:eastAsia="en-US"/>
        </w:rPr>
        <w:t>Table 8</w:t>
      </w:r>
      <w:r w:rsidR="00CE71C4" w:rsidRPr="00E223AF">
        <w:rPr>
          <w:b/>
          <w:color w:val="auto"/>
          <w:lang w:val="en-US" w:eastAsia="en-US"/>
        </w:rPr>
        <w:t xml:space="preserve">: Efficacy against NTRK fusion-positive </w:t>
      </w:r>
      <w:proofErr w:type="spellStart"/>
      <w:r w:rsidR="00CE71C4" w:rsidRPr="00E223AF">
        <w:rPr>
          <w:b/>
          <w:color w:val="auto"/>
          <w:lang w:val="en-US" w:eastAsia="en-US"/>
        </w:rPr>
        <w:t>tumours</w:t>
      </w:r>
      <w:proofErr w:type="spellEnd"/>
      <w:r w:rsidR="00CE71C4" w:rsidRPr="00E223AF">
        <w:rPr>
          <w:b/>
          <w:color w:val="auto"/>
          <w:lang w:val="en-US" w:eastAsia="en-US"/>
        </w:rPr>
        <w:t xml:space="preserve">, by </w:t>
      </w:r>
      <w:proofErr w:type="spellStart"/>
      <w:r w:rsidR="00CE71C4" w:rsidRPr="00E223AF">
        <w:rPr>
          <w:b/>
          <w:color w:val="auto"/>
          <w:lang w:val="en-US" w:eastAsia="en-US"/>
        </w:rPr>
        <w:t>tumour</w:t>
      </w:r>
      <w:proofErr w:type="spellEnd"/>
      <w:r w:rsidR="00CE71C4" w:rsidRPr="00E223AF">
        <w:rPr>
          <w:b/>
          <w:color w:val="auto"/>
          <w:lang w:val="en-US" w:eastAsia="en-US"/>
        </w:rPr>
        <w:t xml:space="preserve"> histology </w:t>
      </w:r>
    </w:p>
    <w:tbl>
      <w:tblPr>
        <w:tblStyle w:val="HeaderTable1"/>
        <w:tblW w:w="4149" w:type="pct"/>
        <w:jc w:val="center"/>
        <w:tblLayout w:type="fixed"/>
        <w:tblLook w:val="04A0" w:firstRow="1" w:lastRow="0" w:firstColumn="1" w:lastColumn="0" w:noHBand="0" w:noVBand="1"/>
      </w:tblPr>
      <w:tblGrid>
        <w:gridCol w:w="2358"/>
        <w:gridCol w:w="1253"/>
        <w:gridCol w:w="1328"/>
        <w:gridCol w:w="1253"/>
        <w:gridCol w:w="1293"/>
      </w:tblGrid>
      <w:tr w:rsidR="00CE71C4" w:rsidRPr="00E223AF" w14:paraId="712F0B6C" w14:textId="77777777" w:rsidTr="00273525">
        <w:trPr>
          <w:trHeight w:val="255"/>
          <w:jc w:val="center"/>
        </w:trPr>
        <w:tc>
          <w:tcPr>
            <w:tcW w:w="1575" w:type="pct"/>
            <w:vMerge w:val="restart"/>
            <w:tcBorders>
              <w:top w:val="single" w:sz="2" w:space="0" w:color="auto"/>
              <w:left w:val="single" w:sz="2" w:space="0" w:color="auto"/>
              <w:bottom w:val="single" w:sz="2" w:space="0" w:color="auto"/>
              <w:right w:val="single" w:sz="2" w:space="0" w:color="auto"/>
            </w:tcBorders>
            <w:vAlign w:val="center"/>
          </w:tcPr>
          <w:p w14:paraId="05217650" w14:textId="77777777" w:rsidR="00CE71C4" w:rsidRPr="00E223AF" w:rsidRDefault="00CE71C4" w:rsidP="00CE71C4">
            <w:pPr>
              <w:keepNext/>
              <w:keepLines/>
              <w:jc w:val="left"/>
              <w:rPr>
                <w:b/>
                <w:sz w:val="22"/>
                <w:szCs w:val="22"/>
              </w:rPr>
            </w:pPr>
            <w:r w:rsidRPr="00E223AF">
              <w:rPr>
                <w:b/>
                <w:sz w:val="22"/>
                <w:szCs w:val="22"/>
              </w:rPr>
              <w:t xml:space="preserve">Tumor Type </w:t>
            </w:r>
          </w:p>
        </w:tc>
        <w:tc>
          <w:tcPr>
            <w:tcW w:w="837" w:type="pct"/>
            <w:vMerge w:val="restart"/>
            <w:tcBorders>
              <w:top w:val="single" w:sz="2" w:space="0" w:color="auto"/>
              <w:left w:val="single" w:sz="2" w:space="0" w:color="auto"/>
              <w:bottom w:val="single" w:sz="2" w:space="0" w:color="auto"/>
              <w:right w:val="single" w:sz="2" w:space="0" w:color="auto"/>
            </w:tcBorders>
            <w:vAlign w:val="center"/>
          </w:tcPr>
          <w:p w14:paraId="6FC4974D" w14:textId="77777777" w:rsidR="00CE71C4" w:rsidRPr="00E223AF" w:rsidRDefault="00CE71C4" w:rsidP="00CE71C4">
            <w:pPr>
              <w:keepNext/>
              <w:keepLines/>
              <w:jc w:val="center"/>
              <w:rPr>
                <w:b/>
                <w:sz w:val="22"/>
                <w:szCs w:val="22"/>
              </w:rPr>
            </w:pPr>
            <w:r w:rsidRPr="00E223AF">
              <w:rPr>
                <w:b/>
                <w:sz w:val="22"/>
                <w:szCs w:val="22"/>
              </w:rPr>
              <w:t>Patients</w:t>
            </w:r>
          </w:p>
          <w:p w14:paraId="63ED66AC" w14:textId="77777777" w:rsidR="00CE71C4" w:rsidRPr="00E223AF" w:rsidRDefault="00CE71C4" w:rsidP="00CE71C4">
            <w:pPr>
              <w:keepNext/>
              <w:keepLines/>
              <w:jc w:val="center"/>
              <w:rPr>
                <w:b/>
                <w:sz w:val="22"/>
                <w:szCs w:val="22"/>
              </w:rPr>
            </w:pPr>
            <w:r w:rsidRPr="00E223AF">
              <w:rPr>
                <w:b/>
                <w:sz w:val="22"/>
                <w:szCs w:val="22"/>
              </w:rPr>
              <w:t>N = 54</w:t>
            </w:r>
          </w:p>
        </w:tc>
        <w:tc>
          <w:tcPr>
            <w:tcW w:w="1724" w:type="pct"/>
            <w:gridSpan w:val="2"/>
            <w:tcBorders>
              <w:top w:val="single" w:sz="2" w:space="0" w:color="auto"/>
              <w:left w:val="single" w:sz="2" w:space="0" w:color="auto"/>
              <w:bottom w:val="single" w:sz="2" w:space="0" w:color="auto"/>
              <w:right w:val="single" w:sz="2" w:space="0" w:color="auto"/>
            </w:tcBorders>
          </w:tcPr>
          <w:p w14:paraId="2588BE83" w14:textId="77777777" w:rsidR="00CE71C4" w:rsidRPr="00E223AF" w:rsidRDefault="00CE71C4" w:rsidP="00CE71C4">
            <w:pPr>
              <w:keepNext/>
              <w:keepLines/>
              <w:jc w:val="center"/>
              <w:rPr>
                <w:b/>
                <w:sz w:val="22"/>
                <w:szCs w:val="22"/>
              </w:rPr>
            </w:pPr>
            <w:r w:rsidRPr="00E223AF">
              <w:rPr>
                <w:b/>
                <w:sz w:val="22"/>
                <w:szCs w:val="22"/>
              </w:rPr>
              <w:t>ORR</w:t>
            </w:r>
          </w:p>
        </w:tc>
        <w:tc>
          <w:tcPr>
            <w:tcW w:w="865" w:type="pct"/>
            <w:tcBorders>
              <w:top w:val="single" w:sz="2" w:space="0" w:color="auto"/>
              <w:left w:val="single" w:sz="2" w:space="0" w:color="auto"/>
              <w:bottom w:val="single" w:sz="2" w:space="0" w:color="auto"/>
              <w:right w:val="single" w:sz="2" w:space="0" w:color="auto"/>
            </w:tcBorders>
          </w:tcPr>
          <w:p w14:paraId="0A015BE5" w14:textId="77777777" w:rsidR="00CE71C4" w:rsidRPr="00E223AF" w:rsidRDefault="00CE71C4" w:rsidP="00CE71C4">
            <w:pPr>
              <w:keepNext/>
              <w:keepLines/>
              <w:jc w:val="center"/>
              <w:rPr>
                <w:b/>
                <w:sz w:val="22"/>
                <w:szCs w:val="22"/>
              </w:rPr>
            </w:pPr>
            <w:r w:rsidRPr="00E223AF">
              <w:rPr>
                <w:b/>
                <w:sz w:val="22"/>
                <w:szCs w:val="22"/>
              </w:rPr>
              <w:t>DOR</w:t>
            </w:r>
          </w:p>
        </w:tc>
      </w:tr>
      <w:tr w:rsidR="00CE71C4" w:rsidRPr="00E223AF" w14:paraId="21A241E5" w14:textId="77777777" w:rsidTr="00273525">
        <w:trPr>
          <w:trHeight w:val="255"/>
          <w:jc w:val="center"/>
        </w:trPr>
        <w:tc>
          <w:tcPr>
            <w:tcW w:w="1575" w:type="pct"/>
            <w:vMerge/>
            <w:tcBorders>
              <w:top w:val="single" w:sz="2" w:space="0" w:color="auto"/>
              <w:left w:val="single" w:sz="2" w:space="0" w:color="auto"/>
              <w:bottom w:val="single" w:sz="2" w:space="0" w:color="auto"/>
              <w:right w:val="single" w:sz="2" w:space="0" w:color="auto"/>
            </w:tcBorders>
            <w:vAlign w:val="center"/>
          </w:tcPr>
          <w:p w14:paraId="34D62705" w14:textId="77777777" w:rsidR="00CE71C4" w:rsidRPr="00E223AF" w:rsidRDefault="00CE71C4" w:rsidP="00CE71C4">
            <w:pPr>
              <w:keepNext/>
              <w:keepLines/>
              <w:jc w:val="left"/>
              <w:rPr>
                <w:b/>
                <w:sz w:val="22"/>
                <w:szCs w:val="22"/>
              </w:rPr>
            </w:pPr>
          </w:p>
        </w:tc>
        <w:tc>
          <w:tcPr>
            <w:tcW w:w="837" w:type="pct"/>
            <w:vMerge/>
            <w:tcBorders>
              <w:top w:val="single" w:sz="2" w:space="0" w:color="auto"/>
              <w:left w:val="single" w:sz="2" w:space="0" w:color="auto"/>
              <w:bottom w:val="single" w:sz="2" w:space="0" w:color="auto"/>
              <w:right w:val="single" w:sz="2" w:space="0" w:color="auto"/>
            </w:tcBorders>
            <w:vAlign w:val="center"/>
          </w:tcPr>
          <w:p w14:paraId="16A3BD2A" w14:textId="77777777" w:rsidR="00CE71C4" w:rsidRPr="00E223AF" w:rsidRDefault="00CE71C4" w:rsidP="00CE71C4">
            <w:pPr>
              <w:keepNext/>
              <w:keepLines/>
              <w:jc w:val="center"/>
              <w:rPr>
                <w:b/>
                <w:sz w:val="22"/>
                <w:szCs w:val="22"/>
              </w:rPr>
            </w:pPr>
          </w:p>
        </w:tc>
        <w:tc>
          <w:tcPr>
            <w:tcW w:w="887" w:type="pct"/>
            <w:tcBorders>
              <w:top w:val="single" w:sz="2" w:space="0" w:color="auto"/>
              <w:left w:val="single" w:sz="2" w:space="0" w:color="auto"/>
              <w:bottom w:val="single" w:sz="2" w:space="0" w:color="auto"/>
              <w:right w:val="single" w:sz="2" w:space="0" w:color="auto"/>
            </w:tcBorders>
            <w:vAlign w:val="center"/>
          </w:tcPr>
          <w:p w14:paraId="229CBFA3" w14:textId="77777777" w:rsidR="00CE71C4" w:rsidRPr="00E223AF" w:rsidDel="00586320" w:rsidRDefault="00CE71C4" w:rsidP="00CE71C4">
            <w:pPr>
              <w:keepNext/>
              <w:keepLines/>
              <w:jc w:val="center"/>
              <w:rPr>
                <w:b/>
                <w:sz w:val="22"/>
                <w:szCs w:val="22"/>
              </w:rPr>
            </w:pPr>
            <w:r w:rsidRPr="00E223AF">
              <w:rPr>
                <w:b/>
                <w:sz w:val="22"/>
                <w:szCs w:val="22"/>
              </w:rPr>
              <w:t>%</w:t>
            </w:r>
          </w:p>
        </w:tc>
        <w:tc>
          <w:tcPr>
            <w:tcW w:w="836" w:type="pct"/>
            <w:tcBorders>
              <w:top w:val="single" w:sz="2" w:space="0" w:color="auto"/>
              <w:left w:val="single" w:sz="2" w:space="0" w:color="auto"/>
              <w:bottom w:val="single" w:sz="2" w:space="0" w:color="auto"/>
              <w:right w:val="single" w:sz="2" w:space="0" w:color="auto"/>
            </w:tcBorders>
            <w:vAlign w:val="center"/>
          </w:tcPr>
          <w:p w14:paraId="72709FB6" w14:textId="77777777" w:rsidR="00CE71C4" w:rsidRPr="00E223AF" w:rsidRDefault="00CE71C4" w:rsidP="00CE71C4">
            <w:pPr>
              <w:keepNext/>
              <w:keepLines/>
              <w:jc w:val="center"/>
              <w:rPr>
                <w:b/>
                <w:sz w:val="22"/>
                <w:szCs w:val="22"/>
              </w:rPr>
            </w:pPr>
            <w:r w:rsidRPr="00E223AF">
              <w:rPr>
                <w:b/>
                <w:sz w:val="22"/>
                <w:szCs w:val="22"/>
              </w:rPr>
              <w:t>95% CI</w:t>
            </w:r>
          </w:p>
        </w:tc>
        <w:tc>
          <w:tcPr>
            <w:tcW w:w="865" w:type="pct"/>
            <w:tcBorders>
              <w:top w:val="single" w:sz="2" w:space="0" w:color="auto"/>
              <w:left w:val="single" w:sz="2" w:space="0" w:color="auto"/>
              <w:bottom w:val="single" w:sz="2" w:space="0" w:color="auto"/>
              <w:right w:val="single" w:sz="2" w:space="0" w:color="auto"/>
            </w:tcBorders>
          </w:tcPr>
          <w:p w14:paraId="65ABFE9A" w14:textId="77777777" w:rsidR="00CE71C4" w:rsidRPr="00E223AF" w:rsidRDefault="00CE71C4" w:rsidP="00CE71C4">
            <w:pPr>
              <w:keepNext/>
              <w:keepLines/>
              <w:jc w:val="center"/>
              <w:rPr>
                <w:b/>
                <w:sz w:val="22"/>
                <w:szCs w:val="22"/>
              </w:rPr>
            </w:pPr>
            <w:r w:rsidRPr="00E223AF">
              <w:rPr>
                <w:b/>
                <w:sz w:val="22"/>
                <w:szCs w:val="22"/>
              </w:rPr>
              <w:t>Range</w:t>
            </w:r>
          </w:p>
          <w:p w14:paraId="125352F5" w14:textId="77777777" w:rsidR="00CE71C4" w:rsidRPr="00E223AF" w:rsidDel="0062413F" w:rsidRDefault="00CE71C4" w:rsidP="00CE71C4">
            <w:pPr>
              <w:keepNext/>
              <w:keepLines/>
              <w:jc w:val="center"/>
              <w:rPr>
                <w:b/>
                <w:sz w:val="22"/>
                <w:szCs w:val="22"/>
              </w:rPr>
            </w:pPr>
            <w:r w:rsidRPr="00E223AF">
              <w:rPr>
                <w:b/>
                <w:sz w:val="22"/>
                <w:szCs w:val="22"/>
              </w:rPr>
              <w:t>(months)</w:t>
            </w:r>
          </w:p>
        </w:tc>
      </w:tr>
      <w:tr w:rsidR="00CE71C4" w:rsidRPr="00E223AF" w14:paraId="16B773E8"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68C6AD34" w14:textId="77777777" w:rsidR="00CE71C4" w:rsidRPr="00E223AF" w:rsidRDefault="00CE71C4" w:rsidP="00CE71C4">
            <w:pPr>
              <w:jc w:val="left"/>
              <w:rPr>
                <w:sz w:val="22"/>
                <w:szCs w:val="22"/>
              </w:rPr>
            </w:pPr>
            <w:r w:rsidRPr="00E223AF">
              <w:rPr>
                <w:sz w:val="22"/>
                <w:szCs w:val="22"/>
              </w:rPr>
              <w:t>Sarcoma</w:t>
            </w:r>
          </w:p>
        </w:tc>
        <w:tc>
          <w:tcPr>
            <w:tcW w:w="837" w:type="pct"/>
            <w:tcBorders>
              <w:top w:val="single" w:sz="2" w:space="0" w:color="auto"/>
              <w:left w:val="single" w:sz="2" w:space="0" w:color="auto"/>
              <w:bottom w:val="single" w:sz="2" w:space="0" w:color="auto"/>
              <w:right w:val="single" w:sz="2" w:space="0" w:color="auto"/>
            </w:tcBorders>
          </w:tcPr>
          <w:p w14:paraId="28EF9AE1"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13</w:t>
            </w:r>
          </w:p>
        </w:tc>
        <w:tc>
          <w:tcPr>
            <w:tcW w:w="887" w:type="pct"/>
            <w:tcBorders>
              <w:top w:val="single" w:sz="2" w:space="0" w:color="auto"/>
              <w:left w:val="single" w:sz="2" w:space="0" w:color="auto"/>
              <w:bottom w:val="single" w:sz="2" w:space="0" w:color="auto"/>
              <w:right w:val="single" w:sz="2" w:space="0" w:color="auto"/>
            </w:tcBorders>
          </w:tcPr>
          <w:p w14:paraId="0B156E4D"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46%</w:t>
            </w:r>
          </w:p>
        </w:tc>
        <w:tc>
          <w:tcPr>
            <w:tcW w:w="836" w:type="pct"/>
            <w:tcBorders>
              <w:top w:val="single" w:sz="2" w:space="0" w:color="auto"/>
              <w:left w:val="single" w:sz="2" w:space="0" w:color="auto"/>
              <w:bottom w:val="single" w:sz="2" w:space="0" w:color="auto"/>
              <w:right w:val="single" w:sz="2" w:space="0" w:color="auto"/>
            </w:tcBorders>
          </w:tcPr>
          <w:p w14:paraId="50353B2A"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19%, 75%</w:t>
            </w:r>
          </w:p>
        </w:tc>
        <w:tc>
          <w:tcPr>
            <w:tcW w:w="865" w:type="pct"/>
            <w:tcBorders>
              <w:top w:val="single" w:sz="2" w:space="0" w:color="auto"/>
              <w:left w:val="single" w:sz="2" w:space="0" w:color="auto"/>
              <w:bottom w:val="single" w:sz="2" w:space="0" w:color="auto"/>
              <w:right w:val="single" w:sz="2" w:space="0" w:color="auto"/>
            </w:tcBorders>
          </w:tcPr>
          <w:p w14:paraId="252BA721"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2.8, 15.1</w:t>
            </w:r>
          </w:p>
        </w:tc>
      </w:tr>
      <w:tr w:rsidR="00CE71C4" w:rsidRPr="00E223AF" w14:paraId="60449CEC"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16E659BC" w14:textId="77777777" w:rsidR="00CE71C4" w:rsidRPr="00E223AF" w:rsidRDefault="00CE71C4" w:rsidP="00CE71C4">
            <w:pPr>
              <w:jc w:val="left"/>
              <w:rPr>
                <w:sz w:val="22"/>
                <w:szCs w:val="22"/>
              </w:rPr>
            </w:pPr>
            <w:r w:rsidRPr="00E223AF">
              <w:rPr>
                <w:sz w:val="22"/>
                <w:szCs w:val="22"/>
              </w:rPr>
              <w:t>Non-small cell lung cancer</w:t>
            </w:r>
          </w:p>
        </w:tc>
        <w:tc>
          <w:tcPr>
            <w:tcW w:w="837" w:type="pct"/>
            <w:tcBorders>
              <w:top w:val="single" w:sz="2" w:space="0" w:color="auto"/>
              <w:left w:val="single" w:sz="2" w:space="0" w:color="auto"/>
              <w:bottom w:val="single" w:sz="2" w:space="0" w:color="auto"/>
              <w:right w:val="single" w:sz="2" w:space="0" w:color="auto"/>
            </w:tcBorders>
          </w:tcPr>
          <w:p w14:paraId="1E0D3B98"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10</w:t>
            </w:r>
          </w:p>
        </w:tc>
        <w:tc>
          <w:tcPr>
            <w:tcW w:w="887" w:type="pct"/>
            <w:tcBorders>
              <w:top w:val="single" w:sz="2" w:space="0" w:color="auto"/>
              <w:left w:val="single" w:sz="2" w:space="0" w:color="auto"/>
              <w:bottom w:val="single" w:sz="2" w:space="0" w:color="auto"/>
              <w:right w:val="single" w:sz="2" w:space="0" w:color="auto"/>
            </w:tcBorders>
          </w:tcPr>
          <w:p w14:paraId="7CB3F5D4"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70%</w:t>
            </w:r>
          </w:p>
        </w:tc>
        <w:tc>
          <w:tcPr>
            <w:tcW w:w="836" w:type="pct"/>
            <w:tcBorders>
              <w:top w:val="single" w:sz="2" w:space="0" w:color="auto"/>
              <w:left w:val="single" w:sz="2" w:space="0" w:color="auto"/>
              <w:bottom w:val="single" w:sz="2" w:space="0" w:color="auto"/>
              <w:right w:val="single" w:sz="2" w:space="0" w:color="auto"/>
            </w:tcBorders>
          </w:tcPr>
          <w:p w14:paraId="1EEACE63"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35%, 93%</w:t>
            </w:r>
          </w:p>
        </w:tc>
        <w:tc>
          <w:tcPr>
            <w:tcW w:w="865" w:type="pct"/>
            <w:tcBorders>
              <w:top w:val="single" w:sz="2" w:space="0" w:color="auto"/>
              <w:left w:val="single" w:sz="2" w:space="0" w:color="auto"/>
              <w:bottom w:val="single" w:sz="2" w:space="0" w:color="auto"/>
              <w:right w:val="single" w:sz="2" w:space="0" w:color="auto"/>
            </w:tcBorders>
          </w:tcPr>
          <w:p w14:paraId="30FC75EC"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1.9*, 20.1*</w:t>
            </w:r>
          </w:p>
        </w:tc>
      </w:tr>
      <w:tr w:rsidR="00CE71C4" w:rsidRPr="00E223AF" w14:paraId="07F685AF"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434500CC" w14:textId="77777777" w:rsidR="00CE71C4" w:rsidRPr="00E223AF" w:rsidRDefault="00CE71C4" w:rsidP="00CE71C4">
            <w:pPr>
              <w:jc w:val="left"/>
              <w:rPr>
                <w:sz w:val="22"/>
                <w:szCs w:val="22"/>
              </w:rPr>
            </w:pPr>
            <w:r w:rsidRPr="00E223AF">
              <w:rPr>
                <w:sz w:val="22"/>
                <w:szCs w:val="22"/>
              </w:rPr>
              <w:t>Salivary (MASC)</w:t>
            </w:r>
          </w:p>
        </w:tc>
        <w:tc>
          <w:tcPr>
            <w:tcW w:w="837" w:type="pct"/>
            <w:tcBorders>
              <w:top w:val="single" w:sz="2" w:space="0" w:color="auto"/>
              <w:left w:val="single" w:sz="2" w:space="0" w:color="auto"/>
              <w:bottom w:val="single" w:sz="2" w:space="0" w:color="auto"/>
              <w:right w:val="single" w:sz="2" w:space="0" w:color="auto"/>
            </w:tcBorders>
          </w:tcPr>
          <w:p w14:paraId="493C5DA3"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7</w:t>
            </w:r>
          </w:p>
        </w:tc>
        <w:tc>
          <w:tcPr>
            <w:tcW w:w="887" w:type="pct"/>
            <w:tcBorders>
              <w:top w:val="single" w:sz="2" w:space="0" w:color="auto"/>
              <w:left w:val="single" w:sz="2" w:space="0" w:color="auto"/>
              <w:bottom w:val="single" w:sz="2" w:space="0" w:color="auto"/>
              <w:right w:val="single" w:sz="2" w:space="0" w:color="auto"/>
            </w:tcBorders>
          </w:tcPr>
          <w:p w14:paraId="2BE113A7"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86%</w:t>
            </w:r>
          </w:p>
        </w:tc>
        <w:tc>
          <w:tcPr>
            <w:tcW w:w="836" w:type="pct"/>
            <w:tcBorders>
              <w:top w:val="single" w:sz="2" w:space="0" w:color="auto"/>
              <w:left w:val="single" w:sz="2" w:space="0" w:color="auto"/>
              <w:bottom w:val="single" w:sz="2" w:space="0" w:color="auto"/>
              <w:right w:val="single" w:sz="2" w:space="0" w:color="auto"/>
            </w:tcBorders>
          </w:tcPr>
          <w:p w14:paraId="74BBB48C"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42%, 100%</w:t>
            </w:r>
          </w:p>
        </w:tc>
        <w:tc>
          <w:tcPr>
            <w:tcW w:w="865" w:type="pct"/>
            <w:tcBorders>
              <w:top w:val="single" w:sz="2" w:space="0" w:color="auto"/>
              <w:left w:val="single" w:sz="2" w:space="0" w:color="auto"/>
              <w:bottom w:val="single" w:sz="2" w:space="0" w:color="auto"/>
              <w:right w:val="single" w:sz="2" w:space="0" w:color="auto"/>
            </w:tcBorders>
          </w:tcPr>
          <w:p w14:paraId="600A589E"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2.8, 16.5*</w:t>
            </w:r>
          </w:p>
        </w:tc>
      </w:tr>
      <w:tr w:rsidR="00CE71C4" w:rsidRPr="00E223AF" w14:paraId="49F0927C"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17734DB6" w14:textId="77777777" w:rsidR="00CE71C4" w:rsidRPr="00E223AF" w:rsidRDefault="00CE71C4" w:rsidP="00CE71C4">
            <w:pPr>
              <w:jc w:val="left"/>
              <w:rPr>
                <w:sz w:val="22"/>
                <w:szCs w:val="22"/>
              </w:rPr>
            </w:pPr>
            <w:r w:rsidRPr="00E223AF">
              <w:rPr>
                <w:sz w:val="22"/>
                <w:szCs w:val="22"/>
              </w:rPr>
              <w:t>Breast cancer</w:t>
            </w:r>
          </w:p>
        </w:tc>
        <w:tc>
          <w:tcPr>
            <w:tcW w:w="837" w:type="pct"/>
            <w:tcBorders>
              <w:top w:val="single" w:sz="2" w:space="0" w:color="auto"/>
              <w:left w:val="single" w:sz="2" w:space="0" w:color="auto"/>
              <w:bottom w:val="single" w:sz="2" w:space="0" w:color="auto"/>
              <w:right w:val="single" w:sz="2" w:space="0" w:color="auto"/>
            </w:tcBorders>
          </w:tcPr>
          <w:p w14:paraId="3D790F5E"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6</w:t>
            </w:r>
          </w:p>
        </w:tc>
        <w:tc>
          <w:tcPr>
            <w:tcW w:w="887" w:type="pct"/>
            <w:tcBorders>
              <w:top w:val="single" w:sz="2" w:space="0" w:color="auto"/>
              <w:left w:val="single" w:sz="2" w:space="0" w:color="auto"/>
              <w:bottom w:val="single" w:sz="2" w:space="0" w:color="auto"/>
              <w:right w:val="single" w:sz="2" w:space="0" w:color="auto"/>
            </w:tcBorders>
          </w:tcPr>
          <w:p w14:paraId="684F513A"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83%</w:t>
            </w:r>
          </w:p>
        </w:tc>
        <w:tc>
          <w:tcPr>
            <w:tcW w:w="836" w:type="pct"/>
            <w:tcBorders>
              <w:top w:val="single" w:sz="2" w:space="0" w:color="auto"/>
              <w:left w:val="single" w:sz="2" w:space="0" w:color="auto"/>
              <w:bottom w:val="single" w:sz="2" w:space="0" w:color="auto"/>
              <w:right w:val="single" w:sz="2" w:space="0" w:color="auto"/>
            </w:tcBorders>
          </w:tcPr>
          <w:p w14:paraId="45EC143B"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36%, 100%</w:t>
            </w:r>
          </w:p>
        </w:tc>
        <w:tc>
          <w:tcPr>
            <w:tcW w:w="865" w:type="pct"/>
            <w:tcBorders>
              <w:top w:val="single" w:sz="2" w:space="0" w:color="auto"/>
              <w:left w:val="single" w:sz="2" w:space="0" w:color="auto"/>
              <w:bottom w:val="single" w:sz="2" w:space="0" w:color="auto"/>
              <w:right w:val="single" w:sz="2" w:space="0" w:color="auto"/>
            </w:tcBorders>
          </w:tcPr>
          <w:p w14:paraId="0CD1066F"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4.2, 14.8*</w:t>
            </w:r>
          </w:p>
        </w:tc>
      </w:tr>
      <w:tr w:rsidR="00CE71C4" w:rsidRPr="00E223AF" w14:paraId="60CD757C"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2D3087CC" w14:textId="77777777" w:rsidR="00CE71C4" w:rsidRPr="00E223AF" w:rsidRDefault="00CE71C4" w:rsidP="00CE71C4">
            <w:pPr>
              <w:jc w:val="left"/>
              <w:rPr>
                <w:sz w:val="22"/>
                <w:szCs w:val="22"/>
              </w:rPr>
            </w:pPr>
            <w:r w:rsidRPr="00E223AF">
              <w:rPr>
                <w:sz w:val="22"/>
                <w:szCs w:val="22"/>
              </w:rPr>
              <w:t>Thyroid cancer</w:t>
            </w:r>
          </w:p>
        </w:tc>
        <w:tc>
          <w:tcPr>
            <w:tcW w:w="837" w:type="pct"/>
            <w:tcBorders>
              <w:top w:val="single" w:sz="2" w:space="0" w:color="auto"/>
              <w:left w:val="single" w:sz="2" w:space="0" w:color="auto"/>
              <w:bottom w:val="single" w:sz="2" w:space="0" w:color="auto"/>
              <w:right w:val="single" w:sz="2" w:space="0" w:color="auto"/>
            </w:tcBorders>
          </w:tcPr>
          <w:p w14:paraId="39D67467"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5</w:t>
            </w:r>
          </w:p>
        </w:tc>
        <w:tc>
          <w:tcPr>
            <w:tcW w:w="887" w:type="pct"/>
            <w:tcBorders>
              <w:top w:val="single" w:sz="2" w:space="0" w:color="auto"/>
              <w:left w:val="single" w:sz="2" w:space="0" w:color="auto"/>
              <w:bottom w:val="single" w:sz="2" w:space="0" w:color="auto"/>
              <w:right w:val="single" w:sz="2" w:space="0" w:color="auto"/>
            </w:tcBorders>
          </w:tcPr>
          <w:p w14:paraId="733C5E58"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20%</w:t>
            </w:r>
          </w:p>
        </w:tc>
        <w:tc>
          <w:tcPr>
            <w:tcW w:w="836" w:type="pct"/>
            <w:tcBorders>
              <w:top w:val="single" w:sz="2" w:space="0" w:color="auto"/>
              <w:left w:val="single" w:sz="2" w:space="0" w:color="auto"/>
              <w:bottom w:val="single" w:sz="2" w:space="0" w:color="auto"/>
              <w:right w:val="single" w:sz="2" w:space="0" w:color="auto"/>
            </w:tcBorders>
          </w:tcPr>
          <w:p w14:paraId="6DFC4862"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NA</w:t>
            </w:r>
          </w:p>
        </w:tc>
        <w:tc>
          <w:tcPr>
            <w:tcW w:w="865" w:type="pct"/>
            <w:tcBorders>
              <w:top w:val="single" w:sz="2" w:space="0" w:color="auto"/>
              <w:left w:val="single" w:sz="2" w:space="0" w:color="auto"/>
              <w:bottom w:val="single" w:sz="2" w:space="0" w:color="auto"/>
              <w:right w:val="single" w:sz="2" w:space="0" w:color="auto"/>
            </w:tcBorders>
          </w:tcPr>
          <w:p w14:paraId="0271BF88"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7.9</w:t>
            </w:r>
          </w:p>
        </w:tc>
      </w:tr>
      <w:tr w:rsidR="00CE71C4" w:rsidRPr="00E223AF" w14:paraId="01FF9EA9"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4520EEEA" w14:textId="77777777" w:rsidR="00CE71C4" w:rsidRPr="00E223AF" w:rsidRDefault="00CE71C4" w:rsidP="00CE71C4">
            <w:pPr>
              <w:jc w:val="left"/>
              <w:rPr>
                <w:sz w:val="22"/>
                <w:szCs w:val="22"/>
              </w:rPr>
            </w:pPr>
            <w:r w:rsidRPr="00E223AF">
              <w:rPr>
                <w:sz w:val="22"/>
                <w:szCs w:val="22"/>
              </w:rPr>
              <w:t>Colorectal cancer</w:t>
            </w:r>
          </w:p>
        </w:tc>
        <w:tc>
          <w:tcPr>
            <w:tcW w:w="837" w:type="pct"/>
            <w:tcBorders>
              <w:top w:val="single" w:sz="2" w:space="0" w:color="auto"/>
              <w:left w:val="single" w:sz="2" w:space="0" w:color="auto"/>
              <w:bottom w:val="single" w:sz="2" w:space="0" w:color="auto"/>
              <w:right w:val="single" w:sz="2" w:space="0" w:color="auto"/>
            </w:tcBorders>
          </w:tcPr>
          <w:p w14:paraId="1B7A61D3"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4</w:t>
            </w:r>
          </w:p>
        </w:tc>
        <w:tc>
          <w:tcPr>
            <w:tcW w:w="887" w:type="pct"/>
            <w:tcBorders>
              <w:top w:val="single" w:sz="2" w:space="0" w:color="auto"/>
              <w:left w:val="single" w:sz="2" w:space="0" w:color="auto"/>
              <w:bottom w:val="single" w:sz="2" w:space="0" w:color="auto"/>
              <w:right w:val="single" w:sz="2" w:space="0" w:color="auto"/>
            </w:tcBorders>
          </w:tcPr>
          <w:p w14:paraId="410794D3"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25%</w:t>
            </w:r>
          </w:p>
        </w:tc>
        <w:tc>
          <w:tcPr>
            <w:tcW w:w="836" w:type="pct"/>
            <w:tcBorders>
              <w:top w:val="single" w:sz="2" w:space="0" w:color="auto"/>
              <w:left w:val="single" w:sz="2" w:space="0" w:color="auto"/>
              <w:bottom w:val="single" w:sz="2" w:space="0" w:color="auto"/>
              <w:right w:val="single" w:sz="2" w:space="0" w:color="auto"/>
            </w:tcBorders>
          </w:tcPr>
          <w:p w14:paraId="5AE52CD4"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NA</w:t>
            </w:r>
          </w:p>
        </w:tc>
        <w:tc>
          <w:tcPr>
            <w:tcW w:w="865" w:type="pct"/>
            <w:tcBorders>
              <w:top w:val="single" w:sz="2" w:space="0" w:color="auto"/>
              <w:left w:val="single" w:sz="2" w:space="0" w:color="auto"/>
              <w:bottom w:val="single" w:sz="2" w:space="0" w:color="auto"/>
              <w:right w:val="single" w:sz="2" w:space="0" w:color="auto"/>
            </w:tcBorders>
          </w:tcPr>
          <w:p w14:paraId="24F5BA7A"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4.8*</w:t>
            </w:r>
          </w:p>
        </w:tc>
      </w:tr>
      <w:tr w:rsidR="00CE71C4" w:rsidRPr="00E223AF" w14:paraId="5DBAB22B"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46765FAF" w14:textId="77777777" w:rsidR="00CE71C4" w:rsidRPr="00E223AF" w:rsidRDefault="00CE71C4" w:rsidP="00CE71C4">
            <w:pPr>
              <w:jc w:val="left"/>
              <w:rPr>
                <w:sz w:val="22"/>
                <w:szCs w:val="22"/>
              </w:rPr>
            </w:pPr>
            <w:r w:rsidRPr="00E223AF">
              <w:rPr>
                <w:sz w:val="22"/>
                <w:szCs w:val="22"/>
              </w:rPr>
              <w:t>Neuroendocrine cancers</w:t>
            </w:r>
          </w:p>
        </w:tc>
        <w:tc>
          <w:tcPr>
            <w:tcW w:w="837" w:type="pct"/>
            <w:tcBorders>
              <w:top w:val="single" w:sz="2" w:space="0" w:color="auto"/>
              <w:left w:val="single" w:sz="2" w:space="0" w:color="auto"/>
              <w:bottom w:val="single" w:sz="2" w:space="0" w:color="auto"/>
              <w:right w:val="single" w:sz="2" w:space="0" w:color="auto"/>
            </w:tcBorders>
          </w:tcPr>
          <w:p w14:paraId="46418F72"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3</w:t>
            </w:r>
          </w:p>
        </w:tc>
        <w:tc>
          <w:tcPr>
            <w:tcW w:w="887" w:type="pct"/>
            <w:tcBorders>
              <w:top w:val="single" w:sz="2" w:space="0" w:color="auto"/>
              <w:left w:val="single" w:sz="2" w:space="0" w:color="auto"/>
              <w:bottom w:val="single" w:sz="2" w:space="0" w:color="auto"/>
              <w:right w:val="single" w:sz="2" w:space="0" w:color="auto"/>
            </w:tcBorders>
          </w:tcPr>
          <w:p w14:paraId="5C28F535"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PR</w:t>
            </w:r>
          </w:p>
        </w:tc>
        <w:tc>
          <w:tcPr>
            <w:tcW w:w="836" w:type="pct"/>
            <w:tcBorders>
              <w:top w:val="single" w:sz="2" w:space="0" w:color="auto"/>
              <w:left w:val="single" w:sz="2" w:space="0" w:color="auto"/>
              <w:bottom w:val="single" w:sz="2" w:space="0" w:color="auto"/>
              <w:right w:val="single" w:sz="2" w:space="0" w:color="auto"/>
            </w:tcBorders>
          </w:tcPr>
          <w:p w14:paraId="2A53E891"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NA</w:t>
            </w:r>
          </w:p>
        </w:tc>
        <w:tc>
          <w:tcPr>
            <w:tcW w:w="865" w:type="pct"/>
            <w:tcBorders>
              <w:top w:val="single" w:sz="2" w:space="0" w:color="auto"/>
              <w:left w:val="single" w:sz="2" w:space="0" w:color="auto"/>
              <w:bottom w:val="single" w:sz="2" w:space="0" w:color="auto"/>
              <w:right w:val="single" w:sz="2" w:space="0" w:color="auto"/>
            </w:tcBorders>
          </w:tcPr>
          <w:p w14:paraId="700DD53F"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5.6*</w:t>
            </w:r>
          </w:p>
        </w:tc>
      </w:tr>
      <w:tr w:rsidR="00CE71C4" w:rsidRPr="00E223AF" w14:paraId="0F95BD9A"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5E520532" w14:textId="77777777" w:rsidR="00CE71C4" w:rsidRPr="00E223AF" w:rsidRDefault="00CE71C4" w:rsidP="00CE71C4">
            <w:pPr>
              <w:jc w:val="left"/>
              <w:rPr>
                <w:sz w:val="22"/>
                <w:szCs w:val="22"/>
              </w:rPr>
            </w:pPr>
            <w:r w:rsidRPr="00E223AF">
              <w:rPr>
                <w:sz w:val="22"/>
                <w:szCs w:val="22"/>
              </w:rPr>
              <w:lastRenderedPageBreak/>
              <w:t>Pancreatic cancer</w:t>
            </w:r>
          </w:p>
        </w:tc>
        <w:tc>
          <w:tcPr>
            <w:tcW w:w="837" w:type="pct"/>
            <w:tcBorders>
              <w:top w:val="single" w:sz="2" w:space="0" w:color="auto"/>
              <w:left w:val="single" w:sz="2" w:space="0" w:color="auto"/>
              <w:bottom w:val="single" w:sz="2" w:space="0" w:color="auto"/>
              <w:right w:val="single" w:sz="2" w:space="0" w:color="auto"/>
            </w:tcBorders>
          </w:tcPr>
          <w:p w14:paraId="0B9E2662"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3</w:t>
            </w:r>
          </w:p>
        </w:tc>
        <w:tc>
          <w:tcPr>
            <w:tcW w:w="887" w:type="pct"/>
            <w:tcBorders>
              <w:top w:val="single" w:sz="2" w:space="0" w:color="auto"/>
              <w:left w:val="single" w:sz="2" w:space="0" w:color="auto"/>
              <w:bottom w:val="single" w:sz="2" w:space="0" w:color="auto"/>
              <w:right w:val="single" w:sz="2" w:space="0" w:color="auto"/>
            </w:tcBorders>
          </w:tcPr>
          <w:p w14:paraId="4D334190"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PR, PR</w:t>
            </w:r>
          </w:p>
        </w:tc>
        <w:tc>
          <w:tcPr>
            <w:tcW w:w="836" w:type="pct"/>
            <w:tcBorders>
              <w:top w:val="single" w:sz="2" w:space="0" w:color="auto"/>
              <w:left w:val="single" w:sz="2" w:space="0" w:color="auto"/>
              <w:bottom w:val="single" w:sz="2" w:space="0" w:color="auto"/>
              <w:right w:val="single" w:sz="2" w:space="0" w:color="auto"/>
            </w:tcBorders>
          </w:tcPr>
          <w:p w14:paraId="4267017C"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NA</w:t>
            </w:r>
          </w:p>
        </w:tc>
        <w:tc>
          <w:tcPr>
            <w:tcW w:w="865" w:type="pct"/>
            <w:tcBorders>
              <w:top w:val="single" w:sz="2" w:space="0" w:color="auto"/>
              <w:left w:val="single" w:sz="2" w:space="0" w:color="auto"/>
              <w:bottom w:val="single" w:sz="2" w:space="0" w:color="auto"/>
              <w:right w:val="single" w:sz="2" w:space="0" w:color="auto"/>
            </w:tcBorders>
          </w:tcPr>
          <w:p w14:paraId="04B0D987"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7.1, 12.9</w:t>
            </w:r>
          </w:p>
        </w:tc>
      </w:tr>
      <w:tr w:rsidR="00CE71C4" w:rsidRPr="00E223AF" w14:paraId="7B999B70"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7E978134" w14:textId="77777777" w:rsidR="00CE71C4" w:rsidRPr="00E223AF" w:rsidDel="00B73CF1" w:rsidRDefault="00CE71C4" w:rsidP="00CE71C4">
            <w:pPr>
              <w:jc w:val="left"/>
              <w:rPr>
                <w:sz w:val="22"/>
                <w:szCs w:val="22"/>
              </w:rPr>
            </w:pPr>
            <w:r w:rsidRPr="00E223AF">
              <w:rPr>
                <w:sz w:val="22"/>
                <w:szCs w:val="22"/>
              </w:rPr>
              <w:t>Gynecological cancers</w:t>
            </w:r>
          </w:p>
        </w:tc>
        <w:tc>
          <w:tcPr>
            <w:tcW w:w="837" w:type="pct"/>
            <w:tcBorders>
              <w:top w:val="single" w:sz="2" w:space="0" w:color="auto"/>
              <w:left w:val="single" w:sz="2" w:space="0" w:color="auto"/>
              <w:bottom w:val="single" w:sz="2" w:space="0" w:color="auto"/>
              <w:right w:val="single" w:sz="2" w:space="0" w:color="auto"/>
            </w:tcBorders>
          </w:tcPr>
          <w:p w14:paraId="154493F1" w14:textId="77777777" w:rsidR="00CE71C4" w:rsidRPr="00E223AF" w:rsidDel="00B73CF1"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2</w:t>
            </w:r>
          </w:p>
        </w:tc>
        <w:tc>
          <w:tcPr>
            <w:tcW w:w="887" w:type="pct"/>
            <w:tcBorders>
              <w:top w:val="single" w:sz="2" w:space="0" w:color="auto"/>
              <w:left w:val="single" w:sz="2" w:space="0" w:color="auto"/>
              <w:bottom w:val="single" w:sz="2" w:space="0" w:color="auto"/>
              <w:right w:val="single" w:sz="2" w:space="0" w:color="auto"/>
            </w:tcBorders>
          </w:tcPr>
          <w:p w14:paraId="02EC3555" w14:textId="77777777" w:rsidR="00CE71C4" w:rsidRPr="00E223AF" w:rsidDel="00B73CF1"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PR</w:t>
            </w:r>
          </w:p>
        </w:tc>
        <w:tc>
          <w:tcPr>
            <w:tcW w:w="836" w:type="pct"/>
            <w:tcBorders>
              <w:top w:val="single" w:sz="2" w:space="0" w:color="auto"/>
              <w:left w:val="single" w:sz="2" w:space="0" w:color="auto"/>
              <w:bottom w:val="single" w:sz="2" w:space="0" w:color="auto"/>
              <w:right w:val="single" w:sz="2" w:space="0" w:color="auto"/>
            </w:tcBorders>
          </w:tcPr>
          <w:p w14:paraId="3AC6BADF"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NA</w:t>
            </w:r>
          </w:p>
        </w:tc>
        <w:tc>
          <w:tcPr>
            <w:tcW w:w="865" w:type="pct"/>
            <w:tcBorders>
              <w:top w:val="single" w:sz="2" w:space="0" w:color="auto"/>
              <w:left w:val="single" w:sz="2" w:space="0" w:color="auto"/>
              <w:bottom w:val="single" w:sz="2" w:space="0" w:color="auto"/>
              <w:right w:val="single" w:sz="2" w:space="0" w:color="auto"/>
            </w:tcBorders>
          </w:tcPr>
          <w:p w14:paraId="74FBD14E"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20.3*</w:t>
            </w:r>
          </w:p>
        </w:tc>
      </w:tr>
      <w:tr w:rsidR="00CE71C4" w:rsidRPr="00E223AF" w14:paraId="13D4749B" w14:textId="77777777" w:rsidTr="00273525">
        <w:trPr>
          <w:jc w:val="center"/>
        </w:trPr>
        <w:tc>
          <w:tcPr>
            <w:tcW w:w="1575" w:type="pct"/>
            <w:tcBorders>
              <w:top w:val="single" w:sz="2" w:space="0" w:color="auto"/>
              <w:left w:val="single" w:sz="2" w:space="0" w:color="auto"/>
              <w:bottom w:val="single" w:sz="2" w:space="0" w:color="auto"/>
              <w:right w:val="single" w:sz="2" w:space="0" w:color="auto"/>
            </w:tcBorders>
          </w:tcPr>
          <w:p w14:paraId="4EED0C80" w14:textId="77777777" w:rsidR="00CE71C4" w:rsidRPr="00E223AF" w:rsidRDefault="00CE71C4" w:rsidP="00CE71C4">
            <w:pPr>
              <w:jc w:val="left"/>
              <w:rPr>
                <w:sz w:val="22"/>
                <w:szCs w:val="22"/>
              </w:rPr>
            </w:pPr>
            <w:proofErr w:type="spellStart"/>
            <w:r w:rsidRPr="00E223AF">
              <w:rPr>
                <w:sz w:val="22"/>
                <w:szCs w:val="22"/>
              </w:rPr>
              <w:t>Cholangiocarcinoma</w:t>
            </w:r>
            <w:proofErr w:type="spellEnd"/>
            <w:r w:rsidRPr="00E223AF">
              <w:rPr>
                <w:sz w:val="22"/>
                <w:szCs w:val="22"/>
              </w:rPr>
              <w:t xml:space="preserve"> </w:t>
            </w:r>
          </w:p>
        </w:tc>
        <w:tc>
          <w:tcPr>
            <w:tcW w:w="837" w:type="pct"/>
            <w:tcBorders>
              <w:top w:val="single" w:sz="2" w:space="0" w:color="auto"/>
              <w:left w:val="single" w:sz="2" w:space="0" w:color="auto"/>
              <w:bottom w:val="single" w:sz="2" w:space="0" w:color="auto"/>
              <w:right w:val="single" w:sz="2" w:space="0" w:color="auto"/>
            </w:tcBorders>
          </w:tcPr>
          <w:p w14:paraId="77056B3B"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1</w:t>
            </w:r>
          </w:p>
        </w:tc>
        <w:tc>
          <w:tcPr>
            <w:tcW w:w="887" w:type="pct"/>
            <w:tcBorders>
              <w:top w:val="single" w:sz="2" w:space="0" w:color="auto"/>
              <w:left w:val="single" w:sz="2" w:space="0" w:color="auto"/>
              <w:bottom w:val="single" w:sz="2" w:space="0" w:color="auto"/>
              <w:right w:val="single" w:sz="2" w:space="0" w:color="auto"/>
            </w:tcBorders>
          </w:tcPr>
          <w:p w14:paraId="25EFA362"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PR</w:t>
            </w:r>
          </w:p>
        </w:tc>
        <w:tc>
          <w:tcPr>
            <w:tcW w:w="836" w:type="pct"/>
            <w:tcBorders>
              <w:top w:val="single" w:sz="2" w:space="0" w:color="auto"/>
              <w:left w:val="single" w:sz="2" w:space="0" w:color="auto"/>
              <w:bottom w:val="single" w:sz="2" w:space="0" w:color="auto"/>
              <w:right w:val="single" w:sz="2" w:space="0" w:color="auto"/>
            </w:tcBorders>
          </w:tcPr>
          <w:p w14:paraId="755B9E45" w14:textId="77777777" w:rsidR="00CE71C4" w:rsidRPr="00E223A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NA</w:t>
            </w:r>
          </w:p>
        </w:tc>
        <w:tc>
          <w:tcPr>
            <w:tcW w:w="865" w:type="pct"/>
            <w:tcBorders>
              <w:top w:val="single" w:sz="2" w:space="0" w:color="auto"/>
              <w:left w:val="single" w:sz="2" w:space="0" w:color="auto"/>
              <w:bottom w:val="single" w:sz="2" w:space="0" w:color="auto"/>
              <w:right w:val="single" w:sz="2" w:space="0" w:color="auto"/>
            </w:tcBorders>
          </w:tcPr>
          <w:p w14:paraId="56D3BBB2" w14:textId="77777777" w:rsidR="00CE71C4" w:rsidRPr="00E223AF" w:rsidDel="0062413F" w:rsidRDefault="00CE71C4" w:rsidP="00CE71C4">
            <w:pPr>
              <w:shd w:val="clear" w:color="auto" w:fill="FFFFFF"/>
              <w:tabs>
                <w:tab w:val="left" w:pos="1110"/>
                <w:tab w:val="center" w:pos="1422"/>
              </w:tabs>
              <w:jc w:val="center"/>
              <w:rPr>
                <w:sz w:val="22"/>
                <w:szCs w:val="22"/>
                <w:lang w:eastAsia="de-DE"/>
              </w:rPr>
            </w:pPr>
            <w:r w:rsidRPr="00E223AF">
              <w:rPr>
                <w:sz w:val="22"/>
                <w:szCs w:val="22"/>
                <w:lang w:eastAsia="de-DE"/>
              </w:rPr>
              <w:t>9.3</w:t>
            </w:r>
          </w:p>
        </w:tc>
      </w:tr>
      <w:tr w:rsidR="00CE71C4" w:rsidRPr="00E223AF" w14:paraId="72DF8CAF" w14:textId="77777777" w:rsidTr="00273525">
        <w:trPr>
          <w:jc w:val="center"/>
        </w:trPr>
        <w:tc>
          <w:tcPr>
            <w:tcW w:w="5000" w:type="pct"/>
            <w:gridSpan w:val="5"/>
            <w:tcBorders>
              <w:top w:val="single" w:sz="2" w:space="0" w:color="auto"/>
              <w:left w:val="nil"/>
              <w:bottom w:val="nil"/>
              <w:right w:val="nil"/>
            </w:tcBorders>
          </w:tcPr>
          <w:p w14:paraId="588A2916" w14:textId="77777777" w:rsidR="00CE71C4" w:rsidRPr="00E223AF" w:rsidRDefault="00CE71C4" w:rsidP="00CE71C4">
            <w:pPr>
              <w:rPr>
                <w:sz w:val="18"/>
                <w:szCs w:val="18"/>
              </w:rPr>
            </w:pPr>
            <w:r w:rsidRPr="00E223AF">
              <w:rPr>
                <w:sz w:val="18"/>
                <w:szCs w:val="18"/>
              </w:rPr>
              <w:t>* Censored</w:t>
            </w:r>
          </w:p>
          <w:p w14:paraId="47571579" w14:textId="77777777" w:rsidR="00CE71C4" w:rsidRPr="00E223AF" w:rsidRDefault="00CE71C4" w:rsidP="00CE71C4">
            <w:pPr>
              <w:rPr>
                <w:sz w:val="18"/>
                <w:szCs w:val="18"/>
              </w:rPr>
            </w:pPr>
            <w:r w:rsidRPr="00E223AF">
              <w:rPr>
                <w:sz w:val="18"/>
                <w:szCs w:val="18"/>
              </w:rPr>
              <w:t>MASC: mammary analogue secretory carcinoma; NA = not applicable; PR = partial response.</w:t>
            </w:r>
          </w:p>
        </w:tc>
      </w:tr>
    </w:tbl>
    <w:p w14:paraId="066BBE84" w14:textId="7907A63F" w:rsidR="00CE4668" w:rsidRPr="00E223AF" w:rsidRDefault="00CE4668" w:rsidP="00CE4668">
      <w:pPr>
        <w:rPr>
          <w:color w:val="auto"/>
        </w:rPr>
      </w:pPr>
    </w:p>
    <w:p w14:paraId="3581C443" w14:textId="311C80DA" w:rsidR="005A4149" w:rsidRPr="00E223AF" w:rsidRDefault="005A4149" w:rsidP="00CE4668">
      <w:pPr>
        <w:rPr>
          <w:b/>
          <w:color w:val="auto"/>
        </w:rPr>
      </w:pPr>
      <w:r w:rsidRPr="00E223AF">
        <w:rPr>
          <w:b/>
          <w:color w:val="auto"/>
        </w:rPr>
        <w:t xml:space="preserve">Table 9. </w:t>
      </w:r>
      <w:r w:rsidR="00BB680F" w:rsidRPr="00E223AF">
        <w:rPr>
          <w:b/>
          <w:color w:val="auto"/>
        </w:rPr>
        <w:t xml:space="preserve">Efficacy against </w:t>
      </w:r>
      <w:r w:rsidR="00BB680F" w:rsidRPr="00E223AF">
        <w:rPr>
          <w:b/>
          <w:i/>
          <w:color w:val="auto"/>
        </w:rPr>
        <w:t>NTRK</w:t>
      </w:r>
      <w:r w:rsidR="00BB680F" w:rsidRPr="00E223AF">
        <w:rPr>
          <w:b/>
          <w:color w:val="auto"/>
        </w:rPr>
        <w:t xml:space="preserve"> fusion-positive tumours, by fusion gene partner</w:t>
      </w:r>
    </w:p>
    <w:tbl>
      <w:tblPr>
        <w:tblW w:w="93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2382"/>
        <w:gridCol w:w="1543"/>
        <w:gridCol w:w="1463"/>
        <w:gridCol w:w="1463"/>
        <w:gridCol w:w="2505"/>
      </w:tblGrid>
      <w:tr w:rsidR="00CE71C4" w:rsidRPr="00E223AF" w14:paraId="7691A54A" w14:textId="77777777" w:rsidTr="00273525">
        <w:trPr>
          <w:trHeight w:val="20"/>
          <w:jc w:val="center"/>
        </w:trPr>
        <w:tc>
          <w:tcPr>
            <w:tcW w:w="2382" w:type="dxa"/>
            <w:vMerge w:val="restart"/>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1E407400"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left"/>
              <w:rPr>
                <w:b/>
                <w:color w:val="auto"/>
                <w:sz w:val="22"/>
                <w:szCs w:val="22"/>
                <w:lang w:val="en-US" w:eastAsia="en-US"/>
              </w:rPr>
            </w:pPr>
            <w:r w:rsidRPr="00E223AF">
              <w:rPr>
                <w:b/>
                <w:i/>
                <w:color w:val="auto"/>
                <w:sz w:val="22"/>
                <w:szCs w:val="22"/>
                <w:lang w:val="en-US" w:eastAsia="en-US"/>
              </w:rPr>
              <w:t>NTRK</w:t>
            </w:r>
            <w:r w:rsidRPr="00E223AF">
              <w:rPr>
                <w:b/>
                <w:color w:val="auto"/>
                <w:sz w:val="22"/>
                <w:szCs w:val="22"/>
                <w:lang w:val="en-US" w:eastAsia="en-US"/>
              </w:rPr>
              <w:t xml:space="preserve"> Partner</w:t>
            </w:r>
          </w:p>
        </w:tc>
        <w:tc>
          <w:tcPr>
            <w:tcW w:w="1543" w:type="dxa"/>
            <w:vMerge w:val="restart"/>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29AEE411"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Patients</w:t>
            </w:r>
          </w:p>
          <w:p w14:paraId="35701F44"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N = 54</w:t>
            </w:r>
          </w:p>
        </w:tc>
        <w:tc>
          <w:tcPr>
            <w:tcW w:w="2926" w:type="dxa"/>
            <w:gridSpan w:val="2"/>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296C4B4C"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ORR</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3A91630C"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DOR</w:t>
            </w:r>
          </w:p>
        </w:tc>
      </w:tr>
      <w:tr w:rsidR="00CE71C4" w:rsidRPr="00E223AF" w14:paraId="594691A5" w14:textId="77777777" w:rsidTr="00273525">
        <w:trPr>
          <w:trHeight w:val="20"/>
          <w:jc w:val="center"/>
        </w:trPr>
        <w:tc>
          <w:tcPr>
            <w:tcW w:w="238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C7EF13B"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left"/>
              <w:rPr>
                <w:b/>
                <w:color w:val="auto"/>
                <w:sz w:val="22"/>
                <w:szCs w:val="22"/>
                <w:lang w:val="en-US" w:eastAsia="en-US"/>
              </w:rPr>
            </w:pPr>
          </w:p>
        </w:tc>
        <w:tc>
          <w:tcPr>
            <w:tcW w:w="0" w:type="auto"/>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CF94D42"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p>
        </w:tc>
        <w:tc>
          <w:tcPr>
            <w:tcW w:w="1463" w:type="dxa"/>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4315BB3D"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33BCD9F8"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95% CI</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72" w:type="dxa"/>
              <w:left w:w="144" w:type="dxa"/>
              <w:bottom w:w="72" w:type="dxa"/>
              <w:right w:w="144" w:type="dxa"/>
            </w:tcMar>
            <w:vAlign w:val="center"/>
            <w:hideMark/>
          </w:tcPr>
          <w:p w14:paraId="6F02CB85" w14:textId="77777777" w:rsidR="00CE71C4" w:rsidRPr="00E223AF" w:rsidRDefault="00CE71C4" w:rsidP="00CE71C4">
            <w:pPr>
              <w:keepNext/>
              <w:keepLines/>
              <w:pBdr>
                <w:top w:val="none" w:sz="0" w:space="0" w:color="auto"/>
                <w:left w:val="none" w:sz="0" w:space="0" w:color="auto"/>
                <w:bottom w:val="none" w:sz="0" w:space="0" w:color="auto"/>
                <w:right w:val="none" w:sz="0" w:space="0" w:color="auto"/>
                <w:between w:val="none" w:sz="0" w:space="0" w:color="auto"/>
              </w:pBdr>
              <w:jc w:val="center"/>
              <w:rPr>
                <w:b/>
                <w:color w:val="auto"/>
                <w:sz w:val="22"/>
                <w:szCs w:val="22"/>
                <w:lang w:val="en-US" w:eastAsia="en-US"/>
              </w:rPr>
            </w:pPr>
            <w:r w:rsidRPr="00E223AF">
              <w:rPr>
                <w:b/>
                <w:color w:val="auto"/>
                <w:sz w:val="22"/>
                <w:szCs w:val="22"/>
                <w:lang w:val="en-US" w:eastAsia="en-US"/>
              </w:rPr>
              <w:t>Range (months)</w:t>
            </w:r>
          </w:p>
        </w:tc>
      </w:tr>
      <w:tr w:rsidR="00CE71C4" w:rsidRPr="00E223AF" w14:paraId="1F7F101E"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34E492D"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ETV6 – NTRK3</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D59FBD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25</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01F65A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68%</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F8BED38"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47%, 85%</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6185B9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2.8, 20.3*</w:t>
            </w:r>
          </w:p>
        </w:tc>
      </w:tr>
      <w:tr w:rsidR="00CE71C4" w:rsidRPr="00E223AF" w14:paraId="2EA05CAC"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89A1B6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TPM3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B1A0359"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4</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FFF71B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50%</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5BAEB4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7%, 93%</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EE0BC31"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2.8, 15.1</w:t>
            </w:r>
          </w:p>
        </w:tc>
      </w:tr>
      <w:tr w:rsidR="00CE71C4" w:rsidRPr="00E223AF" w14:paraId="0A1E494E"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910072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TPR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6EF46BF"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4</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479F69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100%</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5F5B33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40%, 100%</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DE9B6FF"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5.6, 12.9</w:t>
            </w:r>
          </w:p>
        </w:tc>
      </w:tr>
      <w:tr w:rsidR="00CE71C4" w:rsidRPr="00E223AF" w14:paraId="7355AC5C"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6EEE1C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LMNA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558116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EA0067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 PD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C24D49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BFCFBD3"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4.2</w:t>
            </w:r>
          </w:p>
        </w:tc>
      </w:tr>
      <w:tr w:rsidR="00CE71C4" w:rsidRPr="00E223AF" w14:paraId="3AA264F6"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8C2360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SQSTM1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D9FF7C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CF12E1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 PR</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B82D770"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58FD9C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3.7, 18.8*</w:t>
            </w:r>
          </w:p>
        </w:tc>
      </w:tr>
      <w:tr w:rsidR="00CE71C4" w:rsidRPr="00E223AF" w14:paraId="153E06ED"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307F7A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PEAR1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3B483A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F2C850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 NE</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9F82DB8"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0FEACF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7A227D22"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79C765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EML4 – NTRK3</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8756D1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2</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BE77BC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 NE</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A853CE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47DD35D"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68FC3908"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827863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CD74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F542E51"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B81A07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6F589D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4B5AEB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10.4</w:t>
            </w:r>
          </w:p>
        </w:tc>
      </w:tr>
      <w:tr w:rsidR="00CE71C4" w:rsidRPr="00E223AF" w14:paraId="414DC18D"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F24DB99"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PLEKHA6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4094171"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220631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F87524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56C92EF"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9.3</w:t>
            </w:r>
          </w:p>
        </w:tc>
      </w:tr>
      <w:tr w:rsidR="00CE71C4" w:rsidRPr="00E223AF" w14:paraId="3576E76B"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F07192F"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CDC42BPA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E5E0D8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93A75C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2C5E6F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D3A024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6.8*</w:t>
            </w:r>
          </w:p>
        </w:tc>
      </w:tr>
      <w:tr w:rsidR="00CE71C4" w:rsidRPr="00E223AF" w14:paraId="2F873DC7"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D98BB21"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EPS15L1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74FB0D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740D9E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DF3BDD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AC7D6C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1.9*</w:t>
            </w:r>
          </w:p>
        </w:tc>
      </w:tr>
      <w:tr w:rsidR="00CE71C4" w:rsidRPr="00E223AF" w14:paraId="6388729B"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259B89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RBPMS – NTRK3</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70B1C4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049664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PR</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AE677F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694BFA2"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4.6</w:t>
            </w:r>
          </w:p>
        </w:tc>
      </w:tr>
      <w:tr w:rsidR="00CE71C4" w:rsidRPr="00E223AF" w14:paraId="27A19151"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4A18C7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ERC1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49650C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5A5A7D3"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F243912"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BAE4533"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36543CA5"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C50977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PDIA3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ACF44D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C909DC9"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301EBE8"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BC3EC7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7B088D04"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8A7597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TRIM33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720D831"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212AA17"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114097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8BC4DF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1CCB0BEC"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216D5C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AKAP13 – NTRK3</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1150359"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E2E3A0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E762B49"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66787A2"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73C3BAE9"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4952DCF"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KIF7 – NTRK3</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A0B263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8C5881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SD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D027CBF"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7378939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4E21EF74"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6E66492"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FAM19A2 – NTRK3</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FAD0C7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CC4A38C"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PD</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4EC31C08"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E174795"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50FA84D9"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06EC0432"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CGN – NTRK1</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769977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8E50EB2"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NE</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2671814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6B7A617A"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0476B6C2" w14:textId="77777777" w:rsidTr="00273525">
        <w:trPr>
          <w:trHeight w:val="20"/>
          <w:jc w:val="center"/>
        </w:trPr>
        <w:tc>
          <w:tcPr>
            <w:tcW w:w="238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5C758AB"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78"/>
              <w:jc w:val="left"/>
              <w:rPr>
                <w:color w:val="auto"/>
                <w:sz w:val="22"/>
                <w:szCs w:val="22"/>
                <w:lang w:val="en-US" w:eastAsia="en-US"/>
              </w:rPr>
            </w:pPr>
            <w:r w:rsidRPr="00E223AF">
              <w:rPr>
                <w:color w:val="auto"/>
                <w:sz w:val="22"/>
                <w:szCs w:val="22"/>
                <w:lang w:val="en-US" w:eastAsia="en-US"/>
              </w:rPr>
              <w:t>SQSTM1 – NTRK2</w:t>
            </w:r>
          </w:p>
        </w:tc>
        <w:tc>
          <w:tcPr>
            <w:tcW w:w="154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BA157D0"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1</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37B2892D"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NE</w:t>
            </w:r>
          </w:p>
        </w:tc>
        <w:tc>
          <w:tcPr>
            <w:tcW w:w="1463"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5745492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c>
          <w:tcPr>
            <w:tcW w:w="2505"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hideMark/>
          </w:tcPr>
          <w:p w14:paraId="18154EA4"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110"/>
                <w:tab w:val="center" w:pos="1422"/>
              </w:tabs>
              <w:jc w:val="center"/>
              <w:rPr>
                <w:color w:val="auto"/>
                <w:sz w:val="22"/>
                <w:szCs w:val="22"/>
                <w:lang w:val="en-US" w:eastAsia="de-DE"/>
              </w:rPr>
            </w:pPr>
            <w:r w:rsidRPr="00E223AF">
              <w:rPr>
                <w:color w:val="auto"/>
                <w:sz w:val="22"/>
                <w:szCs w:val="22"/>
                <w:lang w:val="en-US" w:eastAsia="de-DE"/>
              </w:rPr>
              <w:t>NA</w:t>
            </w:r>
          </w:p>
        </w:tc>
      </w:tr>
      <w:tr w:rsidR="00CE71C4" w:rsidRPr="00E223AF" w14:paraId="1CFAB26D" w14:textId="77777777" w:rsidTr="00273525">
        <w:trPr>
          <w:trHeight w:val="20"/>
          <w:jc w:val="center"/>
        </w:trPr>
        <w:tc>
          <w:tcPr>
            <w:tcW w:w="9356" w:type="dxa"/>
            <w:gridSpan w:val="5"/>
            <w:tcBorders>
              <w:top w:val="single" w:sz="2" w:space="0" w:color="auto"/>
              <w:left w:val="nil"/>
              <w:bottom w:val="nil"/>
              <w:right w:val="nil"/>
            </w:tcBorders>
            <w:shd w:val="clear" w:color="auto" w:fill="auto"/>
            <w:tcMar>
              <w:top w:w="15" w:type="dxa"/>
              <w:left w:w="15" w:type="dxa"/>
              <w:bottom w:w="0" w:type="dxa"/>
              <w:right w:w="15" w:type="dxa"/>
            </w:tcMar>
            <w:vAlign w:val="center"/>
          </w:tcPr>
          <w:p w14:paraId="594DE766"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102"/>
              <w:rPr>
                <w:rFonts w:eastAsia="SimSun"/>
                <w:color w:val="auto"/>
                <w:sz w:val="18"/>
                <w:szCs w:val="18"/>
                <w:lang w:val="en-US" w:eastAsia="en-US"/>
              </w:rPr>
            </w:pPr>
            <w:r w:rsidRPr="00E223AF">
              <w:rPr>
                <w:rFonts w:eastAsia="SimSun"/>
                <w:color w:val="auto"/>
                <w:sz w:val="18"/>
                <w:szCs w:val="18"/>
                <w:lang w:val="en-US" w:eastAsia="en-US"/>
              </w:rPr>
              <w:t>* Censored</w:t>
            </w:r>
          </w:p>
          <w:p w14:paraId="1CB3135E" w14:textId="77777777" w:rsidR="00CE71C4" w:rsidRPr="00E223AF" w:rsidRDefault="00CE71C4" w:rsidP="00CE71C4">
            <w:pPr>
              <w:pBdr>
                <w:top w:val="none" w:sz="0" w:space="0" w:color="auto"/>
                <w:left w:val="none" w:sz="0" w:space="0" w:color="auto"/>
                <w:bottom w:val="none" w:sz="0" w:space="0" w:color="auto"/>
                <w:right w:val="none" w:sz="0" w:space="0" w:color="auto"/>
                <w:between w:val="none" w:sz="0" w:space="0" w:color="auto"/>
              </w:pBdr>
              <w:ind w:left="102"/>
              <w:rPr>
                <w:color w:val="auto"/>
                <w:sz w:val="18"/>
                <w:szCs w:val="18"/>
                <w:lang w:val="en-US" w:eastAsia="en-US"/>
              </w:rPr>
            </w:pPr>
            <w:r w:rsidRPr="00E223AF">
              <w:rPr>
                <w:rFonts w:eastAsia="SimSun"/>
                <w:color w:val="auto"/>
                <w:sz w:val="18"/>
                <w:szCs w:val="18"/>
                <w:lang w:val="en-US" w:eastAsia="en-US"/>
              </w:rPr>
              <w:t xml:space="preserve">PR = partial response; PD = progressive disease; SD = stable disease; NA = not applicable; NE = not evaluable. </w:t>
            </w:r>
          </w:p>
        </w:tc>
      </w:tr>
    </w:tbl>
    <w:p w14:paraId="15BC4DE6" w14:textId="76F28068" w:rsidR="00417605" w:rsidRPr="00E223AF" w:rsidRDefault="00417605" w:rsidP="00CE070A"/>
    <w:p w14:paraId="45847DAA" w14:textId="718DB8C2" w:rsidR="00F24B1B" w:rsidRPr="00E223AF" w:rsidRDefault="00F24B1B" w:rsidP="00F24B1B">
      <w:pPr>
        <w:rPr>
          <w:color w:val="auto"/>
          <w:lang w:val="en-AU"/>
        </w:rPr>
      </w:pPr>
      <w:r w:rsidRPr="00E223AF">
        <w:rPr>
          <w:color w:val="auto"/>
          <w:lang w:val="en-AU"/>
        </w:rPr>
        <w:t xml:space="preserve">Among the subset of patients who received prior systemic therapy for metastatic disease, the ORR was 53%, similar to that seen in the overall population. </w:t>
      </w:r>
    </w:p>
    <w:p w14:paraId="64F5E249" w14:textId="77777777" w:rsidR="00F24B1B" w:rsidRPr="00E223AF" w:rsidRDefault="00F24B1B" w:rsidP="00F24B1B">
      <w:pPr>
        <w:rPr>
          <w:color w:val="auto"/>
          <w:lang w:val="en-AU"/>
        </w:rPr>
      </w:pPr>
    </w:p>
    <w:p w14:paraId="3C5776AD" w14:textId="29EE888B" w:rsidR="0010644D" w:rsidRPr="00E223AF" w:rsidRDefault="005A4149" w:rsidP="0010644D">
      <w:pPr>
        <w:rPr>
          <w:color w:val="auto"/>
        </w:rPr>
      </w:pPr>
      <w:r w:rsidRPr="00E223AF">
        <w:rPr>
          <w:color w:val="auto"/>
          <w:lang w:val="en-AU"/>
        </w:rPr>
        <w:t>Among the 54 adult patients, 4 had measurable CNS metastases at baseline as assessed by BICR and had not received radiation therapy to the brain within 2 months of study entry. Responses in intracranial lesions were observed in 3 of these 4 patients.</w:t>
      </w:r>
      <w:r w:rsidRPr="00E223AF" w:rsidDel="005A4149">
        <w:rPr>
          <w:color w:val="auto"/>
        </w:rPr>
        <w:t xml:space="preserve"> </w:t>
      </w:r>
    </w:p>
    <w:p w14:paraId="331991EC" w14:textId="1E292536" w:rsidR="00D52399" w:rsidRPr="00E223AF" w:rsidRDefault="00902EBE" w:rsidP="00902EBE">
      <w:pPr>
        <w:pStyle w:val="Heading2"/>
        <w:rPr>
          <w:color w:val="auto"/>
        </w:rPr>
      </w:pPr>
      <w:r w:rsidRPr="00E223AF">
        <w:rPr>
          <w:color w:val="auto"/>
        </w:rPr>
        <w:t>5.2</w:t>
      </w:r>
      <w:r w:rsidRPr="00E223AF">
        <w:rPr>
          <w:color w:val="auto"/>
        </w:rPr>
        <w:tab/>
        <w:t xml:space="preserve">PHARMACOKINETIC PROPERTIES </w:t>
      </w:r>
    </w:p>
    <w:p w14:paraId="22487C8A" w14:textId="13C826AF" w:rsidR="00EC67A8" w:rsidRPr="00E223AF" w:rsidRDefault="00EC67A8" w:rsidP="00EC67A8">
      <w:pPr>
        <w:rPr>
          <w:color w:val="auto"/>
        </w:rPr>
      </w:pPr>
      <w:r w:rsidRPr="00E223AF">
        <w:rPr>
          <w:color w:val="auto"/>
        </w:rPr>
        <w:t xml:space="preserve">The pharmacokinetics </w:t>
      </w:r>
      <w:r w:rsidR="002B63D2" w:rsidRPr="00E223AF">
        <w:rPr>
          <w:color w:val="auto"/>
        </w:rPr>
        <w:t xml:space="preserve">of </w:t>
      </w:r>
      <w:r w:rsidRPr="00E223AF">
        <w:rPr>
          <w:color w:val="auto"/>
        </w:rPr>
        <w:t xml:space="preserve">entrectinib and its </w:t>
      </w:r>
      <w:r w:rsidR="00E24B69" w:rsidRPr="00E223AF">
        <w:rPr>
          <w:color w:val="auto"/>
        </w:rPr>
        <w:t>pharmacologically</w:t>
      </w:r>
      <w:r w:rsidR="002B63D2" w:rsidRPr="00E223AF">
        <w:rPr>
          <w:color w:val="auto"/>
        </w:rPr>
        <w:t xml:space="preserve"> active</w:t>
      </w:r>
      <w:r w:rsidR="00E24B69" w:rsidRPr="00E223AF">
        <w:rPr>
          <w:color w:val="auto"/>
        </w:rPr>
        <w:t xml:space="preserve"> </w:t>
      </w:r>
      <w:r w:rsidRPr="00E223AF">
        <w:rPr>
          <w:color w:val="auto"/>
        </w:rPr>
        <w:t xml:space="preserve">major </w:t>
      </w:r>
      <w:r w:rsidR="002B63D2" w:rsidRPr="00E223AF">
        <w:rPr>
          <w:color w:val="auto"/>
        </w:rPr>
        <w:t xml:space="preserve">circulating </w:t>
      </w:r>
      <w:r w:rsidRPr="00E223AF">
        <w:rPr>
          <w:color w:val="auto"/>
        </w:rPr>
        <w:t>metabo</w:t>
      </w:r>
      <w:r w:rsidR="00993C3B" w:rsidRPr="00E223AF">
        <w:rPr>
          <w:color w:val="auto"/>
        </w:rPr>
        <w:t>lite (M5)</w:t>
      </w:r>
      <w:r w:rsidR="002B63D2" w:rsidRPr="00E223AF">
        <w:rPr>
          <w:color w:val="auto"/>
        </w:rPr>
        <w:t xml:space="preserve"> were </w:t>
      </w:r>
      <w:r w:rsidR="00993C3B" w:rsidRPr="00E223AF">
        <w:rPr>
          <w:color w:val="auto"/>
        </w:rPr>
        <w:t>characteris</w:t>
      </w:r>
      <w:r w:rsidRPr="00E223AF">
        <w:rPr>
          <w:color w:val="auto"/>
        </w:rPr>
        <w:t xml:space="preserve">ed in </w:t>
      </w:r>
      <w:r w:rsidR="00E24B69" w:rsidRPr="00E223AF">
        <w:rPr>
          <w:color w:val="auto"/>
        </w:rPr>
        <w:t xml:space="preserve">adult </w:t>
      </w:r>
      <w:r w:rsidRPr="00E223AF">
        <w:rPr>
          <w:color w:val="auto"/>
        </w:rPr>
        <w:t xml:space="preserve">patients with </w:t>
      </w:r>
      <w:r w:rsidR="002B63D2" w:rsidRPr="00E223AF">
        <w:rPr>
          <w:i/>
          <w:color w:val="auto"/>
        </w:rPr>
        <w:t>ROS1</w:t>
      </w:r>
      <w:r w:rsidR="002B63D2" w:rsidRPr="00E223AF">
        <w:rPr>
          <w:color w:val="auto"/>
        </w:rPr>
        <w:t>-positive NSCLC,</w:t>
      </w:r>
      <w:r w:rsidR="002B63D2" w:rsidRPr="00E223AF">
        <w:rPr>
          <w:i/>
          <w:color w:val="auto"/>
        </w:rPr>
        <w:t xml:space="preserve"> </w:t>
      </w:r>
      <w:r w:rsidRPr="00E223AF">
        <w:rPr>
          <w:i/>
          <w:color w:val="auto"/>
        </w:rPr>
        <w:t>NTRK</w:t>
      </w:r>
      <w:r w:rsidR="002B63D2" w:rsidRPr="00E223AF">
        <w:rPr>
          <w:color w:val="auto"/>
        </w:rPr>
        <w:t xml:space="preserve"> gene fusion</w:t>
      </w:r>
      <w:r w:rsidRPr="00E223AF">
        <w:rPr>
          <w:color w:val="auto"/>
        </w:rPr>
        <w:t>-positive solid tumo</w:t>
      </w:r>
      <w:r w:rsidR="00E24B69" w:rsidRPr="00E223AF">
        <w:rPr>
          <w:color w:val="auto"/>
        </w:rPr>
        <w:t>u</w:t>
      </w:r>
      <w:r w:rsidRPr="00E223AF">
        <w:rPr>
          <w:color w:val="auto"/>
        </w:rPr>
        <w:t xml:space="preserve">rs and, and healthy subjects. </w:t>
      </w:r>
      <w:r w:rsidR="002B63D2" w:rsidRPr="00E223AF">
        <w:rPr>
          <w:color w:val="auto"/>
        </w:rPr>
        <w:t xml:space="preserve">The pharmacokinetics of entrectinib and M5 are linear and are not dose-dependent or time-dependent. Steady state is achieved within one week for entrectinib and two weeks for M5 following daily administration of </w:t>
      </w:r>
      <w:r w:rsidR="00E611DE" w:rsidRPr="00E223AF">
        <w:rPr>
          <w:color w:val="auto"/>
        </w:rPr>
        <w:t>Rozlytrek</w:t>
      </w:r>
      <w:r w:rsidR="002B63D2" w:rsidRPr="00E223AF">
        <w:rPr>
          <w:color w:val="auto"/>
        </w:rPr>
        <w:t>. The pharmacokinetic parameters for entrectinib and M5 are described in Table 10.</w:t>
      </w:r>
    </w:p>
    <w:p w14:paraId="76A61CF0" w14:textId="77777777" w:rsidR="002B63D2" w:rsidRPr="00E223AF" w:rsidRDefault="002B63D2" w:rsidP="00EC67A8">
      <w:pPr>
        <w:rPr>
          <w:b/>
          <w:color w:val="auto"/>
        </w:rPr>
      </w:pPr>
    </w:p>
    <w:p w14:paraId="6609BE77" w14:textId="5DBEAAAA" w:rsidR="00EC67A8" w:rsidRPr="00E223AF" w:rsidRDefault="002B63D2" w:rsidP="00EC67A8">
      <w:pPr>
        <w:rPr>
          <w:color w:val="auto"/>
        </w:rPr>
      </w:pPr>
      <w:r w:rsidRPr="00E223AF">
        <w:rPr>
          <w:b/>
          <w:color w:val="auto"/>
        </w:rPr>
        <w:t>Table 10. Pharmacokinetic parameters for entrectinib and metabolite M5</w:t>
      </w:r>
    </w:p>
    <w:tbl>
      <w:tblPr>
        <w:tblStyle w:val="HeaderTable2"/>
        <w:tblW w:w="0" w:type="auto"/>
        <w:jc w:val="center"/>
        <w:tblLook w:val="04A0" w:firstRow="1" w:lastRow="0" w:firstColumn="1" w:lastColumn="0" w:noHBand="0" w:noVBand="1"/>
      </w:tblPr>
      <w:tblGrid>
        <w:gridCol w:w="2094"/>
        <w:gridCol w:w="2901"/>
        <w:gridCol w:w="2902"/>
      </w:tblGrid>
      <w:tr w:rsidR="00CE71C4" w:rsidRPr="00E223AF" w14:paraId="6523509F" w14:textId="77777777" w:rsidTr="00273525">
        <w:trPr>
          <w:trHeight w:val="230"/>
          <w:jc w:val="center"/>
        </w:trPr>
        <w:tc>
          <w:tcPr>
            <w:tcW w:w="2094" w:type="dxa"/>
            <w:vAlign w:val="center"/>
          </w:tcPr>
          <w:p w14:paraId="6CBF7FE3" w14:textId="77777777" w:rsidR="00CE71C4" w:rsidRPr="00E223AF" w:rsidRDefault="00CE71C4" w:rsidP="00CE71C4">
            <w:pPr>
              <w:jc w:val="center"/>
              <w:rPr>
                <w:b/>
                <w:sz w:val="22"/>
                <w:szCs w:val="22"/>
                <w:lang w:val="en-GB" w:eastAsia="de-DE"/>
              </w:rPr>
            </w:pPr>
            <w:r w:rsidRPr="00E223AF">
              <w:rPr>
                <w:b/>
                <w:sz w:val="22"/>
                <w:szCs w:val="22"/>
                <w:lang w:val="en-GB" w:eastAsia="de-DE"/>
              </w:rPr>
              <w:t>Parameter</w:t>
            </w:r>
          </w:p>
        </w:tc>
        <w:tc>
          <w:tcPr>
            <w:tcW w:w="2901" w:type="dxa"/>
            <w:vAlign w:val="center"/>
          </w:tcPr>
          <w:p w14:paraId="099A2952" w14:textId="77777777" w:rsidR="00CE71C4" w:rsidRPr="00E223AF" w:rsidRDefault="00CE71C4" w:rsidP="00CE71C4">
            <w:pPr>
              <w:jc w:val="center"/>
              <w:rPr>
                <w:b/>
                <w:sz w:val="22"/>
                <w:szCs w:val="22"/>
                <w:lang w:val="en-GB" w:eastAsia="de-DE"/>
              </w:rPr>
            </w:pPr>
            <w:r w:rsidRPr="00E223AF">
              <w:rPr>
                <w:b/>
                <w:sz w:val="22"/>
                <w:szCs w:val="22"/>
                <w:lang w:val="en-GB" w:eastAsia="de-DE"/>
              </w:rPr>
              <w:t>Entrectinib</w:t>
            </w:r>
          </w:p>
          <w:p w14:paraId="7A2FDA05" w14:textId="77777777" w:rsidR="00CE71C4" w:rsidRPr="00E223AF" w:rsidRDefault="00CE71C4" w:rsidP="00CE71C4">
            <w:pPr>
              <w:jc w:val="center"/>
              <w:rPr>
                <w:b/>
                <w:sz w:val="22"/>
                <w:szCs w:val="22"/>
                <w:lang w:val="en-GB" w:eastAsia="de-DE"/>
              </w:rPr>
            </w:pPr>
            <w:r w:rsidRPr="00E223AF">
              <w:rPr>
                <w:b/>
                <w:sz w:val="22"/>
                <w:szCs w:val="22"/>
                <w:lang w:val="en-GB" w:eastAsia="de-DE"/>
              </w:rPr>
              <w:t>Mean* (% CV)</w:t>
            </w:r>
          </w:p>
        </w:tc>
        <w:tc>
          <w:tcPr>
            <w:tcW w:w="2902" w:type="dxa"/>
            <w:vAlign w:val="center"/>
          </w:tcPr>
          <w:p w14:paraId="18CBEA9B" w14:textId="77777777" w:rsidR="00CE71C4" w:rsidRPr="00E223AF" w:rsidRDefault="00CE71C4" w:rsidP="00CE71C4">
            <w:pPr>
              <w:jc w:val="center"/>
              <w:rPr>
                <w:b/>
                <w:sz w:val="22"/>
                <w:szCs w:val="22"/>
                <w:lang w:val="en-GB" w:eastAsia="de-DE"/>
              </w:rPr>
            </w:pPr>
            <w:r w:rsidRPr="00E223AF">
              <w:rPr>
                <w:b/>
                <w:sz w:val="22"/>
                <w:szCs w:val="22"/>
                <w:lang w:val="en-GB" w:eastAsia="de-DE"/>
              </w:rPr>
              <w:t>M5</w:t>
            </w:r>
          </w:p>
          <w:p w14:paraId="61F3E84A" w14:textId="77777777" w:rsidR="00CE71C4" w:rsidRPr="00E223AF" w:rsidRDefault="00CE71C4" w:rsidP="00CE71C4">
            <w:pPr>
              <w:jc w:val="center"/>
              <w:rPr>
                <w:b/>
                <w:sz w:val="22"/>
                <w:szCs w:val="22"/>
                <w:lang w:val="en-GB" w:eastAsia="de-DE"/>
              </w:rPr>
            </w:pPr>
            <w:r w:rsidRPr="00E223AF">
              <w:rPr>
                <w:b/>
                <w:sz w:val="22"/>
                <w:szCs w:val="22"/>
                <w:lang w:val="en-GB" w:eastAsia="de-DE"/>
              </w:rPr>
              <w:t>Mean* (% CV)</w:t>
            </w:r>
          </w:p>
        </w:tc>
      </w:tr>
      <w:tr w:rsidR="00CE71C4" w:rsidRPr="00E223AF" w14:paraId="6BF46B71" w14:textId="77777777" w:rsidTr="00273525">
        <w:trPr>
          <w:trHeight w:val="230"/>
          <w:jc w:val="center"/>
        </w:trPr>
        <w:tc>
          <w:tcPr>
            <w:tcW w:w="2094" w:type="dxa"/>
          </w:tcPr>
          <w:p w14:paraId="16D8D9A0" w14:textId="77777777" w:rsidR="00CE71C4" w:rsidRPr="00E223AF" w:rsidRDefault="00CE71C4" w:rsidP="00CE71C4">
            <w:pPr>
              <w:spacing w:before="60"/>
              <w:jc w:val="left"/>
              <w:rPr>
                <w:sz w:val="22"/>
                <w:szCs w:val="22"/>
                <w:lang w:val="en-GB" w:eastAsia="de-DE"/>
              </w:rPr>
            </w:pPr>
            <w:r w:rsidRPr="00E223AF">
              <w:rPr>
                <w:sz w:val="22"/>
                <w:szCs w:val="22"/>
                <w:lang w:val="en-GB" w:eastAsia="de-DE"/>
              </w:rPr>
              <w:lastRenderedPageBreak/>
              <w:t>AUC</w:t>
            </w:r>
            <w:r w:rsidRPr="00E223AF">
              <w:rPr>
                <w:sz w:val="22"/>
                <w:szCs w:val="22"/>
                <w:vertAlign w:val="subscript"/>
                <w:lang w:val="en-GB" w:eastAsia="de-DE"/>
              </w:rPr>
              <w:t xml:space="preserve">D1 </w:t>
            </w:r>
            <w:r w:rsidRPr="00E223AF">
              <w:rPr>
                <w:sz w:val="22"/>
                <w:szCs w:val="22"/>
                <w:lang w:val="en-GB" w:eastAsia="de-DE"/>
              </w:rPr>
              <w:t>(</w:t>
            </w:r>
            <w:proofErr w:type="spellStart"/>
            <w:r w:rsidRPr="00E223AF">
              <w:rPr>
                <w:sz w:val="22"/>
                <w:szCs w:val="22"/>
                <w:lang w:val="en-GB" w:eastAsia="de-DE"/>
              </w:rPr>
              <w:t>nM</w:t>
            </w:r>
            <w:proofErr w:type="spellEnd"/>
            <w:r w:rsidRPr="00E223AF">
              <w:rPr>
                <w:sz w:val="22"/>
                <w:szCs w:val="22"/>
                <w:lang w:val="en-GB" w:eastAsia="de-DE"/>
              </w:rPr>
              <w:t>*h)</w:t>
            </w:r>
          </w:p>
        </w:tc>
        <w:tc>
          <w:tcPr>
            <w:tcW w:w="2901" w:type="dxa"/>
          </w:tcPr>
          <w:p w14:paraId="18219E41"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31800 (48%)</w:t>
            </w:r>
          </w:p>
        </w:tc>
        <w:tc>
          <w:tcPr>
            <w:tcW w:w="2902" w:type="dxa"/>
          </w:tcPr>
          <w:p w14:paraId="5CC0CFE5"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10200 (82%)</w:t>
            </w:r>
          </w:p>
        </w:tc>
      </w:tr>
      <w:tr w:rsidR="00CE71C4" w:rsidRPr="00E223AF" w14:paraId="2A674C2C" w14:textId="77777777" w:rsidTr="00273525">
        <w:trPr>
          <w:trHeight w:val="230"/>
          <w:jc w:val="center"/>
        </w:trPr>
        <w:tc>
          <w:tcPr>
            <w:tcW w:w="2094" w:type="dxa"/>
          </w:tcPr>
          <w:p w14:paraId="1ACAB36E" w14:textId="77777777" w:rsidR="00CE71C4" w:rsidRPr="00E223AF" w:rsidRDefault="00CE71C4" w:rsidP="00CE71C4">
            <w:pPr>
              <w:spacing w:before="60"/>
              <w:jc w:val="left"/>
              <w:rPr>
                <w:sz w:val="22"/>
                <w:szCs w:val="22"/>
                <w:lang w:val="en-GB" w:eastAsia="de-DE"/>
              </w:rPr>
            </w:pPr>
            <w:proofErr w:type="spellStart"/>
            <w:r w:rsidRPr="00E223AF">
              <w:rPr>
                <w:sz w:val="22"/>
                <w:szCs w:val="22"/>
                <w:lang w:val="en-GB" w:eastAsia="de-DE"/>
              </w:rPr>
              <w:t>AUC</w:t>
            </w:r>
            <w:r w:rsidRPr="00E223AF">
              <w:rPr>
                <w:sz w:val="22"/>
                <w:szCs w:val="22"/>
                <w:vertAlign w:val="subscript"/>
                <w:lang w:val="en-GB" w:eastAsia="de-DE"/>
              </w:rPr>
              <w:t>ss</w:t>
            </w:r>
            <w:proofErr w:type="spellEnd"/>
            <w:r w:rsidRPr="00E223AF">
              <w:rPr>
                <w:sz w:val="22"/>
                <w:szCs w:val="22"/>
                <w:lang w:val="en-GB" w:eastAsia="de-DE"/>
              </w:rPr>
              <w:t xml:space="preserve"> (</w:t>
            </w:r>
            <w:proofErr w:type="spellStart"/>
            <w:r w:rsidRPr="00E223AF">
              <w:rPr>
                <w:sz w:val="22"/>
                <w:szCs w:val="22"/>
                <w:lang w:val="en-GB" w:eastAsia="de-DE"/>
              </w:rPr>
              <w:t>nM</w:t>
            </w:r>
            <w:proofErr w:type="spellEnd"/>
            <w:r w:rsidRPr="00E223AF">
              <w:rPr>
                <w:sz w:val="22"/>
                <w:szCs w:val="22"/>
                <w:lang w:val="en-GB" w:eastAsia="de-DE"/>
              </w:rPr>
              <w:t>*h)</w:t>
            </w:r>
          </w:p>
        </w:tc>
        <w:tc>
          <w:tcPr>
            <w:tcW w:w="2901" w:type="dxa"/>
          </w:tcPr>
          <w:p w14:paraId="6D5253A8"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48000 (77%)</w:t>
            </w:r>
          </w:p>
        </w:tc>
        <w:tc>
          <w:tcPr>
            <w:tcW w:w="2902" w:type="dxa"/>
          </w:tcPr>
          <w:p w14:paraId="0A6045ED"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24000 (97%)</w:t>
            </w:r>
          </w:p>
        </w:tc>
      </w:tr>
      <w:tr w:rsidR="00CE71C4" w:rsidRPr="00E223AF" w14:paraId="2EE2156C" w14:textId="77777777" w:rsidTr="00273525">
        <w:trPr>
          <w:trHeight w:val="230"/>
          <w:jc w:val="center"/>
        </w:trPr>
        <w:tc>
          <w:tcPr>
            <w:tcW w:w="2094" w:type="dxa"/>
          </w:tcPr>
          <w:p w14:paraId="57E1FADE" w14:textId="77777777" w:rsidR="00CE71C4" w:rsidRPr="00E223AF" w:rsidRDefault="00CE71C4" w:rsidP="00CE71C4">
            <w:pPr>
              <w:spacing w:before="60"/>
              <w:jc w:val="left"/>
              <w:rPr>
                <w:sz w:val="22"/>
                <w:szCs w:val="22"/>
                <w:lang w:val="en-GB" w:eastAsia="de-DE"/>
              </w:rPr>
            </w:pPr>
            <w:r w:rsidRPr="00E223AF">
              <w:rPr>
                <w:sz w:val="22"/>
                <w:szCs w:val="22"/>
                <w:lang w:val="en-GB" w:eastAsia="de-DE"/>
              </w:rPr>
              <w:t>C</w:t>
            </w:r>
            <w:r w:rsidRPr="00E223AF">
              <w:rPr>
                <w:sz w:val="22"/>
                <w:szCs w:val="22"/>
                <w:vertAlign w:val="subscript"/>
                <w:lang w:val="en-GB" w:eastAsia="de-DE"/>
              </w:rPr>
              <w:t>maxD1</w:t>
            </w:r>
            <w:r w:rsidRPr="00E223AF">
              <w:rPr>
                <w:sz w:val="22"/>
                <w:szCs w:val="22"/>
                <w:lang w:val="en-GB" w:eastAsia="de-DE"/>
              </w:rPr>
              <w:t xml:space="preserve"> (</w:t>
            </w:r>
            <w:proofErr w:type="spellStart"/>
            <w:r w:rsidRPr="00E223AF">
              <w:rPr>
                <w:sz w:val="22"/>
                <w:szCs w:val="22"/>
                <w:lang w:val="en-GB" w:eastAsia="de-DE"/>
              </w:rPr>
              <w:t>nM</w:t>
            </w:r>
            <w:proofErr w:type="spellEnd"/>
            <w:r w:rsidRPr="00E223AF">
              <w:rPr>
                <w:sz w:val="22"/>
                <w:szCs w:val="22"/>
                <w:lang w:val="en-GB" w:eastAsia="de-DE"/>
              </w:rPr>
              <w:t>)</w:t>
            </w:r>
          </w:p>
        </w:tc>
        <w:tc>
          <w:tcPr>
            <w:tcW w:w="2901" w:type="dxa"/>
          </w:tcPr>
          <w:p w14:paraId="1361EA0C"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2250 (58%)</w:t>
            </w:r>
          </w:p>
        </w:tc>
        <w:tc>
          <w:tcPr>
            <w:tcW w:w="2902" w:type="dxa"/>
          </w:tcPr>
          <w:p w14:paraId="2E5C8835"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622 (79%)</w:t>
            </w:r>
          </w:p>
        </w:tc>
      </w:tr>
      <w:tr w:rsidR="00CE71C4" w:rsidRPr="00E223AF" w14:paraId="57C1872B" w14:textId="77777777" w:rsidTr="00273525">
        <w:trPr>
          <w:trHeight w:val="230"/>
          <w:jc w:val="center"/>
        </w:trPr>
        <w:tc>
          <w:tcPr>
            <w:tcW w:w="2094" w:type="dxa"/>
          </w:tcPr>
          <w:p w14:paraId="325CA49B" w14:textId="77777777" w:rsidR="00CE71C4" w:rsidRPr="00E223AF" w:rsidRDefault="00CE71C4" w:rsidP="00CE71C4">
            <w:pPr>
              <w:spacing w:before="60"/>
              <w:jc w:val="left"/>
              <w:rPr>
                <w:sz w:val="22"/>
                <w:szCs w:val="22"/>
                <w:lang w:val="en-GB" w:eastAsia="de-DE"/>
              </w:rPr>
            </w:pPr>
            <w:proofErr w:type="spellStart"/>
            <w:r w:rsidRPr="00E223AF">
              <w:rPr>
                <w:sz w:val="22"/>
                <w:szCs w:val="22"/>
                <w:lang w:val="en-GB" w:eastAsia="de-DE"/>
              </w:rPr>
              <w:t>C</w:t>
            </w:r>
            <w:r w:rsidRPr="00E223AF">
              <w:rPr>
                <w:sz w:val="22"/>
                <w:szCs w:val="22"/>
                <w:vertAlign w:val="subscript"/>
                <w:lang w:val="en-GB" w:eastAsia="de-DE"/>
              </w:rPr>
              <w:t>maxss</w:t>
            </w:r>
            <w:proofErr w:type="spellEnd"/>
            <w:r w:rsidRPr="00E223AF">
              <w:rPr>
                <w:sz w:val="22"/>
                <w:szCs w:val="22"/>
                <w:lang w:val="en-GB" w:eastAsia="de-DE"/>
              </w:rPr>
              <w:t xml:space="preserve"> (</w:t>
            </w:r>
            <w:proofErr w:type="spellStart"/>
            <w:r w:rsidRPr="00E223AF">
              <w:rPr>
                <w:sz w:val="22"/>
                <w:szCs w:val="22"/>
                <w:lang w:val="en-GB" w:eastAsia="de-DE"/>
              </w:rPr>
              <w:t>nM</w:t>
            </w:r>
            <w:proofErr w:type="spellEnd"/>
            <w:r w:rsidRPr="00E223AF">
              <w:rPr>
                <w:sz w:val="22"/>
                <w:szCs w:val="22"/>
                <w:lang w:val="en-GB" w:eastAsia="de-DE"/>
              </w:rPr>
              <w:t>)</w:t>
            </w:r>
          </w:p>
        </w:tc>
        <w:tc>
          <w:tcPr>
            <w:tcW w:w="2901" w:type="dxa"/>
          </w:tcPr>
          <w:p w14:paraId="27239604"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3130 (80%)</w:t>
            </w:r>
          </w:p>
        </w:tc>
        <w:tc>
          <w:tcPr>
            <w:tcW w:w="2902" w:type="dxa"/>
          </w:tcPr>
          <w:p w14:paraId="1B3EEAC7" w14:textId="77777777" w:rsidR="00CE71C4" w:rsidRPr="00E223AF" w:rsidRDefault="00CE71C4" w:rsidP="00CE71C4">
            <w:pPr>
              <w:spacing w:before="60"/>
              <w:jc w:val="center"/>
              <w:rPr>
                <w:sz w:val="22"/>
                <w:szCs w:val="22"/>
                <w:lang w:val="en-GB" w:eastAsia="de-DE"/>
              </w:rPr>
            </w:pPr>
            <w:r w:rsidRPr="00E223AF">
              <w:rPr>
                <w:sz w:val="22"/>
                <w:szCs w:val="22"/>
                <w:lang w:val="en-GB" w:eastAsia="de-DE"/>
              </w:rPr>
              <w:t>1250 (90%)</w:t>
            </w:r>
          </w:p>
        </w:tc>
      </w:tr>
      <w:tr w:rsidR="00CE71C4" w:rsidRPr="00E223AF" w14:paraId="410DAE94" w14:textId="77777777" w:rsidTr="00273525">
        <w:trPr>
          <w:trHeight w:val="230"/>
          <w:jc w:val="center"/>
        </w:trPr>
        <w:tc>
          <w:tcPr>
            <w:tcW w:w="2094" w:type="dxa"/>
            <w:tcBorders>
              <w:bottom w:val="single" w:sz="4" w:space="0" w:color="auto"/>
            </w:tcBorders>
          </w:tcPr>
          <w:p w14:paraId="366B6346" w14:textId="77777777" w:rsidR="00CE71C4" w:rsidRPr="00E223AF" w:rsidRDefault="00CE71C4" w:rsidP="00CE71C4">
            <w:pPr>
              <w:spacing w:before="60"/>
              <w:jc w:val="left"/>
              <w:rPr>
                <w:sz w:val="22"/>
                <w:szCs w:val="22"/>
                <w:lang w:val="en-GB" w:eastAsia="de-DE"/>
              </w:rPr>
            </w:pPr>
            <w:proofErr w:type="spellStart"/>
            <w:r w:rsidRPr="00E223AF">
              <w:rPr>
                <w:sz w:val="22"/>
                <w:szCs w:val="22"/>
                <w:lang w:val="en-GB" w:eastAsia="de-DE"/>
              </w:rPr>
              <w:t>R</w:t>
            </w:r>
            <w:r w:rsidRPr="00E223AF">
              <w:rPr>
                <w:sz w:val="22"/>
                <w:szCs w:val="22"/>
                <w:vertAlign w:val="subscript"/>
                <w:lang w:val="en-GB" w:eastAsia="de-DE"/>
              </w:rPr>
              <w:t>acc</w:t>
            </w:r>
            <w:proofErr w:type="spellEnd"/>
            <w:r w:rsidRPr="00E223AF">
              <w:rPr>
                <w:sz w:val="22"/>
                <w:szCs w:val="22"/>
                <w:vertAlign w:val="subscript"/>
                <w:lang w:val="en-GB" w:eastAsia="de-DE"/>
              </w:rPr>
              <w:t>(AUC)</w:t>
            </w:r>
          </w:p>
        </w:tc>
        <w:tc>
          <w:tcPr>
            <w:tcW w:w="2901" w:type="dxa"/>
            <w:tcBorders>
              <w:bottom w:val="single" w:sz="4" w:space="0" w:color="auto"/>
            </w:tcBorders>
          </w:tcPr>
          <w:p w14:paraId="50CC486C" w14:textId="77777777" w:rsidR="00CE71C4" w:rsidRPr="00E223AF" w:rsidDel="00703466" w:rsidRDefault="00CE71C4" w:rsidP="00CE71C4">
            <w:pPr>
              <w:spacing w:before="60"/>
              <w:jc w:val="center"/>
              <w:rPr>
                <w:sz w:val="22"/>
                <w:szCs w:val="22"/>
                <w:lang w:val="en-GB" w:eastAsia="de-DE"/>
              </w:rPr>
            </w:pPr>
            <w:r w:rsidRPr="00E223AF">
              <w:rPr>
                <w:sz w:val="22"/>
                <w:szCs w:val="22"/>
                <w:lang w:val="en-GB" w:eastAsia="de-DE"/>
              </w:rPr>
              <w:t>1.55 (49%)</w:t>
            </w:r>
          </w:p>
        </w:tc>
        <w:tc>
          <w:tcPr>
            <w:tcW w:w="2902" w:type="dxa"/>
            <w:tcBorders>
              <w:bottom w:val="single" w:sz="4" w:space="0" w:color="auto"/>
            </w:tcBorders>
          </w:tcPr>
          <w:p w14:paraId="480348D3" w14:textId="77777777" w:rsidR="00CE71C4" w:rsidRPr="00E223AF" w:rsidDel="00703466" w:rsidRDefault="00CE71C4" w:rsidP="00CE71C4">
            <w:pPr>
              <w:spacing w:before="60"/>
              <w:jc w:val="center"/>
              <w:rPr>
                <w:sz w:val="22"/>
                <w:szCs w:val="22"/>
                <w:lang w:val="en-GB" w:eastAsia="de-DE"/>
              </w:rPr>
            </w:pPr>
            <w:r w:rsidRPr="00E223AF">
              <w:rPr>
                <w:sz w:val="22"/>
                <w:szCs w:val="22"/>
                <w:lang w:val="en-GB" w:eastAsia="de-DE"/>
              </w:rPr>
              <w:t>2.84 (93%)</w:t>
            </w:r>
          </w:p>
        </w:tc>
      </w:tr>
      <w:tr w:rsidR="00CE71C4" w:rsidRPr="00E223AF" w14:paraId="28BC5940" w14:textId="77777777" w:rsidTr="00273525">
        <w:trPr>
          <w:jc w:val="center"/>
        </w:trPr>
        <w:tc>
          <w:tcPr>
            <w:tcW w:w="7897" w:type="dxa"/>
            <w:gridSpan w:val="3"/>
            <w:tcBorders>
              <w:left w:val="nil"/>
              <w:bottom w:val="nil"/>
              <w:right w:val="nil"/>
            </w:tcBorders>
          </w:tcPr>
          <w:p w14:paraId="44EF3B22" w14:textId="77777777" w:rsidR="00CE71C4" w:rsidRPr="00E223AF" w:rsidRDefault="00CE71C4" w:rsidP="00CE71C4">
            <w:pPr>
              <w:spacing w:before="60"/>
              <w:jc w:val="left"/>
              <w:rPr>
                <w:sz w:val="18"/>
                <w:szCs w:val="18"/>
              </w:rPr>
            </w:pPr>
            <w:r w:rsidRPr="00E223AF">
              <w:rPr>
                <w:sz w:val="18"/>
                <w:szCs w:val="18"/>
              </w:rPr>
              <w:t>* Geometric mean</w:t>
            </w:r>
          </w:p>
        </w:tc>
      </w:tr>
    </w:tbl>
    <w:p w14:paraId="6882AA1A" w14:textId="77777777" w:rsidR="00EC67A8" w:rsidRPr="00E223AF" w:rsidRDefault="00EC67A8" w:rsidP="00EC67A8">
      <w:pPr>
        <w:rPr>
          <w:color w:val="auto"/>
          <w:lang w:val="en-US"/>
        </w:rPr>
      </w:pPr>
    </w:p>
    <w:p w14:paraId="4DDA5C26" w14:textId="77777777" w:rsidR="00D52399" w:rsidRPr="00E223AF" w:rsidRDefault="00615052" w:rsidP="009F4C5B">
      <w:pPr>
        <w:pStyle w:val="Heading3"/>
        <w:spacing w:before="0"/>
        <w:rPr>
          <w:color w:val="auto"/>
        </w:rPr>
      </w:pPr>
      <w:r w:rsidRPr="00E223AF">
        <w:rPr>
          <w:color w:val="auto"/>
        </w:rPr>
        <w:t>Absorption</w:t>
      </w:r>
    </w:p>
    <w:p w14:paraId="6FDEFC6D" w14:textId="27D5BB10" w:rsidR="00EC67A8" w:rsidRPr="00E223AF" w:rsidRDefault="00E24B69" w:rsidP="00EC67A8">
      <w:pPr>
        <w:pStyle w:val="Paragraph"/>
        <w:spacing w:after="120"/>
        <w:rPr>
          <w:rFonts w:ascii="Times New Roman" w:hAnsi="Times New Roman"/>
          <w:sz w:val="24"/>
          <w:lang w:val="en-GB" w:eastAsia="en-GB"/>
        </w:rPr>
      </w:pPr>
      <w:r w:rsidRPr="00E223AF">
        <w:rPr>
          <w:rFonts w:ascii="Times New Roman" w:hAnsi="Times New Roman"/>
          <w:sz w:val="24"/>
        </w:rPr>
        <w:t>The maximum entrectinib plasm</w:t>
      </w:r>
      <w:r w:rsidR="004F170B" w:rsidRPr="00E223AF">
        <w:rPr>
          <w:rFonts w:ascii="Times New Roman" w:hAnsi="Times New Roman"/>
          <w:sz w:val="24"/>
        </w:rPr>
        <w:t xml:space="preserve">a concentration was reached 4 to </w:t>
      </w:r>
      <w:r w:rsidRPr="00E223AF">
        <w:rPr>
          <w:rFonts w:ascii="Times New Roman" w:hAnsi="Times New Roman"/>
          <w:sz w:val="24"/>
        </w:rPr>
        <w:t>6 hours after oral administration of a 600 mg dose</w:t>
      </w:r>
      <w:r w:rsidR="00EC67A8" w:rsidRPr="00E223AF">
        <w:rPr>
          <w:rFonts w:ascii="Times New Roman" w:hAnsi="Times New Roman"/>
          <w:sz w:val="24"/>
          <w:lang w:val="en-GB" w:eastAsia="en-GB"/>
        </w:rPr>
        <w:t xml:space="preserve">. </w:t>
      </w:r>
    </w:p>
    <w:p w14:paraId="4D760EE2" w14:textId="3A4B6579" w:rsidR="00CE71C4" w:rsidRPr="00E223AF" w:rsidRDefault="00CE71C4" w:rsidP="006D2139">
      <w:pPr>
        <w:pStyle w:val="Heading4"/>
        <w:rPr>
          <w:lang w:eastAsia="en-GB"/>
        </w:rPr>
      </w:pPr>
      <w:r w:rsidRPr="00E223AF">
        <w:rPr>
          <w:lang w:eastAsia="en-GB"/>
        </w:rPr>
        <w:t>Effect of food</w:t>
      </w:r>
    </w:p>
    <w:p w14:paraId="4D0DFB3D" w14:textId="089645C0" w:rsidR="00D52399" w:rsidRPr="00E223AF" w:rsidRDefault="002B63D2">
      <w:pPr>
        <w:pStyle w:val="Paragraph"/>
        <w:spacing w:after="120"/>
        <w:rPr>
          <w:rFonts w:ascii="Times New Roman" w:hAnsi="Times New Roman"/>
          <w:sz w:val="24"/>
        </w:rPr>
      </w:pPr>
      <w:r w:rsidRPr="00E223AF">
        <w:rPr>
          <w:rFonts w:ascii="Times New Roman" w:hAnsi="Times New Roman"/>
          <w:sz w:val="24"/>
          <w:lang w:val="en-GB" w:eastAsia="en-GB"/>
        </w:rPr>
        <w:t xml:space="preserve">A high-fat (approximately 50% of total caloric content), high-calorie (approximately 800 to 1000 calories) meal did not have a significant effect on entrectinib exposure. </w:t>
      </w:r>
    </w:p>
    <w:p w14:paraId="2C6C4068" w14:textId="77777777" w:rsidR="00D52399" w:rsidRPr="00E223AF" w:rsidRDefault="00615052">
      <w:pPr>
        <w:pStyle w:val="Heading3"/>
        <w:rPr>
          <w:color w:val="auto"/>
        </w:rPr>
      </w:pPr>
      <w:r w:rsidRPr="00E223AF">
        <w:rPr>
          <w:color w:val="auto"/>
        </w:rPr>
        <w:t>Distribution</w:t>
      </w:r>
    </w:p>
    <w:p w14:paraId="4CF9DBA1" w14:textId="0742B067" w:rsidR="00EC67A8" w:rsidRPr="00E223AF" w:rsidRDefault="00EC67A8" w:rsidP="00EC67A8">
      <w:pPr>
        <w:pStyle w:val="Paragraph"/>
        <w:spacing w:after="120"/>
        <w:rPr>
          <w:rFonts w:ascii="Times New Roman" w:hAnsi="Times New Roman"/>
          <w:sz w:val="24"/>
          <w:lang w:val="en-GB" w:eastAsia="en-GB"/>
        </w:rPr>
      </w:pPr>
      <w:r w:rsidRPr="00E223AF">
        <w:rPr>
          <w:rFonts w:ascii="Times New Roman" w:hAnsi="Times New Roman"/>
          <w:sz w:val="24"/>
          <w:lang w:val="en-GB" w:eastAsia="en-GB"/>
        </w:rPr>
        <w:t xml:space="preserve">Entrectinib and its major active metabolite M5 are </w:t>
      </w:r>
      <w:r w:rsidR="002B63D2" w:rsidRPr="00E223AF">
        <w:rPr>
          <w:rFonts w:ascii="Times New Roman" w:hAnsi="Times New Roman"/>
          <w:sz w:val="24"/>
          <w:lang w:val="en-GB" w:eastAsia="en-GB"/>
        </w:rPr>
        <w:t xml:space="preserve">both </w:t>
      </w:r>
      <w:r w:rsidRPr="00E223AF">
        <w:rPr>
          <w:rFonts w:ascii="Times New Roman" w:hAnsi="Times New Roman"/>
          <w:sz w:val="24"/>
          <w:lang w:val="en-GB" w:eastAsia="en-GB"/>
        </w:rPr>
        <w:t xml:space="preserve">&gt;99% bound </w:t>
      </w:r>
      <w:r w:rsidR="00761489" w:rsidRPr="00E223AF">
        <w:rPr>
          <w:rFonts w:ascii="Times New Roman" w:hAnsi="Times New Roman"/>
          <w:sz w:val="24"/>
          <w:lang w:val="en-GB" w:eastAsia="en-GB"/>
        </w:rPr>
        <w:t xml:space="preserve">to human plasma proteins </w:t>
      </w:r>
      <w:r w:rsidR="00761489" w:rsidRPr="00E223AF">
        <w:rPr>
          <w:rFonts w:ascii="Times New Roman" w:hAnsi="Times New Roman"/>
          <w:i/>
          <w:sz w:val="24"/>
          <w:lang w:val="en-GB" w:eastAsia="en-GB"/>
        </w:rPr>
        <w:t>in vitro</w:t>
      </w:r>
      <w:r w:rsidRPr="00E223AF">
        <w:rPr>
          <w:rFonts w:ascii="Times New Roman" w:hAnsi="Times New Roman"/>
          <w:sz w:val="24"/>
          <w:lang w:val="en-GB" w:eastAsia="en-GB"/>
        </w:rPr>
        <w:t>.</w:t>
      </w:r>
    </w:p>
    <w:p w14:paraId="286B9757" w14:textId="3F2886BA" w:rsidR="00EC67A8" w:rsidRPr="00E223AF" w:rsidRDefault="00761489" w:rsidP="00EC67A8">
      <w:pPr>
        <w:pStyle w:val="Paragraph"/>
        <w:spacing w:after="120"/>
        <w:rPr>
          <w:rFonts w:ascii="Times New Roman" w:hAnsi="Times New Roman"/>
          <w:sz w:val="24"/>
          <w:lang w:val="en-GB" w:eastAsia="en-GB"/>
        </w:rPr>
      </w:pPr>
      <w:r w:rsidRPr="00E223AF">
        <w:rPr>
          <w:rFonts w:ascii="Times New Roman" w:hAnsi="Times New Roman"/>
          <w:sz w:val="24"/>
          <w:lang w:val="en-GB" w:eastAsia="en-GB"/>
        </w:rPr>
        <w:t>The</w:t>
      </w:r>
      <w:r w:rsidR="00EC67A8" w:rsidRPr="00E223AF">
        <w:rPr>
          <w:rFonts w:ascii="Times New Roman" w:hAnsi="Times New Roman"/>
          <w:sz w:val="24"/>
          <w:lang w:val="en-GB" w:eastAsia="en-GB"/>
        </w:rPr>
        <w:t xml:space="preserve"> estimated volume of distribution</w:t>
      </w:r>
      <w:r w:rsidRPr="00E223AF">
        <w:rPr>
          <w:rFonts w:ascii="Times New Roman" w:hAnsi="Times New Roman"/>
          <w:sz w:val="24"/>
          <w:lang w:val="en-GB" w:eastAsia="en-GB"/>
        </w:rPr>
        <w:t xml:space="preserve"> (V/F)</w:t>
      </w:r>
      <w:r w:rsidR="00EC67A8" w:rsidRPr="00E223AF">
        <w:rPr>
          <w:rFonts w:ascii="Times New Roman" w:hAnsi="Times New Roman"/>
          <w:sz w:val="24"/>
          <w:lang w:val="en-GB" w:eastAsia="en-GB"/>
        </w:rPr>
        <w:t xml:space="preserve"> of 551 L and 81.1 L for entrectinib and M5, respectively.</w:t>
      </w:r>
    </w:p>
    <w:p w14:paraId="383A038E" w14:textId="77777777" w:rsidR="00BA0878" w:rsidRPr="00E223AF" w:rsidRDefault="00BA0878">
      <w:pPr>
        <w:rPr>
          <w:b/>
          <w:color w:val="auto"/>
        </w:rPr>
      </w:pPr>
      <w:r w:rsidRPr="00E223AF">
        <w:rPr>
          <w:b/>
          <w:color w:val="auto"/>
        </w:rPr>
        <w:t>Metabolism</w:t>
      </w:r>
    </w:p>
    <w:p w14:paraId="24A7411E" w14:textId="1879E144" w:rsidR="00D52399" w:rsidRPr="00E223AF" w:rsidRDefault="00993C3B" w:rsidP="00EC67A8">
      <w:pPr>
        <w:rPr>
          <w:color w:val="auto"/>
        </w:rPr>
      </w:pPr>
      <w:r w:rsidRPr="00E223AF">
        <w:rPr>
          <w:color w:val="auto"/>
        </w:rPr>
        <w:t>Entrectinib is metabolis</w:t>
      </w:r>
      <w:r w:rsidR="00EC67A8" w:rsidRPr="00E223AF">
        <w:rPr>
          <w:color w:val="auto"/>
        </w:rPr>
        <w:t>ed predominantly by CYP3A4 (~76%).  Minor contributions from several other CYPs and UGT1A4 were estimated at &lt;</w:t>
      </w:r>
      <w:r w:rsidR="000E748B" w:rsidRPr="00E223AF">
        <w:rPr>
          <w:color w:val="auto"/>
        </w:rPr>
        <w:t xml:space="preserve"> </w:t>
      </w:r>
      <w:r w:rsidR="00EC67A8" w:rsidRPr="00E223AF">
        <w:rPr>
          <w:color w:val="auto"/>
        </w:rPr>
        <w:t xml:space="preserve">25% in total.  The active metabolite M5 (formed by CYP3A4) </w:t>
      </w:r>
      <w:r w:rsidR="00761489" w:rsidRPr="00E223AF">
        <w:rPr>
          <w:color w:val="auto"/>
        </w:rPr>
        <w:t>is the only major active circulating metabolite identified. M5 has similar pharmacological potency to entrectinib in vitro and circulating M5 exposures at steady-state in patients were 40% of the corresponding entrectinib exposure</w:t>
      </w:r>
      <w:r w:rsidR="00EC67A8" w:rsidRPr="00E223AF">
        <w:rPr>
          <w:color w:val="auto"/>
        </w:rPr>
        <w:t>.</w:t>
      </w:r>
    </w:p>
    <w:p w14:paraId="7FFAF355" w14:textId="77777777" w:rsidR="00EC67A8" w:rsidRPr="00E223AF" w:rsidRDefault="00EC67A8" w:rsidP="00EC67A8">
      <w:pPr>
        <w:rPr>
          <w:color w:val="auto"/>
        </w:rPr>
      </w:pPr>
    </w:p>
    <w:p w14:paraId="3F79F045" w14:textId="77777777" w:rsidR="00BA0878" w:rsidRPr="00E223AF" w:rsidRDefault="00BA0878">
      <w:pPr>
        <w:rPr>
          <w:b/>
          <w:color w:val="auto"/>
        </w:rPr>
      </w:pPr>
      <w:r w:rsidRPr="00E223AF">
        <w:rPr>
          <w:b/>
          <w:color w:val="auto"/>
        </w:rPr>
        <w:t>Excretion</w:t>
      </w:r>
    </w:p>
    <w:p w14:paraId="5BB9CBB2" w14:textId="0198125B" w:rsidR="00EC67A8" w:rsidRPr="00E223AF" w:rsidRDefault="00EC67A8" w:rsidP="00EC67A8">
      <w:pPr>
        <w:spacing w:after="120" w:line="280" w:lineRule="atLeast"/>
        <w:rPr>
          <w:color w:val="auto"/>
        </w:rPr>
      </w:pPr>
      <w:r w:rsidRPr="00E223AF">
        <w:rPr>
          <w:color w:val="auto"/>
        </w:rPr>
        <w:t xml:space="preserve">Following administration of a single </w:t>
      </w:r>
      <w:r w:rsidR="00761489" w:rsidRPr="00E223AF">
        <w:rPr>
          <w:color w:val="auto"/>
        </w:rPr>
        <w:t xml:space="preserve">oral </w:t>
      </w:r>
      <w:r w:rsidRPr="00E223AF">
        <w:rPr>
          <w:color w:val="auto"/>
        </w:rPr>
        <w:t>dose of [</w:t>
      </w:r>
      <w:r w:rsidRPr="00E223AF">
        <w:rPr>
          <w:color w:val="auto"/>
          <w:vertAlign w:val="superscript"/>
        </w:rPr>
        <w:t>14</w:t>
      </w:r>
      <w:r w:rsidRPr="00E223AF">
        <w:rPr>
          <w:color w:val="auto"/>
        </w:rPr>
        <w:t>C]-label</w:t>
      </w:r>
      <w:r w:rsidR="00761489" w:rsidRPr="00E223AF">
        <w:rPr>
          <w:color w:val="auto"/>
        </w:rPr>
        <w:t>l</w:t>
      </w:r>
      <w:r w:rsidRPr="00E223AF">
        <w:rPr>
          <w:color w:val="auto"/>
        </w:rPr>
        <w:t>ed entrectinib</w:t>
      </w:r>
      <w:r w:rsidR="00761489" w:rsidRPr="00E223AF">
        <w:rPr>
          <w:color w:val="auto"/>
        </w:rPr>
        <w:t>, 83%</w:t>
      </w:r>
      <w:r w:rsidRPr="00E223AF">
        <w:rPr>
          <w:color w:val="auto"/>
        </w:rPr>
        <w:t xml:space="preserve"> of radioactivity was excreted in f</w:t>
      </w:r>
      <w:r w:rsidR="000E748B" w:rsidRPr="00E223AF">
        <w:rPr>
          <w:color w:val="auto"/>
        </w:rPr>
        <w:t>a</w:t>
      </w:r>
      <w:r w:rsidRPr="00E223AF">
        <w:rPr>
          <w:color w:val="auto"/>
        </w:rPr>
        <w:t>eces (</w:t>
      </w:r>
      <w:r w:rsidR="00761489" w:rsidRPr="00E223AF">
        <w:rPr>
          <w:color w:val="auto"/>
        </w:rPr>
        <w:t>36% of the dose as unchanged entrectinib and 22% as M5</w:t>
      </w:r>
      <w:r w:rsidRPr="00E223AF">
        <w:rPr>
          <w:color w:val="auto"/>
        </w:rPr>
        <w:t>) with minimal excretion in urine (3%).</w:t>
      </w:r>
    </w:p>
    <w:p w14:paraId="5F1436EA" w14:textId="77777777" w:rsidR="00EC67A8" w:rsidRPr="00E223AF" w:rsidRDefault="00EC67A8" w:rsidP="00EC67A8">
      <w:pPr>
        <w:rPr>
          <w:color w:val="auto"/>
          <w:lang w:val="en-GB" w:eastAsia="en-GB"/>
        </w:rPr>
      </w:pPr>
    </w:p>
    <w:p w14:paraId="44034EC6" w14:textId="46B8E9F0" w:rsidR="00D52399" w:rsidRPr="00E223AF" w:rsidRDefault="00761489" w:rsidP="00EC67A8">
      <w:pPr>
        <w:rPr>
          <w:color w:val="auto"/>
        </w:rPr>
      </w:pPr>
      <w:r w:rsidRPr="00E223AF">
        <w:rPr>
          <w:color w:val="auto"/>
        </w:rPr>
        <w:t>The estimated apparent clearance</w:t>
      </w:r>
      <w:r w:rsidR="00EC67A8" w:rsidRPr="00E223AF">
        <w:rPr>
          <w:color w:val="auto"/>
        </w:rPr>
        <w:t xml:space="preserve"> </w:t>
      </w:r>
      <w:r w:rsidRPr="00E223AF">
        <w:rPr>
          <w:color w:val="auto"/>
        </w:rPr>
        <w:t>(</w:t>
      </w:r>
      <w:r w:rsidR="00EC67A8" w:rsidRPr="00E223AF">
        <w:rPr>
          <w:color w:val="auto"/>
        </w:rPr>
        <w:t>CL/F</w:t>
      </w:r>
      <w:r w:rsidRPr="00E223AF">
        <w:rPr>
          <w:color w:val="auto"/>
        </w:rPr>
        <w:t>)</w:t>
      </w:r>
      <w:r w:rsidR="00EC67A8" w:rsidRPr="00E223AF">
        <w:rPr>
          <w:color w:val="auto"/>
        </w:rPr>
        <w:t xml:space="preserve"> </w:t>
      </w:r>
      <w:r w:rsidRPr="00E223AF">
        <w:rPr>
          <w:color w:val="auto"/>
        </w:rPr>
        <w:t xml:space="preserve">was </w:t>
      </w:r>
      <w:r w:rsidR="00EC67A8" w:rsidRPr="00E223AF">
        <w:rPr>
          <w:color w:val="auto"/>
        </w:rPr>
        <w:t>19.6 L/h and 52.4 L/h for entrectinib and M5, respectively. The elimination half-lives of entrectinib and M5 were estimated to be 20 and 40 hours, respectively.</w:t>
      </w:r>
    </w:p>
    <w:p w14:paraId="20AFC86C" w14:textId="5FCED791" w:rsidR="00EC67A8" w:rsidRPr="00E223AF" w:rsidRDefault="00EC67A8" w:rsidP="00EC67A8">
      <w:pPr>
        <w:pStyle w:val="Heading3"/>
        <w:rPr>
          <w:color w:val="auto"/>
        </w:rPr>
      </w:pPr>
      <w:r w:rsidRPr="00E223AF">
        <w:rPr>
          <w:color w:val="auto"/>
        </w:rPr>
        <w:t xml:space="preserve">Pharmacokinetics in </w:t>
      </w:r>
      <w:r w:rsidR="00F20AB4" w:rsidRPr="00E223AF">
        <w:rPr>
          <w:color w:val="auto"/>
        </w:rPr>
        <w:t>s</w:t>
      </w:r>
      <w:r w:rsidRPr="00E223AF">
        <w:rPr>
          <w:color w:val="auto"/>
        </w:rPr>
        <w:t xml:space="preserve">pecial </w:t>
      </w:r>
      <w:r w:rsidR="00F20AB4" w:rsidRPr="00E223AF">
        <w:rPr>
          <w:color w:val="auto"/>
        </w:rPr>
        <w:t>p</w:t>
      </w:r>
      <w:r w:rsidRPr="00E223AF">
        <w:rPr>
          <w:color w:val="auto"/>
        </w:rPr>
        <w:t>opulations</w:t>
      </w:r>
    </w:p>
    <w:p w14:paraId="0D649A04" w14:textId="2C48E7E2" w:rsidR="00761489" w:rsidRPr="00E223AF" w:rsidRDefault="00761489" w:rsidP="00CE070A">
      <w:r w:rsidRPr="00E223AF">
        <w:t>No clinically significant differences in the pharmacokinetics of entrectinib were observed based on age (12 years to 86 years), sex, race (White, Asian and Black), body weight (32 to 130 kg), mild to moderate</w:t>
      </w:r>
      <w:r w:rsidR="004F170B" w:rsidRPr="00E223AF">
        <w:t xml:space="preserve"> renal impairment (</w:t>
      </w:r>
      <w:proofErr w:type="spellStart"/>
      <w:r w:rsidR="004F170B" w:rsidRPr="00E223AF">
        <w:t>CLcr</w:t>
      </w:r>
      <w:proofErr w:type="spellEnd"/>
      <w:r w:rsidR="004F170B" w:rsidRPr="00E223AF">
        <w:t xml:space="preserve"> 30 to &lt;</w:t>
      </w:r>
      <w:r w:rsidRPr="00E223AF">
        <w:t>90 mL/min) and mild hepati</w:t>
      </w:r>
      <w:r w:rsidR="004F170B" w:rsidRPr="00E223AF">
        <w:t>c impairment (total bilirubin ≤</w:t>
      </w:r>
      <w:r w:rsidRPr="00E223AF">
        <w:t>1.5 times ULN). The impact of moderate to severe hepatic impairment or severe renal impairment on the pharmacokinetics of entrectinib is unknown.</w:t>
      </w:r>
    </w:p>
    <w:p w14:paraId="12A8AD54" w14:textId="73BE3419" w:rsidR="00EC67A8" w:rsidRPr="00E223AF" w:rsidRDefault="00EC67A8" w:rsidP="00EC67A8">
      <w:pPr>
        <w:pStyle w:val="Heading4"/>
        <w:rPr>
          <w:color w:val="auto"/>
        </w:rPr>
      </w:pPr>
      <w:r w:rsidRPr="00E223AF">
        <w:rPr>
          <w:color w:val="auto"/>
        </w:rPr>
        <w:t>Paediatric population</w:t>
      </w:r>
      <w:r w:rsidR="00CF1EA9" w:rsidRPr="00E223AF">
        <w:rPr>
          <w:color w:val="auto"/>
        </w:rPr>
        <w:t xml:space="preserve"> (12 years and older)</w:t>
      </w:r>
    </w:p>
    <w:p w14:paraId="796EED41" w14:textId="69CA3839" w:rsidR="00EC67A8" w:rsidRPr="00E223AF" w:rsidRDefault="00761489" w:rsidP="00EC67A8">
      <w:pPr>
        <w:rPr>
          <w:color w:val="auto"/>
        </w:rPr>
      </w:pPr>
      <w:r w:rsidRPr="00E223AF">
        <w:rPr>
          <w:color w:val="auto"/>
          <w:lang w:val="en-US"/>
        </w:rPr>
        <w:t xml:space="preserve">In </w:t>
      </w:r>
      <w:proofErr w:type="spellStart"/>
      <w:r w:rsidRPr="00E223AF">
        <w:rPr>
          <w:color w:val="auto"/>
          <w:lang w:val="en-US"/>
        </w:rPr>
        <w:t>paediatric</w:t>
      </w:r>
      <w:proofErr w:type="spellEnd"/>
      <w:r w:rsidRPr="00E223AF">
        <w:rPr>
          <w:color w:val="auto"/>
          <w:lang w:val="en-US"/>
        </w:rPr>
        <w:t xml:space="preserve"> patients 12 years and older, t</w:t>
      </w:r>
      <w:r w:rsidR="00CF1EA9" w:rsidRPr="00E223AF">
        <w:rPr>
          <w:color w:val="auto"/>
          <w:lang w:val="en-US"/>
        </w:rPr>
        <w:t>he predicted systemic exposures for body surface area-based doses of 600 mg (BSA &gt;1.50 m</w:t>
      </w:r>
      <w:r w:rsidR="00CF1EA9" w:rsidRPr="00E223AF">
        <w:rPr>
          <w:color w:val="auto"/>
          <w:vertAlign w:val="superscript"/>
          <w:lang w:val="en-US"/>
        </w:rPr>
        <w:t>2</w:t>
      </w:r>
      <w:r w:rsidR="00CF1EA9" w:rsidRPr="00E223AF">
        <w:rPr>
          <w:color w:val="auto"/>
          <w:lang w:val="en-US"/>
        </w:rPr>
        <w:t>), 500 mg (BSA of 1.11 to 1.50 m</w:t>
      </w:r>
      <w:r w:rsidR="00CF1EA9" w:rsidRPr="00E223AF">
        <w:rPr>
          <w:color w:val="auto"/>
          <w:vertAlign w:val="superscript"/>
          <w:lang w:val="en-US"/>
        </w:rPr>
        <w:t>2</w:t>
      </w:r>
      <w:r w:rsidR="00CF1EA9" w:rsidRPr="00E223AF">
        <w:rPr>
          <w:color w:val="auto"/>
          <w:lang w:val="en-US"/>
        </w:rPr>
        <w:t>) and 400 mg (BSA of 0.91 to 1.10 m</w:t>
      </w:r>
      <w:r w:rsidR="00CF1EA9" w:rsidRPr="00E223AF">
        <w:rPr>
          <w:color w:val="auto"/>
          <w:vertAlign w:val="superscript"/>
          <w:lang w:val="en-US"/>
        </w:rPr>
        <w:t>2</w:t>
      </w:r>
      <w:r w:rsidR="00CF1EA9" w:rsidRPr="00E223AF">
        <w:rPr>
          <w:color w:val="auto"/>
          <w:lang w:val="en-US"/>
        </w:rPr>
        <w:t>) are comparable to the exposure in adults at the 600 mg dose.</w:t>
      </w:r>
      <w:r w:rsidR="00EC67A8" w:rsidRPr="00E223AF">
        <w:rPr>
          <w:color w:val="auto"/>
        </w:rPr>
        <w:t xml:space="preserve">. </w:t>
      </w:r>
    </w:p>
    <w:p w14:paraId="6E95FA41" w14:textId="77777777" w:rsidR="00EC67A8" w:rsidRPr="00E223AF" w:rsidRDefault="00EC67A8" w:rsidP="00EC67A8">
      <w:pPr>
        <w:rPr>
          <w:color w:val="auto"/>
        </w:rPr>
      </w:pPr>
    </w:p>
    <w:p w14:paraId="4DF1D540" w14:textId="77777777" w:rsidR="00D52399" w:rsidRPr="00E223AF" w:rsidRDefault="00902EBE" w:rsidP="009F4C5B">
      <w:pPr>
        <w:pStyle w:val="Heading2"/>
        <w:spacing w:before="0"/>
        <w:rPr>
          <w:color w:val="auto"/>
        </w:rPr>
      </w:pPr>
      <w:r w:rsidRPr="00E223AF">
        <w:rPr>
          <w:color w:val="auto"/>
        </w:rPr>
        <w:lastRenderedPageBreak/>
        <w:t>5.3</w:t>
      </w:r>
      <w:r w:rsidRPr="00E223AF">
        <w:rPr>
          <w:color w:val="auto"/>
        </w:rPr>
        <w:tab/>
        <w:t>PRECLINICAL SAFETY DATA</w:t>
      </w:r>
    </w:p>
    <w:p w14:paraId="6F078F0F" w14:textId="4BD70457" w:rsidR="00B1134D" w:rsidRPr="00E223AF" w:rsidRDefault="00363C7F" w:rsidP="00B1134D">
      <w:pPr>
        <w:pStyle w:val="Heading3"/>
        <w:rPr>
          <w:color w:val="auto"/>
        </w:rPr>
      </w:pPr>
      <w:proofErr w:type="spellStart"/>
      <w:r w:rsidRPr="00E223AF">
        <w:rPr>
          <w:color w:val="auto"/>
        </w:rPr>
        <w:t>Genotox</w:t>
      </w:r>
      <w:r w:rsidR="00A250F4" w:rsidRPr="00E223AF">
        <w:rPr>
          <w:color w:val="auto"/>
        </w:rPr>
        <w:t>ic</w:t>
      </w:r>
      <w:r w:rsidRPr="00E223AF">
        <w:rPr>
          <w:color w:val="auto"/>
        </w:rPr>
        <w:t>ity</w:t>
      </w:r>
      <w:proofErr w:type="spellEnd"/>
    </w:p>
    <w:p w14:paraId="427B59F9" w14:textId="2A143664" w:rsidR="002C20ED" w:rsidRPr="00E223AF" w:rsidRDefault="0079442A" w:rsidP="002C20ED">
      <w:pPr>
        <w:rPr>
          <w:color w:val="auto"/>
        </w:rPr>
      </w:pPr>
      <w:r w:rsidRPr="00E223AF">
        <w:rPr>
          <w:color w:val="auto"/>
        </w:rPr>
        <w:t>Entrectinib was not mutagenic in vitro in the bacterial reverse mutation (Ames) assay; however, an in vitro assay in cultured human peripheral blood lymphocytes did demonstrate a potential for abnormal chromosome segregation (</w:t>
      </w:r>
      <w:proofErr w:type="spellStart"/>
      <w:r w:rsidRPr="00E223AF">
        <w:rPr>
          <w:color w:val="auto"/>
        </w:rPr>
        <w:t>aneugenicity</w:t>
      </w:r>
      <w:proofErr w:type="spellEnd"/>
      <w:r w:rsidRPr="00E223AF">
        <w:rPr>
          <w:color w:val="auto"/>
        </w:rPr>
        <w:t xml:space="preserve">). Entrectinib was not </w:t>
      </w:r>
      <w:proofErr w:type="spellStart"/>
      <w:r w:rsidRPr="00E223AF">
        <w:rPr>
          <w:color w:val="auto"/>
        </w:rPr>
        <w:t>clastogenic</w:t>
      </w:r>
      <w:proofErr w:type="spellEnd"/>
      <w:r w:rsidRPr="00E223AF">
        <w:rPr>
          <w:color w:val="auto"/>
        </w:rPr>
        <w:t xml:space="preserve"> or </w:t>
      </w:r>
      <w:proofErr w:type="spellStart"/>
      <w:r w:rsidRPr="00E223AF">
        <w:rPr>
          <w:color w:val="auto"/>
        </w:rPr>
        <w:t>aneugenic</w:t>
      </w:r>
      <w:proofErr w:type="spellEnd"/>
      <w:r w:rsidRPr="00E223AF">
        <w:rPr>
          <w:color w:val="auto"/>
        </w:rPr>
        <w:t xml:space="preserve"> in the in vivo micronucleus assay in rats and did not induce DNA damage in a comet assay in rats.</w:t>
      </w:r>
    </w:p>
    <w:p w14:paraId="10082CCF" w14:textId="078A70D8" w:rsidR="00B1134D" w:rsidRPr="00E223AF" w:rsidRDefault="00057D0A" w:rsidP="00B1134D">
      <w:pPr>
        <w:pStyle w:val="Heading3"/>
        <w:rPr>
          <w:color w:val="auto"/>
        </w:rPr>
      </w:pPr>
      <w:r w:rsidRPr="00E223AF">
        <w:rPr>
          <w:color w:val="auto"/>
        </w:rPr>
        <w:t>Carcinogenicity</w:t>
      </w:r>
    </w:p>
    <w:p w14:paraId="24ABCC81" w14:textId="6B19019A" w:rsidR="00045105" w:rsidRPr="00E223AF" w:rsidRDefault="002C20ED" w:rsidP="002C20ED">
      <w:pPr>
        <w:rPr>
          <w:color w:val="auto"/>
        </w:rPr>
      </w:pPr>
      <w:r w:rsidRPr="00E223AF">
        <w:rPr>
          <w:color w:val="auto"/>
        </w:rPr>
        <w:t>No carcinogenicity studies have been performed to establish the carcinogenic potential of entrectinib.</w:t>
      </w:r>
    </w:p>
    <w:p w14:paraId="59DCC55D" w14:textId="79CE247D" w:rsidR="002C20ED" w:rsidRPr="00E223AF" w:rsidRDefault="0079442A" w:rsidP="002C20ED">
      <w:pPr>
        <w:pStyle w:val="Heading3"/>
        <w:rPr>
          <w:color w:val="auto"/>
        </w:rPr>
      </w:pPr>
      <w:r w:rsidRPr="00E223AF">
        <w:rPr>
          <w:color w:val="auto"/>
        </w:rPr>
        <w:t>Juvenile animal toxicity</w:t>
      </w:r>
    </w:p>
    <w:p w14:paraId="6F604277" w14:textId="06AA8BB5" w:rsidR="0079442A" w:rsidRPr="00E223AF" w:rsidRDefault="002C20ED" w:rsidP="0079442A">
      <w:pPr>
        <w:rPr>
          <w:color w:val="auto"/>
        </w:rPr>
      </w:pPr>
      <w:r w:rsidRPr="00E223AF">
        <w:rPr>
          <w:color w:val="auto"/>
        </w:rPr>
        <w:t>In a 13-week juvenile rat toxicology study</w:t>
      </w:r>
      <w:r w:rsidR="0079442A" w:rsidRPr="00E223AF">
        <w:rPr>
          <w:color w:val="auto"/>
        </w:rPr>
        <w:t>, animals were dosed daily</w:t>
      </w:r>
      <w:r w:rsidRPr="00E223AF">
        <w:rPr>
          <w:color w:val="auto"/>
        </w:rPr>
        <w:t xml:space="preserve"> from post-natal day 7 to day 97 (approximately equivalent to neonate to 16 years of age in humans</w:t>
      </w:r>
      <w:r w:rsidR="0079442A" w:rsidRPr="00E223AF">
        <w:rPr>
          <w:color w:val="auto"/>
        </w:rPr>
        <w:t>). Entrectinib resulted in:</w:t>
      </w:r>
    </w:p>
    <w:p w14:paraId="5AE2C098" w14:textId="2C623886" w:rsidR="0079442A" w:rsidRPr="00E223AF" w:rsidRDefault="0079442A" w:rsidP="00CE070A">
      <w:pPr>
        <w:pStyle w:val="ListParagraph"/>
        <w:numPr>
          <w:ilvl w:val="0"/>
          <w:numId w:val="16"/>
        </w:numPr>
        <w:rPr>
          <w:color w:val="auto"/>
        </w:rPr>
      </w:pPr>
      <w:r w:rsidRPr="00E223AF">
        <w:rPr>
          <w:color w:val="auto"/>
        </w:rPr>
        <w:t>decreased body weight gain and delay</w:t>
      </w:r>
      <w:r w:rsidR="004F170B" w:rsidRPr="00E223AF">
        <w:rPr>
          <w:color w:val="auto"/>
        </w:rPr>
        <w:t>ed sexual maturation at doses ≥</w:t>
      </w:r>
      <w:r w:rsidRPr="00E223AF">
        <w:rPr>
          <w:color w:val="auto"/>
        </w:rPr>
        <w:t>4 mg/kg/day (approximately 0.06 times the human exposure (AUC) at the 600 mg dose),</w:t>
      </w:r>
    </w:p>
    <w:p w14:paraId="480380AD" w14:textId="3F615241" w:rsidR="0079442A" w:rsidRPr="00E223AF" w:rsidRDefault="0079442A" w:rsidP="00CE070A">
      <w:pPr>
        <w:pStyle w:val="ListParagraph"/>
        <w:numPr>
          <w:ilvl w:val="0"/>
          <w:numId w:val="16"/>
        </w:numPr>
        <w:rPr>
          <w:color w:val="auto"/>
        </w:rPr>
      </w:pPr>
      <w:r w:rsidRPr="00E223AF">
        <w:rPr>
          <w:color w:val="auto"/>
        </w:rPr>
        <w:t>deficits in neurobehavioral assessments including functional observational battery and learning and memo</w:t>
      </w:r>
      <w:r w:rsidR="004F170B" w:rsidRPr="00E223AF">
        <w:rPr>
          <w:color w:val="auto"/>
        </w:rPr>
        <w:t>ry (at doses ≥</w:t>
      </w:r>
      <w:r w:rsidRPr="00E223AF">
        <w:rPr>
          <w:color w:val="auto"/>
        </w:rPr>
        <w:t>8 mg/kg/day, approximately 0.14 times the human exposure at the 600 mg dose), and</w:t>
      </w:r>
    </w:p>
    <w:p w14:paraId="20E73E98" w14:textId="6A18264D" w:rsidR="0079442A" w:rsidRPr="00E223AF" w:rsidRDefault="0079442A" w:rsidP="00CE070A">
      <w:pPr>
        <w:pStyle w:val="ListParagraph"/>
        <w:numPr>
          <w:ilvl w:val="0"/>
          <w:numId w:val="16"/>
        </w:numPr>
        <w:rPr>
          <w:color w:val="auto"/>
        </w:rPr>
      </w:pPr>
      <w:r w:rsidRPr="00E223AF">
        <w:rPr>
          <w:color w:val="auto"/>
        </w:rPr>
        <w:t>de</w:t>
      </w:r>
      <w:r w:rsidR="004F170B" w:rsidRPr="00E223AF">
        <w:rPr>
          <w:color w:val="auto"/>
        </w:rPr>
        <w:t>creased femur length at doses ≥</w:t>
      </w:r>
      <w:r w:rsidRPr="00E223AF">
        <w:rPr>
          <w:color w:val="auto"/>
        </w:rPr>
        <w:t>16 mg/kg/day (approximately 0.18 times the human exposure at the 600 mg dose).</w:t>
      </w:r>
    </w:p>
    <w:p w14:paraId="5DA513D2" w14:textId="77777777" w:rsidR="0079442A" w:rsidRPr="00E223AF" w:rsidRDefault="0079442A" w:rsidP="002C20ED">
      <w:pPr>
        <w:rPr>
          <w:color w:val="auto"/>
        </w:rPr>
      </w:pPr>
    </w:p>
    <w:p w14:paraId="40B73BDC" w14:textId="2FE9FEEB" w:rsidR="002C20ED" w:rsidRPr="00E223AF" w:rsidRDefault="0079442A" w:rsidP="002C20ED">
      <w:pPr>
        <w:rPr>
          <w:color w:val="auto"/>
        </w:rPr>
      </w:pPr>
      <w:r w:rsidRPr="00E223AF">
        <w:rPr>
          <w:color w:val="auto"/>
        </w:rPr>
        <w:t xml:space="preserve">See also section 4.4 </w:t>
      </w:r>
      <w:r w:rsidRPr="00E223AF">
        <w:rPr>
          <w:i/>
          <w:color w:val="auto"/>
        </w:rPr>
        <w:t>Special warnings and precautions for use – Paediatric use</w:t>
      </w:r>
      <w:r w:rsidRPr="00E223AF">
        <w:rPr>
          <w:color w:val="auto"/>
        </w:rPr>
        <w:t>.</w:t>
      </w:r>
    </w:p>
    <w:p w14:paraId="2F224A59" w14:textId="588DE286" w:rsidR="002C20ED" w:rsidRPr="00E223AF" w:rsidRDefault="002C20ED" w:rsidP="009F4C5B">
      <w:pPr>
        <w:spacing w:after="240"/>
        <w:rPr>
          <w:color w:val="auto"/>
        </w:rPr>
      </w:pPr>
    </w:p>
    <w:p w14:paraId="0E93AAF1" w14:textId="77777777" w:rsidR="00D52399" w:rsidRPr="00E223AF" w:rsidRDefault="00615052" w:rsidP="009F4C5B">
      <w:pPr>
        <w:pStyle w:val="Heading1"/>
        <w:numPr>
          <w:ilvl w:val="0"/>
          <w:numId w:val="2"/>
        </w:numPr>
        <w:spacing w:before="0"/>
        <w:rPr>
          <w:color w:val="auto"/>
        </w:rPr>
      </w:pPr>
      <w:r w:rsidRPr="00E223AF">
        <w:rPr>
          <w:color w:val="auto"/>
        </w:rPr>
        <w:t>PHARMACEUTICAL PARTICULARS</w:t>
      </w:r>
    </w:p>
    <w:p w14:paraId="52118B88" w14:textId="77777777" w:rsidR="00D52399" w:rsidRPr="00E223AF" w:rsidRDefault="00CC6729" w:rsidP="009F4C5B">
      <w:pPr>
        <w:pStyle w:val="Heading2"/>
        <w:spacing w:before="0"/>
        <w:rPr>
          <w:color w:val="auto"/>
        </w:rPr>
      </w:pPr>
      <w:r w:rsidRPr="00E223AF">
        <w:rPr>
          <w:color w:val="auto"/>
        </w:rPr>
        <w:t>6.1</w:t>
      </w:r>
      <w:r w:rsidRPr="00E223AF">
        <w:rPr>
          <w:color w:val="auto"/>
        </w:rPr>
        <w:tab/>
        <w:t>LIST OF EXCIPIENTS</w:t>
      </w:r>
    </w:p>
    <w:p w14:paraId="70C363F6" w14:textId="77777777" w:rsidR="003A7ED5" w:rsidRPr="00E223AF" w:rsidRDefault="003A7ED5" w:rsidP="003A7ED5">
      <w:pPr>
        <w:pStyle w:val="Heading3"/>
        <w:rPr>
          <w:color w:val="auto"/>
        </w:rPr>
      </w:pPr>
      <w:r w:rsidRPr="00E223AF">
        <w:rPr>
          <w:color w:val="auto"/>
        </w:rPr>
        <w:t>Capsule content</w:t>
      </w:r>
    </w:p>
    <w:p w14:paraId="2AA87459" w14:textId="3047CC76" w:rsidR="003A7ED5" w:rsidRPr="00E223AF" w:rsidRDefault="0083008D" w:rsidP="003A7ED5">
      <w:pPr>
        <w:rPr>
          <w:b/>
          <w:color w:val="auto"/>
        </w:rPr>
      </w:pPr>
      <w:r w:rsidRPr="00E223AF">
        <w:rPr>
          <w:color w:val="auto"/>
        </w:rPr>
        <w:t>Lactose</w:t>
      </w:r>
    </w:p>
    <w:p w14:paraId="65D4A3AE" w14:textId="7A914F73" w:rsidR="003A7ED5" w:rsidRPr="00E223AF" w:rsidRDefault="0083008D" w:rsidP="003A7ED5">
      <w:pPr>
        <w:rPr>
          <w:color w:val="auto"/>
        </w:rPr>
      </w:pPr>
      <w:r w:rsidRPr="00E223AF">
        <w:rPr>
          <w:color w:val="auto"/>
        </w:rPr>
        <w:t>Microcrystalline cellulose</w:t>
      </w:r>
    </w:p>
    <w:p w14:paraId="7B30F4AD" w14:textId="3A2026D6" w:rsidR="0083008D" w:rsidRPr="00E223AF" w:rsidRDefault="0083008D" w:rsidP="003A7ED5">
      <w:pPr>
        <w:rPr>
          <w:color w:val="auto"/>
        </w:rPr>
      </w:pPr>
      <w:r w:rsidRPr="00E223AF">
        <w:rPr>
          <w:color w:val="auto"/>
        </w:rPr>
        <w:t>Tartaric acid</w:t>
      </w:r>
    </w:p>
    <w:p w14:paraId="06624EC9" w14:textId="5F03AD06" w:rsidR="0083008D" w:rsidRPr="00E223AF" w:rsidRDefault="0083008D" w:rsidP="0083008D">
      <w:pPr>
        <w:rPr>
          <w:color w:val="auto"/>
        </w:rPr>
      </w:pPr>
      <w:proofErr w:type="spellStart"/>
      <w:r w:rsidRPr="00E223AF">
        <w:rPr>
          <w:color w:val="auto"/>
        </w:rPr>
        <w:t>Hypromellose</w:t>
      </w:r>
      <w:proofErr w:type="spellEnd"/>
    </w:p>
    <w:p w14:paraId="3E33BC5C" w14:textId="6930707B" w:rsidR="003A7ED5" w:rsidRPr="00E223AF" w:rsidRDefault="0083008D" w:rsidP="0083008D">
      <w:pPr>
        <w:rPr>
          <w:color w:val="auto"/>
        </w:rPr>
      </w:pPr>
      <w:proofErr w:type="spellStart"/>
      <w:r w:rsidRPr="00E223AF">
        <w:rPr>
          <w:color w:val="auto"/>
        </w:rPr>
        <w:t>Crospovidone</w:t>
      </w:r>
      <w:proofErr w:type="spellEnd"/>
    </w:p>
    <w:p w14:paraId="1544E279" w14:textId="0B081FA3" w:rsidR="003A7ED5" w:rsidRPr="00E223AF" w:rsidRDefault="0083008D" w:rsidP="0083008D">
      <w:pPr>
        <w:rPr>
          <w:color w:val="auto"/>
        </w:rPr>
      </w:pPr>
      <w:r w:rsidRPr="00E223AF">
        <w:rPr>
          <w:color w:val="auto"/>
        </w:rPr>
        <w:t>Magnesium stearate</w:t>
      </w:r>
    </w:p>
    <w:p w14:paraId="087C3B06" w14:textId="08447DA2" w:rsidR="0083008D" w:rsidRPr="00E223AF" w:rsidRDefault="0026763F" w:rsidP="0083008D">
      <w:pPr>
        <w:rPr>
          <w:color w:val="auto"/>
        </w:rPr>
      </w:pPr>
      <w:r w:rsidRPr="00E223AF">
        <w:rPr>
          <w:color w:val="auto"/>
        </w:rPr>
        <w:t>Colloidal anhydrous silica</w:t>
      </w:r>
    </w:p>
    <w:p w14:paraId="18EF6760" w14:textId="4C0F7805" w:rsidR="003A7ED5" w:rsidRPr="00E223AF" w:rsidRDefault="003A7ED5" w:rsidP="003A7ED5">
      <w:pPr>
        <w:pStyle w:val="Heading3"/>
        <w:rPr>
          <w:color w:val="auto"/>
        </w:rPr>
      </w:pPr>
      <w:r w:rsidRPr="00E223AF">
        <w:rPr>
          <w:color w:val="auto"/>
        </w:rPr>
        <w:t>Capsule shell</w:t>
      </w:r>
    </w:p>
    <w:p w14:paraId="4FBDA295" w14:textId="62E3496B" w:rsidR="003A7ED5" w:rsidRPr="00E223AF" w:rsidRDefault="003A7ED5" w:rsidP="003A7ED5">
      <w:pPr>
        <w:rPr>
          <w:color w:val="auto"/>
        </w:rPr>
      </w:pPr>
      <w:proofErr w:type="spellStart"/>
      <w:r w:rsidRPr="00E223AF">
        <w:rPr>
          <w:color w:val="auto"/>
        </w:rPr>
        <w:t>Hypromellose</w:t>
      </w:r>
      <w:proofErr w:type="spellEnd"/>
    </w:p>
    <w:p w14:paraId="6E51DF02" w14:textId="5B75CAEA" w:rsidR="0083008D" w:rsidRPr="00E223AF" w:rsidRDefault="0083008D" w:rsidP="003A7ED5">
      <w:pPr>
        <w:rPr>
          <w:color w:val="auto"/>
        </w:rPr>
      </w:pPr>
      <w:r w:rsidRPr="00E223AF">
        <w:rPr>
          <w:color w:val="auto"/>
        </w:rPr>
        <w:t>Titanium dioxide</w:t>
      </w:r>
    </w:p>
    <w:p w14:paraId="6191012A" w14:textId="6CC15F97" w:rsidR="003A7ED5" w:rsidRPr="00E223AF" w:rsidRDefault="0083008D" w:rsidP="003A7ED5">
      <w:pPr>
        <w:rPr>
          <w:color w:val="auto"/>
        </w:rPr>
      </w:pPr>
      <w:r w:rsidRPr="00E223AF">
        <w:rPr>
          <w:color w:val="auto"/>
        </w:rPr>
        <w:t xml:space="preserve">Iron oxide yellow </w:t>
      </w:r>
      <w:r w:rsidR="003A7ED5" w:rsidRPr="00E223AF">
        <w:rPr>
          <w:color w:val="auto"/>
        </w:rPr>
        <w:t>(100 mg capsule</w:t>
      </w:r>
      <w:r w:rsidRPr="00E223AF">
        <w:rPr>
          <w:color w:val="auto"/>
        </w:rPr>
        <w:t xml:space="preserve"> only</w:t>
      </w:r>
      <w:r w:rsidR="003A7ED5" w:rsidRPr="00E223AF">
        <w:rPr>
          <w:color w:val="auto"/>
        </w:rPr>
        <w:t>)</w:t>
      </w:r>
    </w:p>
    <w:p w14:paraId="59CD54FF" w14:textId="475BA9FC" w:rsidR="003A7ED5" w:rsidRPr="00E223AF" w:rsidRDefault="00F77E13" w:rsidP="0083008D">
      <w:pPr>
        <w:rPr>
          <w:color w:val="auto"/>
        </w:rPr>
      </w:pPr>
      <w:r w:rsidRPr="00E223AF">
        <w:rPr>
          <w:color w:val="auto"/>
        </w:rPr>
        <w:t xml:space="preserve">Sunset yellow FCF </w:t>
      </w:r>
      <w:r w:rsidR="0083008D" w:rsidRPr="00E223AF">
        <w:rPr>
          <w:color w:val="auto"/>
        </w:rPr>
        <w:t>(200 mg capsule only)</w:t>
      </w:r>
    </w:p>
    <w:p w14:paraId="317F99A8" w14:textId="03D64FBC" w:rsidR="003A7ED5" w:rsidRPr="00E223AF" w:rsidRDefault="003A7ED5" w:rsidP="003A7ED5">
      <w:pPr>
        <w:pStyle w:val="Heading3"/>
        <w:rPr>
          <w:color w:val="auto"/>
        </w:rPr>
      </w:pPr>
      <w:r w:rsidRPr="00E223AF">
        <w:rPr>
          <w:color w:val="auto"/>
        </w:rPr>
        <w:t>Printing ink</w:t>
      </w:r>
    </w:p>
    <w:p w14:paraId="5ABF71DB" w14:textId="77777777" w:rsidR="007138D4" w:rsidRPr="00E223AF" w:rsidRDefault="007138D4" w:rsidP="0083008D">
      <w:pPr>
        <w:rPr>
          <w:color w:val="auto"/>
        </w:rPr>
      </w:pPr>
      <w:r w:rsidRPr="00E223AF">
        <w:rPr>
          <w:color w:val="auto"/>
        </w:rPr>
        <w:t>S</w:t>
      </w:r>
      <w:r w:rsidR="0083008D" w:rsidRPr="00E223AF">
        <w:rPr>
          <w:color w:val="auto"/>
        </w:rPr>
        <w:t xml:space="preserve">hellac </w:t>
      </w:r>
    </w:p>
    <w:p w14:paraId="22172C20" w14:textId="03DAD794" w:rsidR="00F77E13" w:rsidRPr="00E223AF" w:rsidRDefault="00186280" w:rsidP="0083008D">
      <w:pPr>
        <w:rPr>
          <w:color w:val="auto"/>
        </w:rPr>
      </w:pPr>
      <w:r w:rsidRPr="00E223AF">
        <w:rPr>
          <w:color w:val="auto"/>
        </w:rPr>
        <w:t>P</w:t>
      </w:r>
      <w:r w:rsidR="00F77E13" w:rsidRPr="00E223AF">
        <w:rPr>
          <w:color w:val="auto"/>
        </w:rPr>
        <w:t>ropylene glycol</w:t>
      </w:r>
    </w:p>
    <w:p w14:paraId="7FBACBC3" w14:textId="4DA65E6C" w:rsidR="007138D4" w:rsidRPr="00E223AF" w:rsidRDefault="00F77E13" w:rsidP="0083008D">
      <w:pPr>
        <w:rPr>
          <w:color w:val="auto"/>
        </w:rPr>
      </w:pPr>
      <w:r w:rsidRPr="00E223AF">
        <w:rPr>
          <w:color w:val="auto"/>
        </w:rPr>
        <w:t>S</w:t>
      </w:r>
      <w:r w:rsidR="0083008D" w:rsidRPr="00E223AF">
        <w:rPr>
          <w:color w:val="auto"/>
        </w:rPr>
        <w:t xml:space="preserve">trong ammonia solution </w:t>
      </w:r>
    </w:p>
    <w:p w14:paraId="2D1B5E8F" w14:textId="0361F783" w:rsidR="007138D4" w:rsidRPr="00E223AF" w:rsidRDefault="00F77E13" w:rsidP="0083008D">
      <w:pPr>
        <w:rPr>
          <w:color w:val="auto"/>
        </w:rPr>
      </w:pPr>
      <w:r w:rsidRPr="00E223AF">
        <w:rPr>
          <w:color w:val="auto"/>
        </w:rPr>
        <w:t>Indigo carmine aluminium lake</w:t>
      </w:r>
    </w:p>
    <w:p w14:paraId="458EE44B" w14:textId="77777777" w:rsidR="003A7ED5" w:rsidRPr="00E223AF" w:rsidRDefault="003A7ED5" w:rsidP="00C22178"/>
    <w:p w14:paraId="00E4CB4F" w14:textId="7AD0F65A" w:rsidR="00D52399" w:rsidRPr="00E223AF" w:rsidRDefault="00902EBE" w:rsidP="003A7ED5">
      <w:pPr>
        <w:pStyle w:val="Heading2"/>
        <w:spacing w:before="0"/>
        <w:rPr>
          <w:color w:val="auto"/>
        </w:rPr>
      </w:pPr>
      <w:r w:rsidRPr="00E223AF">
        <w:rPr>
          <w:color w:val="auto"/>
        </w:rPr>
        <w:t>6.2</w:t>
      </w:r>
      <w:r w:rsidRPr="00E223AF">
        <w:rPr>
          <w:color w:val="auto"/>
        </w:rPr>
        <w:tab/>
        <w:t>INCOMPATIBILITIES</w:t>
      </w:r>
    </w:p>
    <w:p w14:paraId="64583E75" w14:textId="3B705CBD" w:rsidR="00D52399" w:rsidRPr="00E223AF" w:rsidRDefault="00F77E13">
      <w:pPr>
        <w:rPr>
          <w:color w:val="auto"/>
        </w:rPr>
      </w:pPr>
      <w:r w:rsidRPr="00E223AF">
        <w:rPr>
          <w:color w:val="auto"/>
        </w:rPr>
        <w:t>Not applicable.</w:t>
      </w:r>
    </w:p>
    <w:p w14:paraId="28610784" w14:textId="77777777" w:rsidR="00EE7129" w:rsidRPr="00E223AF" w:rsidRDefault="00EE7129">
      <w:pPr>
        <w:rPr>
          <w:color w:val="auto"/>
        </w:rPr>
      </w:pPr>
    </w:p>
    <w:p w14:paraId="2D6A1F4E" w14:textId="77777777" w:rsidR="00D52399" w:rsidRPr="00E223AF" w:rsidRDefault="00902EBE" w:rsidP="009F4C5B">
      <w:pPr>
        <w:pStyle w:val="Heading2"/>
        <w:spacing w:before="0"/>
        <w:rPr>
          <w:color w:val="auto"/>
        </w:rPr>
      </w:pPr>
      <w:r w:rsidRPr="00E223AF">
        <w:rPr>
          <w:color w:val="auto"/>
        </w:rPr>
        <w:t>6.3</w:t>
      </w:r>
      <w:r w:rsidRPr="00E223AF">
        <w:rPr>
          <w:color w:val="auto"/>
        </w:rPr>
        <w:tab/>
        <w:t>SHELF LIFE</w:t>
      </w:r>
    </w:p>
    <w:p w14:paraId="5B3FD0B2" w14:textId="77777777" w:rsidR="008903F2" w:rsidRPr="00E223AF" w:rsidRDefault="008903F2" w:rsidP="009F4C5B">
      <w:pPr>
        <w:spacing w:after="240"/>
        <w:rPr>
          <w:color w:val="auto"/>
        </w:rPr>
      </w:pPr>
      <w:r w:rsidRPr="00E223AF">
        <w:rPr>
          <w:color w:val="auto"/>
        </w:rPr>
        <w:t>In Australia, information on the shelf life can be found on the public summary of the Australian Register of Therapeutic Goods (ARTG). The expiry date can be found on the packaging.</w:t>
      </w:r>
    </w:p>
    <w:p w14:paraId="3A3622F1" w14:textId="77777777" w:rsidR="00D52399" w:rsidRPr="00E223AF" w:rsidRDefault="00902EBE" w:rsidP="009F4C5B">
      <w:pPr>
        <w:pStyle w:val="Heading2"/>
        <w:spacing w:before="0"/>
        <w:rPr>
          <w:color w:val="auto"/>
        </w:rPr>
      </w:pPr>
      <w:r w:rsidRPr="00E223AF">
        <w:rPr>
          <w:color w:val="auto"/>
        </w:rPr>
        <w:t>6.4</w:t>
      </w:r>
      <w:r w:rsidRPr="00E223AF">
        <w:rPr>
          <w:color w:val="auto"/>
        </w:rPr>
        <w:tab/>
        <w:t>SPECIAL PRECAUTIONS FOR STORAGE</w:t>
      </w:r>
    </w:p>
    <w:p w14:paraId="090856BA" w14:textId="0E1AF6DA" w:rsidR="00F77E13" w:rsidRPr="00E223AF" w:rsidRDefault="00F77E13" w:rsidP="00F77E13">
      <w:pPr>
        <w:rPr>
          <w:color w:val="auto"/>
        </w:rPr>
      </w:pPr>
      <w:r w:rsidRPr="00E223AF">
        <w:rPr>
          <w:color w:val="auto"/>
        </w:rPr>
        <w:t xml:space="preserve">Store below 30°C. </w:t>
      </w:r>
    </w:p>
    <w:p w14:paraId="3B7CC1C4" w14:textId="77777777" w:rsidR="00F77E13" w:rsidRPr="00E223AF" w:rsidRDefault="00F77E13" w:rsidP="00F77E13">
      <w:pPr>
        <w:rPr>
          <w:color w:val="auto"/>
        </w:rPr>
      </w:pPr>
    </w:p>
    <w:p w14:paraId="49E74F11" w14:textId="7167B42C" w:rsidR="00D52399" w:rsidRPr="00E223AF" w:rsidRDefault="00F77E13" w:rsidP="00F77E13">
      <w:pPr>
        <w:rPr>
          <w:color w:val="auto"/>
        </w:rPr>
      </w:pPr>
      <w:r w:rsidRPr="00E223AF">
        <w:rPr>
          <w:color w:val="auto"/>
        </w:rPr>
        <w:t>This medicine should not be used after the expiry date (EXP) shown on the pack.</w:t>
      </w:r>
    </w:p>
    <w:p w14:paraId="3277F9DD" w14:textId="77777777" w:rsidR="00F77E13" w:rsidRPr="00E223AF" w:rsidRDefault="00F77E13" w:rsidP="00F77E13">
      <w:pPr>
        <w:rPr>
          <w:color w:val="auto"/>
        </w:rPr>
      </w:pPr>
    </w:p>
    <w:p w14:paraId="769F75C7" w14:textId="77777777" w:rsidR="00D52399" w:rsidRPr="00E223AF" w:rsidRDefault="00902EBE" w:rsidP="00902EBE">
      <w:pPr>
        <w:pStyle w:val="Heading2"/>
        <w:rPr>
          <w:color w:val="auto"/>
        </w:rPr>
      </w:pPr>
      <w:r w:rsidRPr="00E223AF">
        <w:rPr>
          <w:color w:val="auto"/>
        </w:rPr>
        <w:t>6.5</w:t>
      </w:r>
      <w:r w:rsidRPr="00E223AF">
        <w:rPr>
          <w:color w:val="auto"/>
        </w:rPr>
        <w:tab/>
        <w:t xml:space="preserve">NATURE AND CONTENTS OF CONTAINER </w:t>
      </w:r>
    </w:p>
    <w:p w14:paraId="299DF771" w14:textId="45F34051" w:rsidR="00777D04" w:rsidRPr="00E223AF" w:rsidRDefault="00AC22FD" w:rsidP="0043185C">
      <w:pPr>
        <w:rPr>
          <w:color w:val="auto"/>
        </w:rPr>
      </w:pPr>
      <w:r w:rsidRPr="00E223AF">
        <w:rPr>
          <w:color w:val="auto"/>
          <w:lang w:val="en-AU"/>
        </w:rPr>
        <w:t>Rozlytrek</w:t>
      </w:r>
      <w:r w:rsidR="00777D04" w:rsidRPr="00E223AF">
        <w:rPr>
          <w:color w:val="auto"/>
        </w:rPr>
        <w:t xml:space="preserve"> </w:t>
      </w:r>
      <w:r w:rsidR="0043185C" w:rsidRPr="00E223AF">
        <w:rPr>
          <w:color w:val="auto"/>
        </w:rPr>
        <w:t>hard capsules are packaged in white high-density polyethylene bottles with desiccant and a child-resistant screw cap.</w:t>
      </w:r>
    </w:p>
    <w:p w14:paraId="4C3695EA" w14:textId="237D9FDB" w:rsidR="0043185C" w:rsidRPr="00E223AF" w:rsidRDefault="0043185C" w:rsidP="0043185C">
      <w:pPr>
        <w:rPr>
          <w:color w:val="auto"/>
        </w:rPr>
      </w:pPr>
    </w:p>
    <w:p w14:paraId="256A524D" w14:textId="02E41CF7" w:rsidR="0043185C" w:rsidRPr="00E223AF" w:rsidRDefault="0043185C" w:rsidP="0043185C">
      <w:pPr>
        <w:rPr>
          <w:color w:val="auto"/>
        </w:rPr>
      </w:pPr>
      <w:r w:rsidRPr="00E223AF">
        <w:rPr>
          <w:color w:val="auto"/>
        </w:rPr>
        <w:t>100 mg hard capsules are supplied in bottles of 30 capsules.</w:t>
      </w:r>
    </w:p>
    <w:p w14:paraId="504E542C" w14:textId="711B3B5D" w:rsidR="0043185C" w:rsidRPr="00E223AF" w:rsidRDefault="0043185C" w:rsidP="0043185C">
      <w:pPr>
        <w:rPr>
          <w:color w:val="auto"/>
        </w:rPr>
      </w:pPr>
    </w:p>
    <w:p w14:paraId="3CC15EFD" w14:textId="70F4EA3D" w:rsidR="0043185C" w:rsidRPr="00E223AF" w:rsidRDefault="0043185C" w:rsidP="0043185C">
      <w:pPr>
        <w:rPr>
          <w:color w:val="auto"/>
        </w:rPr>
      </w:pPr>
      <w:r w:rsidRPr="00E223AF">
        <w:rPr>
          <w:color w:val="auto"/>
        </w:rPr>
        <w:t>200 mg hard capsules are supplied in bottles of 90 capsules.</w:t>
      </w:r>
    </w:p>
    <w:p w14:paraId="177667D2" w14:textId="77777777" w:rsidR="0043185C" w:rsidRPr="00E223AF" w:rsidRDefault="0043185C" w:rsidP="0043185C">
      <w:pPr>
        <w:rPr>
          <w:color w:val="auto"/>
        </w:rPr>
      </w:pPr>
    </w:p>
    <w:p w14:paraId="78F2E8F9" w14:textId="77777777" w:rsidR="00D52399" w:rsidRPr="00E223AF" w:rsidRDefault="00902EBE" w:rsidP="00902EBE">
      <w:pPr>
        <w:pStyle w:val="Heading2"/>
        <w:rPr>
          <w:color w:val="auto"/>
        </w:rPr>
      </w:pPr>
      <w:r w:rsidRPr="00E223AF">
        <w:rPr>
          <w:color w:val="auto"/>
        </w:rPr>
        <w:t>6.6</w:t>
      </w:r>
      <w:r w:rsidRPr="00E223AF">
        <w:rPr>
          <w:color w:val="auto"/>
        </w:rPr>
        <w:tab/>
        <w:t xml:space="preserve">SPECIAL PRECAUTIONS FOR DISPOSAL </w:t>
      </w:r>
    </w:p>
    <w:p w14:paraId="19E0845B" w14:textId="374D72E9" w:rsidR="00EE7129" w:rsidRPr="00E223AF" w:rsidRDefault="00F77E13" w:rsidP="009F4C5B">
      <w:pPr>
        <w:spacing w:after="240"/>
        <w:rPr>
          <w:color w:val="auto"/>
        </w:rPr>
      </w:pPr>
      <w:r w:rsidRPr="00E223AF">
        <w:rPr>
          <w:color w:val="auto"/>
        </w:rPr>
        <w:t>The release of pharmaceuticals in the environment should be minimi</w:t>
      </w:r>
      <w:r w:rsidR="0043185C" w:rsidRPr="00E223AF">
        <w:rPr>
          <w:color w:val="auto"/>
        </w:rPr>
        <w:t>s</w:t>
      </w:r>
      <w:r w:rsidRPr="00E223AF">
        <w:rPr>
          <w:color w:val="auto"/>
        </w:rPr>
        <w:t>ed. Medicines should not be disposed of via wastewater and disposal through household waste should be avoided.</w:t>
      </w:r>
    </w:p>
    <w:p w14:paraId="5542601D" w14:textId="77777777" w:rsidR="008903F2" w:rsidRPr="00E223AF" w:rsidRDefault="008903F2" w:rsidP="009F4C5B">
      <w:pPr>
        <w:spacing w:after="240"/>
        <w:rPr>
          <w:color w:val="auto"/>
        </w:rPr>
      </w:pPr>
      <w:r w:rsidRPr="00E223AF">
        <w:rPr>
          <w:color w:val="auto"/>
        </w:rPr>
        <w:t>In Australia, any unused medicine or waste material should be disposed of by taking to your local pharmacy.</w:t>
      </w:r>
    </w:p>
    <w:p w14:paraId="6E6E1631" w14:textId="77777777" w:rsidR="008903F2" w:rsidRPr="00E223AF" w:rsidRDefault="00902EBE" w:rsidP="009F4C5B">
      <w:pPr>
        <w:pStyle w:val="Heading2"/>
        <w:spacing w:before="0"/>
        <w:rPr>
          <w:color w:val="auto"/>
        </w:rPr>
      </w:pPr>
      <w:r w:rsidRPr="00E223AF">
        <w:rPr>
          <w:color w:val="auto"/>
        </w:rPr>
        <w:t>6.7</w:t>
      </w:r>
      <w:r w:rsidRPr="00E223AF">
        <w:rPr>
          <w:color w:val="auto"/>
        </w:rPr>
        <w:tab/>
        <w:t xml:space="preserve">PHYSIOCHEMICAL PROPERTIES </w:t>
      </w:r>
    </w:p>
    <w:p w14:paraId="105657F4" w14:textId="3A1ECC84" w:rsidR="009B3628" w:rsidRPr="00E223AF" w:rsidRDefault="009B3628" w:rsidP="00405E7C">
      <w:pPr>
        <w:pStyle w:val="Heading3"/>
        <w:rPr>
          <w:color w:val="auto"/>
        </w:rPr>
      </w:pPr>
      <w:r w:rsidRPr="00E223AF">
        <w:rPr>
          <w:color w:val="auto"/>
        </w:rPr>
        <w:t>Chemical structure</w:t>
      </w:r>
    </w:p>
    <w:p w14:paraId="4A98C2E3" w14:textId="40384042" w:rsidR="00CA603C" w:rsidRPr="00E223AF" w:rsidRDefault="00CA603C" w:rsidP="00CA603C">
      <w:r w:rsidRPr="00E223AF">
        <w:rPr>
          <w:noProof/>
          <w:lang w:val="en-AU"/>
        </w:rPr>
        <w:drawing>
          <wp:inline distT="0" distB="0" distL="0" distR="0" wp14:anchorId="4905F4FA" wp14:editId="0493F2DD">
            <wp:extent cx="2835424" cy="1543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2156" cy="1546714"/>
                    </a:xfrm>
                    <a:prstGeom prst="rect">
                      <a:avLst/>
                    </a:prstGeom>
                  </pic:spPr>
                </pic:pic>
              </a:graphicData>
            </a:graphic>
          </wp:inline>
        </w:drawing>
      </w:r>
    </w:p>
    <w:p w14:paraId="5B78F2BF" w14:textId="09E719A4" w:rsidR="009B3628" w:rsidRPr="00E223AF" w:rsidRDefault="009B3628" w:rsidP="00F77E13">
      <w:pPr>
        <w:rPr>
          <w:color w:val="auto"/>
        </w:rPr>
      </w:pPr>
    </w:p>
    <w:p w14:paraId="488D2387" w14:textId="77777777" w:rsidR="00F77E13" w:rsidRPr="00E223AF" w:rsidRDefault="00F77E13" w:rsidP="00F77E13">
      <w:pPr>
        <w:rPr>
          <w:b/>
          <w:color w:val="auto"/>
        </w:rPr>
      </w:pPr>
    </w:p>
    <w:p w14:paraId="7B018A9B" w14:textId="77777777" w:rsidR="00F77E13" w:rsidRPr="00E223AF" w:rsidRDefault="009B3628" w:rsidP="00405E7C">
      <w:pPr>
        <w:pStyle w:val="Heading3"/>
        <w:rPr>
          <w:color w:val="auto"/>
        </w:rPr>
      </w:pPr>
      <w:r w:rsidRPr="00E223AF">
        <w:rPr>
          <w:color w:val="auto"/>
        </w:rPr>
        <w:t>CAS number</w:t>
      </w:r>
    </w:p>
    <w:p w14:paraId="4A0571B0" w14:textId="78866539" w:rsidR="009B3628" w:rsidRPr="00E223AF" w:rsidRDefault="00F77E13" w:rsidP="00F77E13">
      <w:pPr>
        <w:rPr>
          <w:color w:val="auto"/>
        </w:rPr>
      </w:pPr>
      <w:r w:rsidRPr="00E223AF">
        <w:rPr>
          <w:color w:val="auto"/>
        </w:rPr>
        <w:t>1108743-60-7</w:t>
      </w:r>
    </w:p>
    <w:p w14:paraId="2AC194DC" w14:textId="77777777" w:rsidR="00F77E13" w:rsidRPr="00E223AF" w:rsidRDefault="00F77E13" w:rsidP="00F77E13">
      <w:pPr>
        <w:rPr>
          <w:b/>
          <w:color w:val="auto"/>
        </w:rPr>
      </w:pPr>
    </w:p>
    <w:p w14:paraId="4DE740C8" w14:textId="77777777" w:rsidR="00D52399" w:rsidRPr="00E223AF" w:rsidRDefault="00615052" w:rsidP="009F4C5B">
      <w:pPr>
        <w:pStyle w:val="Heading1"/>
        <w:numPr>
          <w:ilvl w:val="0"/>
          <w:numId w:val="2"/>
        </w:numPr>
        <w:spacing w:before="0"/>
        <w:rPr>
          <w:color w:val="auto"/>
        </w:rPr>
      </w:pPr>
      <w:r w:rsidRPr="00E223AF">
        <w:rPr>
          <w:color w:val="auto"/>
        </w:rPr>
        <w:t xml:space="preserve"> MEDICINE SCHEDULE</w:t>
      </w:r>
      <w:r w:rsidR="00594C19" w:rsidRPr="00E223AF">
        <w:rPr>
          <w:color w:val="auto"/>
        </w:rPr>
        <w:t xml:space="preserve"> (POISONS STANDARD)</w:t>
      </w:r>
    </w:p>
    <w:p w14:paraId="265AD473" w14:textId="5D1104F8" w:rsidR="00F77E13" w:rsidRPr="00E223AF" w:rsidRDefault="00F77E13" w:rsidP="00EE7129">
      <w:pPr>
        <w:rPr>
          <w:color w:val="auto"/>
        </w:rPr>
      </w:pPr>
      <w:r w:rsidRPr="00E223AF">
        <w:rPr>
          <w:color w:val="auto"/>
        </w:rPr>
        <w:t>Schedule 4 – Prescription Only Medicine</w:t>
      </w:r>
    </w:p>
    <w:p w14:paraId="0795C5C4" w14:textId="77777777" w:rsidR="00F77E13" w:rsidRPr="00E223AF" w:rsidRDefault="00F77E13" w:rsidP="00EE7129">
      <w:pPr>
        <w:rPr>
          <w:color w:val="auto"/>
        </w:rPr>
      </w:pPr>
    </w:p>
    <w:p w14:paraId="7B23F2DD" w14:textId="77777777" w:rsidR="00D52399" w:rsidRPr="00E223AF" w:rsidRDefault="00615052" w:rsidP="009F4C5B">
      <w:pPr>
        <w:pStyle w:val="Heading1"/>
        <w:numPr>
          <w:ilvl w:val="0"/>
          <w:numId w:val="2"/>
        </w:numPr>
        <w:spacing w:before="0"/>
        <w:rPr>
          <w:color w:val="auto"/>
        </w:rPr>
      </w:pPr>
      <w:r w:rsidRPr="00E223AF">
        <w:rPr>
          <w:color w:val="auto"/>
        </w:rPr>
        <w:lastRenderedPageBreak/>
        <w:t>SPONSOR</w:t>
      </w:r>
    </w:p>
    <w:p w14:paraId="2D290544" w14:textId="77777777" w:rsidR="00363C7F" w:rsidRPr="00E223AF" w:rsidRDefault="00363C7F" w:rsidP="00363C7F">
      <w:pPr>
        <w:rPr>
          <w:color w:val="auto"/>
          <w:lang w:val="en-GB"/>
        </w:rPr>
      </w:pPr>
      <w:r w:rsidRPr="00E223AF">
        <w:rPr>
          <w:color w:val="auto"/>
          <w:lang w:val="en-GB"/>
        </w:rPr>
        <w:t>Roche Products Pty Limited</w:t>
      </w:r>
    </w:p>
    <w:p w14:paraId="19BBDAA5" w14:textId="77777777" w:rsidR="00363C7F" w:rsidRPr="00E223AF" w:rsidRDefault="00363C7F" w:rsidP="00363C7F">
      <w:pPr>
        <w:rPr>
          <w:color w:val="auto"/>
          <w:lang w:val="en-GB"/>
        </w:rPr>
      </w:pPr>
      <w:r w:rsidRPr="00E223AF">
        <w:rPr>
          <w:color w:val="auto"/>
          <w:lang w:val="en-GB"/>
        </w:rPr>
        <w:t>ABN 70 000 132 865</w:t>
      </w:r>
    </w:p>
    <w:p w14:paraId="56BFB6B8" w14:textId="77777777" w:rsidR="00363C7F" w:rsidRPr="00E223AF" w:rsidRDefault="00363C7F" w:rsidP="00363C7F">
      <w:pPr>
        <w:rPr>
          <w:color w:val="auto"/>
          <w:lang w:val="en-GB"/>
        </w:rPr>
      </w:pPr>
      <w:r w:rsidRPr="00E223AF">
        <w:rPr>
          <w:color w:val="auto"/>
          <w:lang w:val="en-GB"/>
        </w:rPr>
        <w:t xml:space="preserve">Level 8, 30 – 34 </w:t>
      </w:r>
      <w:proofErr w:type="spellStart"/>
      <w:r w:rsidRPr="00E223AF">
        <w:rPr>
          <w:color w:val="auto"/>
          <w:lang w:val="en-GB"/>
        </w:rPr>
        <w:t>Hickson</w:t>
      </w:r>
      <w:proofErr w:type="spellEnd"/>
      <w:r w:rsidRPr="00E223AF">
        <w:rPr>
          <w:color w:val="auto"/>
          <w:lang w:val="en-GB"/>
        </w:rPr>
        <w:t xml:space="preserve"> Road </w:t>
      </w:r>
    </w:p>
    <w:p w14:paraId="13D19553" w14:textId="77777777" w:rsidR="00363C7F" w:rsidRPr="00E223AF" w:rsidRDefault="00363C7F" w:rsidP="00363C7F">
      <w:pPr>
        <w:rPr>
          <w:color w:val="auto"/>
          <w:lang w:val="en-GB"/>
        </w:rPr>
      </w:pPr>
      <w:r w:rsidRPr="00E223AF">
        <w:rPr>
          <w:color w:val="auto"/>
          <w:lang w:val="en-GB"/>
        </w:rPr>
        <w:t>Sydney NSW 2000</w:t>
      </w:r>
    </w:p>
    <w:p w14:paraId="6A5A5AE1" w14:textId="77777777" w:rsidR="00363C7F" w:rsidRPr="00E223AF" w:rsidRDefault="00363C7F" w:rsidP="00363C7F">
      <w:pPr>
        <w:rPr>
          <w:color w:val="auto"/>
          <w:lang w:val="en-GB"/>
        </w:rPr>
      </w:pPr>
      <w:r w:rsidRPr="00E223AF">
        <w:rPr>
          <w:color w:val="auto"/>
          <w:lang w:val="en-GB"/>
        </w:rPr>
        <w:t>AUSTRALIA</w:t>
      </w:r>
    </w:p>
    <w:p w14:paraId="275D5FC1" w14:textId="77777777" w:rsidR="00363C7F" w:rsidRPr="00E223AF" w:rsidRDefault="00363C7F" w:rsidP="00363C7F">
      <w:pPr>
        <w:rPr>
          <w:color w:val="auto"/>
          <w:lang w:val="en-GB"/>
        </w:rPr>
      </w:pPr>
    </w:p>
    <w:p w14:paraId="442F25D0" w14:textId="77777777" w:rsidR="00363C7F" w:rsidRPr="00E223AF" w:rsidRDefault="00363C7F" w:rsidP="009F4C5B">
      <w:pPr>
        <w:spacing w:after="240"/>
        <w:rPr>
          <w:color w:val="auto"/>
        </w:rPr>
      </w:pPr>
      <w:r w:rsidRPr="00E223AF">
        <w:rPr>
          <w:color w:val="auto"/>
          <w:lang w:val="en-GB"/>
        </w:rPr>
        <w:t>Medical enquiries: 1800 233 950</w:t>
      </w:r>
    </w:p>
    <w:p w14:paraId="5FCA66F7" w14:textId="77777777" w:rsidR="00D52399" w:rsidRPr="00E223AF" w:rsidRDefault="00615052" w:rsidP="009F4C5B">
      <w:pPr>
        <w:pStyle w:val="Heading1"/>
        <w:numPr>
          <w:ilvl w:val="0"/>
          <w:numId w:val="2"/>
        </w:numPr>
        <w:spacing w:before="0"/>
        <w:rPr>
          <w:color w:val="auto"/>
        </w:rPr>
      </w:pPr>
      <w:r w:rsidRPr="00E223AF">
        <w:rPr>
          <w:color w:val="auto"/>
        </w:rPr>
        <w:t>DATE OF FIRST APPROVAL</w:t>
      </w:r>
    </w:p>
    <w:p w14:paraId="72DCF9BA" w14:textId="5EF7F91D" w:rsidR="009B3628" w:rsidRPr="00E223AF" w:rsidRDefault="00C84C5B" w:rsidP="009F4C5B">
      <w:pPr>
        <w:spacing w:after="240"/>
        <w:rPr>
          <w:color w:val="auto"/>
        </w:rPr>
      </w:pPr>
      <w:r>
        <w:rPr>
          <w:color w:val="auto"/>
        </w:rPr>
        <w:t>15 May 2020</w:t>
      </w:r>
    </w:p>
    <w:p w14:paraId="22655945" w14:textId="77777777" w:rsidR="00D52399" w:rsidRPr="00E223AF" w:rsidRDefault="00615052" w:rsidP="009F4C5B">
      <w:pPr>
        <w:pStyle w:val="Heading1"/>
        <w:numPr>
          <w:ilvl w:val="0"/>
          <w:numId w:val="2"/>
        </w:numPr>
        <w:spacing w:before="0"/>
        <w:rPr>
          <w:color w:val="auto"/>
        </w:rPr>
      </w:pPr>
      <w:r w:rsidRPr="00E223AF">
        <w:rPr>
          <w:color w:val="auto"/>
        </w:rPr>
        <w:t xml:space="preserve">DATE OF REVISION </w:t>
      </w:r>
    </w:p>
    <w:p w14:paraId="251E79EB" w14:textId="7379B8C7" w:rsidR="00EE7129" w:rsidRPr="00E223AF" w:rsidRDefault="00A6674F" w:rsidP="00EE7129">
      <w:pPr>
        <w:spacing w:after="240"/>
        <w:rPr>
          <w:color w:val="auto"/>
        </w:rPr>
      </w:pPr>
      <w:r>
        <w:rPr>
          <w:color w:val="auto"/>
        </w:rPr>
        <w:t>N/A</w:t>
      </w:r>
    </w:p>
    <w:p w14:paraId="07BDC987" w14:textId="77777777" w:rsidR="00D52399" w:rsidRPr="00E223AF" w:rsidRDefault="00902EBE" w:rsidP="00A8585F">
      <w:pPr>
        <w:pStyle w:val="Heading3"/>
        <w:spacing w:after="240"/>
        <w:rPr>
          <w:color w:val="auto"/>
        </w:rPr>
      </w:pPr>
      <w:r w:rsidRPr="00E223AF">
        <w:rPr>
          <w:color w:val="auto"/>
        </w:rPr>
        <w:t>Summary table of changes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FB53F7" w:rsidRPr="00E223AF" w14:paraId="50BA7BC1" w14:textId="77777777" w:rsidTr="00407592">
        <w:tc>
          <w:tcPr>
            <w:tcW w:w="1951" w:type="dxa"/>
          </w:tcPr>
          <w:p w14:paraId="16E8F8B1" w14:textId="77777777" w:rsidR="00D52399" w:rsidRPr="00E223AF" w:rsidRDefault="00615052">
            <w:pPr>
              <w:rPr>
                <w:b/>
                <w:color w:val="auto"/>
              </w:rPr>
            </w:pPr>
            <w:r w:rsidRPr="00E223AF">
              <w:rPr>
                <w:b/>
                <w:color w:val="auto"/>
              </w:rPr>
              <w:t>Section Changed</w:t>
            </w:r>
          </w:p>
        </w:tc>
        <w:tc>
          <w:tcPr>
            <w:tcW w:w="7291" w:type="dxa"/>
          </w:tcPr>
          <w:p w14:paraId="02995E12" w14:textId="77777777" w:rsidR="00D52399" w:rsidRPr="00E223AF" w:rsidRDefault="00615052">
            <w:pPr>
              <w:rPr>
                <w:b/>
                <w:color w:val="auto"/>
              </w:rPr>
            </w:pPr>
            <w:r w:rsidRPr="00E223AF">
              <w:rPr>
                <w:b/>
                <w:color w:val="auto"/>
              </w:rPr>
              <w:t>Summary of new information</w:t>
            </w:r>
          </w:p>
        </w:tc>
      </w:tr>
      <w:tr w:rsidR="00FB53F7" w:rsidRPr="00E223AF" w14:paraId="764393F9" w14:textId="77777777" w:rsidTr="00407592">
        <w:tc>
          <w:tcPr>
            <w:tcW w:w="1951" w:type="dxa"/>
          </w:tcPr>
          <w:p w14:paraId="1D2A8332" w14:textId="6EF50BC6" w:rsidR="00D52399" w:rsidRPr="00E223AF" w:rsidRDefault="00D52399">
            <w:pPr>
              <w:rPr>
                <w:color w:val="auto"/>
              </w:rPr>
            </w:pPr>
          </w:p>
        </w:tc>
        <w:tc>
          <w:tcPr>
            <w:tcW w:w="7291" w:type="dxa"/>
          </w:tcPr>
          <w:p w14:paraId="02F7C4BF" w14:textId="1DBF64A4" w:rsidR="00D52399" w:rsidRPr="00E223AF" w:rsidRDefault="00D52399" w:rsidP="00405E7C">
            <w:pPr>
              <w:rPr>
                <w:color w:val="auto"/>
              </w:rPr>
            </w:pPr>
          </w:p>
        </w:tc>
      </w:tr>
      <w:tr w:rsidR="00B1136D" w:rsidRPr="00FB53F7" w14:paraId="58AF5434" w14:textId="77777777" w:rsidTr="00407592">
        <w:tc>
          <w:tcPr>
            <w:tcW w:w="1951" w:type="dxa"/>
          </w:tcPr>
          <w:p w14:paraId="51EA1099" w14:textId="1A098FC9" w:rsidR="00B1136D" w:rsidRPr="00E223AF" w:rsidRDefault="00533A9B" w:rsidP="00254C9E">
            <w:pPr>
              <w:rPr>
                <w:color w:val="auto"/>
              </w:rPr>
            </w:pPr>
            <w:r>
              <w:rPr>
                <w:color w:val="auto"/>
              </w:rPr>
              <w:t>All</w:t>
            </w:r>
            <w:r w:rsidR="00E22711" w:rsidRPr="00E223AF">
              <w:rPr>
                <w:color w:val="auto"/>
              </w:rPr>
              <w:t>.</w:t>
            </w:r>
          </w:p>
        </w:tc>
        <w:tc>
          <w:tcPr>
            <w:tcW w:w="7291" w:type="dxa"/>
          </w:tcPr>
          <w:p w14:paraId="1B8BAE6D" w14:textId="31C82EBA" w:rsidR="00B1136D" w:rsidRPr="00FB53F7" w:rsidRDefault="00533A9B" w:rsidP="00254C9E">
            <w:pPr>
              <w:rPr>
                <w:color w:val="auto"/>
              </w:rPr>
            </w:pPr>
            <w:r>
              <w:rPr>
                <w:color w:val="auto"/>
              </w:rPr>
              <w:t>Final version</w:t>
            </w:r>
          </w:p>
        </w:tc>
      </w:tr>
    </w:tbl>
    <w:p w14:paraId="1990A754" w14:textId="77777777" w:rsidR="00D52399" w:rsidRPr="00FB53F7" w:rsidRDefault="00D52399" w:rsidP="0043185C">
      <w:pPr>
        <w:rPr>
          <w:color w:val="auto"/>
        </w:rPr>
      </w:pPr>
    </w:p>
    <w:sectPr w:rsidR="00D52399" w:rsidRPr="00FB53F7" w:rsidSect="00FC2E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876"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73495" w16cid:durableId="225665AC"/>
  <w16cid:commentId w16cid:paraId="34214D13" w16cid:durableId="225665AD"/>
  <w16cid:commentId w16cid:paraId="72F82CF7" w16cid:durableId="225665AE"/>
  <w16cid:commentId w16cid:paraId="6098145F" w16cid:durableId="22566880"/>
  <w16cid:commentId w16cid:paraId="6388A0BE" w16cid:durableId="225665AF"/>
  <w16cid:commentId w16cid:paraId="55E2C6A3" w16cid:durableId="22566758"/>
  <w16cid:commentId w16cid:paraId="0A3C8792" w16cid:durableId="225665B0"/>
  <w16cid:commentId w16cid:paraId="742D5939" w16cid:durableId="225665B1"/>
  <w16cid:commentId w16cid:paraId="3510F8B3" w16cid:durableId="225665B2"/>
  <w16cid:commentId w16cid:paraId="6E06B727" w16cid:durableId="225665B3"/>
  <w16cid:commentId w16cid:paraId="67FAEA80" w16cid:durableId="2256816D"/>
  <w16cid:commentId w16cid:paraId="1F21352A" w16cid:durableId="2256819F"/>
  <w16cid:commentId w16cid:paraId="0197C3B1" w16cid:durableId="225665B4"/>
  <w16cid:commentId w16cid:paraId="2CE93F06" w16cid:durableId="225665B5"/>
  <w16cid:commentId w16cid:paraId="14842BAB" w16cid:durableId="225665B6"/>
  <w16cid:commentId w16cid:paraId="5B925EE2" w16cid:durableId="225665B7"/>
  <w16cid:commentId w16cid:paraId="2A7BE81D" w16cid:durableId="225665B8"/>
  <w16cid:commentId w16cid:paraId="6F653C4D" w16cid:durableId="225665B9"/>
  <w16cid:commentId w16cid:paraId="4E119089" w16cid:durableId="225665BA"/>
  <w16cid:commentId w16cid:paraId="58BCD7BE" w16cid:durableId="225665BB"/>
  <w16cid:commentId w16cid:paraId="5AC86920" w16cid:durableId="225665BC"/>
  <w16cid:commentId w16cid:paraId="1619C7A2" w16cid:durableId="225665BD"/>
  <w16cid:commentId w16cid:paraId="3F2FCC61" w16cid:durableId="225665BE"/>
  <w16cid:commentId w16cid:paraId="214591D1" w16cid:durableId="225665BF"/>
  <w16cid:commentId w16cid:paraId="3CD95BAC" w16cid:durableId="225665C0"/>
  <w16cid:commentId w16cid:paraId="65729127" w16cid:durableId="225665C1"/>
  <w16cid:commentId w16cid:paraId="44CFF65F" w16cid:durableId="225665C2"/>
  <w16cid:commentId w16cid:paraId="2492FD45" w16cid:durableId="22568764"/>
  <w16cid:commentId w16cid:paraId="24E21676" w16cid:durableId="225665C3"/>
  <w16cid:commentId w16cid:paraId="2D84C57F" w16cid:durableId="225665C4"/>
  <w16cid:commentId w16cid:paraId="4075C873" w16cid:durableId="225665C5"/>
  <w16cid:commentId w16cid:paraId="19F63558" w16cid:durableId="225665C6"/>
  <w16cid:commentId w16cid:paraId="02F39D98" w16cid:durableId="2256849E"/>
  <w16cid:commentId w16cid:paraId="38F98286" w16cid:durableId="225665C7"/>
  <w16cid:commentId w16cid:paraId="004D644E" w16cid:durableId="225665C8"/>
  <w16cid:commentId w16cid:paraId="77651E9D" w16cid:durableId="225665C9"/>
  <w16cid:commentId w16cid:paraId="5E29071B" w16cid:durableId="225665CA"/>
  <w16cid:commentId w16cid:paraId="7209BEC5" w16cid:durableId="225665CB"/>
  <w16cid:commentId w16cid:paraId="59FC461C" w16cid:durableId="225665CC"/>
  <w16cid:commentId w16cid:paraId="7834B610" w16cid:durableId="225665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4AE05" w14:textId="77777777" w:rsidR="00261259" w:rsidRDefault="00261259">
      <w:r>
        <w:separator/>
      </w:r>
    </w:p>
  </w:endnote>
  <w:endnote w:type="continuationSeparator" w:id="0">
    <w:p w14:paraId="7C5750AE" w14:textId="77777777" w:rsidR="00261259" w:rsidRDefault="00261259">
      <w:r>
        <w:continuationSeparator/>
      </w:r>
    </w:p>
  </w:endnote>
  <w:endnote w:type="continuationNotice" w:id="1">
    <w:p w14:paraId="0D7BF74A" w14:textId="77777777" w:rsidR="00261259" w:rsidRDefault="00261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ourierNew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9DC5" w14:textId="77777777" w:rsidR="00080E7B" w:rsidRDefault="00080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7794" w14:textId="3FAE6758" w:rsidR="00A6674F" w:rsidRPr="00CC6729" w:rsidRDefault="006E38C9" w:rsidP="00A8585F">
    <w:pPr>
      <w:tabs>
        <w:tab w:val="center" w:pos="4513"/>
        <w:tab w:val="right" w:pos="9026"/>
      </w:tabs>
      <w:rPr>
        <w:sz w:val="20"/>
        <w:szCs w:val="20"/>
      </w:rPr>
    </w:pPr>
    <w:r>
      <w:rPr>
        <w:sz w:val="20"/>
        <w:szCs w:val="20"/>
      </w:rPr>
      <w:t>roprozly10520</w:t>
    </w:r>
    <w:r w:rsidR="00A6674F" w:rsidRPr="00CC6729">
      <w:rPr>
        <w:sz w:val="20"/>
        <w:szCs w:val="20"/>
      </w:rPr>
      <w:tab/>
    </w:r>
    <w:r w:rsidR="00A6674F">
      <w:rPr>
        <w:sz w:val="20"/>
        <w:szCs w:val="20"/>
      </w:rPr>
      <w:tab/>
    </w:r>
    <w:r w:rsidR="00A6674F" w:rsidRPr="00CC6729">
      <w:rPr>
        <w:sz w:val="20"/>
        <w:szCs w:val="20"/>
      </w:rPr>
      <w:fldChar w:fldCharType="begin"/>
    </w:r>
    <w:r w:rsidR="00A6674F" w:rsidRPr="00CC6729">
      <w:rPr>
        <w:sz w:val="20"/>
        <w:szCs w:val="20"/>
      </w:rPr>
      <w:instrText>PAGE</w:instrText>
    </w:r>
    <w:r w:rsidR="00A6674F" w:rsidRPr="00CC6729">
      <w:rPr>
        <w:sz w:val="20"/>
        <w:szCs w:val="20"/>
      </w:rPr>
      <w:fldChar w:fldCharType="separate"/>
    </w:r>
    <w:r w:rsidR="00EC02A5">
      <w:rPr>
        <w:noProof/>
        <w:sz w:val="20"/>
        <w:szCs w:val="20"/>
      </w:rPr>
      <w:t>22</w:t>
    </w:r>
    <w:r w:rsidR="00A6674F" w:rsidRPr="00CC672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B99A" w14:textId="7C978877" w:rsidR="00A6674F" w:rsidRPr="00CC6729" w:rsidRDefault="00A6674F" w:rsidP="00CC6729">
    <w:pPr>
      <w:tabs>
        <w:tab w:val="center" w:pos="4513"/>
        <w:tab w:val="right" w:pos="9026"/>
      </w:tabs>
      <w:rPr>
        <w:sz w:val="20"/>
        <w:szCs w:val="20"/>
      </w:rPr>
    </w:pPr>
    <w:r>
      <w:rPr>
        <w:sz w:val="20"/>
        <w:szCs w:val="20"/>
      </w:rPr>
      <w:t>Tradename 190409</w:t>
    </w:r>
    <w:r w:rsidRPr="00CC6729">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Pr>
        <w:noProof/>
        <w:sz w:val="20"/>
        <w:szCs w:val="20"/>
      </w:rPr>
      <w:t>28</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222D5" w14:textId="77777777" w:rsidR="00261259" w:rsidRDefault="00261259">
      <w:r>
        <w:separator/>
      </w:r>
    </w:p>
  </w:footnote>
  <w:footnote w:type="continuationSeparator" w:id="0">
    <w:p w14:paraId="6E283BCD" w14:textId="77777777" w:rsidR="00261259" w:rsidRDefault="00261259">
      <w:r>
        <w:continuationSeparator/>
      </w:r>
    </w:p>
  </w:footnote>
  <w:footnote w:type="continuationNotice" w:id="1">
    <w:p w14:paraId="2CD45127" w14:textId="77777777" w:rsidR="00261259" w:rsidRDefault="002612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1D6D" w14:textId="77777777" w:rsidR="00080E7B" w:rsidRDefault="00080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D4B5" w14:textId="37A1B69C" w:rsidR="00080E7B" w:rsidRDefault="00080E7B">
    <w:pPr>
      <w:pStyle w:val="Header"/>
    </w:pPr>
  </w:p>
  <w:tbl>
    <w:tblPr>
      <w:tblStyle w:val="TableGrid"/>
      <w:tblW w:w="0" w:type="auto"/>
      <w:tblInd w:w="-113" w:type="dxa"/>
      <w:shd w:val="clear" w:color="auto" w:fill="E4F2E0"/>
      <w:tblLook w:val="04A0" w:firstRow="1" w:lastRow="0" w:firstColumn="1" w:lastColumn="0" w:noHBand="0" w:noVBand="1"/>
    </w:tblPr>
    <w:tblGrid>
      <w:gridCol w:w="8472"/>
    </w:tblGrid>
    <w:tr w:rsidR="00080E7B" w:rsidRPr="000B2145" w14:paraId="7A0EF4CE" w14:textId="77777777" w:rsidTr="000922A7">
      <w:trPr>
        <w:trHeight w:val="590"/>
      </w:trPr>
      <w:tc>
        <w:tcPr>
          <w:tcW w:w="8472" w:type="dxa"/>
          <w:shd w:val="clear" w:color="auto" w:fill="E4F2E0"/>
        </w:tcPr>
        <w:p w14:paraId="15626024" w14:textId="77777777" w:rsidR="00080E7B" w:rsidRPr="000B2145" w:rsidRDefault="00080E7B" w:rsidP="00080E7B">
          <w:pPr>
            <w:pStyle w:val="Footer"/>
            <w:rPr>
              <w:b/>
              <w:sz w:val="18"/>
              <w:szCs w:val="18"/>
            </w:rPr>
          </w:pPr>
          <w:r w:rsidRPr="00EA0C3C">
            <w:rPr>
              <w:b/>
              <w:sz w:val="18"/>
              <w:szCs w:val="18"/>
            </w:rPr>
            <w:t>Attachment 1:</w:t>
          </w:r>
          <w:r>
            <w:t xml:space="preserve"> </w:t>
          </w:r>
          <w:r w:rsidRPr="00B44AE0">
            <w:rPr>
              <w:b/>
            </w:rPr>
            <w:t>AusPAR - ROZLYTREK - entrectinib - Roche Products Pty Ltd - PM-2019-01808-1-4 and PM-2019-01809-1-4</w:t>
          </w:r>
          <w:r>
            <w:rPr>
              <w:b/>
            </w:rPr>
            <w:t xml:space="preserve"> </w:t>
          </w:r>
          <w:r w:rsidRPr="00B44AE0">
            <w:rPr>
              <w:b/>
            </w:rPr>
            <w:t>FINAL 11 December 2020</w:t>
          </w:r>
          <w:r w:rsidRPr="00114D9B">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51E76207" w14:textId="77777777" w:rsidR="00080E7B" w:rsidRDefault="00080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B1E4" w14:textId="77777777" w:rsidR="00A6674F" w:rsidRDefault="00A6674F" w:rsidP="0051323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F656D8"/>
    <w:lvl w:ilvl="0">
      <w:numFmt w:val="bullet"/>
      <w:lvlText w:val="*"/>
      <w:lvlJc w:val="left"/>
      <w:pPr>
        <w:ind w:left="0" w:firstLine="0"/>
      </w:pPr>
    </w:lvl>
  </w:abstractNum>
  <w:abstractNum w:abstractNumId="1"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F5314B"/>
    <w:multiLevelType w:val="hybridMultilevel"/>
    <w:tmpl w:val="701AF32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10B075E9"/>
    <w:multiLevelType w:val="hybridMultilevel"/>
    <w:tmpl w:val="8090B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CB7E62"/>
    <w:multiLevelType w:val="hybridMultilevel"/>
    <w:tmpl w:val="7A1A9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CC53ED"/>
    <w:multiLevelType w:val="hybridMultilevel"/>
    <w:tmpl w:val="AE00B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10371"/>
    <w:multiLevelType w:val="hybridMultilevel"/>
    <w:tmpl w:val="6CC67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D7332"/>
    <w:multiLevelType w:val="hybridMultilevel"/>
    <w:tmpl w:val="2C984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4937AEF"/>
    <w:multiLevelType w:val="hybridMultilevel"/>
    <w:tmpl w:val="065C7262"/>
    <w:lvl w:ilvl="0" w:tplc="343E83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5E12F3"/>
    <w:multiLevelType w:val="hybridMultilevel"/>
    <w:tmpl w:val="42482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803EDC"/>
    <w:multiLevelType w:val="hybridMultilevel"/>
    <w:tmpl w:val="83CE1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3A6FF6"/>
    <w:multiLevelType w:val="hybridMultilevel"/>
    <w:tmpl w:val="0C74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532704"/>
    <w:multiLevelType w:val="hybridMultilevel"/>
    <w:tmpl w:val="8B8E2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414A08"/>
    <w:multiLevelType w:val="hybridMultilevel"/>
    <w:tmpl w:val="A1C6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120E83"/>
    <w:multiLevelType w:val="hybridMultilevel"/>
    <w:tmpl w:val="EC425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2"/>
  </w:num>
  <w:num w:numId="5">
    <w:abstractNumId w:val="9"/>
  </w:num>
  <w:num w:numId="6">
    <w:abstractNumId w:val="3"/>
  </w:num>
  <w:num w:numId="7">
    <w:abstractNumId w:val="7"/>
  </w:num>
  <w:num w:numId="8">
    <w:abstractNumId w:val="0"/>
    <w:lvlOverride w:ilvl="0">
      <w:lvl w:ilvl="0">
        <w:numFmt w:val="bullet"/>
        <w:lvlText w:val="•"/>
        <w:legacy w:legacy="1" w:legacySpace="0" w:legacyIndent="0"/>
        <w:lvlJc w:val="left"/>
        <w:pPr>
          <w:ind w:left="0" w:firstLine="0"/>
        </w:pPr>
        <w:rPr>
          <w:rFonts w:ascii="Times New Roman" w:hAnsi="Times New Roman" w:cs="Times New Roman" w:hint="default"/>
          <w:sz w:val="28"/>
        </w:rPr>
      </w:lvl>
    </w:lvlOverride>
  </w:num>
  <w:num w:numId="9">
    <w:abstractNumId w:val="13"/>
  </w:num>
  <w:num w:numId="10">
    <w:abstractNumId w:val="16"/>
  </w:num>
  <w:num w:numId="11">
    <w:abstractNumId w:val="6"/>
  </w:num>
  <w:num w:numId="12">
    <w:abstractNumId w:val="5"/>
  </w:num>
  <w:num w:numId="13">
    <w:abstractNumId w:val="2"/>
  </w:num>
  <w:num w:numId="14">
    <w:abstractNumId w:val="10"/>
  </w:num>
  <w:num w:numId="15">
    <w:abstractNumId w:val="11"/>
  </w:num>
  <w:num w:numId="16">
    <w:abstractNumId w:val="4"/>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NZ"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it-IT" w:vendorID="64" w:dllVersion="6" w:nlCheck="1" w:checkStyle="0"/>
  <w:activeWritingStyle w:appName="MSWord" w:lang="pt-BR" w:vendorID="64" w:dllVersion="6" w:nlCheck="1" w:checkStyle="0"/>
  <w:activeWritingStyle w:appName="MSWord" w:lang="fr-CH" w:vendorID="64" w:dllVersion="6" w:nlCheck="1" w:checkStyle="0"/>
  <w:activeWritingStyle w:appName="MSWord" w:lang="de-DE"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AU" w:vendorID="64" w:dllVersion="131078" w:nlCheck="1" w:checkStyle="0"/>
  <w:activeWritingStyle w:appName="MSWord" w:lang="en-GB" w:vendorID="64" w:dllVersion="131078" w:nlCheck="1" w:checkStyle="0"/>
  <w:activeWritingStyle w:appName="MSWord" w:lang="en-NZ"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pt-BR" w:vendorID="64" w:dllVersion="131078" w:nlCheck="1" w:checkStyle="0"/>
  <w:activeWritingStyle w:appName="MSWord" w:lang="de-DE" w:vendorID="64" w:dllVersion="131078" w:nlCheck="1" w:checkStyle="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28"/>
    <w:rsid w:val="00000793"/>
    <w:rsid w:val="00003495"/>
    <w:rsid w:val="00004B23"/>
    <w:rsid w:val="00004D1E"/>
    <w:rsid w:val="000071D5"/>
    <w:rsid w:val="00012BBB"/>
    <w:rsid w:val="000164E4"/>
    <w:rsid w:val="0002012E"/>
    <w:rsid w:val="000208BD"/>
    <w:rsid w:val="00025091"/>
    <w:rsid w:val="00031033"/>
    <w:rsid w:val="00045105"/>
    <w:rsid w:val="0004778E"/>
    <w:rsid w:val="000503E4"/>
    <w:rsid w:val="00051D67"/>
    <w:rsid w:val="0005321A"/>
    <w:rsid w:val="00057D0A"/>
    <w:rsid w:val="00070714"/>
    <w:rsid w:val="00080E7B"/>
    <w:rsid w:val="000833D6"/>
    <w:rsid w:val="000A356F"/>
    <w:rsid w:val="000A665B"/>
    <w:rsid w:val="000A7D06"/>
    <w:rsid w:val="000B10A6"/>
    <w:rsid w:val="000C431F"/>
    <w:rsid w:val="000C6046"/>
    <w:rsid w:val="000C682F"/>
    <w:rsid w:val="000C6D73"/>
    <w:rsid w:val="000D0D2A"/>
    <w:rsid w:val="000D3CC9"/>
    <w:rsid w:val="000D3D26"/>
    <w:rsid w:val="000E2E73"/>
    <w:rsid w:val="000E528A"/>
    <w:rsid w:val="000E748B"/>
    <w:rsid w:val="000F19D9"/>
    <w:rsid w:val="000F5293"/>
    <w:rsid w:val="0010644D"/>
    <w:rsid w:val="001068F0"/>
    <w:rsid w:val="00107A76"/>
    <w:rsid w:val="00110DEF"/>
    <w:rsid w:val="00113B49"/>
    <w:rsid w:val="001143ED"/>
    <w:rsid w:val="0012033C"/>
    <w:rsid w:val="001234ED"/>
    <w:rsid w:val="001305E9"/>
    <w:rsid w:val="00131B04"/>
    <w:rsid w:val="00135023"/>
    <w:rsid w:val="001351B3"/>
    <w:rsid w:val="00136F9A"/>
    <w:rsid w:val="00140EA2"/>
    <w:rsid w:val="001412F3"/>
    <w:rsid w:val="00146E6E"/>
    <w:rsid w:val="0014737A"/>
    <w:rsid w:val="00152AFE"/>
    <w:rsid w:val="0015590C"/>
    <w:rsid w:val="00155FBE"/>
    <w:rsid w:val="0015669B"/>
    <w:rsid w:val="00156E0E"/>
    <w:rsid w:val="001575E3"/>
    <w:rsid w:val="00160EF1"/>
    <w:rsid w:val="00164A4C"/>
    <w:rsid w:val="00164DCD"/>
    <w:rsid w:val="00165F08"/>
    <w:rsid w:val="00171801"/>
    <w:rsid w:val="00177498"/>
    <w:rsid w:val="00177D8C"/>
    <w:rsid w:val="00186280"/>
    <w:rsid w:val="00190407"/>
    <w:rsid w:val="0019061D"/>
    <w:rsid w:val="001939D1"/>
    <w:rsid w:val="001A0C8D"/>
    <w:rsid w:val="001B2ED7"/>
    <w:rsid w:val="001B35E5"/>
    <w:rsid w:val="001B3B3D"/>
    <w:rsid w:val="001B45FD"/>
    <w:rsid w:val="001C0D3C"/>
    <w:rsid w:val="001C11CA"/>
    <w:rsid w:val="001C1633"/>
    <w:rsid w:val="001C5C36"/>
    <w:rsid w:val="001C5D9E"/>
    <w:rsid w:val="001D1026"/>
    <w:rsid w:val="001D5B74"/>
    <w:rsid w:val="001D7A10"/>
    <w:rsid w:val="001E2087"/>
    <w:rsid w:val="001E286D"/>
    <w:rsid w:val="001E3CF7"/>
    <w:rsid w:val="001E63F7"/>
    <w:rsid w:val="001E768B"/>
    <w:rsid w:val="001E7ABF"/>
    <w:rsid w:val="001F35C8"/>
    <w:rsid w:val="00203408"/>
    <w:rsid w:val="0020382A"/>
    <w:rsid w:val="00205A38"/>
    <w:rsid w:val="002100B6"/>
    <w:rsid w:val="0021106D"/>
    <w:rsid w:val="00215394"/>
    <w:rsid w:val="00226402"/>
    <w:rsid w:val="00233F9C"/>
    <w:rsid w:val="002342E8"/>
    <w:rsid w:val="0024295F"/>
    <w:rsid w:val="00242E53"/>
    <w:rsid w:val="00243D48"/>
    <w:rsid w:val="00253EC2"/>
    <w:rsid w:val="00254C9E"/>
    <w:rsid w:val="0025742E"/>
    <w:rsid w:val="00261259"/>
    <w:rsid w:val="002612B7"/>
    <w:rsid w:val="00262245"/>
    <w:rsid w:val="00266F5C"/>
    <w:rsid w:val="002671E5"/>
    <w:rsid w:val="0026763F"/>
    <w:rsid w:val="002721AC"/>
    <w:rsid w:val="00272AB3"/>
    <w:rsid w:val="00273525"/>
    <w:rsid w:val="002755C0"/>
    <w:rsid w:val="0028089C"/>
    <w:rsid w:val="002821D9"/>
    <w:rsid w:val="002833D4"/>
    <w:rsid w:val="00283E6A"/>
    <w:rsid w:val="00284EFC"/>
    <w:rsid w:val="00285A04"/>
    <w:rsid w:val="002864CC"/>
    <w:rsid w:val="00287164"/>
    <w:rsid w:val="002909E4"/>
    <w:rsid w:val="00290D07"/>
    <w:rsid w:val="002958F9"/>
    <w:rsid w:val="002A634A"/>
    <w:rsid w:val="002A76FE"/>
    <w:rsid w:val="002B16FF"/>
    <w:rsid w:val="002B63D2"/>
    <w:rsid w:val="002B737D"/>
    <w:rsid w:val="002C20ED"/>
    <w:rsid w:val="002C612F"/>
    <w:rsid w:val="002E0681"/>
    <w:rsid w:val="002E3C95"/>
    <w:rsid w:val="002F022D"/>
    <w:rsid w:val="002F13A1"/>
    <w:rsid w:val="002F3791"/>
    <w:rsid w:val="002F6BBC"/>
    <w:rsid w:val="00300CAB"/>
    <w:rsid w:val="00302709"/>
    <w:rsid w:val="00314ADF"/>
    <w:rsid w:val="00317045"/>
    <w:rsid w:val="00317FC7"/>
    <w:rsid w:val="0033272F"/>
    <w:rsid w:val="00332841"/>
    <w:rsid w:val="00333959"/>
    <w:rsid w:val="003373E6"/>
    <w:rsid w:val="003376E6"/>
    <w:rsid w:val="0034053B"/>
    <w:rsid w:val="00352D4D"/>
    <w:rsid w:val="00353410"/>
    <w:rsid w:val="003546C0"/>
    <w:rsid w:val="00362EF9"/>
    <w:rsid w:val="00363C7F"/>
    <w:rsid w:val="00373830"/>
    <w:rsid w:val="003760C0"/>
    <w:rsid w:val="00381ABD"/>
    <w:rsid w:val="003837C6"/>
    <w:rsid w:val="00396738"/>
    <w:rsid w:val="00397F03"/>
    <w:rsid w:val="003A0278"/>
    <w:rsid w:val="003A5990"/>
    <w:rsid w:val="003A7ED5"/>
    <w:rsid w:val="003B0125"/>
    <w:rsid w:val="003B2CB2"/>
    <w:rsid w:val="003B3F2A"/>
    <w:rsid w:val="003B79B0"/>
    <w:rsid w:val="003C0AE8"/>
    <w:rsid w:val="003C46C2"/>
    <w:rsid w:val="003D4F8E"/>
    <w:rsid w:val="003E16E7"/>
    <w:rsid w:val="003E2DE2"/>
    <w:rsid w:val="003E51CC"/>
    <w:rsid w:val="003E6780"/>
    <w:rsid w:val="003F2DCA"/>
    <w:rsid w:val="003F380E"/>
    <w:rsid w:val="003F4DF6"/>
    <w:rsid w:val="00400FDA"/>
    <w:rsid w:val="00401584"/>
    <w:rsid w:val="00403CB7"/>
    <w:rsid w:val="00405493"/>
    <w:rsid w:val="00405922"/>
    <w:rsid w:val="00405E7C"/>
    <w:rsid w:val="00407592"/>
    <w:rsid w:val="00407719"/>
    <w:rsid w:val="0041012A"/>
    <w:rsid w:val="00417605"/>
    <w:rsid w:val="00422C92"/>
    <w:rsid w:val="00426452"/>
    <w:rsid w:val="00427A80"/>
    <w:rsid w:val="00430F95"/>
    <w:rsid w:val="0043185C"/>
    <w:rsid w:val="0043782D"/>
    <w:rsid w:val="00444A0A"/>
    <w:rsid w:val="004457E8"/>
    <w:rsid w:val="00445A48"/>
    <w:rsid w:val="00447148"/>
    <w:rsid w:val="004513DD"/>
    <w:rsid w:val="00455635"/>
    <w:rsid w:val="00455D01"/>
    <w:rsid w:val="004646D5"/>
    <w:rsid w:val="004667E1"/>
    <w:rsid w:val="004712BE"/>
    <w:rsid w:val="0047219F"/>
    <w:rsid w:val="004723E3"/>
    <w:rsid w:val="00472447"/>
    <w:rsid w:val="00477268"/>
    <w:rsid w:val="00493CFA"/>
    <w:rsid w:val="00495678"/>
    <w:rsid w:val="00496C8F"/>
    <w:rsid w:val="004A3013"/>
    <w:rsid w:val="004A5368"/>
    <w:rsid w:val="004A635B"/>
    <w:rsid w:val="004B715D"/>
    <w:rsid w:val="004C5887"/>
    <w:rsid w:val="004D3785"/>
    <w:rsid w:val="004E0C82"/>
    <w:rsid w:val="004E0DEC"/>
    <w:rsid w:val="004E6240"/>
    <w:rsid w:val="004E62FC"/>
    <w:rsid w:val="004F054B"/>
    <w:rsid w:val="004F133F"/>
    <w:rsid w:val="004F1432"/>
    <w:rsid w:val="004F170B"/>
    <w:rsid w:val="004F3457"/>
    <w:rsid w:val="004F5043"/>
    <w:rsid w:val="00512DDA"/>
    <w:rsid w:val="00513230"/>
    <w:rsid w:val="00516916"/>
    <w:rsid w:val="00517389"/>
    <w:rsid w:val="00517995"/>
    <w:rsid w:val="0052071F"/>
    <w:rsid w:val="00523C68"/>
    <w:rsid w:val="00525566"/>
    <w:rsid w:val="005255F6"/>
    <w:rsid w:val="005257D6"/>
    <w:rsid w:val="00533A9B"/>
    <w:rsid w:val="00534A3E"/>
    <w:rsid w:val="00534EC6"/>
    <w:rsid w:val="00534F16"/>
    <w:rsid w:val="0054032D"/>
    <w:rsid w:val="00547D48"/>
    <w:rsid w:val="00555B47"/>
    <w:rsid w:val="00565802"/>
    <w:rsid w:val="00566453"/>
    <w:rsid w:val="0057058F"/>
    <w:rsid w:val="005722A0"/>
    <w:rsid w:val="0058141F"/>
    <w:rsid w:val="005904B8"/>
    <w:rsid w:val="00594994"/>
    <w:rsid w:val="00594C19"/>
    <w:rsid w:val="00596DF6"/>
    <w:rsid w:val="005A4149"/>
    <w:rsid w:val="005B041B"/>
    <w:rsid w:val="005B0CEA"/>
    <w:rsid w:val="005B114E"/>
    <w:rsid w:val="005B12EE"/>
    <w:rsid w:val="005B2B6D"/>
    <w:rsid w:val="005B688B"/>
    <w:rsid w:val="005C095B"/>
    <w:rsid w:val="005C0D3D"/>
    <w:rsid w:val="005C25C7"/>
    <w:rsid w:val="005C55EB"/>
    <w:rsid w:val="005D73DC"/>
    <w:rsid w:val="005E22FE"/>
    <w:rsid w:val="005F393A"/>
    <w:rsid w:val="00601523"/>
    <w:rsid w:val="0060273C"/>
    <w:rsid w:val="00602F20"/>
    <w:rsid w:val="00604192"/>
    <w:rsid w:val="00605C72"/>
    <w:rsid w:val="006065D9"/>
    <w:rsid w:val="0060719F"/>
    <w:rsid w:val="00615052"/>
    <w:rsid w:val="00617D3E"/>
    <w:rsid w:val="0062200E"/>
    <w:rsid w:val="00624397"/>
    <w:rsid w:val="00627C3B"/>
    <w:rsid w:val="00627F93"/>
    <w:rsid w:val="00631A9B"/>
    <w:rsid w:val="00641A4F"/>
    <w:rsid w:val="006445E9"/>
    <w:rsid w:val="00644D3D"/>
    <w:rsid w:val="0064788A"/>
    <w:rsid w:val="00653378"/>
    <w:rsid w:val="00655571"/>
    <w:rsid w:val="00655C4F"/>
    <w:rsid w:val="00655CEC"/>
    <w:rsid w:val="00656322"/>
    <w:rsid w:val="00656CEB"/>
    <w:rsid w:val="00657085"/>
    <w:rsid w:val="0066036E"/>
    <w:rsid w:val="00661B05"/>
    <w:rsid w:val="006652DB"/>
    <w:rsid w:val="006674CF"/>
    <w:rsid w:val="00674CFD"/>
    <w:rsid w:val="006770B0"/>
    <w:rsid w:val="00685A64"/>
    <w:rsid w:val="00686D45"/>
    <w:rsid w:val="00686F5C"/>
    <w:rsid w:val="006914D5"/>
    <w:rsid w:val="0069205F"/>
    <w:rsid w:val="00696247"/>
    <w:rsid w:val="00697653"/>
    <w:rsid w:val="0069773F"/>
    <w:rsid w:val="006A67E9"/>
    <w:rsid w:val="006B176B"/>
    <w:rsid w:val="006B75A4"/>
    <w:rsid w:val="006C10E9"/>
    <w:rsid w:val="006C29FE"/>
    <w:rsid w:val="006C3D90"/>
    <w:rsid w:val="006C73C2"/>
    <w:rsid w:val="006D2139"/>
    <w:rsid w:val="006E38C9"/>
    <w:rsid w:val="006E5080"/>
    <w:rsid w:val="006E5369"/>
    <w:rsid w:val="006E540B"/>
    <w:rsid w:val="006E6CA9"/>
    <w:rsid w:val="006F052E"/>
    <w:rsid w:val="00700702"/>
    <w:rsid w:val="0070332F"/>
    <w:rsid w:val="00703DF7"/>
    <w:rsid w:val="0071308D"/>
    <w:rsid w:val="007138D4"/>
    <w:rsid w:val="0071744C"/>
    <w:rsid w:val="00725EC2"/>
    <w:rsid w:val="007314F8"/>
    <w:rsid w:val="007416BF"/>
    <w:rsid w:val="007419BE"/>
    <w:rsid w:val="0074344F"/>
    <w:rsid w:val="00743785"/>
    <w:rsid w:val="00755B26"/>
    <w:rsid w:val="00761489"/>
    <w:rsid w:val="00762A65"/>
    <w:rsid w:val="00763CD1"/>
    <w:rsid w:val="00763E70"/>
    <w:rsid w:val="007650C1"/>
    <w:rsid w:val="007668CC"/>
    <w:rsid w:val="00770295"/>
    <w:rsid w:val="00771A86"/>
    <w:rsid w:val="00777D04"/>
    <w:rsid w:val="007921B2"/>
    <w:rsid w:val="0079442A"/>
    <w:rsid w:val="00794622"/>
    <w:rsid w:val="007A2A31"/>
    <w:rsid w:val="007C1DB6"/>
    <w:rsid w:val="007D0C9D"/>
    <w:rsid w:val="007D0DAF"/>
    <w:rsid w:val="007D3C82"/>
    <w:rsid w:val="007D43E2"/>
    <w:rsid w:val="007D4F22"/>
    <w:rsid w:val="007E0D5C"/>
    <w:rsid w:val="007E5CBC"/>
    <w:rsid w:val="007E7070"/>
    <w:rsid w:val="007F2714"/>
    <w:rsid w:val="007F2C5B"/>
    <w:rsid w:val="007F3D0C"/>
    <w:rsid w:val="007F41A6"/>
    <w:rsid w:val="00804B20"/>
    <w:rsid w:val="00811FEA"/>
    <w:rsid w:val="00813741"/>
    <w:rsid w:val="00816274"/>
    <w:rsid w:val="00821B74"/>
    <w:rsid w:val="00824257"/>
    <w:rsid w:val="00824B28"/>
    <w:rsid w:val="008256E7"/>
    <w:rsid w:val="0083008D"/>
    <w:rsid w:val="00833273"/>
    <w:rsid w:val="00834C48"/>
    <w:rsid w:val="00843379"/>
    <w:rsid w:val="008435C8"/>
    <w:rsid w:val="00845BF3"/>
    <w:rsid w:val="00847480"/>
    <w:rsid w:val="008545B5"/>
    <w:rsid w:val="00862065"/>
    <w:rsid w:val="00862849"/>
    <w:rsid w:val="00863147"/>
    <w:rsid w:val="0086361F"/>
    <w:rsid w:val="008729B1"/>
    <w:rsid w:val="0087549F"/>
    <w:rsid w:val="0087653F"/>
    <w:rsid w:val="00877638"/>
    <w:rsid w:val="00881BE8"/>
    <w:rsid w:val="00882E7B"/>
    <w:rsid w:val="008850BD"/>
    <w:rsid w:val="0088688B"/>
    <w:rsid w:val="008903F2"/>
    <w:rsid w:val="008955B6"/>
    <w:rsid w:val="008B06EE"/>
    <w:rsid w:val="008B16F1"/>
    <w:rsid w:val="008B24C7"/>
    <w:rsid w:val="008B3CF0"/>
    <w:rsid w:val="008C0364"/>
    <w:rsid w:val="008C3AC7"/>
    <w:rsid w:val="008C3CB0"/>
    <w:rsid w:val="008C64F6"/>
    <w:rsid w:val="008D11C1"/>
    <w:rsid w:val="008E0232"/>
    <w:rsid w:val="008E26BA"/>
    <w:rsid w:val="008E308D"/>
    <w:rsid w:val="008E3827"/>
    <w:rsid w:val="008E4554"/>
    <w:rsid w:val="008E65FD"/>
    <w:rsid w:val="008E7626"/>
    <w:rsid w:val="008F2C63"/>
    <w:rsid w:val="008F3947"/>
    <w:rsid w:val="008F6E61"/>
    <w:rsid w:val="00901F42"/>
    <w:rsid w:val="00902EBE"/>
    <w:rsid w:val="009071B4"/>
    <w:rsid w:val="009079E1"/>
    <w:rsid w:val="00910954"/>
    <w:rsid w:val="009150C5"/>
    <w:rsid w:val="00917E84"/>
    <w:rsid w:val="009201F1"/>
    <w:rsid w:val="00926059"/>
    <w:rsid w:val="00927415"/>
    <w:rsid w:val="0092783F"/>
    <w:rsid w:val="00927AF8"/>
    <w:rsid w:val="00933325"/>
    <w:rsid w:val="00936B74"/>
    <w:rsid w:val="0094687D"/>
    <w:rsid w:val="00950158"/>
    <w:rsid w:val="00954328"/>
    <w:rsid w:val="009564A9"/>
    <w:rsid w:val="009660EA"/>
    <w:rsid w:val="00966254"/>
    <w:rsid w:val="009751AF"/>
    <w:rsid w:val="0098503C"/>
    <w:rsid w:val="0098746D"/>
    <w:rsid w:val="00991DF7"/>
    <w:rsid w:val="00992881"/>
    <w:rsid w:val="00993C3B"/>
    <w:rsid w:val="00993CC0"/>
    <w:rsid w:val="00993E29"/>
    <w:rsid w:val="00996702"/>
    <w:rsid w:val="009A1D01"/>
    <w:rsid w:val="009B2210"/>
    <w:rsid w:val="009B3628"/>
    <w:rsid w:val="009B43E0"/>
    <w:rsid w:val="009B518F"/>
    <w:rsid w:val="009B57CA"/>
    <w:rsid w:val="009C001F"/>
    <w:rsid w:val="009C1BE1"/>
    <w:rsid w:val="009C2C90"/>
    <w:rsid w:val="009C62D2"/>
    <w:rsid w:val="009D03D1"/>
    <w:rsid w:val="009D4E47"/>
    <w:rsid w:val="009E19F7"/>
    <w:rsid w:val="009E6BAA"/>
    <w:rsid w:val="009E71BD"/>
    <w:rsid w:val="009F4C5B"/>
    <w:rsid w:val="00A0118A"/>
    <w:rsid w:val="00A014AD"/>
    <w:rsid w:val="00A01A89"/>
    <w:rsid w:val="00A046AF"/>
    <w:rsid w:val="00A13137"/>
    <w:rsid w:val="00A14EE9"/>
    <w:rsid w:val="00A250F4"/>
    <w:rsid w:val="00A2726C"/>
    <w:rsid w:val="00A31C4C"/>
    <w:rsid w:val="00A3559E"/>
    <w:rsid w:val="00A3616E"/>
    <w:rsid w:val="00A44B26"/>
    <w:rsid w:val="00A50379"/>
    <w:rsid w:val="00A536D4"/>
    <w:rsid w:val="00A549B7"/>
    <w:rsid w:val="00A57301"/>
    <w:rsid w:val="00A62A68"/>
    <w:rsid w:val="00A634F1"/>
    <w:rsid w:val="00A64A96"/>
    <w:rsid w:val="00A65431"/>
    <w:rsid w:val="00A6674F"/>
    <w:rsid w:val="00A8585F"/>
    <w:rsid w:val="00A86AB0"/>
    <w:rsid w:val="00A93EC1"/>
    <w:rsid w:val="00A94FB7"/>
    <w:rsid w:val="00AA7BC6"/>
    <w:rsid w:val="00AB4052"/>
    <w:rsid w:val="00AC07F2"/>
    <w:rsid w:val="00AC22FD"/>
    <w:rsid w:val="00AC2A73"/>
    <w:rsid w:val="00AC3ECB"/>
    <w:rsid w:val="00AD0FA8"/>
    <w:rsid w:val="00AD184D"/>
    <w:rsid w:val="00AD781C"/>
    <w:rsid w:val="00AD7CB2"/>
    <w:rsid w:val="00AE42DA"/>
    <w:rsid w:val="00AF1544"/>
    <w:rsid w:val="00B0169F"/>
    <w:rsid w:val="00B0366A"/>
    <w:rsid w:val="00B0376D"/>
    <w:rsid w:val="00B10D24"/>
    <w:rsid w:val="00B1134D"/>
    <w:rsid w:val="00B1136D"/>
    <w:rsid w:val="00B11A2B"/>
    <w:rsid w:val="00B1498F"/>
    <w:rsid w:val="00B22DE4"/>
    <w:rsid w:val="00B2399E"/>
    <w:rsid w:val="00B301A0"/>
    <w:rsid w:val="00B361E5"/>
    <w:rsid w:val="00B43CB6"/>
    <w:rsid w:val="00B448D7"/>
    <w:rsid w:val="00B5282B"/>
    <w:rsid w:val="00B52BB4"/>
    <w:rsid w:val="00B52C4F"/>
    <w:rsid w:val="00B52D7C"/>
    <w:rsid w:val="00B5511A"/>
    <w:rsid w:val="00B660C2"/>
    <w:rsid w:val="00B67877"/>
    <w:rsid w:val="00B67F35"/>
    <w:rsid w:val="00B72E62"/>
    <w:rsid w:val="00B730F7"/>
    <w:rsid w:val="00B7448C"/>
    <w:rsid w:val="00B758E7"/>
    <w:rsid w:val="00B810F2"/>
    <w:rsid w:val="00B818DF"/>
    <w:rsid w:val="00B92E5D"/>
    <w:rsid w:val="00B94202"/>
    <w:rsid w:val="00B9754E"/>
    <w:rsid w:val="00BA0878"/>
    <w:rsid w:val="00BB0EFE"/>
    <w:rsid w:val="00BB2798"/>
    <w:rsid w:val="00BB680F"/>
    <w:rsid w:val="00BC08B2"/>
    <w:rsid w:val="00BC164C"/>
    <w:rsid w:val="00BC2A4F"/>
    <w:rsid w:val="00BC2DDD"/>
    <w:rsid w:val="00BC39CF"/>
    <w:rsid w:val="00BC564B"/>
    <w:rsid w:val="00BC7CF8"/>
    <w:rsid w:val="00BC7F15"/>
    <w:rsid w:val="00BD3575"/>
    <w:rsid w:val="00BD399F"/>
    <w:rsid w:val="00BD49DE"/>
    <w:rsid w:val="00BD4AE1"/>
    <w:rsid w:val="00BD7B16"/>
    <w:rsid w:val="00BE222C"/>
    <w:rsid w:val="00BF2579"/>
    <w:rsid w:val="00BF4381"/>
    <w:rsid w:val="00BF4A60"/>
    <w:rsid w:val="00C1055E"/>
    <w:rsid w:val="00C114D0"/>
    <w:rsid w:val="00C22029"/>
    <w:rsid w:val="00C22178"/>
    <w:rsid w:val="00C44561"/>
    <w:rsid w:val="00C47CC0"/>
    <w:rsid w:val="00C50C32"/>
    <w:rsid w:val="00C5158F"/>
    <w:rsid w:val="00C568D3"/>
    <w:rsid w:val="00C57569"/>
    <w:rsid w:val="00C61211"/>
    <w:rsid w:val="00C64234"/>
    <w:rsid w:val="00C72038"/>
    <w:rsid w:val="00C80724"/>
    <w:rsid w:val="00C844B6"/>
    <w:rsid w:val="00C84C5B"/>
    <w:rsid w:val="00C92DFA"/>
    <w:rsid w:val="00C93126"/>
    <w:rsid w:val="00C95EFE"/>
    <w:rsid w:val="00C97612"/>
    <w:rsid w:val="00CA25C1"/>
    <w:rsid w:val="00CA29A7"/>
    <w:rsid w:val="00CA603C"/>
    <w:rsid w:val="00CB1F4C"/>
    <w:rsid w:val="00CB6D43"/>
    <w:rsid w:val="00CC2A83"/>
    <w:rsid w:val="00CC362A"/>
    <w:rsid w:val="00CC6729"/>
    <w:rsid w:val="00CD0BF9"/>
    <w:rsid w:val="00CE070A"/>
    <w:rsid w:val="00CE4668"/>
    <w:rsid w:val="00CE71C4"/>
    <w:rsid w:val="00CF1AAF"/>
    <w:rsid w:val="00CF1EA9"/>
    <w:rsid w:val="00CF29F0"/>
    <w:rsid w:val="00CF3BFF"/>
    <w:rsid w:val="00CF51E8"/>
    <w:rsid w:val="00D00285"/>
    <w:rsid w:val="00D055FF"/>
    <w:rsid w:val="00D05A96"/>
    <w:rsid w:val="00D1182D"/>
    <w:rsid w:val="00D128EC"/>
    <w:rsid w:val="00D141D2"/>
    <w:rsid w:val="00D17083"/>
    <w:rsid w:val="00D213DB"/>
    <w:rsid w:val="00D24451"/>
    <w:rsid w:val="00D320F1"/>
    <w:rsid w:val="00D3450F"/>
    <w:rsid w:val="00D360CB"/>
    <w:rsid w:val="00D377D0"/>
    <w:rsid w:val="00D41355"/>
    <w:rsid w:val="00D45C6D"/>
    <w:rsid w:val="00D47772"/>
    <w:rsid w:val="00D5048D"/>
    <w:rsid w:val="00D50E35"/>
    <w:rsid w:val="00D51AAF"/>
    <w:rsid w:val="00D52399"/>
    <w:rsid w:val="00D55483"/>
    <w:rsid w:val="00D56265"/>
    <w:rsid w:val="00D71952"/>
    <w:rsid w:val="00D71A8B"/>
    <w:rsid w:val="00D73A85"/>
    <w:rsid w:val="00D77483"/>
    <w:rsid w:val="00D901E7"/>
    <w:rsid w:val="00D905CE"/>
    <w:rsid w:val="00D9150A"/>
    <w:rsid w:val="00D929C6"/>
    <w:rsid w:val="00D95438"/>
    <w:rsid w:val="00D972A5"/>
    <w:rsid w:val="00D9734E"/>
    <w:rsid w:val="00D97FAA"/>
    <w:rsid w:val="00DA195A"/>
    <w:rsid w:val="00DA348C"/>
    <w:rsid w:val="00DA3881"/>
    <w:rsid w:val="00DA455B"/>
    <w:rsid w:val="00DA4AC2"/>
    <w:rsid w:val="00DB03D0"/>
    <w:rsid w:val="00DB043B"/>
    <w:rsid w:val="00DB0D33"/>
    <w:rsid w:val="00DB64D9"/>
    <w:rsid w:val="00DB7BBC"/>
    <w:rsid w:val="00DD00E1"/>
    <w:rsid w:val="00DD09DF"/>
    <w:rsid w:val="00DD2D68"/>
    <w:rsid w:val="00DD3F4E"/>
    <w:rsid w:val="00DD4F8D"/>
    <w:rsid w:val="00DE1F37"/>
    <w:rsid w:val="00DE4B74"/>
    <w:rsid w:val="00DF2568"/>
    <w:rsid w:val="00E031E6"/>
    <w:rsid w:val="00E053C7"/>
    <w:rsid w:val="00E10C7A"/>
    <w:rsid w:val="00E128D5"/>
    <w:rsid w:val="00E14D40"/>
    <w:rsid w:val="00E16CB8"/>
    <w:rsid w:val="00E21A56"/>
    <w:rsid w:val="00E21CCD"/>
    <w:rsid w:val="00E223AF"/>
    <w:rsid w:val="00E22711"/>
    <w:rsid w:val="00E238B5"/>
    <w:rsid w:val="00E24B69"/>
    <w:rsid w:val="00E428C9"/>
    <w:rsid w:val="00E514AD"/>
    <w:rsid w:val="00E520D8"/>
    <w:rsid w:val="00E52327"/>
    <w:rsid w:val="00E52764"/>
    <w:rsid w:val="00E53B95"/>
    <w:rsid w:val="00E5421C"/>
    <w:rsid w:val="00E55A79"/>
    <w:rsid w:val="00E60D48"/>
    <w:rsid w:val="00E611DE"/>
    <w:rsid w:val="00E66DEE"/>
    <w:rsid w:val="00E675C6"/>
    <w:rsid w:val="00E71407"/>
    <w:rsid w:val="00E7242E"/>
    <w:rsid w:val="00E72E28"/>
    <w:rsid w:val="00E76905"/>
    <w:rsid w:val="00E76E30"/>
    <w:rsid w:val="00E8439C"/>
    <w:rsid w:val="00E91743"/>
    <w:rsid w:val="00EA7AF5"/>
    <w:rsid w:val="00EB0371"/>
    <w:rsid w:val="00EB24A8"/>
    <w:rsid w:val="00EB2520"/>
    <w:rsid w:val="00EB5B30"/>
    <w:rsid w:val="00EB68F7"/>
    <w:rsid w:val="00EC02A5"/>
    <w:rsid w:val="00EC3728"/>
    <w:rsid w:val="00EC67A8"/>
    <w:rsid w:val="00EC758D"/>
    <w:rsid w:val="00ED3D8A"/>
    <w:rsid w:val="00EE5CB5"/>
    <w:rsid w:val="00EE68DC"/>
    <w:rsid w:val="00EE6FA5"/>
    <w:rsid w:val="00EE7129"/>
    <w:rsid w:val="00EF5AD2"/>
    <w:rsid w:val="00F10B76"/>
    <w:rsid w:val="00F11113"/>
    <w:rsid w:val="00F20AB4"/>
    <w:rsid w:val="00F21A2A"/>
    <w:rsid w:val="00F22D2C"/>
    <w:rsid w:val="00F24B1B"/>
    <w:rsid w:val="00F257D9"/>
    <w:rsid w:val="00F3210D"/>
    <w:rsid w:val="00F47588"/>
    <w:rsid w:val="00F477E2"/>
    <w:rsid w:val="00F5220C"/>
    <w:rsid w:val="00F531A1"/>
    <w:rsid w:val="00F53EA5"/>
    <w:rsid w:val="00F55A05"/>
    <w:rsid w:val="00F618B5"/>
    <w:rsid w:val="00F63043"/>
    <w:rsid w:val="00F662C5"/>
    <w:rsid w:val="00F74A45"/>
    <w:rsid w:val="00F75821"/>
    <w:rsid w:val="00F75D04"/>
    <w:rsid w:val="00F77E13"/>
    <w:rsid w:val="00F82472"/>
    <w:rsid w:val="00F8387C"/>
    <w:rsid w:val="00F84D72"/>
    <w:rsid w:val="00F90954"/>
    <w:rsid w:val="00F93275"/>
    <w:rsid w:val="00FA18EC"/>
    <w:rsid w:val="00FA4C88"/>
    <w:rsid w:val="00FA5F11"/>
    <w:rsid w:val="00FB0F95"/>
    <w:rsid w:val="00FB53F7"/>
    <w:rsid w:val="00FC2E43"/>
    <w:rsid w:val="00FC42DD"/>
    <w:rsid w:val="00FD3663"/>
    <w:rsid w:val="00FD4D5A"/>
    <w:rsid w:val="00FD61FA"/>
    <w:rsid w:val="00FF07EF"/>
    <w:rsid w:val="00FF16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BDD734"/>
  <w15:docId w15:val="{77B0F270-D390-437A-8E9F-5DB8709D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321A"/>
    <w:pPr>
      <w:jc w:val="both"/>
    </w:pPr>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aliases w:val="Header Table"/>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B7BBC"/>
    <w:pPr>
      <w:spacing w:after="200"/>
    </w:pPr>
    <w:rPr>
      <w:iCs/>
      <w:color w:val="auto"/>
      <w:sz w:val="22"/>
      <w:szCs w:val="18"/>
    </w:rPr>
  </w:style>
  <w:style w:type="character" w:styleId="CommentReference">
    <w:name w:val="annotation reference"/>
    <w:basedOn w:val="DefaultParagraphFont"/>
    <w:uiPriority w:val="99"/>
    <w:unhideWhenUsed/>
    <w:rsid w:val="00C97612"/>
    <w:rPr>
      <w:sz w:val="16"/>
      <w:szCs w:val="16"/>
    </w:rPr>
  </w:style>
  <w:style w:type="paragraph" w:styleId="CommentText">
    <w:name w:val="annotation text"/>
    <w:basedOn w:val="Normal"/>
    <w:link w:val="CommentTextChar"/>
    <w:uiPriority w:val="99"/>
    <w:unhideWhenUsed/>
    <w:rsid w:val="00C97612"/>
    <w:rPr>
      <w:sz w:val="20"/>
      <w:szCs w:val="20"/>
    </w:rPr>
  </w:style>
  <w:style w:type="character" w:customStyle="1" w:styleId="CommentTextChar">
    <w:name w:val="Comment Text Char"/>
    <w:basedOn w:val="DefaultParagraphFont"/>
    <w:link w:val="CommentText"/>
    <w:uiPriority w:val="99"/>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Paragraph">
    <w:name w:val="Paragraph"/>
    <w:basedOn w:val="Normal"/>
    <w:link w:val="ParagraphChar"/>
    <w:qFormat/>
    <w:rsid w:val="0005321A"/>
    <w:pPr>
      <w:pBdr>
        <w:top w:val="none" w:sz="0" w:space="0" w:color="auto"/>
        <w:left w:val="none" w:sz="0" w:space="0" w:color="auto"/>
        <w:bottom w:val="none" w:sz="0" w:space="0" w:color="auto"/>
        <w:right w:val="none" w:sz="0" w:space="0" w:color="auto"/>
        <w:between w:val="none" w:sz="0" w:space="0" w:color="auto"/>
      </w:pBdr>
      <w:spacing w:after="250" w:line="300" w:lineRule="atLeast"/>
    </w:pPr>
    <w:rPr>
      <w:rFonts w:ascii="Arial" w:eastAsia="SimSun" w:hAnsi="Arial"/>
      <w:color w:val="auto"/>
      <w:sz w:val="22"/>
      <w:lang w:val="en-US" w:eastAsia="en-US"/>
    </w:rPr>
  </w:style>
  <w:style w:type="character" w:customStyle="1" w:styleId="ParagraphChar">
    <w:name w:val="Paragraph Char"/>
    <w:link w:val="Paragraph"/>
    <w:rsid w:val="0005321A"/>
    <w:rPr>
      <w:rFonts w:ascii="Arial" w:eastAsia="SimSun" w:hAnsi="Arial"/>
      <w:color w:val="auto"/>
      <w:sz w:val="22"/>
      <w:lang w:val="en-US" w:eastAsia="en-US"/>
    </w:rPr>
  </w:style>
  <w:style w:type="paragraph" w:styleId="NormalWeb">
    <w:name w:val="Normal (Web)"/>
    <w:basedOn w:val="Normal"/>
    <w:uiPriority w:val="99"/>
    <w:unhideWhenUsed/>
    <w:rsid w:val="0071744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lang w:val="en-GB" w:eastAsia="en-US"/>
    </w:rPr>
  </w:style>
  <w:style w:type="paragraph" w:customStyle="1" w:styleId="TableCell10Center">
    <w:name w:val="Table Cell 10 Center"/>
    <w:basedOn w:val="TableCell10Left"/>
    <w:link w:val="TableCell10CenterChar"/>
    <w:rsid w:val="00417605"/>
    <w:pPr>
      <w:jc w:val="center"/>
    </w:pPr>
  </w:style>
  <w:style w:type="paragraph" w:customStyle="1" w:styleId="TableCell10Left">
    <w:name w:val="Table Cell 10 Left"/>
    <w:basedOn w:val="Normal"/>
    <w:link w:val="TableCell10LeftChar"/>
    <w:rsid w:val="00417605"/>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jc w:val="left"/>
    </w:pPr>
    <w:rPr>
      <w:rFonts w:ascii="Arial" w:eastAsia="SimSun" w:hAnsi="Arial"/>
      <w:color w:val="auto"/>
      <w:sz w:val="20"/>
      <w:lang w:val="en-US" w:eastAsia="en-US"/>
    </w:rPr>
  </w:style>
  <w:style w:type="character" w:customStyle="1" w:styleId="TableCell10LeftChar">
    <w:name w:val="Table Cell 10 Left Char"/>
    <w:link w:val="TableCell10Left"/>
    <w:rsid w:val="00417605"/>
    <w:rPr>
      <w:rFonts w:ascii="Arial" w:eastAsia="SimSun" w:hAnsi="Arial"/>
      <w:color w:val="auto"/>
      <w:sz w:val="20"/>
      <w:lang w:val="en-US" w:eastAsia="en-US"/>
    </w:rPr>
  </w:style>
  <w:style w:type="character" w:customStyle="1" w:styleId="TableCell10CenterChar">
    <w:name w:val="Table Cell 10 Center Char"/>
    <w:link w:val="TableCell10Center"/>
    <w:rsid w:val="00417605"/>
    <w:rPr>
      <w:rFonts w:ascii="Arial" w:eastAsia="SimSun" w:hAnsi="Arial"/>
      <w:color w:val="auto"/>
      <w:sz w:val="20"/>
      <w:lang w:val="en-US" w:eastAsia="en-US"/>
    </w:rPr>
  </w:style>
  <w:style w:type="paragraph" w:customStyle="1" w:styleId="TabFigFooter">
    <w:name w:val="TabFig Footer"/>
    <w:basedOn w:val="Normal"/>
    <w:link w:val="TabFigFooterChar"/>
    <w:rsid w:val="00417605"/>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45" w:hanging="216"/>
      <w:jc w:val="left"/>
    </w:pPr>
    <w:rPr>
      <w:rFonts w:ascii="Arial" w:eastAsia="SimSun" w:hAnsi="Arial"/>
      <w:color w:val="auto"/>
      <w:sz w:val="20"/>
      <w:lang w:val="en-US" w:eastAsia="en-US"/>
    </w:rPr>
  </w:style>
  <w:style w:type="character" w:customStyle="1" w:styleId="TabFigFooterChar">
    <w:name w:val="TabFig Footer Char"/>
    <w:link w:val="TabFigFooter"/>
    <w:locked/>
    <w:rsid w:val="00417605"/>
    <w:rPr>
      <w:rFonts w:ascii="Arial" w:eastAsia="SimSun" w:hAnsi="Arial"/>
      <w:color w:val="auto"/>
      <w:sz w:val="20"/>
      <w:lang w:val="en-US" w:eastAsia="en-US"/>
    </w:rPr>
  </w:style>
  <w:style w:type="paragraph" w:customStyle="1" w:styleId="Normale1">
    <w:name w:val="Normale1"/>
    <w:hidden/>
    <w:semiHidden/>
    <w:rsid w:val="00004D1E"/>
    <w:pPr>
      <w:pBdr>
        <w:top w:val="none" w:sz="0" w:space="0" w:color="auto"/>
        <w:left w:val="none" w:sz="0" w:space="0" w:color="auto"/>
        <w:bottom w:val="none" w:sz="0" w:space="0" w:color="auto"/>
        <w:right w:val="none" w:sz="0" w:space="0" w:color="auto"/>
        <w:between w:val="none" w:sz="0" w:space="0" w:color="auto"/>
      </w:pBdr>
    </w:pPr>
    <w:rPr>
      <w:color w:val="auto"/>
      <w:sz w:val="22"/>
      <w:szCs w:val="20"/>
      <w:lang w:val="en-US" w:eastAsia="ja-JP"/>
    </w:rPr>
  </w:style>
  <w:style w:type="paragraph" w:customStyle="1" w:styleId="Heading2NoNum">
    <w:name w:val="Heading 2 NoNum"/>
    <w:basedOn w:val="Normal"/>
    <w:next w:val="Paragraph"/>
    <w:rsid w:val="0087653F"/>
    <w:pPr>
      <w:keepNext/>
      <w:pBdr>
        <w:top w:val="none" w:sz="0" w:space="0" w:color="auto"/>
        <w:left w:val="none" w:sz="0" w:space="0" w:color="auto"/>
        <w:bottom w:val="none" w:sz="0" w:space="0" w:color="auto"/>
        <w:right w:val="none" w:sz="0" w:space="0" w:color="auto"/>
        <w:between w:val="none" w:sz="0" w:space="0" w:color="auto"/>
      </w:pBdr>
      <w:spacing w:line="260" w:lineRule="exact"/>
      <w:jc w:val="left"/>
      <w:outlineLvl w:val="1"/>
    </w:pPr>
    <w:rPr>
      <w:rFonts w:ascii="Arial" w:eastAsia="SimSun" w:hAnsi="Arial"/>
      <w:b/>
      <w:caps/>
      <w:color w:val="auto"/>
      <w:lang w:val="en-US" w:eastAsia="zh-CN"/>
    </w:rPr>
  </w:style>
  <w:style w:type="paragraph" w:customStyle="1" w:styleId="CNFigureTitle">
    <w:name w:val="CN Figure Title"/>
    <w:basedOn w:val="Normal"/>
    <w:next w:val="Paragraph"/>
    <w:rsid w:val="000D3CC9"/>
    <w:pPr>
      <w:keepNext/>
      <w:keepLines/>
      <w:pBdr>
        <w:top w:val="none" w:sz="0" w:space="0" w:color="auto"/>
        <w:left w:val="none" w:sz="0" w:space="0" w:color="auto"/>
        <w:bottom w:val="none" w:sz="0" w:space="0" w:color="auto"/>
        <w:right w:val="none" w:sz="0" w:space="0" w:color="auto"/>
        <w:between w:val="none" w:sz="0" w:space="0" w:color="auto"/>
      </w:pBdr>
      <w:tabs>
        <w:tab w:val="left" w:pos="2520"/>
      </w:tabs>
      <w:spacing w:before="40" w:after="160" w:line="280" w:lineRule="exact"/>
      <w:ind w:left="2520" w:hanging="2520"/>
      <w:jc w:val="left"/>
    </w:pPr>
    <w:rPr>
      <w:rFonts w:ascii="Arial" w:eastAsia="SimSun" w:hAnsi="Arial"/>
      <w:b/>
      <w:color w:val="auto"/>
      <w:lang w:val="en-US" w:eastAsia="zh-CN"/>
    </w:rPr>
  </w:style>
  <w:style w:type="paragraph" w:styleId="Revision">
    <w:name w:val="Revision"/>
    <w:hidden/>
    <w:uiPriority w:val="99"/>
    <w:semiHidden/>
    <w:rsid w:val="008C0364"/>
    <w:pPr>
      <w:pBdr>
        <w:top w:val="none" w:sz="0" w:space="0" w:color="auto"/>
        <w:left w:val="none" w:sz="0" w:space="0" w:color="auto"/>
        <w:bottom w:val="none" w:sz="0" w:space="0" w:color="auto"/>
        <w:right w:val="none" w:sz="0" w:space="0" w:color="auto"/>
        <w:between w:val="none" w:sz="0" w:space="0" w:color="auto"/>
      </w:pBdr>
    </w:pPr>
  </w:style>
  <w:style w:type="paragraph" w:customStyle="1" w:styleId="TableParagraph">
    <w:name w:val="Table Paragraph"/>
    <w:basedOn w:val="Normal"/>
    <w:uiPriority w:val="1"/>
    <w:qFormat/>
    <w:rsid w:val="00604192"/>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left"/>
    </w:pPr>
    <w:rPr>
      <w:rFonts w:ascii="Calibri" w:eastAsia="Calibri" w:hAnsi="Calibri" w:cs="Calibri"/>
      <w:color w:val="auto"/>
      <w:sz w:val="22"/>
      <w:szCs w:val="22"/>
      <w:lang w:val="en-US" w:eastAsia="en-US"/>
    </w:rPr>
  </w:style>
  <w:style w:type="table" w:customStyle="1" w:styleId="HeaderTable1">
    <w:name w:val="Header Table1"/>
    <w:basedOn w:val="TableNormal"/>
    <w:next w:val="TableGrid"/>
    <w:uiPriority w:val="59"/>
    <w:rsid w:val="00CE71C4"/>
    <w:pPr>
      <w:pBdr>
        <w:top w:val="none" w:sz="0" w:space="0" w:color="auto"/>
        <w:left w:val="none" w:sz="0" w:space="0" w:color="auto"/>
        <w:bottom w:val="none" w:sz="0" w:space="0" w:color="auto"/>
        <w:right w:val="none" w:sz="0" w:space="0" w:color="auto"/>
        <w:between w:val="none" w:sz="0" w:space="0" w:color="auto"/>
      </w:pBdr>
    </w:pPr>
    <w:rPr>
      <w:rFonts w:eastAsia="SimSun"/>
      <w:color w:val="auto"/>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59"/>
    <w:rsid w:val="00CE71C4"/>
    <w:pPr>
      <w:pBdr>
        <w:top w:val="none" w:sz="0" w:space="0" w:color="auto"/>
        <w:left w:val="none" w:sz="0" w:space="0" w:color="auto"/>
        <w:bottom w:val="none" w:sz="0" w:space="0" w:color="auto"/>
        <w:right w:val="none" w:sz="0" w:space="0" w:color="auto"/>
        <w:between w:val="none" w:sz="0" w:space="0" w:color="auto"/>
      </w:pBdr>
    </w:pPr>
    <w:rPr>
      <w:rFonts w:eastAsia="SimSun"/>
      <w:color w:val="auto"/>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19FA85782654BA0F79379A96756FB" ma:contentTypeVersion="8" ma:contentTypeDescription="Create a new document." ma:contentTypeScope="" ma:versionID="2f5379a956d8fb60199ee1dbb41425d6">
  <xsd:schema xmlns:xsd="http://www.w3.org/2001/XMLSchema" xmlns:xs="http://www.w3.org/2001/XMLSchema" xmlns:p="http://schemas.microsoft.com/office/2006/metadata/properties" xmlns:ns1="http://schemas.microsoft.com/sharepoint/v3" xmlns:ns2="b8e2d2b0-0da5-4cff-a21b-e325c475327b" xmlns:ns3="f191ad30-9ade-4f0c-b78e-cf30469879ae" xmlns:ns4="http://schemas.microsoft.com/sharepoint/v4" targetNamespace="http://schemas.microsoft.com/office/2006/metadata/properties" ma:root="true" ma:fieldsID="f8a4b12d3c5149d2676439407b2fff34" ns1:_="" ns2:_="" ns3:_="" ns4:_="">
    <xsd:import namespace="http://schemas.microsoft.com/sharepoint/v3"/>
    <xsd:import namespace="b8e2d2b0-0da5-4cff-a21b-e325c475327b"/>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dlc_ExpireDateSaved" minOccurs="0"/>
                <xsd:element ref="ns1:_dlc_ExpireDate" minOccurs="0"/>
                <xsd:element ref="ns1:_dlc_Exempt" minOccurs="0"/>
                <xsd:element ref="ns1:_vti_ItemDeclaredRec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e2d2b0-0da5-4cff-a21b-e325c475327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cd701ff3-6d0c-4526-af10-e1a95141643d}" ma:internalName="TaxCatchAll" ma:showField="CatchAllData" ma:web="b8e2d2b0-0da5-4cff-a21b-e325c47532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2030-12-01T05:00:00+00:00</_dlc_ExpireDate>
    <TaxCatchAll xmlns="f191ad30-9ade-4f0c-b78e-cf30469879ae"/>
    <IconOverlay xmlns="http://schemas.microsoft.com/sharepoint/v4" xsi:nil="true"/>
    <TaxKeywordTaxHTField xmlns="b8e2d2b0-0da5-4cff-a21b-e325c475327b">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FE2C-7D18-4085-A1AE-5CADEC036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e2d2b0-0da5-4cff-a21b-e325c475327b"/>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C2D5F-944F-41A7-B99E-D77587CA6722}">
  <ds:schemaRef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b8e2d2b0-0da5-4cff-a21b-e325c475327b"/>
    <ds:schemaRef ds:uri="http://schemas.microsoft.com/sharepoint/v3"/>
    <ds:schemaRef ds:uri="http://purl.org/dc/terms/"/>
    <ds:schemaRef ds:uri="http://schemas.microsoft.com/office/infopath/2007/PartnerControls"/>
    <ds:schemaRef ds:uri="f191ad30-9ade-4f0c-b78e-cf30469879ae"/>
    <ds:schemaRef ds:uri="http://www.w3.org/XML/1998/namespace"/>
    <ds:schemaRef ds:uri="http://purl.org/dc/dcmitype/"/>
  </ds:schemaRefs>
</ds:datastoreItem>
</file>

<file path=customXml/itemProps3.xml><?xml version="1.0" encoding="utf-8"?>
<ds:datastoreItem xmlns:ds="http://schemas.openxmlformats.org/officeDocument/2006/customXml" ds:itemID="{15E8C96B-A6D4-4FB1-B3A7-B8B5E645C438}">
  <ds:schemaRefs>
    <ds:schemaRef ds:uri="http://schemas.microsoft.com/sharepoint/v3/contenttype/forms"/>
  </ds:schemaRefs>
</ds:datastoreItem>
</file>

<file path=customXml/itemProps4.xml><?xml version="1.0" encoding="utf-8"?>
<ds:datastoreItem xmlns:ds="http://schemas.openxmlformats.org/officeDocument/2006/customXml" ds:itemID="{BC2B2C7A-532E-4156-9BF1-5B6F0189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8552</Words>
  <Characters>48408</Characters>
  <Application>Microsoft Office Word</Application>
  <DocSecurity>0</DocSecurity>
  <Lines>1423</Lines>
  <Paragraphs>949</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56011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Entrectinib</dc:title>
  <dc:creator>Roche, Ltd.</dc:creator>
  <cp:lastPrinted>2020-05-20T00:04:00Z</cp:lastPrinted>
  <dcterms:created xsi:type="dcterms:W3CDTF">2020-12-16T05:33:00Z</dcterms:created>
  <dcterms:modified xsi:type="dcterms:W3CDTF">2020-12-16T06:06:00Z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/team/201291a9/HA Interactions</vt:lpwstr>
  </property>
  <property fmtid="{D5CDD505-2E9C-101B-9397-08002B2CF9AE}" pid="3" name="ContentTypeId">
    <vt:lpwstr>0x01010025B19FA85782654BA0F79379A96756FB</vt:lpwstr>
  </property>
  <property fmtid="{D5CDD505-2E9C-101B-9397-08002B2CF9AE}" pid="4" name="ItemRetentionFormula">
    <vt:lpwstr>&lt;formula id="Roche.Common.Coremap.ExpirationFormula" /&gt;</vt:lpwstr>
  </property>
  <property fmtid="{D5CDD505-2E9C-101B-9397-08002B2CF9AE}" pid="5" name="TaxKeyword">
    <vt:lpwstr/>
  </property>
</Properties>
</file>