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C46BF0" w14:paraId="19102244" w14:textId="77777777" w:rsidTr="00BF1190">
        <w:trPr>
          <w:trHeight w:val="1863"/>
        </w:trPr>
        <w:tc>
          <w:tcPr>
            <w:tcW w:w="3652" w:type="dxa"/>
            <w:tcBorders>
              <w:top w:val="nil"/>
              <w:left w:val="nil"/>
              <w:bottom w:val="nil"/>
              <w:right w:val="nil"/>
            </w:tcBorders>
          </w:tcPr>
          <w:p w14:paraId="09ABA61B" w14:textId="6F96EA7E" w:rsidR="008E7846" w:rsidRPr="00C46BF0" w:rsidRDefault="00BB4EFB" w:rsidP="00BB4EFB">
            <w:pPr>
              <w:rPr>
                <w:rFonts w:ascii="Arial" w:hAnsi="Arial" w:cs="Arial"/>
                <w:b/>
                <w:color w:val="002C47"/>
                <w:sz w:val="36"/>
                <w:szCs w:val="36"/>
              </w:rPr>
            </w:pPr>
            <w:r>
              <w:rPr>
                <w:rFonts w:ascii="Arial" w:hAnsi="Arial" w:cs="Arial"/>
                <w:b/>
                <w:color w:val="002C47"/>
                <w:sz w:val="36"/>
                <w:szCs w:val="36"/>
              </w:rPr>
              <w:t>February</w:t>
            </w:r>
            <w:r w:rsidR="00AB0FF2">
              <w:rPr>
                <w:rFonts w:ascii="Arial" w:hAnsi="Arial" w:cs="Arial"/>
                <w:b/>
                <w:color w:val="002C47"/>
                <w:sz w:val="36"/>
                <w:szCs w:val="36"/>
              </w:rPr>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C46BF0" w14:paraId="50B8B193" w14:textId="77777777" w:rsidTr="0032583B">
        <w:trPr>
          <w:trHeight w:val="868"/>
        </w:trPr>
        <w:tc>
          <w:tcPr>
            <w:tcW w:w="9079" w:type="dxa"/>
          </w:tcPr>
          <w:p w14:paraId="1AFF56FC" w14:textId="77777777" w:rsidR="0032583B" w:rsidRPr="00C46BF0" w:rsidRDefault="0032583B" w:rsidP="00C46BF0">
            <w:pPr>
              <w:pStyle w:val="Title"/>
              <w:rPr>
                <w:color w:val="FFFFFF" w:themeColor="background1"/>
              </w:rPr>
            </w:pPr>
            <w:r w:rsidRPr="00C46BF0">
              <w:rPr>
                <w:color w:val="FFFFFF" w:themeColor="background1"/>
              </w:rPr>
              <w:t>Australia</w:t>
            </w:r>
            <w:r w:rsidR="00721C10" w:rsidRPr="00C46BF0">
              <w:rPr>
                <w:color w:val="FFFFFF" w:themeColor="background1"/>
              </w:rPr>
              <w:t xml:space="preserve">n Public Assessment Report for </w:t>
            </w:r>
            <w:proofErr w:type="spellStart"/>
            <w:r w:rsidR="001217F4" w:rsidRPr="00C46BF0">
              <w:rPr>
                <w:color w:val="FFFFFF" w:themeColor="background1"/>
              </w:rPr>
              <w:t>Eptinezumab</w:t>
            </w:r>
            <w:proofErr w:type="spellEnd"/>
          </w:p>
        </w:tc>
      </w:tr>
      <w:tr w:rsidR="0032583B" w:rsidRPr="00C46BF0" w14:paraId="7153159D" w14:textId="77777777" w:rsidTr="0032583B">
        <w:tc>
          <w:tcPr>
            <w:tcW w:w="9079" w:type="dxa"/>
          </w:tcPr>
          <w:p w14:paraId="58813ECD" w14:textId="77777777" w:rsidR="0032583B" w:rsidRPr="00C46BF0" w:rsidRDefault="0032583B" w:rsidP="00C46BF0">
            <w:pPr>
              <w:pStyle w:val="Subtitle"/>
              <w:rPr>
                <w:color w:val="FFFFFF" w:themeColor="background1"/>
              </w:rPr>
            </w:pPr>
            <w:r w:rsidRPr="00C46BF0">
              <w:rPr>
                <w:color w:val="FFFFFF" w:themeColor="background1"/>
              </w:rPr>
              <w:t xml:space="preserve">Proprietary Product Name: </w:t>
            </w:r>
            <w:proofErr w:type="spellStart"/>
            <w:r w:rsidR="00721C10" w:rsidRPr="00C46BF0">
              <w:rPr>
                <w:color w:val="FFFFFF" w:themeColor="background1"/>
              </w:rPr>
              <w:t>Vyepti</w:t>
            </w:r>
            <w:proofErr w:type="spellEnd"/>
          </w:p>
        </w:tc>
      </w:tr>
      <w:tr w:rsidR="0032583B" w:rsidRPr="00C46BF0" w14:paraId="5ACECFC5" w14:textId="77777777" w:rsidTr="0032583B">
        <w:trPr>
          <w:trHeight w:val="486"/>
        </w:trPr>
        <w:tc>
          <w:tcPr>
            <w:tcW w:w="9079" w:type="dxa"/>
          </w:tcPr>
          <w:p w14:paraId="1B710B65" w14:textId="77777777" w:rsidR="0032583B" w:rsidRPr="00C46BF0" w:rsidRDefault="00460036" w:rsidP="00C46BF0">
            <w:pPr>
              <w:pStyle w:val="Subtitle"/>
              <w:rPr>
                <w:color w:val="FFFFFF" w:themeColor="background1"/>
              </w:rPr>
            </w:pPr>
            <w:r w:rsidRPr="00C46BF0">
              <w:rPr>
                <w:color w:val="FFFFFF" w:themeColor="background1"/>
              </w:rPr>
              <w:t xml:space="preserve">Sponsor: </w:t>
            </w:r>
            <w:r w:rsidR="00721C10" w:rsidRPr="00C46BF0">
              <w:rPr>
                <w:color w:val="FFFFFF" w:themeColor="background1"/>
              </w:rPr>
              <w:t>Lundbeck Australia Pty Ltd</w:t>
            </w:r>
          </w:p>
        </w:tc>
      </w:tr>
    </w:tbl>
    <w:p w14:paraId="4B05AD9B" w14:textId="77777777" w:rsidR="008E7846" w:rsidRPr="00C46BF0" w:rsidRDefault="008E7846" w:rsidP="00C46BF0">
      <w:r w:rsidRPr="00C46BF0">
        <w:br w:type="page"/>
      </w:r>
    </w:p>
    <w:p w14:paraId="33E1E282" w14:textId="77777777" w:rsidR="008E7846" w:rsidRPr="00C46BF0" w:rsidRDefault="008E7846" w:rsidP="00C46BF0">
      <w:pPr>
        <w:pStyle w:val="NonTOCHeading2"/>
      </w:pPr>
      <w:r w:rsidRPr="00C46BF0">
        <w:lastRenderedPageBreak/>
        <w:t>About the Therapeutic Goods Administration (TGA)</w:t>
      </w:r>
    </w:p>
    <w:p w14:paraId="7BBB6ED6" w14:textId="77777777" w:rsidR="008E7846" w:rsidRPr="00C46BF0" w:rsidRDefault="008E7846" w:rsidP="00DF09FE">
      <w:pPr>
        <w:pStyle w:val="ListBullet"/>
        <w:ind w:left="357" w:hanging="357"/>
      </w:pPr>
      <w:r w:rsidRPr="00C46BF0">
        <w:t xml:space="preserve">The Therapeutic Goods Administration (TGA) is </w:t>
      </w:r>
      <w:r w:rsidR="00E624A5" w:rsidRPr="00C46BF0">
        <w:t xml:space="preserve">part </w:t>
      </w:r>
      <w:r w:rsidRPr="00C46BF0">
        <w:t>of the Australian Government Department of Health and is responsible for regulating medicines and medical devices.</w:t>
      </w:r>
    </w:p>
    <w:p w14:paraId="6098113C" w14:textId="77777777" w:rsidR="008E7846" w:rsidRPr="00C46BF0" w:rsidRDefault="00C80137" w:rsidP="00DF09FE">
      <w:pPr>
        <w:pStyle w:val="ListBullet"/>
        <w:ind w:left="357" w:hanging="357"/>
      </w:pPr>
      <w:r w:rsidRPr="00C46BF0">
        <w:t xml:space="preserve">The </w:t>
      </w:r>
      <w:r w:rsidR="008E7846" w:rsidRPr="00C46BF0">
        <w:t xml:space="preserve">TGA administers the </w:t>
      </w:r>
      <w:r w:rsidR="008E7846" w:rsidRPr="00C46BF0">
        <w:rPr>
          <w:i/>
        </w:rPr>
        <w:t>Therapeutic Goods Act 1989</w:t>
      </w:r>
      <w:r w:rsidR="00785717" w:rsidRPr="00C46BF0">
        <w:rPr>
          <w:i/>
        </w:rPr>
        <w:t xml:space="preserve"> </w:t>
      </w:r>
      <w:r w:rsidR="00785717" w:rsidRPr="00C46BF0">
        <w:t>(the Act)</w:t>
      </w:r>
      <w:r w:rsidR="008E7846" w:rsidRPr="00C46BF0">
        <w:t xml:space="preserve">, applying a risk management approach designed to ensure therapeutic goods supplied in Australia meet acceptable standards of quality, </w:t>
      </w:r>
      <w:proofErr w:type="gramStart"/>
      <w:r w:rsidR="008E7846" w:rsidRPr="00C46BF0">
        <w:t>safety</w:t>
      </w:r>
      <w:proofErr w:type="gramEnd"/>
      <w:r w:rsidR="008E7846" w:rsidRPr="00C46BF0">
        <w:t xml:space="preserve"> and efficacy (performance) when necessary.</w:t>
      </w:r>
    </w:p>
    <w:p w14:paraId="44DA10A0" w14:textId="77777777" w:rsidR="008E7846" w:rsidRPr="00C46BF0" w:rsidRDefault="008E7846" w:rsidP="00DF09FE">
      <w:pPr>
        <w:pStyle w:val="ListBullet"/>
        <w:ind w:left="357" w:hanging="357"/>
      </w:pPr>
      <w:r w:rsidRPr="00C46BF0">
        <w:t>The work of the TGA is based on applying scientific and clinical expertise to decision-making, to ensure that the benefits to consumers outweigh any risks associated with the use of medicines and medical devices.</w:t>
      </w:r>
    </w:p>
    <w:p w14:paraId="7CBC9E31" w14:textId="77777777" w:rsidR="008E7846" w:rsidRPr="00C46BF0" w:rsidRDefault="008E7846" w:rsidP="00DF09FE">
      <w:pPr>
        <w:pStyle w:val="ListBullet"/>
        <w:ind w:left="357" w:hanging="357"/>
      </w:pPr>
      <w:r w:rsidRPr="00C46BF0">
        <w:t>The TGA relies on the public, healthcare professionals and industry to report problems with medicines or medical devices. TGA investigates reports received by it to determine any necessary regulatory action.</w:t>
      </w:r>
    </w:p>
    <w:p w14:paraId="6B0DB65C" w14:textId="38BA19AC" w:rsidR="00441C3F" w:rsidRPr="00C46BF0" w:rsidRDefault="008E7846" w:rsidP="00DF09FE">
      <w:pPr>
        <w:pStyle w:val="ListBullet"/>
        <w:ind w:left="357" w:hanging="357"/>
      </w:pPr>
      <w:r w:rsidRPr="00C46BF0">
        <w:t xml:space="preserve">To report a problem with a medicine or medical device, please see the information on </w:t>
      </w:r>
      <w:r w:rsidR="00441C3F" w:rsidRPr="00C46BF0">
        <w:t>the TGA website &lt;</w:t>
      </w:r>
      <w:hyperlink r:id="rId12" w:history="1">
        <w:r w:rsidR="00441C3F" w:rsidRPr="00C46BF0">
          <w:rPr>
            <w:rStyle w:val="Hyperlink"/>
          </w:rPr>
          <w:t>https://www.tga.gov.au</w:t>
        </w:r>
      </w:hyperlink>
      <w:r w:rsidR="00441C3F" w:rsidRPr="00C46BF0">
        <w:t>&gt;.</w:t>
      </w:r>
    </w:p>
    <w:p w14:paraId="0819CB4E" w14:textId="77777777" w:rsidR="008E7846" w:rsidRPr="00C46BF0" w:rsidRDefault="008E7846" w:rsidP="00C46BF0">
      <w:pPr>
        <w:pStyle w:val="NonTOCHeading2"/>
      </w:pPr>
      <w:r w:rsidRPr="00C46BF0">
        <w:t xml:space="preserve">About </w:t>
      </w:r>
      <w:proofErr w:type="spellStart"/>
      <w:r w:rsidRPr="00C46BF0">
        <w:t>AusPARs</w:t>
      </w:r>
      <w:proofErr w:type="spellEnd"/>
    </w:p>
    <w:p w14:paraId="609927C1" w14:textId="77777777" w:rsidR="008E7846" w:rsidRPr="00C46BF0" w:rsidRDefault="008E7846" w:rsidP="00DF09FE">
      <w:pPr>
        <w:pStyle w:val="ListBullet"/>
        <w:ind w:left="357" w:hanging="357"/>
      </w:pPr>
      <w:r w:rsidRPr="00C46BF0">
        <w:t>An Australian Public Assessment Re</w:t>
      </w:r>
      <w:r w:rsidR="00133A1B" w:rsidRPr="00C46BF0">
        <w:t>port</w:t>
      </w:r>
      <w:r w:rsidRPr="00C46BF0">
        <w:t xml:space="preserve"> (AusPAR) provides information about the evaluation of a prescription medicine and the considerations that led the TGA to approve or not approve a pr</w:t>
      </w:r>
      <w:r w:rsidR="00441C3F" w:rsidRPr="00C46BF0">
        <w:t>escription medicine submission.</w:t>
      </w:r>
    </w:p>
    <w:p w14:paraId="6E970EB2" w14:textId="77777777" w:rsidR="008E7846" w:rsidRPr="00C46BF0" w:rsidRDefault="008E7846" w:rsidP="00DF09FE">
      <w:pPr>
        <w:pStyle w:val="ListBullet"/>
        <w:ind w:left="357" w:hanging="357"/>
      </w:pPr>
      <w:proofErr w:type="spellStart"/>
      <w:r w:rsidRPr="00C46BF0">
        <w:t>AusPARs</w:t>
      </w:r>
      <w:proofErr w:type="spellEnd"/>
      <w:r w:rsidRPr="00C46BF0">
        <w:t xml:space="preserve"> are prepared and published by the TGA.</w:t>
      </w:r>
    </w:p>
    <w:p w14:paraId="341BBEF9" w14:textId="77777777" w:rsidR="008E7846" w:rsidRPr="00C46BF0" w:rsidRDefault="008E7846" w:rsidP="00DF09FE">
      <w:pPr>
        <w:pStyle w:val="ListBullet"/>
        <w:ind w:left="357" w:hanging="357"/>
      </w:pPr>
      <w:r w:rsidRPr="00C46BF0">
        <w:t xml:space="preserve">An AusPAR is prepared for submissions that relate to new chemical entities, generic medicines, major </w:t>
      </w:r>
      <w:proofErr w:type="gramStart"/>
      <w:r w:rsidRPr="00C46BF0">
        <w:t>variations</w:t>
      </w:r>
      <w:proofErr w:type="gramEnd"/>
      <w:r w:rsidRPr="00C46BF0">
        <w:t xml:space="preserve"> and extensions of indications.</w:t>
      </w:r>
    </w:p>
    <w:p w14:paraId="277A171F" w14:textId="77777777" w:rsidR="008E7846" w:rsidRPr="00C46BF0" w:rsidRDefault="008E7846" w:rsidP="00DF09FE">
      <w:pPr>
        <w:pStyle w:val="ListBullet"/>
        <w:ind w:left="357" w:hanging="357"/>
      </w:pPr>
      <w:r w:rsidRPr="00C46BF0">
        <w:t>An AusPAR is a static document</w:t>
      </w:r>
      <w:r w:rsidR="00133A1B" w:rsidRPr="00C46BF0">
        <w:t>;</w:t>
      </w:r>
      <w:r w:rsidRPr="00C46BF0">
        <w:t xml:space="preserve"> it provide</w:t>
      </w:r>
      <w:r w:rsidR="00133A1B" w:rsidRPr="00C46BF0">
        <w:t>s</w:t>
      </w:r>
      <w:r w:rsidRPr="00C46BF0">
        <w:t xml:space="preserve"> information that relates to a submission at a particular point in time.</w:t>
      </w:r>
    </w:p>
    <w:p w14:paraId="11D5D0BD" w14:textId="77777777" w:rsidR="00B452CE" w:rsidRPr="00C46BF0" w:rsidRDefault="008E7846" w:rsidP="00DF09FE">
      <w:pPr>
        <w:pStyle w:val="ListBullet"/>
        <w:ind w:left="357" w:hanging="357"/>
      </w:pPr>
      <w:r w:rsidRPr="00C46BF0">
        <w:t>A new AusPAR will be developed to reflect changes to indications and/or major variations to a prescription medicine subject to evaluation by the TGA.</w:t>
      </w:r>
    </w:p>
    <w:p w14:paraId="52B59948" w14:textId="77777777" w:rsidR="00924482" w:rsidRPr="00C46BF0" w:rsidRDefault="00924482" w:rsidP="00C46BF0">
      <w:pPr>
        <w:pStyle w:val="LegalSubheading"/>
        <w:spacing w:before="3120"/>
      </w:pPr>
      <w:r w:rsidRPr="00C46BF0">
        <w:t>Copyright</w:t>
      </w:r>
    </w:p>
    <w:p w14:paraId="1BC648F5" w14:textId="56779E52" w:rsidR="00924482" w:rsidRPr="00C46BF0" w:rsidRDefault="00924482" w:rsidP="00C46BF0">
      <w:pPr>
        <w:pStyle w:val="LegalCopy"/>
      </w:pPr>
      <w:r w:rsidRPr="00C46BF0">
        <w:rPr>
          <w:rFonts w:cs="Arial"/>
          <w:lang w:val="en-GB"/>
        </w:rPr>
        <w:t>© Commonwealth of Australia 20</w:t>
      </w:r>
      <w:r w:rsidR="00460036" w:rsidRPr="00C46BF0">
        <w:rPr>
          <w:rFonts w:cs="Arial"/>
          <w:lang w:val="en-GB"/>
        </w:rPr>
        <w:t>2</w:t>
      </w:r>
      <w:r w:rsidR="00BB4EFB">
        <w:rPr>
          <w:rFonts w:cs="Arial"/>
          <w:lang w:val="en-GB"/>
        </w:rPr>
        <w:t>2</w:t>
      </w:r>
      <w:r w:rsidRPr="00C46BF0">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C46BF0">
        <w:rPr>
          <w:rFonts w:cs="Arial"/>
          <w:i/>
          <w:lang w:val="en-GB"/>
        </w:rPr>
        <w:t>Copyright Act 1968</w:t>
      </w:r>
      <w:r w:rsidRPr="00C46BF0">
        <w:rPr>
          <w:rFonts w:cs="Arial"/>
          <w:lang w:val="en-GB"/>
        </w:rPr>
        <w:t xml:space="preserve"> or allowed by this copyright notice, all other rights are </w:t>
      </w:r>
      <w:proofErr w:type="gramStart"/>
      <w:r w:rsidRPr="00C46BF0">
        <w:rPr>
          <w:rFonts w:cs="Arial"/>
          <w:lang w:val="en-GB"/>
        </w:rPr>
        <w:t>reserved</w:t>
      </w:r>
      <w:proofErr w:type="gramEnd"/>
      <w:r w:rsidRPr="00C46BF0">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C46BF0">
        <w:rPr>
          <w:rFonts w:cs="Arial"/>
          <w:lang w:val="en-GB"/>
        </w:rPr>
        <w:t>Woden</w:t>
      </w:r>
      <w:proofErr w:type="spellEnd"/>
      <w:r w:rsidRPr="00C46BF0">
        <w:rPr>
          <w:rFonts w:cs="Arial"/>
          <w:lang w:val="en-GB"/>
        </w:rPr>
        <w:t xml:space="preserve"> ACT 2606 or emailed to &lt;</w:t>
      </w:r>
      <w:hyperlink r:id="rId13" w:history="1">
        <w:r w:rsidRPr="00C46BF0">
          <w:rPr>
            <w:rStyle w:val="Hyperlink"/>
            <w:rFonts w:cs="Arial"/>
            <w:lang w:val="en-GB"/>
          </w:rPr>
          <w:t>tga.copyright@tga.gov.au</w:t>
        </w:r>
      </w:hyperlink>
      <w:r w:rsidRPr="00C46BF0">
        <w:rPr>
          <w:rFonts w:cs="Arial"/>
        </w:rPr>
        <w:t>&gt;.</w:t>
      </w:r>
    </w:p>
    <w:p w14:paraId="20E9A4C4" w14:textId="77777777" w:rsidR="00924482" w:rsidRPr="00C46BF0" w:rsidRDefault="00924482" w:rsidP="00C46BF0">
      <w:pPr>
        <w:pStyle w:val="LegalCopy"/>
        <w:sectPr w:rsidR="00924482" w:rsidRPr="00C46BF0" w:rsidSect="003D1E62">
          <w:headerReference w:type="default" r:id="rId14"/>
          <w:footerReference w:type="default" r:id="rId15"/>
          <w:headerReference w:type="first" r:id="rId16"/>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E62AACD" w14:textId="77777777" w:rsidR="0089635C" w:rsidRPr="00C46BF0" w:rsidRDefault="0089635C" w:rsidP="00C46BF0">
          <w:pPr>
            <w:pStyle w:val="Contents"/>
          </w:pPr>
          <w:r w:rsidRPr="00C46BF0">
            <w:t>Contents</w:t>
          </w:r>
        </w:p>
        <w:p w14:paraId="213B672F" w14:textId="37C4C106" w:rsidR="00112693" w:rsidRDefault="00C525A2">
          <w:pPr>
            <w:pStyle w:val="TOC1"/>
            <w:rPr>
              <w:rFonts w:asciiTheme="minorHAnsi" w:eastAsiaTheme="minorEastAsia" w:hAnsiTheme="minorHAnsi" w:cstheme="minorBidi"/>
              <w:b w:val="0"/>
              <w:noProof/>
              <w:sz w:val="22"/>
              <w:lang w:eastAsia="en-AU"/>
            </w:rPr>
          </w:pPr>
          <w:r w:rsidRPr="00C46BF0">
            <w:fldChar w:fldCharType="begin"/>
          </w:r>
          <w:r w:rsidRPr="00C46BF0">
            <w:instrText xml:space="preserve"> TOC \h \z \t "Heading 2,1,Heading 3,2" </w:instrText>
          </w:r>
          <w:r w:rsidRPr="00C46BF0">
            <w:fldChar w:fldCharType="separate"/>
          </w:r>
          <w:hyperlink w:anchor="_Toc96700841" w:history="1">
            <w:r w:rsidR="00112693" w:rsidRPr="009C26B8">
              <w:rPr>
                <w:rStyle w:val="Hyperlink"/>
                <w:noProof/>
              </w:rPr>
              <w:t>List of abbreviations</w:t>
            </w:r>
            <w:r w:rsidR="00112693">
              <w:rPr>
                <w:noProof/>
                <w:webHidden/>
              </w:rPr>
              <w:tab/>
            </w:r>
            <w:r w:rsidR="00112693">
              <w:rPr>
                <w:noProof/>
                <w:webHidden/>
              </w:rPr>
              <w:fldChar w:fldCharType="begin"/>
            </w:r>
            <w:r w:rsidR="00112693">
              <w:rPr>
                <w:noProof/>
                <w:webHidden/>
              </w:rPr>
              <w:instrText xml:space="preserve"> PAGEREF _Toc96700841 \h </w:instrText>
            </w:r>
            <w:r w:rsidR="00112693">
              <w:rPr>
                <w:noProof/>
                <w:webHidden/>
              </w:rPr>
            </w:r>
            <w:r w:rsidR="00112693">
              <w:rPr>
                <w:noProof/>
                <w:webHidden/>
              </w:rPr>
              <w:fldChar w:fldCharType="separate"/>
            </w:r>
            <w:r w:rsidR="00112693">
              <w:rPr>
                <w:noProof/>
                <w:webHidden/>
              </w:rPr>
              <w:t>4</w:t>
            </w:r>
            <w:r w:rsidR="00112693">
              <w:rPr>
                <w:noProof/>
                <w:webHidden/>
              </w:rPr>
              <w:fldChar w:fldCharType="end"/>
            </w:r>
          </w:hyperlink>
        </w:p>
        <w:p w14:paraId="7EF22979" w14:textId="1B7301AD" w:rsidR="00112693" w:rsidRDefault="00FC4706">
          <w:pPr>
            <w:pStyle w:val="TOC1"/>
            <w:rPr>
              <w:rFonts w:asciiTheme="minorHAnsi" w:eastAsiaTheme="minorEastAsia" w:hAnsiTheme="minorHAnsi" w:cstheme="minorBidi"/>
              <w:b w:val="0"/>
              <w:noProof/>
              <w:sz w:val="22"/>
              <w:lang w:eastAsia="en-AU"/>
            </w:rPr>
          </w:pPr>
          <w:hyperlink w:anchor="_Toc96700842" w:history="1">
            <w:r w:rsidR="00112693" w:rsidRPr="009C26B8">
              <w:rPr>
                <w:rStyle w:val="Hyperlink"/>
                <w:noProof/>
              </w:rPr>
              <w:t>I. Introduction to product submission</w:t>
            </w:r>
            <w:r w:rsidR="00112693">
              <w:rPr>
                <w:noProof/>
                <w:webHidden/>
              </w:rPr>
              <w:tab/>
            </w:r>
            <w:r w:rsidR="00112693">
              <w:rPr>
                <w:noProof/>
                <w:webHidden/>
              </w:rPr>
              <w:fldChar w:fldCharType="begin"/>
            </w:r>
            <w:r w:rsidR="00112693">
              <w:rPr>
                <w:noProof/>
                <w:webHidden/>
              </w:rPr>
              <w:instrText xml:space="preserve"> PAGEREF _Toc96700842 \h </w:instrText>
            </w:r>
            <w:r w:rsidR="00112693">
              <w:rPr>
                <w:noProof/>
                <w:webHidden/>
              </w:rPr>
            </w:r>
            <w:r w:rsidR="00112693">
              <w:rPr>
                <w:noProof/>
                <w:webHidden/>
              </w:rPr>
              <w:fldChar w:fldCharType="separate"/>
            </w:r>
            <w:r w:rsidR="00112693">
              <w:rPr>
                <w:noProof/>
                <w:webHidden/>
              </w:rPr>
              <w:t>6</w:t>
            </w:r>
            <w:r w:rsidR="00112693">
              <w:rPr>
                <w:noProof/>
                <w:webHidden/>
              </w:rPr>
              <w:fldChar w:fldCharType="end"/>
            </w:r>
          </w:hyperlink>
        </w:p>
        <w:p w14:paraId="2B2DF807" w14:textId="5F35B211" w:rsidR="00112693" w:rsidRDefault="00FC4706">
          <w:pPr>
            <w:pStyle w:val="TOC2"/>
            <w:rPr>
              <w:rFonts w:asciiTheme="minorHAnsi" w:eastAsiaTheme="minorEastAsia" w:hAnsiTheme="minorHAnsi" w:cstheme="minorBidi"/>
              <w:b w:val="0"/>
              <w:noProof/>
              <w:sz w:val="22"/>
              <w:lang w:eastAsia="en-AU"/>
            </w:rPr>
          </w:pPr>
          <w:hyperlink w:anchor="_Toc96700843" w:history="1">
            <w:r w:rsidR="00112693" w:rsidRPr="009C26B8">
              <w:rPr>
                <w:rStyle w:val="Hyperlink"/>
                <w:noProof/>
                <w:lang w:eastAsia="en-AU"/>
              </w:rPr>
              <w:t>Submission details</w:t>
            </w:r>
            <w:r w:rsidR="00112693">
              <w:rPr>
                <w:noProof/>
                <w:webHidden/>
              </w:rPr>
              <w:tab/>
            </w:r>
            <w:r w:rsidR="00112693">
              <w:rPr>
                <w:noProof/>
                <w:webHidden/>
              </w:rPr>
              <w:fldChar w:fldCharType="begin"/>
            </w:r>
            <w:r w:rsidR="00112693">
              <w:rPr>
                <w:noProof/>
                <w:webHidden/>
              </w:rPr>
              <w:instrText xml:space="preserve"> PAGEREF _Toc96700843 \h </w:instrText>
            </w:r>
            <w:r w:rsidR="00112693">
              <w:rPr>
                <w:noProof/>
                <w:webHidden/>
              </w:rPr>
            </w:r>
            <w:r w:rsidR="00112693">
              <w:rPr>
                <w:noProof/>
                <w:webHidden/>
              </w:rPr>
              <w:fldChar w:fldCharType="separate"/>
            </w:r>
            <w:r w:rsidR="00112693">
              <w:rPr>
                <w:noProof/>
                <w:webHidden/>
              </w:rPr>
              <w:t>6</w:t>
            </w:r>
            <w:r w:rsidR="00112693">
              <w:rPr>
                <w:noProof/>
                <w:webHidden/>
              </w:rPr>
              <w:fldChar w:fldCharType="end"/>
            </w:r>
          </w:hyperlink>
        </w:p>
        <w:p w14:paraId="1D90DBC4" w14:textId="7F4C9C7F" w:rsidR="00112693" w:rsidRDefault="00FC4706">
          <w:pPr>
            <w:pStyle w:val="TOC2"/>
            <w:rPr>
              <w:rFonts w:asciiTheme="minorHAnsi" w:eastAsiaTheme="minorEastAsia" w:hAnsiTheme="minorHAnsi" w:cstheme="minorBidi"/>
              <w:b w:val="0"/>
              <w:noProof/>
              <w:sz w:val="22"/>
              <w:lang w:eastAsia="en-AU"/>
            </w:rPr>
          </w:pPr>
          <w:hyperlink w:anchor="_Toc96700844" w:history="1">
            <w:r w:rsidR="00112693" w:rsidRPr="009C26B8">
              <w:rPr>
                <w:rStyle w:val="Hyperlink"/>
                <w:noProof/>
              </w:rPr>
              <w:t>Product background</w:t>
            </w:r>
            <w:r w:rsidR="00112693">
              <w:rPr>
                <w:noProof/>
                <w:webHidden/>
              </w:rPr>
              <w:tab/>
            </w:r>
            <w:r w:rsidR="00112693">
              <w:rPr>
                <w:noProof/>
                <w:webHidden/>
              </w:rPr>
              <w:fldChar w:fldCharType="begin"/>
            </w:r>
            <w:r w:rsidR="00112693">
              <w:rPr>
                <w:noProof/>
                <w:webHidden/>
              </w:rPr>
              <w:instrText xml:space="preserve"> PAGEREF _Toc96700844 \h </w:instrText>
            </w:r>
            <w:r w:rsidR="00112693">
              <w:rPr>
                <w:noProof/>
                <w:webHidden/>
              </w:rPr>
            </w:r>
            <w:r w:rsidR="00112693">
              <w:rPr>
                <w:noProof/>
                <w:webHidden/>
              </w:rPr>
              <w:fldChar w:fldCharType="separate"/>
            </w:r>
            <w:r w:rsidR="00112693">
              <w:rPr>
                <w:noProof/>
                <w:webHidden/>
              </w:rPr>
              <w:t>7</w:t>
            </w:r>
            <w:r w:rsidR="00112693">
              <w:rPr>
                <w:noProof/>
                <w:webHidden/>
              </w:rPr>
              <w:fldChar w:fldCharType="end"/>
            </w:r>
          </w:hyperlink>
        </w:p>
        <w:p w14:paraId="594BC305" w14:textId="31CC80B4" w:rsidR="00112693" w:rsidRDefault="00FC4706">
          <w:pPr>
            <w:pStyle w:val="TOC2"/>
            <w:rPr>
              <w:rFonts w:asciiTheme="minorHAnsi" w:eastAsiaTheme="minorEastAsia" w:hAnsiTheme="minorHAnsi" w:cstheme="minorBidi"/>
              <w:b w:val="0"/>
              <w:noProof/>
              <w:sz w:val="22"/>
              <w:lang w:eastAsia="en-AU"/>
            </w:rPr>
          </w:pPr>
          <w:hyperlink w:anchor="_Toc96700845" w:history="1">
            <w:r w:rsidR="00112693" w:rsidRPr="009C26B8">
              <w:rPr>
                <w:rStyle w:val="Hyperlink"/>
                <w:noProof/>
              </w:rPr>
              <w:t>Regulatory status</w:t>
            </w:r>
            <w:r w:rsidR="00112693">
              <w:rPr>
                <w:noProof/>
                <w:webHidden/>
              </w:rPr>
              <w:tab/>
            </w:r>
            <w:r w:rsidR="00112693">
              <w:rPr>
                <w:noProof/>
                <w:webHidden/>
              </w:rPr>
              <w:fldChar w:fldCharType="begin"/>
            </w:r>
            <w:r w:rsidR="00112693">
              <w:rPr>
                <w:noProof/>
                <w:webHidden/>
              </w:rPr>
              <w:instrText xml:space="preserve"> PAGEREF _Toc96700845 \h </w:instrText>
            </w:r>
            <w:r w:rsidR="00112693">
              <w:rPr>
                <w:noProof/>
                <w:webHidden/>
              </w:rPr>
            </w:r>
            <w:r w:rsidR="00112693">
              <w:rPr>
                <w:noProof/>
                <w:webHidden/>
              </w:rPr>
              <w:fldChar w:fldCharType="separate"/>
            </w:r>
            <w:r w:rsidR="00112693">
              <w:rPr>
                <w:noProof/>
                <w:webHidden/>
              </w:rPr>
              <w:t>8</w:t>
            </w:r>
            <w:r w:rsidR="00112693">
              <w:rPr>
                <w:noProof/>
                <w:webHidden/>
              </w:rPr>
              <w:fldChar w:fldCharType="end"/>
            </w:r>
          </w:hyperlink>
        </w:p>
        <w:p w14:paraId="4A858855" w14:textId="628D7C09" w:rsidR="00112693" w:rsidRDefault="00FC4706">
          <w:pPr>
            <w:pStyle w:val="TOC2"/>
            <w:rPr>
              <w:rFonts w:asciiTheme="minorHAnsi" w:eastAsiaTheme="minorEastAsia" w:hAnsiTheme="minorHAnsi" w:cstheme="minorBidi"/>
              <w:b w:val="0"/>
              <w:noProof/>
              <w:sz w:val="22"/>
              <w:lang w:eastAsia="en-AU"/>
            </w:rPr>
          </w:pPr>
          <w:hyperlink w:anchor="_Toc96700846" w:history="1">
            <w:r w:rsidR="00112693" w:rsidRPr="009C26B8">
              <w:rPr>
                <w:rStyle w:val="Hyperlink"/>
                <w:noProof/>
              </w:rPr>
              <w:t>Product Information</w:t>
            </w:r>
            <w:r w:rsidR="00112693">
              <w:rPr>
                <w:noProof/>
                <w:webHidden/>
              </w:rPr>
              <w:tab/>
            </w:r>
            <w:r w:rsidR="00112693">
              <w:rPr>
                <w:noProof/>
                <w:webHidden/>
              </w:rPr>
              <w:fldChar w:fldCharType="begin"/>
            </w:r>
            <w:r w:rsidR="00112693">
              <w:rPr>
                <w:noProof/>
                <w:webHidden/>
              </w:rPr>
              <w:instrText xml:space="preserve"> PAGEREF _Toc96700846 \h </w:instrText>
            </w:r>
            <w:r w:rsidR="00112693">
              <w:rPr>
                <w:noProof/>
                <w:webHidden/>
              </w:rPr>
            </w:r>
            <w:r w:rsidR="00112693">
              <w:rPr>
                <w:noProof/>
                <w:webHidden/>
              </w:rPr>
              <w:fldChar w:fldCharType="separate"/>
            </w:r>
            <w:r w:rsidR="00112693">
              <w:rPr>
                <w:noProof/>
                <w:webHidden/>
              </w:rPr>
              <w:t>9</w:t>
            </w:r>
            <w:r w:rsidR="00112693">
              <w:rPr>
                <w:noProof/>
                <w:webHidden/>
              </w:rPr>
              <w:fldChar w:fldCharType="end"/>
            </w:r>
          </w:hyperlink>
        </w:p>
        <w:p w14:paraId="7FCC05D5" w14:textId="38A62204" w:rsidR="00112693" w:rsidRDefault="00FC4706">
          <w:pPr>
            <w:pStyle w:val="TOC1"/>
            <w:rPr>
              <w:rFonts w:asciiTheme="minorHAnsi" w:eastAsiaTheme="minorEastAsia" w:hAnsiTheme="minorHAnsi" w:cstheme="minorBidi"/>
              <w:b w:val="0"/>
              <w:noProof/>
              <w:sz w:val="22"/>
              <w:lang w:eastAsia="en-AU"/>
            </w:rPr>
          </w:pPr>
          <w:hyperlink w:anchor="_Toc96700847" w:history="1">
            <w:r w:rsidR="00112693" w:rsidRPr="009C26B8">
              <w:rPr>
                <w:rStyle w:val="Hyperlink"/>
                <w:noProof/>
              </w:rPr>
              <w:t>II. Registration timeline</w:t>
            </w:r>
            <w:r w:rsidR="00112693">
              <w:rPr>
                <w:noProof/>
                <w:webHidden/>
              </w:rPr>
              <w:tab/>
            </w:r>
            <w:r w:rsidR="00112693">
              <w:rPr>
                <w:noProof/>
                <w:webHidden/>
              </w:rPr>
              <w:fldChar w:fldCharType="begin"/>
            </w:r>
            <w:r w:rsidR="00112693">
              <w:rPr>
                <w:noProof/>
                <w:webHidden/>
              </w:rPr>
              <w:instrText xml:space="preserve"> PAGEREF _Toc96700847 \h </w:instrText>
            </w:r>
            <w:r w:rsidR="00112693">
              <w:rPr>
                <w:noProof/>
                <w:webHidden/>
              </w:rPr>
            </w:r>
            <w:r w:rsidR="00112693">
              <w:rPr>
                <w:noProof/>
                <w:webHidden/>
              </w:rPr>
              <w:fldChar w:fldCharType="separate"/>
            </w:r>
            <w:r w:rsidR="00112693">
              <w:rPr>
                <w:noProof/>
                <w:webHidden/>
              </w:rPr>
              <w:t>9</w:t>
            </w:r>
            <w:r w:rsidR="00112693">
              <w:rPr>
                <w:noProof/>
                <w:webHidden/>
              </w:rPr>
              <w:fldChar w:fldCharType="end"/>
            </w:r>
          </w:hyperlink>
        </w:p>
        <w:p w14:paraId="5108BE3B" w14:textId="0E4156FE" w:rsidR="00112693" w:rsidRDefault="00FC4706">
          <w:pPr>
            <w:pStyle w:val="TOC1"/>
            <w:rPr>
              <w:rFonts w:asciiTheme="minorHAnsi" w:eastAsiaTheme="minorEastAsia" w:hAnsiTheme="minorHAnsi" w:cstheme="minorBidi"/>
              <w:b w:val="0"/>
              <w:noProof/>
              <w:sz w:val="22"/>
              <w:lang w:eastAsia="en-AU"/>
            </w:rPr>
          </w:pPr>
          <w:hyperlink w:anchor="_Toc96700848" w:history="1">
            <w:r w:rsidR="00112693" w:rsidRPr="009C26B8">
              <w:rPr>
                <w:rStyle w:val="Hyperlink"/>
                <w:noProof/>
              </w:rPr>
              <w:t>III. Submission overview and risk/benefit assessment</w:t>
            </w:r>
            <w:r w:rsidR="00112693">
              <w:rPr>
                <w:noProof/>
                <w:webHidden/>
              </w:rPr>
              <w:tab/>
            </w:r>
            <w:r w:rsidR="00112693">
              <w:rPr>
                <w:noProof/>
                <w:webHidden/>
              </w:rPr>
              <w:fldChar w:fldCharType="begin"/>
            </w:r>
            <w:r w:rsidR="00112693">
              <w:rPr>
                <w:noProof/>
                <w:webHidden/>
              </w:rPr>
              <w:instrText xml:space="preserve"> PAGEREF _Toc96700848 \h </w:instrText>
            </w:r>
            <w:r w:rsidR="00112693">
              <w:rPr>
                <w:noProof/>
                <w:webHidden/>
              </w:rPr>
            </w:r>
            <w:r w:rsidR="00112693">
              <w:rPr>
                <w:noProof/>
                <w:webHidden/>
              </w:rPr>
              <w:fldChar w:fldCharType="separate"/>
            </w:r>
            <w:r w:rsidR="00112693">
              <w:rPr>
                <w:noProof/>
                <w:webHidden/>
              </w:rPr>
              <w:t>10</w:t>
            </w:r>
            <w:r w:rsidR="00112693">
              <w:rPr>
                <w:noProof/>
                <w:webHidden/>
              </w:rPr>
              <w:fldChar w:fldCharType="end"/>
            </w:r>
          </w:hyperlink>
        </w:p>
        <w:p w14:paraId="5776AF08" w14:textId="2878E387" w:rsidR="00112693" w:rsidRDefault="00FC4706">
          <w:pPr>
            <w:pStyle w:val="TOC2"/>
            <w:rPr>
              <w:rFonts w:asciiTheme="minorHAnsi" w:eastAsiaTheme="minorEastAsia" w:hAnsiTheme="minorHAnsi" w:cstheme="minorBidi"/>
              <w:b w:val="0"/>
              <w:noProof/>
              <w:sz w:val="22"/>
              <w:lang w:eastAsia="en-AU"/>
            </w:rPr>
          </w:pPr>
          <w:hyperlink w:anchor="_Toc96700849" w:history="1">
            <w:r w:rsidR="00112693" w:rsidRPr="009C26B8">
              <w:rPr>
                <w:rStyle w:val="Hyperlink"/>
                <w:noProof/>
              </w:rPr>
              <w:t>Quality</w:t>
            </w:r>
            <w:r w:rsidR="00112693">
              <w:rPr>
                <w:noProof/>
                <w:webHidden/>
              </w:rPr>
              <w:tab/>
            </w:r>
            <w:r w:rsidR="00112693">
              <w:rPr>
                <w:noProof/>
                <w:webHidden/>
              </w:rPr>
              <w:fldChar w:fldCharType="begin"/>
            </w:r>
            <w:r w:rsidR="00112693">
              <w:rPr>
                <w:noProof/>
                <w:webHidden/>
              </w:rPr>
              <w:instrText xml:space="preserve"> PAGEREF _Toc96700849 \h </w:instrText>
            </w:r>
            <w:r w:rsidR="00112693">
              <w:rPr>
                <w:noProof/>
                <w:webHidden/>
              </w:rPr>
            </w:r>
            <w:r w:rsidR="00112693">
              <w:rPr>
                <w:noProof/>
                <w:webHidden/>
              </w:rPr>
              <w:fldChar w:fldCharType="separate"/>
            </w:r>
            <w:r w:rsidR="00112693">
              <w:rPr>
                <w:noProof/>
                <w:webHidden/>
              </w:rPr>
              <w:t>10</w:t>
            </w:r>
            <w:r w:rsidR="00112693">
              <w:rPr>
                <w:noProof/>
                <w:webHidden/>
              </w:rPr>
              <w:fldChar w:fldCharType="end"/>
            </w:r>
          </w:hyperlink>
        </w:p>
        <w:p w14:paraId="7F259853" w14:textId="2C53F5D2" w:rsidR="00112693" w:rsidRDefault="00FC4706">
          <w:pPr>
            <w:pStyle w:val="TOC2"/>
            <w:rPr>
              <w:rFonts w:asciiTheme="minorHAnsi" w:eastAsiaTheme="minorEastAsia" w:hAnsiTheme="minorHAnsi" w:cstheme="minorBidi"/>
              <w:b w:val="0"/>
              <w:noProof/>
              <w:sz w:val="22"/>
              <w:lang w:eastAsia="en-AU"/>
            </w:rPr>
          </w:pPr>
          <w:hyperlink w:anchor="_Toc96700850" w:history="1">
            <w:r w:rsidR="00112693" w:rsidRPr="009C26B8">
              <w:rPr>
                <w:rStyle w:val="Hyperlink"/>
                <w:noProof/>
              </w:rPr>
              <w:t>Nonclinical</w:t>
            </w:r>
            <w:r w:rsidR="00112693">
              <w:rPr>
                <w:noProof/>
                <w:webHidden/>
              </w:rPr>
              <w:tab/>
            </w:r>
            <w:r w:rsidR="00112693">
              <w:rPr>
                <w:noProof/>
                <w:webHidden/>
              </w:rPr>
              <w:fldChar w:fldCharType="begin"/>
            </w:r>
            <w:r w:rsidR="00112693">
              <w:rPr>
                <w:noProof/>
                <w:webHidden/>
              </w:rPr>
              <w:instrText xml:space="preserve"> PAGEREF _Toc96700850 \h </w:instrText>
            </w:r>
            <w:r w:rsidR="00112693">
              <w:rPr>
                <w:noProof/>
                <w:webHidden/>
              </w:rPr>
            </w:r>
            <w:r w:rsidR="00112693">
              <w:rPr>
                <w:noProof/>
                <w:webHidden/>
              </w:rPr>
              <w:fldChar w:fldCharType="separate"/>
            </w:r>
            <w:r w:rsidR="00112693">
              <w:rPr>
                <w:noProof/>
                <w:webHidden/>
              </w:rPr>
              <w:t>10</w:t>
            </w:r>
            <w:r w:rsidR="00112693">
              <w:rPr>
                <w:noProof/>
                <w:webHidden/>
              </w:rPr>
              <w:fldChar w:fldCharType="end"/>
            </w:r>
          </w:hyperlink>
        </w:p>
        <w:p w14:paraId="6051A0DC" w14:textId="5954938D" w:rsidR="00112693" w:rsidRDefault="00FC4706">
          <w:pPr>
            <w:pStyle w:val="TOC2"/>
            <w:rPr>
              <w:rFonts w:asciiTheme="minorHAnsi" w:eastAsiaTheme="minorEastAsia" w:hAnsiTheme="minorHAnsi" w:cstheme="minorBidi"/>
              <w:b w:val="0"/>
              <w:noProof/>
              <w:sz w:val="22"/>
              <w:lang w:eastAsia="en-AU"/>
            </w:rPr>
          </w:pPr>
          <w:hyperlink w:anchor="_Toc96700851" w:history="1">
            <w:r w:rsidR="00112693" w:rsidRPr="009C26B8">
              <w:rPr>
                <w:rStyle w:val="Hyperlink"/>
                <w:noProof/>
              </w:rPr>
              <w:t>Clinical</w:t>
            </w:r>
            <w:r w:rsidR="00112693">
              <w:rPr>
                <w:noProof/>
                <w:webHidden/>
              </w:rPr>
              <w:tab/>
            </w:r>
            <w:r w:rsidR="00112693">
              <w:rPr>
                <w:noProof/>
                <w:webHidden/>
              </w:rPr>
              <w:fldChar w:fldCharType="begin"/>
            </w:r>
            <w:r w:rsidR="00112693">
              <w:rPr>
                <w:noProof/>
                <w:webHidden/>
              </w:rPr>
              <w:instrText xml:space="preserve"> PAGEREF _Toc96700851 \h </w:instrText>
            </w:r>
            <w:r w:rsidR="00112693">
              <w:rPr>
                <w:noProof/>
                <w:webHidden/>
              </w:rPr>
            </w:r>
            <w:r w:rsidR="00112693">
              <w:rPr>
                <w:noProof/>
                <w:webHidden/>
              </w:rPr>
              <w:fldChar w:fldCharType="separate"/>
            </w:r>
            <w:r w:rsidR="00112693">
              <w:rPr>
                <w:noProof/>
                <w:webHidden/>
              </w:rPr>
              <w:t>11</w:t>
            </w:r>
            <w:r w:rsidR="00112693">
              <w:rPr>
                <w:noProof/>
                <w:webHidden/>
              </w:rPr>
              <w:fldChar w:fldCharType="end"/>
            </w:r>
          </w:hyperlink>
        </w:p>
        <w:p w14:paraId="369509BD" w14:textId="4A2E1B9A" w:rsidR="00112693" w:rsidRDefault="00FC4706">
          <w:pPr>
            <w:pStyle w:val="TOC2"/>
            <w:rPr>
              <w:rFonts w:asciiTheme="minorHAnsi" w:eastAsiaTheme="minorEastAsia" w:hAnsiTheme="minorHAnsi" w:cstheme="minorBidi"/>
              <w:b w:val="0"/>
              <w:noProof/>
              <w:sz w:val="22"/>
              <w:lang w:eastAsia="en-AU"/>
            </w:rPr>
          </w:pPr>
          <w:hyperlink w:anchor="_Toc96700852" w:history="1">
            <w:r w:rsidR="00112693" w:rsidRPr="009C26B8">
              <w:rPr>
                <w:rStyle w:val="Hyperlink"/>
                <w:noProof/>
                <w:lang w:eastAsia="en-AU"/>
              </w:rPr>
              <w:t>Risk management plan</w:t>
            </w:r>
            <w:r w:rsidR="00112693">
              <w:rPr>
                <w:noProof/>
                <w:webHidden/>
              </w:rPr>
              <w:tab/>
            </w:r>
            <w:r w:rsidR="00112693">
              <w:rPr>
                <w:noProof/>
                <w:webHidden/>
              </w:rPr>
              <w:fldChar w:fldCharType="begin"/>
            </w:r>
            <w:r w:rsidR="00112693">
              <w:rPr>
                <w:noProof/>
                <w:webHidden/>
              </w:rPr>
              <w:instrText xml:space="preserve"> PAGEREF _Toc96700852 \h </w:instrText>
            </w:r>
            <w:r w:rsidR="00112693">
              <w:rPr>
                <w:noProof/>
                <w:webHidden/>
              </w:rPr>
            </w:r>
            <w:r w:rsidR="00112693">
              <w:rPr>
                <w:noProof/>
                <w:webHidden/>
              </w:rPr>
              <w:fldChar w:fldCharType="separate"/>
            </w:r>
            <w:r w:rsidR="00112693">
              <w:rPr>
                <w:noProof/>
                <w:webHidden/>
              </w:rPr>
              <w:t>25</w:t>
            </w:r>
            <w:r w:rsidR="00112693">
              <w:rPr>
                <w:noProof/>
                <w:webHidden/>
              </w:rPr>
              <w:fldChar w:fldCharType="end"/>
            </w:r>
          </w:hyperlink>
        </w:p>
        <w:p w14:paraId="0EA36E21" w14:textId="43DE3161" w:rsidR="00112693" w:rsidRDefault="00FC4706">
          <w:pPr>
            <w:pStyle w:val="TOC2"/>
            <w:rPr>
              <w:rFonts w:asciiTheme="minorHAnsi" w:eastAsiaTheme="minorEastAsia" w:hAnsiTheme="minorHAnsi" w:cstheme="minorBidi"/>
              <w:b w:val="0"/>
              <w:noProof/>
              <w:sz w:val="22"/>
              <w:lang w:eastAsia="en-AU"/>
            </w:rPr>
          </w:pPr>
          <w:hyperlink w:anchor="_Toc96700853" w:history="1">
            <w:r w:rsidR="00112693" w:rsidRPr="009C26B8">
              <w:rPr>
                <w:rStyle w:val="Hyperlink"/>
                <w:noProof/>
              </w:rPr>
              <w:t>Risk-benefit analysis</w:t>
            </w:r>
            <w:r w:rsidR="00112693">
              <w:rPr>
                <w:noProof/>
                <w:webHidden/>
              </w:rPr>
              <w:tab/>
            </w:r>
            <w:r w:rsidR="00112693">
              <w:rPr>
                <w:noProof/>
                <w:webHidden/>
              </w:rPr>
              <w:fldChar w:fldCharType="begin"/>
            </w:r>
            <w:r w:rsidR="00112693">
              <w:rPr>
                <w:noProof/>
                <w:webHidden/>
              </w:rPr>
              <w:instrText xml:space="preserve"> PAGEREF _Toc96700853 \h </w:instrText>
            </w:r>
            <w:r w:rsidR="00112693">
              <w:rPr>
                <w:noProof/>
                <w:webHidden/>
              </w:rPr>
            </w:r>
            <w:r w:rsidR="00112693">
              <w:rPr>
                <w:noProof/>
                <w:webHidden/>
              </w:rPr>
              <w:fldChar w:fldCharType="separate"/>
            </w:r>
            <w:r w:rsidR="00112693">
              <w:rPr>
                <w:noProof/>
                <w:webHidden/>
              </w:rPr>
              <w:t>27</w:t>
            </w:r>
            <w:r w:rsidR="00112693">
              <w:rPr>
                <w:noProof/>
                <w:webHidden/>
              </w:rPr>
              <w:fldChar w:fldCharType="end"/>
            </w:r>
          </w:hyperlink>
        </w:p>
        <w:p w14:paraId="2EC4B2FE" w14:textId="540A20E3" w:rsidR="00112693" w:rsidRDefault="00FC4706">
          <w:pPr>
            <w:pStyle w:val="TOC2"/>
            <w:rPr>
              <w:rFonts w:asciiTheme="minorHAnsi" w:eastAsiaTheme="minorEastAsia" w:hAnsiTheme="minorHAnsi" w:cstheme="minorBidi"/>
              <w:b w:val="0"/>
              <w:noProof/>
              <w:sz w:val="22"/>
              <w:lang w:eastAsia="en-AU"/>
            </w:rPr>
          </w:pPr>
          <w:hyperlink w:anchor="_Toc96700854" w:history="1">
            <w:r w:rsidR="00112693" w:rsidRPr="009C26B8">
              <w:rPr>
                <w:rStyle w:val="Hyperlink"/>
                <w:noProof/>
              </w:rPr>
              <w:t>Outcome</w:t>
            </w:r>
            <w:r w:rsidR="00112693">
              <w:rPr>
                <w:noProof/>
                <w:webHidden/>
              </w:rPr>
              <w:tab/>
            </w:r>
            <w:r w:rsidR="00112693">
              <w:rPr>
                <w:noProof/>
                <w:webHidden/>
              </w:rPr>
              <w:fldChar w:fldCharType="begin"/>
            </w:r>
            <w:r w:rsidR="00112693">
              <w:rPr>
                <w:noProof/>
                <w:webHidden/>
              </w:rPr>
              <w:instrText xml:space="preserve"> PAGEREF _Toc96700854 \h </w:instrText>
            </w:r>
            <w:r w:rsidR="00112693">
              <w:rPr>
                <w:noProof/>
                <w:webHidden/>
              </w:rPr>
            </w:r>
            <w:r w:rsidR="00112693">
              <w:rPr>
                <w:noProof/>
                <w:webHidden/>
              </w:rPr>
              <w:fldChar w:fldCharType="separate"/>
            </w:r>
            <w:r w:rsidR="00112693">
              <w:rPr>
                <w:noProof/>
                <w:webHidden/>
              </w:rPr>
              <w:t>33</w:t>
            </w:r>
            <w:r w:rsidR="00112693">
              <w:rPr>
                <w:noProof/>
                <w:webHidden/>
              </w:rPr>
              <w:fldChar w:fldCharType="end"/>
            </w:r>
          </w:hyperlink>
        </w:p>
        <w:p w14:paraId="4B138D4B" w14:textId="214EC1EB" w:rsidR="00112693" w:rsidRDefault="00FC4706">
          <w:pPr>
            <w:pStyle w:val="TOC1"/>
            <w:rPr>
              <w:rFonts w:asciiTheme="minorHAnsi" w:eastAsiaTheme="minorEastAsia" w:hAnsiTheme="minorHAnsi" w:cstheme="minorBidi"/>
              <w:b w:val="0"/>
              <w:noProof/>
              <w:sz w:val="22"/>
              <w:lang w:eastAsia="en-AU"/>
            </w:rPr>
          </w:pPr>
          <w:hyperlink w:anchor="_Toc96700855" w:history="1">
            <w:r w:rsidR="00112693" w:rsidRPr="009C26B8">
              <w:rPr>
                <w:rStyle w:val="Hyperlink"/>
                <w:noProof/>
              </w:rPr>
              <w:t>Attachment 1. Product Information</w:t>
            </w:r>
            <w:r w:rsidR="00112693">
              <w:rPr>
                <w:noProof/>
                <w:webHidden/>
              </w:rPr>
              <w:tab/>
            </w:r>
            <w:r w:rsidR="00112693">
              <w:rPr>
                <w:noProof/>
                <w:webHidden/>
              </w:rPr>
              <w:fldChar w:fldCharType="begin"/>
            </w:r>
            <w:r w:rsidR="00112693">
              <w:rPr>
                <w:noProof/>
                <w:webHidden/>
              </w:rPr>
              <w:instrText xml:space="preserve"> PAGEREF _Toc96700855 \h </w:instrText>
            </w:r>
            <w:r w:rsidR="00112693">
              <w:rPr>
                <w:noProof/>
                <w:webHidden/>
              </w:rPr>
            </w:r>
            <w:r w:rsidR="00112693">
              <w:rPr>
                <w:noProof/>
                <w:webHidden/>
              </w:rPr>
              <w:fldChar w:fldCharType="separate"/>
            </w:r>
            <w:r w:rsidR="00112693">
              <w:rPr>
                <w:noProof/>
                <w:webHidden/>
              </w:rPr>
              <w:t>34</w:t>
            </w:r>
            <w:r w:rsidR="00112693">
              <w:rPr>
                <w:noProof/>
                <w:webHidden/>
              </w:rPr>
              <w:fldChar w:fldCharType="end"/>
            </w:r>
          </w:hyperlink>
        </w:p>
        <w:p w14:paraId="7DBA81ED" w14:textId="482059FA" w:rsidR="003A7F6C" w:rsidRPr="00C46BF0" w:rsidRDefault="00C525A2" w:rsidP="00C46BF0">
          <w:pPr>
            <w:pStyle w:val="TOC2"/>
          </w:pPr>
          <w:r w:rsidRPr="00C46BF0">
            <w:fldChar w:fldCharType="end"/>
          </w:r>
        </w:p>
      </w:sdtContent>
    </w:sdt>
    <w:bookmarkStart w:id="2" w:name="_Toc314842482" w:displacedByCustomXml="prev"/>
    <w:p w14:paraId="77176BDD" w14:textId="77777777" w:rsidR="00FD119B" w:rsidRPr="00C46BF0" w:rsidRDefault="00FD119B" w:rsidP="00C46BF0">
      <w:pPr>
        <w:spacing w:before="0" w:after="200" w:line="0" w:lineRule="auto"/>
      </w:pPr>
      <w:r w:rsidRPr="00C46BF0">
        <w:br w:type="page"/>
      </w:r>
    </w:p>
    <w:p w14:paraId="64E992B5" w14:textId="458BEAC4" w:rsidR="00C1580D" w:rsidRDefault="00324E45" w:rsidP="009C553A">
      <w:pPr>
        <w:pStyle w:val="Heading2"/>
      </w:pPr>
      <w:bookmarkStart w:id="3" w:name="_Toc351716269"/>
      <w:bookmarkStart w:id="4" w:name="_Toc351718881"/>
      <w:bookmarkStart w:id="5" w:name="_Toc355338616"/>
      <w:bookmarkStart w:id="6" w:name="_Toc356306144"/>
      <w:bookmarkStart w:id="7" w:name="_Toc96700841"/>
      <w:r w:rsidRPr="00C46BF0">
        <w:lastRenderedPageBreak/>
        <w:t>List of</w:t>
      </w:r>
      <w:r w:rsidR="00FD119B" w:rsidRPr="00C46BF0">
        <w:t xml:space="preserve"> abbreviations</w:t>
      </w:r>
      <w:bookmarkEnd w:id="3"/>
      <w:bookmarkEnd w:id="4"/>
      <w:bookmarkEnd w:id="5"/>
      <w:bookmarkEnd w:id="6"/>
      <w:bookmarkEnd w:id="7"/>
    </w:p>
    <w:tbl>
      <w:tblPr>
        <w:tblStyle w:val="TableTGAblue"/>
        <w:tblW w:w="8494" w:type="dxa"/>
        <w:tblInd w:w="-5" w:type="dxa"/>
        <w:tblLook w:val="04A0" w:firstRow="1" w:lastRow="0" w:firstColumn="1" w:lastColumn="0" w:noHBand="0" w:noVBand="1"/>
      </w:tblPr>
      <w:tblGrid>
        <w:gridCol w:w="1890"/>
        <w:gridCol w:w="6604"/>
      </w:tblGrid>
      <w:tr w:rsidR="00AE474B" w:rsidRPr="00C46BF0" w14:paraId="3861441C" w14:textId="77777777" w:rsidTr="002169BE">
        <w:trPr>
          <w:cnfStyle w:val="100000000000" w:firstRow="1" w:lastRow="0" w:firstColumn="0" w:lastColumn="0" w:oddVBand="0" w:evenVBand="0" w:oddHBand="0" w:evenHBand="0" w:firstRowFirstColumn="0" w:firstRowLastColumn="0" w:lastRowFirstColumn="0" w:lastRowLastColumn="0"/>
          <w:tblHeader w:val="0"/>
        </w:trPr>
        <w:tc>
          <w:tcPr>
            <w:tcW w:w="18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0B5" w:themeFill="text2" w:themeFillTint="BF"/>
          </w:tcPr>
          <w:p w14:paraId="184D8F26" w14:textId="77777777" w:rsidR="00AE474B" w:rsidRPr="00C46BF0" w:rsidRDefault="00AE474B" w:rsidP="00F95B77">
            <w:r w:rsidRPr="00C46BF0">
              <w:t>Abbreviation</w:t>
            </w:r>
          </w:p>
        </w:tc>
        <w:tc>
          <w:tcPr>
            <w:tcW w:w="66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0B5" w:themeFill="text2" w:themeFillTint="BF"/>
          </w:tcPr>
          <w:p w14:paraId="727973ED" w14:textId="77777777" w:rsidR="00AE474B" w:rsidRPr="00C46BF0" w:rsidRDefault="00AE474B" w:rsidP="00F95B77">
            <w:r w:rsidRPr="00C46BF0">
              <w:t>Meaning</w:t>
            </w:r>
          </w:p>
        </w:tc>
      </w:tr>
      <w:tr w:rsidR="009C553A" w:rsidRPr="00C46BF0" w14:paraId="5D468FD8" w14:textId="77777777" w:rsidTr="00AE474B">
        <w:tc>
          <w:tcPr>
            <w:tcW w:w="1890" w:type="dxa"/>
            <w:tcBorders>
              <w:top w:val="single" w:sz="4" w:space="0" w:color="auto"/>
            </w:tcBorders>
          </w:tcPr>
          <w:p w14:paraId="0179604A" w14:textId="77777777" w:rsidR="009C553A" w:rsidRPr="00C46BF0" w:rsidRDefault="009C553A" w:rsidP="002D2149">
            <w:r w:rsidRPr="00AE474B">
              <w:t>ACM</w:t>
            </w:r>
          </w:p>
        </w:tc>
        <w:tc>
          <w:tcPr>
            <w:tcW w:w="6604" w:type="dxa"/>
            <w:tcBorders>
              <w:top w:val="single" w:sz="4" w:space="0" w:color="auto"/>
            </w:tcBorders>
          </w:tcPr>
          <w:p w14:paraId="286F9F7F" w14:textId="77777777" w:rsidR="009C553A" w:rsidRPr="00C46BF0" w:rsidRDefault="009C553A" w:rsidP="002D2149">
            <w:r w:rsidRPr="00C46BF0">
              <w:t>Advisory Committee on Medicines</w:t>
            </w:r>
          </w:p>
        </w:tc>
      </w:tr>
      <w:tr w:rsidR="009C553A" w:rsidRPr="00C46BF0" w14:paraId="08A679BD" w14:textId="77777777" w:rsidTr="00AE474B">
        <w:tc>
          <w:tcPr>
            <w:tcW w:w="1890" w:type="dxa"/>
            <w:tcBorders>
              <w:top w:val="single" w:sz="4" w:space="0" w:color="auto"/>
            </w:tcBorders>
          </w:tcPr>
          <w:p w14:paraId="77094C76" w14:textId="77777777" w:rsidR="009C553A" w:rsidRPr="00C46BF0" w:rsidRDefault="009C553A" w:rsidP="002D2149">
            <w:r w:rsidRPr="00C46BF0">
              <w:t>ADA</w:t>
            </w:r>
          </w:p>
        </w:tc>
        <w:tc>
          <w:tcPr>
            <w:tcW w:w="6604" w:type="dxa"/>
            <w:tcBorders>
              <w:top w:val="single" w:sz="4" w:space="0" w:color="auto"/>
            </w:tcBorders>
          </w:tcPr>
          <w:p w14:paraId="3AC73E1C" w14:textId="77777777" w:rsidR="009C553A" w:rsidRPr="00C46BF0" w:rsidRDefault="009C553A" w:rsidP="002D2149">
            <w:r w:rsidRPr="00C46BF0">
              <w:t>Antidrug antibodies</w:t>
            </w:r>
          </w:p>
        </w:tc>
      </w:tr>
      <w:tr w:rsidR="009C553A" w:rsidRPr="00C46BF0" w14:paraId="7363EC09" w14:textId="77777777" w:rsidTr="00AE474B">
        <w:tc>
          <w:tcPr>
            <w:tcW w:w="1890" w:type="dxa"/>
          </w:tcPr>
          <w:p w14:paraId="7598F8A9" w14:textId="77777777" w:rsidR="009C553A" w:rsidRPr="00C46BF0" w:rsidRDefault="009C553A" w:rsidP="002D2149">
            <w:r w:rsidRPr="00C46BF0">
              <w:t>ARTG</w:t>
            </w:r>
          </w:p>
        </w:tc>
        <w:tc>
          <w:tcPr>
            <w:tcW w:w="6604" w:type="dxa"/>
          </w:tcPr>
          <w:p w14:paraId="088863A8" w14:textId="77777777" w:rsidR="009C553A" w:rsidRPr="00C46BF0" w:rsidRDefault="009C553A" w:rsidP="002D2149">
            <w:r w:rsidRPr="00C46BF0">
              <w:t>Australian Register of Therapeutic Goods</w:t>
            </w:r>
          </w:p>
        </w:tc>
      </w:tr>
      <w:tr w:rsidR="009C553A" w:rsidRPr="00C46BF0" w14:paraId="5751D8B2" w14:textId="77777777" w:rsidTr="00AE474B">
        <w:tc>
          <w:tcPr>
            <w:tcW w:w="1890" w:type="dxa"/>
          </w:tcPr>
          <w:p w14:paraId="5B630476" w14:textId="77777777" w:rsidR="009C553A" w:rsidRPr="00C46BF0" w:rsidRDefault="009C553A" w:rsidP="002D2149">
            <w:r w:rsidRPr="00C46BF0">
              <w:t>ASA</w:t>
            </w:r>
          </w:p>
        </w:tc>
        <w:tc>
          <w:tcPr>
            <w:tcW w:w="6604" w:type="dxa"/>
          </w:tcPr>
          <w:p w14:paraId="00AF11FD" w14:textId="77777777" w:rsidR="009C553A" w:rsidRPr="00C46BF0" w:rsidRDefault="009C553A" w:rsidP="002D2149">
            <w:r w:rsidRPr="00C46BF0">
              <w:t>Australian Specific Annex</w:t>
            </w:r>
          </w:p>
        </w:tc>
      </w:tr>
      <w:tr w:rsidR="009C553A" w:rsidRPr="00C46BF0" w14:paraId="5C242A8C" w14:textId="77777777" w:rsidTr="00AE474B">
        <w:tc>
          <w:tcPr>
            <w:tcW w:w="1890" w:type="dxa"/>
          </w:tcPr>
          <w:p w14:paraId="79F310EF" w14:textId="77777777" w:rsidR="009C553A" w:rsidRPr="00C46BF0" w:rsidRDefault="009C553A" w:rsidP="002D2149">
            <w:r w:rsidRPr="00C46BF0">
              <w:t>AUC</w:t>
            </w:r>
          </w:p>
        </w:tc>
        <w:tc>
          <w:tcPr>
            <w:tcW w:w="6604" w:type="dxa"/>
          </w:tcPr>
          <w:p w14:paraId="7CDD982E" w14:textId="77777777" w:rsidR="009C553A" w:rsidRPr="00C46BF0" w:rsidRDefault="009C553A" w:rsidP="002D2149">
            <w:r w:rsidRPr="00C46BF0">
              <w:t>Area under the plasma concentration time curve</w:t>
            </w:r>
          </w:p>
        </w:tc>
      </w:tr>
      <w:tr w:rsidR="009C553A" w:rsidRPr="00C46BF0" w14:paraId="6CDE0AF6" w14:textId="77777777" w:rsidTr="00AE474B">
        <w:tc>
          <w:tcPr>
            <w:tcW w:w="1890" w:type="dxa"/>
          </w:tcPr>
          <w:p w14:paraId="72813737" w14:textId="0AECFC39" w:rsidR="009C553A" w:rsidRPr="00C46BF0" w:rsidRDefault="009C553A" w:rsidP="002D2149">
            <w:r w:rsidRPr="00C46BF0">
              <w:t>AUC</w:t>
            </w:r>
            <w:r w:rsidRPr="00C46BF0">
              <w:rPr>
                <w:vertAlign w:val="subscript"/>
              </w:rPr>
              <w:t>0-2016</w:t>
            </w:r>
            <w:r w:rsidR="00BB4EFB">
              <w:rPr>
                <w:vertAlign w:val="subscript"/>
              </w:rPr>
              <w:t>h</w:t>
            </w:r>
          </w:p>
        </w:tc>
        <w:tc>
          <w:tcPr>
            <w:tcW w:w="6604" w:type="dxa"/>
          </w:tcPr>
          <w:p w14:paraId="62302A92" w14:textId="536EC2C9" w:rsidR="009C553A" w:rsidRPr="00C46BF0" w:rsidRDefault="009C553A" w:rsidP="002D2149">
            <w:r w:rsidRPr="00C46BF0">
              <w:t xml:space="preserve">Area under concentration time curve from time </w:t>
            </w:r>
            <w:r w:rsidR="008F1EC2">
              <w:t>0</w:t>
            </w:r>
            <w:r w:rsidRPr="00C46BF0">
              <w:t xml:space="preserve"> to 2016</w:t>
            </w:r>
            <w:r w:rsidR="00905793">
              <w:t xml:space="preserve"> h</w:t>
            </w:r>
            <w:r w:rsidR="00461364">
              <w:t>ours</w:t>
            </w:r>
          </w:p>
        </w:tc>
      </w:tr>
      <w:tr w:rsidR="009C553A" w:rsidRPr="00C46BF0" w14:paraId="499699DB" w14:textId="77777777" w:rsidTr="00AE474B">
        <w:tc>
          <w:tcPr>
            <w:tcW w:w="1890" w:type="dxa"/>
          </w:tcPr>
          <w:p w14:paraId="1D577D19" w14:textId="77777777" w:rsidR="009C553A" w:rsidRPr="00C46BF0" w:rsidRDefault="009C553A" w:rsidP="002D2149">
            <w:r w:rsidRPr="00C46BF0">
              <w:t>AUC</w:t>
            </w:r>
            <w:r w:rsidRPr="00C46BF0">
              <w:rPr>
                <w:vertAlign w:val="subscript"/>
              </w:rPr>
              <w:t>0-τ</w:t>
            </w:r>
          </w:p>
        </w:tc>
        <w:tc>
          <w:tcPr>
            <w:tcW w:w="6604" w:type="dxa"/>
          </w:tcPr>
          <w:p w14:paraId="4066FA21" w14:textId="714A4189" w:rsidR="009C553A" w:rsidRPr="00C46BF0" w:rsidRDefault="009C553A" w:rsidP="002D2149">
            <w:r w:rsidRPr="00C46BF0">
              <w:t xml:space="preserve">Area under concentration time curve </w:t>
            </w:r>
            <w:r w:rsidR="00F356CD" w:rsidRPr="00F356CD">
              <w:t>in a steady state dosing interval (τ)</w:t>
            </w:r>
          </w:p>
        </w:tc>
      </w:tr>
      <w:tr w:rsidR="009C553A" w:rsidRPr="00C46BF0" w14:paraId="485B55FE" w14:textId="77777777" w:rsidTr="00AE474B">
        <w:tc>
          <w:tcPr>
            <w:tcW w:w="1890" w:type="dxa"/>
          </w:tcPr>
          <w:p w14:paraId="3199468B" w14:textId="77777777" w:rsidR="009C553A" w:rsidRPr="00C46BF0" w:rsidRDefault="009C553A" w:rsidP="002D2149">
            <w:r w:rsidRPr="00C46BF0">
              <w:t>AUC</w:t>
            </w:r>
            <w:r w:rsidRPr="00C46BF0">
              <w:rPr>
                <w:vertAlign w:val="subscript"/>
              </w:rPr>
              <w:t>0-last</w:t>
            </w:r>
          </w:p>
        </w:tc>
        <w:tc>
          <w:tcPr>
            <w:tcW w:w="6604" w:type="dxa"/>
          </w:tcPr>
          <w:p w14:paraId="6034101F" w14:textId="77777777" w:rsidR="009C553A" w:rsidRPr="00C46BF0" w:rsidRDefault="009C553A" w:rsidP="002D2149">
            <w:r w:rsidRPr="00C46BF0">
              <w:t>Area under the plasma concentration time curve from time zero to the last measurable time point</w:t>
            </w:r>
          </w:p>
        </w:tc>
      </w:tr>
      <w:tr w:rsidR="009C553A" w:rsidRPr="00C46BF0" w14:paraId="2F9CE9D7" w14:textId="77777777" w:rsidTr="00AE474B">
        <w:tc>
          <w:tcPr>
            <w:tcW w:w="1890" w:type="dxa"/>
          </w:tcPr>
          <w:p w14:paraId="72FEDE37" w14:textId="77777777" w:rsidR="009C553A" w:rsidRPr="00C46BF0" w:rsidRDefault="009C553A" w:rsidP="002D2149">
            <w:r w:rsidRPr="00C46BF0">
              <w:t>BLA</w:t>
            </w:r>
          </w:p>
        </w:tc>
        <w:tc>
          <w:tcPr>
            <w:tcW w:w="6604" w:type="dxa"/>
          </w:tcPr>
          <w:p w14:paraId="369FE83B" w14:textId="4133F910" w:rsidR="009C553A" w:rsidRPr="00C46BF0" w:rsidRDefault="009C553A" w:rsidP="002D2149">
            <w:r w:rsidRPr="00C46BF0">
              <w:t xml:space="preserve">Biologics </w:t>
            </w:r>
            <w:r w:rsidR="00BB4EFB">
              <w:t>L</w:t>
            </w:r>
            <w:r w:rsidRPr="00C46BF0">
              <w:t xml:space="preserve">icense </w:t>
            </w:r>
            <w:r w:rsidR="00BB4EFB">
              <w:t>A</w:t>
            </w:r>
            <w:r w:rsidRPr="00C46BF0">
              <w:t>pplication</w:t>
            </w:r>
            <w:r w:rsidR="00BB4EFB">
              <w:t xml:space="preserve"> (Food and Drug Administration, United States of America)</w:t>
            </w:r>
          </w:p>
        </w:tc>
      </w:tr>
      <w:tr w:rsidR="009C553A" w:rsidRPr="00C46BF0" w14:paraId="7C464032" w14:textId="77777777" w:rsidTr="00AE474B">
        <w:tc>
          <w:tcPr>
            <w:tcW w:w="1890" w:type="dxa"/>
          </w:tcPr>
          <w:p w14:paraId="31C39EBE" w14:textId="77777777" w:rsidR="009C553A" w:rsidRPr="00C46BF0" w:rsidRDefault="009C553A" w:rsidP="002D2149">
            <w:r w:rsidRPr="00C46BF0">
              <w:t>CGRP</w:t>
            </w:r>
          </w:p>
        </w:tc>
        <w:tc>
          <w:tcPr>
            <w:tcW w:w="6604" w:type="dxa"/>
          </w:tcPr>
          <w:p w14:paraId="38ADBD5C" w14:textId="77777777" w:rsidR="009C553A" w:rsidRPr="00C46BF0" w:rsidRDefault="009C553A" w:rsidP="002D2149">
            <w:r w:rsidRPr="00C46BF0">
              <w:t>Calcitonin gene related peptide</w:t>
            </w:r>
          </w:p>
        </w:tc>
      </w:tr>
      <w:tr w:rsidR="009C553A" w:rsidRPr="00C46BF0" w14:paraId="1B5E8023" w14:textId="77777777" w:rsidTr="00AE474B">
        <w:tc>
          <w:tcPr>
            <w:tcW w:w="1890" w:type="dxa"/>
          </w:tcPr>
          <w:p w14:paraId="2E19ACD6" w14:textId="77777777" w:rsidR="009C553A" w:rsidRPr="00C46BF0" w:rsidRDefault="009C553A" w:rsidP="002D2149">
            <w:proofErr w:type="spellStart"/>
            <w:r w:rsidRPr="00C46BF0">
              <w:t>C</w:t>
            </w:r>
            <w:r w:rsidRPr="00C46BF0">
              <w:rPr>
                <w:vertAlign w:val="subscript"/>
              </w:rPr>
              <w:t>max</w:t>
            </w:r>
            <w:proofErr w:type="spellEnd"/>
          </w:p>
        </w:tc>
        <w:tc>
          <w:tcPr>
            <w:tcW w:w="6604" w:type="dxa"/>
          </w:tcPr>
          <w:p w14:paraId="2A084C29" w14:textId="77777777" w:rsidR="009C553A" w:rsidRPr="00C46BF0" w:rsidRDefault="009C553A" w:rsidP="002D2149">
            <w:r w:rsidRPr="00C46BF0">
              <w:t>Maximum plasma concentration</w:t>
            </w:r>
          </w:p>
        </w:tc>
      </w:tr>
      <w:tr w:rsidR="009C553A" w:rsidRPr="00C46BF0" w14:paraId="0E09E94B" w14:textId="77777777" w:rsidTr="00AE474B">
        <w:tc>
          <w:tcPr>
            <w:tcW w:w="1890" w:type="dxa"/>
          </w:tcPr>
          <w:p w14:paraId="13667DE2" w14:textId="77777777" w:rsidR="009C553A" w:rsidRPr="00C46BF0" w:rsidRDefault="009C553A" w:rsidP="002D2149">
            <w:r w:rsidRPr="00C46BF0">
              <w:t>CMI</w:t>
            </w:r>
          </w:p>
        </w:tc>
        <w:tc>
          <w:tcPr>
            <w:tcW w:w="6604" w:type="dxa"/>
          </w:tcPr>
          <w:p w14:paraId="5DF7FF4C" w14:textId="77777777" w:rsidR="009C553A" w:rsidRPr="00C46BF0" w:rsidRDefault="009C553A" w:rsidP="002D2149">
            <w:r w:rsidRPr="00C46BF0">
              <w:t>Consumer Medical Information</w:t>
            </w:r>
          </w:p>
        </w:tc>
      </w:tr>
      <w:tr w:rsidR="009C553A" w:rsidRPr="00C46BF0" w14:paraId="3BAE6DC6" w14:textId="77777777" w:rsidTr="00AE474B">
        <w:tc>
          <w:tcPr>
            <w:tcW w:w="1890" w:type="dxa"/>
          </w:tcPr>
          <w:p w14:paraId="2D479E31" w14:textId="77777777" w:rsidR="009C553A" w:rsidRPr="00C46BF0" w:rsidRDefault="009C553A" w:rsidP="002D2149">
            <w:r w:rsidRPr="00C46BF0">
              <w:t>CPD</w:t>
            </w:r>
          </w:p>
        </w:tc>
        <w:tc>
          <w:tcPr>
            <w:tcW w:w="6604" w:type="dxa"/>
          </w:tcPr>
          <w:p w14:paraId="2F8C7D44" w14:textId="77777777" w:rsidR="009C553A" w:rsidRPr="00C46BF0" w:rsidRDefault="009C553A" w:rsidP="002D2149">
            <w:r w:rsidRPr="00C46BF0">
              <w:t>Certified Product Details</w:t>
            </w:r>
          </w:p>
        </w:tc>
      </w:tr>
      <w:tr w:rsidR="009C553A" w:rsidRPr="00C46BF0" w14:paraId="0C76F5B5" w14:textId="77777777" w:rsidTr="00AE474B">
        <w:tc>
          <w:tcPr>
            <w:tcW w:w="1890" w:type="dxa"/>
          </w:tcPr>
          <w:p w14:paraId="2DB61721" w14:textId="77777777" w:rsidR="009C553A" w:rsidRPr="00C46BF0" w:rsidRDefault="009C553A" w:rsidP="002D2149">
            <w:proofErr w:type="spellStart"/>
            <w:r w:rsidRPr="00C46BF0">
              <w:t>C</w:t>
            </w:r>
            <w:r w:rsidRPr="00C46BF0">
              <w:rPr>
                <w:vertAlign w:val="subscript"/>
              </w:rPr>
              <w:t>trough</w:t>
            </w:r>
            <w:proofErr w:type="spellEnd"/>
          </w:p>
        </w:tc>
        <w:tc>
          <w:tcPr>
            <w:tcW w:w="6604" w:type="dxa"/>
          </w:tcPr>
          <w:p w14:paraId="3DA20A6E" w14:textId="77777777" w:rsidR="009C553A" w:rsidRPr="00C46BF0" w:rsidRDefault="009C553A" w:rsidP="002D2149">
            <w:r w:rsidRPr="00C46BF0">
              <w:t>Trough plasma concentration</w:t>
            </w:r>
          </w:p>
        </w:tc>
      </w:tr>
      <w:tr w:rsidR="009C553A" w:rsidRPr="00C46BF0" w14:paraId="03B674EE" w14:textId="77777777" w:rsidTr="00AE474B">
        <w:tc>
          <w:tcPr>
            <w:tcW w:w="1890" w:type="dxa"/>
          </w:tcPr>
          <w:p w14:paraId="4ABCC8C4" w14:textId="77777777" w:rsidR="009C553A" w:rsidRPr="00C46BF0" w:rsidRDefault="009C553A" w:rsidP="002D2149">
            <w:r w:rsidRPr="00C46BF0">
              <w:t>CYP450</w:t>
            </w:r>
          </w:p>
        </w:tc>
        <w:tc>
          <w:tcPr>
            <w:tcW w:w="6604" w:type="dxa"/>
          </w:tcPr>
          <w:p w14:paraId="476EE0E4" w14:textId="77777777" w:rsidR="009C553A" w:rsidRPr="00C46BF0" w:rsidRDefault="009C553A" w:rsidP="002D2149">
            <w:r w:rsidRPr="00C46BF0">
              <w:t>Cytochrome P450</w:t>
            </w:r>
          </w:p>
        </w:tc>
      </w:tr>
      <w:tr w:rsidR="009C553A" w:rsidRPr="00C46BF0" w14:paraId="3003C6F1" w14:textId="77777777" w:rsidTr="00AE474B">
        <w:tc>
          <w:tcPr>
            <w:tcW w:w="1890" w:type="dxa"/>
          </w:tcPr>
          <w:p w14:paraId="09B089BC" w14:textId="77777777" w:rsidR="009C553A" w:rsidRPr="00C46BF0" w:rsidRDefault="009C553A" w:rsidP="002D2149">
            <w:r w:rsidRPr="00C46BF0">
              <w:t>DLP</w:t>
            </w:r>
          </w:p>
        </w:tc>
        <w:tc>
          <w:tcPr>
            <w:tcW w:w="6604" w:type="dxa"/>
          </w:tcPr>
          <w:p w14:paraId="54A09869" w14:textId="77777777" w:rsidR="009C553A" w:rsidRPr="00C46BF0" w:rsidRDefault="009C553A" w:rsidP="002D2149">
            <w:r w:rsidRPr="00C46BF0">
              <w:t>Data lock point</w:t>
            </w:r>
          </w:p>
        </w:tc>
      </w:tr>
      <w:tr w:rsidR="009C553A" w:rsidRPr="00C46BF0" w14:paraId="1FDBAE77" w14:textId="77777777" w:rsidTr="00AE474B">
        <w:tc>
          <w:tcPr>
            <w:tcW w:w="1890" w:type="dxa"/>
          </w:tcPr>
          <w:p w14:paraId="1BF3DA61" w14:textId="77777777" w:rsidR="009C553A" w:rsidRPr="00C46BF0" w:rsidRDefault="009C553A" w:rsidP="002D2149">
            <w:r w:rsidRPr="00C46BF0">
              <w:t>EMEA</w:t>
            </w:r>
          </w:p>
        </w:tc>
        <w:tc>
          <w:tcPr>
            <w:tcW w:w="6604" w:type="dxa"/>
          </w:tcPr>
          <w:p w14:paraId="750D7202" w14:textId="77777777" w:rsidR="009C553A" w:rsidRPr="00C46BF0" w:rsidRDefault="009C553A" w:rsidP="002D2149">
            <w:r w:rsidRPr="00C46BF0">
              <w:t>European Medicines Evaluation Agency (European Union)</w:t>
            </w:r>
          </w:p>
        </w:tc>
      </w:tr>
      <w:tr w:rsidR="009C553A" w:rsidRPr="00C46BF0" w14:paraId="72692B1D" w14:textId="77777777" w:rsidTr="00AE474B">
        <w:tc>
          <w:tcPr>
            <w:tcW w:w="1890" w:type="dxa"/>
          </w:tcPr>
          <w:p w14:paraId="49C0C8E5" w14:textId="77777777" w:rsidR="009C553A" w:rsidRPr="00C46BF0" w:rsidRDefault="009C553A" w:rsidP="002D2149">
            <w:r w:rsidRPr="00C46BF0">
              <w:t>EU</w:t>
            </w:r>
          </w:p>
        </w:tc>
        <w:tc>
          <w:tcPr>
            <w:tcW w:w="6604" w:type="dxa"/>
          </w:tcPr>
          <w:p w14:paraId="03E7E5D7" w14:textId="77777777" w:rsidR="009C553A" w:rsidRPr="00C46BF0" w:rsidRDefault="009C553A" w:rsidP="002D2149">
            <w:r w:rsidRPr="00C46BF0">
              <w:t>European Union</w:t>
            </w:r>
          </w:p>
        </w:tc>
      </w:tr>
      <w:tr w:rsidR="009C553A" w:rsidRPr="00C46BF0" w14:paraId="3B32F9D9" w14:textId="77777777" w:rsidTr="00AE474B">
        <w:tc>
          <w:tcPr>
            <w:tcW w:w="1890" w:type="dxa"/>
          </w:tcPr>
          <w:p w14:paraId="47A7F8B6" w14:textId="77777777" w:rsidR="009C553A" w:rsidRPr="00C46BF0" w:rsidRDefault="009C553A" w:rsidP="002D2149">
            <w:r w:rsidRPr="00C46BF0">
              <w:t>FDA</w:t>
            </w:r>
          </w:p>
        </w:tc>
        <w:tc>
          <w:tcPr>
            <w:tcW w:w="6604" w:type="dxa"/>
          </w:tcPr>
          <w:p w14:paraId="11FD3DA7" w14:textId="6201726E" w:rsidR="009C553A" w:rsidRPr="00C46BF0" w:rsidRDefault="009C553A" w:rsidP="002D2149">
            <w:r w:rsidRPr="00C46BF0">
              <w:t>Food and Drug Administration (United States</w:t>
            </w:r>
            <w:r w:rsidR="00BB4EFB">
              <w:t xml:space="preserve"> of America</w:t>
            </w:r>
            <w:r w:rsidRPr="00C46BF0">
              <w:t>)</w:t>
            </w:r>
          </w:p>
        </w:tc>
      </w:tr>
      <w:tr w:rsidR="009C553A" w:rsidRPr="00C46BF0" w14:paraId="1A7280C3" w14:textId="77777777" w:rsidTr="00AE474B">
        <w:tc>
          <w:tcPr>
            <w:tcW w:w="1890" w:type="dxa"/>
          </w:tcPr>
          <w:p w14:paraId="2DA7CCEE" w14:textId="77777777" w:rsidR="009C553A" w:rsidRPr="00C46BF0" w:rsidRDefault="009C553A" w:rsidP="002D2149">
            <w:r w:rsidRPr="00C46BF0">
              <w:t>GMP</w:t>
            </w:r>
          </w:p>
        </w:tc>
        <w:tc>
          <w:tcPr>
            <w:tcW w:w="6604" w:type="dxa"/>
          </w:tcPr>
          <w:p w14:paraId="196D8ACC" w14:textId="77777777" w:rsidR="009C553A" w:rsidRPr="00C46BF0" w:rsidRDefault="009C553A" w:rsidP="002D2149">
            <w:r w:rsidRPr="00C46BF0">
              <w:t>Good Manufacturing Practice</w:t>
            </w:r>
          </w:p>
        </w:tc>
      </w:tr>
      <w:tr w:rsidR="009C553A" w:rsidRPr="00C46BF0" w14:paraId="7821B5A8" w14:textId="77777777" w:rsidTr="00AE474B">
        <w:tc>
          <w:tcPr>
            <w:tcW w:w="1890" w:type="dxa"/>
          </w:tcPr>
          <w:p w14:paraId="35C28BB6" w14:textId="01E6AFC9" w:rsidR="009C553A" w:rsidRPr="00C46BF0" w:rsidRDefault="009C553A" w:rsidP="002D2149">
            <w:r w:rsidRPr="00C46BF0">
              <w:t>GP</w:t>
            </w:r>
          </w:p>
        </w:tc>
        <w:tc>
          <w:tcPr>
            <w:tcW w:w="6604" w:type="dxa"/>
          </w:tcPr>
          <w:p w14:paraId="03769AEA" w14:textId="09F264C0" w:rsidR="009C553A" w:rsidRPr="00C46BF0" w:rsidRDefault="009C553A" w:rsidP="002D2149">
            <w:r w:rsidRPr="00C46BF0">
              <w:t>General practitioner</w:t>
            </w:r>
          </w:p>
        </w:tc>
      </w:tr>
      <w:tr w:rsidR="009C553A" w:rsidRPr="00C46BF0" w14:paraId="195619AA" w14:textId="77777777" w:rsidTr="00AE474B">
        <w:tc>
          <w:tcPr>
            <w:tcW w:w="1890" w:type="dxa"/>
          </w:tcPr>
          <w:p w14:paraId="4042E624" w14:textId="77777777" w:rsidR="009C553A" w:rsidRPr="00C46BF0" w:rsidRDefault="009C553A" w:rsidP="002D2149">
            <w:r w:rsidRPr="00C46BF0">
              <w:t>GVP</w:t>
            </w:r>
          </w:p>
        </w:tc>
        <w:tc>
          <w:tcPr>
            <w:tcW w:w="6604" w:type="dxa"/>
          </w:tcPr>
          <w:p w14:paraId="6183D382" w14:textId="77777777" w:rsidR="009C553A" w:rsidRPr="00C46BF0" w:rsidRDefault="009C553A" w:rsidP="002D2149">
            <w:r w:rsidRPr="00C46BF0">
              <w:t>Good Pharmacovigilance Practices</w:t>
            </w:r>
          </w:p>
        </w:tc>
      </w:tr>
      <w:tr w:rsidR="009C553A" w:rsidRPr="00C46BF0" w14:paraId="268B3007" w14:textId="77777777" w:rsidTr="00AE474B">
        <w:tc>
          <w:tcPr>
            <w:tcW w:w="1890" w:type="dxa"/>
          </w:tcPr>
          <w:p w14:paraId="172356C4" w14:textId="77777777" w:rsidR="009C553A" w:rsidRPr="00C46BF0" w:rsidRDefault="009C553A" w:rsidP="002D2149">
            <w:r w:rsidRPr="00C46BF0">
              <w:t>HIT-6</w:t>
            </w:r>
          </w:p>
        </w:tc>
        <w:tc>
          <w:tcPr>
            <w:tcW w:w="6604" w:type="dxa"/>
          </w:tcPr>
          <w:p w14:paraId="41C46609" w14:textId="77777777" w:rsidR="009C553A" w:rsidRPr="00C46BF0" w:rsidRDefault="009C553A" w:rsidP="002D2149">
            <w:r w:rsidRPr="00C46BF0">
              <w:t xml:space="preserve">Headache impact </w:t>
            </w:r>
            <w:proofErr w:type="gramStart"/>
            <w:r w:rsidRPr="00C46BF0">
              <w:t>test-6</w:t>
            </w:r>
            <w:proofErr w:type="gramEnd"/>
          </w:p>
        </w:tc>
      </w:tr>
      <w:tr w:rsidR="009C553A" w:rsidRPr="00C46BF0" w14:paraId="6BDFF2EA" w14:textId="77777777" w:rsidTr="00AE474B">
        <w:tc>
          <w:tcPr>
            <w:tcW w:w="1890" w:type="dxa"/>
          </w:tcPr>
          <w:p w14:paraId="44BE3E54" w14:textId="77777777" w:rsidR="009C553A" w:rsidRPr="00C46BF0" w:rsidRDefault="009C553A" w:rsidP="002D2149">
            <w:r w:rsidRPr="00C46BF0">
              <w:lastRenderedPageBreak/>
              <w:t>ICHD-II</w:t>
            </w:r>
          </w:p>
        </w:tc>
        <w:tc>
          <w:tcPr>
            <w:tcW w:w="6604" w:type="dxa"/>
          </w:tcPr>
          <w:p w14:paraId="516A08C9" w14:textId="12DDAF5F" w:rsidR="009C553A" w:rsidRPr="00C46BF0" w:rsidRDefault="00BB4EFB" w:rsidP="002D2149">
            <w:r>
              <w:t>I</w:t>
            </w:r>
            <w:r w:rsidR="009C553A" w:rsidRPr="00C46BF0">
              <w:t>nt</w:t>
            </w:r>
            <w:r>
              <w:t>e</w:t>
            </w:r>
            <w:r w:rsidR="009C553A" w:rsidRPr="00C46BF0">
              <w:t xml:space="preserve">rnational </w:t>
            </w:r>
            <w:r>
              <w:t>C</w:t>
            </w:r>
            <w:r w:rsidR="009C553A" w:rsidRPr="00C46BF0">
              <w:t xml:space="preserve">lassification of </w:t>
            </w:r>
            <w:r>
              <w:t>H</w:t>
            </w:r>
            <w:r w:rsidR="009C553A" w:rsidRPr="00C46BF0">
              <w:t xml:space="preserve">eadache </w:t>
            </w:r>
            <w:r>
              <w:t>D</w:t>
            </w:r>
            <w:r w:rsidR="009C553A" w:rsidRPr="00C46BF0">
              <w:t>isorders</w:t>
            </w:r>
            <w:r>
              <w:t>,</w:t>
            </w:r>
            <w:r w:rsidR="009C553A" w:rsidRPr="00C46BF0">
              <w:t xml:space="preserve"> second edition</w:t>
            </w:r>
          </w:p>
        </w:tc>
      </w:tr>
      <w:tr w:rsidR="009C553A" w:rsidRPr="00C46BF0" w14:paraId="1966E0A3" w14:textId="77777777" w:rsidTr="00AE474B">
        <w:tc>
          <w:tcPr>
            <w:tcW w:w="1890" w:type="dxa"/>
          </w:tcPr>
          <w:p w14:paraId="0976EA6E" w14:textId="77777777" w:rsidR="009C553A" w:rsidRPr="00C46BF0" w:rsidRDefault="009C553A" w:rsidP="002D2149">
            <w:r w:rsidRPr="00C46BF0">
              <w:t>IgG</w:t>
            </w:r>
          </w:p>
        </w:tc>
        <w:tc>
          <w:tcPr>
            <w:tcW w:w="6604" w:type="dxa"/>
          </w:tcPr>
          <w:p w14:paraId="320C3556" w14:textId="77777777" w:rsidR="009C553A" w:rsidRPr="00C46BF0" w:rsidRDefault="009C553A" w:rsidP="002D2149">
            <w:r w:rsidRPr="00C46BF0">
              <w:t>Immunoglobulin G</w:t>
            </w:r>
          </w:p>
        </w:tc>
      </w:tr>
      <w:tr w:rsidR="009C553A" w:rsidRPr="00C46BF0" w14:paraId="22D87A53" w14:textId="77777777" w:rsidTr="00AE474B">
        <w:tc>
          <w:tcPr>
            <w:tcW w:w="1890" w:type="dxa"/>
          </w:tcPr>
          <w:p w14:paraId="1AC49021" w14:textId="77777777" w:rsidR="009C553A" w:rsidRPr="00C46BF0" w:rsidRDefault="009C553A" w:rsidP="002D2149">
            <w:r w:rsidRPr="00C46BF0">
              <w:t>IHS</w:t>
            </w:r>
          </w:p>
        </w:tc>
        <w:tc>
          <w:tcPr>
            <w:tcW w:w="6604" w:type="dxa"/>
          </w:tcPr>
          <w:p w14:paraId="01D9FD56" w14:textId="77777777" w:rsidR="009C553A" w:rsidRPr="00C46BF0" w:rsidRDefault="009C553A" w:rsidP="002D2149">
            <w:r w:rsidRPr="00C46BF0">
              <w:t>International Headache Society</w:t>
            </w:r>
          </w:p>
        </w:tc>
      </w:tr>
      <w:tr w:rsidR="009C553A" w:rsidRPr="00C46BF0" w14:paraId="22D363E5" w14:textId="77777777" w:rsidTr="00AE474B">
        <w:tc>
          <w:tcPr>
            <w:tcW w:w="1890" w:type="dxa"/>
          </w:tcPr>
          <w:p w14:paraId="65D990D4" w14:textId="77777777" w:rsidR="009C553A" w:rsidRPr="00C46BF0" w:rsidRDefault="009C553A" w:rsidP="002D2149">
            <w:r w:rsidRPr="00C46BF0">
              <w:t>IMP</w:t>
            </w:r>
          </w:p>
        </w:tc>
        <w:tc>
          <w:tcPr>
            <w:tcW w:w="6604" w:type="dxa"/>
          </w:tcPr>
          <w:p w14:paraId="6695FB37" w14:textId="77777777" w:rsidR="009C553A" w:rsidRPr="00C46BF0" w:rsidRDefault="009C553A" w:rsidP="002D2149">
            <w:r w:rsidRPr="00C46BF0">
              <w:t>Investigational medicinal product</w:t>
            </w:r>
          </w:p>
        </w:tc>
      </w:tr>
      <w:tr w:rsidR="009C553A" w:rsidRPr="00C46BF0" w14:paraId="4A613C60" w14:textId="77777777" w:rsidTr="00AE474B">
        <w:tc>
          <w:tcPr>
            <w:tcW w:w="1890" w:type="dxa"/>
          </w:tcPr>
          <w:p w14:paraId="22AC05C9" w14:textId="77777777" w:rsidR="009C553A" w:rsidRPr="00C46BF0" w:rsidRDefault="009C553A" w:rsidP="002D2149">
            <w:r w:rsidRPr="00C46BF0">
              <w:t>MAA</w:t>
            </w:r>
          </w:p>
        </w:tc>
        <w:tc>
          <w:tcPr>
            <w:tcW w:w="6604" w:type="dxa"/>
          </w:tcPr>
          <w:p w14:paraId="3C66AF56" w14:textId="77777777" w:rsidR="009C553A" w:rsidRPr="00C46BF0" w:rsidRDefault="009C553A" w:rsidP="002D2149">
            <w:r w:rsidRPr="00C46BF0">
              <w:t>Marketing authorisation application</w:t>
            </w:r>
          </w:p>
        </w:tc>
      </w:tr>
      <w:tr w:rsidR="009C553A" w:rsidRPr="00C46BF0" w14:paraId="6A8CCEAE" w14:textId="77777777" w:rsidTr="00AE474B">
        <w:tc>
          <w:tcPr>
            <w:tcW w:w="1890" w:type="dxa"/>
          </w:tcPr>
          <w:p w14:paraId="0F560951" w14:textId="77777777" w:rsidR="009C553A" w:rsidRPr="00C46BF0" w:rsidRDefault="009C553A" w:rsidP="002D2149">
            <w:r w:rsidRPr="00C46BF0">
              <w:t>MDD</w:t>
            </w:r>
          </w:p>
        </w:tc>
        <w:tc>
          <w:tcPr>
            <w:tcW w:w="6604" w:type="dxa"/>
          </w:tcPr>
          <w:p w14:paraId="72B0251D" w14:textId="77777777" w:rsidR="009C553A" w:rsidRPr="00C46BF0" w:rsidRDefault="009C553A" w:rsidP="002D2149">
            <w:r w:rsidRPr="00C46BF0">
              <w:t>Major depressive disorder</w:t>
            </w:r>
          </w:p>
        </w:tc>
      </w:tr>
      <w:tr w:rsidR="009C553A" w:rsidRPr="00C46BF0" w14:paraId="5342EB90" w14:textId="77777777" w:rsidTr="00AE474B">
        <w:tc>
          <w:tcPr>
            <w:tcW w:w="1890" w:type="dxa"/>
          </w:tcPr>
          <w:p w14:paraId="36E1E0DF" w14:textId="77777777" w:rsidR="009C553A" w:rsidRPr="00C46BF0" w:rsidRDefault="009C553A" w:rsidP="002D2149">
            <w:r w:rsidRPr="00C46BF0">
              <w:t>MOH</w:t>
            </w:r>
          </w:p>
        </w:tc>
        <w:tc>
          <w:tcPr>
            <w:tcW w:w="6604" w:type="dxa"/>
          </w:tcPr>
          <w:p w14:paraId="127CA7ED" w14:textId="77777777" w:rsidR="009C553A" w:rsidRPr="00C46BF0" w:rsidRDefault="009C553A" w:rsidP="002D2149">
            <w:r w:rsidRPr="00C46BF0">
              <w:t>Medication overuse headache</w:t>
            </w:r>
          </w:p>
        </w:tc>
      </w:tr>
      <w:tr w:rsidR="009C553A" w:rsidRPr="00C46BF0" w14:paraId="666D18CD" w14:textId="77777777" w:rsidTr="00AE474B">
        <w:tc>
          <w:tcPr>
            <w:tcW w:w="1890" w:type="dxa"/>
          </w:tcPr>
          <w:p w14:paraId="4953E38E" w14:textId="1994B136" w:rsidR="009C553A" w:rsidRPr="00C46BF0" w:rsidRDefault="009C553A" w:rsidP="002D2149">
            <w:proofErr w:type="spellStart"/>
            <w:r w:rsidRPr="00C46BF0">
              <w:t>N</w:t>
            </w:r>
            <w:r w:rsidR="00721B8B">
              <w:t>A</w:t>
            </w:r>
            <w:r w:rsidRPr="00C46BF0">
              <w:t>b</w:t>
            </w:r>
            <w:proofErr w:type="spellEnd"/>
          </w:p>
        </w:tc>
        <w:tc>
          <w:tcPr>
            <w:tcW w:w="6604" w:type="dxa"/>
          </w:tcPr>
          <w:p w14:paraId="324D9C2C" w14:textId="52A55527" w:rsidR="009C553A" w:rsidRPr="00C46BF0" w:rsidRDefault="008277E8" w:rsidP="002D2149">
            <w:r>
              <w:t>Neutralising antibody</w:t>
            </w:r>
          </w:p>
        </w:tc>
      </w:tr>
      <w:tr w:rsidR="009C553A" w:rsidRPr="00C46BF0" w14:paraId="318BAB24" w14:textId="77777777" w:rsidTr="00AE474B">
        <w:tc>
          <w:tcPr>
            <w:tcW w:w="1890" w:type="dxa"/>
          </w:tcPr>
          <w:p w14:paraId="025D61FE" w14:textId="77777777" w:rsidR="009C553A" w:rsidRPr="00C46BF0" w:rsidRDefault="009C553A" w:rsidP="002D2149">
            <w:r w:rsidRPr="00C46BF0">
              <w:t>PBRER</w:t>
            </w:r>
          </w:p>
        </w:tc>
        <w:tc>
          <w:tcPr>
            <w:tcW w:w="6604" w:type="dxa"/>
          </w:tcPr>
          <w:p w14:paraId="538507DE" w14:textId="77777777" w:rsidR="009C553A" w:rsidRPr="00C46BF0" w:rsidRDefault="009C553A" w:rsidP="002D2149">
            <w:r w:rsidRPr="00C46BF0">
              <w:t>Periodic benefit-risk evaluation report</w:t>
            </w:r>
          </w:p>
        </w:tc>
      </w:tr>
      <w:tr w:rsidR="009C553A" w:rsidRPr="00C46BF0" w14:paraId="7F5813EF" w14:textId="77777777" w:rsidTr="00AE474B">
        <w:tc>
          <w:tcPr>
            <w:tcW w:w="1890" w:type="dxa"/>
          </w:tcPr>
          <w:p w14:paraId="5631463D" w14:textId="77777777" w:rsidR="009C553A" w:rsidRPr="00C46BF0" w:rsidRDefault="009C553A" w:rsidP="002D2149">
            <w:r w:rsidRPr="00C46BF0">
              <w:t>PE</w:t>
            </w:r>
          </w:p>
        </w:tc>
        <w:tc>
          <w:tcPr>
            <w:tcW w:w="6604" w:type="dxa"/>
          </w:tcPr>
          <w:p w14:paraId="3B607AE9" w14:textId="77777777" w:rsidR="009C553A" w:rsidRPr="00C46BF0" w:rsidRDefault="009C553A" w:rsidP="002D2149">
            <w:r w:rsidRPr="00C46BF0">
              <w:t>Polyethylene</w:t>
            </w:r>
          </w:p>
        </w:tc>
      </w:tr>
      <w:tr w:rsidR="009C553A" w:rsidRPr="00C46BF0" w14:paraId="0C87E535" w14:textId="77777777" w:rsidTr="00AE474B">
        <w:tc>
          <w:tcPr>
            <w:tcW w:w="1890" w:type="dxa"/>
          </w:tcPr>
          <w:p w14:paraId="7101A91D" w14:textId="77777777" w:rsidR="009C553A" w:rsidRPr="00C46BF0" w:rsidRDefault="009C553A" w:rsidP="002D2149">
            <w:r w:rsidRPr="00C46BF0">
              <w:t>PI</w:t>
            </w:r>
          </w:p>
        </w:tc>
        <w:tc>
          <w:tcPr>
            <w:tcW w:w="6604" w:type="dxa"/>
          </w:tcPr>
          <w:p w14:paraId="67C1AFF3" w14:textId="77777777" w:rsidR="009C553A" w:rsidRPr="00C46BF0" w:rsidRDefault="009C553A" w:rsidP="002D2149">
            <w:r w:rsidRPr="00C46BF0">
              <w:t>Product Information</w:t>
            </w:r>
          </w:p>
        </w:tc>
      </w:tr>
      <w:tr w:rsidR="009C553A" w:rsidRPr="00C46BF0" w14:paraId="56A8C54E" w14:textId="77777777" w:rsidTr="00AE474B">
        <w:tc>
          <w:tcPr>
            <w:tcW w:w="1890" w:type="dxa"/>
          </w:tcPr>
          <w:p w14:paraId="5470D342" w14:textId="77777777" w:rsidR="009C553A" w:rsidRPr="00C46BF0" w:rsidRDefault="009C553A" w:rsidP="002D2149">
            <w:r w:rsidRPr="00C46BF0">
              <w:t>PK</w:t>
            </w:r>
          </w:p>
        </w:tc>
        <w:tc>
          <w:tcPr>
            <w:tcW w:w="6604" w:type="dxa"/>
          </w:tcPr>
          <w:p w14:paraId="07655CE1" w14:textId="77777777" w:rsidR="009C553A" w:rsidRPr="00C46BF0" w:rsidRDefault="009C553A" w:rsidP="002D2149">
            <w:r w:rsidRPr="00C46BF0">
              <w:t>Pharmacokinetic(s)</w:t>
            </w:r>
          </w:p>
        </w:tc>
      </w:tr>
      <w:tr w:rsidR="009C553A" w:rsidRPr="00C46BF0" w14:paraId="51B28736" w14:textId="77777777" w:rsidTr="00AE474B">
        <w:tc>
          <w:tcPr>
            <w:tcW w:w="1890" w:type="dxa"/>
          </w:tcPr>
          <w:p w14:paraId="23A62990" w14:textId="77777777" w:rsidR="009C553A" w:rsidRPr="00C46BF0" w:rsidRDefault="009C553A" w:rsidP="002D2149">
            <w:proofErr w:type="spellStart"/>
            <w:r w:rsidRPr="00C46BF0">
              <w:t>PopPK</w:t>
            </w:r>
            <w:proofErr w:type="spellEnd"/>
          </w:p>
        </w:tc>
        <w:tc>
          <w:tcPr>
            <w:tcW w:w="6604" w:type="dxa"/>
          </w:tcPr>
          <w:p w14:paraId="38954631" w14:textId="77777777" w:rsidR="009C553A" w:rsidRPr="00C46BF0" w:rsidRDefault="009C553A" w:rsidP="002D2149">
            <w:r w:rsidRPr="00C46BF0">
              <w:t>Population pharmacokinetic(s)</w:t>
            </w:r>
          </w:p>
        </w:tc>
      </w:tr>
      <w:tr w:rsidR="009C553A" w:rsidRPr="00C46BF0" w14:paraId="0C6057B4" w14:textId="77777777" w:rsidTr="00AE474B">
        <w:tc>
          <w:tcPr>
            <w:tcW w:w="1890" w:type="dxa"/>
          </w:tcPr>
          <w:p w14:paraId="48FA1269" w14:textId="77777777" w:rsidR="009C553A" w:rsidRPr="00C46BF0" w:rsidRDefault="009C553A" w:rsidP="002D2149">
            <w:r w:rsidRPr="00C46BF0">
              <w:t>PSUR</w:t>
            </w:r>
          </w:p>
        </w:tc>
        <w:tc>
          <w:tcPr>
            <w:tcW w:w="6604" w:type="dxa"/>
          </w:tcPr>
          <w:p w14:paraId="3CA12049" w14:textId="77777777" w:rsidR="009C553A" w:rsidRPr="00C46BF0" w:rsidRDefault="009C553A" w:rsidP="002D2149">
            <w:r w:rsidRPr="00C46BF0">
              <w:t>Periodic safety update report</w:t>
            </w:r>
          </w:p>
        </w:tc>
      </w:tr>
      <w:tr w:rsidR="009C553A" w:rsidRPr="00C46BF0" w14:paraId="2BC12CE9" w14:textId="77777777" w:rsidTr="00AE474B">
        <w:tc>
          <w:tcPr>
            <w:tcW w:w="1890" w:type="dxa"/>
          </w:tcPr>
          <w:p w14:paraId="67115D4B" w14:textId="77777777" w:rsidR="009C553A" w:rsidRPr="00C46BF0" w:rsidRDefault="009C553A" w:rsidP="002D2149">
            <w:r w:rsidRPr="00C46BF0">
              <w:t>PTSD</w:t>
            </w:r>
          </w:p>
        </w:tc>
        <w:tc>
          <w:tcPr>
            <w:tcW w:w="6604" w:type="dxa"/>
          </w:tcPr>
          <w:p w14:paraId="2034FC56" w14:textId="77777777" w:rsidR="009C553A" w:rsidRPr="00C46BF0" w:rsidRDefault="009C553A" w:rsidP="002D2149">
            <w:r w:rsidRPr="00C46BF0">
              <w:t>Post-traumatic stress disorder</w:t>
            </w:r>
          </w:p>
        </w:tc>
      </w:tr>
      <w:tr w:rsidR="009C553A" w:rsidRPr="00C46BF0" w14:paraId="124544C6" w14:textId="77777777" w:rsidTr="00AE474B">
        <w:tc>
          <w:tcPr>
            <w:tcW w:w="1890" w:type="dxa"/>
          </w:tcPr>
          <w:p w14:paraId="2CE4ACEE" w14:textId="77777777" w:rsidR="009C553A" w:rsidRPr="00C46BF0" w:rsidRDefault="009C553A" w:rsidP="002D2149">
            <w:r w:rsidRPr="00C46BF0">
              <w:t>PVC</w:t>
            </w:r>
          </w:p>
        </w:tc>
        <w:tc>
          <w:tcPr>
            <w:tcW w:w="6604" w:type="dxa"/>
          </w:tcPr>
          <w:p w14:paraId="5BCAE879" w14:textId="77777777" w:rsidR="009C553A" w:rsidRPr="00C46BF0" w:rsidRDefault="009C553A" w:rsidP="002D2149">
            <w:r w:rsidRPr="00C46BF0">
              <w:t>Polyvinyl chloride</w:t>
            </w:r>
          </w:p>
        </w:tc>
      </w:tr>
      <w:tr w:rsidR="009C553A" w:rsidRPr="00C46BF0" w14:paraId="6A830138" w14:textId="77777777" w:rsidTr="00AE474B">
        <w:tc>
          <w:tcPr>
            <w:tcW w:w="1890" w:type="dxa"/>
          </w:tcPr>
          <w:p w14:paraId="066C191B" w14:textId="77777777" w:rsidR="009C553A" w:rsidRPr="00C46BF0" w:rsidRDefault="009C553A" w:rsidP="002D2149">
            <w:proofErr w:type="spellStart"/>
            <w:r w:rsidRPr="00C46BF0">
              <w:t>REDCap</w:t>
            </w:r>
            <w:proofErr w:type="spellEnd"/>
          </w:p>
        </w:tc>
        <w:tc>
          <w:tcPr>
            <w:tcW w:w="6604" w:type="dxa"/>
          </w:tcPr>
          <w:p w14:paraId="7C0BC49F" w14:textId="77777777" w:rsidR="009C553A" w:rsidRPr="00C46BF0" w:rsidRDefault="009C553A" w:rsidP="002D2149">
            <w:r w:rsidRPr="00C46BF0">
              <w:t>Research Electronic Data Capture</w:t>
            </w:r>
          </w:p>
        </w:tc>
      </w:tr>
      <w:tr w:rsidR="009C553A" w:rsidRPr="00C46BF0" w14:paraId="32FC9311" w14:textId="77777777" w:rsidTr="00AE474B">
        <w:tc>
          <w:tcPr>
            <w:tcW w:w="1890" w:type="dxa"/>
          </w:tcPr>
          <w:p w14:paraId="3ED2AC1E" w14:textId="77777777" w:rsidR="009C553A" w:rsidRPr="00C46BF0" w:rsidRDefault="009C553A" w:rsidP="002D2149">
            <w:r w:rsidRPr="00C46BF0">
              <w:t>RMP</w:t>
            </w:r>
          </w:p>
        </w:tc>
        <w:tc>
          <w:tcPr>
            <w:tcW w:w="6604" w:type="dxa"/>
          </w:tcPr>
          <w:p w14:paraId="3321CE85" w14:textId="77777777" w:rsidR="009C553A" w:rsidRPr="00C46BF0" w:rsidRDefault="009C553A" w:rsidP="002D2149">
            <w:r w:rsidRPr="00C46BF0">
              <w:t>Risk management plan</w:t>
            </w:r>
          </w:p>
        </w:tc>
      </w:tr>
      <w:tr w:rsidR="009C553A" w:rsidRPr="00C46BF0" w14:paraId="03853460" w14:textId="77777777" w:rsidTr="00AE474B">
        <w:tc>
          <w:tcPr>
            <w:tcW w:w="1890" w:type="dxa"/>
          </w:tcPr>
          <w:p w14:paraId="1EA2C958" w14:textId="73033777" w:rsidR="009C553A" w:rsidRPr="00C46BF0" w:rsidRDefault="009C553A" w:rsidP="002D2149">
            <w:r w:rsidRPr="00C46BF0">
              <w:t>SAE</w:t>
            </w:r>
          </w:p>
        </w:tc>
        <w:tc>
          <w:tcPr>
            <w:tcW w:w="6604" w:type="dxa"/>
          </w:tcPr>
          <w:p w14:paraId="66130A76" w14:textId="5D73CF9B" w:rsidR="009C553A" w:rsidRPr="00C46BF0" w:rsidRDefault="009C553A" w:rsidP="002D2149">
            <w:r w:rsidRPr="00C46BF0">
              <w:t>Serious adverse event</w:t>
            </w:r>
          </w:p>
        </w:tc>
      </w:tr>
      <w:tr w:rsidR="009C553A" w:rsidRPr="00C46BF0" w14:paraId="280517D9" w14:textId="77777777" w:rsidTr="00AE474B">
        <w:tc>
          <w:tcPr>
            <w:tcW w:w="1890" w:type="dxa"/>
          </w:tcPr>
          <w:p w14:paraId="14678612" w14:textId="77777777" w:rsidR="009C553A" w:rsidRPr="00C46BF0" w:rsidRDefault="009C553A" w:rsidP="002D2149">
            <w:r w:rsidRPr="00C46BF0">
              <w:t>SMQ</w:t>
            </w:r>
          </w:p>
        </w:tc>
        <w:tc>
          <w:tcPr>
            <w:tcW w:w="6604" w:type="dxa"/>
          </w:tcPr>
          <w:p w14:paraId="628F2180" w14:textId="7F7C9389" w:rsidR="009C553A" w:rsidRPr="00C46BF0" w:rsidRDefault="007E6DF6" w:rsidP="002D2149">
            <w:r>
              <w:t>Stand</w:t>
            </w:r>
            <w:r w:rsidR="00F30194">
              <w:t xml:space="preserve">ardised </w:t>
            </w:r>
            <w:r w:rsidR="00B33DA7" w:rsidRPr="00B33DA7">
              <w:t xml:space="preserve">Medical Dictionary for Regulatory Activities </w:t>
            </w:r>
            <w:r w:rsidR="00B33DA7">
              <w:t>(</w:t>
            </w:r>
            <w:r w:rsidR="00F30194">
              <w:t>MedDRA</w:t>
            </w:r>
            <w:r w:rsidR="00B33DA7">
              <w:t>)</w:t>
            </w:r>
            <w:r w:rsidR="00F30194">
              <w:t xml:space="preserve"> Query</w:t>
            </w:r>
          </w:p>
        </w:tc>
      </w:tr>
      <w:tr w:rsidR="009C553A" w:rsidRPr="00C46BF0" w14:paraId="33C8B062" w14:textId="77777777" w:rsidTr="00AE474B">
        <w:tc>
          <w:tcPr>
            <w:tcW w:w="1890" w:type="dxa"/>
          </w:tcPr>
          <w:p w14:paraId="6670AC55" w14:textId="77777777" w:rsidR="009C553A" w:rsidRPr="00C46BF0" w:rsidRDefault="009C553A" w:rsidP="002D2149">
            <w:r w:rsidRPr="00C46BF0">
              <w:t>T</w:t>
            </w:r>
            <w:r w:rsidRPr="00C46BF0">
              <w:rPr>
                <w:vertAlign w:val="subscript"/>
              </w:rPr>
              <w:t>½</w:t>
            </w:r>
          </w:p>
        </w:tc>
        <w:tc>
          <w:tcPr>
            <w:tcW w:w="6604" w:type="dxa"/>
          </w:tcPr>
          <w:p w14:paraId="0B90242E" w14:textId="77777777" w:rsidR="009C553A" w:rsidRPr="00C46BF0" w:rsidRDefault="009C553A" w:rsidP="002D2149">
            <w:r w:rsidRPr="00C46BF0">
              <w:t>Terminal drug half-life</w:t>
            </w:r>
          </w:p>
        </w:tc>
      </w:tr>
      <w:tr w:rsidR="009C553A" w:rsidRPr="00C46BF0" w14:paraId="03DFA3E6" w14:textId="77777777" w:rsidTr="00AE474B">
        <w:tc>
          <w:tcPr>
            <w:tcW w:w="1890" w:type="dxa"/>
          </w:tcPr>
          <w:p w14:paraId="352377DE" w14:textId="77777777" w:rsidR="009C553A" w:rsidRPr="00C46BF0" w:rsidRDefault="009C553A" w:rsidP="002D2149">
            <w:r w:rsidRPr="00C46BF0">
              <w:t>TEAE</w:t>
            </w:r>
          </w:p>
        </w:tc>
        <w:tc>
          <w:tcPr>
            <w:tcW w:w="6604" w:type="dxa"/>
          </w:tcPr>
          <w:p w14:paraId="2CBA5871" w14:textId="77777777" w:rsidR="009C553A" w:rsidRPr="00C46BF0" w:rsidRDefault="009C553A" w:rsidP="002D2149">
            <w:r w:rsidRPr="00C46BF0">
              <w:t>Treatment emergent adverse event</w:t>
            </w:r>
          </w:p>
        </w:tc>
      </w:tr>
      <w:tr w:rsidR="009C553A" w:rsidRPr="00C46BF0" w14:paraId="67CCE195" w14:textId="77777777" w:rsidTr="00AE474B">
        <w:tc>
          <w:tcPr>
            <w:tcW w:w="1890" w:type="dxa"/>
          </w:tcPr>
          <w:p w14:paraId="359F4E8D" w14:textId="77777777" w:rsidR="009C553A" w:rsidRPr="00C46BF0" w:rsidRDefault="009C553A" w:rsidP="002D2149">
            <w:proofErr w:type="spellStart"/>
            <w:r w:rsidRPr="00C46BF0">
              <w:t>T</w:t>
            </w:r>
            <w:r w:rsidRPr="00C46BF0">
              <w:rPr>
                <w:vertAlign w:val="subscript"/>
              </w:rPr>
              <w:t>max</w:t>
            </w:r>
            <w:proofErr w:type="spellEnd"/>
          </w:p>
        </w:tc>
        <w:tc>
          <w:tcPr>
            <w:tcW w:w="6604" w:type="dxa"/>
          </w:tcPr>
          <w:p w14:paraId="3B954034" w14:textId="151DF85A" w:rsidR="009C553A" w:rsidRPr="00C46BF0" w:rsidRDefault="009C553A" w:rsidP="002D2149">
            <w:r w:rsidRPr="00C46BF0">
              <w:t xml:space="preserve">Time </w:t>
            </w:r>
            <w:r w:rsidR="00D549FF">
              <w:t>of</w:t>
            </w:r>
            <w:r w:rsidRPr="00C46BF0">
              <w:t xml:space="preserve"> maximum concentration</w:t>
            </w:r>
          </w:p>
        </w:tc>
      </w:tr>
      <w:tr w:rsidR="009C553A" w:rsidRPr="00C46BF0" w14:paraId="2F7BA2BD" w14:textId="77777777" w:rsidTr="00AE474B">
        <w:tc>
          <w:tcPr>
            <w:tcW w:w="1890" w:type="dxa"/>
          </w:tcPr>
          <w:p w14:paraId="39F6F10A" w14:textId="77777777" w:rsidR="009C553A" w:rsidRPr="00C46BF0" w:rsidRDefault="009C553A" w:rsidP="002D2149">
            <w:r w:rsidRPr="00C46BF0">
              <w:t>US(A)</w:t>
            </w:r>
          </w:p>
        </w:tc>
        <w:tc>
          <w:tcPr>
            <w:tcW w:w="6604" w:type="dxa"/>
          </w:tcPr>
          <w:p w14:paraId="5189D34A" w14:textId="77777777" w:rsidR="009C553A" w:rsidRPr="00C46BF0" w:rsidRDefault="009C553A" w:rsidP="002D2149">
            <w:r w:rsidRPr="00C46BF0">
              <w:t>United States (of America)</w:t>
            </w:r>
          </w:p>
        </w:tc>
      </w:tr>
    </w:tbl>
    <w:p w14:paraId="3FE50EEC" w14:textId="1E7EC60E" w:rsidR="00FD119B" w:rsidRPr="00C46BF0" w:rsidRDefault="00FD119B" w:rsidP="00C46BF0">
      <w:pPr>
        <w:spacing w:before="0" w:after="200" w:line="0" w:lineRule="auto"/>
        <w:rPr>
          <w:b/>
          <w:i/>
          <w:sz w:val="24"/>
          <w:szCs w:val="24"/>
        </w:rPr>
      </w:pPr>
    </w:p>
    <w:p w14:paraId="517A5AC3" w14:textId="77777777" w:rsidR="008E7846" w:rsidRPr="00C46BF0" w:rsidRDefault="00F53C07" w:rsidP="00C46BF0">
      <w:pPr>
        <w:pStyle w:val="Heading2"/>
      </w:pPr>
      <w:bookmarkStart w:id="8" w:name="_Toc96700842"/>
      <w:r w:rsidRPr="00C46BF0">
        <w:lastRenderedPageBreak/>
        <w:t>I.</w:t>
      </w:r>
      <w:r w:rsidR="008E7846" w:rsidRPr="00C46BF0">
        <w:t xml:space="preserve"> Introduction to product submission</w:t>
      </w:r>
      <w:bookmarkEnd w:id="8"/>
      <w:bookmarkEnd w:id="0"/>
      <w:bookmarkEnd w:id="2"/>
    </w:p>
    <w:p w14:paraId="5DF8BB50" w14:textId="77777777" w:rsidR="008E7846" w:rsidRPr="00C46BF0" w:rsidRDefault="008E7846" w:rsidP="00C46BF0">
      <w:pPr>
        <w:pStyle w:val="Heading3"/>
        <w:rPr>
          <w:lang w:eastAsia="en-AU"/>
        </w:rPr>
      </w:pPr>
      <w:bookmarkStart w:id="9" w:name="_Toc247691502"/>
      <w:bookmarkStart w:id="10" w:name="_Toc314842483"/>
      <w:bookmarkStart w:id="11" w:name="_Toc96700843"/>
      <w:r w:rsidRPr="00C46BF0">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C46BF0" w14:paraId="2CD7D9A7" w14:textId="77777777" w:rsidTr="003735BC">
        <w:tc>
          <w:tcPr>
            <w:tcW w:w="2907" w:type="dxa"/>
          </w:tcPr>
          <w:p w14:paraId="2A36C90D" w14:textId="77777777" w:rsidR="008E7846" w:rsidRPr="00C46BF0" w:rsidRDefault="001B5C90" w:rsidP="00C46BF0">
            <w:pPr>
              <w:rPr>
                <w:i/>
              </w:rPr>
            </w:pPr>
            <w:r w:rsidRPr="00C46BF0">
              <w:rPr>
                <w:i/>
              </w:rPr>
              <w:t>Type of s</w:t>
            </w:r>
            <w:r w:rsidR="008E7846" w:rsidRPr="00C46BF0">
              <w:rPr>
                <w:i/>
              </w:rPr>
              <w:t>ubmission</w:t>
            </w:r>
            <w:r w:rsidRPr="00C46BF0">
              <w:rPr>
                <w:i/>
              </w:rPr>
              <w:t>:</w:t>
            </w:r>
          </w:p>
        </w:tc>
        <w:tc>
          <w:tcPr>
            <w:tcW w:w="6307" w:type="dxa"/>
          </w:tcPr>
          <w:p w14:paraId="12CBBB29" w14:textId="77777777" w:rsidR="008E7846" w:rsidRPr="00C46BF0" w:rsidRDefault="008E7846" w:rsidP="00C46BF0">
            <w:r w:rsidRPr="00C46BF0">
              <w:t xml:space="preserve">New </w:t>
            </w:r>
            <w:r w:rsidR="0001468F" w:rsidRPr="00C46BF0">
              <w:t>biological</w:t>
            </w:r>
            <w:r w:rsidRPr="00C46BF0">
              <w:t xml:space="preserve"> </w:t>
            </w:r>
            <w:r w:rsidR="001B5C90" w:rsidRPr="00C46BF0">
              <w:t>e</w:t>
            </w:r>
            <w:r w:rsidR="0001468F" w:rsidRPr="00C46BF0">
              <w:t>ntity</w:t>
            </w:r>
          </w:p>
        </w:tc>
      </w:tr>
      <w:tr w:rsidR="00460036" w:rsidRPr="00C46BF0" w14:paraId="362FCA02" w14:textId="77777777" w:rsidTr="003735BC">
        <w:tc>
          <w:tcPr>
            <w:tcW w:w="2907" w:type="dxa"/>
          </w:tcPr>
          <w:p w14:paraId="6FC5B9A0" w14:textId="77777777" w:rsidR="00460036" w:rsidRPr="00C46BF0" w:rsidRDefault="00460036" w:rsidP="00C46BF0">
            <w:pPr>
              <w:rPr>
                <w:i/>
              </w:rPr>
            </w:pPr>
            <w:r w:rsidRPr="00C46BF0">
              <w:rPr>
                <w:i/>
              </w:rPr>
              <w:t>Product name:</w:t>
            </w:r>
          </w:p>
        </w:tc>
        <w:tc>
          <w:tcPr>
            <w:tcW w:w="6307" w:type="dxa"/>
          </w:tcPr>
          <w:p w14:paraId="0F6F26CA" w14:textId="77777777" w:rsidR="00460036" w:rsidRPr="00C46BF0" w:rsidRDefault="00721C10" w:rsidP="00C46BF0">
            <w:proofErr w:type="spellStart"/>
            <w:r w:rsidRPr="00C46BF0">
              <w:t>Vyepti</w:t>
            </w:r>
            <w:proofErr w:type="spellEnd"/>
          </w:p>
        </w:tc>
      </w:tr>
      <w:tr w:rsidR="00460036" w:rsidRPr="00C46BF0" w14:paraId="7A512669" w14:textId="77777777" w:rsidTr="003735BC">
        <w:tc>
          <w:tcPr>
            <w:tcW w:w="2907" w:type="dxa"/>
          </w:tcPr>
          <w:p w14:paraId="62657229" w14:textId="77777777" w:rsidR="00460036" w:rsidRPr="00C46BF0" w:rsidRDefault="00460036" w:rsidP="00C46BF0">
            <w:pPr>
              <w:rPr>
                <w:i/>
              </w:rPr>
            </w:pPr>
            <w:r w:rsidRPr="00C46BF0">
              <w:rPr>
                <w:i/>
              </w:rPr>
              <w:t>Active ingredient:</w:t>
            </w:r>
          </w:p>
        </w:tc>
        <w:tc>
          <w:tcPr>
            <w:tcW w:w="6307" w:type="dxa"/>
          </w:tcPr>
          <w:p w14:paraId="68D97B04" w14:textId="77777777" w:rsidR="00460036" w:rsidRPr="00C46BF0" w:rsidRDefault="00721C10" w:rsidP="00C46BF0">
            <w:proofErr w:type="spellStart"/>
            <w:r w:rsidRPr="00C46BF0">
              <w:t>Eptinezumab</w:t>
            </w:r>
            <w:proofErr w:type="spellEnd"/>
          </w:p>
        </w:tc>
      </w:tr>
      <w:tr w:rsidR="008E7846" w:rsidRPr="00C46BF0" w14:paraId="19C69A17" w14:textId="77777777" w:rsidTr="003735BC">
        <w:tc>
          <w:tcPr>
            <w:tcW w:w="2907" w:type="dxa"/>
          </w:tcPr>
          <w:p w14:paraId="163B81CF" w14:textId="77777777" w:rsidR="008E7846" w:rsidRPr="00C46BF0" w:rsidRDefault="008E7846" w:rsidP="00C46BF0">
            <w:r w:rsidRPr="00C46BF0">
              <w:rPr>
                <w:i/>
              </w:rPr>
              <w:t>Decision</w:t>
            </w:r>
            <w:r w:rsidRPr="00C46BF0">
              <w:t>:</w:t>
            </w:r>
          </w:p>
        </w:tc>
        <w:tc>
          <w:tcPr>
            <w:tcW w:w="6307" w:type="dxa"/>
          </w:tcPr>
          <w:p w14:paraId="03EF98D3" w14:textId="77777777" w:rsidR="008E7846" w:rsidRPr="00C46BF0" w:rsidRDefault="00CF10EB" w:rsidP="00C46BF0">
            <w:r w:rsidRPr="00C46BF0">
              <w:t>Approved</w:t>
            </w:r>
          </w:p>
        </w:tc>
      </w:tr>
      <w:tr w:rsidR="008E7846" w:rsidRPr="00C46BF0" w14:paraId="16A97196" w14:textId="77777777" w:rsidTr="003735BC">
        <w:tc>
          <w:tcPr>
            <w:tcW w:w="2907" w:type="dxa"/>
          </w:tcPr>
          <w:p w14:paraId="73122A1C" w14:textId="77777777" w:rsidR="008E7846" w:rsidRPr="00C46BF0" w:rsidRDefault="008E7846" w:rsidP="00C46BF0">
            <w:pPr>
              <w:rPr>
                <w:i/>
              </w:rPr>
            </w:pPr>
            <w:r w:rsidRPr="00C46BF0">
              <w:rPr>
                <w:i/>
              </w:rPr>
              <w:t xml:space="preserve">Date of </w:t>
            </w:r>
            <w:r w:rsidR="001B5C90" w:rsidRPr="00C46BF0">
              <w:rPr>
                <w:i/>
              </w:rPr>
              <w:t>d</w:t>
            </w:r>
            <w:r w:rsidRPr="00C46BF0">
              <w:rPr>
                <w:i/>
              </w:rPr>
              <w:t>ecision:</w:t>
            </w:r>
          </w:p>
        </w:tc>
        <w:tc>
          <w:tcPr>
            <w:tcW w:w="6307" w:type="dxa"/>
          </w:tcPr>
          <w:p w14:paraId="1AE6787F" w14:textId="77777777" w:rsidR="008E7846" w:rsidRPr="00C46BF0" w:rsidRDefault="00CF10EB" w:rsidP="00C46BF0">
            <w:r w:rsidRPr="00C46BF0">
              <w:t>9 June 2021</w:t>
            </w:r>
          </w:p>
        </w:tc>
      </w:tr>
      <w:tr w:rsidR="00ED2922" w:rsidRPr="00C46BF0" w14:paraId="7E72D6D8" w14:textId="77777777" w:rsidTr="003735BC">
        <w:tc>
          <w:tcPr>
            <w:tcW w:w="2907" w:type="dxa"/>
          </w:tcPr>
          <w:p w14:paraId="7D774BF9" w14:textId="77777777" w:rsidR="00ED2922" w:rsidRPr="00C46BF0" w:rsidRDefault="00ED2922" w:rsidP="00C46BF0">
            <w:pPr>
              <w:rPr>
                <w:i/>
              </w:rPr>
            </w:pPr>
            <w:r w:rsidRPr="00C46BF0">
              <w:rPr>
                <w:i/>
              </w:rPr>
              <w:t>Date of entry onto ARTG</w:t>
            </w:r>
            <w:r w:rsidR="00500337" w:rsidRPr="00C46BF0">
              <w:rPr>
                <w:i/>
              </w:rPr>
              <w:t>:</w:t>
            </w:r>
          </w:p>
        </w:tc>
        <w:tc>
          <w:tcPr>
            <w:tcW w:w="6307" w:type="dxa"/>
          </w:tcPr>
          <w:p w14:paraId="64AA9068" w14:textId="77777777" w:rsidR="00ED2922" w:rsidRPr="00C46BF0" w:rsidRDefault="0001468F" w:rsidP="00C46BF0">
            <w:pPr>
              <w:rPr>
                <w:i/>
              </w:rPr>
            </w:pPr>
            <w:r w:rsidRPr="00C46BF0">
              <w:t>16 June 2021</w:t>
            </w:r>
          </w:p>
        </w:tc>
      </w:tr>
      <w:tr w:rsidR="00500337" w:rsidRPr="00C46BF0" w14:paraId="56955090" w14:textId="77777777" w:rsidTr="003735BC">
        <w:tc>
          <w:tcPr>
            <w:tcW w:w="2907" w:type="dxa"/>
          </w:tcPr>
          <w:p w14:paraId="16A92058" w14:textId="77777777" w:rsidR="00500337" w:rsidRPr="00C46BF0" w:rsidRDefault="00500337" w:rsidP="00C46BF0">
            <w:pPr>
              <w:rPr>
                <w:i/>
              </w:rPr>
            </w:pPr>
            <w:r w:rsidRPr="00C46BF0">
              <w:rPr>
                <w:i/>
              </w:rPr>
              <w:t>ARTG number:</w:t>
            </w:r>
          </w:p>
        </w:tc>
        <w:tc>
          <w:tcPr>
            <w:tcW w:w="6307" w:type="dxa"/>
          </w:tcPr>
          <w:p w14:paraId="714A9DD1" w14:textId="77777777" w:rsidR="00500337" w:rsidRPr="00C46BF0" w:rsidRDefault="0001468F" w:rsidP="00C46BF0">
            <w:r w:rsidRPr="00C46BF0">
              <w:t>335256</w:t>
            </w:r>
          </w:p>
        </w:tc>
      </w:tr>
      <w:tr w:rsidR="003735BC" w:rsidRPr="00C46BF0" w14:paraId="548FFD17" w14:textId="77777777" w:rsidTr="003735BC">
        <w:tc>
          <w:tcPr>
            <w:tcW w:w="2907" w:type="dxa"/>
          </w:tcPr>
          <w:p w14:paraId="3940850C" w14:textId="77777777" w:rsidR="003735BC" w:rsidRPr="00C46BF0" w:rsidRDefault="00FA5069" w:rsidP="00C46BF0">
            <w:pPr>
              <w:rPr>
                <w:i/>
              </w:rPr>
            </w:pPr>
            <w:r w:rsidRPr="00C46BF0">
              <w:rPr>
                <w:rFonts w:ascii="Wingdings 3" w:hAnsi="Wingdings 3"/>
                <w:sz w:val="34"/>
                <w:szCs w:val="34"/>
                <w:lang w:eastAsia="en-AU"/>
              </w:rPr>
              <w:t></w:t>
            </w:r>
            <w:r w:rsidR="003735BC" w:rsidRPr="00C46BF0">
              <w:rPr>
                <w:i/>
              </w:rPr>
              <w:t>Black Triangle Scheme</w:t>
            </w:r>
            <w:r w:rsidR="004C4FBE" w:rsidRPr="00C46BF0">
              <w:rPr>
                <w:i/>
              </w:rPr>
              <w:t>:</w:t>
            </w:r>
            <w:r w:rsidR="00460036" w:rsidRPr="00C46BF0">
              <w:rPr>
                <w:rStyle w:val="FootnoteReference"/>
                <w:i/>
              </w:rPr>
              <w:footnoteReference w:id="2"/>
            </w:r>
          </w:p>
        </w:tc>
        <w:tc>
          <w:tcPr>
            <w:tcW w:w="6307" w:type="dxa"/>
          </w:tcPr>
          <w:p w14:paraId="7B3CE3F0" w14:textId="223126E8" w:rsidR="0001468F" w:rsidRPr="00C46BF0" w:rsidRDefault="00B22819" w:rsidP="00C46BF0">
            <w:r w:rsidRPr="00C46BF0">
              <w:t>Yes</w:t>
            </w:r>
          </w:p>
          <w:p w14:paraId="6A01726F" w14:textId="77777777" w:rsidR="003735BC" w:rsidRPr="00C46BF0" w:rsidRDefault="003735BC" w:rsidP="00C46BF0">
            <w:r w:rsidRPr="00C46BF0">
              <w:t>This product will remain in the scheme for 5 years, starting on the date the product is first supplied in Australia</w:t>
            </w:r>
            <w:r w:rsidR="0001468F" w:rsidRPr="00C46BF0">
              <w:t>.</w:t>
            </w:r>
          </w:p>
        </w:tc>
      </w:tr>
      <w:tr w:rsidR="008E7846" w:rsidRPr="00C46BF0" w14:paraId="7862DB41" w14:textId="77777777" w:rsidTr="00BF1190">
        <w:tc>
          <w:tcPr>
            <w:tcW w:w="2907" w:type="dxa"/>
          </w:tcPr>
          <w:p w14:paraId="32ED435B" w14:textId="77777777" w:rsidR="008E7846" w:rsidRPr="00C46BF0" w:rsidRDefault="008E7846" w:rsidP="00C46BF0">
            <w:pPr>
              <w:rPr>
                <w:i/>
              </w:rPr>
            </w:pPr>
            <w:r w:rsidRPr="00C46BF0">
              <w:rPr>
                <w:i/>
              </w:rPr>
              <w:t xml:space="preserve">Sponsor’s </w:t>
            </w:r>
            <w:r w:rsidR="001B5C90" w:rsidRPr="00C46BF0">
              <w:rPr>
                <w:i/>
              </w:rPr>
              <w:t>n</w:t>
            </w:r>
            <w:r w:rsidRPr="00C46BF0">
              <w:rPr>
                <w:i/>
              </w:rPr>
              <w:t xml:space="preserve">ame and </w:t>
            </w:r>
            <w:r w:rsidR="001B5C90" w:rsidRPr="00C46BF0">
              <w:rPr>
                <w:i/>
              </w:rPr>
              <w:t>a</w:t>
            </w:r>
            <w:r w:rsidRPr="00C46BF0">
              <w:rPr>
                <w:i/>
              </w:rPr>
              <w:t>ddress:</w:t>
            </w:r>
          </w:p>
        </w:tc>
        <w:tc>
          <w:tcPr>
            <w:tcW w:w="6307" w:type="dxa"/>
          </w:tcPr>
          <w:p w14:paraId="533DD864" w14:textId="77777777" w:rsidR="00721C10" w:rsidRPr="00C46BF0" w:rsidRDefault="00721C10" w:rsidP="00C46BF0">
            <w:r w:rsidRPr="00C46BF0">
              <w:t>Lundbeck Australia Pty Ltd</w:t>
            </w:r>
          </w:p>
          <w:p w14:paraId="06A36879" w14:textId="77777777" w:rsidR="00721C10" w:rsidRPr="00C46BF0" w:rsidRDefault="00721C10" w:rsidP="00C46BF0">
            <w:r w:rsidRPr="00C46BF0">
              <w:t>1 Innovation Road</w:t>
            </w:r>
          </w:p>
          <w:p w14:paraId="45EB8BE6" w14:textId="77777777" w:rsidR="008E7846" w:rsidRPr="00C46BF0" w:rsidRDefault="00721C10" w:rsidP="00C46BF0">
            <w:r w:rsidRPr="00C46BF0">
              <w:t>North Ryde NSW 2113</w:t>
            </w:r>
          </w:p>
        </w:tc>
      </w:tr>
      <w:tr w:rsidR="008E7846" w:rsidRPr="00C46BF0" w14:paraId="406582D8" w14:textId="77777777" w:rsidTr="00BF1190">
        <w:tc>
          <w:tcPr>
            <w:tcW w:w="2907" w:type="dxa"/>
          </w:tcPr>
          <w:p w14:paraId="0382519D" w14:textId="77777777" w:rsidR="008E7846" w:rsidRPr="00C46BF0" w:rsidRDefault="001B5C90" w:rsidP="00C46BF0">
            <w:pPr>
              <w:rPr>
                <w:i/>
              </w:rPr>
            </w:pPr>
            <w:r w:rsidRPr="00C46BF0">
              <w:rPr>
                <w:i/>
              </w:rPr>
              <w:t>Dose form:</w:t>
            </w:r>
          </w:p>
        </w:tc>
        <w:tc>
          <w:tcPr>
            <w:tcW w:w="6307" w:type="dxa"/>
          </w:tcPr>
          <w:p w14:paraId="3981B765" w14:textId="77777777" w:rsidR="00371DD4" w:rsidRPr="00C46BF0" w:rsidRDefault="00371DD4" w:rsidP="00C46BF0">
            <w:r w:rsidRPr="00C46BF0">
              <w:t>Concentrated injection</w:t>
            </w:r>
          </w:p>
        </w:tc>
      </w:tr>
      <w:tr w:rsidR="008E7846" w:rsidRPr="00C46BF0" w14:paraId="34A61FE0" w14:textId="77777777" w:rsidTr="00BF1190">
        <w:tc>
          <w:tcPr>
            <w:tcW w:w="2907" w:type="dxa"/>
          </w:tcPr>
          <w:p w14:paraId="11597A8E" w14:textId="77777777" w:rsidR="008E7846" w:rsidRPr="00C46BF0" w:rsidRDefault="00324E45" w:rsidP="00C46BF0">
            <w:pPr>
              <w:rPr>
                <w:i/>
              </w:rPr>
            </w:pPr>
            <w:r w:rsidRPr="00C46BF0">
              <w:rPr>
                <w:i/>
              </w:rPr>
              <w:t>Strength:</w:t>
            </w:r>
          </w:p>
        </w:tc>
        <w:tc>
          <w:tcPr>
            <w:tcW w:w="6307" w:type="dxa"/>
          </w:tcPr>
          <w:p w14:paraId="30BF4425" w14:textId="77777777" w:rsidR="008E7846" w:rsidRPr="00C46BF0" w:rsidRDefault="001217F4" w:rsidP="00C46BF0">
            <w:r w:rsidRPr="00C46BF0">
              <w:t>100 </w:t>
            </w:r>
            <w:r w:rsidR="0001468F" w:rsidRPr="00C46BF0">
              <w:t>mg/mL</w:t>
            </w:r>
          </w:p>
        </w:tc>
      </w:tr>
      <w:tr w:rsidR="008E7846" w:rsidRPr="00C46BF0" w14:paraId="79BF8BD9" w14:textId="77777777" w:rsidTr="00BF1190">
        <w:tc>
          <w:tcPr>
            <w:tcW w:w="2907" w:type="dxa"/>
          </w:tcPr>
          <w:p w14:paraId="6421A572" w14:textId="77777777" w:rsidR="008E7846" w:rsidRPr="00C46BF0" w:rsidRDefault="008E7846" w:rsidP="00C46BF0">
            <w:pPr>
              <w:rPr>
                <w:i/>
              </w:rPr>
            </w:pPr>
            <w:r w:rsidRPr="00C46BF0">
              <w:rPr>
                <w:i/>
              </w:rPr>
              <w:t>Container:</w:t>
            </w:r>
          </w:p>
        </w:tc>
        <w:tc>
          <w:tcPr>
            <w:tcW w:w="6307" w:type="dxa"/>
          </w:tcPr>
          <w:p w14:paraId="79D4F4C8" w14:textId="77777777" w:rsidR="008E7846" w:rsidRPr="00C46BF0" w:rsidRDefault="0001468F" w:rsidP="00C46BF0">
            <w:r w:rsidRPr="00C46BF0">
              <w:t>Vial</w:t>
            </w:r>
          </w:p>
        </w:tc>
      </w:tr>
      <w:tr w:rsidR="008E7846" w:rsidRPr="00C46BF0" w14:paraId="1622EDBE" w14:textId="77777777" w:rsidTr="00BF1190">
        <w:tc>
          <w:tcPr>
            <w:tcW w:w="2907" w:type="dxa"/>
          </w:tcPr>
          <w:p w14:paraId="4464F2F3" w14:textId="77777777" w:rsidR="008E7846" w:rsidRPr="00C46BF0" w:rsidRDefault="008E7846" w:rsidP="00C46BF0">
            <w:pPr>
              <w:rPr>
                <w:i/>
              </w:rPr>
            </w:pPr>
            <w:r w:rsidRPr="00C46BF0">
              <w:rPr>
                <w:i/>
              </w:rPr>
              <w:t>Pack size:</w:t>
            </w:r>
          </w:p>
        </w:tc>
        <w:tc>
          <w:tcPr>
            <w:tcW w:w="6307" w:type="dxa"/>
          </w:tcPr>
          <w:p w14:paraId="6FC93C80" w14:textId="77777777" w:rsidR="008E7846" w:rsidRPr="00C46BF0" w:rsidRDefault="0001468F" w:rsidP="00C46BF0">
            <w:r w:rsidRPr="00C46BF0">
              <w:t>One</w:t>
            </w:r>
          </w:p>
        </w:tc>
      </w:tr>
      <w:tr w:rsidR="008E7846" w:rsidRPr="00C46BF0" w14:paraId="4D0F61D1" w14:textId="77777777" w:rsidTr="00BF1190">
        <w:tc>
          <w:tcPr>
            <w:tcW w:w="2907" w:type="dxa"/>
          </w:tcPr>
          <w:p w14:paraId="55075396" w14:textId="77777777" w:rsidR="008E7846" w:rsidRPr="00C46BF0" w:rsidRDefault="008E7846" w:rsidP="00C46BF0">
            <w:pPr>
              <w:rPr>
                <w:i/>
              </w:rPr>
            </w:pPr>
            <w:r w:rsidRPr="00C46BF0">
              <w:rPr>
                <w:i/>
              </w:rPr>
              <w:t xml:space="preserve">Approved </w:t>
            </w:r>
            <w:r w:rsidR="001B5C90" w:rsidRPr="00C46BF0">
              <w:rPr>
                <w:i/>
              </w:rPr>
              <w:t>t</w:t>
            </w:r>
            <w:r w:rsidRPr="00C46BF0">
              <w:rPr>
                <w:i/>
              </w:rPr>
              <w:t>herapeutic use:</w:t>
            </w:r>
          </w:p>
        </w:tc>
        <w:tc>
          <w:tcPr>
            <w:tcW w:w="6307" w:type="dxa"/>
          </w:tcPr>
          <w:p w14:paraId="151E78DD" w14:textId="77777777" w:rsidR="008E7846" w:rsidRPr="00C46BF0" w:rsidRDefault="00CF10EB" w:rsidP="00C46BF0">
            <w:pPr>
              <w:rPr>
                <w:i/>
              </w:rPr>
            </w:pPr>
            <w:proofErr w:type="spellStart"/>
            <w:r w:rsidRPr="00C46BF0">
              <w:rPr>
                <w:i/>
              </w:rPr>
              <w:t>Vyepti</w:t>
            </w:r>
            <w:proofErr w:type="spellEnd"/>
            <w:r w:rsidRPr="00C46BF0">
              <w:rPr>
                <w:i/>
              </w:rPr>
              <w:t xml:space="preserve"> is indicated for the preventive treatment of migraine in adults.</w:t>
            </w:r>
          </w:p>
        </w:tc>
      </w:tr>
      <w:tr w:rsidR="008E7846" w:rsidRPr="00C46BF0" w14:paraId="543A6EEA" w14:textId="77777777" w:rsidTr="00BF1190">
        <w:tc>
          <w:tcPr>
            <w:tcW w:w="2907" w:type="dxa"/>
          </w:tcPr>
          <w:p w14:paraId="62287D38" w14:textId="77777777" w:rsidR="008E7846" w:rsidRPr="00C46BF0" w:rsidRDefault="008E7846" w:rsidP="00C46BF0">
            <w:pPr>
              <w:rPr>
                <w:i/>
              </w:rPr>
            </w:pPr>
            <w:r w:rsidRPr="00C46BF0">
              <w:rPr>
                <w:i/>
              </w:rPr>
              <w:t>Route of administration:</w:t>
            </w:r>
          </w:p>
        </w:tc>
        <w:tc>
          <w:tcPr>
            <w:tcW w:w="6307" w:type="dxa"/>
          </w:tcPr>
          <w:p w14:paraId="4658B592" w14:textId="77777777" w:rsidR="008E7846" w:rsidRPr="00C46BF0" w:rsidRDefault="001217F4" w:rsidP="00C46BF0">
            <w:r w:rsidRPr="00C46BF0">
              <w:t>Intravenous i</w:t>
            </w:r>
            <w:r w:rsidR="0001468F" w:rsidRPr="00C46BF0">
              <w:t>nfusion</w:t>
            </w:r>
          </w:p>
        </w:tc>
      </w:tr>
      <w:tr w:rsidR="008E7846" w:rsidRPr="00C46BF0" w14:paraId="314F895D" w14:textId="77777777" w:rsidTr="00BF1190">
        <w:tc>
          <w:tcPr>
            <w:tcW w:w="2907" w:type="dxa"/>
          </w:tcPr>
          <w:p w14:paraId="60BDEEC8" w14:textId="77777777" w:rsidR="008E7846" w:rsidRPr="00C46BF0" w:rsidRDefault="008E7846" w:rsidP="00C46BF0">
            <w:pPr>
              <w:rPr>
                <w:i/>
              </w:rPr>
            </w:pPr>
            <w:r w:rsidRPr="00C46BF0">
              <w:rPr>
                <w:i/>
              </w:rPr>
              <w:t>Dosage:</w:t>
            </w:r>
          </w:p>
        </w:tc>
        <w:tc>
          <w:tcPr>
            <w:tcW w:w="6307" w:type="dxa"/>
          </w:tcPr>
          <w:p w14:paraId="717E5E72" w14:textId="77777777" w:rsidR="0001468F" w:rsidRPr="00C46BF0" w:rsidRDefault="0001468F" w:rsidP="00C46BF0">
            <w:r w:rsidRPr="00C46BF0">
              <w:t>The recommended dosage is 100</w:t>
            </w:r>
            <w:r w:rsidR="001217F4" w:rsidRPr="00C46BF0">
              <w:t> </w:t>
            </w:r>
            <w:r w:rsidRPr="00C46BF0">
              <w:t>mg administered b</w:t>
            </w:r>
            <w:r w:rsidR="001217F4" w:rsidRPr="00C46BF0">
              <w:t>y intravenous infusion every 12 </w:t>
            </w:r>
            <w:r w:rsidRPr="00C46BF0">
              <w:t>weeks. Some patients m</w:t>
            </w:r>
            <w:r w:rsidR="001217F4" w:rsidRPr="00C46BF0">
              <w:t>ay benefit from a dosage of 300 </w:t>
            </w:r>
            <w:r w:rsidRPr="00C46BF0">
              <w:t>mg administered b</w:t>
            </w:r>
            <w:r w:rsidR="001217F4" w:rsidRPr="00C46BF0">
              <w:t>y intravenous infusion every 12 </w:t>
            </w:r>
            <w:r w:rsidRPr="00C46BF0">
              <w:t>weeks.</w:t>
            </w:r>
          </w:p>
          <w:p w14:paraId="17FA3BEB" w14:textId="77777777" w:rsidR="001217F4" w:rsidRPr="00C46BF0" w:rsidRDefault="0001468F" w:rsidP="00C46BF0">
            <w:r w:rsidRPr="00C46BF0">
              <w:t>The treatment benefit should be assessed 3</w:t>
            </w:r>
            <w:r w:rsidR="001217F4" w:rsidRPr="00C46BF0">
              <w:t xml:space="preserve"> to </w:t>
            </w:r>
            <w:r w:rsidRPr="00C46BF0">
              <w:t xml:space="preserve">6 months after initiation of the treatment. The need for dose escalation should be assessed within 12 weeks after initiation of the treatment. </w:t>
            </w:r>
            <w:r w:rsidRPr="00C46BF0">
              <w:lastRenderedPageBreak/>
              <w:t>The decision to continue with treatment should be made on an individual patient basis, determined prior to each dose.</w:t>
            </w:r>
          </w:p>
          <w:p w14:paraId="75D96DA0" w14:textId="77777777" w:rsidR="00460036" w:rsidRPr="00C46BF0" w:rsidRDefault="00460036" w:rsidP="00C46BF0">
            <w:r w:rsidRPr="00C46BF0">
              <w:t>For further information regarding dosage, refer to the Product Information.</w:t>
            </w:r>
          </w:p>
        </w:tc>
      </w:tr>
      <w:tr w:rsidR="00460036" w:rsidRPr="00C46BF0" w14:paraId="5B71F5F3" w14:textId="77777777" w:rsidTr="00BF1190">
        <w:tc>
          <w:tcPr>
            <w:tcW w:w="2907" w:type="dxa"/>
          </w:tcPr>
          <w:p w14:paraId="53558089" w14:textId="77777777" w:rsidR="00460036" w:rsidRPr="00C46BF0" w:rsidRDefault="00460036" w:rsidP="00C46BF0">
            <w:pPr>
              <w:rPr>
                <w:i/>
              </w:rPr>
            </w:pPr>
            <w:r w:rsidRPr="00C46BF0">
              <w:rPr>
                <w:i/>
              </w:rPr>
              <w:lastRenderedPageBreak/>
              <w:t>Pregnancy category:</w:t>
            </w:r>
          </w:p>
        </w:tc>
        <w:tc>
          <w:tcPr>
            <w:tcW w:w="6307" w:type="dxa"/>
          </w:tcPr>
          <w:p w14:paraId="1230FA1D" w14:textId="77777777" w:rsidR="0001468F" w:rsidRPr="00C46BF0" w:rsidRDefault="0001468F" w:rsidP="00C46BF0">
            <w:r w:rsidRPr="00C46BF0">
              <w:t>B1</w:t>
            </w:r>
          </w:p>
          <w:p w14:paraId="7BF7E50D" w14:textId="77777777" w:rsidR="0001468F" w:rsidRPr="00C46BF0" w:rsidRDefault="0001468F" w:rsidP="00C46BF0">
            <w:r w:rsidRPr="00C46BF0">
              <w:t>Drugs which have been taken by only a limited number of pregnant women and women of childbearing age, without an increase in the frequency of malformation or other direct or indirect harmful effects on the human fetus having been observed.</w:t>
            </w:r>
          </w:p>
          <w:p w14:paraId="701B1E9A" w14:textId="77777777" w:rsidR="00460036" w:rsidRPr="00C46BF0" w:rsidRDefault="0001468F" w:rsidP="00C46BF0">
            <w:r w:rsidRPr="00C46BF0">
              <w:t xml:space="preserve">Studies in animals have not shown evidence of an increased occurrence of fetal damage. </w:t>
            </w:r>
            <w:r w:rsidR="00460036" w:rsidRPr="00C46BF0">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w:t>
            </w:r>
            <w:r w:rsidRPr="00C46BF0">
              <w:t xml:space="preserve"> in your State or Territory.</w:t>
            </w:r>
          </w:p>
        </w:tc>
      </w:tr>
    </w:tbl>
    <w:p w14:paraId="3DF55CCB" w14:textId="77777777" w:rsidR="008E7846" w:rsidRPr="00C46BF0" w:rsidRDefault="008E7846" w:rsidP="00C46BF0">
      <w:pPr>
        <w:pStyle w:val="Heading3"/>
      </w:pPr>
      <w:bookmarkStart w:id="12" w:name="_Toc247691503"/>
      <w:bookmarkStart w:id="13" w:name="_Toc314842484"/>
      <w:bookmarkStart w:id="14" w:name="_Toc96700844"/>
      <w:r w:rsidRPr="00C46BF0">
        <w:t>Product background</w:t>
      </w:r>
      <w:bookmarkEnd w:id="12"/>
      <w:bookmarkEnd w:id="13"/>
      <w:bookmarkEnd w:id="14"/>
    </w:p>
    <w:p w14:paraId="08F5B8B5" w14:textId="77777777" w:rsidR="008E7846" w:rsidRPr="00C46BF0" w:rsidRDefault="00250271" w:rsidP="00C46BF0">
      <w:r w:rsidRPr="00C46BF0">
        <w:t>This AusPA</w:t>
      </w:r>
      <w:r w:rsidR="00721C10" w:rsidRPr="00C46BF0">
        <w:t xml:space="preserve">R describes the application by Lundbeck Australia Pty Ltd (the sponsor) to register </w:t>
      </w:r>
      <w:proofErr w:type="spellStart"/>
      <w:r w:rsidR="00721C10" w:rsidRPr="00C46BF0">
        <w:t>Vyepti</w:t>
      </w:r>
      <w:proofErr w:type="spellEnd"/>
      <w:r w:rsidR="00721C10" w:rsidRPr="00C46BF0">
        <w:t xml:space="preserve"> </w:t>
      </w:r>
      <w:r w:rsidRPr="00C46BF0">
        <w:t>(</w:t>
      </w:r>
      <w:proofErr w:type="spellStart"/>
      <w:r w:rsidR="00721C10" w:rsidRPr="00C46BF0">
        <w:t>eptinezumab</w:t>
      </w:r>
      <w:proofErr w:type="spellEnd"/>
      <w:r w:rsidRPr="00C46BF0">
        <w:t xml:space="preserve">) </w:t>
      </w:r>
      <w:r w:rsidR="001217F4" w:rsidRPr="00C46BF0">
        <w:t>100 </w:t>
      </w:r>
      <w:r w:rsidR="0001468F" w:rsidRPr="00C46BF0">
        <w:t>mg/mL</w:t>
      </w:r>
      <w:r w:rsidRPr="00C46BF0">
        <w:t xml:space="preserve">, </w:t>
      </w:r>
      <w:r w:rsidR="00371DD4" w:rsidRPr="00C46BF0">
        <w:t xml:space="preserve">concentrated injection </w:t>
      </w:r>
      <w:r w:rsidRPr="00C46BF0">
        <w:t>for th</w:t>
      </w:r>
      <w:r w:rsidR="004317C4" w:rsidRPr="00C46BF0">
        <w:t>e following proposed indication</w:t>
      </w:r>
      <w:r w:rsidR="00CF5DAD" w:rsidRPr="00C46BF0">
        <w:t>:</w:t>
      </w:r>
    </w:p>
    <w:p w14:paraId="55BBACE1" w14:textId="77777777" w:rsidR="004317C4" w:rsidRPr="00C46BF0" w:rsidRDefault="004317C4" w:rsidP="00C46BF0">
      <w:pPr>
        <w:ind w:left="720"/>
        <w:rPr>
          <w:i/>
        </w:rPr>
      </w:pPr>
      <w:proofErr w:type="spellStart"/>
      <w:r w:rsidRPr="00C46BF0">
        <w:rPr>
          <w:i/>
        </w:rPr>
        <w:t>Vyepti</w:t>
      </w:r>
      <w:proofErr w:type="spellEnd"/>
      <w:r w:rsidRPr="00C46BF0">
        <w:rPr>
          <w:i/>
        </w:rPr>
        <w:t xml:space="preserve"> is indicated for the preventive treatment of migraine in adults.</w:t>
      </w:r>
    </w:p>
    <w:p w14:paraId="1BE40543" w14:textId="66A8F334" w:rsidR="004B226B" w:rsidRPr="00C46BF0" w:rsidRDefault="004B226B" w:rsidP="00C46BF0">
      <w:r w:rsidRPr="00C46BF0">
        <w:t>Migraine is an episodic disorder, characterised by a severe headache generally associated with nausea and/or light and sound sensitivity.</w:t>
      </w:r>
      <w:bookmarkStart w:id="15" w:name="_Ref75870891"/>
      <w:r w:rsidRPr="00C46BF0">
        <w:rPr>
          <w:rStyle w:val="FootnoteReference"/>
        </w:rPr>
        <w:footnoteReference w:id="3"/>
      </w:r>
      <w:bookmarkEnd w:id="15"/>
      <w:r w:rsidR="001217F4" w:rsidRPr="00C46BF0">
        <w:t xml:space="preserve"> </w:t>
      </w:r>
      <w:r w:rsidRPr="00C46BF0">
        <w:t>In Australia, 4.9 million people suffer from migraine.</w:t>
      </w:r>
      <w:bookmarkStart w:id="16" w:name="_Ref75867001"/>
      <w:r w:rsidRPr="00C46BF0">
        <w:rPr>
          <w:rStyle w:val="FootnoteReference"/>
        </w:rPr>
        <w:footnoteReference w:id="4"/>
      </w:r>
      <w:bookmarkEnd w:id="16"/>
      <w:r w:rsidR="001217F4" w:rsidRPr="00C46BF0">
        <w:t xml:space="preserve"> </w:t>
      </w:r>
      <w:r w:rsidRPr="00C46BF0">
        <w:t xml:space="preserve">The one year prevalence of migraine is 16%, with females at </w:t>
      </w:r>
      <w:r w:rsidR="000A222E" w:rsidRPr="00C46BF0">
        <w:t>three</w:t>
      </w:r>
      <w:r w:rsidRPr="00C46BF0">
        <w:t xml:space="preserve"> times elevated risk of migraine.</w:t>
      </w:r>
      <w:r w:rsidRPr="00C46BF0">
        <w:rPr>
          <w:vertAlign w:val="superscript"/>
        </w:rPr>
        <w:fldChar w:fldCharType="begin"/>
      </w:r>
      <w:r w:rsidRPr="00C46BF0">
        <w:rPr>
          <w:vertAlign w:val="superscript"/>
        </w:rPr>
        <w:instrText xml:space="preserve"> NOTEREF _Ref75867001 \h  \* MERGEFORMAT </w:instrText>
      </w:r>
      <w:r w:rsidRPr="00C46BF0">
        <w:rPr>
          <w:vertAlign w:val="superscript"/>
        </w:rPr>
      </w:r>
      <w:r w:rsidRPr="00C46BF0">
        <w:rPr>
          <w:vertAlign w:val="superscript"/>
        </w:rPr>
        <w:fldChar w:fldCharType="separate"/>
      </w:r>
      <w:r w:rsidR="00112693">
        <w:rPr>
          <w:vertAlign w:val="superscript"/>
        </w:rPr>
        <w:t>3</w:t>
      </w:r>
      <w:r w:rsidRPr="00C46BF0">
        <w:rPr>
          <w:vertAlign w:val="superscript"/>
        </w:rPr>
        <w:fldChar w:fldCharType="end"/>
      </w:r>
      <w:r w:rsidRPr="00C46BF0">
        <w:rPr>
          <w:vertAlign w:val="superscript"/>
        </w:rPr>
        <w:t>,</w:t>
      </w:r>
      <w:r w:rsidRPr="00C46BF0">
        <w:rPr>
          <w:rStyle w:val="FootnoteReference"/>
        </w:rPr>
        <w:footnoteReference w:id="5"/>
      </w:r>
      <w:r w:rsidRPr="00C46BF0">
        <w:t xml:space="preserve"> </w:t>
      </w:r>
      <w:r w:rsidR="00705A49">
        <w:t xml:space="preserve">Women make up </w:t>
      </w:r>
      <w:r w:rsidRPr="00C46BF0">
        <w:t xml:space="preserve">71% of migraine sufferers and 86% </w:t>
      </w:r>
      <w:r w:rsidR="00705A49">
        <w:t>are people</w:t>
      </w:r>
      <w:r w:rsidRPr="00C46BF0">
        <w:t xml:space="preserve"> of working age. </w:t>
      </w:r>
      <w:r w:rsidR="00705A49">
        <w:t>C</w:t>
      </w:r>
      <w:r w:rsidRPr="00C46BF0">
        <w:t>hronic migraine (</w:t>
      </w:r>
      <w:r w:rsidR="00705A49">
        <w:t>that is,</w:t>
      </w:r>
      <w:r w:rsidR="000A222E" w:rsidRPr="00C46BF0">
        <w:t xml:space="preserve"> </w:t>
      </w:r>
      <w:r w:rsidR="0054671F" w:rsidRPr="00C46BF0">
        <w:t>15 migraine days per month</w:t>
      </w:r>
      <w:r w:rsidR="00705A49">
        <w:t xml:space="preserve"> or more</w:t>
      </w:r>
      <w:r w:rsidR="0054671F" w:rsidRPr="00C46BF0">
        <w:t>)</w:t>
      </w:r>
      <w:r w:rsidR="00705A49">
        <w:t xml:space="preserve"> is experienced by </w:t>
      </w:r>
      <w:r w:rsidR="00705A49" w:rsidRPr="00C46BF0">
        <w:t>7.6% of migraine sufferers</w:t>
      </w:r>
      <w:r w:rsidR="0054671F" w:rsidRPr="00C46BF0">
        <w:t>.</w:t>
      </w:r>
    </w:p>
    <w:p w14:paraId="15AAA6CC" w14:textId="281C136E" w:rsidR="004B226B" w:rsidRPr="00C46BF0" w:rsidRDefault="004B226B" w:rsidP="00C46BF0">
      <w:r w:rsidRPr="00C46BF0">
        <w:t>The exact pathophysiological mechanisms underlying the onset of a</w:t>
      </w:r>
      <w:r w:rsidR="006309F2" w:rsidRPr="00C46BF0">
        <w:t xml:space="preserve"> migraine attack remain unknown</w:t>
      </w:r>
      <w:r w:rsidRPr="00C46BF0">
        <w:fldChar w:fldCharType="begin"/>
      </w:r>
      <w:r w:rsidRPr="00C46BF0">
        <w:instrText xml:space="preserve"> ADDIN EN.CITE &lt;EndNote&gt;&lt;Cite&gt;&lt;Author&gt;Silberstein&lt;/Author&gt;&lt;Year&gt;2004&lt;/Year&gt;&lt;RecNum&gt;8&lt;/RecNum&gt;&lt;record&gt;&lt;rec-number&gt;8&lt;/rec-number&gt;&lt;foreign-keys&gt;&lt;key app="EN" db-id="etaarsswufd529ew0t759tebw2ae9wt9x2pa" timestamp="1614634053"&gt;8&lt;/key&gt;&lt;/foreign-keys&gt;&lt;ref-type name="Journal Article"&gt;17&lt;/ref-type&gt;&lt;contributors&gt;&lt;authors&gt;&lt;author&gt;Silberstein, S. D.&lt;/author&gt;&lt;/authors&gt;&lt;/contributors&gt;&lt;auth-address&gt;Jefferson Headache Centre, Thomas Jefferson University Hospital, Philadelphia, PA, USA. Stephen.Silberstein@jefferson.edu&lt;/auth-address&gt;&lt;titles&gt;&lt;title&gt;Migraine&lt;/title&gt;&lt;secondary-title&gt;Lancet&lt;/secondary-title&gt;&lt;alt-title&gt;Lancet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England)&lt;/abbr-1&gt;&lt;/alt-periodical&gt;&lt;pages&gt;381-91&lt;/pages&gt;&lt;volume&gt;363&lt;/volume&gt;&lt;number&gt;9406&lt;/number&gt;&lt;edition&gt;2004/04/09&lt;/edition&gt;&lt;keywords&gt;&lt;keyword&gt;Humans&lt;/keyword&gt;&lt;keyword&gt;*Migraine Disorders/diagnosis/drug therapy/physiopathology/prevention &amp;amp; control&lt;/keyword&gt;&lt;/keywords&gt;&lt;dates&gt;&lt;year&gt;2004&lt;/year&gt;&lt;pub-dates&gt;&lt;date&gt;Jan 31&lt;/date&gt;&lt;/pub-dates&gt;&lt;/dates&gt;&lt;isbn&gt;0140-6736&lt;/isbn&gt;&lt;accession-num&gt;15070571&lt;/accession-num&gt;&lt;urls&gt;&lt;/urls&gt;&lt;electronic-resource-num&gt;10.1016/s0140-6736(04)15440-8&lt;/electronic-resource-num&gt;&lt;remote-database-provider&gt;NLM&lt;/remote-database-provider&gt;&lt;language&gt;eng&lt;/language&gt;&lt;/record&gt;&lt;/Cite&gt;&lt;/EndNote&gt;</w:instrText>
      </w:r>
      <w:r w:rsidRPr="00C46BF0">
        <w:fldChar w:fldCharType="end"/>
      </w:r>
      <w:r w:rsidRPr="00C46BF0">
        <w:t>.</w:t>
      </w:r>
      <w:r w:rsidR="006309F2" w:rsidRPr="00C46BF0">
        <w:rPr>
          <w:rStyle w:val="FootnoteReference"/>
        </w:rPr>
        <w:footnoteReference w:id="6"/>
      </w:r>
      <w:r w:rsidRPr="00C46BF0">
        <w:t xml:space="preserve"> Vasodilatation that occurs during spontaneous migraine attacks is probably an epiphenomenon resulting from instability in the central neurovascular control mechanism. There is evidence to suggest that calcitonin gene</w:t>
      </w:r>
      <w:r w:rsidR="00705A49">
        <w:noBreakHyphen/>
      </w:r>
      <w:r w:rsidRPr="00C46BF0">
        <w:t xml:space="preserve">related peptide (CGRP) plays an important role in the pathogenesis of migraine via the activation of the </w:t>
      </w:r>
      <w:proofErr w:type="spellStart"/>
      <w:r w:rsidRPr="00C46BF0">
        <w:t>trigeminovascular</w:t>
      </w:r>
      <w:proofErr w:type="spellEnd"/>
      <w:r w:rsidRPr="00C46BF0">
        <w:t xml:space="preserve"> system.</w:t>
      </w:r>
      <w:bookmarkStart w:id="17" w:name="_Ref75867079"/>
      <w:r w:rsidRPr="00C46BF0">
        <w:rPr>
          <w:rStyle w:val="FootnoteReference"/>
        </w:rPr>
        <w:footnoteReference w:id="7"/>
      </w:r>
      <w:bookmarkEnd w:id="17"/>
      <w:r w:rsidRPr="00C46BF0">
        <w:t xml:space="preserve"> Stimulation of the trigeminal ganglion results in the release of vasoactive neuropeptides, including substance P, </w:t>
      </w:r>
      <w:r w:rsidR="000A222E" w:rsidRPr="00C46BF0">
        <w:t>CGRP</w:t>
      </w:r>
      <w:r w:rsidRPr="00C46BF0">
        <w:t>, and neurokinin</w:t>
      </w:r>
      <w:r w:rsidR="0054671F" w:rsidRPr="00C46BF0">
        <w:t>-</w:t>
      </w:r>
      <w:r w:rsidRPr="00C46BF0">
        <w:t xml:space="preserve">A. Release of these neuropeptides is associated with the process of neurogenic inflammation. The two main </w:t>
      </w:r>
      <w:r w:rsidRPr="00C46BF0">
        <w:lastRenderedPageBreak/>
        <w:t>components of this sterile inflammatory response are vasodilation (</w:t>
      </w:r>
      <w:r w:rsidR="000A222E" w:rsidRPr="00C46BF0">
        <w:t>CGRP</w:t>
      </w:r>
      <w:r w:rsidRPr="00C46BF0">
        <w:t xml:space="preserve"> is a potent vasodilator) and plasma protein extravasation.</w:t>
      </w:r>
      <w:r w:rsidRPr="00C46BF0">
        <w:rPr>
          <w:vertAlign w:val="superscript"/>
        </w:rPr>
        <w:fldChar w:fldCharType="begin"/>
      </w:r>
      <w:r w:rsidRPr="00C46BF0">
        <w:rPr>
          <w:vertAlign w:val="superscript"/>
        </w:rPr>
        <w:instrText xml:space="preserve"> NOTEREF _Ref75867079 \h  \* MERGEFORMAT </w:instrText>
      </w:r>
      <w:r w:rsidRPr="00C46BF0">
        <w:rPr>
          <w:vertAlign w:val="superscript"/>
        </w:rPr>
      </w:r>
      <w:r w:rsidRPr="00C46BF0">
        <w:rPr>
          <w:vertAlign w:val="superscript"/>
        </w:rPr>
        <w:fldChar w:fldCharType="separate"/>
      </w:r>
      <w:r w:rsidR="00112693">
        <w:rPr>
          <w:vertAlign w:val="superscript"/>
        </w:rPr>
        <w:t>6</w:t>
      </w:r>
      <w:r w:rsidRPr="00C46BF0">
        <w:rPr>
          <w:vertAlign w:val="superscript"/>
        </w:rPr>
        <w:fldChar w:fldCharType="end"/>
      </w:r>
      <w:r w:rsidR="006309F2" w:rsidRPr="00C46BF0">
        <w:rPr>
          <w:vertAlign w:val="superscript"/>
        </w:rPr>
        <w:t>,</w:t>
      </w:r>
      <w:bookmarkStart w:id="18" w:name="_Ref76125827"/>
      <w:r w:rsidR="006309F2" w:rsidRPr="00C46BF0">
        <w:rPr>
          <w:rStyle w:val="FootnoteReference"/>
        </w:rPr>
        <w:footnoteReference w:id="8"/>
      </w:r>
      <w:bookmarkEnd w:id="18"/>
    </w:p>
    <w:p w14:paraId="4ECD9036" w14:textId="3335E526" w:rsidR="004B226B" w:rsidRPr="00C46BF0" w:rsidRDefault="004B226B" w:rsidP="00C46BF0">
      <w:r w:rsidRPr="00C46BF0">
        <w:t>In humans, CGRP</w:t>
      </w:r>
      <w:r w:rsidR="00371DD4" w:rsidRPr="00C46BF0">
        <w:t xml:space="preserve"> is present in two isoforms, α-</w:t>
      </w:r>
      <w:r w:rsidRPr="00C46BF0">
        <w:t xml:space="preserve">CGRP and β-CGRP. Since α-CGRP </w:t>
      </w:r>
      <w:r w:rsidR="0054671F" w:rsidRPr="00C46BF0">
        <w:t>is the principal isoform localis</w:t>
      </w:r>
      <w:r w:rsidRPr="00C46BF0">
        <w:t>ed in the peripheral and central sensory nervous system, its biological activity seems more important in the pathophysiology of migraine. However, in terms of side effects, the β-CGRP isoform</w:t>
      </w:r>
      <w:r w:rsidR="00705A49">
        <w:t xml:space="preserve"> cannot be excluded</w:t>
      </w:r>
      <w:r w:rsidRPr="00C46BF0">
        <w:t xml:space="preserve"> (which plays a role in the enteric transmission) since some CGRP</w:t>
      </w:r>
      <w:r w:rsidR="0054671F" w:rsidRPr="00C46BF0">
        <w:t xml:space="preserve"> </w:t>
      </w:r>
      <w:r w:rsidRPr="00C46BF0">
        <w:t xml:space="preserve">blocking drugs (monoclonal antibodies such as </w:t>
      </w:r>
      <w:proofErr w:type="spellStart"/>
      <w:r w:rsidRPr="00C46BF0">
        <w:t>eptinezumab</w:t>
      </w:r>
      <w:proofErr w:type="spellEnd"/>
      <w:r w:rsidRPr="00C46BF0">
        <w:t xml:space="preserve">, </w:t>
      </w:r>
      <w:proofErr w:type="spellStart"/>
      <w:r w:rsidRPr="00C46BF0">
        <w:t>fremanezumab</w:t>
      </w:r>
      <w:proofErr w:type="spellEnd"/>
      <w:r w:rsidRPr="00C46BF0">
        <w:t xml:space="preserve">, and </w:t>
      </w:r>
      <w:proofErr w:type="spellStart"/>
      <w:r w:rsidRPr="00C46BF0">
        <w:t>galcanezumab</w:t>
      </w:r>
      <w:proofErr w:type="spellEnd"/>
      <w:r w:rsidRPr="00C46BF0">
        <w:t>) are not selective and can block both the α-CGRP and β-CGRP isoforms.</w:t>
      </w:r>
      <w:r w:rsidR="006309F2" w:rsidRPr="00C46BF0">
        <w:rPr>
          <w:vertAlign w:val="superscript"/>
        </w:rPr>
        <w:fldChar w:fldCharType="begin"/>
      </w:r>
      <w:r w:rsidR="006309F2" w:rsidRPr="00C46BF0">
        <w:rPr>
          <w:vertAlign w:val="superscript"/>
        </w:rPr>
        <w:instrText xml:space="preserve"> NOTEREF _Ref76125827 \h  \* MERGEFORMAT </w:instrText>
      </w:r>
      <w:r w:rsidR="006309F2" w:rsidRPr="00C46BF0">
        <w:rPr>
          <w:vertAlign w:val="superscript"/>
        </w:rPr>
      </w:r>
      <w:r w:rsidR="006309F2" w:rsidRPr="00C46BF0">
        <w:rPr>
          <w:vertAlign w:val="superscript"/>
        </w:rPr>
        <w:fldChar w:fldCharType="separate"/>
      </w:r>
      <w:r w:rsidR="00112693">
        <w:rPr>
          <w:vertAlign w:val="superscript"/>
        </w:rPr>
        <w:t>7</w:t>
      </w:r>
      <w:r w:rsidR="006309F2" w:rsidRPr="00C46BF0">
        <w:rPr>
          <w:vertAlign w:val="superscript"/>
        </w:rPr>
        <w:fldChar w:fldCharType="end"/>
      </w:r>
      <w:r w:rsidR="006309F2" w:rsidRPr="00C46BF0">
        <w:rPr>
          <w:vertAlign w:val="superscript"/>
        </w:rPr>
        <w:t>,</w:t>
      </w:r>
      <w:r w:rsidR="00A4068F" w:rsidRPr="00C46BF0">
        <w:rPr>
          <w:rStyle w:val="FootnoteReference"/>
        </w:rPr>
        <w:footnoteReference w:id="9"/>
      </w:r>
    </w:p>
    <w:p w14:paraId="3F2258FC" w14:textId="3AC2A0F0" w:rsidR="00C2471C" w:rsidRPr="00C46BF0" w:rsidRDefault="00395DB1" w:rsidP="00C46BF0">
      <w:proofErr w:type="spellStart"/>
      <w:r w:rsidRPr="00C46BF0">
        <w:t>Vyepti</w:t>
      </w:r>
      <w:proofErr w:type="spellEnd"/>
      <w:r w:rsidRPr="00C46BF0">
        <w:t xml:space="preserve"> is </w:t>
      </w:r>
      <w:r w:rsidR="0013190E" w:rsidRPr="00C46BF0">
        <w:t>approved for preventive</w:t>
      </w:r>
      <w:r w:rsidRPr="00C46BF0">
        <w:t xml:space="preserve"> </w:t>
      </w:r>
      <w:r w:rsidR="005433CD" w:rsidRPr="00C46BF0">
        <w:t xml:space="preserve">(prophylactic) </w:t>
      </w:r>
      <w:r w:rsidRPr="00C46BF0">
        <w:t>treatment of migraine in adults</w:t>
      </w:r>
      <w:r w:rsidR="00B370EB">
        <w:t xml:space="preserve"> </w:t>
      </w:r>
      <w:r w:rsidR="00C6132B">
        <w:t>to be administrated intravenously as an infusion once every three months</w:t>
      </w:r>
      <w:r w:rsidRPr="00C46BF0">
        <w:t>.</w:t>
      </w:r>
      <w:r w:rsidR="0013190E" w:rsidRPr="00C46BF0">
        <w:t xml:space="preserve"> </w:t>
      </w:r>
      <w:r w:rsidRPr="00C46BF0">
        <w:t>Current pharmacological migraine preventive options available in Australia may be administered orally or by subcutaneous injection.</w:t>
      </w:r>
      <w:r w:rsidR="0013190E" w:rsidRPr="00C46BF0">
        <w:t xml:space="preserve"> </w:t>
      </w:r>
      <w:r w:rsidR="00C2471C" w:rsidRPr="00C46BF0">
        <w:t xml:space="preserve">Common oral prophylactic options in current use in Australia include </w:t>
      </w:r>
      <w:r w:rsidR="0022249B" w:rsidRPr="00C46BF0">
        <w:t>pizotifen</w:t>
      </w:r>
      <w:r w:rsidR="00EA1735">
        <w:t xml:space="preserve"> (</w:t>
      </w:r>
      <w:proofErr w:type="spellStart"/>
      <w:r w:rsidR="00EA1735" w:rsidRPr="00C46BF0">
        <w:t>Sandomigran</w:t>
      </w:r>
      <w:proofErr w:type="spellEnd"/>
      <w:r w:rsidR="00C2471C" w:rsidRPr="00C46BF0">
        <w:t>),</w:t>
      </w:r>
      <w:r w:rsidR="0022249B" w:rsidRPr="00C46BF0">
        <w:rPr>
          <w:rStyle w:val="FootnoteReference"/>
        </w:rPr>
        <w:footnoteReference w:id="10"/>
      </w:r>
      <w:r w:rsidR="00C2471C" w:rsidRPr="00C46BF0">
        <w:t xml:space="preserve"> </w:t>
      </w:r>
      <w:r w:rsidR="0022249B" w:rsidRPr="00C46BF0">
        <w:t>propranolol</w:t>
      </w:r>
      <w:r w:rsidR="00C2471C" w:rsidRPr="00C46BF0">
        <w:t>,</w:t>
      </w:r>
      <w:r w:rsidR="0022249B" w:rsidRPr="00C46BF0">
        <w:rPr>
          <w:rStyle w:val="FootnoteReference"/>
        </w:rPr>
        <w:footnoteReference w:id="11"/>
      </w:r>
      <w:r w:rsidR="0022249B" w:rsidRPr="00C46BF0">
        <w:rPr>
          <w:vertAlign w:val="superscript"/>
        </w:rPr>
        <w:t>,</w:t>
      </w:r>
      <w:r w:rsidR="0022249B" w:rsidRPr="00C46BF0">
        <w:rPr>
          <w:rStyle w:val="FootnoteReference"/>
        </w:rPr>
        <w:footnoteReference w:id="12"/>
      </w:r>
      <w:r w:rsidR="00C2471C" w:rsidRPr="00C46BF0">
        <w:t xml:space="preserve"> </w:t>
      </w:r>
      <w:r w:rsidR="00705A49">
        <w:t xml:space="preserve">and </w:t>
      </w:r>
      <w:r w:rsidR="0022249B" w:rsidRPr="00C46BF0">
        <w:t>topiramate</w:t>
      </w:r>
      <w:r w:rsidR="00A25988" w:rsidRPr="00C46BF0">
        <w:t>;</w:t>
      </w:r>
      <w:r w:rsidR="00A25988" w:rsidRPr="00C46BF0">
        <w:rPr>
          <w:rStyle w:val="FootnoteReference"/>
        </w:rPr>
        <w:footnoteReference w:id="13"/>
      </w:r>
      <w:r w:rsidRPr="00C46BF0">
        <w:t xml:space="preserve"> amongst others. </w:t>
      </w:r>
      <w:r w:rsidR="00600442">
        <w:t>Subcutaneously i</w:t>
      </w:r>
      <w:r w:rsidR="00C2471C" w:rsidRPr="00C46BF0">
        <w:t>nject</w:t>
      </w:r>
      <w:r w:rsidR="00EA1735">
        <w:t>ed</w:t>
      </w:r>
      <w:r w:rsidR="00600442">
        <w:t xml:space="preserve"> drugs</w:t>
      </w:r>
      <w:r w:rsidRPr="00C46BF0">
        <w:t xml:space="preserve"> include </w:t>
      </w:r>
      <w:r w:rsidR="00705A49">
        <w:t>b</w:t>
      </w:r>
      <w:r w:rsidRPr="00C46BF0">
        <w:t>otulinum toxin;</w:t>
      </w:r>
      <w:r w:rsidR="00C2471C" w:rsidRPr="00C46BF0">
        <w:t xml:space="preserve"> the CGRP antagonist</w:t>
      </w:r>
      <w:r w:rsidR="00AC4B78">
        <w:t>s</w:t>
      </w:r>
      <w:r w:rsidR="00C2471C" w:rsidRPr="00C46BF0">
        <w:t xml:space="preserve">, </w:t>
      </w:r>
      <w:proofErr w:type="spellStart"/>
      <w:r w:rsidR="00A25988" w:rsidRPr="00C46BF0">
        <w:t>erenumab</w:t>
      </w:r>
      <w:proofErr w:type="spellEnd"/>
      <w:r w:rsidR="00EA1735">
        <w:t xml:space="preserve"> (</w:t>
      </w:r>
      <w:r w:rsidR="00EA1735" w:rsidRPr="00C46BF0">
        <w:t>Aimovig</w:t>
      </w:r>
      <w:r w:rsidR="00C2471C" w:rsidRPr="00C46BF0">
        <w:t>),</w:t>
      </w:r>
      <w:r w:rsidR="00A25988" w:rsidRPr="00C46BF0">
        <w:rPr>
          <w:rStyle w:val="FootnoteReference"/>
        </w:rPr>
        <w:footnoteReference w:id="14"/>
      </w:r>
      <w:r w:rsidR="00C2471C" w:rsidRPr="00C46BF0">
        <w:t xml:space="preserve"> </w:t>
      </w:r>
      <w:proofErr w:type="spellStart"/>
      <w:r w:rsidR="00C2471C" w:rsidRPr="00C46BF0">
        <w:t>fremanezumab</w:t>
      </w:r>
      <w:proofErr w:type="spellEnd"/>
      <w:r w:rsidR="00EA1735">
        <w:t xml:space="preserve"> (</w:t>
      </w:r>
      <w:proofErr w:type="spellStart"/>
      <w:r w:rsidR="00EA1735" w:rsidRPr="00C46BF0">
        <w:t>Ajovy</w:t>
      </w:r>
      <w:proofErr w:type="spellEnd"/>
      <w:r w:rsidR="00C2471C" w:rsidRPr="00C46BF0">
        <w:t>)</w:t>
      </w:r>
      <w:r w:rsidR="00A25988" w:rsidRPr="00C46BF0">
        <w:t>;</w:t>
      </w:r>
      <w:r w:rsidR="00A25988" w:rsidRPr="00C46BF0">
        <w:rPr>
          <w:rStyle w:val="FootnoteReference"/>
        </w:rPr>
        <w:footnoteReference w:id="15"/>
      </w:r>
      <w:r w:rsidR="00C2471C" w:rsidRPr="00C46BF0">
        <w:t xml:space="preserve"> and </w:t>
      </w:r>
      <w:proofErr w:type="spellStart"/>
      <w:r w:rsidR="00C2471C" w:rsidRPr="00C46BF0">
        <w:t>galcanezumab</w:t>
      </w:r>
      <w:proofErr w:type="spellEnd"/>
      <w:r w:rsidR="00EA1735">
        <w:t xml:space="preserve"> (</w:t>
      </w:r>
      <w:proofErr w:type="spellStart"/>
      <w:r w:rsidR="00EA1735" w:rsidRPr="00C46BF0">
        <w:t>Emgality</w:t>
      </w:r>
      <w:proofErr w:type="spellEnd"/>
      <w:r w:rsidR="00C2471C" w:rsidRPr="00C46BF0">
        <w:t>),</w:t>
      </w:r>
      <w:r w:rsidR="00A25988" w:rsidRPr="00C46BF0">
        <w:rPr>
          <w:rStyle w:val="FootnoteReference"/>
        </w:rPr>
        <w:footnoteReference w:id="16"/>
      </w:r>
      <w:r w:rsidR="00C2471C" w:rsidRPr="00C46BF0">
        <w:t xml:space="preserve"> that have become available via </w:t>
      </w:r>
      <w:r w:rsidR="00600442" w:rsidRPr="00C46BF0">
        <w:t xml:space="preserve">patient familiarisation programmes </w:t>
      </w:r>
      <w:r w:rsidR="00C2471C" w:rsidRPr="00C46BF0">
        <w:t>or private prescription.</w:t>
      </w:r>
    </w:p>
    <w:p w14:paraId="23BC8E92" w14:textId="71256B65" w:rsidR="005433CD" w:rsidRPr="00C46BF0" w:rsidRDefault="005433CD" w:rsidP="00C46BF0">
      <w:r w:rsidRPr="00C46BF0">
        <w:t xml:space="preserve">The </w:t>
      </w:r>
      <w:r w:rsidRPr="00C46BF0">
        <w:rPr>
          <w:color w:val="000000" w:themeColor="text1"/>
        </w:rPr>
        <w:t xml:space="preserve">TGA has approved three CGRP antagonists for the preventive treatment of migraine: </w:t>
      </w:r>
      <w:proofErr w:type="spellStart"/>
      <w:r w:rsidRPr="00C46BF0">
        <w:rPr>
          <w:color w:val="000000" w:themeColor="text1"/>
        </w:rPr>
        <w:t>erenumab</w:t>
      </w:r>
      <w:proofErr w:type="spellEnd"/>
      <w:r w:rsidRPr="00C46BF0">
        <w:rPr>
          <w:color w:val="000000" w:themeColor="text1"/>
        </w:rPr>
        <w:t xml:space="preserve">, </w:t>
      </w:r>
      <w:proofErr w:type="spellStart"/>
      <w:r w:rsidRPr="00C46BF0">
        <w:rPr>
          <w:color w:val="000000" w:themeColor="text1"/>
        </w:rPr>
        <w:t>fremanezumab</w:t>
      </w:r>
      <w:proofErr w:type="spellEnd"/>
      <w:r w:rsidRPr="00C46BF0">
        <w:rPr>
          <w:color w:val="000000" w:themeColor="text1"/>
        </w:rPr>
        <w:t xml:space="preserve">, and </w:t>
      </w:r>
      <w:proofErr w:type="spellStart"/>
      <w:r w:rsidRPr="00C46BF0">
        <w:rPr>
          <w:color w:val="000000" w:themeColor="text1"/>
        </w:rPr>
        <w:t>galcanezumab</w:t>
      </w:r>
      <w:proofErr w:type="spellEnd"/>
      <w:r w:rsidRPr="00C46BF0">
        <w:rPr>
          <w:color w:val="000000" w:themeColor="text1"/>
        </w:rPr>
        <w:t xml:space="preserve">. All these medicines are administered subcutaneously. </w:t>
      </w:r>
      <w:proofErr w:type="spellStart"/>
      <w:r w:rsidR="00AD0067">
        <w:rPr>
          <w:color w:val="000000" w:themeColor="text1"/>
        </w:rPr>
        <w:t>E</w:t>
      </w:r>
      <w:r w:rsidRPr="00C46BF0">
        <w:rPr>
          <w:color w:val="000000" w:themeColor="text1"/>
        </w:rPr>
        <w:t>ptinezumab</w:t>
      </w:r>
      <w:proofErr w:type="spellEnd"/>
      <w:r w:rsidRPr="00C46BF0">
        <w:rPr>
          <w:color w:val="000000" w:themeColor="text1"/>
        </w:rPr>
        <w:t xml:space="preserve"> </w:t>
      </w:r>
      <w:r w:rsidR="00AD0067">
        <w:t>is</w:t>
      </w:r>
      <w:r w:rsidRPr="00C46BF0">
        <w:t xml:space="preserve"> the first CGRP antagonist and a treatment agent for the prophylaxis of migraine that </w:t>
      </w:r>
      <w:r w:rsidR="00AD0067">
        <w:t>is</w:t>
      </w:r>
      <w:r w:rsidRPr="00C46BF0">
        <w:t xml:space="preserve"> administered intravenously. </w:t>
      </w:r>
      <w:proofErr w:type="spellStart"/>
      <w:r w:rsidRPr="00C46BF0">
        <w:t>Erenumab</w:t>
      </w:r>
      <w:proofErr w:type="spellEnd"/>
      <w:r w:rsidRPr="00C46BF0">
        <w:t xml:space="preserve"> binds to the CGRP receptor, and </w:t>
      </w:r>
      <w:proofErr w:type="spellStart"/>
      <w:r w:rsidRPr="00C46BF0">
        <w:t>fremanezumab</w:t>
      </w:r>
      <w:proofErr w:type="spellEnd"/>
      <w:r w:rsidRPr="00C46BF0">
        <w:t xml:space="preserve"> and </w:t>
      </w:r>
      <w:proofErr w:type="spellStart"/>
      <w:r w:rsidRPr="00C46BF0">
        <w:t>galcanezumab</w:t>
      </w:r>
      <w:proofErr w:type="spellEnd"/>
      <w:r w:rsidRPr="00C46BF0">
        <w:t xml:space="preserve"> bind to the CGRP ligand. </w:t>
      </w:r>
      <w:proofErr w:type="spellStart"/>
      <w:r w:rsidRPr="00C46BF0">
        <w:t>Erenumab</w:t>
      </w:r>
      <w:proofErr w:type="spellEnd"/>
      <w:r w:rsidRPr="00C46BF0">
        <w:t xml:space="preserve"> was the first CGRP antagonist that was approved by the TGA in 2018. The CGRP antagonists are each administered monthly via subcutaneous injection, with a loading dose recommended for </w:t>
      </w:r>
      <w:proofErr w:type="spellStart"/>
      <w:r w:rsidRPr="00C46BF0">
        <w:t>galcanezumab</w:t>
      </w:r>
      <w:proofErr w:type="spellEnd"/>
      <w:r w:rsidRPr="00C46BF0">
        <w:t xml:space="preserve">. </w:t>
      </w:r>
      <w:proofErr w:type="spellStart"/>
      <w:r w:rsidRPr="00C46BF0">
        <w:t>Fremanezumab</w:t>
      </w:r>
      <w:proofErr w:type="spellEnd"/>
      <w:r w:rsidRPr="00C46BF0">
        <w:t xml:space="preserve"> also has an alternate dosing regimen of three injections (doses) given together once every three months.</w:t>
      </w:r>
    </w:p>
    <w:p w14:paraId="13B63469" w14:textId="77777777" w:rsidR="005433CD" w:rsidRPr="00C46BF0" w:rsidRDefault="005433CD" w:rsidP="00C46BF0">
      <w:r w:rsidRPr="00C46BF0">
        <w:t xml:space="preserve">There are </w:t>
      </w:r>
      <w:proofErr w:type="gramStart"/>
      <w:r w:rsidRPr="00C46BF0">
        <w:t>a number of</w:t>
      </w:r>
      <w:proofErr w:type="gramEnd"/>
      <w:r w:rsidRPr="00C46BF0">
        <w:t xml:space="preserve"> limitations with the currently available preventive agents. Many patients do not respond to the currently available agents. In addition, they may experience </w:t>
      </w:r>
      <w:proofErr w:type="gramStart"/>
      <w:r w:rsidRPr="00C46BF0">
        <w:t>idiosyncratic</w:t>
      </w:r>
      <w:proofErr w:type="gramEnd"/>
      <w:r w:rsidRPr="00C46BF0">
        <w:t xml:space="preserve"> or dose related intolerable side effects, or find adhering to a daily medication regime challenging.</w:t>
      </w:r>
    </w:p>
    <w:p w14:paraId="50054A8E" w14:textId="6F80CB57" w:rsidR="005433CD" w:rsidRPr="00C46BF0" w:rsidRDefault="005433CD" w:rsidP="00C46BF0">
      <w:r w:rsidRPr="00C46BF0">
        <w:t>Therefore</w:t>
      </w:r>
      <w:r w:rsidR="007701B0">
        <w:t>,</w:t>
      </w:r>
      <w:r w:rsidRPr="00C46BF0">
        <w:t xml:space="preserve"> there is a clinical need for effective novel migraine prophylactic agents.</w:t>
      </w:r>
    </w:p>
    <w:p w14:paraId="7609FC14" w14:textId="77777777" w:rsidR="008E7846" w:rsidRPr="00C46BF0" w:rsidRDefault="00386150" w:rsidP="00C46BF0">
      <w:pPr>
        <w:pStyle w:val="Heading3"/>
      </w:pPr>
      <w:bookmarkStart w:id="19" w:name="_Toc314842485"/>
      <w:bookmarkStart w:id="20" w:name="_Toc247691504"/>
      <w:bookmarkStart w:id="21" w:name="_Toc96700845"/>
      <w:r w:rsidRPr="00C46BF0">
        <w:t>Regulatory s</w:t>
      </w:r>
      <w:r w:rsidR="008E7846" w:rsidRPr="00C46BF0">
        <w:t>tatus</w:t>
      </w:r>
      <w:bookmarkEnd w:id="19"/>
      <w:bookmarkEnd w:id="20"/>
      <w:bookmarkEnd w:id="21"/>
    </w:p>
    <w:p w14:paraId="78188AF1" w14:textId="77777777" w:rsidR="00940A89" w:rsidRPr="00C46BF0" w:rsidRDefault="00006FAB" w:rsidP="00C46BF0">
      <w:bookmarkStart w:id="22" w:name="_Toc247691505"/>
      <w:bookmarkStart w:id="23" w:name="_Toc314842486"/>
      <w:r w:rsidRPr="00C46BF0">
        <w:t>This product is considered a new biological entity for Australian regulatory purposes.</w:t>
      </w:r>
    </w:p>
    <w:p w14:paraId="60972D2B" w14:textId="4395E4E6" w:rsidR="00006FAB" w:rsidRDefault="00006FAB" w:rsidP="00C46BF0">
      <w:r w:rsidRPr="00C46BF0">
        <w:t>At the time the TGA considered this application, similar application</w:t>
      </w:r>
      <w:r w:rsidR="00881E4E" w:rsidRPr="00C46BF0">
        <w:t>s</w:t>
      </w:r>
      <w:r w:rsidRPr="00C46BF0">
        <w:t xml:space="preserve"> had been approved </w:t>
      </w:r>
      <w:r w:rsidR="00881E4E" w:rsidRPr="00C46BF0">
        <w:t xml:space="preserve">in the United </w:t>
      </w:r>
      <w:r w:rsidR="005433CD" w:rsidRPr="00C46BF0">
        <w:t>States</w:t>
      </w:r>
      <w:r w:rsidR="00881E4E" w:rsidRPr="00C46BF0">
        <w:t xml:space="preserve"> of America (USA) (on 21 February 2020) and Canada (on 11 January 2021). Similar applications were</w:t>
      </w:r>
      <w:r w:rsidRPr="00C46BF0">
        <w:t xml:space="preserve"> under consideration in </w:t>
      </w:r>
      <w:r w:rsidR="00881E4E" w:rsidRPr="00C46BF0">
        <w:t xml:space="preserve">Switzerland (submitted on </w:t>
      </w:r>
      <w:r w:rsidR="00881E4E" w:rsidRPr="00C46BF0">
        <w:lastRenderedPageBreak/>
        <w:t>30</w:t>
      </w:r>
      <w:r w:rsidR="00EA1735">
        <w:t> </w:t>
      </w:r>
      <w:r w:rsidR="00881E4E" w:rsidRPr="00C46BF0">
        <w:t xml:space="preserve">April 2020), Singapore (submitted on 15 June 2020) and </w:t>
      </w:r>
      <w:r w:rsidR="005433CD" w:rsidRPr="00C46BF0">
        <w:t xml:space="preserve">the </w:t>
      </w:r>
      <w:r w:rsidR="00881E4E" w:rsidRPr="00C46BF0">
        <w:t>European Union</w:t>
      </w:r>
      <w:r w:rsidR="00DE71E0" w:rsidRPr="00C46BF0">
        <w:t xml:space="preserve"> (EU)</w:t>
      </w:r>
      <w:r w:rsidR="00881E4E" w:rsidRPr="00C46BF0">
        <w:t xml:space="preserve"> (submitted on 16 November 2020).</w:t>
      </w:r>
    </w:p>
    <w:p w14:paraId="1E0121B7" w14:textId="63D87D34" w:rsidR="00EA1735" w:rsidRPr="00C46BF0" w:rsidRDefault="00B34B5A" w:rsidP="00C46BF0">
      <w:r>
        <w:fldChar w:fldCharType="begin"/>
      </w:r>
      <w:r>
        <w:instrText xml:space="preserve"> REF _Ref96697643 \h </w:instrText>
      </w:r>
      <w:r>
        <w:fldChar w:fldCharType="separate"/>
      </w:r>
      <w:r w:rsidR="00112693" w:rsidRPr="00C46BF0">
        <w:t xml:space="preserve">Table </w:t>
      </w:r>
      <w:r w:rsidR="00112693">
        <w:rPr>
          <w:noProof/>
        </w:rPr>
        <w:t>1</w:t>
      </w:r>
      <w:r>
        <w:fldChar w:fldCharType="end"/>
      </w:r>
      <w:r w:rsidR="00EA1735">
        <w:t xml:space="preserve">, shown below, summarised the approved indications for </w:t>
      </w:r>
      <w:proofErr w:type="spellStart"/>
      <w:r w:rsidR="00EA1735">
        <w:t>eptinezumab</w:t>
      </w:r>
      <w:proofErr w:type="spellEnd"/>
      <w:r w:rsidR="00EA1735">
        <w:t xml:space="preserve"> in other countries and territories.</w:t>
      </w:r>
    </w:p>
    <w:p w14:paraId="5AF740FF" w14:textId="2BB479A5" w:rsidR="00D9275D" w:rsidRDefault="00324E45" w:rsidP="00001127">
      <w:pPr>
        <w:pStyle w:val="TableTitle"/>
      </w:pPr>
      <w:bookmarkStart w:id="24" w:name="_Ref96697643"/>
      <w:r w:rsidRPr="00C46BF0">
        <w:t xml:space="preserve">Table </w:t>
      </w:r>
      <w:r>
        <w:fldChar w:fldCharType="begin"/>
      </w:r>
      <w:r>
        <w:instrText>SEQ Table \* ARABIC</w:instrText>
      </w:r>
      <w:r>
        <w:fldChar w:fldCharType="separate"/>
      </w:r>
      <w:r w:rsidR="00112693">
        <w:rPr>
          <w:noProof/>
        </w:rPr>
        <w:t>1</w:t>
      </w:r>
      <w:r>
        <w:fldChar w:fldCharType="end"/>
      </w:r>
      <w:bookmarkEnd w:id="24"/>
      <w:r w:rsidRPr="00C46BF0">
        <w:t>: International regulatory status</w:t>
      </w:r>
    </w:p>
    <w:tbl>
      <w:tblPr>
        <w:tblStyle w:val="TableTGAblue"/>
        <w:tblW w:w="8494" w:type="dxa"/>
        <w:tblInd w:w="-5" w:type="dxa"/>
        <w:tblLayout w:type="fixed"/>
        <w:tblLook w:val="04A0" w:firstRow="1" w:lastRow="0" w:firstColumn="1" w:lastColumn="0" w:noHBand="0" w:noVBand="1"/>
      </w:tblPr>
      <w:tblGrid>
        <w:gridCol w:w="1512"/>
        <w:gridCol w:w="2083"/>
        <w:gridCol w:w="2160"/>
        <w:gridCol w:w="2739"/>
      </w:tblGrid>
      <w:tr w:rsidR="008F1EC2" w:rsidRPr="00C46BF0" w14:paraId="52547774" w14:textId="77777777" w:rsidTr="00A702F2">
        <w:trPr>
          <w:cnfStyle w:val="100000000000" w:firstRow="1" w:lastRow="0" w:firstColumn="0" w:lastColumn="0" w:oddVBand="0" w:evenVBand="0" w:oddHBand="0" w:evenHBand="0" w:firstRowFirstColumn="0" w:firstRowLastColumn="0" w:lastRowFirstColumn="0" w:lastRowLastColumn="0"/>
        </w:trPr>
        <w:tc>
          <w:tcPr>
            <w:tcW w:w="1512" w:type="dxa"/>
            <w:shd w:val="clear" w:color="auto" w:fill="0070B5" w:themeFill="text2" w:themeFillTint="BF"/>
          </w:tcPr>
          <w:p w14:paraId="39DBEE3D" w14:textId="77777777" w:rsidR="008A4A88" w:rsidRPr="00C46BF0" w:rsidRDefault="008A4A88" w:rsidP="00F95B77">
            <w:pPr>
              <w:ind w:left="0" w:right="0"/>
            </w:pPr>
            <w:r w:rsidRPr="00C46BF0">
              <w:t>Region</w:t>
            </w:r>
          </w:p>
        </w:tc>
        <w:tc>
          <w:tcPr>
            <w:tcW w:w="2083" w:type="dxa"/>
            <w:shd w:val="clear" w:color="auto" w:fill="0070B5" w:themeFill="text2" w:themeFillTint="BF"/>
          </w:tcPr>
          <w:p w14:paraId="454F652A" w14:textId="77777777" w:rsidR="008A4A88" w:rsidRPr="00C46BF0" w:rsidRDefault="008A4A88" w:rsidP="00F95B77">
            <w:pPr>
              <w:ind w:left="0" w:right="0"/>
            </w:pPr>
            <w:r w:rsidRPr="00C46BF0">
              <w:t>Submission date</w:t>
            </w:r>
          </w:p>
        </w:tc>
        <w:tc>
          <w:tcPr>
            <w:tcW w:w="2160" w:type="dxa"/>
            <w:shd w:val="clear" w:color="auto" w:fill="0070B5" w:themeFill="text2" w:themeFillTint="BF"/>
          </w:tcPr>
          <w:p w14:paraId="11E8CF48" w14:textId="77777777" w:rsidR="008A4A88" w:rsidRPr="00C46BF0" w:rsidRDefault="008A4A88" w:rsidP="00F95B77">
            <w:pPr>
              <w:ind w:left="0" w:right="0"/>
            </w:pPr>
            <w:r w:rsidRPr="00C46BF0">
              <w:t>Status</w:t>
            </w:r>
          </w:p>
        </w:tc>
        <w:tc>
          <w:tcPr>
            <w:tcW w:w="2739" w:type="dxa"/>
            <w:shd w:val="clear" w:color="auto" w:fill="0070B5" w:themeFill="text2" w:themeFillTint="BF"/>
          </w:tcPr>
          <w:p w14:paraId="2B64BA86" w14:textId="77777777" w:rsidR="008A4A88" w:rsidRPr="00C46BF0" w:rsidRDefault="008A4A88" w:rsidP="00F95B77">
            <w:pPr>
              <w:ind w:left="0" w:right="0"/>
            </w:pPr>
            <w:r w:rsidRPr="00C46BF0">
              <w:t>Approved indications</w:t>
            </w:r>
          </w:p>
        </w:tc>
      </w:tr>
      <w:tr w:rsidR="00601580" w:rsidRPr="00C46BF0" w14:paraId="26A97D27" w14:textId="77777777" w:rsidTr="00A702F2">
        <w:tc>
          <w:tcPr>
            <w:tcW w:w="0" w:type="dxa"/>
            <w:tcBorders>
              <w:top w:val="single" w:sz="4" w:space="0" w:color="auto"/>
            </w:tcBorders>
          </w:tcPr>
          <w:p w14:paraId="67FF8AA4" w14:textId="77777777" w:rsidR="00601580" w:rsidRPr="00C46BF0" w:rsidRDefault="00601580" w:rsidP="002D2149">
            <w:pPr>
              <w:ind w:left="0"/>
            </w:pPr>
            <w:r w:rsidRPr="008A4A88">
              <w:t>United States of America</w:t>
            </w:r>
          </w:p>
        </w:tc>
        <w:tc>
          <w:tcPr>
            <w:tcW w:w="2083" w:type="dxa"/>
            <w:tcBorders>
              <w:top w:val="single" w:sz="4" w:space="0" w:color="auto"/>
            </w:tcBorders>
          </w:tcPr>
          <w:p w14:paraId="5176B195" w14:textId="07E6F873" w:rsidR="00601580" w:rsidRPr="00C46BF0" w:rsidRDefault="00524D4F" w:rsidP="00D850C0">
            <w:pPr>
              <w:ind w:left="0"/>
            </w:pPr>
            <w:r>
              <w:t>21 February 2019</w:t>
            </w:r>
          </w:p>
        </w:tc>
        <w:tc>
          <w:tcPr>
            <w:tcW w:w="2160" w:type="dxa"/>
            <w:tcBorders>
              <w:top w:val="single" w:sz="4" w:space="0" w:color="auto"/>
            </w:tcBorders>
          </w:tcPr>
          <w:p w14:paraId="51879292" w14:textId="6D297D13" w:rsidR="00601580" w:rsidRPr="00C46BF0" w:rsidRDefault="00601580" w:rsidP="002D2149">
            <w:pPr>
              <w:ind w:left="0"/>
            </w:pPr>
            <w:r w:rsidRPr="00C46BF0">
              <w:t>Approved on 21</w:t>
            </w:r>
            <w:r w:rsidR="00EA1735">
              <w:t> </w:t>
            </w:r>
            <w:r w:rsidRPr="00C46BF0">
              <w:t>February 2020</w:t>
            </w:r>
          </w:p>
        </w:tc>
        <w:tc>
          <w:tcPr>
            <w:tcW w:w="2739" w:type="dxa"/>
            <w:tcBorders>
              <w:top w:val="single" w:sz="4" w:space="0" w:color="auto"/>
            </w:tcBorders>
          </w:tcPr>
          <w:p w14:paraId="590EC507" w14:textId="16C45F03" w:rsidR="00601580" w:rsidRPr="00C46BF0" w:rsidRDefault="00601580" w:rsidP="00461364">
            <w:pPr>
              <w:ind w:left="0"/>
              <w:rPr>
                <w:i/>
              </w:rPr>
            </w:pPr>
            <w:proofErr w:type="spellStart"/>
            <w:r w:rsidRPr="0006264E">
              <w:rPr>
                <w:i/>
              </w:rPr>
              <w:t>V</w:t>
            </w:r>
            <w:r w:rsidR="00461364" w:rsidRPr="0006264E">
              <w:rPr>
                <w:i/>
              </w:rPr>
              <w:t>yepti</w:t>
            </w:r>
            <w:proofErr w:type="spellEnd"/>
            <w:r w:rsidRPr="00FF34B2">
              <w:rPr>
                <w:i/>
              </w:rPr>
              <w:t xml:space="preserve"> is indicated for the preventive treatment of migraine in adults.</w:t>
            </w:r>
          </w:p>
        </w:tc>
      </w:tr>
      <w:tr w:rsidR="00601580" w:rsidRPr="00C46BF0" w14:paraId="694C7278" w14:textId="77777777" w:rsidTr="00A702F2">
        <w:tc>
          <w:tcPr>
            <w:tcW w:w="0" w:type="dxa"/>
          </w:tcPr>
          <w:p w14:paraId="4F331251" w14:textId="77777777" w:rsidR="00601580" w:rsidRPr="00C46BF0" w:rsidRDefault="00601580" w:rsidP="002D2149">
            <w:pPr>
              <w:ind w:left="0"/>
            </w:pPr>
            <w:r w:rsidRPr="00C46BF0">
              <w:t>Canada</w:t>
            </w:r>
          </w:p>
        </w:tc>
        <w:tc>
          <w:tcPr>
            <w:tcW w:w="2083" w:type="dxa"/>
          </w:tcPr>
          <w:p w14:paraId="75527C66" w14:textId="067DB3FC" w:rsidR="00601580" w:rsidRPr="00C46BF0" w:rsidRDefault="00524D4F" w:rsidP="00D850C0">
            <w:pPr>
              <w:ind w:left="0"/>
            </w:pPr>
            <w:r>
              <w:t>3 February 2020</w:t>
            </w:r>
          </w:p>
        </w:tc>
        <w:tc>
          <w:tcPr>
            <w:tcW w:w="2160" w:type="dxa"/>
          </w:tcPr>
          <w:p w14:paraId="787B4020" w14:textId="1F6E7F60" w:rsidR="00601580" w:rsidRPr="00C46BF0" w:rsidRDefault="00601580" w:rsidP="002D2149">
            <w:pPr>
              <w:ind w:left="0"/>
            </w:pPr>
            <w:r w:rsidRPr="00C46BF0">
              <w:t>Approved on 11</w:t>
            </w:r>
            <w:r w:rsidR="00EA1735">
              <w:t> </w:t>
            </w:r>
            <w:r w:rsidRPr="00C46BF0">
              <w:t>January 2021</w:t>
            </w:r>
          </w:p>
        </w:tc>
        <w:tc>
          <w:tcPr>
            <w:tcW w:w="2739" w:type="dxa"/>
          </w:tcPr>
          <w:p w14:paraId="2B57FB32" w14:textId="77777777" w:rsidR="00601580" w:rsidRPr="00C46BF0" w:rsidRDefault="00601580" w:rsidP="002D2149">
            <w:pPr>
              <w:ind w:left="0"/>
              <w:rPr>
                <w:i/>
              </w:rPr>
            </w:pPr>
            <w:proofErr w:type="spellStart"/>
            <w:r w:rsidRPr="00C46BF0">
              <w:rPr>
                <w:i/>
              </w:rPr>
              <w:t>Vyepti</w:t>
            </w:r>
            <w:proofErr w:type="spellEnd"/>
            <w:r w:rsidRPr="00C46BF0">
              <w:rPr>
                <w:i/>
              </w:rPr>
              <w:t xml:space="preserve"> (</w:t>
            </w:r>
            <w:proofErr w:type="spellStart"/>
            <w:r w:rsidRPr="00C46BF0">
              <w:rPr>
                <w:i/>
              </w:rPr>
              <w:t>eptinezumab</w:t>
            </w:r>
            <w:proofErr w:type="spellEnd"/>
            <w:r w:rsidRPr="00C46BF0">
              <w:rPr>
                <w:i/>
              </w:rPr>
              <w:t xml:space="preserve"> for injection) is indicated for the prevention of migraine in adults who have at least 4 migraine days per month.</w:t>
            </w:r>
          </w:p>
        </w:tc>
      </w:tr>
      <w:tr w:rsidR="00601580" w:rsidRPr="00C46BF0" w14:paraId="129410A5" w14:textId="77777777" w:rsidTr="00A702F2">
        <w:tc>
          <w:tcPr>
            <w:tcW w:w="0" w:type="dxa"/>
          </w:tcPr>
          <w:p w14:paraId="34D06679" w14:textId="77777777" w:rsidR="00601580" w:rsidRPr="00C46BF0" w:rsidRDefault="00601580" w:rsidP="002D2149">
            <w:pPr>
              <w:ind w:left="0"/>
            </w:pPr>
            <w:r w:rsidRPr="00C46BF0">
              <w:t>Switzerland</w:t>
            </w:r>
          </w:p>
        </w:tc>
        <w:tc>
          <w:tcPr>
            <w:tcW w:w="2083" w:type="dxa"/>
          </w:tcPr>
          <w:p w14:paraId="39F7F39E" w14:textId="77777777" w:rsidR="00601580" w:rsidRPr="00C46BF0" w:rsidRDefault="00601580" w:rsidP="002D2149">
            <w:pPr>
              <w:ind w:left="0"/>
            </w:pPr>
            <w:r w:rsidRPr="00C46BF0">
              <w:t>30 April 2020</w:t>
            </w:r>
          </w:p>
        </w:tc>
        <w:tc>
          <w:tcPr>
            <w:tcW w:w="2160" w:type="dxa"/>
          </w:tcPr>
          <w:p w14:paraId="7849CF0F" w14:textId="77777777" w:rsidR="00601580" w:rsidRPr="00C46BF0" w:rsidRDefault="00601580" w:rsidP="002D2149">
            <w:pPr>
              <w:ind w:left="0"/>
            </w:pPr>
            <w:r w:rsidRPr="00C46BF0">
              <w:t>Under consideration</w:t>
            </w:r>
          </w:p>
        </w:tc>
        <w:tc>
          <w:tcPr>
            <w:tcW w:w="2739" w:type="dxa"/>
          </w:tcPr>
          <w:p w14:paraId="42996A69" w14:textId="77777777" w:rsidR="00601580" w:rsidRPr="00C46BF0" w:rsidRDefault="00601580" w:rsidP="002D2149">
            <w:pPr>
              <w:ind w:left="0"/>
            </w:pPr>
            <w:r w:rsidRPr="00C46BF0">
              <w:t>Under consideration</w:t>
            </w:r>
          </w:p>
        </w:tc>
      </w:tr>
      <w:tr w:rsidR="00601580" w:rsidRPr="00C46BF0" w14:paraId="64359C78" w14:textId="77777777" w:rsidTr="00A702F2">
        <w:tc>
          <w:tcPr>
            <w:tcW w:w="0" w:type="dxa"/>
          </w:tcPr>
          <w:p w14:paraId="554F3CE4" w14:textId="77777777" w:rsidR="00601580" w:rsidRPr="00C46BF0" w:rsidRDefault="00601580" w:rsidP="002D2149">
            <w:pPr>
              <w:ind w:left="0"/>
            </w:pPr>
            <w:r w:rsidRPr="00C46BF0">
              <w:t>Singapore</w:t>
            </w:r>
          </w:p>
        </w:tc>
        <w:tc>
          <w:tcPr>
            <w:tcW w:w="2083" w:type="dxa"/>
          </w:tcPr>
          <w:p w14:paraId="5BDFE472" w14:textId="77777777" w:rsidR="00601580" w:rsidRPr="00C46BF0" w:rsidRDefault="00601580" w:rsidP="002D2149">
            <w:pPr>
              <w:ind w:left="0"/>
            </w:pPr>
            <w:r w:rsidRPr="00C46BF0">
              <w:t>15 June 2020</w:t>
            </w:r>
          </w:p>
        </w:tc>
        <w:tc>
          <w:tcPr>
            <w:tcW w:w="2160" w:type="dxa"/>
          </w:tcPr>
          <w:p w14:paraId="374BDFA7" w14:textId="77777777" w:rsidR="00601580" w:rsidRPr="00C46BF0" w:rsidRDefault="00601580" w:rsidP="002D2149">
            <w:pPr>
              <w:ind w:left="0"/>
            </w:pPr>
            <w:r w:rsidRPr="00C46BF0">
              <w:t>Under consideration</w:t>
            </w:r>
          </w:p>
        </w:tc>
        <w:tc>
          <w:tcPr>
            <w:tcW w:w="2739" w:type="dxa"/>
          </w:tcPr>
          <w:p w14:paraId="74CFD545" w14:textId="77777777" w:rsidR="00601580" w:rsidRPr="00C46BF0" w:rsidRDefault="00601580" w:rsidP="002D2149">
            <w:pPr>
              <w:ind w:left="0"/>
            </w:pPr>
            <w:r w:rsidRPr="00C46BF0">
              <w:t>Under consideration</w:t>
            </w:r>
          </w:p>
        </w:tc>
      </w:tr>
      <w:tr w:rsidR="00601580" w:rsidRPr="00C46BF0" w14:paraId="4AAA1660" w14:textId="77777777" w:rsidTr="00A702F2">
        <w:tc>
          <w:tcPr>
            <w:tcW w:w="0" w:type="dxa"/>
          </w:tcPr>
          <w:p w14:paraId="77C090B7" w14:textId="77777777" w:rsidR="00601580" w:rsidRPr="00C46BF0" w:rsidRDefault="00601580" w:rsidP="002D2149">
            <w:pPr>
              <w:ind w:left="0"/>
            </w:pPr>
            <w:r w:rsidRPr="00C46BF0">
              <w:t>European Union</w:t>
            </w:r>
          </w:p>
        </w:tc>
        <w:tc>
          <w:tcPr>
            <w:tcW w:w="2083" w:type="dxa"/>
          </w:tcPr>
          <w:p w14:paraId="317CB69D" w14:textId="77777777" w:rsidR="00601580" w:rsidRPr="00C46BF0" w:rsidRDefault="00601580" w:rsidP="002D2149">
            <w:pPr>
              <w:ind w:left="0"/>
            </w:pPr>
            <w:r w:rsidRPr="00C46BF0">
              <w:t>16 November 2020</w:t>
            </w:r>
          </w:p>
        </w:tc>
        <w:tc>
          <w:tcPr>
            <w:tcW w:w="2160" w:type="dxa"/>
          </w:tcPr>
          <w:p w14:paraId="187681E0" w14:textId="77777777" w:rsidR="00601580" w:rsidRPr="00C46BF0" w:rsidRDefault="00601580" w:rsidP="002D2149">
            <w:pPr>
              <w:ind w:left="0"/>
            </w:pPr>
            <w:r w:rsidRPr="00C46BF0">
              <w:t>Under consideration</w:t>
            </w:r>
          </w:p>
        </w:tc>
        <w:tc>
          <w:tcPr>
            <w:tcW w:w="2739" w:type="dxa"/>
          </w:tcPr>
          <w:p w14:paraId="156123E0" w14:textId="77777777" w:rsidR="00601580" w:rsidRPr="00C46BF0" w:rsidRDefault="00601580" w:rsidP="002D2149">
            <w:pPr>
              <w:ind w:left="0"/>
            </w:pPr>
            <w:r w:rsidRPr="00C46BF0">
              <w:t>Under consideration</w:t>
            </w:r>
          </w:p>
        </w:tc>
      </w:tr>
    </w:tbl>
    <w:p w14:paraId="5100AD53" w14:textId="77777777" w:rsidR="008E7846" w:rsidRPr="00C46BF0" w:rsidRDefault="008E7846" w:rsidP="00C46BF0">
      <w:pPr>
        <w:pStyle w:val="Heading3"/>
      </w:pPr>
      <w:bookmarkStart w:id="25" w:name="_Toc96700846"/>
      <w:r w:rsidRPr="00C46BF0">
        <w:t>Product Information</w:t>
      </w:r>
      <w:bookmarkEnd w:id="22"/>
      <w:bookmarkEnd w:id="23"/>
      <w:bookmarkEnd w:id="25"/>
    </w:p>
    <w:p w14:paraId="22062517" w14:textId="5209E68D" w:rsidR="00940A89" w:rsidRPr="00C46BF0" w:rsidRDefault="006136D7" w:rsidP="00C46BF0">
      <w:bookmarkStart w:id="26" w:name="_Toc247691506"/>
      <w:bookmarkStart w:id="27" w:name="_Toc314842487"/>
      <w:r w:rsidRPr="00C46BF0">
        <w:t xml:space="preserve">The Product Information (PI) approved with the submission which is described in this AusPAR can be found as Attachment 1. For the most recent PI, please refer to the TGA website at </w:t>
      </w:r>
      <w:r w:rsidR="00441C3F" w:rsidRPr="00C46BF0">
        <w:t>&lt;</w:t>
      </w:r>
      <w:hyperlink r:id="rId17" w:history="1">
        <w:r w:rsidR="00441C3F" w:rsidRPr="00C46BF0">
          <w:rPr>
            <w:rStyle w:val="Hyperlink"/>
          </w:rPr>
          <w:t>https://www.tga.gov.au/product-information-pi</w:t>
        </w:r>
      </w:hyperlink>
      <w:r w:rsidR="00441C3F" w:rsidRPr="00C46BF0">
        <w:t>&gt;</w:t>
      </w:r>
      <w:r w:rsidR="00940A89" w:rsidRPr="00C46BF0">
        <w:t>.</w:t>
      </w:r>
    </w:p>
    <w:p w14:paraId="60C9B853" w14:textId="77777777" w:rsidR="00500337" w:rsidRPr="00C46BF0" w:rsidRDefault="00500337" w:rsidP="00C46BF0">
      <w:pPr>
        <w:pStyle w:val="Heading2"/>
      </w:pPr>
      <w:bookmarkStart w:id="28" w:name="_Toc504480011"/>
      <w:bookmarkStart w:id="29" w:name="_Toc96700847"/>
      <w:r w:rsidRPr="00C46BF0">
        <w:t>II. Registration timeline</w:t>
      </w:r>
      <w:bookmarkEnd w:id="28"/>
      <w:bookmarkEnd w:id="29"/>
    </w:p>
    <w:p w14:paraId="35B1213E" w14:textId="77777777" w:rsidR="00500337" w:rsidRPr="00C46BF0" w:rsidRDefault="00500337" w:rsidP="00C46BF0">
      <w:r w:rsidRPr="00C46BF0">
        <w:t xml:space="preserve">The following table captures the key steps and dates for this </w:t>
      </w:r>
      <w:proofErr w:type="gramStart"/>
      <w:r w:rsidRPr="00C46BF0">
        <w:t>application</w:t>
      </w:r>
      <w:proofErr w:type="gramEnd"/>
      <w:r w:rsidRPr="00C46BF0">
        <w:t xml:space="preserve"> and which are detailed and discussed in this AusPAR.</w:t>
      </w:r>
    </w:p>
    <w:p w14:paraId="6755203D" w14:textId="5697CEF0" w:rsidR="006A58A8" w:rsidRDefault="00283415" w:rsidP="00C46BF0">
      <w:pPr>
        <w:pStyle w:val="TableTitle"/>
      </w:pPr>
      <w:r w:rsidRPr="00C46BF0">
        <w:t xml:space="preserve">Table </w:t>
      </w:r>
      <w:r>
        <w:fldChar w:fldCharType="begin"/>
      </w:r>
      <w:r>
        <w:instrText>SEQ Table \* ARABIC</w:instrText>
      </w:r>
      <w:r>
        <w:fldChar w:fldCharType="separate"/>
      </w:r>
      <w:r w:rsidR="00112693">
        <w:rPr>
          <w:noProof/>
        </w:rPr>
        <w:t>2</w:t>
      </w:r>
      <w:r>
        <w:fldChar w:fldCharType="end"/>
      </w:r>
      <w:r w:rsidR="00006FAB" w:rsidRPr="00C46BF0">
        <w:t>:</w:t>
      </w:r>
      <w:r w:rsidR="006A58A8" w:rsidRPr="00C46BF0">
        <w:t xml:space="preserve"> Timeline for Submission </w:t>
      </w:r>
      <w:r w:rsidR="00CF10EB" w:rsidRPr="00C46BF0">
        <w:t>PM-2020-01823-1-1</w:t>
      </w:r>
    </w:p>
    <w:tbl>
      <w:tblPr>
        <w:tblStyle w:val="TableTGAblue"/>
        <w:tblW w:w="8494" w:type="dxa"/>
        <w:tblInd w:w="-5" w:type="dxa"/>
        <w:tblLook w:val="04A0" w:firstRow="1" w:lastRow="0" w:firstColumn="1" w:lastColumn="0" w:noHBand="0" w:noVBand="1"/>
      </w:tblPr>
      <w:tblGrid>
        <w:gridCol w:w="4263"/>
        <w:gridCol w:w="4231"/>
      </w:tblGrid>
      <w:tr w:rsidR="00030E1D" w:rsidRPr="00C46BF0" w14:paraId="56F8B076" w14:textId="77777777" w:rsidTr="00A702F2">
        <w:trPr>
          <w:cnfStyle w:val="100000000000" w:firstRow="1" w:lastRow="0" w:firstColumn="0" w:lastColumn="0" w:oddVBand="0" w:evenVBand="0" w:oddHBand="0" w:evenHBand="0" w:firstRowFirstColumn="0" w:firstRowLastColumn="0" w:lastRowFirstColumn="0" w:lastRowLastColumn="0"/>
          <w:tblHeader w:val="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0B5" w:themeFill="text2" w:themeFillTint="BF"/>
          </w:tcPr>
          <w:p w14:paraId="6865DBDB" w14:textId="77777777" w:rsidR="00030E1D" w:rsidRPr="00C46BF0" w:rsidRDefault="00030E1D" w:rsidP="00F95B77">
            <w:pPr>
              <w:ind w:left="0" w:right="0"/>
            </w:pPr>
            <w:r w:rsidRPr="00C46BF0">
              <w:t>Description</w:t>
            </w:r>
          </w:p>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0B5" w:themeFill="text2" w:themeFillTint="BF"/>
          </w:tcPr>
          <w:p w14:paraId="26B05D51" w14:textId="77777777" w:rsidR="00030E1D" w:rsidRPr="00C46BF0" w:rsidRDefault="00030E1D" w:rsidP="00F95B77">
            <w:pPr>
              <w:ind w:left="0" w:right="0"/>
            </w:pPr>
            <w:r w:rsidRPr="00C46BF0">
              <w:t>Date</w:t>
            </w:r>
          </w:p>
        </w:tc>
      </w:tr>
      <w:tr w:rsidR="00FD4333" w:rsidRPr="00C46BF0" w14:paraId="3BD010DD" w14:textId="77777777" w:rsidTr="00030E1D">
        <w:tc>
          <w:tcPr>
            <w:tcW w:w="4263" w:type="dxa"/>
            <w:tcBorders>
              <w:top w:val="single" w:sz="4" w:space="0" w:color="auto"/>
            </w:tcBorders>
          </w:tcPr>
          <w:p w14:paraId="6C964178" w14:textId="77777777" w:rsidR="00FD4333" w:rsidRPr="00C46BF0" w:rsidRDefault="00FD4333" w:rsidP="002D2149">
            <w:pPr>
              <w:ind w:left="0" w:right="0"/>
            </w:pPr>
            <w:r w:rsidRPr="00030E1D">
              <w:t>Submission dossier accepted and first round evaluation commenced</w:t>
            </w:r>
          </w:p>
        </w:tc>
        <w:tc>
          <w:tcPr>
            <w:tcW w:w="4231" w:type="dxa"/>
            <w:tcBorders>
              <w:top w:val="single" w:sz="4" w:space="0" w:color="auto"/>
            </w:tcBorders>
          </w:tcPr>
          <w:p w14:paraId="5B5A8C95" w14:textId="77777777" w:rsidR="00FD4333" w:rsidRPr="00C46BF0" w:rsidRDefault="00FD4333" w:rsidP="002D2149">
            <w:pPr>
              <w:ind w:left="0" w:right="0"/>
            </w:pPr>
            <w:r w:rsidRPr="00C46BF0">
              <w:t>2 June 2020</w:t>
            </w:r>
          </w:p>
        </w:tc>
      </w:tr>
      <w:tr w:rsidR="00FD4333" w:rsidRPr="00C46BF0" w14:paraId="0FDC001A" w14:textId="77777777" w:rsidTr="00030E1D">
        <w:tc>
          <w:tcPr>
            <w:tcW w:w="4263" w:type="dxa"/>
          </w:tcPr>
          <w:p w14:paraId="3823B4DE" w14:textId="77777777" w:rsidR="00FD4333" w:rsidRPr="00C46BF0" w:rsidRDefault="00FD4333" w:rsidP="002D2149">
            <w:pPr>
              <w:ind w:left="0" w:right="0"/>
            </w:pPr>
            <w:r w:rsidRPr="00C46BF0">
              <w:t>First round evaluation completed</w:t>
            </w:r>
          </w:p>
        </w:tc>
        <w:tc>
          <w:tcPr>
            <w:tcW w:w="4231" w:type="dxa"/>
          </w:tcPr>
          <w:p w14:paraId="4CDE8688" w14:textId="77777777" w:rsidR="00FD4333" w:rsidRPr="00C46BF0" w:rsidRDefault="00FD4333" w:rsidP="002D2149">
            <w:pPr>
              <w:ind w:left="0" w:right="0"/>
            </w:pPr>
            <w:r w:rsidRPr="00C46BF0">
              <w:t>17 November 2020</w:t>
            </w:r>
          </w:p>
        </w:tc>
      </w:tr>
      <w:tr w:rsidR="00FD4333" w:rsidRPr="00C46BF0" w14:paraId="148A8FAD" w14:textId="77777777" w:rsidTr="00030E1D">
        <w:tc>
          <w:tcPr>
            <w:tcW w:w="4263" w:type="dxa"/>
          </w:tcPr>
          <w:p w14:paraId="05FCA01E" w14:textId="77777777" w:rsidR="00FD4333" w:rsidRPr="00C46BF0" w:rsidRDefault="00FD4333" w:rsidP="002D2149">
            <w:pPr>
              <w:ind w:left="0" w:right="0"/>
            </w:pPr>
            <w:r w:rsidRPr="00C46BF0">
              <w:t>Sponsor provides responses on questions raised in first round evaluation</w:t>
            </w:r>
          </w:p>
        </w:tc>
        <w:tc>
          <w:tcPr>
            <w:tcW w:w="4231" w:type="dxa"/>
          </w:tcPr>
          <w:p w14:paraId="47975AFE" w14:textId="77777777" w:rsidR="00FD4333" w:rsidRPr="00C46BF0" w:rsidRDefault="00FD4333" w:rsidP="002D2149">
            <w:pPr>
              <w:ind w:left="0" w:right="0"/>
            </w:pPr>
            <w:r w:rsidRPr="00C46BF0">
              <w:t>21 December 2020</w:t>
            </w:r>
          </w:p>
        </w:tc>
      </w:tr>
      <w:tr w:rsidR="00FD4333" w:rsidRPr="00C46BF0" w14:paraId="6B43EE81" w14:textId="77777777" w:rsidTr="00030E1D">
        <w:tc>
          <w:tcPr>
            <w:tcW w:w="4263" w:type="dxa"/>
          </w:tcPr>
          <w:p w14:paraId="22B6ABAD" w14:textId="77777777" w:rsidR="00FD4333" w:rsidRPr="00C46BF0" w:rsidRDefault="00FD4333" w:rsidP="002D2149">
            <w:pPr>
              <w:ind w:left="0" w:right="0"/>
            </w:pPr>
            <w:r w:rsidRPr="00C46BF0">
              <w:lastRenderedPageBreak/>
              <w:t>Second round evaluation completed</w:t>
            </w:r>
          </w:p>
        </w:tc>
        <w:tc>
          <w:tcPr>
            <w:tcW w:w="4231" w:type="dxa"/>
          </w:tcPr>
          <w:p w14:paraId="54E4DECB" w14:textId="77777777" w:rsidR="00FD4333" w:rsidRPr="00C46BF0" w:rsidRDefault="00FD4333" w:rsidP="002D2149">
            <w:pPr>
              <w:ind w:left="0" w:right="0"/>
            </w:pPr>
            <w:r w:rsidRPr="00C46BF0">
              <w:t>10 February 2021</w:t>
            </w:r>
          </w:p>
        </w:tc>
      </w:tr>
      <w:tr w:rsidR="00FD4333" w:rsidRPr="00C46BF0" w14:paraId="33D31D4F" w14:textId="77777777" w:rsidTr="00030E1D">
        <w:tc>
          <w:tcPr>
            <w:tcW w:w="4263" w:type="dxa"/>
          </w:tcPr>
          <w:p w14:paraId="2821C61F" w14:textId="77777777" w:rsidR="00FD4333" w:rsidRPr="00C46BF0" w:rsidRDefault="00FD4333" w:rsidP="002D2149">
            <w:pPr>
              <w:ind w:left="0"/>
            </w:pPr>
            <w:r w:rsidRPr="00C46BF0">
              <w:t>Delegate’s Overall benefit-risk assessment and request for Advisory Committee advice</w:t>
            </w:r>
          </w:p>
        </w:tc>
        <w:tc>
          <w:tcPr>
            <w:tcW w:w="4231" w:type="dxa"/>
          </w:tcPr>
          <w:p w14:paraId="32BA6576" w14:textId="77777777" w:rsidR="00FD4333" w:rsidRPr="00C46BF0" w:rsidRDefault="00FD4333" w:rsidP="002D2149">
            <w:pPr>
              <w:ind w:left="0" w:right="0"/>
            </w:pPr>
            <w:r w:rsidRPr="00C46BF0">
              <w:t>18 February 2021</w:t>
            </w:r>
          </w:p>
        </w:tc>
      </w:tr>
      <w:tr w:rsidR="00FD4333" w:rsidRPr="00C46BF0" w14:paraId="0897074A" w14:textId="77777777" w:rsidTr="00030E1D">
        <w:tc>
          <w:tcPr>
            <w:tcW w:w="4263" w:type="dxa"/>
          </w:tcPr>
          <w:p w14:paraId="45183771" w14:textId="77777777" w:rsidR="00FD4333" w:rsidRPr="00C46BF0" w:rsidRDefault="00FD4333" w:rsidP="002D2149">
            <w:pPr>
              <w:ind w:left="0" w:right="0"/>
            </w:pPr>
            <w:r w:rsidRPr="00C46BF0">
              <w:t>Sponsor’s pre-Advisory Committee response</w:t>
            </w:r>
          </w:p>
        </w:tc>
        <w:tc>
          <w:tcPr>
            <w:tcW w:w="4231" w:type="dxa"/>
          </w:tcPr>
          <w:p w14:paraId="4D13B86D" w14:textId="77777777" w:rsidR="00FD4333" w:rsidRPr="00C46BF0" w:rsidRDefault="00FD4333" w:rsidP="002D2149">
            <w:pPr>
              <w:ind w:left="0" w:right="0"/>
            </w:pPr>
            <w:r w:rsidRPr="00C46BF0">
              <w:t>15 March 2021</w:t>
            </w:r>
          </w:p>
        </w:tc>
      </w:tr>
      <w:tr w:rsidR="00FD4333" w:rsidRPr="00C46BF0" w14:paraId="59A74062" w14:textId="77777777" w:rsidTr="00030E1D">
        <w:tc>
          <w:tcPr>
            <w:tcW w:w="4263" w:type="dxa"/>
          </w:tcPr>
          <w:p w14:paraId="24FF659F" w14:textId="77777777" w:rsidR="00FD4333" w:rsidRPr="00C46BF0" w:rsidRDefault="00FD4333" w:rsidP="002D2149">
            <w:pPr>
              <w:ind w:left="0" w:right="0"/>
            </w:pPr>
            <w:r w:rsidRPr="00C46BF0">
              <w:t>Advisory Committee meeting</w:t>
            </w:r>
          </w:p>
        </w:tc>
        <w:tc>
          <w:tcPr>
            <w:tcW w:w="4231" w:type="dxa"/>
          </w:tcPr>
          <w:p w14:paraId="74EA4007" w14:textId="77777777" w:rsidR="00FD4333" w:rsidRPr="00C46BF0" w:rsidRDefault="00FD4333" w:rsidP="002D2149">
            <w:pPr>
              <w:ind w:left="0" w:right="0"/>
            </w:pPr>
            <w:r w:rsidRPr="00C46BF0">
              <w:t>8 and 9 April 2021</w:t>
            </w:r>
          </w:p>
        </w:tc>
      </w:tr>
      <w:tr w:rsidR="00FD4333" w:rsidRPr="00C46BF0" w14:paraId="3C3115A8" w14:textId="77777777" w:rsidTr="00030E1D">
        <w:tc>
          <w:tcPr>
            <w:tcW w:w="4263" w:type="dxa"/>
          </w:tcPr>
          <w:p w14:paraId="005DC28D" w14:textId="77777777" w:rsidR="00FD4333" w:rsidRPr="00C46BF0" w:rsidRDefault="00FD4333" w:rsidP="002D2149">
            <w:pPr>
              <w:ind w:left="0" w:right="0"/>
            </w:pPr>
            <w:r w:rsidRPr="00C46BF0">
              <w:t>Registration decision (Outcome)</w:t>
            </w:r>
          </w:p>
        </w:tc>
        <w:tc>
          <w:tcPr>
            <w:tcW w:w="4231" w:type="dxa"/>
          </w:tcPr>
          <w:p w14:paraId="27FD519F" w14:textId="77777777" w:rsidR="00FD4333" w:rsidRPr="00C46BF0" w:rsidRDefault="00FD4333" w:rsidP="002D2149">
            <w:pPr>
              <w:ind w:left="0" w:right="0"/>
            </w:pPr>
            <w:r w:rsidRPr="00C46BF0">
              <w:t>9 June 2021</w:t>
            </w:r>
          </w:p>
        </w:tc>
      </w:tr>
      <w:tr w:rsidR="00FD4333" w:rsidRPr="00C46BF0" w14:paraId="5FFBCE3B" w14:textId="77777777" w:rsidTr="00030E1D">
        <w:tc>
          <w:tcPr>
            <w:tcW w:w="4263" w:type="dxa"/>
          </w:tcPr>
          <w:p w14:paraId="4218AE8A" w14:textId="77777777" w:rsidR="00FD4333" w:rsidRPr="00C46BF0" w:rsidRDefault="00FD4333" w:rsidP="002D2149">
            <w:pPr>
              <w:ind w:left="0" w:right="0"/>
            </w:pPr>
            <w:r w:rsidRPr="00C46BF0">
              <w:t>Completion of administrative activities and registration on the ARTG</w:t>
            </w:r>
          </w:p>
        </w:tc>
        <w:tc>
          <w:tcPr>
            <w:tcW w:w="4231" w:type="dxa"/>
          </w:tcPr>
          <w:p w14:paraId="47ECBC2C" w14:textId="77777777" w:rsidR="00FD4333" w:rsidRPr="00C46BF0" w:rsidRDefault="00FD4333" w:rsidP="002D2149">
            <w:pPr>
              <w:ind w:left="0" w:right="0"/>
            </w:pPr>
            <w:r w:rsidRPr="00C46BF0">
              <w:t>16 June 2021</w:t>
            </w:r>
          </w:p>
        </w:tc>
      </w:tr>
      <w:tr w:rsidR="00FD4333" w:rsidRPr="00C46BF0" w14:paraId="0D966521" w14:textId="77777777" w:rsidTr="00030E1D">
        <w:tc>
          <w:tcPr>
            <w:tcW w:w="4263" w:type="dxa"/>
          </w:tcPr>
          <w:p w14:paraId="5A239D00" w14:textId="77777777" w:rsidR="00FD4333" w:rsidRPr="00C46BF0" w:rsidRDefault="00FD4333" w:rsidP="002D2149">
            <w:pPr>
              <w:ind w:left="0" w:right="0"/>
            </w:pPr>
            <w:r w:rsidRPr="00C46BF0">
              <w:t>Number of working days from submission dossier acceptance to registration decision*</w:t>
            </w:r>
          </w:p>
        </w:tc>
        <w:tc>
          <w:tcPr>
            <w:tcW w:w="4231" w:type="dxa"/>
          </w:tcPr>
          <w:p w14:paraId="234AF499" w14:textId="77777777" w:rsidR="00FD4333" w:rsidRPr="00C46BF0" w:rsidRDefault="00FD4333" w:rsidP="002D2149">
            <w:pPr>
              <w:ind w:left="0" w:right="0"/>
            </w:pPr>
            <w:r w:rsidRPr="00C46BF0">
              <w:t>213</w:t>
            </w:r>
          </w:p>
        </w:tc>
      </w:tr>
    </w:tbl>
    <w:p w14:paraId="11BA5C72" w14:textId="77777777" w:rsidR="00500337" w:rsidRPr="00C46BF0" w:rsidRDefault="00500337" w:rsidP="00C46BF0">
      <w:pPr>
        <w:pStyle w:val="TableDescription"/>
      </w:pPr>
      <w:r w:rsidRPr="00C46BF0">
        <w:t>*</w:t>
      </w:r>
      <w:r w:rsidR="00BF3774" w:rsidRPr="00C46BF0">
        <w:t xml:space="preserve">Statutory </w:t>
      </w:r>
      <w:r w:rsidRPr="00C46BF0">
        <w:t>timeframe for standard applications is 2</w:t>
      </w:r>
      <w:r w:rsidR="00BF3774" w:rsidRPr="00C46BF0">
        <w:t>55</w:t>
      </w:r>
      <w:r w:rsidRPr="00C46BF0">
        <w:t xml:space="preserve"> working days</w:t>
      </w:r>
    </w:p>
    <w:p w14:paraId="35792BC0" w14:textId="77777777" w:rsidR="008E7846" w:rsidRPr="00C46BF0" w:rsidRDefault="00456765" w:rsidP="00C46BF0">
      <w:pPr>
        <w:pStyle w:val="Heading2"/>
      </w:pPr>
      <w:bookmarkStart w:id="30" w:name="_Toc196046504"/>
      <w:bookmarkStart w:id="31" w:name="_Toc247691527"/>
      <w:bookmarkStart w:id="32" w:name="_Toc314842510"/>
      <w:bookmarkStart w:id="33" w:name="_Toc96700848"/>
      <w:bookmarkStart w:id="34" w:name="_Toc163441390"/>
      <w:bookmarkEnd w:id="26"/>
      <w:bookmarkEnd w:id="27"/>
      <w:bookmarkEnd w:id="1"/>
      <w:r w:rsidRPr="00C46BF0">
        <w:t>I</w:t>
      </w:r>
      <w:r w:rsidR="00DA64CB" w:rsidRPr="00C46BF0">
        <w:t>I</w:t>
      </w:r>
      <w:r w:rsidR="008E7846" w:rsidRPr="00C46BF0">
        <w:t xml:space="preserve">I. </w:t>
      </w:r>
      <w:r w:rsidR="00006FAB" w:rsidRPr="00C46BF0">
        <w:t xml:space="preserve">Submission overview </w:t>
      </w:r>
      <w:r w:rsidR="008E7846" w:rsidRPr="00C46BF0">
        <w:t>and risk/benefit assessment</w:t>
      </w:r>
      <w:bookmarkEnd w:id="30"/>
      <w:bookmarkEnd w:id="31"/>
      <w:bookmarkEnd w:id="32"/>
      <w:bookmarkEnd w:id="33"/>
    </w:p>
    <w:p w14:paraId="04903048" w14:textId="77777777" w:rsidR="00006FAB" w:rsidRPr="00C46BF0" w:rsidRDefault="00006FAB" w:rsidP="00C46BF0">
      <w:bookmarkStart w:id="35" w:name="_Toc247691528"/>
      <w:r w:rsidRPr="00C46BF0">
        <w:t>The submission was summarised in the following Delegate’s overview and recommendations.</w:t>
      </w:r>
    </w:p>
    <w:p w14:paraId="2A98F13B" w14:textId="77777777" w:rsidR="00494E45" w:rsidRPr="00C46BF0" w:rsidRDefault="00494E45" w:rsidP="00C46BF0">
      <w:r w:rsidRPr="00C46BF0">
        <w:t>Relevant guidelines or guidance documents referred to by the Delegate are listed below:</w:t>
      </w:r>
    </w:p>
    <w:p w14:paraId="486B2B51" w14:textId="7F35AA55" w:rsidR="00D677A9" w:rsidRPr="00C46BF0" w:rsidRDefault="00D66708" w:rsidP="00C46BF0">
      <w:pPr>
        <w:pStyle w:val="ListBullet"/>
      </w:pPr>
      <w:r w:rsidRPr="00C46BF0">
        <w:t>European Medicines Evaluation Agency (</w:t>
      </w:r>
      <w:r w:rsidR="00D677A9" w:rsidRPr="00C46BF0">
        <w:t>EM</w:t>
      </w:r>
      <w:r w:rsidR="004101C4" w:rsidRPr="00C46BF0">
        <w:t>E</w:t>
      </w:r>
      <w:r w:rsidR="00D677A9" w:rsidRPr="00C46BF0">
        <w:t>A</w:t>
      </w:r>
      <w:r w:rsidRPr="00C46BF0">
        <w:t>)</w:t>
      </w:r>
      <w:r w:rsidR="00D677A9" w:rsidRPr="00C46BF0">
        <w:t xml:space="preserve">, </w:t>
      </w:r>
      <w:r w:rsidR="004101C4" w:rsidRPr="00C46BF0">
        <w:t>Committee for Medicinal Products for Human Use (CHMP), 24 January 2007</w:t>
      </w:r>
      <w:r w:rsidR="00D56F02" w:rsidRPr="00C46BF0">
        <w:t xml:space="preserve">. </w:t>
      </w:r>
      <w:r w:rsidR="00482F03" w:rsidRPr="00C46BF0">
        <w:t xml:space="preserve">Guideline </w:t>
      </w:r>
      <w:r w:rsidR="00D56F02" w:rsidRPr="00C46BF0">
        <w:t xml:space="preserve">on </w:t>
      </w:r>
      <w:r w:rsidR="00482F03" w:rsidRPr="00C46BF0">
        <w:t xml:space="preserve">Clinical Investigation </w:t>
      </w:r>
      <w:r w:rsidR="00D56F02" w:rsidRPr="00C46BF0">
        <w:t xml:space="preserve">of </w:t>
      </w:r>
      <w:r w:rsidR="00482F03" w:rsidRPr="00C46BF0">
        <w:t xml:space="preserve">Medicinal Products </w:t>
      </w:r>
      <w:r w:rsidR="00D56F02" w:rsidRPr="00C46BF0">
        <w:t xml:space="preserve">for the </w:t>
      </w:r>
      <w:r w:rsidR="00482F03" w:rsidRPr="00C46BF0">
        <w:t xml:space="preserve">Treatment </w:t>
      </w:r>
      <w:r w:rsidR="00D56F02" w:rsidRPr="00C46BF0">
        <w:t>of Migraine (CPMP/EWP/788/01 Rev. 1).</w:t>
      </w:r>
    </w:p>
    <w:p w14:paraId="526995D2" w14:textId="77777777" w:rsidR="008E7846" w:rsidRPr="00C46BF0" w:rsidRDefault="008E7846" w:rsidP="00C46BF0">
      <w:pPr>
        <w:pStyle w:val="Heading3"/>
      </w:pPr>
      <w:bookmarkStart w:id="36" w:name="_Toc314842511"/>
      <w:bookmarkStart w:id="37" w:name="_Toc96700849"/>
      <w:r w:rsidRPr="00C46BF0">
        <w:t>Quality</w:t>
      </w:r>
      <w:bookmarkEnd w:id="35"/>
      <w:bookmarkEnd w:id="36"/>
      <w:bookmarkEnd w:id="37"/>
    </w:p>
    <w:p w14:paraId="68F374F2" w14:textId="1B68B8AB" w:rsidR="00183B7F" w:rsidRPr="00C46BF0" w:rsidRDefault="00AB5537" w:rsidP="00C46BF0">
      <w:proofErr w:type="spellStart"/>
      <w:r w:rsidRPr="00E25D04">
        <w:t>Ept</w:t>
      </w:r>
      <w:r w:rsidR="00E50579" w:rsidRPr="00E25D04">
        <w:t>inez</w:t>
      </w:r>
      <w:r w:rsidR="006B7462" w:rsidRPr="00E25D04">
        <w:t>umab</w:t>
      </w:r>
      <w:proofErr w:type="spellEnd"/>
      <w:r w:rsidR="006B7462" w:rsidRPr="00E25D04">
        <w:t xml:space="preserve"> is a humanised mo</w:t>
      </w:r>
      <w:r w:rsidR="00764B97" w:rsidRPr="00E25D04">
        <w:t>n</w:t>
      </w:r>
      <w:r w:rsidR="007A2AAF" w:rsidRPr="00E25D04">
        <w:t>oclonal</w:t>
      </w:r>
      <w:r w:rsidR="00D91BF4" w:rsidRPr="00E25D04">
        <w:t xml:space="preserve"> immun</w:t>
      </w:r>
      <w:r w:rsidR="009840E8" w:rsidRPr="00E25D04">
        <w:t>o</w:t>
      </w:r>
      <w:r w:rsidR="00D97DEF" w:rsidRPr="00E25D04">
        <w:t>globulin G</w:t>
      </w:r>
      <w:r w:rsidR="00A7703D" w:rsidRPr="00E25D04">
        <w:t>1</w:t>
      </w:r>
      <w:r w:rsidR="00D97DEF" w:rsidRPr="00E25D04">
        <w:t xml:space="preserve"> (IgG1) antibody</w:t>
      </w:r>
      <w:r w:rsidR="00C14AEA" w:rsidRPr="00E25D04">
        <w:t>.</w:t>
      </w:r>
      <w:r w:rsidR="00370783">
        <w:t xml:space="preserve"> </w:t>
      </w:r>
      <w:r w:rsidR="00882552" w:rsidRPr="00E25D04">
        <w:t xml:space="preserve">Each </w:t>
      </w:r>
      <w:r w:rsidR="00C61247" w:rsidRPr="00E25D04">
        <w:t>single</w:t>
      </w:r>
      <w:r w:rsidR="00F9642E" w:rsidRPr="00E25D04">
        <w:t>-dose vial contains 100 mg</w:t>
      </w:r>
      <w:r w:rsidR="00B72ADB" w:rsidRPr="00E25D04">
        <w:t>/mL</w:t>
      </w:r>
      <w:r w:rsidR="003408C7" w:rsidRPr="00E25D04">
        <w:t xml:space="preserve"> </w:t>
      </w:r>
      <w:proofErr w:type="spellStart"/>
      <w:r w:rsidR="003408C7" w:rsidRPr="00E25D04">
        <w:t>eptinezumab</w:t>
      </w:r>
      <w:proofErr w:type="spellEnd"/>
      <w:r w:rsidR="003408C7" w:rsidRPr="00E25D04">
        <w:t>.</w:t>
      </w:r>
    </w:p>
    <w:p w14:paraId="6232DFAA" w14:textId="2F96D13A" w:rsidR="00D677A9" w:rsidRPr="00C46BF0" w:rsidRDefault="00D677A9" w:rsidP="00C46BF0">
      <w:proofErr w:type="spellStart"/>
      <w:r w:rsidRPr="00C46BF0">
        <w:t>Eptinezumab</w:t>
      </w:r>
      <w:proofErr w:type="spellEnd"/>
      <w:r w:rsidRPr="00C46BF0">
        <w:t xml:space="preserve"> binds to </w:t>
      </w:r>
      <w:r w:rsidR="00EA1735">
        <w:t xml:space="preserve">the </w:t>
      </w:r>
      <w:r w:rsidRPr="00C46BF0">
        <w:t>α- and β-</w:t>
      </w:r>
      <w:r w:rsidR="00EA1735">
        <w:t>iso</w:t>
      </w:r>
      <w:r w:rsidRPr="00C46BF0">
        <w:t xml:space="preserve">forms of </w:t>
      </w:r>
      <w:r w:rsidR="00EA1735">
        <w:t xml:space="preserve">the </w:t>
      </w:r>
      <w:r w:rsidRPr="00C46BF0">
        <w:t xml:space="preserve">CGRP ligand. This, in combination with the 100% bioavailability following </w:t>
      </w:r>
      <w:r w:rsidR="0063029D" w:rsidRPr="00C46BF0">
        <w:t xml:space="preserve">intravenous </w:t>
      </w:r>
      <w:r w:rsidRPr="00C46BF0">
        <w:t xml:space="preserve">administration, translates into fast blockage of pharmacological effects of circulating CGRP in humans. As a result, </w:t>
      </w:r>
      <w:proofErr w:type="spellStart"/>
      <w:r w:rsidRPr="00C46BF0">
        <w:t>eptinezumab</w:t>
      </w:r>
      <w:proofErr w:type="spellEnd"/>
      <w:r w:rsidRPr="00C46BF0">
        <w:t xml:space="preserve"> prevents the activation of CGRP receptors and hence </w:t>
      </w:r>
      <w:r w:rsidR="00EA1735">
        <w:t xml:space="preserve">blockade of </w:t>
      </w:r>
      <w:r w:rsidRPr="00C46BF0">
        <w:t xml:space="preserve">the downstream cascade of physiological events linked to initiation, </w:t>
      </w:r>
      <w:proofErr w:type="gramStart"/>
      <w:r w:rsidRPr="00C46BF0">
        <w:t>frequency</w:t>
      </w:r>
      <w:proofErr w:type="gramEnd"/>
      <w:r w:rsidRPr="00C46BF0">
        <w:t xml:space="preserve"> and severity of migraine attacks.</w:t>
      </w:r>
    </w:p>
    <w:p w14:paraId="54BB777D" w14:textId="7060652B" w:rsidR="00D677A9" w:rsidRPr="00C46BF0" w:rsidRDefault="0063029D" w:rsidP="00C46BF0">
      <w:r w:rsidRPr="00C46BF0">
        <w:t>Good Manufacturing Practice (</w:t>
      </w:r>
      <w:r w:rsidR="00D677A9" w:rsidRPr="00C46BF0">
        <w:t>GMP</w:t>
      </w:r>
      <w:r w:rsidRPr="00C46BF0">
        <w:t>)</w:t>
      </w:r>
      <w:r w:rsidR="00D677A9" w:rsidRPr="00C46BF0">
        <w:t xml:space="preserve"> clearances for the drug substance and drug product manufacturing sites are considered acceptable.</w:t>
      </w:r>
    </w:p>
    <w:p w14:paraId="36E3E47B" w14:textId="77777777" w:rsidR="00D56F02" w:rsidRPr="00C46BF0" w:rsidRDefault="00D56F02" w:rsidP="00C46BF0">
      <w:r w:rsidRPr="00C46BF0">
        <w:t>The quality evaluator has recommended approval.</w:t>
      </w:r>
    </w:p>
    <w:p w14:paraId="5FC11601" w14:textId="77777777" w:rsidR="008E7846" w:rsidRPr="00C46BF0" w:rsidRDefault="008E7846" w:rsidP="00C46BF0">
      <w:pPr>
        <w:pStyle w:val="Heading3"/>
      </w:pPr>
      <w:bookmarkStart w:id="38" w:name="_Toc314842512"/>
      <w:bookmarkStart w:id="39" w:name="_Toc96700850"/>
      <w:r w:rsidRPr="00C46BF0">
        <w:t>Nonclinical</w:t>
      </w:r>
      <w:bookmarkEnd w:id="38"/>
      <w:bookmarkEnd w:id="39"/>
    </w:p>
    <w:p w14:paraId="028EE39A" w14:textId="468694B8" w:rsidR="00D677A9" w:rsidRPr="00C46BF0" w:rsidRDefault="00D677A9" w:rsidP="00C46BF0">
      <w:proofErr w:type="spellStart"/>
      <w:r w:rsidRPr="00C46BF0">
        <w:t>Eptinezumab</w:t>
      </w:r>
      <w:proofErr w:type="spellEnd"/>
      <w:r w:rsidRPr="00C46BF0">
        <w:t xml:space="preserve"> has high affinity for human CGRP and inhibit</w:t>
      </w:r>
      <w:r w:rsidR="00EA1735">
        <w:t>s</w:t>
      </w:r>
      <w:r w:rsidRPr="00C46BF0">
        <w:t xml:space="preserve"> CGRP-driven signalling </w:t>
      </w:r>
      <w:r w:rsidRPr="00C46BF0">
        <w:rPr>
          <w:i/>
        </w:rPr>
        <w:t>in vitro</w:t>
      </w:r>
      <w:r w:rsidRPr="00C46BF0">
        <w:t xml:space="preserve">. </w:t>
      </w:r>
      <w:proofErr w:type="spellStart"/>
      <w:r w:rsidRPr="00C46BF0">
        <w:t>Eptinezumab</w:t>
      </w:r>
      <w:proofErr w:type="spellEnd"/>
      <w:r w:rsidRPr="00C46BF0">
        <w:t xml:space="preserve"> inhibited capsaicin</w:t>
      </w:r>
      <w:r w:rsidR="00C87C50" w:rsidRPr="00C46BF0">
        <w:t xml:space="preserve"> </w:t>
      </w:r>
      <w:r w:rsidRPr="00C46BF0">
        <w:t xml:space="preserve">induced increase in dermal blood flow in </w:t>
      </w:r>
      <w:r w:rsidR="00383F42" w:rsidRPr="00C46BF0">
        <w:t xml:space="preserve">Sprague </w:t>
      </w:r>
      <w:r w:rsidR="00383F42" w:rsidRPr="00C46BF0">
        <w:lastRenderedPageBreak/>
        <w:t>Dawley</w:t>
      </w:r>
      <w:r w:rsidRPr="00C46BF0">
        <w:t xml:space="preserve"> rats and cynomolgus monkeys, and β-CGRP</w:t>
      </w:r>
      <w:r w:rsidR="00C87C50" w:rsidRPr="00C46BF0">
        <w:t xml:space="preserve"> </w:t>
      </w:r>
      <w:r w:rsidRPr="00C46BF0">
        <w:t>induced increase in dermal blood flow in rabbits.</w:t>
      </w:r>
    </w:p>
    <w:p w14:paraId="3EBE3894" w14:textId="5AE4EBED" w:rsidR="00D677A9" w:rsidRPr="00C46BF0" w:rsidRDefault="00D677A9" w:rsidP="00C46BF0">
      <w:proofErr w:type="spellStart"/>
      <w:r w:rsidRPr="00C46BF0">
        <w:t>Eptinezumab</w:t>
      </w:r>
      <w:proofErr w:type="spellEnd"/>
      <w:r w:rsidRPr="00C46BF0">
        <w:t xml:space="preserve"> is functionally inactive at the </w:t>
      </w:r>
      <w:proofErr w:type="spellStart"/>
      <w:r w:rsidRPr="00C46BF0">
        <w:t>adrenomedulin</w:t>
      </w:r>
      <w:proofErr w:type="spellEnd"/>
      <w:r w:rsidRPr="00C46BF0">
        <w:t xml:space="preserve">, and </w:t>
      </w:r>
      <w:proofErr w:type="spellStart"/>
      <w:r w:rsidR="00C87C50" w:rsidRPr="00C46BF0">
        <w:t>intermedin</w:t>
      </w:r>
      <w:proofErr w:type="spellEnd"/>
      <w:r w:rsidRPr="00C46BF0">
        <w:t xml:space="preserve">/adrenomedulin-2, calcitonin, and amylin receptors, all members of </w:t>
      </w:r>
      <w:r w:rsidR="00C87C50" w:rsidRPr="00C46BF0">
        <w:t>the calcitonin receptor family.</w:t>
      </w:r>
    </w:p>
    <w:p w14:paraId="228D5100" w14:textId="7AFA17FF" w:rsidR="00D677A9" w:rsidRPr="00C46BF0" w:rsidRDefault="00D677A9" w:rsidP="00C46BF0">
      <w:r w:rsidRPr="00C46BF0">
        <w:t>Examination of safety pharmacology (incorporated into general repeat</w:t>
      </w:r>
      <w:r w:rsidR="00C87C50" w:rsidRPr="00C46BF0">
        <w:t>-</w:t>
      </w:r>
      <w:r w:rsidRPr="00C46BF0">
        <w:t xml:space="preserve">dose toxicity studies) revealed no effects of </w:t>
      </w:r>
      <w:proofErr w:type="spellStart"/>
      <w:r w:rsidRPr="00C46BF0">
        <w:t>eptinezumab</w:t>
      </w:r>
      <w:proofErr w:type="spellEnd"/>
      <w:r w:rsidRPr="00C46BF0">
        <w:t xml:space="preserve"> on neurological, cardiovascular, and respirator</w:t>
      </w:r>
      <w:r w:rsidR="00C87C50" w:rsidRPr="00C46BF0">
        <w:t>y function when given up to 100 </w:t>
      </w:r>
      <w:r w:rsidRPr="00C46BF0">
        <w:t xml:space="preserve">mg/kg </w:t>
      </w:r>
      <w:r w:rsidR="00C87C50" w:rsidRPr="00C46BF0">
        <w:t>intravenously in monkeys.</w:t>
      </w:r>
    </w:p>
    <w:p w14:paraId="22691F34" w14:textId="14EBBE17" w:rsidR="00D677A9" w:rsidRPr="00C46BF0" w:rsidRDefault="00D677A9" w:rsidP="00C46BF0">
      <w:r w:rsidRPr="00C46BF0">
        <w:t>The pharmacokinetics</w:t>
      </w:r>
      <w:r w:rsidR="000C2B89" w:rsidRPr="00C46BF0">
        <w:t xml:space="preserve"> (PK)</w:t>
      </w:r>
      <w:r w:rsidRPr="00C46BF0">
        <w:t xml:space="preserve"> of </w:t>
      </w:r>
      <w:proofErr w:type="spellStart"/>
      <w:r w:rsidRPr="00C46BF0">
        <w:t>eptinezumab</w:t>
      </w:r>
      <w:proofErr w:type="spellEnd"/>
      <w:r w:rsidRPr="00C46BF0">
        <w:t xml:space="preserve"> in monkeys and human subjects was generally consistent with the protein nature of the drug</w:t>
      </w:r>
      <w:r w:rsidR="00C87C50" w:rsidRPr="00C46BF0">
        <w:t>:</w:t>
      </w:r>
      <w:r w:rsidRPr="00C46BF0">
        <w:t xml:space="preserve"> long half-</w:t>
      </w:r>
      <w:r w:rsidR="00C87C50" w:rsidRPr="00C46BF0">
        <w:t>lives and limited distribution.</w:t>
      </w:r>
    </w:p>
    <w:p w14:paraId="35DEDC31" w14:textId="0845330A" w:rsidR="00D677A9" w:rsidRPr="00C46BF0" w:rsidRDefault="00D677A9" w:rsidP="00C46BF0">
      <w:proofErr w:type="spellStart"/>
      <w:r w:rsidRPr="00C46BF0">
        <w:t>Eptinezumab</w:t>
      </w:r>
      <w:proofErr w:type="spellEnd"/>
      <w:r w:rsidRPr="00C46BF0">
        <w:t xml:space="preserve"> had a low order of acute </w:t>
      </w:r>
      <w:r w:rsidR="00C87C50" w:rsidRPr="00C46BF0">
        <w:t xml:space="preserve">intravenous </w:t>
      </w:r>
      <w:r w:rsidRPr="00C46BF0">
        <w:t>toxicity in rats and monkeys.</w:t>
      </w:r>
    </w:p>
    <w:p w14:paraId="41B21686" w14:textId="006060BA" w:rsidR="00D677A9" w:rsidRPr="00C46BF0" w:rsidRDefault="00D677A9" w:rsidP="00C46BF0">
      <w:r w:rsidRPr="00C46BF0">
        <w:t xml:space="preserve">Repeat-dose toxicity studies by the </w:t>
      </w:r>
      <w:r w:rsidR="00C87C50" w:rsidRPr="00C46BF0">
        <w:t xml:space="preserve">intravenous </w:t>
      </w:r>
      <w:r w:rsidRPr="00C46BF0">
        <w:t xml:space="preserve">route were conducted in rats (28 days) and cynomolgus monkeys (28 days and 6 months). The studies were adequately conducted, achieving high relative exposures. No target organs for toxicity were identified. An </w:t>
      </w:r>
      <w:r w:rsidR="00C87C50" w:rsidRPr="00C46BF0">
        <w:t>antidrug antibod</w:t>
      </w:r>
      <w:r w:rsidR="00EA1735">
        <w:t>y</w:t>
      </w:r>
      <w:r w:rsidR="00C87C50" w:rsidRPr="00C46BF0">
        <w:t xml:space="preserve"> (</w:t>
      </w:r>
      <w:r w:rsidRPr="00C46BF0">
        <w:t>ADA</w:t>
      </w:r>
      <w:r w:rsidR="00C87C50" w:rsidRPr="00C46BF0">
        <w:t>)</w:t>
      </w:r>
      <w:r w:rsidRPr="00C46BF0">
        <w:t>-mediated anaphylactoid response on a single animal indicates a potential risk of hypersensitivity reactions in patients.</w:t>
      </w:r>
    </w:p>
    <w:p w14:paraId="6816DA89" w14:textId="77777777" w:rsidR="00D677A9" w:rsidRPr="00C46BF0" w:rsidRDefault="00D677A9" w:rsidP="00C46BF0">
      <w:r w:rsidRPr="00C46BF0">
        <w:t>No genotoxicity studies were conducted. Given the protein nature of the drug, this is considered acceptable. No carcinogenicity studies were conducted. No proliferative lesions were seen in the repeat-dose toxicity study.</w:t>
      </w:r>
    </w:p>
    <w:p w14:paraId="4FCA9B07" w14:textId="575B1AB5" w:rsidR="00D677A9" w:rsidRPr="00C46BF0" w:rsidRDefault="00D677A9" w:rsidP="00C46BF0">
      <w:r w:rsidRPr="00C46BF0">
        <w:t xml:space="preserve">Reproductive and developmental studies performed with </w:t>
      </w:r>
      <w:proofErr w:type="spellStart"/>
      <w:r w:rsidRPr="00C46BF0">
        <w:t>eptinezumab</w:t>
      </w:r>
      <w:proofErr w:type="spellEnd"/>
      <w:r w:rsidRPr="00C46BF0">
        <w:t xml:space="preserve"> revealed no treatment related effects on male or female fertility in rats, no adverse effects on embryofetal development in rats and rabbits, and no effects on postnatal development of offspring from treated rats.</w:t>
      </w:r>
    </w:p>
    <w:p w14:paraId="5D1C6CCA" w14:textId="318B1356" w:rsidR="00C87C50" w:rsidRPr="00C46BF0" w:rsidRDefault="00C87C50" w:rsidP="00C46BF0">
      <w:r w:rsidRPr="00C46BF0">
        <w:t>The nonclinical evaluator has recommended approval.</w:t>
      </w:r>
    </w:p>
    <w:p w14:paraId="2AAA2C8B" w14:textId="77777777" w:rsidR="008E7846" w:rsidRPr="00C46BF0" w:rsidRDefault="008E7846" w:rsidP="00C46BF0">
      <w:pPr>
        <w:pStyle w:val="Heading3"/>
      </w:pPr>
      <w:bookmarkStart w:id="40" w:name="_Toc247691530"/>
      <w:bookmarkStart w:id="41" w:name="_Toc314842513"/>
      <w:bookmarkStart w:id="42" w:name="_Toc96700851"/>
      <w:r w:rsidRPr="00C46BF0">
        <w:t>Clinical</w:t>
      </w:r>
      <w:bookmarkEnd w:id="40"/>
      <w:bookmarkEnd w:id="41"/>
      <w:bookmarkEnd w:id="42"/>
    </w:p>
    <w:p w14:paraId="5D7B9188" w14:textId="77777777" w:rsidR="00612A86" w:rsidRPr="00C46BF0" w:rsidRDefault="00612A86" w:rsidP="00C46BF0">
      <w:bookmarkStart w:id="43" w:name="_Toc314842514"/>
      <w:r w:rsidRPr="00C46BF0">
        <w:t>The clinical dossier consisted of the following studies:</w:t>
      </w:r>
    </w:p>
    <w:p w14:paraId="688B01B8" w14:textId="5043C477" w:rsidR="00612A86" w:rsidRPr="00C46BF0" w:rsidRDefault="00612A86" w:rsidP="00C46BF0">
      <w:pPr>
        <w:pStyle w:val="ListBullet"/>
      </w:pPr>
      <w:r w:rsidRPr="00C46BF0">
        <w:t>Phase I</w:t>
      </w:r>
      <w:r w:rsidR="00C87C50" w:rsidRPr="00C46BF0">
        <w:t xml:space="preserve"> S</w:t>
      </w:r>
      <w:r w:rsidRPr="00C46BF0">
        <w:t>tudies ALD403-CLIN-001</w:t>
      </w:r>
      <w:r w:rsidR="00A935A5" w:rsidRPr="00C46BF0">
        <w:t xml:space="preserve"> (also known as Study 001)</w:t>
      </w:r>
      <w:r w:rsidRPr="00C46BF0">
        <w:t>, ALD403-CLIN-002</w:t>
      </w:r>
      <w:r w:rsidR="00A935A5" w:rsidRPr="00C46BF0">
        <w:t xml:space="preserve"> (also known as Study 002)</w:t>
      </w:r>
      <w:r w:rsidRPr="00C46BF0">
        <w:t>, ALD403-CLIN-003</w:t>
      </w:r>
      <w:r w:rsidR="00A935A5" w:rsidRPr="00C46BF0">
        <w:t xml:space="preserve"> (also known as Study 003)</w:t>
      </w:r>
      <w:r w:rsidRPr="00C46BF0">
        <w:t>, ALD403</w:t>
      </w:r>
      <w:r w:rsidR="00301300">
        <w:noBreakHyphen/>
      </w:r>
      <w:r w:rsidRPr="00C46BF0">
        <w:t>CLIN</w:t>
      </w:r>
      <w:r w:rsidR="00301300">
        <w:noBreakHyphen/>
      </w:r>
      <w:r w:rsidRPr="00C46BF0">
        <w:t>007</w:t>
      </w:r>
      <w:r w:rsidR="00A935A5" w:rsidRPr="00C46BF0">
        <w:t xml:space="preserve"> (also known as Study 007)</w:t>
      </w:r>
      <w:r w:rsidRPr="00C46BF0">
        <w:t>, ALD403-CLIN-009</w:t>
      </w:r>
      <w:r w:rsidR="00A935A5" w:rsidRPr="00C46BF0">
        <w:t xml:space="preserve"> (also known as Study 009)</w:t>
      </w:r>
      <w:r w:rsidRPr="00C46BF0">
        <w:t>, ALD403-CLIN-010</w:t>
      </w:r>
      <w:r w:rsidR="00A935A5" w:rsidRPr="00C46BF0">
        <w:t xml:space="preserve"> (also known as Study 010)</w:t>
      </w:r>
      <w:r w:rsidRPr="00C46BF0">
        <w:t>, ALD403-CLIN-012 and ALD403-CLIN-014</w:t>
      </w:r>
      <w:r w:rsidR="00A935A5" w:rsidRPr="00C46BF0">
        <w:t xml:space="preserve"> (also known as Study 014)</w:t>
      </w:r>
    </w:p>
    <w:p w14:paraId="37CDDE97" w14:textId="125C794E" w:rsidR="00612A86" w:rsidRPr="00C46BF0" w:rsidRDefault="00612A86" w:rsidP="00C46BF0">
      <w:pPr>
        <w:pStyle w:val="ListBullet"/>
      </w:pPr>
      <w:r w:rsidRPr="00C46BF0">
        <w:t xml:space="preserve">Phase </w:t>
      </w:r>
      <w:r w:rsidR="00C87C50" w:rsidRPr="00C46BF0">
        <w:t>II S</w:t>
      </w:r>
      <w:r w:rsidRPr="00C46BF0">
        <w:t>tud</w:t>
      </w:r>
      <w:r w:rsidR="00C87C50" w:rsidRPr="00C46BF0">
        <w:t>y</w:t>
      </w:r>
      <w:r w:rsidRPr="00C46BF0">
        <w:t xml:space="preserve"> ALD403-CLIN-005</w:t>
      </w:r>
      <w:r w:rsidR="00A935A5" w:rsidRPr="00C46BF0">
        <w:t xml:space="preserve"> (also known as Study 005)</w:t>
      </w:r>
    </w:p>
    <w:p w14:paraId="6FE10C29" w14:textId="70A3E095" w:rsidR="00612A86" w:rsidRPr="00C46BF0" w:rsidRDefault="00612A86" w:rsidP="00C46BF0">
      <w:pPr>
        <w:pStyle w:val="ListBullet"/>
      </w:pPr>
      <w:r w:rsidRPr="00C46BF0">
        <w:t>Phase III p</w:t>
      </w:r>
      <w:r w:rsidR="00C87C50" w:rsidRPr="00C46BF0">
        <w:t>ivotal S</w:t>
      </w:r>
      <w:r w:rsidRPr="00C46BF0">
        <w:t>tudies ALD403-CLIN-006</w:t>
      </w:r>
      <w:r w:rsidR="00A935A5" w:rsidRPr="00C46BF0">
        <w:t xml:space="preserve"> (also known as Study 006)</w:t>
      </w:r>
      <w:r w:rsidRPr="00C46BF0">
        <w:t>, ALD403</w:t>
      </w:r>
      <w:r w:rsidR="00E323A2">
        <w:noBreakHyphen/>
      </w:r>
      <w:r w:rsidRPr="00C46BF0">
        <w:t>CLIN</w:t>
      </w:r>
      <w:r w:rsidR="00E323A2">
        <w:noBreakHyphen/>
      </w:r>
      <w:r w:rsidRPr="00C46BF0">
        <w:t>011</w:t>
      </w:r>
      <w:r w:rsidR="00A935A5" w:rsidRPr="00C46BF0">
        <w:t>(also known as Study 011)</w:t>
      </w:r>
    </w:p>
    <w:p w14:paraId="279C81C6" w14:textId="409F1E82" w:rsidR="00612A86" w:rsidRPr="00C46BF0" w:rsidRDefault="00C87C50" w:rsidP="00C46BF0">
      <w:pPr>
        <w:pStyle w:val="ListBullet"/>
      </w:pPr>
      <w:r w:rsidRPr="00C46BF0">
        <w:t>Long term safety S</w:t>
      </w:r>
      <w:r w:rsidR="00612A86" w:rsidRPr="00C46BF0">
        <w:t>tudy ALD403-CLIN-013</w:t>
      </w:r>
      <w:r w:rsidR="00A935A5" w:rsidRPr="00C46BF0">
        <w:t xml:space="preserve"> (also known as Study 013)</w:t>
      </w:r>
    </w:p>
    <w:p w14:paraId="3A2B4C97" w14:textId="21A16424" w:rsidR="00D677A9" w:rsidRPr="00C46BF0" w:rsidRDefault="00D677A9" w:rsidP="00C46BF0">
      <w:pPr>
        <w:pStyle w:val="Heading4"/>
      </w:pPr>
      <w:r w:rsidRPr="00C46BF0">
        <w:t>Pharmacology</w:t>
      </w:r>
    </w:p>
    <w:p w14:paraId="2A261785" w14:textId="77777777" w:rsidR="00D677A9" w:rsidRPr="00C46BF0" w:rsidRDefault="00D677A9" w:rsidP="00C46BF0">
      <w:pPr>
        <w:pStyle w:val="Heading6"/>
      </w:pPr>
      <w:r w:rsidRPr="00C46BF0">
        <w:t>Absorption</w:t>
      </w:r>
    </w:p>
    <w:p w14:paraId="12611AEB" w14:textId="5AC7BDBB" w:rsidR="00D677A9" w:rsidRPr="00C46BF0" w:rsidRDefault="00D677A9" w:rsidP="00C46BF0">
      <w:proofErr w:type="spellStart"/>
      <w:r w:rsidRPr="00C46BF0">
        <w:t>Eptinezumab</w:t>
      </w:r>
      <w:proofErr w:type="spellEnd"/>
      <w:r w:rsidRPr="00C46BF0">
        <w:t>, when administered intravenousl</w:t>
      </w:r>
      <w:r w:rsidR="00EA1735">
        <w:t>y has a</w:t>
      </w:r>
      <w:r w:rsidRPr="00C46BF0">
        <w:t xml:space="preserve"> bioavailability </w:t>
      </w:r>
      <w:r w:rsidR="00EA1735">
        <w:t>of</w:t>
      </w:r>
      <w:r w:rsidRPr="00C46BF0">
        <w:t xml:space="preserve"> 100%.</w:t>
      </w:r>
    </w:p>
    <w:p w14:paraId="3252556E" w14:textId="77777777" w:rsidR="00D677A9" w:rsidRPr="00C46BF0" w:rsidRDefault="00D677A9" w:rsidP="00C46BF0">
      <w:pPr>
        <w:pStyle w:val="Heading6"/>
      </w:pPr>
      <w:r w:rsidRPr="00C46BF0">
        <w:t>Distribution</w:t>
      </w:r>
    </w:p>
    <w:p w14:paraId="1BA42F4F" w14:textId="4C45315B" w:rsidR="00D677A9" w:rsidRPr="00C46BF0" w:rsidRDefault="00D677A9" w:rsidP="00C46BF0">
      <w:r w:rsidRPr="00C46BF0">
        <w:t>The volume of distribution is approximately 3.7</w:t>
      </w:r>
      <w:r w:rsidR="00C87C50" w:rsidRPr="00C46BF0">
        <w:t> </w:t>
      </w:r>
      <w:r w:rsidRPr="00C46BF0">
        <w:t>L.</w:t>
      </w:r>
    </w:p>
    <w:p w14:paraId="04B7B515" w14:textId="77777777" w:rsidR="00D677A9" w:rsidRPr="00C46BF0" w:rsidRDefault="00D677A9" w:rsidP="00C46BF0">
      <w:pPr>
        <w:pStyle w:val="Heading6"/>
      </w:pPr>
      <w:r w:rsidRPr="00C46BF0">
        <w:lastRenderedPageBreak/>
        <w:t>Metabolism</w:t>
      </w:r>
    </w:p>
    <w:p w14:paraId="16AA8FC4" w14:textId="4EFA52AE" w:rsidR="00D677A9" w:rsidRPr="00C46BF0" w:rsidRDefault="00D677A9" w:rsidP="00C46BF0">
      <w:proofErr w:type="spellStart"/>
      <w:r w:rsidRPr="00C46BF0">
        <w:t>Eptinezumab</w:t>
      </w:r>
      <w:proofErr w:type="spellEnd"/>
      <w:r w:rsidRPr="00C46BF0">
        <w:t xml:space="preserve">, as </w:t>
      </w:r>
      <w:r w:rsidR="00EA1735">
        <w:t xml:space="preserve">with </w:t>
      </w:r>
      <w:r w:rsidRPr="00C46BF0">
        <w:t xml:space="preserve">all other endogenous </w:t>
      </w:r>
      <w:r w:rsidR="00C87C50" w:rsidRPr="00C46BF0">
        <w:t>immunoglobulin G (</w:t>
      </w:r>
      <w:r w:rsidRPr="00C46BF0">
        <w:t>IgG</w:t>
      </w:r>
      <w:r w:rsidR="00C87C50" w:rsidRPr="00C46BF0">
        <w:t>)</w:t>
      </w:r>
      <w:r w:rsidR="00EA1735">
        <w:t>,</w:t>
      </w:r>
      <w:r w:rsidRPr="00C46BF0">
        <w:t xml:space="preserve"> is expected to be degraded into small peptides and amino acids via catabolic pathways.</w:t>
      </w:r>
    </w:p>
    <w:p w14:paraId="285A2154" w14:textId="77777777" w:rsidR="00D677A9" w:rsidRPr="00C46BF0" w:rsidRDefault="00D677A9" w:rsidP="00C46BF0">
      <w:pPr>
        <w:pStyle w:val="Heading6"/>
      </w:pPr>
      <w:r w:rsidRPr="00C46BF0">
        <w:t>Excretion</w:t>
      </w:r>
    </w:p>
    <w:p w14:paraId="24BD662A" w14:textId="1C8A289C" w:rsidR="00D677A9" w:rsidRPr="00C46BF0" w:rsidRDefault="00D677A9" w:rsidP="00C46BF0">
      <w:r w:rsidRPr="00C46BF0">
        <w:t>The mean cl</w:t>
      </w:r>
      <w:r w:rsidR="000C2B89" w:rsidRPr="00C46BF0">
        <w:t xml:space="preserve">earance of </w:t>
      </w:r>
      <w:proofErr w:type="spellStart"/>
      <w:r w:rsidR="000C2B89" w:rsidRPr="00C46BF0">
        <w:t>eptinezumab</w:t>
      </w:r>
      <w:proofErr w:type="spellEnd"/>
      <w:r w:rsidR="000C2B89" w:rsidRPr="00C46BF0">
        <w:t xml:space="preserve"> is </w:t>
      </w:r>
      <w:r w:rsidR="00F060A9">
        <w:t>0.15 L/day</w:t>
      </w:r>
      <w:r w:rsidRPr="00C46BF0">
        <w:t xml:space="preserve"> and the mean terminal half-li</w:t>
      </w:r>
      <w:r w:rsidR="000C2B89" w:rsidRPr="00C46BF0">
        <w:t>fe was approximately 27 </w:t>
      </w:r>
      <w:r w:rsidRPr="00C46BF0">
        <w:t>days.</w:t>
      </w:r>
    </w:p>
    <w:p w14:paraId="11051A26" w14:textId="1827E0AA" w:rsidR="00D677A9" w:rsidRPr="00C46BF0" w:rsidRDefault="00612A86" w:rsidP="00C46BF0">
      <w:pPr>
        <w:pStyle w:val="Heading5"/>
      </w:pPr>
      <w:r w:rsidRPr="00C46BF0">
        <w:t>Pharmacokinetics</w:t>
      </w:r>
    </w:p>
    <w:p w14:paraId="0BC8E2D3" w14:textId="7B449EFE" w:rsidR="00D677A9" w:rsidRPr="00C46BF0" w:rsidRDefault="000C2B89" w:rsidP="00C46BF0">
      <w:pPr>
        <w:pStyle w:val="Heading6"/>
      </w:pPr>
      <w:r w:rsidRPr="00C46BF0">
        <w:t xml:space="preserve">Pharmacokinetic </w:t>
      </w:r>
      <w:r w:rsidR="00D677A9" w:rsidRPr="00C46BF0">
        <w:t>properties of 30</w:t>
      </w:r>
      <w:r w:rsidRPr="00C46BF0">
        <w:t> </w:t>
      </w:r>
      <w:r w:rsidR="00D677A9" w:rsidRPr="00C46BF0">
        <w:t>mg, 100</w:t>
      </w:r>
      <w:r w:rsidRPr="00C46BF0">
        <w:t> </w:t>
      </w:r>
      <w:proofErr w:type="gramStart"/>
      <w:r w:rsidR="00D677A9" w:rsidRPr="00C46BF0">
        <w:t>mg</w:t>
      </w:r>
      <w:proofErr w:type="gramEnd"/>
      <w:r w:rsidR="00D677A9" w:rsidRPr="00C46BF0">
        <w:t xml:space="preserve"> and 300</w:t>
      </w:r>
      <w:r w:rsidRPr="00C46BF0">
        <w:t> </w:t>
      </w:r>
      <w:r w:rsidR="00D677A9" w:rsidRPr="00C46BF0">
        <w:t xml:space="preserve">mg </w:t>
      </w:r>
      <w:proofErr w:type="spellStart"/>
      <w:r w:rsidR="00D677A9" w:rsidRPr="00C46BF0">
        <w:t>eptinezumab</w:t>
      </w:r>
      <w:proofErr w:type="spellEnd"/>
      <w:r w:rsidR="00D677A9" w:rsidRPr="00C46BF0">
        <w:t xml:space="preserve"> (Study 006)</w:t>
      </w:r>
    </w:p>
    <w:p w14:paraId="34B262EA" w14:textId="5127E00C" w:rsidR="00D677A9" w:rsidRPr="00C46BF0" w:rsidRDefault="00D677A9" w:rsidP="00C46BF0">
      <w:r w:rsidRPr="00C46BF0">
        <w:t xml:space="preserve">It appears that a dose proportional increase in PK parameters was observed across the </w:t>
      </w:r>
      <w:proofErr w:type="spellStart"/>
      <w:r w:rsidRPr="00C46BF0">
        <w:t>eptinezumab</w:t>
      </w:r>
      <w:proofErr w:type="spellEnd"/>
      <w:r w:rsidRPr="00C46BF0">
        <w:t xml:space="preserve"> doses. A steady state of plasma concentration w</w:t>
      </w:r>
      <w:r w:rsidR="000C2B89" w:rsidRPr="00C46BF0">
        <w:t>as noted at around 12 </w:t>
      </w:r>
      <w:r w:rsidRPr="00C46BF0">
        <w:t xml:space="preserve">weeks </w:t>
      </w:r>
      <w:r w:rsidR="00E66A84">
        <w:t>(2016 h</w:t>
      </w:r>
      <w:r w:rsidR="00461364">
        <w:t>ours</w:t>
      </w:r>
      <w:r w:rsidR="00E66A84">
        <w:t>)</w:t>
      </w:r>
      <w:r w:rsidR="00113FFB">
        <w:t xml:space="preserve"> </w:t>
      </w:r>
      <w:proofErr w:type="gramStart"/>
      <w:r w:rsidRPr="00C46BF0">
        <w:t>time period</w:t>
      </w:r>
      <w:proofErr w:type="gramEnd"/>
      <w:r w:rsidRPr="00C46BF0">
        <w:t xml:space="preserve">. Inter-subject variability of </w:t>
      </w:r>
      <w:r w:rsidR="001A0AA1" w:rsidRPr="00C46BF0">
        <w:t xml:space="preserve">area under concentration time curve from time </w:t>
      </w:r>
      <w:r w:rsidR="00370783">
        <w:t>0</w:t>
      </w:r>
      <w:r w:rsidR="001A0AA1" w:rsidRPr="00C46BF0">
        <w:t xml:space="preserve"> to 2016 </w:t>
      </w:r>
      <w:r w:rsidR="00B511C4">
        <w:t>h</w:t>
      </w:r>
      <w:r w:rsidR="00461364">
        <w:t>ours</w:t>
      </w:r>
      <w:r w:rsidR="001A0AA1" w:rsidRPr="00C46BF0">
        <w:t xml:space="preserve"> (</w:t>
      </w:r>
      <w:r w:rsidRPr="00C46BF0">
        <w:t>AUC</w:t>
      </w:r>
      <w:r w:rsidRPr="00C46BF0">
        <w:rPr>
          <w:vertAlign w:val="subscript"/>
        </w:rPr>
        <w:t>0-2016</w:t>
      </w:r>
      <w:r w:rsidR="00F4683F">
        <w:rPr>
          <w:vertAlign w:val="subscript"/>
        </w:rPr>
        <w:t>h</w:t>
      </w:r>
      <w:r w:rsidR="001A0AA1" w:rsidRPr="00C46BF0">
        <w:t>)</w:t>
      </w:r>
      <w:r w:rsidRPr="00C46BF0">
        <w:t xml:space="preserve">, </w:t>
      </w:r>
      <w:r w:rsidR="000534AA" w:rsidRPr="00C46BF0">
        <w:t>area under the plasma concentration time curve from time zero to the last measurable time point (</w:t>
      </w:r>
      <w:r w:rsidRPr="00C46BF0">
        <w:t>AUC</w:t>
      </w:r>
      <w:r w:rsidRPr="00C46BF0">
        <w:rPr>
          <w:vertAlign w:val="subscript"/>
        </w:rPr>
        <w:t>0-last</w:t>
      </w:r>
      <w:r w:rsidR="000534AA" w:rsidRPr="00C46BF0">
        <w:t>)</w:t>
      </w:r>
      <w:r w:rsidRPr="00C46BF0">
        <w:t xml:space="preserve">, and </w:t>
      </w:r>
      <w:r w:rsidR="00383F42" w:rsidRPr="00C46BF0">
        <w:t>maximum plasma concentration (</w:t>
      </w:r>
      <w:proofErr w:type="spellStart"/>
      <w:r w:rsidRPr="00C46BF0">
        <w:t>C</w:t>
      </w:r>
      <w:r w:rsidRPr="00C46BF0">
        <w:rPr>
          <w:vertAlign w:val="subscript"/>
        </w:rPr>
        <w:t>max</w:t>
      </w:r>
      <w:proofErr w:type="spellEnd"/>
      <w:r w:rsidR="00383F42" w:rsidRPr="00C46BF0">
        <w:t>)</w:t>
      </w:r>
      <w:r w:rsidRPr="00C46BF0">
        <w:t xml:space="preserve"> ranged from 36.1</w:t>
      </w:r>
      <w:r w:rsidR="000C2B89" w:rsidRPr="00C46BF0">
        <w:t>%</w:t>
      </w:r>
      <w:r w:rsidRPr="00C46BF0">
        <w:t xml:space="preserve"> to 83.4%.</w:t>
      </w:r>
    </w:p>
    <w:p w14:paraId="3A896F91" w14:textId="70806361" w:rsidR="00D677A9" w:rsidRPr="00C46BF0" w:rsidRDefault="00283415" w:rsidP="00C46BF0">
      <w:pPr>
        <w:pStyle w:val="FigureTitle"/>
      </w:pPr>
      <w:r w:rsidRPr="00C46BF0">
        <w:t xml:space="preserve">Figure </w:t>
      </w:r>
      <w:r>
        <w:fldChar w:fldCharType="begin"/>
      </w:r>
      <w:r>
        <w:instrText>SEQ Figure \* ARABIC</w:instrText>
      </w:r>
      <w:r>
        <w:fldChar w:fldCharType="separate"/>
      </w:r>
      <w:r w:rsidR="00112693">
        <w:rPr>
          <w:noProof/>
        </w:rPr>
        <w:t>1</w:t>
      </w:r>
      <w:r>
        <w:fldChar w:fldCharType="end"/>
      </w:r>
      <w:r w:rsidR="00D677A9" w:rsidRPr="00C46BF0">
        <w:t xml:space="preserve">: </w:t>
      </w:r>
      <w:r w:rsidR="00200203" w:rsidRPr="00200203">
        <w:t>Study 006</w:t>
      </w:r>
      <w:r w:rsidR="00200203">
        <w:t xml:space="preserve"> </w:t>
      </w:r>
      <w:r w:rsidR="00D677A9" w:rsidRPr="00C46BF0">
        <w:t xml:space="preserve">Plasma trough concentrations of </w:t>
      </w:r>
      <w:proofErr w:type="spellStart"/>
      <w:r w:rsidR="00D677A9" w:rsidRPr="00C46BF0">
        <w:t>eptinezumab</w:t>
      </w:r>
      <w:proofErr w:type="spellEnd"/>
      <w:r w:rsidR="00D677A9" w:rsidRPr="00C46BF0">
        <w:t xml:space="preserve"> 30, 100 and 300 mg doses in subjects with episodic migraine</w:t>
      </w:r>
    </w:p>
    <w:p w14:paraId="4589EF3B" w14:textId="552C77B8" w:rsidR="00D677A9" w:rsidRDefault="00D677A9" w:rsidP="00C46BF0">
      <w:r>
        <w:rPr>
          <w:noProof/>
          <w:lang w:val="en-GB" w:eastAsia="en-GB"/>
        </w:rPr>
        <w:drawing>
          <wp:inline distT="0" distB="0" distL="0" distR="0" wp14:anchorId="5A5281DE" wp14:editId="67B3B9B6">
            <wp:extent cx="4452731" cy="2614755"/>
            <wp:effectExtent l="0" t="0" r="5080" b="0"/>
            <wp:docPr id="15" name="Picture 15" descr="Figure 1: Study 006 Plasma trough concentrations of eptinezumab 30, 100 and 300 mg doses in subjects with episodic mig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1: Study 006 Plasma trough concentrations of eptinezumab 30, 100 and 300 mg doses in subjects with episodic migraine"/>
                    <pic:cNvPicPr/>
                  </pic:nvPicPr>
                  <pic:blipFill rotWithShape="1">
                    <a:blip r:embed="rId18">
                      <a:extLst>
                        <a:ext uri="{28A0092B-C50C-407E-A947-70E740481C1C}">
                          <a14:useLocalDpi xmlns:a14="http://schemas.microsoft.com/office/drawing/2010/main" val="0"/>
                        </a:ext>
                      </a:extLst>
                    </a:blip>
                    <a:srcRect l="2910" t="3661" r="3955"/>
                    <a:stretch/>
                  </pic:blipFill>
                  <pic:spPr bwMode="auto">
                    <a:xfrm>
                      <a:off x="0" y="0"/>
                      <a:ext cx="4454474" cy="2615779"/>
                    </a:xfrm>
                    <a:prstGeom prst="rect">
                      <a:avLst/>
                    </a:prstGeom>
                    <a:ln>
                      <a:noFill/>
                    </a:ln>
                    <a:extLst>
                      <a:ext uri="{53640926-AAD7-44D8-BBD7-CCE9431645EC}">
                        <a14:shadowObscured xmlns:a14="http://schemas.microsoft.com/office/drawing/2010/main"/>
                      </a:ext>
                    </a:extLst>
                  </pic:spPr>
                </pic:pic>
              </a:graphicData>
            </a:graphic>
          </wp:inline>
        </w:drawing>
      </w:r>
    </w:p>
    <w:p w14:paraId="25F9BDDD" w14:textId="763F26BB" w:rsidR="00543BDC" w:rsidRPr="00C46BF0" w:rsidRDefault="00543BDC" w:rsidP="00543BDC">
      <w:pPr>
        <w:pStyle w:val="FigureDescription"/>
      </w:pPr>
      <w:r>
        <w:t>SD = standard deviation</w:t>
      </w:r>
      <w:r w:rsidR="00B35B44">
        <w:t>.</w:t>
      </w:r>
    </w:p>
    <w:p w14:paraId="6CD86240" w14:textId="0234965E" w:rsidR="00D677A9" w:rsidRPr="00C46BF0" w:rsidRDefault="000534AA" w:rsidP="00C46BF0">
      <w:pPr>
        <w:pStyle w:val="TableTitle"/>
      </w:pPr>
      <w:r w:rsidRPr="00C46BF0">
        <w:t xml:space="preserve">Table </w:t>
      </w:r>
      <w:r>
        <w:fldChar w:fldCharType="begin"/>
      </w:r>
      <w:r>
        <w:instrText>SEQ Table \* ARABIC</w:instrText>
      </w:r>
      <w:r>
        <w:fldChar w:fldCharType="separate"/>
      </w:r>
      <w:r w:rsidR="00112693">
        <w:rPr>
          <w:noProof/>
        </w:rPr>
        <w:t>3</w:t>
      </w:r>
      <w:r>
        <w:fldChar w:fldCharType="end"/>
      </w:r>
      <w:r w:rsidR="00D677A9" w:rsidRPr="00C46BF0">
        <w:t xml:space="preserve">: </w:t>
      </w:r>
      <w:r w:rsidR="00200203" w:rsidRPr="00200203">
        <w:t>Study 006</w:t>
      </w:r>
      <w:r w:rsidR="00200203">
        <w:t xml:space="preserve"> </w:t>
      </w:r>
      <w:r w:rsidR="000C2B89" w:rsidRPr="00C46BF0">
        <w:t xml:space="preserve">Pharmacokinetics </w:t>
      </w:r>
      <w:r w:rsidR="00D677A9" w:rsidRPr="00C46BF0">
        <w:t xml:space="preserve">parameters after a single administration of </w:t>
      </w:r>
      <w:proofErr w:type="spellStart"/>
      <w:r w:rsidR="00D677A9" w:rsidRPr="00C46BF0">
        <w:t>eptinezumab</w:t>
      </w:r>
      <w:proofErr w:type="spellEnd"/>
      <w:r w:rsidR="00D677A9" w:rsidRPr="00C46BF0">
        <w:t xml:space="preserve"> in subjects with episodic migraine</w:t>
      </w:r>
    </w:p>
    <w:p w14:paraId="443E2610" w14:textId="02C0700C" w:rsidR="00D677A9" w:rsidRPr="00C46BF0" w:rsidRDefault="00D677A9" w:rsidP="00C46BF0">
      <w:r>
        <w:rPr>
          <w:noProof/>
          <w:lang w:val="en-GB" w:eastAsia="en-GB"/>
        </w:rPr>
        <w:drawing>
          <wp:inline distT="0" distB="0" distL="0" distR="0" wp14:anchorId="6B01A669" wp14:editId="6E1E49C5">
            <wp:extent cx="5456583" cy="1920021"/>
            <wp:effectExtent l="0" t="0" r="0" b="4445"/>
            <wp:docPr id="16" name="Picture 16" descr="Table 3: Study 006 Pharmacokinetics parameters after a single administration of eptinezumab in subjects with episodic mig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 3: Study 006 Pharmacokinetics parameters after a single administration of eptinezumab in subjects with episodic migraine"/>
                    <pic:cNvPicPr/>
                  </pic:nvPicPr>
                  <pic:blipFill>
                    <a:blip r:embed="rId19">
                      <a:extLst>
                        <a:ext uri="{28A0092B-C50C-407E-A947-70E740481C1C}">
                          <a14:useLocalDpi xmlns:a14="http://schemas.microsoft.com/office/drawing/2010/main" val="0"/>
                        </a:ext>
                      </a:extLst>
                    </a:blip>
                    <a:stretch>
                      <a:fillRect/>
                    </a:stretch>
                  </pic:blipFill>
                  <pic:spPr>
                    <a:xfrm>
                      <a:off x="0" y="0"/>
                      <a:ext cx="5472408" cy="1925589"/>
                    </a:xfrm>
                    <a:prstGeom prst="rect">
                      <a:avLst/>
                    </a:prstGeom>
                  </pic:spPr>
                </pic:pic>
              </a:graphicData>
            </a:graphic>
          </wp:inline>
        </w:drawing>
      </w:r>
    </w:p>
    <w:p w14:paraId="685B4A41" w14:textId="3AD5F203" w:rsidR="00543BDC" w:rsidRPr="00C46BF0" w:rsidRDefault="00543BDC" w:rsidP="00C46BF0">
      <w:pPr>
        <w:pStyle w:val="TableDescription"/>
      </w:pPr>
      <w:r w:rsidRPr="00C46BF0">
        <w:t>AUC</w:t>
      </w:r>
      <w:r w:rsidRPr="00C46BF0">
        <w:rPr>
          <w:vertAlign w:val="subscript"/>
        </w:rPr>
        <w:t>0</w:t>
      </w:r>
      <w:r w:rsidRPr="00C46BF0">
        <w:rPr>
          <w:vertAlign w:val="subscript"/>
        </w:rPr>
        <w:noBreakHyphen/>
        <w:t>2016</w:t>
      </w:r>
      <w:r w:rsidRPr="00C46BF0">
        <w:t xml:space="preserve"> = area under concentration time curve from time </w:t>
      </w:r>
      <w:r>
        <w:t>0</w:t>
      </w:r>
      <w:r w:rsidRPr="00C46BF0">
        <w:t xml:space="preserve"> to 2016</w:t>
      </w:r>
      <w:r>
        <w:t xml:space="preserve"> hours</w:t>
      </w:r>
      <w:r w:rsidRPr="00C46BF0">
        <w:t>; AUC</w:t>
      </w:r>
      <w:r w:rsidRPr="00C46BF0">
        <w:rPr>
          <w:vertAlign w:val="subscript"/>
        </w:rPr>
        <w:t>0-last</w:t>
      </w:r>
      <w:r w:rsidRPr="00C46BF0">
        <w:t xml:space="preserve"> = area under the plasma concentration time curve from time zero to the last measurable time point; </w:t>
      </w:r>
      <w:proofErr w:type="spellStart"/>
      <w:r w:rsidRPr="00C46BF0">
        <w:t>C</w:t>
      </w:r>
      <w:r w:rsidRPr="00C46BF0">
        <w:rPr>
          <w:vertAlign w:val="subscript"/>
        </w:rPr>
        <w:t>max</w:t>
      </w:r>
      <w:proofErr w:type="spellEnd"/>
      <w:r w:rsidRPr="00C46BF0">
        <w:t xml:space="preserve"> =maximum </w:t>
      </w:r>
      <w:r w:rsidRPr="00C46BF0">
        <w:lastRenderedPageBreak/>
        <w:t xml:space="preserve">plasma concentration; </w:t>
      </w:r>
      <w:proofErr w:type="spellStart"/>
      <w:r w:rsidRPr="00C46BF0">
        <w:t>C</w:t>
      </w:r>
      <w:r w:rsidRPr="00C46BF0">
        <w:rPr>
          <w:vertAlign w:val="subscript"/>
        </w:rPr>
        <w:t>trough</w:t>
      </w:r>
      <w:proofErr w:type="spellEnd"/>
      <w:r w:rsidRPr="00C46BF0">
        <w:t xml:space="preserve"> = trough plasma concentration</w:t>
      </w:r>
      <w:r>
        <w:t>;</w:t>
      </w:r>
      <w:r w:rsidRPr="00C46BF0">
        <w:t xml:space="preserve"> </w:t>
      </w:r>
      <w:r w:rsidR="000C2B89" w:rsidRPr="00C46BF0">
        <w:t>CV</w:t>
      </w:r>
      <w:r w:rsidR="00A956BA" w:rsidRPr="00C46BF0">
        <w:t xml:space="preserve"> = coefficient of variation</w:t>
      </w:r>
      <w:r w:rsidR="007F31F9" w:rsidRPr="00C46BF0">
        <w:t xml:space="preserve">; </w:t>
      </w:r>
      <w:r w:rsidR="000C2B89" w:rsidRPr="00C46BF0">
        <w:t>N</w:t>
      </w:r>
      <w:r w:rsidR="00A956BA" w:rsidRPr="00C46BF0">
        <w:t xml:space="preserve"> = total number of subjects in a group</w:t>
      </w:r>
      <w:r w:rsidR="007F31F9" w:rsidRPr="00C46BF0">
        <w:t xml:space="preserve">; </w:t>
      </w:r>
      <w:r w:rsidRPr="00C46BF0">
        <w:t xml:space="preserve">PK = pharmacokinetics; </w:t>
      </w:r>
      <w:proofErr w:type="spellStart"/>
      <w:r w:rsidR="000C2B89" w:rsidRPr="00C46BF0">
        <w:t>t</w:t>
      </w:r>
      <w:r w:rsidR="000C2B89" w:rsidRPr="00C46BF0">
        <w:rPr>
          <w:vertAlign w:val="subscript"/>
        </w:rPr>
        <w:t>max</w:t>
      </w:r>
      <w:proofErr w:type="spellEnd"/>
      <w:r w:rsidR="007F31F9" w:rsidRPr="00C46BF0">
        <w:t xml:space="preserve"> = time </w:t>
      </w:r>
      <w:r w:rsidR="00D549FF">
        <w:t>of</w:t>
      </w:r>
      <w:r w:rsidR="007F31F9" w:rsidRPr="00C46BF0">
        <w:t xml:space="preserve"> maximum concentration</w:t>
      </w:r>
      <w:r>
        <w:t>.</w:t>
      </w:r>
    </w:p>
    <w:p w14:paraId="1F47148C" w14:textId="1949D674" w:rsidR="00D677A9" w:rsidRPr="00C46BF0" w:rsidRDefault="00D677A9" w:rsidP="00C46BF0">
      <w:r w:rsidRPr="00C46BF0">
        <w:t xml:space="preserve">After multiple dose administrations, mean plasma </w:t>
      </w:r>
      <w:proofErr w:type="spellStart"/>
      <w:r w:rsidRPr="00C46BF0">
        <w:t>eptinezumab</w:t>
      </w:r>
      <w:proofErr w:type="spellEnd"/>
      <w:r w:rsidRPr="00C46BF0">
        <w:t xml:space="preserve"> </w:t>
      </w:r>
      <w:r w:rsidR="000534AA" w:rsidRPr="00C46BF0">
        <w:t>area under the plasma concentration time curve (</w:t>
      </w:r>
      <w:r w:rsidRPr="00C46BF0">
        <w:t>AUC</w:t>
      </w:r>
      <w:r w:rsidR="000534AA" w:rsidRPr="00C46BF0">
        <w:t>)</w:t>
      </w:r>
      <w:r w:rsidRPr="00C46BF0">
        <w:t xml:space="preserve">, </w:t>
      </w:r>
      <w:proofErr w:type="spellStart"/>
      <w:r w:rsidRPr="00C46BF0">
        <w:t>C</w:t>
      </w:r>
      <w:r w:rsidRPr="00C46BF0">
        <w:rPr>
          <w:vertAlign w:val="subscript"/>
        </w:rPr>
        <w:t>max</w:t>
      </w:r>
      <w:proofErr w:type="spellEnd"/>
      <w:r w:rsidRPr="00C46BF0">
        <w:t xml:space="preserve"> and </w:t>
      </w:r>
      <w:r w:rsidR="00D66708" w:rsidRPr="00C46BF0">
        <w:t>trough plasma concentration</w:t>
      </w:r>
      <w:r w:rsidR="00D66708" w:rsidRPr="00C46BF0">
        <w:rPr>
          <w:rFonts w:ascii="Arial" w:hAnsi="Arial" w:cs="Arial"/>
          <w:color w:val="4D5156"/>
          <w:sz w:val="21"/>
          <w:szCs w:val="21"/>
          <w:shd w:val="clear" w:color="auto" w:fill="FFFFFF"/>
        </w:rPr>
        <w:t xml:space="preserve"> (</w:t>
      </w:r>
      <w:proofErr w:type="spellStart"/>
      <w:r w:rsidRPr="00C46BF0">
        <w:t>C</w:t>
      </w:r>
      <w:r w:rsidRPr="00C46BF0">
        <w:rPr>
          <w:vertAlign w:val="subscript"/>
        </w:rPr>
        <w:t>trough</w:t>
      </w:r>
      <w:proofErr w:type="spellEnd"/>
      <w:r w:rsidR="00D66708" w:rsidRPr="00C46BF0">
        <w:t xml:space="preserve">) </w:t>
      </w:r>
      <w:r w:rsidRPr="00C46BF0">
        <w:t xml:space="preserve">increased proportionally with dose. Median </w:t>
      </w:r>
      <w:r w:rsidR="00A956BA" w:rsidRPr="00C46BF0">
        <w:t xml:space="preserve">time </w:t>
      </w:r>
      <w:r w:rsidR="00D549FF">
        <w:t>of</w:t>
      </w:r>
      <w:r w:rsidR="00A956BA" w:rsidRPr="00C46BF0">
        <w:t xml:space="preserve"> maximum concentration (</w:t>
      </w:r>
      <w:proofErr w:type="spellStart"/>
      <w:r w:rsidR="007F31F9" w:rsidRPr="00C46BF0">
        <w:t>T</w:t>
      </w:r>
      <w:r w:rsidRPr="00C46BF0">
        <w:rPr>
          <w:vertAlign w:val="subscript"/>
        </w:rPr>
        <w:t>max</w:t>
      </w:r>
      <w:proofErr w:type="spellEnd"/>
      <w:r w:rsidR="00A956BA" w:rsidRPr="00C46BF0">
        <w:t>)</w:t>
      </w:r>
      <w:r w:rsidRPr="00C46BF0">
        <w:t xml:space="preserve"> ranged from 671.28 to 672.60</w:t>
      </w:r>
      <w:r w:rsidR="00601206" w:rsidRPr="00C46BF0">
        <w:t> </w:t>
      </w:r>
      <w:r w:rsidRPr="00C46BF0">
        <w:t xml:space="preserve">hours after multiple dose administrations in subjects with episodic </w:t>
      </w:r>
      <w:proofErr w:type="gramStart"/>
      <w:r w:rsidRPr="00C46BF0">
        <w:t>migraine, and</w:t>
      </w:r>
      <w:proofErr w:type="gramEnd"/>
      <w:r w:rsidRPr="00C46BF0">
        <w:t xml:space="preserve"> was independent of dose. Inter-subject variability of AUC</w:t>
      </w:r>
      <w:r w:rsidRPr="00C46BF0">
        <w:rPr>
          <w:vertAlign w:val="subscript"/>
        </w:rPr>
        <w:t>0-last</w:t>
      </w:r>
      <w:r w:rsidR="002169BE">
        <w:t xml:space="preserve"> </w:t>
      </w:r>
      <w:r w:rsidR="009823D7">
        <w:t>(</w:t>
      </w:r>
      <w:r w:rsidR="000534AA" w:rsidRPr="00C46BF0">
        <w:t xml:space="preserve">area under concentration time curve </w:t>
      </w:r>
      <w:r w:rsidR="008F1EC2" w:rsidRPr="008F1EC2">
        <w:t>in a steady state dosing interval (τ)</w:t>
      </w:r>
      <w:r w:rsidR="00377627">
        <w:t>),</w:t>
      </w:r>
      <w:r w:rsidR="000534AA" w:rsidRPr="00C46BF0">
        <w:t xml:space="preserve"> (</w:t>
      </w:r>
      <w:r w:rsidRPr="00C46BF0">
        <w:t>AUC</w:t>
      </w:r>
      <w:r w:rsidRPr="00C46BF0">
        <w:rPr>
          <w:vertAlign w:val="subscript"/>
        </w:rPr>
        <w:t>0-τ</w:t>
      </w:r>
      <w:r w:rsidR="000534AA" w:rsidRPr="00C46BF0">
        <w:t>)</w:t>
      </w:r>
      <w:r w:rsidRPr="00C46BF0">
        <w:t xml:space="preserve">, and </w:t>
      </w:r>
      <w:proofErr w:type="spellStart"/>
      <w:r w:rsidRPr="00C46BF0">
        <w:t>C</w:t>
      </w:r>
      <w:r w:rsidRPr="00C46BF0">
        <w:rPr>
          <w:vertAlign w:val="subscript"/>
        </w:rPr>
        <w:t>max</w:t>
      </w:r>
      <w:proofErr w:type="spellEnd"/>
      <w:r w:rsidRPr="00C46BF0">
        <w:t xml:space="preserve"> was 42.8</w:t>
      </w:r>
      <w:r w:rsidR="00601206" w:rsidRPr="00C46BF0">
        <w:t>% to 66.9%.</w:t>
      </w:r>
    </w:p>
    <w:p w14:paraId="04EC0572" w14:textId="4782E701" w:rsidR="00D677A9" w:rsidRPr="00C46BF0" w:rsidRDefault="00612A86" w:rsidP="00C46BF0">
      <w:pPr>
        <w:pStyle w:val="Heading5"/>
      </w:pPr>
      <w:r w:rsidRPr="00C46BF0">
        <w:t xml:space="preserve">Population </w:t>
      </w:r>
      <w:r w:rsidR="00601206" w:rsidRPr="00C46BF0">
        <w:t xml:space="preserve">pharmacokinetics </w:t>
      </w:r>
      <w:r w:rsidRPr="00C46BF0">
        <w:t>data</w:t>
      </w:r>
    </w:p>
    <w:p w14:paraId="6D999DEF" w14:textId="4FD6C133" w:rsidR="00D677A9" w:rsidRPr="00C46BF0" w:rsidRDefault="00D677A9" w:rsidP="00C46BF0">
      <w:r w:rsidRPr="00C46BF0">
        <w:t xml:space="preserve">A </w:t>
      </w:r>
      <w:r w:rsidR="00441AC4" w:rsidRPr="00C46BF0">
        <w:t>population pharmacokinetics (</w:t>
      </w:r>
      <w:proofErr w:type="spellStart"/>
      <w:r w:rsidRPr="00C46BF0">
        <w:t>PopPK</w:t>
      </w:r>
      <w:proofErr w:type="spellEnd"/>
      <w:r w:rsidR="00441AC4" w:rsidRPr="00C46BF0">
        <w:t>)</w:t>
      </w:r>
      <w:r w:rsidRPr="00C46BF0">
        <w:t xml:space="preserve"> model was utilised to describe the PK properties of </w:t>
      </w:r>
      <w:proofErr w:type="spellStart"/>
      <w:r w:rsidRPr="00C46BF0">
        <w:t>eptinezumab</w:t>
      </w:r>
      <w:proofErr w:type="spellEnd"/>
      <w:r w:rsidRPr="00C46BF0">
        <w:t xml:space="preserve">. Dose and exposure-response relationships of selected endpoints were performed to support dosing of </w:t>
      </w:r>
      <w:proofErr w:type="spellStart"/>
      <w:r w:rsidRPr="00C46BF0">
        <w:t>eptinezumab</w:t>
      </w:r>
      <w:proofErr w:type="spellEnd"/>
      <w:r w:rsidRPr="00C46BF0">
        <w:t>.</w:t>
      </w:r>
    </w:p>
    <w:p w14:paraId="394CCA84" w14:textId="11100F10" w:rsidR="00D677A9" w:rsidRPr="00C46BF0" w:rsidRDefault="00D677A9" w:rsidP="00C46BF0">
      <w:r w:rsidRPr="00C46BF0">
        <w:t xml:space="preserve">The </w:t>
      </w:r>
      <w:proofErr w:type="spellStart"/>
      <w:r w:rsidRPr="00C46BF0">
        <w:t>PopPK</w:t>
      </w:r>
      <w:proofErr w:type="spellEnd"/>
      <w:r w:rsidRPr="00C46BF0">
        <w:t xml:space="preserve"> model consisted of healthy subjects and subjects with chronic and episodic migraine who were participants in 8 clinical studies with </w:t>
      </w:r>
      <w:proofErr w:type="spellStart"/>
      <w:r w:rsidRPr="00C46BF0">
        <w:t>eptinezumab</w:t>
      </w:r>
      <w:proofErr w:type="spellEnd"/>
      <w:r w:rsidRPr="00C46BF0">
        <w:t>. The model also included subjects with mild (41.9%) and mo</w:t>
      </w:r>
      <w:r w:rsidR="00441AC4" w:rsidRPr="00C46BF0">
        <w:t>derate renal impairment (2.7%).</w:t>
      </w:r>
    </w:p>
    <w:p w14:paraId="52020AFC" w14:textId="2D25D05A" w:rsidR="00D677A9" w:rsidRPr="00C46BF0" w:rsidRDefault="00D677A9" w:rsidP="00C46BF0">
      <w:r w:rsidRPr="00C46BF0">
        <w:t xml:space="preserve">No major variations of PK parameters for </w:t>
      </w:r>
      <w:proofErr w:type="spellStart"/>
      <w:r w:rsidRPr="00C46BF0">
        <w:t>eptinezumab</w:t>
      </w:r>
      <w:proofErr w:type="spellEnd"/>
      <w:r w:rsidRPr="00C46BF0">
        <w:t>, associated</w:t>
      </w:r>
      <w:r w:rsidR="00370783">
        <w:t xml:space="preserve"> with</w:t>
      </w:r>
      <w:r w:rsidR="00721B8B">
        <w:t xml:space="preserve"> </w:t>
      </w:r>
      <w:r w:rsidRPr="00C46BF0">
        <w:t>age, gender and mild and moderate renal impairment were reported.</w:t>
      </w:r>
    </w:p>
    <w:p w14:paraId="336C4801" w14:textId="77777777" w:rsidR="00D677A9" w:rsidRPr="00C46BF0" w:rsidRDefault="00D677A9" w:rsidP="00C46BF0">
      <w:pPr>
        <w:pStyle w:val="Heading5"/>
      </w:pPr>
      <w:r w:rsidRPr="00C46BF0">
        <w:t>Pharmacodynamics</w:t>
      </w:r>
    </w:p>
    <w:p w14:paraId="5C131BC3" w14:textId="7F163B73" w:rsidR="00D677A9" w:rsidRPr="00C46BF0" w:rsidRDefault="00D677A9" w:rsidP="00C46BF0">
      <w:r w:rsidRPr="00C46BF0">
        <w:t xml:space="preserve">In subjects with migraine, mean neurogenic vasodilation was reduced by 41% following intravenous administration of </w:t>
      </w:r>
      <w:proofErr w:type="spellStart"/>
      <w:r w:rsidRPr="00C46BF0">
        <w:t>eptinezumab</w:t>
      </w:r>
      <w:proofErr w:type="spellEnd"/>
      <w:r w:rsidRPr="00C46BF0">
        <w:t xml:space="preserve"> compared to an increase of 12% for placebo on the day following treatment. The reduction persisted ranging from 20</w:t>
      </w:r>
      <w:r w:rsidR="00441AC4" w:rsidRPr="00C46BF0">
        <w:t>%</w:t>
      </w:r>
      <w:r w:rsidRPr="00C46BF0">
        <w:t xml:space="preserve"> to 50% for 100</w:t>
      </w:r>
      <w:r w:rsidR="00441AC4" w:rsidRPr="00C46BF0">
        <w:t> </w:t>
      </w:r>
      <w:r w:rsidRPr="00C46BF0">
        <w:t xml:space="preserve">mg </w:t>
      </w:r>
      <w:proofErr w:type="spellStart"/>
      <w:r w:rsidRPr="00C46BF0">
        <w:t>eptinezumab</w:t>
      </w:r>
      <w:proofErr w:type="spellEnd"/>
      <w:r w:rsidRPr="00C46BF0">
        <w:t xml:space="preserve"> for up to 12</w:t>
      </w:r>
      <w:r w:rsidR="00441AC4" w:rsidRPr="00C46BF0">
        <w:t> </w:t>
      </w:r>
      <w:r w:rsidRPr="00C46BF0">
        <w:t>weeks, whilst placebo ranged from a 20% increase to a 0.20% reduction during the same period.</w:t>
      </w:r>
    </w:p>
    <w:p w14:paraId="641CFA07" w14:textId="641E8E42" w:rsidR="00D677A9" w:rsidRPr="00C46BF0" w:rsidRDefault="0046047F" w:rsidP="00C46BF0">
      <w:pPr>
        <w:pStyle w:val="Heading5"/>
      </w:pPr>
      <w:r w:rsidRPr="00C46BF0">
        <w:t>Immunogenicity</w:t>
      </w:r>
    </w:p>
    <w:p w14:paraId="46B0D7DA" w14:textId="52DAB987" w:rsidR="00D677A9" w:rsidRPr="00C46BF0" w:rsidRDefault="00340968" w:rsidP="00C46BF0">
      <w:r>
        <w:t xml:space="preserve">In Studies </w:t>
      </w:r>
      <w:r w:rsidR="00581330">
        <w:t>005, 006, 011 and 013, a</w:t>
      </w:r>
      <w:r w:rsidR="00D677A9" w:rsidRPr="00C46BF0">
        <w:t xml:space="preserve"> total of 1993 patients were tested for ADA. Among those, 316 patients (15.9%) were identified to have treatment</w:t>
      </w:r>
      <w:r w:rsidR="00441AC4" w:rsidRPr="00C46BF0">
        <w:t xml:space="preserve"> </w:t>
      </w:r>
      <w:r w:rsidR="00D677A9" w:rsidRPr="00C46BF0">
        <w:t>emergent anti-</w:t>
      </w:r>
      <w:proofErr w:type="spellStart"/>
      <w:r w:rsidR="00D677A9" w:rsidRPr="00C46BF0">
        <w:t>eptinezumab</w:t>
      </w:r>
      <w:proofErr w:type="spellEnd"/>
      <w:r w:rsidR="00D677A9" w:rsidRPr="00C46BF0">
        <w:t xml:space="preserve"> antibody </w:t>
      </w:r>
      <w:r w:rsidR="00A828A2">
        <w:t>ADA</w:t>
      </w:r>
      <w:r w:rsidR="00665E49" w:rsidRPr="00C46BF0">
        <w:t xml:space="preserve"> </w:t>
      </w:r>
      <w:r w:rsidR="00D677A9" w:rsidRPr="00C46BF0">
        <w:t>responses. 124 (6.2%) patients developed neutrali</w:t>
      </w:r>
      <w:r w:rsidR="00441AC4" w:rsidRPr="00C46BF0">
        <w:t>s</w:t>
      </w:r>
      <w:r w:rsidR="00D677A9" w:rsidRPr="00C46BF0">
        <w:t xml:space="preserve">ing antibodies </w:t>
      </w:r>
      <w:r w:rsidR="003B2899">
        <w:t>(</w:t>
      </w:r>
      <w:proofErr w:type="spellStart"/>
      <w:r w:rsidR="003B2899">
        <w:t>N</w:t>
      </w:r>
      <w:r w:rsidR="00787264">
        <w:t>A</w:t>
      </w:r>
      <w:r w:rsidR="003B2899">
        <w:t>b</w:t>
      </w:r>
      <w:proofErr w:type="spellEnd"/>
      <w:r w:rsidR="003B2899">
        <w:t>)</w:t>
      </w:r>
      <w:r w:rsidR="00D677A9" w:rsidRPr="00C46BF0">
        <w:t xml:space="preserve"> against </w:t>
      </w:r>
      <w:proofErr w:type="spellStart"/>
      <w:r w:rsidR="00D677A9" w:rsidRPr="00C46BF0">
        <w:t>eptinezumab</w:t>
      </w:r>
      <w:proofErr w:type="spellEnd"/>
      <w:r w:rsidR="00D677A9" w:rsidRPr="00C46BF0">
        <w:t>.</w:t>
      </w:r>
    </w:p>
    <w:p w14:paraId="0955A2F6" w14:textId="155F0690" w:rsidR="00D677A9" w:rsidRPr="00C46BF0" w:rsidRDefault="00D677A9" w:rsidP="00C46BF0">
      <w:r w:rsidRPr="00C46BF0">
        <w:t xml:space="preserve">In </w:t>
      </w:r>
      <w:r w:rsidR="00665E49" w:rsidRPr="00C46BF0">
        <w:t xml:space="preserve">Study </w:t>
      </w:r>
      <w:r w:rsidRPr="00C46BF0">
        <w:t xml:space="preserve">006, </w:t>
      </w:r>
      <w:r w:rsidR="00665E49" w:rsidRPr="00C46BF0">
        <w:t>a</w:t>
      </w:r>
      <w:r w:rsidRPr="00C46BF0">
        <w:t xml:space="preserve"> dose-response trend in the number of subjects with ADA positive results was observed after Week 8. The incidence of ADA was 21.0% (47/224), 20.2% (45/223) and 12.3% (27/219) for the 300</w:t>
      </w:r>
      <w:r w:rsidR="00665E49" w:rsidRPr="00C46BF0">
        <w:t> </w:t>
      </w:r>
      <w:r w:rsidRPr="00C46BF0">
        <w:t>mg, 100</w:t>
      </w:r>
      <w:r w:rsidR="00665E49" w:rsidRPr="00C46BF0">
        <w:t> </w:t>
      </w:r>
      <w:proofErr w:type="gramStart"/>
      <w:r w:rsidRPr="00C46BF0">
        <w:t>mg</w:t>
      </w:r>
      <w:proofErr w:type="gramEnd"/>
      <w:r w:rsidRPr="00C46BF0">
        <w:t xml:space="preserve"> and 30</w:t>
      </w:r>
      <w:r w:rsidR="00665E49" w:rsidRPr="00C46BF0">
        <w:t> </w:t>
      </w:r>
      <w:r w:rsidRPr="00C46BF0">
        <w:t>mg dose groups, respectively.</w:t>
      </w:r>
    </w:p>
    <w:p w14:paraId="1BD4A11A" w14:textId="72714ACB" w:rsidR="00F05BC0" w:rsidRPr="00C46BF0" w:rsidRDefault="00D677A9" w:rsidP="00C46BF0">
      <w:r w:rsidRPr="00C46BF0">
        <w:t xml:space="preserve">The number of subjects with positive </w:t>
      </w:r>
      <w:proofErr w:type="spellStart"/>
      <w:r w:rsidR="00665E49" w:rsidRPr="00C46BF0">
        <w:t>N</w:t>
      </w:r>
      <w:r w:rsidR="00721B8B">
        <w:t>A</w:t>
      </w:r>
      <w:r w:rsidR="00665E49" w:rsidRPr="00C46BF0">
        <w:t>b</w:t>
      </w:r>
      <w:proofErr w:type="spellEnd"/>
      <w:r w:rsidR="00665E49" w:rsidRPr="00C46BF0">
        <w:t xml:space="preserve"> </w:t>
      </w:r>
      <w:r w:rsidRPr="00C46BF0">
        <w:t>generally increased over time from Week 8 to Week 24 (except at Week 16), and then decreased at time</w:t>
      </w:r>
      <w:r w:rsidR="00665E49" w:rsidRPr="00C46BF0">
        <w:t xml:space="preserve"> </w:t>
      </w:r>
      <w:r w:rsidRPr="00C46BF0">
        <w:t xml:space="preserve">points after Week 24. At </w:t>
      </w:r>
      <w:r w:rsidR="00665E49" w:rsidRPr="00C46BF0">
        <w:t xml:space="preserve">Week </w:t>
      </w:r>
      <w:r w:rsidRPr="00C46BF0">
        <w:t xml:space="preserve">8, around 46% of 28 ADA positive subjects were </w:t>
      </w:r>
      <w:proofErr w:type="spellStart"/>
      <w:r w:rsidRPr="00C46BF0">
        <w:t>NAb</w:t>
      </w:r>
      <w:proofErr w:type="spellEnd"/>
      <w:r w:rsidRPr="00C46BF0">
        <w:t xml:space="preserve"> positive. At </w:t>
      </w:r>
      <w:r w:rsidR="00665E49" w:rsidRPr="00C46BF0">
        <w:t xml:space="preserve">Week </w:t>
      </w:r>
      <w:r w:rsidRPr="00C46BF0">
        <w:t>24, around 44% of the 87 ADA posit</w:t>
      </w:r>
      <w:r w:rsidR="00665E49" w:rsidRPr="00C46BF0">
        <w:t xml:space="preserve">ive subjects were </w:t>
      </w:r>
      <w:proofErr w:type="spellStart"/>
      <w:r w:rsidR="00665E49" w:rsidRPr="00C46BF0">
        <w:t>N</w:t>
      </w:r>
      <w:r w:rsidR="00787264">
        <w:t>A</w:t>
      </w:r>
      <w:r w:rsidR="00665E49" w:rsidRPr="00C46BF0">
        <w:t>b</w:t>
      </w:r>
      <w:proofErr w:type="spellEnd"/>
      <w:r w:rsidR="00665E49" w:rsidRPr="00C46BF0">
        <w:t xml:space="preserve"> positive.</w:t>
      </w:r>
    </w:p>
    <w:p w14:paraId="41A6FAAD" w14:textId="496FECB2" w:rsidR="00D677A9" w:rsidRPr="00C46BF0" w:rsidRDefault="00D677A9" w:rsidP="00C46BF0">
      <w:r w:rsidRPr="00C46BF0">
        <w:t xml:space="preserve">There was no dose-response trend related to </w:t>
      </w:r>
      <w:proofErr w:type="spellStart"/>
      <w:r w:rsidRPr="00C46BF0">
        <w:t>NAb</w:t>
      </w:r>
      <w:proofErr w:type="spellEnd"/>
      <w:r w:rsidRPr="00C46BF0">
        <w:t xml:space="preserve"> positive observations.</w:t>
      </w:r>
    </w:p>
    <w:p w14:paraId="3DEB9BAF" w14:textId="77777777" w:rsidR="00D677A9" w:rsidRPr="00C46BF0" w:rsidRDefault="00D677A9" w:rsidP="00C46BF0">
      <w:pPr>
        <w:pStyle w:val="Heading5"/>
      </w:pPr>
      <w:r w:rsidRPr="00C46BF0">
        <w:t>Drug-drug interactions</w:t>
      </w:r>
    </w:p>
    <w:p w14:paraId="12C06470" w14:textId="533B9EE1" w:rsidR="00D677A9" w:rsidRPr="00C46BF0" w:rsidRDefault="00D677A9" w:rsidP="00C46BF0">
      <w:proofErr w:type="spellStart"/>
      <w:r w:rsidRPr="00C46BF0">
        <w:t>Eptinezumab</w:t>
      </w:r>
      <w:proofErr w:type="spellEnd"/>
      <w:r w:rsidRPr="00C46BF0">
        <w:t xml:space="preserve"> is not metaboli</w:t>
      </w:r>
      <w:r w:rsidR="00441AC4" w:rsidRPr="00C46BF0">
        <w:t>s</w:t>
      </w:r>
      <w:r w:rsidRPr="00C46BF0">
        <w:t xml:space="preserve">ed by cytochrome P450 </w:t>
      </w:r>
      <w:r w:rsidR="00F07D58" w:rsidRPr="00C46BF0">
        <w:t xml:space="preserve">(CYP450) </w:t>
      </w:r>
      <w:r w:rsidRPr="00C46BF0">
        <w:t>enzymes</w:t>
      </w:r>
      <w:r w:rsidR="00C96008" w:rsidRPr="00C46BF0">
        <w:t>.</w:t>
      </w:r>
      <w:r w:rsidR="00C96008" w:rsidRPr="00C46BF0">
        <w:rPr>
          <w:rStyle w:val="FootnoteReference"/>
        </w:rPr>
        <w:footnoteReference w:id="17"/>
      </w:r>
      <w:r w:rsidRPr="00C46BF0">
        <w:t xml:space="preserve"> Therefore, interactions by </w:t>
      </w:r>
      <w:proofErr w:type="spellStart"/>
      <w:r w:rsidRPr="00C46BF0">
        <w:t>eptinezumab</w:t>
      </w:r>
      <w:proofErr w:type="spellEnd"/>
      <w:r w:rsidRPr="00C46BF0">
        <w:t xml:space="preserve"> with concomitant medications that are substrates, inducers, </w:t>
      </w:r>
      <w:r w:rsidRPr="00C46BF0">
        <w:lastRenderedPageBreak/>
        <w:t xml:space="preserve">or inhibitors of </w:t>
      </w:r>
      <w:r w:rsidR="00F07D58" w:rsidRPr="00C46BF0">
        <w:t>CY</w:t>
      </w:r>
      <w:r w:rsidRPr="00C46BF0">
        <w:t xml:space="preserve">P450 enzymes are considered unlikely. Co-administration of </w:t>
      </w:r>
      <w:proofErr w:type="spellStart"/>
      <w:r w:rsidRPr="00C46BF0">
        <w:t>eptinezumab</w:t>
      </w:r>
      <w:proofErr w:type="spellEnd"/>
      <w:r w:rsidRPr="00C46BF0">
        <w:t xml:space="preserve"> in combination with sumatriptan was investigated in Study 001 Part B. No major impacts on PK of </w:t>
      </w:r>
      <w:proofErr w:type="spellStart"/>
      <w:r w:rsidRPr="00C46BF0">
        <w:t>eptinezumab</w:t>
      </w:r>
      <w:proofErr w:type="spellEnd"/>
      <w:r w:rsidRPr="00C46BF0">
        <w:t xml:space="preserve"> was noted, when co-admin</w:t>
      </w:r>
      <w:r w:rsidR="002260A5">
        <w:t>i</w:t>
      </w:r>
      <w:r w:rsidRPr="00C46BF0">
        <w:t>stered with sumatriptan.</w:t>
      </w:r>
    </w:p>
    <w:p w14:paraId="79D9EAAF" w14:textId="77777777" w:rsidR="00D677A9" w:rsidRPr="00C46BF0" w:rsidRDefault="00D677A9" w:rsidP="00C46BF0">
      <w:pPr>
        <w:pStyle w:val="Heading4"/>
      </w:pPr>
      <w:r w:rsidRPr="00C46BF0">
        <w:t>Efficacy</w:t>
      </w:r>
    </w:p>
    <w:p w14:paraId="380D3F26" w14:textId="77777777" w:rsidR="00D677A9" w:rsidRPr="00C46BF0" w:rsidRDefault="00D677A9" w:rsidP="00C46BF0">
      <w:pPr>
        <w:pStyle w:val="Heading5"/>
      </w:pPr>
      <w:r w:rsidRPr="00C46BF0">
        <w:t>Dose selection for pivotal studies</w:t>
      </w:r>
    </w:p>
    <w:p w14:paraId="6F3C6D25" w14:textId="279F02DD" w:rsidR="00D677A9" w:rsidRPr="00C46BF0" w:rsidRDefault="00D677A9" w:rsidP="00C46BF0">
      <w:r w:rsidRPr="00C46BF0">
        <w:t>The inhibition of α-CGRP</w:t>
      </w:r>
      <w:r w:rsidR="00F07D58" w:rsidRPr="00C46BF0">
        <w:t xml:space="preserve"> </w:t>
      </w:r>
      <w:r w:rsidRPr="00C46BF0">
        <w:t xml:space="preserve">mediated neurogenic vasodilation induced by topical capsaicin application following single or multiple administrations of </w:t>
      </w:r>
      <w:proofErr w:type="spellStart"/>
      <w:r w:rsidRPr="00C46BF0">
        <w:t>eptinezumab</w:t>
      </w:r>
      <w:proofErr w:type="spellEnd"/>
      <w:r w:rsidRPr="00C46BF0">
        <w:t xml:space="preserve"> in human subjects was used as a biomarker to help inform early dose selection.</w:t>
      </w:r>
    </w:p>
    <w:p w14:paraId="7C340432" w14:textId="3294EA34" w:rsidR="00D677A9" w:rsidRPr="00C46BF0" w:rsidRDefault="00D677A9" w:rsidP="00C46BF0">
      <w:r w:rsidRPr="00C46BF0">
        <w:t>At the higher doses tested (30 to 1000</w:t>
      </w:r>
      <w:r w:rsidR="00F07D58" w:rsidRPr="00C46BF0">
        <w:t> </w:t>
      </w:r>
      <w:r w:rsidRPr="00C46BF0">
        <w:t xml:space="preserve">mg </w:t>
      </w:r>
      <w:r w:rsidR="00F07D58" w:rsidRPr="00C46BF0">
        <w:t>intravenous</w:t>
      </w:r>
      <w:r w:rsidR="00A935A5" w:rsidRPr="00C46BF0">
        <w:t>ly</w:t>
      </w:r>
      <w:r w:rsidRPr="00C46BF0">
        <w:t xml:space="preserve">), </w:t>
      </w:r>
      <w:proofErr w:type="spellStart"/>
      <w:r w:rsidRPr="00C46BF0">
        <w:t>eptinezumab</w:t>
      </w:r>
      <w:proofErr w:type="spellEnd"/>
      <w:r w:rsidRPr="00C46BF0">
        <w:t xml:space="preserve"> had a generally dose-dependent effect upon reducing the dermal vasodilation induced by topical treatment with capsaicin relative to placebo (Stu</w:t>
      </w:r>
      <w:r w:rsidR="00A935A5" w:rsidRPr="00C46BF0">
        <w:t>dy 001). Subjects receiving 100 </w:t>
      </w:r>
      <w:r w:rsidRPr="00C46BF0">
        <w:t xml:space="preserve">mg </w:t>
      </w:r>
      <w:r w:rsidR="00F07D58" w:rsidRPr="00C46BF0">
        <w:t>intravenous</w:t>
      </w:r>
      <w:r w:rsidRPr="00C46BF0">
        <w:t xml:space="preserve"> </w:t>
      </w:r>
      <w:proofErr w:type="spellStart"/>
      <w:r w:rsidRPr="00C46BF0">
        <w:t>eptinezumab</w:t>
      </w:r>
      <w:proofErr w:type="spellEnd"/>
      <w:r w:rsidRPr="00C46BF0">
        <w:t xml:space="preserve"> experienced marked reductions in capsaicin induced vasodilation relative to the pla</w:t>
      </w:r>
      <w:r w:rsidR="00A935A5" w:rsidRPr="00C46BF0">
        <w:t>cebo treated subjects within 24 </w:t>
      </w:r>
      <w:r w:rsidRPr="00C46BF0">
        <w:t>hours following the first treatment. The treatment e</w:t>
      </w:r>
      <w:r w:rsidR="00A935A5" w:rsidRPr="00C46BF0">
        <w:t>ffect persisted for at least 12 weeks following each</w:t>
      </w:r>
      <w:r w:rsidR="007C3DE6">
        <w:t xml:space="preserve"> dose</w:t>
      </w:r>
      <w:r w:rsidR="00E25D04">
        <w:t xml:space="preserve"> </w:t>
      </w:r>
      <w:r w:rsidRPr="00C46BF0">
        <w:t>(Study</w:t>
      </w:r>
      <w:r w:rsidR="0006264E">
        <w:t> </w:t>
      </w:r>
      <w:r w:rsidRPr="00C46BF0">
        <w:t>007).</w:t>
      </w:r>
    </w:p>
    <w:p w14:paraId="7291F7C2" w14:textId="7BB07D39" w:rsidR="00D677A9" w:rsidRPr="00C46BF0" w:rsidRDefault="00D677A9" w:rsidP="00C46BF0">
      <w:r w:rsidRPr="00C46BF0">
        <w:t xml:space="preserve">Study 005 was included in the dossier as a phase II dose finding study. Subjects were randomised in a </w:t>
      </w:r>
      <w:proofErr w:type="gramStart"/>
      <w:r w:rsidRPr="00C46BF0">
        <w:t>1:1:1:1</w:t>
      </w:r>
      <w:r w:rsidR="008B0780">
        <w:t>:1</w:t>
      </w:r>
      <w:proofErr w:type="gramEnd"/>
      <w:r w:rsidRPr="00C46BF0">
        <w:t xml:space="preserve"> ratio to either </w:t>
      </w:r>
      <w:proofErr w:type="spellStart"/>
      <w:r w:rsidR="00A935A5" w:rsidRPr="00C46BF0">
        <w:t>eptinezumab</w:t>
      </w:r>
      <w:proofErr w:type="spellEnd"/>
      <w:r w:rsidR="00A935A5" w:rsidRPr="00C46BF0">
        <w:t xml:space="preserve"> 10, 30, 100, 300 </w:t>
      </w:r>
      <w:r w:rsidRPr="00C46BF0">
        <w:t>mg or placebo. Overall exposure appeared dose proporti</w:t>
      </w:r>
      <w:r w:rsidR="00A935A5" w:rsidRPr="00C46BF0">
        <w:t>onal. Terminal elimination half-</w:t>
      </w:r>
      <w:r w:rsidRPr="00C46BF0">
        <w:t>life was dose independent and consistent between the active treatment groups (10, 30, 100, and 300</w:t>
      </w:r>
      <w:r w:rsidR="00A935A5" w:rsidRPr="00C46BF0">
        <w:t> </w:t>
      </w:r>
      <w:r w:rsidRPr="00C46BF0">
        <w:t>mg), with me</w:t>
      </w:r>
      <w:r w:rsidR="00A935A5" w:rsidRPr="00C46BF0">
        <w:t>an values in the range 27 to 30 </w:t>
      </w:r>
      <w:r w:rsidRPr="00C46BF0">
        <w:t xml:space="preserve">days. Median </w:t>
      </w:r>
      <w:r w:rsidR="00D66708" w:rsidRPr="00C46BF0">
        <w:t>terminal drug half-life (T</w:t>
      </w:r>
      <w:r w:rsidRPr="00C46BF0">
        <w:rPr>
          <w:vertAlign w:val="subscript"/>
        </w:rPr>
        <w:t>½</w:t>
      </w:r>
      <w:r w:rsidR="00D66708" w:rsidRPr="00C46BF0">
        <w:t>)</w:t>
      </w:r>
      <w:r w:rsidRPr="00C46BF0">
        <w:t xml:space="preserve"> values were similar. It was concluded </w:t>
      </w:r>
      <w:r w:rsidR="00D66708" w:rsidRPr="00C46BF0">
        <w:t>that dose had no effect on the T</w:t>
      </w:r>
      <w:r w:rsidRPr="00C46BF0">
        <w:rPr>
          <w:vertAlign w:val="subscript"/>
        </w:rPr>
        <w:t>½</w:t>
      </w:r>
      <w:r w:rsidRPr="00C46BF0">
        <w:t xml:space="preserve"> of </w:t>
      </w:r>
      <w:proofErr w:type="spellStart"/>
      <w:r w:rsidR="00A935A5" w:rsidRPr="00C46BF0">
        <w:t>eptinezumab</w:t>
      </w:r>
      <w:proofErr w:type="spellEnd"/>
      <w:r w:rsidRPr="00C46BF0">
        <w:t>.</w:t>
      </w:r>
    </w:p>
    <w:p w14:paraId="64DAC895" w14:textId="3BAF6E37" w:rsidR="00D677A9" w:rsidRPr="00C46BF0" w:rsidRDefault="00D677A9" w:rsidP="00C46BF0">
      <w:r w:rsidRPr="00C46BF0">
        <w:t xml:space="preserve">Exposure-response analyses were also done in </w:t>
      </w:r>
      <w:r w:rsidR="00A935A5" w:rsidRPr="00C46BF0">
        <w:t>P</w:t>
      </w:r>
      <w:r w:rsidRPr="00C46BF0">
        <w:t>has</w:t>
      </w:r>
      <w:r w:rsidR="00A935A5" w:rsidRPr="00C46BF0">
        <w:t>e III S</w:t>
      </w:r>
      <w:r w:rsidRPr="00C46BF0">
        <w:t>tudies 006 and 011 and a flat exposu</w:t>
      </w:r>
      <w:r w:rsidR="00A935A5" w:rsidRPr="00C46BF0">
        <w:t xml:space="preserve">re response was reported at 100 to </w:t>
      </w:r>
      <w:r w:rsidRPr="00C46BF0">
        <w:t>300</w:t>
      </w:r>
      <w:r w:rsidR="00A935A5" w:rsidRPr="00C46BF0">
        <w:t> </w:t>
      </w:r>
      <w:r w:rsidRPr="00C46BF0">
        <w:t xml:space="preserve">mg of </w:t>
      </w:r>
      <w:proofErr w:type="spellStart"/>
      <w:r w:rsidRPr="00C46BF0">
        <w:t>eptinezumab</w:t>
      </w:r>
      <w:proofErr w:type="spellEnd"/>
      <w:r w:rsidRPr="00C46BF0">
        <w:t>.</w:t>
      </w:r>
    </w:p>
    <w:p w14:paraId="384DE6C1" w14:textId="46B7224A" w:rsidR="00D677A9" w:rsidRPr="00C46BF0" w:rsidRDefault="00D677A9" w:rsidP="00C46BF0">
      <w:pPr>
        <w:pStyle w:val="Heading5"/>
      </w:pPr>
      <w:r w:rsidRPr="00C46BF0">
        <w:t>Clinical studies with efficacy and safety data</w:t>
      </w:r>
    </w:p>
    <w:p w14:paraId="016F6A79" w14:textId="59266CA3" w:rsidR="00F663BB" w:rsidRDefault="000534AA" w:rsidP="00C46BF0">
      <w:pPr>
        <w:pStyle w:val="TableTitle"/>
      </w:pPr>
      <w:r w:rsidRPr="00C46BF0">
        <w:t xml:space="preserve">Table </w:t>
      </w:r>
      <w:r>
        <w:fldChar w:fldCharType="begin"/>
      </w:r>
      <w:r>
        <w:instrText>SEQ Table \* ARABIC</w:instrText>
      </w:r>
      <w:r>
        <w:fldChar w:fldCharType="separate"/>
      </w:r>
      <w:r w:rsidR="00112693">
        <w:rPr>
          <w:noProof/>
        </w:rPr>
        <w:t>4</w:t>
      </w:r>
      <w:r>
        <w:fldChar w:fldCharType="end"/>
      </w:r>
      <w:r w:rsidR="00A935A5" w:rsidRPr="00C46BF0">
        <w:t xml:space="preserve">: </w:t>
      </w:r>
      <w:r w:rsidR="00515480" w:rsidRPr="00C46BF0">
        <w:t>C</w:t>
      </w:r>
      <w:r w:rsidR="00A935A5" w:rsidRPr="00C46BF0">
        <w:t>linical studies with efficacy and safety data</w:t>
      </w:r>
    </w:p>
    <w:tbl>
      <w:tblPr>
        <w:tblStyle w:val="TableTGAblue"/>
        <w:tblW w:w="8900" w:type="dxa"/>
        <w:tblLayout w:type="fixed"/>
        <w:tblLook w:val="04A0" w:firstRow="1" w:lastRow="0" w:firstColumn="1" w:lastColumn="0" w:noHBand="0" w:noVBand="1"/>
      </w:tblPr>
      <w:tblGrid>
        <w:gridCol w:w="890"/>
        <w:gridCol w:w="1080"/>
        <w:gridCol w:w="1530"/>
        <w:gridCol w:w="1080"/>
        <w:gridCol w:w="1800"/>
        <w:gridCol w:w="1440"/>
        <w:gridCol w:w="1080"/>
      </w:tblGrid>
      <w:tr w:rsidR="00D97296" w:rsidRPr="00C46BF0" w14:paraId="64994F25" w14:textId="77777777" w:rsidTr="00507366">
        <w:trPr>
          <w:cnfStyle w:val="100000000000" w:firstRow="1" w:lastRow="0" w:firstColumn="0" w:lastColumn="0" w:oddVBand="0" w:evenVBand="0" w:oddHBand="0" w:evenHBand="0" w:firstRowFirstColumn="0" w:firstRowLastColumn="0" w:lastRowFirstColumn="0" w:lastRowLastColumn="0"/>
          <w:trHeight w:val="925"/>
        </w:trPr>
        <w:tc>
          <w:tcPr>
            <w:tcW w:w="890" w:type="dxa"/>
          </w:tcPr>
          <w:p w14:paraId="02E75B3B"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Study</w:t>
            </w:r>
          </w:p>
        </w:tc>
        <w:tc>
          <w:tcPr>
            <w:tcW w:w="1080" w:type="dxa"/>
          </w:tcPr>
          <w:p w14:paraId="00A39BB6"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Diagnosis</w:t>
            </w:r>
          </w:p>
        </w:tc>
        <w:tc>
          <w:tcPr>
            <w:tcW w:w="1530" w:type="dxa"/>
          </w:tcPr>
          <w:p w14:paraId="1F994E38"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Objectives of study</w:t>
            </w:r>
          </w:p>
        </w:tc>
        <w:tc>
          <w:tcPr>
            <w:tcW w:w="1080" w:type="dxa"/>
          </w:tcPr>
          <w:p w14:paraId="575A6E30"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Study design and type of control</w:t>
            </w:r>
          </w:p>
        </w:tc>
        <w:tc>
          <w:tcPr>
            <w:tcW w:w="1800" w:type="dxa"/>
          </w:tcPr>
          <w:p w14:paraId="434208CF"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Number of subjects treated</w:t>
            </w:r>
          </w:p>
          <w:p w14:paraId="5758B56E"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(full analysis population)</w:t>
            </w:r>
          </w:p>
        </w:tc>
        <w:tc>
          <w:tcPr>
            <w:tcW w:w="1440" w:type="dxa"/>
          </w:tcPr>
          <w:p w14:paraId="01351AB3"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Treatment schedule</w:t>
            </w:r>
          </w:p>
        </w:tc>
        <w:tc>
          <w:tcPr>
            <w:tcW w:w="1080" w:type="dxa"/>
          </w:tcPr>
          <w:p w14:paraId="6D4E016B" w14:textId="77CC9115"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Study </w:t>
            </w:r>
            <w:proofErr w:type="spellStart"/>
            <w:r w:rsidRPr="00C46BF0">
              <w:rPr>
                <w:sz w:val="18"/>
                <w:szCs w:val="18"/>
              </w:rPr>
              <w:t>duration</w:t>
            </w:r>
            <w:r w:rsidRPr="00507366">
              <w:rPr>
                <w:sz w:val="18"/>
                <w:szCs w:val="18"/>
                <w:vertAlign w:val="superscript"/>
              </w:rPr>
              <w:t>a</w:t>
            </w:r>
            <w:proofErr w:type="spellEnd"/>
          </w:p>
        </w:tc>
      </w:tr>
      <w:tr w:rsidR="00BF298F" w:rsidRPr="00C46BF0" w14:paraId="4B61B234" w14:textId="77777777" w:rsidTr="00507366">
        <w:tblPrEx>
          <w:jc w:val="center"/>
          <w:tblLook w:val="01E0" w:firstRow="1" w:lastRow="1" w:firstColumn="1" w:lastColumn="1" w:noHBand="0" w:noVBand="0"/>
        </w:tblPrEx>
        <w:trPr>
          <w:trHeight w:val="307"/>
          <w:jc w:val="center"/>
        </w:trPr>
        <w:tc>
          <w:tcPr>
            <w:tcW w:w="8900" w:type="dxa"/>
            <w:gridSpan w:val="7"/>
          </w:tcPr>
          <w:p w14:paraId="687E2BC2" w14:textId="77777777" w:rsidR="00BF298F" w:rsidRPr="00C46BF0" w:rsidRDefault="00BF298F" w:rsidP="00507366">
            <w:pPr>
              <w:spacing w:before="100" w:beforeAutospacing="1" w:after="100" w:afterAutospacing="1" w:line="240" w:lineRule="auto"/>
              <w:ind w:left="0" w:right="0"/>
              <w:contextualSpacing/>
              <w:rPr>
                <w:sz w:val="18"/>
                <w:szCs w:val="18"/>
              </w:rPr>
            </w:pPr>
            <w:r w:rsidRPr="007702EC">
              <w:rPr>
                <w:color w:val="auto"/>
                <w:sz w:val="18"/>
                <w:szCs w:val="18"/>
              </w:rPr>
              <w:t>Pivotal Studies</w:t>
            </w:r>
          </w:p>
        </w:tc>
      </w:tr>
      <w:tr w:rsidR="00BF298F" w:rsidRPr="00C46BF0" w14:paraId="6547F8EE" w14:textId="77777777" w:rsidTr="00507366">
        <w:tblPrEx>
          <w:jc w:val="center"/>
          <w:tblLook w:val="01E0" w:firstRow="1" w:lastRow="1" w:firstColumn="1" w:lastColumn="1" w:noHBand="0" w:noVBand="0"/>
        </w:tblPrEx>
        <w:trPr>
          <w:trHeight w:val="1386"/>
          <w:jc w:val="center"/>
        </w:trPr>
        <w:tc>
          <w:tcPr>
            <w:tcW w:w="890" w:type="dxa"/>
          </w:tcPr>
          <w:p w14:paraId="7DFE50F9"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006</w:t>
            </w:r>
          </w:p>
        </w:tc>
        <w:tc>
          <w:tcPr>
            <w:tcW w:w="1080" w:type="dxa"/>
          </w:tcPr>
          <w:p w14:paraId="207569BA"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Episodic migraine</w:t>
            </w:r>
          </w:p>
        </w:tc>
        <w:tc>
          <w:tcPr>
            <w:tcW w:w="1530" w:type="dxa"/>
          </w:tcPr>
          <w:p w14:paraId="5365D56B"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Efficacy; safety; </w:t>
            </w:r>
            <w:proofErr w:type="gramStart"/>
            <w:r w:rsidRPr="00C46BF0">
              <w:rPr>
                <w:sz w:val="18"/>
                <w:szCs w:val="18"/>
              </w:rPr>
              <w:t>PK;</w:t>
            </w:r>
            <w:proofErr w:type="gramEnd"/>
          </w:p>
          <w:p w14:paraId="04B94357"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immunogenicity</w:t>
            </w:r>
          </w:p>
        </w:tc>
        <w:tc>
          <w:tcPr>
            <w:tcW w:w="1080" w:type="dxa"/>
          </w:tcPr>
          <w:p w14:paraId="52590F6F"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Parallel group; double blind; placebo controlled</w:t>
            </w:r>
          </w:p>
        </w:tc>
        <w:tc>
          <w:tcPr>
            <w:tcW w:w="1800" w:type="dxa"/>
          </w:tcPr>
          <w:p w14:paraId="3DB20352"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4 treatment groups:</w:t>
            </w:r>
          </w:p>
          <w:p w14:paraId="549BFF62" w14:textId="77777777" w:rsidR="0006264E" w:rsidRPr="0006264E" w:rsidRDefault="0006264E" w:rsidP="00507366">
            <w:pPr>
              <w:spacing w:before="100" w:beforeAutospacing="1" w:after="100" w:afterAutospacing="1" w:line="240" w:lineRule="auto"/>
              <w:ind w:left="0" w:right="0"/>
              <w:contextualSpacing/>
              <w:rPr>
                <w:sz w:val="18"/>
                <w:szCs w:val="18"/>
              </w:rPr>
            </w:pPr>
            <w:r w:rsidRPr="0006264E">
              <w:rPr>
                <w:sz w:val="18"/>
                <w:szCs w:val="18"/>
              </w:rPr>
              <w:t xml:space="preserve">222 </w:t>
            </w:r>
            <w:proofErr w:type="gramStart"/>
            <w:r w:rsidRPr="0006264E">
              <w:rPr>
                <w:sz w:val="18"/>
                <w:szCs w:val="18"/>
              </w:rPr>
              <w:t>placebo</w:t>
            </w:r>
            <w:proofErr w:type="gramEnd"/>
          </w:p>
          <w:p w14:paraId="7FA1441D" w14:textId="77777777" w:rsidR="0006264E" w:rsidRPr="0006264E" w:rsidRDefault="0006264E" w:rsidP="00507366">
            <w:pPr>
              <w:spacing w:before="100" w:beforeAutospacing="1" w:after="100" w:afterAutospacing="1" w:line="240" w:lineRule="auto"/>
              <w:ind w:left="0" w:right="0"/>
              <w:contextualSpacing/>
              <w:rPr>
                <w:sz w:val="18"/>
                <w:szCs w:val="18"/>
              </w:rPr>
            </w:pPr>
            <w:r w:rsidRPr="0006264E">
              <w:rPr>
                <w:sz w:val="18"/>
                <w:szCs w:val="18"/>
              </w:rPr>
              <w:t xml:space="preserve">223 </w:t>
            </w:r>
            <w:proofErr w:type="gramStart"/>
            <w:r w:rsidRPr="0006264E">
              <w:rPr>
                <w:sz w:val="18"/>
                <w:szCs w:val="18"/>
              </w:rPr>
              <w:t>active</w:t>
            </w:r>
            <w:proofErr w:type="gramEnd"/>
            <w:r w:rsidRPr="0006264E">
              <w:rPr>
                <w:sz w:val="18"/>
                <w:szCs w:val="18"/>
              </w:rPr>
              <w:t xml:space="preserve"> (30 mg)</w:t>
            </w:r>
          </w:p>
          <w:p w14:paraId="68BF13DA" w14:textId="77777777" w:rsidR="0006264E" w:rsidRPr="0006264E" w:rsidRDefault="0006264E" w:rsidP="00507366">
            <w:pPr>
              <w:spacing w:before="100" w:beforeAutospacing="1" w:after="100" w:afterAutospacing="1" w:line="240" w:lineRule="auto"/>
              <w:ind w:left="0" w:right="0"/>
              <w:contextualSpacing/>
              <w:rPr>
                <w:sz w:val="18"/>
                <w:szCs w:val="18"/>
              </w:rPr>
            </w:pPr>
            <w:r w:rsidRPr="0006264E">
              <w:rPr>
                <w:sz w:val="18"/>
                <w:szCs w:val="18"/>
              </w:rPr>
              <w:t xml:space="preserve">221 </w:t>
            </w:r>
            <w:proofErr w:type="gramStart"/>
            <w:r w:rsidRPr="0006264E">
              <w:rPr>
                <w:sz w:val="18"/>
                <w:szCs w:val="18"/>
              </w:rPr>
              <w:t>active</w:t>
            </w:r>
            <w:proofErr w:type="gramEnd"/>
            <w:r w:rsidRPr="0006264E">
              <w:rPr>
                <w:sz w:val="18"/>
                <w:szCs w:val="18"/>
              </w:rPr>
              <w:t xml:space="preserve"> (100 mg)</w:t>
            </w:r>
          </w:p>
          <w:p w14:paraId="771A83FC" w14:textId="73DF5682" w:rsidR="00BF298F" w:rsidRPr="00C46BF0" w:rsidRDefault="0006264E" w:rsidP="00507366">
            <w:pPr>
              <w:spacing w:before="100" w:beforeAutospacing="1" w:after="100" w:afterAutospacing="1" w:line="240" w:lineRule="auto"/>
              <w:ind w:left="0" w:right="0"/>
              <w:contextualSpacing/>
              <w:rPr>
                <w:sz w:val="18"/>
                <w:szCs w:val="18"/>
              </w:rPr>
            </w:pPr>
            <w:r w:rsidRPr="0006264E">
              <w:rPr>
                <w:sz w:val="18"/>
                <w:szCs w:val="18"/>
              </w:rPr>
              <w:t xml:space="preserve">222 </w:t>
            </w:r>
            <w:proofErr w:type="gramStart"/>
            <w:r w:rsidRPr="0006264E">
              <w:rPr>
                <w:sz w:val="18"/>
                <w:szCs w:val="18"/>
              </w:rPr>
              <w:t>active</w:t>
            </w:r>
            <w:proofErr w:type="gramEnd"/>
            <w:r w:rsidRPr="0006264E">
              <w:rPr>
                <w:sz w:val="18"/>
                <w:szCs w:val="18"/>
              </w:rPr>
              <w:t xml:space="preserve"> (300 mg)</w:t>
            </w:r>
          </w:p>
        </w:tc>
        <w:tc>
          <w:tcPr>
            <w:tcW w:w="1440" w:type="dxa"/>
          </w:tcPr>
          <w:p w14:paraId="4F465880"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4 total infusions: day 0</w:t>
            </w:r>
          </w:p>
          <w:p w14:paraId="58BE0D60"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week 12</w:t>
            </w:r>
          </w:p>
          <w:p w14:paraId="0E1404C7"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week 24</w:t>
            </w:r>
          </w:p>
          <w:p w14:paraId="31080529"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week 36</w:t>
            </w:r>
          </w:p>
        </w:tc>
        <w:tc>
          <w:tcPr>
            <w:tcW w:w="1080" w:type="dxa"/>
          </w:tcPr>
          <w:p w14:paraId="1BBAB895"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56 weeks</w:t>
            </w:r>
          </w:p>
        </w:tc>
      </w:tr>
      <w:tr w:rsidR="00BF298F" w:rsidRPr="00C46BF0" w14:paraId="5DD2C19C" w14:textId="77777777" w:rsidTr="00507366">
        <w:tblPrEx>
          <w:jc w:val="center"/>
          <w:tblLook w:val="01E0" w:firstRow="1" w:lastRow="1" w:firstColumn="1" w:lastColumn="1" w:noHBand="0" w:noVBand="0"/>
        </w:tblPrEx>
        <w:trPr>
          <w:trHeight w:val="925"/>
          <w:jc w:val="center"/>
        </w:trPr>
        <w:tc>
          <w:tcPr>
            <w:tcW w:w="890" w:type="dxa"/>
          </w:tcPr>
          <w:p w14:paraId="1525A345"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011</w:t>
            </w:r>
          </w:p>
        </w:tc>
        <w:tc>
          <w:tcPr>
            <w:tcW w:w="1080" w:type="dxa"/>
          </w:tcPr>
          <w:p w14:paraId="5FF55B9E"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Chronic migraine</w:t>
            </w:r>
          </w:p>
        </w:tc>
        <w:tc>
          <w:tcPr>
            <w:tcW w:w="1530" w:type="dxa"/>
          </w:tcPr>
          <w:p w14:paraId="62C89629"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Efficacy; safety; </w:t>
            </w:r>
            <w:proofErr w:type="gramStart"/>
            <w:r w:rsidRPr="00C46BF0">
              <w:rPr>
                <w:sz w:val="18"/>
                <w:szCs w:val="18"/>
              </w:rPr>
              <w:t>PK;</w:t>
            </w:r>
            <w:proofErr w:type="gramEnd"/>
          </w:p>
          <w:p w14:paraId="443593F6"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immunogenicity</w:t>
            </w:r>
          </w:p>
        </w:tc>
        <w:tc>
          <w:tcPr>
            <w:tcW w:w="1080" w:type="dxa"/>
          </w:tcPr>
          <w:p w14:paraId="567A21E0"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Parallel group; double blind; placebo controlled</w:t>
            </w:r>
          </w:p>
        </w:tc>
        <w:tc>
          <w:tcPr>
            <w:tcW w:w="1800" w:type="dxa"/>
          </w:tcPr>
          <w:p w14:paraId="26728297"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3 treatment groups:</w:t>
            </w:r>
          </w:p>
          <w:p w14:paraId="1208AA22"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366 </w:t>
            </w:r>
            <w:proofErr w:type="gramStart"/>
            <w:r w:rsidRPr="00C46BF0">
              <w:rPr>
                <w:sz w:val="18"/>
                <w:szCs w:val="18"/>
              </w:rPr>
              <w:t>placebo</w:t>
            </w:r>
            <w:proofErr w:type="gramEnd"/>
          </w:p>
          <w:p w14:paraId="71739491"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356 </w:t>
            </w:r>
            <w:proofErr w:type="gramStart"/>
            <w:r w:rsidRPr="00C46BF0">
              <w:rPr>
                <w:sz w:val="18"/>
                <w:szCs w:val="18"/>
              </w:rPr>
              <w:t>active</w:t>
            </w:r>
            <w:proofErr w:type="gramEnd"/>
            <w:r w:rsidRPr="00C46BF0">
              <w:rPr>
                <w:sz w:val="18"/>
                <w:szCs w:val="18"/>
              </w:rPr>
              <w:t xml:space="preserve"> (100 mg)</w:t>
            </w:r>
          </w:p>
          <w:p w14:paraId="7A17840B"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350 </w:t>
            </w:r>
            <w:proofErr w:type="gramStart"/>
            <w:r w:rsidRPr="00C46BF0">
              <w:rPr>
                <w:sz w:val="18"/>
                <w:szCs w:val="18"/>
              </w:rPr>
              <w:t>active</w:t>
            </w:r>
            <w:proofErr w:type="gramEnd"/>
            <w:r w:rsidRPr="00C46BF0">
              <w:rPr>
                <w:sz w:val="18"/>
                <w:szCs w:val="18"/>
              </w:rPr>
              <w:t xml:space="preserve"> (300 mg)</w:t>
            </w:r>
          </w:p>
        </w:tc>
        <w:tc>
          <w:tcPr>
            <w:tcW w:w="1440" w:type="dxa"/>
          </w:tcPr>
          <w:p w14:paraId="7331A67C"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2 total infusions: day 0</w:t>
            </w:r>
          </w:p>
          <w:p w14:paraId="52CCD310"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week 12</w:t>
            </w:r>
          </w:p>
        </w:tc>
        <w:tc>
          <w:tcPr>
            <w:tcW w:w="1080" w:type="dxa"/>
          </w:tcPr>
          <w:p w14:paraId="16C9FBEF"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32 weeks</w:t>
            </w:r>
          </w:p>
        </w:tc>
      </w:tr>
      <w:tr w:rsidR="00BF298F" w:rsidRPr="00C46BF0" w14:paraId="1C9F2E73" w14:textId="77777777" w:rsidTr="00507366">
        <w:tblPrEx>
          <w:jc w:val="center"/>
          <w:tblLook w:val="01E0" w:firstRow="1" w:lastRow="1" w:firstColumn="1" w:lastColumn="1" w:noHBand="0" w:noVBand="0"/>
        </w:tblPrEx>
        <w:trPr>
          <w:trHeight w:val="311"/>
          <w:jc w:val="center"/>
        </w:trPr>
        <w:tc>
          <w:tcPr>
            <w:tcW w:w="8900" w:type="dxa"/>
            <w:gridSpan w:val="7"/>
          </w:tcPr>
          <w:p w14:paraId="795A69F1"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Supportive Studies</w:t>
            </w:r>
          </w:p>
        </w:tc>
      </w:tr>
      <w:tr w:rsidR="00BF298F" w:rsidRPr="00C46BF0" w14:paraId="01ECE745" w14:textId="77777777" w:rsidTr="00507366">
        <w:tblPrEx>
          <w:jc w:val="center"/>
          <w:tblLook w:val="01E0" w:firstRow="1" w:lastRow="1" w:firstColumn="1" w:lastColumn="1" w:noHBand="0" w:noVBand="0"/>
        </w:tblPrEx>
        <w:trPr>
          <w:trHeight w:val="934"/>
          <w:jc w:val="center"/>
        </w:trPr>
        <w:tc>
          <w:tcPr>
            <w:tcW w:w="890" w:type="dxa"/>
          </w:tcPr>
          <w:p w14:paraId="21C5BAD6"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lastRenderedPageBreak/>
              <w:t>002</w:t>
            </w:r>
          </w:p>
        </w:tc>
        <w:tc>
          <w:tcPr>
            <w:tcW w:w="1080" w:type="dxa"/>
          </w:tcPr>
          <w:p w14:paraId="399D5B0A"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Episodic migraine</w:t>
            </w:r>
          </w:p>
        </w:tc>
        <w:tc>
          <w:tcPr>
            <w:tcW w:w="1530" w:type="dxa"/>
          </w:tcPr>
          <w:p w14:paraId="64BA6A6B"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Safety; efficacy; </w:t>
            </w:r>
            <w:proofErr w:type="gramStart"/>
            <w:r w:rsidRPr="00C46BF0">
              <w:rPr>
                <w:sz w:val="18"/>
                <w:szCs w:val="18"/>
              </w:rPr>
              <w:t>PK;</w:t>
            </w:r>
            <w:proofErr w:type="gramEnd"/>
          </w:p>
          <w:p w14:paraId="5E917844"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immunogenicity</w:t>
            </w:r>
          </w:p>
        </w:tc>
        <w:tc>
          <w:tcPr>
            <w:tcW w:w="1080" w:type="dxa"/>
          </w:tcPr>
          <w:p w14:paraId="0DBFAA0A"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Parallel group; double blind; placebo controlled</w:t>
            </w:r>
          </w:p>
        </w:tc>
        <w:tc>
          <w:tcPr>
            <w:tcW w:w="1800" w:type="dxa"/>
          </w:tcPr>
          <w:p w14:paraId="0CEAF33D"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2 treatment groups:</w:t>
            </w:r>
          </w:p>
          <w:p w14:paraId="2C822814"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82 </w:t>
            </w:r>
            <w:proofErr w:type="gramStart"/>
            <w:r w:rsidRPr="00C46BF0">
              <w:rPr>
                <w:sz w:val="18"/>
                <w:szCs w:val="18"/>
              </w:rPr>
              <w:t>placebo</w:t>
            </w:r>
            <w:proofErr w:type="gramEnd"/>
          </w:p>
          <w:p w14:paraId="18485498"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81 </w:t>
            </w:r>
            <w:proofErr w:type="gramStart"/>
            <w:r w:rsidRPr="00C46BF0">
              <w:rPr>
                <w:sz w:val="18"/>
                <w:szCs w:val="18"/>
              </w:rPr>
              <w:t>active</w:t>
            </w:r>
            <w:proofErr w:type="gramEnd"/>
            <w:r w:rsidRPr="00C46BF0">
              <w:rPr>
                <w:sz w:val="18"/>
                <w:szCs w:val="18"/>
              </w:rPr>
              <w:t xml:space="preserve"> (1000 mg)</w:t>
            </w:r>
          </w:p>
        </w:tc>
        <w:tc>
          <w:tcPr>
            <w:tcW w:w="1440" w:type="dxa"/>
          </w:tcPr>
          <w:p w14:paraId="29E21014"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Single infusion</w:t>
            </w:r>
          </w:p>
        </w:tc>
        <w:tc>
          <w:tcPr>
            <w:tcW w:w="1080" w:type="dxa"/>
          </w:tcPr>
          <w:p w14:paraId="608FA655"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24 weeks</w:t>
            </w:r>
          </w:p>
        </w:tc>
      </w:tr>
      <w:tr w:rsidR="00BF298F" w:rsidRPr="00C46BF0" w14:paraId="073879C8" w14:textId="77777777" w:rsidTr="00507366">
        <w:tblPrEx>
          <w:jc w:val="center"/>
          <w:tblLook w:val="01E0" w:firstRow="1" w:lastRow="1" w:firstColumn="1" w:lastColumn="1" w:noHBand="0" w:noVBand="0"/>
        </w:tblPrEx>
        <w:trPr>
          <w:trHeight w:val="1387"/>
          <w:jc w:val="center"/>
        </w:trPr>
        <w:tc>
          <w:tcPr>
            <w:tcW w:w="890" w:type="dxa"/>
          </w:tcPr>
          <w:p w14:paraId="7870F41E"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005</w:t>
            </w:r>
          </w:p>
        </w:tc>
        <w:tc>
          <w:tcPr>
            <w:tcW w:w="1080" w:type="dxa"/>
          </w:tcPr>
          <w:p w14:paraId="205209A1"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Chronic migraine</w:t>
            </w:r>
          </w:p>
        </w:tc>
        <w:tc>
          <w:tcPr>
            <w:tcW w:w="1530" w:type="dxa"/>
          </w:tcPr>
          <w:p w14:paraId="06483118"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Dose response; safety; duration of </w:t>
            </w:r>
            <w:proofErr w:type="gramStart"/>
            <w:r w:rsidRPr="00C46BF0">
              <w:rPr>
                <w:sz w:val="18"/>
                <w:szCs w:val="18"/>
              </w:rPr>
              <w:t>effect;</w:t>
            </w:r>
            <w:proofErr w:type="gramEnd"/>
          </w:p>
          <w:p w14:paraId="1A9023C3" w14:textId="77777777" w:rsidR="00BF298F" w:rsidRPr="00C46BF0" w:rsidRDefault="00BF298F" w:rsidP="00507366">
            <w:pPr>
              <w:spacing w:before="100" w:beforeAutospacing="1" w:after="100" w:afterAutospacing="1" w:line="240" w:lineRule="auto"/>
              <w:ind w:left="0" w:right="0"/>
              <w:contextualSpacing/>
              <w:rPr>
                <w:sz w:val="18"/>
                <w:szCs w:val="18"/>
              </w:rPr>
            </w:pPr>
            <w:proofErr w:type="gramStart"/>
            <w:r w:rsidRPr="00C46BF0">
              <w:rPr>
                <w:sz w:val="18"/>
                <w:szCs w:val="18"/>
              </w:rPr>
              <w:t>PK;</w:t>
            </w:r>
            <w:proofErr w:type="gramEnd"/>
          </w:p>
          <w:p w14:paraId="26B8B29A"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immunogenicity</w:t>
            </w:r>
          </w:p>
        </w:tc>
        <w:tc>
          <w:tcPr>
            <w:tcW w:w="1080" w:type="dxa"/>
          </w:tcPr>
          <w:p w14:paraId="16A891B8"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Parallel group; double blind; placebo controlled; dose ranging</w:t>
            </w:r>
          </w:p>
        </w:tc>
        <w:tc>
          <w:tcPr>
            <w:tcW w:w="1800" w:type="dxa"/>
          </w:tcPr>
          <w:p w14:paraId="5BEAF62A"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5 treatment groups:</w:t>
            </w:r>
          </w:p>
          <w:p w14:paraId="5FF29D8B"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116 </w:t>
            </w:r>
            <w:proofErr w:type="gramStart"/>
            <w:r w:rsidRPr="00C46BF0">
              <w:rPr>
                <w:sz w:val="18"/>
                <w:szCs w:val="18"/>
              </w:rPr>
              <w:t>placebo</w:t>
            </w:r>
            <w:proofErr w:type="gramEnd"/>
          </w:p>
          <w:p w14:paraId="7992DA19"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123 </w:t>
            </w:r>
            <w:proofErr w:type="gramStart"/>
            <w:r w:rsidRPr="00C46BF0">
              <w:rPr>
                <w:sz w:val="18"/>
                <w:szCs w:val="18"/>
              </w:rPr>
              <w:t>active</w:t>
            </w:r>
            <w:proofErr w:type="gramEnd"/>
            <w:r w:rsidRPr="00C46BF0">
              <w:rPr>
                <w:sz w:val="18"/>
                <w:szCs w:val="18"/>
              </w:rPr>
              <w:t xml:space="preserve"> (10 mg)</w:t>
            </w:r>
          </w:p>
          <w:p w14:paraId="11C5F3E9"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active (30 mg)</w:t>
            </w:r>
          </w:p>
          <w:p w14:paraId="722AEAD0"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active (100 mg)</w:t>
            </w:r>
          </w:p>
          <w:p w14:paraId="737F1E1A"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 xml:space="preserve">114 </w:t>
            </w:r>
            <w:proofErr w:type="gramStart"/>
            <w:r w:rsidRPr="00C46BF0">
              <w:rPr>
                <w:sz w:val="18"/>
                <w:szCs w:val="18"/>
              </w:rPr>
              <w:t>active</w:t>
            </w:r>
            <w:proofErr w:type="gramEnd"/>
            <w:r w:rsidRPr="00C46BF0">
              <w:rPr>
                <w:sz w:val="18"/>
                <w:szCs w:val="18"/>
              </w:rPr>
              <w:t xml:space="preserve"> (300 mg)</w:t>
            </w:r>
          </w:p>
        </w:tc>
        <w:tc>
          <w:tcPr>
            <w:tcW w:w="1440" w:type="dxa"/>
          </w:tcPr>
          <w:p w14:paraId="6EB2C50D"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Single infusion</w:t>
            </w:r>
          </w:p>
        </w:tc>
        <w:tc>
          <w:tcPr>
            <w:tcW w:w="1080" w:type="dxa"/>
          </w:tcPr>
          <w:p w14:paraId="5B3E7C6E" w14:textId="77777777" w:rsidR="00BF298F" w:rsidRPr="00C46BF0" w:rsidRDefault="00BF298F" w:rsidP="00507366">
            <w:pPr>
              <w:spacing w:before="100" w:beforeAutospacing="1" w:after="100" w:afterAutospacing="1" w:line="240" w:lineRule="auto"/>
              <w:ind w:left="0" w:right="0"/>
              <w:contextualSpacing/>
              <w:rPr>
                <w:sz w:val="18"/>
                <w:szCs w:val="18"/>
              </w:rPr>
            </w:pPr>
            <w:r w:rsidRPr="00C46BF0">
              <w:rPr>
                <w:sz w:val="18"/>
                <w:szCs w:val="18"/>
              </w:rPr>
              <w:t>49 weeks</w:t>
            </w:r>
          </w:p>
        </w:tc>
      </w:tr>
    </w:tbl>
    <w:p w14:paraId="6CC54ECE" w14:textId="2E51D5D4" w:rsidR="00515480" w:rsidRPr="00C46BF0" w:rsidRDefault="00515480" w:rsidP="00C46BF0">
      <w:pPr>
        <w:pStyle w:val="TableDescription"/>
      </w:pPr>
      <w:r w:rsidRPr="00C46BF0">
        <w:t>PK = pharmacokinetic</w:t>
      </w:r>
      <w:r w:rsidR="00543BDC">
        <w:t>(s)</w:t>
      </w:r>
      <w:r w:rsidR="00A956BA" w:rsidRPr="00C46BF0">
        <w:t>.</w:t>
      </w:r>
    </w:p>
    <w:p w14:paraId="7BB00414" w14:textId="3D349E88" w:rsidR="005D5533" w:rsidRPr="00C46BF0" w:rsidRDefault="005D5533" w:rsidP="00C46BF0">
      <w:pPr>
        <w:pStyle w:val="TableDescription"/>
      </w:pPr>
      <w:r w:rsidRPr="00C46BF0">
        <w:t>a Duration of the study following the first treatment.</w:t>
      </w:r>
    </w:p>
    <w:p w14:paraId="1D0A56DE" w14:textId="77777777" w:rsidR="00D677A9" w:rsidRPr="00C46BF0" w:rsidRDefault="00547EF6" w:rsidP="00C46BF0">
      <w:pPr>
        <w:pStyle w:val="Heading5"/>
      </w:pPr>
      <w:r w:rsidRPr="00C46BF0">
        <w:t>Study 006</w:t>
      </w:r>
    </w:p>
    <w:p w14:paraId="30B338D3" w14:textId="77777777" w:rsidR="00547EF6" w:rsidRPr="00C46BF0" w:rsidRDefault="00D677A9" w:rsidP="00C46BF0">
      <w:pPr>
        <w:pStyle w:val="Heading6"/>
      </w:pPr>
      <w:r w:rsidRPr="00C46BF0">
        <w:rPr>
          <w:rFonts w:eastAsia="Cambria"/>
        </w:rPr>
        <w:t>Study design</w:t>
      </w:r>
    </w:p>
    <w:p w14:paraId="6697B6A4" w14:textId="77B459C0" w:rsidR="00D677A9" w:rsidRPr="00C46BF0" w:rsidRDefault="00515480" w:rsidP="00C46BF0">
      <w:r w:rsidRPr="00C46BF0">
        <w:t xml:space="preserve">Study 006 is a </w:t>
      </w:r>
      <w:r w:rsidR="00D677A9" w:rsidRPr="00C46BF0">
        <w:t>Phase III do</w:t>
      </w:r>
      <w:r w:rsidRPr="00C46BF0">
        <w:t xml:space="preserve">uble blind, parallel group </w:t>
      </w:r>
      <w:r w:rsidR="00082B69" w:rsidRPr="00C46BF0">
        <w:t>randomised controlled trial.</w:t>
      </w:r>
    </w:p>
    <w:p w14:paraId="65469010" w14:textId="6BAFFF75" w:rsidR="00D677A9" w:rsidRPr="00C46BF0" w:rsidRDefault="00D677A9" w:rsidP="00C46BF0">
      <w:r w:rsidRPr="00C46BF0">
        <w:t xml:space="preserve">Efficacy of </w:t>
      </w:r>
      <w:proofErr w:type="spellStart"/>
      <w:r w:rsidRPr="00C46BF0">
        <w:t>eptinezumab</w:t>
      </w:r>
      <w:proofErr w:type="spellEnd"/>
      <w:r w:rsidRPr="00C46BF0">
        <w:t xml:space="preserve"> was assessed as the primary objective. Safety, </w:t>
      </w:r>
      <w:proofErr w:type="gramStart"/>
      <w:r w:rsidRPr="00C46BF0">
        <w:t>PK</w:t>
      </w:r>
      <w:proofErr w:type="gramEnd"/>
      <w:r w:rsidRPr="00C46BF0">
        <w:t xml:space="preserve"> and immunogenicity of </w:t>
      </w:r>
      <w:proofErr w:type="spellStart"/>
      <w:r w:rsidRPr="00C46BF0">
        <w:t>eptinezumab</w:t>
      </w:r>
      <w:proofErr w:type="spellEnd"/>
      <w:r w:rsidRPr="00C46BF0">
        <w:t xml:space="preserve"> were as</w:t>
      </w:r>
      <w:r w:rsidR="00515480" w:rsidRPr="00C46BF0">
        <w:t>sessed as secondary objectives.</w:t>
      </w:r>
    </w:p>
    <w:p w14:paraId="5F119186" w14:textId="06EFFC5C" w:rsidR="00D677A9" w:rsidRPr="00C46BF0" w:rsidRDefault="00D677A9" w:rsidP="00C46BF0">
      <w:r w:rsidRPr="00C46BF0">
        <w:t>Eligible subjects were randomly assigned into one</w:t>
      </w:r>
      <w:r w:rsidR="00CD6681" w:rsidRPr="00C46BF0">
        <w:t xml:space="preserve"> of three </w:t>
      </w:r>
      <w:proofErr w:type="spellStart"/>
      <w:r w:rsidR="00CD6681" w:rsidRPr="00C46BF0">
        <w:t>ep</w:t>
      </w:r>
      <w:r w:rsidR="00144ACF">
        <w:t>t</w:t>
      </w:r>
      <w:r w:rsidR="00CD6681" w:rsidRPr="00C46BF0">
        <w:t>inezumab</w:t>
      </w:r>
      <w:proofErr w:type="spellEnd"/>
      <w:r w:rsidR="00CD6681" w:rsidRPr="00C46BF0">
        <w:t xml:space="preserve"> doses (30 mg, 100 mg, and 300 </w:t>
      </w:r>
      <w:r w:rsidRPr="00C46BF0">
        <w:t>mg) or placebo in a 1:1:1:1 ratio. Randomisation was stratified by migraine days during screening (≤</w:t>
      </w:r>
      <w:r w:rsidR="00CD6681" w:rsidRPr="00C46BF0">
        <w:t> 9 days versus &gt;9 </w:t>
      </w:r>
      <w:r w:rsidRPr="00C46BF0">
        <w:t xml:space="preserve">days). The total duration of the study was 60 weeks, with 12 scheduled visits. There was a screening period of 4 weeks to determine eligibility, followed by treatment on </w:t>
      </w:r>
      <w:r w:rsidR="00665E49" w:rsidRPr="00C46BF0">
        <w:t xml:space="preserve">Day </w:t>
      </w:r>
      <w:r w:rsidRPr="00C46BF0">
        <w:t xml:space="preserve">0, </w:t>
      </w:r>
      <w:r w:rsidR="00665E49" w:rsidRPr="00C46BF0">
        <w:t xml:space="preserve">Week </w:t>
      </w:r>
      <w:r w:rsidRPr="00C46BF0">
        <w:t xml:space="preserve">12, </w:t>
      </w:r>
      <w:r w:rsidR="00665E49" w:rsidRPr="00C46BF0">
        <w:t xml:space="preserve">Week </w:t>
      </w:r>
      <w:r w:rsidRPr="00C46BF0">
        <w:t xml:space="preserve">24, and </w:t>
      </w:r>
      <w:r w:rsidR="00665E49" w:rsidRPr="00C46BF0">
        <w:t xml:space="preserve">Week </w:t>
      </w:r>
      <w:r w:rsidRPr="00C46BF0">
        <w:t xml:space="preserve">36, and a follow-up period of 20 </w:t>
      </w:r>
      <w:r w:rsidR="00CD6681" w:rsidRPr="00C46BF0">
        <w:t>weeks following the final dose.</w:t>
      </w:r>
    </w:p>
    <w:p w14:paraId="4008A81B" w14:textId="0847335B" w:rsidR="00D677A9" w:rsidRPr="00C46BF0" w:rsidRDefault="00D677A9" w:rsidP="00C46BF0">
      <w:r w:rsidRPr="00C46BF0">
        <w:t xml:space="preserve">Four infusions of either </w:t>
      </w:r>
      <w:proofErr w:type="spellStart"/>
      <w:r w:rsidRPr="00C46BF0">
        <w:t>eptinezumab</w:t>
      </w:r>
      <w:proofErr w:type="spellEnd"/>
      <w:r w:rsidRPr="00C46BF0">
        <w:t xml:space="preserve"> or placebo were given 12 weeks apart. The study period consisted of a blinded analyses period of 24</w:t>
      </w:r>
      <w:r w:rsidR="00F2690E">
        <w:t>-</w:t>
      </w:r>
      <w:r w:rsidRPr="00C46BF0">
        <w:t>week safety and efficacy period (Weeks 1</w:t>
      </w:r>
      <w:r w:rsidR="00CD6681" w:rsidRPr="00C46BF0">
        <w:t xml:space="preserve"> to </w:t>
      </w:r>
      <w:r w:rsidRPr="00C46BF0">
        <w:t>24) and a long</w:t>
      </w:r>
      <w:r w:rsidR="00F2690E">
        <w:t>-</w:t>
      </w:r>
      <w:r w:rsidRPr="00C46BF0">
        <w:t>term safety period (Weeks 25</w:t>
      </w:r>
      <w:r w:rsidR="00CD6681" w:rsidRPr="00C46BF0">
        <w:t xml:space="preserve"> to </w:t>
      </w:r>
      <w:r w:rsidRPr="00C46BF0">
        <w:t>56).</w:t>
      </w:r>
    </w:p>
    <w:p w14:paraId="2725F943" w14:textId="77777777" w:rsidR="00D677A9" w:rsidRPr="00C46BF0" w:rsidRDefault="00D677A9" w:rsidP="00C46BF0">
      <w:pPr>
        <w:pStyle w:val="Heading6"/>
      </w:pPr>
      <w:r w:rsidRPr="00C46BF0">
        <w:t>Key inclusion criteria</w:t>
      </w:r>
    </w:p>
    <w:p w14:paraId="76D856EE" w14:textId="7523B28D" w:rsidR="00D677A9" w:rsidRPr="00C46BF0" w:rsidRDefault="00A901E5" w:rsidP="00C46BF0">
      <w:pPr>
        <w:pStyle w:val="ListBullet"/>
      </w:pPr>
      <w:r w:rsidRPr="00C46BF0">
        <w:t>Episodic migraine: d</w:t>
      </w:r>
      <w:r w:rsidR="00D677A9" w:rsidRPr="00C46BF0">
        <w:t>uring the 28</w:t>
      </w:r>
      <w:r w:rsidR="00F2690E">
        <w:t>-</w:t>
      </w:r>
      <w:r w:rsidR="00D677A9" w:rsidRPr="00C46BF0">
        <w:t xml:space="preserve">day screening period, eligible subjects had to have a minimum of 4 and a maximum of 14 headache days (of which at least 4 had to be migraine days). A migraine day was defined as any day with a migraine or probable migraine as outlined in the </w:t>
      </w:r>
      <w:r w:rsidR="0022249B" w:rsidRPr="00C46BF0">
        <w:t>International Headache Society (</w:t>
      </w:r>
      <w:r w:rsidR="00D677A9" w:rsidRPr="00C46BF0">
        <w:t>I</w:t>
      </w:r>
      <w:r w:rsidR="0022249B" w:rsidRPr="00C46BF0">
        <w:t>HS)</w:t>
      </w:r>
      <w:r w:rsidRPr="00C46BF0">
        <w:t xml:space="preserve"> </w:t>
      </w:r>
      <w:r w:rsidR="0022249B" w:rsidRPr="00C46BF0">
        <w:t xml:space="preserve">the </w:t>
      </w:r>
      <w:r w:rsidR="002169BE" w:rsidRPr="00C46BF0">
        <w:t xml:space="preserve">International Classification </w:t>
      </w:r>
      <w:r w:rsidR="0022249B" w:rsidRPr="00C46BF0">
        <w:t xml:space="preserve">of </w:t>
      </w:r>
      <w:r w:rsidR="002169BE" w:rsidRPr="00C46BF0">
        <w:t>Headache Disorders</w:t>
      </w:r>
      <w:r w:rsidR="00507366">
        <w:t>,</w:t>
      </w:r>
      <w:r w:rsidR="002169BE" w:rsidRPr="00C46BF0">
        <w:t xml:space="preserve"> </w:t>
      </w:r>
      <w:r w:rsidR="0022249B" w:rsidRPr="00C46BF0">
        <w:t>second edition (</w:t>
      </w:r>
      <w:r w:rsidRPr="00C46BF0">
        <w:t>ICHD-II</w:t>
      </w:r>
      <w:r w:rsidR="0022249B" w:rsidRPr="00C46BF0">
        <w:t>)</w:t>
      </w:r>
      <w:r w:rsidRPr="00C46BF0">
        <w:t xml:space="preserve"> (2004).</w:t>
      </w:r>
      <w:r w:rsidR="0022249B" w:rsidRPr="00C46BF0">
        <w:rPr>
          <w:vertAlign w:val="superscript"/>
        </w:rPr>
        <w:fldChar w:fldCharType="begin"/>
      </w:r>
      <w:r w:rsidR="0022249B" w:rsidRPr="00C46BF0">
        <w:rPr>
          <w:vertAlign w:val="superscript"/>
        </w:rPr>
        <w:instrText xml:space="preserve"> NOTEREF _Ref76048226 \h  \* MERGEFORMAT </w:instrText>
      </w:r>
      <w:r w:rsidR="0022249B" w:rsidRPr="00C46BF0">
        <w:rPr>
          <w:vertAlign w:val="superscript"/>
        </w:rPr>
      </w:r>
      <w:r w:rsidR="0022249B" w:rsidRPr="00C46BF0">
        <w:rPr>
          <w:vertAlign w:val="superscript"/>
        </w:rPr>
        <w:fldChar w:fldCharType="separate"/>
      </w:r>
      <w:r w:rsidR="00112693">
        <w:rPr>
          <w:vertAlign w:val="superscript"/>
        </w:rPr>
        <w:t>18</w:t>
      </w:r>
      <w:r w:rsidR="0022249B" w:rsidRPr="00C46BF0">
        <w:rPr>
          <w:vertAlign w:val="superscript"/>
        </w:rPr>
        <w:fldChar w:fldCharType="end"/>
      </w:r>
    </w:p>
    <w:p w14:paraId="648BCF43" w14:textId="77777777" w:rsidR="00D677A9" w:rsidRPr="00C46BF0" w:rsidRDefault="00D677A9" w:rsidP="00C46BF0">
      <w:pPr>
        <w:pStyle w:val="ListBullet"/>
      </w:pPr>
      <w:r w:rsidRPr="00C46BF0">
        <w:t>Diagnosis of migraine at ≤ 50 years of age.</w:t>
      </w:r>
    </w:p>
    <w:p w14:paraId="629B1F45" w14:textId="3656616A" w:rsidR="00D677A9" w:rsidRPr="00C46BF0" w:rsidRDefault="00D677A9" w:rsidP="00C46BF0">
      <w:pPr>
        <w:pStyle w:val="ListBullet"/>
      </w:pPr>
      <w:r w:rsidRPr="00C46BF0">
        <w:t>Acute migraine medications ≤</w:t>
      </w:r>
      <w:r w:rsidR="00A901E5" w:rsidRPr="00C46BF0">
        <w:t> </w:t>
      </w:r>
      <w:r w:rsidRPr="00C46BF0">
        <w:t>14 days per 28</w:t>
      </w:r>
      <w:r w:rsidR="00F2690E">
        <w:t>-</w:t>
      </w:r>
      <w:r w:rsidRPr="00C46BF0">
        <w:t xml:space="preserve">day period in the 3 months before screening and the </w:t>
      </w:r>
      <w:proofErr w:type="gramStart"/>
      <w:r w:rsidRPr="00C46BF0">
        <w:t>28</w:t>
      </w:r>
      <w:r w:rsidR="00A901E5" w:rsidRPr="00C46BF0">
        <w:t xml:space="preserve"> </w:t>
      </w:r>
      <w:r w:rsidRPr="00C46BF0">
        <w:t>day</w:t>
      </w:r>
      <w:proofErr w:type="gramEnd"/>
      <w:r w:rsidRPr="00C46BF0">
        <w:t xml:space="preserve"> period prior to randomisation.</w:t>
      </w:r>
    </w:p>
    <w:p w14:paraId="78BD622E" w14:textId="2AE3F9B9" w:rsidR="00D677A9" w:rsidRPr="00C46BF0" w:rsidRDefault="00D677A9" w:rsidP="00C46BF0">
      <w:pPr>
        <w:pStyle w:val="ListBullet"/>
      </w:pPr>
      <w:r w:rsidRPr="00C46BF0">
        <w:t>Used triptans for ≤</w:t>
      </w:r>
      <w:r w:rsidR="00A901E5" w:rsidRPr="00C46BF0">
        <w:t> </w:t>
      </w:r>
      <w:r w:rsidRPr="00C46BF0">
        <w:t>10 days per 28</w:t>
      </w:r>
      <w:r w:rsidR="00F2690E">
        <w:t>-</w:t>
      </w:r>
      <w:r w:rsidRPr="00C46BF0">
        <w:t>day period in the 3 months prior to</w:t>
      </w:r>
      <w:r w:rsidR="00A901E5" w:rsidRPr="00C46BF0">
        <w:t xml:space="preserve"> </w:t>
      </w:r>
      <w:r w:rsidRPr="00C46BF0">
        <w:t xml:space="preserve">screening and the </w:t>
      </w:r>
      <w:proofErr w:type="gramStart"/>
      <w:r w:rsidRPr="00C46BF0">
        <w:t>28</w:t>
      </w:r>
      <w:r w:rsidR="00A901E5" w:rsidRPr="00C46BF0">
        <w:t xml:space="preserve"> </w:t>
      </w:r>
      <w:r w:rsidRPr="00C46BF0">
        <w:t>day</w:t>
      </w:r>
      <w:proofErr w:type="gramEnd"/>
      <w:r w:rsidRPr="00C46BF0">
        <w:t xml:space="preserve"> period prior to randomisation</w:t>
      </w:r>
      <w:r w:rsidR="00A901E5" w:rsidRPr="00C46BF0">
        <w:t>.</w:t>
      </w:r>
    </w:p>
    <w:p w14:paraId="146C757A" w14:textId="1EB64781" w:rsidR="00D677A9" w:rsidRPr="00C46BF0" w:rsidRDefault="00D677A9" w:rsidP="00C46BF0">
      <w:pPr>
        <w:pStyle w:val="ListBullet"/>
      </w:pPr>
      <w:r w:rsidRPr="00C46BF0">
        <w:t>Did not regularly use (&gt;</w:t>
      </w:r>
      <w:r w:rsidR="00A901E5" w:rsidRPr="00C46BF0">
        <w:t> </w:t>
      </w:r>
      <w:r w:rsidRPr="00C46BF0">
        <w:t>7 days) prophylactic headache medication</w:t>
      </w:r>
      <w:r w:rsidR="00A901E5" w:rsidRPr="00C46BF0">
        <w:t>.</w:t>
      </w:r>
    </w:p>
    <w:p w14:paraId="1FE3790D" w14:textId="77777777" w:rsidR="00D677A9" w:rsidRPr="00C46BF0" w:rsidRDefault="00D677A9" w:rsidP="00C46BF0">
      <w:pPr>
        <w:pStyle w:val="Heading6"/>
      </w:pPr>
      <w:r w:rsidRPr="00C46BF0">
        <w:t>Key exclusion criteria</w:t>
      </w:r>
    </w:p>
    <w:p w14:paraId="74A7B63F" w14:textId="4329463D" w:rsidR="00D677A9" w:rsidRPr="00C46BF0" w:rsidRDefault="00D677A9" w:rsidP="00C46BF0">
      <w:pPr>
        <w:pStyle w:val="ListBullet"/>
      </w:pPr>
      <w:r w:rsidRPr="00C46BF0">
        <w:t>Confounding pain syndromes, (</w:t>
      </w:r>
      <w:r w:rsidR="00A901E5" w:rsidRPr="00C46BF0">
        <w:t xml:space="preserve">for example, </w:t>
      </w:r>
      <w:r w:rsidRPr="00C46BF0">
        <w:t>fibromyalgia, complex regional pain syndrome) or any pain syndrome that required regular analgesia</w:t>
      </w:r>
      <w:r w:rsidR="00A901E5" w:rsidRPr="00C46BF0">
        <w:t>.</w:t>
      </w:r>
    </w:p>
    <w:p w14:paraId="61077683" w14:textId="65EEA507" w:rsidR="00D677A9" w:rsidRPr="00C46BF0" w:rsidRDefault="00D677A9" w:rsidP="00C46BF0">
      <w:pPr>
        <w:pStyle w:val="ListBullet"/>
      </w:pPr>
      <w:r w:rsidRPr="00C46BF0">
        <w:lastRenderedPageBreak/>
        <w:t>Known or suspected temporo-mandibular disorders</w:t>
      </w:r>
      <w:r w:rsidR="00A901E5" w:rsidRPr="00C46BF0">
        <w:t>.</w:t>
      </w:r>
    </w:p>
    <w:p w14:paraId="765A6185" w14:textId="77777777" w:rsidR="00D677A9" w:rsidRPr="00C46BF0" w:rsidRDefault="00D677A9" w:rsidP="00C46BF0">
      <w:pPr>
        <w:pStyle w:val="Heading6"/>
      </w:pPr>
      <w:r w:rsidRPr="00C46BF0">
        <w:t>Study treatment</w:t>
      </w:r>
    </w:p>
    <w:p w14:paraId="045C14AB" w14:textId="54EFE790" w:rsidR="00D677A9" w:rsidRPr="00C46BF0" w:rsidRDefault="00D677A9" w:rsidP="00C46BF0">
      <w:r w:rsidRPr="00C46BF0">
        <w:t xml:space="preserve">Four infusions of </w:t>
      </w:r>
      <w:proofErr w:type="spellStart"/>
      <w:r w:rsidR="00A901E5" w:rsidRPr="00C46BF0">
        <w:t>eptinezumab</w:t>
      </w:r>
      <w:proofErr w:type="spellEnd"/>
      <w:r w:rsidR="00A901E5" w:rsidRPr="00C46BF0">
        <w:t xml:space="preserve"> 100 </w:t>
      </w:r>
      <w:r w:rsidRPr="00C46BF0">
        <w:t>mg/mL were administered intr</w:t>
      </w:r>
      <w:r w:rsidR="00A901E5" w:rsidRPr="00C46BF0">
        <w:t>avenously at 12 weeks interval.</w:t>
      </w:r>
    </w:p>
    <w:p w14:paraId="5B91A695" w14:textId="77777777" w:rsidR="00547EF6" w:rsidRPr="00C46BF0" w:rsidRDefault="00547EF6" w:rsidP="00C46BF0">
      <w:pPr>
        <w:pStyle w:val="Heading6"/>
        <w:rPr>
          <w:rStyle w:val="Heading7Char"/>
          <w:sz w:val="22"/>
        </w:rPr>
      </w:pPr>
      <w:r w:rsidRPr="00C46BF0">
        <w:rPr>
          <w:rStyle w:val="Heading7Char"/>
          <w:sz w:val="22"/>
        </w:rPr>
        <w:t>Primary endpoint</w:t>
      </w:r>
    </w:p>
    <w:p w14:paraId="7DB08063" w14:textId="5787D0A8" w:rsidR="00D677A9" w:rsidRPr="00C46BF0" w:rsidRDefault="00B073CE" w:rsidP="00507366">
      <w:r>
        <w:t>The primary endpoint was t</w:t>
      </w:r>
      <w:r w:rsidR="00D677A9" w:rsidRPr="00C46BF0">
        <w:t xml:space="preserve">he change in frequency of migraine days from </w:t>
      </w:r>
      <w:r w:rsidR="00A901E5" w:rsidRPr="00C46BF0">
        <w:t xml:space="preserve">Baseline </w:t>
      </w:r>
      <w:r w:rsidR="00D677A9" w:rsidRPr="00C46BF0">
        <w:t xml:space="preserve">to </w:t>
      </w:r>
      <w:r w:rsidR="00665E49" w:rsidRPr="00C46BF0">
        <w:t xml:space="preserve">Week </w:t>
      </w:r>
      <w:r w:rsidR="00D677A9" w:rsidRPr="00C46BF0">
        <w:t>12</w:t>
      </w:r>
      <w:r w:rsidR="00507366">
        <w:t>.</w:t>
      </w:r>
    </w:p>
    <w:p w14:paraId="773A4322" w14:textId="018309CF" w:rsidR="00D677A9" w:rsidRPr="00C46BF0" w:rsidRDefault="00D677A9" w:rsidP="00C46BF0">
      <w:r w:rsidRPr="00C46BF0">
        <w:t xml:space="preserve">This primary efficacy endpoint was calculated as the number of migraine days within </w:t>
      </w:r>
      <w:proofErr w:type="gramStart"/>
      <w:r w:rsidRPr="00C46BF0">
        <w:t>4</w:t>
      </w:r>
      <w:r w:rsidR="00A901E5" w:rsidRPr="00C46BF0">
        <w:t> </w:t>
      </w:r>
      <w:r w:rsidRPr="00C46BF0">
        <w:t>week</w:t>
      </w:r>
      <w:proofErr w:type="gramEnd"/>
      <w:r w:rsidRPr="00C46BF0">
        <w:t xml:space="preserve"> intervals that were then averaged up to Week 12. The difference of this estimate from </w:t>
      </w:r>
      <w:r w:rsidR="00A901E5" w:rsidRPr="00C46BF0">
        <w:t>Baseline</w:t>
      </w:r>
      <w:r w:rsidRPr="00C46BF0">
        <w:t xml:space="preserve"> was calculated as the change from </w:t>
      </w:r>
      <w:r w:rsidR="00A901E5" w:rsidRPr="00C46BF0">
        <w:t>Baseline</w:t>
      </w:r>
      <w:r w:rsidRPr="00C46BF0">
        <w:t xml:space="preserve"> in the frequency of migraine days over Weeks 1</w:t>
      </w:r>
      <w:r w:rsidR="00A901E5" w:rsidRPr="00C46BF0">
        <w:t xml:space="preserve"> to </w:t>
      </w:r>
      <w:r w:rsidRPr="00C46BF0">
        <w:t>12.</w:t>
      </w:r>
    </w:p>
    <w:p w14:paraId="112E6238" w14:textId="77777777" w:rsidR="00D677A9" w:rsidRPr="00C46BF0" w:rsidRDefault="00D677A9" w:rsidP="00C46BF0">
      <w:pPr>
        <w:pStyle w:val="Heading6"/>
      </w:pPr>
      <w:r w:rsidRPr="00C46BF0">
        <w:t>K</w:t>
      </w:r>
      <w:r w:rsidR="00547EF6" w:rsidRPr="00C46BF0">
        <w:t>ey secondary efficacy endpoints</w:t>
      </w:r>
    </w:p>
    <w:p w14:paraId="3B7AC35A" w14:textId="5AFDB6DD" w:rsidR="00D677A9" w:rsidRPr="00C46BF0" w:rsidRDefault="00D677A9" w:rsidP="00C46BF0">
      <w:pPr>
        <w:pStyle w:val="ListBullet"/>
      </w:pPr>
      <w:r w:rsidRPr="00C46BF0">
        <w:t>75% migraine responder rate (Weeks 1</w:t>
      </w:r>
      <w:r w:rsidR="00A901E5" w:rsidRPr="00C46BF0">
        <w:t xml:space="preserve"> to </w:t>
      </w:r>
      <w:r w:rsidRPr="00C46BF0">
        <w:t>4)</w:t>
      </w:r>
      <w:r w:rsidR="00A901E5" w:rsidRPr="00C46BF0">
        <w:t>.</w:t>
      </w:r>
    </w:p>
    <w:p w14:paraId="6FA538B2" w14:textId="02A7D314" w:rsidR="00D677A9" w:rsidRPr="00C46BF0" w:rsidRDefault="00D677A9" w:rsidP="00C46BF0">
      <w:pPr>
        <w:pStyle w:val="ListBullet"/>
      </w:pPr>
      <w:r w:rsidRPr="00C46BF0">
        <w:t>75% migraine responder rate (Weeks 1</w:t>
      </w:r>
      <w:r w:rsidR="00A901E5" w:rsidRPr="00C46BF0">
        <w:t xml:space="preserve"> to </w:t>
      </w:r>
      <w:r w:rsidRPr="00C46BF0">
        <w:t>12)</w:t>
      </w:r>
      <w:r w:rsidR="00A901E5" w:rsidRPr="00C46BF0">
        <w:t>.</w:t>
      </w:r>
    </w:p>
    <w:p w14:paraId="307CFF2C" w14:textId="179F62C3" w:rsidR="00D677A9" w:rsidRPr="00C46BF0" w:rsidRDefault="00D677A9" w:rsidP="00C46BF0">
      <w:pPr>
        <w:pStyle w:val="ListBullet"/>
      </w:pPr>
      <w:r w:rsidRPr="00C46BF0">
        <w:t>50% migraine responder rate (Weeks 1</w:t>
      </w:r>
      <w:r w:rsidR="00A901E5" w:rsidRPr="00C46BF0">
        <w:t xml:space="preserve"> to </w:t>
      </w:r>
      <w:r w:rsidRPr="00C46BF0">
        <w:t>12)</w:t>
      </w:r>
      <w:r w:rsidR="00A901E5" w:rsidRPr="00C46BF0">
        <w:t>.</w:t>
      </w:r>
    </w:p>
    <w:p w14:paraId="46561439" w14:textId="77777777" w:rsidR="00D677A9" w:rsidRPr="00C46BF0" w:rsidRDefault="00D677A9" w:rsidP="00C46BF0">
      <w:pPr>
        <w:pStyle w:val="ListBullet"/>
      </w:pPr>
      <w:r w:rsidRPr="00C46BF0">
        <w:t>Percentage of subjects with a migraine on the day after dosing.</w:t>
      </w:r>
    </w:p>
    <w:p w14:paraId="6F52B55B" w14:textId="5652B25B" w:rsidR="00D677A9" w:rsidRPr="00C46BF0" w:rsidRDefault="00E25D04" w:rsidP="00C46BF0">
      <w:r>
        <w:t>A responder was defined as</w:t>
      </w:r>
      <w:r w:rsidR="00FF34B2">
        <w:t xml:space="preserve"> a</w:t>
      </w:r>
      <w:r>
        <w:t xml:space="preserve"> subject who </w:t>
      </w:r>
      <w:r w:rsidR="00D677A9" w:rsidRPr="00C46BF0">
        <w:t>achiev</w:t>
      </w:r>
      <w:r>
        <w:t>ed</w:t>
      </w:r>
      <w:r w:rsidR="00D677A9" w:rsidRPr="00C46BF0">
        <w:t xml:space="preserve"> a ≥</w:t>
      </w:r>
      <w:r w:rsidR="00A901E5" w:rsidRPr="00C46BF0">
        <w:t> </w:t>
      </w:r>
      <w:r w:rsidR="00D677A9" w:rsidRPr="00C46BF0">
        <w:t>50% reduction, ≥</w:t>
      </w:r>
      <w:r w:rsidR="00A901E5" w:rsidRPr="00C46BF0">
        <w:t> </w:t>
      </w:r>
      <w:r w:rsidR="00D677A9" w:rsidRPr="00C46BF0">
        <w:t xml:space="preserve">75% reduction, or 100% reduction in migraine days, respectively. These reductions were evaluated by comparing the baseline frequency of migraine days to the migraine frequency in </w:t>
      </w:r>
      <w:proofErr w:type="gramStart"/>
      <w:r w:rsidR="00D677A9" w:rsidRPr="00C46BF0">
        <w:t>4</w:t>
      </w:r>
      <w:r w:rsidR="00A901E5" w:rsidRPr="00C46BF0">
        <w:t xml:space="preserve"> </w:t>
      </w:r>
      <w:r w:rsidR="00D677A9" w:rsidRPr="00C46BF0">
        <w:t>week</w:t>
      </w:r>
      <w:proofErr w:type="gramEnd"/>
      <w:r w:rsidR="00D677A9" w:rsidRPr="00C46BF0">
        <w:t xml:space="preserve"> intervals. The same analyses were conducted for headache days.</w:t>
      </w:r>
    </w:p>
    <w:p w14:paraId="53045E6A" w14:textId="77777777" w:rsidR="00D677A9" w:rsidRPr="00C46BF0" w:rsidRDefault="00547EF6" w:rsidP="00C46BF0">
      <w:pPr>
        <w:pStyle w:val="Heading6"/>
      </w:pPr>
      <w:r w:rsidRPr="00C46BF0">
        <w:t>Immunogenicity endpoints</w:t>
      </w:r>
    </w:p>
    <w:p w14:paraId="69A6FA2C" w14:textId="452D85E1" w:rsidR="00D677A9" w:rsidRPr="00C46BF0" w:rsidRDefault="00D677A9" w:rsidP="00C46BF0">
      <w:pPr>
        <w:pStyle w:val="ListBullet"/>
      </w:pPr>
      <w:r w:rsidRPr="00C46BF0">
        <w:t>Development of anti-</w:t>
      </w:r>
      <w:proofErr w:type="spellStart"/>
      <w:r w:rsidR="00A901E5" w:rsidRPr="00C46BF0">
        <w:t>eptinezumab</w:t>
      </w:r>
      <w:proofErr w:type="spellEnd"/>
      <w:r w:rsidR="00A901E5" w:rsidRPr="00C46BF0">
        <w:t xml:space="preserve"> </w:t>
      </w:r>
      <w:r w:rsidRPr="00C46BF0">
        <w:t>antibodies</w:t>
      </w:r>
      <w:r w:rsidR="00A901E5" w:rsidRPr="00C46BF0">
        <w:t>.</w:t>
      </w:r>
    </w:p>
    <w:p w14:paraId="45D858E1" w14:textId="08D8C9BC" w:rsidR="00D677A9" w:rsidRPr="00C46BF0" w:rsidRDefault="00D677A9" w:rsidP="00C46BF0">
      <w:pPr>
        <w:pStyle w:val="ListBullet"/>
      </w:pPr>
      <w:r w:rsidRPr="00C46BF0">
        <w:t>Characteri</w:t>
      </w:r>
      <w:r w:rsidR="00441AC4" w:rsidRPr="00C46BF0">
        <w:t>s</w:t>
      </w:r>
      <w:r w:rsidRPr="00C46BF0">
        <w:t>ation of anti-</w:t>
      </w:r>
      <w:proofErr w:type="spellStart"/>
      <w:r w:rsidR="00A901E5" w:rsidRPr="00C46BF0">
        <w:t>eptinezumab</w:t>
      </w:r>
      <w:proofErr w:type="spellEnd"/>
      <w:r w:rsidR="00A901E5" w:rsidRPr="00C46BF0">
        <w:t xml:space="preserve"> </w:t>
      </w:r>
      <w:r w:rsidRPr="00C46BF0">
        <w:t>antibodies for neutrali</w:t>
      </w:r>
      <w:r w:rsidR="00441AC4" w:rsidRPr="00C46BF0">
        <w:t>s</w:t>
      </w:r>
      <w:r w:rsidRPr="00C46BF0">
        <w:t>ing activity and epitope specificity of the ADA response</w:t>
      </w:r>
      <w:r w:rsidR="00A901E5" w:rsidRPr="00C46BF0">
        <w:t>.</w:t>
      </w:r>
    </w:p>
    <w:p w14:paraId="17D682FD" w14:textId="77777777" w:rsidR="00D677A9" w:rsidRPr="00C46BF0" w:rsidRDefault="00D677A9" w:rsidP="00C46BF0">
      <w:pPr>
        <w:pStyle w:val="Heading6"/>
      </w:pPr>
      <w:r w:rsidRPr="00C46BF0">
        <w:t>Study population</w:t>
      </w:r>
    </w:p>
    <w:p w14:paraId="1B6BCFD2" w14:textId="2D8C1A1A" w:rsidR="00D677A9" w:rsidRPr="00C46BF0" w:rsidRDefault="00B34B5A" w:rsidP="00C46BF0">
      <w:r>
        <w:t>E</w:t>
      </w:r>
      <w:r w:rsidRPr="00B34B5A">
        <w:t>ight hundred ninety-eight</w:t>
      </w:r>
      <w:r>
        <w:t xml:space="preserve"> (</w:t>
      </w:r>
      <w:r w:rsidR="00D677A9" w:rsidRPr="00C46BF0">
        <w:t>898</w:t>
      </w:r>
      <w:r>
        <w:t>)</w:t>
      </w:r>
      <w:r w:rsidR="00D677A9" w:rsidRPr="00C46BF0">
        <w:t xml:space="preserve"> subjects were randomised to three </w:t>
      </w:r>
      <w:proofErr w:type="spellStart"/>
      <w:r w:rsidR="00D677A9" w:rsidRPr="00C46BF0">
        <w:t>eptinezumab</w:t>
      </w:r>
      <w:proofErr w:type="spellEnd"/>
      <w:r w:rsidR="00D677A9" w:rsidRPr="00C46BF0">
        <w:t xml:space="preserve"> (30, 100 and 300</w:t>
      </w:r>
      <w:r w:rsidR="00A901E5" w:rsidRPr="00C46BF0">
        <w:t> </w:t>
      </w:r>
      <w:r w:rsidR="00D677A9" w:rsidRPr="00C46BF0">
        <w:t>mg) and placebo arms. Around 21% of subjects discontinued treatment during study period, with the commonest reason being withdrawal of informed consent.</w:t>
      </w:r>
    </w:p>
    <w:p w14:paraId="12106FB4" w14:textId="77777777" w:rsidR="00D677A9" w:rsidRPr="00C46BF0" w:rsidRDefault="00D677A9" w:rsidP="00C46BF0">
      <w:pPr>
        <w:pStyle w:val="Heading6"/>
      </w:pPr>
      <w:r w:rsidRPr="00C46BF0">
        <w:t>Baseline demographics</w:t>
      </w:r>
    </w:p>
    <w:p w14:paraId="1B99F9A6" w14:textId="60F36F25" w:rsidR="00D677A9" w:rsidRPr="00C46BF0" w:rsidRDefault="00D677A9" w:rsidP="00C46BF0">
      <w:r w:rsidRPr="00C46BF0">
        <w:t xml:space="preserve">The mean age was around 40 years and around 61% of subjects were &gt; 35 years of age. Around 85% of subjects were females and the mean </w:t>
      </w:r>
      <w:r w:rsidR="00A901E5" w:rsidRPr="00C46BF0">
        <w:t>body mass index was 29.45.</w:t>
      </w:r>
    </w:p>
    <w:p w14:paraId="7D0B240D" w14:textId="77777777" w:rsidR="00D677A9" w:rsidRPr="00C46BF0" w:rsidRDefault="00D677A9" w:rsidP="00C46BF0">
      <w:pPr>
        <w:pStyle w:val="Heading6"/>
      </w:pPr>
      <w:r w:rsidRPr="00C46BF0">
        <w:t>Migraine history</w:t>
      </w:r>
    </w:p>
    <w:p w14:paraId="2F730341" w14:textId="30BD96DC" w:rsidR="00D677A9" w:rsidRPr="00C46BF0" w:rsidRDefault="00D677A9" w:rsidP="00C46BF0">
      <w:r w:rsidRPr="00C46BF0">
        <w:t xml:space="preserve">The mean number of headache days per </w:t>
      </w:r>
      <w:proofErr w:type="gramStart"/>
      <w:r w:rsidRPr="00C46BF0">
        <w:t>28</w:t>
      </w:r>
      <w:r w:rsidR="00A901E5" w:rsidRPr="00C46BF0">
        <w:t xml:space="preserve"> </w:t>
      </w:r>
      <w:r w:rsidRPr="00C46BF0">
        <w:t>day</w:t>
      </w:r>
      <w:proofErr w:type="gramEnd"/>
      <w:r w:rsidRPr="00C46BF0">
        <w:t xml:space="preserve"> period was 10.1 days and migraine days was 7.7 days.</w:t>
      </w:r>
    </w:p>
    <w:p w14:paraId="6A50AA41" w14:textId="048B8569" w:rsidR="00D677A9" w:rsidRPr="00C46BF0" w:rsidRDefault="00D677A9" w:rsidP="00C46BF0">
      <w:r w:rsidRPr="00C46BF0">
        <w:t>Overall, the mean baseline percent of days that subjects used any head</w:t>
      </w:r>
      <w:r w:rsidR="00A901E5" w:rsidRPr="00C46BF0">
        <w:t>ache medication was 25.12%. At B</w:t>
      </w:r>
      <w:r w:rsidRPr="00C46BF0">
        <w:t xml:space="preserve">aseline, the mean percent of days with ergotamine, triptan and opioid usage was 0.12%, 5.44% and 0.43%, respectively. The most frequently reported concomitant medications were ibuprofen (41.6%), </w:t>
      </w:r>
      <w:proofErr w:type="spellStart"/>
      <w:r w:rsidRPr="00C46BF0">
        <w:t>thomapyrin</w:t>
      </w:r>
      <w:proofErr w:type="spellEnd"/>
      <w:r w:rsidRPr="00C46BF0">
        <w:t xml:space="preserve"> N (37.7%), sumatriptan (28.2%) and paracetamol (17.7%).</w:t>
      </w:r>
    </w:p>
    <w:p w14:paraId="33A0710E" w14:textId="77777777" w:rsidR="00D677A9" w:rsidRPr="00C46BF0" w:rsidRDefault="00D677A9" w:rsidP="00C46BF0">
      <w:pPr>
        <w:pStyle w:val="Heading6"/>
      </w:pPr>
      <w:r w:rsidRPr="00C46BF0">
        <w:t>Results</w:t>
      </w:r>
    </w:p>
    <w:p w14:paraId="2D1E0014" w14:textId="5489185A" w:rsidR="00D677A9" w:rsidRPr="00C46BF0" w:rsidRDefault="00A12E3A" w:rsidP="00C46BF0">
      <w:proofErr w:type="spellStart"/>
      <w:r w:rsidRPr="00C46BF0">
        <w:t>E</w:t>
      </w:r>
      <w:r w:rsidR="00894DF0" w:rsidRPr="00C46BF0">
        <w:t>ptinezumab</w:t>
      </w:r>
      <w:proofErr w:type="spellEnd"/>
      <w:r w:rsidR="00894DF0" w:rsidRPr="00C46BF0">
        <w:t xml:space="preserve"> </w:t>
      </w:r>
      <w:r w:rsidR="00D677A9" w:rsidRPr="00C46BF0">
        <w:t>100 and 300</w:t>
      </w:r>
      <w:r w:rsidR="00894DF0" w:rsidRPr="00C46BF0">
        <w:t> </w:t>
      </w:r>
      <w:r w:rsidR="00D677A9" w:rsidRPr="00C46BF0">
        <w:t>mg doses are the proposed doses for marketing and hence discussed in detail, compared to the 3</w:t>
      </w:r>
      <w:r w:rsidR="00894DF0" w:rsidRPr="00C46BF0">
        <w:t>0 </w:t>
      </w:r>
      <w:r w:rsidR="00D677A9" w:rsidRPr="00C46BF0">
        <w:t>mg dose.</w:t>
      </w:r>
    </w:p>
    <w:p w14:paraId="72F5B882" w14:textId="77777777" w:rsidR="00D677A9" w:rsidRPr="00C46BF0" w:rsidRDefault="00D677A9" w:rsidP="00C46BF0">
      <w:pPr>
        <w:pStyle w:val="Heading6"/>
      </w:pPr>
      <w:r w:rsidRPr="00C46BF0">
        <w:lastRenderedPageBreak/>
        <w:t>Primary endpoint</w:t>
      </w:r>
    </w:p>
    <w:p w14:paraId="57B44ABC" w14:textId="4BDDF1A1" w:rsidR="00D677A9" w:rsidRPr="009C0339" w:rsidRDefault="00B073CE">
      <w:r w:rsidRPr="009C0339">
        <w:t xml:space="preserve">The </w:t>
      </w:r>
      <w:r>
        <w:t>primary endpoint was the c</w:t>
      </w:r>
      <w:r w:rsidR="00D677A9" w:rsidRPr="009C0339">
        <w:t xml:space="preserve">hange in frequency of monthly migraine days from </w:t>
      </w:r>
      <w:r w:rsidR="00A901E5" w:rsidRPr="009C0339">
        <w:t>Baseline</w:t>
      </w:r>
      <w:r w:rsidR="00D677A9" w:rsidRPr="009C0339">
        <w:t xml:space="preserve"> to </w:t>
      </w:r>
      <w:r w:rsidR="00894DF0" w:rsidRPr="009C0339">
        <w:t>Week </w:t>
      </w:r>
      <w:r w:rsidR="00390CFE" w:rsidRPr="009C0339">
        <w:t>12</w:t>
      </w:r>
      <w:r w:rsidR="00507366">
        <w:t>.</w:t>
      </w:r>
    </w:p>
    <w:p w14:paraId="3AA403B6" w14:textId="32855427" w:rsidR="00D677A9" w:rsidRPr="00C46BF0" w:rsidRDefault="00D677A9" w:rsidP="00C46BF0">
      <w:r w:rsidRPr="00C46BF0">
        <w:t xml:space="preserve">At </w:t>
      </w:r>
      <w:r w:rsidR="00665E49" w:rsidRPr="00C46BF0">
        <w:t>Week</w:t>
      </w:r>
      <w:r w:rsidRPr="00C46BF0">
        <w:t xml:space="preserve"> 12 of treatment period, subjects in the </w:t>
      </w:r>
      <w:proofErr w:type="spellStart"/>
      <w:r w:rsidRPr="00C46BF0">
        <w:t>eptinezumab</w:t>
      </w:r>
      <w:proofErr w:type="spellEnd"/>
      <w:r w:rsidRPr="00C46BF0">
        <w:t xml:space="preserve"> 30, 100 and 300</w:t>
      </w:r>
      <w:r w:rsidR="00894DF0" w:rsidRPr="00C46BF0">
        <w:t> </w:t>
      </w:r>
      <w:r w:rsidRPr="00C46BF0">
        <w:t>mg arms experienced a mean of 4.6, 4.7 and 4.3 migraine days respectively, compared to 5.4</w:t>
      </w:r>
      <w:r w:rsidR="00894DF0" w:rsidRPr="00C46BF0">
        <w:t> </w:t>
      </w:r>
      <w:r w:rsidRPr="00C46BF0">
        <w:t xml:space="preserve">migraine days in the placebo arm. The treatment </w:t>
      </w:r>
      <w:r w:rsidR="00894DF0" w:rsidRPr="00C46BF0">
        <w:t xml:space="preserve">difference of -0.82, -0.69 and </w:t>
      </w:r>
      <w:r w:rsidR="00894DF0" w:rsidRPr="00C46BF0">
        <w:noBreakHyphen/>
      </w:r>
      <w:r w:rsidRPr="00C46BF0">
        <w:t>1.11</w:t>
      </w:r>
      <w:r w:rsidR="00894DF0" w:rsidRPr="00C46BF0">
        <w:t> </w:t>
      </w:r>
      <w:r w:rsidRPr="00C46BF0">
        <w:t>migraine days</w:t>
      </w:r>
      <w:r w:rsidR="00894DF0" w:rsidRPr="00C46BF0">
        <w:t xml:space="preserve"> for </w:t>
      </w:r>
      <w:proofErr w:type="spellStart"/>
      <w:r w:rsidR="00894DF0" w:rsidRPr="00C46BF0">
        <w:t>ep</w:t>
      </w:r>
      <w:r w:rsidR="00874231">
        <w:t>t</w:t>
      </w:r>
      <w:r w:rsidR="00894DF0" w:rsidRPr="00C46BF0">
        <w:t>i</w:t>
      </w:r>
      <w:r w:rsidR="00AE023A">
        <w:t>n</w:t>
      </w:r>
      <w:r w:rsidR="00894DF0" w:rsidRPr="00C46BF0">
        <w:t>e</w:t>
      </w:r>
      <w:r w:rsidR="00AE023A">
        <w:t>z</w:t>
      </w:r>
      <w:r w:rsidR="00894DF0" w:rsidRPr="00C46BF0">
        <w:t>umab</w:t>
      </w:r>
      <w:proofErr w:type="spellEnd"/>
      <w:r w:rsidR="00894DF0" w:rsidRPr="00C46BF0">
        <w:t xml:space="preserve"> 30, 100 and 300 </w:t>
      </w:r>
      <w:r w:rsidRPr="00C46BF0">
        <w:t>mg arms respectively were statistically significant, compared to placebo.</w:t>
      </w:r>
    </w:p>
    <w:p w14:paraId="412F28CC" w14:textId="576EA978" w:rsidR="00D677A9" w:rsidRPr="00C46BF0" w:rsidRDefault="000534AA" w:rsidP="00C46BF0">
      <w:pPr>
        <w:pStyle w:val="TableTitle"/>
      </w:pPr>
      <w:r w:rsidRPr="00C46BF0">
        <w:t xml:space="preserve">Table </w:t>
      </w:r>
      <w:r>
        <w:fldChar w:fldCharType="begin"/>
      </w:r>
      <w:r>
        <w:instrText>SEQ Table \* ARABIC</w:instrText>
      </w:r>
      <w:r>
        <w:fldChar w:fldCharType="separate"/>
      </w:r>
      <w:r w:rsidR="00112693">
        <w:rPr>
          <w:noProof/>
        </w:rPr>
        <w:t>5</w:t>
      </w:r>
      <w:r>
        <w:fldChar w:fldCharType="end"/>
      </w:r>
      <w:r w:rsidR="00283415" w:rsidRPr="00C46BF0">
        <w:t>:</w:t>
      </w:r>
      <w:r w:rsidR="002C265C" w:rsidRPr="00C46BF0">
        <w:t xml:space="preserve"> Study 006</w:t>
      </w:r>
      <w:r w:rsidR="00283415" w:rsidRPr="00C46BF0">
        <w:t xml:space="preserve"> Primary endpoint: t</w:t>
      </w:r>
      <w:r w:rsidR="00D677A9" w:rsidRPr="00C46BF0">
        <w:t>he change in frequency of monthly migraine days (Weeks 1</w:t>
      </w:r>
      <w:r w:rsidR="00283415" w:rsidRPr="00C46BF0">
        <w:t xml:space="preserve"> to </w:t>
      </w:r>
      <w:r w:rsidR="00D677A9" w:rsidRPr="00C46BF0">
        <w:t>12)</w:t>
      </w:r>
    </w:p>
    <w:p w14:paraId="493CDF1E" w14:textId="3D5A87DA" w:rsidR="00D677A9" w:rsidRPr="00C46BF0" w:rsidRDefault="00D677A9" w:rsidP="00C46BF0">
      <w:r w:rsidRPr="00C46BF0">
        <w:rPr>
          <w:noProof/>
          <w:lang w:val="en-GB" w:eastAsia="en-GB"/>
        </w:rPr>
        <w:drawing>
          <wp:inline distT="0" distB="0" distL="0" distR="0" wp14:anchorId="05C5B4C0" wp14:editId="67EC12E5">
            <wp:extent cx="5471740" cy="2662427"/>
            <wp:effectExtent l="0" t="0" r="0" b="5080"/>
            <wp:docPr id="1" name="Picture 1" descr="Table 5: Study 006 Primary endpoint: the change in frequency of monthly migraine days (Weeks 1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5: Study 006 Primary endpoint: the change in frequency of monthly migraine days (Weeks 1 to 12)"/>
                    <pic:cNvPicPr/>
                  </pic:nvPicPr>
                  <pic:blipFill rotWithShape="1">
                    <a:blip r:embed="rId20"/>
                    <a:srcRect l="2996" t="2515"/>
                    <a:stretch/>
                  </pic:blipFill>
                  <pic:spPr bwMode="auto">
                    <a:xfrm>
                      <a:off x="0" y="0"/>
                      <a:ext cx="5475661" cy="2664335"/>
                    </a:xfrm>
                    <a:prstGeom prst="rect">
                      <a:avLst/>
                    </a:prstGeom>
                    <a:ln>
                      <a:noFill/>
                    </a:ln>
                    <a:extLst>
                      <a:ext uri="{53640926-AAD7-44D8-BBD7-CCE9431645EC}">
                        <a14:shadowObscured xmlns:a14="http://schemas.microsoft.com/office/drawing/2010/main"/>
                      </a:ext>
                    </a:extLst>
                  </pic:spPr>
                </pic:pic>
              </a:graphicData>
            </a:graphic>
          </wp:inline>
        </w:drawing>
      </w:r>
    </w:p>
    <w:p w14:paraId="6A7322BB" w14:textId="380CA75D" w:rsidR="00DF0711" w:rsidRPr="00C46BF0" w:rsidRDefault="00543BDC" w:rsidP="00C46BF0">
      <w:pPr>
        <w:pStyle w:val="TableDescription"/>
      </w:pPr>
      <w:r w:rsidRPr="00C46BF0">
        <w:t>CI = confidence interval</w:t>
      </w:r>
      <w:r>
        <w:t>;</w:t>
      </w:r>
      <w:r w:rsidRPr="00C46BF0">
        <w:t xml:space="preserve"> </w:t>
      </w:r>
      <w:r w:rsidR="00DF0711" w:rsidRPr="00C46BF0">
        <w:t>N = total number of subjects in a group.</w:t>
      </w:r>
    </w:p>
    <w:p w14:paraId="7E3AF8F2" w14:textId="4EF4EFB7" w:rsidR="00BB5B61" w:rsidRPr="00C46BF0" w:rsidRDefault="00BB5B61" w:rsidP="00C46BF0">
      <w:pPr>
        <w:pStyle w:val="TableDescription"/>
      </w:pPr>
      <w:r w:rsidRPr="00C46BF0">
        <w:t>a Change from Baseline was the difference in migraine days between Baseline and the selected interval.</w:t>
      </w:r>
    </w:p>
    <w:p w14:paraId="19C97152" w14:textId="3147DBC2" w:rsidR="00BB5B61" w:rsidRPr="00C46BF0" w:rsidRDefault="00BB5B61" w:rsidP="00C46BF0">
      <w:pPr>
        <w:pStyle w:val="TableDescription"/>
      </w:pPr>
      <w:r w:rsidRPr="00C46BF0">
        <w:t xml:space="preserve">b Significant </w:t>
      </w:r>
      <w:r w:rsidR="00543BDC">
        <w:t>P</w:t>
      </w:r>
      <w:r w:rsidRPr="00C46BF0">
        <w:t>-values for the primary endpoint change from Baseline migraine days from Weeks 1 to 12 were determined by the decision rule outlined in the statistical analysis plan.</w:t>
      </w:r>
    </w:p>
    <w:p w14:paraId="3F4866E7" w14:textId="77777777" w:rsidR="00D677A9" w:rsidRPr="00C46BF0" w:rsidRDefault="00D677A9" w:rsidP="00C46BF0">
      <w:pPr>
        <w:pStyle w:val="Heading6"/>
      </w:pPr>
      <w:r w:rsidRPr="00C46BF0">
        <w:t>Key secondary efficacy endpoints</w:t>
      </w:r>
    </w:p>
    <w:p w14:paraId="435DBEFA" w14:textId="3CFA7ED6" w:rsidR="00D677A9" w:rsidRPr="009C0339" w:rsidRDefault="00B073CE">
      <w:r w:rsidRPr="009C0339">
        <w:t>For the key secondar</w:t>
      </w:r>
      <w:r>
        <w:t>y</w:t>
      </w:r>
      <w:r w:rsidRPr="009C0339">
        <w:t xml:space="preserve"> efficacy endpoint of </w:t>
      </w:r>
      <w:r w:rsidR="00D677A9" w:rsidRPr="009C0339">
        <w:t>75% migraine responder rate (</w:t>
      </w:r>
      <w:r w:rsidR="00665E49" w:rsidRPr="009C0339">
        <w:t>Week</w:t>
      </w:r>
      <w:r w:rsidR="00894DF0" w:rsidRPr="009C0339">
        <w:t xml:space="preserve">s 1 to </w:t>
      </w:r>
      <w:r w:rsidR="00D677A9" w:rsidRPr="009C0339">
        <w:t>4)</w:t>
      </w:r>
      <w:r w:rsidRPr="009C0339">
        <w:t>, a</w:t>
      </w:r>
      <w:r>
        <w:t> </w:t>
      </w:r>
      <w:r w:rsidR="00D677A9" w:rsidRPr="009C0339">
        <w:t xml:space="preserve">greater percentage of subjects in the </w:t>
      </w:r>
      <w:proofErr w:type="spellStart"/>
      <w:r w:rsidR="00D677A9" w:rsidRPr="009C0339">
        <w:t>eptinezumab</w:t>
      </w:r>
      <w:proofErr w:type="spellEnd"/>
      <w:r w:rsidR="00D677A9" w:rsidRPr="009C0339">
        <w:t xml:space="preserve"> arms achieved a ≥</w:t>
      </w:r>
      <w:r w:rsidR="00894DF0" w:rsidRPr="009C0339">
        <w:t> </w:t>
      </w:r>
      <w:r w:rsidR="00D677A9" w:rsidRPr="009C0339">
        <w:t xml:space="preserve">75% reduction in migraine days </w:t>
      </w:r>
      <w:proofErr w:type="spellStart"/>
      <w:r w:rsidR="00D677A9" w:rsidRPr="009C0339">
        <w:t>at</w:t>
      </w:r>
      <w:proofErr w:type="spellEnd"/>
      <w:r w:rsidR="00D677A9" w:rsidRPr="009C0339">
        <w:t xml:space="preserve"> </w:t>
      </w:r>
      <w:r w:rsidR="00665E49" w:rsidRPr="009C0339">
        <w:t>Week</w:t>
      </w:r>
      <w:r w:rsidR="00D677A9" w:rsidRPr="009C0339">
        <w:t xml:space="preserve"> 4, compared to placebo. The treatment difference</w:t>
      </w:r>
      <w:r w:rsidR="00894DF0" w:rsidRPr="009C0339">
        <w:t xml:space="preserve"> was statistically significant.</w:t>
      </w:r>
    </w:p>
    <w:p w14:paraId="7E745C80" w14:textId="2F6B57BE" w:rsidR="00D677A9" w:rsidRPr="00C46BF0" w:rsidRDefault="00D677A9" w:rsidP="00C46BF0">
      <w:r w:rsidRPr="00C46BF0">
        <w:t>The wide confidence interval was noted and reflects the inherent variability in the occurrence of episodic migraine.</w:t>
      </w:r>
    </w:p>
    <w:p w14:paraId="510D98FA" w14:textId="0FD4EF55" w:rsidR="00D677A9" w:rsidRPr="00C46BF0" w:rsidRDefault="00283415" w:rsidP="00C46BF0">
      <w:pPr>
        <w:pStyle w:val="TableTitle"/>
      </w:pPr>
      <w:r w:rsidRPr="00C46BF0">
        <w:lastRenderedPageBreak/>
        <w:t xml:space="preserve">Table </w:t>
      </w:r>
      <w:r>
        <w:fldChar w:fldCharType="begin"/>
      </w:r>
      <w:r>
        <w:instrText>SEQ Table \* ARABIC</w:instrText>
      </w:r>
      <w:r>
        <w:fldChar w:fldCharType="separate"/>
      </w:r>
      <w:r w:rsidR="00112693">
        <w:rPr>
          <w:noProof/>
        </w:rPr>
        <w:t>6</w:t>
      </w:r>
      <w:r>
        <w:fldChar w:fldCharType="end"/>
      </w:r>
      <w:r w:rsidR="00D677A9" w:rsidRPr="00C46BF0">
        <w:t xml:space="preserve">: </w:t>
      </w:r>
      <w:r w:rsidR="002C265C" w:rsidRPr="00C46BF0">
        <w:t xml:space="preserve">Study 006 Summary of </w:t>
      </w:r>
      <w:r w:rsidR="00D677A9" w:rsidRPr="00C46BF0">
        <w:t>75% migraine responder rate (</w:t>
      </w:r>
      <w:r w:rsidR="00665E49" w:rsidRPr="00C46BF0">
        <w:t>Week</w:t>
      </w:r>
      <w:r w:rsidR="00D677A9" w:rsidRPr="00C46BF0">
        <w:t>s 1</w:t>
      </w:r>
      <w:r w:rsidRPr="00C46BF0">
        <w:t xml:space="preserve"> to </w:t>
      </w:r>
      <w:r w:rsidR="00D677A9" w:rsidRPr="00C46BF0">
        <w:t>4)</w:t>
      </w:r>
    </w:p>
    <w:p w14:paraId="11B2A00A" w14:textId="7C7361A8" w:rsidR="00D677A9" w:rsidRPr="00C46BF0" w:rsidRDefault="00D677A9" w:rsidP="00C46BF0">
      <w:r>
        <w:rPr>
          <w:noProof/>
          <w:lang w:val="en-GB" w:eastAsia="en-GB"/>
        </w:rPr>
        <w:drawing>
          <wp:inline distT="0" distB="0" distL="0" distR="0" wp14:anchorId="6D76D201" wp14:editId="16A3EE33">
            <wp:extent cx="5546035" cy="2011713"/>
            <wp:effectExtent l="0" t="0" r="0" b="7620"/>
            <wp:docPr id="2" name="Picture 2" descr="Table 6: Study 006 Summary of 75% migraine responder rate (Weeks 1 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6: Study 006 Summary of 75% migraine responder rate (Weeks 1 to 4)"/>
                    <pic:cNvPicPr/>
                  </pic:nvPicPr>
                  <pic:blipFill>
                    <a:blip r:embed="rId21">
                      <a:extLst>
                        <a:ext uri="{28A0092B-C50C-407E-A947-70E740481C1C}">
                          <a14:useLocalDpi xmlns:a14="http://schemas.microsoft.com/office/drawing/2010/main" val="0"/>
                        </a:ext>
                      </a:extLst>
                    </a:blip>
                    <a:stretch>
                      <a:fillRect/>
                    </a:stretch>
                  </pic:blipFill>
                  <pic:spPr>
                    <a:xfrm>
                      <a:off x="0" y="0"/>
                      <a:ext cx="5554224" cy="2014683"/>
                    </a:xfrm>
                    <a:prstGeom prst="rect">
                      <a:avLst/>
                    </a:prstGeom>
                  </pic:spPr>
                </pic:pic>
              </a:graphicData>
            </a:graphic>
          </wp:inline>
        </w:drawing>
      </w:r>
    </w:p>
    <w:p w14:paraId="2E88B3AF" w14:textId="0AACC4E5" w:rsidR="00DF0711" w:rsidRPr="00C46BF0" w:rsidRDefault="00543BDC" w:rsidP="00C46BF0">
      <w:pPr>
        <w:pStyle w:val="TableDescription"/>
      </w:pPr>
      <w:r w:rsidRPr="00C46BF0">
        <w:t>CI = confidence interval</w:t>
      </w:r>
      <w:r>
        <w:t>;</w:t>
      </w:r>
      <w:r w:rsidRPr="00C46BF0">
        <w:t xml:space="preserve"> </w:t>
      </w:r>
      <w:r w:rsidR="00DF0711" w:rsidRPr="00C46BF0">
        <w:t>N = total number of subjects in a group</w:t>
      </w:r>
      <w:r w:rsidR="00B11027" w:rsidRPr="00C46BF0">
        <w:t>.</w:t>
      </w:r>
    </w:p>
    <w:p w14:paraId="01FD5365" w14:textId="464E9F7C" w:rsidR="00DF0711" w:rsidRPr="00C46BF0" w:rsidRDefault="00DF0711" w:rsidP="00C46BF0">
      <w:pPr>
        <w:pStyle w:val="TableDescription"/>
      </w:pPr>
      <w:proofErr w:type="gramStart"/>
      <w:r w:rsidRPr="00C46BF0">
        <w:t>a 95% confidence intervals</w:t>
      </w:r>
      <w:proofErr w:type="gramEnd"/>
      <w:r w:rsidRPr="00C46BF0">
        <w:t xml:space="preserve"> were calculated based upon normal approximation for </w:t>
      </w:r>
      <w:r w:rsidR="00B11027" w:rsidRPr="00C46BF0">
        <w:t>two</w:t>
      </w:r>
      <w:r w:rsidRPr="00C46BF0">
        <w:t xml:space="preserve"> independent proportions.</w:t>
      </w:r>
      <w:r w:rsidR="00B11027" w:rsidRPr="00C46BF0">
        <w:t xml:space="preserve"> </w:t>
      </w:r>
      <w:r w:rsidRPr="00C46BF0">
        <w:t>Stratification was not used.</w:t>
      </w:r>
    </w:p>
    <w:p w14:paraId="2649D139" w14:textId="46B53E22" w:rsidR="00DF0711" w:rsidRPr="00C46BF0" w:rsidRDefault="00DF0711" w:rsidP="00C46BF0">
      <w:pPr>
        <w:pStyle w:val="TableDescription"/>
      </w:pPr>
      <w:r w:rsidRPr="00C46BF0">
        <w:t xml:space="preserve">b </w:t>
      </w:r>
      <w:r w:rsidR="00B11027" w:rsidRPr="00C46BF0">
        <w:t>P</w:t>
      </w:r>
      <w:r w:rsidRPr="00C46BF0">
        <w:t>-values for the key secondary endpoint 75% migraine responder rate for Weeks 1</w:t>
      </w:r>
      <w:r w:rsidR="00B11027" w:rsidRPr="00C46BF0">
        <w:t xml:space="preserve"> to </w:t>
      </w:r>
      <w:r w:rsidRPr="00C46BF0">
        <w:t>4 were obtained from the</w:t>
      </w:r>
      <w:r w:rsidR="00B11027" w:rsidRPr="00C46BF0">
        <w:t xml:space="preserve"> </w:t>
      </w:r>
      <w:r w:rsidRPr="00C46BF0">
        <w:t>Cochran-Mantel-Haen</w:t>
      </w:r>
      <w:r w:rsidR="00BB5B61" w:rsidRPr="00C46BF0">
        <w:t>szel test stratified by randomis</w:t>
      </w:r>
      <w:r w:rsidRPr="00C46BF0">
        <w:t>ed baseline migraine days (≤</w:t>
      </w:r>
      <w:r w:rsidR="00B11027" w:rsidRPr="00C46BF0">
        <w:t> </w:t>
      </w:r>
      <w:r w:rsidRPr="00C46BF0">
        <w:t>9</w:t>
      </w:r>
      <w:r w:rsidR="00B11027" w:rsidRPr="00C46BF0">
        <w:t> </w:t>
      </w:r>
      <w:r w:rsidRPr="00C46BF0">
        <w:t>days, &gt;</w:t>
      </w:r>
      <w:r w:rsidR="00B11027" w:rsidRPr="00C46BF0">
        <w:t> </w:t>
      </w:r>
      <w:r w:rsidRPr="00C46BF0">
        <w:t>9</w:t>
      </w:r>
      <w:r w:rsidR="00B11027" w:rsidRPr="00C46BF0">
        <w:t> </w:t>
      </w:r>
      <w:r w:rsidRPr="00C46BF0">
        <w:t>days). Significant</w:t>
      </w:r>
      <w:r w:rsidR="00B11027" w:rsidRPr="00C46BF0">
        <w:t xml:space="preserve"> P</w:t>
      </w:r>
      <w:r w:rsidRPr="00C46BF0">
        <w:t xml:space="preserve">-values were determined by the decision rule outlined by the </w:t>
      </w:r>
      <w:r w:rsidR="00B11027" w:rsidRPr="00C46BF0">
        <w:t>statistical analysis plan</w:t>
      </w:r>
      <w:r w:rsidRPr="00C46BF0">
        <w:t>.</w:t>
      </w:r>
    </w:p>
    <w:p w14:paraId="06735F79" w14:textId="50E9B02B" w:rsidR="00DF0711" w:rsidRPr="00C46BF0" w:rsidRDefault="00DF0711" w:rsidP="00C46BF0">
      <w:pPr>
        <w:pStyle w:val="TableDescription"/>
      </w:pPr>
      <w:r w:rsidRPr="00C46BF0">
        <w:t xml:space="preserve">c </w:t>
      </w:r>
      <w:proofErr w:type="gramStart"/>
      <w:r w:rsidRPr="00C46BF0">
        <w:t>The</w:t>
      </w:r>
      <w:proofErr w:type="gramEnd"/>
      <w:r w:rsidRPr="00C46BF0">
        <w:t xml:space="preserve"> common odds ratio and 95% confidence intervals were obtained from the Mantel-Haenszel test stratified</w:t>
      </w:r>
      <w:r w:rsidR="00B11027" w:rsidRPr="00C46BF0">
        <w:t xml:space="preserve"> by randomis</w:t>
      </w:r>
      <w:r w:rsidRPr="00C46BF0">
        <w:t>ed baseline migraine days (≤</w:t>
      </w:r>
      <w:r w:rsidR="00B11027" w:rsidRPr="00C46BF0">
        <w:t> 9 days, &gt; 9 </w:t>
      </w:r>
      <w:r w:rsidRPr="00C46BF0">
        <w:t>days).</w:t>
      </w:r>
    </w:p>
    <w:p w14:paraId="32CEAC74" w14:textId="09ECED8D" w:rsidR="00D677A9" w:rsidRPr="00C46BF0" w:rsidRDefault="00B073CE" w:rsidP="00C46BF0">
      <w:r w:rsidRPr="009C0339">
        <w:t xml:space="preserve">For the key secondary efficacy endpoint of </w:t>
      </w:r>
      <w:r w:rsidR="00D677A9" w:rsidRPr="009C0339">
        <w:t>75% migraine responder rate (</w:t>
      </w:r>
      <w:r w:rsidR="00665E49" w:rsidRPr="009C0339">
        <w:t>Week</w:t>
      </w:r>
      <w:r w:rsidR="00D677A9" w:rsidRPr="009C0339">
        <w:t>s 1</w:t>
      </w:r>
      <w:r w:rsidR="00894DF0" w:rsidRPr="009C0339">
        <w:t xml:space="preserve"> to</w:t>
      </w:r>
      <w:r w:rsidR="00D677A9" w:rsidRPr="009C0339">
        <w:t xml:space="preserve"> 12)</w:t>
      </w:r>
      <w:r w:rsidR="001F753E">
        <w:t>, a</w:t>
      </w:r>
      <w:r w:rsidR="00D677A9" w:rsidRPr="00C46BF0">
        <w:t xml:space="preserve">t </w:t>
      </w:r>
      <w:r w:rsidR="00665E49" w:rsidRPr="00C46BF0">
        <w:t>Week</w:t>
      </w:r>
      <w:r w:rsidR="00D677A9" w:rsidRPr="00C46BF0">
        <w:t xml:space="preserve"> 12, a greater percentage of subjects in the </w:t>
      </w:r>
      <w:proofErr w:type="spellStart"/>
      <w:r w:rsidR="00D677A9" w:rsidRPr="00C46BF0">
        <w:t>eptinezumab</w:t>
      </w:r>
      <w:proofErr w:type="spellEnd"/>
      <w:r w:rsidR="00D677A9" w:rsidRPr="00C46BF0">
        <w:t xml:space="preserve"> arms achieved this endpoint, compared to placebo. The odds ratio of achieving 75% reduction in migraine days was slig</w:t>
      </w:r>
      <w:r w:rsidR="00894DF0" w:rsidRPr="00C46BF0">
        <w:t xml:space="preserve">htly higher for </w:t>
      </w:r>
      <w:proofErr w:type="spellStart"/>
      <w:r w:rsidR="00894DF0" w:rsidRPr="00C46BF0">
        <w:t>eptinezumab</w:t>
      </w:r>
      <w:proofErr w:type="spellEnd"/>
      <w:r w:rsidR="00894DF0" w:rsidRPr="00C46BF0">
        <w:t xml:space="preserve"> 300 </w:t>
      </w:r>
      <w:r w:rsidR="00D677A9" w:rsidRPr="00C46BF0">
        <w:t xml:space="preserve">mg arm at </w:t>
      </w:r>
      <w:r w:rsidR="00665E49" w:rsidRPr="00C46BF0">
        <w:t>Week</w:t>
      </w:r>
      <w:r w:rsidR="00D677A9" w:rsidRPr="00C46BF0">
        <w:t xml:space="preserve"> 12, compared to </w:t>
      </w:r>
      <w:r w:rsidR="00665E49" w:rsidRPr="00C46BF0">
        <w:t>Week</w:t>
      </w:r>
      <w:r w:rsidR="00D677A9" w:rsidRPr="00C46BF0">
        <w:t xml:space="preserve"> 4. A</w:t>
      </w:r>
      <w:r w:rsidR="00745C9E">
        <w:t> </w:t>
      </w:r>
      <w:r w:rsidR="00D677A9" w:rsidRPr="00C46BF0">
        <w:t xml:space="preserve">reduction in the odds ratio was at </w:t>
      </w:r>
      <w:r w:rsidR="00665E49" w:rsidRPr="00C46BF0">
        <w:t>Week</w:t>
      </w:r>
      <w:r w:rsidR="00D677A9" w:rsidRPr="00C46BF0">
        <w:t xml:space="preserve"> 12 for the </w:t>
      </w:r>
      <w:proofErr w:type="spellStart"/>
      <w:r w:rsidR="00D677A9" w:rsidRPr="00C46BF0">
        <w:t>eptinezumab</w:t>
      </w:r>
      <w:proofErr w:type="spellEnd"/>
      <w:r w:rsidR="00D677A9" w:rsidRPr="00C46BF0">
        <w:t xml:space="preserve"> 100</w:t>
      </w:r>
      <w:r w:rsidR="00894DF0" w:rsidRPr="00C46BF0">
        <w:t> </w:t>
      </w:r>
      <w:r w:rsidR="00D677A9" w:rsidRPr="00C46BF0">
        <w:t xml:space="preserve">mg arm, compared to </w:t>
      </w:r>
      <w:r w:rsidR="00665E49" w:rsidRPr="00C46BF0">
        <w:t>Week</w:t>
      </w:r>
      <w:r w:rsidR="00D677A9" w:rsidRPr="00C46BF0">
        <w:t xml:space="preserve"> 4. The treatment difference was statistically significant for 30 and 300</w:t>
      </w:r>
      <w:r w:rsidR="00894DF0" w:rsidRPr="00C46BF0">
        <w:t> </w:t>
      </w:r>
      <w:r w:rsidR="00D677A9" w:rsidRPr="00C46BF0">
        <w:t xml:space="preserve">mg </w:t>
      </w:r>
      <w:proofErr w:type="spellStart"/>
      <w:r w:rsidR="00D677A9" w:rsidRPr="00C46BF0">
        <w:t>eptinezumab</w:t>
      </w:r>
      <w:proofErr w:type="spellEnd"/>
      <w:r w:rsidR="00D677A9" w:rsidRPr="00C46BF0">
        <w:t xml:space="preserve"> groups.</w:t>
      </w:r>
    </w:p>
    <w:p w14:paraId="3DBAAE2A" w14:textId="681691FA" w:rsidR="00D677A9" w:rsidRPr="00C46BF0" w:rsidRDefault="00283415" w:rsidP="00C46BF0">
      <w:pPr>
        <w:pStyle w:val="TableTitle"/>
      </w:pPr>
      <w:r w:rsidRPr="00C46BF0">
        <w:t xml:space="preserve">Table </w:t>
      </w:r>
      <w:r>
        <w:fldChar w:fldCharType="begin"/>
      </w:r>
      <w:r>
        <w:instrText>SEQ Table \* ARABIC</w:instrText>
      </w:r>
      <w:r>
        <w:fldChar w:fldCharType="separate"/>
      </w:r>
      <w:r w:rsidR="00112693">
        <w:rPr>
          <w:noProof/>
        </w:rPr>
        <w:t>7</w:t>
      </w:r>
      <w:r>
        <w:fldChar w:fldCharType="end"/>
      </w:r>
      <w:r w:rsidR="00D677A9" w:rsidRPr="00C46BF0">
        <w:t xml:space="preserve">: </w:t>
      </w:r>
      <w:r w:rsidR="00200203" w:rsidRPr="00C46BF0">
        <w:t xml:space="preserve">Study 006 </w:t>
      </w:r>
      <w:r w:rsidR="00D677A9" w:rsidRPr="00C46BF0">
        <w:t>Summary of 75% migraine responder rate (Weeks 1</w:t>
      </w:r>
      <w:r w:rsidR="002120B5" w:rsidRPr="00C46BF0">
        <w:t xml:space="preserve"> to </w:t>
      </w:r>
      <w:r w:rsidR="00D677A9" w:rsidRPr="00C46BF0">
        <w:t>12)</w:t>
      </w:r>
    </w:p>
    <w:p w14:paraId="1443C58F" w14:textId="46FB22B1" w:rsidR="002120B5" w:rsidRPr="00C46BF0" w:rsidRDefault="002120B5" w:rsidP="00C46BF0">
      <w:r>
        <w:rPr>
          <w:noProof/>
          <w:lang w:val="en-GB" w:eastAsia="en-GB"/>
        </w:rPr>
        <w:drawing>
          <wp:inline distT="0" distB="0" distL="0" distR="0" wp14:anchorId="2B6EADC7" wp14:editId="3F3209C7">
            <wp:extent cx="5400040" cy="1995170"/>
            <wp:effectExtent l="0" t="0" r="0" b="5080"/>
            <wp:docPr id="8" name="Picture 8" descr="Table 7: Study 006 Summary of 75% migraine responder rate (Weeks 1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 7: Study 006 Summary of 75% migraine responder rate (Weeks 1 to 12)"/>
                    <pic:cNvPicPr/>
                  </pic:nvPicPr>
                  <pic:blipFill>
                    <a:blip r:embed="rId22">
                      <a:extLst>
                        <a:ext uri="{28A0092B-C50C-407E-A947-70E740481C1C}">
                          <a14:useLocalDpi xmlns:a14="http://schemas.microsoft.com/office/drawing/2010/main" val="0"/>
                        </a:ext>
                      </a:extLst>
                    </a:blip>
                    <a:stretch>
                      <a:fillRect/>
                    </a:stretch>
                  </pic:blipFill>
                  <pic:spPr>
                    <a:xfrm>
                      <a:off x="0" y="0"/>
                      <a:ext cx="5400040" cy="1995170"/>
                    </a:xfrm>
                    <a:prstGeom prst="rect">
                      <a:avLst/>
                    </a:prstGeom>
                  </pic:spPr>
                </pic:pic>
              </a:graphicData>
            </a:graphic>
          </wp:inline>
        </w:drawing>
      </w:r>
    </w:p>
    <w:p w14:paraId="1AA25589" w14:textId="23896390" w:rsidR="00B11027" w:rsidRPr="00C46BF0" w:rsidRDefault="00543BDC" w:rsidP="00C46BF0">
      <w:pPr>
        <w:pStyle w:val="TableDescription"/>
      </w:pPr>
      <w:r w:rsidRPr="00C46BF0">
        <w:t>CI = confidence interval</w:t>
      </w:r>
      <w:r>
        <w:t>;</w:t>
      </w:r>
      <w:r w:rsidRPr="00C46BF0">
        <w:t xml:space="preserve"> </w:t>
      </w:r>
      <w:r w:rsidR="00B11027" w:rsidRPr="00C46BF0">
        <w:t>N = total number of subjects in a group.</w:t>
      </w:r>
    </w:p>
    <w:p w14:paraId="2D055DC1" w14:textId="2FE7A078" w:rsidR="00B11027" w:rsidRPr="00C46BF0" w:rsidRDefault="00B11027" w:rsidP="00C46BF0">
      <w:pPr>
        <w:pStyle w:val="TableDescription"/>
      </w:pPr>
      <w:proofErr w:type="gramStart"/>
      <w:r w:rsidRPr="00C46BF0">
        <w:t>a 95% confidence intervals</w:t>
      </w:r>
      <w:proofErr w:type="gramEnd"/>
      <w:r w:rsidRPr="00C46BF0">
        <w:t xml:space="preserve"> were calculated based upon normal approximation for two independent proportions. Stratification was not used.</w:t>
      </w:r>
    </w:p>
    <w:p w14:paraId="50BCC824" w14:textId="33A05398" w:rsidR="00B11027" w:rsidRPr="00C46BF0" w:rsidRDefault="00B11027" w:rsidP="00C46BF0">
      <w:pPr>
        <w:pStyle w:val="TableDescription"/>
      </w:pPr>
      <w:r w:rsidRPr="00C46BF0">
        <w:t>b P-values for the key secondary endpoint 75% migraine responder rate for Weeks 1 to 12 were obtained from the Cochran-Mantel-Haen</w:t>
      </w:r>
      <w:r w:rsidR="00BB5B61" w:rsidRPr="00C46BF0">
        <w:t>szel test stratified by randomis</w:t>
      </w:r>
      <w:r w:rsidRPr="00C46BF0">
        <w:t>ed baseline migraine days (≤ 9 days, &gt; 9 days). Significant P-values were determined by the decision rule outlined by the statistical analysis plan.</w:t>
      </w:r>
    </w:p>
    <w:p w14:paraId="2070B34E" w14:textId="756DA405" w:rsidR="00B11027" w:rsidRPr="00C46BF0" w:rsidRDefault="00B11027" w:rsidP="00C46BF0">
      <w:pPr>
        <w:pStyle w:val="TableDescription"/>
      </w:pPr>
      <w:r w:rsidRPr="00C46BF0">
        <w:t xml:space="preserve">c </w:t>
      </w:r>
      <w:proofErr w:type="gramStart"/>
      <w:r w:rsidRPr="00C46BF0">
        <w:t>The</w:t>
      </w:r>
      <w:proofErr w:type="gramEnd"/>
      <w:r w:rsidRPr="00C46BF0">
        <w:t xml:space="preserve"> common odds ratio and 95% confidence intervals were obtained from the Mantel-Haenszel test stratified by randomised baseline migraine days (≤ 9 days, &gt; 9 days).</w:t>
      </w:r>
    </w:p>
    <w:p w14:paraId="2262E0F1" w14:textId="7B4FA6D9" w:rsidR="00D677A9" w:rsidRPr="00C46BF0" w:rsidRDefault="00745C9E" w:rsidP="00C46BF0">
      <w:r>
        <w:lastRenderedPageBreak/>
        <w:t xml:space="preserve">For the secondary endpoint of </w:t>
      </w:r>
      <w:r w:rsidR="00D677A9" w:rsidRPr="009C0339">
        <w:t>50% migraine responder rate</w:t>
      </w:r>
      <w:r>
        <w:t>, a</w:t>
      </w:r>
      <w:r w:rsidR="00D677A9" w:rsidRPr="00C46BF0">
        <w:t xml:space="preserve"> greater percentage of subjects in </w:t>
      </w:r>
      <w:proofErr w:type="spellStart"/>
      <w:r w:rsidR="00D677A9" w:rsidRPr="00C46BF0">
        <w:t>eptinezumab</w:t>
      </w:r>
      <w:proofErr w:type="spellEnd"/>
      <w:r w:rsidR="00D677A9" w:rsidRPr="00C46BF0">
        <w:t xml:space="preserve"> 300</w:t>
      </w:r>
      <w:r w:rsidR="00894DF0" w:rsidRPr="00C46BF0">
        <w:t> </w:t>
      </w:r>
      <w:r w:rsidR="00D677A9" w:rsidRPr="00C46BF0">
        <w:t xml:space="preserve">mg (around 18%) and </w:t>
      </w:r>
      <w:proofErr w:type="spellStart"/>
      <w:r w:rsidR="00D677A9" w:rsidRPr="00C46BF0">
        <w:t>eptinezumab</w:t>
      </w:r>
      <w:proofErr w:type="spellEnd"/>
      <w:r w:rsidR="00D677A9" w:rsidRPr="00C46BF0">
        <w:t xml:space="preserve"> 100</w:t>
      </w:r>
      <w:r w:rsidR="00894DF0" w:rsidRPr="00C46BF0">
        <w:t> </w:t>
      </w:r>
      <w:r w:rsidR="00D677A9" w:rsidRPr="00C46BF0">
        <w:t xml:space="preserve">mg (around 12%) achieved a 50% reduction in migraine days, compared to placebo. The treatment difference </w:t>
      </w:r>
      <w:r w:rsidR="00894DF0" w:rsidRPr="00C46BF0">
        <w:t>was statistically significant.</w:t>
      </w:r>
    </w:p>
    <w:p w14:paraId="25D69E38" w14:textId="1DD1E3C6" w:rsidR="00283415" w:rsidRPr="00C46BF0" w:rsidRDefault="00283415" w:rsidP="00C46BF0">
      <w:pPr>
        <w:pStyle w:val="TableTitle"/>
      </w:pPr>
      <w:r w:rsidRPr="00C46BF0">
        <w:t xml:space="preserve">Table </w:t>
      </w:r>
      <w:r>
        <w:fldChar w:fldCharType="begin"/>
      </w:r>
      <w:r>
        <w:instrText>SEQ Table \* ARABIC</w:instrText>
      </w:r>
      <w:r>
        <w:fldChar w:fldCharType="separate"/>
      </w:r>
      <w:r w:rsidR="00112693">
        <w:rPr>
          <w:noProof/>
        </w:rPr>
        <w:t>8</w:t>
      </w:r>
      <w:r>
        <w:fldChar w:fldCharType="end"/>
      </w:r>
      <w:r w:rsidRPr="00C46BF0">
        <w:t xml:space="preserve">: </w:t>
      </w:r>
      <w:r w:rsidR="00200203" w:rsidRPr="00C46BF0">
        <w:t xml:space="preserve">Study 006 </w:t>
      </w:r>
      <w:r w:rsidR="002120B5" w:rsidRPr="00C46BF0">
        <w:t xml:space="preserve">Summary of 50% </w:t>
      </w:r>
      <w:r w:rsidR="005D5533" w:rsidRPr="00C46BF0">
        <w:t xml:space="preserve">migraine responder rate by </w:t>
      </w:r>
      <w:proofErr w:type="gramStart"/>
      <w:r w:rsidR="005D5533" w:rsidRPr="00C46BF0">
        <w:t>12 week</w:t>
      </w:r>
      <w:proofErr w:type="gramEnd"/>
      <w:r w:rsidR="005D5533" w:rsidRPr="00C46BF0">
        <w:t xml:space="preserve"> interval and treatment</w:t>
      </w:r>
    </w:p>
    <w:p w14:paraId="484B6C3F" w14:textId="62AEE677" w:rsidR="002120B5" w:rsidRPr="00C46BF0" w:rsidRDefault="002120B5" w:rsidP="00C46BF0">
      <w:r>
        <w:rPr>
          <w:noProof/>
          <w:lang w:val="en-GB" w:eastAsia="en-GB"/>
        </w:rPr>
        <w:drawing>
          <wp:inline distT="0" distB="0" distL="0" distR="0" wp14:anchorId="6ACC5738" wp14:editId="032E5337">
            <wp:extent cx="5400040" cy="2008505"/>
            <wp:effectExtent l="0" t="0" r="0" b="0"/>
            <wp:docPr id="6" name="Picture 6" descr="Table 8: Study 006 Summary of 50% migraine responder rate by 12 week interval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 8: Study 006 Summary of 50% migraine responder rate by 12 week interval and treatment"/>
                    <pic:cNvPicPr/>
                  </pic:nvPicPr>
                  <pic:blipFill>
                    <a:blip r:embed="rId23">
                      <a:extLst>
                        <a:ext uri="{28A0092B-C50C-407E-A947-70E740481C1C}">
                          <a14:useLocalDpi xmlns:a14="http://schemas.microsoft.com/office/drawing/2010/main" val="0"/>
                        </a:ext>
                      </a:extLst>
                    </a:blip>
                    <a:stretch>
                      <a:fillRect/>
                    </a:stretch>
                  </pic:blipFill>
                  <pic:spPr>
                    <a:xfrm>
                      <a:off x="0" y="0"/>
                      <a:ext cx="5400040" cy="2008505"/>
                    </a:xfrm>
                    <a:prstGeom prst="rect">
                      <a:avLst/>
                    </a:prstGeom>
                  </pic:spPr>
                </pic:pic>
              </a:graphicData>
            </a:graphic>
          </wp:inline>
        </w:drawing>
      </w:r>
    </w:p>
    <w:p w14:paraId="3AC9D52B" w14:textId="1AD912A7" w:rsidR="002120B5" w:rsidRPr="00C46BF0" w:rsidRDefault="00543BDC" w:rsidP="00C46BF0">
      <w:pPr>
        <w:pStyle w:val="TableDescription"/>
      </w:pPr>
      <w:r w:rsidRPr="00C46BF0">
        <w:t>CI = confidence interval</w:t>
      </w:r>
      <w:r>
        <w:t xml:space="preserve">; </w:t>
      </w:r>
      <w:r w:rsidR="002120B5" w:rsidRPr="00C46BF0">
        <w:t>N = total number of subjects in a group.</w:t>
      </w:r>
    </w:p>
    <w:p w14:paraId="39454424" w14:textId="5D3CC4EF" w:rsidR="002120B5" w:rsidRPr="00C46BF0" w:rsidRDefault="002120B5" w:rsidP="00C46BF0">
      <w:pPr>
        <w:pStyle w:val="TableDescription"/>
      </w:pPr>
      <w:proofErr w:type="gramStart"/>
      <w:r w:rsidRPr="00C46BF0">
        <w:t>a 95% confidence intervals</w:t>
      </w:r>
      <w:proofErr w:type="gramEnd"/>
      <w:r w:rsidRPr="00C46BF0">
        <w:t xml:space="preserve"> were calculated based upon normal approximation for two independent proportions. Stratification was not used.</w:t>
      </w:r>
    </w:p>
    <w:p w14:paraId="209C72A2" w14:textId="64BC8715" w:rsidR="002120B5" w:rsidRPr="00C46BF0" w:rsidRDefault="002120B5" w:rsidP="00C46BF0">
      <w:pPr>
        <w:pStyle w:val="TableDescription"/>
      </w:pPr>
      <w:r w:rsidRPr="00C46BF0">
        <w:t>b P-values for the key secondary endpoint 50% migraine responder rate for Weeks 1 to 12 were obtained from the Cochran-Mantel-Haenszel test stratified by randomized baseline migraine days (≤ 9 days, &gt; 9 days). Significant P-values were determined by the decision rule outlined by the statistical analysis plan.</w:t>
      </w:r>
    </w:p>
    <w:p w14:paraId="65E54BCB" w14:textId="499427AB" w:rsidR="002120B5" w:rsidRPr="00C46BF0" w:rsidRDefault="002120B5" w:rsidP="00C46BF0">
      <w:pPr>
        <w:pStyle w:val="TableDescription"/>
      </w:pPr>
      <w:r w:rsidRPr="00C46BF0">
        <w:t xml:space="preserve">c </w:t>
      </w:r>
      <w:proofErr w:type="gramStart"/>
      <w:r w:rsidRPr="00C46BF0">
        <w:t>The</w:t>
      </w:r>
      <w:proofErr w:type="gramEnd"/>
      <w:r w:rsidRPr="00C46BF0">
        <w:t xml:space="preserve"> common odds ratio and 95% confidence intervals were obtained from the Mantel-Haenszel test stratified by randomised baseline migraine days (≤ 9 days, &gt; 9 days).</w:t>
      </w:r>
    </w:p>
    <w:p w14:paraId="5D9A5FA1" w14:textId="77777777" w:rsidR="00D677A9" w:rsidRPr="00C46BF0" w:rsidRDefault="00D677A9" w:rsidP="00C46BF0">
      <w:r w:rsidRPr="00C46BF0">
        <w:t>Overall, outcomes of other secondary endpoints were supportive of the key primary and secondary endpoints.</w:t>
      </w:r>
    </w:p>
    <w:p w14:paraId="06539B87" w14:textId="0B8889E1" w:rsidR="00D677A9" w:rsidRPr="00C46BF0" w:rsidRDefault="00D677A9" w:rsidP="00C46BF0">
      <w:r w:rsidRPr="00C46BF0">
        <w:t xml:space="preserve">The efficacy outcomes with headache-endpoints were overall </w:t>
      </w:r>
      <w:proofErr w:type="gramStart"/>
      <w:r w:rsidRPr="00C46BF0">
        <w:t>similar to</w:t>
      </w:r>
      <w:proofErr w:type="gramEnd"/>
      <w:r w:rsidRPr="00C46BF0">
        <w:t xml:space="preserve"> the migraine</w:t>
      </w:r>
      <w:r w:rsidR="00894DF0" w:rsidRPr="00C46BF0">
        <w:t xml:space="preserve"> </w:t>
      </w:r>
      <w:r w:rsidRPr="00C46BF0">
        <w:t>endpoints.</w:t>
      </w:r>
    </w:p>
    <w:p w14:paraId="50823D12" w14:textId="0D04C2AC" w:rsidR="00D677A9" w:rsidRPr="00C46BF0" w:rsidRDefault="00D677A9" w:rsidP="00C46BF0">
      <w:pPr>
        <w:pStyle w:val="Heading6"/>
      </w:pPr>
      <w:r w:rsidRPr="00C46BF0">
        <w:t>Health</w:t>
      </w:r>
      <w:r w:rsidR="00894DF0" w:rsidRPr="00C46BF0">
        <w:t xml:space="preserve"> </w:t>
      </w:r>
      <w:r w:rsidRPr="00C46BF0">
        <w:t>related quality of life</w:t>
      </w:r>
    </w:p>
    <w:p w14:paraId="2F6DA9C4" w14:textId="7DDA7199" w:rsidR="00D677A9" w:rsidRPr="00C46BF0" w:rsidRDefault="00D677A9" w:rsidP="00C46BF0">
      <w:r w:rsidRPr="00C46BF0">
        <w:t xml:space="preserve">At </w:t>
      </w:r>
      <w:r w:rsidR="00A901E5" w:rsidRPr="00C46BF0">
        <w:t>Baseline</w:t>
      </w:r>
      <w:r w:rsidRPr="00C46BF0">
        <w:t xml:space="preserve">, approximately 52% to </w:t>
      </w:r>
      <w:r w:rsidR="00894DF0" w:rsidRPr="00C46BF0">
        <w:t>61% of subjects did not report ‘</w:t>
      </w:r>
      <w:r w:rsidRPr="00C46BF0">
        <w:t>problems w</w:t>
      </w:r>
      <w:r w:rsidR="00894DF0" w:rsidRPr="00C46BF0">
        <w:t>ith pain/</w:t>
      </w:r>
      <w:r w:rsidRPr="00C46BF0">
        <w:t>discomfort</w:t>
      </w:r>
      <w:r w:rsidR="00894DF0" w:rsidRPr="00C46BF0">
        <w:t>’ across all treatment groups</w:t>
      </w:r>
      <w:r w:rsidR="005A7D2B">
        <w:t xml:space="preserve"> by using EQ-5D-5L</w:t>
      </w:r>
      <w:r w:rsidR="00EF103B">
        <w:t xml:space="preserve"> health </w:t>
      </w:r>
      <w:proofErr w:type="spellStart"/>
      <w:r w:rsidR="00EF103B">
        <w:t>questionare</w:t>
      </w:r>
      <w:proofErr w:type="spellEnd"/>
      <w:r w:rsidR="00894DF0" w:rsidRPr="00C46BF0">
        <w:t>.</w:t>
      </w:r>
    </w:p>
    <w:p w14:paraId="1D168FF5" w14:textId="38FB4590" w:rsidR="00D677A9" w:rsidRPr="00C46BF0" w:rsidRDefault="00D677A9" w:rsidP="00C46BF0">
      <w:r w:rsidRPr="00C46BF0">
        <w:t>By Week 12, a decrease in pain</w:t>
      </w:r>
      <w:r w:rsidR="00894DF0" w:rsidRPr="00C46BF0">
        <w:t xml:space="preserve"> or d</w:t>
      </w:r>
      <w:r w:rsidRPr="00C46BF0">
        <w:t>iscomfort was noted in 48 subjects (23.1%), 52</w:t>
      </w:r>
      <w:r w:rsidR="00894DF0" w:rsidRPr="00C46BF0">
        <w:t> </w:t>
      </w:r>
      <w:r w:rsidRPr="00C46BF0">
        <w:t xml:space="preserve">subjects (25.2%), and 43 subjects (21.4%) in the </w:t>
      </w:r>
      <w:proofErr w:type="spellStart"/>
      <w:r w:rsidR="00894DF0" w:rsidRPr="00C46BF0">
        <w:t>eptinezumab</w:t>
      </w:r>
      <w:proofErr w:type="spellEnd"/>
      <w:r w:rsidR="00894DF0" w:rsidRPr="00C46BF0">
        <w:t xml:space="preserve"> 300 mg, 100 mg, and 30 </w:t>
      </w:r>
      <w:r w:rsidRPr="00C46BF0">
        <w:t>mg groups, respectively, compared with 39 subject</w:t>
      </w:r>
      <w:r w:rsidR="00894DF0" w:rsidRPr="00C46BF0">
        <w:t>s (19.7%) in the placebo group.</w:t>
      </w:r>
    </w:p>
    <w:p w14:paraId="059D75FC" w14:textId="77777777" w:rsidR="00D677A9" w:rsidRPr="00C46BF0" w:rsidRDefault="00547EF6" w:rsidP="00C46BF0">
      <w:pPr>
        <w:pStyle w:val="Heading5"/>
      </w:pPr>
      <w:r w:rsidRPr="00C46BF0">
        <w:t>Study 011</w:t>
      </w:r>
    </w:p>
    <w:p w14:paraId="03D05F4F" w14:textId="0B1C9A08" w:rsidR="006044FC" w:rsidRPr="00C46BF0" w:rsidRDefault="00D677A9" w:rsidP="00C46BF0">
      <w:r w:rsidRPr="00C46BF0">
        <w:t xml:space="preserve">Overall, the study design was identical to </w:t>
      </w:r>
      <w:r w:rsidR="00894DF0" w:rsidRPr="00C46BF0">
        <w:t xml:space="preserve">Study </w:t>
      </w:r>
      <w:r w:rsidRPr="00C46BF0">
        <w:t>006, except for the duration (32 weeks), patient population (chronic migraine), number of infusions (n</w:t>
      </w:r>
      <w:r w:rsidR="00894DF0" w:rsidRPr="00C46BF0">
        <w:t> </w:t>
      </w:r>
      <w:r w:rsidRPr="00C46BF0">
        <w:t>=</w:t>
      </w:r>
      <w:r w:rsidR="00894DF0" w:rsidRPr="00C46BF0">
        <w:t> </w:t>
      </w:r>
      <w:r w:rsidRPr="00C46BF0">
        <w:t xml:space="preserve">2) and the number of treatment groups (3 groups: </w:t>
      </w:r>
      <w:proofErr w:type="spellStart"/>
      <w:r w:rsidRPr="00C46BF0">
        <w:t>eptinezumab</w:t>
      </w:r>
      <w:proofErr w:type="spellEnd"/>
      <w:r w:rsidRPr="00C46BF0">
        <w:t xml:space="preserve"> 100, 300</w:t>
      </w:r>
      <w:r w:rsidR="00894DF0" w:rsidRPr="00C46BF0">
        <w:t> </w:t>
      </w:r>
      <w:r w:rsidRPr="00C46BF0">
        <w:t>mg and placebo).</w:t>
      </w:r>
    </w:p>
    <w:p w14:paraId="6E1D03B1" w14:textId="13722122" w:rsidR="00D677A9" w:rsidRPr="00C46BF0" w:rsidRDefault="00D677A9" w:rsidP="00C46BF0">
      <w:r w:rsidRPr="00C46BF0">
        <w:t>Subjects were randomly assigned to one of the t</w:t>
      </w:r>
      <w:r w:rsidR="00894DF0" w:rsidRPr="00C46BF0">
        <w:t xml:space="preserve">wo </w:t>
      </w:r>
      <w:proofErr w:type="spellStart"/>
      <w:r w:rsidR="00894DF0" w:rsidRPr="00C46BF0">
        <w:t>eptinezumab</w:t>
      </w:r>
      <w:proofErr w:type="spellEnd"/>
      <w:r w:rsidR="00894DF0" w:rsidRPr="00C46BF0">
        <w:t xml:space="preserve"> dose levels (100 mg or 300 </w:t>
      </w:r>
      <w:r w:rsidRPr="00C46BF0">
        <w:t xml:space="preserve">mg) or placebo in a 1:1:1 ratio. Treatment included 2 infusions of </w:t>
      </w:r>
      <w:proofErr w:type="spellStart"/>
      <w:proofErr w:type="gramStart"/>
      <w:r w:rsidR="00894DF0" w:rsidRPr="00C46BF0">
        <w:t>eptinezumab</w:t>
      </w:r>
      <w:proofErr w:type="spellEnd"/>
      <w:proofErr w:type="gramEnd"/>
      <w:r w:rsidR="00894DF0" w:rsidRPr="00C46BF0">
        <w:t xml:space="preserve"> </w:t>
      </w:r>
      <w:r w:rsidRPr="00C46BF0">
        <w:t>or placebo administered on Day</w:t>
      </w:r>
      <w:r w:rsidR="00894DF0" w:rsidRPr="00C46BF0">
        <w:t> 0 and at the Week </w:t>
      </w:r>
      <w:r w:rsidRPr="00C46BF0">
        <w:t>12 visit</w:t>
      </w:r>
      <w:r w:rsidR="00894DF0" w:rsidRPr="00C46BF0">
        <w:t>. Subjects were followed for 20 </w:t>
      </w:r>
      <w:r w:rsidRPr="00C46BF0">
        <w:t>weeks after the final dose for a total study duration of 36 weeks.</w:t>
      </w:r>
    </w:p>
    <w:p w14:paraId="6A23994E" w14:textId="2AE2468A" w:rsidR="00D677A9" w:rsidRPr="00C46BF0" w:rsidRDefault="00D677A9" w:rsidP="00C46BF0">
      <w:r w:rsidRPr="00C46BF0">
        <w:t xml:space="preserve">The primary efficacy endpoint was the change from </w:t>
      </w:r>
      <w:r w:rsidR="00A901E5" w:rsidRPr="00C46BF0">
        <w:t>Baseline</w:t>
      </w:r>
      <w:r w:rsidRPr="00C46BF0">
        <w:t xml:space="preserve"> in the frequency of monthly migraine days over the </w:t>
      </w:r>
      <w:r w:rsidR="00665E49" w:rsidRPr="00C46BF0">
        <w:t>Week</w:t>
      </w:r>
      <w:r w:rsidRPr="00C46BF0">
        <w:t>s 1</w:t>
      </w:r>
      <w:r w:rsidR="00894DF0" w:rsidRPr="00C46BF0">
        <w:t xml:space="preserve"> to </w:t>
      </w:r>
      <w:r w:rsidRPr="00C46BF0">
        <w:t>12 interval following the first dose.</w:t>
      </w:r>
    </w:p>
    <w:p w14:paraId="72BD36D9" w14:textId="1F14C23E" w:rsidR="00D677A9" w:rsidRPr="00C46BF0" w:rsidRDefault="00D677A9" w:rsidP="00C46BF0">
      <w:r w:rsidRPr="00C46BF0">
        <w:lastRenderedPageBreak/>
        <w:t xml:space="preserve">The key secondary efficacy endpoints were 75% migraine responder rate over </w:t>
      </w:r>
      <w:r w:rsidR="00665E49" w:rsidRPr="00C46BF0">
        <w:t>Week</w:t>
      </w:r>
      <w:r w:rsidRPr="00C46BF0">
        <w:t>s</w:t>
      </w:r>
      <w:r w:rsidR="00894DF0" w:rsidRPr="00C46BF0">
        <w:t> </w:t>
      </w:r>
      <w:r w:rsidRPr="00C46BF0">
        <w:t>1 to 4 and from 1 to 12, 50%</w:t>
      </w:r>
      <w:r w:rsidR="00894DF0" w:rsidRPr="00C46BF0">
        <w:t xml:space="preserve"> </w:t>
      </w:r>
      <w:r w:rsidRPr="00C46BF0">
        <w:t>migraine responder rate over 1</w:t>
      </w:r>
      <w:r w:rsidR="00894DF0" w:rsidRPr="00C46BF0">
        <w:t xml:space="preserve"> to </w:t>
      </w:r>
      <w:r w:rsidRPr="00C46BF0">
        <w:t xml:space="preserve">12 </w:t>
      </w:r>
      <w:r w:rsidR="00894DF0" w:rsidRPr="00C46BF0">
        <w:t>w</w:t>
      </w:r>
      <w:r w:rsidR="00665E49" w:rsidRPr="00C46BF0">
        <w:t>eek</w:t>
      </w:r>
      <w:r w:rsidRPr="00C46BF0">
        <w:t>s</w:t>
      </w:r>
      <w:r w:rsidR="00E25D04">
        <w:t>.</w:t>
      </w:r>
    </w:p>
    <w:p w14:paraId="5FEE2A27" w14:textId="77777777" w:rsidR="00D677A9" w:rsidRPr="00C46BF0" w:rsidRDefault="00D677A9" w:rsidP="00C46BF0">
      <w:pPr>
        <w:pStyle w:val="Heading6"/>
      </w:pPr>
      <w:r w:rsidRPr="00C46BF0">
        <w:t>Key inclusion criteria</w:t>
      </w:r>
    </w:p>
    <w:p w14:paraId="4ED3F5CE" w14:textId="2FA7F6A1" w:rsidR="00D677A9" w:rsidRPr="00C46BF0" w:rsidRDefault="00D677A9" w:rsidP="00C46BF0">
      <w:pPr>
        <w:pStyle w:val="ListBullet"/>
      </w:pPr>
      <w:r w:rsidRPr="00C46BF0">
        <w:t>Diagnosis of migraine at ≤</w:t>
      </w:r>
      <w:r w:rsidR="00894DF0" w:rsidRPr="00C46BF0">
        <w:t> </w:t>
      </w:r>
      <w:r w:rsidRPr="00C46BF0">
        <w:t>50 years of age with a history of chronic migraine</w:t>
      </w:r>
      <w:r w:rsidR="00894DF0" w:rsidRPr="00C46BF0">
        <w:t>.</w:t>
      </w:r>
    </w:p>
    <w:p w14:paraId="06F822FA" w14:textId="0D4E7FEE" w:rsidR="00F13F1C" w:rsidRDefault="00D677A9" w:rsidP="00F13F1C">
      <w:pPr>
        <w:pStyle w:val="ListBullet"/>
      </w:pPr>
      <w:r w:rsidRPr="00C46BF0">
        <w:t xml:space="preserve">During the </w:t>
      </w:r>
      <w:proofErr w:type="gramStart"/>
      <w:r w:rsidRPr="00C46BF0">
        <w:t>28</w:t>
      </w:r>
      <w:r w:rsidR="00894DF0" w:rsidRPr="00C46BF0">
        <w:t xml:space="preserve"> </w:t>
      </w:r>
      <w:r w:rsidRPr="00C46BF0">
        <w:t>day</w:t>
      </w:r>
      <w:proofErr w:type="gramEnd"/>
      <w:r w:rsidRPr="00C46BF0">
        <w:t xml:space="preserve"> screening period, the subject had ≥</w:t>
      </w:r>
      <w:r w:rsidR="00894DF0" w:rsidRPr="00C46BF0">
        <w:t> </w:t>
      </w:r>
      <w:r w:rsidRPr="00C46BF0">
        <w:t>15 to ≤</w:t>
      </w:r>
      <w:r w:rsidR="00894DF0" w:rsidRPr="00C46BF0">
        <w:t> </w:t>
      </w:r>
      <w:r w:rsidRPr="00C46BF0">
        <w:t>26 headache days, of which ≥</w:t>
      </w:r>
      <w:r w:rsidR="00894DF0" w:rsidRPr="00C46BF0">
        <w:t> </w:t>
      </w:r>
      <w:r w:rsidRPr="00C46BF0">
        <w:t>8 days were assessed as migraine days</w:t>
      </w:r>
      <w:r w:rsidR="00894DF0" w:rsidRPr="00C46BF0">
        <w:t>.</w:t>
      </w:r>
    </w:p>
    <w:p w14:paraId="3C97555C" w14:textId="3CA2D0C2" w:rsidR="00E71596" w:rsidRDefault="00E71596" w:rsidP="00A23376">
      <w:r>
        <w:t>O</w:t>
      </w:r>
      <w:r w:rsidR="006C135B" w:rsidRPr="006C135B">
        <w:t xml:space="preserve">ther inclusion criteria were largely identical to Study 006 with </w:t>
      </w:r>
      <w:r w:rsidR="00A23376">
        <w:t xml:space="preserve">one of the </w:t>
      </w:r>
      <w:proofErr w:type="spellStart"/>
      <w:r w:rsidR="006C135B" w:rsidRPr="006C135B">
        <w:t>the</w:t>
      </w:r>
      <w:proofErr w:type="spellEnd"/>
      <w:r w:rsidR="006C135B" w:rsidRPr="006C135B">
        <w:t xml:space="preserve"> exception</w:t>
      </w:r>
      <w:r w:rsidR="00A23376">
        <w:t>s</w:t>
      </w:r>
      <w:r w:rsidR="006C135B" w:rsidRPr="006C135B">
        <w:t xml:space="preserve"> that</w:t>
      </w:r>
      <w:r w:rsidR="00A23376">
        <w:t xml:space="preserve"> </w:t>
      </w:r>
      <w:r>
        <w:t>Study 006 was conducted in patients with episodic migraine, in contrast to Study 011, which was conducted in patients with chronic migraine.</w:t>
      </w:r>
    </w:p>
    <w:p w14:paraId="66AF418B" w14:textId="77777777" w:rsidR="00C912C3" w:rsidRDefault="00C912C3" w:rsidP="00E837A3">
      <w:pPr>
        <w:pStyle w:val="Heading6"/>
      </w:pPr>
      <w:r>
        <w:t>Exclusion criteria</w:t>
      </w:r>
    </w:p>
    <w:p w14:paraId="3287582D" w14:textId="53177049" w:rsidR="00E837A3" w:rsidRDefault="00C912C3" w:rsidP="00C912C3">
      <w:r>
        <w:t>The exclusion criteria in Study 011 were largely identical to Study 006</w:t>
      </w:r>
      <w:r w:rsidR="00040477">
        <w:t>.</w:t>
      </w:r>
    </w:p>
    <w:p w14:paraId="7BC01481" w14:textId="38E1C28F" w:rsidR="00D677A9" w:rsidRPr="00C46BF0" w:rsidRDefault="00D677A9" w:rsidP="00C46BF0">
      <w:pPr>
        <w:pStyle w:val="Heading6"/>
      </w:pPr>
      <w:r w:rsidRPr="00C46BF0">
        <w:t>Study population</w:t>
      </w:r>
    </w:p>
    <w:p w14:paraId="12DF8331" w14:textId="7883280E" w:rsidR="00D677A9" w:rsidRPr="00C46BF0" w:rsidRDefault="00D677A9" w:rsidP="00C46BF0">
      <w:r w:rsidRPr="00C46BF0">
        <w:t xml:space="preserve">1121 subjects were randomised to </w:t>
      </w:r>
      <w:proofErr w:type="spellStart"/>
      <w:r w:rsidRPr="00C46BF0">
        <w:t>eptinezumab</w:t>
      </w:r>
      <w:proofErr w:type="spellEnd"/>
      <w:r w:rsidRPr="00C46BF0">
        <w:t xml:space="preserve"> 100, 300</w:t>
      </w:r>
      <w:r w:rsidR="00894DF0" w:rsidRPr="00C46BF0">
        <w:t> </w:t>
      </w:r>
      <w:r w:rsidRPr="00C46BF0">
        <w:t>mg and placebo. Around 4% of subjects discontinued treatment, with withdrawal of consent being the commonest reason.</w:t>
      </w:r>
    </w:p>
    <w:p w14:paraId="23B898B0" w14:textId="77777777" w:rsidR="00D677A9" w:rsidRPr="00C46BF0" w:rsidRDefault="00D677A9" w:rsidP="00C46BF0">
      <w:pPr>
        <w:pStyle w:val="Heading6"/>
      </w:pPr>
      <w:r w:rsidRPr="00C46BF0">
        <w:t>Baseline demographics</w:t>
      </w:r>
    </w:p>
    <w:p w14:paraId="7BC66004" w14:textId="143D1068" w:rsidR="00D677A9" w:rsidRPr="00C46BF0" w:rsidRDefault="00894DF0" w:rsidP="00C46BF0">
      <w:r w:rsidRPr="00C46BF0">
        <w:t>The mean age was around 40 </w:t>
      </w:r>
      <w:r w:rsidR="00D677A9" w:rsidRPr="00C46BF0">
        <w:t>years. Around 88% of subjects were females. Around 55% of subjects had &lt;</w:t>
      </w:r>
      <w:r w:rsidRPr="00C46BF0">
        <w:t> </w:t>
      </w:r>
      <w:r w:rsidR="00D677A9" w:rsidRPr="00C46BF0">
        <w:t xml:space="preserve">17 migraine days at </w:t>
      </w:r>
      <w:r w:rsidR="00A901E5" w:rsidRPr="00C46BF0">
        <w:t>Baseline</w:t>
      </w:r>
      <w:r w:rsidR="00D677A9" w:rsidRPr="00C46BF0">
        <w:t xml:space="preserve">. Majority of the subjects (85.2%) did not use prophylactic medication prior to randomisation. The mean number of headache days per </w:t>
      </w:r>
      <w:proofErr w:type="gramStart"/>
      <w:r w:rsidR="00D677A9" w:rsidRPr="00C46BF0">
        <w:t>28</w:t>
      </w:r>
      <w:r w:rsidRPr="00C46BF0">
        <w:t xml:space="preserve"> </w:t>
      </w:r>
      <w:r w:rsidR="00D677A9" w:rsidRPr="00C46BF0">
        <w:t>day</w:t>
      </w:r>
      <w:proofErr w:type="gramEnd"/>
      <w:r w:rsidR="00D677A9" w:rsidRPr="00C46BF0">
        <w:t xml:space="preserve"> period in the 3 months prior to screening was 20.1 days. The mean number of migraine days per </w:t>
      </w:r>
      <w:proofErr w:type="gramStart"/>
      <w:r w:rsidR="00D677A9" w:rsidRPr="00C46BF0">
        <w:t>28</w:t>
      </w:r>
      <w:r w:rsidRPr="00C46BF0">
        <w:t xml:space="preserve"> </w:t>
      </w:r>
      <w:r w:rsidR="00D677A9" w:rsidRPr="00C46BF0">
        <w:t>day</w:t>
      </w:r>
      <w:proofErr w:type="gramEnd"/>
      <w:r w:rsidR="00D677A9" w:rsidRPr="00C46BF0">
        <w:t xml:space="preserve"> period in the 3 months prior to screening was 14.8 days.</w:t>
      </w:r>
    </w:p>
    <w:p w14:paraId="045E6F9E" w14:textId="405E0125" w:rsidR="00D677A9" w:rsidRPr="00C46BF0" w:rsidRDefault="00D677A9" w:rsidP="00C46BF0">
      <w:r w:rsidRPr="00C46BF0">
        <w:t xml:space="preserve">Overall, the mean baseline percent of days that subjects used any headache medication was 51.12%. At </w:t>
      </w:r>
      <w:r w:rsidR="00A901E5" w:rsidRPr="00C46BF0">
        <w:t>Baseline</w:t>
      </w:r>
      <w:r w:rsidRPr="00C46BF0">
        <w:t>, the mean percent of days with ergotamine, triptan, simple analgesic, opioid, and combination analgesic usage was 0.63%, 23.93%, 22.17%, 0</w:t>
      </w:r>
      <w:r w:rsidR="00894DF0" w:rsidRPr="00C46BF0">
        <w:t>.63%, and 13.54%, respectively.</w:t>
      </w:r>
    </w:p>
    <w:p w14:paraId="35ECC51C" w14:textId="77777777" w:rsidR="00D677A9" w:rsidRPr="00C46BF0" w:rsidRDefault="00D677A9" w:rsidP="00C46BF0">
      <w:pPr>
        <w:pStyle w:val="Heading6"/>
      </w:pPr>
      <w:r w:rsidRPr="00C46BF0">
        <w:t>Results</w:t>
      </w:r>
    </w:p>
    <w:p w14:paraId="57528C4D" w14:textId="77777777" w:rsidR="00D677A9" w:rsidRPr="00C46BF0" w:rsidRDefault="00D677A9" w:rsidP="00C46BF0">
      <w:pPr>
        <w:pStyle w:val="Heading6"/>
      </w:pPr>
      <w:r w:rsidRPr="00C46BF0">
        <w:t>Primary endpoint</w:t>
      </w:r>
    </w:p>
    <w:p w14:paraId="0883CD9D" w14:textId="3086087E" w:rsidR="00D677A9" w:rsidRPr="00C46BF0" w:rsidRDefault="00745C9E" w:rsidP="00C46BF0">
      <w:r w:rsidRPr="009C0339">
        <w:t>For the primary efficacy endpoint of c</w:t>
      </w:r>
      <w:r w:rsidR="00D677A9" w:rsidRPr="009C0339">
        <w:t xml:space="preserve">hange from </w:t>
      </w:r>
      <w:r w:rsidR="00A901E5" w:rsidRPr="009C0339">
        <w:t>Baseline</w:t>
      </w:r>
      <w:r w:rsidR="00D677A9" w:rsidRPr="009C0339">
        <w:t xml:space="preserve"> in the frequency of monthly migraine days over the </w:t>
      </w:r>
      <w:r w:rsidR="00665E49" w:rsidRPr="009C0339">
        <w:t>Week</w:t>
      </w:r>
      <w:r w:rsidR="00D677A9" w:rsidRPr="009C0339">
        <w:t>s 1</w:t>
      </w:r>
      <w:r w:rsidR="00894DF0" w:rsidRPr="009C0339">
        <w:t xml:space="preserve"> to </w:t>
      </w:r>
      <w:r w:rsidR="00D677A9" w:rsidRPr="009C0339">
        <w:t>12</w:t>
      </w:r>
      <w:r>
        <w:t>, a</w:t>
      </w:r>
      <w:r w:rsidR="00D677A9" w:rsidRPr="00C46BF0">
        <w:t xml:space="preserve">t </w:t>
      </w:r>
      <w:r w:rsidR="00665E49" w:rsidRPr="00C46BF0">
        <w:t>Week</w:t>
      </w:r>
      <w:r w:rsidR="00D677A9" w:rsidRPr="00C46BF0">
        <w:t xml:space="preserve"> 12, subjects in </w:t>
      </w:r>
      <w:proofErr w:type="spellStart"/>
      <w:r w:rsidR="00D677A9" w:rsidRPr="00C46BF0">
        <w:t>eptinezumab</w:t>
      </w:r>
      <w:proofErr w:type="spellEnd"/>
      <w:r w:rsidR="00D677A9" w:rsidRPr="00C46BF0">
        <w:t xml:space="preserve"> 300</w:t>
      </w:r>
      <w:r w:rsidR="00894DF0" w:rsidRPr="00C46BF0">
        <w:t> </w:t>
      </w:r>
      <w:r w:rsidR="00D677A9" w:rsidRPr="00C46BF0">
        <w:t>mg and 100</w:t>
      </w:r>
      <w:r w:rsidR="00894DF0" w:rsidRPr="00C46BF0">
        <w:t> </w:t>
      </w:r>
      <w:r w:rsidR="00D677A9" w:rsidRPr="00C46BF0">
        <w:t>mg arms achieved a greater reduction of 2.6 and 2.03 migraine days, compared to placebo. The treatment difference</w:t>
      </w:r>
      <w:r w:rsidR="00894DF0" w:rsidRPr="00C46BF0">
        <w:t xml:space="preserve"> was statistically significant.</w:t>
      </w:r>
    </w:p>
    <w:p w14:paraId="4373C771" w14:textId="67917E5C" w:rsidR="00D677A9" w:rsidRPr="00C46BF0" w:rsidRDefault="00283415" w:rsidP="00C46BF0">
      <w:pPr>
        <w:pStyle w:val="TableTitle"/>
      </w:pPr>
      <w:r w:rsidRPr="00C46BF0">
        <w:lastRenderedPageBreak/>
        <w:t xml:space="preserve">Table </w:t>
      </w:r>
      <w:r>
        <w:fldChar w:fldCharType="begin"/>
      </w:r>
      <w:r>
        <w:instrText>SEQ Table \* ARABIC</w:instrText>
      </w:r>
      <w:r>
        <w:fldChar w:fldCharType="separate"/>
      </w:r>
      <w:r w:rsidR="00112693">
        <w:rPr>
          <w:noProof/>
        </w:rPr>
        <w:t>9</w:t>
      </w:r>
      <w:r>
        <w:fldChar w:fldCharType="end"/>
      </w:r>
      <w:r w:rsidR="00D677A9" w:rsidRPr="00C46BF0">
        <w:t xml:space="preserve">: </w:t>
      </w:r>
      <w:r w:rsidR="002C265C" w:rsidRPr="00C46BF0">
        <w:t xml:space="preserve">Study 011 </w:t>
      </w:r>
      <w:r w:rsidR="00D677A9" w:rsidRPr="00C46BF0">
        <w:t>Primar</w:t>
      </w:r>
      <w:r w:rsidR="002C265C" w:rsidRPr="00C46BF0">
        <w:t xml:space="preserve">y endpoint: analysis of migraine days by </w:t>
      </w:r>
      <w:proofErr w:type="gramStart"/>
      <w:r w:rsidR="002C265C" w:rsidRPr="00C46BF0">
        <w:t>12 week</w:t>
      </w:r>
      <w:proofErr w:type="gramEnd"/>
      <w:r w:rsidR="002C265C" w:rsidRPr="00C46BF0">
        <w:t xml:space="preserve"> interval and treatment</w:t>
      </w:r>
    </w:p>
    <w:p w14:paraId="4BB717DC" w14:textId="187D3ADD" w:rsidR="00D677A9" w:rsidRPr="00C46BF0" w:rsidRDefault="00D677A9" w:rsidP="00C46BF0">
      <w:r>
        <w:rPr>
          <w:noProof/>
          <w:lang w:val="en-GB" w:eastAsia="en-GB"/>
        </w:rPr>
        <w:drawing>
          <wp:inline distT="0" distB="0" distL="0" distR="0" wp14:anchorId="6496A14B" wp14:editId="28B355D9">
            <wp:extent cx="5467129" cy="2623931"/>
            <wp:effectExtent l="0" t="0" r="635" b="5080"/>
            <wp:docPr id="5" name="Picture 5" descr="Table 9: Study 011 Primary endpoint: analysis of migraine days by 12 week interval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 9: Study 011 Primary endpoint: analysis of migraine days by 12 week interval and treatment"/>
                    <pic:cNvPicPr/>
                  </pic:nvPicPr>
                  <pic:blipFill>
                    <a:blip r:embed="rId24">
                      <a:extLst>
                        <a:ext uri="{28A0092B-C50C-407E-A947-70E740481C1C}">
                          <a14:useLocalDpi xmlns:a14="http://schemas.microsoft.com/office/drawing/2010/main" val="0"/>
                        </a:ext>
                      </a:extLst>
                    </a:blip>
                    <a:stretch>
                      <a:fillRect/>
                    </a:stretch>
                  </pic:blipFill>
                  <pic:spPr>
                    <a:xfrm>
                      <a:off x="0" y="0"/>
                      <a:ext cx="5471654" cy="2626103"/>
                    </a:xfrm>
                    <a:prstGeom prst="rect">
                      <a:avLst/>
                    </a:prstGeom>
                  </pic:spPr>
                </pic:pic>
              </a:graphicData>
            </a:graphic>
          </wp:inline>
        </w:drawing>
      </w:r>
    </w:p>
    <w:p w14:paraId="13EDF046" w14:textId="4261B06D" w:rsidR="005D5533" w:rsidRPr="00C46BF0" w:rsidRDefault="00543BDC" w:rsidP="00C46BF0">
      <w:pPr>
        <w:pStyle w:val="TableDescription"/>
      </w:pPr>
      <w:r w:rsidRPr="00C46BF0">
        <w:t>CI = confidence interval</w:t>
      </w:r>
      <w:r>
        <w:t>;</w:t>
      </w:r>
      <w:r w:rsidRPr="00C46BF0">
        <w:t xml:space="preserve"> </w:t>
      </w:r>
      <w:r w:rsidR="005D5533" w:rsidRPr="00C46BF0">
        <w:t>N = total number of subjects in a group.</w:t>
      </w:r>
    </w:p>
    <w:p w14:paraId="3922500F" w14:textId="0039DD08" w:rsidR="005D5533" w:rsidRPr="00C46BF0" w:rsidRDefault="005D5533" w:rsidP="00C46BF0">
      <w:pPr>
        <w:pStyle w:val="TableDescription"/>
      </w:pPr>
      <w:r w:rsidRPr="00C46BF0">
        <w:t>a Change from Baseline was the difference in migraine days between Baseline and the selected interval.</w:t>
      </w:r>
    </w:p>
    <w:p w14:paraId="1747F3CC" w14:textId="62788164" w:rsidR="005D5533" w:rsidRPr="00C46BF0" w:rsidRDefault="005D5533" w:rsidP="00C46BF0">
      <w:pPr>
        <w:pStyle w:val="TableDescription"/>
      </w:pPr>
      <w:r w:rsidRPr="00C46BF0">
        <w:t>b Significant P-values for the primary endpoint change from Baseline migraine days from Weeks 1 to 12 were determined by the decision rule outlined in the statistical analysis plan.</w:t>
      </w:r>
    </w:p>
    <w:p w14:paraId="11F26B19" w14:textId="77777777" w:rsidR="00D677A9" w:rsidRPr="00C46BF0" w:rsidRDefault="00D677A9" w:rsidP="00C46BF0">
      <w:pPr>
        <w:pStyle w:val="Heading6"/>
      </w:pPr>
      <w:r w:rsidRPr="00C46BF0">
        <w:t>Key secondary endpoints</w:t>
      </w:r>
    </w:p>
    <w:p w14:paraId="4798DE65" w14:textId="2C056416" w:rsidR="00D677A9" w:rsidRPr="00C46BF0" w:rsidRDefault="00745C9E" w:rsidP="00C46BF0">
      <w:r w:rsidRPr="009C0339">
        <w:t xml:space="preserve">For the key secondary efficacy endpoint of </w:t>
      </w:r>
      <w:r w:rsidR="00D677A9" w:rsidRPr="009C0339">
        <w:t>75% migraine responder rate (</w:t>
      </w:r>
      <w:r w:rsidR="00665E49" w:rsidRPr="009C0339">
        <w:t>Week</w:t>
      </w:r>
      <w:r w:rsidR="00D677A9" w:rsidRPr="009C0339">
        <w:t>s 1</w:t>
      </w:r>
      <w:r w:rsidR="00894DF0" w:rsidRPr="009C0339">
        <w:t xml:space="preserve"> to </w:t>
      </w:r>
      <w:r w:rsidR="00D677A9" w:rsidRPr="009C0339">
        <w:t>4)</w:t>
      </w:r>
      <w:r>
        <w:t>, a</w:t>
      </w:r>
      <w:r w:rsidR="00D677A9" w:rsidRPr="00C46BF0">
        <w:t xml:space="preserve">t </w:t>
      </w:r>
      <w:r w:rsidR="00665E49" w:rsidRPr="00C46BF0">
        <w:t>Week</w:t>
      </w:r>
      <w:r w:rsidR="00D677A9" w:rsidRPr="00C46BF0">
        <w:t xml:space="preserve"> 4, around 21% and 15% greater number of subj</w:t>
      </w:r>
      <w:r w:rsidR="00894DF0" w:rsidRPr="00C46BF0">
        <w:t xml:space="preserve">ects in </w:t>
      </w:r>
      <w:proofErr w:type="spellStart"/>
      <w:r w:rsidR="00894DF0" w:rsidRPr="00C46BF0">
        <w:t>eptinezumab</w:t>
      </w:r>
      <w:proofErr w:type="spellEnd"/>
      <w:r w:rsidR="00894DF0" w:rsidRPr="00C46BF0">
        <w:t xml:space="preserve"> 300 and 100 </w:t>
      </w:r>
      <w:r w:rsidR="00D677A9" w:rsidRPr="00C46BF0">
        <w:t>mg groups achieved a ≥</w:t>
      </w:r>
      <w:r w:rsidR="00894DF0" w:rsidRPr="00C46BF0">
        <w:t> </w:t>
      </w:r>
      <w:r w:rsidR="00D677A9" w:rsidRPr="00C46BF0">
        <w:t>75% reduction in migraine days. The treatment difference was statistically significant.</w:t>
      </w:r>
    </w:p>
    <w:p w14:paraId="4E98A920" w14:textId="685E7490" w:rsidR="00D677A9" w:rsidRPr="00C46BF0" w:rsidRDefault="00283415" w:rsidP="00C46BF0">
      <w:pPr>
        <w:pStyle w:val="TableTitle"/>
      </w:pPr>
      <w:r w:rsidRPr="00C46BF0">
        <w:t xml:space="preserve">Table </w:t>
      </w:r>
      <w:r>
        <w:fldChar w:fldCharType="begin"/>
      </w:r>
      <w:r>
        <w:instrText>SEQ Table \* ARABIC</w:instrText>
      </w:r>
      <w:r>
        <w:fldChar w:fldCharType="separate"/>
      </w:r>
      <w:r w:rsidR="00112693">
        <w:rPr>
          <w:noProof/>
        </w:rPr>
        <w:t>10</w:t>
      </w:r>
      <w:r>
        <w:fldChar w:fldCharType="end"/>
      </w:r>
      <w:r w:rsidR="00D677A9" w:rsidRPr="00C46BF0">
        <w:t xml:space="preserve">: </w:t>
      </w:r>
      <w:r w:rsidR="002C265C" w:rsidRPr="00C46BF0">
        <w:t xml:space="preserve">Study 011 Summary of </w:t>
      </w:r>
      <w:r w:rsidR="00D677A9" w:rsidRPr="00C46BF0">
        <w:t>75% migraine responder rate (</w:t>
      </w:r>
      <w:r w:rsidR="00665E49" w:rsidRPr="00C46BF0">
        <w:t>Week</w:t>
      </w:r>
      <w:r w:rsidR="00D677A9" w:rsidRPr="00C46BF0">
        <w:t>s 1</w:t>
      </w:r>
      <w:r w:rsidR="00894DF0" w:rsidRPr="00C46BF0">
        <w:t xml:space="preserve"> to </w:t>
      </w:r>
      <w:r w:rsidR="00D677A9" w:rsidRPr="00C46BF0">
        <w:t>4)</w:t>
      </w:r>
    </w:p>
    <w:p w14:paraId="3EE7CA1B" w14:textId="2C75337B" w:rsidR="005D5533" w:rsidRPr="00C46BF0" w:rsidRDefault="005D5533" w:rsidP="00C46BF0">
      <w:r>
        <w:rPr>
          <w:noProof/>
          <w:lang w:val="en-GB" w:eastAsia="en-GB"/>
        </w:rPr>
        <w:drawing>
          <wp:inline distT="0" distB="0" distL="0" distR="0" wp14:anchorId="30F27E6A" wp14:editId="481AB6A7">
            <wp:extent cx="5400040" cy="1941830"/>
            <wp:effectExtent l="0" t="0" r="0" b="1270"/>
            <wp:docPr id="4" name="Picture 4" descr="Table 10: Study 011 Summary of 75% migraine responder rate (Weeks 1 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10: Study 011 Summary of 75% migraine responder rate (Weeks 1 to 4)"/>
                    <pic:cNvPicPr/>
                  </pic:nvPicPr>
                  <pic:blipFill>
                    <a:blip r:embed="rId25">
                      <a:extLst>
                        <a:ext uri="{28A0092B-C50C-407E-A947-70E740481C1C}">
                          <a14:useLocalDpi xmlns:a14="http://schemas.microsoft.com/office/drawing/2010/main" val="0"/>
                        </a:ext>
                      </a:extLst>
                    </a:blip>
                    <a:stretch>
                      <a:fillRect/>
                    </a:stretch>
                  </pic:blipFill>
                  <pic:spPr>
                    <a:xfrm>
                      <a:off x="0" y="0"/>
                      <a:ext cx="5400040" cy="1941830"/>
                    </a:xfrm>
                    <a:prstGeom prst="rect">
                      <a:avLst/>
                    </a:prstGeom>
                  </pic:spPr>
                </pic:pic>
              </a:graphicData>
            </a:graphic>
          </wp:inline>
        </w:drawing>
      </w:r>
    </w:p>
    <w:p w14:paraId="2F457AB0" w14:textId="3F1416F3" w:rsidR="0019775A" w:rsidRPr="00C46BF0" w:rsidRDefault="0019775A" w:rsidP="00C46BF0">
      <w:pPr>
        <w:pStyle w:val="TableDescription"/>
      </w:pPr>
      <w:r w:rsidRPr="00C46BF0">
        <w:t>CI = confidence interval; N = total number of subjects in the group; n = number of subjects with the event.</w:t>
      </w:r>
    </w:p>
    <w:p w14:paraId="38133B6A" w14:textId="5EFFA44F" w:rsidR="0019775A" w:rsidRPr="00C46BF0" w:rsidRDefault="0019775A" w:rsidP="00C46BF0">
      <w:pPr>
        <w:pStyle w:val="TableDescription"/>
      </w:pPr>
      <w:proofErr w:type="spellStart"/>
      <w:r w:rsidRPr="00C46BF0">
        <w:t>a</w:t>
      </w:r>
      <w:proofErr w:type="spellEnd"/>
      <w:r w:rsidRPr="00C46BF0">
        <w:t xml:space="preserve"> </w:t>
      </w:r>
      <w:proofErr w:type="gramStart"/>
      <w:r w:rsidRPr="00C46BF0">
        <w:t>The</w:t>
      </w:r>
      <w:proofErr w:type="gramEnd"/>
      <w:r w:rsidRPr="00C46BF0">
        <w:t xml:space="preserve"> 95% confidence intervals were calculated based upon normal approximation for two independent proportions. Stratification was not used.</w:t>
      </w:r>
    </w:p>
    <w:p w14:paraId="75D96A29" w14:textId="0CFFD48F" w:rsidR="0019775A" w:rsidRPr="00C46BF0" w:rsidRDefault="0019775A" w:rsidP="00C46BF0">
      <w:pPr>
        <w:pStyle w:val="TableDescription"/>
      </w:pPr>
      <w:r w:rsidRPr="00C46BF0">
        <w:t xml:space="preserve">b </w:t>
      </w:r>
      <w:proofErr w:type="gramStart"/>
      <w:r w:rsidRPr="00C46BF0">
        <w:t>The</w:t>
      </w:r>
      <w:proofErr w:type="gramEnd"/>
      <w:r w:rsidRPr="00C46BF0">
        <w:t xml:space="preserve"> P-values for the key secondary endpoint 75% migraine responder rate for Weeks 1 to 4 were obtained from the Cochran-Mantel-Haenszel test stratified by randomised baseline migraine days (&lt; 17 days, </w:t>
      </w:r>
      <w:r w:rsidRPr="00C46BF0">
        <w:rPr>
          <w:rFonts w:hint="eastAsia"/>
        </w:rPr>
        <w:t>≥</w:t>
      </w:r>
      <w:r w:rsidRPr="00C46BF0">
        <w:t> 17 days) and prophylactic medication use (yes versus no). Significant P-values were determined by the decision rule outlined by the statistical analysis plan.</w:t>
      </w:r>
    </w:p>
    <w:p w14:paraId="2744B0E1" w14:textId="4195B30B" w:rsidR="0019775A" w:rsidRPr="00C46BF0" w:rsidRDefault="0019775A" w:rsidP="00C46BF0">
      <w:pPr>
        <w:pStyle w:val="TableDescription"/>
      </w:pPr>
      <w:r w:rsidRPr="00C46BF0">
        <w:t xml:space="preserve">c </w:t>
      </w:r>
      <w:proofErr w:type="gramStart"/>
      <w:r w:rsidRPr="00C46BF0">
        <w:t>The</w:t>
      </w:r>
      <w:proofErr w:type="gramEnd"/>
      <w:r w:rsidRPr="00C46BF0">
        <w:t xml:space="preserve"> common odds ratio and 95% confidence intervals were obtained from the Cochran-Mantel-Haenszel test stratified by randomised baseline migraine days (&lt; 17 days, </w:t>
      </w:r>
      <w:r w:rsidRPr="00C46BF0">
        <w:rPr>
          <w:rFonts w:hint="eastAsia"/>
        </w:rPr>
        <w:t>≥</w:t>
      </w:r>
      <w:r w:rsidRPr="00C46BF0">
        <w:t xml:space="preserve"> 17 days) and prophylactic medication use (yes versus no).</w:t>
      </w:r>
    </w:p>
    <w:p w14:paraId="0F56F809" w14:textId="5B0B3180" w:rsidR="00D677A9" w:rsidRPr="00C46BF0" w:rsidRDefault="00D677A9" w:rsidP="00C46BF0">
      <w:r w:rsidRPr="00C46BF0">
        <w:lastRenderedPageBreak/>
        <w:t xml:space="preserve">A similar result was reported for both 75% and 50% migraine responder rates at </w:t>
      </w:r>
      <w:r w:rsidR="00665E49" w:rsidRPr="00C46BF0">
        <w:t>Week</w:t>
      </w:r>
      <w:r w:rsidRPr="00C46BF0">
        <w:t xml:space="preserve"> 1</w:t>
      </w:r>
      <w:r w:rsidR="00894DF0" w:rsidRPr="00C46BF0">
        <w:t xml:space="preserve"> to </w:t>
      </w:r>
      <w:r w:rsidRPr="00C46BF0">
        <w:t>12.</w:t>
      </w:r>
    </w:p>
    <w:p w14:paraId="16763A1A" w14:textId="5473A1D4" w:rsidR="00D677A9" w:rsidRPr="00C46BF0" w:rsidRDefault="00283415" w:rsidP="00C46BF0">
      <w:pPr>
        <w:pStyle w:val="TableTitle"/>
      </w:pPr>
      <w:r w:rsidRPr="00C46BF0">
        <w:t xml:space="preserve">Table </w:t>
      </w:r>
      <w:r>
        <w:fldChar w:fldCharType="begin"/>
      </w:r>
      <w:r>
        <w:instrText>SEQ Table \* ARABIC</w:instrText>
      </w:r>
      <w:r>
        <w:fldChar w:fldCharType="separate"/>
      </w:r>
      <w:r w:rsidR="00112693">
        <w:rPr>
          <w:noProof/>
        </w:rPr>
        <w:t>11</w:t>
      </w:r>
      <w:r>
        <w:fldChar w:fldCharType="end"/>
      </w:r>
      <w:r w:rsidR="00D677A9" w:rsidRPr="00C46BF0">
        <w:t xml:space="preserve">: </w:t>
      </w:r>
      <w:r w:rsidR="002C265C" w:rsidRPr="00C46BF0">
        <w:t xml:space="preserve">Study 011 Summary of </w:t>
      </w:r>
      <w:r w:rsidR="00D677A9" w:rsidRPr="00C46BF0">
        <w:t>75% responder rate (</w:t>
      </w:r>
      <w:r w:rsidR="00665E49" w:rsidRPr="00C46BF0">
        <w:t>Week</w:t>
      </w:r>
      <w:r w:rsidR="00D677A9" w:rsidRPr="00C46BF0">
        <w:t>s 1</w:t>
      </w:r>
      <w:r w:rsidR="00894DF0" w:rsidRPr="00C46BF0">
        <w:t xml:space="preserve"> to </w:t>
      </w:r>
      <w:r w:rsidR="00D677A9" w:rsidRPr="00C46BF0">
        <w:t>12)</w:t>
      </w:r>
    </w:p>
    <w:p w14:paraId="25BD80BC" w14:textId="1177B8DA" w:rsidR="0019775A" w:rsidRPr="00C46BF0" w:rsidRDefault="0019775A" w:rsidP="00C46BF0">
      <w:r>
        <w:rPr>
          <w:noProof/>
          <w:lang w:val="en-GB" w:eastAsia="en-GB"/>
        </w:rPr>
        <w:drawing>
          <wp:inline distT="0" distB="0" distL="0" distR="0" wp14:anchorId="2CAA7252" wp14:editId="35885AE4">
            <wp:extent cx="5400040" cy="1911985"/>
            <wp:effectExtent l="0" t="0" r="0" b="0"/>
            <wp:docPr id="11" name="Picture 11" descr="Table 11: Study 011 Summary of 75% responder rate (Weeks 1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 11: Study 011 Summary of 75% responder rate (Weeks 1 to 12)"/>
                    <pic:cNvPicPr/>
                  </pic:nvPicPr>
                  <pic:blipFill>
                    <a:blip r:embed="rId26">
                      <a:extLst>
                        <a:ext uri="{28A0092B-C50C-407E-A947-70E740481C1C}">
                          <a14:useLocalDpi xmlns:a14="http://schemas.microsoft.com/office/drawing/2010/main" val="0"/>
                        </a:ext>
                      </a:extLst>
                    </a:blip>
                    <a:stretch>
                      <a:fillRect/>
                    </a:stretch>
                  </pic:blipFill>
                  <pic:spPr>
                    <a:xfrm>
                      <a:off x="0" y="0"/>
                      <a:ext cx="5400040" cy="1911985"/>
                    </a:xfrm>
                    <a:prstGeom prst="rect">
                      <a:avLst/>
                    </a:prstGeom>
                  </pic:spPr>
                </pic:pic>
              </a:graphicData>
            </a:graphic>
          </wp:inline>
        </w:drawing>
      </w:r>
    </w:p>
    <w:p w14:paraId="0F0F7216" w14:textId="709682BD" w:rsidR="0019775A" w:rsidRPr="00C46BF0" w:rsidRDefault="0019775A" w:rsidP="00C46BF0">
      <w:pPr>
        <w:pStyle w:val="TableDescription"/>
      </w:pPr>
      <w:r w:rsidRPr="00C46BF0">
        <w:t>CI = confidence interval; N = total number of subjects in the group; n = number of subjects with the event.</w:t>
      </w:r>
    </w:p>
    <w:p w14:paraId="5A3438C0" w14:textId="6E41C3ED" w:rsidR="0019775A" w:rsidRPr="00C46BF0" w:rsidRDefault="0019775A" w:rsidP="00C46BF0">
      <w:pPr>
        <w:pStyle w:val="TableDescription"/>
      </w:pPr>
      <w:proofErr w:type="spellStart"/>
      <w:r w:rsidRPr="00C46BF0">
        <w:t>a</w:t>
      </w:r>
      <w:proofErr w:type="spellEnd"/>
      <w:r w:rsidRPr="00C46BF0">
        <w:t xml:space="preserve"> </w:t>
      </w:r>
      <w:proofErr w:type="gramStart"/>
      <w:r w:rsidRPr="00C46BF0">
        <w:t>The</w:t>
      </w:r>
      <w:proofErr w:type="gramEnd"/>
      <w:r w:rsidRPr="00C46BF0">
        <w:t xml:space="preserve"> 95% confidence intervals were calculated based upon normal approximation for two independent proportions. Stratification was not used.</w:t>
      </w:r>
    </w:p>
    <w:p w14:paraId="292AB146" w14:textId="7446FD41" w:rsidR="0019775A" w:rsidRPr="00C46BF0" w:rsidRDefault="0019775A" w:rsidP="00C46BF0">
      <w:pPr>
        <w:pStyle w:val="TableDescription"/>
      </w:pPr>
      <w:r w:rsidRPr="00C46BF0">
        <w:t xml:space="preserve">b </w:t>
      </w:r>
      <w:proofErr w:type="gramStart"/>
      <w:r w:rsidRPr="00C46BF0">
        <w:t>The</w:t>
      </w:r>
      <w:proofErr w:type="gramEnd"/>
      <w:r w:rsidRPr="00C46BF0">
        <w:t xml:space="preserve"> P-values for the key secondary endpoint 75% migraine responder rate for Weeks 1 to 12 were obtained from the Cochran-Mantel-Haenszel test stratified by randomised baseline migraine days (&lt; 17 days, </w:t>
      </w:r>
      <w:r w:rsidRPr="00C46BF0">
        <w:rPr>
          <w:rFonts w:hint="eastAsia"/>
        </w:rPr>
        <w:t>≥</w:t>
      </w:r>
      <w:r w:rsidRPr="00C46BF0">
        <w:t> 17 days) and prophylactic medication use (use versus no use). Significant P-values were determined by the decision rule outlined by the statistical analysis plan.</w:t>
      </w:r>
    </w:p>
    <w:p w14:paraId="38FB485B" w14:textId="74E90DBA" w:rsidR="0019775A" w:rsidRPr="00C46BF0" w:rsidRDefault="0019775A" w:rsidP="00C46BF0">
      <w:pPr>
        <w:pStyle w:val="TableDescription"/>
      </w:pPr>
      <w:r w:rsidRPr="00C46BF0">
        <w:t xml:space="preserve">c </w:t>
      </w:r>
      <w:proofErr w:type="gramStart"/>
      <w:r w:rsidRPr="00C46BF0">
        <w:t>The</w:t>
      </w:r>
      <w:proofErr w:type="gramEnd"/>
      <w:r w:rsidRPr="00C46BF0">
        <w:t xml:space="preserve"> common odds ratio and 95% confidence intervals were obtained from the Cochran-Mantel-Haenszel test stratified by randomised baseline migraine days (&lt; 17 days, </w:t>
      </w:r>
      <w:r w:rsidRPr="00C46BF0">
        <w:rPr>
          <w:rFonts w:hint="eastAsia"/>
        </w:rPr>
        <w:t>≥</w:t>
      </w:r>
      <w:r w:rsidRPr="00C46BF0">
        <w:t> 17 days) and prophylactic medication use (use versus no use).</w:t>
      </w:r>
    </w:p>
    <w:p w14:paraId="1B9D4CAE" w14:textId="556ECBF7" w:rsidR="00D677A9" w:rsidRPr="00C46BF0" w:rsidRDefault="00283415" w:rsidP="00C46BF0">
      <w:pPr>
        <w:pStyle w:val="TableTitle"/>
      </w:pPr>
      <w:r w:rsidRPr="00C46BF0">
        <w:t xml:space="preserve">Table </w:t>
      </w:r>
      <w:r>
        <w:fldChar w:fldCharType="begin"/>
      </w:r>
      <w:r>
        <w:instrText>SEQ Table \* ARABIC</w:instrText>
      </w:r>
      <w:r>
        <w:fldChar w:fldCharType="separate"/>
      </w:r>
      <w:r w:rsidR="00112693">
        <w:rPr>
          <w:noProof/>
        </w:rPr>
        <w:t>12</w:t>
      </w:r>
      <w:r>
        <w:fldChar w:fldCharType="end"/>
      </w:r>
      <w:r w:rsidR="00D677A9" w:rsidRPr="00C46BF0">
        <w:t xml:space="preserve">: </w:t>
      </w:r>
      <w:r w:rsidR="002C265C" w:rsidRPr="00C46BF0">
        <w:t xml:space="preserve">Study 011 Summary of </w:t>
      </w:r>
      <w:r w:rsidR="00D677A9" w:rsidRPr="00C46BF0">
        <w:t>50% migraine responder rate (</w:t>
      </w:r>
      <w:r w:rsidR="00665E49" w:rsidRPr="00C46BF0">
        <w:t>Week</w:t>
      </w:r>
      <w:r w:rsidR="00D677A9" w:rsidRPr="00C46BF0">
        <w:t>s 1</w:t>
      </w:r>
      <w:r w:rsidR="00894DF0" w:rsidRPr="00C46BF0">
        <w:t xml:space="preserve"> to </w:t>
      </w:r>
      <w:r w:rsidR="00D677A9" w:rsidRPr="00C46BF0">
        <w:t>12)</w:t>
      </w:r>
    </w:p>
    <w:p w14:paraId="7C93751E" w14:textId="133849B3" w:rsidR="00D677A9" w:rsidRPr="00C46BF0" w:rsidRDefault="00D677A9" w:rsidP="00C46BF0">
      <w:r>
        <w:rPr>
          <w:noProof/>
          <w:lang w:val="en-GB" w:eastAsia="en-GB"/>
        </w:rPr>
        <w:drawing>
          <wp:inline distT="0" distB="0" distL="0" distR="0" wp14:anchorId="529A658A" wp14:editId="6F058AC5">
            <wp:extent cx="5731510" cy="2085975"/>
            <wp:effectExtent l="0" t="0" r="2540" b="9525"/>
            <wp:docPr id="12" name="Picture 12" descr="Table 12: Study 011 Summary of 50% migraine responder rate (Weeks 1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 12: Study 011 Summary of 50% migraine responder rate (Weeks 1 to 12)"/>
                    <pic:cNvPicPr/>
                  </pic:nvPicPr>
                  <pic:blipFill>
                    <a:blip r:embed="rId27">
                      <a:extLst>
                        <a:ext uri="{28A0092B-C50C-407E-A947-70E740481C1C}">
                          <a14:useLocalDpi xmlns:a14="http://schemas.microsoft.com/office/drawing/2010/main" val="0"/>
                        </a:ext>
                      </a:extLst>
                    </a:blip>
                    <a:stretch>
                      <a:fillRect/>
                    </a:stretch>
                  </pic:blipFill>
                  <pic:spPr>
                    <a:xfrm>
                      <a:off x="0" y="0"/>
                      <a:ext cx="5731510" cy="2085975"/>
                    </a:xfrm>
                    <a:prstGeom prst="rect">
                      <a:avLst/>
                    </a:prstGeom>
                  </pic:spPr>
                </pic:pic>
              </a:graphicData>
            </a:graphic>
          </wp:inline>
        </w:drawing>
      </w:r>
    </w:p>
    <w:p w14:paraId="5CF7E6E1" w14:textId="2DF5239E" w:rsidR="0019775A" w:rsidRPr="00C46BF0" w:rsidRDefault="0019775A" w:rsidP="00C46BF0">
      <w:pPr>
        <w:pStyle w:val="TableDescription"/>
      </w:pPr>
      <w:r w:rsidRPr="00C46BF0">
        <w:t>CI = confidence interval; N = total number of subjects in the group; n = number of subjects with the event.</w:t>
      </w:r>
    </w:p>
    <w:p w14:paraId="77FBFF19" w14:textId="21AD7843" w:rsidR="0019775A" w:rsidRPr="00C46BF0" w:rsidRDefault="0019775A" w:rsidP="00C46BF0">
      <w:pPr>
        <w:pStyle w:val="TableDescription"/>
      </w:pPr>
      <w:proofErr w:type="spellStart"/>
      <w:r w:rsidRPr="00C46BF0">
        <w:t>a</w:t>
      </w:r>
      <w:proofErr w:type="spellEnd"/>
      <w:r w:rsidRPr="00C46BF0">
        <w:t xml:space="preserve"> </w:t>
      </w:r>
      <w:proofErr w:type="gramStart"/>
      <w:r w:rsidRPr="00C46BF0">
        <w:t>The</w:t>
      </w:r>
      <w:proofErr w:type="gramEnd"/>
      <w:r w:rsidRPr="00C46BF0">
        <w:t xml:space="preserve"> 95% confidence intervals were calculated based upon normal approximation for two independent proportions. Stratification was not used.</w:t>
      </w:r>
    </w:p>
    <w:p w14:paraId="14804FF6" w14:textId="76BA02F9" w:rsidR="0019775A" w:rsidRPr="00C46BF0" w:rsidRDefault="0019775A" w:rsidP="00C46BF0">
      <w:pPr>
        <w:pStyle w:val="TableDescription"/>
      </w:pPr>
      <w:r w:rsidRPr="00C46BF0">
        <w:t xml:space="preserve">b </w:t>
      </w:r>
      <w:proofErr w:type="gramStart"/>
      <w:r w:rsidRPr="00C46BF0">
        <w:t>The</w:t>
      </w:r>
      <w:proofErr w:type="gramEnd"/>
      <w:r w:rsidRPr="00C46BF0">
        <w:t xml:space="preserve"> P-values for the key secondary endpoint 50% migraine responder rate for Weeks 1 to 12 were obtained from the Cochran-Mantel-Haenszel test stratified by randomised baseline migraine days</w:t>
      </w:r>
      <w:r w:rsidR="00390CFE" w:rsidRPr="00C46BF0">
        <w:t xml:space="preserve"> </w:t>
      </w:r>
      <w:r w:rsidRPr="00C46BF0">
        <w:t xml:space="preserve">(&lt; 17 days, </w:t>
      </w:r>
      <w:r w:rsidRPr="00C46BF0">
        <w:rPr>
          <w:rFonts w:hint="eastAsia"/>
        </w:rPr>
        <w:t>≥</w:t>
      </w:r>
      <w:r w:rsidRPr="00C46BF0">
        <w:t> 17 days) and prophylactic medication use (use versus no use). Significant P-values were determined by the decision rule outlined by the statistical analysis plan.</w:t>
      </w:r>
    </w:p>
    <w:p w14:paraId="717025F3" w14:textId="215D94E7" w:rsidR="0019775A" w:rsidRPr="00C46BF0" w:rsidRDefault="0019775A" w:rsidP="00C46BF0">
      <w:pPr>
        <w:pStyle w:val="TableDescription"/>
      </w:pPr>
      <w:r w:rsidRPr="00C46BF0">
        <w:t xml:space="preserve">c </w:t>
      </w:r>
      <w:proofErr w:type="gramStart"/>
      <w:r w:rsidRPr="00C46BF0">
        <w:t>The</w:t>
      </w:r>
      <w:proofErr w:type="gramEnd"/>
      <w:r w:rsidRPr="00C46BF0">
        <w:t xml:space="preserve"> common odds ratio and 95% confidence intervals were obtained from the Cochran-Mantel-Haenszel test stratified by randomised baseline migraine days (&lt; 17 days, </w:t>
      </w:r>
      <w:r w:rsidRPr="00C46BF0">
        <w:rPr>
          <w:rFonts w:hint="eastAsia"/>
        </w:rPr>
        <w:t>≥ </w:t>
      </w:r>
      <w:r w:rsidRPr="00C46BF0">
        <w:t>17 days) and prophylactic medication use (use versus no use).</w:t>
      </w:r>
    </w:p>
    <w:p w14:paraId="7E62BA29" w14:textId="5159546E" w:rsidR="00D677A9" w:rsidRPr="00C46BF0" w:rsidRDefault="00745C9E" w:rsidP="00C46BF0">
      <w:r w:rsidRPr="009C0339">
        <w:lastRenderedPageBreak/>
        <w:t>For the efficacy endpoint of the p</w:t>
      </w:r>
      <w:r w:rsidR="00D677A9" w:rsidRPr="009C0339">
        <w:t>ercentage of subjects with migraine on the day after dosing (Day 1)</w:t>
      </w:r>
      <w:r>
        <w:t>, a</w:t>
      </w:r>
      <w:r w:rsidR="00D677A9" w:rsidRPr="00C46BF0">
        <w:t xml:space="preserve">t </w:t>
      </w:r>
      <w:r w:rsidR="00A901E5" w:rsidRPr="00C46BF0">
        <w:t>Baseline</w:t>
      </w:r>
      <w:r w:rsidR="00D677A9" w:rsidRPr="00C46BF0">
        <w:t xml:space="preserve">, around 58% of subjects had a migraine on any given day during the </w:t>
      </w:r>
      <w:proofErr w:type="gramStart"/>
      <w:r w:rsidR="00D677A9" w:rsidRPr="00C46BF0">
        <w:t>28</w:t>
      </w:r>
      <w:r w:rsidR="00894DF0" w:rsidRPr="00C46BF0">
        <w:t xml:space="preserve"> </w:t>
      </w:r>
      <w:r w:rsidR="00D677A9" w:rsidRPr="00C46BF0">
        <w:t>day</w:t>
      </w:r>
      <w:proofErr w:type="gramEnd"/>
      <w:r w:rsidR="00D677A9" w:rsidRPr="00C46BF0">
        <w:t xml:space="preserve"> screening period. The percentages of subjects with a migraine on the day after dosing (Day</w:t>
      </w:r>
      <w:r w:rsidR="00894DF0" w:rsidRPr="00C46BF0">
        <w:t> </w:t>
      </w:r>
      <w:r w:rsidR="00D677A9" w:rsidRPr="00C46BF0">
        <w:t xml:space="preserve">1) were 27.8% and 28.6% in the </w:t>
      </w:r>
      <w:proofErr w:type="spellStart"/>
      <w:r w:rsidR="00894DF0" w:rsidRPr="00C46BF0">
        <w:t>eptinezumab</w:t>
      </w:r>
      <w:proofErr w:type="spellEnd"/>
      <w:r w:rsidR="00894DF0" w:rsidRPr="00C46BF0">
        <w:t xml:space="preserve"> </w:t>
      </w:r>
      <w:r w:rsidR="00D677A9" w:rsidRPr="00C46BF0">
        <w:t>300</w:t>
      </w:r>
      <w:r w:rsidR="00894DF0" w:rsidRPr="00C46BF0">
        <w:t> </w:t>
      </w:r>
      <w:r w:rsidR="00D677A9" w:rsidRPr="00C46BF0">
        <w:t>mg and 100</w:t>
      </w:r>
      <w:r w:rsidR="00894DF0" w:rsidRPr="00C46BF0">
        <w:t> </w:t>
      </w:r>
      <w:r w:rsidR="00D677A9" w:rsidRPr="00C46BF0">
        <w:t>mg groups, respectively, compared with 42.3% in the placebo group. The between group treatment difference</w:t>
      </w:r>
      <w:r w:rsidR="00894DF0" w:rsidRPr="00C46BF0">
        <w:t xml:space="preserve"> was statistically significant.</w:t>
      </w:r>
    </w:p>
    <w:p w14:paraId="66D06FA5" w14:textId="407F8C80" w:rsidR="00A338AA" w:rsidRPr="00C46BF0" w:rsidRDefault="00D677A9" w:rsidP="00AE7453">
      <w:r w:rsidRPr="00C46BF0">
        <w:t>Treatment outcomes for other secondary endpoints were overall supportive of the outcomes for the key primary and secondary endpoints.</w:t>
      </w:r>
    </w:p>
    <w:p w14:paraId="2DEBA54F" w14:textId="5CD71EDE" w:rsidR="00D677A9" w:rsidRPr="00C46BF0" w:rsidRDefault="00390CFE" w:rsidP="00696D17">
      <w:pPr>
        <w:pStyle w:val="Heading6"/>
      </w:pPr>
      <w:r w:rsidRPr="00C46BF0">
        <w:t xml:space="preserve">Headache impact </w:t>
      </w:r>
      <w:proofErr w:type="gramStart"/>
      <w:r w:rsidRPr="00C46BF0">
        <w:t>test-6</w:t>
      </w:r>
      <w:proofErr w:type="gramEnd"/>
    </w:p>
    <w:p w14:paraId="44319CAB" w14:textId="39438702" w:rsidR="00D677A9" w:rsidRPr="00C46BF0" w:rsidRDefault="00D677A9" w:rsidP="00C46BF0">
      <w:r w:rsidRPr="00C46BF0">
        <w:t xml:space="preserve">As a measure of impact of headache on daily life activities, there was a greater reduction in </w:t>
      </w:r>
      <w:r w:rsidR="00390CFE" w:rsidRPr="00C46BF0">
        <w:t>headache impact test-6 (</w:t>
      </w:r>
      <w:r w:rsidRPr="00C46BF0">
        <w:t>HIT-6</w:t>
      </w:r>
      <w:r w:rsidR="00390CFE" w:rsidRPr="00C46BF0">
        <w:t>)</w:t>
      </w:r>
      <w:r w:rsidRPr="00C46BF0">
        <w:t xml:space="preserve"> scores from </w:t>
      </w:r>
      <w:r w:rsidR="00A901E5" w:rsidRPr="00C46BF0">
        <w:t>Baseline</w:t>
      </w:r>
      <w:r w:rsidRPr="00C46BF0">
        <w:t xml:space="preserve"> for subjects in both </w:t>
      </w:r>
      <w:proofErr w:type="spellStart"/>
      <w:r w:rsidRPr="00C46BF0">
        <w:t>eptinezumab</w:t>
      </w:r>
      <w:proofErr w:type="spellEnd"/>
      <w:r w:rsidRPr="00C46BF0">
        <w:t xml:space="preserve"> 300 and 100</w:t>
      </w:r>
      <w:r w:rsidR="00894DF0" w:rsidRPr="00C46BF0">
        <w:t> </w:t>
      </w:r>
      <w:r w:rsidRPr="00C46BF0">
        <w:t>mg groups. The treatment difference was statistically significant.</w:t>
      </w:r>
    </w:p>
    <w:p w14:paraId="3D246155" w14:textId="1D720CAB" w:rsidR="00D677A9" w:rsidRPr="00C46BF0" w:rsidRDefault="00283415" w:rsidP="00C46BF0">
      <w:pPr>
        <w:pStyle w:val="TableTitle"/>
      </w:pPr>
      <w:r w:rsidRPr="00C46BF0">
        <w:t xml:space="preserve">Table </w:t>
      </w:r>
      <w:r>
        <w:fldChar w:fldCharType="begin"/>
      </w:r>
      <w:r>
        <w:instrText>SEQ Table \* ARABIC</w:instrText>
      </w:r>
      <w:r>
        <w:fldChar w:fldCharType="separate"/>
      </w:r>
      <w:r w:rsidR="00112693">
        <w:rPr>
          <w:noProof/>
        </w:rPr>
        <w:t>13</w:t>
      </w:r>
      <w:r>
        <w:fldChar w:fldCharType="end"/>
      </w:r>
      <w:r w:rsidR="00D677A9" w:rsidRPr="00C46BF0">
        <w:t xml:space="preserve">: </w:t>
      </w:r>
      <w:r w:rsidR="002C265C" w:rsidRPr="00C46BF0">
        <w:t>Study 011 Analysis of headache impact test-6 by visit and treatment (Week 1 to 12)</w:t>
      </w:r>
    </w:p>
    <w:p w14:paraId="01FA69F0" w14:textId="03067F7C" w:rsidR="0019775A" w:rsidRPr="00C46BF0" w:rsidRDefault="0019775A" w:rsidP="00C46BF0">
      <w:r>
        <w:rPr>
          <w:noProof/>
          <w:lang w:val="en-GB" w:eastAsia="en-GB"/>
        </w:rPr>
        <w:drawing>
          <wp:inline distT="0" distB="0" distL="0" distR="0" wp14:anchorId="72778838" wp14:editId="146FDF94">
            <wp:extent cx="5241792" cy="4303644"/>
            <wp:effectExtent l="0" t="0" r="0" b="1905"/>
            <wp:docPr id="14" name="Picture 14" descr="Table 13: Study 011 Analysis of headache impact test-6 by visit and treatment (Week 1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 13: Study 011 Analysis of headache impact test-6 by visit and treatment (Week 1 to 12)"/>
                    <pic:cNvPicPr/>
                  </pic:nvPicPr>
                  <pic:blipFill>
                    <a:blip r:embed="rId28">
                      <a:extLst>
                        <a:ext uri="{28A0092B-C50C-407E-A947-70E740481C1C}">
                          <a14:useLocalDpi xmlns:a14="http://schemas.microsoft.com/office/drawing/2010/main" val="0"/>
                        </a:ext>
                      </a:extLst>
                    </a:blip>
                    <a:stretch>
                      <a:fillRect/>
                    </a:stretch>
                  </pic:blipFill>
                  <pic:spPr>
                    <a:xfrm>
                      <a:off x="0" y="0"/>
                      <a:ext cx="5247227" cy="4308106"/>
                    </a:xfrm>
                    <a:prstGeom prst="rect">
                      <a:avLst/>
                    </a:prstGeom>
                  </pic:spPr>
                </pic:pic>
              </a:graphicData>
            </a:graphic>
          </wp:inline>
        </w:drawing>
      </w:r>
    </w:p>
    <w:p w14:paraId="48024EAF" w14:textId="613538CD" w:rsidR="00FB2A42" w:rsidRPr="00C46BF0" w:rsidRDefault="00FB2A42" w:rsidP="00C46BF0">
      <w:pPr>
        <w:pStyle w:val="TableDescription"/>
      </w:pPr>
      <w:r w:rsidRPr="00C46BF0">
        <w:t>CI = confidence interval; HIT-6 = headache impact test-6; N = total number of subjects in the group.</w:t>
      </w:r>
    </w:p>
    <w:p w14:paraId="474CDBB6" w14:textId="205D7EB0" w:rsidR="00FB2A42" w:rsidRPr="00C46BF0" w:rsidRDefault="00FB2A42" w:rsidP="00C46BF0">
      <w:pPr>
        <w:pStyle w:val="TableDescription"/>
      </w:pPr>
      <w:proofErr w:type="spellStart"/>
      <w:r w:rsidRPr="00C46BF0">
        <w:t>a</w:t>
      </w:r>
      <w:proofErr w:type="spellEnd"/>
      <w:r w:rsidRPr="00C46BF0">
        <w:t xml:space="preserve"> </w:t>
      </w:r>
      <w:proofErr w:type="gramStart"/>
      <w:r w:rsidRPr="00C46BF0">
        <w:t>The</w:t>
      </w:r>
      <w:proofErr w:type="gramEnd"/>
      <w:r w:rsidRPr="00C46BF0">
        <w:t xml:space="preserve"> HIT-6 at the 300 mg dose was a key secondary endpoint; the HIT-6 at the 100 mg dose was a secondary endpoint.</w:t>
      </w:r>
    </w:p>
    <w:p w14:paraId="6A95A224" w14:textId="13BB87F3" w:rsidR="00FB2A42" w:rsidRPr="00C46BF0" w:rsidRDefault="00FB2A42" w:rsidP="00C46BF0">
      <w:pPr>
        <w:pStyle w:val="TableDescription"/>
      </w:pPr>
      <w:r w:rsidRPr="00C46BF0">
        <w:t>b Change from Baseline was the difference in HIT-6 score between Baseline and the selected interval.</w:t>
      </w:r>
    </w:p>
    <w:p w14:paraId="2B556EF9" w14:textId="2EA32BA6" w:rsidR="00FB2A42" w:rsidRPr="00C46BF0" w:rsidRDefault="00FB2A42" w:rsidP="00C46BF0">
      <w:pPr>
        <w:pStyle w:val="TableDescription"/>
      </w:pPr>
      <w:r w:rsidRPr="00C46BF0">
        <w:t>c Significant P-values for the change from baseline of HIT-6 score at Weeks 9 to 12 were determined by the decision rule outlined in the statistical analysis plan.</w:t>
      </w:r>
    </w:p>
    <w:p w14:paraId="37B6D61E" w14:textId="09454675" w:rsidR="00D677A9" w:rsidRPr="00C46BF0" w:rsidRDefault="00D677A9" w:rsidP="00C46BF0">
      <w:r w:rsidRPr="00C46BF0">
        <w:t xml:space="preserve">There was also a statistically significant reduction in the usage of acute migraine medications at </w:t>
      </w:r>
      <w:r w:rsidR="00665E49" w:rsidRPr="00C46BF0">
        <w:t>Week</w:t>
      </w:r>
      <w:r w:rsidRPr="00C46BF0">
        <w:t xml:space="preserve"> 12 for subjects in both </w:t>
      </w:r>
      <w:proofErr w:type="spellStart"/>
      <w:r w:rsidRPr="00C46BF0">
        <w:t>eptinezumab</w:t>
      </w:r>
      <w:proofErr w:type="spellEnd"/>
      <w:r w:rsidRPr="00C46BF0">
        <w:t xml:space="preserve"> 300 and 100</w:t>
      </w:r>
      <w:r w:rsidR="00FB2A42" w:rsidRPr="00C46BF0">
        <w:t> </w:t>
      </w:r>
      <w:r w:rsidRPr="00C46BF0">
        <w:t>mg groups, compared to placebo.</w:t>
      </w:r>
    </w:p>
    <w:p w14:paraId="7C410760" w14:textId="3FF85EAD" w:rsidR="00D677A9" w:rsidRPr="00C46BF0" w:rsidRDefault="00D677A9" w:rsidP="00C46BF0">
      <w:pPr>
        <w:pStyle w:val="Heading6"/>
      </w:pPr>
      <w:r w:rsidRPr="00C46BF0">
        <w:lastRenderedPageBreak/>
        <w:t>Health</w:t>
      </w:r>
      <w:r w:rsidR="00894DF0" w:rsidRPr="00C46BF0">
        <w:t xml:space="preserve"> </w:t>
      </w:r>
      <w:r w:rsidRPr="00C46BF0">
        <w:t>related quality of life</w:t>
      </w:r>
    </w:p>
    <w:p w14:paraId="65C4DCD8" w14:textId="3654DC94" w:rsidR="00D677A9" w:rsidRPr="00C46BF0" w:rsidRDefault="00D677A9" w:rsidP="00C46BF0">
      <w:r w:rsidRPr="00C46BF0">
        <w:t>By Week 12, a reduction in the incidence of pain was noted in 39.3% and 34%</w:t>
      </w:r>
      <w:r w:rsidR="00824695" w:rsidRPr="00C46BF0">
        <w:t xml:space="preserve"> </w:t>
      </w:r>
      <w:r w:rsidRPr="00C46BF0">
        <w:t>of subject</w:t>
      </w:r>
      <w:r w:rsidR="00824695" w:rsidRPr="00C46BF0">
        <w:t xml:space="preserve">s in the </w:t>
      </w:r>
      <w:proofErr w:type="spellStart"/>
      <w:r w:rsidR="00824695" w:rsidRPr="00C46BF0">
        <w:t>eptinezumab</w:t>
      </w:r>
      <w:proofErr w:type="spellEnd"/>
      <w:r w:rsidR="00824695" w:rsidRPr="00C46BF0">
        <w:t xml:space="preserve"> 300 and100 </w:t>
      </w:r>
      <w:r w:rsidRPr="00C46BF0">
        <w:t>mg group respectively, as compared with 33.2% in the placebo group</w:t>
      </w:r>
      <w:r w:rsidR="005A7D2B">
        <w:t xml:space="preserve"> by using EQ-5D-5L</w:t>
      </w:r>
      <w:r w:rsidR="00813AC3">
        <w:t xml:space="preserve"> health </w:t>
      </w:r>
      <w:proofErr w:type="spellStart"/>
      <w:r w:rsidR="00813AC3">
        <w:t>questionare</w:t>
      </w:r>
      <w:proofErr w:type="spellEnd"/>
      <w:r w:rsidR="005A7D2B">
        <w:t>.</w:t>
      </w:r>
    </w:p>
    <w:p w14:paraId="4C5924C2" w14:textId="782B4A43" w:rsidR="00D677A9" w:rsidRDefault="00D677A9" w:rsidP="00C46BF0">
      <w:bookmarkStart w:id="44" w:name="_Hlk90561582"/>
      <w:r w:rsidRPr="00C46BF0">
        <w:t xml:space="preserve">Clinical </w:t>
      </w:r>
      <w:r w:rsidR="00824695" w:rsidRPr="00C46BF0">
        <w:t xml:space="preserve">Studies </w:t>
      </w:r>
      <w:r w:rsidRPr="00C46BF0">
        <w:t xml:space="preserve">002 and 005 were included as supportive </w:t>
      </w:r>
      <w:bookmarkEnd w:id="44"/>
      <w:r w:rsidRPr="00C46BF0">
        <w:t>studies. Overall, the findings of these studies support the findings of the pivotal studies.</w:t>
      </w:r>
    </w:p>
    <w:p w14:paraId="543B72EF" w14:textId="77777777" w:rsidR="00745C9E" w:rsidRDefault="00D677A9" w:rsidP="00C46BF0">
      <w:pPr>
        <w:pStyle w:val="Heading4"/>
      </w:pPr>
      <w:r w:rsidRPr="00C46BF0">
        <w:t>Safety</w:t>
      </w:r>
    </w:p>
    <w:p w14:paraId="12E3FB99" w14:textId="2F6D53FB" w:rsidR="00D677A9" w:rsidRPr="00C46BF0" w:rsidRDefault="00745C9E" w:rsidP="004711AF">
      <w:pPr>
        <w:pStyle w:val="Heading5"/>
      </w:pPr>
      <w:r>
        <w:t>Study 013</w:t>
      </w:r>
    </w:p>
    <w:p w14:paraId="4F37DD3F" w14:textId="6055ED08" w:rsidR="00D677A9" w:rsidRPr="00C46BF0" w:rsidRDefault="00824695" w:rsidP="00C46BF0">
      <w:r w:rsidRPr="00C46BF0">
        <w:t>Study 013 was an open label P</w:t>
      </w:r>
      <w:r w:rsidR="00D677A9" w:rsidRPr="00C46BF0">
        <w:t xml:space="preserve">hase </w:t>
      </w:r>
      <w:r w:rsidRPr="00C46BF0">
        <w:t>III</w:t>
      </w:r>
      <w:r w:rsidR="00D677A9" w:rsidRPr="00C46BF0">
        <w:t xml:space="preserve"> study that evaluated sa</w:t>
      </w:r>
      <w:r w:rsidRPr="00C46BF0">
        <w:t>fety as a sole primary outcome.</w:t>
      </w:r>
    </w:p>
    <w:p w14:paraId="2D2F8A5C" w14:textId="6CE4F13B" w:rsidR="00D677A9" w:rsidRPr="00C46BF0" w:rsidRDefault="00D677A9" w:rsidP="00C46BF0">
      <w:r w:rsidRPr="00C46BF0">
        <w:t>This study was conducted in subjects between 18 and 65 years of age with chronic migraine. Subjects with history of cardiovascular disease and/or with hypertension</w:t>
      </w:r>
      <w:r w:rsidR="00824695" w:rsidRPr="00C46BF0">
        <w:t xml:space="preserve"> were excluded. </w:t>
      </w:r>
      <w:proofErr w:type="spellStart"/>
      <w:r w:rsidR="00824695" w:rsidRPr="00C46BF0">
        <w:t>Eptinezumab</w:t>
      </w:r>
      <w:proofErr w:type="spellEnd"/>
      <w:r w:rsidR="00824695" w:rsidRPr="00C46BF0">
        <w:t xml:space="preserve"> 300 </w:t>
      </w:r>
      <w:r w:rsidRPr="00C46BF0">
        <w:t xml:space="preserve">mg was administered as a single </w:t>
      </w:r>
      <w:r w:rsidR="00F07D58" w:rsidRPr="00C46BF0">
        <w:t>intravenous</w:t>
      </w:r>
      <w:r w:rsidRPr="00C46BF0">
        <w:t xml:space="preserve"> infusion on Day</w:t>
      </w:r>
      <w:r w:rsidR="00824695" w:rsidRPr="00C46BF0">
        <w:t> </w:t>
      </w:r>
      <w:r w:rsidRPr="00C46BF0">
        <w:t xml:space="preserve">0, </w:t>
      </w:r>
      <w:r w:rsidR="00665E49" w:rsidRPr="00C46BF0">
        <w:t>Week</w:t>
      </w:r>
      <w:r w:rsidRPr="00C46BF0">
        <w:t>s 12, 24, 36, 48, 60, 72, and 84. 128 subjects participated in this study. Treatment period was for 84 weeks, followed</w:t>
      </w:r>
      <w:r w:rsidR="00824695" w:rsidRPr="00C46BF0">
        <w:t xml:space="preserve"> by a 20 week follow up period.</w:t>
      </w:r>
    </w:p>
    <w:p w14:paraId="13DBC869" w14:textId="02B2A9BA" w:rsidR="00D677A9" w:rsidRPr="00C46BF0" w:rsidRDefault="00D677A9" w:rsidP="00C46BF0">
      <w:r w:rsidRPr="00C46BF0">
        <w:t xml:space="preserve">The mean age of the safety population was 41.5 years, and most subjects (64.8%) were in the &gt; </w:t>
      </w:r>
      <w:proofErr w:type="gramStart"/>
      <w:r w:rsidRPr="00C46BF0">
        <w:t>35 year</w:t>
      </w:r>
      <w:proofErr w:type="gramEnd"/>
      <w:r w:rsidRPr="00C46BF0">
        <w:t xml:space="preserve"> age group. Majority of the subjects were female (85.2%).</w:t>
      </w:r>
    </w:p>
    <w:p w14:paraId="71A42794" w14:textId="77777777" w:rsidR="00D677A9" w:rsidRPr="00C46BF0" w:rsidRDefault="00D677A9" w:rsidP="004711AF">
      <w:pPr>
        <w:pStyle w:val="Heading6"/>
      </w:pPr>
      <w:r w:rsidRPr="00C46BF0">
        <w:t>Results</w:t>
      </w:r>
    </w:p>
    <w:p w14:paraId="418F44E3" w14:textId="3DF4B234" w:rsidR="00D677A9" w:rsidRPr="00C46BF0" w:rsidRDefault="00D677A9" w:rsidP="00C46BF0">
      <w:r w:rsidRPr="00C46BF0">
        <w:t>No deaths were reported in this study.</w:t>
      </w:r>
    </w:p>
    <w:p w14:paraId="30529680" w14:textId="2616F6D7" w:rsidR="00D677A9" w:rsidRPr="00C46BF0" w:rsidRDefault="00EC607B" w:rsidP="00C46BF0">
      <w:r>
        <w:t xml:space="preserve">Five </w:t>
      </w:r>
      <w:r w:rsidR="00D677A9" w:rsidRPr="00C46BF0">
        <w:t>subjects (</w:t>
      </w:r>
      <w:r w:rsidR="00A1786F">
        <w:t>3.9%</w:t>
      </w:r>
      <w:r w:rsidR="00D677A9" w:rsidRPr="00C46BF0">
        <w:t xml:space="preserve">) had a serious </w:t>
      </w:r>
      <w:r w:rsidR="004B58C9" w:rsidRPr="00C46BF0">
        <w:t>treatment emergent adverse event (</w:t>
      </w:r>
      <w:r w:rsidR="00D677A9" w:rsidRPr="00C46BF0">
        <w:t>TEAE</w:t>
      </w:r>
      <w:r w:rsidR="004B58C9" w:rsidRPr="00C46BF0">
        <w:t>)</w:t>
      </w:r>
      <w:r w:rsidR="00D677A9" w:rsidRPr="00C46BF0">
        <w:t xml:space="preserve">. Overall, 91 subjects (71.1%) had at least </w:t>
      </w:r>
      <w:r w:rsidR="00824695" w:rsidRPr="00C46BF0">
        <w:t>one</w:t>
      </w:r>
      <w:r w:rsidR="00D677A9" w:rsidRPr="00C46BF0">
        <w:t xml:space="preserve"> TEAE and 18 subjects (14.1%) had a TEAE that was considered related to study drug. Most TEAEs associated with </w:t>
      </w:r>
      <w:proofErr w:type="spellStart"/>
      <w:r w:rsidR="00D677A9" w:rsidRPr="00C46BF0">
        <w:t>eptinezumab</w:t>
      </w:r>
      <w:proofErr w:type="spellEnd"/>
      <w:r w:rsidR="00D677A9" w:rsidRPr="00C46BF0">
        <w:t xml:space="preserve"> treatment were mild or moderate in severity. There were 13 subjects (10.2%) who had a severe TEAE. There were 8 subjects (6.3%) with a TEAE that led to study drug withdrawal and 10 subjects (7.8%) with a TEAE lead</w:t>
      </w:r>
      <w:r w:rsidR="00824695" w:rsidRPr="00C46BF0">
        <w:t>ing to study drug interruption.</w:t>
      </w:r>
    </w:p>
    <w:p w14:paraId="6B6484C3" w14:textId="0F095C1E" w:rsidR="00D677A9" w:rsidRPr="00C46BF0" w:rsidRDefault="00D677A9" w:rsidP="00C46BF0">
      <w:r w:rsidRPr="00C46BF0">
        <w:t xml:space="preserve">In </w:t>
      </w:r>
      <w:r w:rsidR="00824695" w:rsidRPr="00C46BF0">
        <w:t xml:space="preserve">Study </w:t>
      </w:r>
      <w:r w:rsidRPr="00C46BF0">
        <w:t>006, suicidal ideation (n</w:t>
      </w:r>
      <w:r w:rsidR="00824695" w:rsidRPr="00C46BF0">
        <w:t> </w:t>
      </w:r>
      <w:r w:rsidRPr="00C46BF0">
        <w:t>=</w:t>
      </w:r>
      <w:r w:rsidR="00824695" w:rsidRPr="00C46BF0">
        <w:t> </w:t>
      </w:r>
      <w:r w:rsidRPr="00C46BF0">
        <w:t>1) and suicidal attempt (n</w:t>
      </w:r>
      <w:r w:rsidR="00A61C34" w:rsidRPr="00C46BF0">
        <w:t> </w:t>
      </w:r>
      <w:r w:rsidRPr="00C46BF0">
        <w:t>=</w:t>
      </w:r>
      <w:r w:rsidR="00A61C34" w:rsidRPr="00C46BF0">
        <w:t> </w:t>
      </w:r>
      <w:r w:rsidRPr="00C46BF0">
        <w:t xml:space="preserve">1) were reported as </w:t>
      </w:r>
      <w:r w:rsidR="00A61C34" w:rsidRPr="00C46BF0">
        <w:t>serious adverse events (</w:t>
      </w:r>
      <w:r w:rsidRPr="00C46BF0">
        <w:t>SAEs</w:t>
      </w:r>
      <w:r w:rsidR="00A61C34" w:rsidRPr="00C46BF0">
        <w:t>)</w:t>
      </w:r>
      <w:r w:rsidRPr="00C46BF0">
        <w:t xml:space="preserve"> in subjects in </w:t>
      </w:r>
      <w:proofErr w:type="spellStart"/>
      <w:r w:rsidRPr="00C46BF0">
        <w:t>eptinezumab</w:t>
      </w:r>
      <w:proofErr w:type="spellEnd"/>
      <w:r w:rsidRPr="00C46BF0">
        <w:t xml:space="preserve"> 100</w:t>
      </w:r>
      <w:r w:rsidR="004B58C9" w:rsidRPr="00C46BF0">
        <w:t> </w:t>
      </w:r>
      <w:r w:rsidRPr="00C46BF0">
        <w:t xml:space="preserve">mg group. In </w:t>
      </w:r>
      <w:r w:rsidR="004B58C9" w:rsidRPr="00C46BF0">
        <w:t xml:space="preserve">Study </w:t>
      </w:r>
      <w:r w:rsidRPr="00C46BF0">
        <w:t xml:space="preserve">011, one subject in </w:t>
      </w:r>
      <w:proofErr w:type="spellStart"/>
      <w:r w:rsidRPr="00C46BF0">
        <w:t>eptinezumab</w:t>
      </w:r>
      <w:proofErr w:type="spellEnd"/>
      <w:r w:rsidRPr="00C46BF0">
        <w:t xml:space="preserve"> 300</w:t>
      </w:r>
      <w:r w:rsidR="004B58C9" w:rsidRPr="00C46BF0">
        <w:t> </w:t>
      </w:r>
      <w:r w:rsidRPr="00C46BF0">
        <w:t>mg was reported with a suicidal attempt. No similar</w:t>
      </w:r>
      <w:r w:rsidR="00E0279F">
        <w:t xml:space="preserve"> </w:t>
      </w:r>
      <w:r w:rsidR="00945CD9">
        <w:t>SAE</w:t>
      </w:r>
      <w:r w:rsidR="00E2014E">
        <w:t xml:space="preserve"> </w:t>
      </w:r>
      <w:r w:rsidRPr="00C46BF0">
        <w:t>w</w:t>
      </w:r>
      <w:r w:rsidR="00E2014E">
        <w:t>as</w:t>
      </w:r>
      <w:r w:rsidRPr="00C46BF0">
        <w:t xml:space="preserve"> reported in placebo group.</w:t>
      </w:r>
    </w:p>
    <w:p w14:paraId="0A462BFF" w14:textId="4345FB9D" w:rsidR="00D677A9" w:rsidRPr="00C46BF0" w:rsidRDefault="00D677A9" w:rsidP="00C46BF0">
      <w:r w:rsidRPr="00C46BF0">
        <w:t>The most frequently reported TEAEs wer</w:t>
      </w:r>
      <w:r w:rsidR="004B58C9" w:rsidRPr="00C46BF0">
        <w:t>e nasopharyngitis (18 subjects (14.1%)</w:t>
      </w:r>
      <w:r w:rsidRPr="00C46BF0">
        <w:t>), upper respirator</w:t>
      </w:r>
      <w:r w:rsidR="004B58C9" w:rsidRPr="00C46BF0">
        <w:t>y tract infection (10 subjects (7.8%)), sinusitis (10 subjects (7.8%)), and influenza (8 subjects (6.3%)</w:t>
      </w:r>
      <w:r w:rsidRPr="00C46BF0">
        <w:t>).</w:t>
      </w:r>
    </w:p>
    <w:p w14:paraId="4112928E" w14:textId="5E6C3484" w:rsidR="00D677A9" w:rsidRPr="00C46BF0" w:rsidRDefault="00D677A9" w:rsidP="00C46BF0">
      <w:r w:rsidRPr="00C46BF0">
        <w:t xml:space="preserve">The most frequently reported TEAE leading to study drug interruption was infusion </w:t>
      </w:r>
      <w:r w:rsidR="004B58C9" w:rsidRPr="00C46BF0">
        <w:t>site extravasation (6 subjects (</w:t>
      </w:r>
      <w:r w:rsidRPr="00C46BF0">
        <w:t>4.7%</w:t>
      </w:r>
      <w:r w:rsidR="004B58C9" w:rsidRPr="00C46BF0">
        <w:t>)</w:t>
      </w:r>
      <w:r w:rsidRPr="00C46BF0">
        <w:t>). All incidences of infusion site extravasation leading to study drug interruption were mild in severity, considered not related to study drug, and resolved on the same day without concomitant treatment.</w:t>
      </w:r>
    </w:p>
    <w:p w14:paraId="65AA1F8B" w14:textId="77777777" w:rsidR="00745C9E" w:rsidRDefault="00D677A9" w:rsidP="00696D17">
      <w:r w:rsidRPr="00AB766B">
        <w:t>The most frequently reported TEAE leading to study drug withdrawal wa</w:t>
      </w:r>
      <w:r w:rsidR="004B58C9" w:rsidRPr="00AB766B">
        <w:t>s hypersensitivity (3 subjects (2.3%)</w:t>
      </w:r>
      <w:r w:rsidRPr="00AB766B">
        <w:t>).</w:t>
      </w:r>
    </w:p>
    <w:p w14:paraId="40E7BBDE" w14:textId="08FA77D4" w:rsidR="00D677A9" w:rsidRDefault="00D677A9" w:rsidP="00696D17">
      <w:pPr>
        <w:pStyle w:val="Heading5"/>
      </w:pPr>
      <w:r w:rsidRPr="00696D17">
        <w:t>A</w:t>
      </w:r>
      <w:r w:rsidR="009126E6" w:rsidRPr="00696D17">
        <w:t>dverse events</w:t>
      </w:r>
    </w:p>
    <w:p w14:paraId="0BD3C866" w14:textId="72BC5B5C" w:rsidR="00745C9E" w:rsidRPr="009C0339" w:rsidRDefault="00745C9E">
      <w:pPr>
        <w:pStyle w:val="Heading6"/>
      </w:pPr>
      <w:r>
        <w:t>Treatment emergent adverse events</w:t>
      </w:r>
    </w:p>
    <w:p w14:paraId="151F0AB8" w14:textId="0DC6598A" w:rsidR="00D677A9" w:rsidRPr="00C46BF0" w:rsidRDefault="00D677A9" w:rsidP="00C46BF0">
      <w:r w:rsidRPr="00C46BF0">
        <w:t xml:space="preserve">The sponsor performed pooled analyses to assess safety in </w:t>
      </w:r>
      <w:r w:rsidR="004B58C9" w:rsidRPr="00C46BF0">
        <w:t>p</w:t>
      </w:r>
      <w:r w:rsidRPr="00C46BF0">
        <w:t>ivotal study</w:t>
      </w:r>
      <w:r w:rsidR="004B58C9" w:rsidRPr="00C46BF0">
        <w:t xml:space="preserve"> </w:t>
      </w:r>
      <w:r w:rsidRPr="00C46BF0">
        <w:t xml:space="preserve">pool </w:t>
      </w:r>
      <w:r w:rsidR="00E360E7">
        <w:t xml:space="preserve">(Studies 006 and 011) </w:t>
      </w:r>
      <w:r w:rsidRPr="00C46BF0">
        <w:t xml:space="preserve">and </w:t>
      </w:r>
      <w:r w:rsidR="00E360E7">
        <w:t xml:space="preserve">overall </w:t>
      </w:r>
      <w:proofErr w:type="spellStart"/>
      <w:r w:rsidR="00E360E7">
        <w:t>eptinezumab</w:t>
      </w:r>
      <w:proofErr w:type="spellEnd"/>
      <w:r w:rsidR="00E360E7">
        <w:t xml:space="preserve"> pool (Studies 002, 005, 006</w:t>
      </w:r>
      <w:r w:rsidR="00C36D4D">
        <w:t>,</w:t>
      </w:r>
      <w:r w:rsidR="00E360E7">
        <w:t xml:space="preserve"> 011 and 013</w:t>
      </w:r>
      <w:r w:rsidR="005F339D">
        <w:t>)</w:t>
      </w:r>
      <w:r w:rsidRPr="00C46BF0">
        <w:t>.</w:t>
      </w:r>
    </w:p>
    <w:p w14:paraId="62EAF654" w14:textId="478BE192" w:rsidR="00D677A9" w:rsidRPr="00C46BF0" w:rsidRDefault="00D677A9" w:rsidP="00C46BF0">
      <w:r w:rsidRPr="00C46BF0">
        <w:t xml:space="preserve">In the </w:t>
      </w:r>
      <w:r w:rsidR="004B58C9" w:rsidRPr="00C46BF0">
        <w:t xml:space="preserve">pivotal study </w:t>
      </w:r>
      <w:r w:rsidRPr="00C46BF0">
        <w:t>pool, TEAEs tended to occur after or during the first infusion, with decreasing incidence after subsequent infusions. The majority of all TEAEs wer</w:t>
      </w:r>
      <w:r w:rsidR="004B58C9" w:rsidRPr="00C46BF0">
        <w:t>e mild to moderate in severity.</w:t>
      </w:r>
    </w:p>
    <w:p w14:paraId="6A66D8CF" w14:textId="52102046" w:rsidR="009126E6" w:rsidRPr="00AB766B" w:rsidRDefault="00D677A9" w:rsidP="00696D17">
      <w:r w:rsidRPr="00C46BF0">
        <w:lastRenderedPageBreak/>
        <w:t xml:space="preserve">Nasopharyngitis was the only TEAE that occurred in ≥ 2% of subjects in any </w:t>
      </w:r>
      <w:proofErr w:type="spellStart"/>
      <w:r w:rsidRPr="00C46BF0">
        <w:t>eptinezumab</w:t>
      </w:r>
      <w:proofErr w:type="spellEnd"/>
      <w:r w:rsidRPr="00C46BF0">
        <w:t xml:space="preserve"> group and with an incidence that was 2%</w:t>
      </w:r>
      <w:r w:rsidR="004B58C9" w:rsidRPr="00C46BF0">
        <w:t xml:space="preserve"> greater in the </w:t>
      </w:r>
      <w:proofErr w:type="spellStart"/>
      <w:r w:rsidR="004B58C9" w:rsidRPr="00C46BF0">
        <w:t>eptinezumab</w:t>
      </w:r>
      <w:proofErr w:type="spellEnd"/>
      <w:r w:rsidR="004B58C9" w:rsidRPr="00C46BF0">
        <w:t xml:space="preserve"> 300 mg or 100 </w:t>
      </w:r>
      <w:r w:rsidRPr="00C46BF0">
        <w:t>mg gr</w:t>
      </w:r>
      <w:r w:rsidR="004B58C9" w:rsidRPr="00C46BF0">
        <w:t>oups than in the placebo group.</w:t>
      </w:r>
    </w:p>
    <w:p w14:paraId="06986B1F" w14:textId="0C2A3C1A" w:rsidR="00D677A9" w:rsidRPr="00C46BF0" w:rsidRDefault="004B58C9" w:rsidP="00C46BF0">
      <w:r w:rsidRPr="00C46BF0">
        <w:t>There were no G</w:t>
      </w:r>
      <w:r w:rsidR="00D677A9" w:rsidRPr="00C46BF0">
        <w:t xml:space="preserve">rade 4 (life-threatening) or </w:t>
      </w:r>
      <w:r w:rsidRPr="00C46BF0">
        <w:t xml:space="preserve">Grade </w:t>
      </w:r>
      <w:r w:rsidR="00D677A9" w:rsidRPr="00C46BF0">
        <w:t xml:space="preserve">5 (fatal) TEAEs in any </w:t>
      </w:r>
      <w:proofErr w:type="spellStart"/>
      <w:r w:rsidR="00D677A9" w:rsidRPr="00C46BF0">
        <w:t>eptinezumab</w:t>
      </w:r>
      <w:proofErr w:type="spellEnd"/>
      <w:r w:rsidR="00D677A9" w:rsidRPr="00C46BF0">
        <w:t xml:space="preserve"> subject. Grade 3 (severe) TEAEs occurred infrequently and in similar proportions of all </w:t>
      </w:r>
      <w:r w:rsidRPr="00C46BF0">
        <w:t xml:space="preserve">pivotal study </w:t>
      </w:r>
      <w:proofErr w:type="spellStart"/>
      <w:r w:rsidR="00D677A9" w:rsidRPr="00C46BF0">
        <w:t>eptinezumab</w:t>
      </w:r>
      <w:proofErr w:type="spellEnd"/>
      <w:r w:rsidR="00D677A9" w:rsidRPr="00C46BF0">
        <w:t xml:space="preserve"> subjects (2.2%), </w:t>
      </w:r>
      <w:proofErr w:type="spellStart"/>
      <w:r w:rsidR="00D677A9" w:rsidRPr="00C46BF0">
        <w:t>eptinezumab</w:t>
      </w:r>
      <w:proofErr w:type="spellEnd"/>
      <w:r w:rsidR="00D677A9" w:rsidRPr="00C46BF0">
        <w:t xml:space="preserve"> 300</w:t>
      </w:r>
      <w:r w:rsidRPr="00C46BF0">
        <w:t> </w:t>
      </w:r>
      <w:r w:rsidR="00D677A9" w:rsidRPr="00C46BF0">
        <w:t xml:space="preserve">mg subjects (2.6%), </w:t>
      </w:r>
      <w:proofErr w:type="spellStart"/>
      <w:r w:rsidR="00D677A9" w:rsidRPr="00C46BF0">
        <w:t>eptinezumab</w:t>
      </w:r>
      <w:proofErr w:type="spellEnd"/>
      <w:r w:rsidR="00D677A9" w:rsidRPr="00C46BF0">
        <w:t xml:space="preserve"> 100</w:t>
      </w:r>
      <w:r w:rsidRPr="00C46BF0">
        <w:t> </w:t>
      </w:r>
      <w:r w:rsidR="00D677A9" w:rsidRPr="00C46BF0">
        <w:t>mg subjects (1.7%), and placebo subjects (3.1%). Simila</w:t>
      </w:r>
      <w:r w:rsidRPr="00C46BF0">
        <w:t>r results were seen in the o</w:t>
      </w:r>
      <w:r w:rsidR="00D677A9" w:rsidRPr="00C46BF0">
        <w:t xml:space="preserve">verall </w:t>
      </w:r>
      <w:proofErr w:type="spellStart"/>
      <w:r w:rsidR="00D677A9" w:rsidRPr="00C46BF0">
        <w:t>eptinezumab</w:t>
      </w:r>
      <w:proofErr w:type="spellEnd"/>
      <w:r w:rsidR="00D677A9" w:rsidRPr="00C46BF0">
        <w:t xml:space="preserve"> pool.</w:t>
      </w:r>
    </w:p>
    <w:p w14:paraId="205249A6" w14:textId="3E6E6465" w:rsidR="00D677A9" w:rsidRDefault="00D677A9" w:rsidP="00C46BF0">
      <w:r w:rsidRPr="00C46BF0">
        <w:t xml:space="preserve">Nasopharyngitis occurred in ≥ 2% of subjects across </w:t>
      </w:r>
      <w:proofErr w:type="spellStart"/>
      <w:r w:rsidRPr="00C46BF0">
        <w:t>eptinezumab</w:t>
      </w:r>
      <w:proofErr w:type="spellEnd"/>
      <w:r w:rsidRPr="00C46BF0">
        <w:t xml:space="preserve"> group and with an incidence that was 2% greater in the </w:t>
      </w:r>
      <w:proofErr w:type="spellStart"/>
      <w:r w:rsidRPr="00C46BF0">
        <w:t>eptinezumab</w:t>
      </w:r>
      <w:proofErr w:type="spellEnd"/>
      <w:r w:rsidRPr="00C46BF0">
        <w:t xml:space="preserve"> 300</w:t>
      </w:r>
      <w:r w:rsidR="004B58C9" w:rsidRPr="00C46BF0">
        <w:t> </w:t>
      </w:r>
      <w:r w:rsidRPr="00C46BF0">
        <w:t>mg or 100</w:t>
      </w:r>
      <w:r w:rsidR="004B58C9" w:rsidRPr="00C46BF0">
        <w:t> </w:t>
      </w:r>
      <w:r w:rsidRPr="00C46BF0">
        <w:t>mg groups than in the placebo group. Similar res</w:t>
      </w:r>
      <w:r w:rsidR="004B58C9" w:rsidRPr="00C46BF0">
        <w:t xml:space="preserve">ults were seen in the </w:t>
      </w:r>
      <w:r w:rsidR="00C36D4D">
        <w:t xml:space="preserve">overall </w:t>
      </w:r>
      <w:proofErr w:type="spellStart"/>
      <w:r w:rsidR="00C36D4D">
        <w:t>eptinezumab</w:t>
      </w:r>
      <w:proofErr w:type="spellEnd"/>
      <w:r w:rsidR="00C36D4D">
        <w:t xml:space="preserve"> </w:t>
      </w:r>
      <w:r w:rsidR="004B58C9" w:rsidRPr="00C46BF0">
        <w:t>pool.</w:t>
      </w:r>
    </w:p>
    <w:p w14:paraId="0FE0206D" w14:textId="454BEC5D" w:rsidR="00D677A9" w:rsidRDefault="00D677A9" w:rsidP="002427D5">
      <w:r w:rsidRPr="00C46BF0">
        <w:t xml:space="preserve">In </w:t>
      </w:r>
      <w:r w:rsidR="004B58C9" w:rsidRPr="00C46BF0">
        <w:t xml:space="preserve">Study </w:t>
      </w:r>
      <w:r w:rsidRPr="00C46BF0">
        <w:t xml:space="preserve">011, constipation was reported with a higher prevalence (twice) in the </w:t>
      </w:r>
      <w:proofErr w:type="spellStart"/>
      <w:r w:rsidRPr="00C46BF0">
        <w:t>eptinezumab</w:t>
      </w:r>
      <w:proofErr w:type="spellEnd"/>
      <w:r w:rsidRPr="00C46BF0">
        <w:t xml:space="preserve"> group, compared to placebo. In </w:t>
      </w:r>
      <w:r w:rsidR="004B58C9" w:rsidRPr="00C46BF0">
        <w:t xml:space="preserve">Study </w:t>
      </w:r>
      <w:r w:rsidRPr="00C46BF0">
        <w:t xml:space="preserve">006, 7 subjects across </w:t>
      </w:r>
      <w:proofErr w:type="spellStart"/>
      <w:r w:rsidRPr="00C46BF0">
        <w:t>eptinezumab</w:t>
      </w:r>
      <w:proofErr w:type="spellEnd"/>
      <w:r w:rsidRPr="00C46BF0">
        <w:t xml:space="preserve"> groups experienced constipation as a TEAE, compared to </w:t>
      </w:r>
      <w:r w:rsidR="004B58C9" w:rsidRPr="00C46BF0">
        <w:t>one subject in placebo.</w:t>
      </w:r>
    </w:p>
    <w:p w14:paraId="2448B524" w14:textId="2FB6C2F7" w:rsidR="00D677A9" w:rsidRPr="00C46BF0" w:rsidRDefault="00D677A9" w:rsidP="004711AF">
      <w:pPr>
        <w:pStyle w:val="Heading6"/>
      </w:pPr>
      <w:r w:rsidRPr="00C46BF0">
        <w:t xml:space="preserve">Discontinuations due to </w:t>
      </w:r>
      <w:r w:rsidR="00A12E3A" w:rsidRPr="00C46BF0">
        <w:t>adverse events</w:t>
      </w:r>
    </w:p>
    <w:p w14:paraId="1459DAC1" w14:textId="77777777" w:rsidR="00D677A9" w:rsidRPr="00C46BF0" w:rsidRDefault="00D677A9" w:rsidP="00C46BF0">
      <w:r w:rsidRPr="00C46BF0">
        <w:t xml:space="preserve">The incidence of TEAEs that led to study drug discontinuation among </w:t>
      </w:r>
      <w:proofErr w:type="spellStart"/>
      <w:r w:rsidRPr="00C46BF0">
        <w:t>eptinezumab</w:t>
      </w:r>
      <w:proofErr w:type="spellEnd"/>
      <w:r w:rsidRPr="00C46BF0">
        <w:t xml:space="preserve"> subjects was 2.5%, compared to 1.4% in placebo group. Majority of TEAEs were related to hypersensitivity that led to study drug discontinuation in 13 (0.9%) </w:t>
      </w:r>
      <w:proofErr w:type="spellStart"/>
      <w:r w:rsidRPr="00C46BF0">
        <w:t>eptinezumab</w:t>
      </w:r>
      <w:proofErr w:type="spellEnd"/>
      <w:r w:rsidRPr="00C46BF0">
        <w:t xml:space="preserve"> subjects and no placebo subjects.</w:t>
      </w:r>
    </w:p>
    <w:p w14:paraId="5629EC30" w14:textId="5945781A" w:rsidR="00D677A9" w:rsidRPr="00C46BF0" w:rsidRDefault="00D677A9" w:rsidP="00C46BF0">
      <w:r w:rsidRPr="00C46BF0">
        <w:t xml:space="preserve">There were no major safety events that were related to liver, renal </w:t>
      </w:r>
      <w:proofErr w:type="gramStart"/>
      <w:r w:rsidRPr="00C46BF0">
        <w:t>tox</w:t>
      </w:r>
      <w:r w:rsidR="004B58C9" w:rsidRPr="00C46BF0">
        <w:t>icity</w:t>
      </w:r>
      <w:proofErr w:type="gramEnd"/>
      <w:r w:rsidR="004B58C9" w:rsidRPr="00C46BF0">
        <w:t xml:space="preserve"> or cardiovascular safety.</w:t>
      </w:r>
    </w:p>
    <w:p w14:paraId="2156D19E" w14:textId="77777777" w:rsidR="00D677A9" w:rsidRPr="00C46BF0" w:rsidRDefault="00D677A9" w:rsidP="00C46BF0">
      <w:r w:rsidRPr="00C46BF0">
        <w:t xml:space="preserve">No deaths were reported in any of the clinical studies with </w:t>
      </w:r>
      <w:proofErr w:type="spellStart"/>
      <w:r w:rsidRPr="00C46BF0">
        <w:t>eptinezumab</w:t>
      </w:r>
      <w:proofErr w:type="spellEnd"/>
      <w:r w:rsidRPr="00C46BF0">
        <w:t>.</w:t>
      </w:r>
    </w:p>
    <w:p w14:paraId="1AB46E9F" w14:textId="5946A16A" w:rsidR="00D677A9" w:rsidRPr="00C46BF0" w:rsidRDefault="004B58C9" w:rsidP="00C46BF0">
      <w:r w:rsidRPr="00C46BF0">
        <w:t>I</w:t>
      </w:r>
      <w:r w:rsidR="00D677A9" w:rsidRPr="00C46BF0">
        <w:t>t should be noted that subjects with history of cardiovascular disease were excluded from the study.</w:t>
      </w:r>
    </w:p>
    <w:p w14:paraId="17048389" w14:textId="77777777" w:rsidR="008E7846" w:rsidRPr="00C46BF0" w:rsidRDefault="00386150" w:rsidP="00C46BF0">
      <w:pPr>
        <w:pStyle w:val="Heading3"/>
        <w:rPr>
          <w:lang w:eastAsia="en-AU"/>
        </w:rPr>
      </w:pPr>
      <w:bookmarkStart w:id="45" w:name="_Toc96700852"/>
      <w:r w:rsidRPr="00C46BF0">
        <w:rPr>
          <w:lang w:eastAsia="en-AU"/>
        </w:rPr>
        <w:t>Risk m</w:t>
      </w:r>
      <w:r w:rsidR="008E7846" w:rsidRPr="00C46BF0">
        <w:rPr>
          <w:lang w:eastAsia="en-AU"/>
        </w:rPr>
        <w:t xml:space="preserve">anagement </w:t>
      </w:r>
      <w:r w:rsidRPr="00C46BF0">
        <w:rPr>
          <w:lang w:eastAsia="en-AU"/>
        </w:rPr>
        <w:t>p</w:t>
      </w:r>
      <w:r w:rsidR="008E7846" w:rsidRPr="00C46BF0">
        <w:rPr>
          <w:lang w:eastAsia="en-AU"/>
        </w:rPr>
        <w:t>lan</w:t>
      </w:r>
      <w:bookmarkEnd w:id="43"/>
      <w:bookmarkEnd w:id="45"/>
    </w:p>
    <w:p w14:paraId="2336D3F9" w14:textId="3F37E5A5" w:rsidR="00E1201A" w:rsidRPr="00C46BF0" w:rsidRDefault="00E1201A" w:rsidP="00C46BF0">
      <w:r w:rsidRPr="00C46BF0">
        <w:t xml:space="preserve">The sponsor has submitted </w:t>
      </w:r>
      <w:r w:rsidR="003F11FD" w:rsidRPr="00C46BF0">
        <w:t>c</w:t>
      </w:r>
      <w:r w:rsidRPr="00C46BF0">
        <w:t xml:space="preserve">ore </w:t>
      </w:r>
      <w:r w:rsidR="004B58C9" w:rsidRPr="00C46BF0">
        <w:t>risk management plan (</w:t>
      </w:r>
      <w:r w:rsidRPr="00C46BF0">
        <w:t>RMP</w:t>
      </w:r>
      <w:r w:rsidR="004B58C9" w:rsidRPr="00C46BF0">
        <w:t>)</w:t>
      </w:r>
      <w:r w:rsidRPr="00C46BF0">
        <w:t xml:space="preserve"> version 1.0 (date</w:t>
      </w:r>
      <w:r w:rsidR="000313DF" w:rsidRPr="00C46BF0">
        <w:t>d</w:t>
      </w:r>
      <w:r w:rsidRPr="00C46BF0">
        <w:t xml:space="preserve"> 27 March 2020; </w:t>
      </w:r>
      <w:r w:rsidR="000313DF" w:rsidRPr="00C46BF0">
        <w:t>data lock point (</w:t>
      </w:r>
      <w:r w:rsidRPr="00C46BF0">
        <w:t>DLP</w:t>
      </w:r>
      <w:r w:rsidR="000313DF" w:rsidRPr="00C46BF0">
        <w:t>)</w:t>
      </w:r>
      <w:r w:rsidRPr="00C46BF0">
        <w:t xml:space="preserve"> 1 February 2019) and</w:t>
      </w:r>
      <w:r w:rsidR="000313DF" w:rsidRPr="00C46BF0">
        <w:t xml:space="preserve"> Australian Specific Annex</w:t>
      </w:r>
      <w:r w:rsidRPr="00C46BF0">
        <w:t xml:space="preserve"> </w:t>
      </w:r>
      <w:r w:rsidR="000313DF" w:rsidRPr="00C46BF0">
        <w:t>(</w:t>
      </w:r>
      <w:r w:rsidRPr="00C46BF0">
        <w:t>ASA</w:t>
      </w:r>
      <w:r w:rsidR="000313DF" w:rsidRPr="00C46BF0">
        <w:t>)</w:t>
      </w:r>
      <w:r w:rsidRPr="00C46BF0">
        <w:t xml:space="preserve"> version 1.0 (date</w:t>
      </w:r>
      <w:r w:rsidR="000313DF" w:rsidRPr="00C46BF0">
        <w:t>d</w:t>
      </w:r>
      <w:r w:rsidRPr="00C46BF0">
        <w:t xml:space="preserve"> 21 April 2020) in support of this application. In the response</w:t>
      </w:r>
      <w:r w:rsidR="000313DF" w:rsidRPr="00C46BF0">
        <w:t xml:space="preserve"> to a TGA request for information</w:t>
      </w:r>
      <w:r w:rsidRPr="00C46BF0">
        <w:t>, EU</w:t>
      </w:r>
      <w:r w:rsidR="000313DF" w:rsidRPr="00C46BF0">
        <w:t>-</w:t>
      </w:r>
      <w:r w:rsidRPr="00C46BF0">
        <w:t>RMP version 1.0 (date</w:t>
      </w:r>
      <w:r w:rsidR="000313DF" w:rsidRPr="00C46BF0">
        <w:t>d</w:t>
      </w:r>
      <w:r w:rsidRPr="00C46BF0">
        <w:t xml:space="preserve"> 2 November 2020; DLP 20 August 2020) and ASA version 2.0 (date</w:t>
      </w:r>
      <w:r w:rsidR="000313DF" w:rsidRPr="00C46BF0">
        <w:t>d</w:t>
      </w:r>
      <w:r w:rsidRPr="00C46BF0">
        <w:t xml:space="preserve"> 7 December 2020) has</w:t>
      </w:r>
      <w:r w:rsidR="003F11FD" w:rsidRPr="00C46BF0">
        <w:t xml:space="preserve"> been submitted to replace the c</w:t>
      </w:r>
      <w:r w:rsidRPr="00C46BF0">
        <w:t xml:space="preserve">ore RMP. In the response to </w:t>
      </w:r>
      <w:r w:rsidR="00DD2827" w:rsidRPr="00C46BF0">
        <w:t>TGA</w:t>
      </w:r>
      <w:r w:rsidRPr="00C46BF0">
        <w:t xml:space="preserve"> RMP report, EU</w:t>
      </w:r>
      <w:r w:rsidR="000313DF" w:rsidRPr="00C46BF0">
        <w:t>-</w:t>
      </w:r>
      <w:r w:rsidRPr="00C46BF0">
        <w:t>RMP version 1.1 (date</w:t>
      </w:r>
      <w:r w:rsidR="000313DF" w:rsidRPr="00C46BF0">
        <w:t>d</w:t>
      </w:r>
      <w:r w:rsidRPr="00C46BF0">
        <w:t xml:space="preserve"> 9 February 2021; DLP 30 November 2020) and ASA version 3.0 (date</w:t>
      </w:r>
      <w:r w:rsidR="000313DF" w:rsidRPr="00C46BF0">
        <w:t>d</w:t>
      </w:r>
      <w:r w:rsidRPr="00C46BF0">
        <w:t xml:space="preserve"> 12 Feb</w:t>
      </w:r>
      <w:r w:rsidR="000313DF" w:rsidRPr="00C46BF0">
        <w:t>ruary 2021) has been submitted.</w:t>
      </w:r>
    </w:p>
    <w:p w14:paraId="096EA996" w14:textId="62A45FE4" w:rsidR="007D53B6" w:rsidRPr="00C46BF0" w:rsidRDefault="007D53B6" w:rsidP="00C46BF0">
      <w:r w:rsidRPr="00C46BF0">
        <w:t>The summary of safety concerns and their associated risk monitoring and mitigation strategies</w:t>
      </w:r>
      <w:r w:rsidR="00E1201A" w:rsidRPr="00C46BF0">
        <w:t xml:space="preserve">, which have been agreed during </w:t>
      </w:r>
      <w:r w:rsidR="000313DF" w:rsidRPr="00C46BF0">
        <w:t>the third r</w:t>
      </w:r>
      <w:r w:rsidR="00E1201A" w:rsidRPr="00C46BF0">
        <w:t xml:space="preserve">ound </w:t>
      </w:r>
      <w:r w:rsidR="000313DF" w:rsidRPr="00C46BF0">
        <w:t xml:space="preserve">of </w:t>
      </w:r>
      <w:r w:rsidR="00E1201A" w:rsidRPr="00C46BF0">
        <w:t>evaluation,</w:t>
      </w:r>
      <w:r w:rsidRPr="00C46BF0">
        <w:t xml:space="preserve"> are summarised in </w:t>
      </w:r>
      <w:r w:rsidR="009126E6" w:rsidRPr="00C46BF0">
        <w:fldChar w:fldCharType="begin"/>
      </w:r>
      <w:r w:rsidR="009126E6" w:rsidRPr="00C46BF0">
        <w:instrText xml:space="preserve"> REF _Ref75941451 \h </w:instrText>
      </w:r>
      <w:r w:rsidR="00C46BF0">
        <w:instrText xml:space="preserve"> \* MERGEFORMAT </w:instrText>
      </w:r>
      <w:r w:rsidR="009126E6" w:rsidRPr="00C46BF0">
        <w:fldChar w:fldCharType="separate"/>
      </w:r>
      <w:r w:rsidR="00112693" w:rsidRPr="00C46BF0">
        <w:t xml:space="preserve">Table </w:t>
      </w:r>
      <w:r w:rsidR="00112693">
        <w:rPr>
          <w:noProof/>
        </w:rPr>
        <w:t>14</w:t>
      </w:r>
      <w:r w:rsidR="009126E6" w:rsidRPr="00C46BF0">
        <w:fldChar w:fldCharType="end"/>
      </w:r>
      <w:r w:rsidRPr="00C46BF0">
        <w:t>.</w:t>
      </w:r>
      <w:r w:rsidRPr="00C46BF0">
        <w:rPr>
          <w:rStyle w:val="FootnoteReference"/>
        </w:rPr>
        <w:footnoteReference w:id="18"/>
      </w:r>
    </w:p>
    <w:p w14:paraId="294C9A21" w14:textId="7C3324AF" w:rsidR="00DB68D0" w:rsidRDefault="00E1201A" w:rsidP="00C46BF0">
      <w:pPr>
        <w:pStyle w:val="TableTitle"/>
      </w:pPr>
      <w:bookmarkStart w:id="46" w:name="_Ref75941451"/>
      <w:r w:rsidRPr="00C46BF0">
        <w:lastRenderedPageBreak/>
        <w:t xml:space="preserve">Table </w:t>
      </w:r>
      <w:r>
        <w:fldChar w:fldCharType="begin"/>
      </w:r>
      <w:r>
        <w:instrText>SEQ Table \* ARABIC</w:instrText>
      </w:r>
      <w:r>
        <w:fldChar w:fldCharType="separate"/>
      </w:r>
      <w:r w:rsidR="00112693">
        <w:rPr>
          <w:noProof/>
        </w:rPr>
        <w:t>14</w:t>
      </w:r>
      <w:r>
        <w:fldChar w:fldCharType="end"/>
      </w:r>
      <w:bookmarkEnd w:id="46"/>
      <w:r w:rsidRPr="00C46BF0">
        <w:t>: Summary of safety concerns</w:t>
      </w:r>
    </w:p>
    <w:tbl>
      <w:tblPr>
        <w:tblStyle w:val="TableTGAblue"/>
        <w:tblW w:w="9634" w:type="dxa"/>
        <w:tblLayout w:type="fixed"/>
        <w:tblLook w:val="04A0" w:firstRow="1" w:lastRow="0" w:firstColumn="1" w:lastColumn="0" w:noHBand="0" w:noVBand="1"/>
      </w:tblPr>
      <w:tblGrid>
        <w:gridCol w:w="1696"/>
        <w:gridCol w:w="2268"/>
        <w:gridCol w:w="1318"/>
        <w:gridCol w:w="1536"/>
        <w:gridCol w:w="1318"/>
        <w:gridCol w:w="1498"/>
      </w:tblGrid>
      <w:tr w:rsidR="00B33DA7" w:rsidRPr="00C46BF0" w14:paraId="1CE24D76" w14:textId="77777777" w:rsidTr="00DA7FE9">
        <w:trPr>
          <w:cnfStyle w:val="100000000000" w:firstRow="1" w:lastRow="0" w:firstColumn="0" w:lastColumn="0" w:oddVBand="0" w:evenVBand="0" w:oddHBand="0" w:evenHBand="0" w:firstRowFirstColumn="0" w:firstRowLastColumn="0" w:lastRowFirstColumn="0" w:lastRowLastColumn="0"/>
          <w:trHeight w:val="131"/>
        </w:trPr>
        <w:tc>
          <w:tcPr>
            <w:tcW w:w="3964" w:type="dxa"/>
            <w:gridSpan w:val="2"/>
            <w:vMerge w:val="restart"/>
            <w:tcBorders>
              <w:top w:val="single" w:sz="4" w:space="0" w:color="auto"/>
              <w:left w:val="single" w:sz="4" w:space="0" w:color="auto"/>
              <w:bottom w:val="single" w:sz="4" w:space="0" w:color="auto"/>
              <w:right w:val="single" w:sz="4" w:space="0" w:color="auto"/>
            </w:tcBorders>
            <w:shd w:val="clear" w:color="auto" w:fill="0070B5" w:themeFill="text2" w:themeFillTint="BF"/>
          </w:tcPr>
          <w:p w14:paraId="15D29D51" w14:textId="77777777" w:rsidR="008B64A3" w:rsidRPr="00C46BF0" w:rsidRDefault="008B64A3" w:rsidP="00F95B77">
            <w:pPr>
              <w:pStyle w:val="Tabletext"/>
            </w:pPr>
            <w:r w:rsidRPr="00C46BF0">
              <w:t>Summary of safety concerns</w:t>
            </w:r>
          </w:p>
        </w:tc>
        <w:tc>
          <w:tcPr>
            <w:tcW w:w="2854" w:type="dxa"/>
            <w:gridSpan w:val="2"/>
            <w:tcBorders>
              <w:top w:val="single" w:sz="4" w:space="0" w:color="auto"/>
              <w:left w:val="single" w:sz="4" w:space="0" w:color="auto"/>
              <w:bottom w:val="single" w:sz="4" w:space="0" w:color="auto"/>
              <w:right w:val="single" w:sz="4" w:space="0" w:color="auto"/>
            </w:tcBorders>
            <w:shd w:val="clear" w:color="auto" w:fill="0070B5" w:themeFill="text2" w:themeFillTint="BF"/>
          </w:tcPr>
          <w:p w14:paraId="4BE9F18C" w14:textId="77777777" w:rsidR="008B64A3" w:rsidRPr="00C46BF0" w:rsidRDefault="008B64A3" w:rsidP="00F95B77">
            <w:pPr>
              <w:pStyle w:val="Tabletext"/>
              <w:rPr>
                <w:sz w:val="18"/>
              </w:rPr>
            </w:pPr>
            <w:r w:rsidRPr="00C46BF0">
              <w:rPr>
                <w:sz w:val="18"/>
              </w:rPr>
              <w:t>Pharmacovigilance</w:t>
            </w:r>
          </w:p>
        </w:tc>
        <w:tc>
          <w:tcPr>
            <w:tcW w:w="2816" w:type="dxa"/>
            <w:gridSpan w:val="2"/>
            <w:tcBorders>
              <w:top w:val="single" w:sz="4" w:space="0" w:color="auto"/>
              <w:left w:val="single" w:sz="4" w:space="0" w:color="auto"/>
              <w:bottom w:val="single" w:sz="4" w:space="0" w:color="auto"/>
              <w:right w:val="single" w:sz="4" w:space="0" w:color="auto"/>
            </w:tcBorders>
            <w:shd w:val="clear" w:color="auto" w:fill="0070B5" w:themeFill="text2" w:themeFillTint="BF"/>
          </w:tcPr>
          <w:p w14:paraId="68E46422" w14:textId="77777777" w:rsidR="008B64A3" w:rsidRPr="00C46BF0" w:rsidRDefault="008B64A3" w:rsidP="00F95B77">
            <w:pPr>
              <w:pStyle w:val="Tabletext"/>
              <w:rPr>
                <w:sz w:val="18"/>
              </w:rPr>
            </w:pPr>
            <w:r w:rsidRPr="00C46BF0">
              <w:rPr>
                <w:sz w:val="18"/>
              </w:rPr>
              <w:t>Risk Minimisation</w:t>
            </w:r>
          </w:p>
        </w:tc>
      </w:tr>
      <w:tr w:rsidR="008B64A3" w:rsidRPr="00C46BF0" w14:paraId="7D458202" w14:textId="77777777" w:rsidTr="00DA7FE9">
        <w:trPr>
          <w:trHeight w:val="150"/>
        </w:trPr>
        <w:tc>
          <w:tcPr>
            <w:tcW w:w="3964" w:type="dxa"/>
            <w:gridSpan w:val="2"/>
            <w:vMerge/>
            <w:tcBorders>
              <w:top w:val="single" w:sz="4" w:space="0" w:color="auto"/>
              <w:left w:val="single" w:sz="4" w:space="0" w:color="auto"/>
              <w:bottom w:val="single" w:sz="4" w:space="0" w:color="auto"/>
              <w:right w:val="single" w:sz="4" w:space="0" w:color="auto"/>
            </w:tcBorders>
          </w:tcPr>
          <w:p w14:paraId="30C26AEE" w14:textId="77777777" w:rsidR="008B64A3" w:rsidRPr="00C46BF0" w:rsidRDefault="008B64A3" w:rsidP="00F95B77">
            <w:pPr>
              <w:pStyle w:val="Tabletext"/>
              <w:rPr>
                <w:b/>
              </w:rPr>
            </w:pPr>
          </w:p>
        </w:tc>
        <w:tc>
          <w:tcPr>
            <w:tcW w:w="1318" w:type="dxa"/>
            <w:tcBorders>
              <w:top w:val="single" w:sz="4" w:space="0" w:color="auto"/>
              <w:left w:val="single" w:sz="4" w:space="0" w:color="auto"/>
              <w:bottom w:val="single" w:sz="4" w:space="0" w:color="auto"/>
              <w:right w:val="single" w:sz="4" w:space="0" w:color="auto"/>
            </w:tcBorders>
            <w:shd w:val="clear" w:color="auto" w:fill="006DA7"/>
          </w:tcPr>
          <w:p w14:paraId="2D8CF5BE" w14:textId="77777777" w:rsidR="008B64A3" w:rsidRPr="00C46BF0" w:rsidRDefault="008B64A3" w:rsidP="00F95B77">
            <w:pPr>
              <w:pStyle w:val="Tabletext"/>
              <w:rPr>
                <w:b/>
                <w:color w:val="FFFFFF" w:themeColor="background1"/>
                <w:sz w:val="18"/>
              </w:rPr>
            </w:pPr>
            <w:r w:rsidRPr="00C46BF0">
              <w:rPr>
                <w:b/>
                <w:color w:val="FFFFFF" w:themeColor="background1"/>
                <w:sz w:val="18"/>
              </w:rPr>
              <w:t>Routine</w:t>
            </w:r>
          </w:p>
        </w:tc>
        <w:tc>
          <w:tcPr>
            <w:tcW w:w="1536" w:type="dxa"/>
            <w:tcBorders>
              <w:top w:val="single" w:sz="4" w:space="0" w:color="auto"/>
              <w:left w:val="single" w:sz="4" w:space="0" w:color="auto"/>
              <w:bottom w:val="single" w:sz="4" w:space="0" w:color="auto"/>
              <w:right w:val="single" w:sz="4" w:space="0" w:color="auto"/>
            </w:tcBorders>
            <w:shd w:val="clear" w:color="auto" w:fill="006DA7"/>
          </w:tcPr>
          <w:p w14:paraId="13BC463B" w14:textId="77777777" w:rsidR="008B64A3" w:rsidRPr="00C46BF0" w:rsidRDefault="008B64A3" w:rsidP="00F95B77">
            <w:pPr>
              <w:pStyle w:val="Tabletext"/>
              <w:rPr>
                <w:b/>
                <w:color w:val="FFFFFF" w:themeColor="background1"/>
                <w:sz w:val="18"/>
              </w:rPr>
            </w:pPr>
            <w:r w:rsidRPr="00C46BF0">
              <w:rPr>
                <w:b/>
                <w:color w:val="FFFFFF" w:themeColor="background1"/>
                <w:sz w:val="18"/>
              </w:rPr>
              <w:t>Additional</w:t>
            </w:r>
          </w:p>
        </w:tc>
        <w:tc>
          <w:tcPr>
            <w:tcW w:w="1318" w:type="dxa"/>
            <w:tcBorders>
              <w:top w:val="single" w:sz="4" w:space="0" w:color="auto"/>
              <w:left w:val="single" w:sz="4" w:space="0" w:color="auto"/>
              <w:bottom w:val="single" w:sz="4" w:space="0" w:color="auto"/>
              <w:right w:val="single" w:sz="4" w:space="0" w:color="auto"/>
            </w:tcBorders>
            <w:shd w:val="clear" w:color="auto" w:fill="006DA7"/>
          </w:tcPr>
          <w:p w14:paraId="38DEEE7F" w14:textId="77777777" w:rsidR="008B64A3" w:rsidRPr="00C46BF0" w:rsidRDefault="008B64A3" w:rsidP="00F95B77">
            <w:pPr>
              <w:pStyle w:val="Tabletext"/>
              <w:rPr>
                <w:b/>
                <w:color w:val="FFFFFF" w:themeColor="background1"/>
                <w:sz w:val="18"/>
              </w:rPr>
            </w:pPr>
            <w:r w:rsidRPr="00C46BF0">
              <w:rPr>
                <w:b/>
                <w:color w:val="FFFFFF" w:themeColor="background1"/>
                <w:sz w:val="18"/>
              </w:rPr>
              <w:t>Routine</w:t>
            </w:r>
          </w:p>
        </w:tc>
        <w:tc>
          <w:tcPr>
            <w:tcW w:w="1498" w:type="dxa"/>
            <w:tcBorders>
              <w:top w:val="single" w:sz="4" w:space="0" w:color="auto"/>
              <w:left w:val="single" w:sz="4" w:space="0" w:color="auto"/>
              <w:bottom w:val="single" w:sz="4" w:space="0" w:color="auto"/>
              <w:right w:val="single" w:sz="4" w:space="0" w:color="auto"/>
            </w:tcBorders>
            <w:shd w:val="clear" w:color="auto" w:fill="006DA7"/>
          </w:tcPr>
          <w:p w14:paraId="5B70464B" w14:textId="77777777" w:rsidR="008B64A3" w:rsidRPr="00C46BF0" w:rsidRDefault="008B64A3" w:rsidP="00F95B77">
            <w:pPr>
              <w:pStyle w:val="Tabletext"/>
              <w:rPr>
                <w:b/>
                <w:color w:val="FFFFFF" w:themeColor="background1"/>
                <w:sz w:val="18"/>
              </w:rPr>
            </w:pPr>
            <w:r w:rsidRPr="00C46BF0">
              <w:rPr>
                <w:b/>
                <w:color w:val="FFFFFF" w:themeColor="background1"/>
                <w:sz w:val="18"/>
              </w:rPr>
              <w:t>Additional</w:t>
            </w:r>
          </w:p>
        </w:tc>
      </w:tr>
      <w:tr w:rsidR="008B64A3" w:rsidRPr="00C46BF0" w14:paraId="6F3D2A82" w14:textId="77777777" w:rsidTr="00DA7FE9">
        <w:trPr>
          <w:trHeight w:val="137"/>
        </w:trPr>
        <w:tc>
          <w:tcPr>
            <w:tcW w:w="1696" w:type="dxa"/>
            <w:tcBorders>
              <w:top w:val="single" w:sz="4" w:space="0" w:color="auto"/>
            </w:tcBorders>
          </w:tcPr>
          <w:p w14:paraId="6E9993F7" w14:textId="77777777" w:rsidR="008B64A3" w:rsidRPr="00C46BF0" w:rsidRDefault="008B64A3" w:rsidP="00F95B77">
            <w:pPr>
              <w:pStyle w:val="Tabletext"/>
              <w:rPr>
                <w:b/>
              </w:rPr>
            </w:pPr>
            <w:r w:rsidRPr="00C46BF0">
              <w:rPr>
                <w:b/>
              </w:rPr>
              <w:t>Important identified risks</w:t>
            </w:r>
          </w:p>
        </w:tc>
        <w:tc>
          <w:tcPr>
            <w:tcW w:w="2268" w:type="dxa"/>
            <w:tcBorders>
              <w:top w:val="single" w:sz="4" w:space="0" w:color="auto"/>
            </w:tcBorders>
          </w:tcPr>
          <w:p w14:paraId="14CE53B5" w14:textId="77777777" w:rsidR="008B64A3" w:rsidRPr="00C46BF0" w:rsidRDefault="008B64A3" w:rsidP="00F95B77">
            <w:pPr>
              <w:pStyle w:val="Tabletext"/>
              <w:rPr>
                <w:vertAlign w:val="superscript"/>
              </w:rPr>
            </w:pPr>
            <w:r w:rsidRPr="00C46BF0">
              <w:t>Severe hypersensitivity, including anaphylactic reactions</w:t>
            </w:r>
            <w:r w:rsidRPr="00C46BF0">
              <w:rPr>
                <w:vertAlign w:val="superscript"/>
              </w:rPr>
              <w:t>1</w:t>
            </w:r>
          </w:p>
        </w:tc>
        <w:tc>
          <w:tcPr>
            <w:tcW w:w="1318" w:type="dxa"/>
            <w:tcBorders>
              <w:top w:val="single" w:sz="4" w:space="0" w:color="auto"/>
            </w:tcBorders>
          </w:tcPr>
          <w:p w14:paraId="4A6E0CA9" w14:textId="77777777" w:rsidR="008B64A3" w:rsidRPr="00C46BF0" w:rsidRDefault="008B64A3" w:rsidP="00F95B77">
            <w:pPr>
              <w:pStyle w:val="Tabletext"/>
            </w:pPr>
            <w:r w:rsidRPr="00C46BF0">
              <w:sym w:font="Wingdings" w:char="F0FC"/>
            </w:r>
          </w:p>
        </w:tc>
        <w:tc>
          <w:tcPr>
            <w:tcW w:w="1536" w:type="dxa"/>
            <w:tcBorders>
              <w:top w:val="single" w:sz="4" w:space="0" w:color="auto"/>
            </w:tcBorders>
          </w:tcPr>
          <w:p w14:paraId="7AE89B4A" w14:textId="77777777" w:rsidR="008B64A3" w:rsidRPr="00C46BF0" w:rsidRDefault="008B64A3" w:rsidP="00F95B77">
            <w:pPr>
              <w:pStyle w:val="Tabletext"/>
            </w:pPr>
            <w:r w:rsidRPr="00C46BF0">
              <w:t>–</w:t>
            </w:r>
          </w:p>
        </w:tc>
        <w:tc>
          <w:tcPr>
            <w:tcW w:w="1318" w:type="dxa"/>
            <w:tcBorders>
              <w:top w:val="single" w:sz="4" w:space="0" w:color="auto"/>
            </w:tcBorders>
          </w:tcPr>
          <w:p w14:paraId="489A554D" w14:textId="77777777" w:rsidR="008B64A3" w:rsidRPr="00C46BF0" w:rsidRDefault="008B64A3" w:rsidP="00F95B77">
            <w:pPr>
              <w:pStyle w:val="Tabletext"/>
            </w:pPr>
            <w:r w:rsidRPr="00C46BF0">
              <w:sym w:font="Wingdings" w:char="F0FC"/>
            </w:r>
          </w:p>
        </w:tc>
        <w:tc>
          <w:tcPr>
            <w:tcW w:w="1498" w:type="dxa"/>
            <w:tcBorders>
              <w:top w:val="single" w:sz="4" w:space="0" w:color="auto"/>
            </w:tcBorders>
          </w:tcPr>
          <w:p w14:paraId="63C748B5" w14:textId="77777777" w:rsidR="008B64A3" w:rsidRPr="00C46BF0" w:rsidRDefault="008B64A3" w:rsidP="00F95B77">
            <w:pPr>
              <w:pStyle w:val="Tabletext"/>
            </w:pPr>
            <w:r w:rsidRPr="00C46BF0">
              <w:t>–</w:t>
            </w:r>
          </w:p>
        </w:tc>
      </w:tr>
      <w:tr w:rsidR="008B64A3" w:rsidRPr="00C46BF0" w14:paraId="28017BA2" w14:textId="77777777" w:rsidTr="00DA7FE9">
        <w:trPr>
          <w:trHeight w:val="159"/>
        </w:trPr>
        <w:tc>
          <w:tcPr>
            <w:tcW w:w="1696" w:type="dxa"/>
          </w:tcPr>
          <w:p w14:paraId="1894A681" w14:textId="77777777" w:rsidR="008B64A3" w:rsidRPr="00C46BF0" w:rsidRDefault="008B64A3" w:rsidP="00F95B77">
            <w:pPr>
              <w:pStyle w:val="Tabletext"/>
              <w:rPr>
                <w:b/>
              </w:rPr>
            </w:pPr>
            <w:r w:rsidRPr="00C46BF0">
              <w:rPr>
                <w:b/>
              </w:rPr>
              <w:t>Important potential risks</w:t>
            </w:r>
          </w:p>
        </w:tc>
        <w:tc>
          <w:tcPr>
            <w:tcW w:w="2268" w:type="dxa"/>
          </w:tcPr>
          <w:p w14:paraId="19C45E49" w14:textId="77777777" w:rsidR="008B64A3" w:rsidRPr="00C46BF0" w:rsidRDefault="008B64A3" w:rsidP="00F95B77">
            <w:pPr>
              <w:pStyle w:val="Tabletext"/>
            </w:pPr>
            <w:r w:rsidRPr="00C46BF0">
              <w:t>None</w:t>
            </w:r>
          </w:p>
        </w:tc>
        <w:tc>
          <w:tcPr>
            <w:tcW w:w="1318" w:type="dxa"/>
          </w:tcPr>
          <w:p w14:paraId="1D61CB92" w14:textId="77777777" w:rsidR="008B64A3" w:rsidRPr="00C46BF0" w:rsidRDefault="008B64A3" w:rsidP="00F95B77">
            <w:pPr>
              <w:pStyle w:val="Tabletext"/>
            </w:pPr>
            <w:r w:rsidRPr="00C46BF0">
              <w:t>–</w:t>
            </w:r>
          </w:p>
        </w:tc>
        <w:tc>
          <w:tcPr>
            <w:tcW w:w="1536" w:type="dxa"/>
          </w:tcPr>
          <w:p w14:paraId="4BCB6A98" w14:textId="77777777" w:rsidR="008B64A3" w:rsidRPr="00C46BF0" w:rsidRDefault="008B64A3" w:rsidP="00F95B77">
            <w:pPr>
              <w:pStyle w:val="Tabletext"/>
            </w:pPr>
            <w:r w:rsidRPr="00C46BF0">
              <w:t>–</w:t>
            </w:r>
          </w:p>
        </w:tc>
        <w:tc>
          <w:tcPr>
            <w:tcW w:w="1318" w:type="dxa"/>
          </w:tcPr>
          <w:p w14:paraId="55C518CB" w14:textId="77777777" w:rsidR="008B64A3" w:rsidRPr="00C46BF0" w:rsidRDefault="008B64A3" w:rsidP="00F95B77">
            <w:pPr>
              <w:pStyle w:val="Tabletext"/>
            </w:pPr>
            <w:r w:rsidRPr="00C46BF0">
              <w:t>–</w:t>
            </w:r>
          </w:p>
        </w:tc>
        <w:tc>
          <w:tcPr>
            <w:tcW w:w="1498" w:type="dxa"/>
          </w:tcPr>
          <w:p w14:paraId="0554F9D8" w14:textId="77777777" w:rsidR="008B64A3" w:rsidRPr="00C46BF0" w:rsidRDefault="008B64A3" w:rsidP="00F95B77">
            <w:pPr>
              <w:pStyle w:val="Tabletext"/>
            </w:pPr>
            <w:r w:rsidRPr="00C46BF0">
              <w:t>–</w:t>
            </w:r>
          </w:p>
        </w:tc>
      </w:tr>
      <w:tr w:rsidR="008B64A3" w:rsidRPr="00C46BF0" w14:paraId="0F75EE06" w14:textId="77777777" w:rsidTr="00DA7FE9">
        <w:trPr>
          <w:trHeight w:val="178"/>
        </w:trPr>
        <w:tc>
          <w:tcPr>
            <w:tcW w:w="1696" w:type="dxa"/>
            <w:vMerge w:val="restart"/>
          </w:tcPr>
          <w:p w14:paraId="5BF0B71D" w14:textId="77777777" w:rsidR="008B64A3" w:rsidRPr="00C46BF0" w:rsidRDefault="008B64A3" w:rsidP="00F95B77">
            <w:pPr>
              <w:pStyle w:val="Tabletext"/>
              <w:rPr>
                <w:b/>
              </w:rPr>
            </w:pPr>
            <w:r w:rsidRPr="00C46BF0">
              <w:rPr>
                <w:b/>
              </w:rPr>
              <w:t>Missing information</w:t>
            </w:r>
          </w:p>
        </w:tc>
        <w:tc>
          <w:tcPr>
            <w:tcW w:w="2268" w:type="dxa"/>
          </w:tcPr>
          <w:p w14:paraId="3CADB564" w14:textId="77777777" w:rsidR="008B64A3" w:rsidRPr="00C46BF0" w:rsidRDefault="008B64A3" w:rsidP="00F95B77">
            <w:pPr>
              <w:pStyle w:val="Tabletext"/>
            </w:pPr>
            <w:r w:rsidRPr="00C46BF0">
              <w:t>Use in pregnant women (including those at risk of pre-eclampsia)</w:t>
            </w:r>
          </w:p>
        </w:tc>
        <w:tc>
          <w:tcPr>
            <w:tcW w:w="1318" w:type="dxa"/>
          </w:tcPr>
          <w:p w14:paraId="6F149FB5" w14:textId="77777777" w:rsidR="008B64A3" w:rsidRPr="00C46BF0" w:rsidRDefault="008B64A3" w:rsidP="00F95B77">
            <w:pPr>
              <w:pStyle w:val="Tabletext"/>
            </w:pPr>
            <w:r w:rsidRPr="00C46BF0">
              <w:sym w:font="Wingdings" w:char="F0FC"/>
            </w:r>
          </w:p>
        </w:tc>
        <w:tc>
          <w:tcPr>
            <w:tcW w:w="1536" w:type="dxa"/>
          </w:tcPr>
          <w:p w14:paraId="053FCF8E" w14:textId="77777777" w:rsidR="008B64A3" w:rsidRPr="00C46BF0" w:rsidRDefault="008B64A3" w:rsidP="00F95B77">
            <w:pPr>
              <w:pStyle w:val="Tabletext"/>
            </w:pPr>
            <w:r w:rsidRPr="00C46BF0">
              <w:sym w:font="Wingdings" w:char="F0FC"/>
            </w:r>
            <w:r w:rsidRPr="00C46BF0">
              <w:t>†</w:t>
            </w:r>
          </w:p>
        </w:tc>
        <w:tc>
          <w:tcPr>
            <w:tcW w:w="1318" w:type="dxa"/>
          </w:tcPr>
          <w:p w14:paraId="7C0A242B" w14:textId="77777777" w:rsidR="008B64A3" w:rsidRPr="00C46BF0" w:rsidRDefault="008B64A3" w:rsidP="00F95B77">
            <w:pPr>
              <w:pStyle w:val="Tabletext"/>
            </w:pPr>
            <w:r w:rsidRPr="00C46BF0">
              <w:sym w:font="Wingdings" w:char="F0FC"/>
            </w:r>
          </w:p>
        </w:tc>
        <w:tc>
          <w:tcPr>
            <w:tcW w:w="1498" w:type="dxa"/>
          </w:tcPr>
          <w:p w14:paraId="2C1A7E8F" w14:textId="77777777" w:rsidR="008B64A3" w:rsidRPr="00C46BF0" w:rsidRDefault="008B64A3" w:rsidP="00F95B77">
            <w:pPr>
              <w:pStyle w:val="Tabletext"/>
            </w:pPr>
            <w:r w:rsidRPr="00C46BF0">
              <w:t>–</w:t>
            </w:r>
          </w:p>
        </w:tc>
      </w:tr>
      <w:tr w:rsidR="008B64A3" w:rsidRPr="00C46BF0" w14:paraId="79EA3D94" w14:textId="77777777" w:rsidTr="00DA7FE9">
        <w:trPr>
          <w:trHeight w:val="103"/>
        </w:trPr>
        <w:tc>
          <w:tcPr>
            <w:tcW w:w="1696" w:type="dxa"/>
            <w:vMerge/>
          </w:tcPr>
          <w:p w14:paraId="3A3906E4" w14:textId="77777777" w:rsidR="008B64A3" w:rsidRPr="00C46BF0" w:rsidRDefault="008B64A3" w:rsidP="00F95B77">
            <w:pPr>
              <w:pStyle w:val="Tabletext"/>
            </w:pPr>
          </w:p>
        </w:tc>
        <w:tc>
          <w:tcPr>
            <w:tcW w:w="2268" w:type="dxa"/>
          </w:tcPr>
          <w:p w14:paraId="38CA20D6" w14:textId="77777777" w:rsidR="008B64A3" w:rsidRPr="00C46BF0" w:rsidRDefault="008B64A3" w:rsidP="00F95B77">
            <w:pPr>
              <w:pStyle w:val="Tabletext"/>
            </w:pPr>
            <w:r w:rsidRPr="00C46BF0">
              <w:t>Cardiovascular outcomes in patients with pre-existing myocardial infarction, cerebrovascular accident, transient ischemic attack, angina unstable and poorly controlled hypertension</w:t>
            </w:r>
          </w:p>
        </w:tc>
        <w:tc>
          <w:tcPr>
            <w:tcW w:w="1318" w:type="dxa"/>
          </w:tcPr>
          <w:p w14:paraId="3D5A7A93" w14:textId="77777777" w:rsidR="008B64A3" w:rsidRPr="00C46BF0" w:rsidRDefault="008B64A3" w:rsidP="00F95B77">
            <w:pPr>
              <w:pStyle w:val="Tabletext"/>
            </w:pPr>
            <w:r w:rsidRPr="00C46BF0">
              <w:sym w:font="Wingdings" w:char="F0FC"/>
            </w:r>
          </w:p>
        </w:tc>
        <w:tc>
          <w:tcPr>
            <w:tcW w:w="1536" w:type="dxa"/>
          </w:tcPr>
          <w:p w14:paraId="531D2228" w14:textId="77777777" w:rsidR="008B64A3" w:rsidRPr="00C46BF0" w:rsidRDefault="008B64A3" w:rsidP="00F95B77">
            <w:pPr>
              <w:pStyle w:val="Tabletext"/>
            </w:pPr>
            <w:r w:rsidRPr="00C46BF0">
              <w:sym w:font="Wingdings" w:char="F0FC"/>
            </w:r>
            <w:r w:rsidRPr="00C46BF0">
              <w:t>*</w:t>
            </w:r>
          </w:p>
        </w:tc>
        <w:tc>
          <w:tcPr>
            <w:tcW w:w="1318" w:type="dxa"/>
          </w:tcPr>
          <w:p w14:paraId="1FB440AF" w14:textId="77777777" w:rsidR="008B64A3" w:rsidRPr="00C46BF0" w:rsidRDefault="008B64A3" w:rsidP="00F95B77">
            <w:pPr>
              <w:pStyle w:val="Tabletext"/>
            </w:pPr>
            <w:r w:rsidRPr="00C46BF0">
              <w:sym w:font="Wingdings" w:char="F0FC"/>
            </w:r>
          </w:p>
        </w:tc>
        <w:tc>
          <w:tcPr>
            <w:tcW w:w="1498" w:type="dxa"/>
          </w:tcPr>
          <w:p w14:paraId="61223F7B" w14:textId="77777777" w:rsidR="008B64A3" w:rsidRPr="00C46BF0" w:rsidRDefault="008B64A3" w:rsidP="00F95B77">
            <w:pPr>
              <w:pStyle w:val="Tabletext"/>
            </w:pPr>
            <w:r w:rsidRPr="00C46BF0">
              <w:t>–</w:t>
            </w:r>
          </w:p>
        </w:tc>
      </w:tr>
      <w:tr w:rsidR="008B64A3" w:rsidRPr="00C46BF0" w14:paraId="370290AA" w14:textId="77777777" w:rsidTr="00DA7FE9">
        <w:trPr>
          <w:trHeight w:val="140"/>
        </w:trPr>
        <w:tc>
          <w:tcPr>
            <w:tcW w:w="1696" w:type="dxa"/>
            <w:vMerge/>
          </w:tcPr>
          <w:p w14:paraId="2A494630" w14:textId="77777777" w:rsidR="008B64A3" w:rsidRPr="00C46BF0" w:rsidRDefault="008B64A3" w:rsidP="00F95B77">
            <w:pPr>
              <w:pStyle w:val="Tabletext"/>
            </w:pPr>
          </w:p>
        </w:tc>
        <w:tc>
          <w:tcPr>
            <w:tcW w:w="2268" w:type="dxa"/>
          </w:tcPr>
          <w:p w14:paraId="581656CF" w14:textId="77777777" w:rsidR="008B64A3" w:rsidRPr="00C46BF0" w:rsidRDefault="008B64A3" w:rsidP="00F95B77">
            <w:pPr>
              <w:pStyle w:val="Tabletext"/>
            </w:pPr>
            <w:r w:rsidRPr="00C46BF0">
              <w:t>Long-term safety</w:t>
            </w:r>
          </w:p>
        </w:tc>
        <w:tc>
          <w:tcPr>
            <w:tcW w:w="1318" w:type="dxa"/>
          </w:tcPr>
          <w:p w14:paraId="6C0D25F4" w14:textId="77777777" w:rsidR="008B64A3" w:rsidRPr="00C46BF0" w:rsidRDefault="008B64A3" w:rsidP="00F95B77">
            <w:pPr>
              <w:pStyle w:val="Tabletext"/>
            </w:pPr>
            <w:r w:rsidRPr="00C46BF0">
              <w:sym w:font="Wingdings" w:char="F0FC"/>
            </w:r>
          </w:p>
        </w:tc>
        <w:tc>
          <w:tcPr>
            <w:tcW w:w="1536" w:type="dxa"/>
          </w:tcPr>
          <w:p w14:paraId="4F75EAEA" w14:textId="77777777" w:rsidR="008B64A3" w:rsidRPr="00C46BF0" w:rsidRDefault="008B64A3" w:rsidP="00F95B77">
            <w:pPr>
              <w:pStyle w:val="Tabletext"/>
            </w:pPr>
            <w:r w:rsidRPr="00C46BF0">
              <w:sym w:font="Wingdings" w:char="F0FC"/>
            </w:r>
            <w:r w:rsidRPr="00C46BF0">
              <w:t>*</w:t>
            </w:r>
          </w:p>
        </w:tc>
        <w:tc>
          <w:tcPr>
            <w:tcW w:w="1318" w:type="dxa"/>
          </w:tcPr>
          <w:p w14:paraId="79C1F4C9" w14:textId="77777777" w:rsidR="008B64A3" w:rsidRPr="00C46BF0" w:rsidRDefault="008B64A3" w:rsidP="00F95B77">
            <w:pPr>
              <w:pStyle w:val="Tabletext"/>
            </w:pPr>
            <w:r w:rsidRPr="00C46BF0">
              <w:sym w:font="Wingdings" w:char="F0FC"/>
            </w:r>
          </w:p>
        </w:tc>
        <w:tc>
          <w:tcPr>
            <w:tcW w:w="1498" w:type="dxa"/>
          </w:tcPr>
          <w:p w14:paraId="20D8C4CC" w14:textId="77777777" w:rsidR="008B64A3" w:rsidRPr="00C46BF0" w:rsidRDefault="008B64A3" w:rsidP="00F95B77">
            <w:pPr>
              <w:pStyle w:val="Tabletext"/>
            </w:pPr>
            <w:r w:rsidRPr="00C46BF0">
              <w:t>–</w:t>
            </w:r>
          </w:p>
        </w:tc>
      </w:tr>
    </w:tbl>
    <w:p w14:paraId="4421D440" w14:textId="24EA2317" w:rsidR="00E1201A" w:rsidRPr="00C46BF0" w:rsidRDefault="00E1201A" w:rsidP="00C46BF0">
      <w:pPr>
        <w:pStyle w:val="TableDescription"/>
      </w:pPr>
      <w:r w:rsidRPr="00C46BF0">
        <w:rPr>
          <w:vertAlign w:val="superscript"/>
        </w:rPr>
        <w:t>1</w:t>
      </w:r>
      <w:r w:rsidRPr="00C46BF0">
        <w:t xml:space="preserve"> Australia-specific safety concern in </w:t>
      </w:r>
      <w:r w:rsidR="000313DF" w:rsidRPr="00C46BF0">
        <w:t>Australian Specific Annex</w:t>
      </w:r>
    </w:p>
    <w:p w14:paraId="60D866B3" w14:textId="0B957102" w:rsidR="009126E6" w:rsidRPr="00C46BF0" w:rsidRDefault="00E1201A" w:rsidP="00C46BF0">
      <w:pPr>
        <w:pStyle w:val="TableDescription"/>
      </w:pPr>
      <w:r w:rsidRPr="00C46BF0">
        <w:t>*</w:t>
      </w:r>
      <w:r w:rsidR="00A12E3A" w:rsidRPr="00C46BF0">
        <w:t xml:space="preserve"> </w:t>
      </w:r>
      <w:proofErr w:type="spellStart"/>
      <w:r w:rsidRPr="00C46BF0">
        <w:t>Eptinezumab</w:t>
      </w:r>
      <w:proofErr w:type="spellEnd"/>
      <w:r w:rsidRPr="00C46BF0">
        <w:t xml:space="preserve"> </w:t>
      </w:r>
      <w:r w:rsidR="000313DF" w:rsidRPr="00C46BF0">
        <w:t xml:space="preserve">real world use and </w:t>
      </w:r>
      <w:proofErr w:type="gramStart"/>
      <w:r w:rsidR="000313DF" w:rsidRPr="00C46BF0">
        <w:t>long term</w:t>
      </w:r>
      <w:proofErr w:type="gramEnd"/>
      <w:r w:rsidR="000313DF" w:rsidRPr="00C46BF0">
        <w:t xml:space="preserve"> cardiovascular safety study</w:t>
      </w:r>
    </w:p>
    <w:p w14:paraId="68E8DDDB" w14:textId="649E3121" w:rsidR="00E1201A" w:rsidRPr="00C46BF0" w:rsidRDefault="00E1201A" w:rsidP="00C46BF0">
      <w:pPr>
        <w:pStyle w:val="TableDescription"/>
        <w:rPr>
          <w:color w:val="0070C0"/>
        </w:rPr>
      </w:pPr>
      <w:r w:rsidRPr="00C46BF0">
        <w:rPr>
          <w:vertAlign w:val="superscript"/>
        </w:rPr>
        <w:t>†</w:t>
      </w:r>
      <w:r w:rsidR="00A12E3A" w:rsidRPr="00C46BF0">
        <w:rPr>
          <w:vertAlign w:val="superscript"/>
        </w:rPr>
        <w:t xml:space="preserve"> </w:t>
      </w:r>
      <w:r w:rsidRPr="00C46BF0">
        <w:t>Post-</w:t>
      </w:r>
      <w:r w:rsidR="000313DF" w:rsidRPr="00C46BF0">
        <w:t>market pregnancy program</w:t>
      </w:r>
    </w:p>
    <w:p w14:paraId="48940BED" w14:textId="508413DC" w:rsidR="00E1201A" w:rsidRPr="00C46BF0" w:rsidRDefault="00E1201A" w:rsidP="00C46BF0">
      <w:pPr>
        <w:pStyle w:val="ListBullet"/>
      </w:pPr>
      <w:r w:rsidRPr="00C46BF0">
        <w:t>The safety specification including the summary of safety concerns is considered acceptable from an RMP perspective. The sponsor agreed to include severe hypersensitivity, including anaphylactic reactions as an important identified risk in the ASA’</w:t>
      </w:r>
      <w:r w:rsidR="000313DF" w:rsidRPr="00C46BF0">
        <w:t>s summary of safety concerns.</w:t>
      </w:r>
    </w:p>
    <w:p w14:paraId="729A561E" w14:textId="530012FC" w:rsidR="00E1201A" w:rsidRPr="00C46BF0" w:rsidRDefault="00E1201A" w:rsidP="00C46BF0">
      <w:pPr>
        <w:pStyle w:val="ListBullet"/>
      </w:pPr>
      <w:r w:rsidRPr="00C46BF0">
        <w:t xml:space="preserve">Routine and additional pharmacovigilance activities have been proposed for </w:t>
      </w:r>
      <w:proofErr w:type="gramStart"/>
      <w:r w:rsidRPr="00C46BF0">
        <w:t>all of</w:t>
      </w:r>
      <w:proofErr w:type="gramEnd"/>
      <w:r w:rsidRPr="00C46BF0">
        <w:t xml:space="preserve"> the safety concerns. There are two planned studies conducted overseas: (1) a pregnancy program that consists of prospective pregnancy exposure registry and retrospective pregnancy exposure outcome studies; </w:t>
      </w:r>
      <w:proofErr w:type="gramStart"/>
      <w:r w:rsidRPr="00C46BF0">
        <w:t>and,</w:t>
      </w:r>
      <w:proofErr w:type="gramEnd"/>
      <w:r w:rsidRPr="00C46BF0">
        <w:t xml:space="preserve"> </w:t>
      </w:r>
      <w:r w:rsidR="000313DF" w:rsidRPr="00C46BF0">
        <w:t>(2) a drug utilisation and long</w:t>
      </w:r>
      <w:r w:rsidR="00A61C34" w:rsidRPr="00C46BF0">
        <w:t xml:space="preserve"> </w:t>
      </w:r>
      <w:r w:rsidRPr="00C46BF0">
        <w:t>term cardiovascular safety study. There is no Australian patient involvement in these, but the study outcomes are considered relevant to Australian patients. The sponsor is required to notify the TGA if these studi</w:t>
      </w:r>
      <w:r w:rsidR="000313DF" w:rsidRPr="00C46BF0">
        <w:t>es will not proceed as planned.</w:t>
      </w:r>
    </w:p>
    <w:p w14:paraId="25E6A0A1" w14:textId="76282D2C" w:rsidR="00E1201A" w:rsidRPr="00C46BF0" w:rsidRDefault="00E1201A" w:rsidP="00C46BF0">
      <w:pPr>
        <w:pStyle w:val="ListBullet"/>
      </w:pPr>
      <w:r w:rsidRPr="00C46BF0">
        <w:t>As this product will be administered by health care professionals in health care settings and, in consideration of the current summary of safety concerns, the associated risks can be expected to be addressed with routine risk minimisation measures. Risks associated with other CGRP inhibitors ar</w:t>
      </w:r>
      <w:r w:rsidR="000313DF" w:rsidRPr="00C46BF0">
        <w:t>e also managed in the same way.</w:t>
      </w:r>
    </w:p>
    <w:p w14:paraId="1BAD1157" w14:textId="77777777" w:rsidR="008E7846" w:rsidRPr="00C46BF0" w:rsidRDefault="00AA0ED0" w:rsidP="00C46BF0">
      <w:pPr>
        <w:pStyle w:val="Heading3"/>
      </w:pPr>
      <w:bookmarkStart w:id="47" w:name="_Toc247691531"/>
      <w:bookmarkStart w:id="48" w:name="_Toc314842515"/>
      <w:bookmarkStart w:id="49" w:name="_Toc96700853"/>
      <w:bookmarkStart w:id="50" w:name="_Toc196046505"/>
      <w:bookmarkStart w:id="51" w:name="_Toc196046949"/>
      <w:r w:rsidRPr="00C46BF0">
        <w:lastRenderedPageBreak/>
        <w:t>Risk-benefit a</w:t>
      </w:r>
      <w:r w:rsidR="008E7846" w:rsidRPr="00C46BF0">
        <w:t>nalysis</w:t>
      </w:r>
      <w:bookmarkEnd w:id="47"/>
      <w:bookmarkEnd w:id="48"/>
      <w:bookmarkEnd w:id="49"/>
    </w:p>
    <w:p w14:paraId="597EE9B5" w14:textId="77777777" w:rsidR="00D23139" w:rsidRPr="00C46BF0" w:rsidRDefault="007D53B6" w:rsidP="00C46BF0">
      <w:pPr>
        <w:pStyle w:val="Heading4"/>
      </w:pPr>
      <w:r w:rsidRPr="00C46BF0">
        <w:t>Delegate’s considerations</w:t>
      </w:r>
    </w:p>
    <w:p w14:paraId="74D899F2" w14:textId="4FE7DC97" w:rsidR="006427C0" w:rsidRPr="00C46BF0" w:rsidRDefault="006427C0" w:rsidP="00C46BF0">
      <w:r w:rsidRPr="00C46BF0">
        <w:t xml:space="preserve">Two </w:t>
      </w:r>
      <w:r w:rsidR="00082B69" w:rsidRPr="00C46BF0">
        <w:t xml:space="preserve">randomised controlled trials </w:t>
      </w:r>
      <w:r w:rsidRPr="00C46BF0">
        <w:t xml:space="preserve">in subjects with episodic and chronic migraine provided evidence to support the efficacy of </w:t>
      </w:r>
      <w:proofErr w:type="spellStart"/>
      <w:r w:rsidRPr="00C46BF0">
        <w:t>eptinezumab</w:t>
      </w:r>
      <w:proofErr w:type="spellEnd"/>
      <w:r w:rsidRPr="00C46BF0">
        <w:t xml:space="preserve"> for the preventive treatment of migraine. These two studies demonstrated a greater reduction from </w:t>
      </w:r>
      <w:r w:rsidR="00A901E5" w:rsidRPr="00C46BF0">
        <w:t>Baseline</w:t>
      </w:r>
      <w:r w:rsidRPr="00C46BF0">
        <w:t xml:space="preserve"> in migraine days over a range</w:t>
      </w:r>
      <w:r w:rsidR="00265753" w:rsidRPr="00C46BF0">
        <w:t xml:space="preserve"> from 0.69 to1.11 days with 100 mg and 300 </w:t>
      </w:r>
      <w:r w:rsidRPr="00C46BF0">
        <w:t xml:space="preserve">mg </w:t>
      </w:r>
      <w:proofErr w:type="spellStart"/>
      <w:r w:rsidRPr="00C46BF0">
        <w:t>eptinezumab</w:t>
      </w:r>
      <w:proofErr w:type="spellEnd"/>
      <w:r w:rsidRPr="00C46BF0">
        <w:t xml:space="preserve"> in subjects with episodic migraine and 2.03 to 2.6 days with 100</w:t>
      </w:r>
      <w:r w:rsidR="00265753" w:rsidRPr="00C46BF0">
        <w:t> mg and 300 </w:t>
      </w:r>
      <w:r w:rsidRPr="00C46BF0">
        <w:t xml:space="preserve">mg </w:t>
      </w:r>
      <w:proofErr w:type="spellStart"/>
      <w:r w:rsidRPr="00C46BF0">
        <w:t>eptinezumab</w:t>
      </w:r>
      <w:proofErr w:type="spellEnd"/>
      <w:r w:rsidRPr="00C46BF0">
        <w:t xml:space="preserve"> in subjects with chronic migraine, compared to placebo. The magnitude of treatment benefit </w:t>
      </w:r>
      <w:proofErr w:type="gramStart"/>
      <w:r w:rsidRPr="00C46BF0">
        <w:t>are</w:t>
      </w:r>
      <w:proofErr w:type="gramEnd"/>
      <w:r w:rsidRPr="00C46BF0">
        <w:t xml:space="preserve"> comparable to previously approved CGRP antagonists and slightly higher than the </w:t>
      </w:r>
      <w:r w:rsidR="00265753" w:rsidRPr="00C46BF0">
        <w:t>one</w:t>
      </w:r>
      <w:r w:rsidRPr="00C46BF0">
        <w:t xml:space="preserve"> day difference speci</w:t>
      </w:r>
      <w:r w:rsidR="00265753" w:rsidRPr="00C46BF0">
        <w:t>fied in the sample calculation.</w:t>
      </w:r>
    </w:p>
    <w:p w14:paraId="3496C6E9" w14:textId="79BA5B8C" w:rsidR="006427C0" w:rsidRPr="00C46BF0" w:rsidRDefault="006427C0" w:rsidP="00C46BF0">
      <w:r w:rsidRPr="00C46BF0">
        <w:t>Around 50</w:t>
      </w:r>
      <w:r w:rsidR="00265753" w:rsidRPr="00C46BF0">
        <w:t xml:space="preserve">% to </w:t>
      </w:r>
      <w:r w:rsidRPr="00C46BF0">
        <w:t xml:space="preserve">60% of subjects in </w:t>
      </w:r>
      <w:proofErr w:type="spellStart"/>
      <w:r w:rsidRPr="00C46BF0">
        <w:t>eptinezumab</w:t>
      </w:r>
      <w:proofErr w:type="spellEnd"/>
      <w:r w:rsidRPr="00C46BF0">
        <w:t xml:space="preserve"> achieved a 50% reduction in migraine days from </w:t>
      </w:r>
      <w:r w:rsidR="00A901E5" w:rsidRPr="00C46BF0">
        <w:t>Baseline</w:t>
      </w:r>
      <w:r w:rsidRPr="00C46BF0">
        <w:t>, which is the clinical trial end point recommended by the Clinical Trials Subcommittee of the I</w:t>
      </w:r>
      <w:r w:rsidR="0022249B" w:rsidRPr="00C46BF0">
        <w:t>HS</w:t>
      </w:r>
      <w:r w:rsidRPr="00C46BF0">
        <w:t>.</w:t>
      </w:r>
      <w:bookmarkStart w:id="52" w:name="_Ref76048226"/>
      <w:r w:rsidRPr="00C46BF0">
        <w:rPr>
          <w:rStyle w:val="FootnoteReference"/>
        </w:rPr>
        <w:footnoteReference w:id="19"/>
      </w:r>
      <w:bookmarkEnd w:id="52"/>
    </w:p>
    <w:p w14:paraId="1759A500" w14:textId="268B3FB2" w:rsidR="006427C0" w:rsidRPr="00C46BF0" w:rsidRDefault="006427C0" w:rsidP="00C46BF0">
      <w:r w:rsidRPr="00C46BF0">
        <w:t>The stud</w:t>
      </w:r>
      <w:r w:rsidR="00077C86">
        <w:t>ies</w:t>
      </w:r>
      <w:r w:rsidRPr="00C46BF0">
        <w:t xml:space="preserve"> w</w:t>
      </w:r>
      <w:r w:rsidR="00077C86">
        <w:t>ere</w:t>
      </w:r>
      <w:r w:rsidRPr="00C46BF0">
        <w:t xml:space="preserve"> not designed to examine the efficacy of </w:t>
      </w:r>
      <w:proofErr w:type="spellStart"/>
      <w:r w:rsidRPr="00C46BF0">
        <w:t>eptinezumab</w:t>
      </w:r>
      <w:proofErr w:type="spellEnd"/>
      <w:r w:rsidRPr="00C46BF0">
        <w:t>, when administered as a third/fourth line of treatment for episodic and chronic migraine</w:t>
      </w:r>
      <w:r w:rsidR="00A61C34" w:rsidRPr="00C46BF0">
        <w:t>.</w:t>
      </w:r>
      <w:r w:rsidR="007E4F51" w:rsidRPr="00C46BF0">
        <w:rPr>
          <w:rStyle w:val="FootnoteReference"/>
        </w:rPr>
        <w:footnoteReference w:id="20"/>
      </w:r>
      <w:r w:rsidR="00A61C34" w:rsidRPr="00C46BF0">
        <w:t xml:space="preserve"> In S</w:t>
      </w:r>
      <w:r w:rsidRPr="00C46BF0">
        <w:t>tudy 011, around 85% of patients were not using prophylactic medication prior to</w:t>
      </w:r>
      <w:r w:rsidR="00A61C34" w:rsidRPr="00C46BF0">
        <w:t xml:space="preserve"> screening. A similar data for S</w:t>
      </w:r>
      <w:r w:rsidRPr="00C46BF0">
        <w:t xml:space="preserve">tudy 006 was not available in the dossier. However, the subjects were experiencing migraine at a frequency that fulfilled the inclusion criteria for episodic and chronic migraine. Taken together, it seems like, at </w:t>
      </w:r>
      <w:r w:rsidR="00A901E5" w:rsidRPr="00C46BF0">
        <w:t>Baseline</w:t>
      </w:r>
      <w:r w:rsidRPr="00C46BF0">
        <w:t>, the patient population was largely under-treated.</w:t>
      </w:r>
      <w:r w:rsidRPr="00C46BF0">
        <w:rPr>
          <w:vertAlign w:val="superscript"/>
        </w:rPr>
        <w:fldChar w:fldCharType="begin"/>
      </w:r>
      <w:r w:rsidRPr="00C46BF0">
        <w:rPr>
          <w:vertAlign w:val="superscript"/>
        </w:rPr>
        <w:instrText xml:space="preserve"> NOTEREF _Ref75870891 \h  \* MERGEFORMAT </w:instrText>
      </w:r>
      <w:r w:rsidRPr="00C46BF0">
        <w:rPr>
          <w:vertAlign w:val="superscript"/>
        </w:rPr>
      </w:r>
      <w:r w:rsidRPr="00C46BF0">
        <w:rPr>
          <w:vertAlign w:val="superscript"/>
        </w:rPr>
        <w:fldChar w:fldCharType="separate"/>
      </w:r>
      <w:r w:rsidR="00112693">
        <w:rPr>
          <w:vertAlign w:val="superscript"/>
        </w:rPr>
        <w:t>2</w:t>
      </w:r>
      <w:r w:rsidRPr="00C46BF0">
        <w:rPr>
          <w:vertAlign w:val="superscript"/>
        </w:rPr>
        <w:fldChar w:fldCharType="end"/>
      </w:r>
    </w:p>
    <w:p w14:paraId="651BA7FF" w14:textId="672BF78F" w:rsidR="006427C0" w:rsidRPr="00C46BF0" w:rsidRDefault="00A61C34" w:rsidP="00C46BF0">
      <w:r w:rsidRPr="00C46BF0">
        <w:t>Across S</w:t>
      </w:r>
      <w:r w:rsidR="006427C0" w:rsidRPr="00C46BF0">
        <w:t xml:space="preserve">tudies 006 and 011, the overall adverse events were balanced between the </w:t>
      </w:r>
      <w:proofErr w:type="spellStart"/>
      <w:r w:rsidR="006427C0" w:rsidRPr="00C46BF0">
        <w:t>eptinezumab</w:t>
      </w:r>
      <w:proofErr w:type="spellEnd"/>
      <w:r w:rsidR="006427C0" w:rsidRPr="00C46BF0">
        <w:t xml:space="preserve"> and placebo groups. Three subjects in the </w:t>
      </w:r>
      <w:proofErr w:type="spellStart"/>
      <w:r w:rsidR="006427C0" w:rsidRPr="00C46BF0">
        <w:t>eptinezumab</w:t>
      </w:r>
      <w:proofErr w:type="spellEnd"/>
      <w:r w:rsidR="006427C0" w:rsidRPr="00C46BF0">
        <w:t xml:space="preserve"> group in these studies experienced suicide</w:t>
      </w:r>
      <w:r w:rsidR="00EF0FD9" w:rsidRPr="00C46BF0">
        <w:t>-</w:t>
      </w:r>
      <w:r w:rsidR="006427C0" w:rsidRPr="00C46BF0">
        <w:t>related SAEs</w:t>
      </w:r>
      <w:r w:rsidRPr="00C46BF0">
        <w:t xml:space="preserve"> (two subjects in </w:t>
      </w:r>
      <w:proofErr w:type="spellStart"/>
      <w:r w:rsidRPr="00C46BF0">
        <w:t>eptinezumab</w:t>
      </w:r>
      <w:proofErr w:type="spellEnd"/>
      <w:r w:rsidRPr="00C46BF0">
        <w:t xml:space="preserve"> 100 </w:t>
      </w:r>
      <w:r w:rsidR="006427C0" w:rsidRPr="00C46BF0">
        <w:t xml:space="preserve">mg and </w:t>
      </w:r>
      <w:r w:rsidRPr="00C46BF0">
        <w:t>one</w:t>
      </w:r>
      <w:r w:rsidR="006427C0" w:rsidRPr="00C46BF0">
        <w:t xml:space="preserve"> subject in </w:t>
      </w:r>
      <w:proofErr w:type="spellStart"/>
      <w:r w:rsidR="006427C0" w:rsidRPr="00C46BF0">
        <w:t>eptinezumab</w:t>
      </w:r>
      <w:proofErr w:type="spellEnd"/>
      <w:r w:rsidR="006427C0" w:rsidRPr="00C46BF0">
        <w:t xml:space="preserve"> 300</w:t>
      </w:r>
      <w:r w:rsidRPr="00C46BF0">
        <w:t> </w:t>
      </w:r>
      <w:r w:rsidR="006427C0" w:rsidRPr="00C46BF0">
        <w:t>mg group). No subjects in placebo arm experienced a similar SAE. The investigators did not consider these events as r</w:t>
      </w:r>
      <w:r w:rsidRPr="00C46BF0">
        <w:t xml:space="preserve">elated to the treatment agent. </w:t>
      </w:r>
      <w:r w:rsidR="006427C0" w:rsidRPr="00C46BF0">
        <w:t>There was previous history of depression in all these cases. A higher incidence of depression among individuals with migraine has been previously reported.</w:t>
      </w:r>
      <w:r w:rsidR="009447C5" w:rsidRPr="00C46BF0">
        <w:rPr>
          <w:vertAlign w:val="superscript"/>
        </w:rPr>
        <w:fldChar w:fldCharType="begin"/>
      </w:r>
      <w:r w:rsidR="009447C5" w:rsidRPr="00C46BF0">
        <w:rPr>
          <w:vertAlign w:val="superscript"/>
        </w:rPr>
        <w:instrText xml:space="preserve"> NOTEREF _Ref75870891 \h  \* MERGEFORMAT </w:instrText>
      </w:r>
      <w:r w:rsidR="009447C5" w:rsidRPr="00C46BF0">
        <w:rPr>
          <w:vertAlign w:val="superscript"/>
        </w:rPr>
      </w:r>
      <w:r w:rsidR="009447C5" w:rsidRPr="00C46BF0">
        <w:rPr>
          <w:vertAlign w:val="superscript"/>
        </w:rPr>
        <w:fldChar w:fldCharType="separate"/>
      </w:r>
      <w:r w:rsidR="00112693">
        <w:rPr>
          <w:vertAlign w:val="superscript"/>
        </w:rPr>
        <w:t>2</w:t>
      </w:r>
      <w:r w:rsidR="009447C5" w:rsidRPr="00C46BF0">
        <w:rPr>
          <w:vertAlign w:val="superscript"/>
        </w:rPr>
        <w:fldChar w:fldCharType="end"/>
      </w:r>
      <w:r w:rsidR="009447C5" w:rsidRPr="00C46BF0">
        <w:rPr>
          <w:vertAlign w:val="superscript"/>
        </w:rPr>
        <w:t>,</w:t>
      </w:r>
      <w:r w:rsidR="009447C5" w:rsidRPr="00C46BF0">
        <w:rPr>
          <w:rStyle w:val="FootnoteReference"/>
        </w:rPr>
        <w:footnoteReference w:id="21"/>
      </w:r>
      <w:r w:rsidR="006427C0" w:rsidRPr="00C46BF0">
        <w:t xml:space="preserve"> It was noted that the subjects with history of suicidal behaviour and/or ideation were excluded from the studies with </w:t>
      </w:r>
      <w:proofErr w:type="spellStart"/>
      <w:r w:rsidR="006427C0" w:rsidRPr="00C46BF0">
        <w:t>eptinezumab</w:t>
      </w:r>
      <w:proofErr w:type="spellEnd"/>
      <w:r w:rsidR="006427C0" w:rsidRPr="00C46BF0">
        <w:t xml:space="preserve"> (pivotal </w:t>
      </w:r>
      <w:r w:rsidRPr="00C46BF0">
        <w:t xml:space="preserve">Studies </w:t>
      </w:r>
      <w:r w:rsidR="006427C0" w:rsidRPr="00C46BF0">
        <w:t xml:space="preserve">006 and 011 and </w:t>
      </w:r>
      <w:proofErr w:type="gramStart"/>
      <w:r w:rsidR="006427C0" w:rsidRPr="00C46BF0">
        <w:t>long term</w:t>
      </w:r>
      <w:proofErr w:type="gramEnd"/>
      <w:r w:rsidR="006427C0" w:rsidRPr="00C46BF0">
        <w:t xml:space="preserve"> open label safety </w:t>
      </w:r>
      <w:r w:rsidRPr="00C46BF0">
        <w:t xml:space="preserve">Study </w:t>
      </w:r>
      <w:r w:rsidR="006427C0" w:rsidRPr="00C46BF0">
        <w:t xml:space="preserve">013). The </w:t>
      </w:r>
      <w:r w:rsidR="00701D56" w:rsidRPr="00C46BF0">
        <w:t xml:space="preserve">Delegate </w:t>
      </w:r>
      <w:r w:rsidR="006427C0" w:rsidRPr="00C46BF0">
        <w:t xml:space="preserve">considers that the role of </w:t>
      </w:r>
      <w:proofErr w:type="spellStart"/>
      <w:r w:rsidR="006427C0" w:rsidRPr="00C46BF0">
        <w:t>eptinezumab</w:t>
      </w:r>
      <w:proofErr w:type="spellEnd"/>
      <w:r w:rsidR="006427C0" w:rsidRPr="00C46BF0">
        <w:t xml:space="preserve"> in these events and the </w:t>
      </w:r>
      <w:proofErr w:type="gramStart"/>
      <w:r w:rsidR="006427C0" w:rsidRPr="00C46BF0">
        <w:t>long term</w:t>
      </w:r>
      <w:proofErr w:type="gramEnd"/>
      <w:r w:rsidR="006427C0" w:rsidRPr="00C46BF0">
        <w:t xml:space="preserve"> safety of </w:t>
      </w:r>
      <w:proofErr w:type="spellStart"/>
      <w:r w:rsidR="006427C0" w:rsidRPr="00C46BF0">
        <w:t>eptinezumab</w:t>
      </w:r>
      <w:proofErr w:type="spellEnd"/>
      <w:r w:rsidR="006427C0" w:rsidRPr="00C46BF0">
        <w:t xml:space="preserve"> in </w:t>
      </w:r>
      <w:r w:rsidRPr="00C46BF0">
        <w:t>this patient group are unclear.</w:t>
      </w:r>
    </w:p>
    <w:p w14:paraId="7108C7E9" w14:textId="090B0F23" w:rsidR="006427C0" w:rsidRPr="00C46BF0" w:rsidRDefault="006427C0" w:rsidP="00C46BF0">
      <w:r w:rsidRPr="00C46BF0">
        <w:t>Mechanistically, patients on CGRP antagonist may be at increased risk of cerebrovascular or cardiovascular events.</w:t>
      </w:r>
      <w:r w:rsidR="007E4F51" w:rsidRPr="00C46BF0">
        <w:rPr>
          <w:rStyle w:val="FootnoteReference"/>
        </w:rPr>
        <w:footnoteReference w:id="22"/>
      </w:r>
      <w:r w:rsidRPr="00C46BF0">
        <w:t xml:space="preserve"> This is attributed to the proposed mechanism of action of CGRP in maintaining cardiovascular homeostasis and its role in initiating the compensatory vasodilation in the event of ischemia.</w:t>
      </w:r>
      <w:r w:rsidRPr="00C46BF0">
        <w:rPr>
          <w:vertAlign w:val="superscript"/>
        </w:rPr>
        <w:fldChar w:fldCharType="begin"/>
      </w:r>
      <w:r w:rsidRPr="00C46BF0">
        <w:rPr>
          <w:vertAlign w:val="superscript"/>
        </w:rPr>
        <w:instrText xml:space="preserve"> NOTEREF _Ref75867079 \h  \* MERGEFORMAT </w:instrText>
      </w:r>
      <w:r w:rsidRPr="00C46BF0">
        <w:rPr>
          <w:vertAlign w:val="superscript"/>
        </w:rPr>
      </w:r>
      <w:r w:rsidRPr="00C46BF0">
        <w:rPr>
          <w:vertAlign w:val="superscript"/>
        </w:rPr>
        <w:fldChar w:fldCharType="separate"/>
      </w:r>
      <w:r w:rsidR="00112693">
        <w:rPr>
          <w:vertAlign w:val="superscript"/>
        </w:rPr>
        <w:t>6</w:t>
      </w:r>
      <w:r w:rsidRPr="00C46BF0">
        <w:rPr>
          <w:vertAlign w:val="superscript"/>
        </w:rPr>
        <w:fldChar w:fldCharType="end"/>
      </w:r>
      <w:r w:rsidRPr="00C46BF0">
        <w:t xml:space="preserve"> Patients with migraine are also known to have an elevated risk of cardiovascular events.</w:t>
      </w:r>
      <w:r w:rsidRPr="00C46BF0">
        <w:rPr>
          <w:vertAlign w:val="superscript"/>
        </w:rPr>
        <w:fldChar w:fldCharType="begin"/>
      </w:r>
      <w:r w:rsidRPr="00C46BF0">
        <w:rPr>
          <w:vertAlign w:val="superscript"/>
        </w:rPr>
        <w:instrText xml:space="preserve"> NOTEREF _Ref75870891 \h  \* MERGEFORMAT </w:instrText>
      </w:r>
      <w:r w:rsidRPr="00C46BF0">
        <w:rPr>
          <w:vertAlign w:val="superscript"/>
        </w:rPr>
      </w:r>
      <w:r w:rsidRPr="00C46BF0">
        <w:rPr>
          <w:vertAlign w:val="superscript"/>
        </w:rPr>
        <w:fldChar w:fldCharType="separate"/>
      </w:r>
      <w:r w:rsidR="00112693">
        <w:rPr>
          <w:vertAlign w:val="superscript"/>
        </w:rPr>
        <w:t>2</w:t>
      </w:r>
      <w:r w:rsidRPr="00C46BF0">
        <w:rPr>
          <w:vertAlign w:val="superscript"/>
        </w:rPr>
        <w:fldChar w:fldCharType="end"/>
      </w:r>
      <w:r w:rsidRPr="00C46BF0">
        <w:t xml:space="preserve"> Although a signal related to cardiovascular safety was not identified in the studies included in this submission, the data are limited in that patients with a history of cardiovascular or cerebrovascular disease were not included in any of these studies. It was noted that three patients discontinued due to hypertension. The pro</w:t>
      </w:r>
      <w:r w:rsidR="00EA5547" w:rsidRPr="00C46BF0">
        <w:t>posed RMP has the following as missing information</w:t>
      </w:r>
      <w:r w:rsidR="00A61C34" w:rsidRPr="00C46BF0">
        <w:t xml:space="preserve">: </w:t>
      </w:r>
      <w:r w:rsidR="00EA5547" w:rsidRPr="00C46BF0">
        <w:t>‘</w:t>
      </w:r>
      <w:r w:rsidR="00A61C34" w:rsidRPr="00C46BF0">
        <w:t>c</w:t>
      </w:r>
      <w:r w:rsidRPr="00C46BF0">
        <w:t xml:space="preserve">ardiovascular outcomes in patients with pre-existing myocardial infarction, cerebrovascular accident, transient ischemic attack, angina unstable and poorly controlled hypertension’, mostly due to patients with cardio risk being excluded from trials and real-world use to include this </w:t>
      </w:r>
      <w:r w:rsidRPr="00C46BF0">
        <w:lastRenderedPageBreak/>
        <w:t xml:space="preserve">cohort. The sponsor has also informed </w:t>
      </w:r>
      <w:r w:rsidR="00A61C34" w:rsidRPr="00C46BF0">
        <w:t xml:space="preserve">the </w:t>
      </w:r>
      <w:r w:rsidRPr="00C46BF0">
        <w:t>TGA regarding a post</w:t>
      </w:r>
      <w:r w:rsidR="00A61C34" w:rsidRPr="00C46BF0">
        <w:t>-</w:t>
      </w:r>
      <w:r w:rsidRPr="00C46BF0">
        <w:t xml:space="preserve">market study: </w:t>
      </w:r>
      <w:proofErr w:type="spellStart"/>
      <w:r w:rsidRPr="00C46BF0">
        <w:t>Eptinezumab</w:t>
      </w:r>
      <w:proofErr w:type="spellEnd"/>
      <w:r w:rsidRPr="00C46BF0">
        <w:t xml:space="preserve"> real-world use and </w:t>
      </w:r>
      <w:proofErr w:type="gramStart"/>
      <w:r w:rsidRPr="00C46BF0">
        <w:t>long</w:t>
      </w:r>
      <w:r w:rsidR="00A61C34" w:rsidRPr="00C46BF0">
        <w:t xml:space="preserve"> </w:t>
      </w:r>
      <w:r w:rsidRPr="00C46BF0">
        <w:t>term</w:t>
      </w:r>
      <w:proofErr w:type="gramEnd"/>
      <w:r w:rsidRPr="00C46BF0">
        <w:t xml:space="preserve"> cardiovascular safety study. This study will include patients treated with </w:t>
      </w:r>
      <w:proofErr w:type="spellStart"/>
      <w:r w:rsidRPr="00C46BF0">
        <w:t>eptinezumab</w:t>
      </w:r>
      <w:proofErr w:type="spellEnd"/>
      <w:r w:rsidRPr="00C46BF0">
        <w:t xml:space="preserve"> in routine clinical practice and followed up for a duration of 5 years. Precautionary statements are included in the proposed PI and are considered as acceptable.</w:t>
      </w:r>
    </w:p>
    <w:p w14:paraId="78EA3385" w14:textId="2F712485" w:rsidR="006427C0" w:rsidRPr="00C46BF0" w:rsidRDefault="006427C0" w:rsidP="00C46BF0">
      <w:r w:rsidRPr="00C46BF0">
        <w:t xml:space="preserve">It was noted that patients over the age of 65 years were not well represented in studies with </w:t>
      </w:r>
      <w:proofErr w:type="spellStart"/>
      <w:r w:rsidRPr="00C46BF0">
        <w:t>eptinezumab</w:t>
      </w:r>
      <w:proofErr w:type="spellEnd"/>
      <w:r w:rsidRPr="00C46BF0">
        <w:t>. Considering the higher incidence of migraine in individuals up</w:t>
      </w:r>
      <w:r w:rsidR="00A61C34" w:rsidRPr="00C46BF0">
        <w:t xml:space="preserve"> to 40 </w:t>
      </w:r>
      <w:r w:rsidRPr="00C46BF0">
        <w:t>years of age, this issue was not considered as critical. The information about insufficient data in this age gro</w:t>
      </w:r>
      <w:r w:rsidR="00A61C34" w:rsidRPr="00C46BF0">
        <w:t>up has been included in the PI.</w:t>
      </w:r>
    </w:p>
    <w:p w14:paraId="4BC77B83" w14:textId="19B9F631" w:rsidR="006427C0" w:rsidRPr="00C46BF0" w:rsidRDefault="006427C0" w:rsidP="00C46BF0">
      <w:r w:rsidRPr="00C46BF0">
        <w:t xml:space="preserve">Hypersensitivity was observed with other CGRP antagonist monoclonal antibodies recently approved. Hence, it was identified as a safety signal of interest for this application. In the controlled trials, there were </w:t>
      </w:r>
      <w:r w:rsidR="007402A8">
        <w:t>13</w:t>
      </w:r>
      <w:r w:rsidRPr="00C46BF0">
        <w:t xml:space="preserve"> reported TEAEs of hypersensitivity in the active treatment arm (13 leading to discontinuations) and none reported in the placebo arm. In addition, </w:t>
      </w:r>
      <w:r w:rsidR="00E82A29">
        <w:t>12</w:t>
      </w:r>
      <w:r w:rsidRPr="00C46BF0">
        <w:t xml:space="preserve"> patients reported pruritus in the active treatment arm, with none reported in the placebo arm. Four of these patients reported this event on the day of dosing, which makes them likely to be due to hypersensitivity. Hypersensitivity has been mentioned as a precaution in the proposed PI. However, the </w:t>
      </w:r>
      <w:r w:rsidR="00701D56" w:rsidRPr="00C46BF0">
        <w:t>Delegate</w:t>
      </w:r>
      <w:r w:rsidRPr="00C46BF0">
        <w:t xml:space="preserve"> considers that the post-infusion observation period is required to confirm patient safety. The ACM's advice will be considered prior to </w:t>
      </w:r>
      <w:r w:rsidR="00A61C34" w:rsidRPr="00C46BF0">
        <w:t>making further recommendations.</w:t>
      </w:r>
    </w:p>
    <w:p w14:paraId="3EDA36B8" w14:textId="0E267651" w:rsidR="006427C0" w:rsidRPr="00C46BF0" w:rsidRDefault="006427C0" w:rsidP="00C46BF0">
      <w:r w:rsidRPr="00C46BF0">
        <w:t xml:space="preserve">In the pivotal studies, the incidence of constipation in the </w:t>
      </w:r>
      <w:proofErr w:type="spellStart"/>
      <w:r w:rsidRPr="00C46BF0">
        <w:t>eptinezumab</w:t>
      </w:r>
      <w:proofErr w:type="spellEnd"/>
      <w:r w:rsidRPr="00C46BF0">
        <w:t xml:space="preserve"> groups was more than around twice the incidence in the placebo arm. However, the overall incidence was considered as low throughout the studies. None of the events led to discontinuation of treatment. Constipation has also been rep</w:t>
      </w:r>
      <w:r w:rsidR="00A61C34" w:rsidRPr="00C46BF0">
        <w:t xml:space="preserve">orted in studies with </w:t>
      </w:r>
      <w:proofErr w:type="spellStart"/>
      <w:r w:rsidR="00A61C34" w:rsidRPr="00C46BF0">
        <w:t>er</w:t>
      </w:r>
      <w:r w:rsidR="008F6070">
        <w:t>e</w:t>
      </w:r>
      <w:r w:rsidR="00A61C34" w:rsidRPr="00C46BF0">
        <w:t>numab</w:t>
      </w:r>
      <w:proofErr w:type="spellEnd"/>
      <w:r w:rsidR="00A61C34" w:rsidRPr="00C46BF0">
        <w:t>.</w:t>
      </w:r>
    </w:p>
    <w:p w14:paraId="5471FA6C" w14:textId="47E3F510" w:rsidR="006427C0" w:rsidRPr="00C46BF0" w:rsidRDefault="006427C0" w:rsidP="00C46BF0">
      <w:r w:rsidRPr="00C46BF0">
        <w:t>Limitations of data</w:t>
      </w:r>
      <w:r w:rsidR="009C0339">
        <w:t>:</w:t>
      </w:r>
    </w:p>
    <w:p w14:paraId="33A0E950" w14:textId="21F40E50" w:rsidR="006427C0" w:rsidRPr="00C46BF0" w:rsidRDefault="006427C0" w:rsidP="00C46BF0">
      <w:pPr>
        <w:pStyle w:val="ListBullet"/>
      </w:pPr>
      <w:r w:rsidRPr="00C46BF0">
        <w:t xml:space="preserve">Lack of clinical data when </w:t>
      </w:r>
      <w:proofErr w:type="spellStart"/>
      <w:r w:rsidRPr="00C46BF0">
        <w:t>eptinezumab</w:t>
      </w:r>
      <w:proofErr w:type="spellEnd"/>
      <w:r w:rsidRPr="00C46BF0">
        <w:t xml:space="preserve"> is administered as a third/fourth line of treatment for episodic and chronic migraine</w:t>
      </w:r>
      <w:r w:rsidR="00A12E3A" w:rsidRPr="00C46BF0">
        <w:t>.</w:t>
      </w:r>
    </w:p>
    <w:p w14:paraId="3F236101" w14:textId="77777777" w:rsidR="006427C0" w:rsidRPr="00C46BF0" w:rsidRDefault="006427C0" w:rsidP="00C46BF0">
      <w:pPr>
        <w:pStyle w:val="ListBullet"/>
      </w:pPr>
      <w:r w:rsidRPr="00C46BF0">
        <w:t xml:space="preserve">Clinical studies were not designed to examine an effective approach to cessation of treatment and to examine any withdrawal </w:t>
      </w:r>
      <w:proofErr w:type="gramStart"/>
      <w:r w:rsidRPr="00C46BF0">
        <w:t>symptoms, once</w:t>
      </w:r>
      <w:proofErr w:type="gramEnd"/>
      <w:r w:rsidRPr="00C46BF0">
        <w:t xml:space="preserve"> treatment has been stopped.</w:t>
      </w:r>
    </w:p>
    <w:p w14:paraId="4B4D2D04" w14:textId="77777777" w:rsidR="006427C0" w:rsidRPr="00C46BF0" w:rsidRDefault="006427C0" w:rsidP="00C46BF0">
      <w:pPr>
        <w:pStyle w:val="ListBullet"/>
      </w:pPr>
      <w:r w:rsidRPr="00C46BF0">
        <w:t>Lack of safety data in patients with cardiovascular and cerebrovascular risk factors.</w:t>
      </w:r>
    </w:p>
    <w:p w14:paraId="6AC4E17F" w14:textId="77777777" w:rsidR="00D23139" w:rsidRPr="00C46BF0" w:rsidRDefault="00D23139" w:rsidP="00C46BF0">
      <w:pPr>
        <w:pStyle w:val="Heading4"/>
      </w:pPr>
      <w:r w:rsidRPr="00C46BF0">
        <w:t>Proposed action</w:t>
      </w:r>
    </w:p>
    <w:p w14:paraId="1E0BA652" w14:textId="7495C3F6" w:rsidR="009447C5" w:rsidRPr="00C46BF0" w:rsidRDefault="009447C5" w:rsidP="00C46BF0">
      <w:r w:rsidRPr="00C46BF0">
        <w:t xml:space="preserve">Overall, the evidence suggests comparable efficacy of </w:t>
      </w:r>
      <w:proofErr w:type="spellStart"/>
      <w:r w:rsidRPr="00C46BF0">
        <w:t>eptinezumab</w:t>
      </w:r>
      <w:proofErr w:type="spellEnd"/>
      <w:r w:rsidRPr="00C46BF0">
        <w:t xml:space="preserve"> to other TGA approved CGR</w:t>
      </w:r>
      <w:r w:rsidR="000137E4">
        <w:t>P</w:t>
      </w:r>
      <w:r w:rsidRPr="00C46BF0">
        <w:t xml:space="preserve"> antagonists.</w:t>
      </w:r>
    </w:p>
    <w:p w14:paraId="3FF861E5" w14:textId="77777777" w:rsidR="009447C5" w:rsidRPr="00C46BF0" w:rsidRDefault="009447C5" w:rsidP="00C46BF0">
      <w:r w:rsidRPr="00C46BF0">
        <w:t>Hypersensitivity was the commonest cause of treatment discontinuations.</w:t>
      </w:r>
    </w:p>
    <w:p w14:paraId="36D05A52" w14:textId="1A48386B" w:rsidR="009447C5" w:rsidRPr="00C46BF0" w:rsidRDefault="00EF0FD9" w:rsidP="00C46BF0">
      <w:r w:rsidRPr="00C46BF0">
        <w:t>Suicide-</w:t>
      </w:r>
      <w:r w:rsidR="009447C5" w:rsidRPr="00C46BF0">
        <w:t xml:space="preserve">related SAEs and constipation had incidence that was numerically greater in </w:t>
      </w:r>
      <w:proofErr w:type="spellStart"/>
      <w:r w:rsidR="009447C5" w:rsidRPr="00C46BF0">
        <w:t>eptinezumab</w:t>
      </w:r>
      <w:proofErr w:type="spellEnd"/>
      <w:r w:rsidR="009447C5" w:rsidRPr="00C46BF0">
        <w:t xml:space="preserve"> group, compared to placebo. These adverse events did not occur with sufficient frequency to be reported in the PI. The </w:t>
      </w:r>
      <w:r w:rsidR="00701D56" w:rsidRPr="00C46BF0">
        <w:t>Delegate</w:t>
      </w:r>
      <w:r w:rsidR="009447C5" w:rsidRPr="00C46BF0">
        <w:t xml:space="preserve"> will consider the ACM's advice on including these events in the RMP for enhanced pharmacovigilance.</w:t>
      </w:r>
    </w:p>
    <w:p w14:paraId="7225C43E" w14:textId="77777777" w:rsidR="007D53B6" w:rsidRPr="00C46BF0" w:rsidRDefault="007D53B6" w:rsidP="00C46BF0">
      <w:pPr>
        <w:pStyle w:val="Heading4"/>
      </w:pPr>
      <w:r w:rsidRPr="00C46BF0">
        <w:t xml:space="preserve">Questions for </w:t>
      </w:r>
      <w:r w:rsidR="00744121" w:rsidRPr="00C46BF0">
        <w:t xml:space="preserve">the </w:t>
      </w:r>
      <w:r w:rsidRPr="00C46BF0">
        <w:t>sponsor</w:t>
      </w:r>
    </w:p>
    <w:p w14:paraId="2DE6712A" w14:textId="77777777" w:rsidR="00744121" w:rsidRPr="00C46BF0" w:rsidRDefault="00744121" w:rsidP="00C46BF0">
      <w:r w:rsidRPr="00C46BF0">
        <w:t>The sponsor provided the following response to questions from the Delegate.</w:t>
      </w:r>
    </w:p>
    <w:p w14:paraId="7C902ECC" w14:textId="23321959" w:rsidR="009447C5" w:rsidRPr="00C46BF0" w:rsidRDefault="009447C5" w:rsidP="00507366">
      <w:pPr>
        <w:pStyle w:val="Numberbullet0"/>
        <w:numPr>
          <w:ilvl w:val="0"/>
          <w:numId w:val="7"/>
        </w:numPr>
        <w:rPr>
          <w:b/>
          <w:i/>
        </w:rPr>
      </w:pPr>
      <w:r w:rsidRPr="00C46BF0">
        <w:rPr>
          <w:b/>
          <w:i/>
        </w:rPr>
        <w:t xml:space="preserve">In both </w:t>
      </w:r>
      <w:r w:rsidR="00C34810" w:rsidRPr="00C46BF0">
        <w:rPr>
          <w:b/>
          <w:i/>
        </w:rPr>
        <w:t xml:space="preserve">Studies </w:t>
      </w:r>
      <w:r w:rsidRPr="00C46BF0">
        <w:rPr>
          <w:b/>
          <w:i/>
        </w:rPr>
        <w:t xml:space="preserve">006 and 011, </w:t>
      </w:r>
      <w:proofErr w:type="spellStart"/>
      <w:r w:rsidRPr="00C46BF0">
        <w:rPr>
          <w:b/>
          <w:i/>
        </w:rPr>
        <w:t>eptinezumab</w:t>
      </w:r>
      <w:proofErr w:type="spellEnd"/>
      <w:r w:rsidRPr="00C46BF0">
        <w:rPr>
          <w:b/>
          <w:i/>
        </w:rPr>
        <w:t xml:space="preserve"> infusion wa</w:t>
      </w:r>
      <w:r w:rsidR="00C34810" w:rsidRPr="00C46BF0">
        <w:rPr>
          <w:b/>
          <w:i/>
        </w:rPr>
        <w:t>s administered over 1</w:t>
      </w:r>
      <w:r w:rsidR="0080613A" w:rsidRPr="00C46BF0">
        <w:rPr>
          <w:b/>
          <w:i/>
        </w:rPr>
        <w:t> hour </w:t>
      </w:r>
      <w:r w:rsidR="00C34810" w:rsidRPr="00C46BF0">
        <w:rPr>
          <w:b/>
          <w:i/>
        </w:rPr>
        <w:t>± 15 </w:t>
      </w:r>
      <w:r w:rsidRPr="00C46BF0">
        <w:rPr>
          <w:b/>
          <w:i/>
        </w:rPr>
        <w:t>mins. After the infusion, subjects were observed for a period of one hour. The proposed PI does not reflect this method of administrat</w:t>
      </w:r>
      <w:r w:rsidR="0080613A" w:rsidRPr="00C46BF0">
        <w:rPr>
          <w:b/>
          <w:i/>
        </w:rPr>
        <w:t xml:space="preserve">ion (infusion </w:t>
      </w:r>
      <w:proofErr w:type="gramStart"/>
      <w:r w:rsidR="0080613A" w:rsidRPr="00C46BF0">
        <w:rPr>
          <w:b/>
          <w:i/>
        </w:rPr>
        <w:t>time period</w:t>
      </w:r>
      <w:proofErr w:type="gramEnd"/>
      <w:r w:rsidR="0080613A" w:rsidRPr="00C46BF0">
        <w:rPr>
          <w:b/>
          <w:i/>
        </w:rPr>
        <w:t xml:space="preserve"> of 30 </w:t>
      </w:r>
      <w:r w:rsidRPr="00C46BF0">
        <w:rPr>
          <w:b/>
          <w:i/>
        </w:rPr>
        <w:t xml:space="preserve">mins and no recommendation for observation post infusion). Please clarify the reason for not having a method of administration in the PI that </w:t>
      </w:r>
      <w:r w:rsidRPr="00C46BF0">
        <w:rPr>
          <w:b/>
          <w:i/>
        </w:rPr>
        <w:lastRenderedPageBreak/>
        <w:t xml:space="preserve">is comparable to the pivotal studies, particularly considering the report of events of anaphylaxis and hypersensitivity following </w:t>
      </w:r>
      <w:proofErr w:type="spellStart"/>
      <w:r w:rsidRPr="00C46BF0">
        <w:rPr>
          <w:b/>
          <w:i/>
        </w:rPr>
        <w:t>eptinezumab</w:t>
      </w:r>
      <w:proofErr w:type="spellEnd"/>
      <w:r w:rsidRPr="00C46BF0">
        <w:rPr>
          <w:b/>
          <w:i/>
        </w:rPr>
        <w:t xml:space="preserve"> infusions.</w:t>
      </w:r>
    </w:p>
    <w:p w14:paraId="42604072" w14:textId="0645471C" w:rsidR="00A73015" w:rsidRPr="00C46BF0" w:rsidRDefault="009447C5" w:rsidP="00C46BF0">
      <w:r w:rsidRPr="00C46BF0">
        <w:t xml:space="preserve">In the first pivotal Study 006, the </w:t>
      </w:r>
      <w:r w:rsidR="00F07D58" w:rsidRPr="00C46BF0">
        <w:t>intravenous</w:t>
      </w:r>
      <w:r w:rsidRPr="00C46BF0">
        <w:t xml:space="preserve"> administration time was 1 hour</w:t>
      </w:r>
      <w:r w:rsidR="0080613A" w:rsidRPr="00C46BF0">
        <w:t> </w:t>
      </w:r>
      <w:r w:rsidRPr="00C46BF0">
        <w:t>±</w:t>
      </w:r>
      <w:r w:rsidR="0080613A" w:rsidRPr="00C46BF0">
        <w:t> 15 </w:t>
      </w:r>
      <w:r w:rsidRPr="00C46BF0">
        <w:t>min. As more patient data became available and no safety concerns were identified, both the recommended infusion and observation times were shortened. In Studies 011 and 013,</w:t>
      </w:r>
      <w:r w:rsidR="0080613A" w:rsidRPr="00C46BF0">
        <w:t xml:space="preserve"> the administration time was 30 </w:t>
      </w:r>
      <w:r w:rsidRPr="00C46BF0">
        <w:t>(+</w:t>
      </w:r>
      <w:r w:rsidR="0080613A" w:rsidRPr="00C46BF0">
        <w:t> 15) </w:t>
      </w:r>
      <w:r w:rsidRPr="00C46BF0">
        <w:t xml:space="preserve">min, however, infusions could have been administered for up to </w:t>
      </w:r>
      <w:r w:rsidR="0080613A" w:rsidRPr="00C46BF0">
        <w:t>one</w:t>
      </w:r>
      <w:r w:rsidRPr="00C46BF0">
        <w:t xml:space="preserve"> hour, if needed, at the</w:t>
      </w:r>
      <w:r w:rsidR="0080613A" w:rsidRPr="00C46BF0">
        <w:t xml:space="preserve"> judgement of the investigator.</w:t>
      </w:r>
    </w:p>
    <w:p w14:paraId="01952478" w14:textId="20BA0368" w:rsidR="009447C5" w:rsidRPr="00C46BF0" w:rsidRDefault="0080613A" w:rsidP="00C46BF0">
      <w:r w:rsidRPr="00C46BF0">
        <w:t>The clinical study report</w:t>
      </w:r>
      <w:bookmarkStart w:id="53" w:name="_Ref76023466"/>
      <w:r w:rsidRPr="00C46BF0">
        <w:rPr>
          <w:rStyle w:val="FootnoteReference"/>
        </w:rPr>
        <w:footnoteReference w:id="23"/>
      </w:r>
      <w:bookmarkEnd w:id="53"/>
      <w:r w:rsidRPr="00C46BF0">
        <w:t xml:space="preserve"> </w:t>
      </w:r>
      <w:r w:rsidR="009447C5" w:rsidRPr="00C46BF0">
        <w:t xml:space="preserve">shows that most patients were administered both infusions of </w:t>
      </w:r>
      <w:proofErr w:type="spellStart"/>
      <w:r w:rsidR="009447C5" w:rsidRPr="00C46BF0">
        <w:t>eptinezumab</w:t>
      </w:r>
      <w:proofErr w:type="spellEnd"/>
      <w:r w:rsidR="009447C5" w:rsidRPr="00C46BF0">
        <w:t xml:space="preserve"> </w:t>
      </w:r>
      <w:r w:rsidR="00A73015" w:rsidRPr="00C46BF0">
        <w:t>in Study 011 over 30</w:t>
      </w:r>
      <w:r w:rsidRPr="00C46BF0">
        <w:t> </w:t>
      </w:r>
      <w:r w:rsidR="00A73015" w:rsidRPr="00C46BF0">
        <w:t>(+</w:t>
      </w:r>
      <w:r w:rsidRPr="00C46BF0">
        <w:t> 15) </w:t>
      </w:r>
      <w:r w:rsidR="00A73015" w:rsidRPr="00C46BF0">
        <w:t xml:space="preserve">min. </w:t>
      </w:r>
      <w:r w:rsidR="009447C5" w:rsidRPr="00C46BF0">
        <w:t>Data from the clinical studies to date confi</w:t>
      </w:r>
      <w:r w:rsidRPr="00C46BF0">
        <w:t>rm that the infusion time of 30 </w:t>
      </w:r>
      <w:r w:rsidR="009447C5" w:rsidRPr="00C46BF0">
        <w:t>(+</w:t>
      </w:r>
      <w:r w:rsidRPr="00C46BF0">
        <w:t> 15) </w:t>
      </w:r>
      <w:r w:rsidR="009447C5" w:rsidRPr="00C46BF0">
        <w:t>min has not led to safety concerns. Thus far, 3 SAEs of anaphylactic reactions have been reported in the clinical studies. The events occurred within 10 min</w:t>
      </w:r>
      <w:r w:rsidR="00EB2D10" w:rsidRPr="00C46BF0">
        <w:t>utes</w:t>
      </w:r>
      <w:r w:rsidR="009447C5" w:rsidRPr="00C46BF0">
        <w:t xml:space="preserve"> of the initiation of the infusion. All 3 patients recovered on the same day following discontinuation of the investigational medicinal product (IMP) infusion and treatment according to standard practice, and they did not require in-patient hospitali</w:t>
      </w:r>
      <w:r w:rsidR="00441AC4" w:rsidRPr="00C46BF0">
        <w:t>s</w:t>
      </w:r>
      <w:r w:rsidR="009447C5" w:rsidRPr="00C46BF0">
        <w:t>ation. Other events related to hypersensitivity in the clinical studies were reported as non-serious. In most of these cases, the hypersensitivity reactions occurred during the infusion.</w:t>
      </w:r>
    </w:p>
    <w:p w14:paraId="51A4B4E8" w14:textId="77777777" w:rsidR="00A73015" w:rsidRPr="00C46BF0" w:rsidRDefault="009447C5" w:rsidP="00C46BF0">
      <w:r w:rsidRPr="00C46BF0">
        <w:t>As most allergic reactions, including anaphylactic reactions, occurred during the infusion, a recommendation for a specific observation period post-infusion in the label is not considered</w:t>
      </w:r>
      <w:r w:rsidR="00A73015" w:rsidRPr="00C46BF0">
        <w:t xml:space="preserve"> warranted. It can be expected that health care providers will observe or monitor patients, as necessary, and in accordance with normal clinical practice.</w:t>
      </w:r>
    </w:p>
    <w:p w14:paraId="36BD13A8" w14:textId="4F299A05" w:rsidR="009447C5" w:rsidRPr="00C46BF0" w:rsidRDefault="00A73015" w:rsidP="00C46BF0">
      <w:r w:rsidRPr="00C46BF0">
        <w:t xml:space="preserve">Post-marketing data from the US confirms the administration </w:t>
      </w:r>
      <w:r w:rsidR="004E3020" w:rsidRPr="00C46BF0">
        <w:t>instructions including a 30</w:t>
      </w:r>
      <w:r w:rsidR="00EB2D10" w:rsidRPr="00C46BF0">
        <w:t> </w:t>
      </w:r>
      <w:proofErr w:type="gramStart"/>
      <w:r w:rsidRPr="00C46BF0">
        <w:t>min</w:t>
      </w:r>
      <w:r w:rsidR="00EB2D10" w:rsidRPr="00C46BF0">
        <w:t>utes</w:t>
      </w:r>
      <w:proofErr w:type="gramEnd"/>
      <w:r w:rsidRPr="00C46BF0">
        <w:t xml:space="preserve"> infusion time. Up to 31 January 2021, with an estimated post-marketing exposure of 30,078 infusions, the reporting of one case of anaphylactic reaction and 3 cases of other serious systemic hypersensitivity reactions, is considered low. The patients recovered from the event and none of the patients were reported to require in-patient hospitali</w:t>
      </w:r>
      <w:r w:rsidR="00441AC4" w:rsidRPr="00C46BF0">
        <w:t>s</w:t>
      </w:r>
      <w:r w:rsidRPr="00C46BF0">
        <w:t>ation. Overall, currently available post-marketing data do not indicate safety concerns with regards to the administration instructions.</w:t>
      </w:r>
    </w:p>
    <w:p w14:paraId="0EA7DE23" w14:textId="195F6BD2" w:rsidR="009447C5" w:rsidRPr="00C46BF0" w:rsidRDefault="009447C5" w:rsidP="00C46BF0">
      <w:pPr>
        <w:pStyle w:val="Numberbullet0"/>
        <w:rPr>
          <w:b/>
          <w:i/>
        </w:rPr>
      </w:pPr>
      <w:r w:rsidRPr="00C46BF0">
        <w:rPr>
          <w:b/>
          <w:i/>
        </w:rPr>
        <w:t xml:space="preserve">Please submit any post-marketing safety data from US for </w:t>
      </w:r>
      <w:proofErr w:type="spellStart"/>
      <w:r w:rsidRPr="00C46BF0">
        <w:rPr>
          <w:b/>
          <w:i/>
        </w:rPr>
        <w:t>eptinezumab</w:t>
      </w:r>
      <w:proofErr w:type="spellEnd"/>
      <w:r w:rsidRPr="00C46BF0">
        <w:rPr>
          <w:b/>
          <w:i/>
        </w:rPr>
        <w:t xml:space="preserve"> (</w:t>
      </w:r>
      <w:r w:rsidR="001F392D" w:rsidRPr="00C46BF0">
        <w:rPr>
          <w:b/>
          <w:i/>
        </w:rPr>
        <w:t>periodic benefit-risk evaluation report (</w:t>
      </w:r>
      <w:r w:rsidRPr="00C46BF0">
        <w:rPr>
          <w:b/>
          <w:i/>
        </w:rPr>
        <w:t>PBRER</w:t>
      </w:r>
      <w:r w:rsidR="001F392D" w:rsidRPr="00C46BF0">
        <w:rPr>
          <w:b/>
          <w:i/>
        </w:rPr>
        <w:t>)</w:t>
      </w:r>
      <w:r w:rsidRPr="00C46BF0">
        <w:rPr>
          <w:b/>
          <w:i/>
        </w:rPr>
        <w:t>), if available.</w:t>
      </w:r>
    </w:p>
    <w:p w14:paraId="5901B0D7" w14:textId="0D38D225" w:rsidR="00A73015" w:rsidRPr="00C46BF0" w:rsidRDefault="00A73015" w:rsidP="00C46BF0">
      <w:r w:rsidRPr="00C46BF0">
        <w:t>The PBRER with the cut-off date 20 August 2020 is provided with this response.</w:t>
      </w:r>
      <w:r w:rsidR="004E3020" w:rsidRPr="00C46BF0">
        <w:rPr>
          <w:vertAlign w:val="superscript"/>
        </w:rPr>
        <w:fldChar w:fldCharType="begin"/>
      </w:r>
      <w:r w:rsidR="004E3020" w:rsidRPr="00C46BF0">
        <w:rPr>
          <w:vertAlign w:val="superscript"/>
        </w:rPr>
        <w:instrText xml:space="preserve"> NOTEREF _Ref76023466 \h  \* MERGEFORMAT </w:instrText>
      </w:r>
      <w:r w:rsidR="004E3020" w:rsidRPr="00C46BF0">
        <w:rPr>
          <w:vertAlign w:val="superscript"/>
        </w:rPr>
      </w:r>
      <w:r w:rsidR="004E3020" w:rsidRPr="00C46BF0">
        <w:rPr>
          <w:vertAlign w:val="superscript"/>
        </w:rPr>
        <w:fldChar w:fldCharType="separate"/>
      </w:r>
      <w:r w:rsidR="00112693">
        <w:rPr>
          <w:vertAlign w:val="superscript"/>
        </w:rPr>
        <w:t>22</w:t>
      </w:r>
      <w:r w:rsidR="004E3020" w:rsidRPr="00C46BF0">
        <w:rPr>
          <w:vertAlign w:val="superscript"/>
        </w:rPr>
        <w:fldChar w:fldCharType="end"/>
      </w:r>
      <w:r w:rsidRPr="00C46BF0">
        <w:t xml:space="preserve"> The next PBRER with the cut-off date 20 February 2021 will be available on 1 May 2021.</w:t>
      </w:r>
    </w:p>
    <w:p w14:paraId="30EA16ED" w14:textId="1E5C4D76" w:rsidR="009447C5" w:rsidRPr="00C46BF0" w:rsidRDefault="009447C5" w:rsidP="00C46BF0">
      <w:pPr>
        <w:pStyle w:val="Numberbullet0"/>
        <w:rPr>
          <w:b/>
          <w:i/>
        </w:rPr>
      </w:pPr>
      <w:r w:rsidRPr="00C46BF0">
        <w:rPr>
          <w:b/>
          <w:i/>
        </w:rPr>
        <w:t xml:space="preserve">In </w:t>
      </w:r>
      <w:r w:rsidR="001345E0" w:rsidRPr="00C46BF0">
        <w:rPr>
          <w:b/>
          <w:i/>
        </w:rPr>
        <w:t xml:space="preserve">Study </w:t>
      </w:r>
      <w:r w:rsidRPr="00C46BF0">
        <w:rPr>
          <w:b/>
          <w:i/>
        </w:rPr>
        <w:t>006, what proportion of subjects were on prophylactic medication for migraine?</w:t>
      </w:r>
    </w:p>
    <w:p w14:paraId="1F7E4E61" w14:textId="66CECCB9" w:rsidR="00A73015" w:rsidRPr="00C46BF0" w:rsidRDefault="00A73015" w:rsidP="00C46BF0">
      <w:r w:rsidRPr="00C46BF0">
        <w:t>The regular use (&gt;</w:t>
      </w:r>
      <w:r w:rsidR="001345E0" w:rsidRPr="00C46BF0">
        <w:t> </w:t>
      </w:r>
      <w:r w:rsidRPr="00C46BF0">
        <w:t>7 days per month) of prophylactic medications for migraine (</w:t>
      </w:r>
      <w:r w:rsidR="001345E0" w:rsidRPr="00C46BF0">
        <w:t>that is,</w:t>
      </w:r>
      <w:r w:rsidRPr="00C46BF0">
        <w:t xml:space="preserve"> any preventive medication or supplement with evidence of efficacy from at least one placebo-controlled study) was restricted from 2 months prior to the screening visit through Week 24 in Study 006. Due to the restrictions the overall use of migraine preventive treatment in Study 006 was low. Overall, 41 patients (4.6%) reported at least </w:t>
      </w:r>
      <w:r w:rsidR="001345E0" w:rsidRPr="00C46BF0">
        <w:t>one</w:t>
      </w:r>
      <w:r w:rsidRPr="00C46BF0">
        <w:t xml:space="preserve"> prophylactic headache medication, and the use was well balanced across the treatment groups, with no differences at the drug preferred term level considered clinically relevant. The most frequently reported prophylactic headache medication, in &gt;</w:t>
      </w:r>
      <w:r w:rsidR="001345E0" w:rsidRPr="00C46BF0">
        <w:t> </w:t>
      </w:r>
      <w:r w:rsidRPr="00C46BF0">
        <w:t>1% of patients, was magnesium (1.4%).</w:t>
      </w:r>
    </w:p>
    <w:p w14:paraId="4B918F44" w14:textId="46633487" w:rsidR="009447C5" w:rsidRPr="00C46BF0" w:rsidRDefault="00EF0FD9" w:rsidP="00C46BF0">
      <w:pPr>
        <w:pStyle w:val="Numberbullet0"/>
        <w:rPr>
          <w:b/>
          <w:i/>
        </w:rPr>
      </w:pPr>
      <w:r w:rsidRPr="00C46BF0">
        <w:rPr>
          <w:b/>
          <w:i/>
        </w:rPr>
        <w:t>Constipation and suicide-</w:t>
      </w:r>
      <w:r w:rsidR="009447C5" w:rsidRPr="00C46BF0">
        <w:rPr>
          <w:b/>
          <w:i/>
        </w:rPr>
        <w:t xml:space="preserve">related SAEs were reported at a higher incidence in </w:t>
      </w:r>
      <w:proofErr w:type="spellStart"/>
      <w:r w:rsidR="009447C5" w:rsidRPr="00C46BF0">
        <w:rPr>
          <w:b/>
          <w:i/>
        </w:rPr>
        <w:t>eptinezumab</w:t>
      </w:r>
      <w:proofErr w:type="spellEnd"/>
      <w:r w:rsidR="009447C5" w:rsidRPr="00C46BF0">
        <w:rPr>
          <w:b/>
          <w:i/>
        </w:rPr>
        <w:t xml:space="preserve"> group, compared to placebo. Are there any additional pharmacovigilance activities planned to monitor the incidence of the</w:t>
      </w:r>
      <w:r w:rsidR="001345E0" w:rsidRPr="00C46BF0">
        <w:rPr>
          <w:b/>
          <w:i/>
        </w:rPr>
        <w:t>se events in clinical practice?</w:t>
      </w:r>
    </w:p>
    <w:p w14:paraId="5D53D296" w14:textId="24EEDC4E" w:rsidR="00A73015" w:rsidRPr="00C46BF0" w:rsidRDefault="009C0339" w:rsidP="00C46BF0">
      <w:r w:rsidRPr="004A75DD">
        <w:rPr>
          <w:i/>
        </w:rPr>
        <w:lastRenderedPageBreak/>
        <w:t xml:space="preserve">Constipation: </w:t>
      </w:r>
      <w:r w:rsidR="00A73015" w:rsidRPr="00C46BF0">
        <w:t>Constipation is common in the general population. Depending on the definition used, chronic constipation can affect from 2% to 27% of the population.</w:t>
      </w:r>
      <w:r w:rsidR="00FC0CA9" w:rsidRPr="00C46BF0">
        <w:rPr>
          <w:rStyle w:val="FootnoteReference"/>
        </w:rPr>
        <w:footnoteReference w:id="24"/>
      </w:r>
      <w:r w:rsidR="00A73015" w:rsidRPr="00C46BF0">
        <w:t xml:space="preserve"> In a Canadian study of health issues in the general population, 27.2% of the participants self-reported constipation within the past 3 months, and 16.7% and 14.9% had functional constipation according to the Rome I </w:t>
      </w:r>
      <w:r w:rsidR="00FC0CA9" w:rsidRPr="00C46BF0">
        <w:t>and II criteria, respectively.</w:t>
      </w:r>
      <w:r w:rsidR="00FC0CA9" w:rsidRPr="00C46BF0">
        <w:rPr>
          <w:rStyle w:val="FootnoteReference"/>
        </w:rPr>
        <w:footnoteReference w:id="25"/>
      </w:r>
    </w:p>
    <w:p w14:paraId="0DAE0421" w14:textId="3F5949FC" w:rsidR="00A73015" w:rsidRPr="00C46BF0" w:rsidRDefault="00A73015" w:rsidP="00C46BF0">
      <w:r w:rsidRPr="00C46BF0">
        <w:t xml:space="preserve">In the </w:t>
      </w:r>
      <w:proofErr w:type="gramStart"/>
      <w:r w:rsidRPr="00C46BF0">
        <w:t>placebo</w:t>
      </w:r>
      <w:r w:rsidR="001345E0" w:rsidRPr="00C46BF0">
        <w:t xml:space="preserve"> </w:t>
      </w:r>
      <w:r w:rsidRPr="00C46BF0">
        <w:t>controlled</w:t>
      </w:r>
      <w:proofErr w:type="gramEnd"/>
      <w:r w:rsidRPr="00C46BF0">
        <w:t xml:space="preserve"> Studies 002, 005, 006 and 011, constipation was reported at frequencies of 0.9% for patients receiving </w:t>
      </w:r>
      <w:proofErr w:type="spellStart"/>
      <w:r w:rsidRPr="00C46BF0">
        <w:t>eptinezumab</w:t>
      </w:r>
      <w:proofErr w:type="spellEnd"/>
      <w:r w:rsidRPr="00C46BF0">
        <w:t xml:space="preserve"> and 0.5% for patients receiving placebo. Although the incidences were higher in the </w:t>
      </w:r>
      <w:proofErr w:type="spellStart"/>
      <w:r w:rsidRPr="00C46BF0">
        <w:t>eptinezumab</w:t>
      </w:r>
      <w:proofErr w:type="spellEnd"/>
      <w:r w:rsidRPr="00C46BF0">
        <w:t xml:space="preserve"> group, the incidences of constipation in the clinical studies are considered low, and the difference between the </w:t>
      </w:r>
      <w:proofErr w:type="spellStart"/>
      <w:r w:rsidRPr="00C46BF0">
        <w:t>eptinezumab</w:t>
      </w:r>
      <w:proofErr w:type="spellEnd"/>
      <w:r w:rsidRPr="00C46BF0">
        <w:t xml:space="preserve"> and placebo group is considered small and not clinically significant, when put in perspective to the high prevalence of constipation in the general population. Of the</w:t>
      </w:r>
      <w:r w:rsidR="001345E0" w:rsidRPr="00C46BF0">
        <w:t xml:space="preserve"> </w:t>
      </w:r>
      <w:r w:rsidRPr="00C46BF0">
        <w:t xml:space="preserve">19 TEAEs of constipation reported in patients treated with </w:t>
      </w:r>
      <w:proofErr w:type="spellStart"/>
      <w:r w:rsidRPr="00C46BF0">
        <w:t>eptinezumab</w:t>
      </w:r>
      <w:proofErr w:type="spellEnd"/>
      <w:r w:rsidRPr="00C46BF0">
        <w:t xml:space="preserve">, the majority of TEAEs (13 out of 19) were considered not related to study treatment by the investigators. Other than one single serious and severe event of constipation, all events of constipation in patients receiving </w:t>
      </w:r>
      <w:proofErr w:type="spellStart"/>
      <w:r w:rsidRPr="00C46BF0">
        <w:t>eptinezumab</w:t>
      </w:r>
      <w:proofErr w:type="spellEnd"/>
      <w:r w:rsidRPr="00C46BF0">
        <w:t xml:space="preserve"> were non-serious and mild or moderate. The single serious and severe event concerns an event of post-operative worsening of constipation in a patient with a pre-existing history of constipation requiring medication and digital </w:t>
      </w:r>
      <w:proofErr w:type="spellStart"/>
      <w:r w:rsidRPr="00C46BF0">
        <w:t>disimpaction</w:t>
      </w:r>
      <w:proofErr w:type="spellEnd"/>
      <w:r w:rsidRPr="00C46BF0">
        <w:t>. The event was considered not related by the investigator.</w:t>
      </w:r>
    </w:p>
    <w:p w14:paraId="67E126CD" w14:textId="77777777" w:rsidR="00A73015" w:rsidRPr="00C46BF0" w:rsidRDefault="00A73015" w:rsidP="00C46BF0">
      <w:r w:rsidRPr="00C46BF0">
        <w:t xml:space="preserve">Currently available post-marketing data are in line with the clinical study data and indicate that the frequency of constipation in patients treated with </w:t>
      </w:r>
      <w:proofErr w:type="spellStart"/>
      <w:r w:rsidRPr="00C46BF0">
        <w:t>eptinezumab</w:t>
      </w:r>
      <w:proofErr w:type="spellEnd"/>
      <w:r w:rsidRPr="00C46BF0">
        <w:t xml:space="preserve"> is low and the events are mainly non-serious. Up to 31 January 2021, with an estimated post-marketing exposure of 30,087 infusions, a total of 2 events of constipation were reported. Both events were non-serious.</w:t>
      </w:r>
    </w:p>
    <w:p w14:paraId="439A64E2" w14:textId="18B00B98" w:rsidR="00A73015" w:rsidRPr="00C46BF0" w:rsidRDefault="00A73015" w:rsidP="00C46BF0">
      <w:r w:rsidRPr="00C46BF0">
        <w:t xml:space="preserve">Given the low frequency, the mainly non-serious nature of the reported events and the fact that most events were considered not related to </w:t>
      </w:r>
      <w:proofErr w:type="spellStart"/>
      <w:r w:rsidRPr="00C46BF0">
        <w:t>eptinezumab</w:t>
      </w:r>
      <w:proofErr w:type="spellEnd"/>
      <w:r w:rsidRPr="00C46BF0">
        <w:t xml:space="preserve"> treatment, </w:t>
      </w:r>
      <w:r w:rsidR="001345E0" w:rsidRPr="00C46BF0">
        <w:t xml:space="preserve">the sponsor </w:t>
      </w:r>
      <w:r w:rsidRPr="00C46BF0">
        <w:t>does not consider additional pharmacovigilance activities to be warranted for constipation. However,</w:t>
      </w:r>
      <w:r w:rsidR="001345E0" w:rsidRPr="00C46BF0">
        <w:t xml:space="preserve"> the sponsor</w:t>
      </w:r>
      <w:r w:rsidRPr="00C46BF0">
        <w:t xml:space="preserve"> will continue to monitor constipation via routine pharmacovigilance and commits to present and discuss this event in future PBRERs.</w:t>
      </w:r>
    </w:p>
    <w:p w14:paraId="159C7705" w14:textId="7A86574D" w:rsidR="00A73015" w:rsidRPr="00C46BF0" w:rsidRDefault="00A73015" w:rsidP="00C46BF0">
      <w:r w:rsidRPr="004A75DD">
        <w:rPr>
          <w:i/>
        </w:rPr>
        <w:t>Suicide-related SAEs</w:t>
      </w:r>
      <w:r w:rsidR="009C0339">
        <w:t xml:space="preserve">: </w:t>
      </w:r>
      <w:r w:rsidRPr="00C46BF0">
        <w:t xml:space="preserve">Psychiatric disorders such as depression are common in patients with migraine. This is also reflected in the high proportion, approximately 30%, of patients in the </w:t>
      </w:r>
      <w:proofErr w:type="spellStart"/>
      <w:r w:rsidRPr="00C46BF0">
        <w:t>eptinezumab</w:t>
      </w:r>
      <w:proofErr w:type="spellEnd"/>
      <w:r w:rsidRPr="00C46BF0">
        <w:t xml:space="preserve"> clinical studies with a psychiatric disorder as medical history.</w:t>
      </w:r>
    </w:p>
    <w:p w14:paraId="2E8EB988" w14:textId="738EAF1B" w:rsidR="00A73015" w:rsidRPr="00C46BF0" w:rsidRDefault="00A73015" w:rsidP="00C46BF0">
      <w:r w:rsidRPr="00C46BF0">
        <w:t xml:space="preserve">Data from the clinical studies do not indicate an increased risk of suicide-related events for </w:t>
      </w:r>
      <w:proofErr w:type="spellStart"/>
      <w:r w:rsidRPr="00C46BF0">
        <w:t>eptinezumab</w:t>
      </w:r>
      <w:proofErr w:type="spellEnd"/>
      <w:r w:rsidRPr="00C46BF0">
        <w:t xml:space="preserve">. In the placebo-controlled Studies 002, 005, 006 and 011, TEAEs captured in the </w:t>
      </w:r>
      <w:r w:rsidR="00FB2A42" w:rsidRPr="00C46BF0">
        <w:t>s</w:t>
      </w:r>
      <w:r w:rsidRPr="00C46BF0">
        <w:t xml:space="preserve">uicide/self-injury </w:t>
      </w:r>
      <w:r w:rsidR="00B33DA7">
        <w:t>(</w:t>
      </w:r>
      <w:r w:rsidR="00B33DA7" w:rsidRPr="00B33DA7">
        <w:t xml:space="preserve">Standardised Medical Dictionary for Regulatory Activities </w:t>
      </w:r>
      <w:r w:rsidR="00B33DA7">
        <w:t>(</w:t>
      </w:r>
      <w:r w:rsidR="00B33DA7" w:rsidRPr="00B33DA7">
        <w:t>MedDRA</w:t>
      </w:r>
      <w:r w:rsidR="00B33DA7">
        <w:t>)</w:t>
      </w:r>
      <w:r w:rsidR="00B33DA7">
        <w:rPr>
          <w:rStyle w:val="FootnoteReference"/>
        </w:rPr>
        <w:footnoteReference w:id="26"/>
      </w:r>
      <w:r w:rsidR="00B33DA7" w:rsidRPr="00B33DA7">
        <w:t xml:space="preserve"> Queries </w:t>
      </w:r>
      <w:r w:rsidR="00FB2A42" w:rsidRPr="00C46BF0">
        <w:t>(SMQ)</w:t>
      </w:r>
      <w:r w:rsidR="00B33DA7">
        <w:t>)</w:t>
      </w:r>
      <w:r w:rsidR="00B33DA7">
        <w:rPr>
          <w:rStyle w:val="FootnoteReference"/>
        </w:rPr>
        <w:footnoteReference w:id="27"/>
      </w:r>
      <w:r w:rsidR="00FB2A42" w:rsidRPr="00C46BF0">
        <w:t xml:space="preserve"> </w:t>
      </w:r>
      <w:r w:rsidRPr="00C46BF0">
        <w:t xml:space="preserve">have been reported at similar frequencies in the </w:t>
      </w:r>
      <w:proofErr w:type="spellStart"/>
      <w:r w:rsidRPr="00C46BF0">
        <w:t>eptinezumab</w:t>
      </w:r>
      <w:proofErr w:type="spellEnd"/>
      <w:r w:rsidRPr="00C46BF0">
        <w:t xml:space="preserve"> (0.6%) and placebo (0.4%) groups. Most TEAEs were considered not related. One patient in the </w:t>
      </w:r>
      <w:proofErr w:type="spellStart"/>
      <w:r w:rsidRPr="00C46BF0">
        <w:t>eptinezumab</w:t>
      </w:r>
      <w:proofErr w:type="spellEnd"/>
      <w:r w:rsidRPr="00C46BF0">
        <w:t xml:space="preserve"> group (&lt;</w:t>
      </w:r>
      <w:r w:rsidR="00EF0FD9" w:rsidRPr="00C46BF0">
        <w:t> </w:t>
      </w:r>
      <w:r w:rsidRPr="00C46BF0">
        <w:t xml:space="preserve">0.1%) had related events of suicidal ideation and </w:t>
      </w:r>
      <w:r w:rsidRPr="00C46BF0">
        <w:lastRenderedPageBreak/>
        <w:t>intentional self-injury. The patient’s medical history included non-suicidal self-injurious behaviour.</w:t>
      </w:r>
    </w:p>
    <w:p w14:paraId="34707185" w14:textId="4F0171B9" w:rsidR="00A73015" w:rsidRPr="00C46BF0" w:rsidRDefault="00A73015" w:rsidP="00C46BF0">
      <w:r w:rsidRPr="00C46BF0">
        <w:t xml:space="preserve">Suicide-related SAEs were reported in the </w:t>
      </w:r>
      <w:r w:rsidR="00EF0FD9" w:rsidRPr="00C46BF0">
        <w:t xml:space="preserve">overall </w:t>
      </w:r>
      <w:proofErr w:type="spellStart"/>
      <w:r w:rsidR="00EF0FD9" w:rsidRPr="00C46BF0">
        <w:t>eptinezumab</w:t>
      </w:r>
      <w:proofErr w:type="spellEnd"/>
      <w:r w:rsidR="00EF0FD9" w:rsidRPr="00C46BF0">
        <w:t xml:space="preserve"> pool (including Studies </w:t>
      </w:r>
      <w:r w:rsidRPr="00C46BF0">
        <w:t xml:space="preserve">002, 005, 006, 011 and 013) in 4 (0.2%) of 2076 </w:t>
      </w:r>
      <w:proofErr w:type="spellStart"/>
      <w:r w:rsidRPr="00C46BF0">
        <w:t>eptinezumab</w:t>
      </w:r>
      <w:proofErr w:type="spellEnd"/>
      <w:r w:rsidRPr="00C46BF0">
        <w:t xml:space="preserve">-treated patients and in 1 (0.1%) of 791 patients receiving placebo. All suicide-related SAEs in </w:t>
      </w:r>
      <w:proofErr w:type="spellStart"/>
      <w:r w:rsidRPr="00C46BF0">
        <w:t>eptinezumab</w:t>
      </w:r>
      <w:proofErr w:type="spellEnd"/>
      <w:r w:rsidRPr="00C46BF0">
        <w:t>-treated patients were assessed as not related by the investigators. The events were confounded by medical history and/or triggering stressors:</w:t>
      </w:r>
    </w:p>
    <w:p w14:paraId="58BFD05C" w14:textId="6AF1F0BE" w:rsidR="00A73015" w:rsidRPr="00C46BF0" w:rsidRDefault="00EF0FD9" w:rsidP="00C46BF0">
      <w:r w:rsidRPr="00C46BF0">
        <w:t xml:space="preserve">[Subjects ID redacted] </w:t>
      </w:r>
      <w:r w:rsidR="00A73015" w:rsidRPr="00C46BF0">
        <w:t>in</w:t>
      </w:r>
      <w:r w:rsidR="00581866">
        <w:t xml:space="preserve"> Study 006</w:t>
      </w:r>
      <w:r w:rsidR="00A73015" w:rsidRPr="00C46BF0">
        <w:t xml:space="preserve"> experienced two episodes of suicidal ideation and subsequently had a suicide attempt. The events were confounded by the patient’s medical history of post-traumatic stress disorder (PTSD), major depressive disorder (MDD), psychosis, poly-substance abuse, and sexual abuse. In addition, it was reported that the patient tried to overdose on medications due to stressors with the roommate.</w:t>
      </w:r>
    </w:p>
    <w:p w14:paraId="51A9397B" w14:textId="67D55D4F" w:rsidR="00A73015" w:rsidRPr="00C46BF0" w:rsidRDefault="00EF0FD9" w:rsidP="00C46BF0">
      <w:r w:rsidRPr="00C46BF0">
        <w:t xml:space="preserve">[Subjects ID redacted] </w:t>
      </w:r>
      <w:r w:rsidR="00A73015" w:rsidRPr="00C46BF0">
        <w:t xml:space="preserve">in </w:t>
      </w:r>
      <w:r w:rsidR="00581866">
        <w:t>Study 011</w:t>
      </w:r>
      <w:r w:rsidR="00A73015" w:rsidRPr="00C46BF0">
        <w:t>experienced a suicide attempt. The event was confounded by the patient’s medical history of MDD, anxiety, insomnia, and attention deficit hyperactivity disorder. In addition, it was reported that the patient was upset about a family relationship.</w:t>
      </w:r>
    </w:p>
    <w:p w14:paraId="640EF847" w14:textId="4784A86C" w:rsidR="00A73015" w:rsidRPr="00C46BF0" w:rsidRDefault="00EF0FD9" w:rsidP="00C46BF0">
      <w:r w:rsidRPr="00C46BF0">
        <w:t xml:space="preserve">[Subjects ID redacted] </w:t>
      </w:r>
      <w:r w:rsidR="00A73015" w:rsidRPr="00C46BF0">
        <w:t xml:space="preserve">in </w:t>
      </w:r>
      <w:r w:rsidR="00581866">
        <w:t xml:space="preserve">Study 011 </w:t>
      </w:r>
      <w:r w:rsidR="00A73015" w:rsidRPr="00C46BF0">
        <w:t xml:space="preserve">experienced depression suicidal. The event was confounded by the patient’s medical history of depression, suicidal ideation, previous suicide attempts, PTSD, anxiety, </w:t>
      </w:r>
      <w:proofErr w:type="gramStart"/>
      <w:r w:rsidR="00A73015" w:rsidRPr="00C46BF0">
        <w:t>insomnia</w:t>
      </w:r>
      <w:proofErr w:type="gramEnd"/>
      <w:r w:rsidR="00A73015" w:rsidRPr="00C46BF0">
        <w:t xml:space="preserve"> and alcohol abuse.</w:t>
      </w:r>
    </w:p>
    <w:p w14:paraId="2D579868" w14:textId="37D35A56" w:rsidR="00A73015" w:rsidRPr="00C46BF0" w:rsidRDefault="00EF0FD9" w:rsidP="00C46BF0">
      <w:r w:rsidRPr="00C46BF0">
        <w:t xml:space="preserve">[Subjects ID redacted] </w:t>
      </w:r>
      <w:r w:rsidR="00A73015" w:rsidRPr="00C46BF0">
        <w:t xml:space="preserve">in </w:t>
      </w:r>
      <w:r w:rsidR="00581866">
        <w:t xml:space="preserve">Study 005 </w:t>
      </w:r>
      <w:r w:rsidR="00A73015" w:rsidRPr="00C46BF0">
        <w:t>experienced suicidal ideation. The event was confounded by the patient’s medical history of depression.</w:t>
      </w:r>
    </w:p>
    <w:p w14:paraId="147E94BE" w14:textId="77777777" w:rsidR="00A73015" w:rsidRPr="00C46BF0" w:rsidRDefault="00A73015" w:rsidP="00C46BF0">
      <w:r w:rsidRPr="00C46BF0">
        <w:t>Currently available post-marketing data are in line with the clinical study data. Up to 31 January 2021, with an estimated post-marketing exposure of 30,078 infusions, one case containing the events suicide attempt and suicidal ideation was reported. The patient had a medical history of depression.</w:t>
      </w:r>
    </w:p>
    <w:p w14:paraId="571CF106" w14:textId="5236F251" w:rsidR="00A73015" w:rsidRPr="00C46BF0" w:rsidRDefault="00A73015" w:rsidP="00C46BF0">
      <w:r w:rsidRPr="00C46BF0">
        <w:t xml:space="preserve">Overall, currently available data do not suggest an increased risk of suicide-related events with </w:t>
      </w:r>
      <w:proofErr w:type="spellStart"/>
      <w:r w:rsidRPr="00C46BF0">
        <w:t>eptinezumab</w:t>
      </w:r>
      <w:proofErr w:type="spellEnd"/>
      <w:r w:rsidRPr="00C46BF0">
        <w:t xml:space="preserve"> treatment. The reported suicide-related SAEs are not related and confounded by patients’ pre-existing underlying psychiatric disorders, which can be expected given that psychiatric disorders are common in patients with migraine. Hence, </w:t>
      </w:r>
      <w:r w:rsidR="001345E0" w:rsidRPr="00C46BF0">
        <w:t>the sponsor</w:t>
      </w:r>
      <w:r w:rsidRPr="00C46BF0">
        <w:t xml:space="preserve"> does not consider additional pharmacovigilance activities to be warranted for suicide-related events. However, </w:t>
      </w:r>
      <w:r w:rsidR="001345E0" w:rsidRPr="00C46BF0">
        <w:t>the sponsor</w:t>
      </w:r>
      <w:r w:rsidRPr="00C46BF0">
        <w:t xml:space="preserve"> will continue to monitor suicide-related events via routine pharmacovigilance and commits to present and discuss suicide-related events in future PBRERs.</w:t>
      </w:r>
    </w:p>
    <w:p w14:paraId="0C574F45" w14:textId="141383E3" w:rsidR="009447C5" w:rsidRPr="00C46BF0" w:rsidRDefault="009447C5" w:rsidP="00C46BF0">
      <w:pPr>
        <w:pStyle w:val="Numberbullet0"/>
        <w:rPr>
          <w:b/>
          <w:i/>
        </w:rPr>
      </w:pPr>
      <w:r w:rsidRPr="00C46BF0">
        <w:rPr>
          <w:b/>
          <w:i/>
        </w:rPr>
        <w:t xml:space="preserve">In the proposed PI, the following statements were noted: After dilution, </w:t>
      </w:r>
      <w:proofErr w:type="spellStart"/>
      <w:r w:rsidR="00371DD4" w:rsidRPr="00C46BF0">
        <w:rPr>
          <w:b/>
          <w:i/>
        </w:rPr>
        <w:t>Vyepti</w:t>
      </w:r>
      <w:proofErr w:type="spellEnd"/>
      <w:r w:rsidR="00371DD4" w:rsidRPr="00C46BF0">
        <w:rPr>
          <w:b/>
          <w:i/>
        </w:rPr>
        <w:t xml:space="preserve"> </w:t>
      </w:r>
      <w:r w:rsidRPr="00C46BF0">
        <w:rPr>
          <w:b/>
          <w:i/>
        </w:rPr>
        <w:t xml:space="preserve">solution for infusion may be stored at room temperature or refrigerated at 2 to 8°C. This instruction </w:t>
      </w:r>
      <w:proofErr w:type="gramStart"/>
      <w:r w:rsidRPr="00C46BF0">
        <w:rPr>
          <w:b/>
          <w:i/>
        </w:rPr>
        <w:t>is in contrast to</w:t>
      </w:r>
      <w:proofErr w:type="gramEnd"/>
      <w:r w:rsidRPr="00C46BF0">
        <w:rPr>
          <w:b/>
          <w:i/>
        </w:rPr>
        <w:t xml:space="preserve"> the corresponding instruction in </w:t>
      </w:r>
      <w:r w:rsidR="009F4FEF" w:rsidRPr="00C46BF0">
        <w:rPr>
          <w:b/>
          <w:i/>
        </w:rPr>
        <w:t>Food and Drug Administration (</w:t>
      </w:r>
      <w:r w:rsidRPr="00C46BF0">
        <w:rPr>
          <w:b/>
          <w:i/>
        </w:rPr>
        <w:t>FDA</w:t>
      </w:r>
      <w:r w:rsidR="009F4FEF" w:rsidRPr="00C46BF0">
        <w:rPr>
          <w:b/>
          <w:i/>
        </w:rPr>
        <w:t>)</w:t>
      </w:r>
      <w:r w:rsidRPr="00C46BF0">
        <w:rPr>
          <w:b/>
          <w:i/>
        </w:rPr>
        <w:t xml:space="preserve"> PI, which recommends that the </w:t>
      </w:r>
      <w:proofErr w:type="spellStart"/>
      <w:r w:rsidR="00371DD4" w:rsidRPr="00C46BF0">
        <w:rPr>
          <w:b/>
          <w:i/>
        </w:rPr>
        <w:t>Vyepti</w:t>
      </w:r>
      <w:proofErr w:type="spellEnd"/>
      <w:r w:rsidR="00371DD4" w:rsidRPr="00C46BF0">
        <w:rPr>
          <w:b/>
          <w:i/>
        </w:rPr>
        <w:t xml:space="preserve"> </w:t>
      </w:r>
      <w:r w:rsidRPr="00C46BF0">
        <w:rPr>
          <w:b/>
          <w:i/>
        </w:rPr>
        <w:t>solution should be stored in room temperature. Please clarify this disparity.</w:t>
      </w:r>
    </w:p>
    <w:p w14:paraId="0C88C69D" w14:textId="36F6FD08" w:rsidR="00A73015" w:rsidRPr="00C46BF0" w:rsidRDefault="00A73015" w:rsidP="00C46BF0">
      <w:r w:rsidRPr="00C46BF0">
        <w:t xml:space="preserve">Current data supports an </w:t>
      </w:r>
      <w:proofErr w:type="gramStart"/>
      <w:r w:rsidRPr="00C46BF0">
        <w:t>8</w:t>
      </w:r>
      <w:r w:rsidR="002D6EE0" w:rsidRPr="00C46BF0">
        <w:t xml:space="preserve"> </w:t>
      </w:r>
      <w:r w:rsidRPr="00C46BF0">
        <w:t>hour</w:t>
      </w:r>
      <w:proofErr w:type="gramEnd"/>
      <w:r w:rsidRPr="00C46BF0">
        <w:t xml:space="preserve"> expiry for both temperature storage conditions (refrigerated and room temperature) for either </w:t>
      </w:r>
      <w:proofErr w:type="spellStart"/>
      <w:r w:rsidRPr="00C46BF0">
        <w:t>epti</w:t>
      </w:r>
      <w:r w:rsidR="002D6EE0" w:rsidRPr="00C46BF0">
        <w:t>nezumab</w:t>
      </w:r>
      <w:proofErr w:type="spellEnd"/>
      <w:r w:rsidR="002D6EE0" w:rsidRPr="00C46BF0">
        <w:t xml:space="preserve"> dose level, 100 and 300 </w:t>
      </w:r>
      <w:r w:rsidRPr="00C46BF0">
        <w:t xml:space="preserve">mg, in </w:t>
      </w:r>
      <w:r w:rsidR="009F4FEF" w:rsidRPr="00C46BF0">
        <w:t>polyvinyl chloride (</w:t>
      </w:r>
      <w:r w:rsidRPr="00C46BF0">
        <w:t>PVC</w:t>
      </w:r>
      <w:r w:rsidR="009F4FEF" w:rsidRPr="00C46BF0">
        <w:t>)</w:t>
      </w:r>
      <w:r w:rsidRPr="00C46BF0">
        <w:t xml:space="preserve"> and </w:t>
      </w:r>
      <w:r w:rsidR="009B3E0F" w:rsidRPr="00C46BF0">
        <w:t>polyethylene (</w:t>
      </w:r>
      <w:r w:rsidRPr="00C46BF0">
        <w:t>PE</w:t>
      </w:r>
      <w:r w:rsidR="009B3E0F" w:rsidRPr="00C46BF0">
        <w:t>)</w:t>
      </w:r>
      <w:r w:rsidRPr="00C46BF0">
        <w:t xml:space="preserve"> saline bags for </w:t>
      </w:r>
      <w:r w:rsidR="00F07D58" w:rsidRPr="00C46BF0">
        <w:t>intravenous</w:t>
      </w:r>
      <w:r w:rsidRPr="00C46BF0">
        <w:t xml:space="preserve"> administration.</w:t>
      </w:r>
    </w:p>
    <w:p w14:paraId="76381F84" w14:textId="748C2D51" w:rsidR="00A73015" w:rsidRPr="00C46BF0" w:rsidRDefault="00A73015" w:rsidP="00C46BF0">
      <w:r w:rsidRPr="00C46BF0">
        <w:t xml:space="preserve">A flexible in-use storage condition, where either room temperature or refrigerated conditions can be used, is desirable in certain clinical settings in the different jurisdictions where the </w:t>
      </w:r>
      <w:proofErr w:type="spellStart"/>
      <w:r w:rsidRPr="00C46BF0">
        <w:t>Vyepti</w:t>
      </w:r>
      <w:proofErr w:type="spellEnd"/>
      <w:r w:rsidRPr="00C46BF0">
        <w:t xml:space="preserve"> </w:t>
      </w:r>
      <w:r w:rsidR="00EB2D10" w:rsidRPr="00C46BF0">
        <w:t>marketing authorisation application (</w:t>
      </w:r>
      <w:r w:rsidRPr="00C46BF0">
        <w:t>MAA</w:t>
      </w:r>
      <w:r w:rsidR="00EB2D10" w:rsidRPr="00C46BF0">
        <w:t>)</w:t>
      </w:r>
      <w:r w:rsidRPr="00C46BF0">
        <w:t xml:space="preserve"> is currently being submitted. During the </w:t>
      </w:r>
      <w:r w:rsidR="00AB766B">
        <w:t>B</w:t>
      </w:r>
      <w:r w:rsidR="009F4FEF" w:rsidRPr="00C46BF0">
        <w:t xml:space="preserve">iologics </w:t>
      </w:r>
      <w:r w:rsidR="00AB766B">
        <w:t>L</w:t>
      </w:r>
      <w:r w:rsidR="009F4FEF" w:rsidRPr="00C46BF0">
        <w:t xml:space="preserve">icense </w:t>
      </w:r>
      <w:r w:rsidR="00AB766B">
        <w:t>A</w:t>
      </w:r>
      <w:r w:rsidR="009F4FEF" w:rsidRPr="00C46BF0">
        <w:t>pplication (</w:t>
      </w:r>
      <w:r w:rsidRPr="00C46BF0">
        <w:t>BLA</w:t>
      </w:r>
      <w:r w:rsidR="009F4FEF" w:rsidRPr="00C46BF0">
        <w:t>)</w:t>
      </w:r>
      <w:r w:rsidRPr="00C46BF0">
        <w:t xml:space="preserve"> label negotiations, it was decided to include a labelling restriction, as data in all the commonly used </w:t>
      </w:r>
      <w:r w:rsidR="00F07D58" w:rsidRPr="00C46BF0">
        <w:t>intravenous</w:t>
      </w:r>
      <w:r w:rsidRPr="00C46BF0">
        <w:t xml:space="preserve"> bags were not available at that point in time. In addition, the in-use storage temperature was not considered critical as room temperature in-use storage is used in the US clinics rather than storage at 2 to 8°C.</w:t>
      </w:r>
    </w:p>
    <w:p w14:paraId="621E0AC7" w14:textId="784D045F" w:rsidR="00A73015" w:rsidRPr="00C46BF0" w:rsidRDefault="00A73015" w:rsidP="00C46BF0">
      <w:proofErr w:type="gramStart"/>
      <w:r w:rsidRPr="00C46BF0">
        <w:lastRenderedPageBreak/>
        <w:t>In order to</w:t>
      </w:r>
      <w:proofErr w:type="gramEnd"/>
      <w:r w:rsidRPr="00C46BF0">
        <w:t xml:space="preserve"> have the most flexible in-use storage conditions in Australia, </w:t>
      </w:r>
      <w:r w:rsidR="001345E0" w:rsidRPr="00C46BF0">
        <w:t>the sponsor</w:t>
      </w:r>
      <w:r w:rsidRPr="00C46BF0">
        <w:t xml:space="preserve"> consider in-use storage at both room temperature and 2 to 8°C to be appropriate.</w:t>
      </w:r>
    </w:p>
    <w:p w14:paraId="35907000" w14:textId="77777777" w:rsidR="008E7846" w:rsidRPr="00C46BF0" w:rsidRDefault="008E7846" w:rsidP="00C46BF0">
      <w:pPr>
        <w:pStyle w:val="Heading4"/>
      </w:pPr>
      <w:r w:rsidRPr="00C46BF0">
        <w:t xml:space="preserve">Advisory Committee </w:t>
      </w:r>
      <w:r w:rsidR="007D53B6" w:rsidRPr="00C46BF0">
        <w:t>c</w:t>
      </w:r>
      <w:r w:rsidRPr="00C46BF0">
        <w:t>onsiderations</w:t>
      </w:r>
      <w:r w:rsidR="00456765" w:rsidRPr="00C46BF0">
        <w:rPr>
          <w:rStyle w:val="FootnoteReference"/>
        </w:rPr>
        <w:footnoteReference w:id="28"/>
      </w:r>
    </w:p>
    <w:p w14:paraId="01258593" w14:textId="77777777" w:rsidR="00744121" w:rsidRPr="00C46BF0" w:rsidRDefault="00744121" w:rsidP="00C46BF0">
      <w:pPr>
        <w:rPr>
          <w:bCs/>
        </w:rPr>
      </w:pPr>
      <w:bookmarkStart w:id="54" w:name="_Toc247691532"/>
      <w:bookmarkStart w:id="55" w:name="_Toc314842516"/>
      <w:bookmarkEnd w:id="34"/>
      <w:bookmarkEnd w:id="50"/>
      <w:bookmarkEnd w:id="51"/>
      <w:r w:rsidRPr="00C46BF0">
        <w:rPr>
          <w:bCs/>
        </w:rPr>
        <w:t>The Advisory Committee on Medicines (ACM), having considered the evaluations and the Delegate’s overview, as well as the sponsor’s response to these documents, advised the following.</w:t>
      </w:r>
    </w:p>
    <w:p w14:paraId="1781F627" w14:textId="77777777" w:rsidR="00744121" w:rsidRPr="00C46BF0" w:rsidRDefault="00744121" w:rsidP="00C46BF0">
      <w:pPr>
        <w:pStyle w:val="Heading5"/>
      </w:pPr>
      <w:r w:rsidRPr="00C46BF0">
        <w:t>Specific advice to the Delegate</w:t>
      </w:r>
    </w:p>
    <w:p w14:paraId="6FCCEDEA" w14:textId="77777777" w:rsidR="00A73015" w:rsidRPr="00C46BF0" w:rsidRDefault="00A73015" w:rsidP="00507366">
      <w:pPr>
        <w:pStyle w:val="Numberbullet0"/>
        <w:numPr>
          <w:ilvl w:val="0"/>
          <w:numId w:val="8"/>
        </w:numPr>
        <w:rPr>
          <w:b/>
          <w:i/>
        </w:rPr>
      </w:pPr>
      <w:r w:rsidRPr="00C46BF0">
        <w:rPr>
          <w:b/>
          <w:i/>
        </w:rPr>
        <w:t>Hypersensitivity-related events were the commonest cause for treatment discontinuations in pivotal studies and severe hypersensitivity, including anaphylactic reactions are included as important identified risks in the summary of safety concerns. In view of these facts, from a safety perspective, what is the committee's opinion regarding the adequacy of the instructions for infusion in the method of administration section of the proposed PI?</w:t>
      </w:r>
    </w:p>
    <w:p w14:paraId="23D014BF" w14:textId="77777777" w:rsidR="00A73015" w:rsidRPr="00C46BF0" w:rsidRDefault="00A73015" w:rsidP="00C46BF0">
      <w:r w:rsidRPr="00C46BF0">
        <w:t>The ACM noted that hypersensitivity occurred within 1.1% of study participants and suggested that if additional terms such as urticaria, rash and pruritus were included the incidence could be greater than 2%. However, they noted that most instances of these events were not serious and resolved within a day.</w:t>
      </w:r>
    </w:p>
    <w:p w14:paraId="00B8A075" w14:textId="111CEA4B" w:rsidR="00A73015" w:rsidRPr="00C46BF0" w:rsidRDefault="00A73015" w:rsidP="00C46BF0">
      <w:r w:rsidRPr="00C46BF0">
        <w:t>ACM noted that an ‘anaphylactic’ reaction occurred in 1 of 2076 patien</w:t>
      </w:r>
      <w:r w:rsidR="002D6EE0" w:rsidRPr="00C46BF0">
        <w:t>ts within the study, on the 300 </w:t>
      </w:r>
      <w:r w:rsidRPr="00C46BF0">
        <w:t>mg dose. On further testing it was deemed to be an allergic and infusion reaction in the broader sense without respiratory or cardiovascular compromise to indicate anaphylaxis.</w:t>
      </w:r>
    </w:p>
    <w:p w14:paraId="45F05D67" w14:textId="4D855762" w:rsidR="00A73015" w:rsidRPr="00C46BF0" w:rsidRDefault="00A73015" w:rsidP="00C46BF0">
      <w:r w:rsidRPr="00C46BF0">
        <w:t>The ACM also noted that the infusion times within th</w:t>
      </w:r>
      <w:r w:rsidR="00D16211" w:rsidRPr="00C46BF0">
        <w:t>e studies; infusion was over 60 </w:t>
      </w:r>
      <w:r w:rsidRPr="00C46BF0">
        <w:t>min</w:t>
      </w:r>
      <w:r w:rsidR="00D16211" w:rsidRPr="00C46BF0">
        <w:t>ute</w:t>
      </w:r>
      <w:r w:rsidRPr="00C46BF0">
        <w:t xml:space="preserve">s and had a </w:t>
      </w:r>
      <w:proofErr w:type="gramStart"/>
      <w:r w:rsidRPr="00C46BF0">
        <w:t>4 hour</w:t>
      </w:r>
      <w:proofErr w:type="gramEnd"/>
      <w:r w:rsidRPr="00C46BF0">
        <w:t xml:space="preserve"> observation window for PROMISE-1</w:t>
      </w:r>
      <w:r w:rsidR="00EB2D10" w:rsidRPr="00C46BF0">
        <w:t>;</w:t>
      </w:r>
      <w:r w:rsidR="00EB2D10" w:rsidRPr="00C46BF0">
        <w:rPr>
          <w:rStyle w:val="FootnoteReference"/>
        </w:rPr>
        <w:footnoteReference w:id="29"/>
      </w:r>
      <w:r w:rsidRPr="00C46BF0">
        <w:t xml:space="preserve"> </w:t>
      </w:r>
      <w:r w:rsidR="002D6EE0" w:rsidRPr="00C46BF0">
        <w:t>and infusion was over 30 </w:t>
      </w:r>
      <w:r w:rsidRPr="00C46BF0">
        <w:t>min</w:t>
      </w:r>
      <w:r w:rsidR="00D16211" w:rsidRPr="00C46BF0">
        <w:t>ute</w:t>
      </w:r>
      <w:r w:rsidRPr="00C46BF0">
        <w:t>s and had a 2 hour observation window for PROMISE-2.</w:t>
      </w:r>
      <w:r w:rsidR="00EB2D10" w:rsidRPr="00C46BF0">
        <w:rPr>
          <w:rStyle w:val="FootnoteReference"/>
        </w:rPr>
        <w:footnoteReference w:id="30"/>
      </w:r>
      <w:r w:rsidRPr="00C46BF0">
        <w:t xml:space="preserve"> Even with these measures, hypersensitivity reactions were the commonest cause for withdrawals in these studies.</w:t>
      </w:r>
    </w:p>
    <w:p w14:paraId="313C1B67" w14:textId="77777777" w:rsidR="00A73015" w:rsidRPr="00C46BF0" w:rsidRDefault="00A73015" w:rsidP="00C46BF0">
      <w:r w:rsidRPr="00C46BF0">
        <w:t>Considering this information ACM was of the view that it is reasonable to have an observation period of an hour following infusion, particularly considering the longer infusion time within PROMISE-1 study and that most immediate hypersensitivity reactions occur in the first 30 to 120 minutes.</w:t>
      </w:r>
    </w:p>
    <w:p w14:paraId="69F3FB55" w14:textId="77777777" w:rsidR="00A73015" w:rsidRPr="00C46BF0" w:rsidRDefault="00A73015" w:rsidP="00C46BF0">
      <w:r w:rsidRPr="00C46BF0">
        <w:t>The ACM advised that if a patient were to develop significant/serious hypersensitivity during/after the first dose then treatment discontinuation should be considered. The rationale for this is primarily due to the significance of the reaction and potential for high rates of antibody development. The ACM suggested the PI should be updated to include a statement such as ‘consideration of discontinuation if significant hypersensitivity reaction is observed, if the reactions are minor, the continuation of treatment should be at clinician's discretion’.</w:t>
      </w:r>
    </w:p>
    <w:p w14:paraId="4FFDDF91" w14:textId="77777777" w:rsidR="00A73015" w:rsidRPr="00C46BF0" w:rsidRDefault="00A73015" w:rsidP="00C46BF0">
      <w:pPr>
        <w:pStyle w:val="Numberbullet0"/>
        <w:rPr>
          <w:b/>
          <w:i/>
        </w:rPr>
      </w:pPr>
      <w:r w:rsidRPr="00C46BF0">
        <w:rPr>
          <w:b/>
          <w:i/>
        </w:rPr>
        <w:lastRenderedPageBreak/>
        <w:t xml:space="preserve">The incidence of suicide-related SAEs and constipation were numerically greater in the </w:t>
      </w:r>
      <w:proofErr w:type="spellStart"/>
      <w:r w:rsidRPr="00C46BF0">
        <w:rPr>
          <w:b/>
          <w:i/>
        </w:rPr>
        <w:t>eptinezumab</w:t>
      </w:r>
      <w:proofErr w:type="spellEnd"/>
      <w:r w:rsidRPr="00C46BF0">
        <w:rPr>
          <w:b/>
          <w:i/>
        </w:rPr>
        <w:t xml:space="preserve"> group, compared to placebo. What are the committee's views on including these events in the RMP for enhanced pharmacovigilance?</w:t>
      </w:r>
    </w:p>
    <w:p w14:paraId="5976A8E6" w14:textId="77777777" w:rsidR="00A73015" w:rsidRPr="00C46BF0" w:rsidRDefault="00A73015" w:rsidP="00C46BF0">
      <w:r w:rsidRPr="00C46BF0">
        <w:t>The ACM identified that in the active treatment arm of the pivotal studies two suicide attempts and one instance of suicidal ideation were documented. They acknowledged that the study investigators did not consider these events to be treatment related, rather indicating that the individual patient narratives suggested other factors contributed to these events. The ACM agreed that there is a well-recognised bidirectional association between migraine and depression.</w:t>
      </w:r>
    </w:p>
    <w:p w14:paraId="383A569F" w14:textId="77777777" w:rsidR="00A73015" w:rsidRPr="00C46BF0" w:rsidRDefault="00A73015" w:rsidP="00C46BF0">
      <w:r w:rsidRPr="00C46BF0">
        <w:t>Based on this information the ACM felt it reasonable for suicide-related SAEs to be monitored via routine post-market surveillance mechanisms.</w:t>
      </w:r>
    </w:p>
    <w:p w14:paraId="3119EE26" w14:textId="77777777" w:rsidR="00A73015" w:rsidRPr="00C46BF0" w:rsidRDefault="00A73015" w:rsidP="00C46BF0">
      <w:proofErr w:type="gramStart"/>
      <w:r w:rsidRPr="00C46BF0">
        <w:t>In regards to</w:t>
      </w:r>
      <w:proofErr w:type="gramEnd"/>
      <w:r w:rsidRPr="00C46BF0">
        <w:t xml:space="preserve"> constipation, the ACM noted that within clinical practice CGRP </w:t>
      </w:r>
      <w:proofErr w:type="spellStart"/>
      <w:r w:rsidRPr="00C46BF0">
        <w:t>mAbs</w:t>
      </w:r>
      <w:proofErr w:type="spellEnd"/>
      <w:r w:rsidRPr="00C46BF0">
        <w:t xml:space="preserve"> have been associated with cases of constipation and that this occurrence can be a prohibitive factor for some patients. Taking this into consideration, the ACM </w:t>
      </w:r>
      <w:proofErr w:type="gramStart"/>
      <w:r w:rsidRPr="00C46BF0">
        <w:t>were of the opinion that</w:t>
      </w:r>
      <w:proofErr w:type="gramEnd"/>
      <w:r w:rsidRPr="00C46BF0">
        <w:t xml:space="preserve"> it would be worthwhile including a statement about constipation within the PI.</w:t>
      </w:r>
    </w:p>
    <w:p w14:paraId="4AD20038" w14:textId="350EB223" w:rsidR="00A73015" w:rsidRPr="00C46BF0" w:rsidRDefault="00A73015" w:rsidP="00C46BF0">
      <w:r w:rsidRPr="00C46BF0">
        <w:t xml:space="preserve">The ACM also acknowledged the </w:t>
      </w:r>
      <w:r w:rsidR="00A456A7" w:rsidRPr="00C46BF0">
        <w:t>Research Electronic Data Capture (</w:t>
      </w:r>
      <w:proofErr w:type="spellStart"/>
      <w:r w:rsidRPr="00C46BF0">
        <w:t>REDCap</w:t>
      </w:r>
      <w:proofErr w:type="spellEnd"/>
      <w:r w:rsidR="00A456A7" w:rsidRPr="00C46BF0">
        <w:t>)</w:t>
      </w:r>
      <w:r w:rsidRPr="00C46BF0">
        <w:t xml:space="preserve"> database, based at The Alfred Hospital, Melbourne, to independently report adverse events and pregnancies within 6 months or during CGRP </w:t>
      </w:r>
      <w:proofErr w:type="spellStart"/>
      <w:r w:rsidRPr="00C46BF0">
        <w:t>mAb</w:t>
      </w:r>
      <w:proofErr w:type="spellEnd"/>
      <w:r w:rsidRPr="00C46BF0">
        <w:t xml:space="preserve"> treatment and would encourage a more formal data registry with access and awareness to all CGRP </w:t>
      </w:r>
      <w:proofErr w:type="spellStart"/>
      <w:r w:rsidRPr="00C46BF0">
        <w:t>mAb</w:t>
      </w:r>
      <w:proofErr w:type="spellEnd"/>
      <w:r w:rsidRPr="00C46BF0">
        <w:t xml:space="preserve"> prescribers.</w:t>
      </w:r>
    </w:p>
    <w:p w14:paraId="755F4B11" w14:textId="77777777" w:rsidR="00A73015" w:rsidRPr="00C46BF0" w:rsidRDefault="00A73015" w:rsidP="00C46BF0">
      <w:pPr>
        <w:pStyle w:val="Numberbullet0"/>
        <w:rPr>
          <w:b/>
          <w:i/>
        </w:rPr>
      </w:pPr>
      <w:r w:rsidRPr="00C46BF0">
        <w:rPr>
          <w:b/>
          <w:i/>
        </w:rPr>
        <w:t xml:space="preserve">The committee is also requested to provide advice on any other issues that it thinks may be relevant to a decision on </w:t>
      </w:r>
      <w:proofErr w:type="gramStart"/>
      <w:r w:rsidRPr="00C46BF0">
        <w:rPr>
          <w:b/>
          <w:i/>
        </w:rPr>
        <w:t>whether or not</w:t>
      </w:r>
      <w:proofErr w:type="gramEnd"/>
      <w:r w:rsidRPr="00C46BF0">
        <w:rPr>
          <w:b/>
          <w:i/>
        </w:rPr>
        <w:t xml:space="preserve"> to approve this application.</w:t>
      </w:r>
    </w:p>
    <w:p w14:paraId="63CFCC80" w14:textId="3D28DD39" w:rsidR="00A73015" w:rsidRPr="00C46BF0" w:rsidRDefault="00A73015" w:rsidP="00C46BF0">
      <w:r w:rsidRPr="00C46BF0">
        <w:t xml:space="preserve">The ACM emphasised the importance of having the infusion protocol outlined extremely clearly in the PI to assist prescribers, particularly </w:t>
      </w:r>
      <w:r w:rsidR="00EE7790" w:rsidRPr="00C46BF0">
        <w:t>general practitioners (</w:t>
      </w:r>
      <w:r w:rsidRPr="00C46BF0">
        <w:t>GPs</w:t>
      </w:r>
      <w:r w:rsidR="00EE7790" w:rsidRPr="00C46BF0">
        <w:t>)</w:t>
      </w:r>
      <w:r w:rsidRPr="00C46BF0">
        <w:t xml:space="preserve"> in rural areas.</w:t>
      </w:r>
    </w:p>
    <w:p w14:paraId="35E5381F" w14:textId="313C72BB" w:rsidR="00A73015" w:rsidRPr="00C46BF0" w:rsidRDefault="00A73015" w:rsidP="00C46BF0">
      <w:r w:rsidRPr="00C46BF0">
        <w:t xml:space="preserve">The ACM noted that a dose response curve does not appear to be present for </w:t>
      </w:r>
      <w:proofErr w:type="spellStart"/>
      <w:r w:rsidRPr="00C46BF0">
        <w:t>eptinezumab</w:t>
      </w:r>
      <w:proofErr w:type="spellEnd"/>
      <w:r w:rsidRPr="00C46BF0">
        <w:t>. However, they acknowledge there is a patient subgroup that responds better to the higher dose (300</w:t>
      </w:r>
      <w:r w:rsidR="00EE7790" w:rsidRPr="00C46BF0">
        <w:t> </w:t>
      </w:r>
      <w:r w:rsidRPr="00C46BF0">
        <w:t>mg).</w:t>
      </w:r>
    </w:p>
    <w:p w14:paraId="35A6CD23" w14:textId="41F06C5E" w:rsidR="00A73015" w:rsidRPr="00C46BF0" w:rsidRDefault="00A73015" w:rsidP="00C46BF0">
      <w:r w:rsidRPr="00C46BF0">
        <w:t>While ACM are of the view that clinical practice would benefit from</w:t>
      </w:r>
      <w:r w:rsidR="00EE7790" w:rsidRPr="00C46BF0">
        <w:t xml:space="preserve"> having both the 100 mg and 300 </w:t>
      </w:r>
      <w:r w:rsidRPr="00C46BF0">
        <w:t>mg doses available, they advised that treatment should begin at the lower dos</w:t>
      </w:r>
      <w:r w:rsidR="00EE7790" w:rsidRPr="00C46BF0">
        <w:t>e (100 </w:t>
      </w:r>
      <w:r w:rsidRPr="00C46BF0">
        <w:t>mg), and this should be specified in the PI.</w:t>
      </w:r>
    </w:p>
    <w:p w14:paraId="5B188351" w14:textId="77777777" w:rsidR="00A73015" w:rsidRPr="00C46BF0" w:rsidRDefault="00A73015" w:rsidP="00C46BF0">
      <w:r w:rsidRPr="00C46BF0">
        <w:t xml:space="preserve">The ACM discussed that there is a potential place in therapy for </w:t>
      </w:r>
      <w:proofErr w:type="spellStart"/>
      <w:r w:rsidRPr="00C46BF0">
        <w:t>eptinezumab</w:t>
      </w:r>
      <w:proofErr w:type="spellEnd"/>
      <w:r w:rsidRPr="00C46BF0">
        <w:t xml:space="preserve"> as rescue for patients hospitalised with status </w:t>
      </w:r>
      <w:proofErr w:type="spellStart"/>
      <w:r w:rsidRPr="00C46BF0">
        <w:t>migrainosus</w:t>
      </w:r>
      <w:proofErr w:type="spellEnd"/>
      <w:r w:rsidRPr="00C46BF0">
        <w:t xml:space="preserve">, due to the more rapid onset of action in responders. The ACM were also of the view that </w:t>
      </w:r>
      <w:proofErr w:type="spellStart"/>
      <w:r w:rsidRPr="00C46BF0">
        <w:t>eptinezumab</w:t>
      </w:r>
      <w:proofErr w:type="spellEnd"/>
      <w:r w:rsidRPr="00C46BF0">
        <w:t xml:space="preserve"> could potentially be a useful option in the medication overuse headache (MOH) subgroup, who are generally very refractory to all other migraine therapies.</w:t>
      </w:r>
    </w:p>
    <w:p w14:paraId="56729ED4" w14:textId="77777777" w:rsidR="00744121" w:rsidRPr="00C46BF0" w:rsidRDefault="00744121" w:rsidP="00C46BF0">
      <w:pPr>
        <w:pStyle w:val="Heading5"/>
      </w:pPr>
      <w:r w:rsidRPr="00C46BF0">
        <w:t>Conclusion</w:t>
      </w:r>
    </w:p>
    <w:p w14:paraId="06441425" w14:textId="77777777" w:rsidR="00071C9B" w:rsidRPr="00C46BF0" w:rsidRDefault="00071C9B" w:rsidP="00C46BF0">
      <w:r w:rsidRPr="00C46BF0">
        <w:t>The ACM considered this product to have an overall positive benefit-risk profile for the indication:</w:t>
      </w:r>
    </w:p>
    <w:p w14:paraId="7CC57CD8" w14:textId="77777777" w:rsidR="00071C9B" w:rsidRPr="00C46BF0" w:rsidRDefault="00071C9B" w:rsidP="00C46BF0">
      <w:pPr>
        <w:ind w:left="720"/>
        <w:rPr>
          <w:i/>
        </w:rPr>
      </w:pPr>
      <w:proofErr w:type="spellStart"/>
      <w:r w:rsidRPr="00C46BF0">
        <w:rPr>
          <w:i/>
        </w:rPr>
        <w:t>Vyepti</w:t>
      </w:r>
      <w:proofErr w:type="spellEnd"/>
      <w:r w:rsidRPr="00C46BF0">
        <w:rPr>
          <w:i/>
        </w:rPr>
        <w:t xml:space="preserve"> is indicated for the preventive treatment of migraine in adults.</w:t>
      </w:r>
    </w:p>
    <w:p w14:paraId="3F536D85" w14:textId="7AA95933" w:rsidR="008E7846" w:rsidRPr="00C46BF0" w:rsidRDefault="008E7846" w:rsidP="00C46BF0">
      <w:pPr>
        <w:pStyle w:val="Heading3"/>
      </w:pPr>
      <w:bookmarkStart w:id="56" w:name="_Toc96700854"/>
      <w:r w:rsidRPr="00C46BF0">
        <w:t>Outcome</w:t>
      </w:r>
      <w:bookmarkEnd w:id="54"/>
      <w:bookmarkEnd w:id="55"/>
      <w:bookmarkEnd w:id="56"/>
    </w:p>
    <w:p w14:paraId="7E9D5550" w14:textId="355AD6FF" w:rsidR="00744121" w:rsidRPr="00C46BF0" w:rsidRDefault="00744121" w:rsidP="00C46BF0">
      <w:bookmarkStart w:id="57" w:name="_Toc247691533"/>
      <w:bookmarkStart w:id="58" w:name="_Toc314842517"/>
      <w:r w:rsidRPr="00C46BF0">
        <w:t xml:space="preserve">Based on a review of quality, </w:t>
      </w:r>
      <w:proofErr w:type="gramStart"/>
      <w:r w:rsidRPr="00C46BF0">
        <w:t>safety</w:t>
      </w:r>
      <w:proofErr w:type="gramEnd"/>
      <w:r w:rsidRPr="00C46BF0">
        <w:t xml:space="preserve"> and efficacy, the TGA approved the registration of </w:t>
      </w:r>
      <w:proofErr w:type="spellStart"/>
      <w:r w:rsidR="00721C10" w:rsidRPr="00C46BF0">
        <w:t>Vyepti</w:t>
      </w:r>
      <w:proofErr w:type="spellEnd"/>
      <w:r w:rsidR="00721C10" w:rsidRPr="00C46BF0">
        <w:t xml:space="preserve"> </w:t>
      </w:r>
      <w:r w:rsidRPr="00C46BF0">
        <w:t>(</w:t>
      </w:r>
      <w:proofErr w:type="spellStart"/>
      <w:r w:rsidR="00721C10" w:rsidRPr="00C46BF0">
        <w:t>eptinezumab</w:t>
      </w:r>
      <w:proofErr w:type="spellEnd"/>
      <w:r w:rsidRPr="00C46BF0">
        <w:t xml:space="preserve">) </w:t>
      </w:r>
      <w:r w:rsidR="00EE7790" w:rsidRPr="00C46BF0">
        <w:t>100 </w:t>
      </w:r>
      <w:r w:rsidR="0001468F" w:rsidRPr="00C46BF0">
        <w:t>mg/mL</w:t>
      </w:r>
      <w:r w:rsidRPr="00C46BF0">
        <w:t xml:space="preserve">, </w:t>
      </w:r>
      <w:r w:rsidR="00371DD4" w:rsidRPr="00C46BF0">
        <w:t>concentrated injection</w:t>
      </w:r>
      <w:r w:rsidRPr="00C46BF0">
        <w:t xml:space="preserve">, </w:t>
      </w:r>
      <w:r w:rsidR="0001468F" w:rsidRPr="00C46BF0">
        <w:t>vial</w:t>
      </w:r>
      <w:r w:rsidRPr="00C46BF0">
        <w:t>, indicated:</w:t>
      </w:r>
    </w:p>
    <w:p w14:paraId="74DEE1A2" w14:textId="77777777" w:rsidR="00CF10EB" w:rsidRPr="00C46BF0" w:rsidRDefault="00CF10EB" w:rsidP="00C46BF0">
      <w:pPr>
        <w:ind w:left="720"/>
        <w:rPr>
          <w:i/>
        </w:rPr>
      </w:pPr>
      <w:proofErr w:type="spellStart"/>
      <w:r w:rsidRPr="00C46BF0">
        <w:rPr>
          <w:i/>
        </w:rPr>
        <w:t>Vyepti</w:t>
      </w:r>
      <w:proofErr w:type="spellEnd"/>
      <w:r w:rsidRPr="00C46BF0">
        <w:rPr>
          <w:i/>
        </w:rPr>
        <w:t xml:space="preserve"> is indicated for the preventive treatment of migraine in adults.</w:t>
      </w:r>
    </w:p>
    <w:p w14:paraId="2583028F" w14:textId="77777777" w:rsidR="00D23139" w:rsidRPr="00C46BF0" w:rsidRDefault="00D23139" w:rsidP="00C46BF0">
      <w:pPr>
        <w:pStyle w:val="Heading4"/>
      </w:pPr>
      <w:r w:rsidRPr="00C46BF0">
        <w:lastRenderedPageBreak/>
        <w:t>Specific conditions of registration applying to these goods</w:t>
      </w:r>
    </w:p>
    <w:p w14:paraId="2E05E16C" w14:textId="6DFC5706" w:rsidR="00B4706B" w:rsidRPr="00C46BF0" w:rsidRDefault="00371DD4" w:rsidP="00C46BF0">
      <w:pPr>
        <w:pStyle w:val="ListBullet"/>
      </w:pPr>
      <w:proofErr w:type="spellStart"/>
      <w:r w:rsidRPr="00C46BF0">
        <w:t>Vyepti</w:t>
      </w:r>
      <w:proofErr w:type="spellEnd"/>
      <w:r w:rsidRPr="00C46BF0">
        <w:t xml:space="preserve"> </w:t>
      </w:r>
      <w:r w:rsidR="00B4706B" w:rsidRPr="00C46BF0">
        <w:t>(</w:t>
      </w:r>
      <w:proofErr w:type="spellStart"/>
      <w:r w:rsidR="00B4706B" w:rsidRPr="00C46BF0">
        <w:t>eptinezumab</w:t>
      </w:r>
      <w:proofErr w:type="spellEnd"/>
      <w:r w:rsidR="00B4706B" w:rsidRPr="00C46BF0">
        <w:t xml:space="preserve">) is to be included in the Black Triangle Scheme. The PI and </w:t>
      </w:r>
      <w:r w:rsidR="00EE7790" w:rsidRPr="00C46BF0">
        <w:t>Consumer Medical Information (</w:t>
      </w:r>
      <w:r w:rsidR="00B4706B" w:rsidRPr="00C46BF0">
        <w:t>CMI</w:t>
      </w:r>
      <w:r w:rsidR="00EE7790" w:rsidRPr="00C46BF0">
        <w:t>)</w:t>
      </w:r>
      <w:r w:rsidR="00B4706B" w:rsidRPr="00C46BF0">
        <w:t xml:space="preserve"> for </w:t>
      </w:r>
      <w:proofErr w:type="spellStart"/>
      <w:r w:rsidRPr="00C46BF0">
        <w:t>Vyepti</w:t>
      </w:r>
      <w:proofErr w:type="spellEnd"/>
      <w:r w:rsidRPr="00C46BF0">
        <w:t xml:space="preserve"> </w:t>
      </w:r>
      <w:r w:rsidR="00B4706B" w:rsidRPr="00C46BF0">
        <w:t xml:space="preserve">must include the </w:t>
      </w:r>
      <w:r w:rsidR="00EE7790" w:rsidRPr="00C46BF0">
        <w:t xml:space="preserve">Black Triangle </w:t>
      </w:r>
      <w:r w:rsidR="00B4706B" w:rsidRPr="00C46BF0">
        <w:t>symbol and mandatory accompanying text for five years, which starts from the date that the sponsor notifies the TGA of supply of the product.</w:t>
      </w:r>
    </w:p>
    <w:p w14:paraId="32A5ABED" w14:textId="1DD289BE" w:rsidR="00B4706B" w:rsidRPr="00C46BF0" w:rsidRDefault="00B4706B" w:rsidP="00C46BF0">
      <w:pPr>
        <w:pStyle w:val="ListBullet"/>
      </w:pPr>
      <w:r w:rsidRPr="00C46BF0">
        <w:t xml:space="preserve">The </w:t>
      </w:r>
      <w:proofErr w:type="spellStart"/>
      <w:r w:rsidR="00371DD4" w:rsidRPr="00C46BF0">
        <w:t>Vyepti</w:t>
      </w:r>
      <w:proofErr w:type="spellEnd"/>
      <w:r w:rsidR="00371DD4" w:rsidRPr="00C46BF0">
        <w:t xml:space="preserve"> </w:t>
      </w:r>
      <w:r w:rsidRPr="00C46BF0">
        <w:t>EU-RMP (version 1.1, date</w:t>
      </w:r>
      <w:r w:rsidR="00EE7790" w:rsidRPr="00C46BF0">
        <w:t>d</w:t>
      </w:r>
      <w:r w:rsidRPr="00C46BF0">
        <w:t xml:space="preserve"> 9 February 2021; </w:t>
      </w:r>
      <w:r w:rsidR="00EE7790" w:rsidRPr="00C46BF0">
        <w:t>DLP</w:t>
      </w:r>
      <w:r w:rsidRPr="00C46BF0">
        <w:t xml:space="preserve"> 30 November 2020), with </w:t>
      </w:r>
      <w:r w:rsidR="00EE7790" w:rsidRPr="00C46BF0">
        <w:t>ASA</w:t>
      </w:r>
      <w:r w:rsidRPr="00C46BF0">
        <w:t xml:space="preserve"> (version 3.0, dated 12 February 2021), i</w:t>
      </w:r>
      <w:r w:rsidR="00EE7790" w:rsidRPr="00C46BF0">
        <w:t>ncluded with submission PM</w:t>
      </w:r>
      <w:r w:rsidR="00EE7790" w:rsidRPr="00C46BF0">
        <w:noBreakHyphen/>
        <w:t>2020</w:t>
      </w:r>
      <w:r w:rsidR="00EE7790" w:rsidRPr="00C46BF0">
        <w:noBreakHyphen/>
        <w:t>01823</w:t>
      </w:r>
      <w:r w:rsidR="00EE7790" w:rsidRPr="00C46BF0">
        <w:noBreakHyphen/>
        <w:t>1</w:t>
      </w:r>
      <w:r w:rsidR="00EE7790" w:rsidRPr="00C46BF0">
        <w:noBreakHyphen/>
      </w:r>
      <w:r w:rsidRPr="00C46BF0">
        <w:t>1, and any subsequent revisions, as agreed with the TGA will be implemented in Australia.</w:t>
      </w:r>
    </w:p>
    <w:p w14:paraId="18C165B6" w14:textId="7DC931C4" w:rsidR="00B4706B" w:rsidRPr="00C46BF0" w:rsidRDefault="00B4706B" w:rsidP="00C46BF0">
      <w:pPr>
        <w:pStyle w:val="ListBullet"/>
        <w:numPr>
          <w:ilvl w:val="0"/>
          <w:numId w:val="0"/>
        </w:numPr>
        <w:ind w:left="360"/>
      </w:pPr>
      <w:r w:rsidRPr="00C46BF0">
        <w:t xml:space="preserve">An obligatory component of </w:t>
      </w:r>
      <w:r w:rsidR="00EE7790" w:rsidRPr="00C46BF0">
        <w:t>RMP</w:t>
      </w:r>
      <w:r w:rsidRPr="00C46BF0">
        <w:t xml:space="preserve"> is routine pharmacovigilance. Routine pharmacovigilance includes the submission of periodic safety update reports (PSURs).</w:t>
      </w:r>
    </w:p>
    <w:p w14:paraId="4E67BCF3" w14:textId="77777777" w:rsidR="00B4706B" w:rsidRPr="00C46BF0" w:rsidRDefault="00B4706B" w:rsidP="00C46BF0">
      <w:pPr>
        <w:pStyle w:val="ListBullet"/>
        <w:numPr>
          <w:ilvl w:val="0"/>
          <w:numId w:val="0"/>
        </w:numPr>
        <w:ind w:left="360"/>
      </w:pPr>
      <w:r w:rsidRPr="00C46BF0">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w:t>
      </w:r>
      <w:proofErr w:type="gramStart"/>
      <w:r w:rsidRPr="00C46BF0">
        <w:t>six monthly</w:t>
      </w:r>
      <w:proofErr w:type="gramEnd"/>
      <w:r w:rsidRPr="00C46BF0">
        <w:t xml:space="preserve"> reports may be submitted separately as they become available.</w:t>
      </w:r>
    </w:p>
    <w:p w14:paraId="7CC89B34" w14:textId="29E7B3E9" w:rsidR="00B4706B" w:rsidRPr="00C46BF0" w:rsidRDefault="00B4706B" w:rsidP="00C46BF0">
      <w:pPr>
        <w:pStyle w:val="ListBullet"/>
        <w:numPr>
          <w:ilvl w:val="0"/>
          <w:numId w:val="0"/>
        </w:numPr>
        <w:ind w:left="360"/>
      </w:pPr>
      <w:r w:rsidRPr="00C46BF0">
        <w:t xml:space="preserve">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w:t>
      </w:r>
      <w:r w:rsidR="00EE7790" w:rsidRPr="00C46BF0">
        <w:t>the</w:t>
      </w:r>
      <w:r w:rsidRPr="00C46BF0">
        <w:t xml:space="preserve"> approval letter.</w:t>
      </w:r>
    </w:p>
    <w:p w14:paraId="36F70D6E" w14:textId="7E7971F5" w:rsidR="00B4706B" w:rsidRPr="00C46BF0" w:rsidRDefault="00B4706B" w:rsidP="00C46BF0">
      <w:pPr>
        <w:pStyle w:val="ListBullet"/>
        <w:numPr>
          <w:ilvl w:val="0"/>
          <w:numId w:val="0"/>
        </w:numPr>
        <w:ind w:left="360"/>
      </w:pPr>
      <w:r w:rsidRPr="00C46BF0">
        <w:t xml:space="preserve">The reports are to at least meet the requirements for PSURs as described in the European Medicines Agency’s Guideline on </w:t>
      </w:r>
      <w:r w:rsidR="00EE7790" w:rsidRPr="00C46BF0">
        <w:t xml:space="preserve">Good Pharmacovigilance Practices </w:t>
      </w:r>
      <w:r w:rsidRPr="00C46BF0">
        <w:t>(GVP) Module VII-periodic safety update report (Rev 1), Part VII.B Structures and processes.</w:t>
      </w:r>
    </w:p>
    <w:p w14:paraId="3ECB1266" w14:textId="77777777" w:rsidR="00B4706B" w:rsidRPr="00C46BF0" w:rsidRDefault="00B4706B" w:rsidP="00C46BF0">
      <w:pPr>
        <w:pStyle w:val="ListBullet"/>
        <w:numPr>
          <w:ilvl w:val="0"/>
          <w:numId w:val="0"/>
        </w:numPr>
        <w:ind w:left="360"/>
      </w:pPr>
      <w:r w:rsidRPr="00C46BF0">
        <w:t>Note that submission of a PSUR does not constitute an application to vary the registration. Each report must have been prepared within ninety calendar days of the data lock point for that report.</w:t>
      </w:r>
    </w:p>
    <w:p w14:paraId="0F8D99F1" w14:textId="66E6F8AA" w:rsidR="00B4706B" w:rsidRPr="00C46BF0" w:rsidRDefault="00B4706B" w:rsidP="00C46BF0">
      <w:pPr>
        <w:pStyle w:val="ListBullet"/>
        <w:rPr>
          <w:b/>
        </w:rPr>
      </w:pPr>
      <w:r w:rsidRPr="00C46BF0">
        <w:rPr>
          <w:b/>
        </w:rPr>
        <w:t xml:space="preserve">Laboratory testing </w:t>
      </w:r>
      <w:r w:rsidR="00EA5547" w:rsidRPr="00C46BF0">
        <w:rPr>
          <w:b/>
        </w:rPr>
        <w:t>and</w:t>
      </w:r>
      <w:r w:rsidRPr="00C46BF0">
        <w:rPr>
          <w:b/>
        </w:rPr>
        <w:t xml:space="preserve"> compliance </w:t>
      </w:r>
      <w:r w:rsidR="00EE7790" w:rsidRPr="00C46BF0">
        <w:rPr>
          <w:b/>
        </w:rPr>
        <w:t>with Certified Product Details</w:t>
      </w:r>
    </w:p>
    <w:p w14:paraId="46575F95" w14:textId="77777777" w:rsidR="00B4706B" w:rsidRPr="00C46BF0" w:rsidRDefault="00B4706B" w:rsidP="00C46BF0">
      <w:pPr>
        <w:pStyle w:val="ListBullet2"/>
      </w:pPr>
      <w:r w:rsidRPr="00C46BF0">
        <w:t xml:space="preserve">All batches of </w:t>
      </w:r>
      <w:proofErr w:type="spellStart"/>
      <w:r w:rsidR="00371DD4" w:rsidRPr="00C46BF0">
        <w:t>Vyepti</w:t>
      </w:r>
      <w:proofErr w:type="spellEnd"/>
      <w:r w:rsidR="00371DD4" w:rsidRPr="00C46BF0">
        <w:t xml:space="preserve"> </w:t>
      </w:r>
      <w:r w:rsidRPr="00C46BF0">
        <w:t>supplied in Australia must comply with the product details and</w:t>
      </w:r>
      <w:r w:rsidR="00111EBC" w:rsidRPr="00C46BF0">
        <w:t xml:space="preserve"> </w:t>
      </w:r>
      <w:r w:rsidRPr="00C46BF0">
        <w:t>specifications approved during evaluation and detailed in the Certified Product Details</w:t>
      </w:r>
      <w:r w:rsidR="00111EBC" w:rsidRPr="00C46BF0">
        <w:t xml:space="preserve"> </w:t>
      </w:r>
      <w:r w:rsidRPr="00C46BF0">
        <w:t>(CPD).</w:t>
      </w:r>
    </w:p>
    <w:p w14:paraId="20FAB757" w14:textId="3C0BA956" w:rsidR="00B4706B" w:rsidRPr="00C46BF0" w:rsidRDefault="00B4706B" w:rsidP="00C46BF0">
      <w:pPr>
        <w:pStyle w:val="ListBullet2"/>
      </w:pPr>
      <w:r w:rsidRPr="00C46BF0">
        <w:t xml:space="preserve">When </w:t>
      </w:r>
      <w:r w:rsidR="00270863" w:rsidRPr="00C46BF0">
        <w:t>requested by the TGA, the s</w:t>
      </w:r>
      <w:r w:rsidRPr="00C46BF0">
        <w:t>ponsor should be prepared to provide product</w:t>
      </w:r>
      <w:r w:rsidR="00111EBC" w:rsidRPr="00C46BF0">
        <w:t xml:space="preserve"> </w:t>
      </w:r>
      <w:r w:rsidRPr="00C46BF0">
        <w:t>samples, specified reference materials and documentary evidence to enable the TGA to</w:t>
      </w:r>
      <w:r w:rsidR="00111EBC" w:rsidRPr="00C46BF0">
        <w:t xml:space="preserve"> </w:t>
      </w:r>
      <w:r w:rsidRPr="00C46BF0">
        <w:t xml:space="preserve">conduct laboratory testing on the </w:t>
      </w:r>
      <w:r w:rsidR="00270863" w:rsidRPr="00C46BF0">
        <w:t>p</w:t>
      </w:r>
      <w:r w:rsidRPr="00C46BF0">
        <w:t>roduct. Outcomes of laboratory testing are published</w:t>
      </w:r>
      <w:r w:rsidR="00111EBC" w:rsidRPr="00C46BF0">
        <w:t xml:space="preserve"> </w:t>
      </w:r>
      <w:r w:rsidRPr="00C46BF0">
        <w:t>biannually in the TGA Database of Laboratory Testing Results</w:t>
      </w:r>
      <w:r w:rsidR="00111EBC" w:rsidRPr="00C46BF0">
        <w:t xml:space="preserve"> </w:t>
      </w:r>
      <w:r w:rsidRPr="00C46BF0">
        <w:t>http://www.tga.gov.au/ws-labs-index and periodically in testing reports on the TGA</w:t>
      </w:r>
      <w:r w:rsidR="00111EBC" w:rsidRPr="00C46BF0">
        <w:t xml:space="preserve"> </w:t>
      </w:r>
      <w:r w:rsidRPr="00C46BF0">
        <w:t>website.</w:t>
      </w:r>
    </w:p>
    <w:p w14:paraId="4D5840C6" w14:textId="110EE491" w:rsidR="00B4706B" w:rsidRPr="00C46BF0" w:rsidRDefault="00B4706B" w:rsidP="00C46BF0">
      <w:pPr>
        <w:pStyle w:val="ListBullet"/>
      </w:pPr>
      <w:r w:rsidRPr="00C46BF0">
        <w:t>For all injectable products the PI must be included with the product as a package insert.</w:t>
      </w:r>
    </w:p>
    <w:p w14:paraId="4DB9C04C" w14:textId="07A8F618" w:rsidR="008E7846" w:rsidRPr="00C46BF0" w:rsidRDefault="00A80B5B" w:rsidP="00C46BF0">
      <w:pPr>
        <w:pStyle w:val="Heading2"/>
      </w:pPr>
      <w:bookmarkStart w:id="59" w:name="_Toc96700855"/>
      <w:r w:rsidRPr="00C46BF0">
        <w:t xml:space="preserve">Attachment 1. </w:t>
      </w:r>
      <w:r w:rsidR="008E7846" w:rsidRPr="00C46BF0">
        <w:t xml:space="preserve">Product </w:t>
      </w:r>
      <w:r w:rsidR="00AA0ED0" w:rsidRPr="00C46BF0">
        <w:t>I</w:t>
      </w:r>
      <w:r w:rsidR="008E7846" w:rsidRPr="00C46BF0">
        <w:t>nformation</w:t>
      </w:r>
      <w:bookmarkEnd w:id="57"/>
      <w:bookmarkEnd w:id="58"/>
      <w:bookmarkEnd w:id="59"/>
    </w:p>
    <w:p w14:paraId="6A1311AD" w14:textId="461117A3" w:rsidR="00291957" w:rsidRPr="00C46BF0" w:rsidRDefault="006136D7" w:rsidP="00C46BF0">
      <w:pPr>
        <w:rPr>
          <w:color w:val="000000"/>
          <w:lang w:eastAsia="en-AU"/>
        </w:rPr>
      </w:pPr>
      <w:r w:rsidRPr="00C46BF0">
        <w:t xml:space="preserve">The PI for </w:t>
      </w:r>
      <w:proofErr w:type="spellStart"/>
      <w:r w:rsidR="00721C10" w:rsidRPr="00C46BF0">
        <w:t>Vyepti</w:t>
      </w:r>
      <w:proofErr w:type="spellEnd"/>
      <w:r w:rsidRPr="00C46BF0">
        <w:t xml:space="preserve"> approved with the submission which is described in this AusPAR is at Attachment 1. For the most recent PI, please refer to the TGA website at </w:t>
      </w:r>
      <w:r w:rsidR="007C6B9B" w:rsidRPr="00C46BF0">
        <w:t>&lt;</w:t>
      </w:r>
      <w:hyperlink r:id="rId29" w:history="1">
        <w:r w:rsidR="007C6B9B" w:rsidRPr="00C46BF0">
          <w:rPr>
            <w:rStyle w:val="Hyperlink"/>
          </w:rPr>
          <w:t>https://www.tga.gov.au/product-information-pi</w:t>
        </w:r>
      </w:hyperlink>
      <w:r w:rsidR="00721C10" w:rsidRPr="00C46BF0">
        <w:t>&gt;.</w:t>
      </w:r>
    </w:p>
    <w:p w14:paraId="789A1387" w14:textId="77777777" w:rsidR="00744121" w:rsidRPr="00C46BF0" w:rsidRDefault="00744121" w:rsidP="00C46BF0">
      <w:pPr>
        <w:rPr>
          <w:lang w:eastAsia="ja-JP"/>
        </w:rPr>
      </w:pPr>
    </w:p>
    <w:p w14:paraId="49EC21A5" w14:textId="77777777" w:rsidR="00C80137" w:rsidRPr="00C46BF0" w:rsidRDefault="00C80137" w:rsidP="00C46BF0">
      <w:pPr>
        <w:pStyle w:val="TableTitle"/>
        <w:sectPr w:rsidR="00C80137" w:rsidRPr="00C46BF0" w:rsidSect="00B452CE">
          <w:headerReference w:type="even" r:id="rId30"/>
          <w:headerReference w:type="default" r:id="rId31"/>
          <w:headerReference w:type="first" r:id="rId32"/>
          <w:footerReference w:type="first" r:id="rId3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C46BF0" w14:paraId="0B548416" w14:textId="77777777" w:rsidTr="00A05FA4">
        <w:trPr>
          <w:trHeight w:hRule="exact" w:val="704"/>
        </w:trPr>
        <w:tc>
          <w:tcPr>
            <w:tcW w:w="9175" w:type="dxa"/>
          </w:tcPr>
          <w:p w14:paraId="02D39DAC" w14:textId="77777777" w:rsidR="001C32CD" w:rsidRPr="00C46BF0" w:rsidRDefault="001C32CD" w:rsidP="00C46BF0">
            <w:pPr>
              <w:pStyle w:val="TGASignoff"/>
            </w:pPr>
            <w:r w:rsidRPr="00C46BF0">
              <w:lastRenderedPageBreak/>
              <w:t>Therapeutic Goods Administration</w:t>
            </w:r>
          </w:p>
        </w:tc>
      </w:tr>
      <w:tr w:rsidR="001C32CD" w:rsidRPr="004C239D" w14:paraId="5ED7ED50" w14:textId="77777777" w:rsidTr="00A05FA4">
        <w:trPr>
          <w:trHeight w:val="1221"/>
        </w:trPr>
        <w:tc>
          <w:tcPr>
            <w:tcW w:w="9175" w:type="dxa"/>
            <w:tcMar>
              <w:top w:w="28" w:type="dxa"/>
            </w:tcMar>
          </w:tcPr>
          <w:p w14:paraId="445C071A" w14:textId="77777777" w:rsidR="001C32CD" w:rsidRPr="00C46BF0" w:rsidRDefault="001C32CD" w:rsidP="00C46BF0">
            <w:pPr>
              <w:pStyle w:val="Address"/>
            </w:pPr>
            <w:r w:rsidRPr="00C46BF0">
              <w:t>PO Box 100 Woden ACT 2606 Australia</w:t>
            </w:r>
          </w:p>
          <w:p w14:paraId="19894961" w14:textId="18C4A009" w:rsidR="001C32CD" w:rsidRPr="00C46BF0" w:rsidRDefault="001C32CD" w:rsidP="00C46BF0">
            <w:pPr>
              <w:pStyle w:val="Address"/>
            </w:pPr>
            <w:r w:rsidRPr="00C46BF0">
              <w:t xml:space="preserve">Email: </w:t>
            </w:r>
            <w:hyperlink r:id="rId34" w:history="1">
              <w:r w:rsidRPr="00C46BF0">
                <w:rPr>
                  <w:rStyle w:val="Hyperlink"/>
                </w:rPr>
                <w:t>info@tga.gov.au</w:t>
              </w:r>
            </w:hyperlink>
            <w:r w:rsidRPr="00C46BF0">
              <w:t xml:space="preserve">  Phone: 1800 020 </w:t>
            </w:r>
            <w:proofErr w:type="gramStart"/>
            <w:r w:rsidRPr="00C46BF0">
              <w:t>653  Fax</w:t>
            </w:r>
            <w:proofErr w:type="gramEnd"/>
            <w:r w:rsidRPr="00C46BF0">
              <w:t>: 02 6232 8605</w:t>
            </w:r>
          </w:p>
          <w:p w14:paraId="42D0C9BB" w14:textId="4A3C2840" w:rsidR="001C32CD" w:rsidRPr="004C239D" w:rsidRDefault="00FC4706" w:rsidP="00C46BF0">
            <w:pPr>
              <w:pStyle w:val="Address"/>
              <w:spacing w:line="260" w:lineRule="atLeast"/>
              <w:rPr>
                <w:b/>
                <w:color w:val="0000FF"/>
                <w:u w:val="single"/>
              </w:rPr>
            </w:pPr>
            <w:hyperlink r:id="rId35" w:history="1">
              <w:r w:rsidR="007C6B9B" w:rsidRPr="00C46BF0">
                <w:rPr>
                  <w:rStyle w:val="Hyperlink"/>
                  <w:b/>
                </w:rPr>
                <w:t>https://www.tga.gov.au</w:t>
              </w:r>
            </w:hyperlink>
          </w:p>
        </w:tc>
      </w:tr>
    </w:tbl>
    <w:p w14:paraId="1CB802DC" w14:textId="77777777" w:rsidR="00774E1D" w:rsidRPr="008A5E0B" w:rsidRDefault="00774E1D" w:rsidP="00C46BF0"/>
    <w:sectPr w:rsidR="00774E1D" w:rsidRPr="008A5E0B" w:rsidSect="001C32CD">
      <w:headerReference w:type="even" r:id="rId36"/>
      <w:headerReference w:type="default" r:id="rId37"/>
      <w:footerReference w:type="default" r:id="rId38"/>
      <w:headerReference w:type="first" r:id="rId39"/>
      <w:footerReference w:type="first" r:id="rId4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B32B6" w14:textId="77777777" w:rsidR="00DA7FE9" w:rsidRDefault="00DA7FE9" w:rsidP="00C40A36">
      <w:pPr>
        <w:spacing w:after="0"/>
      </w:pPr>
      <w:r>
        <w:separator/>
      </w:r>
    </w:p>
  </w:endnote>
  <w:endnote w:type="continuationSeparator" w:id="0">
    <w:p w14:paraId="3D735A4B" w14:textId="77777777" w:rsidR="00DA7FE9" w:rsidRDefault="00DA7FE9" w:rsidP="00C40A36">
      <w:pPr>
        <w:spacing w:after="0"/>
      </w:pPr>
      <w:r>
        <w:continuationSeparator/>
      </w:r>
    </w:p>
  </w:endnote>
  <w:endnote w:type="continuationNotice" w:id="1">
    <w:p w14:paraId="1585FF6F" w14:textId="77777777" w:rsidR="00DA7FE9" w:rsidRDefault="00DA7F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A7FE9" w:rsidRPr="00487162" w14:paraId="1A405D62" w14:textId="77777777" w:rsidTr="00DB750B">
      <w:trPr>
        <w:trHeight w:val="269"/>
      </w:trPr>
      <w:tc>
        <w:tcPr>
          <w:tcW w:w="7371" w:type="dxa"/>
          <w:tcMar>
            <w:top w:w="142" w:type="dxa"/>
            <w:bottom w:w="0" w:type="dxa"/>
          </w:tcMar>
        </w:tcPr>
        <w:p w14:paraId="648BE4C5" w14:textId="0A28A08C" w:rsidR="00DA7FE9" w:rsidRPr="00487162" w:rsidRDefault="00DA7FE9" w:rsidP="00D16211">
          <w:pPr>
            <w:pStyle w:val="Footer"/>
          </w:pPr>
          <w:proofErr w:type="spellStart"/>
          <w:r w:rsidRPr="00487162">
            <w:t>AusPA</w:t>
          </w:r>
          <w:r>
            <w:t>R</w:t>
          </w:r>
          <w:proofErr w:type="spellEnd"/>
          <w:r>
            <w:t xml:space="preserve"> - </w:t>
          </w:r>
          <w:proofErr w:type="spellStart"/>
          <w:r w:rsidRPr="00721C10">
            <w:t>Vyepti</w:t>
          </w:r>
          <w:proofErr w:type="spellEnd"/>
          <w:r w:rsidRPr="00721C10">
            <w:t xml:space="preserve"> </w:t>
          </w:r>
          <w:r>
            <w:t>-</w:t>
          </w:r>
          <w:r w:rsidRPr="00460036">
            <w:t xml:space="preserve"> </w:t>
          </w:r>
          <w:proofErr w:type="spellStart"/>
          <w:r>
            <w:t>eptinezumab</w:t>
          </w:r>
          <w:proofErr w:type="spellEnd"/>
          <w:r>
            <w:t xml:space="preserve"> - </w:t>
          </w:r>
          <w:r w:rsidRPr="00721C10">
            <w:t>Lundbeck Australia Pty Ltd</w:t>
          </w:r>
          <w:r>
            <w:t xml:space="preserve"> - </w:t>
          </w:r>
          <w:r w:rsidRPr="00721C10">
            <w:t>PM-2020-01823-1-1</w:t>
          </w:r>
          <w:r>
            <w:br/>
            <w:t>Final 25 February 2022</w:t>
          </w:r>
        </w:p>
      </w:tc>
      <w:tc>
        <w:tcPr>
          <w:tcW w:w="1490" w:type="dxa"/>
          <w:tcMar>
            <w:top w:w="142" w:type="dxa"/>
            <w:bottom w:w="0" w:type="dxa"/>
          </w:tcMar>
        </w:tcPr>
        <w:p w14:paraId="65D43D4B" w14:textId="1306F5AD" w:rsidR="00DA7FE9" w:rsidRPr="00487162" w:rsidRDefault="00DA7FE9" w:rsidP="00DB750B">
          <w:pPr>
            <w:pStyle w:val="Footer"/>
            <w:jc w:val="right"/>
          </w:pPr>
          <w:r w:rsidRPr="00487162">
            <w:t xml:space="preserve">Page </w:t>
          </w:r>
          <w:r>
            <w:fldChar w:fldCharType="begin"/>
          </w:r>
          <w:r>
            <w:instrText xml:space="preserve"> PAGE  \* Arabic </w:instrText>
          </w:r>
          <w:r>
            <w:fldChar w:fldCharType="separate"/>
          </w:r>
          <w:r>
            <w:rPr>
              <w:noProof/>
            </w:rPr>
            <w:t>30</w:t>
          </w:r>
          <w:r>
            <w:fldChar w:fldCharType="end"/>
          </w:r>
          <w:r w:rsidRPr="00487162">
            <w:t xml:space="preserve"> of </w:t>
          </w:r>
          <w:r>
            <w:fldChar w:fldCharType="begin"/>
          </w:r>
          <w:r>
            <w:instrText>NUMPAGES  \* Arabic</w:instrText>
          </w:r>
          <w:r>
            <w:fldChar w:fldCharType="separate"/>
          </w:r>
          <w:r>
            <w:rPr>
              <w:noProof/>
            </w:rPr>
            <w:t>36</w:t>
          </w:r>
          <w:r>
            <w:fldChar w:fldCharType="end"/>
          </w:r>
        </w:p>
      </w:tc>
    </w:tr>
  </w:tbl>
  <w:p w14:paraId="324B4B19" w14:textId="77777777" w:rsidR="00DA7FE9" w:rsidRDefault="00DA7FE9"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A7FE9" w:rsidRPr="00487162" w14:paraId="7FF7C5B3" w14:textId="77777777" w:rsidTr="00E45619">
      <w:trPr>
        <w:trHeight w:val="269"/>
      </w:trPr>
      <w:tc>
        <w:tcPr>
          <w:tcW w:w="4519" w:type="dxa"/>
          <w:tcBorders>
            <w:top w:val="single" w:sz="4" w:space="0" w:color="auto"/>
          </w:tcBorders>
          <w:tcMar>
            <w:top w:w="142" w:type="dxa"/>
            <w:bottom w:w="0" w:type="dxa"/>
          </w:tcMar>
        </w:tcPr>
        <w:p w14:paraId="0834C971" w14:textId="77777777" w:rsidR="00DA7FE9" w:rsidRPr="00487162" w:rsidRDefault="00DA7FE9" w:rsidP="00FE1DEE">
          <w:pPr>
            <w:pStyle w:val="Footer"/>
          </w:pPr>
          <w:r w:rsidRPr="00487162">
            <w:t>Document title, Part #, Section # - Section title</w:t>
          </w:r>
        </w:p>
        <w:p w14:paraId="6C209ED5" w14:textId="77777777" w:rsidR="00DA7FE9" w:rsidRPr="00487162" w:rsidRDefault="00DA7FE9" w:rsidP="00FE1DEE">
          <w:pPr>
            <w:pStyle w:val="Footer"/>
          </w:pPr>
          <w:r w:rsidRPr="00487162">
            <w:t>V1.0 October 2010</w:t>
          </w:r>
        </w:p>
      </w:tc>
      <w:tc>
        <w:tcPr>
          <w:tcW w:w="4342" w:type="dxa"/>
          <w:tcBorders>
            <w:top w:val="single" w:sz="4" w:space="0" w:color="auto"/>
          </w:tcBorders>
          <w:tcMar>
            <w:top w:w="142" w:type="dxa"/>
            <w:bottom w:w="0" w:type="dxa"/>
          </w:tcMar>
        </w:tcPr>
        <w:p w14:paraId="3A7A46B8" w14:textId="77777777" w:rsidR="00DA7FE9" w:rsidRPr="00487162" w:rsidRDefault="00DA7FE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w:t>
          </w:r>
          <w:r>
            <w:fldChar w:fldCharType="end"/>
          </w:r>
        </w:p>
      </w:tc>
    </w:tr>
  </w:tbl>
  <w:p w14:paraId="5F686175" w14:textId="77777777" w:rsidR="00DA7FE9" w:rsidRDefault="00DA7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8821B" w14:textId="77777777" w:rsidR="00DA7FE9" w:rsidRPr="001C32CD" w:rsidRDefault="00DA7FE9"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A7FE9" w14:paraId="1260C5F4" w14:textId="77777777" w:rsidTr="0010601F">
      <w:trPr>
        <w:trHeight w:val="108"/>
      </w:trPr>
      <w:tc>
        <w:tcPr>
          <w:tcW w:w="8875" w:type="dxa"/>
          <w:gridSpan w:val="2"/>
          <w:tcBorders>
            <w:bottom w:val="single" w:sz="4" w:space="0" w:color="auto"/>
          </w:tcBorders>
          <w:tcMar>
            <w:right w:w="284" w:type="dxa"/>
          </w:tcMar>
        </w:tcPr>
        <w:p w14:paraId="1824B227" w14:textId="77777777" w:rsidR="00DA7FE9" w:rsidRDefault="00DA7FE9" w:rsidP="006E08B3">
          <w:pPr>
            <w:pStyle w:val="Heading3"/>
          </w:pPr>
          <w:r>
            <w:t>Copyright</w:t>
          </w:r>
        </w:p>
        <w:p w14:paraId="52D3527E" w14:textId="77777777" w:rsidR="00DA7FE9" w:rsidRDefault="00DA7FE9" w:rsidP="006E08B3">
          <w:r>
            <w:rPr>
              <w:rFonts w:cs="Arial"/>
            </w:rPr>
            <w:t>©</w:t>
          </w:r>
          <w:r>
            <w:t xml:space="preserve"> Commonwealth of Australia [add year]</w:t>
          </w:r>
        </w:p>
        <w:p w14:paraId="10107AD3" w14:textId="77777777" w:rsidR="00DA7FE9" w:rsidRDefault="00DA7FE9" w:rsidP="006E08B3"/>
        <w:p w14:paraId="6344BC54" w14:textId="77777777" w:rsidR="00DA7FE9" w:rsidRDefault="00DA7FE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5EF9CDE3" w14:textId="77777777" w:rsidR="00DA7FE9" w:rsidRDefault="00DA7FE9" w:rsidP="006E08B3"/>
        <w:p w14:paraId="305C6278" w14:textId="77777777" w:rsidR="00DA7FE9" w:rsidRDefault="00DA7FE9" w:rsidP="006E08B3">
          <w:pPr>
            <w:pStyle w:val="Heading3"/>
          </w:pPr>
          <w:r>
            <w:t>Confidentiality</w:t>
          </w:r>
        </w:p>
        <w:p w14:paraId="633A69BD" w14:textId="77777777" w:rsidR="00DA7FE9" w:rsidRDefault="00DA7FE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2F750D3" w14:textId="77777777" w:rsidR="00DA7FE9" w:rsidRDefault="00DA7FE9" w:rsidP="006E08B3"/>
        <w:p w14:paraId="74E48E55" w14:textId="77777777" w:rsidR="00DA7FE9" w:rsidRDefault="00DA7FE9" w:rsidP="006E08B3">
          <w:r>
            <w:t>For submission made by individuals, all personal details, other than your name, will be removed from your submission before it is published on the TGA’s Internet site.</w:t>
          </w:r>
        </w:p>
        <w:p w14:paraId="7F35515B" w14:textId="77777777" w:rsidR="00DA7FE9" w:rsidRDefault="00DA7FE9" w:rsidP="006E08B3"/>
        <w:p w14:paraId="3B7F0147" w14:textId="77777777" w:rsidR="00DA7FE9" w:rsidRDefault="00DA7FE9"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A7FE9" w14:paraId="4935C91D" w14:textId="77777777" w:rsidTr="0010601F">
      <w:trPr>
        <w:trHeight w:val="417"/>
      </w:trPr>
      <w:tc>
        <w:tcPr>
          <w:tcW w:w="4519" w:type="dxa"/>
          <w:tcBorders>
            <w:top w:val="single" w:sz="4" w:space="0" w:color="auto"/>
          </w:tcBorders>
          <w:tcMar>
            <w:top w:w="142" w:type="dxa"/>
            <w:bottom w:w="0" w:type="dxa"/>
          </w:tcMar>
        </w:tcPr>
        <w:p w14:paraId="2596EE38" w14:textId="77777777" w:rsidR="00DA7FE9" w:rsidRDefault="00DA7FE9" w:rsidP="006E08B3">
          <w:r>
            <w:t>Document title, Part #, Section # - Section title</w:t>
          </w:r>
        </w:p>
        <w:p w14:paraId="2A3DA63F" w14:textId="77777777" w:rsidR="00DA7FE9" w:rsidRDefault="00DA7FE9" w:rsidP="006E08B3">
          <w:r>
            <w:t>V1.0 October 2010</w:t>
          </w:r>
        </w:p>
      </w:tc>
      <w:tc>
        <w:tcPr>
          <w:tcW w:w="4356" w:type="dxa"/>
          <w:tcBorders>
            <w:top w:val="single" w:sz="4" w:space="0" w:color="auto"/>
          </w:tcBorders>
          <w:tcMar>
            <w:top w:w="142" w:type="dxa"/>
            <w:bottom w:w="0" w:type="dxa"/>
          </w:tcMar>
        </w:tcPr>
        <w:p w14:paraId="1A1F98CE" w14:textId="77777777" w:rsidR="00DA7FE9" w:rsidRDefault="00DA7FE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w:t>
          </w:r>
          <w:r>
            <w:fldChar w:fldCharType="end"/>
          </w:r>
          <w:r>
            <w:t xml:space="preserve">  </w:t>
          </w:r>
        </w:p>
      </w:tc>
    </w:tr>
  </w:tbl>
  <w:p w14:paraId="2F7132CE" w14:textId="77777777" w:rsidR="00DA7FE9" w:rsidRDefault="00DA7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A2B6E" w14:textId="77777777" w:rsidR="00DA7FE9" w:rsidRDefault="00DA7FE9" w:rsidP="00C40A36">
      <w:pPr>
        <w:spacing w:after="0"/>
      </w:pPr>
      <w:r>
        <w:separator/>
      </w:r>
    </w:p>
  </w:footnote>
  <w:footnote w:type="continuationSeparator" w:id="0">
    <w:p w14:paraId="358D1EB3" w14:textId="77777777" w:rsidR="00DA7FE9" w:rsidRDefault="00DA7FE9" w:rsidP="00C40A36">
      <w:pPr>
        <w:spacing w:after="0"/>
      </w:pPr>
      <w:r>
        <w:continuationSeparator/>
      </w:r>
    </w:p>
  </w:footnote>
  <w:footnote w:type="continuationNotice" w:id="1">
    <w:p w14:paraId="7682BDCE" w14:textId="77777777" w:rsidR="00DA7FE9" w:rsidRDefault="00DA7FE9">
      <w:pPr>
        <w:spacing w:before="0" w:after="0" w:line="240" w:lineRule="auto"/>
      </w:pPr>
    </w:p>
  </w:footnote>
  <w:footnote w:id="2">
    <w:p w14:paraId="30B8C797" w14:textId="77777777" w:rsidR="00DA7FE9" w:rsidRDefault="00DA7FE9">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3BCDA746" w14:textId="465F3447" w:rsidR="00DA7FE9" w:rsidRPr="00AB766B" w:rsidRDefault="00DA7FE9">
      <w:pPr>
        <w:pStyle w:val="FootnoteText"/>
        <w:rPr>
          <w:lang w:val="sv-SE"/>
        </w:rPr>
      </w:pPr>
      <w:r>
        <w:rPr>
          <w:rStyle w:val="FootnoteReference"/>
        </w:rPr>
        <w:footnoteRef/>
      </w:r>
      <w:r w:rsidRPr="00AB766B">
        <w:rPr>
          <w:lang w:val="sv-SE"/>
        </w:rPr>
        <w:t xml:space="preserve"> Ashina, M. Migraine, </w:t>
      </w:r>
      <w:r w:rsidRPr="00AB766B">
        <w:rPr>
          <w:i/>
          <w:lang w:val="sv-SE"/>
        </w:rPr>
        <w:t>N Engl J Med</w:t>
      </w:r>
      <w:r w:rsidRPr="00AB766B">
        <w:rPr>
          <w:lang w:val="sv-SE"/>
        </w:rPr>
        <w:t>, 2020; 383(19): 1866-1876.</w:t>
      </w:r>
    </w:p>
  </w:footnote>
  <w:footnote w:id="4">
    <w:p w14:paraId="5B9703D7" w14:textId="2FEE39A9" w:rsidR="00DA7FE9" w:rsidRDefault="00DA7FE9">
      <w:pPr>
        <w:pStyle w:val="FootnoteText"/>
      </w:pPr>
      <w:r>
        <w:rPr>
          <w:rStyle w:val="FootnoteReference"/>
        </w:rPr>
        <w:footnoteRef/>
      </w:r>
      <w:r>
        <w:t xml:space="preserve"> Migraine Headache </w:t>
      </w:r>
      <w:r w:rsidRPr="002639F1">
        <w:t>Australia,</w:t>
      </w:r>
      <w:r w:rsidRPr="00DE5957">
        <w:t xml:space="preserve"> </w:t>
      </w:r>
      <w:r>
        <w:t>Prevalence and Cost o</w:t>
      </w:r>
      <w:r w:rsidRPr="00DE5957">
        <w:t>f Headache</w:t>
      </w:r>
      <w:r>
        <w:t xml:space="preserve">, </w:t>
      </w:r>
      <w:r w:rsidRPr="00DE5957">
        <w:t>Available from</w:t>
      </w:r>
      <w:r>
        <w:t xml:space="preserve"> Migraine Headache </w:t>
      </w:r>
      <w:r w:rsidRPr="002639F1">
        <w:t>Australia</w:t>
      </w:r>
      <w:r>
        <w:t xml:space="preserve"> website.</w:t>
      </w:r>
    </w:p>
  </w:footnote>
  <w:footnote w:id="5">
    <w:p w14:paraId="4B7B4006" w14:textId="2EF91A32" w:rsidR="00DA7FE9" w:rsidRDefault="00DA7FE9">
      <w:pPr>
        <w:pStyle w:val="FootnoteText"/>
      </w:pPr>
      <w:r>
        <w:rPr>
          <w:rStyle w:val="FootnoteReference"/>
        </w:rPr>
        <w:footnoteRef/>
      </w:r>
      <w:r>
        <w:t xml:space="preserve"> </w:t>
      </w:r>
      <w:r w:rsidRPr="00DE5957">
        <w:t>European Medicines Evaluation Agency (EMEA), Committee for Medicinal Products for Human Use (CHMP), 24 January 2007. Guideline on Clinical Investigation of Medicinal Products for the Treatment of Migraine (CPMP/EWP/788/01 Rev. 1).</w:t>
      </w:r>
    </w:p>
  </w:footnote>
  <w:footnote w:id="6">
    <w:p w14:paraId="74778989" w14:textId="6BEF261C" w:rsidR="00DA7FE9" w:rsidRPr="00A04AAB" w:rsidRDefault="00DA7FE9" w:rsidP="006309F2">
      <w:pPr>
        <w:pStyle w:val="FootnoteText"/>
        <w:rPr>
          <w:lang w:val="da-DK"/>
        </w:rPr>
      </w:pPr>
      <w:r>
        <w:rPr>
          <w:rStyle w:val="FootnoteReference"/>
        </w:rPr>
        <w:footnoteRef/>
      </w:r>
      <w:r w:rsidRPr="00A04AAB">
        <w:rPr>
          <w:lang w:val="da-DK"/>
        </w:rPr>
        <w:t xml:space="preserve"> Silberstein, S.D. Migraine, </w:t>
      </w:r>
      <w:r w:rsidRPr="00A04AAB">
        <w:rPr>
          <w:i/>
          <w:lang w:val="da-DK"/>
        </w:rPr>
        <w:t>Lancet</w:t>
      </w:r>
      <w:r w:rsidRPr="00A04AAB">
        <w:rPr>
          <w:lang w:val="da-DK"/>
        </w:rPr>
        <w:t>, 2004; 363(9406): 381-391.</w:t>
      </w:r>
    </w:p>
  </w:footnote>
  <w:footnote w:id="7">
    <w:p w14:paraId="5253F5C1" w14:textId="4E99AC38" w:rsidR="00DA7FE9" w:rsidRDefault="00DA7FE9">
      <w:pPr>
        <w:pStyle w:val="FootnoteText"/>
      </w:pPr>
      <w:r>
        <w:rPr>
          <w:rStyle w:val="FootnoteReference"/>
        </w:rPr>
        <w:footnoteRef/>
      </w:r>
      <w:r w:rsidRPr="00A04AAB">
        <w:rPr>
          <w:lang w:val="da-DK"/>
        </w:rPr>
        <w:t xml:space="preserve"> Iyengar, S. et al. </w:t>
      </w:r>
      <w:r w:rsidRPr="004B226B">
        <w:t>CGRP and the Trigeminal System in Migraine</w:t>
      </w:r>
      <w:r>
        <w:t>,</w:t>
      </w:r>
      <w:r w:rsidRPr="004B226B">
        <w:t xml:space="preserve"> </w:t>
      </w:r>
      <w:r w:rsidRPr="00DE5957">
        <w:rPr>
          <w:i/>
        </w:rPr>
        <w:t>Headache</w:t>
      </w:r>
      <w:r>
        <w:t>, 2019;</w:t>
      </w:r>
      <w:r w:rsidRPr="004B226B">
        <w:t xml:space="preserve"> 59(5): 659-681.</w:t>
      </w:r>
    </w:p>
  </w:footnote>
  <w:footnote w:id="8">
    <w:p w14:paraId="3439959C" w14:textId="651A6541" w:rsidR="00DA7FE9" w:rsidRDefault="00DA7FE9" w:rsidP="006309F2">
      <w:pPr>
        <w:pStyle w:val="FootnoteText"/>
      </w:pPr>
      <w:r>
        <w:rPr>
          <w:rStyle w:val="FootnoteReference"/>
        </w:rPr>
        <w:footnoteRef/>
      </w:r>
      <w:r>
        <w:t xml:space="preserve"> </w:t>
      </w:r>
      <w:r w:rsidRPr="006309F2">
        <w:t>Drellia</w:t>
      </w:r>
      <w:r>
        <w:t xml:space="preserve">, K. et al. </w:t>
      </w:r>
      <w:r w:rsidRPr="006309F2">
        <w:t xml:space="preserve">Anti-CGRP </w:t>
      </w:r>
      <w:r>
        <w:t>Monoclonal Antibodies f</w:t>
      </w:r>
      <w:r w:rsidRPr="006309F2">
        <w:t xml:space="preserve">or Migraine Prevention: </w:t>
      </w:r>
      <w:r>
        <w:t>a</w:t>
      </w:r>
      <w:r w:rsidRPr="006309F2">
        <w:t xml:space="preserve"> </w:t>
      </w:r>
      <w:r>
        <w:t>Systematic Review and Likelihood to Help o</w:t>
      </w:r>
      <w:r w:rsidRPr="006309F2">
        <w:t>r Harm Analysis</w:t>
      </w:r>
      <w:r>
        <w:t xml:space="preserve">, </w:t>
      </w:r>
      <w:r w:rsidRPr="006309F2">
        <w:rPr>
          <w:i/>
        </w:rPr>
        <w:t>Cephalalgia</w:t>
      </w:r>
      <w:r>
        <w:t>, 2021; 41(7): 851-864.</w:t>
      </w:r>
    </w:p>
  </w:footnote>
  <w:footnote w:id="9">
    <w:p w14:paraId="4E00DF78" w14:textId="3C07CBE0" w:rsidR="00DA7FE9" w:rsidRDefault="00DA7FE9" w:rsidP="001E284A">
      <w:pPr>
        <w:pStyle w:val="FootnoteText"/>
      </w:pPr>
      <w:r>
        <w:rPr>
          <w:rStyle w:val="FootnoteReference"/>
        </w:rPr>
        <w:footnoteRef/>
      </w:r>
      <w:r>
        <w:t xml:space="preserve"> </w:t>
      </w:r>
      <w:r w:rsidRPr="00A4068F">
        <w:t>Deen</w:t>
      </w:r>
      <w:r>
        <w:t xml:space="preserve">, M. et al. </w:t>
      </w:r>
      <w:r w:rsidRPr="00A4068F">
        <w:t>Blocking CGRP in Migraine Patients - a Review of pros and cons</w:t>
      </w:r>
      <w:r>
        <w:t xml:space="preserve">, </w:t>
      </w:r>
      <w:r w:rsidRPr="001E284A">
        <w:rPr>
          <w:i/>
        </w:rPr>
        <w:t>J Headache Pain</w:t>
      </w:r>
      <w:r>
        <w:t>. 2017; 25;18(1): 96.</w:t>
      </w:r>
    </w:p>
  </w:footnote>
  <w:footnote w:id="10">
    <w:p w14:paraId="10040D7D" w14:textId="4F5921CC" w:rsidR="00DA7FE9" w:rsidRDefault="00DA7FE9">
      <w:pPr>
        <w:pStyle w:val="FootnoteText"/>
      </w:pPr>
      <w:r>
        <w:rPr>
          <w:rStyle w:val="FootnoteReference"/>
        </w:rPr>
        <w:footnoteRef/>
      </w:r>
      <w:r>
        <w:t xml:space="preserve"> </w:t>
      </w:r>
      <w:r>
        <w:t xml:space="preserve">Sandomigran was first registered on the ARTG on </w:t>
      </w:r>
      <w:r w:rsidRPr="0022249B">
        <w:t>24</w:t>
      </w:r>
      <w:r>
        <w:t xml:space="preserve"> June </w:t>
      </w:r>
      <w:r w:rsidRPr="0022249B">
        <w:t xml:space="preserve">1999 </w:t>
      </w:r>
      <w:r>
        <w:t>(ARTG number: 69608).</w:t>
      </w:r>
    </w:p>
  </w:footnote>
  <w:footnote w:id="11">
    <w:p w14:paraId="72537219" w14:textId="11FED142" w:rsidR="00DA7FE9" w:rsidRDefault="00DA7FE9">
      <w:pPr>
        <w:pStyle w:val="FootnoteText"/>
      </w:pPr>
      <w:r>
        <w:rPr>
          <w:rStyle w:val="FootnoteReference"/>
        </w:rPr>
        <w:footnoteRef/>
      </w:r>
      <w:r>
        <w:t xml:space="preserve"> </w:t>
      </w:r>
      <w:r>
        <w:t xml:space="preserve">Deralin </w:t>
      </w:r>
      <w:r w:rsidRPr="0022249B">
        <w:t xml:space="preserve">was first registered on the ARTG on </w:t>
      </w:r>
      <w:r>
        <w:t>20 September 1991</w:t>
      </w:r>
      <w:r w:rsidRPr="0022249B">
        <w:t xml:space="preserve"> (ARTG number: </w:t>
      </w:r>
      <w:r>
        <w:t xml:space="preserve">17612, </w:t>
      </w:r>
      <w:r w:rsidRPr="0022249B">
        <w:t>17613</w:t>
      </w:r>
      <w:r>
        <w:t xml:space="preserve"> and </w:t>
      </w:r>
      <w:r w:rsidRPr="0022249B">
        <w:t>17614).</w:t>
      </w:r>
    </w:p>
  </w:footnote>
  <w:footnote w:id="12">
    <w:p w14:paraId="5EBEE916" w14:textId="48AF283A" w:rsidR="00DA7FE9" w:rsidRDefault="00DA7FE9">
      <w:pPr>
        <w:pStyle w:val="FootnoteText"/>
      </w:pPr>
      <w:r>
        <w:rPr>
          <w:rStyle w:val="FootnoteReference"/>
        </w:rPr>
        <w:footnoteRef/>
      </w:r>
      <w:r>
        <w:t xml:space="preserve"> </w:t>
      </w:r>
      <w:r w:rsidRPr="0022249B">
        <w:t>Inderal was first registered on the ARTG on 11</w:t>
      </w:r>
      <w:r>
        <w:t xml:space="preserve"> July </w:t>
      </w:r>
      <w:r w:rsidRPr="0022249B">
        <w:t>1991 (ARTG number: 11228 and 11230).</w:t>
      </w:r>
    </w:p>
  </w:footnote>
  <w:footnote w:id="13">
    <w:p w14:paraId="7480507D" w14:textId="0D1EDECA" w:rsidR="00DA7FE9" w:rsidRDefault="00DA7FE9">
      <w:pPr>
        <w:pStyle w:val="FootnoteText"/>
      </w:pPr>
      <w:r>
        <w:rPr>
          <w:rStyle w:val="FootnoteReference"/>
        </w:rPr>
        <w:footnoteRef/>
      </w:r>
      <w:r>
        <w:t xml:space="preserve"> </w:t>
      </w:r>
      <w:r w:rsidRPr="00A25988">
        <w:t>Topamax was first registered on the ARTG on 30 January 1998 (ARTG number: 62709, 62710, 62711 and 62712).</w:t>
      </w:r>
    </w:p>
  </w:footnote>
  <w:footnote w:id="14">
    <w:p w14:paraId="7E09C2CB" w14:textId="2E93BE53" w:rsidR="00DA7FE9" w:rsidRDefault="00DA7FE9">
      <w:pPr>
        <w:pStyle w:val="FootnoteText"/>
      </w:pPr>
      <w:r>
        <w:rPr>
          <w:rStyle w:val="FootnoteReference"/>
        </w:rPr>
        <w:footnoteRef/>
      </w:r>
      <w:r>
        <w:t xml:space="preserve"> </w:t>
      </w:r>
      <w:r w:rsidRPr="00A25988">
        <w:t>Aimovig was first registered on the ARTG on 2 July 2018 (ARTG number: 289959 and 289960).</w:t>
      </w:r>
    </w:p>
  </w:footnote>
  <w:footnote w:id="15">
    <w:p w14:paraId="438DEE7C" w14:textId="34B60DC3" w:rsidR="00DA7FE9" w:rsidRDefault="00DA7FE9">
      <w:pPr>
        <w:pStyle w:val="FootnoteText"/>
      </w:pPr>
      <w:r>
        <w:rPr>
          <w:rStyle w:val="FootnoteReference"/>
        </w:rPr>
        <w:footnoteRef/>
      </w:r>
      <w:r>
        <w:t xml:space="preserve"> </w:t>
      </w:r>
      <w:r w:rsidRPr="00A25988">
        <w:t>Ajovy was first registered on the ARTG on 20 September 2019 (ARTG number: 308630).</w:t>
      </w:r>
    </w:p>
  </w:footnote>
  <w:footnote w:id="16">
    <w:p w14:paraId="33B207F9" w14:textId="3AE1F5F1" w:rsidR="00DA7FE9" w:rsidRDefault="00DA7FE9">
      <w:pPr>
        <w:pStyle w:val="FootnoteText"/>
      </w:pPr>
      <w:r>
        <w:rPr>
          <w:rStyle w:val="FootnoteReference"/>
        </w:rPr>
        <w:footnoteRef/>
      </w:r>
      <w:r>
        <w:t xml:space="preserve"> </w:t>
      </w:r>
      <w:r w:rsidRPr="009169DA">
        <w:t>Emgality first registered on the ARTG on 28 May 2019 (ARTG number: 302145 and 302146).</w:t>
      </w:r>
    </w:p>
  </w:footnote>
  <w:footnote w:id="17">
    <w:p w14:paraId="3D85BA10" w14:textId="77777777" w:rsidR="00DA7FE9" w:rsidRDefault="00DA7FE9" w:rsidP="00C96008">
      <w:pPr>
        <w:pStyle w:val="FootnoteText"/>
      </w:pPr>
      <w:r>
        <w:rPr>
          <w:rStyle w:val="FootnoteReference"/>
        </w:rPr>
        <w:footnoteRef/>
      </w:r>
      <w:r>
        <w:t xml:space="preserve"> </w:t>
      </w:r>
      <w:r w:rsidRPr="00C96008">
        <w:rPr>
          <w:b/>
        </w:rPr>
        <w:t>Cytochrome P450 (CYP) enzymes</w:t>
      </w:r>
      <w:r>
        <w:t>: 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4E3FDD91" w14:textId="77777777" w:rsidR="00DA7FE9" w:rsidRDefault="00DA7FE9" w:rsidP="00C96008">
      <w:pPr>
        <w:pStyle w:val="FootnoteText"/>
      </w:pPr>
      <w:r>
        <w:t xml:space="preserve">Many drugs may increase or decrease the activity of various CYP isozymes either by inducing the biosynthesis of an isozyme (enzyme induction) or by directly inhibiting the activity of the CYP (enzyme inhibition). This is a major source of adverse drug </w:t>
      </w:r>
      <w:r>
        <w:t>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8">
    <w:p w14:paraId="7A07C334" w14:textId="77777777" w:rsidR="00DA7FE9" w:rsidRDefault="00DA7FE9"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16D896C8" w14:textId="77777777" w:rsidR="00DA7FE9" w:rsidRDefault="00DA7FE9" w:rsidP="007D53B6">
      <w:pPr>
        <w:pStyle w:val="FootnoteText"/>
      </w:pPr>
      <w:r w:rsidRPr="007D53B6">
        <w:rPr>
          <w:i/>
        </w:rPr>
        <w:t>Routine pharmacovigilance</w:t>
      </w:r>
      <w:r>
        <w:t xml:space="preserve"> practices involve the following activities:</w:t>
      </w:r>
    </w:p>
    <w:p w14:paraId="0E1D37EC" w14:textId="77777777" w:rsidR="00DA7FE9" w:rsidRDefault="00DA7FE9" w:rsidP="00703735">
      <w:pPr>
        <w:pStyle w:val="FootnoteText"/>
        <w:numPr>
          <w:ilvl w:val="0"/>
          <w:numId w:val="11"/>
        </w:numPr>
        <w:tabs>
          <w:tab w:val="num" w:pos="360"/>
        </w:tabs>
        <w:ind w:left="284" w:hanging="284"/>
      </w:pPr>
      <w:r>
        <w:t xml:space="preserve">All suspected adverse reactions that are reported to the personnel of the company are collected and collated in an accessible </w:t>
      </w:r>
      <w:r>
        <w:t>manner;</w:t>
      </w:r>
    </w:p>
    <w:p w14:paraId="11F7143B" w14:textId="77777777" w:rsidR="00DA7FE9" w:rsidRDefault="00DA7FE9" w:rsidP="00703735">
      <w:pPr>
        <w:pStyle w:val="FootnoteText"/>
        <w:numPr>
          <w:ilvl w:val="0"/>
          <w:numId w:val="11"/>
        </w:numPr>
        <w:tabs>
          <w:tab w:val="num" w:pos="360"/>
        </w:tabs>
        <w:ind w:left="284" w:hanging="284"/>
      </w:pPr>
      <w:r>
        <w:t>Reporting to regulatory authorities;</w:t>
      </w:r>
    </w:p>
    <w:p w14:paraId="4ECFD773" w14:textId="77777777" w:rsidR="00DA7FE9" w:rsidRDefault="00DA7FE9" w:rsidP="00703735">
      <w:pPr>
        <w:pStyle w:val="FootnoteText"/>
        <w:numPr>
          <w:ilvl w:val="0"/>
          <w:numId w:val="11"/>
        </w:numPr>
        <w:tabs>
          <w:tab w:val="num" w:pos="360"/>
        </w:tabs>
        <w:ind w:left="284" w:hanging="284"/>
      </w:pPr>
      <w:r>
        <w:t>Continuous monitoring of the safety profiles of approved products including signal detection and updating of labelling;</w:t>
      </w:r>
    </w:p>
    <w:p w14:paraId="16894393" w14:textId="77777777" w:rsidR="00DA7FE9" w:rsidRDefault="00DA7FE9" w:rsidP="00703735">
      <w:pPr>
        <w:pStyle w:val="FootnoteText"/>
        <w:numPr>
          <w:ilvl w:val="0"/>
          <w:numId w:val="11"/>
        </w:numPr>
        <w:tabs>
          <w:tab w:val="num" w:pos="360"/>
        </w:tabs>
        <w:ind w:left="284" w:hanging="284"/>
      </w:pPr>
      <w:r>
        <w:t>Submission of PSURs;</w:t>
      </w:r>
    </w:p>
    <w:p w14:paraId="2AF22E5A" w14:textId="77777777" w:rsidR="00DA7FE9" w:rsidRDefault="00DA7FE9" w:rsidP="00703735">
      <w:pPr>
        <w:pStyle w:val="FootnoteText"/>
        <w:numPr>
          <w:ilvl w:val="0"/>
          <w:numId w:val="11"/>
        </w:numPr>
        <w:tabs>
          <w:tab w:val="num" w:pos="360"/>
        </w:tabs>
        <w:ind w:left="284" w:hanging="284"/>
      </w:pPr>
      <w:r>
        <w:t>Meeting other local regulatory agency requirements.</w:t>
      </w:r>
    </w:p>
  </w:footnote>
  <w:footnote w:id="19">
    <w:p w14:paraId="27E90545" w14:textId="698D9A78" w:rsidR="00DA7FE9" w:rsidRDefault="00DA7FE9">
      <w:pPr>
        <w:pStyle w:val="FootnoteText"/>
      </w:pPr>
      <w:r>
        <w:rPr>
          <w:rStyle w:val="FootnoteReference"/>
        </w:rPr>
        <w:footnoteRef/>
      </w:r>
      <w:r>
        <w:t xml:space="preserve"> </w:t>
      </w:r>
      <w:r w:rsidRPr="00DE5957">
        <w:t>Headache Classification Committee of the International Headache Society (IHS)</w:t>
      </w:r>
      <w:r>
        <w:t xml:space="preserve"> </w:t>
      </w:r>
      <w:r w:rsidRPr="006427C0">
        <w:t xml:space="preserve">The International Classification of Headache Disorders, 3rd edition (beta version). </w:t>
      </w:r>
      <w:r w:rsidRPr="00DE5957">
        <w:rPr>
          <w:i/>
        </w:rPr>
        <w:t>Cephalalgia</w:t>
      </w:r>
      <w:r w:rsidRPr="006427C0">
        <w:t>, 2013</w:t>
      </w:r>
      <w:r>
        <w:t>;</w:t>
      </w:r>
      <w:r w:rsidRPr="006427C0">
        <w:t xml:space="preserve"> 33(9): 629-808.</w:t>
      </w:r>
    </w:p>
  </w:footnote>
  <w:footnote w:id="20">
    <w:p w14:paraId="538CA039" w14:textId="7596CB2F" w:rsidR="00DA7FE9" w:rsidRDefault="00DA7FE9" w:rsidP="007E4F51">
      <w:pPr>
        <w:pStyle w:val="FootnoteText"/>
      </w:pPr>
      <w:r>
        <w:rPr>
          <w:rStyle w:val="FootnoteReference"/>
        </w:rPr>
        <w:footnoteRef/>
      </w:r>
      <w:r>
        <w:t xml:space="preserve"> </w:t>
      </w:r>
      <w:r w:rsidRPr="007E4F51">
        <w:t>Raffaelli</w:t>
      </w:r>
      <w:r>
        <w:t xml:space="preserve">, B. et al. </w:t>
      </w:r>
      <w:r w:rsidRPr="007E4F51">
        <w:t xml:space="preserve">Monoclonal </w:t>
      </w:r>
      <w:r>
        <w:t>Antibodies for the Prevention o</w:t>
      </w:r>
      <w:r w:rsidRPr="007E4F51">
        <w:t>f Migraine</w:t>
      </w:r>
      <w:r>
        <w:t xml:space="preserve">, </w:t>
      </w:r>
      <w:r w:rsidRPr="007E4F51">
        <w:rPr>
          <w:i/>
        </w:rPr>
        <w:t>Expert Opin Biol Ther</w:t>
      </w:r>
      <w:r>
        <w:t>. 2019; 19(12): 1307-1317.</w:t>
      </w:r>
    </w:p>
  </w:footnote>
  <w:footnote w:id="21">
    <w:p w14:paraId="317BE1FD" w14:textId="5333B88C" w:rsidR="00DA7FE9" w:rsidRPr="00AB766B" w:rsidRDefault="00DA7FE9">
      <w:pPr>
        <w:pStyle w:val="FootnoteText"/>
        <w:rPr>
          <w:lang w:val="da-DK"/>
        </w:rPr>
      </w:pPr>
      <w:r>
        <w:rPr>
          <w:rStyle w:val="FootnoteReference"/>
        </w:rPr>
        <w:footnoteRef/>
      </w:r>
      <w:r w:rsidRPr="00AB766B">
        <w:rPr>
          <w:lang w:val="da-DK"/>
        </w:rPr>
        <w:t xml:space="preserve"> Silberstein, S.D. Migraine, </w:t>
      </w:r>
      <w:r w:rsidRPr="00AB766B">
        <w:rPr>
          <w:i/>
          <w:lang w:val="da-DK"/>
        </w:rPr>
        <w:t>Lancet</w:t>
      </w:r>
      <w:r w:rsidRPr="00AB766B">
        <w:rPr>
          <w:lang w:val="da-DK"/>
        </w:rPr>
        <w:t>, 2004; 363(9406): 381-391.</w:t>
      </w:r>
    </w:p>
  </w:footnote>
  <w:footnote w:id="22">
    <w:p w14:paraId="34ECD62F" w14:textId="07DF6877" w:rsidR="00DA7FE9" w:rsidRDefault="00DA7FE9" w:rsidP="007E4F51">
      <w:pPr>
        <w:pStyle w:val="FootnoteText"/>
      </w:pPr>
      <w:r>
        <w:rPr>
          <w:rStyle w:val="FootnoteReference"/>
        </w:rPr>
        <w:footnoteRef/>
      </w:r>
      <w:r w:rsidRPr="005A7D2B">
        <w:rPr>
          <w:lang w:val="da-DK"/>
        </w:rPr>
        <w:t xml:space="preserve"> Pellesi, L. et al. </w:t>
      </w:r>
      <w:r w:rsidRPr="007E4F51">
        <w:t>Spotlight on Anti-CGRP Monoclonal Antibodies in Migraine: The Clinical Evidence to Date</w:t>
      </w:r>
      <w:r>
        <w:t xml:space="preserve">, Clin </w:t>
      </w:r>
      <w:r>
        <w:t>Pharmacol Drug Dev, 2017; 6(6): 534-547.</w:t>
      </w:r>
    </w:p>
  </w:footnote>
  <w:footnote w:id="23">
    <w:p w14:paraId="4F3B1B76" w14:textId="03C80F35" w:rsidR="00DA7FE9" w:rsidRDefault="00DA7FE9">
      <w:pPr>
        <w:pStyle w:val="FootnoteText"/>
      </w:pPr>
      <w:r>
        <w:rPr>
          <w:rStyle w:val="FootnoteReference"/>
        </w:rPr>
        <w:footnoteRef/>
      </w:r>
      <w:r>
        <w:t xml:space="preserve"> </w:t>
      </w:r>
      <w:r w:rsidRPr="0080613A">
        <w:t>Inclusion of these information is beyond the scope of the AusPAR.</w:t>
      </w:r>
    </w:p>
  </w:footnote>
  <w:footnote w:id="24">
    <w:p w14:paraId="4DD72135" w14:textId="684A6E86" w:rsidR="00DA7FE9" w:rsidRDefault="00DA7FE9" w:rsidP="00FC0CA9">
      <w:pPr>
        <w:pStyle w:val="FootnoteText"/>
      </w:pPr>
      <w:r>
        <w:rPr>
          <w:rStyle w:val="FootnoteReference"/>
        </w:rPr>
        <w:footnoteRef/>
      </w:r>
      <w:r>
        <w:t xml:space="preserve"> Sanchez, M.I.P and </w:t>
      </w:r>
      <w:r>
        <w:t>Bercik, P. Epidemiology and Burden of Chronic Constipation</w:t>
      </w:r>
      <w:r w:rsidRPr="00DE5957">
        <w:rPr>
          <w:i/>
        </w:rPr>
        <w:t>, Can J Gastroenterol</w:t>
      </w:r>
      <w:r>
        <w:t>,</w:t>
      </w:r>
    </w:p>
    <w:p w14:paraId="37363AB7" w14:textId="5121C46C" w:rsidR="00DA7FE9" w:rsidRPr="005A7D2B" w:rsidRDefault="00DA7FE9" w:rsidP="00FC0CA9">
      <w:pPr>
        <w:pStyle w:val="FootnoteText"/>
        <w:rPr>
          <w:lang w:val="da-DK"/>
        </w:rPr>
      </w:pPr>
      <w:r w:rsidRPr="005A7D2B">
        <w:rPr>
          <w:lang w:val="da-DK"/>
        </w:rPr>
        <w:t>2011; 25(Suppl B): 11B-15B.</w:t>
      </w:r>
    </w:p>
  </w:footnote>
  <w:footnote w:id="25">
    <w:p w14:paraId="41EC2A6D" w14:textId="69625AAF" w:rsidR="00DA7FE9" w:rsidRDefault="00DA7FE9" w:rsidP="00FC0CA9">
      <w:pPr>
        <w:pStyle w:val="FootnoteText"/>
      </w:pPr>
      <w:r>
        <w:rPr>
          <w:rStyle w:val="FootnoteReference"/>
        </w:rPr>
        <w:footnoteRef/>
      </w:r>
      <w:r w:rsidRPr="005A7D2B">
        <w:rPr>
          <w:lang w:val="da-DK"/>
        </w:rPr>
        <w:t xml:space="preserve"> Pare, P. et al. </w:t>
      </w:r>
      <w:r>
        <w:t xml:space="preserve">An Epidemiological Survey of Constipation in Canada: Definitions, Rates, Demographics, and Predictors of Health Care Seeking, </w:t>
      </w:r>
      <w:r w:rsidRPr="00DE5957">
        <w:rPr>
          <w:i/>
        </w:rPr>
        <w:t>Am J Gastroenterol</w:t>
      </w:r>
      <w:r>
        <w:t>, 2001; 96(11): 3130-3137.</w:t>
      </w:r>
    </w:p>
  </w:footnote>
  <w:footnote w:id="26">
    <w:p w14:paraId="43E08396" w14:textId="117BCC04" w:rsidR="00DA7FE9" w:rsidRDefault="00DA7FE9">
      <w:pPr>
        <w:pStyle w:val="FootnoteText"/>
      </w:pPr>
      <w:r>
        <w:rPr>
          <w:rStyle w:val="FootnoteReference"/>
        </w:rPr>
        <w:footnoteRef/>
      </w:r>
      <w:r>
        <w:t xml:space="preserve"> </w:t>
      </w:r>
      <w:r w:rsidRPr="00B33DA7">
        <w:t xml:space="preserve">The </w:t>
      </w:r>
      <w:r w:rsidRPr="00AB766B">
        <w:rPr>
          <w:b/>
          <w:bCs/>
        </w:rPr>
        <w:t>Medical Dictionary for Regulatory Activities (MedDRA)</w:t>
      </w:r>
      <w:r w:rsidRPr="00B33DA7">
        <w:t xml:space="preserve"> is a single standardised international medical terminology, </w:t>
      </w:r>
      <w:r w:rsidRPr="00B33DA7">
        <w:t xml:space="preserve">developped as a project of the International Council for Harmonisation of Technical Requirements for Pharmaceuticals for Human Use (ICH) which can be used for regulatory communication and evaluation of data pertaining to medicinal products for human use. As a result, MedDRA is designed for use in the registration, documentation and safety monitoring of medicinal products through all phases of the development cycle (that </w:t>
      </w:r>
      <w:r w:rsidRPr="00B33DA7">
        <w:t>is,, from clinical trials to post-marketing surveillance). Furthermore, MedDRA supports ICH electronic communication within the ICH’s Electronic Common Technical Document (eCTD) and the E2B Individual Case Safety Report.</w:t>
      </w:r>
    </w:p>
  </w:footnote>
  <w:footnote w:id="27">
    <w:p w14:paraId="5AF7D90B" w14:textId="3F6499FD" w:rsidR="00DA7FE9" w:rsidRDefault="00DA7FE9">
      <w:pPr>
        <w:pStyle w:val="FootnoteText"/>
      </w:pPr>
      <w:r>
        <w:rPr>
          <w:rStyle w:val="FootnoteReference"/>
        </w:rPr>
        <w:footnoteRef/>
      </w:r>
      <w:r>
        <w:t xml:space="preserve"> </w:t>
      </w:r>
      <w:r w:rsidRPr="0096208F">
        <w:rPr>
          <w:b/>
          <w:bCs/>
        </w:rPr>
        <w:t>Standardised MedDRA Queries (SMQs)</w:t>
      </w:r>
      <w:r w:rsidRPr="00B33DA7">
        <w:t xml:space="preserve"> are groupings of terms from one or more MedDRA System Organ Classes (SOCs) that relate to a defined medical condition or area of interest. They are intended to aid in case identification.</w:t>
      </w:r>
    </w:p>
  </w:footnote>
  <w:footnote w:id="28">
    <w:p w14:paraId="78996A0B" w14:textId="77777777" w:rsidR="00DA7FE9" w:rsidRDefault="00DA7FE9"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0861E9C" w14:textId="77777777" w:rsidR="00DA7FE9" w:rsidRPr="00456765" w:rsidRDefault="00DA7FE9"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xml:space="preserve">. ACM encompass </w:t>
      </w:r>
      <w:r>
        <w:t>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29">
    <w:p w14:paraId="538AD847" w14:textId="6D4312DF" w:rsidR="00DA7FE9" w:rsidRDefault="00DA7FE9">
      <w:pPr>
        <w:pStyle w:val="FootnoteText"/>
      </w:pPr>
      <w:r>
        <w:rPr>
          <w:rStyle w:val="FootnoteReference"/>
        </w:rPr>
        <w:footnoteRef/>
      </w:r>
      <w:r>
        <w:t xml:space="preserve"> Also known as the </w:t>
      </w:r>
      <w:r w:rsidRPr="00071C9B">
        <w:t xml:space="preserve">PROMISE-1 </w:t>
      </w:r>
      <w:r>
        <w:t>trial.</w:t>
      </w:r>
    </w:p>
  </w:footnote>
  <w:footnote w:id="30">
    <w:p w14:paraId="59C3C7D8" w14:textId="4137ECE6" w:rsidR="00DA7FE9" w:rsidRDefault="00DA7FE9">
      <w:pPr>
        <w:pStyle w:val="FootnoteText"/>
      </w:pPr>
      <w:r>
        <w:rPr>
          <w:rStyle w:val="FootnoteReference"/>
        </w:rPr>
        <w:footnoteRef/>
      </w:r>
      <w:r>
        <w:t xml:space="preserve"> Also known as the PROMISE-2 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A9A01" w14:textId="77777777" w:rsidR="00DA7FE9" w:rsidRDefault="00DA7FE9"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02B4F" w14:textId="77777777" w:rsidR="00DA7FE9" w:rsidRDefault="00DA7FE9">
    <w:pPr>
      <w:rPr>
        <w:noProof/>
        <w:lang w:eastAsia="en-AU"/>
      </w:rPr>
    </w:pPr>
    <w:r w:rsidRPr="00347824">
      <w:rPr>
        <w:noProof/>
        <w:lang w:val="en-GB" w:eastAsia="en-GB"/>
      </w:rPr>
      <w:drawing>
        <wp:anchor distT="0" distB="0" distL="114300" distR="114300" simplePos="0" relativeHeight="251658240" behindDoc="1" locked="0" layoutInCell="1" allowOverlap="1" wp14:anchorId="1197341C" wp14:editId="70B6D290">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5FA6BF0" w14:textId="77777777" w:rsidR="00DA7FE9" w:rsidRDefault="00DA7FE9"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06687" w14:textId="77777777" w:rsidR="00DA7FE9" w:rsidRDefault="00DA7F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73D9E" w14:textId="77777777" w:rsidR="00DA7FE9" w:rsidRDefault="00DA7FE9">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ED13" w14:textId="77777777" w:rsidR="00DA7FE9" w:rsidRDefault="00DA7FE9">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83FFC" w14:textId="77777777" w:rsidR="00DA7FE9" w:rsidRDefault="00DA7F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B5F9E" w14:textId="77777777" w:rsidR="00DA7FE9" w:rsidRDefault="00DA7FE9"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8B8DC" w14:textId="77777777" w:rsidR="00DA7FE9" w:rsidRDefault="00DA7FE9" w:rsidP="006E08B3">
    <w:r>
      <w:t>Therapeutic Goods Administration</w:t>
    </w:r>
  </w:p>
  <w:p w14:paraId="5F588B7D" w14:textId="77777777" w:rsidR="00DA7FE9" w:rsidRDefault="00DA7FE9"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88F68BC"/>
    <w:multiLevelType w:val="hybridMultilevel"/>
    <w:tmpl w:val="52EA585C"/>
    <w:lvl w:ilvl="0" w:tplc="D0FC0E92">
      <w:numFmt w:val="bullet"/>
      <w:lvlText w:val="-"/>
      <w:lvlJc w:val="left"/>
      <w:pPr>
        <w:ind w:left="720" w:hanging="360"/>
      </w:pPr>
      <w:rPr>
        <w:rFonts w:ascii="Cambria" w:eastAsia="Cambria"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7381F4D"/>
    <w:multiLevelType w:val="hybridMultilevel"/>
    <w:tmpl w:val="6AB4E120"/>
    <w:lvl w:ilvl="0" w:tplc="4BC8A140">
      <w:start w:val="1"/>
      <w:numFmt w:val="decimal"/>
      <w:pStyle w:val="ListNumb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7FF5420"/>
    <w:multiLevelType w:val="hybridMultilevel"/>
    <w:tmpl w:val="0D724306"/>
    <w:lvl w:ilvl="0" w:tplc="F31E617A">
      <w:numFmt w:val="bullet"/>
      <w:lvlText w:val=""/>
      <w:lvlJc w:val="left"/>
      <w:pPr>
        <w:ind w:left="408" w:hanging="360"/>
      </w:pPr>
      <w:rPr>
        <w:rFonts w:ascii="Symbol" w:eastAsia="Cambria" w:hAnsi="Symbol" w:cs="Times New Roman" w:hint="default"/>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6" w15:restartNumberingAfterBreak="0">
    <w:nsid w:val="7FCD2FE5"/>
    <w:multiLevelType w:val="multilevel"/>
    <w:tmpl w:val="27A0B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1"/>
  </w:num>
  <w:num w:numId="4">
    <w:abstractNumId w:val="0"/>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
  </w:num>
  <w:num w:numId="16">
    <w:abstractNumId w:val="1"/>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PersonalInformation/>
  <w:removeDateAndTime/>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10"/>
    <w:rsid w:val="0000039B"/>
    <w:rsid w:val="00001127"/>
    <w:rsid w:val="00002031"/>
    <w:rsid w:val="000020AB"/>
    <w:rsid w:val="00004734"/>
    <w:rsid w:val="00005192"/>
    <w:rsid w:val="00006B22"/>
    <w:rsid w:val="00006FAB"/>
    <w:rsid w:val="000071DB"/>
    <w:rsid w:val="0001276A"/>
    <w:rsid w:val="000137E4"/>
    <w:rsid w:val="0001468F"/>
    <w:rsid w:val="000146A2"/>
    <w:rsid w:val="00020156"/>
    <w:rsid w:val="00020413"/>
    <w:rsid w:val="00022543"/>
    <w:rsid w:val="000227B9"/>
    <w:rsid w:val="000246AE"/>
    <w:rsid w:val="00025C67"/>
    <w:rsid w:val="00026695"/>
    <w:rsid w:val="00030E1D"/>
    <w:rsid w:val="000313DF"/>
    <w:rsid w:val="000340B0"/>
    <w:rsid w:val="00034888"/>
    <w:rsid w:val="00040477"/>
    <w:rsid w:val="00041291"/>
    <w:rsid w:val="00044772"/>
    <w:rsid w:val="0004541C"/>
    <w:rsid w:val="0005038A"/>
    <w:rsid w:val="00050F4C"/>
    <w:rsid w:val="000515C6"/>
    <w:rsid w:val="00052747"/>
    <w:rsid w:val="000534AA"/>
    <w:rsid w:val="0005391E"/>
    <w:rsid w:val="00054218"/>
    <w:rsid w:val="0005559E"/>
    <w:rsid w:val="000604D6"/>
    <w:rsid w:val="000624B4"/>
    <w:rsid w:val="0006264E"/>
    <w:rsid w:val="000637F4"/>
    <w:rsid w:val="00063C90"/>
    <w:rsid w:val="00064164"/>
    <w:rsid w:val="0006434D"/>
    <w:rsid w:val="00067075"/>
    <w:rsid w:val="00070D54"/>
    <w:rsid w:val="00071B4B"/>
    <w:rsid w:val="00071C9B"/>
    <w:rsid w:val="000734D8"/>
    <w:rsid w:val="000743FA"/>
    <w:rsid w:val="00074C57"/>
    <w:rsid w:val="0007618C"/>
    <w:rsid w:val="00077775"/>
    <w:rsid w:val="00077C86"/>
    <w:rsid w:val="00077CDC"/>
    <w:rsid w:val="000805A5"/>
    <w:rsid w:val="00080E27"/>
    <w:rsid w:val="0008236C"/>
    <w:rsid w:val="00082B69"/>
    <w:rsid w:val="000848C7"/>
    <w:rsid w:val="000857B6"/>
    <w:rsid w:val="0008688E"/>
    <w:rsid w:val="0008773C"/>
    <w:rsid w:val="00090471"/>
    <w:rsid w:val="000918D4"/>
    <w:rsid w:val="000953E9"/>
    <w:rsid w:val="00096194"/>
    <w:rsid w:val="00096A8F"/>
    <w:rsid w:val="00096AA7"/>
    <w:rsid w:val="00097A9F"/>
    <w:rsid w:val="000A0B40"/>
    <w:rsid w:val="000A222E"/>
    <w:rsid w:val="000A3495"/>
    <w:rsid w:val="000A3AED"/>
    <w:rsid w:val="000A44B4"/>
    <w:rsid w:val="000A4E5E"/>
    <w:rsid w:val="000B2BAE"/>
    <w:rsid w:val="000B3532"/>
    <w:rsid w:val="000B3A75"/>
    <w:rsid w:val="000B50C5"/>
    <w:rsid w:val="000B6ED2"/>
    <w:rsid w:val="000B6F52"/>
    <w:rsid w:val="000C00C2"/>
    <w:rsid w:val="000C292B"/>
    <w:rsid w:val="000C2A46"/>
    <w:rsid w:val="000C2B89"/>
    <w:rsid w:val="000C4DDC"/>
    <w:rsid w:val="000C5FDE"/>
    <w:rsid w:val="000C690F"/>
    <w:rsid w:val="000C71D8"/>
    <w:rsid w:val="000D06EA"/>
    <w:rsid w:val="000D1295"/>
    <w:rsid w:val="000D2398"/>
    <w:rsid w:val="000D391B"/>
    <w:rsid w:val="000D3D6D"/>
    <w:rsid w:val="000D4FC7"/>
    <w:rsid w:val="000D670B"/>
    <w:rsid w:val="000D7693"/>
    <w:rsid w:val="000E0535"/>
    <w:rsid w:val="000E1B61"/>
    <w:rsid w:val="000E6196"/>
    <w:rsid w:val="000E7E5B"/>
    <w:rsid w:val="000F02BB"/>
    <w:rsid w:val="000F096F"/>
    <w:rsid w:val="000F36C9"/>
    <w:rsid w:val="000F4869"/>
    <w:rsid w:val="000F5B42"/>
    <w:rsid w:val="000F6E6F"/>
    <w:rsid w:val="000F7F2D"/>
    <w:rsid w:val="00101A68"/>
    <w:rsid w:val="00101DCE"/>
    <w:rsid w:val="00102C12"/>
    <w:rsid w:val="00103064"/>
    <w:rsid w:val="0010601F"/>
    <w:rsid w:val="00106983"/>
    <w:rsid w:val="0010788A"/>
    <w:rsid w:val="00107A31"/>
    <w:rsid w:val="00110455"/>
    <w:rsid w:val="001107E1"/>
    <w:rsid w:val="00110EA5"/>
    <w:rsid w:val="00111EBC"/>
    <w:rsid w:val="001124A2"/>
    <w:rsid w:val="00112693"/>
    <w:rsid w:val="00112F56"/>
    <w:rsid w:val="001137F8"/>
    <w:rsid w:val="00113FFB"/>
    <w:rsid w:val="001159B1"/>
    <w:rsid w:val="00120BE6"/>
    <w:rsid w:val="001217F4"/>
    <w:rsid w:val="0012197B"/>
    <w:rsid w:val="00122C2E"/>
    <w:rsid w:val="00124ACD"/>
    <w:rsid w:val="00125318"/>
    <w:rsid w:val="001261EA"/>
    <w:rsid w:val="00126FDC"/>
    <w:rsid w:val="001270B3"/>
    <w:rsid w:val="00127C3D"/>
    <w:rsid w:val="00127F45"/>
    <w:rsid w:val="001305A2"/>
    <w:rsid w:val="0013190E"/>
    <w:rsid w:val="00133238"/>
    <w:rsid w:val="00133A1B"/>
    <w:rsid w:val="001345E0"/>
    <w:rsid w:val="00134D69"/>
    <w:rsid w:val="00135091"/>
    <w:rsid w:val="00137421"/>
    <w:rsid w:val="00137815"/>
    <w:rsid w:val="00137B6F"/>
    <w:rsid w:val="001409B9"/>
    <w:rsid w:val="0014135B"/>
    <w:rsid w:val="00141778"/>
    <w:rsid w:val="0014197B"/>
    <w:rsid w:val="00142607"/>
    <w:rsid w:val="001447CD"/>
    <w:rsid w:val="00144ACF"/>
    <w:rsid w:val="001453BB"/>
    <w:rsid w:val="001516B1"/>
    <w:rsid w:val="001531FC"/>
    <w:rsid w:val="0015410E"/>
    <w:rsid w:val="00154EBB"/>
    <w:rsid w:val="00156316"/>
    <w:rsid w:val="00161181"/>
    <w:rsid w:val="00161B39"/>
    <w:rsid w:val="00161F28"/>
    <w:rsid w:val="00162D14"/>
    <w:rsid w:val="00163780"/>
    <w:rsid w:val="00164B1A"/>
    <w:rsid w:val="00164B4D"/>
    <w:rsid w:val="00165389"/>
    <w:rsid w:val="0016538D"/>
    <w:rsid w:val="00165CA7"/>
    <w:rsid w:val="0016726F"/>
    <w:rsid w:val="0017268C"/>
    <w:rsid w:val="00173BD1"/>
    <w:rsid w:val="0017693F"/>
    <w:rsid w:val="00180D91"/>
    <w:rsid w:val="0018110E"/>
    <w:rsid w:val="001815F4"/>
    <w:rsid w:val="00181684"/>
    <w:rsid w:val="00181E57"/>
    <w:rsid w:val="00183B7F"/>
    <w:rsid w:val="001843C6"/>
    <w:rsid w:val="00184B3B"/>
    <w:rsid w:val="001850D9"/>
    <w:rsid w:val="001850E0"/>
    <w:rsid w:val="001866CD"/>
    <w:rsid w:val="00190F89"/>
    <w:rsid w:val="001925F8"/>
    <w:rsid w:val="0019266D"/>
    <w:rsid w:val="00194F25"/>
    <w:rsid w:val="0019544E"/>
    <w:rsid w:val="0019574C"/>
    <w:rsid w:val="0019775A"/>
    <w:rsid w:val="001A03AF"/>
    <w:rsid w:val="001A0AA1"/>
    <w:rsid w:val="001A1BAC"/>
    <w:rsid w:val="001A2158"/>
    <w:rsid w:val="001A5025"/>
    <w:rsid w:val="001A525F"/>
    <w:rsid w:val="001A5632"/>
    <w:rsid w:val="001A6F2E"/>
    <w:rsid w:val="001B09F9"/>
    <w:rsid w:val="001B1F2D"/>
    <w:rsid w:val="001B2C27"/>
    <w:rsid w:val="001B37EA"/>
    <w:rsid w:val="001B4B90"/>
    <w:rsid w:val="001B5C90"/>
    <w:rsid w:val="001B6448"/>
    <w:rsid w:val="001B69B3"/>
    <w:rsid w:val="001B751F"/>
    <w:rsid w:val="001B7FF0"/>
    <w:rsid w:val="001C0722"/>
    <w:rsid w:val="001C0E8E"/>
    <w:rsid w:val="001C1ACC"/>
    <w:rsid w:val="001C30A8"/>
    <w:rsid w:val="001C32CD"/>
    <w:rsid w:val="001C3C99"/>
    <w:rsid w:val="001C3EFE"/>
    <w:rsid w:val="001C65A1"/>
    <w:rsid w:val="001C65C9"/>
    <w:rsid w:val="001C6F46"/>
    <w:rsid w:val="001C77B8"/>
    <w:rsid w:val="001D2984"/>
    <w:rsid w:val="001D51D2"/>
    <w:rsid w:val="001D527C"/>
    <w:rsid w:val="001E00F2"/>
    <w:rsid w:val="001E07C6"/>
    <w:rsid w:val="001E07CF"/>
    <w:rsid w:val="001E1CF6"/>
    <w:rsid w:val="001E20CA"/>
    <w:rsid w:val="001E284A"/>
    <w:rsid w:val="001E59F1"/>
    <w:rsid w:val="001E6787"/>
    <w:rsid w:val="001F2CEE"/>
    <w:rsid w:val="001F392D"/>
    <w:rsid w:val="001F3A97"/>
    <w:rsid w:val="001F450B"/>
    <w:rsid w:val="001F49EB"/>
    <w:rsid w:val="001F5CEC"/>
    <w:rsid w:val="001F6CBA"/>
    <w:rsid w:val="001F6E87"/>
    <w:rsid w:val="001F753E"/>
    <w:rsid w:val="001F7B37"/>
    <w:rsid w:val="0020000F"/>
    <w:rsid w:val="00200203"/>
    <w:rsid w:val="00201D4E"/>
    <w:rsid w:val="002043CA"/>
    <w:rsid w:val="002045C6"/>
    <w:rsid w:val="00204D39"/>
    <w:rsid w:val="00204FD2"/>
    <w:rsid w:val="00205005"/>
    <w:rsid w:val="00205240"/>
    <w:rsid w:val="00206CB1"/>
    <w:rsid w:val="002076C9"/>
    <w:rsid w:val="0021040E"/>
    <w:rsid w:val="002110D2"/>
    <w:rsid w:val="00211364"/>
    <w:rsid w:val="002120B5"/>
    <w:rsid w:val="002134AF"/>
    <w:rsid w:val="00214771"/>
    <w:rsid w:val="00216444"/>
    <w:rsid w:val="002169BE"/>
    <w:rsid w:val="00216AD5"/>
    <w:rsid w:val="00220B8A"/>
    <w:rsid w:val="0022249B"/>
    <w:rsid w:val="00224679"/>
    <w:rsid w:val="002257F3"/>
    <w:rsid w:val="002260A5"/>
    <w:rsid w:val="002267AB"/>
    <w:rsid w:val="00233456"/>
    <w:rsid w:val="002334F5"/>
    <w:rsid w:val="0023397C"/>
    <w:rsid w:val="002339A5"/>
    <w:rsid w:val="00234CE8"/>
    <w:rsid w:val="00235548"/>
    <w:rsid w:val="00235930"/>
    <w:rsid w:val="00236206"/>
    <w:rsid w:val="0023654A"/>
    <w:rsid w:val="00240081"/>
    <w:rsid w:val="002427D5"/>
    <w:rsid w:val="00242CFE"/>
    <w:rsid w:val="00250271"/>
    <w:rsid w:val="0025262E"/>
    <w:rsid w:val="00255CEA"/>
    <w:rsid w:val="00257848"/>
    <w:rsid w:val="002578E8"/>
    <w:rsid w:val="00261A27"/>
    <w:rsid w:val="00262431"/>
    <w:rsid w:val="00264B4B"/>
    <w:rsid w:val="00264FB6"/>
    <w:rsid w:val="00265753"/>
    <w:rsid w:val="0027059B"/>
    <w:rsid w:val="0027084A"/>
    <w:rsid w:val="00270863"/>
    <w:rsid w:val="00270DE7"/>
    <w:rsid w:val="00272278"/>
    <w:rsid w:val="00273547"/>
    <w:rsid w:val="002747CC"/>
    <w:rsid w:val="002762E4"/>
    <w:rsid w:val="00277BCA"/>
    <w:rsid w:val="00280265"/>
    <w:rsid w:val="00281F37"/>
    <w:rsid w:val="00283415"/>
    <w:rsid w:val="00284538"/>
    <w:rsid w:val="00284774"/>
    <w:rsid w:val="00286434"/>
    <w:rsid w:val="00286C59"/>
    <w:rsid w:val="00287DD1"/>
    <w:rsid w:val="00290862"/>
    <w:rsid w:val="002912AC"/>
    <w:rsid w:val="00291957"/>
    <w:rsid w:val="00291C10"/>
    <w:rsid w:val="00293984"/>
    <w:rsid w:val="00293CE2"/>
    <w:rsid w:val="002942D1"/>
    <w:rsid w:val="0029501A"/>
    <w:rsid w:val="002A0D57"/>
    <w:rsid w:val="002A29B0"/>
    <w:rsid w:val="002A3721"/>
    <w:rsid w:val="002A3F64"/>
    <w:rsid w:val="002A5ED5"/>
    <w:rsid w:val="002A65F9"/>
    <w:rsid w:val="002A75AA"/>
    <w:rsid w:val="002B10A7"/>
    <w:rsid w:val="002B1638"/>
    <w:rsid w:val="002B2612"/>
    <w:rsid w:val="002B3624"/>
    <w:rsid w:val="002B4B9C"/>
    <w:rsid w:val="002C0239"/>
    <w:rsid w:val="002C0814"/>
    <w:rsid w:val="002C265C"/>
    <w:rsid w:val="002C2A48"/>
    <w:rsid w:val="002D0952"/>
    <w:rsid w:val="002D2149"/>
    <w:rsid w:val="002D4985"/>
    <w:rsid w:val="002D6BE6"/>
    <w:rsid w:val="002D6EE0"/>
    <w:rsid w:val="002E07E7"/>
    <w:rsid w:val="002E2086"/>
    <w:rsid w:val="002E2582"/>
    <w:rsid w:val="002E2E21"/>
    <w:rsid w:val="002E3E40"/>
    <w:rsid w:val="002E40B3"/>
    <w:rsid w:val="002E4C9A"/>
    <w:rsid w:val="002E5948"/>
    <w:rsid w:val="002E5FFE"/>
    <w:rsid w:val="002E6CEF"/>
    <w:rsid w:val="002F11F8"/>
    <w:rsid w:val="002F3F56"/>
    <w:rsid w:val="002F44B5"/>
    <w:rsid w:val="002F5122"/>
    <w:rsid w:val="002F5DC0"/>
    <w:rsid w:val="00300606"/>
    <w:rsid w:val="00301300"/>
    <w:rsid w:val="00301B3B"/>
    <w:rsid w:val="00303D9B"/>
    <w:rsid w:val="00306B44"/>
    <w:rsid w:val="00311026"/>
    <w:rsid w:val="003117E9"/>
    <w:rsid w:val="00311AC0"/>
    <w:rsid w:val="00313273"/>
    <w:rsid w:val="00313367"/>
    <w:rsid w:val="003139BD"/>
    <w:rsid w:val="00315823"/>
    <w:rsid w:val="00316AFD"/>
    <w:rsid w:val="003176FC"/>
    <w:rsid w:val="003228D4"/>
    <w:rsid w:val="00324E45"/>
    <w:rsid w:val="0032583B"/>
    <w:rsid w:val="00326F30"/>
    <w:rsid w:val="00326F91"/>
    <w:rsid w:val="00327513"/>
    <w:rsid w:val="00327883"/>
    <w:rsid w:val="00327BCF"/>
    <w:rsid w:val="003332DC"/>
    <w:rsid w:val="00335504"/>
    <w:rsid w:val="003373F4"/>
    <w:rsid w:val="003408C7"/>
    <w:rsid w:val="00340968"/>
    <w:rsid w:val="00340C18"/>
    <w:rsid w:val="0034275A"/>
    <w:rsid w:val="00343B98"/>
    <w:rsid w:val="003442FD"/>
    <w:rsid w:val="00344FC0"/>
    <w:rsid w:val="003456F1"/>
    <w:rsid w:val="00347824"/>
    <w:rsid w:val="00350567"/>
    <w:rsid w:val="00351F4D"/>
    <w:rsid w:val="003521E8"/>
    <w:rsid w:val="00352419"/>
    <w:rsid w:val="003539DE"/>
    <w:rsid w:val="00354025"/>
    <w:rsid w:val="003576E2"/>
    <w:rsid w:val="00361FE7"/>
    <w:rsid w:val="003625A5"/>
    <w:rsid w:val="00363A8D"/>
    <w:rsid w:val="00363FFB"/>
    <w:rsid w:val="00364424"/>
    <w:rsid w:val="00365767"/>
    <w:rsid w:val="00370783"/>
    <w:rsid w:val="00370CE3"/>
    <w:rsid w:val="00371DD4"/>
    <w:rsid w:val="003728F3"/>
    <w:rsid w:val="00372C61"/>
    <w:rsid w:val="00372D7C"/>
    <w:rsid w:val="003735BC"/>
    <w:rsid w:val="0037496E"/>
    <w:rsid w:val="0037622C"/>
    <w:rsid w:val="00377627"/>
    <w:rsid w:val="00383221"/>
    <w:rsid w:val="00383F42"/>
    <w:rsid w:val="003842D2"/>
    <w:rsid w:val="00384D9F"/>
    <w:rsid w:val="00386150"/>
    <w:rsid w:val="00386518"/>
    <w:rsid w:val="003874CE"/>
    <w:rsid w:val="00390231"/>
    <w:rsid w:val="003905FE"/>
    <w:rsid w:val="00390900"/>
    <w:rsid w:val="00390CFE"/>
    <w:rsid w:val="0039486D"/>
    <w:rsid w:val="00395DB1"/>
    <w:rsid w:val="0039644A"/>
    <w:rsid w:val="00396B01"/>
    <w:rsid w:val="003A3C47"/>
    <w:rsid w:val="003A6F52"/>
    <w:rsid w:val="003A7F6C"/>
    <w:rsid w:val="003B2899"/>
    <w:rsid w:val="003B3F41"/>
    <w:rsid w:val="003B4D60"/>
    <w:rsid w:val="003B4F38"/>
    <w:rsid w:val="003B5EBC"/>
    <w:rsid w:val="003B7925"/>
    <w:rsid w:val="003B7CDA"/>
    <w:rsid w:val="003B7E39"/>
    <w:rsid w:val="003C2989"/>
    <w:rsid w:val="003C407E"/>
    <w:rsid w:val="003C58DC"/>
    <w:rsid w:val="003C5F37"/>
    <w:rsid w:val="003C7213"/>
    <w:rsid w:val="003C7EB7"/>
    <w:rsid w:val="003D1E62"/>
    <w:rsid w:val="003D63B0"/>
    <w:rsid w:val="003D7FD0"/>
    <w:rsid w:val="003E0904"/>
    <w:rsid w:val="003E0B99"/>
    <w:rsid w:val="003E2217"/>
    <w:rsid w:val="003E2486"/>
    <w:rsid w:val="003E3208"/>
    <w:rsid w:val="003E569C"/>
    <w:rsid w:val="003E5B19"/>
    <w:rsid w:val="003E5F18"/>
    <w:rsid w:val="003E5F38"/>
    <w:rsid w:val="003E7D07"/>
    <w:rsid w:val="003F04F6"/>
    <w:rsid w:val="003F0B04"/>
    <w:rsid w:val="003F11FD"/>
    <w:rsid w:val="003F1F40"/>
    <w:rsid w:val="003F420B"/>
    <w:rsid w:val="003F5547"/>
    <w:rsid w:val="0040134E"/>
    <w:rsid w:val="004074FE"/>
    <w:rsid w:val="004076C1"/>
    <w:rsid w:val="004101C4"/>
    <w:rsid w:val="0041087A"/>
    <w:rsid w:val="0041143B"/>
    <w:rsid w:val="00411D7C"/>
    <w:rsid w:val="00412418"/>
    <w:rsid w:val="004146AF"/>
    <w:rsid w:val="0041516D"/>
    <w:rsid w:val="00421288"/>
    <w:rsid w:val="00425223"/>
    <w:rsid w:val="004317C4"/>
    <w:rsid w:val="00431D89"/>
    <w:rsid w:val="00432709"/>
    <w:rsid w:val="00432A1A"/>
    <w:rsid w:val="00433498"/>
    <w:rsid w:val="004334C7"/>
    <w:rsid w:val="004408E2"/>
    <w:rsid w:val="00440A2D"/>
    <w:rsid w:val="00440EBF"/>
    <w:rsid w:val="004412F4"/>
    <w:rsid w:val="00441AC4"/>
    <w:rsid w:val="00441C3F"/>
    <w:rsid w:val="004431B4"/>
    <w:rsid w:val="004434E6"/>
    <w:rsid w:val="004449D7"/>
    <w:rsid w:val="00444D1A"/>
    <w:rsid w:val="0044538A"/>
    <w:rsid w:val="004460DA"/>
    <w:rsid w:val="00447190"/>
    <w:rsid w:val="0045186A"/>
    <w:rsid w:val="00452ABC"/>
    <w:rsid w:val="00453504"/>
    <w:rsid w:val="00453D66"/>
    <w:rsid w:val="00454ADC"/>
    <w:rsid w:val="004560B8"/>
    <w:rsid w:val="004564A7"/>
    <w:rsid w:val="00456765"/>
    <w:rsid w:val="004567BD"/>
    <w:rsid w:val="004574FE"/>
    <w:rsid w:val="00460036"/>
    <w:rsid w:val="0046047F"/>
    <w:rsid w:val="00461364"/>
    <w:rsid w:val="004617BF"/>
    <w:rsid w:val="00462F0C"/>
    <w:rsid w:val="00463658"/>
    <w:rsid w:val="004637A0"/>
    <w:rsid w:val="00464E7A"/>
    <w:rsid w:val="0046747F"/>
    <w:rsid w:val="004711AF"/>
    <w:rsid w:val="004722CC"/>
    <w:rsid w:val="00472807"/>
    <w:rsid w:val="004738F5"/>
    <w:rsid w:val="004742EF"/>
    <w:rsid w:val="00475192"/>
    <w:rsid w:val="004755DC"/>
    <w:rsid w:val="00476E31"/>
    <w:rsid w:val="004808E3"/>
    <w:rsid w:val="00482111"/>
    <w:rsid w:val="00482F03"/>
    <w:rsid w:val="00483389"/>
    <w:rsid w:val="00484D1C"/>
    <w:rsid w:val="00485549"/>
    <w:rsid w:val="00485568"/>
    <w:rsid w:val="00485D1B"/>
    <w:rsid w:val="004872C1"/>
    <w:rsid w:val="00487609"/>
    <w:rsid w:val="00490483"/>
    <w:rsid w:val="00490A6E"/>
    <w:rsid w:val="004921B0"/>
    <w:rsid w:val="004936E4"/>
    <w:rsid w:val="00494E45"/>
    <w:rsid w:val="00494E60"/>
    <w:rsid w:val="004958AB"/>
    <w:rsid w:val="00495D19"/>
    <w:rsid w:val="00495D44"/>
    <w:rsid w:val="0049616B"/>
    <w:rsid w:val="00497487"/>
    <w:rsid w:val="00497620"/>
    <w:rsid w:val="004977A9"/>
    <w:rsid w:val="004A0E3F"/>
    <w:rsid w:val="004A1D95"/>
    <w:rsid w:val="004A23F6"/>
    <w:rsid w:val="004A2771"/>
    <w:rsid w:val="004A286F"/>
    <w:rsid w:val="004A426D"/>
    <w:rsid w:val="004A4EDE"/>
    <w:rsid w:val="004A6189"/>
    <w:rsid w:val="004A7390"/>
    <w:rsid w:val="004A75DD"/>
    <w:rsid w:val="004B04BC"/>
    <w:rsid w:val="004B0B2D"/>
    <w:rsid w:val="004B226B"/>
    <w:rsid w:val="004B4494"/>
    <w:rsid w:val="004B58C9"/>
    <w:rsid w:val="004B726B"/>
    <w:rsid w:val="004B7B76"/>
    <w:rsid w:val="004C1E05"/>
    <w:rsid w:val="004C239D"/>
    <w:rsid w:val="004C2DCA"/>
    <w:rsid w:val="004C3F8D"/>
    <w:rsid w:val="004C4FBE"/>
    <w:rsid w:val="004C61D2"/>
    <w:rsid w:val="004C7C79"/>
    <w:rsid w:val="004D239B"/>
    <w:rsid w:val="004D47CF"/>
    <w:rsid w:val="004D53F4"/>
    <w:rsid w:val="004D5A13"/>
    <w:rsid w:val="004E14EF"/>
    <w:rsid w:val="004E3020"/>
    <w:rsid w:val="004E3AAD"/>
    <w:rsid w:val="004E4DA5"/>
    <w:rsid w:val="004E52FA"/>
    <w:rsid w:val="004E6276"/>
    <w:rsid w:val="004F0118"/>
    <w:rsid w:val="004F0C4A"/>
    <w:rsid w:val="004F0F38"/>
    <w:rsid w:val="004F1341"/>
    <w:rsid w:val="004F47D6"/>
    <w:rsid w:val="004F75EB"/>
    <w:rsid w:val="00500337"/>
    <w:rsid w:val="00501921"/>
    <w:rsid w:val="00503376"/>
    <w:rsid w:val="00503AE1"/>
    <w:rsid w:val="0050604B"/>
    <w:rsid w:val="005062EA"/>
    <w:rsid w:val="00507366"/>
    <w:rsid w:val="0051313F"/>
    <w:rsid w:val="00513CA9"/>
    <w:rsid w:val="00515480"/>
    <w:rsid w:val="00516164"/>
    <w:rsid w:val="0051666E"/>
    <w:rsid w:val="005167A7"/>
    <w:rsid w:val="005178D7"/>
    <w:rsid w:val="00524D4F"/>
    <w:rsid w:val="00525E1F"/>
    <w:rsid w:val="00530354"/>
    <w:rsid w:val="00530AA2"/>
    <w:rsid w:val="0053273F"/>
    <w:rsid w:val="00532D4B"/>
    <w:rsid w:val="0053625B"/>
    <w:rsid w:val="00537290"/>
    <w:rsid w:val="00541BBA"/>
    <w:rsid w:val="005433CD"/>
    <w:rsid w:val="005434C6"/>
    <w:rsid w:val="00543B39"/>
    <w:rsid w:val="00543BDC"/>
    <w:rsid w:val="00544BE4"/>
    <w:rsid w:val="005450C9"/>
    <w:rsid w:val="00546154"/>
    <w:rsid w:val="0054671F"/>
    <w:rsid w:val="00546C11"/>
    <w:rsid w:val="00547EF6"/>
    <w:rsid w:val="00550096"/>
    <w:rsid w:val="00550137"/>
    <w:rsid w:val="005518F7"/>
    <w:rsid w:val="005538C4"/>
    <w:rsid w:val="00553C3D"/>
    <w:rsid w:val="00555280"/>
    <w:rsid w:val="005577AB"/>
    <w:rsid w:val="00557FF9"/>
    <w:rsid w:val="00562327"/>
    <w:rsid w:val="00562461"/>
    <w:rsid w:val="00562FC6"/>
    <w:rsid w:val="005631D2"/>
    <w:rsid w:val="005641FD"/>
    <w:rsid w:val="00565693"/>
    <w:rsid w:val="005703C3"/>
    <w:rsid w:val="005711D5"/>
    <w:rsid w:val="00576249"/>
    <w:rsid w:val="00576378"/>
    <w:rsid w:val="005768F2"/>
    <w:rsid w:val="00577130"/>
    <w:rsid w:val="00577945"/>
    <w:rsid w:val="00577E38"/>
    <w:rsid w:val="00581330"/>
    <w:rsid w:val="00581866"/>
    <w:rsid w:val="00581C99"/>
    <w:rsid w:val="00585322"/>
    <w:rsid w:val="005857C6"/>
    <w:rsid w:val="005911F0"/>
    <w:rsid w:val="00591C82"/>
    <w:rsid w:val="00592F6E"/>
    <w:rsid w:val="0059312B"/>
    <w:rsid w:val="00593AD1"/>
    <w:rsid w:val="005953B5"/>
    <w:rsid w:val="00595DD0"/>
    <w:rsid w:val="0059753B"/>
    <w:rsid w:val="00597BDC"/>
    <w:rsid w:val="005A12AE"/>
    <w:rsid w:val="005A12C1"/>
    <w:rsid w:val="005A68B6"/>
    <w:rsid w:val="005A7D2B"/>
    <w:rsid w:val="005B115D"/>
    <w:rsid w:val="005B1AAA"/>
    <w:rsid w:val="005B22A2"/>
    <w:rsid w:val="005B4C1D"/>
    <w:rsid w:val="005B50E2"/>
    <w:rsid w:val="005B528D"/>
    <w:rsid w:val="005B6522"/>
    <w:rsid w:val="005B7EC0"/>
    <w:rsid w:val="005C05B1"/>
    <w:rsid w:val="005C1C5E"/>
    <w:rsid w:val="005C2CDA"/>
    <w:rsid w:val="005C2FAB"/>
    <w:rsid w:val="005C54FF"/>
    <w:rsid w:val="005C5570"/>
    <w:rsid w:val="005C5B66"/>
    <w:rsid w:val="005C79A4"/>
    <w:rsid w:val="005D205D"/>
    <w:rsid w:val="005D2355"/>
    <w:rsid w:val="005D33CC"/>
    <w:rsid w:val="005D45E6"/>
    <w:rsid w:val="005D5442"/>
    <w:rsid w:val="005D5533"/>
    <w:rsid w:val="005D6C4E"/>
    <w:rsid w:val="005F09A7"/>
    <w:rsid w:val="005F339D"/>
    <w:rsid w:val="005F3982"/>
    <w:rsid w:val="005F732D"/>
    <w:rsid w:val="00600442"/>
    <w:rsid w:val="006006BC"/>
    <w:rsid w:val="00601206"/>
    <w:rsid w:val="00601580"/>
    <w:rsid w:val="00603F32"/>
    <w:rsid w:val="006044FC"/>
    <w:rsid w:val="00605AD4"/>
    <w:rsid w:val="00606473"/>
    <w:rsid w:val="006117A3"/>
    <w:rsid w:val="00612A86"/>
    <w:rsid w:val="00613598"/>
    <w:rsid w:val="006136D7"/>
    <w:rsid w:val="00613970"/>
    <w:rsid w:val="0061710A"/>
    <w:rsid w:val="00625A6E"/>
    <w:rsid w:val="006261D3"/>
    <w:rsid w:val="00626D92"/>
    <w:rsid w:val="006271B1"/>
    <w:rsid w:val="0063029D"/>
    <w:rsid w:val="006309F2"/>
    <w:rsid w:val="0063224F"/>
    <w:rsid w:val="0063233F"/>
    <w:rsid w:val="00632398"/>
    <w:rsid w:val="00634A98"/>
    <w:rsid w:val="0063544A"/>
    <w:rsid w:val="00640FC3"/>
    <w:rsid w:val="00642020"/>
    <w:rsid w:val="006427C0"/>
    <w:rsid w:val="0064307F"/>
    <w:rsid w:val="006430EE"/>
    <w:rsid w:val="006433B5"/>
    <w:rsid w:val="006451EF"/>
    <w:rsid w:val="0064528A"/>
    <w:rsid w:val="0064688A"/>
    <w:rsid w:val="00652DB9"/>
    <w:rsid w:val="0065337B"/>
    <w:rsid w:val="0065419D"/>
    <w:rsid w:val="00654D9D"/>
    <w:rsid w:val="006560BF"/>
    <w:rsid w:val="00657331"/>
    <w:rsid w:val="006603BC"/>
    <w:rsid w:val="006604D8"/>
    <w:rsid w:val="00660A81"/>
    <w:rsid w:val="006614E6"/>
    <w:rsid w:val="00661688"/>
    <w:rsid w:val="00664A5B"/>
    <w:rsid w:val="006650E4"/>
    <w:rsid w:val="00665E49"/>
    <w:rsid w:val="0066735C"/>
    <w:rsid w:val="0067045F"/>
    <w:rsid w:val="0067374C"/>
    <w:rsid w:val="006763D2"/>
    <w:rsid w:val="00680C08"/>
    <w:rsid w:val="00681DA6"/>
    <w:rsid w:val="00681F2C"/>
    <w:rsid w:val="00684650"/>
    <w:rsid w:val="00686C5B"/>
    <w:rsid w:val="006916A0"/>
    <w:rsid w:val="006931B1"/>
    <w:rsid w:val="0069376E"/>
    <w:rsid w:val="00696D17"/>
    <w:rsid w:val="006A15C0"/>
    <w:rsid w:val="006A1720"/>
    <w:rsid w:val="006A1F63"/>
    <w:rsid w:val="006A448C"/>
    <w:rsid w:val="006A5647"/>
    <w:rsid w:val="006A58A8"/>
    <w:rsid w:val="006B032F"/>
    <w:rsid w:val="006B0A89"/>
    <w:rsid w:val="006B19CD"/>
    <w:rsid w:val="006B1E79"/>
    <w:rsid w:val="006B29B3"/>
    <w:rsid w:val="006B618C"/>
    <w:rsid w:val="006B7462"/>
    <w:rsid w:val="006C135B"/>
    <w:rsid w:val="006C1488"/>
    <w:rsid w:val="006C19D3"/>
    <w:rsid w:val="006C3E2A"/>
    <w:rsid w:val="006C3FD9"/>
    <w:rsid w:val="006C458D"/>
    <w:rsid w:val="006C642F"/>
    <w:rsid w:val="006C724E"/>
    <w:rsid w:val="006C75C7"/>
    <w:rsid w:val="006D03E5"/>
    <w:rsid w:val="006D0862"/>
    <w:rsid w:val="006D1073"/>
    <w:rsid w:val="006D2867"/>
    <w:rsid w:val="006D2B9D"/>
    <w:rsid w:val="006D5D3E"/>
    <w:rsid w:val="006E08B3"/>
    <w:rsid w:val="006E147A"/>
    <w:rsid w:val="006E3847"/>
    <w:rsid w:val="006E3D2A"/>
    <w:rsid w:val="006E5750"/>
    <w:rsid w:val="006E6CA2"/>
    <w:rsid w:val="006F17AC"/>
    <w:rsid w:val="006F25B8"/>
    <w:rsid w:val="006F572E"/>
    <w:rsid w:val="006F631D"/>
    <w:rsid w:val="00701C50"/>
    <w:rsid w:val="00701D56"/>
    <w:rsid w:val="00702F97"/>
    <w:rsid w:val="00703735"/>
    <w:rsid w:val="007046D6"/>
    <w:rsid w:val="00705A49"/>
    <w:rsid w:val="00705DB0"/>
    <w:rsid w:val="00706486"/>
    <w:rsid w:val="00711FBB"/>
    <w:rsid w:val="0071244C"/>
    <w:rsid w:val="00714C65"/>
    <w:rsid w:val="007152E3"/>
    <w:rsid w:val="00717796"/>
    <w:rsid w:val="00720333"/>
    <w:rsid w:val="00720807"/>
    <w:rsid w:val="00720896"/>
    <w:rsid w:val="00720EE2"/>
    <w:rsid w:val="00721B8B"/>
    <w:rsid w:val="00721C10"/>
    <w:rsid w:val="00722B57"/>
    <w:rsid w:val="0072432A"/>
    <w:rsid w:val="007249F3"/>
    <w:rsid w:val="00726536"/>
    <w:rsid w:val="00730F68"/>
    <w:rsid w:val="00730F8A"/>
    <w:rsid w:val="00731DCF"/>
    <w:rsid w:val="007349B4"/>
    <w:rsid w:val="007350D6"/>
    <w:rsid w:val="0073524C"/>
    <w:rsid w:val="007359D7"/>
    <w:rsid w:val="00735A8C"/>
    <w:rsid w:val="00736009"/>
    <w:rsid w:val="00736A13"/>
    <w:rsid w:val="00740214"/>
    <w:rsid w:val="007402A8"/>
    <w:rsid w:val="0074253D"/>
    <w:rsid w:val="00744121"/>
    <w:rsid w:val="0074429B"/>
    <w:rsid w:val="007457EA"/>
    <w:rsid w:val="00745C9E"/>
    <w:rsid w:val="007517E4"/>
    <w:rsid w:val="00751E2D"/>
    <w:rsid w:val="00751F7D"/>
    <w:rsid w:val="00751F82"/>
    <w:rsid w:val="00751FF3"/>
    <w:rsid w:val="00754837"/>
    <w:rsid w:val="007549E2"/>
    <w:rsid w:val="00755FBE"/>
    <w:rsid w:val="00756319"/>
    <w:rsid w:val="007615BC"/>
    <w:rsid w:val="00762F05"/>
    <w:rsid w:val="00763140"/>
    <w:rsid w:val="00764114"/>
    <w:rsid w:val="00764B97"/>
    <w:rsid w:val="007652FF"/>
    <w:rsid w:val="00766255"/>
    <w:rsid w:val="007664EB"/>
    <w:rsid w:val="007701B0"/>
    <w:rsid w:val="007702EC"/>
    <w:rsid w:val="00770CAC"/>
    <w:rsid w:val="00770D79"/>
    <w:rsid w:val="00770EF1"/>
    <w:rsid w:val="00773EF7"/>
    <w:rsid w:val="00773FC0"/>
    <w:rsid w:val="00774E1D"/>
    <w:rsid w:val="007765D8"/>
    <w:rsid w:val="0077675A"/>
    <w:rsid w:val="00776C5B"/>
    <w:rsid w:val="00776FC7"/>
    <w:rsid w:val="007774E5"/>
    <w:rsid w:val="00780355"/>
    <w:rsid w:val="0078089A"/>
    <w:rsid w:val="007819FD"/>
    <w:rsid w:val="00785717"/>
    <w:rsid w:val="00785721"/>
    <w:rsid w:val="00785B39"/>
    <w:rsid w:val="0078659A"/>
    <w:rsid w:val="00787264"/>
    <w:rsid w:val="0078731E"/>
    <w:rsid w:val="007875B6"/>
    <w:rsid w:val="007911CE"/>
    <w:rsid w:val="00793A59"/>
    <w:rsid w:val="00794DE5"/>
    <w:rsid w:val="007A23B4"/>
    <w:rsid w:val="007A27EA"/>
    <w:rsid w:val="007A2AAF"/>
    <w:rsid w:val="007A37BF"/>
    <w:rsid w:val="007A4029"/>
    <w:rsid w:val="007A46F5"/>
    <w:rsid w:val="007A6240"/>
    <w:rsid w:val="007A6505"/>
    <w:rsid w:val="007B0283"/>
    <w:rsid w:val="007B0BC9"/>
    <w:rsid w:val="007B133E"/>
    <w:rsid w:val="007B6132"/>
    <w:rsid w:val="007B6BDF"/>
    <w:rsid w:val="007B6E9F"/>
    <w:rsid w:val="007B79AF"/>
    <w:rsid w:val="007C0838"/>
    <w:rsid w:val="007C1216"/>
    <w:rsid w:val="007C1AF7"/>
    <w:rsid w:val="007C2085"/>
    <w:rsid w:val="007C3DE6"/>
    <w:rsid w:val="007C518B"/>
    <w:rsid w:val="007C63BE"/>
    <w:rsid w:val="007C6B9B"/>
    <w:rsid w:val="007D53B6"/>
    <w:rsid w:val="007D53CE"/>
    <w:rsid w:val="007D7698"/>
    <w:rsid w:val="007E00C7"/>
    <w:rsid w:val="007E3C96"/>
    <w:rsid w:val="007E46E3"/>
    <w:rsid w:val="007E4778"/>
    <w:rsid w:val="007E4F51"/>
    <w:rsid w:val="007E57CA"/>
    <w:rsid w:val="007E5F01"/>
    <w:rsid w:val="007E5F4F"/>
    <w:rsid w:val="007E6C08"/>
    <w:rsid w:val="007E6DF6"/>
    <w:rsid w:val="007E7CD9"/>
    <w:rsid w:val="007E7D5D"/>
    <w:rsid w:val="007F0C2D"/>
    <w:rsid w:val="007F1976"/>
    <w:rsid w:val="007F2AEE"/>
    <w:rsid w:val="007F31F9"/>
    <w:rsid w:val="007F5D09"/>
    <w:rsid w:val="00805D27"/>
    <w:rsid w:val="0080613A"/>
    <w:rsid w:val="00806DCB"/>
    <w:rsid w:val="0081099A"/>
    <w:rsid w:val="00811CFE"/>
    <w:rsid w:val="00813AC3"/>
    <w:rsid w:val="00813CFA"/>
    <w:rsid w:val="00820850"/>
    <w:rsid w:val="00821776"/>
    <w:rsid w:val="00822155"/>
    <w:rsid w:val="0082285E"/>
    <w:rsid w:val="00824695"/>
    <w:rsid w:val="008277E8"/>
    <w:rsid w:val="008316C0"/>
    <w:rsid w:val="00831E8B"/>
    <w:rsid w:val="008321F5"/>
    <w:rsid w:val="00832369"/>
    <w:rsid w:val="00832983"/>
    <w:rsid w:val="008334F8"/>
    <w:rsid w:val="00834660"/>
    <w:rsid w:val="00836BC2"/>
    <w:rsid w:val="00837BF8"/>
    <w:rsid w:val="00843AC6"/>
    <w:rsid w:val="0084445B"/>
    <w:rsid w:val="008444F6"/>
    <w:rsid w:val="00846EC7"/>
    <w:rsid w:val="00846F9B"/>
    <w:rsid w:val="0085156D"/>
    <w:rsid w:val="00852B28"/>
    <w:rsid w:val="00853AB8"/>
    <w:rsid w:val="0085415D"/>
    <w:rsid w:val="0085641B"/>
    <w:rsid w:val="00857136"/>
    <w:rsid w:val="00860CB5"/>
    <w:rsid w:val="00861943"/>
    <w:rsid w:val="0086346F"/>
    <w:rsid w:val="00863872"/>
    <w:rsid w:val="008661B6"/>
    <w:rsid w:val="008708FE"/>
    <w:rsid w:val="00870A27"/>
    <w:rsid w:val="00874231"/>
    <w:rsid w:val="0087441C"/>
    <w:rsid w:val="00874ED5"/>
    <w:rsid w:val="00874F12"/>
    <w:rsid w:val="00875A6B"/>
    <w:rsid w:val="00876B98"/>
    <w:rsid w:val="00880269"/>
    <w:rsid w:val="00881E4E"/>
    <w:rsid w:val="00882552"/>
    <w:rsid w:val="00884758"/>
    <w:rsid w:val="00885B11"/>
    <w:rsid w:val="008865F4"/>
    <w:rsid w:val="00886D15"/>
    <w:rsid w:val="00887B26"/>
    <w:rsid w:val="00887DD8"/>
    <w:rsid w:val="00890F05"/>
    <w:rsid w:val="00891BA9"/>
    <w:rsid w:val="00892873"/>
    <w:rsid w:val="00894DF0"/>
    <w:rsid w:val="00896018"/>
    <w:rsid w:val="008960DD"/>
    <w:rsid w:val="0089635C"/>
    <w:rsid w:val="008970AF"/>
    <w:rsid w:val="0089718F"/>
    <w:rsid w:val="008A14D5"/>
    <w:rsid w:val="008A289C"/>
    <w:rsid w:val="008A2A23"/>
    <w:rsid w:val="008A2B9D"/>
    <w:rsid w:val="008A32F9"/>
    <w:rsid w:val="008A389F"/>
    <w:rsid w:val="008A3D9F"/>
    <w:rsid w:val="008A3EBC"/>
    <w:rsid w:val="008A4A88"/>
    <w:rsid w:val="008A5E0B"/>
    <w:rsid w:val="008A6D59"/>
    <w:rsid w:val="008A73CB"/>
    <w:rsid w:val="008B0780"/>
    <w:rsid w:val="008B1F56"/>
    <w:rsid w:val="008B37D5"/>
    <w:rsid w:val="008B4B03"/>
    <w:rsid w:val="008B535B"/>
    <w:rsid w:val="008B596F"/>
    <w:rsid w:val="008B5DD2"/>
    <w:rsid w:val="008B64A3"/>
    <w:rsid w:val="008C0156"/>
    <w:rsid w:val="008C159F"/>
    <w:rsid w:val="008C1623"/>
    <w:rsid w:val="008C1850"/>
    <w:rsid w:val="008C475C"/>
    <w:rsid w:val="008C51A9"/>
    <w:rsid w:val="008C6B35"/>
    <w:rsid w:val="008D043D"/>
    <w:rsid w:val="008D17C5"/>
    <w:rsid w:val="008D222D"/>
    <w:rsid w:val="008D2734"/>
    <w:rsid w:val="008D3E8C"/>
    <w:rsid w:val="008D40F6"/>
    <w:rsid w:val="008D56CC"/>
    <w:rsid w:val="008D5FE8"/>
    <w:rsid w:val="008D6078"/>
    <w:rsid w:val="008D7E92"/>
    <w:rsid w:val="008E082E"/>
    <w:rsid w:val="008E39CB"/>
    <w:rsid w:val="008E68F7"/>
    <w:rsid w:val="008E7846"/>
    <w:rsid w:val="008F02E5"/>
    <w:rsid w:val="008F0ADD"/>
    <w:rsid w:val="008F1CCC"/>
    <w:rsid w:val="008F1EC2"/>
    <w:rsid w:val="008F22B6"/>
    <w:rsid w:val="008F2967"/>
    <w:rsid w:val="008F2A44"/>
    <w:rsid w:val="008F2E3E"/>
    <w:rsid w:val="008F3E22"/>
    <w:rsid w:val="008F41BA"/>
    <w:rsid w:val="008F4461"/>
    <w:rsid w:val="008F4DE9"/>
    <w:rsid w:val="008F6070"/>
    <w:rsid w:val="008F6943"/>
    <w:rsid w:val="00902A21"/>
    <w:rsid w:val="00903458"/>
    <w:rsid w:val="00903B42"/>
    <w:rsid w:val="00905793"/>
    <w:rsid w:val="009070B1"/>
    <w:rsid w:val="00907F16"/>
    <w:rsid w:val="00910F94"/>
    <w:rsid w:val="009116B4"/>
    <w:rsid w:val="009126E6"/>
    <w:rsid w:val="0091274C"/>
    <w:rsid w:val="00913782"/>
    <w:rsid w:val="00913BB0"/>
    <w:rsid w:val="00914418"/>
    <w:rsid w:val="00914ABE"/>
    <w:rsid w:val="0091523F"/>
    <w:rsid w:val="00915C86"/>
    <w:rsid w:val="009169DA"/>
    <w:rsid w:val="00920330"/>
    <w:rsid w:val="009214EE"/>
    <w:rsid w:val="009219D7"/>
    <w:rsid w:val="00922D53"/>
    <w:rsid w:val="00923B70"/>
    <w:rsid w:val="00924482"/>
    <w:rsid w:val="0092762F"/>
    <w:rsid w:val="00930237"/>
    <w:rsid w:val="00930584"/>
    <w:rsid w:val="00935F45"/>
    <w:rsid w:val="00936542"/>
    <w:rsid w:val="00937A86"/>
    <w:rsid w:val="00937C17"/>
    <w:rsid w:val="00940A89"/>
    <w:rsid w:val="00941F77"/>
    <w:rsid w:val="009447C5"/>
    <w:rsid w:val="00945CD9"/>
    <w:rsid w:val="00946EA5"/>
    <w:rsid w:val="0095044F"/>
    <w:rsid w:val="00953600"/>
    <w:rsid w:val="00957849"/>
    <w:rsid w:val="009579D1"/>
    <w:rsid w:val="00957FC2"/>
    <w:rsid w:val="00960520"/>
    <w:rsid w:val="0096208F"/>
    <w:rsid w:val="009621F2"/>
    <w:rsid w:val="009628EA"/>
    <w:rsid w:val="009638EF"/>
    <w:rsid w:val="00963C08"/>
    <w:rsid w:val="00964097"/>
    <w:rsid w:val="009666CE"/>
    <w:rsid w:val="00967E51"/>
    <w:rsid w:val="009752A5"/>
    <w:rsid w:val="00975EE4"/>
    <w:rsid w:val="00976DFB"/>
    <w:rsid w:val="00977858"/>
    <w:rsid w:val="009823D7"/>
    <w:rsid w:val="00982AC8"/>
    <w:rsid w:val="00982E86"/>
    <w:rsid w:val="009840E8"/>
    <w:rsid w:val="0098585A"/>
    <w:rsid w:val="009865DA"/>
    <w:rsid w:val="00990706"/>
    <w:rsid w:val="0099128A"/>
    <w:rsid w:val="00991B4F"/>
    <w:rsid w:val="0099356C"/>
    <w:rsid w:val="00994988"/>
    <w:rsid w:val="00995C11"/>
    <w:rsid w:val="009979CB"/>
    <w:rsid w:val="009A0406"/>
    <w:rsid w:val="009A1741"/>
    <w:rsid w:val="009A180E"/>
    <w:rsid w:val="009A2D91"/>
    <w:rsid w:val="009A4C32"/>
    <w:rsid w:val="009A4CED"/>
    <w:rsid w:val="009A505C"/>
    <w:rsid w:val="009A690D"/>
    <w:rsid w:val="009A7C1F"/>
    <w:rsid w:val="009B1999"/>
    <w:rsid w:val="009B1D12"/>
    <w:rsid w:val="009B3388"/>
    <w:rsid w:val="009B3E0F"/>
    <w:rsid w:val="009B416B"/>
    <w:rsid w:val="009B6037"/>
    <w:rsid w:val="009B6D74"/>
    <w:rsid w:val="009B6E55"/>
    <w:rsid w:val="009C0339"/>
    <w:rsid w:val="009C0458"/>
    <w:rsid w:val="009C2154"/>
    <w:rsid w:val="009C2B1D"/>
    <w:rsid w:val="009C2EBE"/>
    <w:rsid w:val="009C46CB"/>
    <w:rsid w:val="009C4BD5"/>
    <w:rsid w:val="009C553A"/>
    <w:rsid w:val="009D7343"/>
    <w:rsid w:val="009D79C5"/>
    <w:rsid w:val="009D7B77"/>
    <w:rsid w:val="009E0BB0"/>
    <w:rsid w:val="009E3FBB"/>
    <w:rsid w:val="009E51FB"/>
    <w:rsid w:val="009E5C85"/>
    <w:rsid w:val="009F0717"/>
    <w:rsid w:val="009F3E3B"/>
    <w:rsid w:val="009F4869"/>
    <w:rsid w:val="009F4FEF"/>
    <w:rsid w:val="009F7353"/>
    <w:rsid w:val="00A0043E"/>
    <w:rsid w:val="00A018BC"/>
    <w:rsid w:val="00A0482D"/>
    <w:rsid w:val="00A04A52"/>
    <w:rsid w:val="00A04AAB"/>
    <w:rsid w:val="00A04F85"/>
    <w:rsid w:val="00A05FA4"/>
    <w:rsid w:val="00A07073"/>
    <w:rsid w:val="00A07578"/>
    <w:rsid w:val="00A102E4"/>
    <w:rsid w:val="00A10E16"/>
    <w:rsid w:val="00A116A2"/>
    <w:rsid w:val="00A1219C"/>
    <w:rsid w:val="00A12986"/>
    <w:rsid w:val="00A12C42"/>
    <w:rsid w:val="00A12E3A"/>
    <w:rsid w:val="00A13C3B"/>
    <w:rsid w:val="00A14DF7"/>
    <w:rsid w:val="00A14F2E"/>
    <w:rsid w:val="00A1786F"/>
    <w:rsid w:val="00A213DB"/>
    <w:rsid w:val="00A21614"/>
    <w:rsid w:val="00A22D57"/>
    <w:rsid w:val="00A23376"/>
    <w:rsid w:val="00A23404"/>
    <w:rsid w:val="00A2405F"/>
    <w:rsid w:val="00A25988"/>
    <w:rsid w:val="00A26414"/>
    <w:rsid w:val="00A2783F"/>
    <w:rsid w:val="00A27B72"/>
    <w:rsid w:val="00A3246D"/>
    <w:rsid w:val="00A32549"/>
    <w:rsid w:val="00A338AA"/>
    <w:rsid w:val="00A368E0"/>
    <w:rsid w:val="00A36FA7"/>
    <w:rsid w:val="00A4068F"/>
    <w:rsid w:val="00A433DE"/>
    <w:rsid w:val="00A43884"/>
    <w:rsid w:val="00A43D17"/>
    <w:rsid w:val="00A441E5"/>
    <w:rsid w:val="00A44DDB"/>
    <w:rsid w:val="00A45116"/>
    <w:rsid w:val="00A456A7"/>
    <w:rsid w:val="00A475B7"/>
    <w:rsid w:val="00A47AF7"/>
    <w:rsid w:val="00A47C3E"/>
    <w:rsid w:val="00A47CF0"/>
    <w:rsid w:val="00A47E32"/>
    <w:rsid w:val="00A50226"/>
    <w:rsid w:val="00A527F1"/>
    <w:rsid w:val="00A533E2"/>
    <w:rsid w:val="00A60BAD"/>
    <w:rsid w:val="00A61C34"/>
    <w:rsid w:val="00A6360C"/>
    <w:rsid w:val="00A64667"/>
    <w:rsid w:val="00A64707"/>
    <w:rsid w:val="00A6638C"/>
    <w:rsid w:val="00A67318"/>
    <w:rsid w:val="00A67767"/>
    <w:rsid w:val="00A702F2"/>
    <w:rsid w:val="00A71593"/>
    <w:rsid w:val="00A722CD"/>
    <w:rsid w:val="00A73015"/>
    <w:rsid w:val="00A73C2C"/>
    <w:rsid w:val="00A73E47"/>
    <w:rsid w:val="00A75244"/>
    <w:rsid w:val="00A75388"/>
    <w:rsid w:val="00A76CC2"/>
    <w:rsid w:val="00A7703D"/>
    <w:rsid w:val="00A77F87"/>
    <w:rsid w:val="00A80B5B"/>
    <w:rsid w:val="00A81CFB"/>
    <w:rsid w:val="00A82207"/>
    <w:rsid w:val="00A828A2"/>
    <w:rsid w:val="00A83948"/>
    <w:rsid w:val="00A84289"/>
    <w:rsid w:val="00A84E36"/>
    <w:rsid w:val="00A901E5"/>
    <w:rsid w:val="00A935A5"/>
    <w:rsid w:val="00A93610"/>
    <w:rsid w:val="00A95381"/>
    <w:rsid w:val="00A956BA"/>
    <w:rsid w:val="00A964D1"/>
    <w:rsid w:val="00A96FB7"/>
    <w:rsid w:val="00AA0981"/>
    <w:rsid w:val="00AA0ED0"/>
    <w:rsid w:val="00AA4410"/>
    <w:rsid w:val="00AA7CB2"/>
    <w:rsid w:val="00AB0807"/>
    <w:rsid w:val="00AB0FF2"/>
    <w:rsid w:val="00AB1722"/>
    <w:rsid w:val="00AB2FE0"/>
    <w:rsid w:val="00AB4092"/>
    <w:rsid w:val="00AB45FF"/>
    <w:rsid w:val="00AB5537"/>
    <w:rsid w:val="00AB766B"/>
    <w:rsid w:val="00AC2B40"/>
    <w:rsid w:val="00AC2BB2"/>
    <w:rsid w:val="00AC2C3C"/>
    <w:rsid w:val="00AC2F1B"/>
    <w:rsid w:val="00AC355B"/>
    <w:rsid w:val="00AC4B78"/>
    <w:rsid w:val="00AC4D63"/>
    <w:rsid w:val="00AC4E48"/>
    <w:rsid w:val="00AC512D"/>
    <w:rsid w:val="00AC74EC"/>
    <w:rsid w:val="00AD0067"/>
    <w:rsid w:val="00AD0083"/>
    <w:rsid w:val="00AD3166"/>
    <w:rsid w:val="00AD3935"/>
    <w:rsid w:val="00AD3B5B"/>
    <w:rsid w:val="00AD3F11"/>
    <w:rsid w:val="00AD586A"/>
    <w:rsid w:val="00AD5BBC"/>
    <w:rsid w:val="00AE023A"/>
    <w:rsid w:val="00AE2D16"/>
    <w:rsid w:val="00AE31F8"/>
    <w:rsid w:val="00AE474B"/>
    <w:rsid w:val="00AE65EB"/>
    <w:rsid w:val="00AE67A7"/>
    <w:rsid w:val="00AE6E29"/>
    <w:rsid w:val="00AE6F56"/>
    <w:rsid w:val="00AE7453"/>
    <w:rsid w:val="00AF1303"/>
    <w:rsid w:val="00AF134A"/>
    <w:rsid w:val="00AF1D94"/>
    <w:rsid w:val="00AF60C5"/>
    <w:rsid w:val="00B009C6"/>
    <w:rsid w:val="00B01548"/>
    <w:rsid w:val="00B02BE2"/>
    <w:rsid w:val="00B05B80"/>
    <w:rsid w:val="00B073CE"/>
    <w:rsid w:val="00B11027"/>
    <w:rsid w:val="00B11781"/>
    <w:rsid w:val="00B128B8"/>
    <w:rsid w:val="00B130C5"/>
    <w:rsid w:val="00B13EBD"/>
    <w:rsid w:val="00B13F5D"/>
    <w:rsid w:val="00B1623B"/>
    <w:rsid w:val="00B16802"/>
    <w:rsid w:val="00B1691D"/>
    <w:rsid w:val="00B21D29"/>
    <w:rsid w:val="00B22819"/>
    <w:rsid w:val="00B22C42"/>
    <w:rsid w:val="00B25034"/>
    <w:rsid w:val="00B252F0"/>
    <w:rsid w:val="00B253B8"/>
    <w:rsid w:val="00B2580C"/>
    <w:rsid w:val="00B27F86"/>
    <w:rsid w:val="00B30116"/>
    <w:rsid w:val="00B3022E"/>
    <w:rsid w:val="00B33588"/>
    <w:rsid w:val="00B33863"/>
    <w:rsid w:val="00B33DA7"/>
    <w:rsid w:val="00B33DCF"/>
    <w:rsid w:val="00B34B5A"/>
    <w:rsid w:val="00B35B44"/>
    <w:rsid w:val="00B370EB"/>
    <w:rsid w:val="00B37D17"/>
    <w:rsid w:val="00B41299"/>
    <w:rsid w:val="00B4175E"/>
    <w:rsid w:val="00B41C85"/>
    <w:rsid w:val="00B42E01"/>
    <w:rsid w:val="00B42F09"/>
    <w:rsid w:val="00B44533"/>
    <w:rsid w:val="00B448CA"/>
    <w:rsid w:val="00B452CE"/>
    <w:rsid w:val="00B454CC"/>
    <w:rsid w:val="00B456A7"/>
    <w:rsid w:val="00B4706B"/>
    <w:rsid w:val="00B47A14"/>
    <w:rsid w:val="00B47E9A"/>
    <w:rsid w:val="00B510C5"/>
    <w:rsid w:val="00B511C4"/>
    <w:rsid w:val="00B53D39"/>
    <w:rsid w:val="00B54C25"/>
    <w:rsid w:val="00B55AEE"/>
    <w:rsid w:val="00B562AB"/>
    <w:rsid w:val="00B573D0"/>
    <w:rsid w:val="00B625A5"/>
    <w:rsid w:val="00B62F87"/>
    <w:rsid w:val="00B64C77"/>
    <w:rsid w:val="00B72ADB"/>
    <w:rsid w:val="00B76A73"/>
    <w:rsid w:val="00B76B91"/>
    <w:rsid w:val="00B7709D"/>
    <w:rsid w:val="00B77EB1"/>
    <w:rsid w:val="00B80263"/>
    <w:rsid w:val="00B808A9"/>
    <w:rsid w:val="00B80F05"/>
    <w:rsid w:val="00B811C6"/>
    <w:rsid w:val="00B84A44"/>
    <w:rsid w:val="00B855B0"/>
    <w:rsid w:val="00B864A6"/>
    <w:rsid w:val="00B92E08"/>
    <w:rsid w:val="00B947A9"/>
    <w:rsid w:val="00B956A5"/>
    <w:rsid w:val="00BB01F7"/>
    <w:rsid w:val="00BB2546"/>
    <w:rsid w:val="00BB3108"/>
    <w:rsid w:val="00BB3BAD"/>
    <w:rsid w:val="00BB4EFB"/>
    <w:rsid w:val="00BB5103"/>
    <w:rsid w:val="00BB5111"/>
    <w:rsid w:val="00BB58DA"/>
    <w:rsid w:val="00BB5B61"/>
    <w:rsid w:val="00BB6B50"/>
    <w:rsid w:val="00BC190B"/>
    <w:rsid w:val="00BC35E4"/>
    <w:rsid w:val="00BC622A"/>
    <w:rsid w:val="00BC637F"/>
    <w:rsid w:val="00BC647F"/>
    <w:rsid w:val="00BC7067"/>
    <w:rsid w:val="00BC7E6E"/>
    <w:rsid w:val="00BD100E"/>
    <w:rsid w:val="00BD1C34"/>
    <w:rsid w:val="00BD26FB"/>
    <w:rsid w:val="00BD2D4C"/>
    <w:rsid w:val="00BD58BB"/>
    <w:rsid w:val="00BD59B4"/>
    <w:rsid w:val="00BD7361"/>
    <w:rsid w:val="00BE0A78"/>
    <w:rsid w:val="00BE5980"/>
    <w:rsid w:val="00BE79F0"/>
    <w:rsid w:val="00BF046D"/>
    <w:rsid w:val="00BF1190"/>
    <w:rsid w:val="00BF298F"/>
    <w:rsid w:val="00BF3774"/>
    <w:rsid w:val="00BF4B40"/>
    <w:rsid w:val="00BF5D04"/>
    <w:rsid w:val="00BF5FE4"/>
    <w:rsid w:val="00BF66D0"/>
    <w:rsid w:val="00BF6E46"/>
    <w:rsid w:val="00C00234"/>
    <w:rsid w:val="00C009AA"/>
    <w:rsid w:val="00C02F1E"/>
    <w:rsid w:val="00C03C01"/>
    <w:rsid w:val="00C03ED0"/>
    <w:rsid w:val="00C04924"/>
    <w:rsid w:val="00C1164D"/>
    <w:rsid w:val="00C130D1"/>
    <w:rsid w:val="00C14AEA"/>
    <w:rsid w:val="00C14EB1"/>
    <w:rsid w:val="00C1580D"/>
    <w:rsid w:val="00C16861"/>
    <w:rsid w:val="00C2145E"/>
    <w:rsid w:val="00C214F9"/>
    <w:rsid w:val="00C2208A"/>
    <w:rsid w:val="00C22B61"/>
    <w:rsid w:val="00C2471C"/>
    <w:rsid w:val="00C24831"/>
    <w:rsid w:val="00C25253"/>
    <w:rsid w:val="00C271E8"/>
    <w:rsid w:val="00C27890"/>
    <w:rsid w:val="00C306B8"/>
    <w:rsid w:val="00C3087D"/>
    <w:rsid w:val="00C309AD"/>
    <w:rsid w:val="00C31D7F"/>
    <w:rsid w:val="00C3361D"/>
    <w:rsid w:val="00C33652"/>
    <w:rsid w:val="00C346AB"/>
    <w:rsid w:val="00C34810"/>
    <w:rsid w:val="00C35D36"/>
    <w:rsid w:val="00C3684C"/>
    <w:rsid w:val="00C36C67"/>
    <w:rsid w:val="00C36D4D"/>
    <w:rsid w:val="00C36E06"/>
    <w:rsid w:val="00C36E71"/>
    <w:rsid w:val="00C404A6"/>
    <w:rsid w:val="00C4051A"/>
    <w:rsid w:val="00C40A36"/>
    <w:rsid w:val="00C44419"/>
    <w:rsid w:val="00C45E7B"/>
    <w:rsid w:val="00C46BF0"/>
    <w:rsid w:val="00C471B1"/>
    <w:rsid w:val="00C525A2"/>
    <w:rsid w:val="00C52E24"/>
    <w:rsid w:val="00C547E4"/>
    <w:rsid w:val="00C5494E"/>
    <w:rsid w:val="00C57270"/>
    <w:rsid w:val="00C57CBA"/>
    <w:rsid w:val="00C61247"/>
    <w:rsid w:val="00C6132B"/>
    <w:rsid w:val="00C6316B"/>
    <w:rsid w:val="00C634A9"/>
    <w:rsid w:val="00C63C56"/>
    <w:rsid w:val="00C63DE4"/>
    <w:rsid w:val="00C640D5"/>
    <w:rsid w:val="00C64586"/>
    <w:rsid w:val="00C65A9D"/>
    <w:rsid w:val="00C67B1C"/>
    <w:rsid w:val="00C70A36"/>
    <w:rsid w:val="00C70D53"/>
    <w:rsid w:val="00C72563"/>
    <w:rsid w:val="00C73D0B"/>
    <w:rsid w:val="00C74F5C"/>
    <w:rsid w:val="00C765B4"/>
    <w:rsid w:val="00C772FF"/>
    <w:rsid w:val="00C80137"/>
    <w:rsid w:val="00C801AF"/>
    <w:rsid w:val="00C80256"/>
    <w:rsid w:val="00C81473"/>
    <w:rsid w:val="00C81A98"/>
    <w:rsid w:val="00C848A7"/>
    <w:rsid w:val="00C86769"/>
    <w:rsid w:val="00C871EF"/>
    <w:rsid w:val="00C87C50"/>
    <w:rsid w:val="00C912C3"/>
    <w:rsid w:val="00C91CE7"/>
    <w:rsid w:val="00C93986"/>
    <w:rsid w:val="00C94CD4"/>
    <w:rsid w:val="00C96008"/>
    <w:rsid w:val="00C967CA"/>
    <w:rsid w:val="00C97373"/>
    <w:rsid w:val="00C9747E"/>
    <w:rsid w:val="00CA03A9"/>
    <w:rsid w:val="00CA08AC"/>
    <w:rsid w:val="00CA1D28"/>
    <w:rsid w:val="00CA2E89"/>
    <w:rsid w:val="00CA4A28"/>
    <w:rsid w:val="00CA7A88"/>
    <w:rsid w:val="00CB1B40"/>
    <w:rsid w:val="00CB41AC"/>
    <w:rsid w:val="00CB55F9"/>
    <w:rsid w:val="00CB6BC0"/>
    <w:rsid w:val="00CB6E20"/>
    <w:rsid w:val="00CC1B7C"/>
    <w:rsid w:val="00CC3720"/>
    <w:rsid w:val="00CC6607"/>
    <w:rsid w:val="00CC727F"/>
    <w:rsid w:val="00CC7AB6"/>
    <w:rsid w:val="00CD219B"/>
    <w:rsid w:val="00CD5319"/>
    <w:rsid w:val="00CD58E4"/>
    <w:rsid w:val="00CD65C8"/>
    <w:rsid w:val="00CD6681"/>
    <w:rsid w:val="00CE2064"/>
    <w:rsid w:val="00CE3767"/>
    <w:rsid w:val="00CE73FF"/>
    <w:rsid w:val="00CF10EB"/>
    <w:rsid w:val="00CF15C3"/>
    <w:rsid w:val="00CF1FDD"/>
    <w:rsid w:val="00CF26F2"/>
    <w:rsid w:val="00CF2B6F"/>
    <w:rsid w:val="00CF2F3E"/>
    <w:rsid w:val="00CF401E"/>
    <w:rsid w:val="00CF58B6"/>
    <w:rsid w:val="00CF5DAD"/>
    <w:rsid w:val="00CF7289"/>
    <w:rsid w:val="00D0062D"/>
    <w:rsid w:val="00D00695"/>
    <w:rsid w:val="00D017ED"/>
    <w:rsid w:val="00D024CE"/>
    <w:rsid w:val="00D02EE6"/>
    <w:rsid w:val="00D040D3"/>
    <w:rsid w:val="00D04C65"/>
    <w:rsid w:val="00D053C0"/>
    <w:rsid w:val="00D0651D"/>
    <w:rsid w:val="00D07D51"/>
    <w:rsid w:val="00D121A8"/>
    <w:rsid w:val="00D1324F"/>
    <w:rsid w:val="00D14A5A"/>
    <w:rsid w:val="00D153D8"/>
    <w:rsid w:val="00D1589F"/>
    <w:rsid w:val="00D16211"/>
    <w:rsid w:val="00D17D29"/>
    <w:rsid w:val="00D201D2"/>
    <w:rsid w:val="00D21DD8"/>
    <w:rsid w:val="00D224FE"/>
    <w:rsid w:val="00D23139"/>
    <w:rsid w:val="00D243D3"/>
    <w:rsid w:val="00D247B7"/>
    <w:rsid w:val="00D34EF0"/>
    <w:rsid w:val="00D35A6B"/>
    <w:rsid w:val="00D37A8F"/>
    <w:rsid w:val="00D40ACB"/>
    <w:rsid w:val="00D425BB"/>
    <w:rsid w:val="00D435E5"/>
    <w:rsid w:val="00D453FA"/>
    <w:rsid w:val="00D45EE6"/>
    <w:rsid w:val="00D477DD"/>
    <w:rsid w:val="00D549FF"/>
    <w:rsid w:val="00D56F02"/>
    <w:rsid w:val="00D5764E"/>
    <w:rsid w:val="00D6011F"/>
    <w:rsid w:val="00D6493E"/>
    <w:rsid w:val="00D66708"/>
    <w:rsid w:val="00D66B37"/>
    <w:rsid w:val="00D677A9"/>
    <w:rsid w:val="00D708DD"/>
    <w:rsid w:val="00D7195D"/>
    <w:rsid w:val="00D71B13"/>
    <w:rsid w:val="00D72A92"/>
    <w:rsid w:val="00D7301E"/>
    <w:rsid w:val="00D746F7"/>
    <w:rsid w:val="00D752E9"/>
    <w:rsid w:val="00D75696"/>
    <w:rsid w:val="00D7621D"/>
    <w:rsid w:val="00D76BC5"/>
    <w:rsid w:val="00D815C7"/>
    <w:rsid w:val="00D835CD"/>
    <w:rsid w:val="00D83AE1"/>
    <w:rsid w:val="00D850C0"/>
    <w:rsid w:val="00D855D4"/>
    <w:rsid w:val="00D902C9"/>
    <w:rsid w:val="00D91BF4"/>
    <w:rsid w:val="00D9244F"/>
    <w:rsid w:val="00D9275D"/>
    <w:rsid w:val="00D93466"/>
    <w:rsid w:val="00D97296"/>
    <w:rsid w:val="00D97DEF"/>
    <w:rsid w:val="00DA1124"/>
    <w:rsid w:val="00DA1F62"/>
    <w:rsid w:val="00DA25D6"/>
    <w:rsid w:val="00DA3A4B"/>
    <w:rsid w:val="00DA3C50"/>
    <w:rsid w:val="00DA64CB"/>
    <w:rsid w:val="00DA72A6"/>
    <w:rsid w:val="00DA7FE9"/>
    <w:rsid w:val="00DB06B8"/>
    <w:rsid w:val="00DB2473"/>
    <w:rsid w:val="00DB3508"/>
    <w:rsid w:val="00DB6124"/>
    <w:rsid w:val="00DB68D0"/>
    <w:rsid w:val="00DB6CCC"/>
    <w:rsid w:val="00DB750B"/>
    <w:rsid w:val="00DB75B7"/>
    <w:rsid w:val="00DB7F0B"/>
    <w:rsid w:val="00DC0A2F"/>
    <w:rsid w:val="00DC1948"/>
    <w:rsid w:val="00DC2C15"/>
    <w:rsid w:val="00DC6E02"/>
    <w:rsid w:val="00DD16CD"/>
    <w:rsid w:val="00DD2827"/>
    <w:rsid w:val="00DD28CD"/>
    <w:rsid w:val="00DE02AE"/>
    <w:rsid w:val="00DE082A"/>
    <w:rsid w:val="00DE0EB2"/>
    <w:rsid w:val="00DE1BF7"/>
    <w:rsid w:val="00DE376F"/>
    <w:rsid w:val="00DE39D1"/>
    <w:rsid w:val="00DE484D"/>
    <w:rsid w:val="00DE5957"/>
    <w:rsid w:val="00DE71E0"/>
    <w:rsid w:val="00DF0711"/>
    <w:rsid w:val="00DF09FE"/>
    <w:rsid w:val="00DF0C69"/>
    <w:rsid w:val="00DF1951"/>
    <w:rsid w:val="00DF1D7F"/>
    <w:rsid w:val="00DF436C"/>
    <w:rsid w:val="00DF4BE4"/>
    <w:rsid w:val="00E01155"/>
    <w:rsid w:val="00E019B0"/>
    <w:rsid w:val="00E0233E"/>
    <w:rsid w:val="00E02382"/>
    <w:rsid w:val="00E0279F"/>
    <w:rsid w:val="00E02FB4"/>
    <w:rsid w:val="00E04E15"/>
    <w:rsid w:val="00E052AD"/>
    <w:rsid w:val="00E054F6"/>
    <w:rsid w:val="00E06F0B"/>
    <w:rsid w:val="00E07932"/>
    <w:rsid w:val="00E11571"/>
    <w:rsid w:val="00E11873"/>
    <w:rsid w:val="00E1201A"/>
    <w:rsid w:val="00E13368"/>
    <w:rsid w:val="00E134AA"/>
    <w:rsid w:val="00E13FC7"/>
    <w:rsid w:val="00E142B5"/>
    <w:rsid w:val="00E15E5F"/>
    <w:rsid w:val="00E2014E"/>
    <w:rsid w:val="00E20571"/>
    <w:rsid w:val="00E235F7"/>
    <w:rsid w:val="00E23659"/>
    <w:rsid w:val="00E239D4"/>
    <w:rsid w:val="00E24415"/>
    <w:rsid w:val="00E25D04"/>
    <w:rsid w:val="00E26130"/>
    <w:rsid w:val="00E26ABD"/>
    <w:rsid w:val="00E26AC3"/>
    <w:rsid w:val="00E27518"/>
    <w:rsid w:val="00E30452"/>
    <w:rsid w:val="00E308ED"/>
    <w:rsid w:val="00E323A2"/>
    <w:rsid w:val="00E33D42"/>
    <w:rsid w:val="00E358CC"/>
    <w:rsid w:val="00E360E7"/>
    <w:rsid w:val="00E37429"/>
    <w:rsid w:val="00E40B22"/>
    <w:rsid w:val="00E4124C"/>
    <w:rsid w:val="00E42D76"/>
    <w:rsid w:val="00E44ED1"/>
    <w:rsid w:val="00E45619"/>
    <w:rsid w:val="00E4588F"/>
    <w:rsid w:val="00E46DA3"/>
    <w:rsid w:val="00E47261"/>
    <w:rsid w:val="00E4775C"/>
    <w:rsid w:val="00E50579"/>
    <w:rsid w:val="00E50608"/>
    <w:rsid w:val="00E51BB1"/>
    <w:rsid w:val="00E5488E"/>
    <w:rsid w:val="00E54ED6"/>
    <w:rsid w:val="00E55CB0"/>
    <w:rsid w:val="00E577F8"/>
    <w:rsid w:val="00E61DBE"/>
    <w:rsid w:val="00E624A5"/>
    <w:rsid w:val="00E62CE7"/>
    <w:rsid w:val="00E6385B"/>
    <w:rsid w:val="00E63C00"/>
    <w:rsid w:val="00E64BA4"/>
    <w:rsid w:val="00E653D2"/>
    <w:rsid w:val="00E66A84"/>
    <w:rsid w:val="00E71596"/>
    <w:rsid w:val="00E71D2A"/>
    <w:rsid w:val="00E7344E"/>
    <w:rsid w:val="00E7444B"/>
    <w:rsid w:val="00E75BB5"/>
    <w:rsid w:val="00E769BF"/>
    <w:rsid w:val="00E82665"/>
    <w:rsid w:val="00E82A29"/>
    <w:rsid w:val="00E837A3"/>
    <w:rsid w:val="00E84448"/>
    <w:rsid w:val="00E84DB9"/>
    <w:rsid w:val="00E90B61"/>
    <w:rsid w:val="00E935B8"/>
    <w:rsid w:val="00E968ED"/>
    <w:rsid w:val="00EA0108"/>
    <w:rsid w:val="00EA1735"/>
    <w:rsid w:val="00EA4072"/>
    <w:rsid w:val="00EA5318"/>
    <w:rsid w:val="00EA5547"/>
    <w:rsid w:val="00EA5B01"/>
    <w:rsid w:val="00EA7586"/>
    <w:rsid w:val="00EB0798"/>
    <w:rsid w:val="00EB193D"/>
    <w:rsid w:val="00EB2368"/>
    <w:rsid w:val="00EB25BF"/>
    <w:rsid w:val="00EB2D10"/>
    <w:rsid w:val="00EB40AD"/>
    <w:rsid w:val="00EB586E"/>
    <w:rsid w:val="00EB5FC8"/>
    <w:rsid w:val="00EC463D"/>
    <w:rsid w:val="00EC4D42"/>
    <w:rsid w:val="00EC6040"/>
    <w:rsid w:val="00EC607B"/>
    <w:rsid w:val="00EC7926"/>
    <w:rsid w:val="00EC7A85"/>
    <w:rsid w:val="00ED0AE9"/>
    <w:rsid w:val="00ED2922"/>
    <w:rsid w:val="00ED3CAD"/>
    <w:rsid w:val="00ED4169"/>
    <w:rsid w:val="00ED44E4"/>
    <w:rsid w:val="00ED5440"/>
    <w:rsid w:val="00ED5A41"/>
    <w:rsid w:val="00ED5C2D"/>
    <w:rsid w:val="00ED5D0C"/>
    <w:rsid w:val="00EE1A5C"/>
    <w:rsid w:val="00EE1DE8"/>
    <w:rsid w:val="00EE27C2"/>
    <w:rsid w:val="00EE68D9"/>
    <w:rsid w:val="00EE6DEB"/>
    <w:rsid w:val="00EE7790"/>
    <w:rsid w:val="00EF0048"/>
    <w:rsid w:val="00EF0528"/>
    <w:rsid w:val="00EF0AE0"/>
    <w:rsid w:val="00EF0FD9"/>
    <w:rsid w:val="00EF103B"/>
    <w:rsid w:val="00EF4BAD"/>
    <w:rsid w:val="00EF59DC"/>
    <w:rsid w:val="00EF5D71"/>
    <w:rsid w:val="00EF5DBF"/>
    <w:rsid w:val="00F01E85"/>
    <w:rsid w:val="00F033EC"/>
    <w:rsid w:val="00F04F68"/>
    <w:rsid w:val="00F05BC0"/>
    <w:rsid w:val="00F060A9"/>
    <w:rsid w:val="00F07D58"/>
    <w:rsid w:val="00F1126C"/>
    <w:rsid w:val="00F12670"/>
    <w:rsid w:val="00F12722"/>
    <w:rsid w:val="00F132EE"/>
    <w:rsid w:val="00F13F1C"/>
    <w:rsid w:val="00F14B27"/>
    <w:rsid w:val="00F17222"/>
    <w:rsid w:val="00F20068"/>
    <w:rsid w:val="00F20D31"/>
    <w:rsid w:val="00F211B1"/>
    <w:rsid w:val="00F23D6F"/>
    <w:rsid w:val="00F24F08"/>
    <w:rsid w:val="00F2690E"/>
    <w:rsid w:val="00F30194"/>
    <w:rsid w:val="00F30462"/>
    <w:rsid w:val="00F3053C"/>
    <w:rsid w:val="00F3148D"/>
    <w:rsid w:val="00F3160A"/>
    <w:rsid w:val="00F32560"/>
    <w:rsid w:val="00F325C5"/>
    <w:rsid w:val="00F32FE0"/>
    <w:rsid w:val="00F343C8"/>
    <w:rsid w:val="00F34FF4"/>
    <w:rsid w:val="00F35298"/>
    <w:rsid w:val="00F356CD"/>
    <w:rsid w:val="00F406D9"/>
    <w:rsid w:val="00F411B0"/>
    <w:rsid w:val="00F449CD"/>
    <w:rsid w:val="00F4683F"/>
    <w:rsid w:val="00F47333"/>
    <w:rsid w:val="00F4771F"/>
    <w:rsid w:val="00F47E37"/>
    <w:rsid w:val="00F50498"/>
    <w:rsid w:val="00F5130E"/>
    <w:rsid w:val="00F53C07"/>
    <w:rsid w:val="00F54290"/>
    <w:rsid w:val="00F54B65"/>
    <w:rsid w:val="00F61ED2"/>
    <w:rsid w:val="00F61FDE"/>
    <w:rsid w:val="00F628FA"/>
    <w:rsid w:val="00F62D2F"/>
    <w:rsid w:val="00F63DBF"/>
    <w:rsid w:val="00F640B6"/>
    <w:rsid w:val="00F663BB"/>
    <w:rsid w:val="00F66A07"/>
    <w:rsid w:val="00F66DF2"/>
    <w:rsid w:val="00F7069D"/>
    <w:rsid w:val="00F718C6"/>
    <w:rsid w:val="00F71A77"/>
    <w:rsid w:val="00F73026"/>
    <w:rsid w:val="00F7325A"/>
    <w:rsid w:val="00F7578E"/>
    <w:rsid w:val="00F800DD"/>
    <w:rsid w:val="00F80E40"/>
    <w:rsid w:val="00F833E8"/>
    <w:rsid w:val="00F848D9"/>
    <w:rsid w:val="00F8498A"/>
    <w:rsid w:val="00F860E5"/>
    <w:rsid w:val="00F86A69"/>
    <w:rsid w:val="00F90190"/>
    <w:rsid w:val="00F95B77"/>
    <w:rsid w:val="00F96017"/>
    <w:rsid w:val="00F9642E"/>
    <w:rsid w:val="00FA05C3"/>
    <w:rsid w:val="00FA15C8"/>
    <w:rsid w:val="00FA2ADC"/>
    <w:rsid w:val="00FA5069"/>
    <w:rsid w:val="00FA5B82"/>
    <w:rsid w:val="00FA639E"/>
    <w:rsid w:val="00FA722F"/>
    <w:rsid w:val="00FB2A42"/>
    <w:rsid w:val="00FB3FF3"/>
    <w:rsid w:val="00FB4765"/>
    <w:rsid w:val="00FB5F47"/>
    <w:rsid w:val="00FB7306"/>
    <w:rsid w:val="00FC0177"/>
    <w:rsid w:val="00FC0CA9"/>
    <w:rsid w:val="00FC1FCA"/>
    <w:rsid w:val="00FC25E4"/>
    <w:rsid w:val="00FC2BC0"/>
    <w:rsid w:val="00FC39C0"/>
    <w:rsid w:val="00FC4706"/>
    <w:rsid w:val="00FC4EF7"/>
    <w:rsid w:val="00FC5017"/>
    <w:rsid w:val="00FC686F"/>
    <w:rsid w:val="00FC77C5"/>
    <w:rsid w:val="00FD0824"/>
    <w:rsid w:val="00FD119B"/>
    <w:rsid w:val="00FD1495"/>
    <w:rsid w:val="00FD15E2"/>
    <w:rsid w:val="00FD1EDC"/>
    <w:rsid w:val="00FD2A47"/>
    <w:rsid w:val="00FD4291"/>
    <w:rsid w:val="00FD4333"/>
    <w:rsid w:val="00FD7598"/>
    <w:rsid w:val="00FE0254"/>
    <w:rsid w:val="00FE1DEE"/>
    <w:rsid w:val="00FE368C"/>
    <w:rsid w:val="00FF2126"/>
    <w:rsid w:val="00FF34B2"/>
    <w:rsid w:val="00FF5755"/>
    <w:rsid w:val="00FF591D"/>
    <w:rsid w:val="00FF69BE"/>
    <w:rsid w:val="00FF7B93"/>
    <w:rsid w:val="0113F064"/>
    <w:rsid w:val="040602BF"/>
    <w:rsid w:val="34DD24E5"/>
    <w:rsid w:val="3EAD6D8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6F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Bahnschrift SemiCondensed" w:hAnsi="Bahnschrift SemiCondensed"/>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Bahnschrift SemiCondensed" w:hAnsi="Bahnschrift SemiCondensed"/>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Bahnschrift SemiCondensed" w:hAnsi="Bahnschrift SemiCondensed"/>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4B226B"/>
    <w:pPr>
      <w:ind w:left="720"/>
      <w:contextualSpacing/>
    </w:pPr>
  </w:style>
  <w:style w:type="paragraph" w:styleId="ListNumber">
    <w:name w:val="List Number"/>
    <w:basedOn w:val="ListParagraph"/>
    <w:uiPriority w:val="99"/>
    <w:unhideWhenUsed/>
    <w:rsid w:val="00D677A9"/>
    <w:pPr>
      <w:numPr>
        <w:numId w:val="6"/>
      </w:numPr>
      <w:spacing w:before="0" w:line="240" w:lineRule="auto"/>
      <w:ind w:left="426" w:hanging="426"/>
    </w:pPr>
    <w:rPr>
      <w:rFonts w:asciiTheme="minorHAnsi" w:eastAsia="Times New Roman" w:hAnsiTheme="minorHAnsi"/>
      <w:b/>
      <w:lang w:eastAsia="en-AU"/>
    </w:rPr>
  </w:style>
  <w:style w:type="paragraph" w:styleId="BodyText">
    <w:name w:val="Body Text"/>
    <w:basedOn w:val="Normal"/>
    <w:link w:val="BodyTextChar"/>
    <w:uiPriority w:val="1"/>
    <w:qFormat/>
    <w:rsid w:val="00D677A9"/>
    <w:pPr>
      <w:widowControl w:val="0"/>
      <w:autoSpaceDE w:val="0"/>
      <w:autoSpaceDN w:val="0"/>
      <w:spacing w:before="0"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D677A9"/>
    <w:rPr>
      <w:rFonts w:ascii="Times New Roman" w:eastAsia="Times New Roman" w:hAnsi="Times New Roman" w:cs="Times New Roman"/>
      <w:sz w:val="24"/>
      <w:szCs w:val="24"/>
      <w:lang w:val="en-US"/>
    </w:rPr>
  </w:style>
  <w:style w:type="paragraph" w:customStyle="1" w:styleId="Standard">
    <w:name w:val="Standard"/>
    <w:basedOn w:val="Normal"/>
    <w:link w:val="StandardChar"/>
    <w:qFormat/>
    <w:rsid w:val="00E1201A"/>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E1201A"/>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E1201A"/>
    <w:pPr>
      <w:spacing w:after="180"/>
    </w:pPr>
    <w:rPr>
      <w:kern w:val="2"/>
    </w:rPr>
  </w:style>
  <w:style w:type="character" w:customStyle="1" w:styleId="TabletextChar">
    <w:name w:val="Table text Char"/>
    <w:basedOn w:val="StandardChar"/>
    <w:link w:val="Tabletext"/>
    <w:rsid w:val="00E1201A"/>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E1201A"/>
    <w:rPr>
      <w:rFonts w:ascii="Cambria" w:eastAsia="Times New Roman" w:hAnsi="Cambria" w:cs="Times New Roman"/>
      <w:snapToGrid w:val="0"/>
      <w:kern w:val="2"/>
      <w:sz w:val="23"/>
      <w:szCs w:val="24"/>
    </w:rPr>
  </w:style>
  <w:style w:type="paragraph" w:customStyle="1" w:styleId="Summaryofsafetyconcerns">
    <w:name w:val="Summary of safety concerns"/>
    <w:basedOn w:val="Tabletext"/>
    <w:link w:val="SummaryofsafetyconcernsChar"/>
    <w:qFormat/>
    <w:rsid w:val="00E1201A"/>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E1201A"/>
    <w:rPr>
      <w:rFonts w:ascii="Cambria" w:eastAsia="Times New Roman" w:hAnsi="Cambria" w:cs="Times New Roman"/>
      <w:b/>
      <w:snapToGrid w:val="0"/>
      <w:kern w:val="16"/>
      <w:sz w:val="20"/>
      <w:szCs w:val="24"/>
    </w:rPr>
  </w:style>
  <w:style w:type="paragraph" w:customStyle="1" w:styleId="TableParagraph">
    <w:name w:val="Table Paragraph"/>
    <w:basedOn w:val="Normal"/>
    <w:uiPriority w:val="1"/>
    <w:qFormat/>
    <w:rsid w:val="00A935A5"/>
    <w:pPr>
      <w:widowControl w:val="0"/>
      <w:autoSpaceDE w:val="0"/>
      <w:autoSpaceDN w:val="0"/>
      <w:spacing w:before="0" w:after="0" w:line="240" w:lineRule="auto"/>
    </w:pPr>
    <w:rPr>
      <w:rFonts w:ascii="Times New Roman" w:eastAsia="Times New Roman" w:hAnsi="Times New Roman"/>
      <w:lang w:val="en-US"/>
    </w:rPr>
  </w:style>
  <w:style w:type="character" w:customStyle="1" w:styleId="UnresolvedMention1">
    <w:name w:val="Unresolved Mention1"/>
    <w:basedOn w:val="DefaultParagraphFont"/>
    <w:uiPriority w:val="99"/>
    <w:unhideWhenUsed/>
    <w:rsid w:val="00BC190B"/>
    <w:rPr>
      <w:color w:val="605E5C"/>
      <w:shd w:val="clear" w:color="auto" w:fill="E1DFDD"/>
    </w:rPr>
  </w:style>
  <w:style w:type="character" w:customStyle="1" w:styleId="Mention1">
    <w:name w:val="Mention1"/>
    <w:basedOn w:val="DefaultParagraphFont"/>
    <w:uiPriority w:val="99"/>
    <w:unhideWhenUsed/>
    <w:rsid w:val="00BC190B"/>
    <w:rPr>
      <w:color w:val="2B579A"/>
      <w:shd w:val="clear" w:color="auto" w:fill="E1DFDD"/>
    </w:rPr>
  </w:style>
  <w:style w:type="character" w:customStyle="1" w:styleId="UnresolvedMention2">
    <w:name w:val="Unresolved Mention2"/>
    <w:basedOn w:val="DefaultParagraphFont"/>
    <w:uiPriority w:val="99"/>
    <w:unhideWhenUsed/>
    <w:rsid w:val="00C3087D"/>
    <w:rPr>
      <w:color w:val="605E5C"/>
      <w:shd w:val="clear" w:color="auto" w:fill="E1DFDD"/>
    </w:rPr>
  </w:style>
  <w:style w:type="character" w:customStyle="1" w:styleId="Mention2">
    <w:name w:val="Mention2"/>
    <w:basedOn w:val="DefaultParagraphFont"/>
    <w:uiPriority w:val="99"/>
    <w:unhideWhenUsed/>
    <w:rsid w:val="00C308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89985">
      <w:bodyDiv w:val="1"/>
      <w:marLeft w:val="0"/>
      <w:marRight w:val="0"/>
      <w:marTop w:val="0"/>
      <w:marBottom w:val="0"/>
      <w:divBdr>
        <w:top w:val="none" w:sz="0" w:space="0" w:color="auto"/>
        <w:left w:val="none" w:sz="0" w:space="0" w:color="auto"/>
        <w:bottom w:val="none" w:sz="0" w:space="0" w:color="auto"/>
        <w:right w:val="none" w:sz="0" w:space="0" w:color="auto"/>
      </w:divBdr>
    </w:div>
    <w:div w:id="442117717">
      <w:bodyDiv w:val="1"/>
      <w:marLeft w:val="0"/>
      <w:marRight w:val="0"/>
      <w:marTop w:val="0"/>
      <w:marBottom w:val="0"/>
      <w:divBdr>
        <w:top w:val="none" w:sz="0" w:space="0" w:color="auto"/>
        <w:left w:val="none" w:sz="0" w:space="0" w:color="auto"/>
        <w:bottom w:val="none" w:sz="0" w:space="0" w:color="auto"/>
        <w:right w:val="none" w:sz="0" w:space="0" w:color="auto"/>
      </w:divBdr>
    </w:div>
    <w:div w:id="629435300">
      <w:bodyDiv w:val="1"/>
      <w:marLeft w:val="0"/>
      <w:marRight w:val="0"/>
      <w:marTop w:val="0"/>
      <w:marBottom w:val="0"/>
      <w:divBdr>
        <w:top w:val="none" w:sz="0" w:space="0" w:color="auto"/>
        <w:left w:val="none" w:sz="0" w:space="0" w:color="auto"/>
        <w:bottom w:val="none" w:sz="0" w:space="0" w:color="auto"/>
        <w:right w:val="none" w:sz="0" w:space="0" w:color="auto"/>
      </w:divBdr>
    </w:div>
    <w:div w:id="1084110438">
      <w:bodyDiv w:val="1"/>
      <w:marLeft w:val="0"/>
      <w:marRight w:val="0"/>
      <w:marTop w:val="0"/>
      <w:marBottom w:val="0"/>
      <w:divBdr>
        <w:top w:val="none" w:sz="0" w:space="0" w:color="auto"/>
        <w:left w:val="none" w:sz="0" w:space="0" w:color="auto"/>
        <w:bottom w:val="none" w:sz="0" w:space="0" w:color="auto"/>
        <w:right w:val="none" w:sz="0" w:space="0" w:color="auto"/>
      </w:divBdr>
    </w:div>
    <w:div w:id="1291477079">
      <w:bodyDiv w:val="1"/>
      <w:marLeft w:val="0"/>
      <w:marRight w:val="0"/>
      <w:marTop w:val="0"/>
      <w:marBottom w:val="0"/>
      <w:divBdr>
        <w:top w:val="none" w:sz="0" w:space="0" w:color="auto"/>
        <w:left w:val="none" w:sz="0" w:space="0" w:color="auto"/>
        <w:bottom w:val="none" w:sz="0" w:space="0" w:color="auto"/>
        <w:right w:val="none" w:sz="0" w:space="0" w:color="auto"/>
      </w:divBdr>
    </w:div>
    <w:div w:id="17220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ga.copyright@tga.gov.au"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mailto:info@tga.gov.au"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ga.gov.au" TargetMode="External"/><Relationship Id="rId17" Type="http://schemas.openxmlformats.org/officeDocument/2006/relationships/hyperlink" Target="https://www.tga.gov.au/product-information-pi" TargetMode="External"/><Relationship Id="rId25" Type="http://schemas.openxmlformats.org/officeDocument/2006/relationships/image" Target="media/image9.png"/><Relationship Id="rId33" Type="http://schemas.openxmlformats.org/officeDocument/2006/relationships/footer" Target="foot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yperlink" Target="https://www.tga.gov.au/product-information-p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3.xml"/><Relationship Id="rId35"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Comments xmlns="6f15d93b-f574-42f7-a6b3-712bb15f2a8e" xsi:nil="true"/>
    <Archived xmlns="2eab9911-0144-44e5-8b44-3fad77c2eb81">false</Archived>
    <Topic xmlns="609963f9-4c88-4bc7-b136-46724987864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329BCF176E314594F101C085344F35" ma:contentTypeVersion="18" ma:contentTypeDescription="Create a new document." ma:contentTypeScope="" ma:versionID="6ee7d0911bfea4a7bea65497e08b7751">
  <xsd:schema xmlns:xsd="http://www.w3.org/2001/XMLSchema" xmlns:xs="http://www.w3.org/2001/XMLSchema" xmlns:p="http://schemas.microsoft.com/office/2006/metadata/properties" xmlns:ns2="609963f9-4c88-4bc7-b136-467249878642" xmlns:ns3="2eab9911-0144-44e5-8b44-3fad77c2eb81" xmlns:ns4="6f15d93b-f574-42f7-a6b3-712bb15f2a8e" xmlns:ns5="e66f9742-6636-442b-b0bc-714ba2170030" targetNamespace="http://schemas.microsoft.com/office/2006/metadata/properties" ma:root="true" ma:fieldsID="24d31bfffa0f73b117b12803dababe29" ns2:_="" ns3:_="" ns4:_="" ns5:_="">
    <xsd:import namespace="609963f9-4c88-4bc7-b136-467249878642"/>
    <xsd:import namespace="2eab9911-0144-44e5-8b44-3fad77c2eb81"/>
    <xsd:import namespace="6f15d93b-f574-42f7-a6b3-712bb15f2a8e"/>
    <xsd:import namespace="e66f9742-6636-442b-b0bc-714ba2170030"/>
    <xsd:element name="properties">
      <xsd:complexType>
        <xsd:sequence>
          <xsd:element name="documentManagement">
            <xsd:complexType>
              <xsd:all>
                <xsd:element ref="ns2:Topic" minOccurs="0"/>
                <xsd:element ref="ns3:Archived" minOccurs="0"/>
                <xsd:element ref="ns4:MediaServiceMetadata" minOccurs="0"/>
                <xsd:element ref="ns4:MediaServiceFastMetadata" minOccurs="0"/>
                <xsd:element ref="ns5:SharedWithUsers" minOccurs="0"/>
                <xsd:element ref="ns5:SharedWithDetails" minOccurs="0"/>
                <xsd:element ref="ns4: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963f9-4c88-4bc7-b136-467249878642"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ma:readOnly="false">
      <xsd:simpleType>
        <xsd:union memberTypes="dms:Text">
          <xsd:simpleType>
            <xsd:restriction base="dms:Choice">
              <xsd:enumeration value="Major and International Markets"/>
              <xsd:enumeration value="US"/>
              <xsd:enumeration value="EU"/>
              <xsd:enumeration value="JP"/>
              <xsd:enumeration value="CN"/>
              <xsd:enumeration value="Labelli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eab9911-0144-44e5-8b44-3fad77c2eb81" elementFormDefault="qualified">
    <xsd:import namespace="http://schemas.microsoft.com/office/2006/documentManagement/types"/>
    <xsd:import namespace="http://schemas.microsoft.com/office/infopath/2007/PartnerControls"/>
    <xsd:element name="Archived" ma:index="10" nillable="true" ma:displayName="Archived" ma:default="0" ma:description="Check if document is outdated but still worth keeping."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15d93b-f574-42f7-a6b3-712bb15f2a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ments" ma:index="1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6f9742-6636-442b-b0bc-714ba2170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73E85-0184-4109-931A-8E64329F32F0}">
  <ds:schemaRefs>
    <ds:schemaRef ds:uri="http://schemas.microsoft.com/office/2006/metadata/customXsn"/>
  </ds:schemaRefs>
</ds:datastoreItem>
</file>

<file path=customXml/itemProps2.xml><?xml version="1.0" encoding="utf-8"?>
<ds:datastoreItem xmlns:ds="http://schemas.openxmlformats.org/officeDocument/2006/customXml" ds:itemID="{FE06B97D-612A-418D-B63B-271484189F20}">
  <ds:schemaRefs>
    <ds:schemaRef ds:uri="http://purl.org/dc/terms/"/>
    <ds:schemaRef ds:uri="http://www.w3.org/XML/1998/namespace"/>
    <ds:schemaRef ds:uri="http://schemas.microsoft.com/office/2006/documentManagement/types"/>
    <ds:schemaRef ds:uri="6f15d93b-f574-42f7-a6b3-712bb15f2a8e"/>
    <ds:schemaRef ds:uri="http://schemas.microsoft.com/office/2006/metadata/properties"/>
    <ds:schemaRef ds:uri="2eab9911-0144-44e5-8b44-3fad77c2eb81"/>
    <ds:schemaRef ds:uri="http://purl.org/dc/elements/1.1/"/>
    <ds:schemaRef ds:uri="e66f9742-6636-442b-b0bc-714ba2170030"/>
    <ds:schemaRef ds:uri="609963f9-4c88-4bc7-b136-467249878642"/>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E7D28D1-8CA4-41C2-9D0A-D18E3355A97C}">
  <ds:schemaRefs>
    <ds:schemaRef ds:uri="http://schemas.openxmlformats.org/officeDocument/2006/bibliography"/>
  </ds:schemaRefs>
</ds:datastoreItem>
</file>

<file path=customXml/itemProps4.xml><?xml version="1.0" encoding="utf-8"?>
<ds:datastoreItem xmlns:ds="http://schemas.openxmlformats.org/officeDocument/2006/customXml" ds:itemID="{3A4620F7-4A89-4A13-9534-F891728F2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963f9-4c88-4bc7-b136-467249878642"/>
    <ds:schemaRef ds:uri="2eab9911-0144-44e5-8b44-3fad77c2eb81"/>
    <ds:schemaRef ds:uri="6f15d93b-f574-42f7-a6b3-712bb15f2a8e"/>
    <ds:schemaRef ds:uri="e66f9742-6636-442b-b0bc-714ba2170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E4A793-B996-455B-8544-B6EDF6CFCF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11830</Words>
  <Characters>67434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79106</CharactersWithSpaces>
  <SharedDoc>false</SharedDoc>
  <HLinks>
    <vt:vector size="126" baseType="variant">
      <vt:variant>
        <vt:i4>3473445</vt:i4>
      </vt:variant>
      <vt:variant>
        <vt:i4>185</vt:i4>
      </vt:variant>
      <vt:variant>
        <vt:i4>0</vt:i4>
      </vt:variant>
      <vt:variant>
        <vt:i4>5</vt:i4>
      </vt:variant>
      <vt:variant>
        <vt:lpwstr>https://www.tga.gov.au/</vt:lpwstr>
      </vt:variant>
      <vt:variant>
        <vt:lpwstr/>
      </vt:variant>
      <vt:variant>
        <vt:i4>5242926</vt:i4>
      </vt:variant>
      <vt:variant>
        <vt:i4>182</vt:i4>
      </vt:variant>
      <vt:variant>
        <vt:i4>0</vt:i4>
      </vt:variant>
      <vt:variant>
        <vt:i4>5</vt:i4>
      </vt:variant>
      <vt:variant>
        <vt:lpwstr>mailto:info@tga.gov.au</vt:lpwstr>
      </vt:variant>
      <vt:variant>
        <vt:lpwstr/>
      </vt:variant>
      <vt:variant>
        <vt:i4>4194312</vt:i4>
      </vt:variant>
      <vt:variant>
        <vt:i4>179</vt:i4>
      </vt:variant>
      <vt:variant>
        <vt:i4>0</vt:i4>
      </vt:variant>
      <vt:variant>
        <vt:i4>5</vt:i4>
      </vt:variant>
      <vt:variant>
        <vt:lpwstr>https://www.tga.gov.au/product-information-pi</vt:lpwstr>
      </vt:variant>
      <vt:variant>
        <vt:lpwstr/>
      </vt:variant>
      <vt:variant>
        <vt:i4>4194312</vt:i4>
      </vt:variant>
      <vt:variant>
        <vt:i4>113</vt:i4>
      </vt:variant>
      <vt:variant>
        <vt:i4>0</vt:i4>
      </vt:variant>
      <vt:variant>
        <vt:i4>5</vt:i4>
      </vt:variant>
      <vt:variant>
        <vt:lpwstr>https://www.tga.gov.au/product-information-pi</vt:lpwstr>
      </vt:variant>
      <vt:variant>
        <vt:lpwstr/>
      </vt:variant>
      <vt:variant>
        <vt:i4>1179709</vt:i4>
      </vt:variant>
      <vt:variant>
        <vt:i4>92</vt:i4>
      </vt:variant>
      <vt:variant>
        <vt:i4>0</vt:i4>
      </vt:variant>
      <vt:variant>
        <vt:i4>5</vt:i4>
      </vt:variant>
      <vt:variant>
        <vt:lpwstr/>
      </vt:variant>
      <vt:variant>
        <vt:lpwstr>_Toc76132696</vt:lpwstr>
      </vt:variant>
      <vt:variant>
        <vt:i4>1114173</vt:i4>
      </vt:variant>
      <vt:variant>
        <vt:i4>86</vt:i4>
      </vt:variant>
      <vt:variant>
        <vt:i4>0</vt:i4>
      </vt:variant>
      <vt:variant>
        <vt:i4>5</vt:i4>
      </vt:variant>
      <vt:variant>
        <vt:lpwstr/>
      </vt:variant>
      <vt:variant>
        <vt:lpwstr>_Toc76132695</vt:lpwstr>
      </vt:variant>
      <vt:variant>
        <vt:i4>1048637</vt:i4>
      </vt:variant>
      <vt:variant>
        <vt:i4>80</vt:i4>
      </vt:variant>
      <vt:variant>
        <vt:i4>0</vt:i4>
      </vt:variant>
      <vt:variant>
        <vt:i4>5</vt:i4>
      </vt:variant>
      <vt:variant>
        <vt:lpwstr/>
      </vt:variant>
      <vt:variant>
        <vt:lpwstr>_Toc76132694</vt:lpwstr>
      </vt:variant>
      <vt:variant>
        <vt:i4>1507389</vt:i4>
      </vt:variant>
      <vt:variant>
        <vt:i4>74</vt:i4>
      </vt:variant>
      <vt:variant>
        <vt:i4>0</vt:i4>
      </vt:variant>
      <vt:variant>
        <vt:i4>5</vt:i4>
      </vt:variant>
      <vt:variant>
        <vt:lpwstr/>
      </vt:variant>
      <vt:variant>
        <vt:lpwstr>_Toc76132693</vt:lpwstr>
      </vt:variant>
      <vt:variant>
        <vt:i4>1441853</vt:i4>
      </vt:variant>
      <vt:variant>
        <vt:i4>68</vt:i4>
      </vt:variant>
      <vt:variant>
        <vt:i4>0</vt:i4>
      </vt:variant>
      <vt:variant>
        <vt:i4>5</vt:i4>
      </vt:variant>
      <vt:variant>
        <vt:lpwstr/>
      </vt:variant>
      <vt:variant>
        <vt:lpwstr>_Toc76132692</vt:lpwstr>
      </vt:variant>
      <vt:variant>
        <vt:i4>1376317</vt:i4>
      </vt:variant>
      <vt:variant>
        <vt:i4>62</vt:i4>
      </vt:variant>
      <vt:variant>
        <vt:i4>0</vt:i4>
      </vt:variant>
      <vt:variant>
        <vt:i4>5</vt:i4>
      </vt:variant>
      <vt:variant>
        <vt:lpwstr/>
      </vt:variant>
      <vt:variant>
        <vt:lpwstr>_Toc76132691</vt:lpwstr>
      </vt:variant>
      <vt:variant>
        <vt:i4>1310781</vt:i4>
      </vt:variant>
      <vt:variant>
        <vt:i4>56</vt:i4>
      </vt:variant>
      <vt:variant>
        <vt:i4>0</vt:i4>
      </vt:variant>
      <vt:variant>
        <vt:i4>5</vt:i4>
      </vt:variant>
      <vt:variant>
        <vt:lpwstr/>
      </vt:variant>
      <vt:variant>
        <vt:lpwstr>_Toc76132690</vt:lpwstr>
      </vt:variant>
      <vt:variant>
        <vt:i4>1900604</vt:i4>
      </vt:variant>
      <vt:variant>
        <vt:i4>50</vt:i4>
      </vt:variant>
      <vt:variant>
        <vt:i4>0</vt:i4>
      </vt:variant>
      <vt:variant>
        <vt:i4>5</vt:i4>
      </vt:variant>
      <vt:variant>
        <vt:lpwstr/>
      </vt:variant>
      <vt:variant>
        <vt:lpwstr>_Toc76132689</vt:lpwstr>
      </vt:variant>
      <vt:variant>
        <vt:i4>1835068</vt:i4>
      </vt:variant>
      <vt:variant>
        <vt:i4>44</vt:i4>
      </vt:variant>
      <vt:variant>
        <vt:i4>0</vt:i4>
      </vt:variant>
      <vt:variant>
        <vt:i4>5</vt:i4>
      </vt:variant>
      <vt:variant>
        <vt:lpwstr/>
      </vt:variant>
      <vt:variant>
        <vt:lpwstr>_Toc76132688</vt:lpwstr>
      </vt:variant>
      <vt:variant>
        <vt:i4>1245244</vt:i4>
      </vt:variant>
      <vt:variant>
        <vt:i4>38</vt:i4>
      </vt:variant>
      <vt:variant>
        <vt:i4>0</vt:i4>
      </vt:variant>
      <vt:variant>
        <vt:i4>5</vt:i4>
      </vt:variant>
      <vt:variant>
        <vt:lpwstr/>
      </vt:variant>
      <vt:variant>
        <vt:lpwstr>_Toc76132687</vt:lpwstr>
      </vt:variant>
      <vt:variant>
        <vt:i4>1179708</vt:i4>
      </vt:variant>
      <vt:variant>
        <vt:i4>32</vt:i4>
      </vt:variant>
      <vt:variant>
        <vt:i4>0</vt:i4>
      </vt:variant>
      <vt:variant>
        <vt:i4>5</vt:i4>
      </vt:variant>
      <vt:variant>
        <vt:lpwstr/>
      </vt:variant>
      <vt:variant>
        <vt:lpwstr>_Toc76132686</vt:lpwstr>
      </vt:variant>
      <vt:variant>
        <vt:i4>1114172</vt:i4>
      </vt:variant>
      <vt:variant>
        <vt:i4>26</vt:i4>
      </vt:variant>
      <vt:variant>
        <vt:i4>0</vt:i4>
      </vt:variant>
      <vt:variant>
        <vt:i4>5</vt:i4>
      </vt:variant>
      <vt:variant>
        <vt:lpwstr/>
      </vt:variant>
      <vt:variant>
        <vt:lpwstr>_Toc76132685</vt:lpwstr>
      </vt:variant>
      <vt:variant>
        <vt:i4>1048636</vt:i4>
      </vt:variant>
      <vt:variant>
        <vt:i4>20</vt:i4>
      </vt:variant>
      <vt:variant>
        <vt:i4>0</vt:i4>
      </vt:variant>
      <vt:variant>
        <vt:i4>5</vt:i4>
      </vt:variant>
      <vt:variant>
        <vt:lpwstr/>
      </vt:variant>
      <vt:variant>
        <vt:lpwstr>_Toc76132684</vt:lpwstr>
      </vt:variant>
      <vt:variant>
        <vt:i4>1507388</vt:i4>
      </vt:variant>
      <vt:variant>
        <vt:i4>14</vt:i4>
      </vt:variant>
      <vt:variant>
        <vt:i4>0</vt:i4>
      </vt:variant>
      <vt:variant>
        <vt:i4>5</vt:i4>
      </vt:variant>
      <vt:variant>
        <vt:lpwstr/>
      </vt:variant>
      <vt:variant>
        <vt:lpwstr>_Toc76132683</vt:lpwstr>
      </vt:variant>
      <vt:variant>
        <vt:i4>1441852</vt:i4>
      </vt:variant>
      <vt:variant>
        <vt:i4>8</vt:i4>
      </vt:variant>
      <vt:variant>
        <vt:i4>0</vt:i4>
      </vt:variant>
      <vt:variant>
        <vt:i4>5</vt:i4>
      </vt:variant>
      <vt:variant>
        <vt:lpwstr/>
      </vt:variant>
      <vt:variant>
        <vt:lpwstr>_Toc76132682</vt:lpwstr>
      </vt:variant>
      <vt:variant>
        <vt:i4>6291548</vt:i4>
      </vt:variant>
      <vt:variant>
        <vt:i4>3</vt:i4>
      </vt:variant>
      <vt:variant>
        <vt:i4>0</vt:i4>
      </vt:variant>
      <vt:variant>
        <vt:i4>5</vt:i4>
      </vt:variant>
      <vt:variant>
        <vt:lpwstr>mailto:tga.copyright@tga.gov.au</vt:lpwstr>
      </vt:variant>
      <vt:variant>
        <vt:lpwstr/>
      </vt:variant>
      <vt:variant>
        <vt:i4>3473445</vt:i4>
      </vt:variant>
      <vt:variant>
        <vt:i4>0</vt:i4>
      </vt:variant>
      <vt:variant>
        <vt:i4>0</vt:i4>
      </vt:variant>
      <vt:variant>
        <vt:i4>5</vt:i4>
      </vt:variant>
      <vt:variant>
        <vt:lpwstr>https://www.tga.gov.au/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Eptinezumab</dc:title>
  <dc:subject>prescriptiopn medicines</dc:subject>
  <dc:creator/>
  <cp:keywords/>
  <dc:description/>
  <cp:lastModifiedBy/>
  <cp:revision>1</cp:revision>
  <dcterms:created xsi:type="dcterms:W3CDTF">2022-02-14T22:11:00Z</dcterms:created>
  <dcterms:modified xsi:type="dcterms:W3CDTF">2022-03-03T00:11:00Z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0x0101003E329BCF176E314594F101C085344F35</vt:lpwstr>
  </property>
</Properties>
</file>