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82B" w:rsidRDefault="008A782B"/>
    <w:p w:rsidR="006F7924" w:rsidRPr="00826344" w:rsidRDefault="00480EF2" w:rsidP="00826344">
      <w:pPr>
        <w:pStyle w:val="Heading1"/>
      </w:pPr>
      <w:r w:rsidRPr="00826344">
        <w:t>HALAVEN PRODUCT INFORMATION</w:t>
      </w:r>
    </w:p>
    <w:p w:rsidR="006F7924" w:rsidRPr="00826344" w:rsidRDefault="006F7924" w:rsidP="00826344">
      <w:pPr>
        <w:pStyle w:val="Heading2"/>
      </w:pPr>
      <w:r w:rsidRPr="00826344">
        <w:t>Name of the MEDICINE</w:t>
      </w:r>
    </w:p>
    <w:p w:rsidR="006F7924" w:rsidRPr="008A0486" w:rsidRDefault="00826344" w:rsidP="00826344">
      <w:r>
        <w:t>HALAVEN</w:t>
      </w:r>
    </w:p>
    <w:p w:rsidR="006F7924" w:rsidRPr="008A0486" w:rsidRDefault="006F7924" w:rsidP="00826344">
      <w:pPr>
        <w:rPr>
          <w:szCs w:val="24"/>
          <w:lang w:val="en-AU" w:eastAsia="en-AU"/>
        </w:rPr>
      </w:pPr>
      <w:proofErr w:type="spellStart"/>
      <w:r w:rsidRPr="008A0486">
        <w:rPr>
          <w:szCs w:val="24"/>
          <w:lang w:val="en-AU" w:eastAsia="en-AU"/>
        </w:rPr>
        <w:t>Eribulin</w:t>
      </w:r>
      <w:proofErr w:type="spellEnd"/>
      <w:r w:rsidRPr="008A0486">
        <w:rPr>
          <w:szCs w:val="24"/>
          <w:lang w:val="en-AU" w:eastAsia="en-AU"/>
        </w:rPr>
        <w:t xml:space="preserve"> </w:t>
      </w:r>
      <w:proofErr w:type="spellStart"/>
      <w:r w:rsidR="00405C52">
        <w:rPr>
          <w:szCs w:val="24"/>
          <w:lang w:val="en-AU" w:eastAsia="en-AU"/>
        </w:rPr>
        <w:t>mesilate</w:t>
      </w:r>
      <w:proofErr w:type="spellEnd"/>
    </w:p>
    <w:p w:rsidR="006F7924" w:rsidRPr="00480EF2" w:rsidRDefault="006F7924" w:rsidP="00826344">
      <w:pPr>
        <w:pStyle w:val="Heading3"/>
      </w:pPr>
      <w:r w:rsidRPr="00480EF2">
        <w:t>Chemical Structure</w:t>
      </w:r>
    </w:p>
    <w:p w:rsidR="00565539" w:rsidRDefault="00565539" w:rsidP="00826344">
      <w:r w:rsidRPr="00565539">
        <w:t xml:space="preserve">The chemical name for </w:t>
      </w:r>
      <w:proofErr w:type="spellStart"/>
      <w:r w:rsidRPr="00565539">
        <w:t>eribulin</w:t>
      </w:r>
      <w:proofErr w:type="spellEnd"/>
      <w:r w:rsidRPr="00565539">
        <w:t xml:space="preserve"> </w:t>
      </w:r>
      <w:proofErr w:type="spellStart"/>
      <w:r w:rsidR="00405C52">
        <w:t>mesilate</w:t>
      </w:r>
      <w:proofErr w:type="spellEnd"/>
      <w:r w:rsidRPr="00565539">
        <w:t xml:space="preserve"> is 11,15:18,21:24,28</w:t>
      </w:r>
      <w:r w:rsidR="00405C52">
        <w:t>-t</w:t>
      </w:r>
      <w:r w:rsidRPr="00565539">
        <w:t>riepoxy-7,9-ethano-12,15-methano-9</w:t>
      </w:r>
      <w:r w:rsidRPr="00565539">
        <w:rPr>
          <w:i/>
          <w:iCs/>
        </w:rPr>
        <w:t>H</w:t>
      </w:r>
      <w:r w:rsidRPr="00565539">
        <w:t>,15</w:t>
      </w:r>
      <w:r w:rsidRPr="00565539">
        <w:rPr>
          <w:i/>
          <w:iCs/>
        </w:rPr>
        <w:t>H</w:t>
      </w:r>
      <w:r w:rsidRPr="00565539">
        <w:t>-furo[3,2-</w:t>
      </w:r>
      <w:r w:rsidRPr="00565539">
        <w:rPr>
          <w:i/>
          <w:iCs/>
        </w:rPr>
        <w:t>i</w:t>
      </w:r>
      <w:r w:rsidRPr="00565539">
        <w:t>]furo[2',3':5,6]pyrano[4,3</w:t>
      </w:r>
      <w:r w:rsidR="00B64BD2" w:rsidRPr="00390DCA">
        <w:rPr>
          <w:rFonts w:eastAsia="MS Mincho" w:hint="eastAsia"/>
          <w:lang w:eastAsia="ja-JP"/>
        </w:rPr>
        <w:t>-</w:t>
      </w:r>
      <w:r w:rsidRPr="00565539">
        <w:rPr>
          <w:i/>
          <w:iCs/>
        </w:rPr>
        <w:t>b</w:t>
      </w:r>
      <w:r w:rsidRPr="00565539">
        <w:t>][1,4]dioxacyclopentacosin-5(4</w:t>
      </w:r>
      <w:r w:rsidRPr="00565539">
        <w:rPr>
          <w:i/>
          <w:iCs/>
        </w:rPr>
        <w:t>H</w:t>
      </w:r>
      <w:r w:rsidRPr="00565539">
        <w:t>)-one, 2-[(2</w:t>
      </w:r>
      <w:r w:rsidRPr="00565539">
        <w:rPr>
          <w:i/>
          <w:iCs/>
        </w:rPr>
        <w:t>S</w:t>
      </w:r>
      <w:r w:rsidRPr="00565539">
        <w:t>)-3-amino-2-hydroxypropyl]hexacosahydro-3</w:t>
      </w:r>
      <w:r w:rsidR="00B64BD2" w:rsidRPr="00390DCA">
        <w:rPr>
          <w:rFonts w:eastAsia="MS Mincho" w:hint="eastAsia"/>
          <w:lang w:eastAsia="ja-JP"/>
        </w:rPr>
        <w:t>-</w:t>
      </w:r>
      <w:r w:rsidRPr="00565539">
        <w:t>methoxy-26-methyl-20,27-bis(methylene)-, (2</w:t>
      </w:r>
      <w:r w:rsidRPr="00565539">
        <w:rPr>
          <w:i/>
          <w:iCs/>
        </w:rPr>
        <w:t>R</w:t>
      </w:r>
      <w:r w:rsidRPr="00565539">
        <w:t>,3</w:t>
      </w:r>
      <w:r w:rsidRPr="00565539">
        <w:rPr>
          <w:i/>
          <w:iCs/>
        </w:rPr>
        <w:t>R</w:t>
      </w:r>
      <w:r w:rsidRPr="00565539">
        <w:t>,3a</w:t>
      </w:r>
      <w:r w:rsidRPr="00565539">
        <w:rPr>
          <w:i/>
          <w:iCs/>
        </w:rPr>
        <w:t>S</w:t>
      </w:r>
      <w:r w:rsidRPr="00565539">
        <w:t>,7</w:t>
      </w:r>
      <w:r w:rsidRPr="00565539">
        <w:rPr>
          <w:i/>
          <w:iCs/>
        </w:rPr>
        <w:t>R</w:t>
      </w:r>
      <w:r w:rsidRPr="00565539">
        <w:t>,8a</w:t>
      </w:r>
      <w:r w:rsidRPr="00565539">
        <w:rPr>
          <w:i/>
          <w:iCs/>
        </w:rPr>
        <w:t>S</w:t>
      </w:r>
      <w:r w:rsidRPr="00565539">
        <w:t>,9</w:t>
      </w:r>
      <w:r w:rsidRPr="00565539">
        <w:rPr>
          <w:i/>
          <w:iCs/>
        </w:rPr>
        <w:t>S</w:t>
      </w:r>
      <w:r w:rsidRPr="00565539">
        <w:t>,10a</w:t>
      </w:r>
      <w:r w:rsidRPr="00565539">
        <w:rPr>
          <w:i/>
          <w:iCs/>
        </w:rPr>
        <w:t>R</w:t>
      </w:r>
      <w:r w:rsidRPr="00565539">
        <w:t>,11</w:t>
      </w:r>
      <w:r w:rsidRPr="00565539">
        <w:rPr>
          <w:i/>
          <w:iCs/>
        </w:rPr>
        <w:t>S</w:t>
      </w:r>
      <w:r w:rsidRPr="00565539">
        <w:t>,12</w:t>
      </w:r>
      <w:r w:rsidRPr="00565539">
        <w:rPr>
          <w:i/>
          <w:iCs/>
        </w:rPr>
        <w:t>R</w:t>
      </w:r>
      <w:r w:rsidRPr="00565539">
        <w:t>,13a</w:t>
      </w:r>
      <w:r w:rsidRPr="00565539">
        <w:rPr>
          <w:i/>
          <w:iCs/>
        </w:rPr>
        <w:t>R</w:t>
      </w:r>
      <w:r w:rsidRPr="00565539">
        <w:t>,13b</w:t>
      </w:r>
      <w:r w:rsidRPr="00565539">
        <w:rPr>
          <w:i/>
          <w:iCs/>
        </w:rPr>
        <w:t>S</w:t>
      </w:r>
      <w:r w:rsidRPr="00565539">
        <w:t>,15</w:t>
      </w:r>
      <w:r w:rsidRPr="00565539">
        <w:rPr>
          <w:i/>
          <w:iCs/>
        </w:rPr>
        <w:t>S</w:t>
      </w:r>
      <w:r w:rsidRPr="00565539">
        <w:t>,18</w:t>
      </w:r>
      <w:r w:rsidRPr="00565539">
        <w:rPr>
          <w:i/>
          <w:iCs/>
        </w:rPr>
        <w:t>S</w:t>
      </w:r>
      <w:r w:rsidRPr="00565539">
        <w:t>,21</w:t>
      </w:r>
      <w:r w:rsidRPr="00565539">
        <w:rPr>
          <w:i/>
          <w:iCs/>
        </w:rPr>
        <w:t>S</w:t>
      </w:r>
      <w:r w:rsidRPr="00565539">
        <w:t>,24</w:t>
      </w:r>
      <w:r w:rsidRPr="00565539">
        <w:rPr>
          <w:i/>
          <w:iCs/>
        </w:rPr>
        <w:t>S</w:t>
      </w:r>
      <w:r w:rsidRPr="00565539">
        <w:t>,26</w:t>
      </w:r>
      <w:r w:rsidRPr="00565539">
        <w:rPr>
          <w:i/>
          <w:iCs/>
        </w:rPr>
        <w:t>R</w:t>
      </w:r>
      <w:r w:rsidRPr="00565539">
        <w:t>,28</w:t>
      </w:r>
      <w:r w:rsidRPr="00565539">
        <w:rPr>
          <w:i/>
          <w:iCs/>
        </w:rPr>
        <w:t>R</w:t>
      </w:r>
      <w:r w:rsidRPr="00565539">
        <w:t>,</w:t>
      </w:r>
      <w:r w:rsidR="00EB2729">
        <w:rPr>
          <w:rFonts w:eastAsiaTheme="minorEastAsia" w:hint="eastAsia"/>
          <w:lang w:eastAsia="ja-JP"/>
        </w:rPr>
        <w:t xml:space="preserve"> </w:t>
      </w:r>
      <w:r w:rsidRPr="00565539">
        <w:t>29a</w:t>
      </w:r>
      <w:r w:rsidRPr="00565539">
        <w:rPr>
          <w:i/>
          <w:iCs/>
        </w:rPr>
        <w:t>S</w:t>
      </w:r>
      <w:r w:rsidRPr="00565539">
        <w:t xml:space="preserve">)-, </w:t>
      </w:r>
      <w:proofErr w:type="spellStart"/>
      <w:r w:rsidRPr="00565539">
        <w:t>methanesulfonate</w:t>
      </w:r>
      <w:proofErr w:type="spellEnd"/>
      <w:r w:rsidRPr="00565539">
        <w:t xml:space="preserve"> (salt). It has a molecular weight </w:t>
      </w:r>
      <w:r w:rsidR="00826344">
        <w:t>of 826.0 (729.9 for free base).</w:t>
      </w:r>
    </w:p>
    <w:p w:rsidR="00565539" w:rsidRDefault="00565539" w:rsidP="00826344">
      <w:r w:rsidRPr="00565539">
        <w:t>The empirical formula is C</w:t>
      </w:r>
      <w:r w:rsidRPr="00565539">
        <w:rPr>
          <w:vertAlign w:val="subscript"/>
        </w:rPr>
        <w:t>40</w:t>
      </w:r>
      <w:r w:rsidRPr="00565539">
        <w:t>H</w:t>
      </w:r>
      <w:r w:rsidRPr="00565539">
        <w:rPr>
          <w:vertAlign w:val="subscript"/>
        </w:rPr>
        <w:t>59</w:t>
      </w:r>
      <w:r w:rsidRPr="00565539">
        <w:t>NO</w:t>
      </w:r>
      <w:r w:rsidRPr="00565539">
        <w:rPr>
          <w:vertAlign w:val="subscript"/>
        </w:rPr>
        <w:t>11</w:t>
      </w:r>
      <w:r w:rsidRPr="00565539">
        <w:t>•CH</w:t>
      </w:r>
      <w:r w:rsidRPr="00565539">
        <w:rPr>
          <w:vertAlign w:val="subscript"/>
        </w:rPr>
        <w:t>4</w:t>
      </w:r>
      <w:r w:rsidRPr="00565539">
        <w:t>O</w:t>
      </w:r>
      <w:r w:rsidRPr="00565539">
        <w:rPr>
          <w:vertAlign w:val="subscript"/>
        </w:rPr>
        <w:t>3</w:t>
      </w:r>
      <w:r w:rsidR="00826344">
        <w:t>S.</w:t>
      </w:r>
    </w:p>
    <w:p w:rsidR="00821882" w:rsidRDefault="00565539" w:rsidP="00826344">
      <w:pPr>
        <w:rPr>
          <w:lang w:val="en-AU" w:eastAsia="en-AU"/>
        </w:rPr>
      </w:pPr>
      <w:proofErr w:type="spellStart"/>
      <w:r w:rsidRPr="00565539">
        <w:t>Eribulin</w:t>
      </w:r>
      <w:proofErr w:type="spellEnd"/>
      <w:r w:rsidRPr="00565539">
        <w:t xml:space="preserve"> </w:t>
      </w:r>
      <w:proofErr w:type="spellStart"/>
      <w:r w:rsidR="00405C52">
        <w:t>mesilate</w:t>
      </w:r>
      <w:proofErr w:type="spellEnd"/>
      <w:r w:rsidRPr="00565539">
        <w:t xml:space="preserve"> has the following structural formula:</w:t>
      </w:r>
    </w:p>
    <w:p w:rsidR="00565539" w:rsidRDefault="00821882" w:rsidP="008A0486">
      <w:pPr>
        <w:spacing w:after="240" w:line="276" w:lineRule="auto"/>
        <w:rPr>
          <w:szCs w:val="24"/>
          <w:lang w:val="en-AU" w:eastAsia="en-AU"/>
        </w:rPr>
      </w:pPr>
      <w:r>
        <w:rPr>
          <w:noProof/>
          <w:sz w:val="21"/>
          <w:szCs w:val="21"/>
          <w:lang w:val="en-AU" w:eastAsia="en-AU"/>
        </w:rPr>
        <w:drawing>
          <wp:inline distT="0" distB="0" distL="0" distR="0">
            <wp:extent cx="3423684" cy="1740373"/>
            <wp:effectExtent l="19050" t="0" r="5316" b="0"/>
            <wp:docPr id="7" name="Picture 7" descr="Structural formula of eribulin mesi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423684" cy="1740373"/>
                    </a:xfrm>
                    <a:prstGeom prst="rect">
                      <a:avLst/>
                    </a:prstGeom>
                    <a:noFill/>
                    <a:ln w="9525">
                      <a:noFill/>
                      <a:miter lim="800000"/>
                      <a:headEnd/>
                      <a:tailEnd/>
                    </a:ln>
                  </pic:spPr>
                </pic:pic>
              </a:graphicData>
            </a:graphic>
          </wp:inline>
        </w:drawing>
      </w:r>
    </w:p>
    <w:p w:rsidR="006F7924" w:rsidRPr="008A0486" w:rsidRDefault="006F7924" w:rsidP="00826344">
      <w:pPr>
        <w:rPr>
          <w:lang w:val="en-AU" w:eastAsia="en-AU"/>
        </w:rPr>
      </w:pPr>
      <w:r w:rsidRPr="008A0486">
        <w:rPr>
          <w:lang w:val="en-AU" w:eastAsia="en-AU"/>
        </w:rPr>
        <w:t>CAS Number:</w:t>
      </w:r>
      <w:r w:rsidR="00565539">
        <w:rPr>
          <w:lang w:val="en-AU" w:eastAsia="en-AU"/>
        </w:rPr>
        <w:t xml:space="preserve"> </w:t>
      </w:r>
      <w:r w:rsidR="00565539">
        <w:rPr>
          <w:rFonts w:eastAsia="Calibri"/>
          <w:color w:val="auto"/>
          <w:sz w:val="21"/>
          <w:szCs w:val="21"/>
          <w:lang w:val="en-US" w:eastAsia="en-US"/>
        </w:rPr>
        <w:t>441045-17-6</w:t>
      </w:r>
    </w:p>
    <w:p w:rsidR="006F7924" w:rsidRPr="008A0486" w:rsidRDefault="006F7924" w:rsidP="00826344">
      <w:pPr>
        <w:pStyle w:val="Heading2"/>
      </w:pPr>
      <w:r w:rsidRPr="008A0486">
        <w:t>DESCRIPTION</w:t>
      </w:r>
    </w:p>
    <w:p w:rsidR="00826344" w:rsidRDefault="004A5E71" w:rsidP="00826344">
      <w:r w:rsidRPr="008A0486">
        <w:t>HALAVEN</w:t>
      </w:r>
      <w:r w:rsidR="006F7924" w:rsidRPr="008A0486">
        <w:t xml:space="preserve"> is a clear, colourless aqueous solution for injection. </w:t>
      </w:r>
      <w:r w:rsidRPr="008A0486">
        <w:t xml:space="preserve">HALAVEN </w:t>
      </w:r>
      <w:r w:rsidR="006F7924" w:rsidRPr="008A0486">
        <w:t xml:space="preserve">contains </w:t>
      </w:r>
      <w:proofErr w:type="spellStart"/>
      <w:r w:rsidR="006F7924" w:rsidRPr="008A0486">
        <w:t>eribulin</w:t>
      </w:r>
      <w:proofErr w:type="spellEnd"/>
      <w:r w:rsidR="006F7924" w:rsidRPr="008A0486">
        <w:t xml:space="preserve"> </w:t>
      </w:r>
      <w:proofErr w:type="spellStart"/>
      <w:r w:rsidR="00405C52">
        <w:t>mesilate</w:t>
      </w:r>
      <w:proofErr w:type="spellEnd"/>
      <w:r w:rsidR="006F7924" w:rsidRPr="008A0486">
        <w:t xml:space="preserve"> 1 mg in 2 </w:t>
      </w:r>
      <w:proofErr w:type="spellStart"/>
      <w:r w:rsidR="00405C52">
        <w:t>mL</w:t>
      </w:r>
      <w:proofErr w:type="spellEnd"/>
      <w:r w:rsidR="006F7924" w:rsidRPr="008A0486">
        <w:t xml:space="preserve"> </w:t>
      </w:r>
      <w:r w:rsidR="00B943F6">
        <w:t xml:space="preserve">(equivalent to </w:t>
      </w:r>
      <w:proofErr w:type="spellStart"/>
      <w:r w:rsidR="00B943F6">
        <w:t>eribulin</w:t>
      </w:r>
      <w:proofErr w:type="spellEnd"/>
      <w:r w:rsidR="00B943F6">
        <w:t xml:space="preserve"> </w:t>
      </w:r>
      <w:r w:rsidR="0004218F" w:rsidRPr="0004218F">
        <w:rPr>
          <w:rFonts w:eastAsiaTheme="minorEastAsia"/>
          <w:lang w:eastAsia="ja-JP"/>
        </w:rPr>
        <w:t>free base</w:t>
      </w:r>
      <w:r w:rsidR="000503C2" w:rsidRPr="00A330B9">
        <w:rPr>
          <w:rFonts w:eastAsiaTheme="minorEastAsia" w:hint="eastAsia"/>
          <w:lang w:eastAsia="ja-JP"/>
        </w:rPr>
        <w:t xml:space="preserve"> </w:t>
      </w:r>
      <w:r w:rsidR="00B943F6">
        <w:t xml:space="preserve">0.88 mg in 2 </w:t>
      </w:r>
      <w:proofErr w:type="spellStart"/>
      <w:r w:rsidR="00B943F6">
        <w:t>mL</w:t>
      </w:r>
      <w:proofErr w:type="spellEnd"/>
      <w:r w:rsidR="00B943F6">
        <w:t xml:space="preserve">) </w:t>
      </w:r>
      <w:r w:rsidR="006F7924" w:rsidRPr="008A0486">
        <w:t>as the active ingredient. It also contains</w:t>
      </w:r>
      <w:r w:rsidR="00B64BD2" w:rsidRPr="00390DCA">
        <w:rPr>
          <w:rFonts w:eastAsia="MS Mincho" w:hint="eastAsia"/>
          <w:lang w:eastAsia="ja-JP"/>
        </w:rPr>
        <w:t xml:space="preserve"> </w:t>
      </w:r>
      <w:r w:rsidR="00CD74EE">
        <w:rPr>
          <w:rFonts w:eastAsia="MS Mincho" w:hint="eastAsia"/>
          <w:lang w:eastAsia="ja-JP"/>
        </w:rPr>
        <w:t>e</w:t>
      </w:r>
      <w:r w:rsidR="00CD74EE" w:rsidRPr="00390DCA">
        <w:rPr>
          <w:rFonts w:eastAsia="MS Mincho" w:hint="eastAsia"/>
          <w:lang w:eastAsia="ja-JP"/>
        </w:rPr>
        <w:t xml:space="preserve">thanol </w:t>
      </w:r>
      <w:r w:rsidR="00AD0523">
        <w:rPr>
          <w:rFonts w:eastAsia="MS Mincho"/>
          <w:lang w:eastAsia="ja-JP"/>
        </w:rPr>
        <w:t xml:space="preserve">absolute </w:t>
      </w:r>
      <w:r w:rsidR="00565539" w:rsidRPr="00924FB6">
        <w:t>0.1</w:t>
      </w:r>
      <w:r w:rsidR="00B943F6">
        <w:t xml:space="preserve"> </w:t>
      </w:r>
      <w:proofErr w:type="spellStart"/>
      <w:r w:rsidR="00405C52">
        <w:t>mL</w:t>
      </w:r>
      <w:proofErr w:type="spellEnd"/>
      <w:r w:rsidR="008A0486">
        <w:t>, hydrochl</w:t>
      </w:r>
      <w:r w:rsidR="00405C52">
        <w:t>o</w:t>
      </w:r>
      <w:r w:rsidR="008A0486">
        <w:t>r</w:t>
      </w:r>
      <w:r w:rsidR="00405C52">
        <w:t>i</w:t>
      </w:r>
      <w:r w:rsidR="008A0486">
        <w:t xml:space="preserve">c acid </w:t>
      </w:r>
      <w:proofErr w:type="spellStart"/>
      <w:r w:rsidR="008A0486">
        <w:t>qs</w:t>
      </w:r>
      <w:proofErr w:type="spellEnd"/>
      <w:r w:rsidR="00B64BD2" w:rsidRPr="00390DCA">
        <w:rPr>
          <w:rFonts w:eastAsia="MS Mincho" w:hint="eastAsia"/>
          <w:lang w:eastAsia="ja-JP"/>
        </w:rPr>
        <w:t>,</w:t>
      </w:r>
      <w:r w:rsidR="008A0486">
        <w:t xml:space="preserve"> sodium hydroxide </w:t>
      </w:r>
      <w:proofErr w:type="spellStart"/>
      <w:r w:rsidR="008A0486">
        <w:t>qs</w:t>
      </w:r>
      <w:proofErr w:type="spellEnd"/>
      <w:r w:rsidR="00B64BD2" w:rsidRPr="00390DCA">
        <w:rPr>
          <w:rFonts w:eastAsia="MS Mincho" w:hint="eastAsia"/>
          <w:lang w:eastAsia="ja-JP"/>
        </w:rPr>
        <w:t xml:space="preserve"> </w:t>
      </w:r>
      <w:r w:rsidR="00B64BD2">
        <w:t>and</w:t>
      </w:r>
      <w:r w:rsidR="00B64BD2" w:rsidRPr="00390DCA">
        <w:rPr>
          <w:rFonts w:eastAsia="MS Mincho" w:hint="eastAsia"/>
          <w:lang w:eastAsia="ja-JP"/>
        </w:rPr>
        <w:t xml:space="preserve"> water for injection </w:t>
      </w:r>
      <w:proofErr w:type="spellStart"/>
      <w:r w:rsidR="00B64BD2" w:rsidRPr="00390DCA">
        <w:rPr>
          <w:rFonts w:eastAsia="MS Mincho" w:hint="eastAsia"/>
          <w:lang w:eastAsia="ja-JP"/>
        </w:rPr>
        <w:t>qs</w:t>
      </w:r>
      <w:proofErr w:type="spellEnd"/>
      <w:r w:rsidR="006F7924" w:rsidRPr="008A0486">
        <w:t>.</w:t>
      </w:r>
    </w:p>
    <w:p w:rsidR="006F7924" w:rsidRPr="008A0486" w:rsidRDefault="00B943F6" w:rsidP="00826344">
      <w:pPr>
        <w:pStyle w:val="Heading2"/>
      </w:pPr>
      <w:r>
        <w:br w:type="page"/>
      </w:r>
      <w:r w:rsidR="006F7924" w:rsidRPr="008A0486">
        <w:lastRenderedPageBreak/>
        <w:t>PHARMACOLOGY</w:t>
      </w:r>
    </w:p>
    <w:p w:rsidR="006F7924" w:rsidRPr="008A0486" w:rsidRDefault="006F7924" w:rsidP="00826344">
      <w:pPr>
        <w:pStyle w:val="Heading3"/>
      </w:pPr>
      <w:proofErr w:type="spellStart"/>
      <w:r w:rsidRPr="008A0486">
        <w:t>Pharmacodynamic</w:t>
      </w:r>
      <w:proofErr w:type="spellEnd"/>
      <w:r w:rsidRPr="008A0486">
        <w:t xml:space="preserve"> properties</w:t>
      </w:r>
    </w:p>
    <w:p w:rsidR="006F7924" w:rsidRPr="008A0486" w:rsidRDefault="006F7924" w:rsidP="00826344">
      <w:r w:rsidRPr="008A0486">
        <w:t>HALAVEN (</w:t>
      </w:r>
      <w:proofErr w:type="spellStart"/>
      <w:r w:rsidRPr="008A0486">
        <w:t>eribulin</w:t>
      </w:r>
      <w:proofErr w:type="spellEnd"/>
      <w:r w:rsidRPr="008A0486">
        <w:t xml:space="preserve"> </w:t>
      </w:r>
      <w:proofErr w:type="spellStart"/>
      <w:r w:rsidR="00405C52">
        <w:t>mesilate</w:t>
      </w:r>
      <w:proofErr w:type="spellEnd"/>
      <w:r w:rsidRPr="008A0486">
        <w:t>) is a non-</w:t>
      </w:r>
      <w:proofErr w:type="spellStart"/>
      <w:r w:rsidRPr="008A0486">
        <w:t>taxane</w:t>
      </w:r>
      <w:proofErr w:type="spellEnd"/>
      <w:r w:rsidRPr="008A0486">
        <w:t xml:space="preserve">, microtubule dynamics inhibitor belonging to the </w:t>
      </w:r>
      <w:proofErr w:type="spellStart"/>
      <w:r w:rsidRPr="008A0486">
        <w:t>halichondrin</w:t>
      </w:r>
      <w:proofErr w:type="spellEnd"/>
      <w:r w:rsidRPr="008A0486">
        <w:t xml:space="preserve"> class of </w:t>
      </w:r>
      <w:proofErr w:type="spellStart"/>
      <w:r w:rsidRPr="008A0486">
        <w:t>antineoplastic</w:t>
      </w:r>
      <w:proofErr w:type="spellEnd"/>
      <w:r w:rsidRPr="008A0486">
        <w:t xml:space="preserve"> agents. It is a structurally simplified synthetic analogue of </w:t>
      </w:r>
      <w:proofErr w:type="spellStart"/>
      <w:r w:rsidRPr="008A0486">
        <w:t>halichondrin</w:t>
      </w:r>
      <w:proofErr w:type="spellEnd"/>
      <w:r w:rsidRPr="008A0486">
        <w:t xml:space="preserve"> B, a natural product isolated from the marine sponge </w:t>
      </w:r>
      <w:proofErr w:type="spellStart"/>
      <w:r w:rsidRPr="008A0486">
        <w:rPr>
          <w:i/>
          <w:iCs/>
        </w:rPr>
        <w:t>Halichondria</w:t>
      </w:r>
      <w:proofErr w:type="spellEnd"/>
      <w:r w:rsidRPr="008A0486">
        <w:rPr>
          <w:i/>
          <w:iCs/>
        </w:rPr>
        <w:t xml:space="preserve"> </w:t>
      </w:r>
      <w:proofErr w:type="spellStart"/>
      <w:r w:rsidRPr="008A0486">
        <w:rPr>
          <w:i/>
          <w:iCs/>
        </w:rPr>
        <w:t>okadai</w:t>
      </w:r>
      <w:proofErr w:type="spellEnd"/>
      <w:r w:rsidR="00826344">
        <w:t>.</w:t>
      </w:r>
    </w:p>
    <w:p w:rsidR="006F7924" w:rsidRPr="008A0486" w:rsidRDefault="006F7924" w:rsidP="00826344">
      <w:pPr>
        <w:rPr>
          <w:szCs w:val="24"/>
        </w:rPr>
      </w:pPr>
      <w:proofErr w:type="spellStart"/>
      <w:r w:rsidRPr="008A0486">
        <w:rPr>
          <w:szCs w:val="24"/>
        </w:rPr>
        <w:t>Eribulin</w:t>
      </w:r>
      <w:proofErr w:type="spellEnd"/>
      <w:r w:rsidRPr="008A0486">
        <w:rPr>
          <w:szCs w:val="24"/>
        </w:rPr>
        <w:t xml:space="preserve"> inhibits the growth phase of microtubules without affecting the shortening phase and sequesters </w:t>
      </w:r>
      <w:proofErr w:type="spellStart"/>
      <w:r w:rsidRPr="008A0486">
        <w:rPr>
          <w:szCs w:val="24"/>
        </w:rPr>
        <w:t>tubulin</w:t>
      </w:r>
      <w:proofErr w:type="spellEnd"/>
      <w:r w:rsidRPr="008A0486">
        <w:rPr>
          <w:szCs w:val="24"/>
        </w:rPr>
        <w:t xml:space="preserve"> into non-productive aggregates. </w:t>
      </w:r>
      <w:proofErr w:type="spellStart"/>
      <w:r w:rsidRPr="008A0486">
        <w:rPr>
          <w:szCs w:val="24"/>
        </w:rPr>
        <w:t>Eribulin</w:t>
      </w:r>
      <w:proofErr w:type="spellEnd"/>
      <w:r w:rsidRPr="008A0486">
        <w:rPr>
          <w:szCs w:val="24"/>
        </w:rPr>
        <w:t xml:space="preserve"> exerts its effects via a </w:t>
      </w:r>
      <w:proofErr w:type="spellStart"/>
      <w:r w:rsidRPr="008A0486">
        <w:rPr>
          <w:szCs w:val="24"/>
        </w:rPr>
        <w:t>tubulin</w:t>
      </w:r>
      <w:proofErr w:type="spellEnd"/>
      <w:r w:rsidRPr="008A0486">
        <w:rPr>
          <w:szCs w:val="24"/>
        </w:rPr>
        <w:t xml:space="preserve">-based </w:t>
      </w:r>
      <w:proofErr w:type="spellStart"/>
      <w:r w:rsidRPr="008A0486">
        <w:rPr>
          <w:szCs w:val="24"/>
        </w:rPr>
        <w:t>antimitotic</w:t>
      </w:r>
      <w:proofErr w:type="spellEnd"/>
      <w:r w:rsidRPr="008A0486">
        <w:rPr>
          <w:szCs w:val="24"/>
        </w:rPr>
        <w:t xml:space="preserve"> mechanism leading to G</w:t>
      </w:r>
      <w:r w:rsidR="0004218F" w:rsidRPr="0004218F">
        <w:rPr>
          <w:szCs w:val="24"/>
          <w:vertAlign w:val="subscript"/>
        </w:rPr>
        <w:t>2</w:t>
      </w:r>
      <w:r w:rsidRPr="008A0486">
        <w:rPr>
          <w:szCs w:val="24"/>
        </w:rPr>
        <w:t>/M cell-cycle block, disruption of mitotic spindles, and, ultimately, apoptotic cell death afte</w:t>
      </w:r>
      <w:r w:rsidR="00826344">
        <w:rPr>
          <w:szCs w:val="24"/>
        </w:rPr>
        <w:t>r prolonged mitotic blockage.</w:t>
      </w:r>
    </w:p>
    <w:p w:rsidR="006F7924" w:rsidRPr="008A0486" w:rsidRDefault="006F7924" w:rsidP="00826344">
      <w:pPr>
        <w:pStyle w:val="Heading3"/>
      </w:pPr>
      <w:r w:rsidRPr="008A0486">
        <w:t>Pharmacokinetic properties</w:t>
      </w:r>
    </w:p>
    <w:p w:rsidR="006F7924" w:rsidRPr="00826344" w:rsidRDefault="006F7924" w:rsidP="00826344">
      <w:pPr>
        <w:pStyle w:val="Heading4"/>
      </w:pPr>
      <w:r w:rsidRPr="00826344">
        <w:t>Distribution</w:t>
      </w:r>
    </w:p>
    <w:p w:rsidR="006F7924" w:rsidRPr="008A0486" w:rsidRDefault="006F7924" w:rsidP="00826344">
      <w:r w:rsidRPr="008A0486">
        <w:t xml:space="preserve">The pharmacokinetics of </w:t>
      </w:r>
      <w:proofErr w:type="spellStart"/>
      <w:r w:rsidRPr="008A0486">
        <w:t>eribulin</w:t>
      </w:r>
      <w:proofErr w:type="spellEnd"/>
      <w:r w:rsidRPr="008A0486">
        <w:t xml:space="preserve"> </w:t>
      </w:r>
      <w:proofErr w:type="gramStart"/>
      <w:r w:rsidRPr="008A0486">
        <w:t>are</w:t>
      </w:r>
      <w:proofErr w:type="gramEnd"/>
      <w:r w:rsidRPr="008A0486">
        <w:t xml:space="preserve"> characterized by a rapid distribution phase followed by a prolonged elimination phase, with a mean terminal half-life of approximately 40 h. It has a large volume of distribution (range of means 43 to 114 </w:t>
      </w:r>
      <w:r w:rsidR="00B943F6">
        <w:t>L</w:t>
      </w:r>
      <w:r w:rsidRPr="008A0486">
        <w:t>/m</w:t>
      </w:r>
      <w:r w:rsidRPr="008A0486">
        <w:rPr>
          <w:position w:val="10"/>
          <w:vertAlign w:val="superscript"/>
        </w:rPr>
        <w:t>2</w:t>
      </w:r>
      <w:r w:rsidR="00826344">
        <w:t>).</w:t>
      </w:r>
    </w:p>
    <w:p w:rsidR="006F7924" w:rsidRPr="008A0486" w:rsidRDefault="006F7924" w:rsidP="00826344">
      <w:proofErr w:type="spellStart"/>
      <w:r w:rsidRPr="008A0486">
        <w:t>Eribulin</w:t>
      </w:r>
      <w:proofErr w:type="spellEnd"/>
      <w:r w:rsidRPr="008A0486">
        <w:t xml:space="preserve"> is weakly bound to plasma proteins. The plasma protein binding of </w:t>
      </w:r>
      <w:proofErr w:type="spellStart"/>
      <w:r w:rsidRPr="008A0486">
        <w:t>eribulin</w:t>
      </w:r>
      <w:proofErr w:type="spellEnd"/>
      <w:r w:rsidRPr="008A0486">
        <w:t xml:space="preserve"> (100-1000 </w:t>
      </w:r>
      <w:proofErr w:type="spellStart"/>
      <w:r w:rsidRPr="008A0486">
        <w:t>ng</w:t>
      </w:r>
      <w:proofErr w:type="spellEnd"/>
      <w:r w:rsidRPr="008A0486">
        <w:t>/</w:t>
      </w:r>
      <w:proofErr w:type="spellStart"/>
      <w:r w:rsidR="00405C52">
        <w:t>mL</w:t>
      </w:r>
      <w:proofErr w:type="spellEnd"/>
      <w:r w:rsidRPr="008A0486">
        <w:t>) ranged fr</w:t>
      </w:r>
      <w:r w:rsidR="00826344">
        <w:t>om 49% to 65% in human plasma.</w:t>
      </w:r>
    </w:p>
    <w:p w:rsidR="006F7924" w:rsidRPr="008A0486" w:rsidRDefault="006F7924" w:rsidP="00826344">
      <w:pPr>
        <w:pStyle w:val="Heading4"/>
      </w:pPr>
      <w:r w:rsidRPr="008A0486">
        <w:t>Biotransformation</w:t>
      </w:r>
    </w:p>
    <w:p w:rsidR="006F7924" w:rsidRPr="008A0486" w:rsidRDefault="006F7924" w:rsidP="00826344">
      <w:r w:rsidRPr="008A0486">
        <w:t xml:space="preserve">Unchanged </w:t>
      </w:r>
      <w:proofErr w:type="spellStart"/>
      <w:r w:rsidRPr="008A0486">
        <w:t>eribulin</w:t>
      </w:r>
      <w:proofErr w:type="spellEnd"/>
      <w:r w:rsidRPr="008A0486">
        <w:t xml:space="preserve"> was the major circulating species in plasma following administration of </w:t>
      </w:r>
      <w:r w:rsidRPr="008A0486">
        <w:rPr>
          <w:position w:val="10"/>
          <w:vertAlign w:val="superscript"/>
        </w:rPr>
        <w:t>14</w:t>
      </w:r>
      <w:r w:rsidRPr="008A0486">
        <w:t>C</w:t>
      </w:r>
      <w:r w:rsidRPr="008A0486">
        <w:softHyphen/>
      </w:r>
      <w:r w:rsidR="008A0486">
        <w:t>-</w:t>
      </w:r>
      <w:proofErr w:type="spellStart"/>
      <w:r w:rsidRPr="008A0486">
        <w:t>eribulin</w:t>
      </w:r>
      <w:proofErr w:type="spellEnd"/>
      <w:r w:rsidRPr="008A0486">
        <w:t xml:space="preserve"> to patients. Metabolite concentrations represented &lt;0.6% of parent compound, confirming that there are no major</w:t>
      </w:r>
      <w:r w:rsidR="00826344">
        <w:t xml:space="preserve"> human metabolites of </w:t>
      </w:r>
      <w:proofErr w:type="spellStart"/>
      <w:r w:rsidR="00826344">
        <w:t>eribulin</w:t>
      </w:r>
      <w:proofErr w:type="spellEnd"/>
      <w:r w:rsidR="00826344">
        <w:t>.</w:t>
      </w:r>
    </w:p>
    <w:p w:rsidR="006F7924" w:rsidRPr="008A0486" w:rsidRDefault="006F7924" w:rsidP="00826344">
      <w:pPr>
        <w:pStyle w:val="Heading4"/>
      </w:pPr>
      <w:r w:rsidRPr="008A0486">
        <w:t>Elim</w:t>
      </w:r>
      <w:r w:rsidRPr="00826344">
        <w:t>i</w:t>
      </w:r>
      <w:r w:rsidRPr="008A0486">
        <w:t>nation</w:t>
      </w:r>
    </w:p>
    <w:p w:rsidR="006F7924" w:rsidRPr="008A0486" w:rsidRDefault="006F7924" w:rsidP="00844F5A">
      <w:proofErr w:type="spellStart"/>
      <w:r w:rsidRPr="008A0486">
        <w:t>Eribulin</w:t>
      </w:r>
      <w:proofErr w:type="spellEnd"/>
      <w:r w:rsidRPr="008A0486">
        <w:t xml:space="preserve"> has a low clearance (range of means 1.16 to 2.42 </w:t>
      </w:r>
      <w:r w:rsidR="00B943F6">
        <w:t>L</w:t>
      </w:r>
      <w:r w:rsidRPr="008A0486">
        <w:t>/h/m</w:t>
      </w:r>
      <w:r w:rsidRPr="008A0486">
        <w:rPr>
          <w:position w:val="10"/>
          <w:vertAlign w:val="superscript"/>
        </w:rPr>
        <w:t>2</w:t>
      </w:r>
      <w:r w:rsidRPr="008A0486">
        <w:t>)</w:t>
      </w:r>
      <w:r w:rsidR="00DC7641">
        <w:rPr>
          <w:rFonts w:eastAsiaTheme="minorEastAsia" w:hint="eastAsia"/>
          <w:lang w:eastAsia="ja-JP"/>
        </w:rPr>
        <w:t>.</w:t>
      </w:r>
      <w:r w:rsidRPr="008A0486">
        <w:rPr>
          <w:position w:val="10"/>
          <w:vertAlign w:val="superscript"/>
        </w:rPr>
        <w:t xml:space="preserve"> </w:t>
      </w:r>
      <w:r w:rsidRPr="008A0486">
        <w:t xml:space="preserve">No significant accumulation of </w:t>
      </w:r>
      <w:proofErr w:type="spellStart"/>
      <w:r w:rsidRPr="008A0486">
        <w:t>eribulin</w:t>
      </w:r>
      <w:proofErr w:type="spellEnd"/>
      <w:r w:rsidRPr="008A0486">
        <w:t xml:space="preserve"> is observed on weekly administration. The pharmacokinetic properties are not dose or time dependent in the range of </w:t>
      </w:r>
      <w:proofErr w:type="spellStart"/>
      <w:r w:rsidRPr="008A0486">
        <w:t>eribulin</w:t>
      </w:r>
      <w:proofErr w:type="spellEnd"/>
      <w:r w:rsidRPr="008A0486">
        <w:t xml:space="preserve"> </w:t>
      </w:r>
      <w:proofErr w:type="spellStart"/>
      <w:r w:rsidR="00405C52">
        <w:t>mesilate</w:t>
      </w:r>
      <w:proofErr w:type="spellEnd"/>
      <w:r w:rsidRPr="008A0486">
        <w:t xml:space="preserve"> doses of 0.25 to 4.0 mg/m</w:t>
      </w:r>
      <w:r w:rsidRPr="00924FB6">
        <w:rPr>
          <w:position w:val="10"/>
          <w:vertAlign w:val="superscript"/>
        </w:rPr>
        <w:t>2</w:t>
      </w:r>
      <w:r w:rsidR="00826344">
        <w:t>.</w:t>
      </w:r>
    </w:p>
    <w:p w:rsidR="006F7924" w:rsidRPr="008A0486" w:rsidRDefault="006F7924" w:rsidP="00844F5A">
      <w:proofErr w:type="spellStart"/>
      <w:r w:rsidRPr="008A0486">
        <w:t>Eribulin</w:t>
      </w:r>
      <w:proofErr w:type="spellEnd"/>
      <w:r w:rsidRPr="008A0486">
        <w:t xml:space="preserve"> is eliminated primarily by </w:t>
      </w:r>
      <w:proofErr w:type="spellStart"/>
      <w:r w:rsidRPr="008A0486">
        <w:t>biliary</w:t>
      </w:r>
      <w:proofErr w:type="spellEnd"/>
      <w:r w:rsidRPr="008A0486">
        <w:t xml:space="preserve"> excretion. The transport protein involved in the excretion is presently unknown. Preclinical studies indicate that </w:t>
      </w:r>
      <w:proofErr w:type="spellStart"/>
      <w:r w:rsidRPr="008A0486">
        <w:t>eribulin</w:t>
      </w:r>
      <w:proofErr w:type="spellEnd"/>
      <w:r w:rsidRPr="008A0486">
        <w:t xml:space="preserve"> is transported by </w:t>
      </w:r>
      <w:proofErr w:type="spellStart"/>
      <w:r w:rsidRPr="008A0486">
        <w:t>Pgp</w:t>
      </w:r>
      <w:proofErr w:type="spellEnd"/>
      <w:r w:rsidRPr="008A0486">
        <w:t xml:space="preserve">. However, it is unknown whether </w:t>
      </w:r>
      <w:proofErr w:type="spellStart"/>
      <w:r w:rsidRPr="008A0486">
        <w:t>Pgp</w:t>
      </w:r>
      <w:proofErr w:type="spellEnd"/>
      <w:r w:rsidRPr="008A0486">
        <w:t xml:space="preserve"> is contributing to the </w:t>
      </w:r>
      <w:proofErr w:type="spellStart"/>
      <w:r w:rsidRPr="008A0486">
        <w:t>biliary</w:t>
      </w:r>
      <w:proofErr w:type="spellEnd"/>
      <w:r w:rsidRPr="008A0486">
        <w:t xml:space="preserve"> excretion of </w:t>
      </w:r>
      <w:proofErr w:type="spellStart"/>
      <w:r w:rsidRPr="008A0486">
        <w:t>eribulin</w:t>
      </w:r>
      <w:proofErr w:type="spellEnd"/>
      <w:r w:rsidRPr="008A0486">
        <w:rPr>
          <w:b/>
          <w:bCs/>
          <w:i/>
          <w:iCs/>
        </w:rPr>
        <w:t>.</w:t>
      </w:r>
    </w:p>
    <w:p w:rsidR="006F7924" w:rsidRPr="008A0486" w:rsidRDefault="006F7924" w:rsidP="00844F5A">
      <w:r w:rsidRPr="008A0486">
        <w:t xml:space="preserve">After administration of </w:t>
      </w:r>
      <w:r w:rsidRPr="008A0486">
        <w:rPr>
          <w:position w:val="10"/>
          <w:vertAlign w:val="superscript"/>
        </w:rPr>
        <w:t>14</w:t>
      </w:r>
      <w:r w:rsidRPr="008A0486">
        <w:t>C-</w:t>
      </w:r>
      <w:proofErr w:type="spellStart"/>
      <w:r w:rsidRPr="008A0486">
        <w:t>eribulin</w:t>
      </w:r>
      <w:proofErr w:type="spellEnd"/>
      <w:r w:rsidRPr="008A0486">
        <w:t xml:space="preserve"> to patients, approximately 82% of the dose was eliminated in faeces and 9% in urine indicating that renal clearance is not a significant route of</w:t>
      </w:r>
      <w:r w:rsidR="00844F5A">
        <w:t xml:space="preserve"> </w:t>
      </w:r>
      <w:proofErr w:type="spellStart"/>
      <w:r w:rsidR="00844F5A">
        <w:t>eribulin</w:t>
      </w:r>
      <w:proofErr w:type="spellEnd"/>
      <w:r w:rsidR="00844F5A">
        <w:t xml:space="preserve"> elimination.</w:t>
      </w:r>
    </w:p>
    <w:p w:rsidR="006F7924" w:rsidRPr="008A0486" w:rsidRDefault="006F7924" w:rsidP="00844F5A">
      <w:r w:rsidRPr="008A0486">
        <w:lastRenderedPageBreak/>
        <w:t xml:space="preserve">Unchanged </w:t>
      </w:r>
      <w:proofErr w:type="spellStart"/>
      <w:r w:rsidRPr="008A0486">
        <w:t>eribulin</w:t>
      </w:r>
      <w:proofErr w:type="spellEnd"/>
      <w:r w:rsidRPr="008A0486">
        <w:t xml:space="preserve"> represented most of the total rad</w:t>
      </w:r>
      <w:r w:rsidR="00844F5A">
        <w:t>ioactivity in faeces and urine.</w:t>
      </w:r>
    </w:p>
    <w:p w:rsidR="006F7924" w:rsidRPr="008A0486" w:rsidRDefault="00844F5A" w:rsidP="00844F5A">
      <w:pPr>
        <w:pStyle w:val="Heading4"/>
      </w:pPr>
      <w:r>
        <w:t>Hepatic impairment</w:t>
      </w:r>
    </w:p>
    <w:p w:rsidR="006F7924" w:rsidRPr="008A0486" w:rsidRDefault="006F7924" w:rsidP="00844F5A">
      <w:r w:rsidRPr="008A0486">
        <w:t xml:space="preserve">A study evaluated the PK of </w:t>
      </w:r>
      <w:proofErr w:type="spellStart"/>
      <w:r w:rsidRPr="008A0486">
        <w:t>eribulin</w:t>
      </w:r>
      <w:proofErr w:type="spellEnd"/>
      <w:r w:rsidRPr="008A0486">
        <w:t xml:space="preserve"> in patients with mild (Child-Pugh A; n=7) and moderate (Child-Pugh B; n=</w:t>
      </w:r>
      <w:r w:rsidR="0004218F" w:rsidRPr="0004218F">
        <w:rPr>
          <w:rFonts w:eastAsiaTheme="minorEastAsia"/>
          <w:lang w:eastAsia="ja-JP"/>
        </w:rPr>
        <w:t>5</w:t>
      </w:r>
      <w:r w:rsidRPr="008A0486">
        <w:t xml:space="preserve">) hepatic impairment due to liver metastases. Compared to patients with normal hepatic function (n=6), </w:t>
      </w:r>
      <w:proofErr w:type="spellStart"/>
      <w:r w:rsidRPr="008A0486">
        <w:t>eribulin</w:t>
      </w:r>
      <w:proofErr w:type="spellEnd"/>
      <w:r w:rsidRPr="008A0486">
        <w:t xml:space="preserve"> exposure increased 1.8-fold </w:t>
      </w:r>
      <w:r w:rsidRPr="00A330B9">
        <w:t xml:space="preserve">and </w:t>
      </w:r>
      <w:r w:rsidR="0004218F" w:rsidRPr="0004218F">
        <w:rPr>
          <w:rFonts w:eastAsiaTheme="minorEastAsia"/>
          <w:lang w:eastAsia="ja-JP"/>
        </w:rPr>
        <w:t>2.5</w:t>
      </w:r>
      <w:r w:rsidRPr="00A330B9">
        <w:t>-</w:t>
      </w:r>
      <w:r w:rsidRPr="008A0486">
        <w:t xml:space="preserve">fold in patients with mild and moderate hepatic impairment, respectively. Administration of HALAVEN at a dose </w:t>
      </w:r>
      <w:r w:rsidRPr="00A330B9">
        <w:t xml:space="preserve">of </w:t>
      </w:r>
      <w:r w:rsidR="0004218F" w:rsidRPr="0004218F">
        <w:rPr>
          <w:rFonts w:eastAsiaTheme="minorEastAsia"/>
          <w:lang w:eastAsia="ja-JP"/>
        </w:rPr>
        <w:t>1.1</w:t>
      </w:r>
      <w:r w:rsidR="0004218F" w:rsidRPr="0004218F">
        <w:t>m</w:t>
      </w:r>
      <w:r w:rsidRPr="00A330B9">
        <w:t>g</w:t>
      </w:r>
      <w:r w:rsidRPr="008A0486">
        <w:t>/m</w:t>
      </w:r>
      <w:r w:rsidRPr="008A0486">
        <w:rPr>
          <w:position w:val="10"/>
          <w:vertAlign w:val="superscript"/>
        </w:rPr>
        <w:t>2</w:t>
      </w:r>
      <w:r w:rsidRPr="008A0486">
        <w:t xml:space="preserve"> to patients with mild hepatic impairment </w:t>
      </w:r>
      <w:r w:rsidRPr="00A330B9">
        <w:t xml:space="preserve">and </w:t>
      </w:r>
      <w:r w:rsidR="0004218F" w:rsidRPr="0004218F">
        <w:rPr>
          <w:rFonts w:eastAsiaTheme="minorEastAsia"/>
          <w:lang w:eastAsia="ja-JP"/>
        </w:rPr>
        <w:t>0.7</w:t>
      </w:r>
      <w:r w:rsidRPr="00A330B9">
        <w:t>mg</w:t>
      </w:r>
      <w:r w:rsidRPr="008A0486">
        <w:t>/m</w:t>
      </w:r>
      <w:r w:rsidRPr="008A0486">
        <w:rPr>
          <w:position w:val="10"/>
          <w:vertAlign w:val="superscript"/>
        </w:rPr>
        <w:t>2</w:t>
      </w:r>
      <w:r w:rsidRPr="008A0486">
        <w:t xml:space="preserve"> to patients with moderate hepatic impairment resulted in a somewhat higher exposure than after a dose </w:t>
      </w:r>
      <w:r w:rsidRPr="00A330B9">
        <w:t xml:space="preserve">of </w:t>
      </w:r>
      <w:r w:rsidR="0004218F" w:rsidRPr="0004218F">
        <w:rPr>
          <w:rFonts w:eastAsiaTheme="minorEastAsia"/>
          <w:lang w:eastAsia="ja-JP"/>
        </w:rPr>
        <w:t>1.4</w:t>
      </w:r>
      <w:r w:rsidR="0004218F" w:rsidRPr="0004218F">
        <w:t xml:space="preserve"> </w:t>
      </w:r>
      <w:r w:rsidRPr="008A0486">
        <w:t>mg/m</w:t>
      </w:r>
      <w:r w:rsidRPr="008A0486">
        <w:rPr>
          <w:position w:val="10"/>
          <w:vertAlign w:val="superscript"/>
        </w:rPr>
        <w:t>2</w:t>
      </w:r>
      <w:r w:rsidRPr="008A0486">
        <w:t xml:space="preserve"> to patients with normal hepatic function.  HALAVEN was not studied in patients with severe hepatic impairment (Child-Pugh C). There is no study in patients with hepatic impairment due to cirrhosis. See section </w:t>
      </w:r>
      <w:r w:rsidR="00D03451" w:rsidRPr="00390DCA">
        <w:rPr>
          <w:rFonts w:eastAsia="MS Mincho" w:hint="eastAsia"/>
          <w:lang w:eastAsia="ja-JP"/>
        </w:rPr>
        <w:t xml:space="preserve">Dosage and Administration </w:t>
      </w:r>
      <w:r w:rsidR="00844F5A">
        <w:t>for dosage recommendation.</w:t>
      </w:r>
    </w:p>
    <w:p w:rsidR="006F7924" w:rsidRPr="008A0486" w:rsidRDefault="00844F5A" w:rsidP="00844F5A">
      <w:pPr>
        <w:pStyle w:val="Heading4"/>
      </w:pPr>
      <w:r>
        <w:t>Renal impairment</w:t>
      </w:r>
    </w:p>
    <w:p w:rsidR="00056F6E" w:rsidRPr="008A0486" w:rsidRDefault="0004218F" w:rsidP="00844F5A">
      <w:r w:rsidRPr="0004218F">
        <w:t xml:space="preserve">No formal PK trials were conducted with HALAVEN in patients with renal impairment. Available data suggests that no dose adjustment is necessary for patients with </w:t>
      </w:r>
      <w:r w:rsidR="00C972D3">
        <w:t xml:space="preserve">stage 2 chronic kidney disease </w:t>
      </w:r>
      <w:r w:rsidRPr="0004218F">
        <w:t>(</w:t>
      </w:r>
      <w:r w:rsidR="00C972D3">
        <w:t>GFR 60 - 89</w:t>
      </w:r>
      <w:r w:rsidRPr="0004218F">
        <w:t xml:space="preserve"> </w:t>
      </w:r>
      <w:proofErr w:type="spellStart"/>
      <w:r w:rsidRPr="0004218F">
        <w:t>mL</w:t>
      </w:r>
      <w:proofErr w:type="spellEnd"/>
      <w:r w:rsidRPr="0004218F">
        <w:t>/min</w:t>
      </w:r>
      <w:r w:rsidR="00C972D3">
        <w:t>/1.73m</w:t>
      </w:r>
      <w:r w:rsidR="00C972D3" w:rsidRPr="00C972D3">
        <w:rPr>
          <w:vertAlign w:val="superscript"/>
        </w:rPr>
        <w:t>2</w:t>
      </w:r>
      <w:r w:rsidRPr="0004218F">
        <w:t xml:space="preserve">). However, for patients with </w:t>
      </w:r>
      <w:r w:rsidR="00C972D3">
        <w:t xml:space="preserve">stage 3 chronic kidney </w:t>
      </w:r>
      <w:proofErr w:type="gramStart"/>
      <w:r w:rsidR="00C972D3">
        <w:t>disease</w:t>
      </w:r>
      <w:proofErr w:type="gramEnd"/>
      <w:r w:rsidR="003377B7">
        <w:t xml:space="preserve"> </w:t>
      </w:r>
      <w:r w:rsidRPr="0004218F">
        <w:t>(</w:t>
      </w:r>
      <w:r w:rsidR="00C972D3">
        <w:t>GFR 30 - 59</w:t>
      </w:r>
      <w:r w:rsidRPr="0004218F">
        <w:t xml:space="preserve"> </w:t>
      </w:r>
      <w:proofErr w:type="spellStart"/>
      <w:r w:rsidRPr="0004218F">
        <w:t>mL</w:t>
      </w:r>
      <w:proofErr w:type="spellEnd"/>
      <w:r w:rsidRPr="0004218F">
        <w:t>/min</w:t>
      </w:r>
      <w:r w:rsidR="00C972D3">
        <w:t>/1.73m</w:t>
      </w:r>
      <w:r w:rsidR="00C972D3" w:rsidRPr="00C972D3">
        <w:rPr>
          <w:vertAlign w:val="superscript"/>
        </w:rPr>
        <w:t>2</w:t>
      </w:r>
      <w:r w:rsidRPr="0004218F">
        <w:t xml:space="preserve">), the geometric mean dose-normalized systemic exposure increased 2-fold compared to patients with normal renal function. </w:t>
      </w:r>
      <w:r w:rsidR="00C972D3" w:rsidRPr="008A0486">
        <w:t>HALAVEN was not studied in patients with</w:t>
      </w:r>
      <w:r w:rsidR="00C972D3" w:rsidRPr="0004218F">
        <w:t xml:space="preserve"> </w:t>
      </w:r>
      <w:r w:rsidR="00C972D3">
        <w:t>stage 4-5 chronic</w:t>
      </w:r>
      <w:r w:rsidR="00E630FD">
        <w:t xml:space="preserve"> kidney disease (GFR &lt;30 </w:t>
      </w:r>
      <w:proofErr w:type="spellStart"/>
      <w:r w:rsidR="00E630FD">
        <w:t>mL</w:t>
      </w:r>
      <w:proofErr w:type="spellEnd"/>
      <w:r w:rsidR="00E630FD">
        <w:t>/min/1.73m</w:t>
      </w:r>
      <w:r w:rsidR="00E630FD" w:rsidRPr="00C972D3">
        <w:rPr>
          <w:vertAlign w:val="superscript"/>
        </w:rPr>
        <w:t>2</w:t>
      </w:r>
      <w:r w:rsidR="00E0395F" w:rsidRPr="00E0395F">
        <w:t>)</w:t>
      </w:r>
      <w:r w:rsidR="00E630FD">
        <w:rPr>
          <w:vertAlign w:val="superscript"/>
        </w:rPr>
        <w:t xml:space="preserve">. </w:t>
      </w:r>
      <w:r w:rsidR="007543E1">
        <w:rPr>
          <w:vertAlign w:val="superscript"/>
        </w:rPr>
        <w:t xml:space="preserve"> </w:t>
      </w:r>
      <w:r w:rsidRPr="0004218F">
        <w:t>See section</w:t>
      </w:r>
      <w:r w:rsidR="00056F6E" w:rsidRPr="00A330B9">
        <w:t xml:space="preserve"> </w:t>
      </w:r>
      <w:r w:rsidRPr="0004218F">
        <w:rPr>
          <w:rFonts w:eastAsia="MS Mincho"/>
          <w:lang w:eastAsia="ja-JP"/>
        </w:rPr>
        <w:t>Dosage and Administration</w:t>
      </w:r>
      <w:r w:rsidRPr="0004218F">
        <w:t xml:space="preserve"> for treatment recommendations.</w:t>
      </w:r>
    </w:p>
    <w:p w:rsidR="00056F6E" w:rsidRPr="008A0486" w:rsidRDefault="00056F6E" w:rsidP="00844F5A">
      <w:pPr>
        <w:pStyle w:val="Heading2"/>
      </w:pPr>
      <w:r w:rsidRPr="008A0486">
        <w:t>CLINICAL TRIALS</w:t>
      </w:r>
    </w:p>
    <w:p w:rsidR="00056F6E" w:rsidRPr="008A0486" w:rsidRDefault="00056F6E" w:rsidP="00844F5A">
      <w:r w:rsidRPr="008A0486">
        <w:t>The efficacy of HALAVEN in breast cancer is supported by a random</w:t>
      </w:r>
      <w:r w:rsidR="00844F5A">
        <w:t>ized Phase 3 comparative study.</w:t>
      </w:r>
    </w:p>
    <w:p w:rsidR="0021461A" w:rsidRDefault="00056F6E" w:rsidP="00844F5A">
      <w:pPr>
        <w:rPr>
          <w:rFonts w:eastAsiaTheme="minorEastAsia"/>
          <w:lang w:eastAsia="ja-JP"/>
        </w:rPr>
      </w:pPr>
      <w:r w:rsidRPr="008A0486">
        <w:t xml:space="preserve">The 762 patients in the pivotal Phase 3 EMBRACE study had locally recurrent or metastatic breast cancer, and had previously received at least two and a maximum of five chemotherapy regimens, including an </w:t>
      </w:r>
      <w:proofErr w:type="spellStart"/>
      <w:r w:rsidRPr="008A0486">
        <w:t>anthracycline</w:t>
      </w:r>
      <w:proofErr w:type="spellEnd"/>
      <w:r w:rsidRPr="008A0486">
        <w:t xml:space="preserve"> and a </w:t>
      </w:r>
      <w:proofErr w:type="spellStart"/>
      <w:r w:rsidRPr="008A0486">
        <w:t>taxane</w:t>
      </w:r>
      <w:proofErr w:type="spellEnd"/>
      <w:r w:rsidRPr="008A0486">
        <w:t xml:space="preserve"> (unless contraindicated). Patients must have progressed within 6 months of their last chemotherapeutic regimen. They were </w:t>
      </w:r>
      <w:r w:rsidR="008A0486">
        <w:t>r</w:t>
      </w:r>
      <w:r w:rsidRPr="008A0486">
        <w:t xml:space="preserve">andomized 2:1 to receive either HALAVEN at a dose of </w:t>
      </w:r>
      <w:r w:rsidR="0004218F" w:rsidRPr="0004218F">
        <w:t>1.4 mg/m</w:t>
      </w:r>
      <w:r w:rsidR="0004218F" w:rsidRPr="0004218F">
        <w:rPr>
          <w:position w:val="10"/>
          <w:vertAlign w:val="superscript"/>
        </w:rPr>
        <w:t>2</w:t>
      </w:r>
      <w:r w:rsidRPr="00A330B9">
        <w:t>on</w:t>
      </w:r>
      <w:r w:rsidRPr="008A0486">
        <w:t xml:space="preserve"> Days 1 and 8 in a 21-day cycle administered intravenously over 2 to 5 minutes, or treatment of physician’s choice (TPC), defined as any single-agent chemotherapy, hormonal treatment, or biologic therapy approved for the treatment of cancer; or palliative treatment or radiotherapy, reflecting local practice. The TPC arm consisted of 97% chemotherapy (26% </w:t>
      </w:r>
      <w:proofErr w:type="spellStart"/>
      <w:r w:rsidRPr="008A0486">
        <w:t>vinorelbine</w:t>
      </w:r>
      <w:proofErr w:type="spellEnd"/>
      <w:r w:rsidRPr="008A0486">
        <w:t xml:space="preserve">, 18% </w:t>
      </w:r>
      <w:proofErr w:type="spellStart"/>
      <w:r w:rsidRPr="008A0486">
        <w:t>gemcitabine</w:t>
      </w:r>
      <w:proofErr w:type="spellEnd"/>
      <w:r w:rsidRPr="008A0486">
        <w:t xml:space="preserve">, 18% </w:t>
      </w:r>
      <w:proofErr w:type="spellStart"/>
      <w:r w:rsidRPr="008A0486">
        <w:t>capecitabine</w:t>
      </w:r>
      <w:proofErr w:type="spellEnd"/>
      <w:r w:rsidRPr="008A0486">
        <w:t xml:space="preserve">, 16% </w:t>
      </w:r>
      <w:proofErr w:type="spellStart"/>
      <w:r w:rsidRPr="008A0486">
        <w:t>taxane</w:t>
      </w:r>
      <w:proofErr w:type="spellEnd"/>
      <w:r w:rsidRPr="008A0486">
        <w:t xml:space="preserve">, 9% </w:t>
      </w:r>
      <w:proofErr w:type="spellStart"/>
      <w:r w:rsidRPr="008A0486">
        <w:t>anthracycline</w:t>
      </w:r>
      <w:proofErr w:type="spellEnd"/>
      <w:r w:rsidRPr="008A0486">
        <w:t xml:space="preserve">, 10% other chemotherapy), or 3% hormonal therapy. </w:t>
      </w:r>
      <w:r w:rsidR="00656CF3" w:rsidRPr="00C972D3">
        <w:rPr>
          <w:rFonts w:eastAsiaTheme="minorEastAsia"/>
          <w:lang w:eastAsia="ja-JP"/>
        </w:rPr>
        <w:t xml:space="preserve">The median </w:t>
      </w:r>
      <w:r w:rsidR="00345733" w:rsidRPr="00C972D3">
        <w:rPr>
          <w:rFonts w:eastAsiaTheme="minorEastAsia"/>
          <w:lang w:eastAsia="ja-JP"/>
        </w:rPr>
        <w:t xml:space="preserve">duration </w:t>
      </w:r>
      <w:r w:rsidR="00656CF3" w:rsidRPr="00C972D3">
        <w:rPr>
          <w:rFonts w:eastAsiaTheme="minorEastAsia"/>
          <w:lang w:eastAsia="ja-JP"/>
        </w:rPr>
        <w:t xml:space="preserve">of treatment (range) for each treatment group </w:t>
      </w:r>
      <w:r w:rsidR="00345733" w:rsidRPr="00C972D3">
        <w:rPr>
          <w:rFonts w:eastAsiaTheme="minorEastAsia"/>
          <w:lang w:eastAsia="ja-JP"/>
        </w:rPr>
        <w:t>was:</w:t>
      </w:r>
      <w:r w:rsidR="00656CF3" w:rsidRPr="00C972D3">
        <w:rPr>
          <w:rFonts w:eastAsiaTheme="minorEastAsia"/>
          <w:lang w:eastAsia="ja-JP"/>
        </w:rPr>
        <w:t xml:space="preserve"> </w:t>
      </w:r>
      <w:proofErr w:type="spellStart"/>
      <w:r w:rsidR="00656CF3" w:rsidRPr="00C972D3">
        <w:t>vinorelbine</w:t>
      </w:r>
      <w:proofErr w:type="spellEnd"/>
      <w:r w:rsidR="00656CF3" w:rsidRPr="00C972D3">
        <w:rPr>
          <w:rFonts w:eastAsiaTheme="minorEastAsia"/>
          <w:lang w:eastAsia="ja-JP"/>
        </w:rPr>
        <w:t xml:space="preserve"> </w:t>
      </w:r>
      <w:r w:rsidR="005869DF">
        <w:rPr>
          <w:rFonts w:eastAsiaTheme="minorEastAsia"/>
          <w:lang w:eastAsia="ja-JP"/>
        </w:rPr>
        <w:t>1.6 months</w:t>
      </w:r>
      <w:r w:rsidR="00345733" w:rsidRPr="00C972D3">
        <w:rPr>
          <w:rFonts w:eastAsiaTheme="minorEastAsia"/>
          <w:lang w:eastAsia="ja-JP"/>
        </w:rPr>
        <w:t xml:space="preserve"> (</w:t>
      </w:r>
      <w:r w:rsidR="005869DF">
        <w:rPr>
          <w:rFonts w:eastAsiaTheme="minorEastAsia"/>
          <w:lang w:eastAsia="ja-JP"/>
        </w:rPr>
        <w:t>0-13</w:t>
      </w:r>
      <w:r w:rsidR="0095449B">
        <w:rPr>
          <w:rFonts w:eastAsiaTheme="minorEastAsia" w:hint="eastAsia"/>
          <w:lang w:eastAsia="ja-JP"/>
        </w:rPr>
        <w:t>.</w:t>
      </w:r>
      <w:r w:rsidR="00846DB2" w:rsidRPr="00B120DF">
        <w:rPr>
          <w:rFonts w:eastAsia="MS Mincho" w:hint="eastAsia"/>
          <w:lang w:eastAsia="ja-JP"/>
        </w:rPr>
        <w:t>1</w:t>
      </w:r>
      <w:r w:rsidR="005869DF">
        <w:rPr>
          <w:rFonts w:eastAsiaTheme="minorEastAsia"/>
          <w:lang w:eastAsia="ja-JP"/>
        </w:rPr>
        <w:t xml:space="preserve"> months</w:t>
      </w:r>
      <w:r w:rsidR="00656CF3" w:rsidRPr="00C972D3">
        <w:rPr>
          <w:rFonts w:eastAsiaTheme="minorEastAsia"/>
          <w:lang w:eastAsia="ja-JP"/>
        </w:rPr>
        <w:t>)</w:t>
      </w:r>
      <w:r w:rsidR="00345733" w:rsidRPr="00C972D3">
        <w:rPr>
          <w:rFonts w:eastAsiaTheme="minorEastAsia"/>
          <w:lang w:eastAsia="ja-JP"/>
        </w:rPr>
        <w:t>;</w:t>
      </w:r>
      <w:r w:rsidR="00656CF3" w:rsidRPr="00C972D3">
        <w:rPr>
          <w:rFonts w:eastAsiaTheme="minorEastAsia"/>
          <w:lang w:eastAsia="ja-JP"/>
        </w:rPr>
        <w:t xml:space="preserve"> </w:t>
      </w:r>
      <w:proofErr w:type="spellStart"/>
      <w:r w:rsidR="00656CF3" w:rsidRPr="00C972D3">
        <w:t>gemcitabine</w:t>
      </w:r>
      <w:proofErr w:type="spellEnd"/>
      <w:r w:rsidR="00656CF3" w:rsidRPr="00C972D3">
        <w:rPr>
          <w:rFonts w:eastAsiaTheme="minorEastAsia"/>
          <w:lang w:eastAsia="ja-JP"/>
        </w:rPr>
        <w:t xml:space="preserve"> </w:t>
      </w:r>
      <w:r w:rsidR="005869DF">
        <w:rPr>
          <w:rFonts w:eastAsiaTheme="minorEastAsia"/>
          <w:lang w:eastAsia="ja-JP"/>
        </w:rPr>
        <w:t>2.3 months</w:t>
      </w:r>
      <w:r w:rsidR="00656CF3" w:rsidRPr="00C972D3">
        <w:rPr>
          <w:rFonts w:eastAsiaTheme="minorEastAsia"/>
          <w:lang w:eastAsia="ja-JP"/>
        </w:rPr>
        <w:t xml:space="preserve"> </w:t>
      </w:r>
      <w:r w:rsidR="00345733" w:rsidRPr="00C972D3">
        <w:rPr>
          <w:rFonts w:eastAsiaTheme="minorEastAsia"/>
          <w:lang w:eastAsia="ja-JP"/>
        </w:rPr>
        <w:t>(</w:t>
      </w:r>
      <w:r w:rsidR="005869DF">
        <w:rPr>
          <w:rFonts w:eastAsiaTheme="minorEastAsia"/>
          <w:lang w:eastAsia="ja-JP"/>
        </w:rPr>
        <w:t>0-14.5 months</w:t>
      </w:r>
      <w:r w:rsidR="00656CF3" w:rsidRPr="00C972D3">
        <w:rPr>
          <w:rFonts w:eastAsiaTheme="minorEastAsia"/>
          <w:lang w:eastAsia="ja-JP"/>
        </w:rPr>
        <w:t>)</w:t>
      </w:r>
      <w:r w:rsidR="00345733" w:rsidRPr="00C972D3">
        <w:rPr>
          <w:rFonts w:eastAsiaTheme="minorEastAsia"/>
          <w:lang w:eastAsia="ja-JP"/>
        </w:rPr>
        <w:t>;</w:t>
      </w:r>
      <w:r w:rsidR="00656CF3" w:rsidRPr="00C972D3">
        <w:rPr>
          <w:rFonts w:eastAsiaTheme="minorEastAsia"/>
          <w:lang w:eastAsia="ja-JP"/>
        </w:rPr>
        <w:t xml:space="preserve"> </w:t>
      </w:r>
      <w:proofErr w:type="spellStart"/>
      <w:r w:rsidR="00656CF3" w:rsidRPr="00C972D3">
        <w:t>capecitabine</w:t>
      </w:r>
      <w:proofErr w:type="spellEnd"/>
      <w:r w:rsidR="00656CF3" w:rsidRPr="00C972D3">
        <w:rPr>
          <w:rFonts w:eastAsiaTheme="minorEastAsia"/>
          <w:lang w:eastAsia="ja-JP"/>
        </w:rPr>
        <w:t xml:space="preserve"> </w:t>
      </w:r>
      <w:r w:rsidR="0095449B">
        <w:rPr>
          <w:rFonts w:eastAsiaTheme="minorEastAsia" w:hint="eastAsia"/>
          <w:lang w:eastAsia="ja-JP"/>
        </w:rPr>
        <w:t>3.</w:t>
      </w:r>
      <w:r w:rsidR="00846DB2">
        <w:rPr>
          <w:rFonts w:eastAsiaTheme="minorEastAsia" w:hint="eastAsia"/>
          <w:lang w:eastAsia="ja-JP"/>
        </w:rPr>
        <w:t>9</w:t>
      </w:r>
      <w:r w:rsidR="005869DF">
        <w:rPr>
          <w:rFonts w:eastAsiaTheme="minorEastAsia"/>
          <w:lang w:eastAsia="ja-JP"/>
        </w:rPr>
        <w:t xml:space="preserve"> months</w:t>
      </w:r>
      <w:r w:rsidR="00656CF3" w:rsidRPr="00C972D3">
        <w:rPr>
          <w:rFonts w:eastAsiaTheme="minorEastAsia"/>
          <w:lang w:eastAsia="ja-JP"/>
        </w:rPr>
        <w:t xml:space="preserve"> </w:t>
      </w:r>
      <w:r w:rsidR="00345733" w:rsidRPr="00C972D3">
        <w:rPr>
          <w:rFonts w:eastAsiaTheme="minorEastAsia"/>
          <w:lang w:eastAsia="ja-JP"/>
        </w:rPr>
        <w:t>(</w:t>
      </w:r>
      <w:r w:rsidR="005869DF">
        <w:rPr>
          <w:rFonts w:eastAsiaTheme="minorEastAsia"/>
          <w:lang w:eastAsia="ja-JP"/>
        </w:rPr>
        <w:t>0-</w:t>
      </w:r>
      <w:r w:rsidR="0095449B">
        <w:rPr>
          <w:rFonts w:eastAsiaTheme="minorEastAsia" w:hint="eastAsia"/>
          <w:lang w:eastAsia="ja-JP"/>
        </w:rPr>
        <w:t>2</w:t>
      </w:r>
      <w:r w:rsidR="00846DB2">
        <w:rPr>
          <w:rFonts w:eastAsiaTheme="minorEastAsia" w:hint="eastAsia"/>
          <w:lang w:eastAsia="ja-JP"/>
        </w:rPr>
        <w:t>1.2</w:t>
      </w:r>
      <w:r w:rsidR="005869DF">
        <w:rPr>
          <w:rFonts w:eastAsiaTheme="minorEastAsia"/>
          <w:lang w:eastAsia="ja-JP"/>
        </w:rPr>
        <w:t xml:space="preserve"> months</w:t>
      </w:r>
      <w:r w:rsidR="00656CF3" w:rsidRPr="00C972D3">
        <w:rPr>
          <w:rFonts w:eastAsiaTheme="minorEastAsia"/>
          <w:lang w:eastAsia="ja-JP"/>
        </w:rPr>
        <w:t>)</w:t>
      </w:r>
      <w:r w:rsidR="00345733" w:rsidRPr="00C972D3">
        <w:rPr>
          <w:rFonts w:eastAsiaTheme="minorEastAsia"/>
          <w:lang w:eastAsia="ja-JP"/>
        </w:rPr>
        <w:t>;</w:t>
      </w:r>
      <w:r w:rsidR="00656CF3" w:rsidRPr="00C972D3">
        <w:rPr>
          <w:rFonts w:eastAsiaTheme="minorEastAsia"/>
          <w:lang w:eastAsia="ja-JP"/>
        </w:rPr>
        <w:t xml:space="preserve"> </w:t>
      </w:r>
      <w:proofErr w:type="spellStart"/>
      <w:r w:rsidR="00656CF3" w:rsidRPr="00C972D3">
        <w:t>taxane</w:t>
      </w:r>
      <w:proofErr w:type="spellEnd"/>
      <w:r w:rsidR="00656CF3" w:rsidRPr="00C972D3">
        <w:rPr>
          <w:rFonts w:eastAsiaTheme="minorEastAsia"/>
          <w:lang w:eastAsia="ja-JP"/>
        </w:rPr>
        <w:t xml:space="preserve"> </w:t>
      </w:r>
      <w:r w:rsidR="0095449B">
        <w:rPr>
          <w:rFonts w:eastAsiaTheme="minorEastAsia" w:hint="eastAsia"/>
          <w:lang w:eastAsia="ja-JP"/>
        </w:rPr>
        <w:t>2.</w:t>
      </w:r>
      <w:r w:rsidR="00846DB2">
        <w:rPr>
          <w:rFonts w:eastAsiaTheme="minorEastAsia" w:hint="eastAsia"/>
          <w:lang w:eastAsia="ja-JP"/>
        </w:rPr>
        <w:t>9</w:t>
      </w:r>
      <w:r w:rsidR="005869DF">
        <w:rPr>
          <w:rFonts w:eastAsiaTheme="minorEastAsia"/>
          <w:lang w:eastAsia="ja-JP"/>
        </w:rPr>
        <w:t xml:space="preserve"> mon</w:t>
      </w:r>
      <w:r w:rsidR="002E69AB">
        <w:rPr>
          <w:rFonts w:eastAsiaTheme="minorEastAsia"/>
          <w:lang w:eastAsia="ja-JP"/>
        </w:rPr>
        <w:t>t</w:t>
      </w:r>
      <w:r w:rsidR="005869DF">
        <w:rPr>
          <w:rFonts w:eastAsiaTheme="minorEastAsia"/>
          <w:lang w:eastAsia="ja-JP"/>
        </w:rPr>
        <w:t>hs</w:t>
      </w:r>
      <w:r w:rsidR="00656CF3" w:rsidRPr="00C972D3">
        <w:rPr>
          <w:rFonts w:eastAsiaTheme="minorEastAsia"/>
          <w:lang w:eastAsia="ja-JP"/>
        </w:rPr>
        <w:t xml:space="preserve"> </w:t>
      </w:r>
      <w:r w:rsidR="00345733" w:rsidRPr="00C972D3">
        <w:rPr>
          <w:rFonts w:eastAsiaTheme="minorEastAsia"/>
          <w:lang w:eastAsia="ja-JP"/>
        </w:rPr>
        <w:t>(</w:t>
      </w:r>
      <w:r w:rsidR="005869DF">
        <w:rPr>
          <w:rFonts w:eastAsiaTheme="minorEastAsia"/>
          <w:lang w:eastAsia="ja-JP"/>
        </w:rPr>
        <w:t>0-14.5 months</w:t>
      </w:r>
      <w:r w:rsidR="00656CF3" w:rsidRPr="00C972D3">
        <w:rPr>
          <w:rFonts w:eastAsiaTheme="minorEastAsia"/>
          <w:lang w:eastAsia="ja-JP"/>
        </w:rPr>
        <w:t>)</w:t>
      </w:r>
      <w:r w:rsidR="00345733" w:rsidRPr="00C972D3">
        <w:rPr>
          <w:rFonts w:eastAsiaTheme="minorEastAsia"/>
          <w:lang w:eastAsia="ja-JP"/>
        </w:rPr>
        <w:t>;</w:t>
      </w:r>
      <w:r w:rsidR="00656CF3" w:rsidRPr="00C972D3">
        <w:rPr>
          <w:rFonts w:eastAsiaTheme="minorEastAsia"/>
          <w:lang w:eastAsia="ja-JP"/>
        </w:rPr>
        <w:t xml:space="preserve"> </w:t>
      </w:r>
      <w:proofErr w:type="spellStart"/>
      <w:r w:rsidR="00656CF3" w:rsidRPr="00C972D3">
        <w:t>anthracycline</w:t>
      </w:r>
      <w:proofErr w:type="spellEnd"/>
      <w:r w:rsidR="00656CF3" w:rsidRPr="00C972D3">
        <w:rPr>
          <w:rFonts w:eastAsiaTheme="minorEastAsia"/>
          <w:lang w:eastAsia="ja-JP"/>
        </w:rPr>
        <w:t xml:space="preserve"> </w:t>
      </w:r>
      <w:r w:rsidR="005869DF">
        <w:rPr>
          <w:rFonts w:eastAsiaTheme="minorEastAsia"/>
          <w:lang w:eastAsia="ja-JP"/>
        </w:rPr>
        <w:t>1.9 months</w:t>
      </w:r>
      <w:r w:rsidR="00656CF3" w:rsidRPr="00C972D3">
        <w:rPr>
          <w:rFonts w:eastAsiaTheme="minorEastAsia"/>
          <w:lang w:eastAsia="ja-JP"/>
        </w:rPr>
        <w:t xml:space="preserve"> </w:t>
      </w:r>
      <w:r w:rsidR="00345733" w:rsidRPr="00C972D3">
        <w:rPr>
          <w:rFonts w:eastAsiaTheme="minorEastAsia"/>
          <w:lang w:eastAsia="ja-JP"/>
        </w:rPr>
        <w:t>(</w:t>
      </w:r>
      <w:r w:rsidR="005869DF">
        <w:rPr>
          <w:rFonts w:eastAsiaTheme="minorEastAsia"/>
          <w:lang w:eastAsia="ja-JP"/>
        </w:rPr>
        <w:t>0-6.5 months</w:t>
      </w:r>
      <w:r w:rsidR="00656CF3" w:rsidRPr="00C972D3">
        <w:rPr>
          <w:rFonts w:eastAsiaTheme="minorEastAsia"/>
          <w:lang w:eastAsia="ja-JP"/>
        </w:rPr>
        <w:t>)</w:t>
      </w:r>
      <w:r w:rsidR="0021461A" w:rsidRPr="00C972D3">
        <w:rPr>
          <w:rFonts w:eastAsiaTheme="minorEastAsia"/>
          <w:lang w:eastAsia="ja-JP"/>
        </w:rPr>
        <w:t xml:space="preserve"> and </w:t>
      </w:r>
      <w:proofErr w:type="spellStart"/>
      <w:r w:rsidR="0021461A" w:rsidRPr="00C972D3">
        <w:rPr>
          <w:rFonts w:eastAsiaTheme="minorEastAsia"/>
          <w:lang w:eastAsia="ja-JP"/>
        </w:rPr>
        <w:t>eribulin</w:t>
      </w:r>
      <w:proofErr w:type="spellEnd"/>
      <w:r w:rsidR="0021461A" w:rsidRPr="00C972D3">
        <w:rPr>
          <w:rFonts w:eastAsiaTheme="minorEastAsia"/>
          <w:lang w:eastAsia="ja-JP"/>
        </w:rPr>
        <w:t xml:space="preserve"> </w:t>
      </w:r>
      <w:r w:rsidR="002E69AB">
        <w:rPr>
          <w:rFonts w:eastAsiaTheme="minorEastAsia"/>
          <w:lang w:eastAsia="ja-JP"/>
        </w:rPr>
        <w:t>3.9 months</w:t>
      </w:r>
      <w:r w:rsidR="0021461A" w:rsidRPr="00C972D3">
        <w:rPr>
          <w:rFonts w:eastAsiaTheme="minorEastAsia"/>
          <w:lang w:eastAsia="ja-JP"/>
        </w:rPr>
        <w:t xml:space="preserve"> (</w:t>
      </w:r>
      <w:r w:rsidR="002E69AB">
        <w:rPr>
          <w:rFonts w:eastAsiaTheme="minorEastAsia"/>
          <w:lang w:eastAsia="ja-JP"/>
        </w:rPr>
        <w:t>0.7-16</w:t>
      </w:r>
      <w:r w:rsidR="0095449B">
        <w:rPr>
          <w:rFonts w:eastAsiaTheme="minorEastAsia" w:hint="eastAsia"/>
          <w:lang w:eastAsia="ja-JP"/>
        </w:rPr>
        <w:t>.</w:t>
      </w:r>
      <w:r w:rsidR="00846DB2">
        <w:rPr>
          <w:rFonts w:eastAsiaTheme="minorEastAsia" w:hint="eastAsia"/>
          <w:lang w:eastAsia="ja-JP"/>
        </w:rPr>
        <w:t>3</w:t>
      </w:r>
      <w:r w:rsidR="002E69AB">
        <w:rPr>
          <w:rFonts w:eastAsiaTheme="minorEastAsia"/>
          <w:lang w:eastAsia="ja-JP"/>
        </w:rPr>
        <w:t xml:space="preserve"> months</w:t>
      </w:r>
      <w:r w:rsidR="0021461A" w:rsidRPr="00C972D3">
        <w:rPr>
          <w:rFonts w:eastAsiaTheme="minorEastAsia"/>
          <w:lang w:eastAsia="ja-JP"/>
        </w:rPr>
        <w:t>).</w:t>
      </w:r>
    </w:p>
    <w:p w:rsidR="00056F6E" w:rsidRDefault="00056F6E" w:rsidP="00652A0C">
      <w:pPr>
        <w:spacing w:after="120" w:afterAutospacing="0"/>
      </w:pPr>
      <w:r w:rsidRPr="008A0486">
        <w:lastRenderedPageBreak/>
        <w:t>The primary endpoint</w:t>
      </w:r>
      <w:r w:rsidR="00592CFE">
        <w:t>,</w:t>
      </w:r>
      <w:r w:rsidRPr="008A0486">
        <w:t xml:space="preserve"> overall survival</w:t>
      </w:r>
      <w:r w:rsidR="00291A97">
        <w:rPr>
          <w:rFonts w:eastAsiaTheme="minorEastAsia" w:hint="eastAsia"/>
          <w:lang w:eastAsia="ja-JP"/>
        </w:rPr>
        <w:t>,</w:t>
      </w:r>
      <w:r w:rsidRPr="008A0486">
        <w:t xml:space="preserve"> was significantly better</w:t>
      </w:r>
      <w:r w:rsidR="00526621">
        <w:t xml:space="preserve"> </w:t>
      </w:r>
      <w:r w:rsidR="00592CFE">
        <w:t>with</w:t>
      </w:r>
      <w:r w:rsidRPr="008A0486">
        <w:t xml:space="preserve"> </w:t>
      </w:r>
      <w:proofErr w:type="spellStart"/>
      <w:r w:rsidRPr="008A0486">
        <w:t>eribulin</w:t>
      </w:r>
      <w:proofErr w:type="spellEnd"/>
      <w:r w:rsidRPr="008A0486">
        <w:t xml:space="preserve"> </w:t>
      </w:r>
      <w:r w:rsidR="00592CFE">
        <w:t xml:space="preserve">than </w:t>
      </w:r>
      <w:r w:rsidRPr="008A0486">
        <w:t>TPC</w:t>
      </w:r>
      <w:r w:rsidR="00D461E3">
        <w:rPr>
          <w:rFonts w:eastAsiaTheme="minorEastAsia" w:hint="eastAsia"/>
          <w:lang w:eastAsia="ja-JP"/>
        </w:rPr>
        <w:t xml:space="preserve"> (</w:t>
      </w:r>
      <w:r w:rsidR="00345733">
        <w:rPr>
          <w:rFonts w:eastAsiaTheme="minorEastAsia"/>
          <w:lang w:eastAsia="ja-JP"/>
        </w:rPr>
        <w:t xml:space="preserve">See </w:t>
      </w:r>
      <w:r w:rsidR="00D461E3">
        <w:rPr>
          <w:rFonts w:eastAsiaTheme="minorEastAsia" w:hint="eastAsia"/>
          <w:lang w:eastAsia="ja-JP"/>
        </w:rPr>
        <w:t>Table</w:t>
      </w:r>
      <w:r w:rsidR="00345733">
        <w:rPr>
          <w:rFonts w:eastAsiaTheme="minorEastAsia"/>
          <w:lang w:eastAsia="ja-JP"/>
        </w:rPr>
        <w:t xml:space="preserve"> 1</w:t>
      </w:r>
      <w:r w:rsidR="00D461E3">
        <w:rPr>
          <w:rFonts w:eastAsiaTheme="minorEastAsia" w:hint="eastAsia"/>
          <w:lang w:eastAsia="ja-JP"/>
        </w:rPr>
        <w:t>)</w:t>
      </w:r>
      <w:r w:rsidR="00592CFE">
        <w:t>.</w:t>
      </w:r>
    </w:p>
    <w:p w:rsidR="00AB6568" w:rsidRPr="00844F5A" w:rsidRDefault="00345733" w:rsidP="00844F5A">
      <w:pPr>
        <w:pStyle w:val="CM16"/>
      </w:pPr>
      <w:r w:rsidRPr="00844F5A">
        <w:t xml:space="preserve">Table 1: </w:t>
      </w:r>
      <w:r w:rsidR="0004218F" w:rsidRPr="00844F5A">
        <w:t xml:space="preserve">Efficacy of HALAVEN versus Treatment of Physician’s Choice – Primary and Updated Survival Analysis in the ITT Population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2"/>
        <w:gridCol w:w="1848"/>
        <w:gridCol w:w="2396"/>
      </w:tblGrid>
      <w:tr w:rsidR="00AB6568" w:rsidRPr="00A93CC1" w:rsidTr="00844F5A">
        <w:trPr>
          <w:tblHeader/>
        </w:trPr>
        <w:tc>
          <w:tcPr>
            <w:tcW w:w="2972" w:type="dxa"/>
            <w:vAlign w:val="center"/>
          </w:tcPr>
          <w:p w:rsidR="00AB6568" w:rsidRPr="00A93CC1" w:rsidRDefault="0004218F" w:rsidP="00AB6568">
            <w:pPr>
              <w:pStyle w:val="Default"/>
              <w:rPr>
                <w:sz w:val="20"/>
                <w:szCs w:val="20"/>
              </w:rPr>
            </w:pPr>
            <w:r w:rsidRPr="0004218F">
              <w:rPr>
                <w:b/>
                <w:bCs/>
                <w:sz w:val="20"/>
                <w:szCs w:val="20"/>
              </w:rPr>
              <w:t xml:space="preserve">Efficacy Parameter </w:t>
            </w:r>
          </w:p>
        </w:tc>
        <w:tc>
          <w:tcPr>
            <w:tcW w:w="1848" w:type="dxa"/>
          </w:tcPr>
          <w:p w:rsidR="00AB6568" w:rsidRPr="00A93CC1" w:rsidRDefault="0004218F" w:rsidP="00AB6568">
            <w:pPr>
              <w:pStyle w:val="Default"/>
              <w:rPr>
                <w:b/>
                <w:bCs/>
                <w:sz w:val="20"/>
                <w:szCs w:val="20"/>
              </w:rPr>
            </w:pPr>
            <w:r w:rsidRPr="0004218F">
              <w:rPr>
                <w:b/>
                <w:bCs/>
                <w:sz w:val="20"/>
                <w:szCs w:val="20"/>
              </w:rPr>
              <w:t xml:space="preserve">HALAVEN </w:t>
            </w:r>
          </w:p>
          <w:p w:rsidR="00AB6568" w:rsidRPr="00A93CC1" w:rsidRDefault="0004218F" w:rsidP="00AB6568">
            <w:pPr>
              <w:pStyle w:val="Default"/>
              <w:rPr>
                <w:sz w:val="20"/>
                <w:szCs w:val="20"/>
              </w:rPr>
            </w:pPr>
            <w:r w:rsidRPr="0004218F">
              <w:rPr>
                <w:b/>
                <w:bCs/>
                <w:sz w:val="20"/>
                <w:szCs w:val="20"/>
              </w:rPr>
              <w:t xml:space="preserve">(n = 508) </w:t>
            </w:r>
          </w:p>
        </w:tc>
        <w:tc>
          <w:tcPr>
            <w:tcW w:w="2396" w:type="dxa"/>
          </w:tcPr>
          <w:p w:rsidR="00AB6568" w:rsidRPr="00A93CC1" w:rsidRDefault="0004218F" w:rsidP="00AB6568">
            <w:pPr>
              <w:pStyle w:val="Default"/>
              <w:rPr>
                <w:b/>
                <w:bCs/>
                <w:sz w:val="20"/>
                <w:szCs w:val="20"/>
              </w:rPr>
            </w:pPr>
            <w:r w:rsidRPr="0004218F">
              <w:rPr>
                <w:b/>
                <w:bCs/>
                <w:sz w:val="20"/>
                <w:szCs w:val="20"/>
              </w:rPr>
              <w:t xml:space="preserve">TPC </w:t>
            </w:r>
          </w:p>
          <w:p w:rsidR="00AB6568" w:rsidRPr="00A93CC1" w:rsidRDefault="0004218F" w:rsidP="00AB6568">
            <w:pPr>
              <w:pStyle w:val="Default"/>
              <w:rPr>
                <w:sz w:val="20"/>
                <w:szCs w:val="20"/>
              </w:rPr>
            </w:pPr>
            <w:r w:rsidRPr="0004218F">
              <w:rPr>
                <w:b/>
                <w:bCs/>
                <w:sz w:val="20"/>
                <w:szCs w:val="20"/>
              </w:rPr>
              <w:t xml:space="preserve">(n = 254) </w:t>
            </w:r>
          </w:p>
        </w:tc>
      </w:tr>
      <w:tr w:rsidR="002B417A" w:rsidRPr="00A93CC1" w:rsidTr="00BF2FF9">
        <w:tc>
          <w:tcPr>
            <w:tcW w:w="2972" w:type="dxa"/>
            <w:vAlign w:val="center"/>
          </w:tcPr>
          <w:p w:rsidR="002B417A" w:rsidRPr="00A93CC1" w:rsidRDefault="0004218F" w:rsidP="00526621">
            <w:pPr>
              <w:pStyle w:val="Default"/>
              <w:rPr>
                <w:b/>
                <w:bCs/>
                <w:sz w:val="20"/>
                <w:szCs w:val="20"/>
              </w:rPr>
            </w:pPr>
            <w:r w:rsidRPr="0004218F">
              <w:rPr>
                <w:b/>
                <w:bCs/>
                <w:sz w:val="20"/>
                <w:szCs w:val="20"/>
              </w:rPr>
              <w:t>Primary Overall Survival</w:t>
            </w:r>
          </w:p>
        </w:tc>
        <w:tc>
          <w:tcPr>
            <w:tcW w:w="1848" w:type="dxa"/>
          </w:tcPr>
          <w:p w:rsidR="002B417A" w:rsidRPr="00A93CC1" w:rsidRDefault="002B417A" w:rsidP="00AB6568">
            <w:pPr>
              <w:pStyle w:val="Default"/>
              <w:rPr>
                <w:color w:val="auto"/>
              </w:rPr>
            </w:pPr>
          </w:p>
        </w:tc>
        <w:tc>
          <w:tcPr>
            <w:tcW w:w="2396" w:type="dxa"/>
          </w:tcPr>
          <w:p w:rsidR="002B417A" w:rsidRPr="00A93CC1" w:rsidRDefault="002B417A" w:rsidP="00AB6568">
            <w:pPr>
              <w:pStyle w:val="Default"/>
              <w:rPr>
                <w:color w:val="auto"/>
              </w:rPr>
            </w:pPr>
          </w:p>
        </w:tc>
      </w:tr>
      <w:tr w:rsidR="002B417A" w:rsidRPr="00A93CC1" w:rsidTr="00BF2FF9">
        <w:tc>
          <w:tcPr>
            <w:tcW w:w="2972" w:type="dxa"/>
            <w:vAlign w:val="center"/>
          </w:tcPr>
          <w:p w:rsidR="002B417A" w:rsidRPr="00A93CC1" w:rsidRDefault="0004218F" w:rsidP="00AB6568">
            <w:pPr>
              <w:pStyle w:val="Default"/>
              <w:rPr>
                <w:b/>
                <w:bCs/>
                <w:sz w:val="20"/>
                <w:szCs w:val="20"/>
              </w:rPr>
            </w:pPr>
            <w:r w:rsidRPr="0004218F">
              <w:rPr>
                <w:sz w:val="20"/>
                <w:szCs w:val="20"/>
              </w:rPr>
              <w:t>Number of Events (%)</w:t>
            </w:r>
          </w:p>
        </w:tc>
        <w:tc>
          <w:tcPr>
            <w:tcW w:w="1848" w:type="dxa"/>
          </w:tcPr>
          <w:p w:rsidR="002B417A" w:rsidRPr="00A93CC1" w:rsidRDefault="0004218F" w:rsidP="00AB6568">
            <w:pPr>
              <w:pStyle w:val="Default"/>
              <w:rPr>
                <w:color w:val="auto"/>
                <w:sz w:val="20"/>
                <w:szCs w:val="20"/>
              </w:rPr>
            </w:pPr>
            <w:r w:rsidRPr="0004218F">
              <w:rPr>
                <w:color w:val="auto"/>
                <w:sz w:val="20"/>
                <w:szCs w:val="20"/>
              </w:rPr>
              <w:t>274 (53.9%)</w:t>
            </w:r>
          </w:p>
        </w:tc>
        <w:tc>
          <w:tcPr>
            <w:tcW w:w="2396" w:type="dxa"/>
          </w:tcPr>
          <w:p w:rsidR="002B417A" w:rsidRPr="00A93CC1" w:rsidRDefault="0004218F" w:rsidP="00AB6568">
            <w:pPr>
              <w:pStyle w:val="Default"/>
              <w:rPr>
                <w:color w:val="auto"/>
                <w:sz w:val="20"/>
                <w:szCs w:val="20"/>
              </w:rPr>
            </w:pPr>
            <w:r w:rsidRPr="0004218F">
              <w:rPr>
                <w:color w:val="auto"/>
                <w:sz w:val="20"/>
                <w:szCs w:val="20"/>
              </w:rPr>
              <w:t>148 (58.3%)</w:t>
            </w:r>
          </w:p>
        </w:tc>
      </w:tr>
      <w:tr w:rsidR="002B417A" w:rsidRPr="00A93CC1" w:rsidTr="00BF2FF9">
        <w:tc>
          <w:tcPr>
            <w:tcW w:w="2972" w:type="dxa"/>
          </w:tcPr>
          <w:p w:rsidR="002B417A" w:rsidRPr="00A93CC1" w:rsidRDefault="0004218F" w:rsidP="00AB6568">
            <w:pPr>
              <w:pStyle w:val="Default"/>
              <w:rPr>
                <w:b/>
                <w:bCs/>
                <w:sz w:val="20"/>
                <w:szCs w:val="20"/>
              </w:rPr>
            </w:pPr>
            <w:r w:rsidRPr="0004218F">
              <w:rPr>
                <w:sz w:val="20"/>
                <w:szCs w:val="20"/>
              </w:rPr>
              <w:t>Median</w:t>
            </w:r>
            <w:r w:rsidR="00526621">
              <w:rPr>
                <w:sz w:val="20"/>
                <w:szCs w:val="20"/>
              </w:rPr>
              <w:t xml:space="preserve">, months </w:t>
            </w:r>
            <w:r w:rsidRPr="0004218F">
              <w:rPr>
                <w:sz w:val="20"/>
                <w:szCs w:val="20"/>
              </w:rPr>
              <w:t xml:space="preserve"> (95% CI )</w:t>
            </w:r>
          </w:p>
        </w:tc>
        <w:tc>
          <w:tcPr>
            <w:tcW w:w="1848" w:type="dxa"/>
          </w:tcPr>
          <w:p w:rsidR="002B417A" w:rsidRPr="00A93CC1" w:rsidRDefault="0004218F" w:rsidP="00AB6568">
            <w:pPr>
              <w:pStyle w:val="Default"/>
              <w:rPr>
                <w:color w:val="auto"/>
                <w:sz w:val="20"/>
                <w:szCs w:val="20"/>
              </w:rPr>
            </w:pPr>
            <w:r w:rsidRPr="0004218F">
              <w:rPr>
                <w:color w:val="auto"/>
                <w:sz w:val="20"/>
                <w:szCs w:val="20"/>
              </w:rPr>
              <w:t>13.1 (11.8, 14.3)</w:t>
            </w:r>
          </w:p>
        </w:tc>
        <w:tc>
          <w:tcPr>
            <w:tcW w:w="2396" w:type="dxa"/>
          </w:tcPr>
          <w:p w:rsidR="002B417A" w:rsidRPr="00A93CC1" w:rsidRDefault="0004218F" w:rsidP="00BF2FF9">
            <w:pPr>
              <w:pStyle w:val="Default"/>
              <w:rPr>
                <w:color w:val="auto"/>
                <w:sz w:val="20"/>
                <w:szCs w:val="20"/>
              </w:rPr>
            </w:pPr>
            <w:r w:rsidRPr="0004218F">
              <w:rPr>
                <w:color w:val="auto"/>
                <w:sz w:val="20"/>
                <w:szCs w:val="20"/>
              </w:rPr>
              <w:t>10.6  (9.3, 12.5)</w:t>
            </w:r>
          </w:p>
        </w:tc>
      </w:tr>
      <w:tr w:rsidR="00C450A4" w:rsidRPr="00A93CC1" w:rsidTr="00BF2FF9">
        <w:tc>
          <w:tcPr>
            <w:tcW w:w="2972" w:type="dxa"/>
          </w:tcPr>
          <w:p w:rsidR="00C450A4" w:rsidRPr="00A93CC1" w:rsidRDefault="0004218F" w:rsidP="00AB6568">
            <w:pPr>
              <w:pStyle w:val="Default"/>
              <w:rPr>
                <w:b/>
                <w:bCs/>
                <w:sz w:val="20"/>
                <w:szCs w:val="20"/>
              </w:rPr>
            </w:pPr>
            <w:r w:rsidRPr="0004218F">
              <w:rPr>
                <w:sz w:val="20"/>
              </w:rPr>
              <w:t>Hazard Ratio (95% CI)</w:t>
            </w:r>
            <w:r w:rsidRPr="0004218F">
              <w:rPr>
                <w:sz w:val="20"/>
                <w:vertAlign w:val="superscript"/>
              </w:rPr>
              <w:t xml:space="preserve">a </w:t>
            </w:r>
          </w:p>
        </w:tc>
        <w:tc>
          <w:tcPr>
            <w:tcW w:w="4244" w:type="dxa"/>
            <w:gridSpan w:val="2"/>
          </w:tcPr>
          <w:p w:rsidR="00F8182F" w:rsidRPr="00A93CC1" w:rsidRDefault="0004218F" w:rsidP="00A93CC1">
            <w:pPr>
              <w:pStyle w:val="Default"/>
              <w:jc w:val="center"/>
              <w:rPr>
                <w:color w:val="auto"/>
                <w:sz w:val="20"/>
                <w:szCs w:val="20"/>
              </w:rPr>
            </w:pPr>
            <w:r w:rsidRPr="0004218F">
              <w:rPr>
                <w:color w:val="auto"/>
                <w:sz w:val="20"/>
                <w:szCs w:val="20"/>
              </w:rPr>
              <w:t>0.809 (0.660, 0.991)</w:t>
            </w:r>
          </w:p>
        </w:tc>
      </w:tr>
      <w:tr w:rsidR="00C450A4" w:rsidRPr="00A93CC1" w:rsidTr="00BF2FF9">
        <w:tc>
          <w:tcPr>
            <w:tcW w:w="2972" w:type="dxa"/>
            <w:vAlign w:val="center"/>
          </w:tcPr>
          <w:p w:rsidR="00C450A4" w:rsidRPr="00A93CC1" w:rsidRDefault="0004218F" w:rsidP="00EC038D">
            <w:pPr>
              <w:pStyle w:val="Default"/>
              <w:rPr>
                <w:b/>
                <w:bCs/>
                <w:sz w:val="20"/>
                <w:szCs w:val="20"/>
              </w:rPr>
            </w:pPr>
            <w:r w:rsidRPr="0004218F">
              <w:rPr>
                <w:sz w:val="20"/>
                <w:szCs w:val="20"/>
              </w:rPr>
              <w:t xml:space="preserve"> </w:t>
            </w:r>
            <w:r w:rsidRPr="0004218F">
              <w:rPr>
                <w:i/>
                <w:iCs/>
                <w:sz w:val="20"/>
                <w:szCs w:val="20"/>
              </w:rPr>
              <w:t>P</w:t>
            </w:r>
            <w:r w:rsidRPr="0004218F">
              <w:rPr>
                <w:sz w:val="20"/>
                <w:szCs w:val="20"/>
              </w:rPr>
              <w:t>-value (log-rank)</w:t>
            </w:r>
            <w:r w:rsidR="00A330B9">
              <w:rPr>
                <w:sz w:val="20"/>
                <w:szCs w:val="20"/>
                <w:vertAlign w:val="superscript"/>
              </w:rPr>
              <w:t>b</w:t>
            </w:r>
          </w:p>
        </w:tc>
        <w:tc>
          <w:tcPr>
            <w:tcW w:w="4244" w:type="dxa"/>
            <w:gridSpan w:val="2"/>
          </w:tcPr>
          <w:p w:rsidR="00F8182F" w:rsidRPr="00A93CC1" w:rsidRDefault="0004218F" w:rsidP="0068218D">
            <w:pPr>
              <w:pStyle w:val="Default"/>
              <w:jc w:val="center"/>
              <w:rPr>
                <w:color w:val="auto"/>
                <w:sz w:val="20"/>
                <w:szCs w:val="20"/>
              </w:rPr>
            </w:pPr>
            <w:r w:rsidRPr="0004218F">
              <w:rPr>
                <w:color w:val="auto"/>
                <w:sz w:val="20"/>
                <w:szCs w:val="20"/>
              </w:rPr>
              <w:t>0.041</w:t>
            </w:r>
          </w:p>
        </w:tc>
      </w:tr>
      <w:tr w:rsidR="002B417A" w:rsidRPr="00A93CC1" w:rsidTr="00BF2FF9">
        <w:tc>
          <w:tcPr>
            <w:tcW w:w="2972" w:type="dxa"/>
            <w:vAlign w:val="center"/>
          </w:tcPr>
          <w:p w:rsidR="002B417A" w:rsidRPr="00A93CC1" w:rsidRDefault="0004218F" w:rsidP="00AB6568">
            <w:pPr>
              <w:pStyle w:val="Default"/>
              <w:rPr>
                <w:sz w:val="20"/>
                <w:szCs w:val="20"/>
              </w:rPr>
            </w:pPr>
            <w:r w:rsidRPr="0004218F">
              <w:rPr>
                <w:b/>
                <w:bCs/>
                <w:sz w:val="20"/>
                <w:szCs w:val="20"/>
              </w:rPr>
              <w:t>Updated Overall Survival</w:t>
            </w:r>
          </w:p>
        </w:tc>
        <w:tc>
          <w:tcPr>
            <w:tcW w:w="1848" w:type="dxa"/>
          </w:tcPr>
          <w:p w:rsidR="002B417A" w:rsidRPr="00A93CC1" w:rsidRDefault="002B417A" w:rsidP="00AB6568">
            <w:pPr>
              <w:pStyle w:val="Default"/>
              <w:rPr>
                <w:color w:val="auto"/>
              </w:rPr>
            </w:pPr>
          </w:p>
        </w:tc>
        <w:tc>
          <w:tcPr>
            <w:tcW w:w="2396" w:type="dxa"/>
          </w:tcPr>
          <w:p w:rsidR="002B417A" w:rsidRPr="00A93CC1" w:rsidRDefault="002B417A" w:rsidP="00AB6568">
            <w:pPr>
              <w:pStyle w:val="Default"/>
              <w:rPr>
                <w:color w:val="auto"/>
              </w:rPr>
            </w:pPr>
          </w:p>
        </w:tc>
      </w:tr>
      <w:tr w:rsidR="002B417A" w:rsidRPr="00544573" w:rsidTr="00BF2FF9">
        <w:tc>
          <w:tcPr>
            <w:tcW w:w="2972" w:type="dxa"/>
            <w:vAlign w:val="center"/>
          </w:tcPr>
          <w:p w:rsidR="002B417A" w:rsidRPr="00A93CC1" w:rsidRDefault="0004218F" w:rsidP="00AB6568">
            <w:pPr>
              <w:pStyle w:val="Default"/>
              <w:rPr>
                <w:sz w:val="20"/>
                <w:szCs w:val="20"/>
              </w:rPr>
            </w:pPr>
            <w:r w:rsidRPr="0004218F">
              <w:rPr>
                <w:sz w:val="20"/>
                <w:szCs w:val="20"/>
              </w:rPr>
              <w:t xml:space="preserve">Number of Events </w:t>
            </w:r>
          </w:p>
        </w:tc>
        <w:tc>
          <w:tcPr>
            <w:tcW w:w="1848" w:type="dxa"/>
            <w:vAlign w:val="center"/>
          </w:tcPr>
          <w:p w:rsidR="002B417A" w:rsidRPr="00A93CC1" w:rsidRDefault="0004218F" w:rsidP="00AB6568">
            <w:pPr>
              <w:pStyle w:val="Default"/>
              <w:rPr>
                <w:sz w:val="20"/>
                <w:szCs w:val="20"/>
              </w:rPr>
            </w:pPr>
            <w:r w:rsidRPr="0004218F">
              <w:rPr>
                <w:sz w:val="20"/>
                <w:szCs w:val="20"/>
              </w:rPr>
              <w:t>386 (76.0%)</w:t>
            </w:r>
          </w:p>
        </w:tc>
        <w:tc>
          <w:tcPr>
            <w:tcW w:w="2396" w:type="dxa"/>
            <w:vAlign w:val="center"/>
          </w:tcPr>
          <w:p w:rsidR="002B417A" w:rsidRPr="00544573" w:rsidRDefault="0004218F" w:rsidP="00AB6568">
            <w:pPr>
              <w:pStyle w:val="Default"/>
              <w:rPr>
                <w:sz w:val="20"/>
                <w:szCs w:val="20"/>
              </w:rPr>
            </w:pPr>
            <w:r w:rsidRPr="0004218F">
              <w:rPr>
                <w:sz w:val="20"/>
                <w:szCs w:val="20"/>
              </w:rPr>
              <w:t>203 (79.9%)</w:t>
            </w:r>
          </w:p>
        </w:tc>
      </w:tr>
      <w:tr w:rsidR="002B417A" w:rsidRPr="00544573" w:rsidTr="00BF2FF9">
        <w:tc>
          <w:tcPr>
            <w:tcW w:w="2972" w:type="dxa"/>
          </w:tcPr>
          <w:p w:rsidR="002B417A" w:rsidRPr="00544573" w:rsidRDefault="002B417A" w:rsidP="00AB6568">
            <w:pPr>
              <w:pStyle w:val="Default"/>
              <w:rPr>
                <w:sz w:val="20"/>
                <w:szCs w:val="20"/>
              </w:rPr>
            </w:pPr>
            <w:r w:rsidRPr="00544573">
              <w:rPr>
                <w:sz w:val="20"/>
                <w:szCs w:val="20"/>
              </w:rPr>
              <w:t>Median</w:t>
            </w:r>
            <w:r w:rsidR="00526621">
              <w:rPr>
                <w:sz w:val="20"/>
                <w:szCs w:val="20"/>
              </w:rPr>
              <w:t>, months</w:t>
            </w:r>
            <w:r w:rsidRPr="00544573">
              <w:rPr>
                <w:sz w:val="20"/>
                <w:szCs w:val="20"/>
              </w:rPr>
              <w:t xml:space="preserve"> </w:t>
            </w:r>
            <w:r>
              <w:rPr>
                <w:sz w:val="20"/>
                <w:szCs w:val="20"/>
              </w:rPr>
              <w:t xml:space="preserve"> (</w:t>
            </w:r>
            <w:r w:rsidRPr="00544573">
              <w:rPr>
                <w:sz w:val="20"/>
                <w:szCs w:val="20"/>
              </w:rPr>
              <w:t>95% CI</w:t>
            </w:r>
            <w:r>
              <w:rPr>
                <w:sz w:val="20"/>
                <w:szCs w:val="20"/>
              </w:rPr>
              <w:t>)</w:t>
            </w:r>
            <w:r w:rsidRPr="00544573">
              <w:rPr>
                <w:sz w:val="20"/>
                <w:szCs w:val="20"/>
              </w:rPr>
              <w:t xml:space="preserve"> </w:t>
            </w:r>
          </w:p>
        </w:tc>
        <w:tc>
          <w:tcPr>
            <w:tcW w:w="1848" w:type="dxa"/>
          </w:tcPr>
          <w:p w:rsidR="002B417A" w:rsidRPr="00544573" w:rsidRDefault="00BF2FF9" w:rsidP="00AB6568">
            <w:pPr>
              <w:pStyle w:val="Default"/>
              <w:rPr>
                <w:sz w:val="20"/>
                <w:szCs w:val="20"/>
              </w:rPr>
            </w:pPr>
            <w:r>
              <w:rPr>
                <w:sz w:val="20"/>
                <w:szCs w:val="20"/>
              </w:rPr>
              <w:t>13.2 (12.1, 14.4)</w:t>
            </w:r>
          </w:p>
        </w:tc>
        <w:tc>
          <w:tcPr>
            <w:tcW w:w="2396" w:type="dxa"/>
          </w:tcPr>
          <w:p w:rsidR="002B417A" w:rsidRPr="00544573" w:rsidRDefault="00BF2FF9" w:rsidP="00AB6568">
            <w:pPr>
              <w:pStyle w:val="Default"/>
              <w:rPr>
                <w:sz w:val="20"/>
                <w:szCs w:val="20"/>
              </w:rPr>
            </w:pPr>
            <w:r>
              <w:rPr>
                <w:sz w:val="20"/>
                <w:szCs w:val="20"/>
              </w:rPr>
              <w:t>10.6 (9.2, 12.0)</w:t>
            </w:r>
          </w:p>
        </w:tc>
      </w:tr>
      <w:tr w:rsidR="002B417A" w:rsidRPr="00544573" w:rsidTr="00BF2FF9">
        <w:tc>
          <w:tcPr>
            <w:tcW w:w="2972" w:type="dxa"/>
          </w:tcPr>
          <w:p w:rsidR="002B417A" w:rsidRPr="00544573" w:rsidRDefault="002B417A" w:rsidP="00AB6568">
            <w:pPr>
              <w:pStyle w:val="Default"/>
              <w:rPr>
                <w:sz w:val="20"/>
                <w:szCs w:val="20"/>
              </w:rPr>
            </w:pPr>
            <w:r w:rsidRPr="00544573">
              <w:rPr>
                <w:sz w:val="20"/>
                <w:szCs w:val="20"/>
              </w:rPr>
              <w:t>Hazard Ratio (95% CI)</w:t>
            </w:r>
            <w:r w:rsidR="0004218F" w:rsidRPr="0004218F">
              <w:rPr>
                <w:sz w:val="20"/>
                <w:szCs w:val="20"/>
                <w:vertAlign w:val="superscript"/>
              </w:rPr>
              <w:t xml:space="preserve">a </w:t>
            </w:r>
          </w:p>
        </w:tc>
        <w:tc>
          <w:tcPr>
            <w:tcW w:w="4244" w:type="dxa"/>
            <w:gridSpan w:val="2"/>
          </w:tcPr>
          <w:p w:rsidR="00821882" w:rsidRDefault="002B417A">
            <w:pPr>
              <w:pStyle w:val="Default"/>
              <w:jc w:val="center"/>
            </w:pPr>
            <w:r w:rsidRPr="00544573">
              <w:rPr>
                <w:sz w:val="20"/>
                <w:szCs w:val="20"/>
              </w:rPr>
              <w:t>0.805</w:t>
            </w:r>
            <w:r w:rsidR="00A93CC1">
              <w:rPr>
                <w:sz w:val="20"/>
                <w:szCs w:val="20"/>
              </w:rPr>
              <w:t xml:space="preserve"> </w:t>
            </w:r>
            <w:r w:rsidRPr="00544573">
              <w:rPr>
                <w:sz w:val="20"/>
              </w:rPr>
              <w:t>(0.677, 0.958)</w:t>
            </w:r>
          </w:p>
        </w:tc>
      </w:tr>
      <w:tr w:rsidR="002B417A" w:rsidRPr="00544573" w:rsidTr="00BF2FF9">
        <w:tc>
          <w:tcPr>
            <w:tcW w:w="2972" w:type="dxa"/>
            <w:vAlign w:val="center"/>
          </w:tcPr>
          <w:p w:rsidR="002B417A" w:rsidRPr="00544573" w:rsidRDefault="002B417A" w:rsidP="00EC038D">
            <w:pPr>
              <w:pStyle w:val="Default"/>
              <w:rPr>
                <w:sz w:val="13"/>
                <w:szCs w:val="13"/>
              </w:rPr>
            </w:pPr>
            <w:r w:rsidRPr="00544573">
              <w:rPr>
                <w:sz w:val="20"/>
                <w:szCs w:val="20"/>
              </w:rPr>
              <w:t xml:space="preserve"> Nominal </w:t>
            </w:r>
            <w:r w:rsidRPr="00544573">
              <w:rPr>
                <w:i/>
                <w:iCs/>
                <w:sz w:val="20"/>
                <w:szCs w:val="20"/>
              </w:rPr>
              <w:t>P</w:t>
            </w:r>
            <w:r w:rsidRPr="00544573">
              <w:rPr>
                <w:sz w:val="20"/>
                <w:szCs w:val="20"/>
              </w:rPr>
              <w:t>-value (log-rank</w:t>
            </w:r>
            <w:r w:rsidR="0004218F" w:rsidRPr="0004218F">
              <w:rPr>
                <w:sz w:val="20"/>
                <w:szCs w:val="20"/>
                <w:vertAlign w:val="superscript"/>
              </w:rPr>
              <w:t>)</w:t>
            </w:r>
            <w:r w:rsidR="00A330B9">
              <w:rPr>
                <w:sz w:val="20"/>
                <w:szCs w:val="20"/>
                <w:vertAlign w:val="superscript"/>
              </w:rPr>
              <w:t>b</w:t>
            </w:r>
          </w:p>
        </w:tc>
        <w:tc>
          <w:tcPr>
            <w:tcW w:w="4244" w:type="dxa"/>
            <w:gridSpan w:val="2"/>
            <w:vAlign w:val="center"/>
          </w:tcPr>
          <w:p w:rsidR="002B417A" w:rsidRPr="00544573" w:rsidRDefault="002B417A" w:rsidP="00544573">
            <w:pPr>
              <w:jc w:val="center"/>
              <w:rPr>
                <w:lang w:val="en-AU" w:eastAsia="en-AU"/>
              </w:rPr>
            </w:pPr>
            <w:r w:rsidRPr="00544573">
              <w:rPr>
                <w:sz w:val="20"/>
              </w:rPr>
              <w:t>0.014</w:t>
            </w:r>
          </w:p>
        </w:tc>
      </w:tr>
    </w:tbl>
    <w:p w:rsidR="00BF2FF9" w:rsidRPr="004639F5" w:rsidRDefault="00844F5A" w:rsidP="00844F5A">
      <w:pPr>
        <w:autoSpaceDE w:val="0"/>
        <w:autoSpaceDN w:val="0"/>
        <w:adjustRightInd w:val="0"/>
        <w:spacing w:before="0" w:beforeAutospacing="0" w:after="0" w:afterAutospacing="0"/>
        <w:rPr>
          <w:rFonts w:eastAsia="MS Mincho"/>
          <w:sz w:val="18"/>
          <w:szCs w:val="18"/>
          <w:lang w:val="en-US" w:eastAsia="en-US"/>
        </w:rPr>
      </w:pPr>
      <w:r>
        <w:rPr>
          <w:rFonts w:eastAsia="MS Mincho"/>
          <w:sz w:val="18"/>
          <w:szCs w:val="18"/>
          <w:lang w:val="en-US" w:eastAsia="en-US"/>
        </w:rPr>
        <w:t>CI = confidence interval</w:t>
      </w:r>
    </w:p>
    <w:p w:rsidR="00BF2FF9" w:rsidRPr="004639F5" w:rsidRDefault="0004218F" w:rsidP="00844F5A">
      <w:pPr>
        <w:autoSpaceDE w:val="0"/>
        <w:autoSpaceDN w:val="0"/>
        <w:adjustRightInd w:val="0"/>
        <w:spacing w:before="0" w:beforeAutospacing="0" w:after="0" w:afterAutospacing="0"/>
        <w:rPr>
          <w:rFonts w:eastAsia="MS Mincho"/>
          <w:sz w:val="18"/>
          <w:szCs w:val="18"/>
          <w:lang w:val="en-US" w:eastAsia="en-US"/>
        </w:rPr>
      </w:pPr>
      <w:r w:rsidRPr="0004218F">
        <w:rPr>
          <w:rFonts w:eastAsia="MS Mincho"/>
          <w:sz w:val="20"/>
          <w:vertAlign w:val="superscript"/>
          <w:lang w:val="en-US" w:eastAsia="en-US"/>
        </w:rPr>
        <w:t xml:space="preserve">a </w:t>
      </w:r>
      <w:r w:rsidR="00BF2FF9" w:rsidRPr="004639F5">
        <w:rPr>
          <w:rFonts w:eastAsia="MS Mincho"/>
          <w:sz w:val="18"/>
          <w:szCs w:val="18"/>
          <w:lang w:val="en-US" w:eastAsia="en-US"/>
        </w:rPr>
        <w:t xml:space="preserve">Based on Cox proportional hazards model stratified by geographic region, HER2 status, and prior </w:t>
      </w:r>
      <w:proofErr w:type="spellStart"/>
      <w:r w:rsidR="00BF2FF9" w:rsidRPr="004639F5">
        <w:rPr>
          <w:rFonts w:eastAsia="MS Mincho"/>
          <w:sz w:val="18"/>
          <w:szCs w:val="18"/>
          <w:lang w:val="en-US" w:eastAsia="en-US"/>
        </w:rPr>
        <w:t>capecitabine</w:t>
      </w:r>
      <w:proofErr w:type="spellEnd"/>
      <w:r w:rsidR="00BF2FF9" w:rsidRPr="004639F5">
        <w:rPr>
          <w:rFonts w:eastAsia="MS Mincho"/>
          <w:sz w:val="18"/>
          <w:szCs w:val="18"/>
          <w:lang w:val="en-US" w:eastAsia="en-US"/>
        </w:rPr>
        <w:t xml:space="preserve"> therapy. </w:t>
      </w:r>
    </w:p>
    <w:p w:rsidR="00056F6E" w:rsidRDefault="0004218F" w:rsidP="00844F5A">
      <w:pPr>
        <w:pStyle w:val="CM16"/>
      </w:pPr>
      <w:r w:rsidRPr="0004218F">
        <w:rPr>
          <w:rFonts w:eastAsia="MS Mincho"/>
          <w:vertAlign w:val="superscript"/>
        </w:rPr>
        <w:t>b</w:t>
      </w:r>
      <w:r w:rsidR="00BF2FF9" w:rsidRPr="004639F5">
        <w:rPr>
          <w:rFonts w:eastAsia="MS Mincho"/>
          <w:sz w:val="12"/>
          <w:szCs w:val="12"/>
        </w:rPr>
        <w:t xml:space="preserve"> </w:t>
      </w:r>
      <w:r w:rsidR="00BF2FF9" w:rsidRPr="004639F5">
        <w:rPr>
          <w:rFonts w:eastAsia="MS Mincho"/>
          <w:sz w:val="18"/>
          <w:szCs w:val="18"/>
        </w:rPr>
        <w:t xml:space="preserve">Based on a log-rank test stratified by geographic region, HER2 status, and prior </w:t>
      </w:r>
      <w:proofErr w:type="spellStart"/>
      <w:r w:rsidR="00BF2FF9" w:rsidRPr="004639F5">
        <w:rPr>
          <w:rFonts w:eastAsia="MS Mincho"/>
          <w:sz w:val="18"/>
          <w:szCs w:val="18"/>
        </w:rPr>
        <w:t>capecitabine</w:t>
      </w:r>
      <w:proofErr w:type="spellEnd"/>
      <w:r w:rsidR="00BF2FF9" w:rsidRPr="004639F5">
        <w:rPr>
          <w:rFonts w:eastAsia="MS Mincho"/>
          <w:sz w:val="18"/>
          <w:szCs w:val="18"/>
        </w:rPr>
        <w:t xml:space="preserve"> therapy.</w:t>
      </w:r>
    </w:p>
    <w:p w:rsidR="00F8182F" w:rsidRPr="004636CB" w:rsidRDefault="00C450A4" w:rsidP="004636CB">
      <w:pPr>
        <w:pStyle w:val="Default"/>
        <w:jc w:val="center"/>
      </w:pPr>
      <w:r w:rsidRPr="00C450A4">
        <w:rPr>
          <w:noProof/>
        </w:rPr>
        <w:drawing>
          <wp:inline distT="0" distB="0" distL="0" distR="0">
            <wp:extent cx="3752850" cy="1962150"/>
            <wp:effectExtent l="19050" t="0" r="0" b="0"/>
            <wp:docPr id="3" name="Picture 7" descr="Kaplan-Meier Analysis of OS-Update Data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752850" cy="1962150"/>
                    </a:xfrm>
                    <a:prstGeom prst="rect">
                      <a:avLst/>
                    </a:prstGeom>
                    <a:noFill/>
                    <a:ln w="9525">
                      <a:noFill/>
                      <a:miter lim="800000"/>
                      <a:headEnd/>
                      <a:tailEnd/>
                    </a:ln>
                  </pic:spPr>
                </pic:pic>
              </a:graphicData>
            </a:graphic>
          </wp:inline>
        </w:drawing>
      </w:r>
    </w:p>
    <w:p w:rsidR="00AB6568" w:rsidRPr="00AB6568" w:rsidRDefault="00AB6568" w:rsidP="00B07CA1">
      <w:pPr>
        <w:pStyle w:val="Default"/>
        <w:jc w:val="center"/>
        <w:rPr>
          <w:sz w:val="20"/>
          <w:szCs w:val="20"/>
        </w:rPr>
      </w:pPr>
      <w:r w:rsidRPr="00D03451">
        <w:rPr>
          <w:b/>
          <w:sz w:val="20"/>
          <w:szCs w:val="20"/>
        </w:rPr>
        <w:t>Kaplan-</w:t>
      </w:r>
      <w:r w:rsidRPr="00AB6568">
        <w:rPr>
          <w:b/>
          <w:bCs/>
          <w:sz w:val="20"/>
          <w:szCs w:val="20"/>
        </w:rPr>
        <w:t>Meier Analysis of OS-Update Data (ITT Population)</w:t>
      </w:r>
    </w:p>
    <w:p w:rsidR="00056F6E" w:rsidRPr="008A0486" w:rsidRDefault="00056F6E" w:rsidP="00652A0C">
      <w:pPr>
        <w:spacing w:after="120" w:afterAutospacing="0"/>
      </w:pPr>
      <w:r w:rsidRPr="008A0486">
        <w:t>At the time of the original cut-off, analysis of progression free survival by independent and investigator review is shown in table</w:t>
      </w:r>
      <w:r w:rsidR="00345733">
        <w:t xml:space="preserve"> 2 below</w:t>
      </w:r>
      <w:r w:rsidR="00844F5A">
        <w:t>.</w:t>
      </w:r>
    </w:p>
    <w:p w:rsidR="00056F6E" w:rsidRPr="00D03451" w:rsidRDefault="00345733" w:rsidP="00844F5A">
      <w:pPr>
        <w:pStyle w:val="CM16"/>
      </w:pPr>
      <w:r>
        <w:t xml:space="preserve">Table 2: </w:t>
      </w:r>
      <w:r w:rsidR="00056F6E" w:rsidRPr="00D03451">
        <w:t xml:space="preserve">Efficacy of HALAVEN versus Treatment of Physician’s Choice – Progression Free Survival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8"/>
        <w:gridCol w:w="1990"/>
        <w:gridCol w:w="1842"/>
      </w:tblGrid>
      <w:tr w:rsidR="007C3188" w:rsidTr="00844F5A">
        <w:trPr>
          <w:tblHeader/>
        </w:trPr>
        <w:tc>
          <w:tcPr>
            <w:tcW w:w="2688" w:type="dxa"/>
          </w:tcPr>
          <w:p w:rsidR="007C3188" w:rsidRDefault="007C3188" w:rsidP="00AB6568">
            <w:pPr>
              <w:pStyle w:val="Default"/>
            </w:pPr>
          </w:p>
        </w:tc>
        <w:tc>
          <w:tcPr>
            <w:tcW w:w="1990" w:type="dxa"/>
          </w:tcPr>
          <w:p w:rsidR="007C3188" w:rsidRPr="00544573" w:rsidRDefault="007C3188" w:rsidP="00544573">
            <w:pPr>
              <w:pStyle w:val="Default"/>
              <w:jc w:val="center"/>
              <w:rPr>
                <w:sz w:val="20"/>
                <w:szCs w:val="20"/>
              </w:rPr>
            </w:pPr>
            <w:r w:rsidRPr="00544573">
              <w:rPr>
                <w:b/>
                <w:bCs/>
                <w:sz w:val="20"/>
                <w:szCs w:val="20"/>
              </w:rPr>
              <w:t xml:space="preserve">HALAVEN (n=508) </w:t>
            </w:r>
          </w:p>
        </w:tc>
        <w:tc>
          <w:tcPr>
            <w:tcW w:w="1842" w:type="dxa"/>
          </w:tcPr>
          <w:p w:rsidR="007C3188" w:rsidRPr="00544573" w:rsidRDefault="007C3188" w:rsidP="00544573">
            <w:pPr>
              <w:pStyle w:val="Default"/>
              <w:jc w:val="center"/>
              <w:rPr>
                <w:sz w:val="20"/>
                <w:szCs w:val="20"/>
              </w:rPr>
            </w:pPr>
            <w:r w:rsidRPr="00544573">
              <w:rPr>
                <w:b/>
                <w:bCs/>
                <w:sz w:val="20"/>
                <w:szCs w:val="20"/>
              </w:rPr>
              <w:t xml:space="preserve">TPC </w:t>
            </w:r>
            <w:r w:rsidR="00D03451" w:rsidRPr="00544573">
              <w:rPr>
                <w:b/>
                <w:bCs/>
                <w:sz w:val="20"/>
                <w:szCs w:val="20"/>
              </w:rPr>
              <w:t>(</w:t>
            </w:r>
            <w:r w:rsidRPr="00544573">
              <w:rPr>
                <w:b/>
                <w:bCs/>
                <w:sz w:val="20"/>
                <w:szCs w:val="20"/>
              </w:rPr>
              <w:t xml:space="preserve">n=254) </w:t>
            </w:r>
          </w:p>
        </w:tc>
      </w:tr>
      <w:tr w:rsidR="007C3188" w:rsidTr="00544573">
        <w:tc>
          <w:tcPr>
            <w:tcW w:w="2688" w:type="dxa"/>
            <w:vAlign w:val="center"/>
          </w:tcPr>
          <w:p w:rsidR="007C3188" w:rsidRPr="00544573" w:rsidRDefault="007C3188" w:rsidP="00544573">
            <w:pPr>
              <w:pStyle w:val="Default"/>
              <w:rPr>
                <w:sz w:val="20"/>
                <w:szCs w:val="20"/>
              </w:rPr>
            </w:pPr>
            <w:r w:rsidRPr="00544573">
              <w:rPr>
                <w:b/>
                <w:bCs/>
                <w:sz w:val="20"/>
                <w:szCs w:val="20"/>
              </w:rPr>
              <w:t xml:space="preserve">Independent </w:t>
            </w:r>
          </w:p>
        </w:tc>
        <w:tc>
          <w:tcPr>
            <w:tcW w:w="1990" w:type="dxa"/>
          </w:tcPr>
          <w:p w:rsidR="007C3188" w:rsidRPr="00544573" w:rsidRDefault="007C3188" w:rsidP="00544573">
            <w:pPr>
              <w:pStyle w:val="Default"/>
              <w:jc w:val="center"/>
              <w:rPr>
                <w:color w:val="auto"/>
              </w:rPr>
            </w:pPr>
          </w:p>
        </w:tc>
        <w:tc>
          <w:tcPr>
            <w:tcW w:w="1842" w:type="dxa"/>
          </w:tcPr>
          <w:p w:rsidR="007C3188" w:rsidRPr="00544573" w:rsidRDefault="007C3188" w:rsidP="00544573">
            <w:pPr>
              <w:pStyle w:val="Default"/>
              <w:jc w:val="center"/>
              <w:rPr>
                <w:color w:val="auto"/>
              </w:rPr>
            </w:pPr>
          </w:p>
        </w:tc>
      </w:tr>
      <w:tr w:rsidR="007C3188" w:rsidTr="00544573">
        <w:tc>
          <w:tcPr>
            <w:tcW w:w="2688" w:type="dxa"/>
            <w:vAlign w:val="center"/>
          </w:tcPr>
          <w:p w:rsidR="007C3188" w:rsidRPr="00544573" w:rsidRDefault="007C3188" w:rsidP="00D03451">
            <w:pPr>
              <w:pStyle w:val="Default"/>
              <w:ind w:leftChars="14" w:left="34"/>
              <w:rPr>
                <w:sz w:val="20"/>
                <w:szCs w:val="20"/>
              </w:rPr>
            </w:pPr>
            <w:r w:rsidRPr="00544573">
              <w:rPr>
                <w:sz w:val="20"/>
                <w:szCs w:val="20"/>
              </w:rPr>
              <w:t xml:space="preserve">Number of events </w:t>
            </w:r>
          </w:p>
        </w:tc>
        <w:tc>
          <w:tcPr>
            <w:tcW w:w="1990" w:type="dxa"/>
            <w:vAlign w:val="center"/>
          </w:tcPr>
          <w:p w:rsidR="007C3188" w:rsidRPr="00544573" w:rsidRDefault="007C3188" w:rsidP="00544573">
            <w:pPr>
              <w:pStyle w:val="Default"/>
              <w:jc w:val="center"/>
              <w:rPr>
                <w:sz w:val="20"/>
                <w:szCs w:val="20"/>
              </w:rPr>
            </w:pPr>
            <w:r w:rsidRPr="00544573">
              <w:rPr>
                <w:sz w:val="20"/>
                <w:szCs w:val="20"/>
              </w:rPr>
              <w:t xml:space="preserve">357 </w:t>
            </w:r>
            <w:r w:rsidR="00A93CC1">
              <w:rPr>
                <w:sz w:val="20"/>
                <w:szCs w:val="20"/>
              </w:rPr>
              <w:t>(70.3%)</w:t>
            </w:r>
          </w:p>
        </w:tc>
        <w:tc>
          <w:tcPr>
            <w:tcW w:w="1842" w:type="dxa"/>
            <w:vAlign w:val="center"/>
          </w:tcPr>
          <w:p w:rsidR="007C3188" w:rsidRPr="00544573" w:rsidRDefault="007C3188" w:rsidP="00544573">
            <w:pPr>
              <w:pStyle w:val="Default"/>
              <w:jc w:val="center"/>
              <w:rPr>
                <w:sz w:val="20"/>
                <w:szCs w:val="20"/>
              </w:rPr>
            </w:pPr>
            <w:r w:rsidRPr="00544573">
              <w:rPr>
                <w:sz w:val="20"/>
                <w:szCs w:val="20"/>
              </w:rPr>
              <w:t xml:space="preserve">164 </w:t>
            </w:r>
            <w:r w:rsidR="00A93CC1">
              <w:rPr>
                <w:sz w:val="20"/>
                <w:szCs w:val="20"/>
              </w:rPr>
              <w:t>(64.6%)</w:t>
            </w:r>
          </w:p>
        </w:tc>
      </w:tr>
      <w:tr w:rsidR="007C3188" w:rsidTr="00544573">
        <w:tc>
          <w:tcPr>
            <w:tcW w:w="2688" w:type="dxa"/>
            <w:vAlign w:val="center"/>
          </w:tcPr>
          <w:p w:rsidR="007C3188" w:rsidRPr="00544573" w:rsidRDefault="007C3188" w:rsidP="00D03451">
            <w:pPr>
              <w:pStyle w:val="Default"/>
              <w:ind w:leftChars="14" w:left="34"/>
              <w:rPr>
                <w:sz w:val="20"/>
                <w:szCs w:val="20"/>
              </w:rPr>
            </w:pPr>
            <w:r w:rsidRPr="00544573">
              <w:rPr>
                <w:sz w:val="20"/>
                <w:szCs w:val="20"/>
              </w:rPr>
              <w:t>Median</w:t>
            </w:r>
            <w:r w:rsidR="00A93CC1">
              <w:rPr>
                <w:sz w:val="20"/>
                <w:szCs w:val="20"/>
              </w:rPr>
              <w:t>, months</w:t>
            </w:r>
            <w:r w:rsidRPr="00544573">
              <w:rPr>
                <w:sz w:val="20"/>
                <w:szCs w:val="20"/>
              </w:rPr>
              <w:t xml:space="preserve"> </w:t>
            </w:r>
            <w:r w:rsidR="00A93CC1" w:rsidRPr="00544573">
              <w:rPr>
                <w:sz w:val="20"/>
                <w:szCs w:val="20"/>
              </w:rPr>
              <w:t xml:space="preserve">(95% CI)  </w:t>
            </w:r>
          </w:p>
        </w:tc>
        <w:tc>
          <w:tcPr>
            <w:tcW w:w="1990" w:type="dxa"/>
            <w:vAlign w:val="center"/>
          </w:tcPr>
          <w:p w:rsidR="007C3188" w:rsidRPr="00544573" w:rsidRDefault="00A93CC1" w:rsidP="00544573">
            <w:pPr>
              <w:pStyle w:val="Default"/>
              <w:jc w:val="center"/>
              <w:rPr>
                <w:sz w:val="20"/>
                <w:szCs w:val="20"/>
              </w:rPr>
            </w:pPr>
            <w:r>
              <w:rPr>
                <w:sz w:val="20"/>
                <w:szCs w:val="20"/>
              </w:rPr>
              <w:t>3.7 (3.3, 3.9)</w:t>
            </w:r>
          </w:p>
        </w:tc>
        <w:tc>
          <w:tcPr>
            <w:tcW w:w="1842" w:type="dxa"/>
            <w:vAlign w:val="center"/>
          </w:tcPr>
          <w:p w:rsidR="007C3188" w:rsidRPr="00544573" w:rsidRDefault="00A93CC1" w:rsidP="00544573">
            <w:pPr>
              <w:pStyle w:val="Default"/>
              <w:jc w:val="center"/>
              <w:rPr>
                <w:sz w:val="20"/>
                <w:szCs w:val="20"/>
              </w:rPr>
            </w:pPr>
            <w:r>
              <w:rPr>
                <w:sz w:val="20"/>
                <w:szCs w:val="20"/>
              </w:rPr>
              <w:t>2.2 (2.1, 3.8)</w:t>
            </w:r>
          </w:p>
        </w:tc>
      </w:tr>
      <w:tr w:rsidR="007C3188" w:rsidTr="00544573">
        <w:tc>
          <w:tcPr>
            <w:tcW w:w="2688" w:type="dxa"/>
            <w:vAlign w:val="center"/>
          </w:tcPr>
          <w:p w:rsidR="007C3188" w:rsidRPr="00544573" w:rsidRDefault="007C3188" w:rsidP="00D03451">
            <w:pPr>
              <w:pStyle w:val="Default"/>
              <w:ind w:leftChars="14" w:left="34"/>
              <w:rPr>
                <w:sz w:val="20"/>
                <w:szCs w:val="20"/>
              </w:rPr>
            </w:pPr>
          </w:p>
        </w:tc>
        <w:tc>
          <w:tcPr>
            <w:tcW w:w="1990" w:type="dxa"/>
            <w:vAlign w:val="center"/>
          </w:tcPr>
          <w:p w:rsidR="007C3188" w:rsidRPr="00544573" w:rsidRDefault="007C3188" w:rsidP="00544573">
            <w:pPr>
              <w:pStyle w:val="Default"/>
              <w:jc w:val="center"/>
              <w:rPr>
                <w:sz w:val="20"/>
                <w:szCs w:val="20"/>
              </w:rPr>
            </w:pPr>
          </w:p>
        </w:tc>
        <w:tc>
          <w:tcPr>
            <w:tcW w:w="1842" w:type="dxa"/>
            <w:vAlign w:val="center"/>
          </w:tcPr>
          <w:p w:rsidR="007C3188" w:rsidRPr="00544573" w:rsidRDefault="007C3188" w:rsidP="00544573">
            <w:pPr>
              <w:pStyle w:val="Default"/>
              <w:jc w:val="center"/>
              <w:rPr>
                <w:sz w:val="20"/>
                <w:szCs w:val="20"/>
              </w:rPr>
            </w:pPr>
          </w:p>
        </w:tc>
      </w:tr>
      <w:tr w:rsidR="007C3188" w:rsidTr="00544573">
        <w:tc>
          <w:tcPr>
            <w:tcW w:w="2688" w:type="dxa"/>
            <w:vAlign w:val="center"/>
          </w:tcPr>
          <w:p w:rsidR="007C3188" w:rsidRPr="00544573" w:rsidRDefault="007C3188" w:rsidP="00D03451">
            <w:pPr>
              <w:pStyle w:val="Default"/>
              <w:ind w:leftChars="14" w:left="34"/>
              <w:rPr>
                <w:sz w:val="20"/>
                <w:szCs w:val="20"/>
              </w:rPr>
            </w:pPr>
            <w:r w:rsidRPr="00544573">
              <w:rPr>
                <w:sz w:val="20"/>
                <w:szCs w:val="20"/>
              </w:rPr>
              <w:t xml:space="preserve">Hazard </w:t>
            </w:r>
            <w:proofErr w:type="spellStart"/>
            <w:r w:rsidRPr="00544573">
              <w:rPr>
                <w:sz w:val="20"/>
                <w:szCs w:val="20"/>
              </w:rPr>
              <w:t>Ratio</w:t>
            </w:r>
            <w:r w:rsidR="0004218F" w:rsidRPr="0004218F">
              <w:rPr>
                <w:sz w:val="20"/>
                <w:szCs w:val="13"/>
                <w:vertAlign w:val="superscript"/>
              </w:rPr>
              <w:t>a</w:t>
            </w:r>
            <w:proofErr w:type="spellEnd"/>
            <w:r w:rsidR="0004218F" w:rsidRPr="0004218F">
              <w:rPr>
                <w:sz w:val="28"/>
                <w:szCs w:val="20"/>
              </w:rPr>
              <w:t xml:space="preserve"> </w:t>
            </w:r>
            <w:r w:rsidRPr="00544573">
              <w:rPr>
                <w:sz w:val="20"/>
                <w:szCs w:val="20"/>
              </w:rPr>
              <w:t xml:space="preserve">(95% CI)  </w:t>
            </w:r>
          </w:p>
        </w:tc>
        <w:tc>
          <w:tcPr>
            <w:tcW w:w="3832" w:type="dxa"/>
            <w:gridSpan w:val="2"/>
            <w:vAlign w:val="center"/>
          </w:tcPr>
          <w:p w:rsidR="007C3188" w:rsidRDefault="007C3188" w:rsidP="00544573">
            <w:pPr>
              <w:pStyle w:val="Default"/>
              <w:jc w:val="center"/>
            </w:pPr>
            <w:r w:rsidRPr="00544573">
              <w:rPr>
                <w:sz w:val="20"/>
                <w:szCs w:val="20"/>
              </w:rPr>
              <w:t>0.865 (0.714 – 1.048)</w:t>
            </w:r>
          </w:p>
        </w:tc>
      </w:tr>
      <w:tr w:rsidR="007C3188" w:rsidTr="00544573">
        <w:tc>
          <w:tcPr>
            <w:tcW w:w="2688" w:type="dxa"/>
          </w:tcPr>
          <w:p w:rsidR="007C3188" w:rsidRPr="00544573" w:rsidRDefault="007C3188" w:rsidP="00D03451">
            <w:pPr>
              <w:pStyle w:val="Default"/>
              <w:ind w:leftChars="14" w:left="34"/>
              <w:rPr>
                <w:sz w:val="20"/>
                <w:szCs w:val="20"/>
              </w:rPr>
            </w:pPr>
            <w:r w:rsidRPr="00544573">
              <w:rPr>
                <w:sz w:val="20"/>
                <w:szCs w:val="20"/>
              </w:rPr>
              <w:t>p-</w:t>
            </w:r>
            <w:proofErr w:type="spellStart"/>
            <w:r w:rsidRPr="00544573">
              <w:rPr>
                <w:sz w:val="20"/>
                <w:szCs w:val="20"/>
              </w:rPr>
              <w:t>value</w:t>
            </w:r>
            <w:r w:rsidR="0004218F" w:rsidRPr="0004218F">
              <w:rPr>
                <w:sz w:val="20"/>
                <w:szCs w:val="13"/>
                <w:vertAlign w:val="superscript"/>
              </w:rPr>
              <w:t>b</w:t>
            </w:r>
            <w:proofErr w:type="spellEnd"/>
            <w:r w:rsidRPr="00D03451">
              <w:rPr>
                <w:sz w:val="20"/>
                <w:szCs w:val="20"/>
                <w:vertAlign w:val="superscript"/>
              </w:rPr>
              <w:t xml:space="preserve"> </w:t>
            </w:r>
            <w:r w:rsidRPr="00544573">
              <w:rPr>
                <w:sz w:val="20"/>
                <w:szCs w:val="20"/>
              </w:rPr>
              <w:t xml:space="preserve">(Log rank)  </w:t>
            </w:r>
          </w:p>
        </w:tc>
        <w:tc>
          <w:tcPr>
            <w:tcW w:w="3832" w:type="dxa"/>
            <w:gridSpan w:val="2"/>
            <w:vAlign w:val="center"/>
          </w:tcPr>
          <w:p w:rsidR="007C3188" w:rsidRDefault="007C3188" w:rsidP="00544573">
            <w:pPr>
              <w:pStyle w:val="Default"/>
              <w:jc w:val="center"/>
            </w:pPr>
            <w:r w:rsidRPr="00544573">
              <w:rPr>
                <w:sz w:val="20"/>
                <w:szCs w:val="20"/>
              </w:rPr>
              <w:t>0.137</w:t>
            </w:r>
          </w:p>
        </w:tc>
      </w:tr>
      <w:tr w:rsidR="007C3188" w:rsidTr="00544573">
        <w:tc>
          <w:tcPr>
            <w:tcW w:w="2688" w:type="dxa"/>
            <w:vAlign w:val="center"/>
          </w:tcPr>
          <w:p w:rsidR="007C3188" w:rsidRPr="00544573" w:rsidRDefault="007C3188" w:rsidP="00544573">
            <w:pPr>
              <w:pStyle w:val="Default"/>
              <w:rPr>
                <w:sz w:val="20"/>
                <w:szCs w:val="20"/>
              </w:rPr>
            </w:pPr>
            <w:r w:rsidRPr="00544573">
              <w:rPr>
                <w:b/>
                <w:bCs/>
                <w:sz w:val="20"/>
                <w:szCs w:val="20"/>
              </w:rPr>
              <w:t xml:space="preserve">Investigator </w:t>
            </w:r>
          </w:p>
        </w:tc>
        <w:tc>
          <w:tcPr>
            <w:tcW w:w="1990" w:type="dxa"/>
          </w:tcPr>
          <w:p w:rsidR="007C3188" w:rsidRPr="00544573" w:rsidRDefault="007C3188" w:rsidP="00544573">
            <w:pPr>
              <w:pStyle w:val="Default"/>
              <w:jc w:val="center"/>
              <w:rPr>
                <w:color w:val="auto"/>
              </w:rPr>
            </w:pPr>
          </w:p>
        </w:tc>
        <w:tc>
          <w:tcPr>
            <w:tcW w:w="1842" w:type="dxa"/>
          </w:tcPr>
          <w:p w:rsidR="007C3188" w:rsidRPr="00544573" w:rsidRDefault="007C3188" w:rsidP="00544573">
            <w:pPr>
              <w:pStyle w:val="Default"/>
              <w:jc w:val="center"/>
              <w:rPr>
                <w:color w:val="auto"/>
              </w:rPr>
            </w:pPr>
          </w:p>
        </w:tc>
      </w:tr>
      <w:tr w:rsidR="007C3188" w:rsidTr="00544573">
        <w:tc>
          <w:tcPr>
            <w:tcW w:w="2688" w:type="dxa"/>
            <w:vAlign w:val="center"/>
          </w:tcPr>
          <w:p w:rsidR="007C3188" w:rsidRPr="00544573" w:rsidRDefault="007C3188" w:rsidP="00D03451">
            <w:pPr>
              <w:pStyle w:val="Default"/>
              <w:ind w:leftChars="14" w:left="34"/>
              <w:rPr>
                <w:sz w:val="20"/>
                <w:szCs w:val="20"/>
              </w:rPr>
            </w:pPr>
            <w:r w:rsidRPr="00544573">
              <w:rPr>
                <w:sz w:val="20"/>
                <w:szCs w:val="20"/>
              </w:rPr>
              <w:t xml:space="preserve">Number of events </w:t>
            </w:r>
          </w:p>
        </w:tc>
        <w:tc>
          <w:tcPr>
            <w:tcW w:w="1990" w:type="dxa"/>
            <w:vAlign w:val="center"/>
          </w:tcPr>
          <w:p w:rsidR="007C3188" w:rsidRPr="00544573" w:rsidRDefault="007C3188" w:rsidP="00544573">
            <w:pPr>
              <w:pStyle w:val="Default"/>
              <w:jc w:val="center"/>
              <w:rPr>
                <w:sz w:val="20"/>
                <w:szCs w:val="20"/>
              </w:rPr>
            </w:pPr>
            <w:r w:rsidRPr="00544573">
              <w:rPr>
                <w:sz w:val="20"/>
                <w:szCs w:val="20"/>
              </w:rPr>
              <w:t xml:space="preserve">429 </w:t>
            </w:r>
            <w:r w:rsidR="00A93CC1">
              <w:rPr>
                <w:sz w:val="20"/>
                <w:szCs w:val="20"/>
              </w:rPr>
              <w:t>(84.4%)</w:t>
            </w:r>
          </w:p>
        </w:tc>
        <w:tc>
          <w:tcPr>
            <w:tcW w:w="1842" w:type="dxa"/>
            <w:vAlign w:val="center"/>
          </w:tcPr>
          <w:p w:rsidR="007C3188" w:rsidRPr="00544573" w:rsidRDefault="007C3188" w:rsidP="00544573">
            <w:pPr>
              <w:pStyle w:val="Default"/>
              <w:jc w:val="center"/>
              <w:rPr>
                <w:sz w:val="20"/>
                <w:szCs w:val="20"/>
              </w:rPr>
            </w:pPr>
            <w:r w:rsidRPr="00544573">
              <w:rPr>
                <w:sz w:val="20"/>
                <w:szCs w:val="20"/>
              </w:rPr>
              <w:t xml:space="preserve">206 </w:t>
            </w:r>
            <w:r w:rsidR="00A93CC1">
              <w:rPr>
                <w:sz w:val="20"/>
                <w:szCs w:val="20"/>
              </w:rPr>
              <w:t>(81.1%)</w:t>
            </w:r>
          </w:p>
        </w:tc>
      </w:tr>
      <w:tr w:rsidR="007C3188" w:rsidTr="00544573">
        <w:tc>
          <w:tcPr>
            <w:tcW w:w="2688" w:type="dxa"/>
            <w:vAlign w:val="center"/>
          </w:tcPr>
          <w:p w:rsidR="007C3188" w:rsidRPr="00544573" w:rsidRDefault="007C3188" w:rsidP="00D03451">
            <w:pPr>
              <w:pStyle w:val="Default"/>
              <w:ind w:leftChars="14" w:left="34"/>
              <w:rPr>
                <w:sz w:val="20"/>
                <w:szCs w:val="20"/>
              </w:rPr>
            </w:pPr>
            <w:r w:rsidRPr="00544573">
              <w:rPr>
                <w:sz w:val="20"/>
                <w:szCs w:val="20"/>
              </w:rPr>
              <w:t>Median</w:t>
            </w:r>
            <w:r w:rsidR="00A93CC1">
              <w:rPr>
                <w:sz w:val="20"/>
                <w:szCs w:val="20"/>
              </w:rPr>
              <w:t>, months (95%CI)</w:t>
            </w:r>
            <w:r w:rsidRPr="00544573">
              <w:rPr>
                <w:sz w:val="20"/>
                <w:szCs w:val="20"/>
              </w:rPr>
              <w:t xml:space="preserve"> </w:t>
            </w:r>
          </w:p>
        </w:tc>
        <w:tc>
          <w:tcPr>
            <w:tcW w:w="1990" w:type="dxa"/>
            <w:vAlign w:val="center"/>
          </w:tcPr>
          <w:p w:rsidR="007C3188" w:rsidRPr="00544573" w:rsidRDefault="00A93CC1" w:rsidP="00544573">
            <w:pPr>
              <w:pStyle w:val="Default"/>
              <w:jc w:val="center"/>
              <w:rPr>
                <w:sz w:val="20"/>
                <w:szCs w:val="20"/>
              </w:rPr>
            </w:pPr>
            <w:r>
              <w:rPr>
                <w:sz w:val="20"/>
                <w:szCs w:val="20"/>
              </w:rPr>
              <w:t>3.6 (3.3, 3.7)</w:t>
            </w:r>
          </w:p>
        </w:tc>
        <w:tc>
          <w:tcPr>
            <w:tcW w:w="1842" w:type="dxa"/>
            <w:vAlign w:val="center"/>
          </w:tcPr>
          <w:p w:rsidR="007C3188" w:rsidRPr="00544573" w:rsidRDefault="00A93CC1" w:rsidP="00544573">
            <w:pPr>
              <w:pStyle w:val="Default"/>
              <w:jc w:val="center"/>
              <w:rPr>
                <w:sz w:val="20"/>
                <w:szCs w:val="20"/>
              </w:rPr>
            </w:pPr>
            <w:r>
              <w:rPr>
                <w:sz w:val="20"/>
                <w:szCs w:val="20"/>
              </w:rPr>
              <w:t>2.2 (2.0, 2.6)</w:t>
            </w:r>
          </w:p>
        </w:tc>
      </w:tr>
      <w:tr w:rsidR="007C3188" w:rsidTr="00544573">
        <w:tc>
          <w:tcPr>
            <w:tcW w:w="2688" w:type="dxa"/>
          </w:tcPr>
          <w:p w:rsidR="007C3188" w:rsidRPr="00544573" w:rsidRDefault="007C3188" w:rsidP="00D03451">
            <w:pPr>
              <w:pStyle w:val="Default"/>
              <w:ind w:leftChars="14" w:left="34"/>
              <w:rPr>
                <w:sz w:val="20"/>
                <w:szCs w:val="20"/>
              </w:rPr>
            </w:pPr>
          </w:p>
        </w:tc>
        <w:tc>
          <w:tcPr>
            <w:tcW w:w="1990" w:type="dxa"/>
          </w:tcPr>
          <w:p w:rsidR="007C3188" w:rsidRPr="00544573" w:rsidRDefault="007C3188" w:rsidP="00544573">
            <w:pPr>
              <w:pStyle w:val="Default"/>
              <w:jc w:val="center"/>
              <w:rPr>
                <w:sz w:val="20"/>
                <w:szCs w:val="20"/>
              </w:rPr>
            </w:pPr>
          </w:p>
        </w:tc>
        <w:tc>
          <w:tcPr>
            <w:tcW w:w="1842" w:type="dxa"/>
          </w:tcPr>
          <w:p w:rsidR="007C3188" w:rsidRPr="00544573" w:rsidRDefault="007C3188" w:rsidP="00544573">
            <w:pPr>
              <w:pStyle w:val="Default"/>
              <w:jc w:val="center"/>
              <w:rPr>
                <w:sz w:val="20"/>
                <w:szCs w:val="20"/>
              </w:rPr>
            </w:pPr>
          </w:p>
        </w:tc>
      </w:tr>
      <w:tr w:rsidR="007C3188" w:rsidTr="00544573">
        <w:tc>
          <w:tcPr>
            <w:tcW w:w="2688" w:type="dxa"/>
            <w:vAlign w:val="center"/>
          </w:tcPr>
          <w:p w:rsidR="007C3188" w:rsidRPr="00544573" w:rsidRDefault="007C3188" w:rsidP="00D03451">
            <w:pPr>
              <w:pStyle w:val="Default"/>
              <w:ind w:leftChars="14" w:left="34"/>
              <w:rPr>
                <w:sz w:val="20"/>
                <w:szCs w:val="20"/>
              </w:rPr>
            </w:pPr>
            <w:r w:rsidRPr="00544573">
              <w:rPr>
                <w:sz w:val="20"/>
                <w:szCs w:val="20"/>
              </w:rPr>
              <w:t xml:space="preserve">Hazard </w:t>
            </w:r>
            <w:proofErr w:type="spellStart"/>
            <w:r w:rsidRPr="00544573">
              <w:rPr>
                <w:sz w:val="20"/>
                <w:szCs w:val="20"/>
              </w:rPr>
              <w:t>Ratio</w:t>
            </w:r>
            <w:r w:rsidR="0004218F" w:rsidRPr="0004218F">
              <w:rPr>
                <w:sz w:val="20"/>
                <w:szCs w:val="13"/>
                <w:vertAlign w:val="superscript"/>
              </w:rPr>
              <w:t>a</w:t>
            </w:r>
            <w:proofErr w:type="spellEnd"/>
            <w:r w:rsidR="0004218F" w:rsidRPr="0004218F">
              <w:rPr>
                <w:sz w:val="28"/>
                <w:szCs w:val="20"/>
              </w:rPr>
              <w:t xml:space="preserve"> </w:t>
            </w:r>
            <w:r w:rsidRPr="00544573">
              <w:rPr>
                <w:sz w:val="20"/>
                <w:szCs w:val="20"/>
              </w:rPr>
              <w:t xml:space="preserve">(95% CI)  </w:t>
            </w:r>
          </w:p>
        </w:tc>
        <w:tc>
          <w:tcPr>
            <w:tcW w:w="3832" w:type="dxa"/>
            <w:gridSpan w:val="2"/>
            <w:vAlign w:val="center"/>
          </w:tcPr>
          <w:p w:rsidR="007C3188" w:rsidRDefault="007C3188" w:rsidP="00544573">
            <w:pPr>
              <w:pStyle w:val="Default"/>
              <w:jc w:val="center"/>
            </w:pPr>
            <w:r w:rsidRPr="00544573">
              <w:rPr>
                <w:sz w:val="20"/>
                <w:szCs w:val="20"/>
              </w:rPr>
              <w:t>0.757 (0.638 – 0.900)</w:t>
            </w:r>
          </w:p>
        </w:tc>
      </w:tr>
      <w:tr w:rsidR="007C3188" w:rsidTr="00544573">
        <w:tc>
          <w:tcPr>
            <w:tcW w:w="2688" w:type="dxa"/>
          </w:tcPr>
          <w:p w:rsidR="007C3188" w:rsidRPr="00544573" w:rsidRDefault="007C3188" w:rsidP="00D03451">
            <w:pPr>
              <w:pStyle w:val="Default"/>
              <w:ind w:leftChars="14" w:left="34"/>
              <w:rPr>
                <w:sz w:val="20"/>
                <w:szCs w:val="20"/>
              </w:rPr>
            </w:pPr>
            <w:r w:rsidRPr="00544573">
              <w:rPr>
                <w:sz w:val="20"/>
                <w:szCs w:val="20"/>
              </w:rPr>
              <w:t>p-</w:t>
            </w:r>
            <w:proofErr w:type="spellStart"/>
            <w:r w:rsidRPr="00544573">
              <w:rPr>
                <w:sz w:val="20"/>
                <w:szCs w:val="20"/>
              </w:rPr>
              <w:t>value</w:t>
            </w:r>
            <w:r w:rsidR="0004218F" w:rsidRPr="0004218F">
              <w:rPr>
                <w:sz w:val="20"/>
                <w:szCs w:val="13"/>
                <w:vertAlign w:val="superscript"/>
              </w:rPr>
              <w:t>b</w:t>
            </w:r>
            <w:proofErr w:type="spellEnd"/>
            <w:r w:rsidR="0004218F" w:rsidRPr="0004218F">
              <w:rPr>
                <w:sz w:val="28"/>
                <w:szCs w:val="20"/>
              </w:rPr>
              <w:t xml:space="preserve"> </w:t>
            </w:r>
            <w:r w:rsidRPr="00544573">
              <w:rPr>
                <w:sz w:val="20"/>
                <w:szCs w:val="20"/>
              </w:rPr>
              <w:t xml:space="preserve">(Log rank)  </w:t>
            </w:r>
          </w:p>
        </w:tc>
        <w:tc>
          <w:tcPr>
            <w:tcW w:w="3832" w:type="dxa"/>
            <w:gridSpan w:val="2"/>
            <w:vAlign w:val="center"/>
          </w:tcPr>
          <w:p w:rsidR="007C3188" w:rsidRDefault="007C3188" w:rsidP="00544573">
            <w:pPr>
              <w:pStyle w:val="Default"/>
              <w:jc w:val="center"/>
            </w:pPr>
            <w:r w:rsidRPr="00544573">
              <w:rPr>
                <w:sz w:val="20"/>
                <w:szCs w:val="20"/>
              </w:rPr>
              <w:t>0.002</w:t>
            </w:r>
          </w:p>
        </w:tc>
      </w:tr>
      <w:tr w:rsidR="007C3188" w:rsidTr="00544573">
        <w:tc>
          <w:tcPr>
            <w:tcW w:w="6520" w:type="dxa"/>
            <w:gridSpan w:val="3"/>
          </w:tcPr>
          <w:p w:rsidR="00DC7641" w:rsidRDefault="0004218F" w:rsidP="00AB6568">
            <w:pPr>
              <w:pStyle w:val="Default"/>
              <w:rPr>
                <w:rFonts w:eastAsiaTheme="minorEastAsia"/>
                <w:sz w:val="19"/>
                <w:szCs w:val="19"/>
                <w:lang w:eastAsia="ja-JP"/>
              </w:rPr>
            </w:pPr>
            <w:proofErr w:type="spellStart"/>
            <w:r w:rsidRPr="0004218F">
              <w:rPr>
                <w:sz w:val="20"/>
                <w:szCs w:val="20"/>
                <w:vertAlign w:val="superscript"/>
              </w:rPr>
              <w:t>a</w:t>
            </w:r>
            <w:proofErr w:type="spellEnd"/>
            <w:r w:rsidR="007C3188" w:rsidRPr="00544573">
              <w:rPr>
                <w:sz w:val="12"/>
                <w:szCs w:val="12"/>
              </w:rPr>
              <w:t xml:space="preserve"> </w:t>
            </w:r>
            <w:r w:rsidR="007C3188" w:rsidRPr="00544573">
              <w:rPr>
                <w:sz w:val="19"/>
                <w:szCs w:val="19"/>
              </w:rPr>
              <w:t xml:space="preserve">For the hazard ratio, a value less than 1.00 favours </w:t>
            </w:r>
            <w:proofErr w:type="spellStart"/>
            <w:r w:rsidR="007C3188" w:rsidRPr="00544573">
              <w:rPr>
                <w:sz w:val="19"/>
                <w:szCs w:val="19"/>
              </w:rPr>
              <w:t>eribulin</w:t>
            </w:r>
            <w:proofErr w:type="spellEnd"/>
          </w:p>
          <w:p w:rsidR="007C3188" w:rsidRDefault="0004218F" w:rsidP="00AB6568">
            <w:pPr>
              <w:pStyle w:val="Default"/>
            </w:pPr>
            <w:r w:rsidRPr="0004218F">
              <w:rPr>
                <w:sz w:val="20"/>
                <w:szCs w:val="20"/>
                <w:vertAlign w:val="superscript"/>
              </w:rPr>
              <w:t xml:space="preserve">b </w:t>
            </w:r>
            <w:r w:rsidR="007C3188" w:rsidRPr="00544573">
              <w:rPr>
                <w:sz w:val="19"/>
                <w:szCs w:val="19"/>
              </w:rPr>
              <w:t>Stratified by geographic region, HER2/</w:t>
            </w:r>
            <w:proofErr w:type="spellStart"/>
            <w:r w:rsidR="007C3188" w:rsidRPr="00544573">
              <w:rPr>
                <w:sz w:val="19"/>
                <w:szCs w:val="19"/>
              </w:rPr>
              <w:t>neu</w:t>
            </w:r>
            <w:proofErr w:type="spellEnd"/>
            <w:r w:rsidR="007C3188" w:rsidRPr="00544573">
              <w:rPr>
                <w:sz w:val="19"/>
                <w:szCs w:val="19"/>
              </w:rPr>
              <w:t xml:space="preserve"> status, and prior </w:t>
            </w:r>
            <w:proofErr w:type="spellStart"/>
            <w:r w:rsidR="007C3188" w:rsidRPr="00544573">
              <w:rPr>
                <w:sz w:val="19"/>
                <w:szCs w:val="19"/>
              </w:rPr>
              <w:t>capecitabine</w:t>
            </w:r>
            <w:proofErr w:type="spellEnd"/>
            <w:r w:rsidR="007C3188" w:rsidRPr="00544573">
              <w:rPr>
                <w:sz w:val="19"/>
                <w:szCs w:val="19"/>
              </w:rPr>
              <w:t xml:space="preserve"> use. </w:t>
            </w:r>
          </w:p>
        </w:tc>
      </w:tr>
    </w:tbl>
    <w:p w:rsidR="00250354" w:rsidRPr="008A0486" w:rsidRDefault="00250354" w:rsidP="00652A0C">
      <w:r w:rsidRPr="008A0486">
        <w:lastRenderedPageBreak/>
        <w:t xml:space="preserve">In response evaluable patients who received HALAVEN, the objective response rate by the RECIST criteria was 12.2% (95% CI:  9.4%, 15.5%) by independent review and 13.2% (95% CI: 10.3%, 16.7%) by investigator review. The median response duration in this population by independent review was </w:t>
      </w:r>
      <w:r w:rsidR="002E69AB">
        <w:t>4.2 months</w:t>
      </w:r>
      <w:r w:rsidR="002E69AB" w:rsidRPr="008A0486">
        <w:t xml:space="preserve"> </w:t>
      </w:r>
      <w:r w:rsidRPr="008A0486">
        <w:t xml:space="preserve">(95% CI: </w:t>
      </w:r>
      <w:r w:rsidR="002E69AB">
        <w:t xml:space="preserve">3.8, </w:t>
      </w:r>
      <w:r w:rsidR="00846DB2">
        <w:rPr>
          <w:rFonts w:eastAsiaTheme="minorEastAsia" w:hint="eastAsia"/>
          <w:lang w:eastAsia="ja-JP"/>
        </w:rPr>
        <w:t>5.0</w:t>
      </w:r>
      <w:r w:rsidR="002E69AB">
        <w:t xml:space="preserve"> mo</w:t>
      </w:r>
      <w:r w:rsidR="00846DB2">
        <w:rPr>
          <w:rFonts w:eastAsiaTheme="minorEastAsia" w:hint="eastAsia"/>
          <w:lang w:eastAsia="ja-JP"/>
        </w:rPr>
        <w:t>n</w:t>
      </w:r>
      <w:r w:rsidR="002E69AB">
        <w:t>ths</w:t>
      </w:r>
      <w:r w:rsidR="00652A0C">
        <w:t>).</w:t>
      </w:r>
    </w:p>
    <w:p w:rsidR="00250354" w:rsidRPr="00390DCA" w:rsidRDefault="00250354" w:rsidP="00652A0C">
      <w:pPr>
        <w:rPr>
          <w:rFonts w:eastAsia="MS Mincho"/>
          <w:lang w:eastAsia="ja-JP"/>
        </w:rPr>
      </w:pPr>
      <w:r w:rsidRPr="008A0486">
        <w:t xml:space="preserve">The positive effect on OS and PFS was seen in both </w:t>
      </w:r>
      <w:proofErr w:type="spellStart"/>
      <w:r w:rsidRPr="008A0486">
        <w:t>taxane</w:t>
      </w:r>
      <w:proofErr w:type="spellEnd"/>
      <w:r w:rsidRPr="008A0486">
        <w:t xml:space="preserve">-refractory and non-refractory groups of patients. In the OS update, the HR for </w:t>
      </w:r>
      <w:proofErr w:type="spellStart"/>
      <w:r w:rsidRPr="008A0486">
        <w:t>eribulin</w:t>
      </w:r>
      <w:proofErr w:type="spellEnd"/>
      <w:r w:rsidRPr="008A0486">
        <w:t xml:space="preserve"> versus TPC was 0.90 (95% CI 0.71, 1.14) in favour of </w:t>
      </w:r>
      <w:proofErr w:type="spellStart"/>
      <w:r w:rsidRPr="008A0486">
        <w:t>eribulin</w:t>
      </w:r>
      <w:proofErr w:type="spellEnd"/>
      <w:r w:rsidRPr="008A0486">
        <w:t xml:space="preserve"> for </w:t>
      </w:r>
      <w:proofErr w:type="spellStart"/>
      <w:r w:rsidRPr="008A0486">
        <w:t>taxane</w:t>
      </w:r>
      <w:proofErr w:type="spellEnd"/>
      <w:r w:rsidRPr="008A0486">
        <w:t xml:space="preserve">-refractory patients and 0.73 (95% CI 0.56, 0.96) for patients not </w:t>
      </w:r>
      <w:proofErr w:type="spellStart"/>
      <w:r w:rsidRPr="008A0486">
        <w:t>taxane</w:t>
      </w:r>
      <w:proofErr w:type="spellEnd"/>
      <w:r w:rsidRPr="008A0486">
        <w:t xml:space="preserve">-refractory. In the Investigator assessment-based analysis of PFS (based on original data cut-off), the HR was 0.77 (95% CI 0.61, 0.97) for </w:t>
      </w:r>
      <w:proofErr w:type="spellStart"/>
      <w:r w:rsidRPr="008A0486">
        <w:t>taxane</w:t>
      </w:r>
      <w:proofErr w:type="spellEnd"/>
      <w:r w:rsidRPr="008A0486">
        <w:t xml:space="preserve">-refractory patients and 0.76 (95% CI 0.58, 0.99) for patients not </w:t>
      </w:r>
      <w:proofErr w:type="spellStart"/>
      <w:r w:rsidRPr="008A0486">
        <w:t>taxane</w:t>
      </w:r>
      <w:proofErr w:type="spellEnd"/>
      <w:r w:rsidRPr="008A0486">
        <w:t xml:space="preserve">-refractory. </w:t>
      </w:r>
    </w:p>
    <w:p w:rsidR="006B7B1A" w:rsidRPr="00390DCA" w:rsidRDefault="006B7B1A" w:rsidP="00652A0C">
      <w:pPr>
        <w:rPr>
          <w:rFonts w:eastAsia="MS Mincho"/>
          <w:lang w:val="en-AU" w:eastAsia="ja-JP"/>
        </w:rPr>
      </w:pPr>
      <w:r w:rsidRPr="006B7B1A">
        <w:rPr>
          <w:rFonts w:eastAsia="MS Mincho"/>
          <w:lang w:val="en-AU" w:eastAsia="ja-JP"/>
        </w:rPr>
        <w:t xml:space="preserve">The positive effect on OS was seen both in </w:t>
      </w:r>
      <w:proofErr w:type="spellStart"/>
      <w:r w:rsidRPr="006B7B1A">
        <w:rPr>
          <w:rFonts w:eastAsia="MS Mincho"/>
          <w:lang w:val="en-AU" w:eastAsia="ja-JP"/>
        </w:rPr>
        <w:t>capecitabine</w:t>
      </w:r>
      <w:proofErr w:type="spellEnd"/>
      <w:r w:rsidRPr="006B7B1A">
        <w:rPr>
          <w:rFonts w:eastAsia="MS Mincho"/>
          <w:lang w:val="en-AU" w:eastAsia="ja-JP"/>
        </w:rPr>
        <w:t xml:space="preserve">-naïve and in </w:t>
      </w:r>
      <w:proofErr w:type="spellStart"/>
      <w:r w:rsidRPr="006B7B1A">
        <w:rPr>
          <w:rFonts w:eastAsia="MS Mincho"/>
          <w:lang w:val="en-AU" w:eastAsia="ja-JP"/>
        </w:rPr>
        <w:t>capecitabine</w:t>
      </w:r>
      <w:proofErr w:type="spellEnd"/>
      <w:r w:rsidRPr="006B7B1A">
        <w:rPr>
          <w:rFonts w:eastAsia="MS Mincho"/>
          <w:lang w:val="en-AU" w:eastAsia="ja-JP"/>
        </w:rPr>
        <w:t xml:space="preserve"> pre-treated patient groups. The analysis of updated OS showed a survival benefit for the </w:t>
      </w:r>
      <w:proofErr w:type="spellStart"/>
      <w:r w:rsidRPr="006B7B1A">
        <w:rPr>
          <w:rFonts w:eastAsia="MS Mincho"/>
          <w:lang w:val="en-AU" w:eastAsia="ja-JP"/>
        </w:rPr>
        <w:t>eribulin</w:t>
      </w:r>
      <w:proofErr w:type="spellEnd"/>
      <w:r w:rsidRPr="006B7B1A">
        <w:rPr>
          <w:rFonts w:eastAsia="MS Mincho"/>
          <w:lang w:val="en-AU" w:eastAsia="ja-JP"/>
        </w:rPr>
        <w:t xml:space="preserve"> group compared to TPC both in </w:t>
      </w:r>
      <w:proofErr w:type="spellStart"/>
      <w:r w:rsidRPr="006B7B1A">
        <w:rPr>
          <w:rFonts w:eastAsia="MS Mincho"/>
          <w:lang w:val="en-AU" w:eastAsia="ja-JP"/>
        </w:rPr>
        <w:t>capecitabine</w:t>
      </w:r>
      <w:proofErr w:type="spellEnd"/>
      <w:r w:rsidRPr="006B7B1A">
        <w:rPr>
          <w:rFonts w:eastAsia="MS Mincho"/>
          <w:lang w:val="en-AU" w:eastAsia="ja-JP"/>
        </w:rPr>
        <w:t xml:space="preserve"> pre-treated patients with a HR of 0.787 (95% CI 0.645, 0.961), and for the</w:t>
      </w:r>
      <w:r>
        <w:rPr>
          <w:rFonts w:eastAsia="MS Mincho" w:hint="eastAsia"/>
          <w:lang w:val="en-AU" w:eastAsia="ja-JP"/>
        </w:rPr>
        <w:t xml:space="preserve"> </w:t>
      </w:r>
      <w:r w:rsidRPr="006B7B1A">
        <w:rPr>
          <w:rFonts w:eastAsia="MS Mincho"/>
          <w:lang w:val="en-AU" w:eastAsia="ja-JP"/>
        </w:rPr>
        <w:t>11</w:t>
      </w:r>
      <w:r>
        <w:rPr>
          <w:rFonts w:eastAsia="MS Mincho" w:hint="eastAsia"/>
          <w:lang w:val="en-AU" w:eastAsia="ja-JP"/>
        </w:rPr>
        <w:t xml:space="preserve"> </w:t>
      </w:r>
      <w:proofErr w:type="spellStart"/>
      <w:r w:rsidRPr="006B7B1A">
        <w:rPr>
          <w:rFonts w:eastAsia="MS Mincho"/>
          <w:lang w:val="en-AU" w:eastAsia="ja-JP"/>
        </w:rPr>
        <w:t>capecitabine</w:t>
      </w:r>
      <w:proofErr w:type="spellEnd"/>
      <w:r w:rsidRPr="006B7B1A">
        <w:rPr>
          <w:rFonts w:eastAsia="MS Mincho"/>
          <w:lang w:val="en-AU" w:eastAsia="ja-JP"/>
        </w:rPr>
        <w:t xml:space="preserve">-naïve patients with a corresponding HR of 0.865 (95% CI 0.606, 1.233). Investigator assessment-based analysis of PFS (based on original data cut-off), also showed a positive effect in the </w:t>
      </w:r>
      <w:proofErr w:type="spellStart"/>
      <w:r w:rsidRPr="006B7B1A">
        <w:rPr>
          <w:rFonts w:eastAsia="MS Mincho"/>
          <w:lang w:val="en-AU" w:eastAsia="ja-JP"/>
        </w:rPr>
        <w:t>capecitabine</w:t>
      </w:r>
      <w:proofErr w:type="spellEnd"/>
      <w:r w:rsidRPr="006B7B1A">
        <w:rPr>
          <w:rFonts w:eastAsia="MS Mincho"/>
          <w:lang w:val="en-AU" w:eastAsia="ja-JP"/>
        </w:rPr>
        <w:t xml:space="preserve"> pre-treated group with a HR of 0.68 (0.56, 0.83). For the </w:t>
      </w:r>
      <w:proofErr w:type="spellStart"/>
      <w:r w:rsidRPr="006B7B1A">
        <w:rPr>
          <w:rFonts w:eastAsia="MS Mincho"/>
          <w:lang w:val="en-AU" w:eastAsia="ja-JP"/>
        </w:rPr>
        <w:t>capecitabine</w:t>
      </w:r>
      <w:proofErr w:type="spellEnd"/>
      <w:r w:rsidRPr="006B7B1A">
        <w:rPr>
          <w:rFonts w:eastAsia="MS Mincho"/>
          <w:lang w:val="en-AU" w:eastAsia="ja-JP"/>
        </w:rPr>
        <w:t>-naïve group the corresponding HR was 1.03 (0.73, 1.45).</w:t>
      </w:r>
    </w:p>
    <w:p w:rsidR="006B7B1A" w:rsidRPr="00390DCA" w:rsidRDefault="00250354" w:rsidP="00652A0C">
      <w:pPr>
        <w:pStyle w:val="Heading3"/>
        <w:rPr>
          <w:rFonts w:eastAsia="MS Mincho"/>
          <w:lang w:eastAsia="ja-JP"/>
        </w:rPr>
      </w:pPr>
      <w:r w:rsidRPr="008A0486">
        <w:t>Paediatric population</w:t>
      </w:r>
    </w:p>
    <w:p w:rsidR="00250354" w:rsidRPr="008A0486" w:rsidRDefault="00250354" w:rsidP="00652A0C">
      <w:r w:rsidRPr="008A0486">
        <w:t>No studies have been undertaken in the paediatric population in t</w:t>
      </w:r>
      <w:r w:rsidR="00652A0C">
        <w:t>he indication of breast cancer.</w:t>
      </w:r>
    </w:p>
    <w:p w:rsidR="00250354" w:rsidRPr="008A0486" w:rsidRDefault="00250354" w:rsidP="00652A0C">
      <w:pPr>
        <w:pStyle w:val="Heading2"/>
      </w:pPr>
      <w:r w:rsidRPr="008A0486">
        <w:t>INDICATIONS</w:t>
      </w:r>
    </w:p>
    <w:p w:rsidR="00250354" w:rsidRPr="008A0486" w:rsidRDefault="00250354" w:rsidP="00652A0C">
      <w:r w:rsidRPr="008A0486">
        <w:t xml:space="preserve">HALAVEN </w:t>
      </w:r>
      <w:proofErr w:type="spellStart"/>
      <w:r w:rsidRPr="008A0486">
        <w:t>monotherapy</w:t>
      </w:r>
      <w:proofErr w:type="spellEnd"/>
      <w:r w:rsidRPr="008A0486">
        <w:t xml:space="preserve"> is indicated for the treatment of patients with locally advanced or metastatic breast cancer who have progressed after at least two chemotherapeutic regimens for advanced disease</w:t>
      </w:r>
      <w:r w:rsidR="008A0486">
        <w:t>.</w:t>
      </w:r>
      <w:r w:rsidRPr="008A0486">
        <w:t xml:space="preserve"> Prior therapy should have included an </w:t>
      </w:r>
      <w:proofErr w:type="spellStart"/>
      <w:r w:rsidRPr="008A0486">
        <w:t>anthracycline</w:t>
      </w:r>
      <w:proofErr w:type="spellEnd"/>
      <w:r w:rsidRPr="008A0486">
        <w:t xml:space="preserve"> and a </w:t>
      </w:r>
      <w:proofErr w:type="spellStart"/>
      <w:r w:rsidRPr="008A0486">
        <w:t>taxane</w:t>
      </w:r>
      <w:proofErr w:type="spellEnd"/>
      <w:r w:rsidRPr="008A0486">
        <w:t xml:space="preserve"> unless patients were not suitable </w:t>
      </w:r>
      <w:r w:rsidR="00652A0C">
        <w:t>for these treatments.</w:t>
      </w:r>
    </w:p>
    <w:p w:rsidR="00250354" w:rsidRPr="008A0486" w:rsidRDefault="00250354" w:rsidP="00652A0C">
      <w:pPr>
        <w:pStyle w:val="Heading2"/>
      </w:pPr>
      <w:r w:rsidRPr="008A0486">
        <w:t>CONTRAINDICATIONS</w:t>
      </w:r>
    </w:p>
    <w:p w:rsidR="00250354" w:rsidRPr="008A0486" w:rsidRDefault="00250354" w:rsidP="00652A0C">
      <w:proofErr w:type="gramStart"/>
      <w:r w:rsidRPr="008A0486">
        <w:t xml:space="preserve">Hypersensitivity to </w:t>
      </w:r>
      <w:proofErr w:type="spellStart"/>
      <w:r w:rsidRPr="008A0486">
        <w:t>eribulin</w:t>
      </w:r>
      <w:proofErr w:type="spellEnd"/>
      <w:r w:rsidRPr="008A0486">
        <w:t xml:space="preserve"> </w:t>
      </w:r>
      <w:proofErr w:type="spellStart"/>
      <w:r w:rsidR="00405C52">
        <w:t>mesilate</w:t>
      </w:r>
      <w:proofErr w:type="spellEnd"/>
      <w:r w:rsidRPr="008A0486">
        <w:t xml:space="preserve"> or to any of the other ingredients.</w:t>
      </w:r>
      <w:proofErr w:type="gramEnd"/>
    </w:p>
    <w:p w:rsidR="00250354" w:rsidRPr="008A0486" w:rsidRDefault="00250354" w:rsidP="00652A0C">
      <w:r w:rsidRPr="008A0486">
        <w:t>Breast feeding</w:t>
      </w:r>
    </w:p>
    <w:p w:rsidR="00250354" w:rsidRPr="008A0486" w:rsidRDefault="00250354" w:rsidP="00652A0C">
      <w:pPr>
        <w:pStyle w:val="Heading2"/>
      </w:pPr>
      <w:r w:rsidRPr="008A0486">
        <w:t>PRECAUTIONS</w:t>
      </w:r>
    </w:p>
    <w:p w:rsidR="00250354" w:rsidRPr="00652A0C" w:rsidRDefault="00250354" w:rsidP="00652A0C">
      <w:pPr>
        <w:pStyle w:val="Heading3"/>
      </w:pPr>
      <w:r w:rsidRPr="00652A0C">
        <w:t>Haematology</w:t>
      </w:r>
    </w:p>
    <w:p w:rsidR="00250354" w:rsidRPr="008A0486" w:rsidRDefault="00250354" w:rsidP="00652A0C">
      <w:proofErr w:type="spellStart"/>
      <w:r w:rsidRPr="008A0486">
        <w:t>Myelosuppression</w:t>
      </w:r>
      <w:proofErr w:type="spellEnd"/>
      <w:r w:rsidRPr="008A0486">
        <w:t xml:space="preserve"> is dose dependent and primarily manifested as </w:t>
      </w:r>
      <w:proofErr w:type="spellStart"/>
      <w:r w:rsidRPr="008A0486">
        <w:t>neutropenia</w:t>
      </w:r>
      <w:proofErr w:type="spellEnd"/>
      <w:r w:rsidR="00F40AB7">
        <w:t xml:space="preserve">. </w:t>
      </w:r>
      <w:r w:rsidR="005473FD">
        <w:t xml:space="preserve">In the EMBRACE study, </w:t>
      </w:r>
      <w:proofErr w:type="spellStart"/>
      <w:r w:rsidR="005473FD">
        <w:t>n</w:t>
      </w:r>
      <w:r w:rsidR="00F40AB7">
        <w:t>eutropenia</w:t>
      </w:r>
      <w:proofErr w:type="spellEnd"/>
      <w:r w:rsidR="00F40AB7">
        <w:t xml:space="preserve"> occur</w:t>
      </w:r>
      <w:r w:rsidR="00EC53C7">
        <w:t>r</w:t>
      </w:r>
      <w:r w:rsidR="00F40AB7">
        <w:t>ed in</w:t>
      </w:r>
      <w:r w:rsidRPr="008A0486">
        <w:t xml:space="preserve"> </w:t>
      </w:r>
      <w:r w:rsidR="00F40AB7">
        <w:t xml:space="preserve">82% of breast cancer patients treated with </w:t>
      </w:r>
      <w:proofErr w:type="spellStart"/>
      <w:r w:rsidR="00F40AB7">
        <w:t>eribulin</w:t>
      </w:r>
      <w:proofErr w:type="spellEnd"/>
      <w:r w:rsidR="00A330B9">
        <w:t>,</w:t>
      </w:r>
      <w:r w:rsidR="00F40AB7">
        <w:t xml:space="preserve"> </w:t>
      </w:r>
      <w:r w:rsidR="005473FD">
        <w:t>with</w:t>
      </w:r>
      <w:r w:rsidR="00F40AB7">
        <w:t xml:space="preserve"> severe </w:t>
      </w:r>
      <w:proofErr w:type="spellStart"/>
      <w:r w:rsidR="00F40AB7">
        <w:t>neutropenia</w:t>
      </w:r>
      <w:proofErr w:type="spellEnd"/>
      <w:r w:rsidR="00F40AB7">
        <w:t xml:space="preserve"> (&gt; Grade 3) in 57% of patients </w:t>
      </w:r>
      <w:r w:rsidR="005473FD">
        <w:t xml:space="preserve">leading </w:t>
      </w:r>
      <w:r w:rsidR="0004218F" w:rsidRPr="0004218F">
        <w:t xml:space="preserve">to discontinuation in &lt;1% of </w:t>
      </w:r>
      <w:proofErr w:type="gramStart"/>
      <w:r w:rsidR="0004218F" w:rsidRPr="0004218F">
        <w:t>patients</w:t>
      </w:r>
      <w:r w:rsidR="005473FD">
        <w:rPr>
          <w:sz w:val="20"/>
        </w:rPr>
        <w:t xml:space="preserve"> </w:t>
      </w:r>
      <w:r w:rsidR="00F40AB7">
        <w:t xml:space="preserve"> </w:t>
      </w:r>
      <w:r w:rsidRPr="008A0486">
        <w:t>(</w:t>
      </w:r>
      <w:proofErr w:type="gramEnd"/>
      <w:r w:rsidR="006B7B1A" w:rsidRPr="00390DCA">
        <w:rPr>
          <w:rFonts w:eastAsia="MS Mincho" w:hint="eastAsia"/>
          <w:lang w:eastAsia="ja-JP"/>
        </w:rPr>
        <w:t>S</w:t>
      </w:r>
      <w:r w:rsidR="00592CFE">
        <w:rPr>
          <w:rFonts w:eastAsia="MS Mincho"/>
          <w:lang w:eastAsia="ja-JP"/>
        </w:rPr>
        <w:t>ee</w:t>
      </w:r>
      <w:r w:rsidR="006B7B1A" w:rsidRPr="00390DCA">
        <w:rPr>
          <w:rFonts w:eastAsia="MS Mincho" w:hint="eastAsia"/>
          <w:lang w:eastAsia="ja-JP"/>
        </w:rPr>
        <w:t xml:space="preserve"> Adverse Effect</w:t>
      </w:r>
      <w:r w:rsidR="002E69AB">
        <w:rPr>
          <w:rFonts w:eastAsia="MS Mincho"/>
          <w:lang w:eastAsia="ja-JP"/>
        </w:rPr>
        <w:t>s</w:t>
      </w:r>
      <w:r w:rsidRPr="008A0486">
        <w:t xml:space="preserve">). Monitoring of complete blood counts should be </w:t>
      </w:r>
      <w:r w:rsidRPr="008A0486">
        <w:lastRenderedPageBreak/>
        <w:t xml:space="preserve">performed on all patients prior to each dose of </w:t>
      </w:r>
      <w:proofErr w:type="spellStart"/>
      <w:r w:rsidRPr="008A0486">
        <w:t>eribulin</w:t>
      </w:r>
      <w:proofErr w:type="spellEnd"/>
      <w:r w:rsidRPr="008A0486">
        <w:t xml:space="preserve">. Treatment with </w:t>
      </w:r>
      <w:proofErr w:type="spellStart"/>
      <w:r w:rsidRPr="008A0486">
        <w:t>eribulin</w:t>
      </w:r>
      <w:proofErr w:type="spellEnd"/>
      <w:r w:rsidRPr="008A0486">
        <w:t xml:space="preserve"> should only be initiated in patients with ANC values ≥ 1.5 x 10</w:t>
      </w:r>
      <w:r w:rsidRPr="008A0486">
        <w:rPr>
          <w:position w:val="10"/>
          <w:vertAlign w:val="superscript"/>
        </w:rPr>
        <w:t>9</w:t>
      </w:r>
      <w:r w:rsidRPr="008A0486">
        <w:t>/</w:t>
      </w:r>
      <w:r w:rsidR="00405C52">
        <w:t>L</w:t>
      </w:r>
      <w:r w:rsidRPr="008A0486">
        <w:t xml:space="preserve"> and platelets &gt; 100 x 10</w:t>
      </w:r>
      <w:r w:rsidRPr="008A0486">
        <w:rPr>
          <w:position w:val="10"/>
          <w:vertAlign w:val="superscript"/>
        </w:rPr>
        <w:t>9</w:t>
      </w:r>
      <w:r w:rsidRPr="008A0486">
        <w:t>/</w:t>
      </w:r>
      <w:r w:rsidR="00405C52">
        <w:t>L</w:t>
      </w:r>
      <w:r w:rsidR="00652A0C">
        <w:t>.</w:t>
      </w:r>
    </w:p>
    <w:p w:rsidR="00250354" w:rsidRPr="008A0486" w:rsidRDefault="00250354" w:rsidP="00652A0C">
      <w:r w:rsidRPr="008A0486">
        <w:t xml:space="preserve">Febrile </w:t>
      </w:r>
      <w:proofErr w:type="spellStart"/>
      <w:r w:rsidRPr="008A0486">
        <w:t>neutropenia</w:t>
      </w:r>
      <w:proofErr w:type="spellEnd"/>
      <w:r w:rsidRPr="008A0486">
        <w:t xml:space="preserve"> occurred in &lt; 5% of breast cancer patients treated with </w:t>
      </w:r>
      <w:proofErr w:type="spellStart"/>
      <w:r w:rsidRPr="008A0486">
        <w:t>eribulin</w:t>
      </w:r>
      <w:proofErr w:type="spellEnd"/>
      <w:r w:rsidRPr="008A0486">
        <w:t xml:space="preserve">. Patients experiencing febrile </w:t>
      </w:r>
      <w:proofErr w:type="spellStart"/>
      <w:r w:rsidRPr="008A0486">
        <w:t>neutropenia</w:t>
      </w:r>
      <w:proofErr w:type="spellEnd"/>
      <w:r w:rsidRPr="008A0486">
        <w:t xml:space="preserve">, severe </w:t>
      </w:r>
      <w:proofErr w:type="spellStart"/>
      <w:r w:rsidRPr="008A0486">
        <w:t>neutropenia</w:t>
      </w:r>
      <w:proofErr w:type="spellEnd"/>
      <w:r w:rsidRPr="008A0486">
        <w:t xml:space="preserve"> or thrombocytopenia, should be treated according to the recommended doses (S</w:t>
      </w:r>
      <w:r w:rsidR="00DC7641">
        <w:rPr>
          <w:rFonts w:eastAsiaTheme="minorEastAsia" w:hint="eastAsia"/>
          <w:lang w:eastAsia="ja-JP"/>
        </w:rPr>
        <w:t>ee</w:t>
      </w:r>
      <w:r w:rsidR="00652A0C">
        <w:t xml:space="preserve"> Dosage and Administration).</w:t>
      </w:r>
    </w:p>
    <w:p w:rsidR="00250354" w:rsidRPr="008A0486" w:rsidRDefault="00250354" w:rsidP="00652A0C">
      <w:r w:rsidRPr="008A0486">
        <w:t xml:space="preserve">Patients with ALT or AST &gt;3 x ULN experienced a higher incidence of Grade 4 </w:t>
      </w:r>
      <w:proofErr w:type="spellStart"/>
      <w:r w:rsidRPr="008A0486">
        <w:t>neutropenia</w:t>
      </w:r>
      <w:proofErr w:type="spellEnd"/>
      <w:r w:rsidRPr="008A0486">
        <w:t xml:space="preserve"> and febrile </w:t>
      </w:r>
      <w:proofErr w:type="spellStart"/>
      <w:r w:rsidRPr="008A0486">
        <w:t>neutropenia</w:t>
      </w:r>
      <w:proofErr w:type="spellEnd"/>
      <w:r w:rsidRPr="008A0486">
        <w:t xml:space="preserve">. Although data are limited, patients with </w:t>
      </w:r>
      <w:proofErr w:type="spellStart"/>
      <w:r w:rsidRPr="008A0486">
        <w:t>bilirubin</w:t>
      </w:r>
      <w:proofErr w:type="spellEnd"/>
      <w:r w:rsidRPr="008A0486">
        <w:t xml:space="preserve"> &gt;1.5 x ULN also have a higher incidence of Grade 4 </w:t>
      </w:r>
      <w:proofErr w:type="spellStart"/>
      <w:r w:rsidRPr="008A0486">
        <w:t>neutro</w:t>
      </w:r>
      <w:r w:rsidR="00652A0C">
        <w:t>penia</w:t>
      </w:r>
      <w:proofErr w:type="spellEnd"/>
      <w:r w:rsidR="00652A0C">
        <w:t xml:space="preserve"> and febrile </w:t>
      </w:r>
      <w:proofErr w:type="spellStart"/>
      <w:r w:rsidR="00652A0C">
        <w:t>neutropenia</w:t>
      </w:r>
      <w:proofErr w:type="spellEnd"/>
      <w:r w:rsidR="00652A0C">
        <w:t>.</w:t>
      </w:r>
    </w:p>
    <w:p w:rsidR="00250354" w:rsidRPr="008A0486" w:rsidRDefault="00250354" w:rsidP="00652A0C">
      <w:r w:rsidRPr="008A0486">
        <w:t xml:space="preserve">Severe </w:t>
      </w:r>
      <w:proofErr w:type="spellStart"/>
      <w:r w:rsidRPr="008A0486">
        <w:t>neutropenia</w:t>
      </w:r>
      <w:proofErr w:type="spellEnd"/>
      <w:r w:rsidRPr="008A0486">
        <w:t xml:space="preserve"> may be managed by the use of G-CSF or equivalent at the physician’s discretion in acco</w:t>
      </w:r>
      <w:r w:rsidR="00381B8E" w:rsidRPr="008A0486">
        <w:t>rdance with relevant guidelines</w:t>
      </w:r>
      <w:r w:rsidR="00652A0C">
        <w:t>.</w:t>
      </w:r>
    </w:p>
    <w:p w:rsidR="00250354" w:rsidRPr="008A0486" w:rsidRDefault="00250354" w:rsidP="00726DE2">
      <w:pPr>
        <w:pStyle w:val="Heading3"/>
      </w:pPr>
      <w:r w:rsidRPr="008A0486">
        <w:t>Peripheral neuropathy</w:t>
      </w:r>
    </w:p>
    <w:p w:rsidR="005473FD" w:rsidRDefault="005473FD" w:rsidP="00726DE2">
      <w:r>
        <w:t>In the EMBRACE study, peripheral neuropathy occur</w:t>
      </w:r>
      <w:r w:rsidR="00A330B9">
        <w:t>r</w:t>
      </w:r>
      <w:r>
        <w:t>ed in</w:t>
      </w:r>
      <w:r w:rsidRPr="008A0486">
        <w:t xml:space="preserve"> </w:t>
      </w:r>
      <w:r>
        <w:t xml:space="preserve">35% of breast cancer patients treated with </w:t>
      </w:r>
      <w:proofErr w:type="spellStart"/>
      <w:r>
        <w:t>eribulin</w:t>
      </w:r>
      <w:proofErr w:type="spellEnd"/>
      <w:r w:rsidR="004914A4">
        <w:t>.</w:t>
      </w:r>
      <w:r w:rsidR="00491E64">
        <w:t xml:space="preserve"> </w:t>
      </w:r>
      <w:r w:rsidR="004914A4">
        <w:t>S</w:t>
      </w:r>
      <w:r>
        <w:t>evere peripheral neur</w:t>
      </w:r>
      <w:r w:rsidR="00A330B9">
        <w:t>o</w:t>
      </w:r>
      <w:r>
        <w:t xml:space="preserve">pathy (&gt; Grade 3) </w:t>
      </w:r>
      <w:r w:rsidR="000F7676">
        <w:t>occurr</w:t>
      </w:r>
      <w:r w:rsidR="004914A4">
        <w:t>ed</w:t>
      </w:r>
      <w:r w:rsidR="000F7676">
        <w:t xml:space="preserve"> </w:t>
      </w:r>
      <w:r>
        <w:t>in 8% of patients</w:t>
      </w:r>
      <w:r w:rsidR="000F7676">
        <w:t>,</w:t>
      </w:r>
      <w:r>
        <w:t xml:space="preserve"> leading </w:t>
      </w:r>
      <w:r w:rsidRPr="005473FD">
        <w:t xml:space="preserve">to discontinuation in </w:t>
      </w:r>
      <w:r>
        <w:t>5</w:t>
      </w:r>
      <w:r w:rsidRPr="005473FD">
        <w:t>% of patients</w:t>
      </w:r>
      <w:r>
        <w:t xml:space="preserve"> </w:t>
      </w:r>
      <w:r w:rsidRPr="008A0486">
        <w:t>(</w:t>
      </w:r>
      <w:r w:rsidRPr="00390DCA">
        <w:rPr>
          <w:rFonts w:eastAsia="MS Mincho" w:hint="eastAsia"/>
          <w:lang w:eastAsia="ja-JP"/>
        </w:rPr>
        <w:t>S</w:t>
      </w:r>
      <w:r>
        <w:rPr>
          <w:rFonts w:eastAsia="MS Mincho"/>
          <w:lang w:eastAsia="ja-JP"/>
        </w:rPr>
        <w:t>ee</w:t>
      </w:r>
      <w:r w:rsidRPr="00390DCA">
        <w:rPr>
          <w:rFonts w:eastAsia="MS Mincho" w:hint="eastAsia"/>
          <w:lang w:eastAsia="ja-JP"/>
        </w:rPr>
        <w:t xml:space="preserve"> Adverse Effect</w:t>
      </w:r>
      <w:r w:rsidR="00A5747F">
        <w:rPr>
          <w:rFonts w:eastAsia="MS Mincho"/>
          <w:lang w:eastAsia="ja-JP"/>
        </w:rPr>
        <w:t>s</w:t>
      </w:r>
      <w:r w:rsidR="00726DE2">
        <w:t>).</w:t>
      </w:r>
    </w:p>
    <w:p w:rsidR="00250354" w:rsidRPr="008A0486" w:rsidRDefault="00250354" w:rsidP="00726DE2">
      <w:r w:rsidRPr="008A0486">
        <w:t xml:space="preserve">Patients should be closely monitored </w:t>
      </w:r>
      <w:r w:rsidR="00592CFE">
        <w:t xml:space="preserve">prior to each dose </w:t>
      </w:r>
      <w:r w:rsidRPr="008A0486">
        <w:t>for signs of peripheral motor and sensory neuropathy. The development of severe peripheral neurotoxicity requires a delay or reduction of dose (see Dosage and Administration)</w:t>
      </w:r>
      <w:r w:rsidR="00381B8E" w:rsidRPr="008A0486">
        <w:t>.</w:t>
      </w:r>
    </w:p>
    <w:p w:rsidR="00381B8E" w:rsidRPr="008A0486" w:rsidRDefault="00381B8E" w:rsidP="00726DE2">
      <w:r w:rsidRPr="008A0486">
        <w:t>In clinical trials, patients with pre-existing neuropathy great</w:t>
      </w:r>
      <w:r w:rsidR="00726DE2">
        <w:t>er than Grade 2 were excluded.</w:t>
      </w:r>
    </w:p>
    <w:p w:rsidR="00381B8E" w:rsidRPr="008A0486" w:rsidRDefault="00381B8E" w:rsidP="00726DE2">
      <w:pPr>
        <w:pStyle w:val="Heading3"/>
      </w:pPr>
      <w:r w:rsidRPr="008A0486">
        <w:t>QT prolongation</w:t>
      </w:r>
    </w:p>
    <w:p w:rsidR="00381B8E" w:rsidRPr="008A0486" w:rsidRDefault="00381B8E" w:rsidP="00726DE2">
      <w:r w:rsidRPr="008A0486">
        <w:t xml:space="preserve">In an uncontrolled open-label ECG study in 26 patients, QT prolongation was observed on Day 8, independent of </w:t>
      </w:r>
      <w:proofErr w:type="spellStart"/>
      <w:r w:rsidRPr="008A0486">
        <w:t>eribulin</w:t>
      </w:r>
      <w:proofErr w:type="spellEnd"/>
      <w:r w:rsidRPr="008A0486">
        <w:t xml:space="preserve"> concentration, with no QT prolongation observed on Day 1. ECG monitoring is recommended if therapy is initiated in patients with congestive heart failure, </w:t>
      </w:r>
      <w:proofErr w:type="spellStart"/>
      <w:r w:rsidRPr="008A0486">
        <w:t>bradyarrhythmias</w:t>
      </w:r>
      <w:proofErr w:type="spellEnd"/>
      <w:r w:rsidRPr="008A0486">
        <w:t xml:space="preserve">, medicinal products known to prolong the QT interval, including Class </w:t>
      </w:r>
      <w:proofErr w:type="spellStart"/>
      <w:proofErr w:type="gramStart"/>
      <w:r w:rsidRPr="008A0486">
        <w:t>Ia</w:t>
      </w:r>
      <w:proofErr w:type="spellEnd"/>
      <w:proofErr w:type="gramEnd"/>
      <w:r w:rsidRPr="008A0486">
        <w:t xml:space="preserve"> and III </w:t>
      </w:r>
      <w:proofErr w:type="spellStart"/>
      <w:r w:rsidRPr="008A0486">
        <w:t>antiarrhythmics</w:t>
      </w:r>
      <w:proofErr w:type="spellEnd"/>
      <w:r w:rsidRPr="008A0486">
        <w:t xml:space="preserve">, and electrolyte abnormalities.  </w:t>
      </w:r>
      <w:proofErr w:type="spellStart"/>
      <w:r w:rsidRPr="008A0486">
        <w:t>Hypokalemia</w:t>
      </w:r>
      <w:proofErr w:type="spellEnd"/>
      <w:r w:rsidRPr="008A0486">
        <w:t xml:space="preserve"> or </w:t>
      </w:r>
      <w:proofErr w:type="spellStart"/>
      <w:r w:rsidRPr="008A0486">
        <w:t>hypomagnesemia</w:t>
      </w:r>
      <w:proofErr w:type="spellEnd"/>
      <w:r w:rsidRPr="008A0486">
        <w:t xml:space="preserve"> should be corrected prior to initiating HALAVEN and these electrolytes should be monitored periodically during therapy. </w:t>
      </w:r>
      <w:proofErr w:type="spellStart"/>
      <w:r w:rsidRPr="008A0486">
        <w:t>Eribulin</w:t>
      </w:r>
      <w:proofErr w:type="spellEnd"/>
      <w:r w:rsidRPr="008A0486">
        <w:t xml:space="preserve"> should be avoided in patients wi</w:t>
      </w:r>
      <w:r w:rsidR="00726DE2">
        <w:t>th congenital long QT syndrome.</w:t>
      </w:r>
    </w:p>
    <w:p w:rsidR="00381B8E" w:rsidRPr="008A0486" w:rsidRDefault="00381B8E" w:rsidP="00726DE2">
      <w:pPr>
        <w:pStyle w:val="Heading3"/>
      </w:pPr>
      <w:r w:rsidRPr="008A0486">
        <w:t>Use in combination with anti-HER2 therapy</w:t>
      </w:r>
    </w:p>
    <w:p w:rsidR="00381B8E" w:rsidRPr="008A0486" w:rsidRDefault="00381B8E" w:rsidP="00726DE2">
      <w:r w:rsidRPr="008A0486">
        <w:t xml:space="preserve">There is no experience of using </w:t>
      </w:r>
      <w:proofErr w:type="spellStart"/>
      <w:r w:rsidRPr="008A0486">
        <w:t>eribulin</w:t>
      </w:r>
      <w:proofErr w:type="spellEnd"/>
      <w:r w:rsidRPr="008A0486">
        <w:t xml:space="preserve"> in combination with anti-H</w:t>
      </w:r>
      <w:r w:rsidR="00726DE2">
        <w:t>ER2 therapy in clinical trials.</w:t>
      </w:r>
    </w:p>
    <w:p w:rsidR="00381B8E" w:rsidRPr="008A0486" w:rsidRDefault="00381B8E" w:rsidP="00726DE2">
      <w:pPr>
        <w:pStyle w:val="Heading3"/>
      </w:pPr>
      <w:proofErr w:type="spellStart"/>
      <w:r w:rsidRPr="008A0486">
        <w:t>Excipients</w:t>
      </w:r>
      <w:proofErr w:type="spellEnd"/>
    </w:p>
    <w:p w:rsidR="00381B8E" w:rsidRPr="008A0486" w:rsidRDefault="00381B8E" w:rsidP="00726DE2">
      <w:r w:rsidRPr="008A0486">
        <w:t>This medicinal product contains small amounts of ethanol (alcohol)</w:t>
      </w:r>
      <w:r w:rsidR="00726DE2">
        <w:t>, less than 100 mg per dose.</w:t>
      </w:r>
    </w:p>
    <w:p w:rsidR="00381B8E" w:rsidRPr="008A0486" w:rsidRDefault="00726DE2" w:rsidP="00726DE2">
      <w:pPr>
        <w:pStyle w:val="Heading3"/>
      </w:pPr>
      <w:r>
        <w:lastRenderedPageBreak/>
        <w:t>Effects on Fertility</w:t>
      </w:r>
    </w:p>
    <w:p w:rsidR="00381B8E" w:rsidRPr="008A0486" w:rsidRDefault="00381B8E" w:rsidP="00726DE2">
      <w:r w:rsidRPr="008A0486">
        <w:t xml:space="preserve">A fertility study was not conducted with </w:t>
      </w:r>
      <w:proofErr w:type="spellStart"/>
      <w:r w:rsidRPr="008A0486">
        <w:t>eribulin</w:t>
      </w:r>
      <w:proofErr w:type="spellEnd"/>
      <w:r w:rsidRPr="008A0486">
        <w:t>, but based on non-clinical findings in repeated-dose studies where testicular toxicity was observed in both rats (</w:t>
      </w:r>
      <w:proofErr w:type="spellStart"/>
      <w:r w:rsidRPr="008A0486">
        <w:t>hypocellularity</w:t>
      </w:r>
      <w:proofErr w:type="spellEnd"/>
      <w:r w:rsidRPr="008A0486">
        <w:t xml:space="preserve"> of </w:t>
      </w:r>
      <w:proofErr w:type="spellStart"/>
      <w:r w:rsidRPr="008A0486">
        <w:t>seminiferous</w:t>
      </w:r>
      <w:proofErr w:type="spellEnd"/>
      <w:r w:rsidRPr="008A0486">
        <w:t xml:space="preserve"> epithelium with </w:t>
      </w:r>
      <w:proofErr w:type="spellStart"/>
      <w:r w:rsidRPr="008A0486">
        <w:t>hypospermia</w:t>
      </w:r>
      <w:proofErr w:type="spellEnd"/>
      <w:r w:rsidRPr="008A0486">
        <w:t>/</w:t>
      </w:r>
      <w:proofErr w:type="spellStart"/>
      <w:r w:rsidRPr="008A0486">
        <w:t>aspermia</w:t>
      </w:r>
      <w:proofErr w:type="spellEnd"/>
      <w:r w:rsidRPr="008A0486">
        <w:t>) and dogs</w:t>
      </w:r>
      <w:r w:rsidR="00DF732A">
        <w:t xml:space="preserve"> </w:t>
      </w:r>
      <w:r w:rsidR="0004218F" w:rsidRPr="0004218F">
        <w:t xml:space="preserve">(testicular </w:t>
      </w:r>
      <w:proofErr w:type="spellStart"/>
      <w:r w:rsidR="0004218F" w:rsidRPr="0004218F">
        <w:t>hypocellularity</w:t>
      </w:r>
      <w:proofErr w:type="spellEnd"/>
      <w:r w:rsidR="0004218F" w:rsidRPr="0004218F">
        <w:t xml:space="preserve"> and </w:t>
      </w:r>
      <w:proofErr w:type="spellStart"/>
      <w:r w:rsidR="0004218F" w:rsidRPr="0004218F">
        <w:t>epididymal</w:t>
      </w:r>
      <w:proofErr w:type="spellEnd"/>
      <w:r w:rsidR="0004218F" w:rsidRPr="0004218F">
        <w:t xml:space="preserve"> </w:t>
      </w:r>
      <w:proofErr w:type="spellStart"/>
      <w:r w:rsidR="0004218F" w:rsidRPr="0004218F">
        <w:t>hypospermia</w:t>
      </w:r>
      <w:proofErr w:type="spellEnd"/>
      <w:r w:rsidR="0004218F" w:rsidRPr="0004218F">
        <w:t>/</w:t>
      </w:r>
      <w:proofErr w:type="spellStart"/>
      <w:r w:rsidR="0004218F" w:rsidRPr="0004218F">
        <w:t>aspermia</w:t>
      </w:r>
      <w:proofErr w:type="spellEnd"/>
      <w:r w:rsidR="0004218F" w:rsidRPr="0004218F">
        <w:t>) at less than one third of the expected clinical exposure (based on AUC data), male fertility may be compromi</w:t>
      </w:r>
      <w:r w:rsidR="00726DE2">
        <w:t xml:space="preserve">sed by treatment with </w:t>
      </w:r>
      <w:proofErr w:type="spellStart"/>
      <w:r w:rsidR="00726DE2">
        <w:t>eribulin</w:t>
      </w:r>
      <w:proofErr w:type="spellEnd"/>
      <w:r w:rsidR="00726DE2">
        <w:t>.</w:t>
      </w:r>
    </w:p>
    <w:p w:rsidR="00381B8E" w:rsidRPr="008A0486" w:rsidRDefault="00381B8E" w:rsidP="00726DE2">
      <w:r w:rsidRPr="008A0486">
        <w:t>Male patients should seek advice on conservation of sperm prior to treatment because of the possibility of irreversible infertili</w:t>
      </w:r>
      <w:r w:rsidR="00726DE2">
        <w:t>ty due to therapy with HALAVEN.</w:t>
      </w:r>
    </w:p>
    <w:p w:rsidR="00381B8E" w:rsidRPr="008A0486" w:rsidRDefault="00381B8E" w:rsidP="00726DE2">
      <w:pPr>
        <w:pStyle w:val="Heading3"/>
      </w:pPr>
      <w:r w:rsidRPr="008A0486">
        <w:t xml:space="preserve">Use in Pregnancy </w:t>
      </w:r>
      <w:r w:rsidRPr="00924FB6">
        <w:t>(Category</w:t>
      </w:r>
      <w:r w:rsidR="00924FB6">
        <w:t xml:space="preserve"> D</w:t>
      </w:r>
      <w:r w:rsidRPr="008A0486">
        <w:t xml:space="preserve"> )</w:t>
      </w:r>
    </w:p>
    <w:p w:rsidR="00DF732A" w:rsidRDefault="00381B8E" w:rsidP="00726DE2">
      <w:r w:rsidRPr="008A0486">
        <w:t xml:space="preserve">There is no information on the use of </w:t>
      </w:r>
      <w:proofErr w:type="spellStart"/>
      <w:r w:rsidRPr="008A0486">
        <w:t>eribulin</w:t>
      </w:r>
      <w:proofErr w:type="spellEnd"/>
      <w:r w:rsidRPr="008A0486">
        <w:t xml:space="preserve"> in pregnant women. </w:t>
      </w:r>
      <w:proofErr w:type="spellStart"/>
      <w:r w:rsidRPr="008A0486">
        <w:t>Eribulin</w:t>
      </w:r>
      <w:proofErr w:type="spellEnd"/>
      <w:r w:rsidRPr="008A0486">
        <w:t xml:space="preserve"> is </w:t>
      </w:r>
      <w:proofErr w:type="spellStart"/>
      <w:r w:rsidRPr="008A0486">
        <w:t>embryotoxic</w:t>
      </w:r>
      <w:proofErr w:type="spellEnd"/>
      <w:r w:rsidRPr="008A0486">
        <w:t xml:space="preserve">, </w:t>
      </w:r>
      <w:proofErr w:type="spellStart"/>
      <w:r w:rsidRPr="008A0486">
        <w:t>foetotoxic</w:t>
      </w:r>
      <w:proofErr w:type="spellEnd"/>
      <w:r w:rsidRPr="008A0486">
        <w:t xml:space="preserve">, and </w:t>
      </w:r>
      <w:proofErr w:type="spellStart"/>
      <w:r w:rsidRPr="008A0486">
        <w:t>teratogenic</w:t>
      </w:r>
      <w:proofErr w:type="spellEnd"/>
      <w:r w:rsidRPr="008A0486">
        <w:t xml:space="preserve"> in </w:t>
      </w:r>
      <w:r w:rsidRPr="00EC038D">
        <w:t>rats</w:t>
      </w:r>
      <w:r w:rsidR="00DF732A" w:rsidRPr="00EC038D">
        <w:t xml:space="preserve"> </w:t>
      </w:r>
      <w:r w:rsidR="0004218F" w:rsidRPr="0004218F">
        <w:t xml:space="preserve">at less than the </w:t>
      </w:r>
      <w:r w:rsidR="00E70798">
        <w:t xml:space="preserve">recommended human dose </w:t>
      </w:r>
      <w:r w:rsidR="0004218F" w:rsidRPr="0004218F">
        <w:t xml:space="preserve">(based on </w:t>
      </w:r>
      <w:r w:rsidR="00E70798">
        <w:t>body surface area</w:t>
      </w:r>
      <w:r w:rsidR="0004218F" w:rsidRPr="0004218F">
        <w:rPr>
          <w:rFonts w:eastAsiaTheme="minorEastAsia"/>
          <w:lang w:eastAsia="ja-JP"/>
        </w:rPr>
        <w:t>,</w:t>
      </w:r>
      <w:r w:rsidR="0004218F" w:rsidRPr="0004218F">
        <w:t xml:space="preserve"> mg/m</w:t>
      </w:r>
      <w:r w:rsidR="0004218F" w:rsidRPr="0004218F">
        <w:rPr>
          <w:vertAlign w:val="superscript"/>
        </w:rPr>
        <w:t>2</w:t>
      </w:r>
      <w:r w:rsidR="0004218F" w:rsidRPr="0004218F">
        <w:t>).</w:t>
      </w:r>
      <w:r w:rsidR="00EA551E" w:rsidRPr="00EA551E">
        <w:t xml:space="preserve"> HALAVEN should not be used during pregnancy</w:t>
      </w:r>
      <w:r w:rsidR="00726DE2">
        <w:t>.</w:t>
      </w:r>
    </w:p>
    <w:p w:rsidR="00381B8E" w:rsidRDefault="00381B8E" w:rsidP="00726DE2">
      <w:r w:rsidRPr="008A0486">
        <w:t xml:space="preserve">Women of childbearing age must be advised to avoid becoming pregnant whilst they or their male partner are receiving HALAVEN and should use effective contraception during and </w:t>
      </w:r>
      <w:r w:rsidR="00726DE2">
        <w:t>up to 3 months after treatment.</w:t>
      </w:r>
    </w:p>
    <w:p w:rsidR="00F8182F" w:rsidRDefault="00F8182F" w:rsidP="00726DE2">
      <w:r w:rsidRPr="00E70798">
        <w:t xml:space="preserve">In a developmental </w:t>
      </w:r>
      <w:r w:rsidR="00E70798">
        <w:t xml:space="preserve">and reproductive </w:t>
      </w:r>
      <w:r w:rsidRPr="00E70798">
        <w:t>toxicity study, pregnant rats received IV</w:t>
      </w:r>
      <w:r w:rsidR="00E70798">
        <w:t xml:space="preserve"> bolus injection</w:t>
      </w:r>
      <w:r w:rsidRPr="00E70798">
        <w:t xml:space="preserve"> of </w:t>
      </w:r>
      <w:proofErr w:type="spellStart"/>
      <w:r w:rsidRPr="00E70798">
        <w:t>eribulin</w:t>
      </w:r>
      <w:proofErr w:type="spellEnd"/>
      <w:r w:rsidRPr="00E70798">
        <w:t xml:space="preserve"> </w:t>
      </w:r>
      <w:proofErr w:type="spellStart"/>
      <w:r w:rsidRPr="00E70798">
        <w:t>mesilate</w:t>
      </w:r>
      <w:proofErr w:type="spellEnd"/>
      <w:r w:rsidRPr="00E70798">
        <w:t xml:space="preserve"> during organogenesis on gestation days 8, 10 and 12. Severe external or soft tissue malformations in offspring (absence of lower jaw, tongue, stomach and spleen) were observed at 0.15 mg/kg (0.64 times the recommended human dose based on body surface area, mg/m</w:t>
      </w:r>
      <w:r w:rsidRPr="00E70798">
        <w:rPr>
          <w:vertAlign w:val="superscript"/>
        </w:rPr>
        <w:t>2</w:t>
      </w:r>
      <w:r w:rsidRPr="00E70798">
        <w:t xml:space="preserve">) and increased </w:t>
      </w:r>
      <w:proofErr w:type="spellStart"/>
      <w:r w:rsidRPr="00E70798">
        <w:t>embryof</w:t>
      </w:r>
      <w:r w:rsidR="00EC038D" w:rsidRPr="00E70798">
        <w:t>o</w:t>
      </w:r>
      <w:r w:rsidRPr="00E70798">
        <w:t>etal</w:t>
      </w:r>
      <w:proofErr w:type="spellEnd"/>
      <w:r w:rsidRPr="00E70798">
        <w:t xml:space="preserve"> death/early </w:t>
      </w:r>
      <w:proofErr w:type="spellStart"/>
      <w:r w:rsidRPr="00E70798">
        <w:t>resorptions</w:t>
      </w:r>
      <w:proofErr w:type="spellEnd"/>
      <w:r w:rsidRPr="00E70798">
        <w:t xml:space="preserve"> and decreased f</w:t>
      </w:r>
      <w:r w:rsidR="00EC038D" w:rsidRPr="00E70798">
        <w:t>o</w:t>
      </w:r>
      <w:r w:rsidRPr="00E70798">
        <w:t>etal weights were recorded at ≥</w:t>
      </w:r>
      <w:r w:rsidR="00760F0C">
        <w:t xml:space="preserve"> 0.1 mg/kg (≥ 0.43 times the recommended human dose based on body surface area). Matern</w:t>
      </w:r>
      <w:r w:rsidR="00E70798">
        <w:t xml:space="preserve">al toxicity </w:t>
      </w:r>
      <w:r w:rsidR="00E70798">
        <w:rPr>
          <w:rFonts w:eastAsiaTheme="minorEastAsia"/>
          <w:lang w:eastAsia="ja-JP"/>
        </w:rPr>
        <w:t>was</w:t>
      </w:r>
      <w:r w:rsidRPr="00E70798">
        <w:t xml:space="preserve"> observed at ≥ 0.43 times the recommended human dose based on body surface area, and included enlarged spleen, reduced</w:t>
      </w:r>
      <w:r w:rsidR="00E70798">
        <w:t xml:space="preserve"> body</w:t>
      </w:r>
      <w:r w:rsidRPr="00E70798">
        <w:t xml:space="preserve"> weight gain and decreased food consumption</w:t>
      </w:r>
      <w:r w:rsidR="004A0D83" w:rsidRPr="00E70798">
        <w:t>.</w:t>
      </w:r>
    </w:p>
    <w:p w:rsidR="00381B8E" w:rsidRPr="008A0486" w:rsidRDefault="00381B8E" w:rsidP="00726DE2">
      <w:pPr>
        <w:pStyle w:val="Heading3"/>
      </w:pPr>
      <w:r w:rsidRPr="008A0486">
        <w:t>Use in Lactation</w:t>
      </w:r>
    </w:p>
    <w:p w:rsidR="00381B8E" w:rsidRPr="008A0486" w:rsidRDefault="00381B8E" w:rsidP="00726DE2">
      <w:r w:rsidRPr="008A0486">
        <w:t xml:space="preserve">There is no information on the excretion of </w:t>
      </w:r>
      <w:proofErr w:type="spellStart"/>
      <w:r w:rsidRPr="008A0486">
        <w:t>eribulin</w:t>
      </w:r>
      <w:proofErr w:type="spellEnd"/>
      <w:r w:rsidRPr="008A0486">
        <w:t xml:space="preserve"> or its metabolites in human or animal breast milk. A risk to newborns or infants cannot be excluded and therefore HALAVEN must not be used during breastfe</w:t>
      </w:r>
      <w:r w:rsidR="00726DE2">
        <w:t>eding (see Contraindications).</w:t>
      </w:r>
    </w:p>
    <w:p w:rsidR="00373ABF" w:rsidRPr="008A0486" w:rsidRDefault="00373ABF" w:rsidP="00726DE2">
      <w:pPr>
        <w:pStyle w:val="Heading3"/>
      </w:pPr>
      <w:r w:rsidRPr="008A0486">
        <w:t>Carcinogenicity</w:t>
      </w:r>
    </w:p>
    <w:p w:rsidR="00373ABF" w:rsidRPr="008A0486" w:rsidRDefault="00373ABF" w:rsidP="00726DE2">
      <w:pPr>
        <w:rPr>
          <w:lang w:val="en-AU" w:eastAsia="en-AU"/>
        </w:rPr>
      </w:pPr>
      <w:r w:rsidRPr="008A0486">
        <w:t xml:space="preserve">No carcinogenicity studies have been conducted with </w:t>
      </w:r>
      <w:proofErr w:type="spellStart"/>
      <w:r w:rsidRPr="008A0486">
        <w:t>eribulin</w:t>
      </w:r>
      <w:proofErr w:type="spellEnd"/>
      <w:r w:rsidR="00726DE2">
        <w:t>.</w:t>
      </w:r>
    </w:p>
    <w:p w:rsidR="00373ABF" w:rsidRPr="008A0486" w:rsidRDefault="00373ABF" w:rsidP="00726DE2">
      <w:pPr>
        <w:pStyle w:val="Heading3"/>
      </w:pPr>
      <w:proofErr w:type="spellStart"/>
      <w:r w:rsidRPr="008A0486">
        <w:t>Genotoxicity</w:t>
      </w:r>
      <w:proofErr w:type="spellEnd"/>
    </w:p>
    <w:p w:rsidR="00373ABF" w:rsidRPr="008A0486" w:rsidRDefault="00373ABF" w:rsidP="00726DE2">
      <w:pPr>
        <w:rPr>
          <w:lang w:val="en-AU" w:eastAsia="en-AU"/>
        </w:rPr>
      </w:pPr>
      <w:proofErr w:type="spellStart"/>
      <w:r w:rsidRPr="008A0486">
        <w:t>Eribulin</w:t>
      </w:r>
      <w:proofErr w:type="spellEnd"/>
      <w:r w:rsidRPr="008A0486">
        <w:t xml:space="preserve"> was not mutagenic</w:t>
      </w:r>
      <w:r w:rsidRPr="008A0486">
        <w:rPr>
          <w:i/>
          <w:iCs/>
        </w:rPr>
        <w:t xml:space="preserve"> </w:t>
      </w:r>
      <w:r w:rsidRPr="008A0486">
        <w:t xml:space="preserve">in the </w:t>
      </w:r>
      <w:r w:rsidR="002B3BCB" w:rsidRPr="008A0486">
        <w:rPr>
          <w:i/>
          <w:iCs/>
        </w:rPr>
        <w:t>in vitro</w:t>
      </w:r>
      <w:r w:rsidR="002B3BCB" w:rsidRPr="008A0486">
        <w:t xml:space="preserve"> </w:t>
      </w:r>
      <w:r w:rsidRPr="008A0486">
        <w:t xml:space="preserve">bacterial reverse mutation assay (Ames test). </w:t>
      </w:r>
      <w:proofErr w:type="spellStart"/>
      <w:r w:rsidRPr="008A0486">
        <w:t>Eribulin</w:t>
      </w:r>
      <w:proofErr w:type="spellEnd"/>
      <w:r w:rsidRPr="008A0486">
        <w:t xml:space="preserve"> was positive in the </w:t>
      </w:r>
      <w:r w:rsidR="002B3BCB" w:rsidRPr="008A0486">
        <w:rPr>
          <w:i/>
          <w:iCs/>
        </w:rPr>
        <w:t>in vitro</w:t>
      </w:r>
      <w:r w:rsidR="002B3BCB" w:rsidRPr="008A0486">
        <w:t xml:space="preserve"> </w:t>
      </w:r>
      <w:r w:rsidRPr="008A0486">
        <w:t xml:space="preserve">mouse lymphoma mutagenesis assay and was </w:t>
      </w:r>
      <w:proofErr w:type="spellStart"/>
      <w:r w:rsidRPr="008A0486">
        <w:t>clastogenic</w:t>
      </w:r>
      <w:proofErr w:type="spellEnd"/>
      <w:r w:rsidRPr="008A0486">
        <w:t xml:space="preserve"> in the </w:t>
      </w:r>
      <w:r w:rsidRPr="008A0486">
        <w:rPr>
          <w:i/>
          <w:iCs/>
        </w:rPr>
        <w:t>in vivo</w:t>
      </w:r>
      <w:r w:rsidR="00726DE2">
        <w:t xml:space="preserve"> rat micronucleus assay.</w:t>
      </w:r>
    </w:p>
    <w:p w:rsidR="00111F4E" w:rsidRPr="00111F4E" w:rsidRDefault="00111F4E" w:rsidP="00726DE2">
      <w:pPr>
        <w:pStyle w:val="Heading2"/>
      </w:pPr>
      <w:r w:rsidRPr="00111F4E">
        <w:lastRenderedPageBreak/>
        <w:t>INTERACTIONS</w:t>
      </w:r>
      <w:r w:rsidR="0023191A">
        <w:t xml:space="preserve"> WITH OTHER MEDICINES</w:t>
      </w:r>
    </w:p>
    <w:p w:rsidR="00C654A9" w:rsidRPr="00EC038D" w:rsidRDefault="00EA551E" w:rsidP="00726DE2">
      <w:pPr>
        <w:pStyle w:val="Heading3"/>
      </w:pPr>
      <w:r w:rsidRPr="00EA551E">
        <w:t>Eff</w:t>
      </w:r>
      <w:r w:rsidR="00726DE2">
        <w:t xml:space="preserve">ects of other drugs on </w:t>
      </w:r>
      <w:proofErr w:type="spellStart"/>
      <w:r w:rsidR="00726DE2">
        <w:t>eribulin</w:t>
      </w:r>
      <w:proofErr w:type="spellEnd"/>
    </w:p>
    <w:p w:rsidR="00C654A9" w:rsidRDefault="00EA551E" w:rsidP="00726DE2">
      <w:r w:rsidRPr="00EA551E">
        <w:t>No drug-drug interactions are expected with CYP3A4 inhibitors, CYP3A4 inducers or P-glycoprotein (</w:t>
      </w:r>
      <w:proofErr w:type="spellStart"/>
      <w:r w:rsidRPr="00EA551E">
        <w:t>Pgp</w:t>
      </w:r>
      <w:proofErr w:type="spellEnd"/>
      <w:r w:rsidRPr="00EA551E">
        <w:t xml:space="preserve">) inhibitors. Clinically meaningful differences in exposure (AUC) were not observed in patients with advanced solid </w:t>
      </w:r>
      <w:proofErr w:type="spellStart"/>
      <w:r w:rsidRPr="00EA551E">
        <w:t>tumors</w:t>
      </w:r>
      <w:proofErr w:type="spellEnd"/>
      <w:r w:rsidRPr="00EA551E">
        <w:t xml:space="preserve"> when HALAVEN was administered with or without </w:t>
      </w:r>
      <w:proofErr w:type="spellStart"/>
      <w:r w:rsidRPr="00EA551E">
        <w:t>ketoconazole</w:t>
      </w:r>
      <w:proofErr w:type="spellEnd"/>
      <w:r w:rsidRPr="00EA551E">
        <w:t xml:space="preserve"> (a strong inhibitor of CYP3A4 and a </w:t>
      </w:r>
      <w:proofErr w:type="spellStart"/>
      <w:r w:rsidRPr="00EA551E">
        <w:t>Pgp</w:t>
      </w:r>
      <w:proofErr w:type="spellEnd"/>
      <w:r w:rsidRPr="00EA551E">
        <w:t xml:space="preserve"> inhibitor) and when HALAVEN was administered with or without </w:t>
      </w:r>
      <w:proofErr w:type="spellStart"/>
      <w:r w:rsidRPr="00EA551E">
        <w:t>rifamp</w:t>
      </w:r>
      <w:r w:rsidR="00E70798">
        <w:t>ic</w:t>
      </w:r>
      <w:r w:rsidRPr="00EA551E">
        <w:t>in</w:t>
      </w:r>
      <w:proofErr w:type="spellEnd"/>
      <w:r w:rsidRPr="00EA551E">
        <w:t xml:space="preserve"> (a CYP3A4 inducer)</w:t>
      </w:r>
      <w:r w:rsidR="00491E64" w:rsidRPr="00301BD5">
        <w:t>.</w:t>
      </w:r>
    </w:p>
    <w:p w:rsidR="002E69AB" w:rsidRPr="004636CB" w:rsidRDefault="002E69AB" w:rsidP="00726DE2">
      <w:proofErr w:type="spellStart"/>
      <w:r>
        <w:t>Eribulin</w:t>
      </w:r>
      <w:proofErr w:type="spellEnd"/>
      <w:r>
        <w:t xml:space="preserve"> is mainly (up to 70%) eliminated through </w:t>
      </w:r>
      <w:proofErr w:type="spellStart"/>
      <w:r>
        <w:t>biliary</w:t>
      </w:r>
      <w:proofErr w:type="spellEnd"/>
      <w:r>
        <w:t xml:space="preserve"> excretion. The transport protein involved in this process is unknown (see Pharmacology, Elimination). Based on a study of </w:t>
      </w:r>
      <w:proofErr w:type="spellStart"/>
      <w:r>
        <w:t>coadministration</w:t>
      </w:r>
      <w:proofErr w:type="spellEnd"/>
      <w:r>
        <w:t xml:space="preserve"> of </w:t>
      </w:r>
      <w:proofErr w:type="spellStart"/>
      <w:r>
        <w:t>eribulin</w:t>
      </w:r>
      <w:proofErr w:type="spellEnd"/>
      <w:r>
        <w:t xml:space="preserve"> and </w:t>
      </w:r>
      <w:proofErr w:type="spellStart"/>
      <w:r>
        <w:t>ketoconazole</w:t>
      </w:r>
      <w:proofErr w:type="spellEnd"/>
      <w:r>
        <w:t xml:space="preserve"> (a </w:t>
      </w:r>
      <w:proofErr w:type="spellStart"/>
      <w:r>
        <w:t>Pgp</w:t>
      </w:r>
      <w:proofErr w:type="spellEnd"/>
      <w:r>
        <w:t xml:space="preserve"> inhibitor), </w:t>
      </w:r>
      <w:proofErr w:type="spellStart"/>
      <w:r>
        <w:t>eribulin</w:t>
      </w:r>
      <w:proofErr w:type="spellEnd"/>
      <w:r>
        <w:t xml:space="preserve"> exposure is unlikely to be increased with substances inhibiting </w:t>
      </w:r>
      <w:proofErr w:type="spellStart"/>
      <w:r>
        <w:t>Pgp</w:t>
      </w:r>
      <w:proofErr w:type="spellEnd"/>
      <w:r>
        <w:t xml:space="preserve">. However, </w:t>
      </w:r>
      <w:proofErr w:type="spellStart"/>
      <w:r>
        <w:t>coadministration</w:t>
      </w:r>
      <w:proofErr w:type="spellEnd"/>
      <w:r>
        <w:t xml:space="preserve"> of </w:t>
      </w:r>
      <w:proofErr w:type="spellStart"/>
      <w:r>
        <w:t>eribulin</w:t>
      </w:r>
      <w:proofErr w:type="spellEnd"/>
      <w:r>
        <w:t xml:space="preserve"> with substances inhibiting other hepatic transport proteins (e.g. organic anion transporting proteins, multidrug resistance proteins</w:t>
      </w:r>
      <w:r w:rsidR="00C76AFD">
        <w:t xml:space="preserve">) may increase </w:t>
      </w:r>
      <w:proofErr w:type="spellStart"/>
      <w:r w:rsidR="00C76AFD">
        <w:t>eribulin</w:t>
      </w:r>
      <w:proofErr w:type="spellEnd"/>
      <w:r w:rsidR="00C76AFD">
        <w:t xml:space="preserve"> exposure. Such </w:t>
      </w:r>
      <w:proofErr w:type="spellStart"/>
      <w:r w:rsidR="00C76AFD">
        <w:t>coadministration</w:t>
      </w:r>
      <w:proofErr w:type="spellEnd"/>
      <w:r w:rsidR="00C76AFD">
        <w:t xml:space="preserve"> is not recommended</w:t>
      </w:r>
      <w:r w:rsidR="0095449B">
        <w:rPr>
          <w:rFonts w:eastAsiaTheme="minorEastAsia" w:hint="eastAsia"/>
          <w:lang w:eastAsia="ja-JP"/>
        </w:rPr>
        <w:t xml:space="preserve"> </w:t>
      </w:r>
      <w:r w:rsidR="006944BA" w:rsidRPr="006944BA">
        <w:rPr>
          <w:rFonts w:eastAsiaTheme="minorEastAsia"/>
          <w:color w:val="auto"/>
          <w:lang w:eastAsia="ja-JP"/>
        </w:rPr>
        <w:t>at the present time</w:t>
      </w:r>
      <w:r w:rsidR="00726DE2" w:rsidRPr="00726DE2">
        <w:rPr>
          <w:color w:val="auto"/>
        </w:rPr>
        <w:t>.</w:t>
      </w:r>
    </w:p>
    <w:p w:rsidR="00373ABF" w:rsidRPr="008A0486" w:rsidRDefault="00373ABF" w:rsidP="00726DE2">
      <w:pPr>
        <w:pStyle w:val="Heading3"/>
      </w:pPr>
      <w:r w:rsidRPr="008A0486">
        <w:t>Eff</w:t>
      </w:r>
      <w:r w:rsidR="00726DE2">
        <w:t xml:space="preserve">ects of </w:t>
      </w:r>
      <w:proofErr w:type="spellStart"/>
      <w:r w:rsidR="00726DE2">
        <w:t>eribulin</w:t>
      </w:r>
      <w:proofErr w:type="spellEnd"/>
      <w:r w:rsidR="00726DE2">
        <w:t xml:space="preserve"> on other drugs</w:t>
      </w:r>
    </w:p>
    <w:p w:rsidR="00C654A9" w:rsidRPr="00332904" w:rsidRDefault="00EA551E" w:rsidP="00726DE2">
      <w:proofErr w:type="spellStart"/>
      <w:r w:rsidRPr="00EA551E">
        <w:t>Eribulin</w:t>
      </w:r>
      <w:proofErr w:type="spellEnd"/>
      <w:r w:rsidRPr="00EA551E">
        <w:t xml:space="preserve"> does not inhibit CYP1A2, CYP2C9, CYP2C19, CYP2D6, CYP2E1 or CYP3A4 enzymes or induce CYP1A2, CYP2C9, CYP2C19 or CYP3A4 enzymes at relevant clinical concentrations. </w:t>
      </w:r>
      <w:proofErr w:type="spellStart"/>
      <w:r w:rsidRPr="00EA551E">
        <w:t>Eribulin</w:t>
      </w:r>
      <w:proofErr w:type="spellEnd"/>
      <w:r w:rsidRPr="00EA551E">
        <w:t xml:space="preserve"> is not expected to alter the plasma concentrations of drugs that are substrates of these enzymes</w:t>
      </w:r>
      <w:r w:rsidR="00D63251" w:rsidRPr="00301BD5">
        <w:t>.</w:t>
      </w:r>
    </w:p>
    <w:p w:rsidR="00373ABF" w:rsidRPr="008A0486" w:rsidRDefault="00373ABF" w:rsidP="00726DE2">
      <w:pPr>
        <w:pStyle w:val="Heading2"/>
      </w:pPr>
      <w:r w:rsidRPr="008A0486">
        <w:t>ADVERSE EFFECTS</w:t>
      </w:r>
    </w:p>
    <w:p w:rsidR="00626B28" w:rsidRPr="00EC038D" w:rsidRDefault="00EA551E" w:rsidP="00B124E8">
      <w:pPr>
        <w:pStyle w:val="Heading3"/>
        <w:spacing w:after="120" w:afterAutospacing="0"/>
        <w:rPr>
          <w:rFonts w:eastAsia="MS Mincho"/>
        </w:rPr>
      </w:pPr>
      <w:r w:rsidRPr="00EA551E">
        <w:rPr>
          <w:rFonts w:eastAsia="MS Mincho"/>
        </w:rPr>
        <w:t>Clinical Trials</w:t>
      </w:r>
    </w:p>
    <w:p w:rsidR="00F8182F" w:rsidRPr="00EC038D" w:rsidRDefault="00EA551E" w:rsidP="00B124E8">
      <w:pPr>
        <w:spacing w:before="120" w:beforeAutospacing="0" w:after="120" w:afterAutospacing="0"/>
      </w:pPr>
      <w:r w:rsidRPr="00EA551E">
        <w:rPr>
          <w:rFonts w:eastAsia="MS Mincho"/>
          <w:lang w:val="en-US" w:eastAsia="en-US"/>
        </w:rPr>
        <w:t>In the Phase 3 clinical study, 750 patients were randomized (2:1) to receive either HALAVEN (1.4 mg/m</w:t>
      </w:r>
      <w:r w:rsidRPr="00EA551E">
        <w:rPr>
          <w:rFonts w:eastAsia="MS Mincho"/>
          <w:position w:val="9"/>
          <w:vertAlign w:val="superscript"/>
          <w:lang w:val="en-US" w:eastAsia="en-US"/>
        </w:rPr>
        <w:t xml:space="preserve">2 </w:t>
      </w:r>
      <w:r w:rsidRPr="00EA551E">
        <w:rPr>
          <w:rFonts w:eastAsia="MS Mincho"/>
          <w:lang w:val="en-US" w:eastAsia="en-US"/>
        </w:rPr>
        <w:t>on Days 1 and 8 of a 21-day cycle) or single agent treatment chosen by their physician (control group). A total of 503 patients received HALAVEN, and 247 patients in the control group received therapy consisting of chemotherapy [total 97% (</w:t>
      </w:r>
      <w:proofErr w:type="spellStart"/>
      <w:r w:rsidRPr="00EA551E">
        <w:rPr>
          <w:rFonts w:eastAsia="MS Mincho"/>
          <w:lang w:val="en-US" w:eastAsia="en-US"/>
        </w:rPr>
        <w:t>anthracyclines</w:t>
      </w:r>
      <w:proofErr w:type="spellEnd"/>
      <w:r w:rsidR="0078002B">
        <w:rPr>
          <w:rFonts w:eastAsia="MS Mincho"/>
          <w:lang w:val="en-US" w:eastAsia="en-US"/>
        </w:rPr>
        <w:t xml:space="preserve"> 9</w:t>
      </w:r>
      <w:r w:rsidRPr="00EA551E">
        <w:rPr>
          <w:rFonts w:eastAsia="MS Mincho"/>
          <w:lang w:val="en-US" w:eastAsia="en-US"/>
        </w:rPr>
        <w:t xml:space="preserve">%, </w:t>
      </w:r>
      <w:proofErr w:type="spellStart"/>
      <w:r w:rsidRPr="00EA551E">
        <w:rPr>
          <w:rFonts w:eastAsia="MS Mincho"/>
          <w:lang w:val="en-US" w:eastAsia="en-US"/>
        </w:rPr>
        <w:t>capecitabine</w:t>
      </w:r>
      <w:proofErr w:type="spellEnd"/>
      <w:r w:rsidRPr="00EA551E">
        <w:rPr>
          <w:rFonts w:eastAsia="MS Mincho"/>
          <w:lang w:val="en-US" w:eastAsia="en-US"/>
        </w:rPr>
        <w:t xml:space="preserve"> 18%, </w:t>
      </w:r>
      <w:proofErr w:type="spellStart"/>
      <w:r w:rsidRPr="00EA551E">
        <w:rPr>
          <w:rFonts w:eastAsia="MS Mincho"/>
          <w:lang w:val="en-US" w:eastAsia="en-US"/>
        </w:rPr>
        <w:t>gemcitabine</w:t>
      </w:r>
      <w:proofErr w:type="spellEnd"/>
      <w:r w:rsidRPr="00EA551E">
        <w:rPr>
          <w:rFonts w:eastAsia="MS Mincho"/>
          <w:lang w:val="en-US" w:eastAsia="en-US"/>
        </w:rPr>
        <w:t xml:space="preserve"> </w:t>
      </w:r>
      <w:r w:rsidR="0078002B">
        <w:rPr>
          <w:rFonts w:eastAsia="MS Mincho"/>
          <w:lang w:val="en-US" w:eastAsia="ja-JP"/>
        </w:rPr>
        <w:t>18</w:t>
      </w:r>
      <w:r w:rsidRPr="00EA551E">
        <w:rPr>
          <w:rFonts w:eastAsia="MS Mincho"/>
          <w:lang w:val="en-US" w:eastAsia="en-US"/>
        </w:rPr>
        <w:t xml:space="preserve">%, </w:t>
      </w:r>
      <w:proofErr w:type="spellStart"/>
      <w:r w:rsidRPr="00EA551E">
        <w:rPr>
          <w:rFonts w:eastAsia="MS Mincho"/>
          <w:lang w:val="en-US" w:eastAsia="en-US"/>
        </w:rPr>
        <w:t>taxanes</w:t>
      </w:r>
      <w:proofErr w:type="spellEnd"/>
      <w:r w:rsidRPr="00EA551E">
        <w:rPr>
          <w:rFonts w:eastAsia="MS Mincho"/>
          <w:lang w:val="en-US" w:eastAsia="en-US"/>
        </w:rPr>
        <w:t xml:space="preserve"> </w:t>
      </w:r>
      <w:r w:rsidR="0078002B">
        <w:rPr>
          <w:rFonts w:eastAsia="MS Mincho"/>
          <w:lang w:val="en-US" w:eastAsia="en-US"/>
        </w:rPr>
        <w:t>16</w:t>
      </w:r>
      <w:r w:rsidRPr="00EA551E">
        <w:rPr>
          <w:rFonts w:eastAsia="MS Mincho"/>
          <w:lang w:val="en-US" w:eastAsia="en-US"/>
        </w:rPr>
        <w:t xml:space="preserve">%, </w:t>
      </w:r>
      <w:proofErr w:type="spellStart"/>
      <w:r w:rsidRPr="00EA551E">
        <w:rPr>
          <w:rFonts w:eastAsia="MS Mincho"/>
          <w:lang w:val="en-US" w:eastAsia="en-US"/>
        </w:rPr>
        <w:t>vinorelbine</w:t>
      </w:r>
      <w:proofErr w:type="spellEnd"/>
      <w:r w:rsidRPr="00EA551E">
        <w:rPr>
          <w:rFonts w:eastAsia="MS Mincho"/>
          <w:lang w:val="en-US" w:eastAsia="en-US"/>
        </w:rPr>
        <w:t xml:space="preserve"> </w:t>
      </w:r>
      <w:r w:rsidR="0078002B">
        <w:rPr>
          <w:rFonts w:eastAsia="MS Mincho"/>
          <w:lang w:val="en-US" w:eastAsia="ja-JP"/>
        </w:rPr>
        <w:t>26</w:t>
      </w:r>
      <w:r w:rsidRPr="00EA551E">
        <w:rPr>
          <w:rFonts w:eastAsia="MS Mincho"/>
          <w:lang w:val="en-US" w:eastAsia="en-US"/>
        </w:rPr>
        <w:t>%, other chemotherapies 10%)</w:t>
      </w:r>
      <w:r w:rsidR="00760F0C" w:rsidRPr="00760F0C">
        <w:rPr>
          <w:rFonts w:eastAsia="MS Mincho"/>
          <w:lang w:val="en-US" w:eastAsia="en-US"/>
        </w:rPr>
        <w:t xml:space="preserve">] or hormonal therapy (3%). The median duration of exposure was 118 days for patients receiving HALAVEN and 63 days for patients receiving control therapy. </w:t>
      </w:r>
      <w:r w:rsidR="00345733">
        <w:rPr>
          <w:rFonts w:eastAsia="MS Mincho"/>
          <w:lang w:val="en-US" w:eastAsia="en-US"/>
        </w:rPr>
        <w:t>T</w:t>
      </w:r>
      <w:r w:rsidR="00760F0C" w:rsidRPr="00760F0C">
        <w:rPr>
          <w:rFonts w:eastAsia="MS Mincho"/>
          <w:lang w:val="en-US" w:eastAsia="en-US"/>
        </w:rPr>
        <w:t xml:space="preserve">able </w:t>
      </w:r>
      <w:r w:rsidR="00345733">
        <w:rPr>
          <w:rFonts w:eastAsia="MS Mincho"/>
          <w:lang w:val="en-US" w:eastAsia="en-US"/>
        </w:rPr>
        <w:t xml:space="preserve">3 </w:t>
      </w:r>
      <w:r w:rsidR="00760F0C" w:rsidRPr="00760F0C">
        <w:rPr>
          <w:rFonts w:eastAsia="MS Mincho"/>
          <w:lang w:val="en-US" w:eastAsia="en-US"/>
        </w:rPr>
        <w:t xml:space="preserve">below reports the most common adverse </w:t>
      </w:r>
      <w:r w:rsidR="007C6685">
        <w:rPr>
          <w:rFonts w:eastAsia="MS Mincho"/>
          <w:lang w:val="en-US" w:eastAsia="en-US"/>
        </w:rPr>
        <w:t>events</w:t>
      </w:r>
      <w:r w:rsidR="007C6685" w:rsidRPr="00760F0C">
        <w:rPr>
          <w:rFonts w:eastAsia="MS Mincho"/>
          <w:lang w:val="en-US" w:eastAsia="en-US"/>
        </w:rPr>
        <w:t xml:space="preserve"> </w:t>
      </w:r>
      <w:r w:rsidR="00760F0C" w:rsidRPr="00760F0C">
        <w:rPr>
          <w:rFonts w:eastAsia="MS Mincho"/>
          <w:lang w:val="en-US" w:eastAsia="en-US"/>
        </w:rPr>
        <w:t>occurring in at least 10% of patients in either gr</w:t>
      </w:r>
      <w:r w:rsidR="00726DE2">
        <w:rPr>
          <w:rFonts w:eastAsia="MS Mincho"/>
          <w:lang w:val="en-US" w:eastAsia="en-US"/>
        </w:rPr>
        <w:t>oup.</w:t>
      </w:r>
    </w:p>
    <w:p w:rsidR="00F8182F" w:rsidRPr="00EC038D" w:rsidRDefault="00760F0C" w:rsidP="00B124E8">
      <w:pPr>
        <w:pStyle w:val="CM16"/>
      </w:pPr>
      <w:r w:rsidRPr="00760F0C">
        <w:t xml:space="preserve">Table </w:t>
      </w:r>
      <w:r w:rsidR="00345733">
        <w:t xml:space="preserve">3: </w:t>
      </w:r>
      <w:r w:rsidRPr="00760F0C">
        <w:t xml:space="preserve">Very Common </w:t>
      </w:r>
      <w:r w:rsidR="00291A97">
        <w:rPr>
          <w:rFonts w:eastAsiaTheme="minorEastAsia" w:hint="eastAsia"/>
          <w:lang w:eastAsia="ja-JP"/>
        </w:rPr>
        <w:t>(</w:t>
      </w:r>
      <w:r w:rsidR="00291A97" w:rsidRPr="00291A97">
        <w:rPr>
          <w:rFonts w:eastAsiaTheme="minorEastAsia"/>
          <w:lang w:eastAsia="ja-JP"/>
        </w:rPr>
        <w:t>≥</w:t>
      </w:r>
      <w:r w:rsidR="00291A97">
        <w:rPr>
          <w:rFonts w:eastAsiaTheme="minorEastAsia" w:hint="eastAsia"/>
          <w:lang w:eastAsia="ja-JP"/>
        </w:rPr>
        <w:t>10%)</w:t>
      </w:r>
      <w:r w:rsidR="007D3B4D">
        <w:rPr>
          <w:rFonts w:eastAsiaTheme="minorEastAsia" w:hint="eastAsia"/>
          <w:lang w:eastAsia="ja-JP"/>
        </w:rPr>
        <w:t xml:space="preserve"> </w:t>
      </w:r>
      <w:r w:rsidRPr="00760F0C">
        <w:t xml:space="preserve">Adverse </w:t>
      </w:r>
      <w:r w:rsidR="007C6685">
        <w:t>Events</w:t>
      </w:r>
      <w:r w:rsidR="007C6685" w:rsidRPr="00760F0C">
        <w:t xml:space="preserve"> </w:t>
      </w:r>
      <w:r w:rsidRPr="00760F0C">
        <w:t>in the EMBRACE Trial</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1276"/>
        <w:gridCol w:w="1275"/>
        <w:gridCol w:w="1418"/>
        <w:gridCol w:w="1276"/>
      </w:tblGrid>
      <w:tr w:rsidR="004F07A0" w:rsidRPr="00D34FAE" w:rsidTr="00726DE2">
        <w:trPr>
          <w:trHeight w:val="105"/>
          <w:tblHeader/>
        </w:trPr>
        <w:tc>
          <w:tcPr>
            <w:tcW w:w="5778" w:type="dxa"/>
            <w:gridSpan w:val="3"/>
          </w:tcPr>
          <w:p w:rsidR="004F07A0" w:rsidRPr="00D34FAE" w:rsidRDefault="004F07A0" w:rsidP="004F07A0">
            <w:pPr>
              <w:jc w:val="center"/>
              <w:rPr>
                <w:sz w:val="20"/>
                <w:lang w:val="en-US"/>
              </w:rPr>
            </w:pPr>
            <w:r w:rsidRPr="00D34FAE">
              <w:rPr>
                <w:b/>
                <w:bCs/>
                <w:sz w:val="20"/>
                <w:lang w:val="en-US"/>
              </w:rPr>
              <w:t xml:space="preserve">                                                       HALAVEN</w:t>
            </w:r>
          </w:p>
        </w:tc>
        <w:tc>
          <w:tcPr>
            <w:tcW w:w="2694" w:type="dxa"/>
            <w:gridSpan w:val="2"/>
          </w:tcPr>
          <w:p w:rsidR="004F07A0" w:rsidRPr="00D34FAE" w:rsidRDefault="004F07A0" w:rsidP="004F07A0">
            <w:pPr>
              <w:jc w:val="center"/>
              <w:rPr>
                <w:sz w:val="20"/>
                <w:lang w:val="en-US"/>
              </w:rPr>
            </w:pPr>
            <w:r w:rsidRPr="00D34FAE">
              <w:rPr>
                <w:b/>
                <w:bCs/>
                <w:sz w:val="20"/>
                <w:lang w:val="en-US"/>
              </w:rPr>
              <w:t>Control Group</w:t>
            </w:r>
          </w:p>
        </w:tc>
      </w:tr>
      <w:tr w:rsidR="004F07A0" w:rsidRPr="00D34FAE" w:rsidTr="00726DE2">
        <w:trPr>
          <w:trHeight w:val="155"/>
          <w:tblHeader/>
        </w:trPr>
        <w:tc>
          <w:tcPr>
            <w:tcW w:w="3227" w:type="dxa"/>
            <w:vAlign w:val="bottom"/>
          </w:tcPr>
          <w:p w:rsidR="004F07A0" w:rsidRPr="00D34FAE" w:rsidRDefault="004F07A0" w:rsidP="004F07A0">
            <w:pPr>
              <w:rPr>
                <w:sz w:val="20"/>
                <w:lang w:val="en-US"/>
              </w:rPr>
            </w:pPr>
            <w:proofErr w:type="spellStart"/>
            <w:r w:rsidRPr="00D34FAE">
              <w:rPr>
                <w:b/>
                <w:bCs/>
                <w:sz w:val="20"/>
                <w:lang w:val="en-US"/>
              </w:rPr>
              <w:t>MedDRA</w:t>
            </w:r>
            <w:proofErr w:type="spellEnd"/>
            <w:r w:rsidRPr="00D34FAE">
              <w:rPr>
                <w:b/>
                <w:bCs/>
                <w:sz w:val="20"/>
                <w:lang w:val="en-US"/>
              </w:rPr>
              <w:t xml:space="preserve"> </w:t>
            </w:r>
            <w:proofErr w:type="spellStart"/>
            <w:r w:rsidRPr="00D34FAE">
              <w:rPr>
                <w:b/>
                <w:bCs/>
                <w:sz w:val="20"/>
                <w:lang w:val="en-US"/>
              </w:rPr>
              <w:t>ver</w:t>
            </w:r>
            <w:proofErr w:type="spellEnd"/>
            <w:r w:rsidRPr="00D34FAE">
              <w:rPr>
                <w:b/>
                <w:bCs/>
                <w:sz w:val="20"/>
                <w:lang w:val="en-US"/>
              </w:rPr>
              <w:t xml:space="preserve"> 10.0 </w:t>
            </w:r>
          </w:p>
        </w:tc>
        <w:tc>
          <w:tcPr>
            <w:tcW w:w="2551" w:type="dxa"/>
            <w:gridSpan w:val="2"/>
          </w:tcPr>
          <w:p w:rsidR="004F07A0" w:rsidRPr="00D34FAE" w:rsidRDefault="004F07A0" w:rsidP="004F07A0">
            <w:pPr>
              <w:jc w:val="center"/>
              <w:rPr>
                <w:sz w:val="20"/>
                <w:lang w:val="en-US"/>
              </w:rPr>
            </w:pPr>
            <w:r w:rsidRPr="00D34FAE">
              <w:rPr>
                <w:b/>
                <w:bCs/>
                <w:sz w:val="20"/>
                <w:lang w:val="en-US"/>
              </w:rPr>
              <w:t>n=503</w:t>
            </w:r>
          </w:p>
        </w:tc>
        <w:tc>
          <w:tcPr>
            <w:tcW w:w="2694" w:type="dxa"/>
            <w:gridSpan w:val="2"/>
          </w:tcPr>
          <w:p w:rsidR="004F07A0" w:rsidRPr="00D34FAE" w:rsidRDefault="004F07A0" w:rsidP="004F07A0">
            <w:pPr>
              <w:jc w:val="center"/>
              <w:rPr>
                <w:sz w:val="20"/>
                <w:lang w:val="en-US"/>
              </w:rPr>
            </w:pPr>
            <w:r w:rsidRPr="00D34FAE">
              <w:rPr>
                <w:b/>
                <w:bCs/>
                <w:sz w:val="20"/>
                <w:lang w:val="en-US"/>
              </w:rPr>
              <w:t>n=247</w:t>
            </w:r>
          </w:p>
        </w:tc>
      </w:tr>
      <w:tr w:rsidR="005045BD" w:rsidRPr="00D34FAE" w:rsidTr="00726DE2">
        <w:trPr>
          <w:trHeight w:val="125"/>
          <w:tblHeader/>
        </w:trPr>
        <w:tc>
          <w:tcPr>
            <w:tcW w:w="3227" w:type="dxa"/>
            <w:vAlign w:val="center"/>
          </w:tcPr>
          <w:p w:rsidR="005045BD" w:rsidRPr="00D34FAE" w:rsidRDefault="005045BD" w:rsidP="005045BD">
            <w:pPr>
              <w:rPr>
                <w:sz w:val="20"/>
                <w:lang w:val="en-US"/>
              </w:rPr>
            </w:pPr>
            <w:r w:rsidRPr="00D34FAE">
              <w:rPr>
                <w:b/>
                <w:bCs/>
                <w:sz w:val="20"/>
                <w:lang w:val="en-US"/>
              </w:rPr>
              <w:t xml:space="preserve">                                                    </w:t>
            </w:r>
          </w:p>
        </w:tc>
        <w:tc>
          <w:tcPr>
            <w:tcW w:w="1276" w:type="dxa"/>
            <w:vAlign w:val="center"/>
          </w:tcPr>
          <w:p w:rsidR="005045BD" w:rsidRPr="00D34FAE" w:rsidRDefault="005045BD" w:rsidP="004F07A0">
            <w:pPr>
              <w:rPr>
                <w:sz w:val="20"/>
                <w:lang w:val="en-US"/>
              </w:rPr>
            </w:pPr>
            <w:r w:rsidRPr="00D34FAE">
              <w:rPr>
                <w:b/>
                <w:bCs/>
                <w:sz w:val="20"/>
                <w:lang w:val="en-US"/>
              </w:rPr>
              <w:t>All Grades</w:t>
            </w:r>
          </w:p>
        </w:tc>
        <w:tc>
          <w:tcPr>
            <w:tcW w:w="1275" w:type="dxa"/>
            <w:vAlign w:val="center"/>
          </w:tcPr>
          <w:p w:rsidR="005045BD" w:rsidRPr="00D34FAE" w:rsidRDefault="005045BD" w:rsidP="004F07A0">
            <w:pPr>
              <w:rPr>
                <w:sz w:val="20"/>
                <w:lang w:val="en-US"/>
              </w:rPr>
            </w:pPr>
            <w:r w:rsidRPr="00D34FAE">
              <w:rPr>
                <w:b/>
                <w:bCs/>
                <w:sz w:val="20"/>
                <w:lang w:val="en-US"/>
              </w:rPr>
              <w:t xml:space="preserve">≥ Grade 3 </w:t>
            </w:r>
          </w:p>
        </w:tc>
        <w:tc>
          <w:tcPr>
            <w:tcW w:w="1418" w:type="dxa"/>
            <w:vAlign w:val="center"/>
          </w:tcPr>
          <w:p w:rsidR="005045BD" w:rsidRPr="00D34FAE" w:rsidRDefault="005045BD" w:rsidP="004F07A0">
            <w:pPr>
              <w:rPr>
                <w:sz w:val="20"/>
                <w:lang w:val="en-US"/>
              </w:rPr>
            </w:pPr>
            <w:r w:rsidRPr="00D34FAE">
              <w:rPr>
                <w:b/>
                <w:bCs/>
                <w:sz w:val="20"/>
                <w:lang w:val="en-US"/>
              </w:rPr>
              <w:t>All Grades</w:t>
            </w:r>
          </w:p>
        </w:tc>
        <w:tc>
          <w:tcPr>
            <w:tcW w:w="1276" w:type="dxa"/>
            <w:vAlign w:val="center"/>
          </w:tcPr>
          <w:p w:rsidR="005045BD" w:rsidRPr="00D34FAE" w:rsidRDefault="005045BD" w:rsidP="004F07A0">
            <w:pPr>
              <w:rPr>
                <w:sz w:val="20"/>
                <w:lang w:val="en-US"/>
              </w:rPr>
            </w:pPr>
            <w:r w:rsidRPr="00D34FAE">
              <w:rPr>
                <w:b/>
                <w:bCs/>
                <w:sz w:val="20"/>
                <w:lang w:val="en-US"/>
              </w:rPr>
              <w:t>≥ Grade 3</w:t>
            </w:r>
          </w:p>
        </w:tc>
      </w:tr>
      <w:tr w:rsidR="004F07A0" w:rsidRPr="00D34FAE" w:rsidTr="00B74185">
        <w:trPr>
          <w:trHeight w:val="126"/>
        </w:trPr>
        <w:tc>
          <w:tcPr>
            <w:tcW w:w="3227" w:type="dxa"/>
            <w:vAlign w:val="center"/>
          </w:tcPr>
          <w:p w:rsidR="004F07A0" w:rsidRPr="00D34FAE" w:rsidRDefault="004F07A0" w:rsidP="004F07A0">
            <w:pPr>
              <w:rPr>
                <w:sz w:val="20"/>
                <w:lang w:val="en-US"/>
              </w:rPr>
            </w:pPr>
            <w:r w:rsidRPr="00D34FAE">
              <w:rPr>
                <w:b/>
                <w:bCs/>
                <w:sz w:val="20"/>
                <w:lang w:val="en-US"/>
              </w:rPr>
              <w:t>Infections and Infestations</w:t>
            </w:r>
          </w:p>
        </w:tc>
        <w:tc>
          <w:tcPr>
            <w:tcW w:w="5245" w:type="dxa"/>
            <w:gridSpan w:val="4"/>
            <w:vAlign w:val="center"/>
          </w:tcPr>
          <w:p w:rsidR="004F07A0" w:rsidRPr="00D34FAE" w:rsidRDefault="004F07A0" w:rsidP="004F07A0">
            <w:pPr>
              <w:jc w:val="center"/>
              <w:rPr>
                <w:sz w:val="20"/>
                <w:lang w:val="en-US"/>
              </w:rPr>
            </w:pPr>
          </w:p>
        </w:tc>
      </w:tr>
      <w:tr w:rsidR="004F07A0" w:rsidRPr="00D34FAE" w:rsidTr="00B74185">
        <w:trPr>
          <w:trHeight w:val="116"/>
        </w:trPr>
        <w:tc>
          <w:tcPr>
            <w:tcW w:w="3227" w:type="dxa"/>
            <w:vAlign w:val="center"/>
          </w:tcPr>
          <w:p w:rsidR="004F07A0" w:rsidRPr="00D34FAE" w:rsidRDefault="004F07A0" w:rsidP="004F07A0">
            <w:pPr>
              <w:ind w:left="720"/>
              <w:rPr>
                <w:sz w:val="20"/>
                <w:lang w:val="en-US"/>
              </w:rPr>
            </w:pPr>
            <w:r w:rsidRPr="00D34FAE">
              <w:rPr>
                <w:sz w:val="20"/>
                <w:lang w:val="en-US"/>
              </w:rPr>
              <w:t xml:space="preserve">Urinary Tract Infection </w:t>
            </w:r>
          </w:p>
        </w:tc>
        <w:tc>
          <w:tcPr>
            <w:tcW w:w="1276" w:type="dxa"/>
            <w:vAlign w:val="center"/>
          </w:tcPr>
          <w:p w:rsidR="004F07A0" w:rsidRPr="00D34FAE" w:rsidRDefault="004F07A0" w:rsidP="004F07A0">
            <w:pPr>
              <w:rPr>
                <w:sz w:val="20"/>
                <w:lang w:val="en-US"/>
              </w:rPr>
            </w:pPr>
            <w:r w:rsidRPr="00D34FAE">
              <w:rPr>
                <w:sz w:val="20"/>
                <w:lang w:val="en-US"/>
              </w:rPr>
              <w:t xml:space="preserve">10% </w:t>
            </w:r>
          </w:p>
        </w:tc>
        <w:tc>
          <w:tcPr>
            <w:tcW w:w="1275" w:type="dxa"/>
            <w:vAlign w:val="center"/>
          </w:tcPr>
          <w:p w:rsidR="004F07A0" w:rsidRPr="00D34FAE" w:rsidRDefault="004F07A0" w:rsidP="004F07A0">
            <w:pPr>
              <w:rPr>
                <w:sz w:val="20"/>
                <w:lang w:val="en-US"/>
              </w:rPr>
            </w:pPr>
            <w:r w:rsidRPr="00D34FAE">
              <w:rPr>
                <w:sz w:val="20"/>
                <w:lang w:val="en-US"/>
              </w:rPr>
              <w:t xml:space="preserve">1% </w:t>
            </w:r>
          </w:p>
        </w:tc>
        <w:tc>
          <w:tcPr>
            <w:tcW w:w="1418" w:type="dxa"/>
            <w:vAlign w:val="center"/>
          </w:tcPr>
          <w:p w:rsidR="004F07A0" w:rsidRPr="00D34FAE" w:rsidRDefault="004F07A0" w:rsidP="004F07A0">
            <w:pPr>
              <w:jc w:val="center"/>
              <w:rPr>
                <w:sz w:val="20"/>
                <w:lang w:val="en-US"/>
              </w:rPr>
            </w:pPr>
            <w:r w:rsidRPr="00D34FAE">
              <w:rPr>
                <w:sz w:val="20"/>
                <w:lang w:val="en-US"/>
              </w:rPr>
              <w:t>5%</w:t>
            </w:r>
          </w:p>
        </w:tc>
        <w:tc>
          <w:tcPr>
            <w:tcW w:w="1276" w:type="dxa"/>
            <w:vAlign w:val="center"/>
          </w:tcPr>
          <w:p w:rsidR="004F07A0" w:rsidRPr="00D34FAE" w:rsidRDefault="004F07A0" w:rsidP="004F07A0">
            <w:pPr>
              <w:jc w:val="center"/>
              <w:rPr>
                <w:sz w:val="20"/>
                <w:lang w:val="en-US"/>
              </w:rPr>
            </w:pPr>
            <w:r w:rsidRPr="00D34FAE">
              <w:rPr>
                <w:sz w:val="20"/>
                <w:lang w:val="en-US"/>
              </w:rPr>
              <w:t>0</w:t>
            </w:r>
          </w:p>
        </w:tc>
      </w:tr>
      <w:tr w:rsidR="004F07A0" w:rsidRPr="00D34FAE" w:rsidTr="00B74185">
        <w:trPr>
          <w:trHeight w:val="113"/>
        </w:trPr>
        <w:tc>
          <w:tcPr>
            <w:tcW w:w="3227" w:type="dxa"/>
            <w:vAlign w:val="center"/>
          </w:tcPr>
          <w:p w:rsidR="004F07A0" w:rsidRPr="00D34FAE" w:rsidRDefault="004F07A0" w:rsidP="004F07A0">
            <w:pPr>
              <w:rPr>
                <w:sz w:val="20"/>
                <w:lang w:val="en-US"/>
              </w:rPr>
            </w:pPr>
            <w:r w:rsidRPr="00D34FAE">
              <w:rPr>
                <w:b/>
                <w:bCs/>
                <w:sz w:val="20"/>
                <w:lang w:val="en-US"/>
              </w:rPr>
              <w:t xml:space="preserve">Blood and Lymphatic System Disorders </w:t>
            </w:r>
            <w:r w:rsidRPr="00D34FAE">
              <w:rPr>
                <w:sz w:val="20"/>
                <w:vertAlign w:val="superscript"/>
                <w:lang w:val="en-US"/>
              </w:rPr>
              <w:t>a</w:t>
            </w:r>
          </w:p>
        </w:tc>
        <w:tc>
          <w:tcPr>
            <w:tcW w:w="5245" w:type="dxa"/>
            <w:gridSpan w:val="4"/>
          </w:tcPr>
          <w:p w:rsidR="004F07A0" w:rsidRPr="00D34FAE" w:rsidRDefault="004F07A0" w:rsidP="004F07A0">
            <w:pPr>
              <w:jc w:val="center"/>
              <w:rPr>
                <w:sz w:val="20"/>
                <w:lang w:val="en-US"/>
              </w:rPr>
            </w:pPr>
          </w:p>
        </w:tc>
      </w:tr>
      <w:tr w:rsidR="004F07A0" w:rsidRPr="00D34FAE" w:rsidTr="00B74185">
        <w:trPr>
          <w:trHeight w:val="113"/>
        </w:trPr>
        <w:tc>
          <w:tcPr>
            <w:tcW w:w="3227" w:type="dxa"/>
          </w:tcPr>
          <w:p w:rsidR="004F07A0" w:rsidRPr="00D34FAE" w:rsidRDefault="004F07A0" w:rsidP="004F07A0">
            <w:pPr>
              <w:ind w:left="720"/>
              <w:rPr>
                <w:sz w:val="20"/>
                <w:lang w:val="en-US"/>
              </w:rPr>
            </w:pPr>
            <w:proofErr w:type="spellStart"/>
            <w:r w:rsidRPr="00D34FAE">
              <w:rPr>
                <w:sz w:val="20"/>
                <w:lang w:val="en-US"/>
              </w:rPr>
              <w:t>Neutropenia</w:t>
            </w:r>
            <w:proofErr w:type="spellEnd"/>
            <w:r w:rsidRPr="00D34FAE">
              <w:rPr>
                <w:sz w:val="20"/>
                <w:lang w:val="en-US"/>
              </w:rPr>
              <w:t xml:space="preserve"> </w:t>
            </w:r>
          </w:p>
        </w:tc>
        <w:tc>
          <w:tcPr>
            <w:tcW w:w="1276" w:type="dxa"/>
          </w:tcPr>
          <w:p w:rsidR="004F07A0" w:rsidRPr="00D34FAE" w:rsidRDefault="004F07A0" w:rsidP="004F07A0">
            <w:pPr>
              <w:rPr>
                <w:sz w:val="20"/>
                <w:lang w:val="en-US"/>
              </w:rPr>
            </w:pPr>
            <w:r w:rsidRPr="00D34FAE">
              <w:rPr>
                <w:sz w:val="20"/>
                <w:lang w:val="en-US"/>
              </w:rPr>
              <w:t xml:space="preserve">82% </w:t>
            </w:r>
          </w:p>
        </w:tc>
        <w:tc>
          <w:tcPr>
            <w:tcW w:w="1275" w:type="dxa"/>
          </w:tcPr>
          <w:p w:rsidR="004F07A0" w:rsidRPr="00D34FAE" w:rsidRDefault="004F07A0" w:rsidP="004F07A0">
            <w:pPr>
              <w:rPr>
                <w:sz w:val="20"/>
                <w:lang w:val="en-US"/>
              </w:rPr>
            </w:pPr>
            <w:r w:rsidRPr="00D34FAE">
              <w:rPr>
                <w:sz w:val="20"/>
                <w:lang w:val="en-US"/>
              </w:rPr>
              <w:t xml:space="preserve">57% </w:t>
            </w:r>
          </w:p>
        </w:tc>
        <w:tc>
          <w:tcPr>
            <w:tcW w:w="1418" w:type="dxa"/>
          </w:tcPr>
          <w:p w:rsidR="004F07A0" w:rsidRPr="00D34FAE" w:rsidRDefault="004F07A0" w:rsidP="004F07A0">
            <w:pPr>
              <w:jc w:val="center"/>
              <w:rPr>
                <w:sz w:val="20"/>
                <w:lang w:val="en-US"/>
              </w:rPr>
            </w:pPr>
            <w:r w:rsidRPr="00D34FAE">
              <w:rPr>
                <w:sz w:val="20"/>
                <w:lang w:val="en-US"/>
              </w:rPr>
              <w:t>53%</w:t>
            </w:r>
          </w:p>
        </w:tc>
        <w:tc>
          <w:tcPr>
            <w:tcW w:w="1276" w:type="dxa"/>
          </w:tcPr>
          <w:p w:rsidR="004F07A0" w:rsidRPr="00D34FAE" w:rsidRDefault="004F07A0" w:rsidP="004F07A0">
            <w:pPr>
              <w:jc w:val="center"/>
              <w:rPr>
                <w:sz w:val="20"/>
                <w:lang w:val="en-US"/>
              </w:rPr>
            </w:pPr>
            <w:r w:rsidRPr="00D34FAE">
              <w:rPr>
                <w:sz w:val="20"/>
                <w:lang w:val="en-US"/>
              </w:rPr>
              <w:t>23%</w:t>
            </w:r>
          </w:p>
        </w:tc>
      </w:tr>
      <w:tr w:rsidR="004F07A0" w:rsidRPr="00D34FAE" w:rsidTr="00B74185">
        <w:trPr>
          <w:trHeight w:val="101"/>
        </w:trPr>
        <w:tc>
          <w:tcPr>
            <w:tcW w:w="3227" w:type="dxa"/>
          </w:tcPr>
          <w:p w:rsidR="004F07A0" w:rsidRPr="00D34FAE" w:rsidRDefault="004F07A0" w:rsidP="004F07A0">
            <w:pPr>
              <w:ind w:left="720"/>
              <w:rPr>
                <w:sz w:val="20"/>
                <w:lang w:val="en-US"/>
              </w:rPr>
            </w:pPr>
            <w:r w:rsidRPr="00D34FAE">
              <w:rPr>
                <w:sz w:val="20"/>
                <w:lang w:val="en-US"/>
              </w:rPr>
              <w:t xml:space="preserve">Anemia </w:t>
            </w:r>
          </w:p>
        </w:tc>
        <w:tc>
          <w:tcPr>
            <w:tcW w:w="1276" w:type="dxa"/>
          </w:tcPr>
          <w:p w:rsidR="004F07A0" w:rsidRPr="00D34FAE" w:rsidRDefault="004F07A0" w:rsidP="004F07A0">
            <w:pPr>
              <w:rPr>
                <w:sz w:val="20"/>
                <w:lang w:val="en-US"/>
              </w:rPr>
            </w:pPr>
            <w:r w:rsidRPr="00D34FAE">
              <w:rPr>
                <w:sz w:val="20"/>
                <w:lang w:val="en-US"/>
              </w:rPr>
              <w:t xml:space="preserve">58% </w:t>
            </w:r>
          </w:p>
        </w:tc>
        <w:tc>
          <w:tcPr>
            <w:tcW w:w="1275" w:type="dxa"/>
          </w:tcPr>
          <w:p w:rsidR="004F07A0" w:rsidRPr="00D34FAE" w:rsidRDefault="004F07A0" w:rsidP="004F07A0">
            <w:pPr>
              <w:rPr>
                <w:sz w:val="20"/>
                <w:lang w:val="en-US"/>
              </w:rPr>
            </w:pPr>
            <w:r w:rsidRPr="00D34FAE">
              <w:rPr>
                <w:sz w:val="20"/>
                <w:lang w:val="en-US"/>
              </w:rPr>
              <w:t xml:space="preserve">2% </w:t>
            </w:r>
          </w:p>
        </w:tc>
        <w:tc>
          <w:tcPr>
            <w:tcW w:w="1418" w:type="dxa"/>
          </w:tcPr>
          <w:p w:rsidR="004F07A0" w:rsidRPr="00D34FAE" w:rsidRDefault="004F07A0" w:rsidP="004F07A0">
            <w:pPr>
              <w:jc w:val="center"/>
              <w:rPr>
                <w:sz w:val="20"/>
                <w:lang w:val="en-US"/>
              </w:rPr>
            </w:pPr>
            <w:r w:rsidRPr="00D34FAE">
              <w:rPr>
                <w:sz w:val="20"/>
                <w:lang w:val="en-US"/>
              </w:rPr>
              <w:t>55%</w:t>
            </w:r>
          </w:p>
        </w:tc>
        <w:tc>
          <w:tcPr>
            <w:tcW w:w="1276" w:type="dxa"/>
          </w:tcPr>
          <w:p w:rsidR="004F07A0" w:rsidRPr="00D34FAE" w:rsidRDefault="004F07A0" w:rsidP="004F07A0">
            <w:pPr>
              <w:jc w:val="center"/>
              <w:rPr>
                <w:sz w:val="20"/>
                <w:lang w:val="en-US"/>
              </w:rPr>
            </w:pPr>
            <w:r w:rsidRPr="00D34FAE">
              <w:rPr>
                <w:sz w:val="20"/>
                <w:lang w:val="en-US"/>
              </w:rPr>
              <w:t>4%</w:t>
            </w:r>
          </w:p>
        </w:tc>
      </w:tr>
      <w:tr w:rsidR="004F07A0" w:rsidRPr="00D34FAE" w:rsidTr="00B74185">
        <w:trPr>
          <w:trHeight w:val="112"/>
        </w:trPr>
        <w:tc>
          <w:tcPr>
            <w:tcW w:w="3227" w:type="dxa"/>
          </w:tcPr>
          <w:p w:rsidR="004F07A0" w:rsidRPr="00D34FAE" w:rsidRDefault="004F07A0" w:rsidP="004F07A0">
            <w:pPr>
              <w:rPr>
                <w:sz w:val="20"/>
                <w:lang w:val="en-US"/>
              </w:rPr>
            </w:pPr>
            <w:r w:rsidRPr="00D34FAE">
              <w:rPr>
                <w:b/>
                <w:bCs/>
                <w:sz w:val="20"/>
                <w:lang w:val="en-US"/>
              </w:rPr>
              <w:lastRenderedPageBreak/>
              <w:t>Metabolism and nutrition disorders</w:t>
            </w:r>
          </w:p>
        </w:tc>
        <w:tc>
          <w:tcPr>
            <w:tcW w:w="5245" w:type="dxa"/>
            <w:gridSpan w:val="4"/>
          </w:tcPr>
          <w:p w:rsidR="004F07A0" w:rsidRPr="00D34FAE" w:rsidRDefault="004F07A0" w:rsidP="004F07A0">
            <w:pPr>
              <w:jc w:val="center"/>
              <w:rPr>
                <w:sz w:val="20"/>
                <w:lang w:val="en-US"/>
              </w:rPr>
            </w:pPr>
          </w:p>
        </w:tc>
      </w:tr>
      <w:tr w:rsidR="004F07A0" w:rsidRPr="00D34FAE" w:rsidTr="00B74185">
        <w:trPr>
          <w:trHeight w:val="112"/>
        </w:trPr>
        <w:tc>
          <w:tcPr>
            <w:tcW w:w="3227" w:type="dxa"/>
            <w:vAlign w:val="center"/>
          </w:tcPr>
          <w:p w:rsidR="004F07A0" w:rsidRPr="00D34FAE" w:rsidRDefault="004F07A0" w:rsidP="004F07A0">
            <w:pPr>
              <w:ind w:left="720"/>
              <w:rPr>
                <w:sz w:val="20"/>
                <w:lang w:val="en-US"/>
              </w:rPr>
            </w:pPr>
            <w:r w:rsidRPr="00D34FAE">
              <w:rPr>
                <w:sz w:val="20"/>
                <w:lang w:val="en-US"/>
              </w:rPr>
              <w:t xml:space="preserve">Anorexia </w:t>
            </w:r>
          </w:p>
        </w:tc>
        <w:tc>
          <w:tcPr>
            <w:tcW w:w="1276" w:type="dxa"/>
            <w:vAlign w:val="center"/>
          </w:tcPr>
          <w:p w:rsidR="004F07A0" w:rsidRPr="00D34FAE" w:rsidRDefault="004F07A0" w:rsidP="004F07A0">
            <w:pPr>
              <w:rPr>
                <w:sz w:val="20"/>
                <w:lang w:val="en-US"/>
              </w:rPr>
            </w:pPr>
            <w:r w:rsidRPr="00D34FAE">
              <w:rPr>
                <w:sz w:val="20"/>
                <w:lang w:val="en-US"/>
              </w:rPr>
              <w:t xml:space="preserve">20% </w:t>
            </w:r>
          </w:p>
        </w:tc>
        <w:tc>
          <w:tcPr>
            <w:tcW w:w="1275" w:type="dxa"/>
            <w:vAlign w:val="center"/>
          </w:tcPr>
          <w:p w:rsidR="004F07A0" w:rsidRPr="00D34FAE" w:rsidRDefault="004F07A0" w:rsidP="004F07A0">
            <w:pPr>
              <w:rPr>
                <w:sz w:val="20"/>
                <w:lang w:val="en-US"/>
              </w:rPr>
            </w:pPr>
            <w:r w:rsidRPr="00D34FAE">
              <w:rPr>
                <w:sz w:val="20"/>
                <w:lang w:val="en-US"/>
              </w:rPr>
              <w:t xml:space="preserve">1% </w:t>
            </w:r>
          </w:p>
        </w:tc>
        <w:tc>
          <w:tcPr>
            <w:tcW w:w="1418" w:type="dxa"/>
            <w:vAlign w:val="center"/>
          </w:tcPr>
          <w:p w:rsidR="004F07A0" w:rsidRPr="00D34FAE" w:rsidRDefault="004F07A0" w:rsidP="004F07A0">
            <w:pPr>
              <w:jc w:val="center"/>
              <w:rPr>
                <w:sz w:val="20"/>
                <w:lang w:val="en-US"/>
              </w:rPr>
            </w:pPr>
            <w:r w:rsidRPr="00D34FAE">
              <w:rPr>
                <w:sz w:val="20"/>
                <w:lang w:val="en-US"/>
              </w:rPr>
              <w:t>13%</w:t>
            </w:r>
          </w:p>
        </w:tc>
        <w:tc>
          <w:tcPr>
            <w:tcW w:w="1276" w:type="dxa"/>
            <w:vAlign w:val="center"/>
          </w:tcPr>
          <w:p w:rsidR="004F07A0" w:rsidRPr="00D34FAE" w:rsidRDefault="004F07A0" w:rsidP="004F07A0">
            <w:pPr>
              <w:jc w:val="center"/>
              <w:rPr>
                <w:sz w:val="20"/>
                <w:lang w:val="en-US"/>
              </w:rPr>
            </w:pPr>
            <w:r w:rsidRPr="00D34FAE">
              <w:rPr>
                <w:sz w:val="20"/>
                <w:lang w:val="en-US"/>
              </w:rPr>
              <w:t>1%</w:t>
            </w:r>
          </w:p>
        </w:tc>
      </w:tr>
      <w:tr w:rsidR="004F07A0" w:rsidRPr="00D34FAE" w:rsidTr="00B74185">
        <w:trPr>
          <w:trHeight w:val="240"/>
        </w:trPr>
        <w:tc>
          <w:tcPr>
            <w:tcW w:w="3227" w:type="dxa"/>
            <w:vAlign w:val="center"/>
          </w:tcPr>
          <w:p w:rsidR="004F07A0" w:rsidRPr="00D34FAE" w:rsidRDefault="004F07A0" w:rsidP="004F07A0">
            <w:pPr>
              <w:rPr>
                <w:b/>
                <w:bCs/>
                <w:sz w:val="20"/>
                <w:lang w:val="en-US"/>
              </w:rPr>
            </w:pPr>
            <w:r w:rsidRPr="00D34FAE">
              <w:rPr>
                <w:b/>
                <w:bCs/>
                <w:sz w:val="20"/>
                <w:lang w:val="en-US"/>
              </w:rPr>
              <w:t>Nervous system disorders</w:t>
            </w:r>
          </w:p>
        </w:tc>
        <w:tc>
          <w:tcPr>
            <w:tcW w:w="5245" w:type="dxa"/>
            <w:gridSpan w:val="4"/>
            <w:vAlign w:val="bottom"/>
          </w:tcPr>
          <w:p w:rsidR="004F07A0" w:rsidRPr="00D34FAE" w:rsidRDefault="004F07A0" w:rsidP="004F07A0">
            <w:pPr>
              <w:jc w:val="center"/>
              <w:rPr>
                <w:sz w:val="20"/>
                <w:lang w:val="en-US"/>
              </w:rPr>
            </w:pPr>
          </w:p>
        </w:tc>
      </w:tr>
      <w:tr w:rsidR="004F07A0" w:rsidRPr="00D34FAE" w:rsidTr="00B74185">
        <w:trPr>
          <w:trHeight w:val="240"/>
        </w:trPr>
        <w:tc>
          <w:tcPr>
            <w:tcW w:w="3227" w:type="dxa"/>
            <w:vAlign w:val="center"/>
          </w:tcPr>
          <w:p w:rsidR="004F07A0" w:rsidRPr="00D34FAE" w:rsidRDefault="004F07A0" w:rsidP="004F07A0">
            <w:pPr>
              <w:ind w:left="720"/>
              <w:rPr>
                <w:sz w:val="20"/>
                <w:lang w:val="en-US"/>
              </w:rPr>
            </w:pPr>
            <w:r w:rsidRPr="00D34FAE">
              <w:rPr>
                <w:sz w:val="20"/>
                <w:lang w:val="en-US"/>
              </w:rPr>
              <w:t xml:space="preserve">Peripheral </w:t>
            </w:r>
            <w:proofErr w:type="spellStart"/>
            <w:r w:rsidRPr="00D34FAE">
              <w:rPr>
                <w:sz w:val="20"/>
                <w:lang w:val="en-US"/>
              </w:rPr>
              <w:t>neuropathy</w:t>
            </w:r>
            <w:r w:rsidRPr="00D34FAE">
              <w:rPr>
                <w:sz w:val="20"/>
                <w:vertAlign w:val="superscript"/>
                <w:lang w:val="en-US"/>
              </w:rPr>
              <w:t>b</w:t>
            </w:r>
            <w:proofErr w:type="spellEnd"/>
            <w:r w:rsidRPr="00D34FAE">
              <w:rPr>
                <w:sz w:val="20"/>
                <w:lang w:val="en-US"/>
              </w:rPr>
              <w:t xml:space="preserve"> </w:t>
            </w:r>
          </w:p>
        </w:tc>
        <w:tc>
          <w:tcPr>
            <w:tcW w:w="1276" w:type="dxa"/>
            <w:vAlign w:val="bottom"/>
          </w:tcPr>
          <w:p w:rsidR="004F07A0" w:rsidRPr="00D34FAE" w:rsidRDefault="004F07A0" w:rsidP="004F07A0">
            <w:pPr>
              <w:rPr>
                <w:sz w:val="20"/>
                <w:lang w:val="en-US"/>
              </w:rPr>
            </w:pPr>
            <w:r w:rsidRPr="00D34FAE">
              <w:rPr>
                <w:sz w:val="20"/>
                <w:lang w:val="en-US"/>
              </w:rPr>
              <w:t xml:space="preserve">35% </w:t>
            </w:r>
          </w:p>
        </w:tc>
        <w:tc>
          <w:tcPr>
            <w:tcW w:w="1275" w:type="dxa"/>
            <w:vAlign w:val="bottom"/>
          </w:tcPr>
          <w:p w:rsidR="004F07A0" w:rsidRPr="00D34FAE" w:rsidRDefault="004F07A0" w:rsidP="004F07A0">
            <w:pPr>
              <w:rPr>
                <w:sz w:val="20"/>
                <w:lang w:val="en-US"/>
              </w:rPr>
            </w:pPr>
            <w:r w:rsidRPr="00D34FAE">
              <w:rPr>
                <w:sz w:val="20"/>
                <w:lang w:val="en-US"/>
              </w:rPr>
              <w:t xml:space="preserve">8% </w:t>
            </w:r>
          </w:p>
        </w:tc>
        <w:tc>
          <w:tcPr>
            <w:tcW w:w="1418" w:type="dxa"/>
            <w:vAlign w:val="bottom"/>
          </w:tcPr>
          <w:p w:rsidR="004F07A0" w:rsidRPr="00D34FAE" w:rsidRDefault="004F07A0" w:rsidP="004F07A0">
            <w:pPr>
              <w:jc w:val="center"/>
              <w:rPr>
                <w:sz w:val="20"/>
                <w:lang w:val="en-US"/>
              </w:rPr>
            </w:pPr>
            <w:r w:rsidRPr="00D34FAE">
              <w:rPr>
                <w:sz w:val="20"/>
                <w:lang w:val="en-US"/>
              </w:rPr>
              <w:t>16%</w:t>
            </w:r>
          </w:p>
        </w:tc>
        <w:tc>
          <w:tcPr>
            <w:tcW w:w="1276" w:type="dxa"/>
            <w:vAlign w:val="bottom"/>
          </w:tcPr>
          <w:p w:rsidR="004F07A0" w:rsidRPr="00D34FAE" w:rsidRDefault="004F07A0" w:rsidP="004F07A0">
            <w:pPr>
              <w:jc w:val="center"/>
              <w:rPr>
                <w:sz w:val="20"/>
                <w:lang w:val="en-US"/>
              </w:rPr>
            </w:pPr>
            <w:r w:rsidRPr="00D34FAE">
              <w:rPr>
                <w:sz w:val="20"/>
                <w:lang w:val="en-US"/>
              </w:rPr>
              <w:t>2%</w:t>
            </w:r>
          </w:p>
        </w:tc>
      </w:tr>
      <w:tr w:rsidR="004F07A0" w:rsidRPr="00D34FAE" w:rsidTr="00B74185">
        <w:trPr>
          <w:trHeight w:val="100"/>
        </w:trPr>
        <w:tc>
          <w:tcPr>
            <w:tcW w:w="3227" w:type="dxa"/>
          </w:tcPr>
          <w:p w:rsidR="004F07A0" w:rsidRPr="00D34FAE" w:rsidRDefault="004F07A0" w:rsidP="004F07A0">
            <w:pPr>
              <w:ind w:left="720"/>
              <w:rPr>
                <w:sz w:val="20"/>
                <w:lang w:val="en-US"/>
              </w:rPr>
            </w:pPr>
            <w:r w:rsidRPr="00D34FAE">
              <w:rPr>
                <w:sz w:val="20"/>
                <w:lang w:val="en-US"/>
              </w:rPr>
              <w:t xml:space="preserve">Headache </w:t>
            </w:r>
          </w:p>
        </w:tc>
        <w:tc>
          <w:tcPr>
            <w:tcW w:w="1276" w:type="dxa"/>
          </w:tcPr>
          <w:p w:rsidR="004F07A0" w:rsidRPr="00D34FAE" w:rsidRDefault="004F07A0" w:rsidP="004F07A0">
            <w:pPr>
              <w:rPr>
                <w:sz w:val="20"/>
                <w:lang w:val="en-US"/>
              </w:rPr>
            </w:pPr>
            <w:r w:rsidRPr="00D34FAE">
              <w:rPr>
                <w:sz w:val="20"/>
                <w:lang w:val="en-US"/>
              </w:rPr>
              <w:t xml:space="preserve">19% </w:t>
            </w:r>
          </w:p>
        </w:tc>
        <w:tc>
          <w:tcPr>
            <w:tcW w:w="1275" w:type="dxa"/>
          </w:tcPr>
          <w:p w:rsidR="004F07A0" w:rsidRPr="00D34FAE" w:rsidRDefault="004F07A0" w:rsidP="004F07A0">
            <w:pPr>
              <w:rPr>
                <w:sz w:val="20"/>
                <w:lang w:val="en-US"/>
              </w:rPr>
            </w:pPr>
            <w:r w:rsidRPr="00D34FAE">
              <w:rPr>
                <w:sz w:val="20"/>
                <w:lang w:val="en-US"/>
              </w:rPr>
              <w:t xml:space="preserve">&lt;1% </w:t>
            </w:r>
          </w:p>
        </w:tc>
        <w:tc>
          <w:tcPr>
            <w:tcW w:w="1418" w:type="dxa"/>
          </w:tcPr>
          <w:p w:rsidR="004F07A0" w:rsidRPr="00D34FAE" w:rsidRDefault="004F07A0" w:rsidP="004F07A0">
            <w:pPr>
              <w:jc w:val="center"/>
              <w:rPr>
                <w:sz w:val="20"/>
                <w:lang w:val="en-US"/>
              </w:rPr>
            </w:pPr>
            <w:r w:rsidRPr="00D34FAE">
              <w:rPr>
                <w:sz w:val="20"/>
                <w:lang w:val="en-US"/>
              </w:rPr>
              <w:t>12%</w:t>
            </w:r>
          </w:p>
        </w:tc>
        <w:tc>
          <w:tcPr>
            <w:tcW w:w="1276" w:type="dxa"/>
          </w:tcPr>
          <w:p w:rsidR="004F07A0" w:rsidRPr="00D34FAE" w:rsidRDefault="004F07A0" w:rsidP="004F07A0">
            <w:pPr>
              <w:jc w:val="center"/>
              <w:rPr>
                <w:sz w:val="20"/>
                <w:lang w:val="en-US"/>
              </w:rPr>
            </w:pPr>
            <w:r w:rsidRPr="00D34FAE">
              <w:rPr>
                <w:sz w:val="20"/>
                <w:lang w:val="en-US"/>
              </w:rPr>
              <w:t>&lt;1%</w:t>
            </w:r>
          </w:p>
        </w:tc>
      </w:tr>
      <w:tr w:rsidR="004F07A0" w:rsidRPr="00D34FAE" w:rsidTr="00B74185">
        <w:trPr>
          <w:trHeight w:val="112"/>
        </w:trPr>
        <w:tc>
          <w:tcPr>
            <w:tcW w:w="3227" w:type="dxa"/>
            <w:vAlign w:val="center"/>
          </w:tcPr>
          <w:p w:rsidR="004F07A0" w:rsidRPr="00D34FAE" w:rsidRDefault="004F07A0" w:rsidP="004F07A0">
            <w:pPr>
              <w:rPr>
                <w:sz w:val="20"/>
                <w:lang w:val="en-US"/>
              </w:rPr>
            </w:pPr>
            <w:r w:rsidRPr="00D34FAE">
              <w:rPr>
                <w:b/>
                <w:bCs/>
                <w:sz w:val="20"/>
                <w:lang w:val="en-US"/>
              </w:rPr>
              <w:t xml:space="preserve">Respiratory, thoracic, and </w:t>
            </w:r>
            <w:proofErr w:type="spellStart"/>
            <w:r w:rsidRPr="00D34FAE">
              <w:rPr>
                <w:b/>
                <w:bCs/>
                <w:sz w:val="20"/>
                <w:lang w:val="en-US"/>
              </w:rPr>
              <w:t>mediastinal</w:t>
            </w:r>
            <w:proofErr w:type="spellEnd"/>
            <w:r w:rsidRPr="00D34FAE">
              <w:rPr>
                <w:b/>
                <w:bCs/>
                <w:sz w:val="20"/>
                <w:lang w:val="en-US"/>
              </w:rPr>
              <w:t xml:space="preserve"> disorders</w:t>
            </w:r>
          </w:p>
        </w:tc>
        <w:tc>
          <w:tcPr>
            <w:tcW w:w="5245" w:type="dxa"/>
            <w:gridSpan w:val="4"/>
            <w:vAlign w:val="center"/>
          </w:tcPr>
          <w:p w:rsidR="004F07A0" w:rsidRPr="00D34FAE" w:rsidRDefault="004F07A0" w:rsidP="004F07A0">
            <w:pPr>
              <w:jc w:val="center"/>
              <w:rPr>
                <w:sz w:val="20"/>
                <w:lang w:val="en-US"/>
              </w:rPr>
            </w:pPr>
          </w:p>
        </w:tc>
      </w:tr>
      <w:tr w:rsidR="004F07A0" w:rsidRPr="00D34FAE" w:rsidTr="00B74185">
        <w:trPr>
          <w:trHeight w:val="126"/>
        </w:trPr>
        <w:tc>
          <w:tcPr>
            <w:tcW w:w="3227" w:type="dxa"/>
            <w:vAlign w:val="center"/>
          </w:tcPr>
          <w:p w:rsidR="004F07A0" w:rsidRPr="00D34FAE" w:rsidRDefault="004F07A0" w:rsidP="004F07A0">
            <w:pPr>
              <w:ind w:left="720"/>
              <w:rPr>
                <w:sz w:val="20"/>
                <w:lang w:val="en-US"/>
              </w:rPr>
            </w:pPr>
            <w:r w:rsidRPr="00D34FAE">
              <w:rPr>
                <w:sz w:val="20"/>
                <w:lang w:val="en-US"/>
              </w:rPr>
              <w:t xml:space="preserve">Cough </w:t>
            </w:r>
          </w:p>
        </w:tc>
        <w:tc>
          <w:tcPr>
            <w:tcW w:w="1276" w:type="dxa"/>
            <w:vAlign w:val="center"/>
          </w:tcPr>
          <w:p w:rsidR="004F07A0" w:rsidRPr="00D34FAE" w:rsidRDefault="004F07A0" w:rsidP="004F07A0">
            <w:pPr>
              <w:rPr>
                <w:sz w:val="20"/>
                <w:lang w:val="en-US"/>
              </w:rPr>
            </w:pPr>
            <w:r w:rsidRPr="00D34FAE">
              <w:rPr>
                <w:sz w:val="20"/>
                <w:lang w:val="en-US"/>
              </w:rPr>
              <w:t xml:space="preserve">14% </w:t>
            </w:r>
          </w:p>
        </w:tc>
        <w:tc>
          <w:tcPr>
            <w:tcW w:w="1275" w:type="dxa"/>
            <w:vAlign w:val="center"/>
          </w:tcPr>
          <w:p w:rsidR="004F07A0" w:rsidRPr="00D34FAE" w:rsidRDefault="004F07A0" w:rsidP="004F07A0">
            <w:pPr>
              <w:rPr>
                <w:sz w:val="20"/>
                <w:lang w:val="en-US"/>
              </w:rPr>
            </w:pPr>
            <w:r w:rsidRPr="00D34FAE">
              <w:rPr>
                <w:sz w:val="20"/>
                <w:lang w:val="en-US"/>
              </w:rPr>
              <w:t xml:space="preserve">0 </w:t>
            </w:r>
          </w:p>
        </w:tc>
        <w:tc>
          <w:tcPr>
            <w:tcW w:w="1418" w:type="dxa"/>
            <w:vAlign w:val="center"/>
          </w:tcPr>
          <w:p w:rsidR="004F07A0" w:rsidRPr="00D34FAE" w:rsidRDefault="004F07A0" w:rsidP="004F07A0">
            <w:pPr>
              <w:jc w:val="center"/>
              <w:rPr>
                <w:sz w:val="20"/>
                <w:lang w:val="en-US"/>
              </w:rPr>
            </w:pPr>
            <w:r w:rsidRPr="00D34FAE">
              <w:rPr>
                <w:sz w:val="20"/>
                <w:lang w:val="en-US"/>
              </w:rPr>
              <w:t>9%</w:t>
            </w:r>
          </w:p>
        </w:tc>
        <w:tc>
          <w:tcPr>
            <w:tcW w:w="1276" w:type="dxa"/>
            <w:vAlign w:val="center"/>
          </w:tcPr>
          <w:p w:rsidR="004F07A0" w:rsidRPr="00D34FAE" w:rsidRDefault="004F07A0" w:rsidP="004F07A0">
            <w:pPr>
              <w:jc w:val="center"/>
              <w:rPr>
                <w:sz w:val="20"/>
                <w:lang w:val="en-US"/>
              </w:rPr>
            </w:pPr>
            <w:r w:rsidRPr="00D34FAE">
              <w:rPr>
                <w:sz w:val="20"/>
                <w:lang w:val="en-US"/>
              </w:rPr>
              <w:t>0</w:t>
            </w:r>
          </w:p>
        </w:tc>
      </w:tr>
      <w:tr w:rsidR="004F07A0" w:rsidRPr="00D34FAE" w:rsidTr="00B74185">
        <w:trPr>
          <w:trHeight w:val="112"/>
        </w:trPr>
        <w:tc>
          <w:tcPr>
            <w:tcW w:w="3227" w:type="dxa"/>
          </w:tcPr>
          <w:p w:rsidR="004F07A0" w:rsidRPr="00D34FAE" w:rsidRDefault="004F07A0" w:rsidP="004F07A0">
            <w:pPr>
              <w:ind w:left="720"/>
              <w:rPr>
                <w:sz w:val="20"/>
                <w:lang w:val="en-US"/>
              </w:rPr>
            </w:pPr>
            <w:proofErr w:type="spellStart"/>
            <w:r w:rsidRPr="00D34FAE">
              <w:rPr>
                <w:sz w:val="20"/>
                <w:lang w:val="en-US"/>
              </w:rPr>
              <w:t>Dyspnea</w:t>
            </w:r>
            <w:proofErr w:type="spellEnd"/>
            <w:r w:rsidRPr="00D34FAE">
              <w:rPr>
                <w:sz w:val="20"/>
                <w:lang w:val="en-US"/>
              </w:rPr>
              <w:t xml:space="preserve"> </w:t>
            </w:r>
          </w:p>
        </w:tc>
        <w:tc>
          <w:tcPr>
            <w:tcW w:w="1276" w:type="dxa"/>
          </w:tcPr>
          <w:p w:rsidR="004F07A0" w:rsidRPr="00D34FAE" w:rsidRDefault="004F07A0" w:rsidP="004F07A0">
            <w:pPr>
              <w:rPr>
                <w:sz w:val="20"/>
                <w:lang w:val="en-US"/>
              </w:rPr>
            </w:pPr>
            <w:r w:rsidRPr="00D34FAE">
              <w:rPr>
                <w:sz w:val="20"/>
                <w:lang w:val="en-US"/>
              </w:rPr>
              <w:t xml:space="preserve">16% </w:t>
            </w:r>
          </w:p>
        </w:tc>
        <w:tc>
          <w:tcPr>
            <w:tcW w:w="1275" w:type="dxa"/>
          </w:tcPr>
          <w:p w:rsidR="004F07A0" w:rsidRPr="00D34FAE" w:rsidRDefault="004F07A0" w:rsidP="004F07A0">
            <w:pPr>
              <w:rPr>
                <w:sz w:val="20"/>
                <w:lang w:val="en-US"/>
              </w:rPr>
            </w:pPr>
            <w:r w:rsidRPr="00D34FAE">
              <w:rPr>
                <w:sz w:val="20"/>
                <w:lang w:val="en-US"/>
              </w:rPr>
              <w:t xml:space="preserve">4% </w:t>
            </w:r>
          </w:p>
        </w:tc>
        <w:tc>
          <w:tcPr>
            <w:tcW w:w="1418" w:type="dxa"/>
          </w:tcPr>
          <w:p w:rsidR="004F07A0" w:rsidRPr="00D34FAE" w:rsidRDefault="004F07A0" w:rsidP="004F07A0">
            <w:pPr>
              <w:jc w:val="center"/>
              <w:rPr>
                <w:sz w:val="20"/>
                <w:lang w:val="en-US"/>
              </w:rPr>
            </w:pPr>
            <w:r w:rsidRPr="00D34FAE">
              <w:rPr>
                <w:sz w:val="20"/>
                <w:lang w:val="en-US"/>
              </w:rPr>
              <w:t>13%</w:t>
            </w:r>
          </w:p>
        </w:tc>
        <w:tc>
          <w:tcPr>
            <w:tcW w:w="1276" w:type="dxa"/>
          </w:tcPr>
          <w:p w:rsidR="004F07A0" w:rsidRPr="00D34FAE" w:rsidRDefault="004F07A0" w:rsidP="004F07A0">
            <w:pPr>
              <w:jc w:val="center"/>
              <w:rPr>
                <w:sz w:val="20"/>
                <w:lang w:val="en-US"/>
              </w:rPr>
            </w:pPr>
            <w:r w:rsidRPr="00D34FAE">
              <w:rPr>
                <w:sz w:val="20"/>
                <w:lang w:val="en-US"/>
              </w:rPr>
              <w:t>4%</w:t>
            </w:r>
          </w:p>
        </w:tc>
      </w:tr>
      <w:tr w:rsidR="004F07A0" w:rsidRPr="00D34FAE" w:rsidTr="00B74185">
        <w:trPr>
          <w:trHeight w:val="127"/>
        </w:trPr>
        <w:tc>
          <w:tcPr>
            <w:tcW w:w="3227" w:type="dxa"/>
            <w:vAlign w:val="center"/>
          </w:tcPr>
          <w:p w:rsidR="004F07A0" w:rsidRPr="00D34FAE" w:rsidRDefault="004F07A0" w:rsidP="004F07A0">
            <w:pPr>
              <w:rPr>
                <w:sz w:val="20"/>
                <w:lang w:val="en-US"/>
              </w:rPr>
            </w:pPr>
            <w:r w:rsidRPr="00D34FAE">
              <w:rPr>
                <w:b/>
                <w:bCs/>
                <w:sz w:val="20"/>
                <w:lang w:val="en-US"/>
              </w:rPr>
              <w:t>Gastrointestinal disorders</w:t>
            </w:r>
          </w:p>
        </w:tc>
        <w:tc>
          <w:tcPr>
            <w:tcW w:w="5245" w:type="dxa"/>
            <w:gridSpan w:val="4"/>
            <w:vAlign w:val="center"/>
          </w:tcPr>
          <w:p w:rsidR="004F07A0" w:rsidRPr="00D34FAE" w:rsidRDefault="004F07A0" w:rsidP="004F07A0">
            <w:pPr>
              <w:jc w:val="center"/>
              <w:rPr>
                <w:sz w:val="20"/>
                <w:lang w:val="en-US"/>
              </w:rPr>
            </w:pPr>
          </w:p>
        </w:tc>
      </w:tr>
      <w:tr w:rsidR="004F07A0" w:rsidRPr="00D34FAE" w:rsidTr="00B74185">
        <w:trPr>
          <w:trHeight w:val="126"/>
        </w:trPr>
        <w:tc>
          <w:tcPr>
            <w:tcW w:w="3227" w:type="dxa"/>
            <w:vAlign w:val="center"/>
          </w:tcPr>
          <w:p w:rsidR="004F07A0" w:rsidRPr="00D34FAE" w:rsidRDefault="004F07A0" w:rsidP="004F07A0">
            <w:pPr>
              <w:ind w:left="720"/>
              <w:rPr>
                <w:sz w:val="20"/>
                <w:lang w:val="en-US"/>
              </w:rPr>
            </w:pPr>
            <w:r w:rsidRPr="00D34FAE">
              <w:rPr>
                <w:sz w:val="20"/>
                <w:lang w:val="en-US"/>
              </w:rPr>
              <w:t xml:space="preserve">Constipation </w:t>
            </w:r>
          </w:p>
        </w:tc>
        <w:tc>
          <w:tcPr>
            <w:tcW w:w="1276" w:type="dxa"/>
            <w:vAlign w:val="center"/>
          </w:tcPr>
          <w:p w:rsidR="004F07A0" w:rsidRPr="00D34FAE" w:rsidRDefault="004F07A0" w:rsidP="004F07A0">
            <w:pPr>
              <w:rPr>
                <w:sz w:val="20"/>
                <w:lang w:val="en-US"/>
              </w:rPr>
            </w:pPr>
            <w:r w:rsidRPr="00D34FAE">
              <w:rPr>
                <w:sz w:val="20"/>
                <w:lang w:val="en-US"/>
              </w:rPr>
              <w:t xml:space="preserve">25% </w:t>
            </w:r>
          </w:p>
        </w:tc>
        <w:tc>
          <w:tcPr>
            <w:tcW w:w="1275" w:type="dxa"/>
            <w:vAlign w:val="center"/>
          </w:tcPr>
          <w:p w:rsidR="004F07A0" w:rsidRPr="00D34FAE" w:rsidRDefault="004F07A0" w:rsidP="004F07A0">
            <w:pPr>
              <w:rPr>
                <w:sz w:val="20"/>
                <w:lang w:val="en-US"/>
              </w:rPr>
            </w:pPr>
            <w:r w:rsidRPr="00D34FAE">
              <w:rPr>
                <w:sz w:val="20"/>
                <w:lang w:val="en-US"/>
              </w:rPr>
              <w:t xml:space="preserve">1% </w:t>
            </w:r>
          </w:p>
        </w:tc>
        <w:tc>
          <w:tcPr>
            <w:tcW w:w="1418" w:type="dxa"/>
            <w:vAlign w:val="center"/>
          </w:tcPr>
          <w:p w:rsidR="004F07A0" w:rsidRPr="00D34FAE" w:rsidRDefault="004F07A0" w:rsidP="004F07A0">
            <w:pPr>
              <w:jc w:val="center"/>
              <w:rPr>
                <w:sz w:val="20"/>
                <w:lang w:val="en-US"/>
              </w:rPr>
            </w:pPr>
            <w:r w:rsidRPr="00D34FAE">
              <w:rPr>
                <w:sz w:val="20"/>
                <w:lang w:val="en-US"/>
              </w:rPr>
              <w:t>21%</w:t>
            </w:r>
          </w:p>
        </w:tc>
        <w:tc>
          <w:tcPr>
            <w:tcW w:w="1276" w:type="dxa"/>
            <w:vAlign w:val="center"/>
          </w:tcPr>
          <w:p w:rsidR="004F07A0" w:rsidRPr="00D34FAE" w:rsidRDefault="004F07A0" w:rsidP="004F07A0">
            <w:pPr>
              <w:jc w:val="center"/>
              <w:rPr>
                <w:sz w:val="20"/>
                <w:lang w:val="en-US"/>
              </w:rPr>
            </w:pPr>
            <w:r w:rsidRPr="00D34FAE">
              <w:rPr>
                <w:sz w:val="20"/>
                <w:lang w:val="en-US"/>
              </w:rPr>
              <w:t>1%</w:t>
            </w:r>
          </w:p>
        </w:tc>
      </w:tr>
      <w:tr w:rsidR="004F07A0" w:rsidRPr="00D34FAE" w:rsidTr="00B74185">
        <w:trPr>
          <w:trHeight w:val="101"/>
        </w:trPr>
        <w:tc>
          <w:tcPr>
            <w:tcW w:w="3227" w:type="dxa"/>
          </w:tcPr>
          <w:p w:rsidR="004F07A0" w:rsidRPr="00D34FAE" w:rsidRDefault="004F07A0" w:rsidP="004F07A0">
            <w:pPr>
              <w:ind w:left="720"/>
              <w:rPr>
                <w:sz w:val="20"/>
                <w:lang w:val="en-US"/>
              </w:rPr>
            </w:pPr>
            <w:proofErr w:type="spellStart"/>
            <w:r w:rsidRPr="00D34FAE">
              <w:rPr>
                <w:sz w:val="20"/>
                <w:lang w:val="en-US"/>
              </w:rPr>
              <w:t>Diarrhoea</w:t>
            </w:r>
            <w:proofErr w:type="spellEnd"/>
            <w:r w:rsidRPr="00D34FAE">
              <w:rPr>
                <w:sz w:val="20"/>
                <w:lang w:val="en-US"/>
              </w:rPr>
              <w:t xml:space="preserve"> </w:t>
            </w:r>
          </w:p>
        </w:tc>
        <w:tc>
          <w:tcPr>
            <w:tcW w:w="1276" w:type="dxa"/>
          </w:tcPr>
          <w:p w:rsidR="004F07A0" w:rsidRPr="00D34FAE" w:rsidRDefault="004F07A0" w:rsidP="004F07A0">
            <w:pPr>
              <w:rPr>
                <w:sz w:val="20"/>
                <w:lang w:val="en-US"/>
              </w:rPr>
            </w:pPr>
            <w:r w:rsidRPr="00D34FAE">
              <w:rPr>
                <w:sz w:val="20"/>
                <w:lang w:val="en-US"/>
              </w:rPr>
              <w:t xml:space="preserve">18% </w:t>
            </w:r>
          </w:p>
        </w:tc>
        <w:tc>
          <w:tcPr>
            <w:tcW w:w="1275" w:type="dxa"/>
          </w:tcPr>
          <w:p w:rsidR="004F07A0" w:rsidRPr="00D34FAE" w:rsidRDefault="004F07A0" w:rsidP="004F07A0">
            <w:pPr>
              <w:rPr>
                <w:sz w:val="20"/>
                <w:lang w:val="en-US"/>
              </w:rPr>
            </w:pPr>
            <w:r w:rsidRPr="00D34FAE">
              <w:rPr>
                <w:sz w:val="20"/>
                <w:lang w:val="en-US"/>
              </w:rPr>
              <w:t xml:space="preserve">0 </w:t>
            </w:r>
          </w:p>
        </w:tc>
        <w:tc>
          <w:tcPr>
            <w:tcW w:w="1418" w:type="dxa"/>
          </w:tcPr>
          <w:p w:rsidR="004F07A0" w:rsidRPr="00D34FAE" w:rsidRDefault="004F07A0" w:rsidP="004F07A0">
            <w:pPr>
              <w:jc w:val="center"/>
              <w:rPr>
                <w:sz w:val="20"/>
                <w:lang w:val="en-US"/>
              </w:rPr>
            </w:pPr>
            <w:r w:rsidRPr="00D34FAE">
              <w:rPr>
                <w:sz w:val="20"/>
                <w:lang w:val="en-US"/>
              </w:rPr>
              <w:t>18%</w:t>
            </w:r>
          </w:p>
        </w:tc>
        <w:tc>
          <w:tcPr>
            <w:tcW w:w="1276" w:type="dxa"/>
          </w:tcPr>
          <w:p w:rsidR="004F07A0" w:rsidRPr="00D34FAE" w:rsidRDefault="004F07A0" w:rsidP="004F07A0">
            <w:pPr>
              <w:jc w:val="center"/>
              <w:rPr>
                <w:sz w:val="20"/>
                <w:lang w:val="en-US"/>
              </w:rPr>
            </w:pPr>
            <w:r w:rsidRPr="00D34FAE">
              <w:rPr>
                <w:sz w:val="20"/>
                <w:lang w:val="en-US"/>
              </w:rPr>
              <w:t>0</w:t>
            </w:r>
          </w:p>
        </w:tc>
      </w:tr>
      <w:tr w:rsidR="004F07A0" w:rsidRPr="00D34FAE" w:rsidTr="00B74185">
        <w:trPr>
          <w:trHeight w:val="112"/>
        </w:trPr>
        <w:tc>
          <w:tcPr>
            <w:tcW w:w="3227" w:type="dxa"/>
            <w:vAlign w:val="center"/>
          </w:tcPr>
          <w:p w:rsidR="004F07A0" w:rsidRPr="00D34FAE" w:rsidRDefault="004F07A0" w:rsidP="004F07A0">
            <w:pPr>
              <w:ind w:left="720"/>
              <w:rPr>
                <w:sz w:val="20"/>
                <w:lang w:val="en-US"/>
              </w:rPr>
            </w:pPr>
            <w:r w:rsidRPr="00D34FAE">
              <w:rPr>
                <w:sz w:val="20"/>
                <w:lang w:val="en-US"/>
              </w:rPr>
              <w:t xml:space="preserve">Nausea </w:t>
            </w:r>
          </w:p>
        </w:tc>
        <w:tc>
          <w:tcPr>
            <w:tcW w:w="1276" w:type="dxa"/>
            <w:vAlign w:val="center"/>
          </w:tcPr>
          <w:p w:rsidR="004F07A0" w:rsidRPr="00D34FAE" w:rsidRDefault="004F07A0" w:rsidP="004F07A0">
            <w:pPr>
              <w:rPr>
                <w:sz w:val="20"/>
                <w:lang w:val="en-US"/>
              </w:rPr>
            </w:pPr>
            <w:r w:rsidRPr="00D34FAE">
              <w:rPr>
                <w:sz w:val="20"/>
                <w:lang w:val="en-US"/>
              </w:rPr>
              <w:t xml:space="preserve">35% </w:t>
            </w:r>
          </w:p>
        </w:tc>
        <w:tc>
          <w:tcPr>
            <w:tcW w:w="1275" w:type="dxa"/>
            <w:vAlign w:val="center"/>
          </w:tcPr>
          <w:p w:rsidR="004F07A0" w:rsidRPr="00D34FAE" w:rsidRDefault="004F07A0" w:rsidP="004F07A0">
            <w:pPr>
              <w:rPr>
                <w:sz w:val="20"/>
                <w:lang w:val="en-US"/>
              </w:rPr>
            </w:pPr>
            <w:r w:rsidRPr="00D34FAE">
              <w:rPr>
                <w:sz w:val="20"/>
                <w:lang w:val="en-US"/>
              </w:rPr>
              <w:t xml:space="preserve">1% </w:t>
            </w:r>
          </w:p>
        </w:tc>
        <w:tc>
          <w:tcPr>
            <w:tcW w:w="1418" w:type="dxa"/>
            <w:vAlign w:val="center"/>
          </w:tcPr>
          <w:p w:rsidR="004F07A0" w:rsidRPr="00D34FAE" w:rsidRDefault="004F07A0" w:rsidP="004F07A0">
            <w:pPr>
              <w:jc w:val="center"/>
              <w:rPr>
                <w:sz w:val="20"/>
                <w:lang w:val="en-US"/>
              </w:rPr>
            </w:pPr>
            <w:r w:rsidRPr="00D34FAE">
              <w:rPr>
                <w:sz w:val="20"/>
                <w:lang w:val="en-US"/>
              </w:rPr>
              <w:t>28%</w:t>
            </w:r>
          </w:p>
        </w:tc>
        <w:tc>
          <w:tcPr>
            <w:tcW w:w="1276" w:type="dxa"/>
            <w:vAlign w:val="center"/>
          </w:tcPr>
          <w:p w:rsidR="004F07A0" w:rsidRPr="00D34FAE" w:rsidRDefault="004F07A0" w:rsidP="004F07A0">
            <w:pPr>
              <w:jc w:val="center"/>
              <w:rPr>
                <w:sz w:val="20"/>
                <w:lang w:val="en-US"/>
              </w:rPr>
            </w:pPr>
            <w:r w:rsidRPr="00D34FAE">
              <w:rPr>
                <w:sz w:val="20"/>
                <w:lang w:val="en-US"/>
              </w:rPr>
              <w:t>3%</w:t>
            </w:r>
          </w:p>
        </w:tc>
      </w:tr>
      <w:tr w:rsidR="004F07A0" w:rsidRPr="00D34FAE" w:rsidTr="00B74185">
        <w:trPr>
          <w:trHeight w:val="127"/>
        </w:trPr>
        <w:tc>
          <w:tcPr>
            <w:tcW w:w="3227" w:type="dxa"/>
            <w:vAlign w:val="center"/>
          </w:tcPr>
          <w:p w:rsidR="004F07A0" w:rsidRPr="00D34FAE" w:rsidRDefault="004F07A0" w:rsidP="004F07A0">
            <w:pPr>
              <w:ind w:left="720"/>
              <w:rPr>
                <w:sz w:val="20"/>
                <w:lang w:val="en-US"/>
              </w:rPr>
            </w:pPr>
            <w:r w:rsidRPr="00D34FAE">
              <w:rPr>
                <w:sz w:val="20"/>
                <w:lang w:val="en-US"/>
              </w:rPr>
              <w:t xml:space="preserve">Vomiting </w:t>
            </w:r>
          </w:p>
        </w:tc>
        <w:tc>
          <w:tcPr>
            <w:tcW w:w="1276" w:type="dxa"/>
            <w:vAlign w:val="center"/>
          </w:tcPr>
          <w:p w:rsidR="004F07A0" w:rsidRPr="00D34FAE" w:rsidRDefault="004F07A0" w:rsidP="004F07A0">
            <w:pPr>
              <w:rPr>
                <w:sz w:val="20"/>
                <w:lang w:val="en-US"/>
              </w:rPr>
            </w:pPr>
            <w:r w:rsidRPr="00D34FAE">
              <w:rPr>
                <w:sz w:val="20"/>
                <w:lang w:val="en-US"/>
              </w:rPr>
              <w:t xml:space="preserve">18% </w:t>
            </w:r>
          </w:p>
        </w:tc>
        <w:tc>
          <w:tcPr>
            <w:tcW w:w="1275" w:type="dxa"/>
            <w:vAlign w:val="center"/>
          </w:tcPr>
          <w:p w:rsidR="004F07A0" w:rsidRPr="00D34FAE" w:rsidRDefault="004F07A0" w:rsidP="004F07A0">
            <w:pPr>
              <w:rPr>
                <w:sz w:val="20"/>
                <w:lang w:val="en-US"/>
              </w:rPr>
            </w:pPr>
            <w:r w:rsidRPr="00D34FAE">
              <w:rPr>
                <w:sz w:val="20"/>
                <w:lang w:val="en-US"/>
              </w:rPr>
              <w:t xml:space="preserve">1% </w:t>
            </w:r>
          </w:p>
        </w:tc>
        <w:tc>
          <w:tcPr>
            <w:tcW w:w="1418" w:type="dxa"/>
            <w:vAlign w:val="center"/>
          </w:tcPr>
          <w:p w:rsidR="004F07A0" w:rsidRPr="00D34FAE" w:rsidRDefault="004F07A0" w:rsidP="004F07A0">
            <w:pPr>
              <w:jc w:val="center"/>
              <w:rPr>
                <w:sz w:val="20"/>
                <w:lang w:val="en-US"/>
              </w:rPr>
            </w:pPr>
            <w:r w:rsidRPr="00D34FAE">
              <w:rPr>
                <w:sz w:val="20"/>
                <w:lang w:val="en-US"/>
              </w:rPr>
              <w:t>18%</w:t>
            </w:r>
          </w:p>
        </w:tc>
        <w:tc>
          <w:tcPr>
            <w:tcW w:w="1276" w:type="dxa"/>
            <w:vAlign w:val="center"/>
          </w:tcPr>
          <w:p w:rsidR="004F07A0" w:rsidRPr="00D34FAE" w:rsidRDefault="004F07A0" w:rsidP="004F07A0">
            <w:pPr>
              <w:jc w:val="center"/>
              <w:rPr>
                <w:sz w:val="20"/>
                <w:lang w:val="en-US"/>
              </w:rPr>
            </w:pPr>
            <w:r w:rsidRPr="00D34FAE">
              <w:rPr>
                <w:sz w:val="20"/>
                <w:lang w:val="en-US"/>
              </w:rPr>
              <w:t>1%</w:t>
            </w:r>
          </w:p>
        </w:tc>
      </w:tr>
      <w:tr w:rsidR="004F07A0" w:rsidRPr="00D34FAE" w:rsidTr="00B74185">
        <w:trPr>
          <w:trHeight w:val="112"/>
        </w:trPr>
        <w:tc>
          <w:tcPr>
            <w:tcW w:w="3227" w:type="dxa"/>
          </w:tcPr>
          <w:p w:rsidR="004F07A0" w:rsidRPr="00D34FAE" w:rsidRDefault="004F07A0" w:rsidP="004F07A0">
            <w:pPr>
              <w:rPr>
                <w:sz w:val="20"/>
                <w:lang w:val="en-US"/>
              </w:rPr>
            </w:pPr>
            <w:r w:rsidRPr="00D34FAE">
              <w:rPr>
                <w:b/>
                <w:bCs/>
                <w:sz w:val="20"/>
                <w:lang w:val="en-US"/>
              </w:rPr>
              <w:t>Skin and subcutaneous tissue disorders</w:t>
            </w:r>
          </w:p>
        </w:tc>
        <w:tc>
          <w:tcPr>
            <w:tcW w:w="5245" w:type="dxa"/>
            <w:gridSpan w:val="4"/>
          </w:tcPr>
          <w:p w:rsidR="004F07A0" w:rsidRPr="00D34FAE" w:rsidRDefault="004F07A0" w:rsidP="004F07A0">
            <w:pPr>
              <w:jc w:val="center"/>
              <w:rPr>
                <w:sz w:val="20"/>
                <w:lang w:val="en-US"/>
              </w:rPr>
            </w:pPr>
          </w:p>
        </w:tc>
      </w:tr>
      <w:tr w:rsidR="004F07A0" w:rsidRPr="00D34FAE" w:rsidTr="00B74185">
        <w:trPr>
          <w:trHeight w:val="126"/>
        </w:trPr>
        <w:tc>
          <w:tcPr>
            <w:tcW w:w="3227" w:type="dxa"/>
            <w:vAlign w:val="center"/>
          </w:tcPr>
          <w:p w:rsidR="004F07A0" w:rsidRPr="00D34FAE" w:rsidRDefault="004F07A0" w:rsidP="004F07A0">
            <w:pPr>
              <w:ind w:left="720"/>
              <w:rPr>
                <w:sz w:val="20"/>
                <w:lang w:val="en-US"/>
              </w:rPr>
            </w:pPr>
            <w:r w:rsidRPr="00D34FAE">
              <w:rPr>
                <w:sz w:val="20"/>
                <w:lang w:val="en-US"/>
              </w:rPr>
              <w:t xml:space="preserve">Alopecia </w:t>
            </w:r>
          </w:p>
        </w:tc>
        <w:tc>
          <w:tcPr>
            <w:tcW w:w="1276" w:type="dxa"/>
            <w:vAlign w:val="center"/>
          </w:tcPr>
          <w:p w:rsidR="004F07A0" w:rsidRPr="00D34FAE" w:rsidRDefault="004F07A0" w:rsidP="004F07A0">
            <w:pPr>
              <w:rPr>
                <w:sz w:val="20"/>
                <w:lang w:val="en-US"/>
              </w:rPr>
            </w:pPr>
            <w:r w:rsidRPr="00D34FAE">
              <w:rPr>
                <w:sz w:val="20"/>
                <w:lang w:val="en-US"/>
              </w:rPr>
              <w:t xml:space="preserve">45% </w:t>
            </w:r>
          </w:p>
        </w:tc>
        <w:tc>
          <w:tcPr>
            <w:tcW w:w="1275" w:type="dxa"/>
            <w:vAlign w:val="center"/>
          </w:tcPr>
          <w:p w:rsidR="004F07A0" w:rsidRPr="00D34FAE" w:rsidRDefault="004F07A0" w:rsidP="004F07A0">
            <w:pPr>
              <w:rPr>
                <w:sz w:val="20"/>
                <w:lang w:val="en-US"/>
              </w:rPr>
            </w:pPr>
            <w:proofErr w:type="spellStart"/>
            <w:r w:rsidRPr="00D34FAE">
              <w:rPr>
                <w:sz w:val="20"/>
                <w:lang w:val="en-US"/>
              </w:rPr>
              <w:t>NA</w:t>
            </w:r>
            <w:r w:rsidRPr="00D34FAE">
              <w:rPr>
                <w:sz w:val="20"/>
                <w:vertAlign w:val="superscript"/>
                <w:lang w:val="en-US"/>
              </w:rPr>
              <w:t>c</w:t>
            </w:r>
            <w:proofErr w:type="spellEnd"/>
            <w:r w:rsidRPr="00D34FAE">
              <w:rPr>
                <w:sz w:val="20"/>
                <w:lang w:val="en-US"/>
              </w:rPr>
              <w:t xml:space="preserve"> </w:t>
            </w:r>
          </w:p>
        </w:tc>
        <w:tc>
          <w:tcPr>
            <w:tcW w:w="1418" w:type="dxa"/>
            <w:vAlign w:val="center"/>
          </w:tcPr>
          <w:p w:rsidR="004F07A0" w:rsidRPr="00D34FAE" w:rsidRDefault="004F07A0" w:rsidP="004F07A0">
            <w:pPr>
              <w:jc w:val="center"/>
              <w:rPr>
                <w:sz w:val="20"/>
                <w:lang w:val="en-US"/>
              </w:rPr>
            </w:pPr>
            <w:r w:rsidRPr="00D34FAE">
              <w:rPr>
                <w:sz w:val="20"/>
                <w:lang w:val="en-US"/>
              </w:rPr>
              <w:t>10%</w:t>
            </w:r>
          </w:p>
        </w:tc>
        <w:tc>
          <w:tcPr>
            <w:tcW w:w="1276" w:type="dxa"/>
            <w:vAlign w:val="center"/>
          </w:tcPr>
          <w:p w:rsidR="004F07A0" w:rsidRPr="00D34FAE" w:rsidRDefault="004F07A0" w:rsidP="004F07A0">
            <w:pPr>
              <w:jc w:val="center"/>
              <w:rPr>
                <w:sz w:val="20"/>
                <w:lang w:val="en-US"/>
              </w:rPr>
            </w:pPr>
            <w:proofErr w:type="spellStart"/>
            <w:r w:rsidRPr="00D34FAE">
              <w:rPr>
                <w:sz w:val="20"/>
                <w:lang w:val="en-US"/>
              </w:rPr>
              <w:t>NA</w:t>
            </w:r>
            <w:r w:rsidRPr="00D34FAE">
              <w:rPr>
                <w:sz w:val="20"/>
                <w:vertAlign w:val="superscript"/>
                <w:lang w:val="en-US"/>
              </w:rPr>
              <w:t>c</w:t>
            </w:r>
            <w:proofErr w:type="spellEnd"/>
          </w:p>
        </w:tc>
      </w:tr>
      <w:tr w:rsidR="004F07A0" w:rsidRPr="00D34FAE" w:rsidTr="00B74185">
        <w:trPr>
          <w:trHeight w:val="127"/>
        </w:trPr>
        <w:tc>
          <w:tcPr>
            <w:tcW w:w="3227" w:type="dxa"/>
            <w:vAlign w:val="center"/>
          </w:tcPr>
          <w:p w:rsidR="004F07A0" w:rsidRPr="00D34FAE" w:rsidRDefault="004F07A0" w:rsidP="004F07A0">
            <w:pPr>
              <w:rPr>
                <w:sz w:val="20"/>
                <w:lang w:val="en-US"/>
              </w:rPr>
            </w:pPr>
            <w:r w:rsidRPr="00D34FAE">
              <w:rPr>
                <w:b/>
                <w:bCs/>
                <w:sz w:val="20"/>
                <w:lang w:val="en-US"/>
              </w:rPr>
              <w:t>Musculoskeletal and connective tissue disorders</w:t>
            </w:r>
          </w:p>
        </w:tc>
        <w:tc>
          <w:tcPr>
            <w:tcW w:w="5245" w:type="dxa"/>
            <w:gridSpan w:val="4"/>
            <w:vAlign w:val="center"/>
          </w:tcPr>
          <w:p w:rsidR="004F07A0" w:rsidRPr="00D34FAE" w:rsidRDefault="004F07A0" w:rsidP="004F07A0">
            <w:pPr>
              <w:jc w:val="center"/>
              <w:rPr>
                <w:sz w:val="20"/>
                <w:lang w:val="en-US"/>
              </w:rPr>
            </w:pPr>
          </w:p>
        </w:tc>
      </w:tr>
      <w:tr w:rsidR="004F07A0" w:rsidRPr="00D34FAE" w:rsidTr="00B74185">
        <w:trPr>
          <w:trHeight w:val="126"/>
        </w:trPr>
        <w:tc>
          <w:tcPr>
            <w:tcW w:w="3227" w:type="dxa"/>
            <w:vAlign w:val="center"/>
          </w:tcPr>
          <w:p w:rsidR="004F07A0" w:rsidRPr="00D34FAE" w:rsidRDefault="004F07A0" w:rsidP="004F07A0">
            <w:pPr>
              <w:ind w:left="720"/>
              <w:rPr>
                <w:sz w:val="20"/>
                <w:lang w:val="en-US"/>
              </w:rPr>
            </w:pPr>
            <w:proofErr w:type="spellStart"/>
            <w:r w:rsidRPr="00D34FAE">
              <w:rPr>
                <w:sz w:val="20"/>
                <w:lang w:val="en-US"/>
              </w:rPr>
              <w:t>Arthralgia</w:t>
            </w:r>
            <w:proofErr w:type="spellEnd"/>
            <w:r w:rsidRPr="00D34FAE">
              <w:rPr>
                <w:sz w:val="20"/>
                <w:lang w:val="en-US"/>
              </w:rPr>
              <w:t>/</w:t>
            </w:r>
            <w:proofErr w:type="spellStart"/>
            <w:r w:rsidRPr="00D34FAE">
              <w:rPr>
                <w:sz w:val="20"/>
                <w:lang w:val="en-US"/>
              </w:rPr>
              <w:t>Myalgia</w:t>
            </w:r>
            <w:proofErr w:type="spellEnd"/>
            <w:r w:rsidRPr="00D34FAE">
              <w:rPr>
                <w:sz w:val="20"/>
                <w:lang w:val="en-US"/>
              </w:rPr>
              <w:t xml:space="preserve"> </w:t>
            </w:r>
          </w:p>
        </w:tc>
        <w:tc>
          <w:tcPr>
            <w:tcW w:w="1276" w:type="dxa"/>
            <w:vAlign w:val="center"/>
          </w:tcPr>
          <w:p w:rsidR="004F07A0" w:rsidRPr="00D34FAE" w:rsidRDefault="004F07A0" w:rsidP="004F07A0">
            <w:pPr>
              <w:rPr>
                <w:sz w:val="20"/>
                <w:lang w:val="en-US"/>
              </w:rPr>
            </w:pPr>
            <w:r w:rsidRPr="00D34FAE">
              <w:rPr>
                <w:sz w:val="20"/>
                <w:lang w:val="en-US"/>
              </w:rPr>
              <w:t xml:space="preserve">22% </w:t>
            </w:r>
          </w:p>
        </w:tc>
        <w:tc>
          <w:tcPr>
            <w:tcW w:w="1275" w:type="dxa"/>
            <w:vAlign w:val="center"/>
          </w:tcPr>
          <w:p w:rsidR="004F07A0" w:rsidRPr="00D34FAE" w:rsidRDefault="004F07A0" w:rsidP="004F07A0">
            <w:pPr>
              <w:rPr>
                <w:sz w:val="20"/>
                <w:lang w:val="en-US"/>
              </w:rPr>
            </w:pPr>
            <w:r w:rsidRPr="00D34FAE">
              <w:rPr>
                <w:sz w:val="20"/>
                <w:lang w:val="en-US"/>
              </w:rPr>
              <w:t xml:space="preserve">&lt;1% </w:t>
            </w:r>
          </w:p>
        </w:tc>
        <w:tc>
          <w:tcPr>
            <w:tcW w:w="1418" w:type="dxa"/>
            <w:vAlign w:val="center"/>
          </w:tcPr>
          <w:p w:rsidR="004F07A0" w:rsidRPr="00D34FAE" w:rsidRDefault="004F07A0" w:rsidP="004F07A0">
            <w:pPr>
              <w:jc w:val="center"/>
              <w:rPr>
                <w:sz w:val="20"/>
                <w:lang w:val="en-US"/>
              </w:rPr>
            </w:pPr>
            <w:r w:rsidRPr="00D34FAE">
              <w:rPr>
                <w:sz w:val="20"/>
                <w:lang w:val="en-US"/>
              </w:rPr>
              <w:t>12%</w:t>
            </w:r>
          </w:p>
        </w:tc>
        <w:tc>
          <w:tcPr>
            <w:tcW w:w="1276" w:type="dxa"/>
            <w:vAlign w:val="center"/>
          </w:tcPr>
          <w:p w:rsidR="004F07A0" w:rsidRPr="00D34FAE" w:rsidRDefault="004F07A0" w:rsidP="004F07A0">
            <w:pPr>
              <w:jc w:val="center"/>
              <w:rPr>
                <w:sz w:val="20"/>
                <w:lang w:val="en-US"/>
              </w:rPr>
            </w:pPr>
            <w:r w:rsidRPr="00D34FAE">
              <w:rPr>
                <w:sz w:val="20"/>
                <w:lang w:val="en-US"/>
              </w:rPr>
              <w:t>1%</w:t>
            </w:r>
          </w:p>
        </w:tc>
      </w:tr>
      <w:tr w:rsidR="004F07A0" w:rsidRPr="00D34FAE" w:rsidTr="00B74185">
        <w:trPr>
          <w:trHeight w:val="113"/>
        </w:trPr>
        <w:tc>
          <w:tcPr>
            <w:tcW w:w="3227" w:type="dxa"/>
          </w:tcPr>
          <w:p w:rsidR="004F07A0" w:rsidRPr="00D34FAE" w:rsidRDefault="004F07A0" w:rsidP="004F07A0">
            <w:pPr>
              <w:ind w:left="720"/>
              <w:rPr>
                <w:sz w:val="20"/>
                <w:lang w:val="en-US"/>
              </w:rPr>
            </w:pPr>
            <w:r w:rsidRPr="00D34FAE">
              <w:rPr>
                <w:sz w:val="20"/>
                <w:lang w:val="en-US"/>
              </w:rPr>
              <w:t xml:space="preserve">Back pain </w:t>
            </w:r>
          </w:p>
        </w:tc>
        <w:tc>
          <w:tcPr>
            <w:tcW w:w="1276" w:type="dxa"/>
          </w:tcPr>
          <w:p w:rsidR="004F07A0" w:rsidRPr="00D34FAE" w:rsidRDefault="004F07A0" w:rsidP="004F07A0">
            <w:pPr>
              <w:rPr>
                <w:sz w:val="20"/>
                <w:lang w:val="en-US"/>
              </w:rPr>
            </w:pPr>
            <w:r w:rsidRPr="00D34FAE">
              <w:rPr>
                <w:sz w:val="20"/>
                <w:lang w:val="en-US"/>
              </w:rPr>
              <w:t xml:space="preserve">16% </w:t>
            </w:r>
          </w:p>
        </w:tc>
        <w:tc>
          <w:tcPr>
            <w:tcW w:w="1275" w:type="dxa"/>
          </w:tcPr>
          <w:p w:rsidR="004F07A0" w:rsidRPr="00D34FAE" w:rsidRDefault="004F07A0" w:rsidP="004F07A0">
            <w:pPr>
              <w:rPr>
                <w:sz w:val="20"/>
                <w:lang w:val="en-US"/>
              </w:rPr>
            </w:pPr>
            <w:r w:rsidRPr="00D34FAE">
              <w:rPr>
                <w:sz w:val="20"/>
                <w:lang w:val="en-US"/>
              </w:rPr>
              <w:t xml:space="preserve">1% </w:t>
            </w:r>
          </w:p>
        </w:tc>
        <w:tc>
          <w:tcPr>
            <w:tcW w:w="1418" w:type="dxa"/>
          </w:tcPr>
          <w:p w:rsidR="004F07A0" w:rsidRPr="00D34FAE" w:rsidRDefault="004F07A0" w:rsidP="004F07A0">
            <w:pPr>
              <w:jc w:val="center"/>
              <w:rPr>
                <w:sz w:val="20"/>
                <w:lang w:val="en-US"/>
              </w:rPr>
            </w:pPr>
            <w:r w:rsidRPr="00D34FAE">
              <w:rPr>
                <w:sz w:val="20"/>
                <w:lang w:val="en-US"/>
              </w:rPr>
              <w:t>7%</w:t>
            </w:r>
          </w:p>
        </w:tc>
        <w:tc>
          <w:tcPr>
            <w:tcW w:w="1276" w:type="dxa"/>
          </w:tcPr>
          <w:p w:rsidR="004F07A0" w:rsidRPr="00D34FAE" w:rsidRDefault="004F07A0" w:rsidP="004F07A0">
            <w:pPr>
              <w:jc w:val="center"/>
              <w:rPr>
                <w:sz w:val="20"/>
                <w:lang w:val="en-US"/>
              </w:rPr>
            </w:pPr>
            <w:r w:rsidRPr="00D34FAE">
              <w:rPr>
                <w:sz w:val="20"/>
                <w:lang w:val="en-US"/>
              </w:rPr>
              <w:t>2%</w:t>
            </w:r>
          </w:p>
        </w:tc>
      </w:tr>
      <w:tr w:rsidR="004F07A0" w:rsidRPr="00D34FAE" w:rsidTr="00B74185">
        <w:trPr>
          <w:trHeight w:val="112"/>
        </w:trPr>
        <w:tc>
          <w:tcPr>
            <w:tcW w:w="3227" w:type="dxa"/>
          </w:tcPr>
          <w:p w:rsidR="004F07A0" w:rsidRPr="00D34FAE" w:rsidRDefault="004F07A0" w:rsidP="004F07A0">
            <w:pPr>
              <w:ind w:left="720"/>
              <w:rPr>
                <w:sz w:val="20"/>
                <w:lang w:val="en-US"/>
              </w:rPr>
            </w:pPr>
            <w:r w:rsidRPr="00D34FAE">
              <w:rPr>
                <w:sz w:val="20"/>
                <w:lang w:val="en-US"/>
              </w:rPr>
              <w:t xml:space="preserve">Bone pain </w:t>
            </w:r>
          </w:p>
        </w:tc>
        <w:tc>
          <w:tcPr>
            <w:tcW w:w="1276" w:type="dxa"/>
          </w:tcPr>
          <w:p w:rsidR="004F07A0" w:rsidRPr="00D34FAE" w:rsidRDefault="004F07A0" w:rsidP="004F07A0">
            <w:pPr>
              <w:rPr>
                <w:sz w:val="20"/>
                <w:lang w:val="en-US"/>
              </w:rPr>
            </w:pPr>
            <w:r w:rsidRPr="00D34FAE">
              <w:rPr>
                <w:sz w:val="20"/>
                <w:lang w:val="en-US"/>
              </w:rPr>
              <w:t xml:space="preserve">12% </w:t>
            </w:r>
          </w:p>
        </w:tc>
        <w:tc>
          <w:tcPr>
            <w:tcW w:w="1275" w:type="dxa"/>
          </w:tcPr>
          <w:p w:rsidR="004F07A0" w:rsidRPr="00D34FAE" w:rsidRDefault="004F07A0" w:rsidP="004F07A0">
            <w:pPr>
              <w:rPr>
                <w:sz w:val="20"/>
                <w:lang w:val="en-US"/>
              </w:rPr>
            </w:pPr>
            <w:r w:rsidRPr="00D34FAE">
              <w:rPr>
                <w:sz w:val="20"/>
                <w:lang w:val="en-US"/>
              </w:rPr>
              <w:t xml:space="preserve">2% </w:t>
            </w:r>
          </w:p>
        </w:tc>
        <w:tc>
          <w:tcPr>
            <w:tcW w:w="1418" w:type="dxa"/>
          </w:tcPr>
          <w:p w:rsidR="004F07A0" w:rsidRPr="00D34FAE" w:rsidRDefault="004F07A0" w:rsidP="004F07A0">
            <w:pPr>
              <w:jc w:val="center"/>
              <w:rPr>
                <w:sz w:val="20"/>
                <w:lang w:val="en-US"/>
              </w:rPr>
            </w:pPr>
            <w:r w:rsidRPr="00D34FAE">
              <w:rPr>
                <w:sz w:val="20"/>
                <w:lang w:val="en-US"/>
              </w:rPr>
              <w:t>9%</w:t>
            </w:r>
          </w:p>
        </w:tc>
        <w:tc>
          <w:tcPr>
            <w:tcW w:w="1276" w:type="dxa"/>
          </w:tcPr>
          <w:p w:rsidR="004F07A0" w:rsidRPr="00D34FAE" w:rsidRDefault="004F07A0" w:rsidP="004F07A0">
            <w:pPr>
              <w:jc w:val="center"/>
              <w:rPr>
                <w:sz w:val="20"/>
                <w:lang w:val="en-US"/>
              </w:rPr>
            </w:pPr>
            <w:r w:rsidRPr="00D34FAE">
              <w:rPr>
                <w:sz w:val="20"/>
                <w:lang w:val="en-US"/>
              </w:rPr>
              <w:t>2%</w:t>
            </w:r>
          </w:p>
        </w:tc>
      </w:tr>
      <w:tr w:rsidR="004F07A0" w:rsidRPr="00D34FAE" w:rsidTr="00B74185">
        <w:trPr>
          <w:trHeight w:val="113"/>
        </w:trPr>
        <w:tc>
          <w:tcPr>
            <w:tcW w:w="3227" w:type="dxa"/>
          </w:tcPr>
          <w:p w:rsidR="004F07A0" w:rsidRPr="00D34FAE" w:rsidRDefault="004F07A0" w:rsidP="004F07A0">
            <w:pPr>
              <w:ind w:left="720"/>
              <w:rPr>
                <w:sz w:val="20"/>
                <w:lang w:val="en-US"/>
              </w:rPr>
            </w:pPr>
            <w:r w:rsidRPr="00D34FAE">
              <w:rPr>
                <w:sz w:val="20"/>
                <w:lang w:val="en-US"/>
              </w:rPr>
              <w:t xml:space="preserve">Pain in extremity </w:t>
            </w:r>
          </w:p>
        </w:tc>
        <w:tc>
          <w:tcPr>
            <w:tcW w:w="1276" w:type="dxa"/>
          </w:tcPr>
          <w:p w:rsidR="004F07A0" w:rsidRPr="00D34FAE" w:rsidRDefault="004F07A0" w:rsidP="004F07A0">
            <w:pPr>
              <w:rPr>
                <w:sz w:val="20"/>
                <w:lang w:val="en-US"/>
              </w:rPr>
            </w:pPr>
            <w:r w:rsidRPr="00D34FAE">
              <w:rPr>
                <w:sz w:val="20"/>
                <w:lang w:val="en-US"/>
              </w:rPr>
              <w:t xml:space="preserve">11% </w:t>
            </w:r>
          </w:p>
        </w:tc>
        <w:tc>
          <w:tcPr>
            <w:tcW w:w="1275" w:type="dxa"/>
          </w:tcPr>
          <w:p w:rsidR="004F07A0" w:rsidRPr="00D34FAE" w:rsidRDefault="004F07A0" w:rsidP="004F07A0">
            <w:pPr>
              <w:rPr>
                <w:sz w:val="20"/>
                <w:lang w:val="en-US"/>
              </w:rPr>
            </w:pPr>
            <w:r w:rsidRPr="00D34FAE">
              <w:rPr>
                <w:sz w:val="20"/>
                <w:lang w:val="en-US"/>
              </w:rPr>
              <w:t xml:space="preserve">1% </w:t>
            </w:r>
          </w:p>
        </w:tc>
        <w:tc>
          <w:tcPr>
            <w:tcW w:w="1418" w:type="dxa"/>
          </w:tcPr>
          <w:p w:rsidR="004F07A0" w:rsidRPr="00D34FAE" w:rsidRDefault="004F07A0" w:rsidP="004F07A0">
            <w:pPr>
              <w:jc w:val="center"/>
              <w:rPr>
                <w:sz w:val="20"/>
                <w:lang w:val="en-US"/>
              </w:rPr>
            </w:pPr>
            <w:r w:rsidRPr="00D34FAE">
              <w:rPr>
                <w:sz w:val="20"/>
                <w:lang w:val="en-US"/>
              </w:rPr>
              <w:t>10%</w:t>
            </w:r>
          </w:p>
        </w:tc>
        <w:tc>
          <w:tcPr>
            <w:tcW w:w="1276" w:type="dxa"/>
          </w:tcPr>
          <w:p w:rsidR="004F07A0" w:rsidRPr="00D34FAE" w:rsidRDefault="004F07A0" w:rsidP="004F07A0">
            <w:pPr>
              <w:jc w:val="center"/>
              <w:rPr>
                <w:sz w:val="20"/>
                <w:lang w:val="en-US"/>
              </w:rPr>
            </w:pPr>
            <w:r w:rsidRPr="00D34FAE">
              <w:rPr>
                <w:sz w:val="20"/>
                <w:lang w:val="en-US"/>
              </w:rPr>
              <w:t>1%</w:t>
            </w:r>
          </w:p>
        </w:tc>
      </w:tr>
      <w:tr w:rsidR="004F07A0" w:rsidRPr="00D34FAE" w:rsidTr="00B74185">
        <w:trPr>
          <w:trHeight w:val="100"/>
        </w:trPr>
        <w:tc>
          <w:tcPr>
            <w:tcW w:w="3227" w:type="dxa"/>
          </w:tcPr>
          <w:p w:rsidR="004F07A0" w:rsidRPr="00D34FAE" w:rsidRDefault="004F07A0" w:rsidP="004F07A0">
            <w:pPr>
              <w:rPr>
                <w:sz w:val="20"/>
                <w:lang w:val="en-US"/>
              </w:rPr>
            </w:pPr>
            <w:r w:rsidRPr="00D34FAE">
              <w:rPr>
                <w:b/>
                <w:bCs/>
                <w:sz w:val="20"/>
                <w:lang w:val="en-US"/>
              </w:rPr>
              <w:t>General disorders and administrat</w:t>
            </w:r>
            <w:r>
              <w:rPr>
                <w:b/>
                <w:bCs/>
                <w:sz w:val="20"/>
                <w:lang w:val="en-US"/>
              </w:rPr>
              <w:t>ion</w:t>
            </w:r>
            <w:r w:rsidRPr="00D34FAE">
              <w:rPr>
                <w:b/>
                <w:bCs/>
                <w:sz w:val="20"/>
                <w:lang w:val="en-US"/>
              </w:rPr>
              <w:t xml:space="preserve"> site conditions</w:t>
            </w:r>
          </w:p>
        </w:tc>
        <w:tc>
          <w:tcPr>
            <w:tcW w:w="5245" w:type="dxa"/>
            <w:gridSpan w:val="4"/>
          </w:tcPr>
          <w:p w:rsidR="004F07A0" w:rsidRPr="00D34FAE" w:rsidRDefault="004F07A0" w:rsidP="004F07A0">
            <w:pPr>
              <w:jc w:val="center"/>
              <w:rPr>
                <w:sz w:val="20"/>
                <w:lang w:val="en-US"/>
              </w:rPr>
            </w:pPr>
          </w:p>
        </w:tc>
      </w:tr>
      <w:tr w:rsidR="004F07A0" w:rsidRPr="00D34FAE" w:rsidTr="00B74185">
        <w:trPr>
          <w:trHeight w:val="126"/>
        </w:trPr>
        <w:tc>
          <w:tcPr>
            <w:tcW w:w="3227" w:type="dxa"/>
            <w:vAlign w:val="center"/>
          </w:tcPr>
          <w:p w:rsidR="004F07A0" w:rsidRPr="00D34FAE" w:rsidRDefault="004F07A0" w:rsidP="004F07A0">
            <w:pPr>
              <w:ind w:left="720"/>
              <w:rPr>
                <w:sz w:val="20"/>
                <w:lang w:val="en-US"/>
              </w:rPr>
            </w:pPr>
            <w:r w:rsidRPr="00D34FAE">
              <w:rPr>
                <w:sz w:val="20"/>
                <w:lang w:val="en-US"/>
              </w:rPr>
              <w:t xml:space="preserve">Asthenia/Fatigue </w:t>
            </w:r>
          </w:p>
        </w:tc>
        <w:tc>
          <w:tcPr>
            <w:tcW w:w="1276" w:type="dxa"/>
            <w:vAlign w:val="center"/>
          </w:tcPr>
          <w:p w:rsidR="004F07A0" w:rsidRPr="00D34FAE" w:rsidRDefault="004F07A0" w:rsidP="004F07A0">
            <w:pPr>
              <w:rPr>
                <w:sz w:val="20"/>
                <w:lang w:val="en-US"/>
              </w:rPr>
            </w:pPr>
            <w:r w:rsidRPr="00D34FAE">
              <w:rPr>
                <w:sz w:val="20"/>
                <w:lang w:val="en-US"/>
              </w:rPr>
              <w:t xml:space="preserve">54% </w:t>
            </w:r>
          </w:p>
        </w:tc>
        <w:tc>
          <w:tcPr>
            <w:tcW w:w="1275" w:type="dxa"/>
            <w:vAlign w:val="center"/>
          </w:tcPr>
          <w:p w:rsidR="004F07A0" w:rsidRPr="00D34FAE" w:rsidRDefault="004F07A0" w:rsidP="004F07A0">
            <w:pPr>
              <w:rPr>
                <w:sz w:val="20"/>
                <w:lang w:val="en-US"/>
              </w:rPr>
            </w:pPr>
            <w:r w:rsidRPr="00D34FAE">
              <w:rPr>
                <w:sz w:val="20"/>
                <w:lang w:val="en-US"/>
              </w:rPr>
              <w:t xml:space="preserve">10% </w:t>
            </w:r>
          </w:p>
        </w:tc>
        <w:tc>
          <w:tcPr>
            <w:tcW w:w="1418" w:type="dxa"/>
            <w:vAlign w:val="center"/>
          </w:tcPr>
          <w:p w:rsidR="004F07A0" w:rsidRPr="00D34FAE" w:rsidRDefault="004F07A0" w:rsidP="004F07A0">
            <w:pPr>
              <w:jc w:val="center"/>
              <w:rPr>
                <w:sz w:val="20"/>
                <w:lang w:val="en-US"/>
              </w:rPr>
            </w:pPr>
            <w:r w:rsidRPr="00D34FAE">
              <w:rPr>
                <w:sz w:val="20"/>
                <w:lang w:val="en-US"/>
              </w:rPr>
              <w:t>40%</w:t>
            </w:r>
          </w:p>
        </w:tc>
        <w:tc>
          <w:tcPr>
            <w:tcW w:w="1276" w:type="dxa"/>
            <w:vAlign w:val="center"/>
          </w:tcPr>
          <w:p w:rsidR="004F07A0" w:rsidRPr="00D34FAE" w:rsidRDefault="004F07A0" w:rsidP="004F07A0">
            <w:pPr>
              <w:jc w:val="center"/>
              <w:rPr>
                <w:sz w:val="20"/>
                <w:lang w:val="en-US"/>
              </w:rPr>
            </w:pPr>
            <w:r w:rsidRPr="00D34FAE">
              <w:rPr>
                <w:sz w:val="20"/>
                <w:lang w:val="en-US"/>
              </w:rPr>
              <w:t>11%</w:t>
            </w:r>
          </w:p>
        </w:tc>
      </w:tr>
      <w:tr w:rsidR="004F07A0" w:rsidRPr="00D34FAE" w:rsidTr="00B74185">
        <w:trPr>
          <w:trHeight w:val="100"/>
        </w:trPr>
        <w:tc>
          <w:tcPr>
            <w:tcW w:w="3227" w:type="dxa"/>
          </w:tcPr>
          <w:p w:rsidR="004F07A0" w:rsidRPr="00D34FAE" w:rsidRDefault="004F07A0" w:rsidP="004F07A0">
            <w:pPr>
              <w:ind w:left="720"/>
              <w:rPr>
                <w:sz w:val="20"/>
                <w:lang w:val="en-US"/>
              </w:rPr>
            </w:pPr>
            <w:r w:rsidRPr="00D34FAE">
              <w:rPr>
                <w:sz w:val="20"/>
                <w:lang w:val="en-US"/>
              </w:rPr>
              <w:t xml:space="preserve">Mucosal inflammation </w:t>
            </w:r>
          </w:p>
        </w:tc>
        <w:tc>
          <w:tcPr>
            <w:tcW w:w="1276" w:type="dxa"/>
          </w:tcPr>
          <w:p w:rsidR="004F07A0" w:rsidRPr="00D34FAE" w:rsidRDefault="004F07A0" w:rsidP="004F07A0">
            <w:pPr>
              <w:rPr>
                <w:sz w:val="20"/>
                <w:lang w:val="en-US"/>
              </w:rPr>
            </w:pPr>
            <w:r w:rsidRPr="00D34FAE">
              <w:rPr>
                <w:sz w:val="20"/>
                <w:lang w:val="en-US"/>
              </w:rPr>
              <w:t xml:space="preserve">9% </w:t>
            </w:r>
          </w:p>
        </w:tc>
        <w:tc>
          <w:tcPr>
            <w:tcW w:w="1275" w:type="dxa"/>
          </w:tcPr>
          <w:p w:rsidR="004F07A0" w:rsidRPr="00D34FAE" w:rsidRDefault="004F07A0" w:rsidP="004F07A0">
            <w:pPr>
              <w:rPr>
                <w:sz w:val="20"/>
                <w:lang w:val="en-US"/>
              </w:rPr>
            </w:pPr>
            <w:r w:rsidRPr="00D34FAE">
              <w:rPr>
                <w:sz w:val="20"/>
                <w:lang w:val="en-US"/>
              </w:rPr>
              <w:t xml:space="preserve">1% </w:t>
            </w:r>
          </w:p>
        </w:tc>
        <w:tc>
          <w:tcPr>
            <w:tcW w:w="1418" w:type="dxa"/>
          </w:tcPr>
          <w:p w:rsidR="004F07A0" w:rsidRPr="00D34FAE" w:rsidRDefault="004F07A0" w:rsidP="004F07A0">
            <w:pPr>
              <w:jc w:val="center"/>
              <w:rPr>
                <w:sz w:val="20"/>
                <w:lang w:val="en-US"/>
              </w:rPr>
            </w:pPr>
            <w:r w:rsidRPr="00D34FAE">
              <w:rPr>
                <w:sz w:val="20"/>
                <w:lang w:val="en-US"/>
              </w:rPr>
              <w:t>10%</w:t>
            </w:r>
          </w:p>
        </w:tc>
        <w:tc>
          <w:tcPr>
            <w:tcW w:w="1276" w:type="dxa"/>
          </w:tcPr>
          <w:p w:rsidR="004F07A0" w:rsidRPr="00D34FAE" w:rsidRDefault="004F07A0" w:rsidP="004F07A0">
            <w:pPr>
              <w:jc w:val="center"/>
              <w:rPr>
                <w:sz w:val="20"/>
                <w:lang w:val="en-US"/>
              </w:rPr>
            </w:pPr>
            <w:r w:rsidRPr="00D34FAE">
              <w:rPr>
                <w:sz w:val="20"/>
                <w:lang w:val="en-US"/>
              </w:rPr>
              <w:t>2%</w:t>
            </w:r>
          </w:p>
        </w:tc>
      </w:tr>
      <w:tr w:rsidR="004F07A0" w:rsidRPr="00D34FAE" w:rsidTr="00B74185">
        <w:trPr>
          <w:trHeight w:val="127"/>
        </w:trPr>
        <w:tc>
          <w:tcPr>
            <w:tcW w:w="3227" w:type="dxa"/>
            <w:vAlign w:val="center"/>
          </w:tcPr>
          <w:p w:rsidR="004F07A0" w:rsidRPr="00A22FF7" w:rsidRDefault="004F07A0" w:rsidP="004F07A0">
            <w:pPr>
              <w:ind w:left="720"/>
              <w:rPr>
                <w:sz w:val="20"/>
                <w:lang w:val="en-US"/>
              </w:rPr>
            </w:pPr>
            <w:r w:rsidRPr="00D34FAE">
              <w:rPr>
                <w:sz w:val="20"/>
                <w:lang w:val="en-US"/>
              </w:rPr>
              <w:t xml:space="preserve">Pyrexia </w:t>
            </w:r>
          </w:p>
        </w:tc>
        <w:tc>
          <w:tcPr>
            <w:tcW w:w="1276" w:type="dxa"/>
            <w:vAlign w:val="center"/>
          </w:tcPr>
          <w:p w:rsidR="004F07A0" w:rsidRPr="00D34FAE" w:rsidRDefault="004F07A0" w:rsidP="004F07A0">
            <w:pPr>
              <w:rPr>
                <w:sz w:val="20"/>
                <w:lang w:val="en-US"/>
              </w:rPr>
            </w:pPr>
            <w:r w:rsidRPr="00D34FAE">
              <w:rPr>
                <w:sz w:val="20"/>
                <w:lang w:val="en-US"/>
              </w:rPr>
              <w:t xml:space="preserve">21% </w:t>
            </w:r>
          </w:p>
        </w:tc>
        <w:tc>
          <w:tcPr>
            <w:tcW w:w="1275" w:type="dxa"/>
            <w:vAlign w:val="center"/>
          </w:tcPr>
          <w:p w:rsidR="004F07A0" w:rsidRPr="00D34FAE" w:rsidRDefault="004F07A0" w:rsidP="004F07A0">
            <w:pPr>
              <w:rPr>
                <w:sz w:val="20"/>
                <w:lang w:val="en-US"/>
              </w:rPr>
            </w:pPr>
            <w:r w:rsidRPr="00D34FAE">
              <w:rPr>
                <w:sz w:val="20"/>
                <w:lang w:val="en-US"/>
              </w:rPr>
              <w:t xml:space="preserve">&lt;1% </w:t>
            </w:r>
          </w:p>
        </w:tc>
        <w:tc>
          <w:tcPr>
            <w:tcW w:w="1418" w:type="dxa"/>
            <w:vAlign w:val="center"/>
          </w:tcPr>
          <w:p w:rsidR="004F07A0" w:rsidRPr="00D34FAE" w:rsidRDefault="004F07A0" w:rsidP="004F07A0">
            <w:pPr>
              <w:jc w:val="center"/>
              <w:rPr>
                <w:sz w:val="20"/>
                <w:lang w:val="en-US"/>
              </w:rPr>
            </w:pPr>
            <w:r w:rsidRPr="00D34FAE">
              <w:rPr>
                <w:sz w:val="20"/>
                <w:lang w:val="en-US"/>
              </w:rPr>
              <w:t>13%</w:t>
            </w:r>
          </w:p>
        </w:tc>
        <w:tc>
          <w:tcPr>
            <w:tcW w:w="1276" w:type="dxa"/>
            <w:vAlign w:val="center"/>
          </w:tcPr>
          <w:p w:rsidR="004F07A0" w:rsidRPr="00D34FAE" w:rsidRDefault="004F07A0" w:rsidP="004F07A0">
            <w:pPr>
              <w:jc w:val="center"/>
              <w:rPr>
                <w:sz w:val="20"/>
                <w:lang w:val="en-US"/>
              </w:rPr>
            </w:pPr>
            <w:r w:rsidRPr="00D34FAE">
              <w:rPr>
                <w:sz w:val="20"/>
                <w:lang w:val="en-US"/>
              </w:rPr>
              <w:t>&lt;1%</w:t>
            </w:r>
          </w:p>
        </w:tc>
      </w:tr>
      <w:tr w:rsidR="004F07A0" w:rsidRPr="00D34FAE" w:rsidTr="00B74185">
        <w:trPr>
          <w:trHeight w:val="113"/>
        </w:trPr>
        <w:tc>
          <w:tcPr>
            <w:tcW w:w="3227" w:type="dxa"/>
          </w:tcPr>
          <w:p w:rsidR="004F07A0" w:rsidRPr="00D34FAE" w:rsidRDefault="004F07A0" w:rsidP="004F07A0">
            <w:pPr>
              <w:rPr>
                <w:sz w:val="20"/>
                <w:lang w:val="en-US"/>
              </w:rPr>
            </w:pPr>
            <w:r w:rsidRPr="00D34FAE">
              <w:rPr>
                <w:b/>
                <w:bCs/>
                <w:sz w:val="20"/>
                <w:lang w:val="en-US"/>
              </w:rPr>
              <w:t>Investigations</w:t>
            </w:r>
          </w:p>
        </w:tc>
        <w:tc>
          <w:tcPr>
            <w:tcW w:w="5245" w:type="dxa"/>
            <w:gridSpan w:val="4"/>
          </w:tcPr>
          <w:p w:rsidR="004F07A0" w:rsidRPr="00D34FAE" w:rsidRDefault="004F07A0" w:rsidP="004F07A0">
            <w:pPr>
              <w:jc w:val="center"/>
              <w:rPr>
                <w:sz w:val="20"/>
                <w:lang w:val="en-US"/>
              </w:rPr>
            </w:pPr>
          </w:p>
        </w:tc>
      </w:tr>
      <w:tr w:rsidR="004F07A0" w:rsidRPr="00D34FAE" w:rsidTr="00B74185">
        <w:trPr>
          <w:trHeight w:val="112"/>
        </w:trPr>
        <w:tc>
          <w:tcPr>
            <w:tcW w:w="3227" w:type="dxa"/>
          </w:tcPr>
          <w:p w:rsidR="004F07A0" w:rsidRPr="00D34FAE" w:rsidRDefault="004F07A0" w:rsidP="004F07A0">
            <w:pPr>
              <w:ind w:left="720"/>
              <w:rPr>
                <w:sz w:val="20"/>
                <w:lang w:val="en-US"/>
              </w:rPr>
            </w:pPr>
            <w:r w:rsidRPr="00D34FAE">
              <w:rPr>
                <w:sz w:val="20"/>
                <w:lang w:val="en-US"/>
              </w:rPr>
              <w:t xml:space="preserve">Weight decreased </w:t>
            </w:r>
          </w:p>
        </w:tc>
        <w:tc>
          <w:tcPr>
            <w:tcW w:w="1276" w:type="dxa"/>
          </w:tcPr>
          <w:p w:rsidR="004F07A0" w:rsidRPr="00D34FAE" w:rsidRDefault="004F07A0" w:rsidP="004F07A0">
            <w:pPr>
              <w:rPr>
                <w:sz w:val="20"/>
                <w:lang w:val="en-US"/>
              </w:rPr>
            </w:pPr>
            <w:r w:rsidRPr="00D34FAE">
              <w:rPr>
                <w:sz w:val="20"/>
                <w:lang w:val="en-US"/>
              </w:rPr>
              <w:t xml:space="preserve">21% </w:t>
            </w:r>
          </w:p>
        </w:tc>
        <w:tc>
          <w:tcPr>
            <w:tcW w:w="1275" w:type="dxa"/>
          </w:tcPr>
          <w:p w:rsidR="004F07A0" w:rsidRPr="00D34FAE" w:rsidRDefault="004F07A0" w:rsidP="004F07A0">
            <w:pPr>
              <w:rPr>
                <w:sz w:val="20"/>
                <w:lang w:val="en-US"/>
              </w:rPr>
            </w:pPr>
            <w:r w:rsidRPr="00D34FAE">
              <w:rPr>
                <w:sz w:val="20"/>
                <w:lang w:val="en-US"/>
              </w:rPr>
              <w:t xml:space="preserve">1% </w:t>
            </w:r>
          </w:p>
        </w:tc>
        <w:tc>
          <w:tcPr>
            <w:tcW w:w="1418" w:type="dxa"/>
          </w:tcPr>
          <w:p w:rsidR="004F07A0" w:rsidRPr="00D34FAE" w:rsidRDefault="004F07A0" w:rsidP="004F07A0">
            <w:pPr>
              <w:jc w:val="center"/>
              <w:rPr>
                <w:sz w:val="20"/>
                <w:lang w:val="en-US"/>
              </w:rPr>
            </w:pPr>
            <w:r w:rsidRPr="00D34FAE">
              <w:rPr>
                <w:sz w:val="20"/>
                <w:lang w:val="en-US"/>
              </w:rPr>
              <w:t>14%</w:t>
            </w:r>
          </w:p>
        </w:tc>
        <w:tc>
          <w:tcPr>
            <w:tcW w:w="1276" w:type="dxa"/>
          </w:tcPr>
          <w:p w:rsidR="004F07A0" w:rsidRPr="00D34FAE" w:rsidRDefault="004F07A0" w:rsidP="004F07A0">
            <w:pPr>
              <w:jc w:val="center"/>
              <w:rPr>
                <w:sz w:val="20"/>
                <w:lang w:val="en-US"/>
              </w:rPr>
            </w:pPr>
            <w:r w:rsidRPr="00D34FAE">
              <w:rPr>
                <w:sz w:val="20"/>
                <w:lang w:val="en-US"/>
              </w:rPr>
              <w:t>&lt;1%</w:t>
            </w:r>
          </w:p>
        </w:tc>
      </w:tr>
    </w:tbl>
    <w:p w:rsidR="001A26AB" w:rsidRDefault="001A26AB" w:rsidP="00A621A8">
      <w:pPr>
        <w:rPr>
          <w:sz w:val="18"/>
          <w:szCs w:val="18"/>
          <w:vertAlign w:val="superscript"/>
          <w:lang w:val="en-US"/>
        </w:rPr>
      </w:pPr>
    </w:p>
    <w:p w:rsidR="001A26AB" w:rsidRDefault="001A26AB" w:rsidP="00A621A8">
      <w:pPr>
        <w:rPr>
          <w:sz w:val="18"/>
          <w:szCs w:val="18"/>
          <w:vertAlign w:val="superscript"/>
          <w:lang w:val="en-US"/>
        </w:rPr>
      </w:pPr>
    </w:p>
    <w:p w:rsidR="001A26AB" w:rsidRDefault="001A26AB" w:rsidP="00A621A8">
      <w:pPr>
        <w:rPr>
          <w:sz w:val="18"/>
          <w:szCs w:val="18"/>
          <w:vertAlign w:val="superscript"/>
          <w:lang w:val="en-US"/>
        </w:rPr>
      </w:pPr>
    </w:p>
    <w:p w:rsidR="001A26AB" w:rsidRDefault="001A26AB" w:rsidP="00A621A8">
      <w:pPr>
        <w:rPr>
          <w:sz w:val="18"/>
          <w:szCs w:val="18"/>
          <w:vertAlign w:val="superscript"/>
          <w:lang w:val="en-US"/>
        </w:rPr>
      </w:pPr>
    </w:p>
    <w:p w:rsidR="001A26AB" w:rsidRDefault="001A26AB" w:rsidP="00A621A8">
      <w:pPr>
        <w:rPr>
          <w:sz w:val="18"/>
          <w:szCs w:val="18"/>
          <w:vertAlign w:val="superscript"/>
          <w:lang w:val="en-US"/>
        </w:rPr>
      </w:pPr>
    </w:p>
    <w:p w:rsidR="001A26AB" w:rsidRDefault="001A26AB" w:rsidP="00A621A8">
      <w:pPr>
        <w:rPr>
          <w:sz w:val="18"/>
          <w:szCs w:val="18"/>
          <w:vertAlign w:val="superscript"/>
          <w:lang w:val="en-US"/>
        </w:rPr>
      </w:pPr>
    </w:p>
    <w:p w:rsidR="001A26AB" w:rsidRDefault="001A26AB" w:rsidP="00A621A8">
      <w:pPr>
        <w:rPr>
          <w:sz w:val="18"/>
          <w:szCs w:val="18"/>
          <w:vertAlign w:val="superscript"/>
          <w:lang w:val="en-US"/>
        </w:rPr>
      </w:pPr>
    </w:p>
    <w:p w:rsidR="001A26AB" w:rsidRDefault="001A26AB" w:rsidP="00A621A8">
      <w:pPr>
        <w:rPr>
          <w:sz w:val="18"/>
          <w:szCs w:val="18"/>
          <w:vertAlign w:val="superscript"/>
          <w:lang w:val="en-US"/>
        </w:rPr>
      </w:pPr>
    </w:p>
    <w:p w:rsidR="001A26AB" w:rsidRDefault="001A26AB" w:rsidP="00A621A8">
      <w:pPr>
        <w:rPr>
          <w:sz w:val="18"/>
          <w:szCs w:val="18"/>
          <w:vertAlign w:val="superscript"/>
          <w:lang w:val="en-US"/>
        </w:rPr>
      </w:pPr>
    </w:p>
    <w:p w:rsidR="001A26AB" w:rsidRDefault="001A26AB" w:rsidP="00A621A8">
      <w:pPr>
        <w:rPr>
          <w:sz w:val="18"/>
          <w:szCs w:val="18"/>
          <w:vertAlign w:val="superscript"/>
          <w:lang w:val="en-US"/>
        </w:rPr>
      </w:pPr>
    </w:p>
    <w:p w:rsidR="001A26AB" w:rsidRDefault="001A26AB" w:rsidP="00A621A8">
      <w:pPr>
        <w:rPr>
          <w:sz w:val="18"/>
          <w:szCs w:val="18"/>
          <w:vertAlign w:val="superscript"/>
          <w:lang w:val="en-US"/>
        </w:rPr>
      </w:pPr>
    </w:p>
    <w:p w:rsidR="001A26AB" w:rsidRDefault="001A26AB" w:rsidP="00A621A8">
      <w:pPr>
        <w:rPr>
          <w:sz w:val="18"/>
          <w:szCs w:val="18"/>
          <w:vertAlign w:val="superscript"/>
          <w:lang w:val="en-US"/>
        </w:rPr>
      </w:pPr>
    </w:p>
    <w:p w:rsidR="001A26AB" w:rsidRDefault="001A26AB" w:rsidP="00A621A8">
      <w:pPr>
        <w:rPr>
          <w:sz w:val="18"/>
          <w:szCs w:val="18"/>
          <w:vertAlign w:val="superscript"/>
          <w:lang w:val="en-US"/>
        </w:rPr>
      </w:pPr>
    </w:p>
    <w:p w:rsidR="001A26AB" w:rsidRDefault="001A26AB" w:rsidP="00A621A8">
      <w:pPr>
        <w:rPr>
          <w:sz w:val="18"/>
          <w:szCs w:val="18"/>
          <w:vertAlign w:val="superscript"/>
          <w:lang w:val="en-US"/>
        </w:rPr>
      </w:pPr>
    </w:p>
    <w:p w:rsidR="001A26AB" w:rsidRDefault="001A26AB" w:rsidP="00A621A8">
      <w:pPr>
        <w:rPr>
          <w:sz w:val="18"/>
          <w:szCs w:val="18"/>
          <w:vertAlign w:val="superscript"/>
          <w:lang w:val="en-US"/>
        </w:rPr>
      </w:pPr>
    </w:p>
    <w:p w:rsidR="001A26AB" w:rsidRDefault="001A26AB" w:rsidP="00A621A8">
      <w:pPr>
        <w:rPr>
          <w:sz w:val="18"/>
          <w:szCs w:val="18"/>
          <w:vertAlign w:val="superscript"/>
          <w:lang w:val="en-US"/>
        </w:rPr>
      </w:pPr>
    </w:p>
    <w:p w:rsidR="00F8182F" w:rsidRPr="00A621A8" w:rsidRDefault="00760F0C" w:rsidP="00A621A8">
      <w:pPr>
        <w:rPr>
          <w:sz w:val="18"/>
          <w:szCs w:val="18"/>
          <w:lang w:val="en-US"/>
        </w:rPr>
      </w:pPr>
      <w:r w:rsidRPr="00760F0C">
        <w:rPr>
          <w:sz w:val="18"/>
          <w:szCs w:val="18"/>
          <w:vertAlign w:val="superscript"/>
          <w:lang w:val="en-US"/>
        </w:rPr>
        <w:t xml:space="preserve">a. </w:t>
      </w:r>
      <w:r w:rsidRPr="00760F0C">
        <w:rPr>
          <w:sz w:val="18"/>
          <w:szCs w:val="18"/>
          <w:lang w:val="en-US"/>
        </w:rPr>
        <w:t xml:space="preserve">based upon laboratory data. </w:t>
      </w:r>
      <w:r w:rsidRPr="00760F0C">
        <w:rPr>
          <w:sz w:val="18"/>
          <w:szCs w:val="18"/>
          <w:lang w:val="en-US"/>
        </w:rPr>
        <w:br/>
      </w:r>
      <w:r w:rsidRPr="00760F0C">
        <w:rPr>
          <w:sz w:val="18"/>
          <w:szCs w:val="18"/>
          <w:vertAlign w:val="superscript"/>
          <w:lang w:val="en-US"/>
        </w:rPr>
        <w:t xml:space="preserve">b </w:t>
      </w:r>
      <w:r w:rsidRPr="00760F0C">
        <w:rPr>
          <w:sz w:val="18"/>
          <w:szCs w:val="18"/>
          <w:lang w:val="en-US"/>
        </w:rPr>
        <w:t xml:space="preserve">includes neuropathy peripheral, neuropathy, peripheral motor neuropathy, </w:t>
      </w:r>
      <w:proofErr w:type="spellStart"/>
      <w:r w:rsidRPr="00760F0C">
        <w:rPr>
          <w:sz w:val="18"/>
          <w:szCs w:val="18"/>
          <w:lang w:val="en-US"/>
        </w:rPr>
        <w:t>polyneuropathy</w:t>
      </w:r>
      <w:proofErr w:type="spellEnd"/>
      <w:r w:rsidRPr="00760F0C">
        <w:rPr>
          <w:sz w:val="18"/>
          <w:szCs w:val="18"/>
          <w:lang w:val="en-US"/>
        </w:rPr>
        <w:t xml:space="preserve">, peripheral sensory  neuropathy, and </w:t>
      </w:r>
      <w:proofErr w:type="spellStart"/>
      <w:r w:rsidRPr="00760F0C">
        <w:rPr>
          <w:sz w:val="18"/>
          <w:szCs w:val="18"/>
          <w:lang w:val="en-US"/>
        </w:rPr>
        <w:t>paraesthesia</w:t>
      </w:r>
      <w:proofErr w:type="spellEnd"/>
      <w:r w:rsidRPr="00760F0C">
        <w:rPr>
          <w:sz w:val="18"/>
          <w:szCs w:val="18"/>
          <w:lang w:val="en-US"/>
        </w:rPr>
        <w:t xml:space="preserve">. </w:t>
      </w:r>
      <w:r w:rsidRPr="00760F0C">
        <w:rPr>
          <w:sz w:val="18"/>
          <w:szCs w:val="18"/>
          <w:lang w:val="en-US"/>
        </w:rPr>
        <w:br/>
      </w:r>
      <w:r w:rsidRPr="00760F0C">
        <w:rPr>
          <w:sz w:val="18"/>
          <w:szCs w:val="18"/>
          <w:vertAlign w:val="superscript"/>
          <w:lang w:val="en-US"/>
        </w:rPr>
        <w:t xml:space="preserve">c </w:t>
      </w:r>
      <w:r w:rsidRPr="00760F0C">
        <w:rPr>
          <w:sz w:val="18"/>
          <w:szCs w:val="18"/>
          <w:lang w:val="en-US"/>
        </w:rPr>
        <w:t>not applicable; (grading system does not specify &gt; Grade 2 for alopecia).</w:t>
      </w:r>
    </w:p>
    <w:p w:rsidR="00373ABF" w:rsidRDefault="00813B59" w:rsidP="00B124E8">
      <w:r>
        <w:t>T</w:t>
      </w:r>
      <w:r w:rsidR="00373ABF" w:rsidRPr="008A0486">
        <w:t xml:space="preserve">able </w:t>
      </w:r>
      <w:r>
        <w:t xml:space="preserve">4 </w:t>
      </w:r>
      <w:r w:rsidR="0068783D">
        <w:t xml:space="preserve">provides a listing of  </w:t>
      </w:r>
      <w:r w:rsidR="007C6685">
        <w:t xml:space="preserve">Very Common </w:t>
      </w:r>
      <w:r w:rsidR="007C6685" w:rsidRPr="007C6685">
        <w:t>(≥10%),</w:t>
      </w:r>
      <w:r w:rsidR="007C6685">
        <w:t xml:space="preserve"> </w:t>
      </w:r>
      <w:r w:rsidR="0068783D" w:rsidRPr="008A0486">
        <w:t xml:space="preserve">common (≥ </w:t>
      </w:r>
      <w:r w:rsidR="009C7FBB">
        <w:t>1% to &lt; 10%</w:t>
      </w:r>
      <w:r w:rsidR="0068783D" w:rsidRPr="008A0486">
        <w:t>)</w:t>
      </w:r>
      <w:r w:rsidR="0068783D">
        <w:t xml:space="preserve"> and</w:t>
      </w:r>
      <w:r w:rsidR="009C7FBB">
        <w:t xml:space="preserve"> uncommon (≥ 0.1% to &lt; 1%</w:t>
      </w:r>
      <w:r w:rsidR="0068783D" w:rsidRPr="008A0486">
        <w:t>)</w:t>
      </w:r>
      <w:r w:rsidR="0068783D">
        <w:t xml:space="preserve"> </w:t>
      </w:r>
      <w:r w:rsidR="00373ABF" w:rsidRPr="008A0486">
        <w:t xml:space="preserve">adverse reactions observed in 827 breast cancer patients who received the recommended dose in two Phase </w:t>
      </w:r>
      <w:r>
        <w:t>II</w:t>
      </w:r>
      <w:r w:rsidRPr="008A0486">
        <w:t xml:space="preserve"> </w:t>
      </w:r>
      <w:r w:rsidR="00373ABF" w:rsidRPr="008A0486">
        <w:t xml:space="preserve">and one Phase </w:t>
      </w:r>
      <w:r>
        <w:t>III</w:t>
      </w:r>
      <w:r w:rsidRPr="008A0486">
        <w:t xml:space="preserve"> </w:t>
      </w:r>
      <w:r w:rsidR="00373ABF" w:rsidRPr="008A0486">
        <w:t>study</w:t>
      </w:r>
      <w:r w:rsidR="00B124E8">
        <w:t>.</w:t>
      </w:r>
    </w:p>
    <w:p w:rsidR="00533190" w:rsidRPr="00533190" w:rsidRDefault="00813B59" w:rsidP="00B124E8">
      <w:pPr>
        <w:pStyle w:val="CM16"/>
        <w:spacing w:after="100" w:afterAutospacing="1"/>
      </w:pPr>
      <w:r>
        <w:t xml:space="preserve">Table 4: </w:t>
      </w:r>
      <w:r w:rsidR="007C6685">
        <w:t>Very Common (≥10%),</w:t>
      </w:r>
      <w:r w:rsidR="0095449B">
        <w:rPr>
          <w:rFonts w:eastAsiaTheme="minorEastAsia" w:hint="eastAsia"/>
          <w:lang w:eastAsia="ja-JP"/>
        </w:rPr>
        <w:t xml:space="preserve"> </w:t>
      </w:r>
      <w:r w:rsidR="00533190" w:rsidRPr="00533190">
        <w:t xml:space="preserve">Common (≥ 1% to &lt; 10%) and Uncommon (≥ 0.1 to &lt; 1%) </w:t>
      </w:r>
      <w:r w:rsidR="00543158">
        <w:t>Adverse</w:t>
      </w:r>
      <w:r w:rsidR="00533190" w:rsidRPr="00533190">
        <w:t xml:space="preserve"> </w:t>
      </w:r>
      <w:r w:rsidR="007C6685">
        <w:t>Reactions to HALAVEN</w:t>
      </w:r>
      <w:r w:rsidR="007C6685" w:rsidRPr="00533190">
        <w:t xml:space="preserve"> </w:t>
      </w:r>
      <w:r w:rsidR="00533190" w:rsidRPr="00533190">
        <w:t xml:space="preserve">in Pooled Data from the EMBRACE trial and </w:t>
      </w:r>
      <w:r w:rsidR="00543158">
        <w:t>t</w:t>
      </w:r>
      <w:r w:rsidR="00533190" w:rsidRPr="00533190">
        <w:t xml:space="preserve">wo </w:t>
      </w:r>
      <w:r w:rsidR="00543158">
        <w:t>p</w:t>
      </w:r>
      <w:r w:rsidR="00533190" w:rsidRPr="00533190">
        <w:t xml:space="preserve">hase </w:t>
      </w:r>
      <w:r>
        <w:t>II</w:t>
      </w:r>
      <w:r w:rsidR="00533190" w:rsidRPr="00533190">
        <w:t xml:space="preserve"> </w:t>
      </w:r>
      <w:r w:rsidR="00543158">
        <w:t>t</w:t>
      </w:r>
      <w:r w:rsidR="00533190" w:rsidRPr="00533190">
        <w:t>rials (n=827)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6"/>
        <w:gridCol w:w="2606"/>
        <w:gridCol w:w="1974"/>
        <w:gridCol w:w="2188"/>
      </w:tblGrid>
      <w:tr w:rsidR="00F43BBE" w:rsidRPr="00480EF2" w:rsidTr="00F43BBE">
        <w:tc>
          <w:tcPr>
            <w:tcW w:w="2366" w:type="dxa"/>
          </w:tcPr>
          <w:p w:rsidR="00F43BBE" w:rsidRPr="00480EF2" w:rsidRDefault="00F43BBE" w:rsidP="00544573">
            <w:pPr>
              <w:spacing w:line="276" w:lineRule="auto"/>
              <w:rPr>
                <w:b/>
                <w:sz w:val="20"/>
                <w:lang w:val="en-AU" w:eastAsia="en-AU"/>
              </w:rPr>
            </w:pPr>
            <w:r w:rsidRPr="00480EF2">
              <w:rPr>
                <w:b/>
                <w:sz w:val="20"/>
                <w:lang w:val="en-AU" w:eastAsia="en-AU"/>
              </w:rPr>
              <w:t>System Organ Class</w:t>
            </w:r>
          </w:p>
        </w:tc>
        <w:tc>
          <w:tcPr>
            <w:tcW w:w="6768" w:type="dxa"/>
            <w:gridSpan w:val="3"/>
          </w:tcPr>
          <w:p w:rsidR="00F43BBE" w:rsidRPr="00480EF2" w:rsidRDefault="00F43BBE" w:rsidP="00F43BBE">
            <w:pPr>
              <w:spacing w:line="276" w:lineRule="auto"/>
              <w:jc w:val="center"/>
              <w:rPr>
                <w:b/>
                <w:sz w:val="20"/>
                <w:lang w:val="en-AU" w:eastAsia="en-AU"/>
              </w:rPr>
            </w:pPr>
            <w:r w:rsidRPr="00480EF2">
              <w:rPr>
                <w:b/>
                <w:bCs/>
                <w:sz w:val="20"/>
              </w:rPr>
              <w:t>Adverse Reactions – all Grades</w:t>
            </w:r>
          </w:p>
        </w:tc>
      </w:tr>
      <w:tr w:rsidR="00F43BBE" w:rsidRPr="00480EF2" w:rsidTr="00F43BBE">
        <w:tc>
          <w:tcPr>
            <w:tcW w:w="2366" w:type="dxa"/>
          </w:tcPr>
          <w:p w:rsidR="00F43BBE" w:rsidRPr="00313AC7" w:rsidRDefault="00F43BBE" w:rsidP="00544573">
            <w:pPr>
              <w:spacing w:line="276" w:lineRule="auto"/>
              <w:rPr>
                <w:b/>
                <w:sz w:val="20"/>
                <w:lang w:val="en-AU" w:eastAsia="en-AU"/>
              </w:rPr>
            </w:pPr>
          </w:p>
        </w:tc>
        <w:tc>
          <w:tcPr>
            <w:tcW w:w="2606" w:type="dxa"/>
          </w:tcPr>
          <w:p w:rsidR="00F43BBE" w:rsidRPr="00313AC7" w:rsidRDefault="00F43BBE" w:rsidP="00BF2FF9">
            <w:pPr>
              <w:spacing w:line="276" w:lineRule="auto"/>
              <w:rPr>
                <w:b/>
                <w:bCs/>
                <w:sz w:val="20"/>
              </w:rPr>
            </w:pPr>
            <w:r>
              <w:rPr>
                <w:b/>
                <w:bCs/>
                <w:sz w:val="20"/>
              </w:rPr>
              <w:t>Very Common</w:t>
            </w:r>
          </w:p>
        </w:tc>
        <w:tc>
          <w:tcPr>
            <w:tcW w:w="1974" w:type="dxa"/>
          </w:tcPr>
          <w:p w:rsidR="00F43BBE" w:rsidRPr="00313AC7" w:rsidRDefault="00F43BBE" w:rsidP="00BF2FF9">
            <w:pPr>
              <w:spacing w:line="276" w:lineRule="auto"/>
              <w:rPr>
                <w:b/>
                <w:bCs/>
                <w:sz w:val="20"/>
              </w:rPr>
            </w:pPr>
            <w:r w:rsidRPr="00313AC7">
              <w:rPr>
                <w:b/>
                <w:bCs/>
                <w:sz w:val="20"/>
              </w:rPr>
              <w:t xml:space="preserve">Common </w:t>
            </w:r>
          </w:p>
          <w:p w:rsidR="00F43BBE" w:rsidRPr="00313AC7" w:rsidRDefault="00F43BBE" w:rsidP="00544573">
            <w:pPr>
              <w:spacing w:line="276" w:lineRule="auto"/>
              <w:rPr>
                <w:b/>
                <w:sz w:val="20"/>
                <w:lang w:val="en-AU" w:eastAsia="en-AU"/>
              </w:rPr>
            </w:pPr>
          </w:p>
        </w:tc>
        <w:tc>
          <w:tcPr>
            <w:tcW w:w="2188" w:type="dxa"/>
          </w:tcPr>
          <w:p w:rsidR="00F43BBE" w:rsidRPr="00313AC7" w:rsidRDefault="00F43BBE" w:rsidP="00313AC7">
            <w:pPr>
              <w:spacing w:line="276" w:lineRule="auto"/>
              <w:rPr>
                <w:b/>
                <w:bCs/>
                <w:sz w:val="20"/>
              </w:rPr>
            </w:pPr>
            <w:r w:rsidRPr="00313AC7">
              <w:rPr>
                <w:b/>
                <w:bCs/>
                <w:sz w:val="20"/>
              </w:rPr>
              <w:t xml:space="preserve">Uncommon </w:t>
            </w:r>
          </w:p>
          <w:p w:rsidR="00F43BBE" w:rsidRPr="00313AC7" w:rsidRDefault="00F43BBE" w:rsidP="00544573">
            <w:pPr>
              <w:spacing w:line="276" w:lineRule="auto"/>
              <w:rPr>
                <w:b/>
                <w:sz w:val="20"/>
                <w:lang w:val="en-AU" w:eastAsia="en-AU"/>
              </w:rPr>
            </w:pPr>
          </w:p>
        </w:tc>
      </w:tr>
      <w:tr w:rsidR="00F43BBE" w:rsidRPr="00544573" w:rsidTr="00F43BBE">
        <w:tc>
          <w:tcPr>
            <w:tcW w:w="2366" w:type="dxa"/>
          </w:tcPr>
          <w:p w:rsidR="00F43BBE" w:rsidRPr="00313AC7" w:rsidRDefault="00F43BBE" w:rsidP="00956BC9">
            <w:pPr>
              <w:pStyle w:val="Default"/>
              <w:rPr>
                <w:sz w:val="20"/>
                <w:szCs w:val="20"/>
              </w:rPr>
            </w:pPr>
            <w:r w:rsidRPr="00533190">
              <w:rPr>
                <w:b/>
                <w:bCs/>
                <w:sz w:val="20"/>
                <w:szCs w:val="20"/>
              </w:rPr>
              <w:t xml:space="preserve">Infections and infestations  </w:t>
            </w:r>
          </w:p>
        </w:tc>
        <w:tc>
          <w:tcPr>
            <w:tcW w:w="2606" w:type="dxa"/>
          </w:tcPr>
          <w:p w:rsidR="00F43BBE" w:rsidRPr="00533190" w:rsidRDefault="00F43BBE" w:rsidP="00956BC9">
            <w:pPr>
              <w:pStyle w:val="Default"/>
              <w:rPr>
                <w:sz w:val="20"/>
                <w:szCs w:val="20"/>
              </w:rPr>
            </w:pPr>
          </w:p>
        </w:tc>
        <w:tc>
          <w:tcPr>
            <w:tcW w:w="1974" w:type="dxa"/>
          </w:tcPr>
          <w:p w:rsidR="00F43BBE" w:rsidRDefault="00F43BBE" w:rsidP="00956BC9">
            <w:pPr>
              <w:pStyle w:val="Default"/>
              <w:rPr>
                <w:sz w:val="20"/>
                <w:szCs w:val="20"/>
              </w:rPr>
            </w:pPr>
            <w:r w:rsidRPr="00533190">
              <w:rPr>
                <w:sz w:val="20"/>
                <w:szCs w:val="20"/>
              </w:rPr>
              <w:t xml:space="preserve">Urinary tract infection  </w:t>
            </w:r>
          </w:p>
          <w:p w:rsidR="00F43BBE" w:rsidRPr="00313AC7" w:rsidRDefault="00F43BBE" w:rsidP="00956BC9">
            <w:pPr>
              <w:pStyle w:val="Default"/>
              <w:rPr>
                <w:sz w:val="20"/>
                <w:szCs w:val="20"/>
              </w:rPr>
            </w:pPr>
            <w:r w:rsidRPr="00533190">
              <w:rPr>
                <w:sz w:val="20"/>
                <w:szCs w:val="20"/>
              </w:rPr>
              <w:t xml:space="preserve">Oral </w:t>
            </w:r>
            <w:proofErr w:type="spellStart"/>
            <w:r w:rsidRPr="00533190">
              <w:rPr>
                <w:sz w:val="20"/>
                <w:szCs w:val="20"/>
              </w:rPr>
              <w:t>candidiasis</w:t>
            </w:r>
            <w:proofErr w:type="spellEnd"/>
            <w:r w:rsidRPr="00533190">
              <w:rPr>
                <w:sz w:val="20"/>
                <w:szCs w:val="20"/>
              </w:rPr>
              <w:t xml:space="preserve"> </w:t>
            </w:r>
          </w:p>
          <w:p w:rsidR="00F43BBE" w:rsidRPr="00313AC7" w:rsidRDefault="00F43BBE" w:rsidP="00956BC9">
            <w:pPr>
              <w:pStyle w:val="Default"/>
              <w:rPr>
                <w:sz w:val="20"/>
                <w:szCs w:val="20"/>
              </w:rPr>
            </w:pPr>
            <w:r w:rsidRPr="00533190">
              <w:rPr>
                <w:sz w:val="20"/>
                <w:szCs w:val="20"/>
              </w:rPr>
              <w:t>Upper respiratory tract infection</w:t>
            </w:r>
          </w:p>
          <w:p w:rsidR="00F43BBE" w:rsidRDefault="00F43BBE" w:rsidP="00956BC9">
            <w:pPr>
              <w:pStyle w:val="Default"/>
              <w:rPr>
                <w:sz w:val="20"/>
                <w:szCs w:val="20"/>
              </w:rPr>
            </w:pPr>
            <w:proofErr w:type="spellStart"/>
            <w:r w:rsidRPr="00C972D3">
              <w:rPr>
                <w:sz w:val="20"/>
                <w:szCs w:val="20"/>
              </w:rPr>
              <w:t>Nasopharyngitis</w:t>
            </w:r>
            <w:proofErr w:type="spellEnd"/>
            <w:r w:rsidRPr="00C972D3">
              <w:rPr>
                <w:sz w:val="20"/>
                <w:szCs w:val="20"/>
              </w:rPr>
              <w:t xml:space="preserve">  </w:t>
            </w:r>
          </w:p>
          <w:p w:rsidR="00F43BBE" w:rsidRPr="00C972D3" w:rsidRDefault="00F43BBE" w:rsidP="00956BC9">
            <w:pPr>
              <w:pStyle w:val="Default"/>
              <w:rPr>
                <w:color w:val="auto"/>
                <w:sz w:val="20"/>
                <w:szCs w:val="20"/>
              </w:rPr>
            </w:pPr>
            <w:r w:rsidRPr="00C972D3">
              <w:rPr>
                <w:sz w:val="20"/>
                <w:szCs w:val="20"/>
              </w:rPr>
              <w:lastRenderedPageBreak/>
              <w:t xml:space="preserve">Rhinitis  </w:t>
            </w:r>
          </w:p>
        </w:tc>
        <w:tc>
          <w:tcPr>
            <w:tcW w:w="2188" w:type="dxa"/>
          </w:tcPr>
          <w:p w:rsidR="00F43BBE" w:rsidRPr="00313AC7" w:rsidRDefault="00F43BBE" w:rsidP="00956BC9">
            <w:pPr>
              <w:pStyle w:val="Default"/>
              <w:rPr>
                <w:sz w:val="20"/>
                <w:szCs w:val="20"/>
              </w:rPr>
            </w:pPr>
            <w:r w:rsidRPr="00533190">
              <w:rPr>
                <w:sz w:val="20"/>
                <w:szCs w:val="20"/>
              </w:rPr>
              <w:lastRenderedPageBreak/>
              <w:t>Pneumonia</w:t>
            </w:r>
          </w:p>
          <w:p w:rsidR="00F43BBE" w:rsidRPr="00313AC7" w:rsidRDefault="00F43BBE" w:rsidP="00956BC9">
            <w:pPr>
              <w:pStyle w:val="Default"/>
              <w:rPr>
                <w:sz w:val="20"/>
                <w:szCs w:val="20"/>
              </w:rPr>
            </w:pPr>
            <w:proofErr w:type="spellStart"/>
            <w:r w:rsidRPr="00533190">
              <w:rPr>
                <w:sz w:val="20"/>
                <w:szCs w:val="20"/>
              </w:rPr>
              <w:t>Neutropenic</w:t>
            </w:r>
            <w:proofErr w:type="spellEnd"/>
            <w:r w:rsidRPr="00533190">
              <w:rPr>
                <w:sz w:val="20"/>
                <w:szCs w:val="20"/>
              </w:rPr>
              <w:t xml:space="preserve"> sepsis </w:t>
            </w:r>
          </w:p>
          <w:p w:rsidR="00F43BBE" w:rsidRPr="00313AC7" w:rsidRDefault="00F43BBE" w:rsidP="00956BC9">
            <w:pPr>
              <w:pStyle w:val="Default"/>
              <w:rPr>
                <w:sz w:val="20"/>
                <w:szCs w:val="20"/>
              </w:rPr>
            </w:pPr>
            <w:r w:rsidRPr="00533190">
              <w:rPr>
                <w:sz w:val="20"/>
                <w:szCs w:val="20"/>
              </w:rPr>
              <w:t>Oral herpes</w:t>
            </w:r>
          </w:p>
          <w:p w:rsidR="00F43BBE" w:rsidRPr="00C972D3" w:rsidRDefault="00F43BBE" w:rsidP="00956BC9">
            <w:pPr>
              <w:pStyle w:val="Default"/>
              <w:rPr>
                <w:sz w:val="20"/>
                <w:szCs w:val="20"/>
              </w:rPr>
            </w:pPr>
            <w:r w:rsidRPr="00C972D3">
              <w:rPr>
                <w:sz w:val="20"/>
                <w:szCs w:val="20"/>
              </w:rPr>
              <w:t xml:space="preserve">Herpes zoster </w:t>
            </w:r>
          </w:p>
        </w:tc>
      </w:tr>
      <w:tr w:rsidR="00F43BBE" w:rsidRPr="00544573" w:rsidTr="00F43BBE">
        <w:tc>
          <w:tcPr>
            <w:tcW w:w="2366" w:type="dxa"/>
          </w:tcPr>
          <w:p w:rsidR="00F43BBE" w:rsidRPr="00C972D3" w:rsidRDefault="00F43BBE" w:rsidP="00956BC9">
            <w:pPr>
              <w:pStyle w:val="Default"/>
              <w:rPr>
                <w:sz w:val="20"/>
                <w:szCs w:val="20"/>
              </w:rPr>
            </w:pPr>
            <w:r w:rsidRPr="00C972D3">
              <w:rPr>
                <w:b/>
                <w:bCs/>
                <w:sz w:val="20"/>
                <w:szCs w:val="20"/>
              </w:rPr>
              <w:lastRenderedPageBreak/>
              <w:t xml:space="preserve">Blood and lymphatic disorders </w:t>
            </w:r>
          </w:p>
        </w:tc>
        <w:tc>
          <w:tcPr>
            <w:tcW w:w="2606" w:type="dxa"/>
          </w:tcPr>
          <w:p w:rsidR="00F43BBE" w:rsidRDefault="00F43BBE" w:rsidP="00F43BBE">
            <w:pPr>
              <w:pStyle w:val="Default"/>
              <w:rPr>
                <w:sz w:val="20"/>
              </w:rPr>
            </w:pPr>
            <w:proofErr w:type="spellStart"/>
            <w:r w:rsidRPr="00F97611">
              <w:rPr>
                <w:sz w:val="20"/>
              </w:rPr>
              <w:t>Neutropenia</w:t>
            </w:r>
            <w:proofErr w:type="spellEnd"/>
            <w:r>
              <w:rPr>
                <w:sz w:val="20"/>
              </w:rPr>
              <w:t xml:space="preserve"> </w:t>
            </w:r>
          </w:p>
          <w:p w:rsidR="00F43BBE" w:rsidRDefault="00F43BBE" w:rsidP="00F43BBE">
            <w:pPr>
              <w:pStyle w:val="Default"/>
              <w:rPr>
                <w:sz w:val="20"/>
              </w:rPr>
            </w:pPr>
            <w:proofErr w:type="spellStart"/>
            <w:r w:rsidRPr="00F97611">
              <w:rPr>
                <w:sz w:val="20"/>
              </w:rPr>
              <w:t>Leukopenia</w:t>
            </w:r>
            <w:proofErr w:type="spellEnd"/>
            <w:r w:rsidRPr="00F97611">
              <w:rPr>
                <w:sz w:val="20"/>
              </w:rPr>
              <w:t xml:space="preserve"> </w:t>
            </w:r>
          </w:p>
          <w:p w:rsidR="00F43BBE" w:rsidRPr="00C972D3" w:rsidRDefault="00F43BBE" w:rsidP="00F43BBE">
            <w:pPr>
              <w:pStyle w:val="Default"/>
              <w:rPr>
                <w:sz w:val="20"/>
                <w:szCs w:val="20"/>
              </w:rPr>
            </w:pPr>
            <w:r w:rsidRPr="00F97611">
              <w:rPr>
                <w:sz w:val="20"/>
              </w:rPr>
              <w:t xml:space="preserve">Anaemia </w:t>
            </w:r>
          </w:p>
        </w:tc>
        <w:tc>
          <w:tcPr>
            <w:tcW w:w="1974" w:type="dxa"/>
          </w:tcPr>
          <w:p w:rsidR="00F43BBE" w:rsidRDefault="00F43BBE" w:rsidP="00956BC9">
            <w:pPr>
              <w:pStyle w:val="Default"/>
              <w:rPr>
                <w:sz w:val="20"/>
                <w:szCs w:val="20"/>
              </w:rPr>
            </w:pPr>
            <w:r w:rsidRPr="00C972D3">
              <w:rPr>
                <w:sz w:val="20"/>
                <w:szCs w:val="20"/>
              </w:rPr>
              <w:t xml:space="preserve">Febrile </w:t>
            </w:r>
            <w:proofErr w:type="spellStart"/>
            <w:r w:rsidRPr="00C972D3">
              <w:rPr>
                <w:sz w:val="20"/>
                <w:szCs w:val="20"/>
              </w:rPr>
              <w:t>neutropenia</w:t>
            </w:r>
            <w:proofErr w:type="spellEnd"/>
            <w:r w:rsidRPr="00C972D3">
              <w:rPr>
                <w:sz w:val="20"/>
                <w:szCs w:val="20"/>
              </w:rPr>
              <w:t xml:space="preserve"> Thrombocytopenia </w:t>
            </w:r>
          </w:p>
          <w:p w:rsidR="00F43BBE" w:rsidRPr="00C972D3" w:rsidRDefault="00F43BBE" w:rsidP="00956BC9">
            <w:pPr>
              <w:pStyle w:val="Default"/>
              <w:rPr>
                <w:sz w:val="20"/>
                <w:szCs w:val="20"/>
              </w:rPr>
            </w:pPr>
            <w:proofErr w:type="spellStart"/>
            <w:r w:rsidRPr="00C972D3">
              <w:rPr>
                <w:sz w:val="20"/>
                <w:szCs w:val="20"/>
              </w:rPr>
              <w:t>Lymphopenia</w:t>
            </w:r>
            <w:proofErr w:type="spellEnd"/>
            <w:r w:rsidRPr="00C972D3">
              <w:rPr>
                <w:sz w:val="20"/>
                <w:szCs w:val="20"/>
              </w:rPr>
              <w:t xml:space="preserve"> </w:t>
            </w:r>
          </w:p>
        </w:tc>
        <w:tc>
          <w:tcPr>
            <w:tcW w:w="2188" w:type="dxa"/>
          </w:tcPr>
          <w:p w:rsidR="00F43BBE" w:rsidRPr="00C972D3" w:rsidRDefault="00F43BBE" w:rsidP="00956BC9">
            <w:pPr>
              <w:pStyle w:val="Default"/>
              <w:rPr>
                <w:sz w:val="20"/>
                <w:szCs w:val="20"/>
              </w:rPr>
            </w:pPr>
          </w:p>
        </w:tc>
      </w:tr>
      <w:tr w:rsidR="00F43BBE" w:rsidRPr="00544573" w:rsidTr="00F43BBE">
        <w:tc>
          <w:tcPr>
            <w:tcW w:w="2366" w:type="dxa"/>
          </w:tcPr>
          <w:p w:rsidR="00F43BBE" w:rsidRPr="00C972D3" w:rsidRDefault="00F43BBE" w:rsidP="00956BC9">
            <w:pPr>
              <w:pStyle w:val="Default"/>
              <w:rPr>
                <w:sz w:val="20"/>
                <w:szCs w:val="20"/>
              </w:rPr>
            </w:pPr>
            <w:r w:rsidRPr="00C972D3">
              <w:rPr>
                <w:b/>
                <w:bCs/>
                <w:sz w:val="20"/>
                <w:szCs w:val="20"/>
              </w:rPr>
              <w:t xml:space="preserve">Metabolism and nutrition disorders </w:t>
            </w:r>
          </w:p>
        </w:tc>
        <w:tc>
          <w:tcPr>
            <w:tcW w:w="2606" w:type="dxa"/>
          </w:tcPr>
          <w:p w:rsidR="00F43BBE" w:rsidRPr="00C972D3" w:rsidRDefault="00F43BBE" w:rsidP="00956BC9">
            <w:pPr>
              <w:pStyle w:val="Default"/>
              <w:rPr>
                <w:sz w:val="20"/>
                <w:szCs w:val="20"/>
              </w:rPr>
            </w:pPr>
            <w:r w:rsidRPr="00F97611">
              <w:rPr>
                <w:sz w:val="20"/>
              </w:rPr>
              <w:t>Decreased appetite</w:t>
            </w:r>
          </w:p>
        </w:tc>
        <w:tc>
          <w:tcPr>
            <w:tcW w:w="1974" w:type="dxa"/>
          </w:tcPr>
          <w:p w:rsidR="00F43BBE" w:rsidRDefault="00F43BBE" w:rsidP="00956BC9">
            <w:pPr>
              <w:pStyle w:val="Default"/>
              <w:rPr>
                <w:sz w:val="20"/>
                <w:szCs w:val="20"/>
              </w:rPr>
            </w:pPr>
            <w:proofErr w:type="spellStart"/>
            <w:r w:rsidRPr="00C972D3">
              <w:rPr>
                <w:sz w:val="20"/>
                <w:szCs w:val="20"/>
              </w:rPr>
              <w:t>Hypokalaemia</w:t>
            </w:r>
            <w:proofErr w:type="spellEnd"/>
            <w:r w:rsidRPr="00C972D3">
              <w:rPr>
                <w:sz w:val="20"/>
                <w:szCs w:val="20"/>
              </w:rPr>
              <w:t xml:space="preserve">  </w:t>
            </w:r>
          </w:p>
          <w:p w:rsidR="00F43BBE" w:rsidRDefault="00F43BBE" w:rsidP="00956BC9">
            <w:pPr>
              <w:pStyle w:val="Default"/>
              <w:rPr>
                <w:sz w:val="20"/>
                <w:szCs w:val="20"/>
              </w:rPr>
            </w:pPr>
            <w:r w:rsidRPr="00C972D3">
              <w:rPr>
                <w:sz w:val="20"/>
                <w:szCs w:val="20"/>
              </w:rPr>
              <w:t xml:space="preserve">Hypomagnesaemia  </w:t>
            </w:r>
          </w:p>
          <w:p w:rsidR="00F43BBE" w:rsidRDefault="00F43BBE" w:rsidP="00956BC9">
            <w:pPr>
              <w:pStyle w:val="Default"/>
              <w:rPr>
                <w:sz w:val="20"/>
                <w:szCs w:val="20"/>
              </w:rPr>
            </w:pPr>
            <w:r w:rsidRPr="00C972D3">
              <w:rPr>
                <w:sz w:val="20"/>
                <w:szCs w:val="20"/>
              </w:rPr>
              <w:t xml:space="preserve">Dehydration  </w:t>
            </w:r>
          </w:p>
          <w:p w:rsidR="00F43BBE" w:rsidRDefault="00F43BBE" w:rsidP="00956BC9">
            <w:pPr>
              <w:pStyle w:val="Default"/>
              <w:rPr>
                <w:sz w:val="20"/>
                <w:szCs w:val="20"/>
              </w:rPr>
            </w:pPr>
            <w:r w:rsidRPr="00C972D3">
              <w:rPr>
                <w:sz w:val="20"/>
                <w:szCs w:val="20"/>
              </w:rPr>
              <w:t xml:space="preserve">Hyperglycaemia </w:t>
            </w:r>
          </w:p>
          <w:p w:rsidR="00F43BBE" w:rsidRPr="00C972D3" w:rsidRDefault="00F43BBE" w:rsidP="00956BC9">
            <w:pPr>
              <w:pStyle w:val="Default"/>
              <w:rPr>
                <w:sz w:val="20"/>
                <w:szCs w:val="20"/>
              </w:rPr>
            </w:pPr>
            <w:proofErr w:type="spellStart"/>
            <w:r w:rsidRPr="00C972D3">
              <w:rPr>
                <w:sz w:val="20"/>
                <w:szCs w:val="20"/>
              </w:rPr>
              <w:t>Hypophosphataemia</w:t>
            </w:r>
            <w:proofErr w:type="spellEnd"/>
            <w:r w:rsidRPr="00C972D3">
              <w:rPr>
                <w:sz w:val="20"/>
                <w:szCs w:val="20"/>
              </w:rPr>
              <w:t xml:space="preserve"> </w:t>
            </w:r>
          </w:p>
        </w:tc>
        <w:tc>
          <w:tcPr>
            <w:tcW w:w="2188" w:type="dxa"/>
          </w:tcPr>
          <w:p w:rsidR="00F43BBE" w:rsidRPr="00C972D3" w:rsidRDefault="00F43BBE" w:rsidP="00956BC9">
            <w:pPr>
              <w:pStyle w:val="Default"/>
              <w:rPr>
                <w:sz w:val="20"/>
                <w:szCs w:val="20"/>
              </w:rPr>
            </w:pPr>
          </w:p>
        </w:tc>
      </w:tr>
      <w:tr w:rsidR="00F43BBE" w:rsidRPr="00544573" w:rsidTr="00F43BBE">
        <w:tc>
          <w:tcPr>
            <w:tcW w:w="2366" w:type="dxa"/>
          </w:tcPr>
          <w:p w:rsidR="00F43BBE" w:rsidRPr="00C972D3" w:rsidRDefault="00F43BBE" w:rsidP="00956BC9">
            <w:pPr>
              <w:pStyle w:val="Default"/>
              <w:rPr>
                <w:sz w:val="20"/>
                <w:szCs w:val="20"/>
              </w:rPr>
            </w:pPr>
            <w:r w:rsidRPr="00C972D3">
              <w:rPr>
                <w:b/>
                <w:bCs/>
                <w:sz w:val="20"/>
                <w:szCs w:val="20"/>
              </w:rPr>
              <w:t xml:space="preserve">Psychiatric disorders </w:t>
            </w:r>
          </w:p>
        </w:tc>
        <w:tc>
          <w:tcPr>
            <w:tcW w:w="2606" w:type="dxa"/>
          </w:tcPr>
          <w:p w:rsidR="00F43BBE" w:rsidRPr="00C972D3" w:rsidRDefault="00F43BBE" w:rsidP="00956BC9">
            <w:pPr>
              <w:pStyle w:val="Default"/>
              <w:rPr>
                <w:sz w:val="20"/>
                <w:szCs w:val="20"/>
              </w:rPr>
            </w:pPr>
          </w:p>
        </w:tc>
        <w:tc>
          <w:tcPr>
            <w:tcW w:w="1974" w:type="dxa"/>
          </w:tcPr>
          <w:p w:rsidR="00F43BBE" w:rsidRPr="00C972D3" w:rsidRDefault="00F43BBE" w:rsidP="00956BC9">
            <w:pPr>
              <w:pStyle w:val="Default"/>
              <w:rPr>
                <w:rFonts w:eastAsia="MS Mincho"/>
                <w:sz w:val="20"/>
                <w:szCs w:val="20"/>
                <w:lang w:eastAsia="ja-JP"/>
              </w:rPr>
            </w:pPr>
            <w:r w:rsidRPr="00C972D3">
              <w:rPr>
                <w:sz w:val="20"/>
                <w:szCs w:val="20"/>
              </w:rPr>
              <w:t>Insomnia</w:t>
            </w:r>
          </w:p>
          <w:p w:rsidR="00F43BBE" w:rsidRPr="00C972D3" w:rsidRDefault="00F43BBE" w:rsidP="00956BC9">
            <w:pPr>
              <w:pStyle w:val="Default"/>
              <w:rPr>
                <w:color w:val="auto"/>
                <w:sz w:val="20"/>
                <w:szCs w:val="20"/>
              </w:rPr>
            </w:pPr>
            <w:r w:rsidRPr="00C972D3">
              <w:rPr>
                <w:sz w:val="20"/>
                <w:szCs w:val="20"/>
              </w:rPr>
              <w:t xml:space="preserve">Depression </w:t>
            </w:r>
          </w:p>
        </w:tc>
        <w:tc>
          <w:tcPr>
            <w:tcW w:w="2188" w:type="dxa"/>
          </w:tcPr>
          <w:p w:rsidR="00F43BBE" w:rsidRPr="00C972D3" w:rsidRDefault="00F43BBE" w:rsidP="00956BC9">
            <w:pPr>
              <w:pStyle w:val="Default"/>
              <w:rPr>
                <w:sz w:val="20"/>
                <w:szCs w:val="20"/>
              </w:rPr>
            </w:pPr>
          </w:p>
        </w:tc>
      </w:tr>
      <w:tr w:rsidR="00F43BBE" w:rsidRPr="00544573" w:rsidTr="00F43BBE">
        <w:tc>
          <w:tcPr>
            <w:tcW w:w="2366" w:type="dxa"/>
          </w:tcPr>
          <w:p w:rsidR="00F43BBE" w:rsidRPr="00C972D3" w:rsidRDefault="00F43BBE" w:rsidP="00956BC9">
            <w:pPr>
              <w:pStyle w:val="Default"/>
              <w:rPr>
                <w:sz w:val="20"/>
                <w:szCs w:val="20"/>
              </w:rPr>
            </w:pPr>
            <w:r w:rsidRPr="00C972D3">
              <w:rPr>
                <w:b/>
                <w:bCs/>
                <w:sz w:val="20"/>
                <w:szCs w:val="20"/>
              </w:rPr>
              <w:t xml:space="preserve">Nervous system disorders </w:t>
            </w:r>
          </w:p>
        </w:tc>
        <w:tc>
          <w:tcPr>
            <w:tcW w:w="2606" w:type="dxa"/>
          </w:tcPr>
          <w:p w:rsidR="00F43BBE" w:rsidRPr="00C972D3" w:rsidRDefault="00F43BBE" w:rsidP="00F43BBE">
            <w:pPr>
              <w:pStyle w:val="Default"/>
              <w:rPr>
                <w:sz w:val="20"/>
                <w:szCs w:val="20"/>
              </w:rPr>
            </w:pPr>
            <w:r w:rsidRPr="00F97611">
              <w:rPr>
                <w:sz w:val="20"/>
              </w:rPr>
              <w:t>Peripheral neuropathy Headache</w:t>
            </w:r>
          </w:p>
        </w:tc>
        <w:tc>
          <w:tcPr>
            <w:tcW w:w="1974" w:type="dxa"/>
          </w:tcPr>
          <w:p w:rsidR="00F43BBE" w:rsidRPr="00C972D3" w:rsidRDefault="00F43BBE" w:rsidP="00956BC9">
            <w:pPr>
              <w:pStyle w:val="Default"/>
              <w:rPr>
                <w:rFonts w:eastAsia="MS Mincho"/>
                <w:sz w:val="20"/>
                <w:szCs w:val="20"/>
                <w:lang w:eastAsia="ja-JP"/>
              </w:rPr>
            </w:pPr>
            <w:proofErr w:type="spellStart"/>
            <w:r w:rsidRPr="00C972D3">
              <w:rPr>
                <w:sz w:val="20"/>
                <w:szCs w:val="20"/>
              </w:rPr>
              <w:t>Dysgeusia</w:t>
            </w:r>
            <w:proofErr w:type="spellEnd"/>
            <w:r w:rsidRPr="00C972D3">
              <w:rPr>
                <w:sz w:val="20"/>
                <w:szCs w:val="20"/>
              </w:rPr>
              <w:t xml:space="preserve">  </w:t>
            </w:r>
          </w:p>
          <w:p w:rsidR="00F43BBE" w:rsidRPr="00C972D3" w:rsidRDefault="00F43BBE" w:rsidP="00956BC9">
            <w:pPr>
              <w:pStyle w:val="Default"/>
              <w:rPr>
                <w:rFonts w:eastAsia="MS Mincho"/>
                <w:sz w:val="20"/>
                <w:szCs w:val="20"/>
                <w:lang w:eastAsia="ja-JP"/>
              </w:rPr>
            </w:pPr>
            <w:r w:rsidRPr="00C972D3">
              <w:rPr>
                <w:sz w:val="20"/>
                <w:szCs w:val="20"/>
              </w:rPr>
              <w:t xml:space="preserve">Dizziness </w:t>
            </w:r>
          </w:p>
          <w:p w:rsidR="00F43BBE" w:rsidRPr="00C972D3" w:rsidRDefault="00F43BBE" w:rsidP="00956BC9">
            <w:pPr>
              <w:pStyle w:val="Default"/>
              <w:rPr>
                <w:rFonts w:eastAsia="MS Mincho"/>
                <w:sz w:val="20"/>
                <w:szCs w:val="20"/>
                <w:lang w:eastAsia="ja-JP"/>
              </w:rPr>
            </w:pPr>
            <w:proofErr w:type="spellStart"/>
            <w:r w:rsidRPr="00C972D3">
              <w:rPr>
                <w:sz w:val="20"/>
                <w:szCs w:val="20"/>
              </w:rPr>
              <w:t>Hypoaesthesia</w:t>
            </w:r>
            <w:proofErr w:type="spellEnd"/>
            <w:r w:rsidRPr="00C972D3">
              <w:rPr>
                <w:sz w:val="20"/>
                <w:szCs w:val="20"/>
              </w:rPr>
              <w:t xml:space="preserve"> </w:t>
            </w:r>
          </w:p>
          <w:p w:rsidR="00F43BBE" w:rsidRPr="00C972D3" w:rsidRDefault="00F43BBE" w:rsidP="00956BC9">
            <w:pPr>
              <w:pStyle w:val="Default"/>
              <w:rPr>
                <w:rFonts w:eastAsia="MS Mincho"/>
                <w:sz w:val="20"/>
                <w:szCs w:val="20"/>
                <w:lang w:eastAsia="ja-JP"/>
              </w:rPr>
            </w:pPr>
            <w:r w:rsidRPr="00C972D3">
              <w:rPr>
                <w:sz w:val="20"/>
                <w:szCs w:val="20"/>
              </w:rPr>
              <w:t xml:space="preserve">Lethargy </w:t>
            </w:r>
          </w:p>
          <w:p w:rsidR="00F43BBE" w:rsidRPr="00C972D3" w:rsidRDefault="00F43BBE" w:rsidP="00956BC9">
            <w:pPr>
              <w:pStyle w:val="Default"/>
              <w:rPr>
                <w:sz w:val="20"/>
                <w:szCs w:val="20"/>
              </w:rPr>
            </w:pPr>
            <w:r w:rsidRPr="00C972D3">
              <w:rPr>
                <w:sz w:val="20"/>
                <w:szCs w:val="20"/>
              </w:rPr>
              <w:t xml:space="preserve">Neurotoxicity </w:t>
            </w:r>
          </w:p>
        </w:tc>
        <w:tc>
          <w:tcPr>
            <w:tcW w:w="2188" w:type="dxa"/>
          </w:tcPr>
          <w:p w:rsidR="00F43BBE" w:rsidRPr="00C972D3" w:rsidRDefault="00F43BBE" w:rsidP="00956BC9">
            <w:pPr>
              <w:pStyle w:val="Default"/>
              <w:rPr>
                <w:sz w:val="20"/>
                <w:szCs w:val="20"/>
              </w:rPr>
            </w:pPr>
          </w:p>
        </w:tc>
      </w:tr>
      <w:tr w:rsidR="00F43BBE" w:rsidRPr="00544573" w:rsidTr="00F43BBE">
        <w:tc>
          <w:tcPr>
            <w:tcW w:w="2366" w:type="dxa"/>
          </w:tcPr>
          <w:p w:rsidR="00F43BBE" w:rsidRPr="00C972D3" w:rsidRDefault="00F43BBE" w:rsidP="00956BC9">
            <w:pPr>
              <w:pStyle w:val="Default"/>
              <w:rPr>
                <w:sz w:val="20"/>
                <w:szCs w:val="20"/>
              </w:rPr>
            </w:pPr>
            <w:r w:rsidRPr="00C972D3">
              <w:rPr>
                <w:b/>
                <w:bCs/>
                <w:sz w:val="20"/>
                <w:szCs w:val="20"/>
              </w:rPr>
              <w:t>Eye disorders</w:t>
            </w:r>
          </w:p>
        </w:tc>
        <w:tc>
          <w:tcPr>
            <w:tcW w:w="2606" w:type="dxa"/>
          </w:tcPr>
          <w:p w:rsidR="00F43BBE" w:rsidRPr="00C972D3" w:rsidRDefault="00F43BBE" w:rsidP="00956BC9">
            <w:pPr>
              <w:pStyle w:val="Default"/>
              <w:rPr>
                <w:sz w:val="20"/>
                <w:szCs w:val="20"/>
              </w:rPr>
            </w:pPr>
          </w:p>
        </w:tc>
        <w:tc>
          <w:tcPr>
            <w:tcW w:w="1974" w:type="dxa"/>
          </w:tcPr>
          <w:p w:rsidR="00F43BBE" w:rsidRDefault="00F43BBE" w:rsidP="00956BC9">
            <w:pPr>
              <w:pStyle w:val="Default"/>
              <w:rPr>
                <w:sz w:val="20"/>
                <w:szCs w:val="20"/>
              </w:rPr>
            </w:pPr>
            <w:proofErr w:type="spellStart"/>
            <w:r w:rsidRPr="00C972D3">
              <w:rPr>
                <w:sz w:val="20"/>
                <w:szCs w:val="20"/>
              </w:rPr>
              <w:t>Lacrimation</w:t>
            </w:r>
            <w:proofErr w:type="spellEnd"/>
            <w:r w:rsidRPr="00C972D3">
              <w:rPr>
                <w:sz w:val="20"/>
                <w:szCs w:val="20"/>
              </w:rPr>
              <w:t xml:space="preserve"> increased </w:t>
            </w:r>
          </w:p>
          <w:p w:rsidR="00F43BBE" w:rsidRPr="00C972D3" w:rsidRDefault="00F43BBE" w:rsidP="00956BC9">
            <w:pPr>
              <w:pStyle w:val="Default"/>
              <w:rPr>
                <w:color w:val="auto"/>
                <w:sz w:val="20"/>
                <w:szCs w:val="20"/>
              </w:rPr>
            </w:pPr>
            <w:r w:rsidRPr="00C972D3">
              <w:rPr>
                <w:sz w:val="20"/>
                <w:szCs w:val="20"/>
              </w:rPr>
              <w:t xml:space="preserve">Conjunctivitis </w:t>
            </w:r>
          </w:p>
        </w:tc>
        <w:tc>
          <w:tcPr>
            <w:tcW w:w="2188" w:type="dxa"/>
          </w:tcPr>
          <w:p w:rsidR="00F43BBE" w:rsidRPr="00C972D3" w:rsidRDefault="00F43BBE" w:rsidP="00956BC9">
            <w:pPr>
              <w:pStyle w:val="Default"/>
              <w:rPr>
                <w:sz w:val="20"/>
                <w:szCs w:val="20"/>
              </w:rPr>
            </w:pPr>
          </w:p>
        </w:tc>
      </w:tr>
      <w:tr w:rsidR="00F43BBE" w:rsidRPr="00544573" w:rsidTr="00F43BBE">
        <w:tc>
          <w:tcPr>
            <w:tcW w:w="2366" w:type="dxa"/>
          </w:tcPr>
          <w:p w:rsidR="00F43BBE" w:rsidRPr="00C972D3" w:rsidRDefault="00F43BBE" w:rsidP="00956BC9">
            <w:pPr>
              <w:pStyle w:val="Default"/>
              <w:rPr>
                <w:sz w:val="20"/>
                <w:szCs w:val="20"/>
              </w:rPr>
            </w:pPr>
            <w:r w:rsidRPr="00C972D3">
              <w:rPr>
                <w:b/>
                <w:bCs/>
                <w:sz w:val="20"/>
                <w:szCs w:val="20"/>
              </w:rPr>
              <w:t xml:space="preserve">Ear and Labyrinth Disorders </w:t>
            </w:r>
          </w:p>
        </w:tc>
        <w:tc>
          <w:tcPr>
            <w:tcW w:w="2606" w:type="dxa"/>
          </w:tcPr>
          <w:p w:rsidR="00F43BBE" w:rsidRPr="00C972D3" w:rsidRDefault="00F43BBE" w:rsidP="00956BC9">
            <w:pPr>
              <w:pStyle w:val="Default"/>
              <w:rPr>
                <w:sz w:val="20"/>
                <w:szCs w:val="20"/>
              </w:rPr>
            </w:pPr>
          </w:p>
        </w:tc>
        <w:tc>
          <w:tcPr>
            <w:tcW w:w="1974" w:type="dxa"/>
          </w:tcPr>
          <w:p w:rsidR="00F43BBE" w:rsidRPr="00C972D3" w:rsidRDefault="00F43BBE" w:rsidP="00956BC9">
            <w:pPr>
              <w:pStyle w:val="Default"/>
              <w:rPr>
                <w:color w:val="auto"/>
                <w:sz w:val="20"/>
                <w:szCs w:val="20"/>
              </w:rPr>
            </w:pPr>
            <w:r w:rsidRPr="00C972D3">
              <w:rPr>
                <w:sz w:val="20"/>
                <w:szCs w:val="20"/>
              </w:rPr>
              <w:t xml:space="preserve">Vertigo </w:t>
            </w:r>
          </w:p>
        </w:tc>
        <w:tc>
          <w:tcPr>
            <w:tcW w:w="2188" w:type="dxa"/>
          </w:tcPr>
          <w:p w:rsidR="00F43BBE" w:rsidRPr="00C972D3" w:rsidRDefault="00F43BBE" w:rsidP="00956BC9">
            <w:pPr>
              <w:pStyle w:val="Default"/>
              <w:rPr>
                <w:sz w:val="20"/>
                <w:szCs w:val="20"/>
              </w:rPr>
            </w:pPr>
            <w:r w:rsidRPr="00C972D3">
              <w:rPr>
                <w:sz w:val="20"/>
                <w:szCs w:val="20"/>
              </w:rPr>
              <w:t xml:space="preserve">Tinnitus </w:t>
            </w:r>
          </w:p>
        </w:tc>
      </w:tr>
      <w:tr w:rsidR="00F43BBE" w:rsidRPr="00544573" w:rsidTr="00F43BBE">
        <w:tc>
          <w:tcPr>
            <w:tcW w:w="2366" w:type="dxa"/>
          </w:tcPr>
          <w:p w:rsidR="00F43BBE" w:rsidRPr="00C972D3" w:rsidRDefault="00F43BBE" w:rsidP="00956BC9">
            <w:pPr>
              <w:pStyle w:val="Default"/>
              <w:rPr>
                <w:sz w:val="20"/>
                <w:szCs w:val="20"/>
              </w:rPr>
            </w:pPr>
            <w:r w:rsidRPr="00C972D3">
              <w:rPr>
                <w:b/>
                <w:bCs/>
                <w:sz w:val="20"/>
                <w:szCs w:val="20"/>
              </w:rPr>
              <w:t xml:space="preserve">Cardiac disorders </w:t>
            </w:r>
          </w:p>
        </w:tc>
        <w:tc>
          <w:tcPr>
            <w:tcW w:w="2606" w:type="dxa"/>
          </w:tcPr>
          <w:p w:rsidR="00F43BBE" w:rsidRPr="00C972D3" w:rsidRDefault="00F43BBE" w:rsidP="00956BC9">
            <w:pPr>
              <w:pStyle w:val="Default"/>
              <w:rPr>
                <w:sz w:val="20"/>
                <w:szCs w:val="20"/>
              </w:rPr>
            </w:pPr>
          </w:p>
        </w:tc>
        <w:tc>
          <w:tcPr>
            <w:tcW w:w="1974" w:type="dxa"/>
          </w:tcPr>
          <w:p w:rsidR="00F43BBE" w:rsidRPr="00C972D3" w:rsidRDefault="00F43BBE" w:rsidP="00956BC9">
            <w:pPr>
              <w:pStyle w:val="Default"/>
              <w:rPr>
                <w:color w:val="auto"/>
                <w:sz w:val="20"/>
                <w:szCs w:val="20"/>
              </w:rPr>
            </w:pPr>
            <w:r w:rsidRPr="00C972D3">
              <w:rPr>
                <w:sz w:val="20"/>
                <w:szCs w:val="20"/>
              </w:rPr>
              <w:t xml:space="preserve">Tachycardia </w:t>
            </w:r>
          </w:p>
        </w:tc>
        <w:tc>
          <w:tcPr>
            <w:tcW w:w="2188" w:type="dxa"/>
          </w:tcPr>
          <w:p w:rsidR="00F43BBE" w:rsidRPr="00C972D3" w:rsidRDefault="00F43BBE" w:rsidP="00956BC9">
            <w:pPr>
              <w:pStyle w:val="Default"/>
              <w:rPr>
                <w:sz w:val="20"/>
                <w:szCs w:val="20"/>
              </w:rPr>
            </w:pPr>
          </w:p>
        </w:tc>
      </w:tr>
      <w:tr w:rsidR="00F43BBE" w:rsidRPr="00544573" w:rsidTr="00F43BBE">
        <w:tc>
          <w:tcPr>
            <w:tcW w:w="2366" w:type="dxa"/>
          </w:tcPr>
          <w:p w:rsidR="00F43BBE" w:rsidRPr="00C972D3" w:rsidRDefault="00F43BBE" w:rsidP="00956BC9">
            <w:pPr>
              <w:pStyle w:val="Default"/>
              <w:rPr>
                <w:sz w:val="20"/>
                <w:szCs w:val="20"/>
              </w:rPr>
            </w:pPr>
            <w:r w:rsidRPr="00C972D3">
              <w:rPr>
                <w:b/>
                <w:bCs/>
                <w:sz w:val="20"/>
                <w:szCs w:val="20"/>
              </w:rPr>
              <w:t xml:space="preserve">Vascular disorders  </w:t>
            </w:r>
          </w:p>
        </w:tc>
        <w:tc>
          <w:tcPr>
            <w:tcW w:w="2606" w:type="dxa"/>
          </w:tcPr>
          <w:p w:rsidR="00F43BBE" w:rsidRPr="00C972D3" w:rsidRDefault="00F43BBE" w:rsidP="00956BC9">
            <w:pPr>
              <w:pStyle w:val="Default"/>
              <w:rPr>
                <w:sz w:val="20"/>
                <w:szCs w:val="20"/>
              </w:rPr>
            </w:pPr>
          </w:p>
        </w:tc>
        <w:tc>
          <w:tcPr>
            <w:tcW w:w="1974" w:type="dxa"/>
          </w:tcPr>
          <w:p w:rsidR="00F43BBE" w:rsidRPr="00C972D3" w:rsidRDefault="00F43BBE" w:rsidP="00956BC9">
            <w:pPr>
              <w:pStyle w:val="Default"/>
              <w:rPr>
                <w:color w:val="auto"/>
                <w:sz w:val="20"/>
                <w:szCs w:val="20"/>
              </w:rPr>
            </w:pPr>
            <w:r w:rsidRPr="00C972D3">
              <w:rPr>
                <w:sz w:val="20"/>
                <w:szCs w:val="20"/>
              </w:rPr>
              <w:t xml:space="preserve">Hot flush </w:t>
            </w:r>
          </w:p>
        </w:tc>
        <w:tc>
          <w:tcPr>
            <w:tcW w:w="2188" w:type="dxa"/>
          </w:tcPr>
          <w:p w:rsidR="00F43BBE" w:rsidRPr="00C972D3" w:rsidRDefault="00F43BBE" w:rsidP="00956BC9">
            <w:pPr>
              <w:pStyle w:val="Default"/>
              <w:rPr>
                <w:sz w:val="20"/>
                <w:szCs w:val="20"/>
              </w:rPr>
            </w:pPr>
            <w:r w:rsidRPr="00C972D3">
              <w:rPr>
                <w:sz w:val="20"/>
                <w:szCs w:val="20"/>
              </w:rPr>
              <w:t>Deep vein thrombosis</w:t>
            </w:r>
            <w:r>
              <w:rPr>
                <w:sz w:val="20"/>
                <w:szCs w:val="20"/>
              </w:rPr>
              <w:t xml:space="preserve"> P</w:t>
            </w:r>
            <w:r w:rsidRPr="00C972D3">
              <w:rPr>
                <w:sz w:val="20"/>
                <w:szCs w:val="20"/>
              </w:rPr>
              <w:t xml:space="preserve">ulmonary embolism </w:t>
            </w:r>
          </w:p>
        </w:tc>
      </w:tr>
      <w:tr w:rsidR="00F43BBE" w:rsidRPr="00544573" w:rsidTr="00F43BBE">
        <w:tc>
          <w:tcPr>
            <w:tcW w:w="2366" w:type="dxa"/>
          </w:tcPr>
          <w:p w:rsidR="00F43BBE" w:rsidRPr="00C972D3" w:rsidRDefault="00F43BBE" w:rsidP="00956BC9">
            <w:pPr>
              <w:pStyle w:val="Default"/>
              <w:rPr>
                <w:sz w:val="20"/>
                <w:szCs w:val="20"/>
              </w:rPr>
            </w:pPr>
            <w:r w:rsidRPr="00C972D3">
              <w:rPr>
                <w:b/>
                <w:bCs/>
                <w:sz w:val="20"/>
                <w:szCs w:val="20"/>
              </w:rPr>
              <w:t xml:space="preserve">Respiratory, thoracic and </w:t>
            </w:r>
            <w:proofErr w:type="spellStart"/>
            <w:r w:rsidRPr="00C972D3">
              <w:rPr>
                <w:b/>
                <w:bCs/>
                <w:sz w:val="20"/>
                <w:szCs w:val="20"/>
              </w:rPr>
              <w:t>mediastinal</w:t>
            </w:r>
            <w:proofErr w:type="spellEnd"/>
            <w:r w:rsidRPr="00C972D3">
              <w:rPr>
                <w:b/>
                <w:bCs/>
                <w:sz w:val="20"/>
                <w:szCs w:val="20"/>
              </w:rPr>
              <w:t xml:space="preserve"> disorders </w:t>
            </w:r>
          </w:p>
        </w:tc>
        <w:tc>
          <w:tcPr>
            <w:tcW w:w="2606" w:type="dxa"/>
          </w:tcPr>
          <w:p w:rsidR="00F43BBE" w:rsidRPr="00C972D3" w:rsidRDefault="00F43BBE" w:rsidP="00956BC9">
            <w:pPr>
              <w:pStyle w:val="Default"/>
              <w:rPr>
                <w:sz w:val="20"/>
                <w:szCs w:val="20"/>
              </w:rPr>
            </w:pPr>
          </w:p>
        </w:tc>
        <w:tc>
          <w:tcPr>
            <w:tcW w:w="1974" w:type="dxa"/>
          </w:tcPr>
          <w:p w:rsidR="00F43BBE" w:rsidRPr="00C972D3" w:rsidRDefault="00F43BBE" w:rsidP="00956BC9">
            <w:pPr>
              <w:pStyle w:val="Default"/>
              <w:rPr>
                <w:rFonts w:eastAsia="MS Mincho"/>
                <w:sz w:val="20"/>
                <w:szCs w:val="20"/>
                <w:lang w:eastAsia="ja-JP"/>
              </w:rPr>
            </w:pPr>
            <w:r w:rsidRPr="00C972D3">
              <w:rPr>
                <w:sz w:val="20"/>
                <w:szCs w:val="20"/>
              </w:rPr>
              <w:t xml:space="preserve">Dyspnoea </w:t>
            </w:r>
          </w:p>
          <w:p w:rsidR="00F43BBE" w:rsidRPr="00C972D3" w:rsidRDefault="00F43BBE" w:rsidP="00956BC9">
            <w:pPr>
              <w:pStyle w:val="Default"/>
              <w:rPr>
                <w:rFonts w:eastAsia="MS Mincho"/>
                <w:sz w:val="20"/>
                <w:szCs w:val="20"/>
                <w:lang w:eastAsia="ja-JP"/>
              </w:rPr>
            </w:pPr>
            <w:r w:rsidRPr="00C972D3">
              <w:rPr>
                <w:sz w:val="20"/>
                <w:szCs w:val="20"/>
              </w:rPr>
              <w:t xml:space="preserve">Cough </w:t>
            </w:r>
          </w:p>
          <w:p w:rsidR="00F43BBE" w:rsidRDefault="00F43BBE" w:rsidP="00956BC9">
            <w:pPr>
              <w:pStyle w:val="Default"/>
              <w:rPr>
                <w:sz w:val="20"/>
                <w:szCs w:val="20"/>
              </w:rPr>
            </w:pPr>
            <w:proofErr w:type="spellStart"/>
            <w:r w:rsidRPr="00C972D3">
              <w:rPr>
                <w:sz w:val="20"/>
                <w:szCs w:val="20"/>
              </w:rPr>
              <w:t>Oropharyngeal</w:t>
            </w:r>
            <w:proofErr w:type="spellEnd"/>
            <w:r w:rsidRPr="00C972D3">
              <w:rPr>
                <w:sz w:val="20"/>
                <w:szCs w:val="20"/>
              </w:rPr>
              <w:t xml:space="preserve"> pain </w:t>
            </w:r>
          </w:p>
          <w:p w:rsidR="00F43BBE" w:rsidRPr="00C972D3" w:rsidRDefault="00F43BBE" w:rsidP="00956BC9">
            <w:pPr>
              <w:pStyle w:val="Default"/>
              <w:rPr>
                <w:rFonts w:eastAsia="MS Mincho"/>
                <w:sz w:val="20"/>
                <w:szCs w:val="20"/>
                <w:lang w:eastAsia="ja-JP"/>
              </w:rPr>
            </w:pPr>
            <w:proofErr w:type="spellStart"/>
            <w:r w:rsidRPr="00C972D3">
              <w:rPr>
                <w:sz w:val="20"/>
                <w:szCs w:val="20"/>
              </w:rPr>
              <w:t>Epistaxis</w:t>
            </w:r>
            <w:proofErr w:type="spellEnd"/>
            <w:r w:rsidRPr="00C972D3">
              <w:rPr>
                <w:sz w:val="20"/>
                <w:szCs w:val="20"/>
              </w:rPr>
              <w:t xml:space="preserve"> </w:t>
            </w:r>
          </w:p>
          <w:p w:rsidR="00F43BBE" w:rsidRPr="00C972D3" w:rsidRDefault="00F43BBE" w:rsidP="00956BC9">
            <w:pPr>
              <w:pStyle w:val="Default"/>
              <w:rPr>
                <w:color w:val="auto"/>
                <w:sz w:val="20"/>
                <w:szCs w:val="20"/>
              </w:rPr>
            </w:pPr>
            <w:proofErr w:type="spellStart"/>
            <w:r w:rsidRPr="00C972D3">
              <w:rPr>
                <w:sz w:val="20"/>
                <w:szCs w:val="20"/>
              </w:rPr>
              <w:t>Rhinorrhoea</w:t>
            </w:r>
            <w:proofErr w:type="spellEnd"/>
            <w:r w:rsidRPr="00C972D3">
              <w:rPr>
                <w:sz w:val="20"/>
                <w:szCs w:val="20"/>
              </w:rPr>
              <w:t xml:space="preserve"> </w:t>
            </w:r>
          </w:p>
        </w:tc>
        <w:tc>
          <w:tcPr>
            <w:tcW w:w="2188" w:type="dxa"/>
          </w:tcPr>
          <w:p w:rsidR="00F43BBE" w:rsidRPr="00C972D3" w:rsidRDefault="00F43BBE" w:rsidP="00956BC9">
            <w:pPr>
              <w:pStyle w:val="Default"/>
              <w:rPr>
                <w:sz w:val="20"/>
                <w:szCs w:val="20"/>
              </w:rPr>
            </w:pPr>
            <w:r w:rsidRPr="00C972D3">
              <w:rPr>
                <w:sz w:val="20"/>
                <w:szCs w:val="20"/>
              </w:rPr>
              <w:t xml:space="preserve">Interstitial lung disease </w:t>
            </w:r>
          </w:p>
        </w:tc>
      </w:tr>
      <w:tr w:rsidR="00F43BBE" w:rsidRPr="00544573" w:rsidTr="00F43BBE">
        <w:tc>
          <w:tcPr>
            <w:tcW w:w="2366" w:type="dxa"/>
          </w:tcPr>
          <w:p w:rsidR="00F43BBE" w:rsidRPr="00C972D3" w:rsidRDefault="00F43BBE" w:rsidP="00956BC9">
            <w:pPr>
              <w:pStyle w:val="Default"/>
              <w:rPr>
                <w:sz w:val="20"/>
                <w:szCs w:val="20"/>
              </w:rPr>
            </w:pPr>
            <w:r w:rsidRPr="00C972D3">
              <w:rPr>
                <w:b/>
                <w:bCs/>
                <w:sz w:val="20"/>
                <w:szCs w:val="20"/>
              </w:rPr>
              <w:t>Gastrointestinal disorders</w:t>
            </w:r>
          </w:p>
        </w:tc>
        <w:tc>
          <w:tcPr>
            <w:tcW w:w="2606" w:type="dxa"/>
          </w:tcPr>
          <w:p w:rsidR="00F43BBE" w:rsidRDefault="00F43BBE" w:rsidP="00F43BBE">
            <w:pPr>
              <w:rPr>
                <w:sz w:val="20"/>
              </w:rPr>
            </w:pPr>
            <w:r w:rsidRPr="00F97611">
              <w:rPr>
                <w:sz w:val="20"/>
              </w:rPr>
              <w:t xml:space="preserve">Nausea </w:t>
            </w:r>
          </w:p>
          <w:p w:rsidR="00F43BBE" w:rsidRPr="00F97611" w:rsidRDefault="00F43BBE" w:rsidP="00F43BBE">
            <w:pPr>
              <w:rPr>
                <w:sz w:val="20"/>
              </w:rPr>
            </w:pPr>
            <w:r w:rsidRPr="00F97611">
              <w:rPr>
                <w:sz w:val="20"/>
              </w:rPr>
              <w:t>Constipation</w:t>
            </w:r>
            <w:r w:rsidRPr="00F97611">
              <w:rPr>
                <w:sz w:val="20"/>
              </w:rPr>
              <w:br/>
              <w:t>Diarrhoea</w:t>
            </w:r>
          </w:p>
          <w:p w:rsidR="00F43BBE" w:rsidRPr="00C972D3" w:rsidRDefault="00F43BBE" w:rsidP="00F43BBE">
            <w:pPr>
              <w:pStyle w:val="Default"/>
              <w:rPr>
                <w:sz w:val="20"/>
                <w:szCs w:val="20"/>
              </w:rPr>
            </w:pPr>
            <w:r w:rsidRPr="00F97611">
              <w:rPr>
                <w:sz w:val="20"/>
              </w:rPr>
              <w:t>Vomiting</w:t>
            </w:r>
          </w:p>
        </w:tc>
        <w:tc>
          <w:tcPr>
            <w:tcW w:w="1974" w:type="dxa"/>
          </w:tcPr>
          <w:p w:rsidR="00F43BBE" w:rsidRPr="00C972D3" w:rsidRDefault="00F43BBE" w:rsidP="00956BC9">
            <w:pPr>
              <w:pStyle w:val="Default"/>
              <w:rPr>
                <w:sz w:val="20"/>
                <w:szCs w:val="20"/>
              </w:rPr>
            </w:pPr>
            <w:r w:rsidRPr="00C972D3">
              <w:rPr>
                <w:sz w:val="20"/>
                <w:szCs w:val="20"/>
              </w:rPr>
              <w:t xml:space="preserve">Abdominal pain </w:t>
            </w:r>
          </w:p>
          <w:p w:rsidR="00F43BBE" w:rsidRPr="00C972D3" w:rsidRDefault="00F43BBE" w:rsidP="00956BC9">
            <w:pPr>
              <w:pStyle w:val="Default"/>
              <w:rPr>
                <w:rFonts w:eastAsia="MS Mincho"/>
                <w:sz w:val="20"/>
                <w:szCs w:val="20"/>
                <w:lang w:eastAsia="ja-JP"/>
              </w:rPr>
            </w:pPr>
            <w:proofErr w:type="spellStart"/>
            <w:r w:rsidRPr="00C972D3">
              <w:rPr>
                <w:sz w:val="20"/>
                <w:szCs w:val="20"/>
              </w:rPr>
              <w:t>Stomatitis</w:t>
            </w:r>
            <w:proofErr w:type="spellEnd"/>
            <w:r w:rsidRPr="00C972D3">
              <w:rPr>
                <w:sz w:val="20"/>
                <w:szCs w:val="20"/>
              </w:rPr>
              <w:t xml:space="preserve"> </w:t>
            </w:r>
          </w:p>
          <w:p w:rsidR="00F43BBE" w:rsidRPr="00C972D3" w:rsidRDefault="00B124E8" w:rsidP="00956BC9">
            <w:pPr>
              <w:pStyle w:val="Default"/>
              <w:rPr>
                <w:rFonts w:eastAsia="MS Mincho"/>
                <w:sz w:val="20"/>
                <w:szCs w:val="20"/>
                <w:lang w:eastAsia="ja-JP"/>
              </w:rPr>
            </w:pPr>
            <w:r>
              <w:rPr>
                <w:sz w:val="20"/>
                <w:szCs w:val="20"/>
              </w:rPr>
              <w:t>Dry mouth</w:t>
            </w:r>
          </w:p>
          <w:p w:rsidR="00F43BBE" w:rsidRDefault="00F43BBE" w:rsidP="00956BC9">
            <w:pPr>
              <w:pStyle w:val="Default"/>
              <w:rPr>
                <w:sz w:val="20"/>
                <w:szCs w:val="20"/>
              </w:rPr>
            </w:pPr>
            <w:r w:rsidRPr="00C972D3">
              <w:rPr>
                <w:sz w:val="20"/>
                <w:szCs w:val="20"/>
              </w:rPr>
              <w:t xml:space="preserve">Dyspepsia </w:t>
            </w:r>
          </w:p>
          <w:p w:rsidR="00F43BBE" w:rsidRPr="00C972D3" w:rsidRDefault="00F43BBE" w:rsidP="00956BC9">
            <w:pPr>
              <w:pStyle w:val="Default"/>
              <w:rPr>
                <w:rFonts w:eastAsia="MS Mincho"/>
                <w:sz w:val="20"/>
                <w:szCs w:val="20"/>
                <w:lang w:eastAsia="ja-JP"/>
              </w:rPr>
            </w:pPr>
            <w:proofErr w:type="spellStart"/>
            <w:r w:rsidRPr="00C972D3">
              <w:rPr>
                <w:sz w:val="20"/>
                <w:szCs w:val="20"/>
              </w:rPr>
              <w:t>Gastrooesophageal</w:t>
            </w:r>
            <w:proofErr w:type="spellEnd"/>
            <w:r w:rsidRPr="00C972D3">
              <w:rPr>
                <w:sz w:val="20"/>
                <w:szCs w:val="20"/>
              </w:rPr>
              <w:t xml:space="preserve"> reflux disease </w:t>
            </w:r>
          </w:p>
          <w:p w:rsidR="00F43BBE" w:rsidRDefault="00F43BBE" w:rsidP="00956BC9">
            <w:pPr>
              <w:pStyle w:val="Default"/>
              <w:rPr>
                <w:sz w:val="20"/>
                <w:szCs w:val="20"/>
              </w:rPr>
            </w:pPr>
            <w:r w:rsidRPr="00C972D3">
              <w:rPr>
                <w:sz w:val="20"/>
                <w:szCs w:val="20"/>
              </w:rPr>
              <w:t xml:space="preserve">Mouth ulceration </w:t>
            </w:r>
          </w:p>
          <w:p w:rsidR="00F43BBE" w:rsidRPr="00C972D3" w:rsidRDefault="00F43BBE" w:rsidP="00956BC9">
            <w:pPr>
              <w:pStyle w:val="Default"/>
              <w:rPr>
                <w:sz w:val="20"/>
                <w:szCs w:val="20"/>
              </w:rPr>
            </w:pPr>
            <w:r w:rsidRPr="00C972D3">
              <w:rPr>
                <w:sz w:val="20"/>
                <w:szCs w:val="20"/>
              </w:rPr>
              <w:t>Abdominal distension</w:t>
            </w:r>
          </w:p>
        </w:tc>
        <w:tc>
          <w:tcPr>
            <w:tcW w:w="2188" w:type="dxa"/>
          </w:tcPr>
          <w:p w:rsidR="00F43BBE" w:rsidRPr="00C972D3" w:rsidRDefault="00F43BBE" w:rsidP="00956BC9">
            <w:pPr>
              <w:pStyle w:val="Default"/>
              <w:rPr>
                <w:sz w:val="20"/>
                <w:szCs w:val="20"/>
              </w:rPr>
            </w:pPr>
          </w:p>
        </w:tc>
      </w:tr>
      <w:tr w:rsidR="00F43BBE" w:rsidRPr="00544573" w:rsidTr="00F43BBE">
        <w:trPr>
          <w:trHeight w:val="522"/>
        </w:trPr>
        <w:tc>
          <w:tcPr>
            <w:tcW w:w="2366" w:type="dxa"/>
          </w:tcPr>
          <w:p w:rsidR="00F43BBE" w:rsidRPr="00C972D3" w:rsidRDefault="00F43BBE" w:rsidP="00956BC9">
            <w:pPr>
              <w:pStyle w:val="Default"/>
              <w:rPr>
                <w:sz w:val="20"/>
                <w:szCs w:val="20"/>
              </w:rPr>
            </w:pPr>
            <w:proofErr w:type="spellStart"/>
            <w:r w:rsidRPr="00C972D3">
              <w:rPr>
                <w:b/>
                <w:bCs/>
                <w:sz w:val="20"/>
                <w:szCs w:val="20"/>
              </w:rPr>
              <w:t>Hepatobiliary</w:t>
            </w:r>
            <w:proofErr w:type="spellEnd"/>
            <w:r w:rsidRPr="00C972D3">
              <w:rPr>
                <w:b/>
                <w:bCs/>
                <w:sz w:val="20"/>
                <w:szCs w:val="20"/>
              </w:rPr>
              <w:t xml:space="preserve"> disorders</w:t>
            </w:r>
          </w:p>
        </w:tc>
        <w:tc>
          <w:tcPr>
            <w:tcW w:w="2606" w:type="dxa"/>
          </w:tcPr>
          <w:p w:rsidR="00F43BBE" w:rsidRPr="00C972D3" w:rsidRDefault="00F43BBE" w:rsidP="00956BC9">
            <w:pPr>
              <w:pStyle w:val="Default"/>
              <w:rPr>
                <w:sz w:val="20"/>
                <w:szCs w:val="20"/>
              </w:rPr>
            </w:pPr>
          </w:p>
        </w:tc>
        <w:tc>
          <w:tcPr>
            <w:tcW w:w="1974" w:type="dxa"/>
          </w:tcPr>
          <w:p w:rsidR="00F43BBE" w:rsidRPr="00C972D3" w:rsidRDefault="00F43BBE" w:rsidP="00956BC9">
            <w:pPr>
              <w:pStyle w:val="Default"/>
              <w:rPr>
                <w:rFonts w:eastAsia="MS Mincho"/>
                <w:sz w:val="20"/>
                <w:szCs w:val="20"/>
                <w:lang w:eastAsia="ja-JP"/>
              </w:rPr>
            </w:pPr>
            <w:proofErr w:type="spellStart"/>
            <w:r w:rsidRPr="00C972D3">
              <w:rPr>
                <w:sz w:val="20"/>
                <w:szCs w:val="20"/>
              </w:rPr>
              <w:t>Alanine</w:t>
            </w:r>
            <w:proofErr w:type="spellEnd"/>
            <w:r w:rsidRPr="00C972D3">
              <w:rPr>
                <w:sz w:val="20"/>
                <w:szCs w:val="20"/>
              </w:rPr>
              <w:t xml:space="preserve"> </w:t>
            </w:r>
            <w:proofErr w:type="spellStart"/>
            <w:r w:rsidRPr="00C972D3">
              <w:rPr>
                <w:sz w:val="20"/>
                <w:szCs w:val="20"/>
              </w:rPr>
              <w:t>aminotransferase</w:t>
            </w:r>
            <w:proofErr w:type="spellEnd"/>
            <w:r w:rsidRPr="00C972D3">
              <w:rPr>
                <w:sz w:val="20"/>
                <w:szCs w:val="20"/>
              </w:rPr>
              <w:t xml:space="preserve"> increased </w:t>
            </w:r>
          </w:p>
          <w:p w:rsidR="00F43BBE" w:rsidRPr="00C972D3" w:rsidRDefault="00F43BBE" w:rsidP="00956BC9">
            <w:pPr>
              <w:pStyle w:val="Default"/>
              <w:rPr>
                <w:color w:val="auto"/>
                <w:sz w:val="20"/>
                <w:szCs w:val="20"/>
              </w:rPr>
            </w:pPr>
            <w:proofErr w:type="spellStart"/>
            <w:r w:rsidRPr="00C972D3">
              <w:rPr>
                <w:sz w:val="20"/>
                <w:szCs w:val="20"/>
              </w:rPr>
              <w:t>Aspartate</w:t>
            </w:r>
            <w:proofErr w:type="spellEnd"/>
            <w:r w:rsidRPr="00C972D3">
              <w:rPr>
                <w:sz w:val="20"/>
                <w:szCs w:val="20"/>
              </w:rPr>
              <w:t xml:space="preserve"> </w:t>
            </w:r>
            <w:proofErr w:type="spellStart"/>
            <w:r w:rsidRPr="00C972D3">
              <w:rPr>
                <w:sz w:val="20"/>
                <w:szCs w:val="20"/>
              </w:rPr>
              <w:t>aminotransferase</w:t>
            </w:r>
            <w:proofErr w:type="spellEnd"/>
            <w:r w:rsidRPr="00C972D3">
              <w:rPr>
                <w:sz w:val="20"/>
                <w:szCs w:val="20"/>
              </w:rPr>
              <w:t xml:space="preserve"> increased</w:t>
            </w:r>
          </w:p>
        </w:tc>
        <w:tc>
          <w:tcPr>
            <w:tcW w:w="2188" w:type="dxa"/>
          </w:tcPr>
          <w:p w:rsidR="00F43BBE" w:rsidRPr="00C972D3" w:rsidRDefault="00F43BBE" w:rsidP="00956BC9">
            <w:pPr>
              <w:pStyle w:val="Default"/>
              <w:rPr>
                <w:sz w:val="20"/>
                <w:szCs w:val="20"/>
              </w:rPr>
            </w:pPr>
            <w:proofErr w:type="spellStart"/>
            <w:r w:rsidRPr="00C972D3">
              <w:rPr>
                <w:sz w:val="20"/>
                <w:szCs w:val="20"/>
              </w:rPr>
              <w:t>Hyperbilirubinaemia</w:t>
            </w:r>
            <w:proofErr w:type="spellEnd"/>
          </w:p>
        </w:tc>
      </w:tr>
      <w:tr w:rsidR="00F43BBE" w:rsidRPr="00544573" w:rsidTr="00F43BBE">
        <w:tc>
          <w:tcPr>
            <w:tcW w:w="2366" w:type="dxa"/>
          </w:tcPr>
          <w:p w:rsidR="00F43BBE" w:rsidRPr="00C972D3" w:rsidRDefault="00F43BBE" w:rsidP="00956BC9">
            <w:pPr>
              <w:pStyle w:val="Default"/>
              <w:rPr>
                <w:sz w:val="20"/>
                <w:szCs w:val="20"/>
              </w:rPr>
            </w:pPr>
            <w:r w:rsidRPr="00C972D3">
              <w:rPr>
                <w:b/>
                <w:bCs/>
                <w:sz w:val="20"/>
                <w:szCs w:val="20"/>
              </w:rPr>
              <w:t>Skin and subcutaneous tissue disorders</w:t>
            </w:r>
          </w:p>
        </w:tc>
        <w:tc>
          <w:tcPr>
            <w:tcW w:w="2606" w:type="dxa"/>
          </w:tcPr>
          <w:p w:rsidR="00F43BBE" w:rsidRPr="00C972D3" w:rsidRDefault="00F43BBE" w:rsidP="00956BC9">
            <w:pPr>
              <w:pStyle w:val="Default"/>
              <w:rPr>
                <w:sz w:val="20"/>
                <w:szCs w:val="20"/>
              </w:rPr>
            </w:pPr>
            <w:r w:rsidRPr="00F97611">
              <w:rPr>
                <w:sz w:val="20"/>
              </w:rPr>
              <w:t>Alopecia</w:t>
            </w:r>
          </w:p>
        </w:tc>
        <w:tc>
          <w:tcPr>
            <w:tcW w:w="1974" w:type="dxa"/>
          </w:tcPr>
          <w:p w:rsidR="00F43BBE" w:rsidRPr="00C972D3" w:rsidRDefault="00F43BBE" w:rsidP="00956BC9">
            <w:pPr>
              <w:pStyle w:val="Default"/>
              <w:rPr>
                <w:sz w:val="20"/>
                <w:szCs w:val="20"/>
              </w:rPr>
            </w:pPr>
            <w:r w:rsidRPr="00C972D3">
              <w:rPr>
                <w:sz w:val="20"/>
                <w:szCs w:val="20"/>
              </w:rPr>
              <w:t xml:space="preserve">Rash </w:t>
            </w:r>
          </w:p>
          <w:p w:rsidR="00F43BBE" w:rsidRPr="00C972D3" w:rsidRDefault="00F43BBE" w:rsidP="00956BC9">
            <w:pPr>
              <w:pStyle w:val="Default"/>
              <w:rPr>
                <w:sz w:val="20"/>
                <w:szCs w:val="20"/>
              </w:rPr>
            </w:pPr>
            <w:proofErr w:type="spellStart"/>
            <w:r w:rsidRPr="00C972D3">
              <w:rPr>
                <w:sz w:val="20"/>
                <w:szCs w:val="20"/>
              </w:rPr>
              <w:t>Pruritus</w:t>
            </w:r>
            <w:proofErr w:type="spellEnd"/>
          </w:p>
          <w:p w:rsidR="00F43BBE" w:rsidRPr="00C972D3" w:rsidRDefault="00F43BBE" w:rsidP="00956BC9">
            <w:pPr>
              <w:pStyle w:val="Default"/>
              <w:rPr>
                <w:rFonts w:eastAsia="MS Mincho"/>
                <w:sz w:val="20"/>
                <w:szCs w:val="20"/>
                <w:lang w:eastAsia="ja-JP"/>
              </w:rPr>
            </w:pPr>
            <w:r w:rsidRPr="00C972D3">
              <w:rPr>
                <w:sz w:val="20"/>
                <w:szCs w:val="20"/>
              </w:rPr>
              <w:t xml:space="preserve">Nail disorder </w:t>
            </w:r>
          </w:p>
          <w:p w:rsidR="00F43BBE" w:rsidRPr="00C972D3" w:rsidRDefault="00F43BBE" w:rsidP="00956BC9">
            <w:pPr>
              <w:pStyle w:val="Default"/>
              <w:rPr>
                <w:rFonts w:eastAsia="MS Mincho"/>
                <w:sz w:val="20"/>
                <w:szCs w:val="20"/>
                <w:lang w:eastAsia="ja-JP"/>
              </w:rPr>
            </w:pPr>
            <w:r w:rsidRPr="00C972D3">
              <w:rPr>
                <w:sz w:val="20"/>
                <w:szCs w:val="20"/>
              </w:rPr>
              <w:t xml:space="preserve">Night sweats </w:t>
            </w:r>
          </w:p>
          <w:p w:rsidR="00F43BBE" w:rsidRPr="00C972D3" w:rsidRDefault="00F43BBE" w:rsidP="00956BC9">
            <w:pPr>
              <w:pStyle w:val="Default"/>
              <w:rPr>
                <w:rFonts w:eastAsia="MS Mincho"/>
                <w:sz w:val="20"/>
                <w:szCs w:val="20"/>
                <w:lang w:eastAsia="ja-JP"/>
              </w:rPr>
            </w:pPr>
            <w:proofErr w:type="spellStart"/>
            <w:r w:rsidRPr="00C972D3">
              <w:rPr>
                <w:sz w:val="20"/>
                <w:szCs w:val="20"/>
              </w:rPr>
              <w:t>Palmar</w:t>
            </w:r>
            <w:proofErr w:type="spellEnd"/>
            <w:r w:rsidRPr="00C972D3">
              <w:rPr>
                <w:sz w:val="20"/>
                <w:szCs w:val="20"/>
              </w:rPr>
              <w:t xml:space="preserve"> plantar </w:t>
            </w:r>
            <w:proofErr w:type="spellStart"/>
            <w:r w:rsidRPr="00C972D3">
              <w:rPr>
                <w:sz w:val="20"/>
                <w:szCs w:val="20"/>
              </w:rPr>
              <w:t>erythrodysaesthesia</w:t>
            </w:r>
            <w:proofErr w:type="spellEnd"/>
            <w:r w:rsidRPr="00C972D3">
              <w:rPr>
                <w:sz w:val="20"/>
                <w:szCs w:val="20"/>
              </w:rPr>
              <w:t xml:space="preserve"> </w:t>
            </w:r>
          </w:p>
          <w:p w:rsidR="00F43BBE" w:rsidRPr="00C972D3" w:rsidRDefault="00F43BBE" w:rsidP="00956BC9">
            <w:pPr>
              <w:pStyle w:val="Default"/>
              <w:rPr>
                <w:rFonts w:eastAsia="MS Mincho"/>
                <w:sz w:val="20"/>
                <w:szCs w:val="20"/>
                <w:lang w:eastAsia="ja-JP"/>
              </w:rPr>
            </w:pPr>
            <w:r w:rsidRPr="00C972D3">
              <w:rPr>
                <w:sz w:val="20"/>
                <w:szCs w:val="20"/>
              </w:rPr>
              <w:t xml:space="preserve">Dry skin </w:t>
            </w:r>
          </w:p>
          <w:p w:rsidR="00F43BBE" w:rsidRPr="00C972D3" w:rsidRDefault="00F43BBE" w:rsidP="00956BC9">
            <w:pPr>
              <w:pStyle w:val="Default"/>
              <w:rPr>
                <w:rFonts w:eastAsia="MS Mincho"/>
                <w:sz w:val="20"/>
                <w:szCs w:val="20"/>
                <w:lang w:eastAsia="ja-JP"/>
              </w:rPr>
            </w:pPr>
            <w:proofErr w:type="spellStart"/>
            <w:r w:rsidRPr="00C972D3">
              <w:rPr>
                <w:sz w:val="20"/>
                <w:szCs w:val="20"/>
              </w:rPr>
              <w:t>Erythema</w:t>
            </w:r>
            <w:proofErr w:type="spellEnd"/>
            <w:r w:rsidRPr="00C972D3">
              <w:rPr>
                <w:sz w:val="20"/>
                <w:szCs w:val="20"/>
              </w:rPr>
              <w:t xml:space="preserve"> </w:t>
            </w:r>
          </w:p>
          <w:p w:rsidR="00F43BBE" w:rsidRPr="00C972D3" w:rsidRDefault="00F43BBE" w:rsidP="00956BC9">
            <w:pPr>
              <w:pStyle w:val="Default"/>
              <w:rPr>
                <w:sz w:val="20"/>
                <w:szCs w:val="20"/>
              </w:rPr>
            </w:pPr>
            <w:proofErr w:type="spellStart"/>
            <w:r w:rsidRPr="00C972D3">
              <w:rPr>
                <w:sz w:val="20"/>
                <w:szCs w:val="20"/>
              </w:rPr>
              <w:t>Hyperhidrosis</w:t>
            </w:r>
            <w:proofErr w:type="spellEnd"/>
          </w:p>
        </w:tc>
        <w:tc>
          <w:tcPr>
            <w:tcW w:w="2188" w:type="dxa"/>
          </w:tcPr>
          <w:p w:rsidR="00F43BBE" w:rsidRPr="00C972D3" w:rsidRDefault="00F43BBE" w:rsidP="00956BC9">
            <w:pPr>
              <w:pStyle w:val="Default"/>
              <w:spacing w:after="240" w:line="276" w:lineRule="auto"/>
              <w:rPr>
                <w:sz w:val="20"/>
                <w:szCs w:val="20"/>
              </w:rPr>
            </w:pPr>
            <w:proofErr w:type="spellStart"/>
            <w:r w:rsidRPr="00C972D3">
              <w:rPr>
                <w:sz w:val="20"/>
                <w:szCs w:val="20"/>
              </w:rPr>
              <w:t>Angioedema</w:t>
            </w:r>
            <w:proofErr w:type="spellEnd"/>
            <w:r w:rsidRPr="00C972D3">
              <w:rPr>
                <w:sz w:val="20"/>
                <w:szCs w:val="20"/>
              </w:rPr>
              <w:t xml:space="preserve"> </w:t>
            </w:r>
          </w:p>
          <w:p w:rsidR="00F43BBE" w:rsidRPr="00C972D3" w:rsidRDefault="00F43BBE" w:rsidP="00956BC9">
            <w:pPr>
              <w:pStyle w:val="Default"/>
              <w:rPr>
                <w:sz w:val="20"/>
                <w:szCs w:val="20"/>
              </w:rPr>
            </w:pPr>
          </w:p>
        </w:tc>
      </w:tr>
      <w:tr w:rsidR="00F43BBE" w:rsidRPr="00544573" w:rsidTr="00F43BBE">
        <w:tc>
          <w:tcPr>
            <w:tcW w:w="2366" w:type="dxa"/>
          </w:tcPr>
          <w:p w:rsidR="00F43BBE" w:rsidRPr="00C972D3" w:rsidRDefault="00F43BBE" w:rsidP="00956BC9">
            <w:pPr>
              <w:pStyle w:val="Default"/>
              <w:rPr>
                <w:sz w:val="20"/>
                <w:szCs w:val="20"/>
              </w:rPr>
            </w:pPr>
            <w:r w:rsidRPr="00C972D3">
              <w:rPr>
                <w:b/>
                <w:bCs/>
                <w:sz w:val="20"/>
                <w:szCs w:val="20"/>
              </w:rPr>
              <w:t>Musculoskeletal and connective tissue disorders</w:t>
            </w:r>
          </w:p>
        </w:tc>
        <w:tc>
          <w:tcPr>
            <w:tcW w:w="2606" w:type="dxa"/>
          </w:tcPr>
          <w:p w:rsidR="00F43BBE" w:rsidRPr="00C972D3" w:rsidRDefault="00F43BBE" w:rsidP="00956BC9">
            <w:pPr>
              <w:pStyle w:val="Default"/>
              <w:rPr>
                <w:sz w:val="20"/>
                <w:szCs w:val="20"/>
              </w:rPr>
            </w:pPr>
            <w:proofErr w:type="spellStart"/>
            <w:r w:rsidRPr="00F97611">
              <w:rPr>
                <w:sz w:val="20"/>
              </w:rPr>
              <w:t>Arthralgia</w:t>
            </w:r>
            <w:proofErr w:type="spellEnd"/>
            <w:r w:rsidRPr="00F97611">
              <w:rPr>
                <w:sz w:val="20"/>
              </w:rPr>
              <w:t xml:space="preserve"> and </w:t>
            </w:r>
            <w:proofErr w:type="spellStart"/>
            <w:r w:rsidRPr="00F97611">
              <w:rPr>
                <w:sz w:val="20"/>
              </w:rPr>
              <w:t>Myalgia</w:t>
            </w:r>
            <w:proofErr w:type="spellEnd"/>
          </w:p>
        </w:tc>
        <w:tc>
          <w:tcPr>
            <w:tcW w:w="1974" w:type="dxa"/>
          </w:tcPr>
          <w:p w:rsidR="00F43BBE" w:rsidRPr="00C972D3" w:rsidRDefault="00F43BBE" w:rsidP="00956BC9">
            <w:pPr>
              <w:pStyle w:val="Default"/>
              <w:rPr>
                <w:sz w:val="20"/>
                <w:szCs w:val="20"/>
              </w:rPr>
            </w:pPr>
            <w:r w:rsidRPr="00C972D3">
              <w:rPr>
                <w:sz w:val="20"/>
                <w:szCs w:val="20"/>
              </w:rPr>
              <w:t xml:space="preserve">Pain in extremity </w:t>
            </w:r>
          </w:p>
          <w:p w:rsidR="00F43BBE" w:rsidRPr="00C972D3" w:rsidRDefault="00F43BBE" w:rsidP="00956BC9">
            <w:pPr>
              <w:pStyle w:val="Default"/>
              <w:rPr>
                <w:sz w:val="20"/>
                <w:szCs w:val="20"/>
              </w:rPr>
            </w:pPr>
            <w:r w:rsidRPr="00C972D3">
              <w:rPr>
                <w:sz w:val="20"/>
                <w:szCs w:val="20"/>
              </w:rPr>
              <w:t>Muscle spasms</w:t>
            </w:r>
          </w:p>
          <w:p w:rsidR="00F43BBE" w:rsidRDefault="00F43BBE" w:rsidP="00956BC9">
            <w:pPr>
              <w:pStyle w:val="Default"/>
              <w:rPr>
                <w:sz w:val="20"/>
                <w:szCs w:val="20"/>
              </w:rPr>
            </w:pPr>
            <w:r w:rsidRPr="00C972D3">
              <w:rPr>
                <w:sz w:val="20"/>
                <w:szCs w:val="20"/>
              </w:rPr>
              <w:t xml:space="preserve">Musculoskeletal pain and </w:t>
            </w:r>
            <w:r>
              <w:rPr>
                <w:sz w:val="20"/>
                <w:szCs w:val="20"/>
              </w:rPr>
              <w:t>m</w:t>
            </w:r>
            <w:r w:rsidRPr="00C972D3">
              <w:rPr>
                <w:sz w:val="20"/>
                <w:szCs w:val="20"/>
              </w:rPr>
              <w:t xml:space="preserve">usculoskeletal </w:t>
            </w:r>
            <w:r w:rsidRPr="00C972D3">
              <w:rPr>
                <w:sz w:val="20"/>
                <w:szCs w:val="20"/>
              </w:rPr>
              <w:lastRenderedPageBreak/>
              <w:t xml:space="preserve">chest pain </w:t>
            </w:r>
          </w:p>
          <w:p w:rsidR="00F43BBE" w:rsidRPr="00C972D3" w:rsidRDefault="00F43BBE" w:rsidP="00956BC9">
            <w:pPr>
              <w:pStyle w:val="Default"/>
              <w:rPr>
                <w:sz w:val="20"/>
                <w:szCs w:val="20"/>
              </w:rPr>
            </w:pPr>
            <w:r w:rsidRPr="00C972D3">
              <w:rPr>
                <w:sz w:val="20"/>
                <w:szCs w:val="20"/>
              </w:rPr>
              <w:t xml:space="preserve">Muscular weakness </w:t>
            </w:r>
          </w:p>
          <w:p w:rsidR="00F43BBE" w:rsidRPr="00C972D3" w:rsidRDefault="00F43BBE" w:rsidP="00956BC9">
            <w:pPr>
              <w:pStyle w:val="Default"/>
              <w:rPr>
                <w:sz w:val="20"/>
                <w:szCs w:val="20"/>
              </w:rPr>
            </w:pPr>
            <w:r w:rsidRPr="00C972D3">
              <w:rPr>
                <w:sz w:val="20"/>
                <w:szCs w:val="20"/>
              </w:rPr>
              <w:t xml:space="preserve">Bone pain </w:t>
            </w:r>
          </w:p>
          <w:p w:rsidR="00F43BBE" w:rsidRPr="00C972D3" w:rsidRDefault="00F43BBE" w:rsidP="00956BC9">
            <w:pPr>
              <w:pStyle w:val="Default"/>
              <w:rPr>
                <w:sz w:val="20"/>
                <w:szCs w:val="20"/>
              </w:rPr>
            </w:pPr>
            <w:r w:rsidRPr="00C972D3">
              <w:rPr>
                <w:sz w:val="20"/>
                <w:szCs w:val="20"/>
              </w:rPr>
              <w:t>Back pain</w:t>
            </w:r>
          </w:p>
        </w:tc>
        <w:tc>
          <w:tcPr>
            <w:tcW w:w="2188" w:type="dxa"/>
          </w:tcPr>
          <w:p w:rsidR="00F43BBE" w:rsidRPr="00C972D3" w:rsidRDefault="00F43BBE" w:rsidP="00956BC9">
            <w:pPr>
              <w:pStyle w:val="Default"/>
              <w:rPr>
                <w:sz w:val="20"/>
                <w:szCs w:val="20"/>
              </w:rPr>
            </w:pPr>
          </w:p>
        </w:tc>
      </w:tr>
      <w:tr w:rsidR="00F43BBE" w:rsidRPr="00544573" w:rsidTr="00F43BBE">
        <w:tc>
          <w:tcPr>
            <w:tcW w:w="2366" w:type="dxa"/>
          </w:tcPr>
          <w:p w:rsidR="00F43BBE" w:rsidRPr="00C972D3" w:rsidRDefault="00F43BBE" w:rsidP="00956BC9">
            <w:pPr>
              <w:pStyle w:val="Default"/>
              <w:rPr>
                <w:sz w:val="20"/>
                <w:szCs w:val="20"/>
              </w:rPr>
            </w:pPr>
            <w:r w:rsidRPr="0076561E">
              <w:rPr>
                <w:b/>
                <w:bCs/>
                <w:sz w:val="20"/>
                <w:szCs w:val="20"/>
              </w:rPr>
              <w:lastRenderedPageBreak/>
              <w:t xml:space="preserve">Renal </w:t>
            </w:r>
            <w:r>
              <w:rPr>
                <w:b/>
                <w:bCs/>
                <w:sz w:val="20"/>
                <w:szCs w:val="20"/>
              </w:rPr>
              <w:t>and urinary disorders</w:t>
            </w:r>
          </w:p>
        </w:tc>
        <w:tc>
          <w:tcPr>
            <w:tcW w:w="2606" w:type="dxa"/>
          </w:tcPr>
          <w:p w:rsidR="00F43BBE" w:rsidRPr="0076561E" w:rsidRDefault="00F43BBE" w:rsidP="00956BC9">
            <w:pPr>
              <w:pStyle w:val="Default"/>
              <w:rPr>
                <w:sz w:val="20"/>
                <w:szCs w:val="20"/>
              </w:rPr>
            </w:pPr>
          </w:p>
        </w:tc>
        <w:tc>
          <w:tcPr>
            <w:tcW w:w="1974" w:type="dxa"/>
          </w:tcPr>
          <w:p w:rsidR="00F43BBE" w:rsidRPr="00C972D3" w:rsidRDefault="00F43BBE" w:rsidP="00956BC9">
            <w:pPr>
              <w:pStyle w:val="Default"/>
              <w:rPr>
                <w:sz w:val="20"/>
                <w:szCs w:val="20"/>
              </w:rPr>
            </w:pPr>
          </w:p>
        </w:tc>
        <w:tc>
          <w:tcPr>
            <w:tcW w:w="2188" w:type="dxa"/>
          </w:tcPr>
          <w:p w:rsidR="00F43BBE" w:rsidRDefault="00F43BBE" w:rsidP="00F43BBE">
            <w:pPr>
              <w:pStyle w:val="Default"/>
              <w:rPr>
                <w:sz w:val="20"/>
                <w:szCs w:val="20"/>
              </w:rPr>
            </w:pPr>
            <w:proofErr w:type="spellStart"/>
            <w:r w:rsidRPr="0076561E">
              <w:rPr>
                <w:sz w:val="20"/>
                <w:szCs w:val="20"/>
              </w:rPr>
              <w:t>Dysuria</w:t>
            </w:r>
            <w:proofErr w:type="spellEnd"/>
          </w:p>
          <w:p w:rsidR="00F43BBE" w:rsidRDefault="00F43BBE" w:rsidP="00F43BBE">
            <w:pPr>
              <w:pStyle w:val="Default"/>
              <w:rPr>
                <w:sz w:val="20"/>
                <w:szCs w:val="20"/>
              </w:rPr>
            </w:pPr>
            <w:proofErr w:type="spellStart"/>
            <w:r w:rsidRPr="0076561E">
              <w:rPr>
                <w:sz w:val="20"/>
                <w:szCs w:val="20"/>
              </w:rPr>
              <w:t>Haematuria</w:t>
            </w:r>
            <w:proofErr w:type="spellEnd"/>
          </w:p>
          <w:p w:rsidR="00F43BBE" w:rsidRDefault="00F43BBE" w:rsidP="00F43BBE">
            <w:pPr>
              <w:pStyle w:val="Default"/>
              <w:rPr>
                <w:sz w:val="20"/>
                <w:szCs w:val="20"/>
              </w:rPr>
            </w:pPr>
            <w:proofErr w:type="spellStart"/>
            <w:r w:rsidRPr="0076561E">
              <w:rPr>
                <w:sz w:val="20"/>
                <w:szCs w:val="20"/>
              </w:rPr>
              <w:t>Proteinuria</w:t>
            </w:r>
            <w:proofErr w:type="spellEnd"/>
          </w:p>
          <w:p w:rsidR="00F43BBE" w:rsidRPr="00C972D3" w:rsidRDefault="00F43BBE" w:rsidP="00F43BBE">
            <w:pPr>
              <w:pStyle w:val="Default"/>
              <w:rPr>
                <w:sz w:val="20"/>
                <w:szCs w:val="20"/>
              </w:rPr>
            </w:pPr>
            <w:r w:rsidRPr="0076561E">
              <w:rPr>
                <w:sz w:val="20"/>
                <w:szCs w:val="20"/>
              </w:rPr>
              <w:t>Renal failure</w:t>
            </w:r>
          </w:p>
        </w:tc>
      </w:tr>
      <w:tr w:rsidR="00F43BBE" w:rsidRPr="00544573" w:rsidTr="00F43BBE">
        <w:tc>
          <w:tcPr>
            <w:tcW w:w="2366" w:type="dxa"/>
          </w:tcPr>
          <w:p w:rsidR="00F43BBE" w:rsidRPr="00F97611" w:rsidRDefault="00F43BBE" w:rsidP="00956BC9">
            <w:pPr>
              <w:rPr>
                <w:rFonts w:eastAsia="MS Mincho"/>
                <w:b/>
                <w:sz w:val="20"/>
                <w:lang w:eastAsia="ja-JP"/>
              </w:rPr>
            </w:pPr>
            <w:r w:rsidRPr="00F97611">
              <w:rPr>
                <w:rFonts w:eastAsia="MS Mincho"/>
                <w:b/>
                <w:sz w:val="20"/>
                <w:lang w:eastAsia="ja-JP"/>
              </w:rPr>
              <w:t xml:space="preserve">General disorders </w:t>
            </w:r>
          </w:p>
          <w:p w:rsidR="00F43BBE" w:rsidRPr="00956BC9" w:rsidRDefault="00F43BBE" w:rsidP="00956BC9">
            <w:pPr>
              <w:pStyle w:val="Default"/>
              <w:rPr>
                <w:b/>
                <w:bCs/>
                <w:sz w:val="20"/>
                <w:szCs w:val="20"/>
              </w:rPr>
            </w:pPr>
            <w:r w:rsidRPr="00F97611">
              <w:rPr>
                <w:rFonts w:eastAsia="MS Mincho"/>
                <w:b/>
                <w:sz w:val="20"/>
                <w:lang w:eastAsia="ja-JP"/>
              </w:rPr>
              <w:t>and administration site conditions</w:t>
            </w:r>
          </w:p>
        </w:tc>
        <w:tc>
          <w:tcPr>
            <w:tcW w:w="2606" w:type="dxa"/>
          </w:tcPr>
          <w:p w:rsidR="00F43BBE" w:rsidRDefault="00F43BBE" w:rsidP="00F43BBE">
            <w:pPr>
              <w:keepNext/>
              <w:keepLines/>
              <w:rPr>
                <w:sz w:val="20"/>
                <w:lang w:val="fr-FR"/>
              </w:rPr>
            </w:pPr>
            <w:r w:rsidRPr="00F97611">
              <w:rPr>
                <w:sz w:val="20"/>
                <w:lang w:val="fr-FR"/>
              </w:rPr>
              <w:t xml:space="preserve">Fatigue/Asthenia </w:t>
            </w:r>
          </w:p>
          <w:p w:rsidR="00F43BBE" w:rsidRPr="00F97611" w:rsidRDefault="00F43BBE" w:rsidP="00F43BBE">
            <w:pPr>
              <w:keepNext/>
              <w:keepLines/>
              <w:rPr>
                <w:sz w:val="20"/>
              </w:rPr>
            </w:pPr>
            <w:r w:rsidRPr="00F97611">
              <w:rPr>
                <w:sz w:val="20"/>
                <w:lang w:val="fr-FR"/>
              </w:rPr>
              <w:t>Pyrexia</w:t>
            </w:r>
          </w:p>
        </w:tc>
        <w:tc>
          <w:tcPr>
            <w:tcW w:w="1974" w:type="dxa"/>
          </w:tcPr>
          <w:p w:rsidR="00F43BBE" w:rsidRPr="00F97611" w:rsidRDefault="00F43BBE" w:rsidP="00956BC9">
            <w:pPr>
              <w:keepNext/>
              <w:keepLines/>
              <w:rPr>
                <w:sz w:val="20"/>
                <w:vertAlign w:val="superscript"/>
              </w:rPr>
            </w:pPr>
            <w:r w:rsidRPr="00F97611">
              <w:rPr>
                <w:sz w:val="20"/>
              </w:rPr>
              <w:t xml:space="preserve">Mucosal </w:t>
            </w:r>
            <w:r>
              <w:rPr>
                <w:sz w:val="20"/>
              </w:rPr>
              <w:t>i</w:t>
            </w:r>
            <w:r w:rsidRPr="00F97611">
              <w:rPr>
                <w:sz w:val="20"/>
              </w:rPr>
              <w:t xml:space="preserve">nflammation </w:t>
            </w:r>
          </w:p>
          <w:p w:rsidR="00F43BBE" w:rsidRPr="00F97611" w:rsidRDefault="00F43BBE" w:rsidP="00956BC9">
            <w:pPr>
              <w:keepNext/>
              <w:keepLines/>
              <w:rPr>
                <w:sz w:val="20"/>
              </w:rPr>
            </w:pPr>
            <w:r w:rsidRPr="00F97611">
              <w:rPr>
                <w:sz w:val="20"/>
              </w:rPr>
              <w:t xml:space="preserve">Peripheral oedema </w:t>
            </w:r>
          </w:p>
          <w:p w:rsidR="00F43BBE" w:rsidRPr="00F97611" w:rsidRDefault="00F43BBE" w:rsidP="00956BC9">
            <w:pPr>
              <w:keepNext/>
              <w:keepLines/>
              <w:rPr>
                <w:sz w:val="20"/>
              </w:rPr>
            </w:pPr>
            <w:r w:rsidRPr="00F97611">
              <w:rPr>
                <w:sz w:val="20"/>
              </w:rPr>
              <w:t>Pain</w:t>
            </w:r>
          </w:p>
          <w:p w:rsidR="00F43BBE" w:rsidRPr="00F97611" w:rsidRDefault="00F43BBE" w:rsidP="00956BC9">
            <w:pPr>
              <w:keepNext/>
              <w:keepLines/>
              <w:rPr>
                <w:sz w:val="20"/>
              </w:rPr>
            </w:pPr>
            <w:r w:rsidRPr="00F97611">
              <w:rPr>
                <w:sz w:val="20"/>
              </w:rPr>
              <w:t xml:space="preserve">Chills </w:t>
            </w:r>
          </w:p>
          <w:p w:rsidR="00F43BBE" w:rsidRPr="00F97611" w:rsidRDefault="00F43BBE" w:rsidP="00956BC9">
            <w:pPr>
              <w:keepNext/>
              <w:keepLines/>
              <w:rPr>
                <w:sz w:val="20"/>
              </w:rPr>
            </w:pPr>
            <w:r w:rsidRPr="00F97611">
              <w:rPr>
                <w:sz w:val="20"/>
                <w:lang w:val="en-US"/>
              </w:rPr>
              <w:t>Influenza like illness</w:t>
            </w:r>
            <w:r w:rsidRPr="00F97611">
              <w:rPr>
                <w:sz w:val="20"/>
              </w:rPr>
              <w:t xml:space="preserve"> </w:t>
            </w:r>
          </w:p>
          <w:p w:rsidR="00F43BBE" w:rsidRPr="00956BC9" w:rsidRDefault="00F43BBE" w:rsidP="00956BC9">
            <w:pPr>
              <w:pStyle w:val="Default"/>
              <w:rPr>
                <w:sz w:val="20"/>
                <w:szCs w:val="20"/>
              </w:rPr>
            </w:pPr>
            <w:r w:rsidRPr="00F97611">
              <w:rPr>
                <w:sz w:val="20"/>
              </w:rPr>
              <w:t xml:space="preserve">Chest </w:t>
            </w:r>
            <w:r>
              <w:rPr>
                <w:sz w:val="20"/>
              </w:rPr>
              <w:t>p</w:t>
            </w:r>
            <w:r w:rsidRPr="00F97611">
              <w:rPr>
                <w:sz w:val="20"/>
              </w:rPr>
              <w:t>ain</w:t>
            </w:r>
          </w:p>
        </w:tc>
        <w:tc>
          <w:tcPr>
            <w:tcW w:w="2188" w:type="dxa"/>
          </w:tcPr>
          <w:p w:rsidR="00F43BBE" w:rsidRPr="00956BC9" w:rsidRDefault="00F43BBE" w:rsidP="00956BC9">
            <w:pPr>
              <w:pStyle w:val="Default"/>
              <w:rPr>
                <w:sz w:val="20"/>
                <w:szCs w:val="20"/>
              </w:rPr>
            </w:pPr>
          </w:p>
        </w:tc>
      </w:tr>
      <w:tr w:rsidR="00F43BBE" w:rsidRPr="00544573" w:rsidTr="00F43BBE">
        <w:tc>
          <w:tcPr>
            <w:tcW w:w="2366" w:type="dxa"/>
          </w:tcPr>
          <w:p w:rsidR="00F43BBE" w:rsidRPr="00C972D3" w:rsidRDefault="00F43BBE" w:rsidP="00956BC9">
            <w:pPr>
              <w:pStyle w:val="Default"/>
              <w:rPr>
                <w:sz w:val="20"/>
                <w:szCs w:val="20"/>
              </w:rPr>
            </w:pPr>
            <w:r w:rsidRPr="00C972D3">
              <w:rPr>
                <w:b/>
                <w:bCs/>
                <w:sz w:val="20"/>
                <w:szCs w:val="20"/>
              </w:rPr>
              <w:t>Investigations</w:t>
            </w:r>
          </w:p>
        </w:tc>
        <w:tc>
          <w:tcPr>
            <w:tcW w:w="2606" w:type="dxa"/>
          </w:tcPr>
          <w:p w:rsidR="00F43BBE" w:rsidRPr="00C972D3" w:rsidRDefault="00F43BBE" w:rsidP="00956BC9">
            <w:pPr>
              <w:pStyle w:val="Default"/>
              <w:rPr>
                <w:sz w:val="20"/>
                <w:szCs w:val="20"/>
              </w:rPr>
            </w:pPr>
          </w:p>
        </w:tc>
        <w:tc>
          <w:tcPr>
            <w:tcW w:w="1974" w:type="dxa"/>
          </w:tcPr>
          <w:p w:rsidR="00F43BBE" w:rsidRPr="00C972D3" w:rsidRDefault="00F43BBE" w:rsidP="00956BC9">
            <w:pPr>
              <w:pStyle w:val="Default"/>
              <w:rPr>
                <w:color w:val="auto"/>
                <w:sz w:val="20"/>
                <w:szCs w:val="20"/>
              </w:rPr>
            </w:pPr>
            <w:r w:rsidRPr="00C972D3">
              <w:rPr>
                <w:sz w:val="20"/>
                <w:szCs w:val="20"/>
              </w:rPr>
              <w:t xml:space="preserve"> Weight decreased </w:t>
            </w:r>
          </w:p>
        </w:tc>
        <w:tc>
          <w:tcPr>
            <w:tcW w:w="2188" w:type="dxa"/>
          </w:tcPr>
          <w:p w:rsidR="00F43BBE" w:rsidRPr="00C972D3" w:rsidRDefault="00F43BBE" w:rsidP="00956BC9">
            <w:pPr>
              <w:pStyle w:val="Default"/>
              <w:rPr>
                <w:sz w:val="20"/>
                <w:szCs w:val="20"/>
              </w:rPr>
            </w:pPr>
          </w:p>
        </w:tc>
      </w:tr>
    </w:tbl>
    <w:p w:rsidR="00373ABF" w:rsidRPr="008A0486" w:rsidRDefault="00B124E8" w:rsidP="00B124E8">
      <w:pPr>
        <w:pStyle w:val="Heading3"/>
      </w:pPr>
      <w:r>
        <w:t>Selected adverse reactions</w:t>
      </w:r>
    </w:p>
    <w:p w:rsidR="00373ABF" w:rsidRPr="008A0486" w:rsidRDefault="00B124E8" w:rsidP="00B124E8">
      <w:pPr>
        <w:pStyle w:val="Heading4"/>
      </w:pPr>
      <w:proofErr w:type="spellStart"/>
      <w:r>
        <w:t>Neutropenia</w:t>
      </w:r>
      <w:proofErr w:type="spellEnd"/>
    </w:p>
    <w:p w:rsidR="00543F4D" w:rsidRDefault="00373ABF" w:rsidP="00B124E8">
      <w:pPr>
        <w:rPr>
          <w:sz w:val="20"/>
        </w:rPr>
      </w:pPr>
      <w:r w:rsidRPr="008A0486">
        <w:t xml:space="preserve">The </w:t>
      </w:r>
      <w:proofErr w:type="spellStart"/>
      <w:r w:rsidRPr="008A0486">
        <w:t>neutropenia</w:t>
      </w:r>
      <w:proofErr w:type="spellEnd"/>
      <w:r w:rsidRPr="008A0486">
        <w:t xml:space="preserve"> observed was reversible and not cumulative; the mean time to nadir was 13 days and the mean time to recovery from severe </w:t>
      </w:r>
      <w:proofErr w:type="spellStart"/>
      <w:r w:rsidRPr="008A0486">
        <w:t>neutropenia</w:t>
      </w:r>
      <w:proofErr w:type="spellEnd"/>
      <w:r w:rsidRPr="008A0486">
        <w:t xml:space="preserve"> (&lt; 0.5 x 10</w:t>
      </w:r>
      <w:r w:rsidRPr="008A0486">
        <w:rPr>
          <w:position w:val="10"/>
          <w:vertAlign w:val="superscript"/>
        </w:rPr>
        <w:t>9</w:t>
      </w:r>
      <w:r w:rsidRPr="008A0486">
        <w:t>/</w:t>
      </w:r>
      <w:r w:rsidR="00405C52">
        <w:t>L</w:t>
      </w:r>
      <w:r w:rsidRPr="008A0486">
        <w:t>) was 8 days.</w:t>
      </w:r>
    </w:p>
    <w:p w:rsidR="00543F4D" w:rsidRPr="00C972D3" w:rsidRDefault="00EC6680" w:rsidP="00B124E8">
      <w:pPr>
        <w:rPr>
          <w:szCs w:val="24"/>
        </w:rPr>
      </w:pPr>
      <w:r w:rsidRPr="00C972D3">
        <w:rPr>
          <w:szCs w:val="24"/>
        </w:rPr>
        <w:t xml:space="preserve">In the phase 3 clinical study, Grade 3 </w:t>
      </w:r>
      <w:proofErr w:type="spellStart"/>
      <w:r w:rsidRPr="00C972D3">
        <w:rPr>
          <w:szCs w:val="24"/>
        </w:rPr>
        <w:t>neutropenia</w:t>
      </w:r>
      <w:proofErr w:type="spellEnd"/>
      <w:r w:rsidRPr="00C972D3">
        <w:rPr>
          <w:szCs w:val="24"/>
        </w:rPr>
        <w:t xml:space="preserve"> occurred in 28% (143/503) of patients and Grade 4 </w:t>
      </w:r>
      <w:proofErr w:type="spellStart"/>
      <w:r w:rsidRPr="00C972D3">
        <w:rPr>
          <w:szCs w:val="24"/>
        </w:rPr>
        <w:t>neutropenia</w:t>
      </w:r>
      <w:proofErr w:type="spellEnd"/>
      <w:r w:rsidRPr="00C972D3">
        <w:rPr>
          <w:szCs w:val="24"/>
        </w:rPr>
        <w:t xml:space="preserve"> occurred in 29% (144/503) of patients who received HALAVEN. Febrile </w:t>
      </w:r>
      <w:proofErr w:type="spellStart"/>
      <w:r w:rsidRPr="00C972D3">
        <w:rPr>
          <w:szCs w:val="24"/>
        </w:rPr>
        <w:t>neutropenia</w:t>
      </w:r>
      <w:proofErr w:type="spellEnd"/>
      <w:r w:rsidRPr="00C972D3">
        <w:rPr>
          <w:szCs w:val="24"/>
        </w:rPr>
        <w:t xml:space="preserve"> occurred in 5% (23/503) of patients; two patients (0.4%) died from complications of febrile </w:t>
      </w:r>
      <w:proofErr w:type="spellStart"/>
      <w:r w:rsidRPr="00C972D3">
        <w:rPr>
          <w:szCs w:val="24"/>
        </w:rPr>
        <w:t>neutropenia</w:t>
      </w:r>
      <w:proofErr w:type="spellEnd"/>
      <w:r w:rsidRPr="00C972D3">
        <w:rPr>
          <w:szCs w:val="24"/>
        </w:rPr>
        <w:t xml:space="preserve">. Dose reduction due to </w:t>
      </w:r>
      <w:proofErr w:type="spellStart"/>
      <w:r w:rsidRPr="00C972D3">
        <w:rPr>
          <w:szCs w:val="24"/>
        </w:rPr>
        <w:t>neutropenia</w:t>
      </w:r>
      <w:proofErr w:type="spellEnd"/>
      <w:r w:rsidRPr="00C972D3">
        <w:rPr>
          <w:szCs w:val="24"/>
        </w:rPr>
        <w:t xml:space="preserve"> was required in 12% (62/503) of patients and discontinuation w</w:t>
      </w:r>
      <w:r w:rsidR="006875F5">
        <w:rPr>
          <w:szCs w:val="24"/>
        </w:rPr>
        <w:t>as required in &lt;1% of patients.</w:t>
      </w:r>
    </w:p>
    <w:p w:rsidR="00373ABF" w:rsidRDefault="00373ABF" w:rsidP="00B124E8">
      <w:r w:rsidRPr="008A0486">
        <w:t xml:space="preserve">Severe </w:t>
      </w:r>
      <w:proofErr w:type="spellStart"/>
      <w:r w:rsidRPr="008A0486">
        <w:t>neutropenia</w:t>
      </w:r>
      <w:proofErr w:type="spellEnd"/>
      <w:r w:rsidRPr="008A0486">
        <w:t xml:space="preserve"> may be managed by the use of G-CSF or equivalent at the physician’s discretion in accordance with relevant guidelines. 18% of breast cancer patients treated in a phase 3 study with </w:t>
      </w:r>
      <w:proofErr w:type="spellStart"/>
      <w:r w:rsidRPr="008A0486">
        <w:t>eribulin</w:t>
      </w:r>
      <w:proofErr w:type="spellEnd"/>
      <w:r w:rsidRPr="008A0486">
        <w:t xml:space="preserve"> received G-CSF</w:t>
      </w:r>
      <w:r w:rsidR="00F43BBE">
        <w:t xml:space="preserve"> (</w:t>
      </w:r>
      <w:r w:rsidR="0095449B">
        <w:rPr>
          <w:rFonts w:eastAsiaTheme="minorEastAsia" w:hint="eastAsia"/>
          <w:lang w:eastAsia="ja-JP"/>
        </w:rPr>
        <w:t>S</w:t>
      </w:r>
      <w:r w:rsidR="00F43BBE">
        <w:t xml:space="preserve">ee Precautions, </w:t>
      </w:r>
      <w:r w:rsidR="0095449B">
        <w:rPr>
          <w:rFonts w:eastAsiaTheme="minorEastAsia" w:hint="eastAsia"/>
          <w:lang w:eastAsia="ja-JP"/>
        </w:rPr>
        <w:t>Haematology</w:t>
      </w:r>
      <w:r w:rsidR="00F43BBE">
        <w:t>)</w:t>
      </w:r>
      <w:r w:rsidR="006875F5">
        <w:t>.</w:t>
      </w:r>
    </w:p>
    <w:p w:rsidR="00373ABF" w:rsidRPr="008A0486" w:rsidRDefault="006875F5" w:rsidP="006875F5">
      <w:pPr>
        <w:pStyle w:val="Heading4"/>
      </w:pPr>
      <w:r>
        <w:t>Peripheral neuropathy</w:t>
      </w:r>
    </w:p>
    <w:p w:rsidR="00612ACE" w:rsidRPr="00A31CBE" w:rsidRDefault="00EC6680" w:rsidP="006875F5">
      <w:r w:rsidRPr="00C972D3">
        <w:t>In the pivotal clinical study, 17 % of enrolled patients had Grade 1 peripheral neuropathy and 3% of patients had Grade 2 peripheral neuropathy at baseline. Dose reduction due to peripheral neuropathy was required by 3% (14/503) of patients who received HALAVEN. Four percent (20/503) of patients experienced peripheral motor neuropathy of any grade and 2% (8/503) of patients developed Grade 3 peripheral motor neuropathy.</w:t>
      </w:r>
    </w:p>
    <w:p w:rsidR="008A3902" w:rsidRDefault="008A3902" w:rsidP="006875F5">
      <w:pPr>
        <w:rPr>
          <w:rFonts w:eastAsiaTheme="minorEastAsia"/>
          <w:lang w:eastAsia="ja-JP"/>
        </w:rPr>
      </w:pPr>
      <w:r>
        <w:t>From the pooled data on the</w:t>
      </w:r>
      <w:r w:rsidRPr="008A0486">
        <w:t xml:space="preserve"> 827 breast cancer patients </w:t>
      </w:r>
      <w:r>
        <w:t xml:space="preserve">in the Phase 2 and Phase 3 studies, </w:t>
      </w:r>
      <w:r w:rsidRPr="008A0486">
        <w:t xml:space="preserve">the most common adverse reaction resulting in discontinuation of treatment with </w:t>
      </w:r>
      <w:r w:rsidR="00301BD5">
        <w:t>HALAVEN</w:t>
      </w:r>
      <w:r w:rsidR="00301BD5" w:rsidRPr="008A0486">
        <w:t xml:space="preserve"> </w:t>
      </w:r>
      <w:r w:rsidRPr="008A0486">
        <w:lastRenderedPageBreak/>
        <w:t xml:space="preserve">was peripheral neuropathy (4%). The median time to Grade 2 peripheral neuropathy was </w:t>
      </w:r>
      <w:r w:rsidR="006F2814">
        <w:t>12 weeks</w:t>
      </w:r>
      <w:r w:rsidRPr="008A0486">
        <w:t xml:space="preserve"> (post 4 cycles)</w:t>
      </w:r>
      <w:r w:rsidR="006F2814">
        <w:t xml:space="preserve">, </w:t>
      </w:r>
      <w:r w:rsidR="006F2814" w:rsidRPr="006F2814">
        <w:t>with the median time to Grade 2 or greater being 53 weeks</w:t>
      </w:r>
      <w:r w:rsidRPr="008A0486">
        <w:t xml:space="preserve">.  Development of Grade 3 or </w:t>
      </w:r>
      <w:proofErr w:type="gramStart"/>
      <w:r w:rsidRPr="008A0486">
        <w:t>4 peripheral neuropathy</w:t>
      </w:r>
      <w:proofErr w:type="gramEnd"/>
      <w:r w:rsidRPr="008A0486">
        <w:t xml:space="preserve"> occurred in 7% of </w:t>
      </w:r>
      <w:r w:rsidR="00301BD5">
        <w:t>HALAVEN</w:t>
      </w:r>
      <w:r w:rsidR="00301BD5" w:rsidRPr="008A0486">
        <w:t xml:space="preserve"> </w:t>
      </w:r>
      <w:r w:rsidRPr="008A0486">
        <w:t xml:space="preserve">treated breast cancer patients. In clinical trials, patients with pre-existing neuropathy were as likely to develop new or worsening symptoms as those who entered the study without the condition. In patients with pre-existing Grade 1 or </w:t>
      </w:r>
      <w:proofErr w:type="gramStart"/>
      <w:r w:rsidRPr="008A0486">
        <w:t>2 peripheral neuropathy</w:t>
      </w:r>
      <w:proofErr w:type="gramEnd"/>
      <w:r w:rsidRPr="008A0486">
        <w:t xml:space="preserve"> the frequency of treatment-emergent Grade 3 peripheral neuropathy was 10%. </w:t>
      </w:r>
      <w:r w:rsidR="006F2814" w:rsidRPr="006F2814">
        <w:t xml:space="preserve"> From the limited data available the median time to resolution of all peripheral neuropathy after the last dose was about 13 weeks</w:t>
      </w:r>
      <w:r w:rsidR="0095449B">
        <w:t xml:space="preserve"> (</w:t>
      </w:r>
      <w:r w:rsidR="0095449B">
        <w:rPr>
          <w:rFonts w:eastAsiaTheme="minorEastAsia" w:hint="eastAsia"/>
          <w:lang w:eastAsia="ja-JP"/>
        </w:rPr>
        <w:t>S</w:t>
      </w:r>
      <w:r w:rsidR="0095449B">
        <w:t>ee Precautions, Peripheral Neuropathy)</w:t>
      </w:r>
      <w:r w:rsidR="006F2814" w:rsidRPr="006F2814">
        <w:t>.</w:t>
      </w:r>
    </w:p>
    <w:p w:rsidR="00571FC5" w:rsidRPr="008A0486" w:rsidRDefault="00571FC5" w:rsidP="006875F5">
      <w:pPr>
        <w:pStyle w:val="Heading4"/>
      </w:pPr>
      <w:r w:rsidRPr="00626FA0">
        <w:t>Liver Function Test Abnormalities</w:t>
      </w:r>
    </w:p>
    <w:p w:rsidR="00571FC5" w:rsidRPr="006875F5" w:rsidRDefault="00571FC5" w:rsidP="00571FC5">
      <w:pPr>
        <w:pStyle w:val="CM14"/>
        <w:spacing w:after="240" w:line="276" w:lineRule="auto"/>
      </w:pPr>
      <w:r w:rsidRPr="00626FA0">
        <w:rPr>
          <w:color w:val="000000"/>
        </w:rPr>
        <w:t>A</w:t>
      </w:r>
      <w:r w:rsidRPr="006875F5">
        <w:t xml:space="preserve">mong patients with Grade 0 or 1 ALT levels at baseline, 18% of HALAVEN-treated patients experienced Grade 2 or greater ALT elevation.  One HALAVEN-treated patient without documented liver metastases had concomitant Grade 2 elevations in </w:t>
      </w:r>
      <w:proofErr w:type="spellStart"/>
      <w:r w:rsidRPr="006875F5">
        <w:t>bilirubin</w:t>
      </w:r>
      <w:proofErr w:type="spellEnd"/>
      <w:r w:rsidRPr="006875F5">
        <w:t xml:space="preserve"> and ALT; these abnormalities resolved and did not recur with re-exposure to HALAVEN</w:t>
      </w:r>
      <w:r w:rsidR="00EC6680" w:rsidRPr="006875F5">
        <w:t>.</w:t>
      </w:r>
    </w:p>
    <w:p w:rsidR="00373ABF" w:rsidRPr="008A0486" w:rsidRDefault="006875F5" w:rsidP="006875F5">
      <w:pPr>
        <w:pStyle w:val="Heading3"/>
      </w:pPr>
      <w:r>
        <w:t>Special populations</w:t>
      </w:r>
    </w:p>
    <w:p w:rsidR="00373ABF" w:rsidRPr="008A0486" w:rsidRDefault="006875F5" w:rsidP="006875F5">
      <w:pPr>
        <w:pStyle w:val="Heading4"/>
      </w:pPr>
      <w:r>
        <w:t>Elderly population</w:t>
      </w:r>
    </w:p>
    <w:p w:rsidR="00373ABF" w:rsidRPr="008A0486" w:rsidRDefault="00373ABF" w:rsidP="006875F5">
      <w:r w:rsidRPr="008A0486">
        <w:t xml:space="preserve">In studies of 1,222 patients treated with </w:t>
      </w:r>
      <w:proofErr w:type="spellStart"/>
      <w:r w:rsidRPr="008A0486">
        <w:t>eribulin</w:t>
      </w:r>
      <w:proofErr w:type="spellEnd"/>
      <w:r w:rsidRPr="008A0486">
        <w:t xml:space="preserve">, 244 patients (20.0%) were &gt; 65 - 75 years of age and 66 patients (5.4%) were &gt; 75 years of age. Among the 827 of these patients who received the recommended dose of </w:t>
      </w:r>
      <w:proofErr w:type="spellStart"/>
      <w:r w:rsidRPr="008A0486">
        <w:t>eribulin</w:t>
      </w:r>
      <w:proofErr w:type="spellEnd"/>
      <w:r w:rsidRPr="008A0486">
        <w:t xml:space="preserve"> in the Phase 2/3 breast cancer studies, 121 patients (14.6%) were &gt; 65-</w:t>
      </w:r>
      <w:r w:rsidRPr="008A0486">
        <w:softHyphen/>
        <w:t xml:space="preserve"> 75 years of age and 17 patients (2.1%) were &gt; 75 years of age. The safety profile of </w:t>
      </w:r>
      <w:proofErr w:type="spellStart"/>
      <w:r w:rsidRPr="008A0486">
        <w:t>eribulin</w:t>
      </w:r>
      <w:proofErr w:type="spellEnd"/>
      <w:r w:rsidRPr="008A0486">
        <w:t xml:space="preserve"> in elderly patients (&gt; 65 years of age) was similar to that of </w:t>
      </w:r>
      <w:proofErr w:type="gramStart"/>
      <w:r w:rsidRPr="008A0486">
        <w:t>patients</w:t>
      </w:r>
      <w:proofErr w:type="gramEnd"/>
      <w:r w:rsidRPr="008A0486">
        <w:t xml:space="preserve"> ≤ 65 years of age. No dose adjustments are recommended for the elderly population.</w:t>
      </w:r>
    </w:p>
    <w:p w:rsidR="00373ABF" w:rsidRPr="008A0486" w:rsidRDefault="00373ABF" w:rsidP="006875F5">
      <w:pPr>
        <w:pStyle w:val="Heading4"/>
      </w:pPr>
      <w:r w:rsidRPr="008A0486">
        <w:t>P</w:t>
      </w:r>
      <w:r w:rsidR="006875F5">
        <w:t>atients with hepatic impairment</w:t>
      </w:r>
    </w:p>
    <w:p w:rsidR="008A0486" w:rsidRDefault="00373ABF" w:rsidP="006875F5">
      <w:pPr>
        <w:rPr>
          <w:b/>
          <w:bCs/>
          <w:szCs w:val="24"/>
        </w:rPr>
      </w:pPr>
      <w:r w:rsidRPr="008A0486">
        <w:t xml:space="preserve">Patients with ALT or AST &gt; 3 x ULN experienced a higher incidence of Grade 4 </w:t>
      </w:r>
      <w:proofErr w:type="spellStart"/>
      <w:r w:rsidRPr="008A0486">
        <w:t>neutropenia</w:t>
      </w:r>
      <w:proofErr w:type="spellEnd"/>
      <w:r w:rsidRPr="008A0486">
        <w:t xml:space="preserve"> and febrile </w:t>
      </w:r>
      <w:proofErr w:type="spellStart"/>
      <w:r w:rsidRPr="008A0486">
        <w:t>neutropenia</w:t>
      </w:r>
      <w:proofErr w:type="spellEnd"/>
      <w:r w:rsidRPr="008A0486">
        <w:t xml:space="preserve">. Although data are limited, patients with </w:t>
      </w:r>
      <w:proofErr w:type="spellStart"/>
      <w:r w:rsidRPr="008A0486">
        <w:t>bilirubin</w:t>
      </w:r>
      <w:proofErr w:type="spellEnd"/>
      <w:r w:rsidRPr="008A0486">
        <w:t xml:space="preserve"> &gt; 1.5 x ULN also have a higher incidence of Grade 4 </w:t>
      </w:r>
      <w:proofErr w:type="spellStart"/>
      <w:r w:rsidRPr="008A0486">
        <w:t>neutropenia</w:t>
      </w:r>
      <w:proofErr w:type="spellEnd"/>
      <w:r w:rsidRPr="008A0486">
        <w:t xml:space="preserve"> and febrile </w:t>
      </w:r>
      <w:proofErr w:type="spellStart"/>
      <w:r w:rsidRPr="008A0486">
        <w:t>neutropenia</w:t>
      </w:r>
      <w:proofErr w:type="spellEnd"/>
      <w:r w:rsidRPr="008A0486">
        <w:t xml:space="preserve"> (see also pharmacokinetic and Dosage</w:t>
      </w:r>
      <w:r w:rsidR="006875F5">
        <w:t xml:space="preserve"> and Administration sections).</w:t>
      </w:r>
    </w:p>
    <w:p w:rsidR="00373ABF" w:rsidRPr="008A0486" w:rsidRDefault="00373ABF" w:rsidP="006875F5">
      <w:pPr>
        <w:pStyle w:val="Heading2"/>
      </w:pPr>
      <w:r w:rsidRPr="008A0486">
        <w:t>DOSAGE AND ADMINISTRATION</w:t>
      </w:r>
    </w:p>
    <w:p w:rsidR="00373ABF" w:rsidRPr="008A0486" w:rsidRDefault="00373ABF" w:rsidP="006875F5">
      <w:r w:rsidRPr="008A0486">
        <w:t xml:space="preserve">HALAVEN should be administered in units specialised in the administration of </w:t>
      </w:r>
      <w:proofErr w:type="spellStart"/>
      <w:r w:rsidRPr="008A0486">
        <w:t>cytotoxic</w:t>
      </w:r>
      <w:proofErr w:type="spellEnd"/>
      <w:r w:rsidRPr="008A0486">
        <w:t xml:space="preserve"> chemotherapy and only under the supervision of a qualified physician experienced in the appropriate use o</w:t>
      </w:r>
      <w:r w:rsidR="006875F5">
        <w:t xml:space="preserve">f </w:t>
      </w:r>
      <w:proofErr w:type="spellStart"/>
      <w:r w:rsidR="006875F5">
        <w:t>cytotoxic</w:t>
      </w:r>
      <w:proofErr w:type="spellEnd"/>
      <w:r w:rsidR="006875F5">
        <w:t xml:space="preserve"> medicinal products.</w:t>
      </w:r>
    </w:p>
    <w:p w:rsidR="00373ABF" w:rsidRPr="008A0486" w:rsidRDefault="00373ABF" w:rsidP="006875F5">
      <w:pPr>
        <w:rPr>
          <w:szCs w:val="24"/>
        </w:rPr>
      </w:pPr>
      <w:r w:rsidRPr="008A0486">
        <w:rPr>
          <w:szCs w:val="24"/>
        </w:rPr>
        <w:t xml:space="preserve">The recommended dose of </w:t>
      </w:r>
      <w:r w:rsidR="0012784C">
        <w:rPr>
          <w:szCs w:val="24"/>
        </w:rPr>
        <w:t>HALAVEN</w:t>
      </w:r>
      <w:r w:rsidRPr="008A0486">
        <w:rPr>
          <w:szCs w:val="24"/>
        </w:rPr>
        <w:t xml:space="preserve"> as the ready to use solution is 1.</w:t>
      </w:r>
      <w:r w:rsidR="0012784C">
        <w:rPr>
          <w:szCs w:val="24"/>
        </w:rPr>
        <w:t>4</w:t>
      </w:r>
      <w:r w:rsidRPr="008A0486">
        <w:rPr>
          <w:szCs w:val="24"/>
        </w:rPr>
        <w:t xml:space="preserve"> mg/m</w:t>
      </w:r>
      <w:r w:rsidRPr="008A0486">
        <w:rPr>
          <w:position w:val="10"/>
          <w:szCs w:val="24"/>
          <w:vertAlign w:val="superscript"/>
        </w:rPr>
        <w:t xml:space="preserve">2 </w:t>
      </w:r>
      <w:r w:rsidRPr="008A0486">
        <w:rPr>
          <w:szCs w:val="24"/>
        </w:rPr>
        <w:t>which should be administered intravenously over 2 to 5 minutes on Days 1 and 8 of every 21-day cycle.</w:t>
      </w:r>
    </w:p>
    <w:p w:rsidR="00373ABF" w:rsidRPr="008A0486" w:rsidRDefault="00373ABF" w:rsidP="006875F5">
      <w:r w:rsidRPr="008A0486">
        <w:lastRenderedPageBreak/>
        <w:t>Patients may experience nausea or vomiting. Antiemetic prophylaxis including cortic</w:t>
      </w:r>
      <w:r w:rsidR="006875F5">
        <w:t>osteroids should be considered.</w:t>
      </w:r>
    </w:p>
    <w:p w:rsidR="00373ABF" w:rsidRPr="008A0486" w:rsidRDefault="006875F5" w:rsidP="006875F5">
      <w:pPr>
        <w:pStyle w:val="Heading3"/>
      </w:pPr>
      <w:r>
        <w:t>Dose delays during therapy</w:t>
      </w:r>
    </w:p>
    <w:p w:rsidR="0012784C" w:rsidRDefault="00373ABF" w:rsidP="006875F5">
      <w:r w:rsidRPr="008A0486">
        <w:t>The administration of HALAVEN should be delayed on Day 1 or Day 8</w:t>
      </w:r>
      <w:r w:rsidR="007405E8">
        <w:t>, for a maximum of 1 week,</w:t>
      </w:r>
      <w:r w:rsidR="006875F5">
        <w:t xml:space="preserve"> for any of the following:</w:t>
      </w:r>
    </w:p>
    <w:p w:rsidR="0012784C" w:rsidRDefault="00373ABF" w:rsidP="00CD2186">
      <w:pPr>
        <w:pStyle w:val="CM14"/>
        <w:rPr>
          <w:color w:val="000000"/>
        </w:rPr>
      </w:pPr>
      <w:r w:rsidRPr="008A0486">
        <w:rPr>
          <w:color w:val="000000"/>
        </w:rPr>
        <w:t xml:space="preserve">− Absolute </w:t>
      </w:r>
      <w:proofErr w:type="spellStart"/>
      <w:r w:rsidRPr="008A0486">
        <w:rPr>
          <w:color w:val="000000"/>
        </w:rPr>
        <w:t>neutrophil</w:t>
      </w:r>
      <w:proofErr w:type="spellEnd"/>
      <w:r w:rsidRPr="008A0486">
        <w:rPr>
          <w:color w:val="000000"/>
        </w:rPr>
        <w:t xml:space="preserve"> count (ANC) &lt; 1 x 10</w:t>
      </w:r>
      <w:r w:rsidRPr="008A0486">
        <w:rPr>
          <w:color w:val="000000"/>
          <w:position w:val="10"/>
          <w:vertAlign w:val="superscript"/>
        </w:rPr>
        <w:t>9</w:t>
      </w:r>
      <w:r w:rsidRPr="008A0486">
        <w:rPr>
          <w:color w:val="000000"/>
        </w:rPr>
        <w:t>/</w:t>
      </w:r>
      <w:r w:rsidR="00405C52">
        <w:rPr>
          <w:color w:val="000000"/>
        </w:rPr>
        <w:t>L</w:t>
      </w:r>
    </w:p>
    <w:p w:rsidR="0012784C" w:rsidRDefault="00373ABF" w:rsidP="00CD2186">
      <w:pPr>
        <w:pStyle w:val="CM14"/>
        <w:rPr>
          <w:color w:val="000000"/>
        </w:rPr>
      </w:pPr>
      <w:r w:rsidRPr="008A0486">
        <w:rPr>
          <w:color w:val="000000"/>
        </w:rPr>
        <w:t>− Platelets &lt; 75 x 10</w:t>
      </w:r>
      <w:r w:rsidRPr="008A0486">
        <w:rPr>
          <w:color w:val="000000"/>
          <w:position w:val="10"/>
          <w:vertAlign w:val="superscript"/>
        </w:rPr>
        <w:t>9</w:t>
      </w:r>
      <w:r w:rsidRPr="008A0486">
        <w:rPr>
          <w:color w:val="000000"/>
        </w:rPr>
        <w:t>/</w:t>
      </w:r>
      <w:r w:rsidR="00405C52">
        <w:rPr>
          <w:color w:val="000000"/>
        </w:rPr>
        <w:t>L</w:t>
      </w:r>
    </w:p>
    <w:p w:rsidR="00373ABF" w:rsidRPr="008A0486" w:rsidRDefault="00373ABF" w:rsidP="00CD2186">
      <w:pPr>
        <w:pStyle w:val="CM14"/>
        <w:rPr>
          <w:color w:val="000000"/>
        </w:rPr>
      </w:pPr>
      <w:r w:rsidRPr="008A0486">
        <w:rPr>
          <w:color w:val="000000"/>
        </w:rPr>
        <w:t>− Grade 3 or 4 non-h</w:t>
      </w:r>
      <w:r w:rsidR="00D20805">
        <w:rPr>
          <w:color w:val="000000"/>
        </w:rPr>
        <w:t>a</w:t>
      </w:r>
      <w:r w:rsidR="006875F5">
        <w:rPr>
          <w:color w:val="000000"/>
        </w:rPr>
        <w:t>ematological toxicities.</w:t>
      </w:r>
    </w:p>
    <w:p w:rsidR="00B07CA1" w:rsidRDefault="007405E8" w:rsidP="006875F5">
      <w:r>
        <w:t>If toxicities do not resolve or improve to ≤ grade 2 severity by Day 15, omit the dose.</w:t>
      </w:r>
    </w:p>
    <w:p w:rsidR="0021461A" w:rsidRDefault="007405E8" w:rsidP="006875F5">
      <w:r>
        <w:rPr>
          <w:lang w:val="en-AU" w:eastAsia="en-AU"/>
        </w:rPr>
        <w:t>If toxicities resolve or improve to ≤ grade 2 severity by Day 15, administer HALAVEN at a reduced dose (see dose reduction table below) and initiate the next cycle no sooner than 2 weeks later.</w:t>
      </w:r>
    </w:p>
    <w:p w:rsidR="00373ABF" w:rsidRPr="008A0486" w:rsidRDefault="006875F5" w:rsidP="006875F5">
      <w:pPr>
        <w:pStyle w:val="Heading3"/>
      </w:pPr>
      <w:r>
        <w:t>Dose reduction during therapy</w:t>
      </w:r>
    </w:p>
    <w:p w:rsidR="00813B59" w:rsidRDefault="00373ABF" w:rsidP="006875F5">
      <w:r w:rsidRPr="008A0486">
        <w:t>Dose reduction recommendations for retreatment are shown in the table</w:t>
      </w:r>
      <w:r w:rsidR="00813B59">
        <w:t xml:space="preserve"> 5</w:t>
      </w:r>
      <w:r w:rsidRPr="008A0486">
        <w:t>.</w:t>
      </w:r>
    </w:p>
    <w:p w:rsidR="00373ABF" w:rsidRPr="00C23AB3" w:rsidRDefault="00813B59" w:rsidP="006875F5">
      <w:pPr>
        <w:pStyle w:val="CM16"/>
      </w:pPr>
      <w:r w:rsidRPr="00C23AB3">
        <w:t>Table 5: Dose reduction recommendations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2835"/>
      </w:tblGrid>
      <w:tr w:rsidR="00490533" w:rsidRPr="00544573" w:rsidTr="006875F5">
        <w:trPr>
          <w:tblHeader/>
        </w:trPr>
        <w:tc>
          <w:tcPr>
            <w:tcW w:w="5070" w:type="dxa"/>
            <w:vAlign w:val="center"/>
          </w:tcPr>
          <w:p w:rsidR="00490533" w:rsidRPr="00544573" w:rsidRDefault="00490533" w:rsidP="006875F5">
            <w:pPr>
              <w:pStyle w:val="Default"/>
              <w:rPr>
                <w:sz w:val="20"/>
                <w:szCs w:val="20"/>
              </w:rPr>
            </w:pPr>
            <w:r w:rsidRPr="00544573">
              <w:rPr>
                <w:b/>
                <w:bCs/>
                <w:sz w:val="20"/>
                <w:szCs w:val="20"/>
              </w:rPr>
              <w:t>Adverse reaction after previous HALAVEN administration</w:t>
            </w:r>
          </w:p>
        </w:tc>
        <w:tc>
          <w:tcPr>
            <w:tcW w:w="2835" w:type="dxa"/>
            <w:vAlign w:val="center"/>
          </w:tcPr>
          <w:p w:rsidR="00490533" w:rsidRPr="00544573" w:rsidRDefault="00490533" w:rsidP="006875F5">
            <w:pPr>
              <w:pStyle w:val="Default"/>
              <w:jc w:val="center"/>
              <w:rPr>
                <w:sz w:val="20"/>
                <w:szCs w:val="20"/>
              </w:rPr>
            </w:pPr>
            <w:r w:rsidRPr="00544573">
              <w:rPr>
                <w:b/>
                <w:bCs/>
                <w:sz w:val="20"/>
                <w:szCs w:val="20"/>
              </w:rPr>
              <w:t>Recommended dose</w:t>
            </w:r>
          </w:p>
        </w:tc>
      </w:tr>
      <w:tr w:rsidR="00490533" w:rsidRPr="00544573" w:rsidTr="00544573">
        <w:tc>
          <w:tcPr>
            <w:tcW w:w="5070" w:type="dxa"/>
          </w:tcPr>
          <w:p w:rsidR="00490533" w:rsidRPr="00544573" w:rsidRDefault="00490533" w:rsidP="00544573">
            <w:pPr>
              <w:pStyle w:val="Default"/>
              <w:rPr>
                <w:sz w:val="20"/>
                <w:szCs w:val="20"/>
              </w:rPr>
            </w:pPr>
            <w:r w:rsidRPr="00544573">
              <w:rPr>
                <w:b/>
                <w:bCs/>
                <w:sz w:val="20"/>
                <w:szCs w:val="20"/>
              </w:rPr>
              <w:t>Haematological:</w:t>
            </w:r>
          </w:p>
        </w:tc>
        <w:tc>
          <w:tcPr>
            <w:tcW w:w="2835" w:type="dxa"/>
          </w:tcPr>
          <w:p w:rsidR="00490533" w:rsidRPr="00544573" w:rsidRDefault="00490533" w:rsidP="00544573">
            <w:pPr>
              <w:pStyle w:val="Default"/>
              <w:jc w:val="center"/>
              <w:rPr>
                <w:color w:val="auto"/>
              </w:rPr>
            </w:pPr>
          </w:p>
        </w:tc>
      </w:tr>
      <w:tr w:rsidR="00490533" w:rsidRPr="00544573" w:rsidTr="00544573">
        <w:tc>
          <w:tcPr>
            <w:tcW w:w="5070" w:type="dxa"/>
            <w:vAlign w:val="center"/>
          </w:tcPr>
          <w:p w:rsidR="00490533" w:rsidRPr="00544573" w:rsidRDefault="00490533" w:rsidP="00694C88">
            <w:pPr>
              <w:pStyle w:val="Default"/>
              <w:ind w:leftChars="59" w:left="142"/>
              <w:rPr>
                <w:sz w:val="20"/>
                <w:szCs w:val="20"/>
              </w:rPr>
            </w:pPr>
            <w:r w:rsidRPr="00544573">
              <w:rPr>
                <w:sz w:val="20"/>
                <w:szCs w:val="20"/>
              </w:rPr>
              <w:t>ANC &lt; 0.5 x 10</w:t>
            </w:r>
            <w:r w:rsidR="00CD2186" w:rsidRPr="00CD2186">
              <w:rPr>
                <w:sz w:val="20"/>
                <w:szCs w:val="20"/>
                <w:vertAlign w:val="superscript"/>
              </w:rPr>
              <w:t>9</w:t>
            </w:r>
            <w:r w:rsidRPr="00544573">
              <w:rPr>
                <w:sz w:val="20"/>
                <w:szCs w:val="20"/>
              </w:rPr>
              <w:t>/</w:t>
            </w:r>
            <w:r w:rsidR="00405C52">
              <w:rPr>
                <w:sz w:val="20"/>
                <w:szCs w:val="20"/>
              </w:rPr>
              <w:t>L</w:t>
            </w:r>
            <w:r w:rsidRPr="00544573">
              <w:rPr>
                <w:sz w:val="20"/>
                <w:szCs w:val="20"/>
              </w:rPr>
              <w:t xml:space="preserve"> lasting more than 7 days </w:t>
            </w:r>
          </w:p>
        </w:tc>
        <w:tc>
          <w:tcPr>
            <w:tcW w:w="2835" w:type="dxa"/>
            <w:vMerge w:val="restart"/>
            <w:vAlign w:val="center"/>
          </w:tcPr>
          <w:p w:rsidR="00490533" w:rsidRPr="00544573" w:rsidRDefault="00CD2186" w:rsidP="00CD2186">
            <w:pPr>
              <w:pStyle w:val="Default"/>
              <w:jc w:val="center"/>
              <w:rPr>
                <w:sz w:val="13"/>
                <w:szCs w:val="13"/>
              </w:rPr>
            </w:pPr>
            <w:r>
              <w:rPr>
                <w:sz w:val="20"/>
                <w:szCs w:val="20"/>
              </w:rPr>
              <w:t>1.1</w:t>
            </w:r>
            <w:r w:rsidR="00490533" w:rsidRPr="00544573">
              <w:rPr>
                <w:sz w:val="20"/>
                <w:szCs w:val="20"/>
              </w:rPr>
              <w:t xml:space="preserve"> mg/m</w:t>
            </w:r>
            <w:r w:rsidRPr="00CD2186">
              <w:rPr>
                <w:sz w:val="20"/>
                <w:szCs w:val="20"/>
                <w:vertAlign w:val="superscript"/>
              </w:rPr>
              <w:t>2</w:t>
            </w:r>
            <w:r w:rsidR="00490533" w:rsidRPr="00544573">
              <w:rPr>
                <w:sz w:val="13"/>
                <w:szCs w:val="13"/>
              </w:rPr>
              <w:t xml:space="preserve"> </w:t>
            </w:r>
          </w:p>
        </w:tc>
      </w:tr>
      <w:tr w:rsidR="00490533" w:rsidRPr="00544573" w:rsidTr="00544573">
        <w:tc>
          <w:tcPr>
            <w:tcW w:w="5070" w:type="dxa"/>
          </w:tcPr>
          <w:p w:rsidR="00490533" w:rsidRPr="00544573" w:rsidRDefault="00490533" w:rsidP="00694C88">
            <w:pPr>
              <w:pStyle w:val="Default"/>
              <w:ind w:leftChars="59" w:left="142"/>
              <w:rPr>
                <w:sz w:val="20"/>
                <w:szCs w:val="20"/>
              </w:rPr>
            </w:pPr>
            <w:r w:rsidRPr="00544573">
              <w:rPr>
                <w:sz w:val="20"/>
                <w:szCs w:val="20"/>
              </w:rPr>
              <w:t>ANC &lt; 1 x 10</w:t>
            </w:r>
            <w:r w:rsidR="00CD2186" w:rsidRPr="00CD2186">
              <w:rPr>
                <w:sz w:val="20"/>
                <w:szCs w:val="20"/>
                <w:vertAlign w:val="superscript"/>
              </w:rPr>
              <w:t>9</w:t>
            </w:r>
            <w:r w:rsidRPr="00544573">
              <w:rPr>
                <w:sz w:val="20"/>
                <w:szCs w:val="20"/>
              </w:rPr>
              <w:t xml:space="preserve">/l </w:t>
            </w:r>
            <w:proofErr w:type="spellStart"/>
            <w:r w:rsidRPr="00544573">
              <w:rPr>
                <w:sz w:val="20"/>
                <w:szCs w:val="20"/>
              </w:rPr>
              <w:t>neutropenia</w:t>
            </w:r>
            <w:proofErr w:type="spellEnd"/>
            <w:r w:rsidRPr="00544573">
              <w:rPr>
                <w:sz w:val="20"/>
                <w:szCs w:val="20"/>
              </w:rPr>
              <w:t xml:space="preserve"> complicated by fever or infection </w:t>
            </w:r>
          </w:p>
        </w:tc>
        <w:tc>
          <w:tcPr>
            <w:tcW w:w="2835" w:type="dxa"/>
            <w:vMerge/>
            <w:vAlign w:val="center"/>
          </w:tcPr>
          <w:p w:rsidR="00490533" w:rsidRPr="00544573" w:rsidRDefault="00490533" w:rsidP="00544573">
            <w:pPr>
              <w:pStyle w:val="Default"/>
              <w:jc w:val="center"/>
              <w:rPr>
                <w:color w:val="auto"/>
              </w:rPr>
            </w:pPr>
          </w:p>
        </w:tc>
      </w:tr>
      <w:tr w:rsidR="00490533" w:rsidRPr="00544573" w:rsidTr="00544573">
        <w:tc>
          <w:tcPr>
            <w:tcW w:w="5070" w:type="dxa"/>
            <w:vAlign w:val="center"/>
          </w:tcPr>
          <w:p w:rsidR="00490533" w:rsidRPr="00544573" w:rsidRDefault="00490533" w:rsidP="00A621A8">
            <w:pPr>
              <w:pStyle w:val="Default"/>
              <w:ind w:leftChars="59" w:left="142"/>
              <w:rPr>
                <w:sz w:val="20"/>
                <w:szCs w:val="20"/>
              </w:rPr>
            </w:pPr>
            <w:r w:rsidRPr="00544573">
              <w:rPr>
                <w:sz w:val="20"/>
                <w:szCs w:val="20"/>
              </w:rPr>
              <w:t>Platelets &lt; 25 x 10</w:t>
            </w:r>
            <w:r w:rsidR="00CD2186" w:rsidRPr="00CD2186">
              <w:rPr>
                <w:sz w:val="20"/>
                <w:szCs w:val="20"/>
                <w:vertAlign w:val="superscript"/>
              </w:rPr>
              <w:t>9</w:t>
            </w:r>
            <w:r w:rsidRPr="00544573">
              <w:rPr>
                <w:sz w:val="20"/>
                <w:szCs w:val="20"/>
              </w:rPr>
              <w:t>/</w:t>
            </w:r>
            <w:r w:rsidR="00405C52">
              <w:rPr>
                <w:sz w:val="20"/>
                <w:szCs w:val="20"/>
              </w:rPr>
              <w:t>L</w:t>
            </w:r>
            <w:r w:rsidRPr="00544573">
              <w:rPr>
                <w:sz w:val="20"/>
                <w:szCs w:val="20"/>
              </w:rPr>
              <w:t xml:space="preserve"> thrombocytopenia </w:t>
            </w:r>
          </w:p>
        </w:tc>
        <w:tc>
          <w:tcPr>
            <w:tcW w:w="2835" w:type="dxa"/>
            <w:vMerge/>
            <w:vAlign w:val="center"/>
          </w:tcPr>
          <w:p w:rsidR="00490533" w:rsidRPr="00544573" w:rsidRDefault="00490533" w:rsidP="00544573">
            <w:pPr>
              <w:pStyle w:val="Default"/>
              <w:jc w:val="center"/>
              <w:rPr>
                <w:color w:val="auto"/>
              </w:rPr>
            </w:pPr>
          </w:p>
        </w:tc>
      </w:tr>
      <w:tr w:rsidR="00490533" w:rsidRPr="00544573" w:rsidTr="00544573">
        <w:tc>
          <w:tcPr>
            <w:tcW w:w="5070" w:type="dxa"/>
          </w:tcPr>
          <w:p w:rsidR="00490533" w:rsidRPr="00544573" w:rsidRDefault="00490533" w:rsidP="00A621A8">
            <w:pPr>
              <w:pStyle w:val="Default"/>
              <w:ind w:leftChars="59" w:left="142"/>
              <w:rPr>
                <w:sz w:val="20"/>
                <w:szCs w:val="20"/>
              </w:rPr>
            </w:pPr>
            <w:r w:rsidRPr="00544573">
              <w:rPr>
                <w:sz w:val="20"/>
                <w:szCs w:val="20"/>
              </w:rPr>
              <w:t>Platelets &lt; 50 x 10</w:t>
            </w:r>
            <w:r w:rsidR="00CD2186" w:rsidRPr="00CD2186">
              <w:rPr>
                <w:sz w:val="20"/>
                <w:szCs w:val="20"/>
                <w:vertAlign w:val="superscript"/>
              </w:rPr>
              <w:t>9</w:t>
            </w:r>
            <w:r w:rsidRPr="00544573">
              <w:rPr>
                <w:sz w:val="20"/>
                <w:szCs w:val="20"/>
              </w:rPr>
              <w:t>/</w:t>
            </w:r>
            <w:r w:rsidR="00405C52">
              <w:rPr>
                <w:sz w:val="20"/>
                <w:szCs w:val="20"/>
              </w:rPr>
              <w:t>L</w:t>
            </w:r>
            <w:r w:rsidRPr="00544573">
              <w:rPr>
                <w:sz w:val="20"/>
                <w:szCs w:val="20"/>
              </w:rPr>
              <w:t xml:space="preserve"> thrombocytopenia complicated by haemorrhage or requiring blood or platelet transfusion </w:t>
            </w:r>
          </w:p>
        </w:tc>
        <w:tc>
          <w:tcPr>
            <w:tcW w:w="2835" w:type="dxa"/>
            <w:vMerge/>
            <w:vAlign w:val="center"/>
          </w:tcPr>
          <w:p w:rsidR="00490533" w:rsidRPr="00544573" w:rsidRDefault="00490533" w:rsidP="00544573">
            <w:pPr>
              <w:pStyle w:val="Default"/>
              <w:jc w:val="center"/>
              <w:rPr>
                <w:color w:val="auto"/>
              </w:rPr>
            </w:pPr>
          </w:p>
        </w:tc>
      </w:tr>
      <w:tr w:rsidR="00490533" w:rsidRPr="00544573" w:rsidTr="00C972D3">
        <w:tc>
          <w:tcPr>
            <w:tcW w:w="5070" w:type="dxa"/>
            <w:tcBorders>
              <w:bottom w:val="single" w:sz="4" w:space="0" w:color="auto"/>
            </w:tcBorders>
            <w:vAlign w:val="center"/>
          </w:tcPr>
          <w:p w:rsidR="00490533" w:rsidRPr="00544573" w:rsidRDefault="00490533" w:rsidP="006875F5">
            <w:pPr>
              <w:pStyle w:val="Default"/>
              <w:rPr>
                <w:sz w:val="20"/>
                <w:szCs w:val="20"/>
              </w:rPr>
            </w:pPr>
            <w:r w:rsidRPr="00544573">
              <w:rPr>
                <w:b/>
                <w:bCs/>
                <w:sz w:val="20"/>
                <w:szCs w:val="20"/>
              </w:rPr>
              <w:t>Non-haematological:</w:t>
            </w:r>
          </w:p>
        </w:tc>
        <w:tc>
          <w:tcPr>
            <w:tcW w:w="2835" w:type="dxa"/>
            <w:vMerge/>
            <w:tcBorders>
              <w:bottom w:val="single" w:sz="4" w:space="0" w:color="auto"/>
            </w:tcBorders>
            <w:vAlign w:val="center"/>
          </w:tcPr>
          <w:p w:rsidR="00490533" w:rsidRPr="00544573" w:rsidRDefault="00490533" w:rsidP="00544573">
            <w:pPr>
              <w:pStyle w:val="Default"/>
              <w:jc w:val="center"/>
              <w:rPr>
                <w:color w:val="auto"/>
              </w:rPr>
            </w:pPr>
          </w:p>
        </w:tc>
      </w:tr>
      <w:tr w:rsidR="00490533" w:rsidRPr="00544573" w:rsidTr="00C972D3">
        <w:tc>
          <w:tcPr>
            <w:tcW w:w="5070" w:type="dxa"/>
            <w:tcBorders>
              <w:bottom w:val="single" w:sz="4" w:space="0" w:color="auto"/>
            </w:tcBorders>
            <w:vAlign w:val="center"/>
          </w:tcPr>
          <w:p w:rsidR="00490533" w:rsidRPr="00544573" w:rsidRDefault="00490533" w:rsidP="00694C88">
            <w:pPr>
              <w:pStyle w:val="Default"/>
              <w:ind w:leftChars="59" w:left="142"/>
              <w:rPr>
                <w:sz w:val="20"/>
                <w:szCs w:val="20"/>
              </w:rPr>
            </w:pPr>
            <w:r w:rsidRPr="00544573">
              <w:rPr>
                <w:sz w:val="20"/>
                <w:szCs w:val="20"/>
              </w:rPr>
              <w:t xml:space="preserve">Any Grade 3 or 4 in the previous cycle </w:t>
            </w:r>
          </w:p>
        </w:tc>
        <w:tc>
          <w:tcPr>
            <w:tcW w:w="2835" w:type="dxa"/>
            <w:vMerge/>
            <w:tcBorders>
              <w:bottom w:val="single" w:sz="4" w:space="0" w:color="auto"/>
            </w:tcBorders>
            <w:vAlign w:val="center"/>
          </w:tcPr>
          <w:p w:rsidR="00490533" w:rsidRPr="00544573" w:rsidRDefault="00490533" w:rsidP="00544573">
            <w:pPr>
              <w:pStyle w:val="Default"/>
              <w:jc w:val="center"/>
              <w:rPr>
                <w:color w:val="auto"/>
              </w:rPr>
            </w:pPr>
          </w:p>
        </w:tc>
      </w:tr>
      <w:tr w:rsidR="007405E8" w:rsidRPr="00544573" w:rsidTr="00C972D3">
        <w:tc>
          <w:tcPr>
            <w:tcW w:w="5070" w:type="dxa"/>
            <w:vAlign w:val="center"/>
          </w:tcPr>
          <w:p w:rsidR="007405E8" w:rsidRDefault="007405E8" w:rsidP="00694C88">
            <w:pPr>
              <w:pStyle w:val="Default"/>
              <w:ind w:leftChars="59" w:left="142"/>
              <w:rPr>
                <w:sz w:val="20"/>
                <w:szCs w:val="20"/>
              </w:rPr>
            </w:pPr>
            <w:r w:rsidRPr="00544573">
              <w:rPr>
                <w:b/>
                <w:bCs/>
                <w:sz w:val="20"/>
                <w:szCs w:val="20"/>
              </w:rPr>
              <w:t>Reoccurrence of any haematological or non-haematological adverse reactions as specified above</w:t>
            </w:r>
          </w:p>
        </w:tc>
        <w:tc>
          <w:tcPr>
            <w:tcW w:w="2835" w:type="dxa"/>
            <w:tcBorders>
              <w:bottom w:val="nil"/>
            </w:tcBorders>
            <w:vAlign w:val="center"/>
          </w:tcPr>
          <w:p w:rsidR="007405E8" w:rsidRDefault="007405E8" w:rsidP="00544573">
            <w:pPr>
              <w:pStyle w:val="Default"/>
              <w:jc w:val="center"/>
              <w:rPr>
                <w:sz w:val="20"/>
                <w:szCs w:val="20"/>
              </w:rPr>
            </w:pPr>
          </w:p>
        </w:tc>
      </w:tr>
      <w:tr w:rsidR="00490533" w:rsidRPr="00544573" w:rsidTr="00C972D3">
        <w:tc>
          <w:tcPr>
            <w:tcW w:w="5070" w:type="dxa"/>
            <w:vAlign w:val="center"/>
          </w:tcPr>
          <w:p w:rsidR="00490533" w:rsidRPr="00544573" w:rsidRDefault="00CD2186" w:rsidP="00694C88">
            <w:pPr>
              <w:pStyle w:val="Default"/>
              <w:ind w:leftChars="59" w:left="142"/>
              <w:rPr>
                <w:sz w:val="13"/>
                <w:szCs w:val="13"/>
              </w:rPr>
            </w:pPr>
            <w:r>
              <w:rPr>
                <w:sz w:val="20"/>
                <w:szCs w:val="20"/>
              </w:rPr>
              <w:t>Despite reduction to 1.1</w:t>
            </w:r>
            <w:r w:rsidR="00490533" w:rsidRPr="00544573">
              <w:rPr>
                <w:sz w:val="20"/>
                <w:szCs w:val="20"/>
              </w:rPr>
              <w:t xml:space="preserve"> mg/m</w:t>
            </w:r>
            <w:r w:rsidRPr="00CD2186">
              <w:rPr>
                <w:sz w:val="20"/>
                <w:szCs w:val="20"/>
                <w:vertAlign w:val="superscript"/>
              </w:rPr>
              <w:t>2</w:t>
            </w:r>
          </w:p>
        </w:tc>
        <w:tc>
          <w:tcPr>
            <w:tcW w:w="2835" w:type="dxa"/>
            <w:tcBorders>
              <w:top w:val="nil"/>
            </w:tcBorders>
            <w:vAlign w:val="center"/>
          </w:tcPr>
          <w:p w:rsidR="00490533" w:rsidRPr="00544573" w:rsidRDefault="00CD2186" w:rsidP="00544573">
            <w:pPr>
              <w:pStyle w:val="Default"/>
              <w:jc w:val="center"/>
              <w:rPr>
                <w:sz w:val="13"/>
                <w:szCs w:val="13"/>
              </w:rPr>
            </w:pPr>
            <w:r>
              <w:rPr>
                <w:sz w:val="20"/>
                <w:szCs w:val="20"/>
              </w:rPr>
              <w:t xml:space="preserve"> 0.7</w:t>
            </w:r>
            <w:r w:rsidR="00490533" w:rsidRPr="00544573">
              <w:rPr>
                <w:sz w:val="20"/>
                <w:szCs w:val="20"/>
              </w:rPr>
              <w:t xml:space="preserve"> mg/m</w:t>
            </w:r>
            <w:r w:rsidRPr="00CD2186">
              <w:rPr>
                <w:sz w:val="20"/>
                <w:szCs w:val="20"/>
                <w:vertAlign w:val="superscript"/>
              </w:rPr>
              <w:t>2</w:t>
            </w:r>
          </w:p>
        </w:tc>
      </w:tr>
      <w:tr w:rsidR="00490533" w:rsidRPr="00544573" w:rsidTr="00544573">
        <w:tc>
          <w:tcPr>
            <w:tcW w:w="5070" w:type="dxa"/>
            <w:vAlign w:val="center"/>
          </w:tcPr>
          <w:p w:rsidR="00490533" w:rsidRPr="00544573" w:rsidRDefault="00CD2186" w:rsidP="00694C88">
            <w:pPr>
              <w:pStyle w:val="Default"/>
              <w:ind w:leftChars="59" w:left="142"/>
              <w:rPr>
                <w:sz w:val="13"/>
                <w:szCs w:val="13"/>
              </w:rPr>
            </w:pPr>
            <w:r>
              <w:rPr>
                <w:sz w:val="20"/>
                <w:szCs w:val="20"/>
              </w:rPr>
              <w:t>Despite reduction to 0.7</w:t>
            </w:r>
            <w:r w:rsidR="00490533" w:rsidRPr="00544573">
              <w:rPr>
                <w:sz w:val="20"/>
                <w:szCs w:val="20"/>
              </w:rPr>
              <w:t xml:space="preserve"> mg/m</w:t>
            </w:r>
            <w:r w:rsidRPr="00CD2186">
              <w:rPr>
                <w:sz w:val="20"/>
                <w:szCs w:val="20"/>
                <w:vertAlign w:val="superscript"/>
              </w:rPr>
              <w:t>2</w:t>
            </w:r>
          </w:p>
        </w:tc>
        <w:tc>
          <w:tcPr>
            <w:tcW w:w="2835" w:type="dxa"/>
            <w:vAlign w:val="center"/>
          </w:tcPr>
          <w:p w:rsidR="00490533" w:rsidRPr="00544573" w:rsidRDefault="00490533" w:rsidP="00544573">
            <w:pPr>
              <w:pStyle w:val="Default"/>
              <w:jc w:val="center"/>
              <w:rPr>
                <w:sz w:val="20"/>
                <w:szCs w:val="20"/>
              </w:rPr>
            </w:pPr>
            <w:r w:rsidRPr="00544573">
              <w:rPr>
                <w:sz w:val="20"/>
                <w:szCs w:val="20"/>
              </w:rPr>
              <w:t xml:space="preserve"> Consider discontinuation </w:t>
            </w:r>
          </w:p>
        </w:tc>
      </w:tr>
    </w:tbl>
    <w:p w:rsidR="00694C88" w:rsidRPr="00390DCA" w:rsidRDefault="00694C88" w:rsidP="006875F5">
      <w:r w:rsidRPr="00694C88">
        <w:t xml:space="preserve">Do not re-escalate the </w:t>
      </w:r>
      <w:proofErr w:type="spellStart"/>
      <w:r w:rsidRPr="00694C88">
        <w:t>eribulin</w:t>
      </w:r>
      <w:proofErr w:type="spellEnd"/>
      <w:r w:rsidRPr="00694C88">
        <w:t xml:space="preserve"> dose after it has been reduced.</w:t>
      </w:r>
    </w:p>
    <w:p w:rsidR="00373ABF" w:rsidRPr="008A0486" w:rsidRDefault="00373ABF" w:rsidP="006875F5">
      <w:pPr>
        <w:pStyle w:val="Heading3"/>
      </w:pPr>
      <w:r w:rsidRPr="008A0486">
        <w:t>Patients with hepatic impairme</w:t>
      </w:r>
      <w:r w:rsidR="006875F5">
        <w:t>nt</w:t>
      </w:r>
    </w:p>
    <w:p w:rsidR="00373ABF" w:rsidRPr="008A0486" w:rsidRDefault="00373ABF" w:rsidP="006875F5">
      <w:pPr>
        <w:pStyle w:val="Heading4"/>
      </w:pPr>
      <w:r w:rsidRPr="008A0486">
        <w:t>Impaired liver function due to metastases:</w:t>
      </w:r>
    </w:p>
    <w:p w:rsidR="00CD2186" w:rsidRPr="006875F5" w:rsidRDefault="00373ABF" w:rsidP="008A0486">
      <w:pPr>
        <w:pStyle w:val="CM14"/>
        <w:spacing w:after="240" w:line="276" w:lineRule="auto"/>
      </w:pPr>
      <w:r w:rsidRPr="008A0486">
        <w:t>T</w:t>
      </w:r>
      <w:r w:rsidRPr="006875F5">
        <w:t xml:space="preserve">he recommended dose of </w:t>
      </w:r>
      <w:r w:rsidR="00CD2186" w:rsidRPr="006875F5">
        <w:t>HALAVEN</w:t>
      </w:r>
      <w:r w:rsidRPr="006875F5">
        <w:t xml:space="preserve"> in patients with mild hepatic impairment (Child-Pugh </w:t>
      </w:r>
      <w:r w:rsidRPr="006875F5">
        <w:lastRenderedPageBreak/>
        <w:t xml:space="preserve">A) is </w:t>
      </w:r>
      <w:r w:rsidR="00CD2186" w:rsidRPr="006875F5">
        <w:t>1.1</w:t>
      </w:r>
      <w:r w:rsidRPr="006875F5">
        <w:t xml:space="preserve"> mg/m2 administered intravenously over 2 to 5 minutes on </w:t>
      </w:r>
      <w:r w:rsidR="006875F5">
        <w:t>Days 1 and 8 of a 21-day cycle.</w:t>
      </w:r>
    </w:p>
    <w:p w:rsidR="00CD2186" w:rsidRDefault="00373ABF" w:rsidP="006875F5">
      <w:r w:rsidRPr="008A0486">
        <w:t xml:space="preserve">The recommended dose of </w:t>
      </w:r>
      <w:r w:rsidR="00CD2186">
        <w:t>HALAVEN</w:t>
      </w:r>
      <w:r w:rsidRPr="008A0486">
        <w:t xml:space="preserve"> in patients with moderate hepatic impairment (Child-Pugh B) is 0.</w:t>
      </w:r>
      <w:r w:rsidR="00CD2186">
        <w:t>7</w:t>
      </w:r>
      <w:r w:rsidRPr="008A0486">
        <w:t xml:space="preserve"> mg/m</w:t>
      </w:r>
      <w:r w:rsidRPr="008A0486">
        <w:rPr>
          <w:position w:val="10"/>
          <w:vertAlign w:val="superscript"/>
        </w:rPr>
        <w:t>2</w:t>
      </w:r>
      <w:r w:rsidRPr="008A0486">
        <w:t xml:space="preserve"> administered intravenously over 2 to 5 minutes on </w:t>
      </w:r>
      <w:r w:rsidR="006875F5">
        <w:t>Days 1 and 8 of a 21-day cycle.</w:t>
      </w:r>
    </w:p>
    <w:p w:rsidR="0021461A" w:rsidRDefault="00373ABF" w:rsidP="006875F5">
      <w:pPr>
        <w:rPr>
          <w:u w:val="single"/>
        </w:rPr>
      </w:pPr>
      <w:r w:rsidRPr="008A0486">
        <w:t xml:space="preserve">Severe hepatic impairment (Child-Pugh C) has not been studied but it is expected that a more marked dose reduction is needed if </w:t>
      </w:r>
      <w:r w:rsidR="00CD2186">
        <w:t>HALAVEN</w:t>
      </w:r>
      <w:r w:rsidR="006875F5">
        <w:t xml:space="preserve"> is used in these patients.</w:t>
      </w:r>
    </w:p>
    <w:p w:rsidR="00694C88" w:rsidRPr="00390DCA" w:rsidRDefault="00373ABF" w:rsidP="006875F5">
      <w:pPr>
        <w:pStyle w:val="Heading4"/>
        <w:rPr>
          <w:rFonts w:eastAsia="MS Mincho"/>
          <w:lang w:eastAsia="ja-JP"/>
        </w:rPr>
      </w:pPr>
      <w:r w:rsidRPr="008A0486">
        <w:t>Impaired liver function due to cirrhosis</w:t>
      </w:r>
      <w:r w:rsidR="008A3902">
        <w:t>:</w:t>
      </w:r>
    </w:p>
    <w:p w:rsidR="00373ABF" w:rsidRPr="008A0486" w:rsidRDefault="00373ABF" w:rsidP="006875F5">
      <w:r w:rsidRPr="008A0486">
        <w:t xml:space="preserve">This patient group has not been studied. The doses above may be used in mild and moderate impairment but close monitoring is advised as the doses may need readjustment. </w:t>
      </w:r>
    </w:p>
    <w:p w:rsidR="00373ABF" w:rsidRPr="006875F5" w:rsidRDefault="00373ABF" w:rsidP="006875F5">
      <w:pPr>
        <w:pStyle w:val="Heading5"/>
      </w:pPr>
      <w:r w:rsidRPr="006875F5">
        <w:t>Patients with renal impairment</w:t>
      </w:r>
    </w:p>
    <w:p w:rsidR="003377B7" w:rsidRDefault="00EC6680" w:rsidP="006875F5">
      <w:pPr>
        <w:rPr>
          <w:sz w:val="20"/>
        </w:rPr>
      </w:pPr>
      <w:r w:rsidRPr="00C972D3">
        <w:t xml:space="preserve">No dose adjustment </w:t>
      </w:r>
      <w:r w:rsidRPr="00C972D3">
        <w:rPr>
          <w:rFonts w:eastAsiaTheme="minorEastAsia"/>
          <w:lang w:eastAsia="ja-JP"/>
        </w:rPr>
        <w:t xml:space="preserve">is needed in </w:t>
      </w:r>
      <w:r w:rsidRPr="00C972D3">
        <w:t xml:space="preserve">patients with </w:t>
      </w:r>
      <w:r w:rsidR="003377B7">
        <w:t xml:space="preserve">stage 2 chronic kidney disease </w:t>
      </w:r>
      <w:r w:rsidR="003377B7" w:rsidRPr="0004218F">
        <w:t>(</w:t>
      </w:r>
      <w:r w:rsidR="003377B7">
        <w:t>GFR 60 - 89</w:t>
      </w:r>
      <w:r w:rsidR="003377B7" w:rsidRPr="0004218F">
        <w:t xml:space="preserve"> </w:t>
      </w:r>
      <w:proofErr w:type="spellStart"/>
      <w:r w:rsidR="003377B7" w:rsidRPr="0004218F">
        <w:t>mL</w:t>
      </w:r>
      <w:proofErr w:type="spellEnd"/>
      <w:r w:rsidR="003377B7" w:rsidRPr="0004218F">
        <w:t>/min</w:t>
      </w:r>
      <w:r w:rsidR="003377B7">
        <w:t>/1.73m</w:t>
      </w:r>
      <w:r w:rsidR="003377B7" w:rsidRPr="00C972D3">
        <w:rPr>
          <w:vertAlign w:val="superscript"/>
        </w:rPr>
        <w:t>2</w:t>
      </w:r>
      <w:r w:rsidR="003377B7" w:rsidRPr="0004218F">
        <w:t>)</w:t>
      </w:r>
      <w:r w:rsidRPr="00C972D3">
        <w:t>.</w:t>
      </w:r>
    </w:p>
    <w:p w:rsidR="00373ABF" w:rsidRDefault="00E0395F" w:rsidP="006875F5">
      <w:r w:rsidRPr="00E0395F">
        <w:t>Physicians</w:t>
      </w:r>
      <w:r w:rsidR="003377B7">
        <w:t xml:space="preserve"> should exercise caution in the use of HALAVEN i</w:t>
      </w:r>
      <w:r w:rsidR="00EC6680" w:rsidRPr="00C972D3">
        <w:t xml:space="preserve">n patients with </w:t>
      </w:r>
      <w:r w:rsidR="003377B7">
        <w:t xml:space="preserve">stage 3-5 chronic kidney disease </w:t>
      </w:r>
      <w:r w:rsidR="003377B7" w:rsidRPr="0004218F">
        <w:t>(</w:t>
      </w:r>
      <w:r w:rsidR="003377B7">
        <w:t>GFR &lt;60</w:t>
      </w:r>
      <w:r w:rsidR="003377B7" w:rsidRPr="0004218F">
        <w:t xml:space="preserve"> </w:t>
      </w:r>
      <w:proofErr w:type="spellStart"/>
      <w:r w:rsidR="003377B7" w:rsidRPr="0004218F">
        <w:t>mL</w:t>
      </w:r>
      <w:proofErr w:type="spellEnd"/>
      <w:r w:rsidR="003377B7" w:rsidRPr="0004218F">
        <w:t>/min</w:t>
      </w:r>
      <w:r w:rsidR="003377B7">
        <w:t>/1.73m</w:t>
      </w:r>
      <w:r w:rsidR="003377B7" w:rsidRPr="00C972D3">
        <w:rPr>
          <w:vertAlign w:val="superscript"/>
        </w:rPr>
        <w:t>2</w:t>
      </w:r>
      <w:r w:rsidR="003377B7" w:rsidRPr="0004218F">
        <w:t>)</w:t>
      </w:r>
      <w:r w:rsidR="003377B7">
        <w:t>.</w:t>
      </w:r>
      <w:r w:rsidR="00EC6680" w:rsidRPr="00C972D3">
        <w:t xml:space="preserve"> </w:t>
      </w:r>
      <w:r w:rsidR="003377B7">
        <w:t xml:space="preserve">Based on limited data, </w:t>
      </w:r>
      <w:r w:rsidR="00EC6680" w:rsidRPr="00C972D3">
        <w:t xml:space="preserve">the </w:t>
      </w:r>
      <w:proofErr w:type="gramStart"/>
      <w:r w:rsidR="00EC6680" w:rsidRPr="00C972D3">
        <w:t>recommended  HALAVEN</w:t>
      </w:r>
      <w:proofErr w:type="gramEnd"/>
      <w:r w:rsidR="00EC6680" w:rsidRPr="00C972D3">
        <w:t xml:space="preserve"> </w:t>
      </w:r>
      <w:r w:rsidR="0095449B" w:rsidRPr="00C972D3">
        <w:t>dose</w:t>
      </w:r>
      <w:r w:rsidR="0095449B">
        <w:rPr>
          <w:rFonts w:eastAsiaTheme="minorEastAsia" w:hint="eastAsia"/>
          <w:lang w:eastAsia="ja-JP"/>
        </w:rPr>
        <w:t xml:space="preserve"> </w:t>
      </w:r>
      <w:r w:rsidR="003377B7">
        <w:t xml:space="preserve">in patients with stage 3 chronic kidney disease (GRF 30-59 </w:t>
      </w:r>
      <w:proofErr w:type="spellStart"/>
      <w:r w:rsidR="003377B7">
        <w:t>mL</w:t>
      </w:r>
      <w:proofErr w:type="spellEnd"/>
      <w:r w:rsidR="003377B7">
        <w:t>/min/1.73m</w:t>
      </w:r>
      <w:r w:rsidRPr="00E0395F">
        <w:rPr>
          <w:vertAlign w:val="superscript"/>
        </w:rPr>
        <w:t>2</w:t>
      </w:r>
      <w:r w:rsidR="003377B7">
        <w:t>)</w:t>
      </w:r>
      <w:r w:rsidR="00D16072">
        <w:t xml:space="preserve"> </w:t>
      </w:r>
      <w:r w:rsidR="00EC6680" w:rsidRPr="00C972D3">
        <w:t xml:space="preserve">is </w:t>
      </w:r>
      <w:r w:rsidR="00EC6680" w:rsidRPr="00C972D3">
        <w:rPr>
          <w:rFonts w:eastAsiaTheme="minorEastAsia"/>
          <w:lang w:eastAsia="ja-JP"/>
        </w:rPr>
        <w:t xml:space="preserve">1.1 </w:t>
      </w:r>
      <w:r w:rsidR="00EC6680" w:rsidRPr="00C972D3">
        <w:t>mg/m</w:t>
      </w:r>
      <w:r w:rsidR="00EC6680" w:rsidRPr="00C972D3">
        <w:rPr>
          <w:position w:val="9"/>
          <w:vertAlign w:val="superscript"/>
        </w:rPr>
        <w:t xml:space="preserve">2 </w:t>
      </w:r>
      <w:r w:rsidR="00EC6680" w:rsidRPr="00C972D3">
        <w:t xml:space="preserve">administered over 2 to 5 minutes on Days 1 and 8 of a 21-day cycle. HALAVEN has not been studied in patients with </w:t>
      </w:r>
      <w:r w:rsidR="003377B7">
        <w:t>stage 4-5 chronic kidney disease</w:t>
      </w:r>
      <w:r w:rsidR="00EC6680" w:rsidRPr="00C972D3">
        <w:t xml:space="preserve"> (</w:t>
      </w:r>
      <w:r w:rsidR="003377B7">
        <w:t>GFR &lt;30</w:t>
      </w:r>
      <w:r w:rsidR="003377B7" w:rsidRPr="0004218F">
        <w:t xml:space="preserve"> </w:t>
      </w:r>
      <w:proofErr w:type="spellStart"/>
      <w:r w:rsidR="003377B7" w:rsidRPr="0004218F">
        <w:t>mL</w:t>
      </w:r>
      <w:proofErr w:type="spellEnd"/>
      <w:r w:rsidR="003377B7" w:rsidRPr="0004218F">
        <w:t>/min</w:t>
      </w:r>
      <w:r w:rsidR="003377B7">
        <w:t>/1.73m</w:t>
      </w:r>
      <w:r w:rsidR="003377B7" w:rsidRPr="00C972D3">
        <w:rPr>
          <w:vertAlign w:val="superscript"/>
        </w:rPr>
        <w:t>2</w:t>
      </w:r>
      <w:r w:rsidR="00EC6680" w:rsidRPr="00C972D3">
        <w:rPr>
          <w:rFonts w:eastAsiaTheme="minorEastAsia"/>
          <w:lang w:eastAsia="ja-JP"/>
        </w:rPr>
        <w:t>)</w:t>
      </w:r>
      <w:r w:rsidR="00D16072">
        <w:rPr>
          <w:rFonts w:eastAsiaTheme="minorEastAsia"/>
          <w:lang w:eastAsia="ja-JP"/>
        </w:rPr>
        <w:t>; therefore, it is not possible to provide dose recommendations for this group</w:t>
      </w:r>
      <w:r w:rsidR="00EC6680" w:rsidRPr="00C972D3">
        <w:t xml:space="preserve"> (See </w:t>
      </w:r>
      <w:r w:rsidR="001017C7" w:rsidRPr="00301BD5">
        <w:t>Pharmacology, Renal Impairment</w:t>
      </w:r>
      <w:r w:rsidR="00EC6680" w:rsidRPr="00C972D3">
        <w:t>).</w:t>
      </w:r>
    </w:p>
    <w:p w:rsidR="00373ABF" w:rsidRPr="008A0486" w:rsidRDefault="006875F5" w:rsidP="006875F5">
      <w:pPr>
        <w:pStyle w:val="Heading5"/>
      </w:pPr>
      <w:r>
        <w:t>Elderly patients</w:t>
      </w:r>
    </w:p>
    <w:p w:rsidR="00373ABF" w:rsidRPr="008A0486" w:rsidRDefault="00373ABF" w:rsidP="006875F5">
      <w:r w:rsidRPr="008A0486">
        <w:t>No specific dose adjustments are recommended based on the age of the</w:t>
      </w:r>
      <w:r w:rsidR="006875F5">
        <w:t xml:space="preserve"> patient (see Adverse Effects).</w:t>
      </w:r>
    </w:p>
    <w:p w:rsidR="00373ABF" w:rsidRPr="008A0486" w:rsidRDefault="006875F5" w:rsidP="006875F5">
      <w:pPr>
        <w:pStyle w:val="Heading5"/>
      </w:pPr>
      <w:r>
        <w:t>Paediatric patient</w:t>
      </w:r>
      <w:r w:rsidR="00373ABF" w:rsidRPr="008A0486">
        <w:t xml:space="preserve"> </w:t>
      </w:r>
    </w:p>
    <w:p w:rsidR="00373ABF" w:rsidRPr="008A0486" w:rsidRDefault="00373ABF" w:rsidP="006875F5">
      <w:r w:rsidRPr="008A0486">
        <w:t>There is no relevant use of HALAVEN in children and adolescents in t</w:t>
      </w:r>
      <w:r w:rsidR="006875F5">
        <w:t>he indication of breast cancer.</w:t>
      </w:r>
    </w:p>
    <w:p w:rsidR="00373ABF" w:rsidRPr="008A0486" w:rsidRDefault="006875F5" w:rsidP="006875F5">
      <w:pPr>
        <w:pStyle w:val="Heading3"/>
      </w:pPr>
      <w:r>
        <w:t>Method of administration</w:t>
      </w:r>
    </w:p>
    <w:p w:rsidR="00373ABF" w:rsidRPr="008A0486" w:rsidRDefault="00EC6680" w:rsidP="006875F5">
      <w:r w:rsidRPr="00C972D3">
        <w:t>HALAVEN is a ready to use solution and may be used undiluted, or</w:t>
      </w:r>
      <w:r w:rsidR="00302EF6">
        <w:rPr>
          <w:color w:val="0000FF"/>
        </w:rPr>
        <w:t xml:space="preserve"> </w:t>
      </w:r>
      <w:r w:rsidR="00302EF6">
        <w:t>t</w:t>
      </w:r>
      <w:r w:rsidR="00373ABF" w:rsidRPr="008A0486">
        <w:t xml:space="preserve">he dose may be diluted in up to 100 </w:t>
      </w:r>
      <w:proofErr w:type="spellStart"/>
      <w:r w:rsidR="00405C52">
        <w:t>mL</w:t>
      </w:r>
      <w:proofErr w:type="spellEnd"/>
      <w:r w:rsidR="00373ABF" w:rsidRPr="008A0486">
        <w:t xml:space="preserve"> of sodium chloride 9 mg/</w:t>
      </w:r>
      <w:proofErr w:type="spellStart"/>
      <w:r w:rsidR="00405C52">
        <w:t>mL</w:t>
      </w:r>
      <w:proofErr w:type="spellEnd"/>
      <w:r w:rsidR="00373ABF" w:rsidRPr="008A0486">
        <w:t xml:space="preserve"> (0.9%) solution for injection. It should not be diluted in glucose 5% infusion solution. Good peripheral venous access, or a patent central line, should be ensured prior to administration. There is no evidence that </w:t>
      </w:r>
      <w:proofErr w:type="spellStart"/>
      <w:r w:rsidR="00373ABF" w:rsidRPr="008A0486">
        <w:t>eribulin</w:t>
      </w:r>
      <w:proofErr w:type="spellEnd"/>
      <w:r w:rsidR="00373ABF" w:rsidRPr="008A0486">
        <w:t xml:space="preserve"> </w:t>
      </w:r>
      <w:proofErr w:type="spellStart"/>
      <w:r w:rsidR="00405C52">
        <w:t>mesilate</w:t>
      </w:r>
      <w:proofErr w:type="spellEnd"/>
      <w:r w:rsidR="00373ABF" w:rsidRPr="008A0486">
        <w:t xml:space="preserve"> is a vesicant or an irritant. In the event of </w:t>
      </w:r>
      <w:proofErr w:type="spellStart"/>
      <w:r w:rsidR="00373ABF" w:rsidRPr="008A0486">
        <w:t>extravasation</w:t>
      </w:r>
      <w:proofErr w:type="spellEnd"/>
      <w:r w:rsidR="00373ABF" w:rsidRPr="008A0486">
        <w:t>, t</w:t>
      </w:r>
      <w:r w:rsidR="006875F5">
        <w:t>reatment should be symptomatic.</w:t>
      </w:r>
    </w:p>
    <w:p w:rsidR="00531326" w:rsidRPr="008A0486" w:rsidRDefault="00531326" w:rsidP="006875F5">
      <w:pPr>
        <w:pStyle w:val="Heading3"/>
      </w:pPr>
      <w:r w:rsidRPr="008A0486">
        <w:lastRenderedPageBreak/>
        <w:t>Special precautions for disposal and other handling</w:t>
      </w:r>
    </w:p>
    <w:p w:rsidR="00531326" w:rsidRPr="008A0486" w:rsidRDefault="00531326" w:rsidP="006875F5">
      <w:r w:rsidRPr="008A0486">
        <w:t xml:space="preserve">HALAVEN is a </w:t>
      </w:r>
      <w:proofErr w:type="spellStart"/>
      <w:r w:rsidRPr="008A0486">
        <w:t>cytotoxic</w:t>
      </w:r>
      <w:proofErr w:type="spellEnd"/>
      <w:r w:rsidRPr="008A0486">
        <w:t xml:space="preserve"> anticancer medicinal product and, as with other toxic compounds, caution should be exercised in its handling. The use of gloves, goggles, and protective clothing is recommended. If the skin comes into contact with the solution it should be washed immediately and thoroughly with soap and water. If it contacts mucous membranes, the membranes should be flushed thoroughly with water.  HALAVEN should only be prepared and administered by personnel appropriately trained in handling of </w:t>
      </w:r>
      <w:proofErr w:type="spellStart"/>
      <w:r w:rsidRPr="008A0486">
        <w:t>cytotoxic</w:t>
      </w:r>
      <w:proofErr w:type="spellEnd"/>
      <w:r w:rsidRPr="008A0486">
        <w:t xml:space="preserve"> agents. Pregnant staff should not handle HALAVEN.</w:t>
      </w:r>
    </w:p>
    <w:p w:rsidR="00531326" w:rsidRPr="008A0486" w:rsidRDefault="00531326" w:rsidP="006875F5">
      <w:r w:rsidRPr="008A0486">
        <w:t xml:space="preserve">Using aseptic technique HALAVEN can be diluted up to 100 </w:t>
      </w:r>
      <w:proofErr w:type="spellStart"/>
      <w:r w:rsidR="00405C52">
        <w:t>mL</w:t>
      </w:r>
      <w:proofErr w:type="spellEnd"/>
      <w:r w:rsidRPr="008A0486">
        <w:t xml:space="preserve"> with sodium chloride 9 mg/</w:t>
      </w:r>
      <w:proofErr w:type="spellStart"/>
      <w:r w:rsidR="00405C52">
        <w:t>mL</w:t>
      </w:r>
      <w:proofErr w:type="spellEnd"/>
      <w:r w:rsidRPr="008A0486">
        <w:t xml:space="preserve"> (0.9%) solution for injection. It must not be mixed with other medicinal products and should not be diluted in glucose 5% infusion solution.</w:t>
      </w:r>
    </w:p>
    <w:p w:rsidR="00531326" w:rsidRPr="008A0486" w:rsidRDefault="00531326" w:rsidP="006875F5">
      <w:r w:rsidRPr="008A0486">
        <w:t>Any unused product or waste material should be disposed of in accor</w:t>
      </w:r>
      <w:r w:rsidR="006875F5">
        <w:t>dance with local requirements.</w:t>
      </w:r>
    </w:p>
    <w:p w:rsidR="00531326" w:rsidRPr="008A0486" w:rsidRDefault="00531326" w:rsidP="006875F5">
      <w:pPr>
        <w:pStyle w:val="Heading2"/>
      </w:pPr>
      <w:r w:rsidRPr="008A0486">
        <w:t>OVERDOSAGE</w:t>
      </w:r>
    </w:p>
    <w:p w:rsidR="00531326" w:rsidRPr="008A0486" w:rsidRDefault="00531326" w:rsidP="006875F5">
      <w:r w:rsidRPr="008A0486">
        <w:t xml:space="preserve">In one case of overdose the patient inadvertently received 8.6 mg of </w:t>
      </w:r>
      <w:proofErr w:type="spellStart"/>
      <w:r w:rsidRPr="008A0486">
        <w:t>eribulin</w:t>
      </w:r>
      <w:proofErr w:type="spellEnd"/>
      <w:r w:rsidRPr="008A0486">
        <w:t xml:space="preserve"> </w:t>
      </w:r>
      <w:proofErr w:type="spellStart"/>
      <w:r w:rsidR="00405C52">
        <w:t>mesilate</w:t>
      </w:r>
      <w:proofErr w:type="spellEnd"/>
      <w:r w:rsidRPr="008A0486">
        <w:t xml:space="preserve"> (approximately 4 times the planned dose) and subsequently developed a hypersensitivity reaction (Grade 3) on Day 3 and </w:t>
      </w:r>
      <w:proofErr w:type="spellStart"/>
      <w:r w:rsidRPr="008A0486">
        <w:t>neutropenia</w:t>
      </w:r>
      <w:proofErr w:type="spellEnd"/>
      <w:r w:rsidRPr="008A0486">
        <w:t xml:space="preserve"> (Grade 3) on Day 7. Both adverse reactions</w:t>
      </w:r>
      <w:r w:rsidR="006875F5">
        <w:t xml:space="preserve"> resolved with supportive care.</w:t>
      </w:r>
    </w:p>
    <w:p w:rsidR="007C4097" w:rsidRDefault="00531326" w:rsidP="006875F5">
      <w:r w:rsidRPr="008A0486">
        <w:t xml:space="preserve">There is no known antidote for </w:t>
      </w:r>
      <w:proofErr w:type="spellStart"/>
      <w:r w:rsidRPr="008A0486">
        <w:t>eribulin</w:t>
      </w:r>
      <w:proofErr w:type="spellEnd"/>
      <w:r w:rsidRPr="008A0486">
        <w:t xml:space="preserve"> overdose. In the event of an overdose, the patient should be closely monitored. Management of overdose should include supportive medical interventions to treat the prese</w:t>
      </w:r>
      <w:r w:rsidR="006875F5">
        <w:t>nting clinical manifestations.</w:t>
      </w:r>
    </w:p>
    <w:p w:rsidR="00531326" w:rsidRPr="008A0486" w:rsidRDefault="008E7C46" w:rsidP="006875F5">
      <w:r w:rsidRPr="0046422B">
        <w:t xml:space="preserve">In the event of </w:t>
      </w:r>
      <w:proofErr w:type="spellStart"/>
      <w:r w:rsidRPr="0046422B">
        <w:t>overdosage</w:t>
      </w:r>
      <w:proofErr w:type="spellEnd"/>
      <w:r w:rsidRPr="0046422B">
        <w:t>, please contact the Poisons Information Centre on 13 11 26.</w:t>
      </w:r>
    </w:p>
    <w:p w:rsidR="00531326" w:rsidRPr="008A0486" w:rsidRDefault="00531326" w:rsidP="006875F5">
      <w:pPr>
        <w:pStyle w:val="Heading2"/>
      </w:pPr>
      <w:r w:rsidRPr="008A0486">
        <w:t>PRESENTATION AND STORAGE CONDITIONS</w:t>
      </w:r>
    </w:p>
    <w:p w:rsidR="00531326" w:rsidRPr="008A0486" w:rsidRDefault="00531326" w:rsidP="006875F5">
      <w:pPr>
        <w:pStyle w:val="Heading3"/>
      </w:pPr>
      <w:r w:rsidRPr="008A0486">
        <w:t>Presentations</w:t>
      </w:r>
    </w:p>
    <w:p w:rsidR="00531326" w:rsidRPr="008A0486" w:rsidRDefault="0023191A" w:rsidP="006875F5">
      <w:r w:rsidRPr="008A0486">
        <w:t>H</w:t>
      </w:r>
      <w:r>
        <w:t>ALAVEN</w:t>
      </w:r>
      <w:r w:rsidRPr="008A0486">
        <w:t xml:space="preserve"> is a clear, colourless aqueous solution for injection. H</w:t>
      </w:r>
      <w:r>
        <w:t>ALAVEN</w:t>
      </w:r>
      <w:r w:rsidRPr="008A0486">
        <w:t xml:space="preserve"> contains </w:t>
      </w:r>
      <w:proofErr w:type="spellStart"/>
      <w:r w:rsidRPr="008A0486">
        <w:t>eribulin</w:t>
      </w:r>
      <w:proofErr w:type="spellEnd"/>
      <w:r w:rsidRPr="008A0486">
        <w:t xml:space="preserve"> </w:t>
      </w:r>
      <w:proofErr w:type="spellStart"/>
      <w:r>
        <w:t>mesilate</w:t>
      </w:r>
      <w:proofErr w:type="spellEnd"/>
      <w:r w:rsidRPr="008A0486">
        <w:t xml:space="preserve"> 1 mg in 2 </w:t>
      </w:r>
      <w:proofErr w:type="spellStart"/>
      <w:r>
        <w:t>mL</w:t>
      </w:r>
      <w:proofErr w:type="spellEnd"/>
      <w:r w:rsidRPr="008A0486">
        <w:t xml:space="preserve"> </w:t>
      </w:r>
      <w:r>
        <w:t xml:space="preserve">(equivalent to </w:t>
      </w:r>
      <w:proofErr w:type="spellStart"/>
      <w:r w:rsidRPr="0046422B">
        <w:t>eribulin</w:t>
      </w:r>
      <w:proofErr w:type="spellEnd"/>
      <w:r w:rsidRPr="0046422B">
        <w:t xml:space="preserve"> </w:t>
      </w:r>
      <w:r w:rsidR="00EC6680" w:rsidRPr="00C972D3">
        <w:rPr>
          <w:rFonts w:eastAsiaTheme="minorEastAsia"/>
          <w:lang w:eastAsia="ja-JP"/>
        </w:rPr>
        <w:t>free base</w:t>
      </w:r>
      <w:r w:rsidR="00BD7682">
        <w:rPr>
          <w:rFonts w:eastAsiaTheme="minorEastAsia" w:hint="eastAsia"/>
          <w:lang w:eastAsia="ja-JP"/>
        </w:rPr>
        <w:t xml:space="preserve"> </w:t>
      </w:r>
      <w:r>
        <w:t xml:space="preserve">0.88 mg in 2 </w:t>
      </w:r>
      <w:proofErr w:type="spellStart"/>
      <w:r>
        <w:t>mL</w:t>
      </w:r>
      <w:proofErr w:type="spellEnd"/>
      <w:r>
        <w:t xml:space="preserve">) </w:t>
      </w:r>
      <w:r w:rsidRPr="008A0486">
        <w:t xml:space="preserve">as the active ingredient </w:t>
      </w:r>
      <w:r>
        <w:t>in</w:t>
      </w:r>
      <w:r w:rsidR="00531326" w:rsidRPr="008A0486">
        <w:t xml:space="preserve"> </w:t>
      </w:r>
      <w:r>
        <w:t xml:space="preserve">a </w:t>
      </w:r>
      <w:r w:rsidR="00531326" w:rsidRPr="008A0486">
        <w:t xml:space="preserve">type I glass vial, with </w:t>
      </w:r>
      <w:proofErr w:type="spellStart"/>
      <w:r w:rsidR="00531326" w:rsidRPr="008A0486">
        <w:t>teflon</w:t>
      </w:r>
      <w:proofErr w:type="spellEnd"/>
      <w:r w:rsidR="00531326" w:rsidRPr="008A0486">
        <w:t>-coated, butyl rubber stopper and flip-off aluminium over seal</w:t>
      </w:r>
      <w:r>
        <w:t>.</w:t>
      </w:r>
      <w:r w:rsidR="00531326" w:rsidRPr="008A0486">
        <w:t xml:space="preserve"> The pack sizes are cartons of 1 or 6 vials. Not all pack sizes may be marketed. </w:t>
      </w:r>
      <w:r w:rsidR="008A0486">
        <w:t xml:space="preserve"> </w:t>
      </w:r>
      <w:r w:rsidR="008A0486" w:rsidRPr="0021647B">
        <w:t>(</w:t>
      </w:r>
      <w:r w:rsidR="00EC6680" w:rsidRPr="00C972D3">
        <w:t xml:space="preserve">AUST R </w:t>
      </w:r>
      <w:r w:rsidR="00C23AB3">
        <w:t>187136</w:t>
      </w:r>
      <w:r w:rsidR="00EC6680" w:rsidRPr="00C972D3">
        <w:t>)</w:t>
      </w:r>
    </w:p>
    <w:p w:rsidR="00531326" w:rsidRPr="008A0486" w:rsidRDefault="00531326" w:rsidP="006875F5">
      <w:pPr>
        <w:pStyle w:val="Heading3"/>
      </w:pPr>
      <w:r w:rsidRPr="008A0486">
        <w:t>Storage</w:t>
      </w:r>
    </w:p>
    <w:p w:rsidR="00531326" w:rsidRPr="008A0486" w:rsidRDefault="00531326" w:rsidP="006875F5">
      <w:r w:rsidRPr="0012784C">
        <w:t>Store below</w:t>
      </w:r>
      <w:r w:rsidR="0012784C" w:rsidRPr="0012784C">
        <w:t xml:space="preserve"> 25ºC</w:t>
      </w:r>
      <w:r w:rsidR="0012784C">
        <w:t>.</w:t>
      </w:r>
    </w:p>
    <w:p w:rsidR="0012784C" w:rsidRPr="0012784C" w:rsidRDefault="0012784C" w:rsidP="006875F5">
      <w:pPr>
        <w:pStyle w:val="Heading3"/>
      </w:pPr>
      <w:r>
        <w:lastRenderedPageBreak/>
        <w:t>In use storage</w:t>
      </w:r>
    </w:p>
    <w:p w:rsidR="00531326" w:rsidRPr="008A0486" w:rsidRDefault="00531326" w:rsidP="006875F5">
      <w:r w:rsidRPr="008A0486">
        <w:t>From a microbiological point of view unless the method of opening precludes the risk of microbial contamination the product should be used immediately. If not used immediately, in-use storage times and conditions are t</w:t>
      </w:r>
      <w:r w:rsidR="006875F5">
        <w:t>he responsibility of the user.</w:t>
      </w:r>
    </w:p>
    <w:p w:rsidR="00531326" w:rsidRPr="008A0486" w:rsidRDefault="00531326" w:rsidP="006875F5">
      <w:r w:rsidRPr="008A0486">
        <w:t>If not used immediately HALAVEN as the undiluted solution in a syringe should not normally be stored longer than 4 hours at 25°C and ambient ligh</w:t>
      </w:r>
      <w:r w:rsidR="006875F5">
        <w:t>ting, or 24 hours at 2°C - 8°C.</w:t>
      </w:r>
    </w:p>
    <w:p w:rsidR="00531326" w:rsidRDefault="00531326" w:rsidP="006875F5">
      <w:r w:rsidRPr="008A0486">
        <w:t>Diluted solutions of HALAVEN (0.</w:t>
      </w:r>
      <w:r w:rsidR="00DC7641">
        <w:rPr>
          <w:rFonts w:eastAsiaTheme="minorEastAsia" w:hint="eastAsia"/>
          <w:lang w:eastAsia="ja-JP"/>
        </w:rPr>
        <w:t>02</w:t>
      </w:r>
      <w:r w:rsidR="00DC7641" w:rsidRPr="008A0486">
        <w:t xml:space="preserve"> </w:t>
      </w:r>
      <w:r w:rsidRPr="008A0486">
        <w:t>mg/</w:t>
      </w:r>
      <w:proofErr w:type="spellStart"/>
      <w:r w:rsidR="00405C52">
        <w:t>mL</w:t>
      </w:r>
      <w:proofErr w:type="spellEnd"/>
      <w:r w:rsidRPr="008A0486">
        <w:t xml:space="preserve"> to 0.</w:t>
      </w:r>
      <w:r w:rsidR="00DC7641">
        <w:rPr>
          <w:rFonts w:eastAsiaTheme="minorEastAsia" w:hint="eastAsia"/>
          <w:lang w:eastAsia="ja-JP"/>
        </w:rPr>
        <w:t>2</w:t>
      </w:r>
      <w:r w:rsidRPr="008A0486">
        <w:t>mg/</w:t>
      </w:r>
      <w:proofErr w:type="spellStart"/>
      <w:r w:rsidR="00405C52">
        <w:t>mL</w:t>
      </w:r>
      <w:proofErr w:type="spellEnd"/>
      <w:r w:rsidRPr="008A0486">
        <w:t xml:space="preserve"> in sodium chloride 9 mg/</w:t>
      </w:r>
      <w:proofErr w:type="spellStart"/>
      <w:r w:rsidR="00405C52">
        <w:t>mL</w:t>
      </w:r>
      <w:proofErr w:type="spellEnd"/>
      <w:r w:rsidRPr="008A0486">
        <w:t xml:space="preserve"> (0.9%)) solution for injection should not be stored longer than 24 hours at 2°C - 8°C</w:t>
      </w:r>
      <w:r w:rsidR="006875F5">
        <w:t>.</w:t>
      </w:r>
    </w:p>
    <w:p w:rsidR="00B84008" w:rsidRDefault="006D2DC8" w:rsidP="006875F5">
      <w:r>
        <w:t>The product is for single use in one patient only. Discard any unused residue.</w:t>
      </w:r>
      <w:bookmarkStart w:id="0" w:name="_GoBack"/>
      <w:bookmarkEnd w:id="0"/>
    </w:p>
    <w:p w:rsidR="00531326" w:rsidRPr="006875F5" w:rsidRDefault="00531326" w:rsidP="006875F5">
      <w:pPr>
        <w:pStyle w:val="Heading2"/>
      </w:pPr>
      <w:r w:rsidRPr="006875F5">
        <w:t>name and address of the sponsor</w:t>
      </w:r>
    </w:p>
    <w:p w:rsidR="008A0486" w:rsidRDefault="008A0486" w:rsidP="006875F5">
      <w:pPr>
        <w:rPr>
          <w:rFonts w:eastAsia="Calibri"/>
          <w:lang w:val="en-US" w:eastAsia="en-US"/>
        </w:rPr>
      </w:pPr>
      <w:r w:rsidRPr="00924FB6">
        <w:t>Eisai Australia Pty Ltd</w:t>
      </w:r>
      <w:r w:rsidR="006875F5">
        <w:br/>
      </w:r>
      <w:r w:rsidR="006D2DC8">
        <w:rPr>
          <w:rFonts w:eastAsia="Calibri"/>
          <w:lang w:val="en-US" w:eastAsia="en-US"/>
        </w:rPr>
        <w:t>288-292 Churchill Avenue</w:t>
      </w:r>
      <w:r w:rsidR="006875F5">
        <w:rPr>
          <w:rFonts w:eastAsia="Calibri"/>
          <w:lang w:val="en-US" w:eastAsia="en-US"/>
        </w:rPr>
        <w:br/>
      </w:r>
      <w:proofErr w:type="gramStart"/>
      <w:r w:rsidR="006D2DC8">
        <w:rPr>
          <w:rFonts w:eastAsia="Calibri"/>
          <w:lang w:val="en-US" w:eastAsia="en-US"/>
        </w:rPr>
        <w:t>SUBIACO</w:t>
      </w:r>
      <w:r w:rsidR="006875F5">
        <w:rPr>
          <w:rFonts w:eastAsia="Calibri"/>
          <w:lang w:val="en-US" w:eastAsia="en-US"/>
        </w:rPr>
        <w:t xml:space="preserve">  </w:t>
      </w:r>
      <w:r w:rsidR="00924FB6" w:rsidRPr="00924FB6">
        <w:rPr>
          <w:rFonts w:eastAsia="Calibri"/>
          <w:lang w:val="en-US" w:eastAsia="en-US"/>
        </w:rPr>
        <w:t>WA</w:t>
      </w:r>
      <w:proofErr w:type="gramEnd"/>
      <w:r w:rsidR="00924FB6" w:rsidRPr="00924FB6">
        <w:rPr>
          <w:rFonts w:eastAsia="Calibri"/>
          <w:lang w:val="en-US" w:eastAsia="en-US"/>
        </w:rPr>
        <w:t xml:space="preserve">  </w:t>
      </w:r>
      <w:r w:rsidR="006D2DC8">
        <w:rPr>
          <w:rFonts w:eastAsia="Calibri"/>
          <w:lang w:val="en-US" w:eastAsia="en-US"/>
        </w:rPr>
        <w:t>6008</w:t>
      </w:r>
    </w:p>
    <w:p w:rsidR="008A0486" w:rsidRPr="008A0486" w:rsidRDefault="008A0486" w:rsidP="006875F5">
      <w:pPr>
        <w:pStyle w:val="Heading2"/>
      </w:pPr>
      <w:r w:rsidRPr="008A0486">
        <w:t>POISON SCHEDULE OF THE MEDICINE</w:t>
      </w:r>
    </w:p>
    <w:p w:rsidR="008A0486" w:rsidRPr="008A0486" w:rsidRDefault="008A0486" w:rsidP="006875F5">
      <w:r w:rsidRPr="008A0486">
        <w:t>S4</w:t>
      </w:r>
    </w:p>
    <w:p w:rsidR="00111F4E" w:rsidRPr="00111F4E" w:rsidRDefault="00111F4E" w:rsidP="006875F5">
      <w:pPr>
        <w:pStyle w:val="Heading2"/>
        <w:jc w:val="left"/>
      </w:pPr>
      <w:r w:rsidRPr="00111F4E">
        <w:t>DATE OF FIRST INCLUSION IN THE AUSTRALIAN REGISTER OF THERAPEUTIC GOODS (THE ARTG)</w:t>
      </w:r>
    </w:p>
    <w:p w:rsidR="008A0486" w:rsidRPr="008A0486" w:rsidRDefault="006875F5" w:rsidP="006875F5">
      <w:r>
        <w:t>30 August 2012</w:t>
      </w:r>
    </w:p>
    <w:sectPr w:rsidR="008A0486" w:rsidRPr="008A0486" w:rsidSect="008A782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985" w:rsidRDefault="00CD5985" w:rsidP="00480EF2">
      <w:r>
        <w:separator/>
      </w:r>
    </w:p>
  </w:endnote>
  <w:endnote w:type="continuationSeparator" w:id="0">
    <w:p w:rsidR="00CD5985" w:rsidRDefault="00CD5985" w:rsidP="00480E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344" w:rsidRDefault="00826344">
    <w:pPr>
      <w:pStyle w:val="Footer"/>
      <w:rPr>
        <w:color w:val="auto"/>
      </w:rPr>
    </w:pPr>
    <w:r w:rsidRPr="00480EF2">
      <w:rPr>
        <w:b/>
        <w:color w:val="auto"/>
        <w:sz w:val="16"/>
        <w:szCs w:val="16"/>
      </w:rPr>
      <w:t>HALAVEN</w:t>
    </w:r>
    <w:r>
      <w:rPr>
        <w:color w:val="auto"/>
      </w:rPr>
      <w:tab/>
    </w:r>
    <w:r w:rsidR="00BA0F60" w:rsidRPr="00480EF2">
      <w:rPr>
        <w:color w:val="auto"/>
      </w:rPr>
      <w:fldChar w:fldCharType="begin"/>
    </w:r>
    <w:r w:rsidRPr="00480EF2">
      <w:rPr>
        <w:color w:val="auto"/>
      </w:rPr>
      <w:instrText xml:space="preserve"> PAGE   \* MERGEFORMAT </w:instrText>
    </w:r>
    <w:r w:rsidR="00BA0F60" w:rsidRPr="00480EF2">
      <w:rPr>
        <w:color w:val="auto"/>
      </w:rPr>
      <w:fldChar w:fldCharType="separate"/>
    </w:r>
    <w:r w:rsidR="001A26AB">
      <w:rPr>
        <w:noProof/>
        <w:color w:val="auto"/>
      </w:rPr>
      <w:t>11</w:t>
    </w:r>
    <w:r w:rsidR="00BA0F60" w:rsidRPr="00480EF2">
      <w:rPr>
        <w:color w:val="auto"/>
      </w:rPr>
      <w:fldChar w:fldCharType="end"/>
    </w:r>
  </w:p>
  <w:p w:rsidR="00826344" w:rsidRPr="00480EF2" w:rsidRDefault="00652A0C">
    <w:pPr>
      <w:pStyle w:val="Footer"/>
      <w:rPr>
        <w:b/>
        <w:sz w:val="16"/>
        <w:szCs w:val="16"/>
      </w:rPr>
    </w:pPr>
    <w:r>
      <w:rPr>
        <w:b/>
        <w:color w:val="auto"/>
        <w:sz w:val="16"/>
        <w:szCs w:val="16"/>
      </w:rPr>
      <w:t>Eisai Australia Pty Ltd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985" w:rsidRDefault="00CD5985" w:rsidP="00480EF2">
      <w:r>
        <w:separator/>
      </w:r>
    </w:p>
  </w:footnote>
  <w:footnote w:type="continuationSeparator" w:id="0">
    <w:p w:rsidR="00CD5985" w:rsidRDefault="00CD5985" w:rsidP="00480E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344" w:rsidRDefault="00826344" w:rsidP="00826344">
    <w:pPr>
      <w:pStyle w:val="Header"/>
      <w:pBdr>
        <w:top w:val="single" w:sz="4" w:space="1" w:color="auto"/>
        <w:left w:val="single" w:sz="4" w:space="4" w:color="auto"/>
        <w:bottom w:val="single" w:sz="4" w:space="1" w:color="auto"/>
        <w:right w:val="single" w:sz="4" w:space="4" w:color="auto"/>
      </w:pBdr>
      <w:shd w:val="clear" w:color="auto" w:fill="E4F2E0"/>
    </w:pPr>
    <w:r w:rsidRPr="00D361CA">
      <w:rPr>
        <w:b/>
        <w:sz w:val="20"/>
      </w:rPr>
      <w:t xml:space="preserve">Attachment 1: Product information for </w:t>
    </w:r>
    <w:proofErr w:type="spellStart"/>
    <w:r w:rsidRPr="00826344">
      <w:rPr>
        <w:b/>
        <w:sz w:val="20"/>
      </w:rPr>
      <w:t>AusPAR</w:t>
    </w:r>
    <w:proofErr w:type="spellEnd"/>
    <w:r w:rsidRPr="00826344">
      <w:rPr>
        <w:b/>
        <w:sz w:val="20"/>
      </w:rPr>
      <w:t xml:space="preserve"> </w:t>
    </w:r>
    <w:proofErr w:type="spellStart"/>
    <w:r w:rsidRPr="00826344">
      <w:rPr>
        <w:b/>
        <w:sz w:val="20"/>
      </w:rPr>
      <w:t>Halaven</w:t>
    </w:r>
    <w:proofErr w:type="spellEnd"/>
    <w:r w:rsidRPr="00826344">
      <w:rPr>
        <w:b/>
        <w:sz w:val="20"/>
      </w:rPr>
      <w:t xml:space="preserve"> </w:t>
    </w:r>
    <w:proofErr w:type="spellStart"/>
    <w:r w:rsidRPr="00826344">
      <w:rPr>
        <w:b/>
        <w:sz w:val="20"/>
      </w:rPr>
      <w:t>Eribulin</w:t>
    </w:r>
    <w:proofErr w:type="spellEnd"/>
    <w:r w:rsidRPr="00826344">
      <w:rPr>
        <w:b/>
        <w:sz w:val="20"/>
      </w:rPr>
      <w:t xml:space="preserve"> </w:t>
    </w:r>
    <w:proofErr w:type="spellStart"/>
    <w:r w:rsidRPr="00826344">
      <w:rPr>
        <w:b/>
        <w:sz w:val="20"/>
      </w:rPr>
      <w:t>mesilate</w:t>
    </w:r>
    <w:proofErr w:type="spellEnd"/>
    <w:r w:rsidRPr="00826344">
      <w:rPr>
        <w:b/>
        <w:sz w:val="20"/>
      </w:rPr>
      <w:t xml:space="preserve"> Eisai Australia Pty Ltd PM-2011-01624-3-4</w:t>
    </w:r>
    <w:r>
      <w:rPr>
        <w:b/>
        <w:sz w:val="20"/>
      </w:rPr>
      <w:t>, d</w:t>
    </w:r>
    <w:r w:rsidRPr="00826344">
      <w:rPr>
        <w:b/>
        <w:sz w:val="20"/>
      </w:rPr>
      <w:t xml:space="preserve">ate of finalisation: 17 May 2013. </w:t>
    </w:r>
    <w:r w:rsidRPr="00D361CA">
      <w:rPr>
        <w:b/>
        <w:sz w:val="20"/>
      </w:rPr>
      <w:t xml:space="preserve">This Product Information was approved at the time this </w:t>
    </w:r>
    <w:proofErr w:type="spellStart"/>
    <w:r w:rsidRPr="00D361CA">
      <w:rPr>
        <w:b/>
        <w:sz w:val="20"/>
      </w:rPr>
      <w:t>AusPAR</w:t>
    </w:r>
    <w:proofErr w:type="spellEnd"/>
    <w:r w:rsidRPr="00D361CA">
      <w:rPr>
        <w:b/>
        <w:sz w:val="20"/>
      </w:rPr>
      <w:t xml:space="preserve"> was published.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66202"/>
    <w:multiLevelType w:val="hybridMultilevel"/>
    <w:tmpl w:val="86D05392"/>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
    <w:nsid w:val="1FBD4673"/>
    <w:multiLevelType w:val="hybridMultilevel"/>
    <w:tmpl w:val="19867D4E"/>
    <w:lvl w:ilvl="0" w:tplc="C712B752">
      <w:start w:val="1"/>
      <w:numFmt w:val="bullet"/>
      <w:pStyle w:val="Bullet"/>
      <w:lvlText w:val=""/>
      <w:lvlJc w:val="left"/>
      <w:pPr>
        <w:tabs>
          <w:tab w:val="num" w:pos="1908"/>
        </w:tabs>
        <w:ind w:left="19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4"/>
  <w:bordersDoNotSurroundHeader/>
  <w:bordersDoNotSurroundFooter/>
  <w:proofState w:spelling="clean" w:grammar="clean"/>
  <w:defaultTabStop w:val="720"/>
  <w:characterSpacingControl w:val="doNotCompress"/>
  <w:hdrShapeDefaults>
    <o:shapedefaults v:ext="edit" spidmax="53249">
      <v:textbox inset="5.85pt,.7pt,5.85pt,.7pt"/>
    </o:shapedefaults>
  </w:hdrShapeDefaults>
  <w:footnotePr>
    <w:footnote w:id="-1"/>
    <w:footnote w:id="0"/>
  </w:footnotePr>
  <w:endnotePr>
    <w:endnote w:id="-1"/>
    <w:endnote w:id="0"/>
  </w:endnotePr>
  <w:compat>
    <w:useFELayout/>
  </w:compat>
  <w:rsids>
    <w:rsidRoot w:val="006F7924"/>
    <w:rsid w:val="00031E55"/>
    <w:rsid w:val="0004218F"/>
    <w:rsid w:val="000503C2"/>
    <w:rsid w:val="00050794"/>
    <w:rsid w:val="00056F6E"/>
    <w:rsid w:val="000715D8"/>
    <w:rsid w:val="000B0308"/>
    <w:rsid w:val="000C37FE"/>
    <w:rsid w:val="000C6A7A"/>
    <w:rsid w:val="000F3102"/>
    <w:rsid w:val="000F58CC"/>
    <w:rsid w:val="000F7676"/>
    <w:rsid w:val="001017C7"/>
    <w:rsid w:val="00101CB5"/>
    <w:rsid w:val="00111F4E"/>
    <w:rsid w:val="0012784C"/>
    <w:rsid w:val="0018348A"/>
    <w:rsid w:val="00196E92"/>
    <w:rsid w:val="001A05F4"/>
    <w:rsid w:val="001A1135"/>
    <w:rsid w:val="001A26AB"/>
    <w:rsid w:val="001B5B57"/>
    <w:rsid w:val="002065FE"/>
    <w:rsid w:val="0021461A"/>
    <w:rsid w:val="0021622D"/>
    <w:rsid w:val="0021647B"/>
    <w:rsid w:val="0022608D"/>
    <w:rsid w:val="002318F4"/>
    <w:rsid w:val="0023191A"/>
    <w:rsid w:val="00233371"/>
    <w:rsid w:val="00250354"/>
    <w:rsid w:val="00257D09"/>
    <w:rsid w:val="00271F78"/>
    <w:rsid w:val="00280F93"/>
    <w:rsid w:val="00291A97"/>
    <w:rsid w:val="002A7ED7"/>
    <w:rsid w:val="002B3BCB"/>
    <w:rsid w:val="002B417A"/>
    <w:rsid w:val="002E481A"/>
    <w:rsid w:val="002E69AB"/>
    <w:rsid w:val="00301BD5"/>
    <w:rsid w:val="00302EF6"/>
    <w:rsid w:val="00313AC7"/>
    <w:rsid w:val="0031611B"/>
    <w:rsid w:val="00325502"/>
    <w:rsid w:val="00332904"/>
    <w:rsid w:val="00336583"/>
    <w:rsid w:val="003377B7"/>
    <w:rsid w:val="00345733"/>
    <w:rsid w:val="0036731B"/>
    <w:rsid w:val="00373ABF"/>
    <w:rsid w:val="00381B8E"/>
    <w:rsid w:val="00385143"/>
    <w:rsid w:val="003867A5"/>
    <w:rsid w:val="00390DCA"/>
    <w:rsid w:val="00391248"/>
    <w:rsid w:val="003936AA"/>
    <w:rsid w:val="003C1772"/>
    <w:rsid w:val="003C2E83"/>
    <w:rsid w:val="003C3429"/>
    <w:rsid w:val="003C6343"/>
    <w:rsid w:val="003D63D0"/>
    <w:rsid w:val="00402AC3"/>
    <w:rsid w:val="00405C52"/>
    <w:rsid w:val="004477AF"/>
    <w:rsid w:val="00454865"/>
    <w:rsid w:val="004619E2"/>
    <w:rsid w:val="00462DD1"/>
    <w:rsid w:val="004636CB"/>
    <w:rsid w:val="0046422B"/>
    <w:rsid w:val="00480EF2"/>
    <w:rsid w:val="00484484"/>
    <w:rsid w:val="004903B5"/>
    <w:rsid w:val="00490533"/>
    <w:rsid w:val="004914A4"/>
    <w:rsid w:val="00491E64"/>
    <w:rsid w:val="004A0D83"/>
    <w:rsid w:val="004A5E71"/>
    <w:rsid w:val="004B0F72"/>
    <w:rsid w:val="004B2774"/>
    <w:rsid w:val="004C5EED"/>
    <w:rsid w:val="004C7C93"/>
    <w:rsid w:val="004F02AB"/>
    <w:rsid w:val="004F07A0"/>
    <w:rsid w:val="005045BD"/>
    <w:rsid w:val="00526621"/>
    <w:rsid w:val="00527159"/>
    <w:rsid w:val="00531326"/>
    <w:rsid w:val="00533190"/>
    <w:rsid w:val="00543158"/>
    <w:rsid w:val="00543F4D"/>
    <w:rsid w:val="00544573"/>
    <w:rsid w:val="005473FD"/>
    <w:rsid w:val="00565539"/>
    <w:rsid w:val="00570416"/>
    <w:rsid w:val="00571FC5"/>
    <w:rsid w:val="00572910"/>
    <w:rsid w:val="005749AF"/>
    <w:rsid w:val="00574BB5"/>
    <w:rsid w:val="0057607C"/>
    <w:rsid w:val="005869DF"/>
    <w:rsid w:val="00592CFE"/>
    <w:rsid w:val="005940A2"/>
    <w:rsid w:val="00596F1B"/>
    <w:rsid w:val="005C6C57"/>
    <w:rsid w:val="005E0A10"/>
    <w:rsid w:val="005E3B1B"/>
    <w:rsid w:val="00602EBC"/>
    <w:rsid w:val="00612ACE"/>
    <w:rsid w:val="00626B28"/>
    <w:rsid w:val="00631CAA"/>
    <w:rsid w:val="00652A0C"/>
    <w:rsid w:val="00656CF3"/>
    <w:rsid w:val="0068218D"/>
    <w:rsid w:val="006875F5"/>
    <w:rsid w:val="0068783D"/>
    <w:rsid w:val="00691C8E"/>
    <w:rsid w:val="006944BA"/>
    <w:rsid w:val="00694C88"/>
    <w:rsid w:val="006B0C7B"/>
    <w:rsid w:val="006B7B1A"/>
    <w:rsid w:val="006D2DC8"/>
    <w:rsid w:val="006F2814"/>
    <w:rsid w:val="006F76DE"/>
    <w:rsid w:val="006F7924"/>
    <w:rsid w:val="007034E2"/>
    <w:rsid w:val="00712EE7"/>
    <w:rsid w:val="00726DE2"/>
    <w:rsid w:val="007405E8"/>
    <w:rsid w:val="00750AEB"/>
    <w:rsid w:val="007543E1"/>
    <w:rsid w:val="00760F0C"/>
    <w:rsid w:val="0078002B"/>
    <w:rsid w:val="007B05FD"/>
    <w:rsid w:val="007B3306"/>
    <w:rsid w:val="007C3188"/>
    <w:rsid w:val="007C4097"/>
    <w:rsid w:val="007C6685"/>
    <w:rsid w:val="007D117E"/>
    <w:rsid w:val="007D3B4D"/>
    <w:rsid w:val="00813B59"/>
    <w:rsid w:val="00821882"/>
    <w:rsid w:val="00826344"/>
    <w:rsid w:val="00844F5A"/>
    <w:rsid w:val="00846DB2"/>
    <w:rsid w:val="008A0486"/>
    <w:rsid w:val="008A3902"/>
    <w:rsid w:val="008A782B"/>
    <w:rsid w:val="008E7C46"/>
    <w:rsid w:val="0092110D"/>
    <w:rsid w:val="00924FB6"/>
    <w:rsid w:val="00931C79"/>
    <w:rsid w:val="00934E9E"/>
    <w:rsid w:val="009430B8"/>
    <w:rsid w:val="0095092A"/>
    <w:rsid w:val="0095449B"/>
    <w:rsid w:val="00956BC9"/>
    <w:rsid w:val="009A1148"/>
    <w:rsid w:val="009C7FBB"/>
    <w:rsid w:val="009D0F9B"/>
    <w:rsid w:val="009D4E50"/>
    <w:rsid w:val="009F0CBA"/>
    <w:rsid w:val="009F7581"/>
    <w:rsid w:val="00A04277"/>
    <w:rsid w:val="00A169AE"/>
    <w:rsid w:val="00A22FF7"/>
    <w:rsid w:val="00A31CBE"/>
    <w:rsid w:val="00A330B9"/>
    <w:rsid w:val="00A3411A"/>
    <w:rsid w:val="00A5747F"/>
    <w:rsid w:val="00A621A8"/>
    <w:rsid w:val="00A62E85"/>
    <w:rsid w:val="00A64375"/>
    <w:rsid w:val="00A93CC1"/>
    <w:rsid w:val="00AA4824"/>
    <w:rsid w:val="00AA7162"/>
    <w:rsid w:val="00AB6568"/>
    <w:rsid w:val="00AD0523"/>
    <w:rsid w:val="00AD408B"/>
    <w:rsid w:val="00AF0E18"/>
    <w:rsid w:val="00B07CA1"/>
    <w:rsid w:val="00B11285"/>
    <w:rsid w:val="00B124E8"/>
    <w:rsid w:val="00B12BA6"/>
    <w:rsid w:val="00B227C3"/>
    <w:rsid w:val="00B53E4D"/>
    <w:rsid w:val="00B64BD2"/>
    <w:rsid w:val="00B66F98"/>
    <w:rsid w:val="00B74185"/>
    <w:rsid w:val="00B84008"/>
    <w:rsid w:val="00B914DB"/>
    <w:rsid w:val="00B93D4E"/>
    <w:rsid w:val="00B943F6"/>
    <w:rsid w:val="00BA0F60"/>
    <w:rsid w:val="00BC2274"/>
    <w:rsid w:val="00BC6E64"/>
    <w:rsid w:val="00BD7682"/>
    <w:rsid w:val="00BE73B7"/>
    <w:rsid w:val="00BF2FF9"/>
    <w:rsid w:val="00BF7503"/>
    <w:rsid w:val="00C02C27"/>
    <w:rsid w:val="00C10560"/>
    <w:rsid w:val="00C23AB3"/>
    <w:rsid w:val="00C450A4"/>
    <w:rsid w:val="00C6529D"/>
    <w:rsid w:val="00C654A9"/>
    <w:rsid w:val="00C76AFD"/>
    <w:rsid w:val="00C91E46"/>
    <w:rsid w:val="00C972D3"/>
    <w:rsid w:val="00CA13CC"/>
    <w:rsid w:val="00CA19E5"/>
    <w:rsid w:val="00CA3A42"/>
    <w:rsid w:val="00CB03D3"/>
    <w:rsid w:val="00CB6078"/>
    <w:rsid w:val="00CD2186"/>
    <w:rsid w:val="00CD5985"/>
    <w:rsid w:val="00CD74EE"/>
    <w:rsid w:val="00CE1358"/>
    <w:rsid w:val="00CE4328"/>
    <w:rsid w:val="00D03451"/>
    <w:rsid w:val="00D1330A"/>
    <w:rsid w:val="00D145D8"/>
    <w:rsid w:val="00D16072"/>
    <w:rsid w:val="00D20805"/>
    <w:rsid w:val="00D461E3"/>
    <w:rsid w:val="00D467BE"/>
    <w:rsid w:val="00D54175"/>
    <w:rsid w:val="00D6224C"/>
    <w:rsid w:val="00D63251"/>
    <w:rsid w:val="00D842E8"/>
    <w:rsid w:val="00D90209"/>
    <w:rsid w:val="00DB5891"/>
    <w:rsid w:val="00DC7641"/>
    <w:rsid w:val="00DD469A"/>
    <w:rsid w:val="00DE00DF"/>
    <w:rsid w:val="00DF07A8"/>
    <w:rsid w:val="00DF732A"/>
    <w:rsid w:val="00E0395F"/>
    <w:rsid w:val="00E27738"/>
    <w:rsid w:val="00E51596"/>
    <w:rsid w:val="00E630FD"/>
    <w:rsid w:val="00E70798"/>
    <w:rsid w:val="00E773D6"/>
    <w:rsid w:val="00E86A5A"/>
    <w:rsid w:val="00EA551E"/>
    <w:rsid w:val="00EB2729"/>
    <w:rsid w:val="00EC038D"/>
    <w:rsid w:val="00EC0426"/>
    <w:rsid w:val="00EC4608"/>
    <w:rsid w:val="00EC53C7"/>
    <w:rsid w:val="00EC6680"/>
    <w:rsid w:val="00F22814"/>
    <w:rsid w:val="00F2566D"/>
    <w:rsid w:val="00F40AB7"/>
    <w:rsid w:val="00F42E39"/>
    <w:rsid w:val="00F432A7"/>
    <w:rsid w:val="00F43BBE"/>
    <w:rsid w:val="00F745FF"/>
    <w:rsid w:val="00F8182F"/>
    <w:rsid w:val="00F876A9"/>
    <w:rsid w:val="00FB2B0E"/>
    <w:rsid w:val="00FC05B6"/>
    <w:rsid w:val="00FC6EB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344"/>
    <w:pPr>
      <w:spacing w:before="100" w:beforeAutospacing="1" w:after="100" w:afterAutospacing="1"/>
    </w:pPr>
    <w:rPr>
      <w:rFonts w:ascii="Times New Roman" w:eastAsia="Times New Roman" w:hAnsi="Times New Roman"/>
      <w:color w:val="000000"/>
      <w:sz w:val="24"/>
      <w:lang w:val="en-GB" w:eastAsia="de-DE"/>
    </w:rPr>
  </w:style>
  <w:style w:type="paragraph" w:styleId="Heading1">
    <w:name w:val="heading 1"/>
    <w:basedOn w:val="Normal"/>
    <w:next w:val="Normal"/>
    <w:link w:val="Heading1Char"/>
    <w:uiPriority w:val="9"/>
    <w:qFormat/>
    <w:rsid w:val="00826344"/>
    <w:pPr>
      <w:spacing w:after="240" w:line="276" w:lineRule="auto"/>
      <w:jc w:val="center"/>
      <w:outlineLvl w:val="0"/>
    </w:pPr>
    <w:rPr>
      <w:b/>
      <w:sz w:val="28"/>
      <w:szCs w:val="28"/>
    </w:rPr>
  </w:style>
  <w:style w:type="paragraph" w:styleId="Heading2">
    <w:name w:val="heading 2"/>
    <w:basedOn w:val="Normal"/>
    <w:next w:val="Normal"/>
    <w:link w:val="Heading2Char"/>
    <w:uiPriority w:val="9"/>
    <w:unhideWhenUsed/>
    <w:qFormat/>
    <w:rsid w:val="00826344"/>
    <w:pPr>
      <w:spacing w:after="240" w:line="276" w:lineRule="auto"/>
      <w:jc w:val="both"/>
      <w:outlineLvl w:val="1"/>
    </w:pPr>
    <w:rPr>
      <w:b/>
      <w:caps/>
      <w:szCs w:val="24"/>
    </w:rPr>
  </w:style>
  <w:style w:type="paragraph" w:styleId="Heading3">
    <w:name w:val="heading 3"/>
    <w:basedOn w:val="Normal"/>
    <w:next w:val="Normal"/>
    <w:link w:val="Heading3Char"/>
    <w:uiPriority w:val="9"/>
    <w:unhideWhenUsed/>
    <w:qFormat/>
    <w:rsid w:val="006875F5"/>
    <w:pPr>
      <w:keepNext/>
      <w:spacing w:line="276" w:lineRule="auto"/>
      <w:outlineLvl w:val="2"/>
    </w:pPr>
    <w:rPr>
      <w:szCs w:val="24"/>
      <w:u w:val="single"/>
      <w:lang w:val="en-AU" w:eastAsia="en-AU"/>
    </w:rPr>
  </w:style>
  <w:style w:type="paragraph" w:styleId="Heading4">
    <w:name w:val="heading 4"/>
    <w:basedOn w:val="CM14"/>
    <w:next w:val="Normal"/>
    <w:link w:val="Heading4Char"/>
    <w:uiPriority w:val="9"/>
    <w:unhideWhenUsed/>
    <w:qFormat/>
    <w:rsid w:val="00826344"/>
    <w:pPr>
      <w:spacing w:after="240" w:line="276" w:lineRule="auto"/>
      <w:outlineLvl w:val="3"/>
    </w:pPr>
    <w:rPr>
      <w:i/>
      <w:color w:val="000000"/>
      <w:u w:val="single"/>
    </w:rPr>
  </w:style>
  <w:style w:type="paragraph" w:styleId="Heading5">
    <w:name w:val="heading 5"/>
    <w:basedOn w:val="CM14"/>
    <w:next w:val="Normal"/>
    <w:link w:val="Heading5Char"/>
    <w:uiPriority w:val="9"/>
    <w:unhideWhenUsed/>
    <w:qFormat/>
    <w:rsid w:val="006875F5"/>
    <w:pPr>
      <w:spacing w:after="240" w:line="276" w:lineRule="auto"/>
      <w:outlineLvl w:val="4"/>
    </w:pPr>
    <w:rPr>
      <w:i/>
      <w:iCs/>
    </w:rPr>
  </w:style>
  <w:style w:type="paragraph" w:styleId="Heading6">
    <w:name w:val="heading 6"/>
    <w:basedOn w:val="Normal"/>
    <w:next w:val="Normal"/>
    <w:link w:val="Heading6Char"/>
    <w:qFormat/>
    <w:rsid w:val="006F7924"/>
    <w:pPr>
      <w:keepNext/>
      <w:ind w:left="709"/>
      <w:outlineLvl w:val="5"/>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4">
    <w:name w:val="CM14"/>
    <w:basedOn w:val="Normal"/>
    <w:next w:val="Normal"/>
    <w:uiPriority w:val="99"/>
    <w:rsid w:val="006F7924"/>
    <w:pPr>
      <w:widowControl w:val="0"/>
      <w:autoSpaceDE w:val="0"/>
      <w:autoSpaceDN w:val="0"/>
      <w:adjustRightInd w:val="0"/>
    </w:pPr>
    <w:rPr>
      <w:color w:val="auto"/>
      <w:szCs w:val="24"/>
      <w:lang w:val="en-AU" w:eastAsia="en-AU"/>
    </w:rPr>
  </w:style>
  <w:style w:type="character" w:customStyle="1" w:styleId="Heading6Char">
    <w:name w:val="Heading 6 Char"/>
    <w:link w:val="Heading6"/>
    <w:rsid w:val="006F7924"/>
    <w:rPr>
      <w:rFonts w:ascii="Arial" w:eastAsia="Times New Roman" w:hAnsi="Arial" w:cs="Times New Roman"/>
      <w:b/>
      <w:bCs/>
      <w:color w:val="000000"/>
      <w:sz w:val="24"/>
      <w:szCs w:val="20"/>
      <w:lang w:val="en-GB" w:eastAsia="de-DE"/>
    </w:rPr>
  </w:style>
  <w:style w:type="paragraph" w:customStyle="1" w:styleId="Default">
    <w:name w:val="Default"/>
    <w:rsid w:val="006F7924"/>
    <w:pPr>
      <w:widowControl w:val="0"/>
      <w:autoSpaceDE w:val="0"/>
      <w:autoSpaceDN w:val="0"/>
      <w:adjustRightInd w:val="0"/>
    </w:pPr>
    <w:rPr>
      <w:rFonts w:ascii="Times New Roman" w:eastAsia="Times New Roman" w:hAnsi="Times New Roman"/>
      <w:color w:val="000000"/>
      <w:sz w:val="24"/>
      <w:szCs w:val="24"/>
      <w:lang w:val="en-AU" w:eastAsia="en-AU"/>
    </w:rPr>
  </w:style>
  <w:style w:type="paragraph" w:customStyle="1" w:styleId="CM16">
    <w:name w:val="CM16"/>
    <w:basedOn w:val="Default"/>
    <w:next w:val="Default"/>
    <w:uiPriority w:val="99"/>
    <w:rsid w:val="00844F5A"/>
    <w:pPr>
      <w:spacing w:after="95" w:line="213" w:lineRule="atLeast"/>
    </w:pPr>
    <w:rPr>
      <w:b/>
      <w:bCs/>
      <w:sz w:val="20"/>
      <w:szCs w:val="20"/>
    </w:rPr>
  </w:style>
  <w:style w:type="paragraph" w:customStyle="1" w:styleId="CM18">
    <w:name w:val="CM18"/>
    <w:basedOn w:val="Default"/>
    <w:next w:val="Default"/>
    <w:uiPriority w:val="99"/>
    <w:rsid w:val="00056F6E"/>
    <w:rPr>
      <w:color w:val="auto"/>
    </w:rPr>
  </w:style>
  <w:style w:type="paragraph" w:styleId="BalloonText">
    <w:name w:val="Balloon Text"/>
    <w:basedOn w:val="Normal"/>
    <w:link w:val="BalloonTextChar"/>
    <w:uiPriority w:val="99"/>
    <w:semiHidden/>
    <w:unhideWhenUsed/>
    <w:rsid w:val="00056F6E"/>
    <w:rPr>
      <w:rFonts w:ascii="Tahoma" w:hAnsi="Tahoma"/>
      <w:sz w:val="16"/>
      <w:szCs w:val="16"/>
    </w:rPr>
  </w:style>
  <w:style w:type="character" w:customStyle="1" w:styleId="BalloonTextChar">
    <w:name w:val="Balloon Text Char"/>
    <w:link w:val="BalloonText"/>
    <w:uiPriority w:val="99"/>
    <w:semiHidden/>
    <w:rsid w:val="00056F6E"/>
    <w:rPr>
      <w:rFonts w:ascii="Tahoma" w:eastAsia="Times New Roman" w:hAnsi="Tahoma" w:cs="Tahoma"/>
      <w:color w:val="000000"/>
      <w:sz w:val="16"/>
      <w:szCs w:val="16"/>
      <w:lang w:val="en-GB" w:eastAsia="de-DE"/>
    </w:rPr>
  </w:style>
  <w:style w:type="paragraph" w:customStyle="1" w:styleId="CM15">
    <w:name w:val="CM15"/>
    <w:basedOn w:val="Default"/>
    <w:next w:val="Default"/>
    <w:uiPriority w:val="99"/>
    <w:rsid w:val="00381B8E"/>
    <w:rPr>
      <w:color w:val="auto"/>
    </w:rPr>
  </w:style>
  <w:style w:type="paragraph" w:customStyle="1" w:styleId="CM1">
    <w:name w:val="CM1"/>
    <w:basedOn w:val="Default"/>
    <w:next w:val="Default"/>
    <w:uiPriority w:val="99"/>
    <w:rsid w:val="00373ABF"/>
    <w:pPr>
      <w:spacing w:line="213" w:lineRule="atLeast"/>
    </w:pPr>
    <w:rPr>
      <w:color w:val="auto"/>
    </w:rPr>
  </w:style>
  <w:style w:type="paragraph" w:customStyle="1" w:styleId="CM5">
    <w:name w:val="CM5"/>
    <w:basedOn w:val="Default"/>
    <w:next w:val="Default"/>
    <w:uiPriority w:val="99"/>
    <w:rsid w:val="00373ABF"/>
    <w:pPr>
      <w:spacing w:line="251" w:lineRule="atLeast"/>
    </w:pPr>
    <w:rPr>
      <w:color w:val="auto"/>
    </w:rPr>
  </w:style>
  <w:style w:type="paragraph" w:customStyle="1" w:styleId="BodyText21">
    <w:name w:val="Body Text 21"/>
    <w:basedOn w:val="Normal"/>
    <w:rsid w:val="00373ABF"/>
    <w:pPr>
      <w:ind w:left="709"/>
    </w:pPr>
    <w:rPr>
      <w:rFonts w:ascii="Arial" w:hAnsi="Arial"/>
    </w:rPr>
  </w:style>
  <w:style w:type="paragraph" w:customStyle="1" w:styleId="CM6">
    <w:name w:val="CM6"/>
    <w:basedOn w:val="Default"/>
    <w:next w:val="Default"/>
    <w:uiPriority w:val="99"/>
    <w:rsid w:val="00373ABF"/>
    <w:pPr>
      <w:spacing w:line="213" w:lineRule="atLeast"/>
    </w:pPr>
    <w:rPr>
      <w:color w:val="auto"/>
    </w:rPr>
  </w:style>
  <w:style w:type="paragraph" w:customStyle="1" w:styleId="CM3">
    <w:name w:val="CM3"/>
    <w:basedOn w:val="Default"/>
    <w:next w:val="Default"/>
    <w:uiPriority w:val="99"/>
    <w:rsid w:val="00531326"/>
    <w:pPr>
      <w:spacing w:line="213" w:lineRule="atLeast"/>
    </w:pPr>
    <w:rPr>
      <w:color w:val="auto"/>
    </w:rPr>
  </w:style>
  <w:style w:type="paragraph" w:customStyle="1" w:styleId="CM4">
    <w:name w:val="CM4"/>
    <w:basedOn w:val="Default"/>
    <w:next w:val="Default"/>
    <w:uiPriority w:val="99"/>
    <w:rsid w:val="00531326"/>
    <w:pPr>
      <w:spacing w:line="213" w:lineRule="atLeast"/>
    </w:pPr>
    <w:rPr>
      <w:color w:val="auto"/>
    </w:rPr>
  </w:style>
  <w:style w:type="table" w:styleId="TableGrid">
    <w:name w:val="Table Grid"/>
    <w:basedOn w:val="TableNormal"/>
    <w:uiPriority w:val="59"/>
    <w:rsid w:val="00AB6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0EF2"/>
    <w:pPr>
      <w:tabs>
        <w:tab w:val="center" w:pos="4680"/>
        <w:tab w:val="right" w:pos="9360"/>
      </w:tabs>
    </w:pPr>
  </w:style>
  <w:style w:type="character" w:customStyle="1" w:styleId="HeaderChar">
    <w:name w:val="Header Char"/>
    <w:link w:val="Header"/>
    <w:uiPriority w:val="99"/>
    <w:rsid w:val="00480EF2"/>
    <w:rPr>
      <w:rFonts w:ascii="Times New Roman" w:eastAsia="Times New Roman" w:hAnsi="Times New Roman"/>
      <w:color w:val="000000"/>
      <w:sz w:val="24"/>
      <w:lang w:val="en-GB" w:eastAsia="de-DE"/>
    </w:rPr>
  </w:style>
  <w:style w:type="paragraph" w:styleId="Footer">
    <w:name w:val="footer"/>
    <w:basedOn w:val="Normal"/>
    <w:link w:val="FooterChar"/>
    <w:uiPriority w:val="99"/>
    <w:unhideWhenUsed/>
    <w:rsid w:val="00480EF2"/>
    <w:pPr>
      <w:tabs>
        <w:tab w:val="center" w:pos="4680"/>
        <w:tab w:val="right" w:pos="9360"/>
      </w:tabs>
    </w:pPr>
  </w:style>
  <w:style w:type="character" w:customStyle="1" w:styleId="FooterChar">
    <w:name w:val="Footer Char"/>
    <w:link w:val="Footer"/>
    <w:uiPriority w:val="99"/>
    <w:rsid w:val="00480EF2"/>
    <w:rPr>
      <w:rFonts w:ascii="Times New Roman" w:eastAsia="Times New Roman" w:hAnsi="Times New Roman"/>
      <w:color w:val="000000"/>
      <w:sz w:val="24"/>
      <w:lang w:val="en-GB" w:eastAsia="de-DE"/>
    </w:rPr>
  </w:style>
  <w:style w:type="paragraph" w:styleId="NoSpacing">
    <w:name w:val="No Spacing"/>
    <w:link w:val="NoSpacingChar"/>
    <w:uiPriority w:val="1"/>
    <w:qFormat/>
    <w:rsid w:val="00480EF2"/>
    <w:rPr>
      <w:rFonts w:eastAsia="Times New Roman"/>
      <w:sz w:val="22"/>
      <w:szCs w:val="22"/>
    </w:rPr>
  </w:style>
  <w:style w:type="character" w:customStyle="1" w:styleId="NoSpacingChar">
    <w:name w:val="No Spacing Char"/>
    <w:link w:val="NoSpacing"/>
    <w:uiPriority w:val="1"/>
    <w:rsid w:val="00480EF2"/>
    <w:rPr>
      <w:rFonts w:eastAsia="Times New Roman"/>
      <w:sz w:val="22"/>
      <w:szCs w:val="22"/>
      <w:lang w:val="en-US" w:eastAsia="en-US" w:bidi="ar-SA"/>
    </w:rPr>
  </w:style>
  <w:style w:type="character" w:styleId="CommentReference">
    <w:name w:val="annotation reference"/>
    <w:uiPriority w:val="99"/>
    <w:semiHidden/>
    <w:unhideWhenUsed/>
    <w:rsid w:val="00B64BD2"/>
    <w:rPr>
      <w:sz w:val="18"/>
      <w:szCs w:val="18"/>
    </w:rPr>
  </w:style>
  <w:style w:type="paragraph" w:styleId="CommentText">
    <w:name w:val="annotation text"/>
    <w:basedOn w:val="Normal"/>
    <w:link w:val="CommentTextChar"/>
    <w:uiPriority w:val="99"/>
    <w:semiHidden/>
    <w:unhideWhenUsed/>
    <w:rsid w:val="00B64BD2"/>
  </w:style>
  <w:style w:type="character" w:customStyle="1" w:styleId="CommentTextChar">
    <w:name w:val="Comment Text Char"/>
    <w:link w:val="CommentText"/>
    <w:uiPriority w:val="99"/>
    <w:semiHidden/>
    <w:rsid w:val="00B64BD2"/>
    <w:rPr>
      <w:rFonts w:ascii="Times New Roman" w:eastAsia="Times New Roman" w:hAnsi="Times New Roman"/>
      <w:color w:val="000000"/>
      <w:sz w:val="24"/>
      <w:lang w:val="en-GB" w:eastAsia="de-DE"/>
    </w:rPr>
  </w:style>
  <w:style w:type="paragraph" w:styleId="CommentSubject">
    <w:name w:val="annotation subject"/>
    <w:basedOn w:val="CommentText"/>
    <w:next w:val="CommentText"/>
    <w:link w:val="CommentSubjectChar"/>
    <w:uiPriority w:val="99"/>
    <w:semiHidden/>
    <w:unhideWhenUsed/>
    <w:rsid w:val="00B64BD2"/>
    <w:rPr>
      <w:b/>
      <w:bCs/>
    </w:rPr>
  </w:style>
  <w:style w:type="character" w:customStyle="1" w:styleId="CommentSubjectChar">
    <w:name w:val="Comment Subject Char"/>
    <w:link w:val="CommentSubject"/>
    <w:uiPriority w:val="99"/>
    <w:semiHidden/>
    <w:rsid w:val="00B64BD2"/>
    <w:rPr>
      <w:rFonts w:ascii="Times New Roman" w:eastAsia="Times New Roman" w:hAnsi="Times New Roman"/>
      <w:b/>
      <w:bCs/>
      <w:color w:val="000000"/>
      <w:sz w:val="24"/>
      <w:lang w:val="en-GB" w:eastAsia="de-DE"/>
    </w:rPr>
  </w:style>
  <w:style w:type="paragraph" w:customStyle="1" w:styleId="CM22">
    <w:name w:val="CM22"/>
    <w:basedOn w:val="Default"/>
    <w:next w:val="Default"/>
    <w:uiPriority w:val="99"/>
    <w:rsid w:val="00626B28"/>
    <w:pPr>
      <w:widowControl/>
      <w:spacing w:line="231" w:lineRule="atLeast"/>
    </w:pPr>
    <w:rPr>
      <w:rFonts w:eastAsia="MS Mincho"/>
      <w:color w:val="auto"/>
      <w:lang w:val="en-US" w:eastAsia="en-US"/>
    </w:rPr>
  </w:style>
  <w:style w:type="paragraph" w:customStyle="1" w:styleId="Bullet">
    <w:name w:val="Bullet"/>
    <w:basedOn w:val="Normal"/>
    <w:rsid w:val="00571FC5"/>
    <w:pPr>
      <w:numPr>
        <w:numId w:val="1"/>
      </w:numPr>
    </w:pPr>
    <w:rPr>
      <w:rFonts w:eastAsiaTheme="minorEastAsia"/>
      <w:color w:val="auto"/>
      <w:szCs w:val="24"/>
      <w:lang w:val="en-US" w:eastAsia="en-US"/>
    </w:rPr>
  </w:style>
  <w:style w:type="paragraph" w:styleId="Revision">
    <w:name w:val="Revision"/>
    <w:hidden/>
    <w:uiPriority w:val="99"/>
    <w:semiHidden/>
    <w:rsid w:val="009C7FBB"/>
    <w:rPr>
      <w:rFonts w:ascii="Times New Roman" w:eastAsia="Times New Roman" w:hAnsi="Times New Roman"/>
      <w:color w:val="000000"/>
      <w:sz w:val="24"/>
      <w:lang w:val="en-GB" w:eastAsia="de-DE"/>
    </w:rPr>
  </w:style>
  <w:style w:type="paragraph" w:styleId="TOC1">
    <w:name w:val="toc 1"/>
    <w:next w:val="Normal"/>
    <w:autoRedefine/>
    <w:rsid w:val="00956BC9"/>
    <w:pPr>
      <w:tabs>
        <w:tab w:val="left" w:pos="709"/>
        <w:tab w:val="right" w:leader="dot" w:pos="9394"/>
      </w:tabs>
      <w:spacing w:line="360" w:lineRule="auto"/>
      <w:ind w:left="709" w:hanging="709"/>
    </w:pPr>
    <w:rPr>
      <w:rFonts w:ascii="Times New Roman Bold" w:eastAsia="Times New Roman" w:hAnsi="Times New Roman Bold"/>
      <w:b/>
      <w:noProof/>
      <w:sz w:val="22"/>
      <w:szCs w:val="24"/>
      <w:lang w:val="en-GB"/>
    </w:rPr>
  </w:style>
  <w:style w:type="paragraph" w:styleId="DocumentMap">
    <w:name w:val="Document Map"/>
    <w:basedOn w:val="Normal"/>
    <w:link w:val="DocumentMapChar"/>
    <w:uiPriority w:val="99"/>
    <w:semiHidden/>
    <w:unhideWhenUsed/>
    <w:rsid w:val="003936AA"/>
    <w:rPr>
      <w:rFonts w:ascii="Tahoma" w:hAnsi="Tahoma" w:cs="Tahoma"/>
      <w:sz w:val="16"/>
      <w:szCs w:val="16"/>
    </w:rPr>
  </w:style>
  <w:style w:type="character" w:customStyle="1" w:styleId="DocumentMapChar">
    <w:name w:val="Document Map Char"/>
    <w:basedOn w:val="DefaultParagraphFont"/>
    <w:link w:val="DocumentMap"/>
    <w:uiPriority w:val="99"/>
    <w:semiHidden/>
    <w:rsid w:val="003936AA"/>
    <w:rPr>
      <w:rFonts w:ascii="Tahoma" w:eastAsia="Times New Roman" w:hAnsi="Tahoma" w:cs="Tahoma"/>
      <w:color w:val="000000"/>
      <w:sz w:val="16"/>
      <w:szCs w:val="16"/>
      <w:lang w:val="en-GB" w:eastAsia="de-DE"/>
    </w:rPr>
  </w:style>
  <w:style w:type="character" w:customStyle="1" w:styleId="Heading1Char">
    <w:name w:val="Heading 1 Char"/>
    <w:basedOn w:val="DefaultParagraphFont"/>
    <w:link w:val="Heading1"/>
    <w:uiPriority w:val="9"/>
    <w:rsid w:val="00826344"/>
    <w:rPr>
      <w:rFonts w:ascii="Times New Roman" w:eastAsia="Times New Roman" w:hAnsi="Times New Roman"/>
      <w:b/>
      <w:color w:val="000000"/>
      <w:sz w:val="28"/>
      <w:szCs w:val="28"/>
      <w:lang w:val="en-GB" w:eastAsia="de-DE"/>
    </w:rPr>
  </w:style>
  <w:style w:type="character" w:customStyle="1" w:styleId="Heading2Char">
    <w:name w:val="Heading 2 Char"/>
    <w:basedOn w:val="DefaultParagraphFont"/>
    <w:link w:val="Heading2"/>
    <w:uiPriority w:val="9"/>
    <w:rsid w:val="00826344"/>
    <w:rPr>
      <w:rFonts w:ascii="Times New Roman" w:eastAsia="Times New Roman" w:hAnsi="Times New Roman"/>
      <w:b/>
      <w:caps/>
      <w:color w:val="000000"/>
      <w:sz w:val="24"/>
      <w:szCs w:val="24"/>
      <w:lang w:val="en-GB" w:eastAsia="de-DE"/>
    </w:rPr>
  </w:style>
  <w:style w:type="character" w:customStyle="1" w:styleId="Heading3Char">
    <w:name w:val="Heading 3 Char"/>
    <w:basedOn w:val="DefaultParagraphFont"/>
    <w:link w:val="Heading3"/>
    <w:uiPriority w:val="9"/>
    <w:rsid w:val="006875F5"/>
    <w:rPr>
      <w:rFonts w:ascii="Times New Roman" w:eastAsia="Times New Roman" w:hAnsi="Times New Roman"/>
      <w:color w:val="000000"/>
      <w:sz w:val="24"/>
      <w:szCs w:val="24"/>
      <w:u w:val="single"/>
      <w:lang w:val="en-AU" w:eastAsia="en-AU"/>
    </w:rPr>
  </w:style>
  <w:style w:type="character" w:customStyle="1" w:styleId="Heading4Char">
    <w:name w:val="Heading 4 Char"/>
    <w:basedOn w:val="DefaultParagraphFont"/>
    <w:link w:val="Heading4"/>
    <w:uiPriority w:val="9"/>
    <w:rsid w:val="00826344"/>
    <w:rPr>
      <w:rFonts w:ascii="Times New Roman" w:eastAsia="Times New Roman" w:hAnsi="Times New Roman"/>
      <w:i/>
      <w:color w:val="000000"/>
      <w:sz w:val="24"/>
      <w:szCs w:val="24"/>
      <w:u w:val="single"/>
      <w:lang w:val="en-AU" w:eastAsia="en-AU"/>
    </w:rPr>
  </w:style>
  <w:style w:type="character" w:customStyle="1" w:styleId="Heading5Char">
    <w:name w:val="Heading 5 Char"/>
    <w:basedOn w:val="DefaultParagraphFont"/>
    <w:link w:val="Heading5"/>
    <w:uiPriority w:val="9"/>
    <w:rsid w:val="006875F5"/>
    <w:rPr>
      <w:rFonts w:ascii="Times New Roman" w:eastAsia="Times New Roman" w:hAnsi="Times New Roman"/>
      <w:i/>
      <w:iCs/>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924"/>
    <w:rPr>
      <w:rFonts w:ascii="Times New Roman" w:eastAsia="Times New Roman" w:hAnsi="Times New Roman"/>
      <w:color w:val="000000"/>
      <w:sz w:val="24"/>
      <w:lang w:val="en-GB" w:eastAsia="de-DE"/>
    </w:rPr>
  </w:style>
  <w:style w:type="paragraph" w:styleId="6">
    <w:name w:val="heading 6"/>
    <w:basedOn w:val="a"/>
    <w:next w:val="a"/>
    <w:link w:val="60"/>
    <w:qFormat/>
    <w:rsid w:val="006F7924"/>
    <w:pPr>
      <w:keepNext/>
      <w:ind w:left="709"/>
      <w:outlineLvl w:val="5"/>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4">
    <w:name w:val="CM14"/>
    <w:basedOn w:val="a"/>
    <w:next w:val="a"/>
    <w:uiPriority w:val="99"/>
    <w:rsid w:val="006F7924"/>
    <w:pPr>
      <w:widowControl w:val="0"/>
      <w:autoSpaceDE w:val="0"/>
      <w:autoSpaceDN w:val="0"/>
      <w:adjustRightInd w:val="0"/>
    </w:pPr>
    <w:rPr>
      <w:color w:val="auto"/>
      <w:szCs w:val="24"/>
      <w:lang w:val="en-AU" w:eastAsia="en-AU"/>
    </w:rPr>
  </w:style>
  <w:style w:type="character" w:customStyle="1" w:styleId="60">
    <w:name w:val="見出し 6 (文字)"/>
    <w:link w:val="6"/>
    <w:rsid w:val="006F7924"/>
    <w:rPr>
      <w:rFonts w:ascii="Arial" w:eastAsia="Times New Roman" w:hAnsi="Arial" w:cs="Times New Roman"/>
      <w:b/>
      <w:bCs/>
      <w:color w:val="000000"/>
      <w:sz w:val="24"/>
      <w:szCs w:val="20"/>
      <w:lang w:val="en-GB" w:eastAsia="de-DE"/>
    </w:rPr>
  </w:style>
  <w:style w:type="paragraph" w:customStyle="1" w:styleId="Default">
    <w:name w:val="Default"/>
    <w:rsid w:val="006F7924"/>
    <w:pPr>
      <w:widowControl w:val="0"/>
      <w:autoSpaceDE w:val="0"/>
      <w:autoSpaceDN w:val="0"/>
      <w:adjustRightInd w:val="0"/>
    </w:pPr>
    <w:rPr>
      <w:rFonts w:ascii="Times New Roman" w:eastAsia="Times New Roman" w:hAnsi="Times New Roman"/>
      <w:color w:val="000000"/>
      <w:sz w:val="24"/>
      <w:szCs w:val="24"/>
      <w:lang w:val="en-AU" w:eastAsia="en-AU"/>
    </w:rPr>
  </w:style>
  <w:style w:type="paragraph" w:customStyle="1" w:styleId="CM16">
    <w:name w:val="CM16"/>
    <w:basedOn w:val="Default"/>
    <w:next w:val="Default"/>
    <w:uiPriority w:val="99"/>
    <w:rsid w:val="00056F6E"/>
    <w:rPr>
      <w:color w:val="auto"/>
    </w:rPr>
  </w:style>
  <w:style w:type="paragraph" w:customStyle="1" w:styleId="CM18">
    <w:name w:val="CM18"/>
    <w:basedOn w:val="Default"/>
    <w:next w:val="Default"/>
    <w:uiPriority w:val="99"/>
    <w:rsid w:val="00056F6E"/>
    <w:rPr>
      <w:color w:val="auto"/>
    </w:rPr>
  </w:style>
  <w:style w:type="paragraph" w:styleId="a3">
    <w:name w:val="Balloon Text"/>
    <w:basedOn w:val="a"/>
    <w:link w:val="a4"/>
    <w:uiPriority w:val="99"/>
    <w:semiHidden/>
    <w:unhideWhenUsed/>
    <w:rsid w:val="00056F6E"/>
    <w:rPr>
      <w:rFonts w:ascii="Tahoma" w:hAnsi="Tahoma"/>
      <w:sz w:val="16"/>
      <w:szCs w:val="16"/>
    </w:rPr>
  </w:style>
  <w:style w:type="character" w:customStyle="1" w:styleId="a4">
    <w:name w:val="吹き出し (文字)"/>
    <w:link w:val="a3"/>
    <w:uiPriority w:val="99"/>
    <w:semiHidden/>
    <w:rsid w:val="00056F6E"/>
    <w:rPr>
      <w:rFonts w:ascii="Tahoma" w:eastAsia="Times New Roman" w:hAnsi="Tahoma" w:cs="Tahoma"/>
      <w:color w:val="000000"/>
      <w:sz w:val="16"/>
      <w:szCs w:val="16"/>
      <w:lang w:val="en-GB" w:eastAsia="de-DE"/>
    </w:rPr>
  </w:style>
  <w:style w:type="paragraph" w:customStyle="1" w:styleId="CM15">
    <w:name w:val="CM15"/>
    <w:basedOn w:val="Default"/>
    <w:next w:val="Default"/>
    <w:uiPriority w:val="99"/>
    <w:rsid w:val="00381B8E"/>
    <w:rPr>
      <w:color w:val="auto"/>
    </w:rPr>
  </w:style>
  <w:style w:type="paragraph" w:customStyle="1" w:styleId="CM1">
    <w:name w:val="CM1"/>
    <w:basedOn w:val="Default"/>
    <w:next w:val="Default"/>
    <w:uiPriority w:val="99"/>
    <w:rsid w:val="00373ABF"/>
    <w:pPr>
      <w:spacing w:line="213" w:lineRule="atLeast"/>
    </w:pPr>
    <w:rPr>
      <w:color w:val="auto"/>
    </w:rPr>
  </w:style>
  <w:style w:type="paragraph" w:customStyle="1" w:styleId="CM5">
    <w:name w:val="CM5"/>
    <w:basedOn w:val="Default"/>
    <w:next w:val="Default"/>
    <w:uiPriority w:val="99"/>
    <w:rsid w:val="00373ABF"/>
    <w:pPr>
      <w:spacing w:line="251" w:lineRule="atLeast"/>
    </w:pPr>
    <w:rPr>
      <w:color w:val="auto"/>
    </w:rPr>
  </w:style>
  <w:style w:type="paragraph" w:customStyle="1" w:styleId="BodyText21">
    <w:name w:val="Body Text 21"/>
    <w:basedOn w:val="a"/>
    <w:rsid w:val="00373ABF"/>
    <w:pPr>
      <w:ind w:left="709"/>
    </w:pPr>
    <w:rPr>
      <w:rFonts w:ascii="Arial" w:hAnsi="Arial"/>
    </w:rPr>
  </w:style>
  <w:style w:type="paragraph" w:customStyle="1" w:styleId="CM6">
    <w:name w:val="CM6"/>
    <w:basedOn w:val="Default"/>
    <w:next w:val="Default"/>
    <w:uiPriority w:val="99"/>
    <w:rsid w:val="00373ABF"/>
    <w:pPr>
      <w:spacing w:line="213" w:lineRule="atLeast"/>
    </w:pPr>
    <w:rPr>
      <w:color w:val="auto"/>
    </w:rPr>
  </w:style>
  <w:style w:type="paragraph" w:customStyle="1" w:styleId="CM3">
    <w:name w:val="CM3"/>
    <w:basedOn w:val="Default"/>
    <w:next w:val="Default"/>
    <w:uiPriority w:val="99"/>
    <w:rsid w:val="00531326"/>
    <w:pPr>
      <w:spacing w:line="213" w:lineRule="atLeast"/>
    </w:pPr>
    <w:rPr>
      <w:color w:val="auto"/>
    </w:rPr>
  </w:style>
  <w:style w:type="paragraph" w:customStyle="1" w:styleId="CM4">
    <w:name w:val="CM4"/>
    <w:basedOn w:val="Default"/>
    <w:next w:val="Default"/>
    <w:uiPriority w:val="99"/>
    <w:rsid w:val="00531326"/>
    <w:pPr>
      <w:spacing w:line="213" w:lineRule="atLeast"/>
    </w:pPr>
    <w:rPr>
      <w:color w:val="auto"/>
    </w:rPr>
  </w:style>
  <w:style w:type="table" w:styleId="a5">
    <w:name w:val="Table Grid"/>
    <w:basedOn w:val="a1"/>
    <w:uiPriority w:val="59"/>
    <w:rsid w:val="00AB6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80EF2"/>
    <w:pPr>
      <w:tabs>
        <w:tab w:val="center" w:pos="4680"/>
        <w:tab w:val="right" w:pos="9360"/>
      </w:tabs>
    </w:pPr>
  </w:style>
  <w:style w:type="character" w:customStyle="1" w:styleId="a7">
    <w:name w:val="ヘッダー (文字)"/>
    <w:link w:val="a6"/>
    <w:uiPriority w:val="99"/>
    <w:rsid w:val="00480EF2"/>
    <w:rPr>
      <w:rFonts w:ascii="Times New Roman" w:eastAsia="Times New Roman" w:hAnsi="Times New Roman"/>
      <w:color w:val="000000"/>
      <w:sz w:val="24"/>
      <w:lang w:val="en-GB" w:eastAsia="de-DE"/>
    </w:rPr>
  </w:style>
  <w:style w:type="paragraph" w:styleId="a8">
    <w:name w:val="footer"/>
    <w:basedOn w:val="a"/>
    <w:link w:val="a9"/>
    <w:uiPriority w:val="99"/>
    <w:unhideWhenUsed/>
    <w:rsid w:val="00480EF2"/>
    <w:pPr>
      <w:tabs>
        <w:tab w:val="center" w:pos="4680"/>
        <w:tab w:val="right" w:pos="9360"/>
      </w:tabs>
    </w:pPr>
  </w:style>
  <w:style w:type="character" w:customStyle="1" w:styleId="a9">
    <w:name w:val="フッター (文字)"/>
    <w:link w:val="a8"/>
    <w:uiPriority w:val="99"/>
    <w:rsid w:val="00480EF2"/>
    <w:rPr>
      <w:rFonts w:ascii="Times New Roman" w:eastAsia="Times New Roman" w:hAnsi="Times New Roman"/>
      <w:color w:val="000000"/>
      <w:sz w:val="24"/>
      <w:lang w:val="en-GB" w:eastAsia="de-DE"/>
    </w:rPr>
  </w:style>
  <w:style w:type="paragraph" w:styleId="aa">
    <w:name w:val="No Spacing"/>
    <w:link w:val="ab"/>
    <w:uiPriority w:val="1"/>
    <w:qFormat/>
    <w:rsid w:val="00480EF2"/>
    <w:rPr>
      <w:rFonts w:eastAsia="Times New Roman"/>
      <w:sz w:val="22"/>
      <w:szCs w:val="22"/>
    </w:rPr>
  </w:style>
  <w:style w:type="character" w:customStyle="1" w:styleId="ab">
    <w:name w:val="行間詰め (文字)"/>
    <w:link w:val="aa"/>
    <w:uiPriority w:val="1"/>
    <w:rsid w:val="00480EF2"/>
    <w:rPr>
      <w:rFonts w:eastAsia="Times New Roman"/>
      <w:sz w:val="22"/>
      <w:szCs w:val="22"/>
      <w:lang w:val="en-US" w:eastAsia="en-US" w:bidi="ar-SA"/>
    </w:rPr>
  </w:style>
  <w:style w:type="character" w:styleId="ac">
    <w:name w:val="annotation reference"/>
    <w:uiPriority w:val="99"/>
    <w:semiHidden/>
    <w:unhideWhenUsed/>
    <w:rsid w:val="00B64BD2"/>
    <w:rPr>
      <w:sz w:val="18"/>
      <w:szCs w:val="18"/>
    </w:rPr>
  </w:style>
  <w:style w:type="paragraph" w:styleId="ad">
    <w:name w:val="annotation text"/>
    <w:basedOn w:val="a"/>
    <w:link w:val="ae"/>
    <w:uiPriority w:val="99"/>
    <w:semiHidden/>
    <w:unhideWhenUsed/>
    <w:rsid w:val="00B64BD2"/>
  </w:style>
  <w:style w:type="character" w:customStyle="1" w:styleId="ae">
    <w:name w:val="コメント文字列 (文字)"/>
    <w:link w:val="ad"/>
    <w:uiPriority w:val="99"/>
    <w:semiHidden/>
    <w:rsid w:val="00B64BD2"/>
    <w:rPr>
      <w:rFonts w:ascii="Times New Roman" w:eastAsia="Times New Roman" w:hAnsi="Times New Roman"/>
      <w:color w:val="000000"/>
      <w:sz w:val="24"/>
      <w:lang w:val="en-GB" w:eastAsia="de-DE"/>
    </w:rPr>
  </w:style>
  <w:style w:type="paragraph" w:styleId="af">
    <w:name w:val="annotation subject"/>
    <w:basedOn w:val="ad"/>
    <w:next w:val="ad"/>
    <w:link w:val="af0"/>
    <w:uiPriority w:val="99"/>
    <w:semiHidden/>
    <w:unhideWhenUsed/>
    <w:rsid w:val="00B64BD2"/>
    <w:rPr>
      <w:b/>
      <w:bCs/>
    </w:rPr>
  </w:style>
  <w:style w:type="character" w:customStyle="1" w:styleId="af0">
    <w:name w:val="コメント内容 (文字)"/>
    <w:link w:val="af"/>
    <w:uiPriority w:val="99"/>
    <w:semiHidden/>
    <w:rsid w:val="00B64BD2"/>
    <w:rPr>
      <w:rFonts w:ascii="Times New Roman" w:eastAsia="Times New Roman" w:hAnsi="Times New Roman"/>
      <w:b/>
      <w:bCs/>
      <w:color w:val="000000"/>
      <w:sz w:val="24"/>
      <w:lang w:val="en-GB" w:eastAsia="de-DE"/>
    </w:rPr>
  </w:style>
  <w:style w:type="paragraph" w:customStyle="1" w:styleId="CM22">
    <w:name w:val="CM22"/>
    <w:basedOn w:val="Default"/>
    <w:next w:val="Default"/>
    <w:uiPriority w:val="99"/>
    <w:rsid w:val="00626B28"/>
    <w:pPr>
      <w:widowControl/>
      <w:spacing w:line="231" w:lineRule="atLeast"/>
    </w:pPr>
    <w:rPr>
      <w:rFonts w:eastAsia="ＭＳ 明朝"/>
      <w:color w:val="auto"/>
      <w:lang w:val="en-US" w:eastAsia="en-US"/>
    </w:rPr>
  </w:style>
  <w:style w:type="paragraph" w:customStyle="1" w:styleId="Bullet">
    <w:name w:val="Bullet"/>
    <w:basedOn w:val="a"/>
    <w:rsid w:val="00571FC5"/>
    <w:pPr>
      <w:numPr>
        <w:numId w:val="1"/>
      </w:numPr>
    </w:pPr>
    <w:rPr>
      <w:rFonts w:eastAsiaTheme="minorEastAsia"/>
      <w:color w:val="auto"/>
      <w:szCs w:val="24"/>
      <w:lang w:val="en-US" w:eastAsia="en-US"/>
    </w:rPr>
  </w:style>
  <w:style w:type="paragraph" w:styleId="af1">
    <w:name w:val="Revision"/>
    <w:hidden/>
    <w:uiPriority w:val="99"/>
    <w:semiHidden/>
    <w:rsid w:val="009C7FBB"/>
    <w:rPr>
      <w:rFonts w:ascii="Times New Roman" w:eastAsia="Times New Roman" w:hAnsi="Times New Roman"/>
      <w:color w:val="000000"/>
      <w:sz w:val="24"/>
      <w:lang w:val="en-GB" w:eastAsia="de-DE"/>
    </w:rPr>
  </w:style>
  <w:style w:type="paragraph" w:styleId="1">
    <w:name w:val="toc 1"/>
    <w:next w:val="a"/>
    <w:autoRedefine/>
    <w:rsid w:val="00956BC9"/>
    <w:pPr>
      <w:tabs>
        <w:tab w:val="left" w:pos="709"/>
        <w:tab w:val="right" w:leader="dot" w:pos="9394"/>
      </w:tabs>
      <w:spacing w:line="360" w:lineRule="auto"/>
      <w:ind w:left="709" w:hanging="709"/>
    </w:pPr>
    <w:rPr>
      <w:rFonts w:ascii="Times New Roman Bold" w:eastAsia="Times New Roman" w:hAnsi="Times New Roman Bold"/>
      <w:b/>
      <w:noProof/>
      <w:sz w:val="22"/>
      <w:szCs w:val="24"/>
      <w:lang w:val="en-GB"/>
    </w:rPr>
  </w:style>
</w:styles>
</file>

<file path=word/webSettings.xml><?xml version="1.0" encoding="utf-8"?>
<w:webSettings xmlns:r="http://schemas.openxmlformats.org/officeDocument/2006/relationships" xmlns:w="http://schemas.openxmlformats.org/wordprocessingml/2006/main">
  <w:divs>
    <w:div w:id="183909375">
      <w:bodyDiv w:val="1"/>
      <w:marLeft w:val="0"/>
      <w:marRight w:val="0"/>
      <w:marTop w:val="0"/>
      <w:marBottom w:val="0"/>
      <w:divBdr>
        <w:top w:val="none" w:sz="0" w:space="0" w:color="auto"/>
        <w:left w:val="none" w:sz="0" w:space="0" w:color="auto"/>
        <w:bottom w:val="none" w:sz="0" w:space="0" w:color="auto"/>
        <w:right w:val="none" w:sz="0" w:space="0" w:color="auto"/>
      </w:divBdr>
      <w:divsChild>
        <w:div w:id="1368792206">
          <w:marLeft w:val="0"/>
          <w:marRight w:val="0"/>
          <w:marTop w:val="0"/>
          <w:marBottom w:val="0"/>
          <w:divBdr>
            <w:top w:val="none" w:sz="0" w:space="0" w:color="auto"/>
            <w:left w:val="none" w:sz="0" w:space="0" w:color="auto"/>
            <w:bottom w:val="none" w:sz="0" w:space="0" w:color="auto"/>
            <w:right w:val="none" w:sz="0" w:space="0" w:color="auto"/>
          </w:divBdr>
          <w:divsChild>
            <w:div w:id="9937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7053">
      <w:bodyDiv w:val="1"/>
      <w:marLeft w:val="0"/>
      <w:marRight w:val="0"/>
      <w:marTop w:val="0"/>
      <w:marBottom w:val="0"/>
      <w:divBdr>
        <w:top w:val="none" w:sz="0" w:space="0" w:color="auto"/>
        <w:left w:val="none" w:sz="0" w:space="0" w:color="auto"/>
        <w:bottom w:val="none" w:sz="0" w:space="0" w:color="auto"/>
        <w:right w:val="none" w:sz="0" w:space="0" w:color="auto"/>
      </w:divBdr>
      <w:divsChild>
        <w:div w:id="1699115988">
          <w:marLeft w:val="0"/>
          <w:marRight w:val="0"/>
          <w:marTop w:val="0"/>
          <w:marBottom w:val="0"/>
          <w:divBdr>
            <w:top w:val="none" w:sz="0" w:space="0" w:color="auto"/>
            <w:left w:val="none" w:sz="0" w:space="0" w:color="auto"/>
            <w:bottom w:val="none" w:sz="0" w:space="0" w:color="auto"/>
            <w:right w:val="none" w:sz="0" w:space="0" w:color="auto"/>
          </w:divBdr>
          <w:divsChild>
            <w:div w:id="5113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A8A7A-C45E-46C8-9A3F-057F7A037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16</Pages>
  <Words>4768</Words>
  <Characters>27035</Characters>
  <Application>Microsoft Office Word</Application>
  <DocSecurity>0</DocSecurity>
  <Lines>819</Lines>
  <Paragraphs>548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Product Information for Halaven (eribulin mesilate)</vt:lpstr>
      <vt:lpstr/>
    </vt:vector>
  </TitlesOfParts>
  <Company>Eisai</Company>
  <LinksUpToDate>false</LinksUpToDate>
  <CharactersWithSpaces>31255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Information for Halaven (eribulin mesilate)</dc:title>
  <dc:subject>prescription medicine regulation</dc:subject>
  <dc:creator>Eisai Australia Pty Ltd</dc:creator>
  <cp:keywords>pi, product information, australia, halaven, eribulin mesilate</cp:keywords>
  <cp:lastModifiedBy>Sheppard, Fran</cp:lastModifiedBy>
  <cp:revision>6</cp:revision>
  <cp:lastPrinted>2012-08-17T03:20:00Z</cp:lastPrinted>
  <dcterms:created xsi:type="dcterms:W3CDTF">2013-05-22T00:44:00Z</dcterms:created>
  <dcterms:modified xsi:type="dcterms:W3CDTF">2013-06-12T01:37:00Z</dcterms:modified>
</cp:coreProperties>
</file>