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ustralian Public Assessment Report for Eribulin mesilate&#10;Proprietary Product Name: Halaven &#10;Sponsor: Eisai Australia Pty Ltd&#1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F404B7" w:rsidP="003E0F55">
            <w:pPr>
              <w:rPr>
                <w:rFonts w:ascii="Arial" w:hAnsi="Arial" w:cs="Arial"/>
                <w:b/>
                <w:color w:val="002C47"/>
                <w:sz w:val="36"/>
                <w:szCs w:val="36"/>
              </w:rPr>
            </w:pPr>
            <w:r>
              <w:rPr>
                <w:rFonts w:ascii="Arial" w:hAnsi="Arial" w:cs="Arial"/>
                <w:b/>
                <w:color w:val="002C47"/>
                <w:sz w:val="36"/>
                <w:szCs w:val="36"/>
              </w:rPr>
              <w:t xml:space="preserve">October </w:t>
            </w:r>
            <w:r w:rsidR="003E0F55">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Description w:val="Australian Public Assessment Report for Eribulin mesilate&#10;Proprietary Product Name: Halaven &#10;Sponsor: Eisai Australia Pty Ltd&#10;"/>
      </w:tblPr>
      <w:tblGrid>
        <w:gridCol w:w="9079"/>
      </w:tblGrid>
      <w:tr w:rsidR="0032583B" w:rsidRPr="00A964D1" w:rsidTr="0032583B">
        <w:trPr>
          <w:trHeight w:val="868"/>
        </w:trPr>
        <w:tc>
          <w:tcPr>
            <w:tcW w:w="9079" w:type="dxa"/>
          </w:tcPr>
          <w:p w:rsidR="0032583B" w:rsidRPr="00A964D1" w:rsidRDefault="0032583B" w:rsidP="00F13CF2">
            <w:pPr>
              <w:pStyle w:val="Title"/>
              <w:rPr>
                <w:color w:val="FFFFFF" w:themeColor="background1"/>
              </w:rPr>
            </w:pPr>
            <w:bookmarkStart w:id="0" w:name="_GoBack"/>
            <w:bookmarkEnd w:id="0"/>
            <w:r w:rsidRPr="00A964D1">
              <w:rPr>
                <w:color w:val="FFFFFF" w:themeColor="background1"/>
              </w:rPr>
              <w:t xml:space="preserve">Australian Public Assessment Report for </w:t>
            </w:r>
            <w:proofErr w:type="spellStart"/>
            <w:r w:rsidR="004658CF" w:rsidRPr="004658CF">
              <w:rPr>
                <w:color w:val="FFFFFF" w:themeColor="background1"/>
              </w:rPr>
              <w:t>Eribulin</w:t>
            </w:r>
            <w:proofErr w:type="spellEnd"/>
            <w:r w:rsidR="004658CF" w:rsidRPr="004658CF">
              <w:rPr>
                <w:color w:val="FFFFFF" w:themeColor="background1"/>
              </w:rPr>
              <w:t xml:space="preserve"> </w:t>
            </w:r>
            <w:proofErr w:type="spellStart"/>
            <w:r w:rsidR="004658CF" w:rsidRPr="004658CF">
              <w:rPr>
                <w:color w:val="FFFFFF" w:themeColor="background1"/>
              </w:rPr>
              <w:t>mesilate</w:t>
            </w:r>
            <w:proofErr w:type="spellEnd"/>
          </w:p>
        </w:tc>
      </w:tr>
      <w:tr w:rsidR="0032583B" w:rsidRPr="00B64760" w:rsidTr="0032583B">
        <w:tc>
          <w:tcPr>
            <w:tcW w:w="9079" w:type="dxa"/>
          </w:tcPr>
          <w:p w:rsidR="0032583B" w:rsidRPr="008E7846" w:rsidRDefault="0032583B" w:rsidP="004658CF">
            <w:pPr>
              <w:pStyle w:val="Subtitle"/>
              <w:rPr>
                <w:color w:val="FFFFFF" w:themeColor="background1"/>
              </w:rPr>
            </w:pPr>
            <w:r w:rsidRPr="008E7846">
              <w:rPr>
                <w:color w:val="FFFFFF" w:themeColor="background1"/>
              </w:rPr>
              <w:t xml:space="preserve">Proprietary Product Name: </w:t>
            </w:r>
            <w:proofErr w:type="spellStart"/>
            <w:r w:rsidR="004658CF">
              <w:rPr>
                <w:color w:val="FFFFFF" w:themeColor="background1"/>
              </w:rPr>
              <w:t>Halaven</w:t>
            </w:r>
            <w:proofErr w:type="spellEnd"/>
            <w:r w:rsidRPr="008E7846">
              <w:rPr>
                <w:color w:val="FFFFFF" w:themeColor="background1"/>
              </w:rPr>
              <w:t xml:space="preserve"> </w:t>
            </w:r>
          </w:p>
        </w:tc>
      </w:tr>
      <w:tr w:rsidR="0032583B" w:rsidRPr="00B64760" w:rsidTr="0032583B">
        <w:trPr>
          <w:trHeight w:val="486"/>
        </w:trPr>
        <w:tc>
          <w:tcPr>
            <w:tcW w:w="9079" w:type="dxa"/>
          </w:tcPr>
          <w:p w:rsidR="0032583B" w:rsidRPr="008E7846" w:rsidRDefault="0032583B" w:rsidP="004658CF">
            <w:pPr>
              <w:pStyle w:val="Subtitle"/>
              <w:rPr>
                <w:color w:val="FFFFFF" w:themeColor="background1"/>
              </w:rPr>
            </w:pPr>
            <w:r w:rsidRPr="008E7846">
              <w:rPr>
                <w:color w:val="FFFFFF" w:themeColor="background1"/>
              </w:rPr>
              <w:t xml:space="preserve">Sponsor: </w:t>
            </w:r>
            <w:r w:rsidR="004658CF">
              <w:rPr>
                <w:color w:val="FFFFFF" w:themeColor="background1"/>
              </w:rPr>
              <w:t xml:space="preserve">Eisai </w:t>
            </w:r>
            <w:r w:rsidR="00A82C70">
              <w:rPr>
                <w:color w:val="FFFFFF" w:themeColor="background1"/>
              </w:rPr>
              <w:t xml:space="preserve">Australia </w:t>
            </w:r>
            <w:r w:rsidR="004658CF">
              <w:rPr>
                <w:color w:val="FFFFFF" w:themeColor="background1"/>
              </w:rPr>
              <w:t>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45249C">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F173D"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7233764" w:history="1">
            <w:r w:rsidR="00FF173D" w:rsidRPr="00860625">
              <w:rPr>
                <w:rStyle w:val="Hyperlink"/>
                <w:noProof/>
              </w:rPr>
              <w:t>Common abbreviations</w:t>
            </w:r>
            <w:r w:rsidR="00FF173D">
              <w:rPr>
                <w:noProof/>
                <w:webHidden/>
              </w:rPr>
              <w:tab/>
            </w:r>
            <w:r w:rsidR="00FF173D">
              <w:rPr>
                <w:noProof/>
                <w:webHidden/>
              </w:rPr>
              <w:fldChar w:fldCharType="begin"/>
            </w:r>
            <w:r w:rsidR="00FF173D">
              <w:rPr>
                <w:noProof/>
                <w:webHidden/>
              </w:rPr>
              <w:instrText xml:space="preserve"> PAGEREF _Toc497233764 \h </w:instrText>
            </w:r>
            <w:r w:rsidR="00FF173D">
              <w:rPr>
                <w:noProof/>
                <w:webHidden/>
              </w:rPr>
            </w:r>
            <w:r w:rsidR="00FF173D">
              <w:rPr>
                <w:noProof/>
                <w:webHidden/>
              </w:rPr>
              <w:fldChar w:fldCharType="separate"/>
            </w:r>
            <w:r w:rsidR="00FF173D">
              <w:rPr>
                <w:noProof/>
                <w:webHidden/>
              </w:rPr>
              <w:t>4</w:t>
            </w:r>
            <w:r w:rsidR="00FF173D">
              <w:rPr>
                <w:noProof/>
                <w:webHidden/>
              </w:rPr>
              <w:fldChar w:fldCharType="end"/>
            </w:r>
          </w:hyperlink>
        </w:p>
        <w:p w:rsidR="00FF173D" w:rsidRDefault="00FF173D">
          <w:pPr>
            <w:pStyle w:val="TOC2"/>
            <w:rPr>
              <w:rFonts w:asciiTheme="minorHAnsi" w:eastAsiaTheme="minorEastAsia" w:hAnsiTheme="minorHAnsi" w:cstheme="minorBidi"/>
              <w:b w:val="0"/>
              <w:noProof/>
              <w:sz w:val="22"/>
              <w:lang w:eastAsia="en-AU"/>
            </w:rPr>
          </w:pPr>
          <w:hyperlink w:anchor="_Toc497233765" w:history="1">
            <w:r w:rsidRPr="00860625">
              <w:rPr>
                <w:rStyle w:val="Hyperlink"/>
                <w:noProof/>
              </w:rPr>
              <w:t>I. Introduction to product submission</w:t>
            </w:r>
            <w:r>
              <w:rPr>
                <w:noProof/>
                <w:webHidden/>
              </w:rPr>
              <w:tab/>
            </w:r>
            <w:r>
              <w:rPr>
                <w:noProof/>
                <w:webHidden/>
              </w:rPr>
              <w:fldChar w:fldCharType="begin"/>
            </w:r>
            <w:r>
              <w:rPr>
                <w:noProof/>
                <w:webHidden/>
              </w:rPr>
              <w:instrText xml:space="preserve"> PAGEREF _Toc497233765 \h </w:instrText>
            </w:r>
            <w:r>
              <w:rPr>
                <w:noProof/>
                <w:webHidden/>
              </w:rPr>
            </w:r>
            <w:r>
              <w:rPr>
                <w:noProof/>
                <w:webHidden/>
              </w:rPr>
              <w:fldChar w:fldCharType="separate"/>
            </w:r>
            <w:r>
              <w:rPr>
                <w:noProof/>
                <w:webHidden/>
              </w:rPr>
              <w:t>7</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66" w:history="1">
            <w:r w:rsidRPr="00860625">
              <w:rPr>
                <w:rStyle w:val="Hyperlink"/>
                <w:noProof/>
                <w:lang w:eastAsia="en-AU"/>
              </w:rPr>
              <w:t>Submission details</w:t>
            </w:r>
            <w:r>
              <w:rPr>
                <w:noProof/>
                <w:webHidden/>
              </w:rPr>
              <w:tab/>
            </w:r>
            <w:r>
              <w:rPr>
                <w:noProof/>
                <w:webHidden/>
              </w:rPr>
              <w:fldChar w:fldCharType="begin"/>
            </w:r>
            <w:r>
              <w:rPr>
                <w:noProof/>
                <w:webHidden/>
              </w:rPr>
              <w:instrText xml:space="preserve"> PAGEREF _Toc497233766 \h </w:instrText>
            </w:r>
            <w:r>
              <w:rPr>
                <w:noProof/>
                <w:webHidden/>
              </w:rPr>
            </w:r>
            <w:r>
              <w:rPr>
                <w:noProof/>
                <w:webHidden/>
              </w:rPr>
              <w:fldChar w:fldCharType="separate"/>
            </w:r>
            <w:r>
              <w:rPr>
                <w:noProof/>
                <w:webHidden/>
              </w:rPr>
              <w:t>7</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67" w:history="1">
            <w:r w:rsidRPr="00860625">
              <w:rPr>
                <w:rStyle w:val="Hyperlink"/>
                <w:noProof/>
              </w:rPr>
              <w:t>Product background</w:t>
            </w:r>
            <w:r>
              <w:rPr>
                <w:noProof/>
                <w:webHidden/>
              </w:rPr>
              <w:tab/>
            </w:r>
            <w:r>
              <w:rPr>
                <w:noProof/>
                <w:webHidden/>
              </w:rPr>
              <w:fldChar w:fldCharType="begin"/>
            </w:r>
            <w:r>
              <w:rPr>
                <w:noProof/>
                <w:webHidden/>
              </w:rPr>
              <w:instrText xml:space="preserve"> PAGEREF _Toc497233767 \h </w:instrText>
            </w:r>
            <w:r>
              <w:rPr>
                <w:noProof/>
                <w:webHidden/>
              </w:rPr>
            </w:r>
            <w:r>
              <w:rPr>
                <w:noProof/>
                <w:webHidden/>
              </w:rPr>
              <w:fldChar w:fldCharType="separate"/>
            </w:r>
            <w:r>
              <w:rPr>
                <w:noProof/>
                <w:webHidden/>
              </w:rPr>
              <w:t>7</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68" w:history="1">
            <w:r w:rsidRPr="00860625">
              <w:rPr>
                <w:rStyle w:val="Hyperlink"/>
                <w:noProof/>
              </w:rPr>
              <w:t>Regulatory status</w:t>
            </w:r>
            <w:r>
              <w:rPr>
                <w:noProof/>
                <w:webHidden/>
              </w:rPr>
              <w:tab/>
            </w:r>
            <w:r>
              <w:rPr>
                <w:noProof/>
                <w:webHidden/>
              </w:rPr>
              <w:fldChar w:fldCharType="begin"/>
            </w:r>
            <w:r>
              <w:rPr>
                <w:noProof/>
                <w:webHidden/>
              </w:rPr>
              <w:instrText xml:space="preserve"> PAGEREF _Toc497233768 \h </w:instrText>
            </w:r>
            <w:r>
              <w:rPr>
                <w:noProof/>
                <w:webHidden/>
              </w:rPr>
            </w:r>
            <w:r>
              <w:rPr>
                <w:noProof/>
                <w:webHidden/>
              </w:rPr>
              <w:fldChar w:fldCharType="separate"/>
            </w:r>
            <w:r>
              <w:rPr>
                <w:noProof/>
                <w:webHidden/>
              </w:rPr>
              <w:t>10</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69" w:history="1">
            <w:r w:rsidRPr="00860625">
              <w:rPr>
                <w:rStyle w:val="Hyperlink"/>
                <w:noProof/>
              </w:rPr>
              <w:t>Product Information</w:t>
            </w:r>
            <w:r>
              <w:rPr>
                <w:noProof/>
                <w:webHidden/>
              </w:rPr>
              <w:tab/>
            </w:r>
            <w:r>
              <w:rPr>
                <w:noProof/>
                <w:webHidden/>
              </w:rPr>
              <w:fldChar w:fldCharType="begin"/>
            </w:r>
            <w:r>
              <w:rPr>
                <w:noProof/>
                <w:webHidden/>
              </w:rPr>
              <w:instrText xml:space="preserve"> PAGEREF _Toc497233769 \h </w:instrText>
            </w:r>
            <w:r>
              <w:rPr>
                <w:noProof/>
                <w:webHidden/>
              </w:rPr>
            </w:r>
            <w:r>
              <w:rPr>
                <w:noProof/>
                <w:webHidden/>
              </w:rPr>
              <w:fldChar w:fldCharType="separate"/>
            </w:r>
            <w:r>
              <w:rPr>
                <w:noProof/>
                <w:webHidden/>
              </w:rPr>
              <w:t>11</w:t>
            </w:r>
            <w:r>
              <w:rPr>
                <w:noProof/>
                <w:webHidden/>
              </w:rPr>
              <w:fldChar w:fldCharType="end"/>
            </w:r>
          </w:hyperlink>
        </w:p>
        <w:p w:rsidR="00FF173D" w:rsidRDefault="00FF173D">
          <w:pPr>
            <w:pStyle w:val="TOC2"/>
            <w:rPr>
              <w:rFonts w:asciiTheme="minorHAnsi" w:eastAsiaTheme="minorEastAsia" w:hAnsiTheme="minorHAnsi" w:cstheme="minorBidi"/>
              <w:b w:val="0"/>
              <w:noProof/>
              <w:sz w:val="22"/>
              <w:lang w:eastAsia="en-AU"/>
            </w:rPr>
          </w:pPr>
          <w:hyperlink w:anchor="_Toc497233770" w:history="1">
            <w:r w:rsidRPr="00860625">
              <w:rPr>
                <w:rStyle w:val="Hyperlink"/>
                <w:noProof/>
              </w:rPr>
              <w:t>II. Quality findings</w:t>
            </w:r>
            <w:r>
              <w:rPr>
                <w:noProof/>
                <w:webHidden/>
              </w:rPr>
              <w:tab/>
            </w:r>
            <w:r>
              <w:rPr>
                <w:noProof/>
                <w:webHidden/>
              </w:rPr>
              <w:fldChar w:fldCharType="begin"/>
            </w:r>
            <w:r>
              <w:rPr>
                <w:noProof/>
                <w:webHidden/>
              </w:rPr>
              <w:instrText xml:space="preserve"> PAGEREF _Toc497233770 \h </w:instrText>
            </w:r>
            <w:r>
              <w:rPr>
                <w:noProof/>
                <w:webHidden/>
              </w:rPr>
            </w:r>
            <w:r>
              <w:rPr>
                <w:noProof/>
                <w:webHidden/>
              </w:rPr>
              <w:fldChar w:fldCharType="separate"/>
            </w:r>
            <w:r>
              <w:rPr>
                <w:noProof/>
                <w:webHidden/>
              </w:rPr>
              <w:t>11</w:t>
            </w:r>
            <w:r>
              <w:rPr>
                <w:noProof/>
                <w:webHidden/>
              </w:rPr>
              <w:fldChar w:fldCharType="end"/>
            </w:r>
          </w:hyperlink>
        </w:p>
        <w:p w:rsidR="00FF173D" w:rsidRDefault="00FF173D">
          <w:pPr>
            <w:pStyle w:val="TOC2"/>
            <w:rPr>
              <w:rFonts w:asciiTheme="minorHAnsi" w:eastAsiaTheme="minorEastAsia" w:hAnsiTheme="minorHAnsi" w:cstheme="minorBidi"/>
              <w:b w:val="0"/>
              <w:noProof/>
              <w:sz w:val="22"/>
              <w:lang w:eastAsia="en-AU"/>
            </w:rPr>
          </w:pPr>
          <w:hyperlink w:anchor="_Toc497233771" w:history="1">
            <w:r w:rsidRPr="00860625">
              <w:rPr>
                <w:rStyle w:val="Hyperlink"/>
                <w:noProof/>
              </w:rPr>
              <w:t>III. Nonclinical findings</w:t>
            </w:r>
            <w:r>
              <w:rPr>
                <w:noProof/>
                <w:webHidden/>
              </w:rPr>
              <w:tab/>
            </w:r>
            <w:r>
              <w:rPr>
                <w:noProof/>
                <w:webHidden/>
              </w:rPr>
              <w:fldChar w:fldCharType="begin"/>
            </w:r>
            <w:r>
              <w:rPr>
                <w:noProof/>
                <w:webHidden/>
              </w:rPr>
              <w:instrText xml:space="preserve"> PAGEREF _Toc497233771 \h </w:instrText>
            </w:r>
            <w:r>
              <w:rPr>
                <w:noProof/>
                <w:webHidden/>
              </w:rPr>
            </w:r>
            <w:r>
              <w:rPr>
                <w:noProof/>
                <w:webHidden/>
              </w:rPr>
              <w:fldChar w:fldCharType="separate"/>
            </w:r>
            <w:r>
              <w:rPr>
                <w:noProof/>
                <w:webHidden/>
              </w:rPr>
              <w:t>11</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72" w:history="1">
            <w:r w:rsidRPr="00860625">
              <w:rPr>
                <w:rStyle w:val="Hyperlink"/>
                <w:noProof/>
              </w:rPr>
              <w:t>Introduction</w:t>
            </w:r>
            <w:r>
              <w:rPr>
                <w:noProof/>
                <w:webHidden/>
              </w:rPr>
              <w:tab/>
            </w:r>
            <w:r>
              <w:rPr>
                <w:noProof/>
                <w:webHidden/>
              </w:rPr>
              <w:fldChar w:fldCharType="begin"/>
            </w:r>
            <w:r>
              <w:rPr>
                <w:noProof/>
                <w:webHidden/>
              </w:rPr>
              <w:instrText xml:space="preserve"> PAGEREF _Toc497233772 \h </w:instrText>
            </w:r>
            <w:r>
              <w:rPr>
                <w:noProof/>
                <w:webHidden/>
              </w:rPr>
            </w:r>
            <w:r>
              <w:rPr>
                <w:noProof/>
                <w:webHidden/>
              </w:rPr>
              <w:fldChar w:fldCharType="separate"/>
            </w:r>
            <w:r>
              <w:rPr>
                <w:noProof/>
                <w:webHidden/>
              </w:rPr>
              <w:t>11</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73" w:history="1">
            <w:r w:rsidRPr="00860625">
              <w:rPr>
                <w:rStyle w:val="Hyperlink"/>
                <w:noProof/>
              </w:rPr>
              <w:t>Pharmacology</w:t>
            </w:r>
            <w:r>
              <w:rPr>
                <w:noProof/>
                <w:webHidden/>
              </w:rPr>
              <w:tab/>
            </w:r>
            <w:r>
              <w:rPr>
                <w:noProof/>
                <w:webHidden/>
              </w:rPr>
              <w:fldChar w:fldCharType="begin"/>
            </w:r>
            <w:r>
              <w:rPr>
                <w:noProof/>
                <w:webHidden/>
              </w:rPr>
              <w:instrText xml:space="preserve"> PAGEREF _Toc497233773 \h </w:instrText>
            </w:r>
            <w:r>
              <w:rPr>
                <w:noProof/>
                <w:webHidden/>
              </w:rPr>
            </w:r>
            <w:r>
              <w:rPr>
                <w:noProof/>
                <w:webHidden/>
              </w:rPr>
              <w:fldChar w:fldCharType="separate"/>
            </w:r>
            <w:r>
              <w:rPr>
                <w:noProof/>
                <w:webHidden/>
              </w:rPr>
              <w:t>11</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74" w:history="1">
            <w:r w:rsidRPr="00860625">
              <w:rPr>
                <w:rStyle w:val="Hyperlink"/>
                <w:noProof/>
              </w:rPr>
              <w:t>Pharmacokinetics</w:t>
            </w:r>
            <w:r>
              <w:rPr>
                <w:noProof/>
                <w:webHidden/>
              </w:rPr>
              <w:tab/>
            </w:r>
            <w:r>
              <w:rPr>
                <w:noProof/>
                <w:webHidden/>
              </w:rPr>
              <w:fldChar w:fldCharType="begin"/>
            </w:r>
            <w:r>
              <w:rPr>
                <w:noProof/>
                <w:webHidden/>
              </w:rPr>
              <w:instrText xml:space="preserve"> PAGEREF _Toc497233774 \h </w:instrText>
            </w:r>
            <w:r>
              <w:rPr>
                <w:noProof/>
                <w:webHidden/>
              </w:rPr>
            </w:r>
            <w:r>
              <w:rPr>
                <w:noProof/>
                <w:webHidden/>
              </w:rPr>
              <w:fldChar w:fldCharType="separate"/>
            </w:r>
            <w:r>
              <w:rPr>
                <w:noProof/>
                <w:webHidden/>
              </w:rPr>
              <w:t>12</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75" w:history="1">
            <w:r w:rsidRPr="00860625">
              <w:rPr>
                <w:rStyle w:val="Hyperlink"/>
                <w:noProof/>
              </w:rPr>
              <w:t>Nonclinical summary and conclusions</w:t>
            </w:r>
            <w:r>
              <w:rPr>
                <w:noProof/>
                <w:webHidden/>
              </w:rPr>
              <w:tab/>
            </w:r>
            <w:r>
              <w:rPr>
                <w:noProof/>
                <w:webHidden/>
              </w:rPr>
              <w:fldChar w:fldCharType="begin"/>
            </w:r>
            <w:r>
              <w:rPr>
                <w:noProof/>
                <w:webHidden/>
              </w:rPr>
              <w:instrText xml:space="preserve"> PAGEREF _Toc497233775 \h </w:instrText>
            </w:r>
            <w:r>
              <w:rPr>
                <w:noProof/>
                <w:webHidden/>
              </w:rPr>
            </w:r>
            <w:r>
              <w:rPr>
                <w:noProof/>
                <w:webHidden/>
              </w:rPr>
              <w:fldChar w:fldCharType="separate"/>
            </w:r>
            <w:r>
              <w:rPr>
                <w:noProof/>
                <w:webHidden/>
              </w:rPr>
              <w:t>13</w:t>
            </w:r>
            <w:r>
              <w:rPr>
                <w:noProof/>
                <w:webHidden/>
              </w:rPr>
              <w:fldChar w:fldCharType="end"/>
            </w:r>
          </w:hyperlink>
        </w:p>
        <w:p w:rsidR="00FF173D" w:rsidRDefault="00FF173D">
          <w:pPr>
            <w:pStyle w:val="TOC2"/>
            <w:rPr>
              <w:rFonts w:asciiTheme="minorHAnsi" w:eastAsiaTheme="minorEastAsia" w:hAnsiTheme="minorHAnsi" w:cstheme="minorBidi"/>
              <w:b w:val="0"/>
              <w:noProof/>
              <w:sz w:val="22"/>
              <w:lang w:eastAsia="en-AU"/>
            </w:rPr>
          </w:pPr>
          <w:hyperlink w:anchor="_Toc497233776" w:history="1">
            <w:r w:rsidRPr="00860625">
              <w:rPr>
                <w:rStyle w:val="Hyperlink"/>
                <w:noProof/>
              </w:rPr>
              <w:t>IV. Clinical findings</w:t>
            </w:r>
            <w:r>
              <w:rPr>
                <w:noProof/>
                <w:webHidden/>
              </w:rPr>
              <w:tab/>
            </w:r>
            <w:r>
              <w:rPr>
                <w:noProof/>
                <w:webHidden/>
              </w:rPr>
              <w:fldChar w:fldCharType="begin"/>
            </w:r>
            <w:r>
              <w:rPr>
                <w:noProof/>
                <w:webHidden/>
              </w:rPr>
              <w:instrText xml:space="preserve"> PAGEREF _Toc497233776 \h </w:instrText>
            </w:r>
            <w:r>
              <w:rPr>
                <w:noProof/>
                <w:webHidden/>
              </w:rPr>
            </w:r>
            <w:r>
              <w:rPr>
                <w:noProof/>
                <w:webHidden/>
              </w:rPr>
              <w:fldChar w:fldCharType="separate"/>
            </w:r>
            <w:r>
              <w:rPr>
                <w:noProof/>
                <w:webHidden/>
              </w:rPr>
              <w:t>13</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77" w:history="1">
            <w:r w:rsidRPr="00860625">
              <w:rPr>
                <w:rStyle w:val="Hyperlink"/>
                <w:noProof/>
              </w:rPr>
              <w:t>Introduction</w:t>
            </w:r>
            <w:r>
              <w:rPr>
                <w:noProof/>
                <w:webHidden/>
              </w:rPr>
              <w:tab/>
            </w:r>
            <w:r>
              <w:rPr>
                <w:noProof/>
                <w:webHidden/>
              </w:rPr>
              <w:fldChar w:fldCharType="begin"/>
            </w:r>
            <w:r>
              <w:rPr>
                <w:noProof/>
                <w:webHidden/>
              </w:rPr>
              <w:instrText xml:space="preserve"> PAGEREF _Toc497233777 \h </w:instrText>
            </w:r>
            <w:r>
              <w:rPr>
                <w:noProof/>
                <w:webHidden/>
              </w:rPr>
            </w:r>
            <w:r>
              <w:rPr>
                <w:noProof/>
                <w:webHidden/>
              </w:rPr>
              <w:fldChar w:fldCharType="separate"/>
            </w:r>
            <w:r>
              <w:rPr>
                <w:noProof/>
                <w:webHidden/>
              </w:rPr>
              <w:t>14</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78" w:history="1">
            <w:r w:rsidRPr="00860625">
              <w:rPr>
                <w:rStyle w:val="Hyperlink"/>
                <w:noProof/>
              </w:rPr>
              <w:t>Pharmacokinetics</w:t>
            </w:r>
            <w:r>
              <w:rPr>
                <w:noProof/>
                <w:webHidden/>
              </w:rPr>
              <w:tab/>
            </w:r>
            <w:r>
              <w:rPr>
                <w:noProof/>
                <w:webHidden/>
              </w:rPr>
              <w:fldChar w:fldCharType="begin"/>
            </w:r>
            <w:r>
              <w:rPr>
                <w:noProof/>
                <w:webHidden/>
              </w:rPr>
              <w:instrText xml:space="preserve"> PAGEREF _Toc497233778 \h </w:instrText>
            </w:r>
            <w:r>
              <w:rPr>
                <w:noProof/>
                <w:webHidden/>
              </w:rPr>
            </w:r>
            <w:r>
              <w:rPr>
                <w:noProof/>
                <w:webHidden/>
              </w:rPr>
              <w:fldChar w:fldCharType="separate"/>
            </w:r>
            <w:r>
              <w:rPr>
                <w:noProof/>
                <w:webHidden/>
              </w:rPr>
              <w:t>17</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79" w:history="1">
            <w:r w:rsidRPr="00860625">
              <w:rPr>
                <w:rStyle w:val="Hyperlink"/>
                <w:noProof/>
              </w:rPr>
              <w:t>Pharmacodynamics</w:t>
            </w:r>
            <w:r>
              <w:rPr>
                <w:noProof/>
                <w:webHidden/>
              </w:rPr>
              <w:tab/>
            </w:r>
            <w:r>
              <w:rPr>
                <w:noProof/>
                <w:webHidden/>
              </w:rPr>
              <w:fldChar w:fldCharType="begin"/>
            </w:r>
            <w:r>
              <w:rPr>
                <w:noProof/>
                <w:webHidden/>
              </w:rPr>
              <w:instrText xml:space="preserve"> PAGEREF _Toc497233779 \h </w:instrText>
            </w:r>
            <w:r>
              <w:rPr>
                <w:noProof/>
                <w:webHidden/>
              </w:rPr>
            </w:r>
            <w:r>
              <w:rPr>
                <w:noProof/>
                <w:webHidden/>
              </w:rPr>
              <w:fldChar w:fldCharType="separate"/>
            </w:r>
            <w:r>
              <w:rPr>
                <w:noProof/>
                <w:webHidden/>
              </w:rPr>
              <w:t>18</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80" w:history="1">
            <w:r w:rsidRPr="00860625">
              <w:rPr>
                <w:rStyle w:val="Hyperlink"/>
                <w:noProof/>
              </w:rPr>
              <w:t>Dosage selection for the pivotal studies</w:t>
            </w:r>
            <w:r>
              <w:rPr>
                <w:noProof/>
                <w:webHidden/>
              </w:rPr>
              <w:tab/>
            </w:r>
            <w:r>
              <w:rPr>
                <w:noProof/>
                <w:webHidden/>
              </w:rPr>
              <w:fldChar w:fldCharType="begin"/>
            </w:r>
            <w:r>
              <w:rPr>
                <w:noProof/>
                <w:webHidden/>
              </w:rPr>
              <w:instrText xml:space="preserve"> PAGEREF _Toc497233780 \h </w:instrText>
            </w:r>
            <w:r>
              <w:rPr>
                <w:noProof/>
                <w:webHidden/>
              </w:rPr>
            </w:r>
            <w:r>
              <w:rPr>
                <w:noProof/>
                <w:webHidden/>
              </w:rPr>
              <w:fldChar w:fldCharType="separate"/>
            </w:r>
            <w:r>
              <w:rPr>
                <w:noProof/>
                <w:webHidden/>
              </w:rPr>
              <w:t>18</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81" w:history="1">
            <w:r w:rsidRPr="00860625">
              <w:rPr>
                <w:rStyle w:val="Hyperlink"/>
                <w:noProof/>
              </w:rPr>
              <w:t>Efficacy</w:t>
            </w:r>
            <w:r>
              <w:rPr>
                <w:noProof/>
                <w:webHidden/>
              </w:rPr>
              <w:tab/>
            </w:r>
            <w:r>
              <w:rPr>
                <w:noProof/>
                <w:webHidden/>
              </w:rPr>
              <w:fldChar w:fldCharType="begin"/>
            </w:r>
            <w:r>
              <w:rPr>
                <w:noProof/>
                <w:webHidden/>
              </w:rPr>
              <w:instrText xml:space="preserve"> PAGEREF _Toc497233781 \h </w:instrText>
            </w:r>
            <w:r>
              <w:rPr>
                <w:noProof/>
                <w:webHidden/>
              </w:rPr>
            </w:r>
            <w:r>
              <w:rPr>
                <w:noProof/>
                <w:webHidden/>
              </w:rPr>
              <w:fldChar w:fldCharType="separate"/>
            </w:r>
            <w:r>
              <w:rPr>
                <w:noProof/>
                <w:webHidden/>
              </w:rPr>
              <w:t>19</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82" w:history="1">
            <w:r w:rsidRPr="00860625">
              <w:rPr>
                <w:rStyle w:val="Hyperlink"/>
                <w:noProof/>
              </w:rPr>
              <w:t>Safety</w:t>
            </w:r>
            <w:r>
              <w:rPr>
                <w:noProof/>
                <w:webHidden/>
              </w:rPr>
              <w:tab/>
            </w:r>
            <w:r>
              <w:rPr>
                <w:noProof/>
                <w:webHidden/>
              </w:rPr>
              <w:fldChar w:fldCharType="begin"/>
            </w:r>
            <w:r>
              <w:rPr>
                <w:noProof/>
                <w:webHidden/>
              </w:rPr>
              <w:instrText xml:space="preserve"> PAGEREF _Toc497233782 \h </w:instrText>
            </w:r>
            <w:r>
              <w:rPr>
                <w:noProof/>
                <w:webHidden/>
              </w:rPr>
            </w:r>
            <w:r>
              <w:rPr>
                <w:noProof/>
                <w:webHidden/>
              </w:rPr>
              <w:fldChar w:fldCharType="separate"/>
            </w:r>
            <w:r>
              <w:rPr>
                <w:noProof/>
                <w:webHidden/>
              </w:rPr>
              <w:t>20</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83" w:history="1">
            <w:r w:rsidRPr="00860625">
              <w:rPr>
                <w:rStyle w:val="Hyperlink"/>
                <w:noProof/>
              </w:rPr>
              <w:t>First Round Benefit-Risk Assessment</w:t>
            </w:r>
            <w:r>
              <w:rPr>
                <w:noProof/>
                <w:webHidden/>
              </w:rPr>
              <w:tab/>
            </w:r>
            <w:r>
              <w:rPr>
                <w:noProof/>
                <w:webHidden/>
              </w:rPr>
              <w:fldChar w:fldCharType="begin"/>
            </w:r>
            <w:r>
              <w:rPr>
                <w:noProof/>
                <w:webHidden/>
              </w:rPr>
              <w:instrText xml:space="preserve"> PAGEREF _Toc497233783 \h </w:instrText>
            </w:r>
            <w:r>
              <w:rPr>
                <w:noProof/>
                <w:webHidden/>
              </w:rPr>
            </w:r>
            <w:r>
              <w:rPr>
                <w:noProof/>
                <w:webHidden/>
              </w:rPr>
              <w:fldChar w:fldCharType="separate"/>
            </w:r>
            <w:r>
              <w:rPr>
                <w:noProof/>
                <w:webHidden/>
              </w:rPr>
              <w:t>24</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84" w:history="1">
            <w:r w:rsidRPr="00860625">
              <w:rPr>
                <w:rStyle w:val="Hyperlink"/>
                <w:noProof/>
              </w:rPr>
              <w:t>First Round Recommendation Regarding Authorisation</w:t>
            </w:r>
            <w:r>
              <w:rPr>
                <w:noProof/>
                <w:webHidden/>
              </w:rPr>
              <w:tab/>
            </w:r>
            <w:r>
              <w:rPr>
                <w:noProof/>
                <w:webHidden/>
              </w:rPr>
              <w:fldChar w:fldCharType="begin"/>
            </w:r>
            <w:r>
              <w:rPr>
                <w:noProof/>
                <w:webHidden/>
              </w:rPr>
              <w:instrText xml:space="preserve"> PAGEREF _Toc497233784 \h </w:instrText>
            </w:r>
            <w:r>
              <w:rPr>
                <w:noProof/>
                <w:webHidden/>
              </w:rPr>
            </w:r>
            <w:r>
              <w:rPr>
                <w:noProof/>
                <w:webHidden/>
              </w:rPr>
              <w:fldChar w:fldCharType="separate"/>
            </w:r>
            <w:r>
              <w:rPr>
                <w:noProof/>
                <w:webHidden/>
              </w:rPr>
              <w:t>24</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85" w:history="1">
            <w:r w:rsidRPr="00860625">
              <w:rPr>
                <w:rStyle w:val="Hyperlink"/>
                <w:noProof/>
              </w:rPr>
              <w:t>Clinical Questions</w:t>
            </w:r>
            <w:r>
              <w:rPr>
                <w:noProof/>
                <w:webHidden/>
              </w:rPr>
              <w:tab/>
            </w:r>
            <w:r>
              <w:rPr>
                <w:noProof/>
                <w:webHidden/>
              </w:rPr>
              <w:fldChar w:fldCharType="begin"/>
            </w:r>
            <w:r>
              <w:rPr>
                <w:noProof/>
                <w:webHidden/>
              </w:rPr>
              <w:instrText xml:space="preserve"> PAGEREF _Toc497233785 \h </w:instrText>
            </w:r>
            <w:r>
              <w:rPr>
                <w:noProof/>
                <w:webHidden/>
              </w:rPr>
            </w:r>
            <w:r>
              <w:rPr>
                <w:noProof/>
                <w:webHidden/>
              </w:rPr>
              <w:fldChar w:fldCharType="separate"/>
            </w:r>
            <w:r>
              <w:rPr>
                <w:noProof/>
                <w:webHidden/>
              </w:rPr>
              <w:t>24</w:t>
            </w:r>
            <w:r>
              <w:rPr>
                <w:noProof/>
                <w:webHidden/>
              </w:rPr>
              <w:fldChar w:fldCharType="end"/>
            </w:r>
          </w:hyperlink>
        </w:p>
        <w:p w:rsidR="00FF173D" w:rsidRDefault="00FF173D">
          <w:pPr>
            <w:pStyle w:val="TOC2"/>
            <w:rPr>
              <w:rFonts w:asciiTheme="minorHAnsi" w:eastAsiaTheme="minorEastAsia" w:hAnsiTheme="minorHAnsi" w:cstheme="minorBidi"/>
              <w:b w:val="0"/>
              <w:noProof/>
              <w:sz w:val="22"/>
              <w:lang w:eastAsia="en-AU"/>
            </w:rPr>
          </w:pPr>
          <w:hyperlink w:anchor="_Toc497233786" w:history="1">
            <w:r w:rsidRPr="00860625">
              <w:rPr>
                <w:rStyle w:val="Hyperlink"/>
                <w:noProof/>
              </w:rPr>
              <w:t>V. Pharmacovigilance findings</w:t>
            </w:r>
            <w:r>
              <w:rPr>
                <w:noProof/>
                <w:webHidden/>
              </w:rPr>
              <w:tab/>
            </w:r>
            <w:r>
              <w:rPr>
                <w:noProof/>
                <w:webHidden/>
              </w:rPr>
              <w:fldChar w:fldCharType="begin"/>
            </w:r>
            <w:r>
              <w:rPr>
                <w:noProof/>
                <w:webHidden/>
              </w:rPr>
              <w:instrText xml:space="preserve"> PAGEREF _Toc497233786 \h </w:instrText>
            </w:r>
            <w:r>
              <w:rPr>
                <w:noProof/>
                <w:webHidden/>
              </w:rPr>
            </w:r>
            <w:r>
              <w:rPr>
                <w:noProof/>
                <w:webHidden/>
              </w:rPr>
              <w:fldChar w:fldCharType="separate"/>
            </w:r>
            <w:r>
              <w:rPr>
                <w:noProof/>
                <w:webHidden/>
              </w:rPr>
              <w:t>24</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87" w:history="1">
            <w:r w:rsidRPr="00860625">
              <w:rPr>
                <w:rStyle w:val="Hyperlink"/>
                <w:noProof/>
                <w:lang w:eastAsia="en-AU"/>
              </w:rPr>
              <w:t>Risk management plan</w:t>
            </w:r>
            <w:r>
              <w:rPr>
                <w:noProof/>
                <w:webHidden/>
              </w:rPr>
              <w:tab/>
            </w:r>
            <w:r>
              <w:rPr>
                <w:noProof/>
                <w:webHidden/>
              </w:rPr>
              <w:fldChar w:fldCharType="begin"/>
            </w:r>
            <w:r>
              <w:rPr>
                <w:noProof/>
                <w:webHidden/>
              </w:rPr>
              <w:instrText xml:space="preserve"> PAGEREF _Toc497233787 \h </w:instrText>
            </w:r>
            <w:r>
              <w:rPr>
                <w:noProof/>
                <w:webHidden/>
              </w:rPr>
            </w:r>
            <w:r>
              <w:rPr>
                <w:noProof/>
                <w:webHidden/>
              </w:rPr>
              <w:fldChar w:fldCharType="separate"/>
            </w:r>
            <w:r>
              <w:rPr>
                <w:noProof/>
                <w:webHidden/>
              </w:rPr>
              <w:t>24</w:t>
            </w:r>
            <w:r>
              <w:rPr>
                <w:noProof/>
                <w:webHidden/>
              </w:rPr>
              <w:fldChar w:fldCharType="end"/>
            </w:r>
          </w:hyperlink>
        </w:p>
        <w:p w:rsidR="00FF173D" w:rsidRDefault="00FF173D">
          <w:pPr>
            <w:pStyle w:val="TOC2"/>
            <w:rPr>
              <w:rFonts w:asciiTheme="minorHAnsi" w:eastAsiaTheme="minorEastAsia" w:hAnsiTheme="minorHAnsi" w:cstheme="minorBidi"/>
              <w:b w:val="0"/>
              <w:noProof/>
              <w:sz w:val="22"/>
              <w:lang w:eastAsia="en-AU"/>
            </w:rPr>
          </w:pPr>
          <w:hyperlink w:anchor="_Toc497233788" w:history="1">
            <w:r w:rsidRPr="00860625">
              <w:rPr>
                <w:rStyle w:val="Hyperlink"/>
                <w:noProof/>
              </w:rPr>
              <w:t>VI. Overall conclusion and risk/benefit assessment</w:t>
            </w:r>
            <w:r>
              <w:rPr>
                <w:noProof/>
                <w:webHidden/>
              </w:rPr>
              <w:tab/>
            </w:r>
            <w:r>
              <w:rPr>
                <w:noProof/>
                <w:webHidden/>
              </w:rPr>
              <w:fldChar w:fldCharType="begin"/>
            </w:r>
            <w:r>
              <w:rPr>
                <w:noProof/>
                <w:webHidden/>
              </w:rPr>
              <w:instrText xml:space="preserve"> PAGEREF _Toc497233788 \h </w:instrText>
            </w:r>
            <w:r>
              <w:rPr>
                <w:noProof/>
                <w:webHidden/>
              </w:rPr>
            </w:r>
            <w:r>
              <w:rPr>
                <w:noProof/>
                <w:webHidden/>
              </w:rPr>
              <w:fldChar w:fldCharType="separate"/>
            </w:r>
            <w:r>
              <w:rPr>
                <w:noProof/>
                <w:webHidden/>
              </w:rPr>
              <w:t>26</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89" w:history="1">
            <w:r w:rsidRPr="00860625">
              <w:rPr>
                <w:rStyle w:val="Hyperlink"/>
                <w:noProof/>
              </w:rPr>
              <w:t>Quality</w:t>
            </w:r>
            <w:r>
              <w:rPr>
                <w:noProof/>
                <w:webHidden/>
              </w:rPr>
              <w:tab/>
            </w:r>
            <w:r>
              <w:rPr>
                <w:noProof/>
                <w:webHidden/>
              </w:rPr>
              <w:fldChar w:fldCharType="begin"/>
            </w:r>
            <w:r>
              <w:rPr>
                <w:noProof/>
                <w:webHidden/>
              </w:rPr>
              <w:instrText xml:space="preserve"> PAGEREF _Toc497233789 \h </w:instrText>
            </w:r>
            <w:r>
              <w:rPr>
                <w:noProof/>
                <w:webHidden/>
              </w:rPr>
            </w:r>
            <w:r>
              <w:rPr>
                <w:noProof/>
                <w:webHidden/>
              </w:rPr>
              <w:fldChar w:fldCharType="separate"/>
            </w:r>
            <w:r>
              <w:rPr>
                <w:noProof/>
                <w:webHidden/>
              </w:rPr>
              <w:t>26</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90" w:history="1">
            <w:r w:rsidRPr="00860625">
              <w:rPr>
                <w:rStyle w:val="Hyperlink"/>
                <w:noProof/>
              </w:rPr>
              <w:t>Nonclinical</w:t>
            </w:r>
            <w:r>
              <w:rPr>
                <w:noProof/>
                <w:webHidden/>
              </w:rPr>
              <w:tab/>
            </w:r>
            <w:r>
              <w:rPr>
                <w:noProof/>
                <w:webHidden/>
              </w:rPr>
              <w:fldChar w:fldCharType="begin"/>
            </w:r>
            <w:r>
              <w:rPr>
                <w:noProof/>
                <w:webHidden/>
              </w:rPr>
              <w:instrText xml:space="preserve"> PAGEREF _Toc497233790 \h </w:instrText>
            </w:r>
            <w:r>
              <w:rPr>
                <w:noProof/>
                <w:webHidden/>
              </w:rPr>
            </w:r>
            <w:r>
              <w:rPr>
                <w:noProof/>
                <w:webHidden/>
              </w:rPr>
              <w:fldChar w:fldCharType="separate"/>
            </w:r>
            <w:r>
              <w:rPr>
                <w:noProof/>
                <w:webHidden/>
              </w:rPr>
              <w:t>26</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91" w:history="1">
            <w:r w:rsidRPr="00860625">
              <w:rPr>
                <w:rStyle w:val="Hyperlink"/>
                <w:noProof/>
              </w:rPr>
              <w:t>Clinical</w:t>
            </w:r>
            <w:r>
              <w:rPr>
                <w:noProof/>
                <w:webHidden/>
              </w:rPr>
              <w:tab/>
            </w:r>
            <w:r>
              <w:rPr>
                <w:noProof/>
                <w:webHidden/>
              </w:rPr>
              <w:fldChar w:fldCharType="begin"/>
            </w:r>
            <w:r>
              <w:rPr>
                <w:noProof/>
                <w:webHidden/>
              </w:rPr>
              <w:instrText xml:space="preserve"> PAGEREF _Toc497233791 \h </w:instrText>
            </w:r>
            <w:r>
              <w:rPr>
                <w:noProof/>
                <w:webHidden/>
              </w:rPr>
            </w:r>
            <w:r>
              <w:rPr>
                <w:noProof/>
                <w:webHidden/>
              </w:rPr>
              <w:fldChar w:fldCharType="separate"/>
            </w:r>
            <w:r>
              <w:rPr>
                <w:noProof/>
                <w:webHidden/>
              </w:rPr>
              <w:t>26</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92" w:history="1">
            <w:r w:rsidRPr="00860625">
              <w:rPr>
                <w:rStyle w:val="Hyperlink"/>
                <w:noProof/>
                <w:lang w:eastAsia="en-AU"/>
              </w:rPr>
              <w:t>Risk management plan</w:t>
            </w:r>
            <w:r>
              <w:rPr>
                <w:noProof/>
                <w:webHidden/>
              </w:rPr>
              <w:tab/>
            </w:r>
            <w:r>
              <w:rPr>
                <w:noProof/>
                <w:webHidden/>
              </w:rPr>
              <w:fldChar w:fldCharType="begin"/>
            </w:r>
            <w:r>
              <w:rPr>
                <w:noProof/>
                <w:webHidden/>
              </w:rPr>
              <w:instrText xml:space="preserve"> PAGEREF _Toc497233792 \h </w:instrText>
            </w:r>
            <w:r>
              <w:rPr>
                <w:noProof/>
                <w:webHidden/>
              </w:rPr>
            </w:r>
            <w:r>
              <w:rPr>
                <w:noProof/>
                <w:webHidden/>
              </w:rPr>
              <w:fldChar w:fldCharType="separate"/>
            </w:r>
            <w:r>
              <w:rPr>
                <w:noProof/>
                <w:webHidden/>
              </w:rPr>
              <w:t>34</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93" w:history="1">
            <w:r w:rsidRPr="00860625">
              <w:rPr>
                <w:rStyle w:val="Hyperlink"/>
                <w:noProof/>
              </w:rPr>
              <w:t>Risk-benefit analysis</w:t>
            </w:r>
            <w:r>
              <w:rPr>
                <w:noProof/>
                <w:webHidden/>
              </w:rPr>
              <w:tab/>
            </w:r>
            <w:r>
              <w:rPr>
                <w:noProof/>
                <w:webHidden/>
              </w:rPr>
              <w:fldChar w:fldCharType="begin"/>
            </w:r>
            <w:r>
              <w:rPr>
                <w:noProof/>
                <w:webHidden/>
              </w:rPr>
              <w:instrText xml:space="preserve"> PAGEREF _Toc497233793 \h </w:instrText>
            </w:r>
            <w:r>
              <w:rPr>
                <w:noProof/>
                <w:webHidden/>
              </w:rPr>
            </w:r>
            <w:r>
              <w:rPr>
                <w:noProof/>
                <w:webHidden/>
              </w:rPr>
              <w:fldChar w:fldCharType="separate"/>
            </w:r>
            <w:r>
              <w:rPr>
                <w:noProof/>
                <w:webHidden/>
              </w:rPr>
              <w:t>35</w:t>
            </w:r>
            <w:r>
              <w:rPr>
                <w:noProof/>
                <w:webHidden/>
              </w:rPr>
              <w:fldChar w:fldCharType="end"/>
            </w:r>
          </w:hyperlink>
        </w:p>
        <w:p w:rsidR="00FF173D" w:rsidRDefault="00FF173D">
          <w:pPr>
            <w:pStyle w:val="TOC3"/>
            <w:rPr>
              <w:rFonts w:asciiTheme="minorHAnsi" w:eastAsiaTheme="minorEastAsia" w:hAnsiTheme="minorHAnsi" w:cstheme="minorBidi"/>
              <w:noProof/>
              <w:lang w:eastAsia="en-AU"/>
            </w:rPr>
          </w:pPr>
          <w:hyperlink w:anchor="_Toc497233794" w:history="1">
            <w:r w:rsidRPr="00860625">
              <w:rPr>
                <w:rStyle w:val="Hyperlink"/>
                <w:noProof/>
              </w:rPr>
              <w:t>Outcome</w:t>
            </w:r>
            <w:r>
              <w:rPr>
                <w:noProof/>
                <w:webHidden/>
              </w:rPr>
              <w:tab/>
            </w:r>
            <w:r>
              <w:rPr>
                <w:noProof/>
                <w:webHidden/>
              </w:rPr>
              <w:fldChar w:fldCharType="begin"/>
            </w:r>
            <w:r>
              <w:rPr>
                <w:noProof/>
                <w:webHidden/>
              </w:rPr>
              <w:instrText xml:space="preserve"> PAGEREF _Toc497233794 \h </w:instrText>
            </w:r>
            <w:r>
              <w:rPr>
                <w:noProof/>
                <w:webHidden/>
              </w:rPr>
            </w:r>
            <w:r>
              <w:rPr>
                <w:noProof/>
                <w:webHidden/>
              </w:rPr>
              <w:fldChar w:fldCharType="separate"/>
            </w:r>
            <w:r>
              <w:rPr>
                <w:noProof/>
                <w:webHidden/>
              </w:rPr>
              <w:t>42</w:t>
            </w:r>
            <w:r>
              <w:rPr>
                <w:noProof/>
                <w:webHidden/>
              </w:rPr>
              <w:fldChar w:fldCharType="end"/>
            </w:r>
          </w:hyperlink>
        </w:p>
        <w:p w:rsidR="00FF173D" w:rsidRDefault="00FF173D">
          <w:pPr>
            <w:pStyle w:val="TOC2"/>
            <w:rPr>
              <w:rFonts w:asciiTheme="minorHAnsi" w:eastAsiaTheme="minorEastAsia" w:hAnsiTheme="minorHAnsi" w:cstheme="minorBidi"/>
              <w:b w:val="0"/>
              <w:noProof/>
              <w:sz w:val="22"/>
              <w:lang w:eastAsia="en-AU"/>
            </w:rPr>
          </w:pPr>
          <w:hyperlink w:anchor="_Toc497233795" w:history="1">
            <w:r w:rsidRPr="00860625">
              <w:rPr>
                <w:rStyle w:val="Hyperlink"/>
                <w:noProof/>
              </w:rPr>
              <w:t>Attachment 1. Product Information</w:t>
            </w:r>
            <w:r>
              <w:rPr>
                <w:noProof/>
                <w:webHidden/>
              </w:rPr>
              <w:tab/>
            </w:r>
            <w:r>
              <w:rPr>
                <w:noProof/>
                <w:webHidden/>
              </w:rPr>
              <w:fldChar w:fldCharType="begin"/>
            </w:r>
            <w:r>
              <w:rPr>
                <w:noProof/>
                <w:webHidden/>
              </w:rPr>
              <w:instrText xml:space="preserve"> PAGEREF _Toc497233795 \h </w:instrText>
            </w:r>
            <w:r>
              <w:rPr>
                <w:noProof/>
                <w:webHidden/>
              </w:rPr>
            </w:r>
            <w:r>
              <w:rPr>
                <w:noProof/>
                <w:webHidden/>
              </w:rPr>
              <w:fldChar w:fldCharType="separate"/>
            </w:r>
            <w:r>
              <w:rPr>
                <w:noProof/>
                <w:webHidden/>
              </w:rPr>
              <w:t>42</w:t>
            </w:r>
            <w:r>
              <w:rPr>
                <w:noProof/>
                <w:webHidden/>
              </w:rPr>
              <w:fldChar w:fldCharType="end"/>
            </w:r>
          </w:hyperlink>
        </w:p>
        <w:p w:rsidR="00FF173D" w:rsidRDefault="00FF173D">
          <w:pPr>
            <w:pStyle w:val="TOC2"/>
            <w:rPr>
              <w:rFonts w:asciiTheme="minorHAnsi" w:eastAsiaTheme="minorEastAsia" w:hAnsiTheme="minorHAnsi" w:cstheme="minorBidi"/>
              <w:b w:val="0"/>
              <w:noProof/>
              <w:sz w:val="22"/>
              <w:lang w:eastAsia="en-AU"/>
            </w:rPr>
          </w:pPr>
          <w:hyperlink w:anchor="_Toc497233796" w:history="1">
            <w:r w:rsidRPr="00860625">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_Toc497233796 \h </w:instrText>
            </w:r>
            <w:r>
              <w:rPr>
                <w:noProof/>
                <w:webHidden/>
              </w:rPr>
            </w:r>
            <w:r>
              <w:rPr>
                <w:noProof/>
                <w:webHidden/>
              </w:rPr>
              <w:fldChar w:fldCharType="separate"/>
            </w:r>
            <w:r>
              <w:rPr>
                <w:noProof/>
                <w:webHidden/>
              </w:rPr>
              <w:t>42</w:t>
            </w:r>
            <w:r>
              <w:rPr>
                <w:noProof/>
                <w:webHidden/>
              </w:rPr>
              <w:fldChar w:fldCharType="end"/>
            </w:r>
          </w:hyperlink>
        </w:p>
        <w:p w:rsidR="003A7F6C" w:rsidRPr="00B811C6" w:rsidRDefault="00DB6124" w:rsidP="00B8472E">
          <w:pPr>
            <w:pStyle w:val="TOC2"/>
            <w:ind w:left="0"/>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97233764"/>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Description w:val="abbreviations table"/>
      </w:tblPr>
      <w:tblGrid>
        <w:gridCol w:w="1890"/>
        <w:gridCol w:w="6830"/>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3E0F55">
            <w:pPr>
              <w:rPr>
                <w:lang w:eastAsia="en-US"/>
              </w:rPr>
            </w:pPr>
            <w:r w:rsidRPr="00FD119B">
              <w:rPr>
                <w:lang w:eastAsia="en-US"/>
              </w:rPr>
              <w:t>Abbreviation</w:t>
            </w:r>
          </w:p>
        </w:tc>
        <w:tc>
          <w:tcPr>
            <w:tcW w:w="6911" w:type="dxa"/>
          </w:tcPr>
          <w:p w:rsidR="00FD119B" w:rsidRPr="00FD119B" w:rsidRDefault="00FD119B" w:rsidP="003E0F55">
            <w:pPr>
              <w:rPr>
                <w:lang w:eastAsia="en-US"/>
              </w:rPr>
            </w:pPr>
            <w:r w:rsidRPr="00FD119B">
              <w:rPr>
                <w:lang w:eastAsia="en-US"/>
              </w:rPr>
              <w:t>Meaning</w:t>
            </w:r>
          </w:p>
        </w:tc>
      </w:tr>
      <w:tr w:rsidR="003E0F55" w:rsidRPr="00FD119B" w:rsidTr="00FD119B">
        <w:tc>
          <w:tcPr>
            <w:tcW w:w="1809" w:type="dxa"/>
          </w:tcPr>
          <w:p w:rsidR="003E0F55" w:rsidRPr="001C1598" w:rsidRDefault="003E0F55" w:rsidP="003E0F55">
            <w:pPr>
              <w:rPr>
                <w:sz w:val="20"/>
                <w:szCs w:val="20"/>
              </w:rPr>
            </w:pPr>
            <w:r w:rsidRPr="001C1598">
              <w:rPr>
                <w:sz w:val="20"/>
                <w:szCs w:val="20"/>
              </w:rPr>
              <w:t>AE</w:t>
            </w:r>
          </w:p>
        </w:tc>
        <w:tc>
          <w:tcPr>
            <w:tcW w:w="6911" w:type="dxa"/>
          </w:tcPr>
          <w:p w:rsidR="003E0F55" w:rsidRPr="001C1598" w:rsidRDefault="003E0F55" w:rsidP="003E0F55">
            <w:pPr>
              <w:rPr>
                <w:sz w:val="20"/>
                <w:szCs w:val="20"/>
              </w:rPr>
            </w:pPr>
            <w:r w:rsidRPr="001C1598">
              <w:rPr>
                <w:sz w:val="20"/>
                <w:szCs w:val="20"/>
              </w:rPr>
              <w:t>Adverse Event</w:t>
            </w:r>
          </w:p>
        </w:tc>
      </w:tr>
      <w:tr w:rsidR="003E0F55" w:rsidRPr="00FD119B" w:rsidTr="00FD119B">
        <w:tc>
          <w:tcPr>
            <w:tcW w:w="1809" w:type="dxa"/>
          </w:tcPr>
          <w:p w:rsidR="003E0F55" w:rsidRPr="001C1598" w:rsidRDefault="003E0F55" w:rsidP="003E0F55">
            <w:pPr>
              <w:rPr>
                <w:sz w:val="20"/>
                <w:szCs w:val="20"/>
              </w:rPr>
            </w:pPr>
            <w:r w:rsidRPr="001C1598">
              <w:rPr>
                <w:sz w:val="20"/>
                <w:szCs w:val="20"/>
              </w:rPr>
              <w:t>AESI</w:t>
            </w:r>
          </w:p>
        </w:tc>
        <w:tc>
          <w:tcPr>
            <w:tcW w:w="6911" w:type="dxa"/>
          </w:tcPr>
          <w:p w:rsidR="003E0F55" w:rsidRPr="001C1598" w:rsidRDefault="003E0F55" w:rsidP="003E0F55">
            <w:pPr>
              <w:rPr>
                <w:sz w:val="20"/>
                <w:szCs w:val="20"/>
              </w:rPr>
            </w:pPr>
            <w:r w:rsidRPr="001C1598">
              <w:rPr>
                <w:sz w:val="20"/>
                <w:szCs w:val="20"/>
              </w:rPr>
              <w:t>Adverse event of special interest</w:t>
            </w:r>
          </w:p>
        </w:tc>
      </w:tr>
      <w:tr w:rsidR="003E0F55" w:rsidRPr="00FD119B" w:rsidTr="00FD119B">
        <w:tc>
          <w:tcPr>
            <w:tcW w:w="1809" w:type="dxa"/>
          </w:tcPr>
          <w:p w:rsidR="003E0F55" w:rsidRPr="001C1598" w:rsidRDefault="003E0F55" w:rsidP="003E0F55">
            <w:pPr>
              <w:rPr>
                <w:sz w:val="20"/>
                <w:szCs w:val="20"/>
              </w:rPr>
            </w:pPr>
            <w:r w:rsidRPr="001C1598">
              <w:rPr>
                <w:sz w:val="20"/>
                <w:szCs w:val="20"/>
              </w:rPr>
              <w:t>AJCC</w:t>
            </w:r>
          </w:p>
        </w:tc>
        <w:tc>
          <w:tcPr>
            <w:tcW w:w="6911" w:type="dxa"/>
          </w:tcPr>
          <w:p w:rsidR="003E0F55" w:rsidRPr="001C1598" w:rsidRDefault="003E0F55" w:rsidP="003E0F55">
            <w:pPr>
              <w:rPr>
                <w:sz w:val="20"/>
                <w:szCs w:val="20"/>
              </w:rPr>
            </w:pPr>
            <w:r w:rsidRPr="001C1598">
              <w:rPr>
                <w:sz w:val="20"/>
                <w:szCs w:val="20"/>
              </w:rPr>
              <w:t>American Joint Committee on Cancer</w:t>
            </w:r>
          </w:p>
        </w:tc>
      </w:tr>
      <w:tr w:rsidR="003E0F55" w:rsidRPr="00FD119B" w:rsidTr="00FD119B">
        <w:tc>
          <w:tcPr>
            <w:tcW w:w="1809" w:type="dxa"/>
          </w:tcPr>
          <w:p w:rsidR="003E0F55" w:rsidRPr="001C1598" w:rsidRDefault="003E0F55" w:rsidP="003E0F55">
            <w:pPr>
              <w:rPr>
                <w:sz w:val="20"/>
                <w:szCs w:val="20"/>
              </w:rPr>
            </w:pPr>
            <w:r w:rsidRPr="001C1598">
              <w:rPr>
                <w:sz w:val="20"/>
                <w:szCs w:val="20"/>
              </w:rPr>
              <w:t>ALKP</w:t>
            </w:r>
          </w:p>
        </w:tc>
        <w:tc>
          <w:tcPr>
            <w:tcW w:w="6911" w:type="dxa"/>
          </w:tcPr>
          <w:p w:rsidR="003E0F55" w:rsidRPr="001C1598" w:rsidRDefault="003E0F55" w:rsidP="003E0F55">
            <w:pPr>
              <w:rPr>
                <w:sz w:val="20"/>
                <w:szCs w:val="20"/>
              </w:rPr>
            </w:pPr>
            <w:r w:rsidRPr="001C1598">
              <w:rPr>
                <w:sz w:val="20"/>
                <w:szCs w:val="20"/>
              </w:rPr>
              <w:t>Alkaline Phosphatase</w:t>
            </w:r>
          </w:p>
        </w:tc>
      </w:tr>
      <w:tr w:rsidR="003E0F55" w:rsidRPr="00FD119B" w:rsidTr="00FD119B">
        <w:tc>
          <w:tcPr>
            <w:tcW w:w="1809" w:type="dxa"/>
          </w:tcPr>
          <w:p w:rsidR="003E0F55" w:rsidRPr="001C1598" w:rsidRDefault="003E0F55" w:rsidP="003E0F55">
            <w:pPr>
              <w:rPr>
                <w:sz w:val="20"/>
                <w:szCs w:val="20"/>
              </w:rPr>
            </w:pPr>
            <w:r w:rsidRPr="001C1598">
              <w:rPr>
                <w:sz w:val="20"/>
                <w:szCs w:val="20"/>
              </w:rPr>
              <w:t>ALT</w:t>
            </w:r>
          </w:p>
        </w:tc>
        <w:tc>
          <w:tcPr>
            <w:tcW w:w="6911" w:type="dxa"/>
          </w:tcPr>
          <w:p w:rsidR="003E0F55" w:rsidRPr="001C1598" w:rsidRDefault="003E0F55" w:rsidP="003E0F55">
            <w:pPr>
              <w:rPr>
                <w:sz w:val="20"/>
                <w:szCs w:val="20"/>
              </w:rPr>
            </w:pPr>
            <w:r w:rsidRPr="001C1598">
              <w:rPr>
                <w:sz w:val="20"/>
                <w:szCs w:val="20"/>
              </w:rPr>
              <w:t>Alanine Transaminase</w:t>
            </w:r>
          </w:p>
        </w:tc>
      </w:tr>
      <w:tr w:rsidR="003E0F55" w:rsidRPr="00FD119B" w:rsidTr="00FD119B">
        <w:tc>
          <w:tcPr>
            <w:tcW w:w="1809" w:type="dxa"/>
          </w:tcPr>
          <w:p w:rsidR="003E0F55" w:rsidRPr="001C1598" w:rsidRDefault="003E0F55" w:rsidP="003E0F55">
            <w:pPr>
              <w:rPr>
                <w:sz w:val="20"/>
                <w:szCs w:val="20"/>
              </w:rPr>
            </w:pPr>
            <w:r w:rsidRPr="001C1598">
              <w:rPr>
                <w:sz w:val="20"/>
                <w:szCs w:val="20"/>
              </w:rPr>
              <w:t>ANC</w:t>
            </w:r>
          </w:p>
        </w:tc>
        <w:tc>
          <w:tcPr>
            <w:tcW w:w="6911" w:type="dxa"/>
          </w:tcPr>
          <w:p w:rsidR="003E0F55" w:rsidRPr="001C1598" w:rsidRDefault="003E0F55" w:rsidP="003E0F55">
            <w:pPr>
              <w:rPr>
                <w:sz w:val="20"/>
                <w:szCs w:val="20"/>
              </w:rPr>
            </w:pPr>
            <w:r w:rsidRPr="001C1598">
              <w:rPr>
                <w:sz w:val="20"/>
                <w:szCs w:val="20"/>
              </w:rPr>
              <w:t>Absolute neutrophil count</w:t>
            </w:r>
          </w:p>
        </w:tc>
      </w:tr>
      <w:tr w:rsidR="003E0F55" w:rsidRPr="00FD119B" w:rsidTr="00FD119B">
        <w:tc>
          <w:tcPr>
            <w:tcW w:w="1809" w:type="dxa"/>
          </w:tcPr>
          <w:p w:rsidR="003E0F55" w:rsidRPr="001C1598" w:rsidRDefault="003E0F55" w:rsidP="003E0F55">
            <w:pPr>
              <w:rPr>
                <w:sz w:val="20"/>
                <w:szCs w:val="20"/>
              </w:rPr>
            </w:pPr>
            <w:r w:rsidRPr="001C1598">
              <w:rPr>
                <w:sz w:val="20"/>
                <w:szCs w:val="20"/>
              </w:rPr>
              <w:t>ARTG</w:t>
            </w:r>
          </w:p>
        </w:tc>
        <w:tc>
          <w:tcPr>
            <w:tcW w:w="6911" w:type="dxa"/>
          </w:tcPr>
          <w:p w:rsidR="003E0F55" w:rsidRPr="001C1598" w:rsidRDefault="003E0F55" w:rsidP="003E0F55">
            <w:pPr>
              <w:rPr>
                <w:sz w:val="20"/>
                <w:szCs w:val="20"/>
              </w:rPr>
            </w:pPr>
            <w:r w:rsidRPr="001C1598">
              <w:rPr>
                <w:sz w:val="20"/>
                <w:szCs w:val="20"/>
              </w:rPr>
              <w:t>Australian Register of Therapeutic Goods</w:t>
            </w:r>
          </w:p>
        </w:tc>
      </w:tr>
      <w:tr w:rsidR="003E0F55" w:rsidRPr="00FD119B" w:rsidTr="00FD119B">
        <w:tc>
          <w:tcPr>
            <w:tcW w:w="1809" w:type="dxa"/>
          </w:tcPr>
          <w:p w:rsidR="003E0F55" w:rsidRPr="001C1598" w:rsidRDefault="003E0F55" w:rsidP="003E0F55">
            <w:pPr>
              <w:rPr>
                <w:sz w:val="20"/>
                <w:szCs w:val="20"/>
              </w:rPr>
            </w:pPr>
            <w:r w:rsidRPr="001C1598">
              <w:rPr>
                <w:sz w:val="20"/>
                <w:szCs w:val="20"/>
              </w:rPr>
              <w:t>AST</w:t>
            </w:r>
          </w:p>
        </w:tc>
        <w:tc>
          <w:tcPr>
            <w:tcW w:w="6911" w:type="dxa"/>
          </w:tcPr>
          <w:p w:rsidR="003E0F55" w:rsidRPr="001C1598" w:rsidRDefault="003E0F55" w:rsidP="003E0F55">
            <w:pPr>
              <w:rPr>
                <w:sz w:val="20"/>
                <w:szCs w:val="20"/>
              </w:rPr>
            </w:pPr>
            <w:r w:rsidRPr="001C1598">
              <w:rPr>
                <w:sz w:val="20"/>
                <w:szCs w:val="20"/>
              </w:rPr>
              <w:t>Aspartate Transaminase</w:t>
            </w:r>
          </w:p>
        </w:tc>
      </w:tr>
      <w:tr w:rsidR="003E0F55" w:rsidRPr="00FD119B" w:rsidTr="00FD119B">
        <w:tc>
          <w:tcPr>
            <w:tcW w:w="1809" w:type="dxa"/>
          </w:tcPr>
          <w:p w:rsidR="003E0F55" w:rsidRPr="001C1598" w:rsidRDefault="003E0F55" w:rsidP="003E0F55">
            <w:pPr>
              <w:rPr>
                <w:sz w:val="20"/>
                <w:szCs w:val="20"/>
              </w:rPr>
            </w:pPr>
            <w:r w:rsidRPr="001C1598">
              <w:rPr>
                <w:sz w:val="20"/>
                <w:szCs w:val="20"/>
              </w:rPr>
              <w:t>AUC</w:t>
            </w:r>
          </w:p>
        </w:tc>
        <w:tc>
          <w:tcPr>
            <w:tcW w:w="6911" w:type="dxa"/>
          </w:tcPr>
          <w:p w:rsidR="003E0F55" w:rsidRPr="001C1598" w:rsidRDefault="003E0F55" w:rsidP="003E0F55">
            <w:pPr>
              <w:rPr>
                <w:sz w:val="20"/>
                <w:szCs w:val="20"/>
              </w:rPr>
            </w:pPr>
            <w:r w:rsidRPr="001C1598">
              <w:rPr>
                <w:sz w:val="20"/>
                <w:szCs w:val="20"/>
              </w:rPr>
              <w:t>Area under the curve</w:t>
            </w:r>
          </w:p>
        </w:tc>
      </w:tr>
      <w:tr w:rsidR="003E0F55" w:rsidRPr="00FD119B" w:rsidTr="00FD119B">
        <w:tc>
          <w:tcPr>
            <w:tcW w:w="1809" w:type="dxa"/>
          </w:tcPr>
          <w:p w:rsidR="003E0F55" w:rsidRPr="001C1598" w:rsidRDefault="003E0F55" w:rsidP="003E0F55">
            <w:pPr>
              <w:rPr>
                <w:sz w:val="20"/>
                <w:szCs w:val="20"/>
              </w:rPr>
            </w:pPr>
            <w:r w:rsidRPr="001C1598">
              <w:rPr>
                <w:sz w:val="20"/>
                <w:szCs w:val="20"/>
              </w:rPr>
              <w:t>BIL</w:t>
            </w:r>
          </w:p>
        </w:tc>
        <w:tc>
          <w:tcPr>
            <w:tcW w:w="6911" w:type="dxa"/>
          </w:tcPr>
          <w:p w:rsidR="003E0F55" w:rsidRPr="001C1598" w:rsidRDefault="003E0F55" w:rsidP="003E0F55">
            <w:pPr>
              <w:rPr>
                <w:sz w:val="20"/>
                <w:szCs w:val="20"/>
              </w:rPr>
            </w:pPr>
            <w:r w:rsidRPr="001C1598">
              <w:rPr>
                <w:sz w:val="20"/>
                <w:szCs w:val="20"/>
              </w:rPr>
              <w:t>Bilirubin</w:t>
            </w:r>
          </w:p>
        </w:tc>
      </w:tr>
      <w:tr w:rsidR="003E0F55" w:rsidRPr="00FD119B" w:rsidTr="00FD119B">
        <w:tc>
          <w:tcPr>
            <w:tcW w:w="1809" w:type="dxa"/>
          </w:tcPr>
          <w:p w:rsidR="003E0F55" w:rsidRPr="001C1598" w:rsidRDefault="003E0F55" w:rsidP="003E0F55">
            <w:pPr>
              <w:rPr>
                <w:sz w:val="20"/>
                <w:szCs w:val="20"/>
              </w:rPr>
            </w:pPr>
            <w:r w:rsidRPr="001C1598">
              <w:rPr>
                <w:sz w:val="20"/>
                <w:szCs w:val="20"/>
              </w:rPr>
              <w:t>BUN</w:t>
            </w:r>
          </w:p>
        </w:tc>
        <w:tc>
          <w:tcPr>
            <w:tcW w:w="6911" w:type="dxa"/>
          </w:tcPr>
          <w:p w:rsidR="003E0F55" w:rsidRPr="001C1598" w:rsidRDefault="003E0F55" w:rsidP="003E0F55">
            <w:pPr>
              <w:rPr>
                <w:sz w:val="20"/>
                <w:szCs w:val="20"/>
              </w:rPr>
            </w:pPr>
            <w:r w:rsidRPr="001C1598">
              <w:rPr>
                <w:sz w:val="20"/>
                <w:szCs w:val="20"/>
              </w:rPr>
              <w:t>Blood urea nitrogen</w:t>
            </w:r>
          </w:p>
        </w:tc>
      </w:tr>
      <w:tr w:rsidR="003E0F55" w:rsidRPr="00FD119B" w:rsidTr="00FD119B">
        <w:tc>
          <w:tcPr>
            <w:tcW w:w="1809" w:type="dxa"/>
          </w:tcPr>
          <w:p w:rsidR="003E0F55" w:rsidRPr="001C1598" w:rsidRDefault="003E0F55" w:rsidP="003E0F55">
            <w:pPr>
              <w:rPr>
                <w:sz w:val="20"/>
                <w:szCs w:val="20"/>
              </w:rPr>
            </w:pPr>
            <w:r w:rsidRPr="001C1598">
              <w:rPr>
                <w:sz w:val="20"/>
                <w:szCs w:val="20"/>
              </w:rPr>
              <w:t>CBR</w:t>
            </w:r>
          </w:p>
        </w:tc>
        <w:tc>
          <w:tcPr>
            <w:tcW w:w="6911" w:type="dxa"/>
          </w:tcPr>
          <w:p w:rsidR="003E0F55" w:rsidRPr="001C1598" w:rsidRDefault="003E0F55" w:rsidP="003E0F55">
            <w:pPr>
              <w:rPr>
                <w:sz w:val="20"/>
                <w:szCs w:val="20"/>
              </w:rPr>
            </w:pPr>
            <w:r w:rsidRPr="001C1598">
              <w:rPr>
                <w:sz w:val="20"/>
                <w:szCs w:val="20"/>
              </w:rPr>
              <w:t>Clinical Benefit Rate</w:t>
            </w:r>
          </w:p>
        </w:tc>
      </w:tr>
      <w:tr w:rsidR="003E0F55" w:rsidRPr="00FD119B" w:rsidTr="00FD119B">
        <w:tc>
          <w:tcPr>
            <w:tcW w:w="1809" w:type="dxa"/>
          </w:tcPr>
          <w:p w:rsidR="003E0F55" w:rsidRPr="001C1598" w:rsidRDefault="003E0F55" w:rsidP="003E0F55">
            <w:pPr>
              <w:rPr>
                <w:sz w:val="20"/>
                <w:szCs w:val="20"/>
              </w:rPr>
            </w:pPr>
            <w:r w:rsidRPr="001C1598">
              <w:rPr>
                <w:sz w:val="20"/>
                <w:szCs w:val="20"/>
              </w:rPr>
              <w:t xml:space="preserve">CI </w:t>
            </w:r>
          </w:p>
        </w:tc>
        <w:tc>
          <w:tcPr>
            <w:tcW w:w="6911" w:type="dxa"/>
          </w:tcPr>
          <w:p w:rsidR="003E0F55" w:rsidRPr="001C1598" w:rsidRDefault="003E0F55" w:rsidP="003E0F55">
            <w:pPr>
              <w:rPr>
                <w:sz w:val="20"/>
                <w:szCs w:val="20"/>
              </w:rPr>
            </w:pPr>
            <w:r w:rsidRPr="001C1598">
              <w:rPr>
                <w:sz w:val="20"/>
                <w:szCs w:val="20"/>
              </w:rPr>
              <w:t>Confidence interval</w:t>
            </w:r>
          </w:p>
        </w:tc>
      </w:tr>
      <w:tr w:rsidR="003E0F55" w:rsidRPr="00FD119B" w:rsidTr="00FD119B">
        <w:tc>
          <w:tcPr>
            <w:tcW w:w="1809" w:type="dxa"/>
          </w:tcPr>
          <w:p w:rsidR="003E0F55" w:rsidRPr="001C1598" w:rsidRDefault="00657C65" w:rsidP="003E0F55">
            <w:pPr>
              <w:rPr>
                <w:sz w:val="20"/>
                <w:szCs w:val="20"/>
              </w:rPr>
            </w:pPr>
            <w:proofErr w:type="spellStart"/>
            <w:r>
              <w:t>C</w:t>
            </w:r>
            <w:r w:rsidRPr="00F71F3B">
              <w:rPr>
                <w:vertAlign w:val="subscript"/>
              </w:rPr>
              <w:t>max</w:t>
            </w:r>
            <w:proofErr w:type="spellEnd"/>
          </w:p>
        </w:tc>
        <w:tc>
          <w:tcPr>
            <w:tcW w:w="6911" w:type="dxa"/>
          </w:tcPr>
          <w:p w:rsidR="003E0F55" w:rsidRPr="001C1598" w:rsidRDefault="003E0F55" w:rsidP="003E0F55">
            <w:pPr>
              <w:rPr>
                <w:sz w:val="20"/>
                <w:szCs w:val="20"/>
              </w:rPr>
            </w:pPr>
            <w:r w:rsidRPr="001C1598">
              <w:rPr>
                <w:sz w:val="20"/>
                <w:szCs w:val="20"/>
              </w:rPr>
              <w:t>Maximum concentration</w:t>
            </w:r>
          </w:p>
        </w:tc>
      </w:tr>
      <w:tr w:rsidR="003E0F55" w:rsidRPr="00FD119B" w:rsidTr="00FD119B">
        <w:tc>
          <w:tcPr>
            <w:tcW w:w="1809" w:type="dxa"/>
          </w:tcPr>
          <w:p w:rsidR="003E0F55" w:rsidRPr="001C1598" w:rsidRDefault="003E0F55" w:rsidP="003E0F55">
            <w:pPr>
              <w:rPr>
                <w:sz w:val="20"/>
                <w:szCs w:val="20"/>
              </w:rPr>
            </w:pPr>
            <w:proofErr w:type="spellStart"/>
            <w:r w:rsidRPr="001C1598">
              <w:rPr>
                <w:sz w:val="20"/>
                <w:szCs w:val="20"/>
              </w:rPr>
              <w:t>Cmin</w:t>
            </w:r>
            <w:proofErr w:type="spellEnd"/>
          </w:p>
        </w:tc>
        <w:tc>
          <w:tcPr>
            <w:tcW w:w="6911" w:type="dxa"/>
          </w:tcPr>
          <w:p w:rsidR="003E0F55" w:rsidRPr="001C1598" w:rsidRDefault="003E0F55" w:rsidP="003E0F55">
            <w:pPr>
              <w:rPr>
                <w:sz w:val="20"/>
                <w:szCs w:val="20"/>
              </w:rPr>
            </w:pPr>
            <w:r w:rsidRPr="001C1598">
              <w:rPr>
                <w:sz w:val="20"/>
                <w:szCs w:val="20"/>
              </w:rPr>
              <w:t>Minimum concentration</w:t>
            </w:r>
          </w:p>
        </w:tc>
      </w:tr>
      <w:tr w:rsidR="003E0F55" w:rsidRPr="00FD119B" w:rsidTr="00FD119B">
        <w:tc>
          <w:tcPr>
            <w:tcW w:w="1809" w:type="dxa"/>
          </w:tcPr>
          <w:p w:rsidR="003E0F55" w:rsidRPr="001C1598" w:rsidRDefault="003E0F55" w:rsidP="003E0F55">
            <w:pPr>
              <w:rPr>
                <w:sz w:val="20"/>
                <w:szCs w:val="20"/>
              </w:rPr>
            </w:pPr>
            <w:r w:rsidRPr="001C1598">
              <w:rPr>
                <w:sz w:val="20"/>
                <w:szCs w:val="20"/>
              </w:rPr>
              <w:t>CMI</w:t>
            </w:r>
          </w:p>
        </w:tc>
        <w:tc>
          <w:tcPr>
            <w:tcW w:w="6911" w:type="dxa"/>
          </w:tcPr>
          <w:p w:rsidR="003E0F55" w:rsidRPr="001C1598" w:rsidRDefault="003E0F55" w:rsidP="003E0F55">
            <w:pPr>
              <w:rPr>
                <w:sz w:val="20"/>
                <w:szCs w:val="20"/>
              </w:rPr>
            </w:pPr>
            <w:r w:rsidRPr="001C1598">
              <w:rPr>
                <w:sz w:val="20"/>
                <w:szCs w:val="20"/>
              </w:rPr>
              <w:t>Consumer Medicines Information</w:t>
            </w:r>
          </w:p>
        </w:tc>
      </w:tr>
      <w:tr w:rsidR="003E0F55" w:rsidRPr="00FD119B" w:rsidTr="00FD119B">
        <w:tc>
          <w:tcPr>
            <w:tcW w:w="1809" w:type="dxa"/>
          </w:tcPr>
          <w:p w:rsidR="003E0F55" w:rsidRPr="001C1598" w:rsidRDefault="003E0F55" w:rsidP="003E0F55">
            <w:pPr>
              <w:rPr>
                <w:sz w:val="20"/>
                <w:szCs w:val="20"/>
              </w:rPr>
            </w:pPr>
            <w:r w:rsidRPr="001C1598">
              <w:rPr>
                <w:sz w:val="20"/>
                <w:szCs w:val="20"/>
              </w:rPr>
              <w:t>CL</w:t>
            </w:r>
          </w:p>
        </w:tc>
        <w:tc>
          <w:tcPr>
            <w:tcW w:w="6911" w:type="dxa"/>
          </w:tcPr>
          <w:p w:rsidR="003E0F55" w:rsidRPr="001C1598" w:rsidRDefault="003E0F55" w:rsidP="003E0F55">
            <w:pPr>
              <w:rPr>
                <w:sz w:val="20"/>
                <w:szCs w:val="20"/>
              </w:rPr>
            </w:pPr>
            <w:r w:rsidRPr="001C1598">
              <w:rPr>
                <w:sz w:val="20"/>
                <w:szCs w:val="20"/>
              </w:rPr>
              <w:t>Clearance</w:t>
            </w:r>
          </w:p>
        </w:tc>
      </w:tr>
      <w:tr w:rsidR="003E0F55" w:rsidRPr="00FD119B" w:rsidTr="00FD119B">
        <w:tc>
          <w:tcPr>
            <w:tcW w:w="1809" w:type="dxa"/>
          </w:tcPr>
          <w:p w:rsidR="003E0F55" w:rsidRPr="001C1598" w:rsidRDefault="003E0F55" w:rsidP="003E0F55">
            <w:pPr>
              <w:rPr>
                <w:sz w:val="20"/>
                <w:szCs w:val="20"/>
              </w:rPr>
            </w:pPr>
            <w:r w:rsidRPr="001C1598">
              <w:rPr>
                <w:sz w:val="20"/>
                <w:szCs w:val="20"/>
              </w:rPr>
              <w:t>CR</w:t>
            </w:r>
          </w:p>
        </w:tc>
        <w:tc>
          <w:tcPr>
            <w:tcW w:w="6911" w:type="dxa"/>
          </w:tcPr>
          <w:p w:rsidR="003E0F55" w:rsidRPr="001C1598" w:rsidRDefault="003E0F55" w:rsidP="003E0F55">
            <w:pPr>
              <w:rPr>
                <w:sz w:val="20"/>
                <w:szCs w:val="20"/>
              </w:rPr>
            </w:pPr>
            <w:r w:rsidRPr="001C1598">
              <w:rPr>
                <w:sz w:val="20"/>
                <w:szCs w:val="20"/>
              </w:rPr>
              <w:t>Complete Response</w:t>
            </w:r>
          </w:p>
        </w:tc>
      </w:tr>
      <w:tr w:rsidR="003E0F55" w:rsidRPr="00FD119B" w:rsidTr="00FD119B">
        <w:tc>
          <w:tcPr>
            <w:tcW w:w="1809" w:type="dxa"/>
          </w:tcPr>
          <w:p w:rsidR="003E0F55" w:rsidRPr="001C1598" w:rsidRDefault="003E0F55" w:rsidP="003E0F55">
            <w:pPr>
              <w:rPr>
                <w:sz w:val="20"/>
                <w:szCs w:val="20"/>
              </w:rPr>
            </w:pPr>
            <w:proofErr w:type="spellStart"/>
            <w:r w:rsidRPr="001C1598">
              <w:rPr>
                <w:sz w:val="20"/>
                <w:szCs w:val="20"/>
              </w:rPr>
              <w:t>CrCl</w:t>
            </w:r>
            <w:proofErr w:type="spellEnd"/>
          </w:p>
        </w:tc>
        <w:tc>
          <w:tcPr>
            <w:tcW w:w="6911" w:type="dxa"/>
          </w:tcPr>
          <w:p w:rsidR="003E0F55" w:rsidRPr="001C1598" w:rsidRDefault="003E0F55" w:rsidP="003E0F55">
            <w:pPr>
              <w:rPr>
                <w:sz w:val="20"/>
                <w:szCs w:val="20"/>
              </w:rPr>
            </w:pPr>
            <w:r w:rsidRPr="001C1598">
              <w:rPr>
                <w:sz w:val="20"/>
                <w:szCs w:val="20"/>
              </w:rPr>
              <w:t>Creatinine clearance</w:t>
            </w:r>
          </w:p>
        </w:tc>
      </w:tr>
      <w:tr w:rsidR="003E0F55" w:rsidRPr="00FD119B" w:rsidTr="00FD119B">
        <w:tc>
          <w:tcPr>
            <w:tcW w:w="1809" w:type="dxa"/>
          </w:tcPr>
          <w:p w:rsidR="003E0F55" w:rsidRPr="001C1598" w:rsidRDefault="003E0F55" w:rsidP="003E0F55">
            <w:pPr>
              <w:rPr>
                <w:sz w:val="20"/>
                <w:szCs w:val="20"/>
                <w:lang w:val="en-US"/>
              </w:rPr>
            </w:pPr>
            <w:r w:rsidRPr="001C1598">
              <w:rPr>
                <w:sz w:val="20"/>
                <w:szCs w:val="20"/>
                <w:lang w:val="en-US"/>
              </w:rPr>
              <w:t>CT</w:t>
            </w:r>
          </w:p>
        </w:tc>
        <w:tc>
          <w:tcPr>
            <w:tcW w:w="6911" w:type="dxa"/>
          </w:tcPr>
          <w:p w:rsidR="003E0F55" w:rsidRPr="001C1598" w:rsidRDefault="003E0F55" w:rsidP="003E0F55">
            <w:pPr>
              <w:rPr>
                <w:sz w:val="20"/>
                <w:szCs w:val="20"/>
                <w:lang w:val="en-US"/>
              </w:rPr>
            </w:pPr>
            <w:r w:rsidRPr="001C1598">
              <w:rPr>
                <w:sz w:val="20"/>
                <w:szCs w:val="20"/>
                <w:lang w:val="en-US"/>
              </w:rPr>
              <w:t>X-Ray Computed Tomography</w:t>
            </w:r>
          </w:p>
        </w:tc>
      </w:tr>
      <w:tr w:rsidR="003E0F55" w:rsidRPr="00FD119B" w:rsidTr="00FD119B">
        <w:tc>
          <w:tcPr>
            <w:tcW w:w="1809" w:type="dxa"/>
          </w:tcPr>
          <w:p w:rsidR="003E0F55" w:rsidRPr="001C1598" w:rsidRDefault="003E0F55" w:rsidP="003E0F55">
            <w:pPr>
              <w:rPr>
                <w:sz w:val="20"/>
                <w:szCs w:val="20"/>
                <w:lang w:val="en-US"/>
              </w:rPr>
            </w:pPr>
            <w:r w:rsidRPr="001C1598">
              <w:rPr>
                <w:sz w:val="20"/>
                <w:szCs w:val="20"/>
                <w:lang w:val="en-US"/>
              </w:rPr>
              <w:t>CTCAE</w:t>
            </w:r>
          </w:p>
        </w:tc>
        <w:tc>
          <w:tcPr>
            <w:tcW w:w="6911" w:type="dxa"/>
          </w:tcPr>
          <w:p w:rsidR="003E0F55" w:rsidRPr="001C1598" w:rsidRDefault="003E0F55" w:rsidP="003E0F55">
            <w:pPr>
              <w:rPr>
                <w:sz w:val="20"/>
                <w:szCs w:val="20"/>
                <w:lang w:val="en-US"/>
              </w:rPr>
            </w:pPr>
            <w:r w:rsidRPr="001C1598">
              <w:rPr>
                <w:sz w:val="20"/>
                <w:szCs w:val="20"/>
                <w:lang w:val="en-US"/>
              </w:rPr>
              <w:t>Common terminology criteria for adverse events</w:t>
            </w:r>
          </w:p>
        </w:tc>
      </w:tr>
      <w:tr w:rsidR="003E0F55" w:rsidRPr="00FD119B" w:rsidTr="00FD119B">
        <w:tc>
          <w:tcPr>
            <w:tcW w:w="1809" w:type="dxa"/>
          </w:tcPr>
          <w:p w:rsidR="003E0F55" w:rsidRPr="001C1598" w:rsidRDefault="003E0F55" w:rsidP="003E0F55">
            <w:pPr>
              <w:rPr>
                <w:sz w:val="20"/>
                <w:szCs w:val="20"/>
                <w:lang w:val="en-US"/>
              </w:rPr>
            </w:pPr>
            <w:r w:rsidRPr="001C1598">
              <w:rPr>
                <w:sz w:val="20"/>
                <w:szCs w:val="20"/>
                <w:lang w:val="en-US"/>
              </w:rPr>
              <w:t>CV</w:t>
            </w:r>
          </w:p>
        </w:tc>
        <w:tc>
          <w:tcPr>
            <w:tcW w:w="6911" w:type="dxa"/>
          </w:tcPr>
          <w:p w:rsidR="003E0F55" w:rsidRPr="001C1598" w:rsidRDefault="003E0F55" w:rsidP="003E0F55">
            <w:pPr>
              <w:rPr>
                <w:sz w:val="20"/>
                <w:szCs w:val="20"/>
                <w:lang w:val="en-US"/>
              </w:rPr>
            </w:pPr>
            <w:r w:rsidRPr="001C1598">
              <w:rPr>
                <w:sz w:val="20"/>
                <w:szCs w:val="20"/>
                <w:lang w:val="en-US"/>
              </w:rPr>
              <w:t>Coefficient of variation</w:t>
            </w:r>
          </w:p>
        </w:tc>
      </w:tr>
      <w:tr w:rsidR="003E0F55" w:rsidRPr="00FD119B" w:rsidTr="00FD119B">
        <w:tc>
          <w:tcPr>
            <w:tcW w:w="1809" w:type="dxa"/>
          </w:tcPr>
          <w:p w:rsidR="003E0F55" w:rsidRPr="001C1598" w:rsidRDefault="003E0F55" w:rsidP="003E0F55">
            <w:pPr>
              <w:rPr>
                <w:sz w:val="20"/>
                <w:szCs w:val="20"/>
                <w:lang w:val="en-US"/>
              </w:rPr>
            </w:pPr>
            <w:r w:rsidRPr="001C1598">
              <w:rPr>
                <w:sz w:val="20"/>
                <w:szCs w:val="20"/>
                <w:lang w:val="en-US"/>
              </w:rPr>
              <w:t>DCR</w:t>
            </w:r>
          </w:p>
        </w:tc>
        <w:tc>
          <w:tcPr>
            <w:tcW w:w="6911" w:type="dxa"/>
          </w:tcPr>
          <w:p w:rsidR="003E0F55" w:rsidRPr="001C1598" w:rsidRDefault="003E0F55" w:rsidP="003E0F55">
            <w:pPr>
              <w:rPr>
                <w:sz w:val="20"/>
                <w:szCs w:val="20"/>
                <w:lang w:val="en-US"/>
              </w:rPr>
            </w:pPr>
            <w:r w:rsidRPr="001C1598">
              <w:rPr>
                <w:sz w:val="20"/>
                <w:szCs w:val="20"/>
                <w:lang w:val="en-US"/>
              </w:rPr>
              <w:t>Disease Control Rate</w:t>
            </w:r>
          </w:p>
        </w:tc>
      </w:tr>
      <w:tr w:rsidR="003E0F55" w:rsidRPr="00FD119B" w:rsidTr="00FD119B">
        <w:tc>
          <w:tcPr>
            <w:tcW w:w="1809" w:type="dxa"/>
          </w:tcPr>
          <w:p w:rsidR="003E0F55" w:rsidRPr="001C1598" w:rsidRDefault="003E0F55" w:rsidP="003E0F55">
            <w:pPr>
              <w:rPr>
                <w:sz w:val="20"/>
                <w:szCs w:val="20"/>
                <w:lang w:val="en-US"/>
              </w:rPr>
            </w:pPr>
            <w:proofErr w:type="spellStart"/>
            <w:r w:rsidRPr="001C1598">
              <w:rPr>
                <w:sz w:val="20"/>
                <w:szCs w:val="20"/>
                <w:lang w:val="en-US"/>
              </w:rPr>
              <w:t>dSD</w:t>
            </w:r>
            <w:proofErr w:type="spellEnd"/>
          </w:p>
        </w:tc>
        <w:tc>
          <w:tcPr>
            <w:tcW w:w="6911" w:type="dxa"/>
          </w:tcPr>
          <w:p w:rsidR="003E0F55" w:rsidRPr="001C1598" w:rsidRDefault="003E0F55" w:rsidP="003E0F55">
            <w:pPr>
              <w:rPr>
                <w:sz w:val="20"/>
                <w:szCs w:val="20"/>
                <w:lang w:val="en-US"/>
              </w:rPr>
            </w:pPr>
            <w:r w:rsidRPr="001C1598">
              <w:rPr>
                <w:sz w:val="20"/>
                <w:szCs w:val="20"/>
                <w:lang w:val="en-US"/>
              </w:rPr>
              <w:t>Durable stable disease</w:t>
            </w:r>
          </w:p>
        </w:tc>
      </w:tr>
      <w:tr w:rsidR="003E0F55" w:rsidRPr="00FD119B" w:rsidTr="00FD119B">
        <w:tc>
          <w:tcPr>
            <w:tcW w:w="1809" w:type="dxa"/>
          </w:tcPr>
          <w:p w:rsidR="003E0F55" w:rsidRPr="001C1598" w:rsidRDefault="003E0F55" w:rsidP="003E0F55">
            <w:pPr>
              <w:rPr>
                <w:sz w:val="20"/>
                <w:szCs w:val="20"/>
                <w:lang w:val="en-US"/>
              </w:rPr>
            </w:pPr>
            <w:r w:rsidRPr="001C1598">
              <w:rPr>
                <w:sz w:val="20"/>
                <w:szCs w:val="20"/>
                <w:lang w:val="en-US"/>
              </w:rPr>
              <w:t>ECG</w:t>
            </w:r>
          </w:p>
        </w:tc>
        <w:tc>
          <w:tcPr>
            <w:tcW w:w="6911" w:type="dxa"/>
          </w:tcPr>
          <w:p w:rsidR="003E0F55" w:rsidRPr="001C1598" w:rsidRDefault="003E0F55" w:rsidP="003E0F55">
            <w:pPr>
              <w:rPr>
                <w:sz w:val="20"/>
                <w:szCs w:val="20"/>
                <w:lang w:val="en-US"/>
              </w:rPr>
            </w:pPr>
            <w:r w:rsidRPr="001C1598">
              <w:rPr>
                <w:sz w:val="20"/>
                <w:szCs w:val="20"/>
                <w:lang w:val="en-US"/>
              </w:rPr>
              <w:t>Electrocardiograph</w:t>
            </w:r>
          </w:p>
        </w:tc>
      </w:tr>
      <w:tr w:rsidR="003E0F55" w:rsidRPr="00FD119B" w:rsidTr="00FD119B">
        <w:tc>
          <w:tcPr>
            <w:tcW w:w="1809" w:type="dxa"/>
          </w:tcPr>
          <w:p w:rsidR="003E0F55" w:rsidRPr="001C1598" w:rsidRDefault="003E0F55" w:rsidP="003E0F55">
            <w:pPr>
              <w:rPr>
                <w:sz w:val="20"/>
                <w:szCs w:val="20"/>
              </w:rPr>
            </w:pPr>
            <w:r w:rsidRPr="001C1598">
              <w:rPr>
                <w:sz w:val="20"/>
                <w:szCs w:val="20"/>
              </w:rPr>
              <w:t>EMA</w:t>
            </w:r>
          </w:p>
        </w:tc>
        <w:tc>
          <w:tcPr>
            <w:tcW w:w="6911" w:type="dxa"/>
          </w:tcPr>
          <w:p w:rsidR="003E0F55" w:rsidRPr="001C1598" w:rsidRDefault="003E0F55" w:rsidP="003E0F55">
            <w:pPr>
              <w:rPr>
                <w:sz w:val="20"/>
                <w:szCs w:val="20"/>
              </w:rPr>
            </w:pPr>
            <w:r w:rsidRPr="001C1598">
              <w:rPr>
                <w:sz w:val="20"/>
                <w:szCs w:val="20"/>
              </w:rPr>
              <w:t>European Medicines Agency</w:t>
            </w:r>
          </w:p>
        </w:tc>
      </w:tr>
      <w:tr w:rsidR="003E0F55" w:rsidRPr="00FD119B" w:rsidTr="00FD119B">
        <w:tc>
          <w:tcPr>
            <w:tcW w:w="1809" w:type="dxa"/>
          </w:tcPr>
          <w:p w:rsidR="003E0F55" w:rsidRPr="001C1598" w:rsidRDefault="003E0F55" w:rsidP="003E0F55">
            <w:pPr>
              <w:rPr>
                <w:sz w:val="20"/>
                <w:szCs w:val="20"/>
              </w:rPr>
            </w:pPr>
            <w:r w:rsidRPr="001C1598">
              <w:rPr>
                <w:sz w:val="20"/>
                <w:szCs w:val="20"/>
              </w:rPr>
              <w:lastRenderedPageBreak/>
              <w:t>EORTC</w:t>
            </w:r>
          </w:p>
        </w:tc>
        <w:tc>
          <w:tcPr>
            <w:tcW w:w="6911" w:type="dxa"/>
          </w:tcPr>
          <w:p w:rsidR="003E0F55" w:rsidRPr="001C1598" w:rsidRDefault="003E0F55" w:rsidP="003E0F55">
            <w:pPr>
              <w:rPr>
                <w:sz w:val="20"/>
                <w:szCs w:val="20"/>
              </w:rPr>
            </w:pPr>
            <w:r w:rsidRPr="001C1598">
              <w:rPr>
                <w:sz w:val="20"/>
                <w:szCs w:val="20"/>
              </w:rPr>
              <w:t>European Organisation for Research and Treatment of Cancer</w:t>
            </w:r>
          </w:p>
        </w:tc>
      </w:tr>
      <w:tr w:rsidR="003E0F55" w:rsidRPr="00FD119B" w:rsidTr="00FD119B">
        <w:tc>
          <w:tcPr>
            <w:tcW w:w="1809" w:type="dxa"/>
          </w:tcPr>
          <w:p w:rsidR="003E0F55" w:rsidRPr="001C1598" w:rsidRDefault="003E0F55" w:rsidP="003E0F55">
            <w:pPr>
              <w:rPr>
                <w:sz w:val="20"/>
                <w:szCs w:val="20"/>
              </w:rPr>
            </w:pPr>
            <w:r w:rsidRPr="001C1598">
              <w:rPr>
                <w:sz w:val="20"/>
                <w:szCs w:val="20"/>
              </w:rPr>
              <w:t>FDA</w:t>
            </w:r>
          </w:p>
        </w:tc>
        <w:tc>
          <w:tcPr>
            <w:tcW w:w="6911" w:type="dxa"/>
          </w:tcPr>
          <w:p w:rsidR="003E0F55" w:rsidRPr="001C1598" w:rsidRDefault="003E0F55" w:rsidP="003E0F55">
            <w:pPr>
              <w:rPr>
                <w:sz w:val="20"/>
                <w:szCs w:val="20"/>
              </w:rPr>
            </w:pPr>
            <w:r w:rsidRPr="001C1598">
              <w:rPr>
                <w:sz w:val="20"/>
                <w:szCs w:val="20"/>
              </w:rPr>
              <w:t>Food and Drug Administration</w:t>
            </w:r>
          </w:p>
        </w:tc>
      </w:tr>
      <w:tr w:rsidR="003E0F55" w:rsidRPr="00FD119B" w:rsidTr="00FD119B">
        <w:tc>
          <w:tcPr>
            <w:tcW w:w="1809" w:type="dxa"/>
          </w:tcPr>
          <w:p w:rsidR="003E0F55" w:rsidRPr="001C1598" w:rsidRDefault="003E0F55" w:rsidP="003E0F55">
            <w:pPr>
              <w:rPr>
                <w:sz w:val="20"/>
                <w:szCs w:val="20"/>
              </w:rPr>
            </w:pPr>
            <w:r w:rsidRPr="001C1598">
              <w:rPr>
                <w:sz w:val="20"/>
                <w:szCs w:val="20"/>
              </w:rPr>
              <w:t>GCP</w:t>
            </w:r>
          </w:p>
        </w:tc>
        <w:tc>
          <w:tcPr>
            <w:tcW w:w="6911" w:type="dxa"/>
          </w:tcPr>
          <w:p w:rsidR="003E0F55" w:rsidRPr="001C1598" w:rsidRDefault="003E0F55" w:rsidP="003E0F55">
            <w:pPr>
              <w:rPr>
                <w:sz w:val="20"/>
                <w:szCs w:val="20"/>
              </w:rPr>
            </w:pPr>
            <w:r w:rsidRPr="001C1598">
              <w:rPr>
                <w:sz w:val="20"/>
                <w:szCs w:val="20"/>
              </w:rPr>
              <w:t>Good Clinical Practice</w:t>
            </w:r>
          </w:p>
        </w:tc>
      </w:tr>
      <w:tr w:rsidR="003E0F55" w:rsidRPr="00FD119B" w:rsidTr="00FD119B">
        <w:tc>
          <w:tcPr>
            <w:tcW w:w="1809" w:type="dxa"/>
          </w:tcPr>
          <w:p w:rsidR="003E0F55" w:rsidRPr="001C1598" w:rsidRDefault="003E0F55" w:rsidP="003E0F55">
            <w:pPr>
              <w:rPr>
                <w:sz w:val="20"/>
                <w:szCs w:val="20"/>
              </w:rPr>
            </w:pPr>
            <w:r w:rsidRPr="001C1598">
              <w:rPr>
                <w:sz w:val="20"/>
                <w:szCs w:val="20"/>
              </w:rPr>
              <w:t>GIT</w:t>
            </w:r>
          </w:p>
        </w:tc>
        <w:tc>
          <w:tcPr>
            <w:tcW w:w="6911" w:type="dxa"/>
          </w:tcPr>
          <w:p w:rsidR="003E0F55" w:rsidRPr="001C1598" w:rsidRDefault="003E0F55" w:rsidP="003E0F55">
            <w:pPr>
              <w:rPr>
                <w:sz w:val="20"/>
                <w:szCs w:val="20"/>
              </w:rPr>
            </w:pPr>
            <w:r w:rsidRPr="001C1598">
              <w:rPr>
                <w:sz w:val="20"/>
                <w:szCs w:val="20"/>
              </w:rPr>
              <w:t>Gastrointestinal tract</w:t>
            </w:r>
          </w:p>
        </w:tc>
      </w:tr>
      <w:tr w:rsidR="003E0F55" w:rsidRPr="00FD119B" w:rsidTr="00FD119B">
        <w:tc>
          <w:tcPr>
            <w:tcW w:w="1809" w:type="dxa"/>
          </w:tcPr>
          <w:p w:rsidR="003E0F55" w:rsidRPr="001C1598" w:rsidRDefault="003E0F55" w:rsidP="003E0F55">
            <w:pPr>
              <w:rPr>
                <w:sz w:val="20"/>
                <w:szCs w:val="20"/>
              </w:rPr>
            </w:pPr>
            <w:r w:rsidRPr="001C1598">
              <w:rPr>
                <w:sz w:val="20"/>
                <w:szCs w:val="20"/>
              </w:rPr>
              <w:t>ICH</w:t>
            </w:r>
          </w:p>
        </w:tc>
        <w:tc>
          <w:tcPr>
            <w:tcW w:w="6911" w:type="dxa"/>
          </w:tcPr>
          <w:p w:rsidR="003E0F55" w:rsidRPr="001C1598" w:rsidRDefault="003E0F55" w:rsidP="003E0F55">
            <w:pPr>
              <w:rPr>
                <w:sz w:val="20"/>
                <w:szCs w:val="20"/>
              </w:rPr>
            </w:pPr>
            <w:r w:rsidRPr="001C1598">
              <w:rPr>
                <w:sz w:val="20"/>
                <w:szCs w:val="20"/>
              </w:rPr>
              <w:t>International Conference on Harmonisation</w:t>
            </w:r>
          </w:p>
        </w:tc>
      </w:tr>
      <w:tr w:rsidR="003E0F55" w:rsidRPr="00FD119B" w:rsidTr="00FD119B">
        <w:tc>
          <w:tcPr>
            <w:tcW w:w="1809" w:type="dxa"/>
          </w:tcPr>
          <w:p w:rsidR="003E0F55" w:rsidRPr="001C1598" w:rsidRDefault="003E0F55" w:rsidP="003E0F55">
            <w:pPr>
              <w:rPr>
                <w:sz w:val="20"/>
                <w:szCs w:val="20"/>
              </w:rPr>
            </w:pPr>
            <w:r w:rsidRPr="001C1598">
              <w:rPr>
                <w:sz w:val="20"/>
                <w:szCs w:val="20"/>
              </w:rPr>
              <w:t>L</w:t>
            </w:r>
          </w:p>
        </w:tc>
        <w:tc>
          <w:tcPr>
            <w:tcW w:w="6911" w:type="dxa"/>
          </w:tcPr>
          <w:p w:rsidR="003E0F55" w:rsidRPr="001C1598" w:rsidRDefault="003E0F55" w:rsidP="003E0F55">
            <w:pPr>
              <w:rPr>
                <w:sz w:val="20"/>
                <w:szCs w:val="20"/>
              </w:rPr>
            </w:pPr>
            <w:r w:rsidRPr="001C1598">
              <w:rPr>
                <w:sz w:val="20"/>
                <w:szCs w:val="20"/>
              </w:rPr>
              <w:t>Litre(s)</w:t>
            </w:r>
          </w:p>
        </w:tc>
      </w:tr>
      <w:tr w:rsidR="003E0F55" w:rsidRPr="00FD119B" w:rsidTr="00FD119B">
        <w:tc>
          <w:tcPr>
            <w:tcW w:w="1809" w:type="dxa"/>
          </w:tcPr>
          <w:p w:rsidR="003E0F55" w:rsidRPr="001C1598" w:rsidRDefault="003E0F55" w:rsidP="003E0F55">
            <w:pPr>
              <w:rPr>
                <w:sz w:val="20"/>
                <w:szCs w:val="20"/>
              </w:rPr>
            </w:pPr>
            <w:r w:rsidRPr="001C1598">
              <w:rPr>
                <w:sz w:val="20"/>
                <w:szCs w:val="20"/>
              </w:rPr>
              <w:t>LDH</w:t>
            </w:r>
          </w:p>
        </w:tc>
        <w:tc>
          <w:tcPr>
            <w:tcW w:w="6911" w:type="dxa"/>
          </w:tcPr>
          <w:p w:rsidR="003E0F55" w:rsidRPr="001C1598" w:rsidRDefault="003E0F55" w:rsidP="003E0F55">
            <w:pPr>
              <w:rPr>
                <w:sz w:val="20"/>
                <w:szCs w:val="20"/>
              </w:rPr>
            </w:pPr>
            <w:r w:rsidRPr="001C1598">
              <w:rPr>
                <w:sz w:val="20"/>
                <w:szCs w:val="20"/>
              </w:rPr>
              <w:t>Lactate Dehydrogenase</w:t>
            </w:r>
          </w:p>
        </w:tc>
      </w:tr>
      <w:tr w:rsidR="003E0F55" w:rsidRPr="00FD119B" w:rsidTr="00FD119B">
        <w:tc>
          <w:tcPr>
            <w:tcW w:w="1809" w:type="dxa"/>
          </w:tcPr>
          <w:p w:rsidR="003E0F55" w:rsidRPr="001C1598" w:rsidRDefault="003E0F55" w:rsidP="003E0F55">
            <w:pPr>
              <w:rPr>
                <w:sz w:val="20"/>
                <w:szCs w:val="20"/>
              </w:rPr>
            </w:pPr>
            <w:r w:rsidRPr="001C1598">
              <w:rPr>
                <w:sz w:val="20"/>
                <w:szCs w:val="20"/>
              </w:rPr>
              <w:t>LFTs</w:t>
            </w:r>
          </w:p>
        </w:tc>
        <w:tc>
          <w:tcPr>
            <w:tcW w:w="6911" w:type="dxa"/>
          </w:tcPr>
          <w:p w:rsidR="003E0F55" w:rsidRPr="001C1598" w:rsidRDefault="003E0F55" w:rsidP="003E0F55">
            <w:pPr>
              <w:rPr>
                <w:sz w:val="20"/>
                <w:szCs w:val="20"/>
              </w:rPr>
            </w:pPr>
            <w:r w:rsidRPr="001C1598">
              <w:rPr>
                <w:sz w:val="20"/>
                <w:szCs w:val="20"/>
              </w:rPr>
              <w:t>Liver function tests</w:t>
            </w:r>
          </w:p>
        </w:tc>
      </w:tr>
      <w:tr w:rsidR="003E0F55" w:rsidRPr="00FD119B" w:rsidTr="00FD119B">
        <w:tc>
          <w:tcPr>
            <w:tcW w:w="1809" w:type="dxa"/>
          </w:tcPr>
          <w:p w:rsidR="003E0F55" w:rsidRPr="001C1598" w:rsidRDefault="003E0F55" w:rsidP="003E0F55">
            <w:pPr>
              <w:rPr>
                <w:sz w:val="20"/>
                <w:szCs w:val="20"/>
              </w:rPr>
            </w:pPr>
            <w:r w:rsidRPr="001C1598">
              <w:rPr>
                <w:sz w:val="20"/>
                <w:szCs w:val="20"/>
              </w:rPr>
              <w:t>MBC</w:t>
            </w:r>
          </w:p>
        </w:tc>
        <w:tc>
          <w:tcPr>
            <w:tcW w:w="6911" w:type="dxa"/>
          </w:tcPr>
          <w:p w:rsidR="003E0F55" w:rsidRPr="001C1598" w:rsidRDefault="003E0F55" w:rsidP="003E0F55">
            <w:pPr>
              <w:rPr>
                <w:sz w:val="20"/>
                <w:szCs w:val="20"/>
              </w:rPr>
            </w:pPr>
            <w:r w:rsidRPr="001C1598">
              <w:rPr>
                <w:sz w:val="20"/>
                <w:szCs w:val="20"/>
              </w:rPr>
              <w:t>Metastatic breast cancer</w:t>
            </w:r>
          </w:p>
        </w:tc>
      </w:tr>
      <w:tr w:rsidR="003E0F55" w:rsidRPr="00FD119B" w:rsidTr="00FD119B">
        <w:tc>
          <w:tcPr>
            <w:tcW w:w="1809" w:type="dxa"/>
          </w:tcPr>
          <w:p w:rsidR="003E0F55" w:rsidRPr="001C1598" w:rsidRDefault="003E0F55" w:rsidP="003E0F55">
            <w:pPr>
              <w:rPr>
                <w:sz w:val="20"/>
                <w:szCs w:val="20"/>
              </w:rPr>
            </w:pPr>
            <w:r w:rsidRPr="001C1598">
              <w:rPr>
                <w:sz w:val="20"/>
                <w:szCs w:val="20"/>
              </w:rPr>
              <w:t>MEDRA</w:t>
            </w:r>
          </w:p>
        </w:tc>
        <w:tc>
          <w:tcPr>
            <w:tcW w:w="6911" w:type="dxa"/>
          </w:tcPr>
          <w:p w:rsidR="003E0F55" w:rsidRPr="001C1598" w:rsidRDefault="003E0F55" w:rsidP="003E0F55">
            <w:pPr>
              <w:rPr>
                <w:sz w:val="20"/>
                <w:szCs w:val="20"/>
              </w:rPr>
            </w:pPr>
            <w:r w:rsidRPr="001C1598">
              <w:rPr>
                <w:sz w:val="20"/>
                <w:szCs w:val="20"/>
              </w:rPr>
              <w:t>Medical dictionary for regulatory activities</w:t>
            </w:r>
          </w:p>
        </w:tc>
      </w:tr>
      <w:tr w:rsidR="003E0F55" w:rsidRPr="00FD119B" w:rsidTr="00FD119B">
        <w:tc>
          <w:tcPr>
            <w:tcW w:w="1809" w:type="dxa"/>
          </w:tcPr>
          <w:p w:rsidR="003E0F55" w:rsidRPr="001C1598" w:rsidRDefault="003E0F55" w:rsidP="003E0F55">
            <w:pPr>
              <w:rPr>
                <w:sz w:val="20"/>
                <w:szCs w:val="20"/>
              </w:rPr>
            </w:pPr>
            <w:r w:rsidRPr="001C1598">
              <w:rPr>
                <w:sz w:val="20"/>
                <w:szCs w:val="20"/>
              </w:rPr>
              <w:t>MRI</w:t>
            </w:r>
          </w:p>
        </w:tc>
        <w:tc>
          <w:tcPr>
            <w:tcW w:w="6911" w:type="dxa"/>
          </w:tcPr>
          <w:p w:rsidR="003E0F55" w:rsidRPr="001C1598" w:rsidRDefault="003E0F55" w:rsidP="003E0F55">
            <w:pPr>
              <w:rPr>
                <w:sz w:val="20"/>
                <w:szCs w:val="20"/>
              </w:rPr>
            </w:pPr>
            <w:r w:rsidRPr="001C1598">
              <w:rPr>
                <w:sz w:val="20"/>
                <w:szCs w:val="20"/>
              </w:rPr>
              <w:t>Magnetic Resonance Imaging</w:t>
            </w:r>
          </w:p>
        </w:tc>
      </w:tr>
      <w:tr w:rsidR="003E0F55" w:rsidRPr="00FD119B" w:rsidTr="00FD119B">
        <w:tc>
          <w:tcPr>
            <w:tcW w:w="1809" w:type="dxa"/>
          </w:tcPr>
          <w:p w:rsidR="003E0F55" w:rsidRPr="001C1598" w:rsidRDefault="003E0F55" w:rsidP="003E0F55">
            <w:pPr>
              <w:rPr>
                <w:sz w:val="20"/>
                <w:szCs w:val="20"/>
              </w:rPr>
            </w:pPr>
            <w:r w:rsidRPr="001C1598">
              <w:rPr>
                <w:sz w:val="20"/>
                <w:szCs w:val="20"/>
              </w:rPr>
              <w:t>NCCN</w:t>
            </w:r>
          </w:p>
        </w:tc>
        <w:tc>
          <w:tcPr>
            <w:tcW w:w="6911" w:type="dxa"/>
          </w:tcPr>
          <w:p w:rsidR="003E0F55" w:rsidRPr="001C1598" w:rsidRDefault="003E0F55" w:rsidP="003E0F55">
            <w:pPr>
              <w:rPr>
                <w:sz w:val="20"/>
                <w:szCs w:val="20"/>
              </w:rPr>
            </w:pPr>
            <w:r w:rsidRPr="001C1598">
              <w:rPr>
                <w:sz w:val="20"/>
                <w:szCs w:val="20"/>
              </w:rPr>
              <w:t>National Comprehensive Cancer Network</w:t>
            </w:r>
          </w:p>
        </w:tc>
      </w:tr>
      <w:tr w:rsidR="003E0F55" w:rsidRPr="00FD119B" w:rsidTr="00FD119B">
        <w:tc>
          <w:tcPr>
            <w:tcW w:w="1809" w:type="dxa"/>
          </w:tcPr>
          <w:p w:rsidR="003E0F55" w:rsidRPr="001C1598" w:rsidRDefault="003E0F55" w:rsidP="003E0F55">
            <w:pPr>
              <w:rPr>
                <w:sz w:val="20"/>
                <w:szCs w:val="20"/>
              </w:rPr>
            </w:pPr>
            <w:r w:rsidRPr="001C1598">
              <w:rPr>
                <w:sz w:val="20"/>
                <w:szCs w:val="20"/>
              </w:rPr>
              <w:t>ORR</w:t>
            </w:r>
          </w:p>
        </w:tc>
        <w:tc>
          <w:tcPr>
            <w:tcW w:w="6911" w:type="dxa"/>
          </w:tcPr>
          <w:p w:rsidR="003E0F55" w:rsidRPr="001C1598" w:rsidRDefault="003E0F55" w:rsidP="003E0F55">
            <w:pPr>
              <w:rPr>
                <w:sz w:val="20"/>
                <w:szCs w:val="20"/>
              </w:rPr>
            </w:pPr>
            <w:r w:rsidRPr="001C1598">
              <w:rPr>
                <w:sz w:val="20"/>
                <w:szCs w:val="20"/>
              </w:rPr>
              <w:t>Objective response rate</w:t>
            </w:r>
          </w:p>
        </w:tc>
      </w:tr>
      <w:tr w:rsidR="003E0F55" w:rsidRPr="00FD119B" w:rsidTr="00FD119B">
        <w:tc>
          <w:tcPr>
            <w:tcW w:w="1809" w:type="dxa"/>
          </w:tcPr>
          <w:p w:rsidR="003E0F55" w:rsidRPr="001C1598" w:rsidRDefault="003E0F55" w:rsidP="003E0F55">
            <w:pPr>
              <w:rPr>
                <w:sz w:val="20"/>
                <w:szCs w:val="20"/>
              </w:rPr>
            </w:pPr>
            <w:r w:rsidRPr="001C1598">
              <w:rPr>
                <w:sz w:val="20"/>
                <w:szCs w:val="20"/>
              </w:rPr>
              <w:t>OS</w:t>
            </w:r>
          </w:p>
        </w:tc>
        <w:tc>
          <w:tcPr>
            <w:tcW w:w="6911" w:type="dxa"/>
          </w:tcPr>
          <w:p w:rsidR="003E0F55" w:rsidRPr="001C1598" w:rsidRDefault="003E0F55" w:rsidP="003E0F55">
            <w:pPr>
              <w:rPr>
                <w:sz w:val="20"/>
                <w:szCs w:val="20"/>
              </w:rPr>
            </w:pPr>
            <w:r w:rsidRPr="001C1598">
              <w:rPr>
                <w:sz w:val="20"/>
                <w:szCs w:val="20"/>
              </w:rPr>
              <w:t>Overall Survival</w:t>
            </w:r>
          </w:p>
        </w:tc>
      </w:tr>
      <w:tr w:rsidR="003E0F55" w:rsidRPr="00FD119B" w:rsidTr="00FD119B">
        <w:tc>
          <w:tcPr>
            <w:tcW w:w="1809" w:type="dxa"/>
          </w:tcPr>
          <w:p w:rsidR="003E0F55" w:rsidRPr="001C1598" w:rsidRDefault="003E0F55" w:rsidP="003E0F55">
            <w:pPr>
              <w:rPr>
                <w:sz w:val="20"/>
                <w:szCs w:val="20"/>
              </w:rPr>
            </w:pPr>
            <w:r w:rsidRPr="001C1598">
              <w:rPr>
                <w:sz w:val="20"/>
                <w:szCs w:val="20"/>
              </w:rPr>
              <w:t xml:space="preserve">PD </w:t>
            </w:r>
          </w:p>
        </w:tc>
        <w:tc>
          <w:tcPr>
            <w:tcW w:w="6911" w:type="dxa"/>
          </w:tcPr>
          <w:p w:rsidR="003E0F55" w:rsidRPr="001C1598" w:rsidRDefault="003E0F55" w:rsidP="003E0F55">
            <w:pPr>
              <w:rPr>
                <w:sz w:val="20"/>
                <w:szCs w:val="20"/>
              </w:rPr>
            </w:pPr>
            <w:r w:rsidRPr="001C1598">
              <w:rPr>
                <w:sz w:val="20"/>
                <w:szCs w:val="20"/>
              </w:rPr>
              <w:t>Pharmacodynamics</w:t>
            </w:r>
          </w:p>
        </w:tc>
      </w:tr>
      <w:tr w:rsidR="003E0F55" w:rsidRPr="00FD119B" w:rsidTr="00FD119B">
        <w:tc>
          <w:tcPr>
            <w:tcW w:w="1809" w:type="dxa"/>
          </w:tcPr>
          <w:p w:rsidR="003E0F55" w:rsidRPr="001C1598" w:rsidRDefault="003E0F55" w:rsidP="003E0F55">
            <w:pPr>
              <w:rPr>
                <w:sz w:val="20"/>
                <w:szCs w:val="20"/>
              </w:rPr>
            </w:pPr>
            <w:r w:rsidRPr="001C1598">
              <w:rPr>
                <w:sz w:val="20"/>
                <w:szCs w:val="20"/>
              </w:rPr>
              <w:t>PFR12wks</w:t>
            </w:r>
          </w:p>
        </w:tc>
        <w:tc>
          <w:tcPr>
            <w:tcW w:w="6911" w:type="dxa"/>
          </w:tcPr>
          <w:p w:rsidR="003E0F55" w:rsidRPr="001C1598" w:rsidRDefault="003E0F55" w:rsidP="003E0F55">
            <w:pPr>
              <w:rPr>
                <w:sz w:val="20"/>
                <w:szCs w:val="20"/>
              </w:rPr>
            </w:pPr>
            <w:r w:rsidRPr="001C1598">
              <w:rPr>
                <w:sz w:val="20"/>
                <w:szCs w:val="20"/>
              </w:rPr>
              <w:t>Progression-free survival rate at 12 weeks</w:t>
            </w:r>
          </w:p>
        </w:tc>
      </w:tr>
      <w:tr w:rsidR="003E0F55" w:rsidRPr="00FD119B" w:rsidTr="00FD119B">
        <w:tc>
          <w:tcPr>
            <w:tcW w:w="1809" w:type="dxa"/>
          </w:tcPr>
          <w:p w:rsidR="003E0F55" w:rsidRPr="001C1598" w:rsidRDefault="003E0F55" w:rsidP="003E0F55">
            <w:pPr>
              <w:rPr>
                <w:sz w:val="20"/>
                <w:szCs w:val="20"/>
              </w:rPr>
            </w:pPr>
            <w:r w:rsidRPr="001C1598">
              <w:rPr>
                <w:sz w:val="20"/>
                <w:szCs w:val="20"/>
              </w:rPr>
              <w:t>PFS</w:t>
            </w:r>
          </w:p>
        </w:tc>
        <w:tc>
          <w:tcPr>
            <w:tcW w:w="6911" w:type="dxa"/>
          </w:tcPr>
          <w:p w:rsidR="003E0F55" w:rsidRPr="001C1598" w:rsidRDefault="003E0F55" w:rsidP="003E0F55">
            <w:pPr>
              <w:rPr>
                <w:sz w:val="20"/>
                <w:szCs w:val="20"/>
              </w:rPr>
            </w:pPr>
            <w:r w:rsidRPr="001C1598">
              <w:rPr>
                <w:sz w:val="20"/>
                <w:szCs w:val="20"/>
              </w:rPr>
              <w:t>Progression free survival</w:t>
            </w:r>
          </w:p>
        </w:tc>
      </w:tr>
      <w:tr w:rsidR="003E0F55" w:rsidRPr="00FD119B" w:rsidTr="00FD119B">
        <w:tc>
          <w:tcPr>
            <w:tcW w:w="1809" w:type="dxa"/>
          </w:tcPr>
          <w:p w:rsidR="003E0F55" w:rsidRPr="001C1598" w:rsidRDefault="003E0F55" w:rsidP="003E0F55">
            <w:pPr>
              <w:rPr>
                <w:sz w:val="20"/>
                <w:szCs w:val="20"/>
              </w:rPr>
            </w:pPr>
            <w:r w:rsidRPr="001C1598">
              <w:rPr>
                <w:sz w:val="20"/>
                <w:szCs w:val="20"/>
              </w:rPr>
              <w:t>PI</w:t>
            </w:r>
          </w:p>
        </w:tc>
        <w:tc>
          <w:tcPr>
            <w:tcW w:w="6911" w:type="dxa"/>
          </w:tcPr>
          <w:p w:rsidR="003E0F55" w:rsidRPr="001C1598" w:rsidRDefault="003E0F55" w:rsidP="003E0F55">
            <w:pPr>
              <w:rPr>
                <w:sz w:val="20"/>
                <w:szCs w:val="20"/>
              </w:rPr>
            </w:pPr>
            <w:r w:rsidRPr="001C1598">
              <w:rPr>
                <w:sz w:val="20"/>
                <w:szCs w:val="20"/>
              </w:rPr>
              <w:t>Product Information</w:t>
            </w:r>
          </w:p>
        </w:tc>
      </w:tr>
      <w:tr w:rsidR="003E0F55" w:rsidRPr="00FD119B" w:rsidTr="00FD119B">
        <w:tc>
          <w:tcPr>
            <w:tcW w:w="1809" w:type="dxa"/>
          </w:tcPr>
          <w:p w:rsidR="003E0F55" w:rsidRPr="001C1598" w:rsidRDefault="003E0F55" w:rsidP="003E0F55">
            <w:pPr>
              <w:rPr>
                <w:sz w:val="20"/>
                <w:szCs w:val="20"/>
              </w:rPr>
            </w:pPr>
            <w:r w:rsidRPr="001C1598">
              <w:rPr>
                <w:sz w:val="20"/>
                <w:szCs w:val="20"/>
              </w:rPr>
              <w:t>PK</w:t>
            </w:r>
          </w:p>
        </w:tc>
        <w:tc>
          <w:tcPr>
            <w:tcW w:w="6911" w:type="dxa"/>
          </w:tcPr>
          <w:p w:rsidR="003E0F55" w:rsidRPr="001C1598" w:rsidRDefault="003E0F55" w:rsidP="003E0F55">
            <w:pPr>
              <w:rPr>
                <w:sz w:val="20"/>
                <w:szCs w:val="20"/>
              </w:rPr>
            </w:pPr>
            <w:r w:rsidRPr="001C1598">
              <w:rPr>
                <w:sz w:val="20"/>
                <w:szCs w:val="20"/>
              </w:rPr>
              <w:t>Pharmacokinetics</w:t>
            </w:r>
          </w:p>
        </w:tc>
      </w:tr>
      <w:tr w:rsidR="003E0F55" w:rsidRPr="00FD119B" w:rsidTr="00FD119B">
        <w:tc>
          <w:tcPr>
            <w:tcW w:w="1809" w:type="dxa"/>
          </w:tcPr>
          <w:p w:rsidR="003E0F55" w:rsidRPr="001C1598" w:rsidRDefault="003E0F55" w:rsidP="003E0F55">
            <w:pPr>
              <w:rPr>
                <w:sz w:val="20"/>
                <w:szCs w:val="20"/>
              </w:rPr>
            </w:pPr>
            <w:r w:rsidRPr="001C1598">
              <w:rPr>
                <w:sz w:val="20"/>
                <w:szCs w:val="20"/>
              </w:rPr>
              <w:t>PR</w:t>
            </w:r>
          </w:p>
        </w:tc>
        <w:tc>
          <w:tcPr>
            <w:tcW w:w="6911" w:type="dxa"/>
          </w:tcPr>
          <w:p w:rsidR="003E0F55" w:rsidRPr="001C1598" w:rsidRDefault="003E0F55" w:rsidP="003E0F55">
            <w:pPr>
              <w:rPr>
                <w:sz w:val="20"/>
                <w:szCs w:val="20"/>
              </w:rPr>
            </w:pPr>
            <w:r w:rsidRPr="001C1598">
              <w:rPr>
                <w:sz w:val="20"/>
                <w:szCs w:val="20"/>
              </w:rPr>
              <w:t>Partial Response</w:t>
            </w:r>
          </w:p>
        </w:tc>
      </w:tr>
      <w:tr w:rsidR="003E0F55" w:rsidRPr="00FD119B" w:rsidTr="00FD119B">
        <w:tc>
          <w:tcPr>
            <w:tcW w:w="1809" w:type="dxa"/>
          </w:tcPr>
          <w:p w:rsidR="003E0F55" w:rsidRPr="001C1598" w:rsidRDefault="003E0F55" w:rsidP="003E0F55">
            <w:pPr>
              <w:rPr>
                <w:sz w:val="20"/>
                <w:szCs w:val="20"/>
              </w:rPr>
            </w:pPr>
            <w:r w:rsidRPr="001C1598">
              <w:rPr>
                <w:sz w:val="20"/>
                <w:szCs w:val="20"/>
              </w:rPr>
              <w:t>PS</w:t>
            </w:r>
          </w:p>
        </w:tc>
        <w:tc>
          <w:tcPr>
            <w:tcW w:w="6911" w:type="dxa"/>
          </w:tcPr>
          <w:p w:rsidR="003E0F55" w:rsidRPr="001C1598" w:rsidRDefault="003E0F55" w:rsidP="003E0F55">
            <w:pPr>
              <w:rPr>
                <w:sz w:val="20"/>
                <w:szCs w:val="20"/>
              </w:rPr>
            </w:pPr>
            <w:r w:rsidRPr="001C1598">
              <w:rPr>
                <w:sz w:val="20"/>
                <w:szCs w:val="20"/>
              </w:rPr>
              <w:t>Performance status</w:t>
            </w:r>
          </w:p>
        </w:tc>
      </w:tr>
      <w:tr w:rsidR="003E0F55" w:rsidRPr="00FD119B" w:rsidTr="00FD119B">
        <w:tc>
          <w:tcPr>
            <w:tcW w:w="1809" w:type="dxa"/>
          </w:tcPr>
          <w:p w:rsidR="003E0F55" w:rsidRPr="001C1598" w:rsidRDefault="003E0F55" w:rsidP="003E0F55">
            <w:pPr>
              <w:rPr>
                <w:sz w:val="20"/>
                <w:szCs w:val="20"/>
              </w:rPr>
            </w:pPr>
            <w:proofErr w:type="spellStart"/>
            <w:r w:rsidRPr="001C1598">
              <w:rPr>
                <w:sz w:val="20"/>
                <w:szCs w:val="20"/>
              </w:rPr>
              <w:t>QoL</w:t>
            </w:r>
            <w:proofErr w:type="spellEnd"/>
          </w:p>
        </w:tc>
        <w:tc>
          <w:tcPr>
            <w:tcW w:w="6911" w:type="dxa"/>
          </w:tcPr>
          <w:p w:rsidR="003E0F55" w:rsidRPr="001C1598" w:rsidRDefault="003E0F55" w:rsidP="003E0F55">
            <w:pPr>
              <w:rPr>
                <w:sz w:val="20"/>
                <w:szCs w:val="20"/>
              </w:rPr>
            </w:pPr>
            <w:r w:rsidRPr="001C1598">
              <w:rPr>
                <w:sz w:val="20"/>
                <w:szCs w:val="20"/>
              </w:rPr>
              <w:t>Quality of Life</w:t>
            </w:r>
          </w:p>
        </w:tc>
      </w:tr>
      <w:tr w:rsidR="003E0F55" w:rsidRPr="00FD119B" w:rsidTr="00FD119B">
        <w:tc>
          <w:tcPr>
            <w:tcW w:w="1809" w:type="dxa"/>
          </w:tcPr>
          <w:p w:rsidR="003E0F55" w:rsidRPr="001C1598" w:rsidRDefault="003E0F55" w:rsidP="003E0F55">
            <w:pPr>
              <w:rPr>
                <w:sz w:val="20"/>
                <w:szCs w:val="20"/>
              </w:rPr>
            </w:pPr>
            <w:r w:rsidRPr="001C1598">
              <w:rPr>
                <w:sz w:val="20"/>
                <w:szCs w:val="20"/>
              </w:rPr>
              <w:t>RECIST</w:t>
            </w:r>
          </w:p>
        </w:tc>
        <w:tc>
          <w:tcPr>
            <w:tcW w:w="6911" w:type="dxa"/>
          </w:tcPr>
          <w:p w:rsidR="003E0F55" w:rsidRPr="001C1598" w:rsidRDefault="003E0F55" w:rsidP="003E0F55">
            <w:pPr>
              <w:rPr>
                <w:sz w:val="20"/>
                <w:szCs w:val="20"/>
              </w:rPr>
            </w:pPr>
            <w:r w:rsidRPr="001C1598">
              <w:rPr>
                <w:sz w:val="20"/>
                <w:szCs w:val="20"/>
              </w:rPr>
              <w:t>Response evaluation criteria in solid tumours</w:t>
            </w:r>
          </w:p>
        </w:tc>
      </w:tr>
      <w:tr w:rsidR="003E0F55" w:rsidRPr="00FD119B" w:rsidTr="00FD119B">
        <w:tc>
          <w:tcPr>
            <w:tcW w:w="1809" w:type="dxa"/>
          </w:tcPr>
          <w:p w:rsidR="003E0F55" w:rsidRPr="001C1598" w:rsidRDefault="003E0F55" w:rsidP="003E0F55">
            <w:pPr>
              <w:rPr>
                <w:sz w:val="20"/>
                <w:szCs w:val="20"/>
              </w:rPr>
            </w:pPr>
            <w:r w:rsidRPr="001C1598">
              <w:rPr>
                <w:sz w:val="20"/>
                <w:szCs w:val="20"/>
              </w:rPr>
              <w:t>SAE</w:t>
            </w:r>
          </w:p>
        </w:tc>
        <w:tc>
          <w:tcPr>
            <w:tcW w:w="6911" w:type="dxa"/>
          </w:tcPr>
          <w:p w:rsidR="003E0F55" w:rsidRPr="001C1598" w:rsidRDefault="003E0F55" w:rsidP="003E0F55">
            <w:pPr>
              <w:rPr>
                <w:sz w:val="20"/>
                <w:szCs w:val="20"/>
              </w:rPr>
            </w:pPr>
            <w:r w:rsidRPr="001C1598">
              <w:rPr>
                <w:sz w:val="20"/>
                <w:szCs w:val="20"/>
              </w:rPr>
              <w:t>Serious Adverse Event</w:t>
            </w:r>
          </w:p>
        </w:tc>
      </w:tr>
      <w:tr w:rsidR="003E0F55" w:rsidRPr="00FD119B" w:rsidTr="00FD119B">
        <w:tc>
          <w:tcPr>
            <w:tcW w:w="1809" w:type="dxa"/>
          </w:tcPr>
          <w:p w:rsidR="003E0F55" w:rsidRPr="001C1598" w:rsidRDefault="003E0F55" w:rsidP="003E0F55">
            <w:pPr>
              <w:rPr>
                <w:sz w:val="20"/>
                <w:szCs w:val="20"/>
              </w:rPr>
            </w:pPr>
            <w:r w:rsidRPr="001C1598">
              <w:rPr>
                <w:sz w:val="20"/>
                <w:szCs w:val="20"/>
              </w:rPr>
              <w:t>SD</w:t>
            </w:r>
          </w:p>
        </w:tc>
        <w:tc>
          <w:tcPr>
            <w:tcW w:w="6911" w:type="dxa"/>
          </w:tcPr>
          <w:p w:rsidR="003E0F55" w:rsidRPr="001C1598" w:rsidRDefault="003E0F55" w:rsidP="003E0F55">
            <w:pPr>
              <w:rPr>
                <w:sz w:val="20"/>
                <w:szCs w:val="20"/>
              </w:rPr>
            </w:pPr>
            <w:r w:rsidRPr="001C1598">
              <w:rPr>
                <w:sz w:val="20"/>
                <w:szCs w:val="20"/>
              </w:rPr>
              <w:t>Stable Disease</w:t>
            </w:r>
          </w:p>
        </w:tc>
      </w:tr>
      <w:tr w:rsidR="003E0F55" w:rsidRPr="00FD119B" w:rsidTr="00FD119B">
        <w:tc>
          <w:tcPr>
            <w:tcW w:w="1809" w:type="dxa"/>
          </w:tcPr>
          <w:p w:rsidR="003E0F55" w:rsidRPr="001C1598" w:rsidRDefault="003E0F55" w:rsidP="003E0F55">
            <w:pPr>
              <w:rPr>
                <w:sz w:val="20"/>
                <w:szCs w:val="20"/>
              </w:rPr>
            </w:pPr>
            <w:r w:rsidRPr="001C1598">
              <w:rPr>
                <w:sz w:val="20"/>
                <w:szCs w:val="20"/>
              </w:rPr>
              <w:t>STS</w:t>
            </w:r>
          </w:p>
        </w:tc>
        <w:tc>
          <w:tcPr>
            <w:tcW w:w="6911" w:type="dxa"/>
          </w:tcPr>
          <w:p w:rsidR="003E0F55" w:rsidRPr="001C1598" w:rsidRDefault="003E0F55" w:rsidP="003E0F55">
            <w:pPr>
              <w:rPr>
                <w:sz w:val="20"/>
                <w:szCs w:val="20"/>
              </w:rPr>
            </w:pPr>
            <w:r w:rsidRPr="001C1598">
              <w:rPr>
                <w:sz w:val="20"/>
                <w:szCs w:val="20"/>
              </w:rPr>
              <w:t>Soft Tissue Sarcoma</w:t>
            </w:r>
          </w:p>
        </w:tc>
      </w:tr>
      <w:tr w:rsidR="003E0F55" w:rsidRPr="00FD119B" w:rsidTr="00FD119B">
        <w:tc>
          <w:tcPr>
            <w:tcW w:w="1809" w:type="dxa"/>
          </w:tcPr>
          <w:p w:rsidR="003E0F55" w:rsidRPr="001C1598" w:rsidRDefault="003E0F55" w:rsidP="003E0F55">
            <w:pPr>
              <w:rPr>
                <w:sz w:val="20"/>
                <w:szCs w:val="20"/>
              </w:rPr>
            </w:pPr>
            <w:r w:rsidRPr="001C1598">
              <w:rPr>
                <w:sz w:val="20"/>
                <w:szCs w:val="20"/>
              </w:rPr>
              <w:t xml:space="preserve">TGA </w:t>
            </w:r>
          </w:p>
        </w:tc>
        <w:tc>
          <w:tcPr>
            <w:tcW w:w="6911" w:type="dxa"/>
          </w:tcPr>
          <w:p w:rsidR="003E0F55" w:rsidRPr="001C1598" w:rsidRDefault="003E0F55" w:rsidP="003E0F55">
            <w:pPr>
              <w:rPr>
                <w:sz w:val="20"/>
                <w:szCs w:val="20"/>
              </w:rPr>
            </w:pPr>
            <w:r w:rsidRPr="001C1598">
              <w:rPr>
                <w:sz w:val="20"/>
                <w:szCs w:val="20"/>
              </w:rPr>
              <w:t>Therapeutic Goods Administration</w:t>
            </w:r>
          </w:p>
        </w:tc>
      </w:tr>
      <w:tr w:rsidR="003E0F55" w:rsidRPr="00FD119B" w:rsidTr="00FD119B">
        <w:tc>
          <w:tcPr>
            <w:tcW w:w="1809" w:type="dxa"/>
          </w:tcPr>
          <w:p w:rsidR="003E0F55" w:rsidRPr="001C1598" w:rsidRDefault="003E0F55" w:rsidP="003E0F55">
            <w:pPr>
              <w:rPr>
                <w:sz w:val="20"/>
                <w:szCs w:val="20"/>
              </w:rPr>
            </w:pPr>
            <w:proofErr w:type="spellStart"/>
            <w:r w:rsidRPr="001C1598">
              <w:rPr>
                <w:sz w:val="20"/>
                <w:szCs w:val="20"/>
              </w:rPr>
              <w:lastRenderedPageBreak/>
              <w:t>Tmax</w:t>
            </w:r>
            <w:proofErr w:type="spellEnd"/>
          </w:p>
        </w:tc>
        <w:tc>
          <w:tcPr>
            <w:tcW w:w="6911" w:type="dxa"/>
          </w:tcPr>
          <w:p w:rsidR="003E0F55" w:rsidRPr="001C1598" w:rsidRDefault="003E0F55" w:rsidP="003E0F55">
            <w:pPr>
              <w:rPr>
                <w:sz w:val="20"/>
                <w:szCs w:val="20"/>
              </w:rPr>
            </w:pPr>
            <w:r w:rsidRPr="001C1598">
              <w:rPr>
                <w:sz w:val="20"/>
                <w:szCs w:val="20"/>
              </w:rPr>
              <w:t>Time of maximum concentration</w:t>
            </w:r>
          </w:p>
        </w:tc>
      </w:tr>
      <w:tr w:rsidR="003E0F55" w:rsidRPr="00FD119B" w:rsidTr="00FD119B">
        <w:tc>
          <w:tcPr>
            <w:tcW w:w="1809" w:type="dxa"/>
          </w:tcPr>
          <w:p w:rsidR="003E0F55" w:rsidRPr="001C1598" w:rsidRDefault="003E0F55" w:rsidP="003E0F55">
            <w:pPr>
              <w:rPr>
                <w:sz w:val="20"/>
                <w:szCs w:val="20"/>
              </w:rPr>
            </w:pPr>
            <w:r w:rsidRPr="001C1598">
              <w:rPr>
                <w:sz w:val="20"/>
                <w:szCs w:val="20"/>
              </w:rPr>
              <w:t>WHO</w:t>
            </w:r>
          </w:p>
        </w:tc>
        <w:tc>
          <w:tcPr>
            <w:tcW w:w="6911" w:type="dxa"/>
          </w:tcPr>
          <w:p w:rsidR="003E0F55" w:rsidRPr="001C1598" w:rsidRDefault="003E0F55" w:rsidP="003E0F55">
            <w:pPr>
              <w:rPr>
                <w:sz w:val="20"/>
                <w:szCs w:val="20"/>
              </w:rPr>
            </w:pPr>
            <w:r w:rsidRPr="001C1598">
              <w:rPr>
                <w:sz w:val="20"/>
                <w:szCs w:val="20"/>
              </w:rPr>
              <w:t>World Health Organisation</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97233765"/>
      <w:r>
        <w:lastRenderedPageBreak/>
        <w:t>I.</w:t>
      </w:r>
      <w:r w:rsidR="008E7846">
        <w:t xml:space="preserve"> Introduction to product submission</w:t>
      </w:r>
      <w:bookmarkEnd w:id="3"/>
      <w:bookmarkEnd w:id="1"/>
      <w:bookmarkEnd w:id="9"/>
    </w:p>
    <w:p w:rsidR="008E7846" w:rsidRDefault="008E7846" w:rsidP="008E7846">
      <w:pPr>
        <w:pStyle w:val="Heading3"/>
        <w:rPr>
          <w:lang w:eastAsia="en-AU"/>
        </w:rPr>
      </w:pPr>
      <w:bookmarkStart w:id="10" w:name="_Toc247691502"/>
      <w:bookmarkStart w:id="11" w:name="_Toc314842483"/>
      <w:bookmarkStart w:id="12" w:name="_Toc497233766"/>
      <w:r>
        <w:rPr>
          <w:lang w:eastAsia="en-AU"/>
        </w:rPr>
        <w:t>Submission details</w:t>
      </w:r>
      <w:bookmarkEnd w:id="10"/>
      <w:bookmarkEnd w:id="11"/>
      <w:bookmarkEnd w:id="12"/>
    </w:p>
    <w:tbl>
      <w:tblPr>
        <w:tblW w:w="9497" w:type="dxa"/>
        <w:tblInd w:w="108" w:type="dxa"/>
        <w:tblLook w:val="01E0" w:firstRow="1" w:lastRow="1" w:firstColumn="1" w:lastColumn="1" w:noHBand="0" w:noVBand="0"/>
        <w:tblDescription w:val="Submission details"/>
      </w:tblPr>
      <w:tblGrid>
        <w:gridCol w:w="2907"/>
        <w:gridCol w:w="6307"/>
        <w:gridCol w:w="283"/>
      </w:tblGrid>
      <w:tr w:rsidR="008E7846" w:rsidRPr="003D1E62" w:rsidTr="00970A75">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16128" w:rsidRDefault="00816128" w:rsidP="00816128">
            <w:pPr>
              <w:rPr>
                <w:rFonts w:asciiTheme="minorHAnsi" w:eastAsia="MS Mincho" w:hAnsiTheme="minorHAnsi"/>
                <w:lang w:eastAsia="ja-JP"/>
              </w:rPr>
            </w:pPr>
            <w:r>
              <w:rPr>
                <w:rFonts w:asciiTheme="minorHAnsi" w:hAnsiTheme="minorHAnsi"/>
              </w:rPr>
              <w:t>Extension of Indications</w:t>
            </w:r>
          </w:p>
          <w:p w:rsidR="008E7846" w:rsidRPr="003D1E62" w:rsidRDefault="00816128" w:rsidP="00816128">
            <w:r>
              <w:rPr>
                <w:rFonts w:asciiTheme="minorHAnsi" w:hAnsiTheme="minorHAnsi"/>
              </w:rPr>
              <w:t>Application to: extend the Indications to include treatment of patients with soft tissue sarcoma.</w:t>
            </w:r>
          </w:p>
        </w:tc>
      </w:tr>
      <w:tr w:rsidR="008E7846" w:rsidRPr="003D1E62" w:rsidTr="00970A75">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B8472E" w:rsidP="00A82C70">
            <w:r>
              <w:t>Approved</w:t>
            </w:r>
          </w:p>
        </w:tc>
      </w:tr>
      <w:tr w:rsidR="008E7846" w:rsidRPr="003D1E62" w:rsidTr="00970A75">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117AE2" w:rsidP="001B5C90">
            <w:r>
              <w:t>16 November 2016</w:t>
            </w:r>
          </w:p>
        </w:tc>
      </w:tr>
      <w:tr w:rsidR="00ED2922" w:rsidRPr="003D1E62" w:rsidTr="00970A75">
        <w:trPr>
          <w:trHeight w:hRule="exact" w:val="454"/>
        </w:trPr>
        <w:tc>
          <w:tcPr>
            <w:tcW w:w="2907" w:type="dxa"/>
          </w:tcPr>
          <w:p w:rsidR="00ED2922" w:rsidRPr="00441C3F" w:rsidRDefault="00ED2922" w:rsidP="001B5C90">
            <w:pPr>
              <w:rPr>
                <w:i/>
              </w:rPr>
            </w:pPr>
            <w:r w:rsidRPr="00441C3F">
              <w:rPr>
                <w:i/>
              </w:rPr>
              <w:t>Date of entry onto ARTG</w:t>
            </w:r>
          </w:p>
        </w:tc>
        <w:tc>
          <w:tcPr>
            <w:tcW w:w="6590" w:type="dxa"/>
            <w:gridSpan w:val="2"/>
          </w:tcPr>
          <w:p w:rsidR="00ED2922" w:rsidRPr="00441C3F" w:rsidRDefault="00117AE2" w:rsidP="00EC463D">
            <w:pPr>
              <w:rPr>
                <w:i/>
              </w:rPr>
            </w:pPr>
            <w:r>
              <w:t>18 November 2016</w:t>
            </w:r>
          </w:p>
        </w:tc>
      </w:tr>
      <w:tr w:rsidR="008E7846" w:rsidRPr="00487162" w:rsidTr="00970A75">
        <w:trPr>
          <w:gridAfter w:val="1"/>
          <w:wAfter w:w="283" w:type="dxa"/>
        </w:trPr>
        <w:tc>
          <w:tcPr>
            <w:tcW w:w="2907" w:type="dxa"/>
          </w:tcPr>
          <w:p w:rsidR="008E7846" w:rsidRPr="00487162" w:rsidRDefault="001B5C90" w:rsidP="00E45619">
            <w:pPr>
              <w:rPr>
                <w:i/>
              </w:rPr>
            </w:pPr>
            <w:r>
              <w:rPr>
                <w:i/>
              </w:rPr>
              <w:t>Active ingredient(s):</w:t>
            </w:r>
          </w:p>
        </w:tc>
        <w:tc>
          <w:tcPr>
            <w:tcW w:w="6307" w:type="dxa"/>
          </w:tcPr>
          <w:p w:rsidR="008E7846" w:rsidRPr="00487162" w:rsidRDefault="00816128" w:rsidP="00E45619">
            <w:proofErr w:type="spellStart"/>
            <w:r>
              <w:t>E</w:t>
            </w:r>
            <w:r w:rsidRPr="00816128">
              <w:t>ribulin</w:t>
            </w:r>
            <w:proofErr w:type="spellEnd"/>
            <w:r w:rsidRPr="00816128">
              <w:t xml:space="preserve"> </w:t>
            </w:r>
            <w:proofErr w:type="spellStart"/>
            <w:r w:rsidRPr="00816128">
              <w:t>mesilate</w:t>
            </w:r>
            <w:proofErr w:type="spellEnd"/>
          </w:p>
        </w:tc>
      </w:tr>
      <w:tr w:rsidR="008E7846" w:rsidRPr="00487162" w:rsidTr="00970A75">
        <w:trPr>
          <w:gridAfter w:val="1"/>
          <w:wAfter w:w="283" w:type="dxa"/>
        </w:trPr>
        <w:tc>
          <w:tcPr>
            <w:tcW w:w="2907" w:type="dxa"/>
          </w:tcPr>
          <w:p w:rsidR="008E7846" w:rsidRPr="00487162" w:rsidRDefault="008E7846" w:rsidP="001B5C90">
            <w:pPr>
              <w:rPr>
                <w:i/>
              </w:rPr>
            </w:pPr>
            <w:r w:rsidRPr="00487162">
              <w:rPr>
                <w:i/>
              </w:rPr>
              <w:t>Product</w:t>
            </w:r>
            <w:r w:rsidR="001B5C90">
              <w:rPr>
                <w:i/>
              </w:rPr>
              <w:t xml:space="preserve"> name(s):</w:t>
            </w:r>
          </w:p>
        </w:tc>
        <w:tc>
          <w:tcPr>
            <w:tcW w:w="6307" w:type="dxa"/>
          </w:tcPr>
          <w:p w:rsidR="008E7846" w:rsidRPr="00487162" w:rsidRDefault="00816128" w:rsidP="00E45619">
            <w:proofErr w:type="spellStart"/>
            <w:r>
              <w:t>Halaven</w:t>
            </w:r>
            <w:proofErr w:type="spellEnd"/>
          </w:p>
        </w:tc>
      </w:tr>
      <w:tr w:rsidR="008E7846" w:rsidRPr="00487162" w:rsidTr="00970A75">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816128" w:rsidP="00E45619">
            <w:r w:rsidRPr="00816128">
              <w:t>Eisai</w:t>
            </w:r>
            <w:r w:rsidR="00F13CF2">
              <w:t xml:space="preserve"> </w:t>
            </w:r>
            <w:r w:rsidRPr="00816128">
              <w:t>Australia Pty Lt</w:t>
            </w:r>
            <w:r>
              <w:t>d</w:t>
            </w:r>
          </w:p>
          <w:p w:rsidR="00816128" w:rsidRPr="00487162" w:rsidRDefault="00816128" w:rsidP="00E45619">
            <w:r w:rsidRPr="00816128">
              <w:t>Level 2, 437 St. Kilda Road, Melbourne, VIC, 3004.</w:t>
            </w:r>
          </w:p>
        </w:tc>
      </w:tr>
      <w:tr w:rsidR="008E7846" w:rsidRPr="00487162" w:rsidTr="00970A75">
        <w:trPr>
          <w:gridAfter w:val="1"/>
          <w:wAfter w:w="283" w:type="dxa"/>
        </w:trPr>
        <w:tc>
          <w:tcPr>
            <w:tcW w:w="2907" w:type="dxa"/>
          </w:tcPr>
          <w:p w:rsidR="008E7846" w:rsidRPr="00487162" w:rsidRDefault="001B5C90" w:rsidP="00E45619">
            <w:pPr>
              <w:rPr>
                <w:i/>
              </w:rPr>
            </w:pPr>
            <w:r>
              <w:rPr>
                <w:i/>
              </w:rPr>
              <w:t>Dose form(s):</w:t>
            </w:r>
          </w:p>
        </w:tc>
        <w:tc>
          <w:tcPr>
            <w:tcW w:w="6307" w:type="dxa"/>
          </w:tcPr>
          <w:p w:rsidR="008E7846" w:rsidRPr="00487162" w:rsidRDefault="00816128" w:rsidP="00E45619">
            <w:r w:rsidRPr="00816128">
              <w:t>Solution for injection</w:t>
            </w:r>
          </w:p>
        </w:tc>
      </w:tr>
      <w:tr w:rsidR="008E7846" w:rsidRPr="00487162" w:rsidTr="00970A75">
        <w:trPr>
          <w:gridAfter w:val="1"/>
          <w:wAfter w:w="283" w:type="dxa"/>
        </w:trPr>
        <w:tc>
          <w:tcPr>
            <w:tcW w:w="2907" w:type="dxa"/>
          </w:tcPr>
          <w:p w:rsidR="008E7846" w:rsidRPr="00487162" w:rsidRDefault="008E7846" w:rsidP="00E45619">
            <w:pPr>
              <w:rPr>
                <w:i/>
              </w:rPr>
            </w:pPr>
            <w:r w:rsidRPr="00487162">
              <w:rPr>
                <w:i/>
              </w:rPr>
              <w:t xml:space="preserve">Strength(s): </w:t>
            </w:r>
          </w:p>
        </w:tc>
        <w:tc>
          <w:tcPr>
            <w:tcW w:w="6307" w:type="dxa"/>
          </w:tcPr>
          <w:p w:rsidR="008E7846" w:rsidRPr="00487162" w:rsidRDefault="00816128" w:rsidP="00816128">
            <w:r w:rsidRPr="00816128">
              <w:t>1mg/2 mL</w:t>
            </w:r>
            <w:r w:rsidRPr="00487162">
              <w:t xml:space="preserve"> </w:t>
            </w:r>
          </w:p>
        </w:tc>
      </w:tr>
      <w:tr w:rsidR="008E7846" w:rsidRPr="00487162" w:rsidTr="00970A75">
        <w:trPr>
          <w:gridAfter w:val="1"/>
          <w:wAfter w:w="283" w:type="dxa"/>
        </w:trPr>
        <w:tc>
          <w:tcPr>
            <w:tcW w:w="2907" w:type="dxa"/>
          </w:tcPr>
          <w:p w:rsidR="008E7846" w:rsidRPr="00487162" w:rsidRDefault="008E7846" w:rsidP="00E45619">
            <w:pPr>
              <w:rPr>
                <w:i/>
              </w:rPr>
            </w:pPr>
            <w:r w:rsidRPr="00487162">
              <w:rPr>
                <w:i/>
              </w:rPr>
              <w:t>Container(s):</w:t>
            </w:r>
          </w:p>
        </w:tc>
        <w:tc>
          <w:tcPr>
            <w:tcW w:w="6307" w:type="dxa"/>
          </w:tcPr>
          <w:p w:rsidR="008E7846" w:rsidRPr="00487162" w:rsidRDefault="00816128" w:rsidP="00E45619">
            <w:r>
              <w:t>Glass vial</w:t>
            </w:r>
          </w:p>
        </w:tc>
      </w:tr>
      <w:tr w:rsidR="008E7846" w:rsidRPr="00487162" w:rsidTr="00970A75">
        <w:trPr>
          <w:gridAfter w:val="1"/>
          <w:wAfter w:w="283" w:type="dxa"/>
        </w:trPr>
        <w:tc>
          <w:tcPr>
            <w:tcW w:w="2907" w:type="dxa"/>
          </w:tcPr>
          <w:p w:rsidR="008E7846" w:rsidRPr="00487162" w:rsidRDefault="008E7846" w:rsidP="00E45619">
            <w:pPr>
              <w:rPr>
                <w:i/>
              </w:rPr>
            </w:pPr>
            <w:r w:rsidRPr="00487162">
              <w:rPr>
                <w:i/>
              </w:rPr>
              <w:t>Pack size(s):</w:t>
            </w:r>
          </w:p>
        </w:tc>
        <w:tc>
          <w:tcPr>
            <w:tcW w:w="6307" w:type="dxa"/>
          </w:tcPr>
          <w:p w:rsidR="008E7846" w:rsidRPr="00487162" w:rsidRDefault="00117AE2" w:rsidP="00E45619">
            <w:r>
              <w:t>1 or 6</w:t>
            </w:r>
          </w:p>
        </w:tc>
      </w:tr>
      <w:tr w:rsidR="008E7846" w:rsidRPr="00487162" w:rsidTr="00970A75">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117AE2" w:rsidRDefault="00117AE2" w:rsidP="00117AE2">
            <w:pPr>
              <w:rPr>
                <w:rFonts w:eastAsia="MS Mincho"/>
                <w:i/>
                <w:lang w:eastAsia="ja-JP"/>
              </w:rPr>
            </w:pPr>
            <w:proofErr w:type="spellStart"/>
            <w:r w:rsidRPr="00117AE2">
              <w:rPr>
                <w:i/>
              </w:rPr>
              <w:t>Halaven</w:t>
            </w:r>
            <w:proofErr w:type="spellEnd"/>
            <w:r w:rsidRPr="00117AE2">
              <w:rPr>
                <w:i/>
              </w:rPr>
              <w:t xml:space="preserve"> is indicated for the treatment of patients with </w:t>
            </w:r>
            <w:proofErr w:type="spellStart"/>
            <w:r w:rsidRPr="00117AE2">
              <w:rPr>
                <w:i/>
              </w:rPr>
              <w:t>unresectable</w:t>
            </w:r>
            <w:proofErr w:type="spellEnd"/>
            <w:r w:rsidRPr="00117AE2">
              <w:rPr>
                <w:i/>
              </w:rPr>
              <w:t xml:space="preserve"> </w:t>
            </w:r>
            <w:proofErr w:type="spellStart"/>
            <w:r w:rsidRPr="00117AE2">
              <w:rPr>
                <w:i/>
              </w:rPr>
              <w:t>liposarcoma</w:t>
            </w:r>
            <w:proofErr w:type="spellEnd"/>
            <w:r w:rsidRPr="00117AE2">
              <w:rPr>
                <w:i/>
              </w:rPr>
              <w:t xml:space="preserve"> who have received prior chemotherapy for advanced or metastatic disease.</w:t>
            </w:r>
          </w:p>
        </w:tc>
      </w:tr>
      <w:tr w:rsidR="008E7846" w:rsidRPr="00487162" w:rsidTr="00970A75">
        <w:trPr>
          <w:gridAfter w:val="1"/>
          <w:wAfter w:w="283" w:type="dxa"/>
        </w:trPr>
        <w:tc>
          <w:tcPr>
            <w:tcW w:w="2907" w:type="dxa"/>
          </w:tcPr>
          <w:p w:rsidR="008E7846" w:rsidRPr="00487162" w:rsidRDefault="008E7846" w:rsidP="00E45619">
            <w:pPr>
              <w:rPr>
                <w:i/>
              </w:rPr>
            </w:pPr>
            <w:r w:rsidRPr="00487162">
              <w:rPr>
                <w:i/>
              </w:rPr>
              <w:t>Route(s) of administration:</w:t>
            </w:r>
          </w:p>
        </w:tc>
        <w:tc>
          <w:tcPr>
            <w:tcW w:w="6307" w:type="dxa"/>
          </w:tcPr>
          <w:p w:rsidR="008E7846" w:rsidRPr="00487162" w:rsidRDefault="00117AE2" w:rsidP="00E45619">
            <w:r>
              <w:t>Intravenous (IV)</w:t>
            </w:r>
          </w:p>
        </w:tc>
      </w:tr>
      <w:tr w:rsidR="008E7846" w:rsidRPr="00487162" w:rsidTr="00970A75">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117AE2" w:rsidP="00117AE2">
            <w:r>
              <w:t xml:space="preserve">The recommended dose of </w:t>
            </w:r>
            <w:proofErr w:type="spellStart"/>
            <w:r>
              <w:t>Halaven</w:t>
            </w:r>
            <w:proofErr w:type="spellEnd"/>
            <w:r>
              <w:t xml:space="preserve"> as the ready to use solution is 1.4 mg/m2 which should be administered intravenously over 2 to 5 minutes on Days 1 and 8 of every 21-day cycle. See Attachment 1 for further details.</w:t>
            </w:r>
          </w:p>
        </w:tc>
      </w:tr>
      <w:tr w:rsidR="008E7846" w:rsidRPr="00487162" w:rsidTr="00970A75">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rsidR="008E7846" w:rsidRPr="00487162" w:rsidRDefault="00816128" w:rsidP="00E45619">
            <w:r w:rsidRPr="00816128">
              <w:t>187136</w:t>
            </w:r>
          </w:p>
        </w:tc>
      </w:tr>
    </w:tbl>
    <w:p w:rsidR="008E7846" w:rsidRDefault="008E7846" w:rsidP="008E7846">
      <w:pPr>
        <w:pStyle w:val="Heading3"/>
      </w:pPr>
      <w:bookmarkStart w:id="13" w:name="_Toc247691503"/>
      <w:bookmarkStart w:id="14" w:name="_Toc314842484"/>
      <w:bookmarkStart w:id="15" w:name="_Toc497233767"/>
      <w:r>
        <w:t>Product background</w:t>
      </w:r>
      <w:bookmarkEnd w:id="13"/>
      <w:bookmarkEnd w:id="14"/>
      <w:bookmarkEnd w:id="15"/>
    </w:p>
    <w:p w:rsidR="0019387B" w:rsidRDefault="00940A89" w:rsidP="000A6BCB">
      <w:r w:rsidRPr="00940A89">
        <w:t xml:space="preserve">This </w:t>
      </w:r>
      <w:proofErr w:type="spellStart"/>
      <w:r w:rsidRPr="00940A89">
        <w:t>AusPAR</w:t>
      </w:r>
      <w:proofErr w:type="spellEnd"/>
      <w:r w:rsidRPr="00940A89">
        <w:t xml:space="preserve"> describes the</w:t>
      </w:r>
      <w:r w:rsidR="00D62997">
        <w:t xml:space="preserve"> application by the sponsor to </w:t>
      </w:r>
      <w:r w:rsidR="00926DF0">
        <w:rPr>
          <w:rFonts w:asciiTheme="minorHAnsi" w:hAnsiTheme="minorHAnsi"/>
        </w:rPr>
        <w:t>extend the i</w:t>
      </w:r>
      <w:r w:rsidR="006D76DE">
        <w:rPr>
          <w:rFonts w:asciiTheme="minorHAnsi" w:hAnsiTheme="minorHAnsi"/>
        </w:rPr>
        <w:t xml:space="preserve">ndications </w:t>
      </w:r>
      <w:r w:rsidR="00D62997">
        <w:rPr>
          <w:rFonts w:asciiTheme="minorHAnsi" w:hAnsiTheme="minorHAnsi"/>
        </w:rPr>
        <w:t xml:space="preserve">for </w:t>
      </w:r>
      <w:proofErr w:type="spellStart"/>
      <w:r w:rsidR="00757684">
        <w:t>Halaven</w:t>
      </w:r>
      <w:proofErr w:type="spellEnd"/>
      <w:r w:rsidR="00D62997" w:rsidRPr="000A6BCB">
        <w:t xml:space="preserve"> (</w:t>
      </w:r>
      <w:proofErr w:type="spellStart"/>
      <w:r w:rsidR="00D62997" w:rsidRPr="000A6BCB">
        <w:t>eribulin</w:t>
      </w:r>
      <w:proofErr w:type="spellEnd"/>
      <w:r w:rsidR="00D62997" w:rsidRPr="000A6BCB">
        <w:t xml:space="preserve"> </w:t>
      </w:r>
      <w:proofErr w:type="spellStart"/>
      <w:r w:rsidR="00D62997" w:rsidRPr="000A6BCB">
        <w:t>mesilate</w:t>
      </w:r>
      <w:proofErr w:type="spellEnd"/>
      <w:r w:rsidR="00D62997" w:rsidRPr="000A6BCB">
        <w:t xml:space="preserve">; 1 mg/2 mL solution for injection) </w:t>
      </w:r>
      <w:r w:rsidR="006D76DE">
        <w:rPr>
          <w:rFonts w:asciiTheme="minorHAnsi" w:hAnsiTheme="minorHAnsi"/>
        </w:rPr>
        <w:t xml:space="preserve">to include treatment of patients with </w:t>
      </w:r>
      <w:proofErr w:type="spellStart"/>
      <w:r w:rsidR="000A6BCB" w:rsidRPr="000A6BCB">
        <w:t>unresectable</w:t>
      </w:r>
      <w:proofErr w:type="spellEnd"/>
      <w:r w:rsidR="000A6BCB" w:rsidRPr="000A6BCB">
        <w:t xml:space="preserve"> soft tissue sarcoma (STS) who have received prior chemotherapy for advanced or metastatic disease</w:t>
      </w:r>
      <w:r w:rsidR="0019387B">
        <w:t>.</w:t>
      </w:r>
    </w:p>
    <w:p w:rsidR="00926DF0" w:rsidRDefault="00D62997" w:rsidP="00D62997">
      <w:r>
        <w:t>Current</w:t>
      </w:r>
      <w:r w:rsidR="00926DF0">
        <w:t>ly this product is registered for the following indications</w:t>
      </w:r>
      <w:r w:rsidR="00CC529C">
        <w:t>:</w:t>
      </w:r>
    </w:p>
    <w:p w:rsidR="00D62997" w:rsidRDefault="00757684" w:rsidP="00926DF0">
      <w:pPr>
        <w:ind w:left="720"/>
      </w:pPr>
      <w:proofErr w:type="spellStart"/>
      <w:r w:rsidRPr="00926DF0">
        <w:rPr>
          <w:i/>
        </w:rPr>
        <w:t>Halaven</w:t>
      </w:r>
      <w:proofErr w:type="spellEnd"/>
      <w:r w:rsidR="00D62997" w:rsidRPr="00926DF0">
        <w:rPr>
          <w:i/>
        </w:rPr>
        <w:t xml:space="preserve"> is indicated for the treatment of patients with locally advanced or metastatic breast cancer, who have progressed after at least one chemotherapeutic regimen for advanced disease. Prior therapy should have included an anthracycline and a </w:t>
      </w:r>
      <w:proofErr w:type="spellStart"/>
      <w:r w:rsidR="00D62997" w:rsidRPr="00926DF0">
        <w:rPr>
          <w:i/>
        </w:rPr>
        <w:t>taxane</w:t>
      </w:r>
      <w:proofErr w:type="spellEnd"/>
      <w:r w:rsidR="00D62997" w:rsidRPr="00926DF0">
        <w:rPr>
          <w:i/>
        </w:rPr>
        <w:t xml:space="preserve"> in either the adjuvant or metastatic setting un</w:t>
      </w:r>
      <w:r w:rsidR="00926DF0" w:rsidRPr="00926DF0">
        <w:rPr>
          <w:i/>
        </w:rPr>
        <w:t>less these are cont</w:t>
      </w:r>
      <w:r w:rsidR="00926DF0">
        <w:t>raindicated.</w:t>
      </w:r>
    </w:p>
    <w:p w:rsidR="00940A89" w:rsidRDefault="000A6BCB" w:rsidP="000A6BCB">
      <w:r w:rsidRPr="000A6BCB">
        <w:lastRenderedPageBreak/>
        <w:t xml:space="preserve">The proposed dose and dosage </w:t>
      </w:r>
      <w:r w:rsidR="00926DF0">
        <w:t>regimen for the new indication are</w:t>
      </w:r>
      <w:r w:rsidRPr="000A6BCB">
        <w:t xml:space="preserve"> the same as the maximum daily dose for the currently</w:t>
      </w:r>
      <w:r w:rsidR="00926DF0">
        <w:t xml:space="preserve"> </w:t>
      </w:r>
      <w:r w:rsidRPr="000A6BCB">
        <w:t xml:space="preserve">approved anti-neoplastic indication of </w:t>
      </w:r>
      <w:proofErr w:type="spellStart"/>
      <w:r w:rsidR="00757684">
        <w:t>Halaven</w:t>
      </w:r>
      <w:proofErr w:type="spellEnd"/>
      <w:r w:rsidRPr="000A6BCB">
        <w:t xml:space="preserve"> (1.4 mg/m</w:t>
      </w:r>
      <w:r w:rsidRPr="00926DF0">
        <w:rPr>
          <w:vertAlign w:val="superscript"/>
        </w:rPr>
        <w:t>2</w:t>
      </w:r>
      <w:r w:rsidRPr="000A6BCB">
        <w:t xml:space="preserve"> on Days 1 and 8 of every 21</w:t>
      </w:r>
      <w:r w:rsidR="00926DF0">
        <w:t xml:space="preserve"> </w:t>
      </w:r>
      <w:r w:rsidRPr="000A6BCB">
        <w:t>day cycle).</w:t>
      </w:r>
    </w:p>
    <w:p w:rsidR="0019387B" w:rsidRDefault="006D76DE" w:rsidP="006D76DE">
      <w:proofErr w:type="spellStart"/>
      <w:r>
        <w:t>Eribulin</w:t>
      </w:r>
      <w:proofErr w:type="spellEnd"/>
      <w:r>
        <w:t xml:space="preserve"> </w:t>
      </w:r>
      <w:proofErr w:type="spellStart"/>
      <w:r>
        <w:t>mesilate</w:t>
      </w:r>
      <w:proofErr w:type="spellEnd"/>
      <w:r>
        <w:t xml:space="preserve"> is in the </w:t>
      </w:r>
      <w:proofErr w:type="spellStart"/>
      <w:r>
        <w:t>halichondrin</w:t>
      </w:r>
      <w:proofErr w:type="spellEnd"/>
      <w:r>
        <w:t xml:space="preserve"> class of antineoplastic agents. It binds to tubulin, inhibiting microtubule formation and is cytotoxic, preventing mitosis and cell proliferation</w:t>
      </w:r>
      <w:r w:rsidR="0019387B">
        <w:t>.</w:t>
      </w:r>
    </w:p>
    <w:p w:rsidR="0019387B" w:rsidRDefault="006D76DE" w:rsidP="006D76DE">
      <w:r>
        <w:t>Soft-tissue sarcomas (STS) are a heterogeneous group of rare malignant tumours arising in tissues derived from embryonic mesoderm (</w:t>
      </w:r>
      <w:r w:rsidR="00926DF0">
        <w:t>for example,</w:t>
      </w:r>
      <w:r>
        <w:t xml:space="preserve"> muscle and adipose tissue and blood vessels)</w:t>
      </w:r>
      <w:r w:rsidR="00926DF0">
        <w:t xml:space="preserve"> and include</w:t>
      </w:r>
      <w:r>
        <w:t xml:space="preserve"> about 1% of all malignancies in adults and 7</w:t>
      </w:r>
      <w:r w:rsidR="00926DF0">
        <w:t xml:space="preserve"> to </w:t>
      </w:r>
      <w:r>
        <w:t xml:space="preserve">10% </w:t>
      </w:r>
      <w:r w:rsidR="00926DF0">
        <w:t xml:space="preserve">of malignancies </w:t>
      </w:r>
      <w:r>
        <w:t>in children</w:t>
      </w:r>
      <w:r w:rsidR="0019387B">
        <w:t>.</w:t>
      </w:r>
    </w:p>
    <w:p w:rsidR="006D76DE" w:rsidRDefault="006D76DE" w:rsidP="006D76DE">
      <w:r>
        <w:t xml:space="preserve">Usually presenting as a painless enlarging mass, soft-tissue sarcomas most commonly occur in limbs, limb girdle and abdomen. Peripheral STSs commonly metastasise to lungs and those arising in the abdomen commonly spread to liver and peritoneum. The American Joint Committee on Cancer (AJCC) system used for grading and </w:t>
      </w:r>
      <w:r w:rsidRPr="00F214AD">
        <w:t>staging (Table 3,</w:t>
      </w:r>
      <w:r>
        <w:t xml:space="preserve"> </w:t>
      </w:r>
      <w:r w:rsidR="00F009D1">
        <w:t xml:space="preserve">under </w:t>
      </w:r>
      <w:r w:rsidR="00F009D1" w:rsidRPr="00F009D1">
        <w:rPr>
          <w:i/>
        </w:rPr>
        <w:t>Clinical findings</w:t>
      </w:r>
      <w:r w:rsidR="00F009D1">
        <w:t xml:space="preserve">, </w:t>
      </w:r>
      <w:r w:rsidR="00F214AD">
        <w:t>below</w:t>
      </w:r>
      <w:r>
        <w:t>) was used in the pivotal study in this submission. Adverse prognostic factors include large tumour size, high grade, advanced stage, older age and histological subtype.</w:t>
      </w:r>
      <w:r w:rsidR="00F13CF2">
        <w:t xml:space="preserve"> </w:t>
      </w:r>
      <w:r>
        <w:t xml:space="preserve">The mainstay of treatment is surgery, with radiotherapy for local control in </w:t>
      </w:r>
      <w:proofErr w:type="spellStart"/>
      <w:r>
        <w:t>resectable</w:t>
      </w:r>
      <w:proofErr w:type="spellEnd"/>
      <w:r>
        <w:t xml:space="preserve"> disease or where surgery is inappropriate. Systemic chemotherapy is used in subjects with </w:t>
      </w:r>
      <w:proofErr w:type="spellStart"/>
      <w:r>
        <w:t>unresectable</w:t>
      </w:r>
      <w:proofErr w:type="spellEnd"/>
      <w:r>
        <w:t xml:space="preserve"> disease.</w:t>
      </w:r>
    </w:p>
    <w:p w:rsidR="006D76DE" w:rsidRDefault="006D76DE" w:rsidP="006D76DE">
      <w:r>
        <w:t xml:space="preserve">STS comprises over fifty histologically distinct subtypes. The most common of these subtypes in adults are undifferentiated pleomorphic sarcoma, </w:t>
      </w:r>
      <w:proofErr w:type="spellStart"/>
      <w:r>
        <w:t>liposarcoma</w:t>
      </w:r>
      <w:proofErr w:type="spellEnd"/>
      <w:r>
        <w:t xml:space="preserve">, </w:t>
      </w:r>
      <w:proofErr w:type="spellStart"/>
      <w:r>
        <w:t>leiomyosarcoma</w:t>
      </w:r>
      <w:proofErr w:type="spellEnd"/>
      <w:r>
        <w:t xml:space="preserve"> and synovial sarcoma.</w:t>
      </w:r>
      <w:r w:rsidR="00F13CF2">
        <w:t xml:space="preserve"> </w:t>
      </w:r>
      <w:r>
        <w:t xml:space="preserve">Most are relatively resistant to systemic therapies. Systemic therapy is not considered curative for advanced or </w:t>
      </w:r>
      <w:proofErr w:type="spellStart"/>
      <w:r>
        <w:t>unresectable</w:t>
      </w:r>
      <w:proofErr w:type="spellEnd"/>
      <w:r>
        <w:t xml:space="preserve"> soft-tissue sarcoma. A subset of patients may have substantial long-term survival.</w:t>
      </w:r>
    </w:p>
    <w:p w:rsidR="0089748D" w:rsidRDefault="006D76DE" w:rsidP="00D62997">
      <w:pPr>
        <w:pStyle w:val="Heading4"/>
      </w:pPr>
      <w:r>
        <w:t>Currently available systemic treatments</w:t>
      </w:r>
    </w:p>
    <w:p w:rsidR="006D76DE" w:rsidRDefault="006D76DE" w:rsidP="006D76DE">
      <w:r>
        <w:t xml:space="preserve">Grandfathered products registered in Australia for the broad STS indication include doxorubicin, </w:t>
      </w:r>
      <w:proofErr w:type="spellStart"/>
      <w:r>
        <w:t>epirubicin</w:t>
      </w:r>
      <w:proofErr w:type="spellEnd"/>
      <w:r>
        <w:t xml:space="preserve">, </w:t>
      </w:r>
      <w:proofErr w:type="spellStart"/>
      <w:r>
        <w:t>ifosfamide</w:t>
      </w:r>
      <w:proofErr w:type="spellEnd"/>
      <w:r>
        <w:t xml:space="preserve"> and </w:t>
      </w:r>
      <w:proofErr w:type="spellStart"/>
      <w:r>
        <w:t>dacarbazine</w:t>
      </w:r>
      <w:proofErr w:type="spellEnd"/>
      <w:r>
        <w:t>.</w:t>
      </w:r>
      <w:r w:rsidR="00F13CF2">
        <w:t xml:space="preserve"> </w:t>
      </w:r>
      <w:proofErr w:type="spellStart"/>
      <w:r>
        <w:t>Doxyrubicin</w:t>
      </w:r>
      <w:proofErr w:type="spellEnd"/>
      <w:r>
        <w:t xml:space="preserve"> (an anthracycline) alone or in combination with </w:t>
      </w:r>
      <w:proofErr w:type="spellStart"/>
      <w:r>
        <w:t>ifosfamide</w:t>
      </w:r>
      <w:proofErr w:type="spellEnd"/>
      <w:r>
        <w:t xml:space="preserve"> is recommended in the Australian Guideline as first-line treatment for </w:t>
      </w:r>
      <w:proofErr w:type="spellStart"/>
      <w:r>
        <w:t>unresectable</w:t>
      </w:r>
      <w:proofErr w:type="spellEnd"/>
      <w:r>
        <w:t xml:space="preserve">/metastatic STS. </w:t>
      </w:r>
      <w:r w:rsidR="00481E1D">
        <w:t>See Table 1 for details.</w:t>
      </w:r>
    </w:p>
    <w:p w:rsidR="0019387B" w:rsidRDefault="006D76DE" w:rsidP="006D76DE">
      <w:proofErr w:type="spellStart"/>
      <w:r>
        <w:t>Pazopanib</w:t>
      </w:r>
      <w:proofErr w:type="spellEnd"/>
      <w:r>
        <w:t xml:space="preserve"> (</w:t>
      </w:r>
      <w:proofErr w:type="spellStart"/>
      <w:r>
        <w:t>Votrient</w:t>
      </w:r>
      <w:proofErr w:type="spellEnd"/>
      <w:r>
        <w:t xml:space="preserve">) was registered in Australia in 2010 for use as second or later line therapy of STS, excluding GIST and </w:t>
      </w:r>
      <w:proofErr w:type="spellStart"/>
      <w:r>
        <w:t>adipocytic</w:t>
      </w:r>
      <w:proofErr w:type="spellEnd"/>
      <w:r>
        <w:t xml:space="preserve"> sarcomas</w:t>
      </w:r>
      <w:r w:rsidR="0019387B">
        <w:t>.</w:t>
      </w:r>
    </w:p>
    <w:p w:rsidR="006D76DE" w:rsidRDefault="006D76DE" w:rsidP="006D76DE">
      <w:r>
        <w:t xml:space="preserve">There is no standard second or later line treatment. Australian guidelines recommend </w:t>
      </w:r>
      <w:proofErr w:type="spellStart"/>
      <w:r>
        <w:t>ifosfamide</w:t>
      </w:r>
      <w:proofErr w:type="spellEnd"/>
      <w:r>
        <w:t xml:space="preserve"> (if not used in fi</w:t>
      </w:r>
      <w:r w:rsidR="001963FD">
        <w:t xml:space="preserve">rst-line) and then </w:t>
      </w:r>
      <w:proofErr w:type="spellStart"/>
      <w:r w:rsidR="001963FD">
        <w:t>dacarbazine</w:t>
      </w:r>
      <w:proofErr w:type="spellEnd"/>
      <w:r w:rsidR="001963FD">
        <w:t>.</w:t>
      </w:r>
      <w:r w:rsidR="001963FD">
        <w:rPr>
          <w:rStyle w:val="FootnoteReference"/>
        </w:rPr>
        <w:footnoteReference w:id="1"/>
      </w:r>
    </w:p>
    <w:p w:rsidR="006D76DE" w:rsidRDefault="006D76DE" w:rsidP="00D62997">
      <w:r>
        <w:t>This submission is based on lack of established therapies for soft-tissue sarcomas after first-line failure and Phase III data showing efficacy in soft tissue sarcomas in Study 309</w:t>
      </w:r>
      <w:r w:rsidR="00926DF0">
        <w:t>.</w:t>
      </w:r>
    </w:p>
    <w:p w:rsidR="00481E1D" w:rsidRDefault="00702B90" w:rsidP="00702B90">
      <w:pPr>
        <w:pStyle w:val="Caption"/>
        <w:rPr>
          <w:rFonts w:asciiTheme="minorHAnsi" w:hAnsiTheme="minorHAnsi"/>
          <w:b w:val="0"/>
        </w:rPr>
      </w:pPr>
      <w:r>
        <w:t xml:space="preserve">Table </w:t>
      </w:r>
      <w:fldSimple w:instr=" SEQ Table \* ARABIC ">
        <w:r w:rsidR="00457A51">
          <w:rPr>
            <w:noProof/>
          </w:rPr>
          <w:t>1</w:t>
        </w:r>
      </w:fldSimple>
      <w:r w:rsidR="00481E1D" w:rsidRPr="00702B90">
        <w:t>: Approved medicines for treatment of soft-tissue sarcoma</w:t>
      </w:r>
      <w:r w:rsidR="00F13CF2" w:rsidRPr="00702B90">
        <w:t xml:space="preserve"> in Australia</w:t>
      </w:r>
    </w:p>
    <w:tbl>
      <w:tblPr>
        <w:tblStyle w:val="TableTGAblue"/>
        <w:tblW w:w="9039" w:type="dxa"/>
        <w:tblLayout w:type="fixed"/>
        <w:tblLook w:val="04A0" w:firstRow="1" w:lastRow="0" w:firstColumn="1" w:lastColumn="0" w:noHBand="0" w:noVBand="1"/>
        <w:tblDescription w:val="Table 1 is a list of approved medicines for treatment of soft-tissue sarcoma in Australia."/>
      </w:tblPr>
      <w:tblGrid>
        <w:gridCol w:w="1809"/>
        <w:gridCol w:w="1843"/>
        <w:gridCol w:w="1701"/>
        <w:gridCol w:w="3686"/>
      </w:tblGrid>
      <w:tr w:rsidR="00481E1D" w:rsidRPr="00481E1D" w:rsidTr="004A22A6">
        <w:trPr>
          <w:cnfStyle w:val="100000000000" w:firstRow="1" w:lastRow="0" w:firstColumn="0" w:lastColumn="0" w:oddVBand="0" w:evenVBand="0" w:oddHBand="0" w:evenHBand="0" w:firstRowFirstColumn="0" w:firstRowLastColumn="0" w:lastRowFirstColumn="0" w:lastRowLastColumn="0"/>
        </w:trPr>
        <w:tc>
          <w:tcPr>
            <w:tcW w:w="1809" w:type="dxa"/>
          </w:tcPr>
          <w:p w:rsidR="00481E1D" w:rsidRPr="00481E1D" w:rsidRDefault="00481E1D" w:rsidP="004A22A6">
            <w:pPr>
              <w:rPr>
                <w:sz w:val="20"/>
                <w:szCs w:val="20"/>
              </w:rPr>
            </w:pPr>
            <w:r w:rsidRPr="00481E1D">
              <w:rPr>
                <w:sz w:val="20"/>
                <w:szCs w:val="20"/>
              </w:rPr>
              <w:t>Generic</w:t>
            </w:r>
          </w:p>
        </w:tc>
        <w:tc>
          <w:tcPr>
            <w:tcW w:w="1843" w:type="dxa"/>
          </w:tcPr>
          <w:p w:rsidR="00481E1D" w:rsidRPr="00481E1D" w:rsidRDefault="00481E1D" w:rsidP="004A22A6">
            <w:pPr>
              <w:rPr>
                <w:sz w:val="20"/>
                <w:szCs w:val="20"/>
              </w:rPr>
            </w:pPr>
            <w:r w:rsidRPr="00481E1D">
              <w:rPr>
                <w:sz w:val="20"/>
                <w:szCs w:val="20"/>
              </w:rPr>
              <w:t>Tradename</w:t>
            </w:r>
          </w:p>
        </w:tc>
        <w:tc>
          <w:tcPr>
            <w:tcW w:w="1701" w:type="dxa"/>
          </w:tcPr>
          <w:p w:rsidR="00481E1D" w:rsidRPr="00481E1D" w:rsidRDefault="00481E1D" w:rsidP="00481E1D">
            <w:pPr>
              <w:rPr>
                <w:sz w:val="20"/>
                <w:szCs w:val="20"/>
              </w:rPr>
            </w:pPr>
            <w:r w:rsidRPr="00481E1D">
              <w:rPr>
                <w:sz w:val="20"/>
                <w:szCs w:val="20"/>
              </w:rPr>
              <w:t>Sponsor</w:t>
            </w:r>
          </w:p>
        </w:tc>
        <w:tc>
          <w:tcPr>
            <w:tcW w:w="3686" w:type="dxa"/>
          </w:tcPr>
          <w:p w:rsidR="00481E1D" w:rsidRPr="00481E1D" w:rsidRDefault="00481E1D" w:rsidP="00481E1D">
            <w:pPr>
              <w:rPr>
                <w:sz w:val="20"/>
                <w:szCs w:val="20"/>
              </w:rPr>
            </w:pPr>
            <w:r w:rsidRPr="00481E1D">
              <w:rPr>
                <w:sz w:val="20"/>
                <w:szCs w:val="20"/>
              </w:rPr>
              <w:t>TGA approved sarcoma indication</w:t>
            </w:r>
          </w:p>
        </w:tc>
      </w:tr>
      <w:tr w:rsidR="00481E1D" w:rsidRPr="00481E1D" w:rsidTr="004A22A6">
        <w:tc>
          <w:tcPr>
            <w:tcW w:w="1809" w:type="dxa"/>
          </w:tcPr>
          <w:p w:rsidR="00481E1D" w:rsidRPr="00481E1D" w:rsidRDefault="00481E1D" w:rsidP="004A22A6">
            <w:pPr>
              <w:rPr>
                <w:sz w:val="20"/>
                <w:szCs w:val="20"/>
              </w:rPr>
            </w:pPr>
            <w:r w:rsidRPr="00481E1D">
              <w:rPr>
                <w:sz w:val="20"/>
                <w:szCs w:val="20"/>
              </w:rPr>
              <w:t>Doxorubicin</w:t>
            </w:r>
          </w:p>
        </w:tc>
        <w:tc>
          <w:tcPr>
            <w:tcW w:w="1843" w:type="dxa"/>
          </w:tcPr>
          <w:p w:rsidR="00481E1D" w:rsidRPr="00481E1D" w:rsidRDefault="00481E1D" w:rsidP="004A22A6">
            <w:pPr>
              <w:rPr>
                <w:sz w:val="20"/>
                <w:szCs w:val="20"/>
              </w:rPr>
            </w:pPr>
            <w:r w:rsidRPr="00481E1D">
              <w:rPr>
                <w:sz w:val="20"/>
                <w:szCs w:val="20"/>
              </w:rPr>
              <w:t>Adriamycin</w:t>
            </w:r>
          </w:p>
          <w:p w:rsidR="00481E1D" w:rsidRPr="00481E1D" w:rsidRDefault="00481E1D" w:rsidP="004A22A6">
            <w:pPr>
              <w:rPr>
                <w:sz w:val="20"/>
                <w:szCs w:val="20"/>
              </w:rPr>
            </w:pPr>
            <w:r w:rsidRPr="00481E1D">
              <w:rPr>
                <w:sz w:val="20"/>
                <w:szCs w:val="20"/>
              </w:rPr>
              <w:t>Plus multiple generics</w:t>
            </w:r>
          </w:p>
        </w:tc>
        <w:tc>
          <w:tcPr>
            <w:tcW w:w="1701" w:type="dxa"/>
          </w:tcPr>
          <w:p w:rsidR="00481E1D" w:rsidRPr="00481E1D" w:rsidRDefault="00481E1D" w:rsidP="004A22A6">
            <w:pPr>
              <w:rPr>
                <w:sz w:val="20"/>
                <w:szCs w:val="20"/>
              </w:rPr>
            </w:pPr>
            <w:r w:rsidRPr="00481E1D">
              <w:rPr>
                <w:sz w:val="20"/>
                <w:szCs w:val="20"/>
              </w:rPr>
              <w:t xml:space="preserve">Pfizer Australia multiple generics </w:t>
            </w:r>
          </w:p>
        </w:tc>
        <w:tc>
          <w:tcPr>
            <w:tcW w:w="3686" w:type="dxa"/>
          </w:tcPr>
          <w:p w:rsidR="00481E1D" w:rsidRPr="00481E1D" w:rsidRDefault="00481E1D" w:rsidP="00F13CF2">
            <w:pPr>
              <w:rPr>
                <w:sz w:val="20"/>
                <w:szCs w:val="20"/>
              </w:rPr>
            </w:pPr>
            <w:r w:rsidRPr="00481E1D">
              <w:rPr>
                <w:sz w:val="20"/>
                <w:szCs w:val="20"/>
              </w:rPr>
              <w:t xml:space="preserve">‘Adriamycin has been used successfully to produce regression in neoplastic conditions such as: acute leukaemia, Wilms' tumour, neuroblastoma, soft tissue and bone sarcomas, breast carcinoma, lymphomas of both Hodgkin's and non-Hodgkin's type, bronchogenic </w:t>
            </w:r>
            <w:r w:rsidRPr="00481E1D">
              <w:rPr>
                <w:sz w:val="20"/>
                <w:szCs w:val="20"/>
              </w:rPr>
              <w:lastRenderedPageBreak/>
              <w:t>(lung) carcinoma, thyroid carcinoma, hepatomas, ovarian carcinoma, etc.’ The response rate provided for ‘sarcoma’ is ‘30%’, median duration 4 months, first-line chemotherapy.</w:t>
            </w:r>
            <w:r w:rsidR="00F13CF2" w:rsidRPr="00481E1D">
              <w:rPr>
                <w:sz w:val="20"/>
                <w:szCs w:val="20"/>
              </w:rPr>
              <w:t xml:space="preserve"> </w:t>
            </w:r>
          </w:p>
        </w:tc>
      </w:tr>
      <w:tr w:rsidR="00481E1D" w:rsidRPr="00481E1D" w:rsidTr="004A22A6">
        <w:tc>
          <w:tcPr>
            <w:tcW w:w="1809" w:type="dxa"/>
          </w:tcPr>
          <w:p w:rsidR="00481E1D" w:rsidRPr="00481E1D" w:rsidRDefault="00481E1D" w:rsidP="004A22A6">
            <w:pPr>
              <w:rPr>
                <w:sz w:val="20"/>
                <w:szCs w:val="20"/>
              </w:rPr>
            </w:pPr>
            <w:proofErr w:type="spellStart"/>
            <w:r w:rsidRPr="00481E1D">
              <w:rPr>
                <w:sz w:val="20"/>
                <w:szCs w:val="20"/>
              </w:rPr>
              <w:lastRenderedPageBreak/>
              <w:t>Epirubicin</w:t>
            </w:r>
            <w:proofErr w:type="spellEnd"/>
          </w:p>
        </w:tc>
        <w:tc>
          <w:tcPr>
            <w:tcW w:w="1843" w:type="dxa"/>
          </w:tcPr>
          <w:p w:rsidR="00481E1D" w:rsidRPr="00481E1D" w:rsidRDefault="00481E1D" w:rsidP="004A22A6">
            <w:pPr>
              <w:rPr>
                <w:sz w:val="20"/>
                <w:szCs w:val="20"/>
              </w:rPr>
            </w:pPr>
            <w:r w:rsidRPr="00481E1D">
              <w:rPr>
                <w:sz w:val="20"/>
                <w:szCs w:val="20"/>
              </w:rPr>
              <w:t>Multiple generics</w:t>
            </w:r>
          </w:p>
        </w:tc>
        <w:tc>
          <w:tcPr>
            <w:tcW w:w="1701" w:type="dxa"/>
          </w:tcPr>
          <w:p w:rsidR="00481E1D" w:rsidRPr="00481E1D" w:rsidRDefault="00481E1D" w:rsidP="004A22A6">
            <w:pPr>
              <w:rPr>
                <w:sz w:val="20"/>
                <w:szCs w:val="20"/>
              </w:rPr>
            </w:pPr>
            <w:r w:rsidRPr="00481E1D">
              <w:rPr>
                <w:sz w:val="20"/>
                <w:szCs w:val="20"/>
              </w:rPr>
              <w:t>Multiple</w:t>
            </w:r>
          </w:p>
        </w:tc>
        <w:tc>
          <w:tcPr>
            <w:tcW w:w="3686" w:type="dxa"/>
          </w:tcPr>
          <w:p w:rsidR="00481E1D" w:rsidRPr="00481E1D" w:rsidRDefault="00481E1D" w:rsidP="00F13CF2">
            <w:pPr>
              <w:rPr>
                <w:sz w:val="20"/>
                <w:szCs w:val="20"/>
              </w:rPr>
            </w:pPr>
            <w:r w:rsidRPr="00481E1D">
              <w:rPr>
                <w:sz w:val="20"/>
                <w:szCs w:val="20"/>
              </w:rPr>
              <w:t>‘</w:t>
            </w:r>
            <w:proofErr w:type="spellStart"/>
            <w:r w:rsidRPr="00481E1D">
              <w:rPr>
                <w:sz w:val="20"/>
                <w:szCs w:val="20"/>
              </w:rPr>
              <w:t>Epirubicin</w:t>
            </w:r>
            <w:proofErr w:type="spellEnd"/>
            <w:r w:rsidRPr="00481E1D">
              <w:rPr>
                <w:sz w:val="20"/>
                <w:szCs w:val="20"/>
              </w:rPr>
              <w:t xml:space="preserve"> hydrochloride has produced responses in a wide spectrum of neoplastic diseases and is indicated for the treatment of: breast cancer, gastric cancer, ovarian cancer, small cell lung cancer, lymphoma (non-Hodgkin’s lymphoma), advanced/metastatic soft tissue sarcoma, superfic</w:t>
            </w:r>
            <w:r w:rsidR="00F13CF2">
              <w:rPr>
                <w:sz w:val="20"/>
                <w:szCs w:val="20"/>
              </w:rPr>
              <w:t xml:space="preserve">ial bladder cancer (Tis; Ta).’ </w:t>
            </w:r>
          </w:p>
        </w:tc>
      </w:tr>
      <w:tr w:rsidR="00481E1D" w:rsidRPr="00481E1D" w:rsidTr="004A22A6">
        <w:tc>
          <w:tcPr>
            <w:tcW w:w="1809" w:type="dxa"/>
          </w:tcPr>
          <w:p w:rsidR="00481E1D" w:rsidRPr="00481E1D" w:rsidRDefault="00481E1D" w:rsidP="004A22A6">
            <w:pPr>
              <w:rPr>
                <w:sz w:val="20"/>
                <w:szCs w:val="20"/>
              </w:rPr>
            </w:pPr>
            <w:proofErr w:type="spellStart"/>
            <w:r w:rsidRPr="00481E1D">
              <w:rPr>
                <w:sz w:val="20"/>
                <w:szCs w:val="20"/>
              </w:rPr>
              <w:t>Ifosfamide</w:t>
            </w:r>
            <w:proofErr w:type="spellEnd"/>
          </w:p>
        </w:tc>
        <w:tc>
          <w:tcPr>
            <w:tcW w:w="1843" w:type="dxa"/>
          </w:tcPr>
          <w:p w:rsidR="00481E1D" w:rsidRPr="00481E1D" w:rsidRDefault="00481E1D" w:rsidP="004A22A6">
            <w:pPr>
              <w:rPr>
                <w:sz w:val="20"/>
                <w:szCs w:val="20"/>
              </w:rPr>
            </w:pPr>
            <w:proofErr w:type="spellStart"/>
            <w:r w:rsidRPr="00481E1D">
              <w:rPr>
                <w:sz w:val="20"/>
                <w:szCs w:val="20"/>
              </w:rPr>
              <w:t>Holoxan</w:t>
            </w:r>
            <w:proofErr w:type="spellEnd"/>
          </w:p>
        </w:tc>
        <w:tc>
          <w:tcPr>
            <w:tcW w:w="1701" w:type="dxa"/>
          </w:tcPr>
          <w:p w:rsidR="00481E1D" w:rsidRPr="00481E1D" w:rsidRDefault="00481E1D" w:rsidP="004A22A6">
            <w:pPr>
              <w:rPr>
                <w:sz w:val="20"/>
                <w:szCs w:val="20"/>
              </w:rPr>
            </w:pPr>
            <w:r w:rsidRPr="00481E1D">
              <w:rPr>
                <w:sz w:val="20"/>
                <w:szCs w:val="20"/>
              </w:rPr>
              <w:t>Baxter Healthcare</w:t>
            </w:r>
          </w:p>
        </w:tc>
        <w:tc>
          <w:tcPr>
            <w:tcW w:w="3686" w:type="dxa"/>
          </w:tcPr>
          <w:p w:rsidR="00481E1D" w:rsidRPr="00481E1D" w:rsidRDefault="00481E1D" w:rsidP="00F13CF2">
            <w:pPr>
              <w:rPr>
                <w:sz w:val="20"/>
                <w:szCs w:val="20"/>
              </w:rPr>
            </w:pPr>
            <w:r w:rsidRPr="00481E1D">
              <w:rPr>
                <w:sz w:val="20"/>
                <w:szCs w:val="20"/>
              </w:rPr>
              <w:t xml:space="preserve">‘Indications for the use of </w:t>
            </w:r>
            <w:proofErr w:type="spellStart"/>
            <w:r w:rsidRPr="00481E1D">
              <w:rPr>
                <w:sz w:val="20"/>
                <w:szCs w:val="20"/>
              </w:rPr>
              <w:t>ifosfamide</w:t>
            </w:r>
            <w:proofErr w:type="spellEnd"/>
            <w:r w:rsidRPr="00481E1D">
              <w:rPr>
                <w:sz w:val="20"/>
                <w:szCs w:val="20"/>
              </w:rPr>
              <w:t xml:space="preserve"> are tumours sensitive to </w:t>
            </w:r>
            <w:proofErr w:type="spellStart"/>
            <w:r w:rsidRPr="00481E1D">
              <w:rPr>
                <w:sz w:val="20"/>
                <w:szCs w:val="20"/>
              </w:rPr>
              <w:t>ifosfamide</w:t>
            </w:r>
            <w:proofErr w:type="spellEnd"/>
            <w:r w:rsidRPr="00481E1D">
              <w:rPr>
                <w:sz w:val="20"/>
                <w:szCs w:val="20"/>
              </w:rPr>
              <w:t xml:space="preserve"> either as a single agent or in combination with other chemotherapeutic agents. Tumour types that have been demonstrated to respond to </w:t>
            </w:r>
            <w:proofErr w:type="spellStart"/>
            <w:r w:rsidRPr="00481E1D">
              <w:rPr>
                <w:sz w:val="20"/>
                <w:szCs w:val="20"/>
              </w:rPr>
              <w:t>ifosfamide</w:t>
            </w:r>
            <w:proofErr w:type="spellEnd"/>
            <w:r w:rsidRPr="00481E1D">
              <w:rPr>
                <w:sz w:val="20"/>
                <w:szCs w:val="20"/>
              </w:rPr>
              <w:t xml:space="preserve"> single agent or in combination are germ cell</w:t>
            </w:r>
            <w:r w:rsidR="00F13CF2">
              <w:rPr>
                <w:sz w:val="20"/>
                <w:szCs w:val="20"/>
              </w:rPr>
              <w:t xml:space="preserve"> tumours, sarcomas, lymphomas.’</w:t>
            </w:r>
          </w:p>
        </w:tc>
      </w:tr>
      <w:tr w:rsidR="00481E1D" w:rsidRPr="00481E1D" w:rsidTr="004A22A6">
        <w:tc>
          <w:tcPr>
            <w:tcW w:w="1809" w:type="dxa"/>
          </w:tcPr>
          <w:p w:rsidR="00481E1D" w:rsidRPr="00481E1D" w:rsidRDefault="00481E1D" w:rsidP="004A22A6">
            <w:pPr>
              <w:rPr>
                <w:sz w:val="20"/>
                <w:szCs w:val="20"/>
              </w:rPr>
            </w:pPr>
            <w:proofErr w:type="spellStart"/>
            <w:r w:rsidRPr="00481E1D">
              <w:rPr>
                <w:sz w:val="20"/>
                <w:szCs w:val="20"/>
              </w:rPr>
              <w:t>Dacarbazine</w:t>
            </w:r>
            <w:proofErr w:type="spellEnd"/>
          </w:p>
        </w:tc>
        <w:tc>
          <w:tcPr>
            <w:tcW w:w="1843" w:type="dxa"/>
          </w:tcPr>
          <w:p w:rsidR="00481E1D" w:rsidRPr="00481E1D" w:rsidRDefault="00702B90" w:rsidP="004A22A6">
            <w:pPr>
              <w:rPr>
                <w:sz w:val="20"/>
                <w:szCs w:val="20"/>
              </w:rPr>
            </w:pPr>
            <w:proofErr w:type="spellStart"/>
            <w:r>
              <w:rPr>
                <w:sz w:val="20"/>
                <w:szCs w:val="20"/>
              </w:rPr>
              <w:t>Dacarbazine</w:t>
            </w:r>
            <w:proofErr w:type="spellEnd"/>
            <w:r>
              <w:rPr>
                <w:sz w:val="20"/>
                <w:szCs w:val="20"/>
              </w:rPr>
              <w:t xml:space="preserve"> Sandoz plus generic</w:t>
            </w:r>
          </w:p>
        </w:tc>
        <w:tc>
          <w:tcPr>
            <w:tcW w:w="1701" w:type="dxa"/>
          </w:tcPr>
          <w:p w:rsidR="00481E1D" w:rsidRPr="00481E1D" w:rsidRDefault="00702B90" w:rsidP="004A22A6">
            <w:pPr>
              <w:rPr>
                <w:sz w:val="20"/>
                <w:szCs w:val="20"/>
              </w:rPr>
            </w:pPr>
            <w:r>
              <w:rPr>
                <w:sz w:val="20"/>
                <w:szCs w:val="20"/>
              </w:rPr>
              <w:t>Sandoz,</w:t>
            </w:r>
          </w:p>
          <w:p w:rsidR="00481E1D" w:rsidRPr="00481E1D" w:rsidRDefault="00481E1D" w:rsidP="004A22A6">
            <w:pPr>
              <w:rPr>
                <w:sz w:val="20"/>
                <w:szCs w:val="20"/>
              </w:rPr>
            </w:pPr>
            <w:proofErr w:type="spellStart"/>
            <w:r w:rsidRPr="00481E1D">
              <w:rPr>
                <w:sz w:val="20"/>
                <w:szCs w:val="20"/>
              </w:rPr>
              <w:t>Hospira</w:t>
            </w:r>
            <w:proofErr w:type="spellEnd"/>
          </w:p>
        </w:tc>
        <w:tc>
          <w:tcPr>
            <w:tcW w:w="3686" w:type="dxa"/>
          </w:tcPr>
          <w:p w:rsidR="00481E1D" w:rsidRPr="00481E1D" w:rsidRDefault="00481E1D" w:rsidP="004A22A6">
            <w:pPr>
              <w:rPr>
                <w:sz w:val="20"/>
                <w:szCs w:val="20"/>
              </w:rPr>
            </w:pPr>
            <w:r w:rsidRPr="00481E1D">
              <w:rPr>
                <w:sz w:val="20"/>
                <w:szCs w:val="20"/>
              </w:rPr>
              <w:t xml:space="preserve">‘Chemotherapy of metastatic malignant melanoma and various sarcomas. In other cancers, the available evidence shows </w:t>
            </w:r>
            <w:proofErr w:type="spellStart"/>
            <w:r w:rsidRPr="00481E1D">
              <w:rPr>
                <w:sz w:val="20"/>
                <w:szCs w:val="20"/>
              </w:rPr>
              <w:t>dacarbazine</w:t>
            </w:r>
            <w:proofErr w:type="spellEnd"/>
            <w:r w:rsidRPr="00481E1D">
              <w:rPr>
                <w:sz w:val="20"/>
                <w:szCs w:val="20"/>
              </w:rPr>
              <w:t xml:space="preserve"> to be ineffective or less effective than established regimens.</w:t>
            </w:r>
          </w:p>
          <w:p w:rsidR="00481E1D" w:rsidRPr="00481E1D" w:rsidRDefault="00481E1D" w:rsidP="00F13CF2">
            <w:pPr>
              <w:rPr>
                <w:sz w:val="20"/>
                <w:szCs w:val="20"/>
              </w:rPr>
            </w:pPr>
            <w:r w:rsidRPr="00481E1D">
              <w:rPr>
                <w:sz w:val="20"/>
                <w:szCs w:val="20"/>
              </w:rPr>
              <w:t xml:space="preserve">Note. The use of </w:t>
            </w:r>
            <w:proofErr w:type="spellStart"/>
            <w:r w:rsidRPr="00481E1D">
              <w:rPr>
                <w:sz w:val="20"/>
                <w:szCs w:val="20"/>
              </w:rPr>
              <w:t>dacarbazine</w:t>
            </w:r>
            <w:proofErr w:type="spellEnd"/>
            <w:r w:rsidRPr="00481E1D">
              <w:rPr>
                <w:sz w:val="20"/>
                <w:szCs w:val="20"/>
              </w:rPr>
              <w:t xml:space="preserve"> is restricted to hospitals with an oncology service.’</w:t>
            </w:r>
            <w:r w:rsidR="00F13CF2" w:rsidRPr="00481E1D">
              <w:rPr>
                <w:sz w:val="20"/>
                <w:szCs w:val="20"/>
              </w:rPr>
              <w:t xml:space="preserve"> </w:t>
            </w:r>
          </w:p>
        </w:tc>
      </w:tr>
      <w:tr w:rsidR="00481E1D" w:rsidRPr="00481E1D" w:rsidTr="004A22A6">
        <w:tc>
          <w:tcPr>
            <w:tcW w:w="1809" w:type="dxa"/>
          </w:tcPr>
          <w:p w:rsidR="00481E1D" w:rsidRPr="00481E1D" w:rsidRDefault="00481E1D" w:rsidP="004A22A6">
            <w:pPr>
              <w:rPr>
                <w:sz w:val="20"/>
                <w:szCs w:val="20"/>
              </w:rPr>
            </w:pPr>
            <w:proofErr w:type="spellStart"/>
            <w:r w:rsidRPr="00481E1D">
              <w:rPr>
                <w:sz w:val="20"/>
                <w:szCs w:val="20"/>
              </w:rPr>
              <w:t>Pazopanib</w:t>
            </w:r>
            <w:proofErr w:type="spellEnd"/>
          </w:p>
          <w:p w:rsidR="00481E1D" w:rsidRPr="00481E1D" w:rsidRDefault="00481E1D" w:rsidP="004A22A6">
            <w:pPr>
              <w:rPr>
                <w:sz w:val="20"/>
                <w:szCs w:val="20"/>
              </w:rPr>
            </w:pPr>
            <w:proofErr w:type="spellStart"/>
            <w:r w:rsidRPr="00481E1D">
              <w:rPr>
                <w:sz w:val="20"/>
                <w:szCs w:val="20"/>
              </w:rPr>
              <w:t>HCl</w:t>
            </w:r>
            <w:proofErr w:type="spellEnd"/>
          </w:p>
        </w:tc>
        <w:tc>
          <w:tcPr>
            <w:tcW w:w="1843" w:type="dxa"/>
          </w:tcPr>
          <w:p w:rsidR="00481E1D" w:rsidRPr="00481E1D" w:rsidRDefault="00481E1D" w:rsidP="004A22A6">
            <w:pPr>
              <w:rPr>
                <w:sz w:val="20"/>
                <w:szCs w:val="20"/>
              </w:rPr>
            </w:pPr>
            <w:proofErr w:type="spellStart"/>
            <w:r w:rsidRPr="00481E1D">
              <w:rPr>
                <w:sz w:val="20"/>
                <w:szCs w:val="20"/>
              </w:rPr>
              <w:t>Votrient</w:t>
            </w:r>
            <w:proofErr w:type="spellEnd"/>
          </w:p>
          <w:p w:rsidR="00481E1D" w:rsidRPr="00481E1D" w:rsidRDefault="00702B90" w:rsidP="00702B90">
            <w:pPr>
              <w:rPr>
                <w:sz w:val="20"/>
                <w:szCs w:val="20"/>
              </w:rPr>
            </w:pPr>
            <w:r>
              <w:rPr>
                <w:sz w:val="20"/>
                <w:szCs w:val="20"/>
              </w:rPr>
              <w:t>Tablets</w:t>
            </w:r>
          </w:p>
        </w:tc>
        <w:tc>
          <w:tcPr>
            <w:tcW w:w="1701" w:type="dxa"/>
          </w:tcPr>
          <w:p w:rsidR="00481E1D" w:rsidRPr="00481E1D" w:rsidRDefault="00702B90" w:rsidP="004A22A6">
            <w:pPr>
              <w:rPr>
                <w:sz w:val="20"/>
                <w:szCs w:val="20"/>
              </w:rPr>
            </w:pPr>
            <w:r>
              <w:rPr>
                <w:sz w:val="20"/>
                <w:szCs w:val="20"/>
              </w:rPr>
              <w:t>Novartis</w:t>
            </w:r>
          </w:p>
        </w:tc>
        <w:tc>
          <w:tcPr>
            <w:tcW w:w="3686" w:type="dxa"/>
          </w:tcPr>
          <w:p w:rsidR="00481E1D" w:rsidRPr="00481E1D" w:rsidRDefault="00481E1D" w:rsidP="004A22A6">
            <w:pPr>
              <w:rPr>
                <w:sz w:val="20"/>
                <w:szCs w:val="20"/>
              </w:rPr>
            </w:pPr>
            <w:r w:rsidRPr="00481E1D">
              <w:rPr>
                <w:sz w:val="20"/>
                <w:szCs w:val="20"/>
              </w:rPr>
              <w:t>‘VOTRIENT is indicated for the treatment of advanced (</w:t>
            </w:r>
            <w:proofErr w:type="spellStart"/>
            <w:r w:rsidRPr="00481E1D">
              <w:rPr>
                <w:sz w:val="20"/>
                <w:szCs w:val="20"/>
              </w:rPr>
              <w:t>unresectable</w:t>
            </w:r>
            <w:proofErr w:type="spellEnd"/>
            <w:r w:rsidRPr="00481E1D">
              <w:rPr>
                <w:sz w:val="20"/>
                <w:szCs w:val="20"/>
              </w:rPr>
              <w:t xml:space="preserve"> and/or metastatic) soft tissue sarcoma (STS) in patients who, unless otherwise contraindicated, have received prior chemotherapy including an anthracycline treatment.</w:t>
            </w:r>
          </w:p>
          <w:p w:rsidR="00481E1D" w:rsidRPr="00481E1D" w:rsidRDefault="00481E1D" w:rsidP="004A22A6">
            <w:pPr>
              <w:rPr>
                <w:sz w:val="20"/>
                <w:szCs w:val="20"/>
              </w:rPr>
            </w:pPr>
            <w:r w:rsidRPr="00481E1D">
              <w:rPr>
                <w:sz w:val="20"/>
                <w:szCs w:val="20"/>
              </w:rPr>
              <w:t xml:space="preserve">The Phase III trial population excluded patients with gastrointestinal stromal tumour (GIST) or </w:t>
            </w:r>
            <w:proofErr w:type="spellStart"/>
            <w:r w:rsidRPr="00481E1D">
              <w:rPr>
                <w:sz w:val="20"/>
                <w:szCs w:val="20"/>
              </w:rPr>
              <w:t>adipocytic</w:t>
            </w:r>
            <w:proofErr w:type="spellEnd"/>
            <w:r w:rsidRPr="00481E1D">
              <w:rPr>
                <w:sz w:val="20"/>
                <w:szCs w:val="20"/>
              </w:rPr>
              <w:t xml:space="preserve"> soft tissue sarcoma’.</w:t>
            </w:r>
          </w:p>
          <w:p w:rsidR="00481E1D" w:rsidRPr="00481E1D" w:rsidRDefault="00481E1D" w:rsidP="004A22A6">
            <w:pPr>
              <w:rPr>
                <w:sz w:val="20"/>
                <w:szCs w:val="20"/>
              </w:rPr>
            </w:pPr>
            <w:proofErr w:type="spellStart"/>
            <w:r w:rsidRPr="00481E1D">
              <w:rPr>
                <w:sz w:val="20"/>
                <w:szCs w:val="20"/>
              </w:rPr>
              <w:t>Votrient</w:t>
            </w:r>
            <w:proofErr w:type="spellEnd"/>
            <w:r w:rsidRPr="00481E1D">
              <w:rPr>
                <w:sz w:val="20"/>
                <w:szCs w:val="20"/>
              </w:rPr>
              <w:t xml:space="preserve"> has a boxed warning:</w:t>
            </w:r>
          </w:p>
          <w:p w:rsidR="00481E1D" w:rsidRPr="00481E1D" w:rsidRDefault="00481E1D" w:rsidP="004A22A6">
            <w:pPr>
              <w:rPr>
                <w:sz w:val="20"/>
                <w:szCs w:val="20"/>
              </w:rPr>
            </w:pPr>
            <w:r w:rsidRPr="00481E1D">
              <w:rPr>
                <w:sz w:val="20"/>
                <w:szCs w:val="20"/>
              </w:rPr>
              <w:t xml:space="preserve">‘Severe and fatal hepatotoxicity has been observed in clinical studies. </w:t>
            </w:r>
            <w:r w:rsidRPr="00481E1D">
              <w:rPr>
                <w:sz w:val="20"/>
                <w:szCs w:val="20"/>
              </w:rPr>
              <w:lastRenderedPageBreak/>
              <w:t xml:space="preserve">Monitor hepatic function and interrupt, reduce, or discontinue dosing as recommended. [See PRECAUTIONS.]’ </w:t>
            </w:r>
          </w:p>
        </w:tc>
      </w:tr>
    </w:tbl>
    <w:p w:rsidR="00816128" w:rsidRDefault="00816128" w:rsidP="00D62997">
      <w:pPr>
        <w:pStyle w:val="Heading4"/>
      </w:pPr>
      <w:r>
        <w:lastRenderedPageBreak/>
        <w:t>Regulatory guidelines</w:t>
      </w:r>
    </w:p>
    <w:p w:rsidR="0019387B" w:rsidRDefault="00816128" w:rsidP="00D62997">
      <w:pPr>
        <w:pStyle w:val="ListBullet"/>
      </w:pPr>
      <w:r>
        <w:t>The TGA has adopted the EU Guideline on the evaluation of anticancer medicinal products in man, EMA/CHMP/205/95/Rev.4 (and relevant appendices)</w:t>
      </w:r>
      <w:r w:rsidR="0019387B">
        <w:t>.</w:t>
      </w:r>
    </w:p>
    <w:p w:rsidR="0019387B" w:rsidRDefault="00816128" w:rsidP="00D62997">
      <w:pPr>
        <w:pStyle w:val="ListBullet"/>
      </w:pPr>
      <w:r>
        <w:t xml:space="preserve"> TGA-adopted EU Guidelines include ‘Points to consider on application with 1) meta-analysis; 2) single pivotal study’ (CPMP/EWP/2330/99)</w:t>
      </w:r>
      <w:r w:rsidR="0019387B">
        <w:t>.</w:t>
      </w:r>
    </w:p>
    <w:p w:rsidR="008E7846" w:rsidRPr="003F31A2" w:rsidRDefault="00386150" w:rsidP="008E7846">
      <w:pPr>
        <w:pStyle w:val="Heading3"/>
      </w:pPr>
      <w:bookmarkStart w:id="16" w:name="_Toc314842485"/>
      <w:bookmarkStart w:id="17" w:name="_Toc247691504"/>
      <w:bookmarkStart w:id="18" w:name="_Toc497233768"/>
      <w:r>
        <w:t>Regulatory s</w:t>
      </w:r>
      <w:r w:rsidR="008E7846">
        <w:t>tatus</w:t>
      </w:r>
      <w:bookmarkEnd w:id="16"/>
      <w:bookmarkEnd w:id="17"/>
      <w:bookmarkEnd w:id="18"/>
    </w:p>
    <w:p w:rsidR="00940A89" w:rsidRPr="00940A89" w:rsidRDefault="00940A89" w:rsidP="00940A89">
      <w:bookmarkStart w:id="19" w:name="_Toc247691505"/>
      <w:bookmarkStart w:id="20" w:name="_Toc314842486"/>
      <w:r w:rsidRPr="00940A89">
        <w:t>The product received initial registration on the Australian Register of Therapeutic Goods (ARTG) on</w:t>
      </w:r>
      <w:r w:rsidR="00481E1D">
        <w:t xml:space="preserve"> the 4 September 2012.</w:t>
      </w:r>
    </w:p>
    <w:p w:rsidR="00940A89" w:rsidRDefault="003F4934" w:rsidP="003F4934">
      <w:r>
        <w:t xml:space="preserve">At the time of submission to the TGA, similar applications had been lodged in the European Union, the USA and in Switzerland </w:t>
      </w:r>
      <w:r w:rsidR="00481E1D">
        <w:t>(</w:t>
      </w:r>
      <w:r w:rsidR="00702B90">
        <w:fldChar w:fldCharType="begin"/>
      </w:r>
      <w:r w:rsidR="00702B90">
        <w:instrText xml:space="preserve"> REF _Ref495914109 \h </w:instrText>
      </w:r>
      <w:r w:rsidR="00702B90">
        <w:fldChar w:fldCharType="separate"/>
      </w:r>
      <w:r w:rsidR="00702B90">
        <w:t xml:space="preserve">Table </w:t>
      </w:r>
      <w:r w:rsidR="00702B90">
        <w:rPr>
          <w:noProof/>
        </w:rPr>
        <w:t>2</w:t>
      </w:r>
      <w:r w:rsidR="00702B90">
        <w:fldChar w:fldCharType="end"/>
      </w:r>
      <w:r w:rsidR="00481E1D">
        <w:t>)</w:t>
      </w:r>
      <w:r>
        <w:t>.</w:t>
      </w:r>
      <w:r w:rsidR="00F71F3B">
        <w:t xml:space="preserve"> </w:t>
      </w:r>
      <w:r>
        <w:t xml:space="preserve">The application in the USA was approved on 28 January 2016. The </w:t>
      </w:r>
      <w:r w:rsidR="00926DF0">
        <w:t>European Medicines Agency’s (</w:t>
      </w:r>
      <w:r>
        <w:t>EMA’s</w:t>
      </w:r>
      <w:r w:rsidR="00926DF0">
        <w:t>)</w:t>
      </w:r>
      <w:r>
        <w:t xml:space="preserve"> advisory committee recommended approval of the application in Europe on 1 April 2016. In both cases the indication was restricted to subjects with </w:t>
      </w:r>
      <w:proofErr w:type="spellStart"/>
      <w:r>
        <w:t>liposarcoma</w:t>
      </w:r>
      <w:proofErr w:type="spellEnd"/>
      <w:r>
        <w:t>.</w:t>
      </w:r>
    </w:p>
    <w:p w:rsidR="00481E1D" w:rsidRDefault="00702B90" w:rsidP="00702B90">
      <w:pPr>
        <w:pStyle w:val="Caption"/>
      </w:pPr>
      <w:bookmarkStart w:id="21" w:name="_Ref495914109"/>
      <w:r>
        <w:t xml:space="preserve">Table </w:t>
      </w:r>
      <w:fldSimple w:instr=" SEQ Table \* ARABIC ">
        <w:r w:rsidR="00457A51">
          <w:rPr>
            <w:noProof/>
          </w:rPr>
          <w:t>2</w:t>
        </w:r>
      </w:fldSimple>
      <w:bookmarkEnd w:id="21"/>
      <w:r w:rsidR="00481E1D">
        <w:t>: International regulatory status</w:t>
      </w:r>
    </w:p>
    <w:tbl>
      <w:tblPr>
        <w:tblStyle w:val="TableTGAblue"/>
        <w:tblW w:w="0" w:type="auto"/>
        <w:tblLook w:val="04A0" w:firstRow="1" w:lastRow="0" w:firstColumn="1" w:lastColumn="0" w:noHBand="0" w:noVBand="1"/>
        <w:tblDescription w:val="Table 2 is a list of the international regulatory status"/>
      </w:tblPr>
      <w:tblGrid>
        <w:gridCol w:w="1526"/>
        <w:gridCol w:w="1417"/>
        <w:gridCol w:w="2410"/>
        <w:gridCol w:w="3367"/>
      </w:tblGrid>
      <w:tr w:rsidR="00757684" w:rsidRPr="00481E1D" w:rsidTr="002516EC">
        <w:trPr>
          <w:cnfStyle w:val="100000000000" w:firstRow="1" w:lastRow="0" w:firstColumn="0" w:lastColumn="0" w:oddVBand="0" w:evenVBand="0" w:oddHBand="0" w:evenHBand="0" w:firstRowFirstColumn="0" w:firstRowLastColumn="0" w:lastRowFirstColumn="0" w:lastRowLastColumn="0"/>
        </w:trPr>
        <w:tc>
          <w:tcPr>
            <w:tcW w:w="1526" w:type="dxa"/>
          </w:tcPr>
          <w:p w:rsidR="00757684" w:rsidRPr="00481E1D" w:rsidRDefault="00757684" w:rsidP="00481E1D">
            <w:pPr>
              <w:rPr>
                <w:sz w:val="20"/>
                <w:szCs w:val="20"/>
              </w:rPr>
            </w:pPr>
            <w:r w:rsidRPr="00481E1D">
              <w:rPr>
                <w:sz w:val="20"/>
                <w:szCs w:val="20"/>
              </w:rPr>
              <w:t>Country</w:t>
            </w:r>
          </w:p>
        </w:tc>
        <w:tc>
          <w:tcPr>
            <w:tcW w:w="1417" w:type="dxa"/>
          </w:tcPr>
          <w:p w:rsidR="00757684" w:rsidRPr="00481E1D" w:rsidRDefault="00757684" w:rsidP="00481E1D">
            <w:pPr>
              <w:rPr>
                <w:sz w:val="20"/>
                <w:szCs w:val="20"/>
              </w:rPr>
            </w:pPr>
            <w:r w:rsidRPr="00481E1D">
              <w:rPr>
                <w:sz w:val="20"/>
                <w:szCs w:val="20"/>
              </w:rPr>
              <w:t>Current</w:t>
            </w:r>
          </w:p>
          <w:p w:rsidR="00757684" w:rsidRPr="00481E1D" w:rsidRDefault="00757684" w:rsidP="00481E1D">
            <w:pPr>
              <w:rPr>
                <w:sz w:val="20"/>
                <w:szCs w:val="20"/>
              </w:rPr>
            </w:pPr>
            <w:r w:rsidRPr="00481E1D">
              <w:rPr>
                <w:sz w:val="20"/>
                <w:szCs w:val="20"/>
              </w:rPr>
              <w:t>Status</w:t>
            </w:r>
          </w:p>
        </w:tc>
        <w:tc>
          <w:tcPr>
            <w:tcW w:w="2410" w:type="dxa"/>
          </w:tcPr>
          <w:p w:rsidR="00757684" w:rsidRPr="00481E1D" w:rsidRDefault="00757684" w:rsidP="00481E1D">
            <w:pPr>
              <w:rPr>
                <w:sz w:val="20"/>
                <w:szCs w:val="20"/>
              </w:rPr>
            </w:pPr>
            <w:r w:rsidRPr="00481E1D">
              <w:rPr>
                <w:sz w:val="20"/>
                <w:szCs w:val="20"/>
              </w:rPr>
              <w:t>Approval date</w:t>
            </w:r>
          </w:p>
        </w:tc>
        <w:tc>
          <w:tcPr>
            <w:tcW w:w="3367" w:type="dxa"/>
          </w:tcPr>
          <w:p w:rsidR="00757684" w:rsidRPr="00481E1D" w:rsidRDefault="00757684" w:rsidP="00481E1D">
            <w:pPr>
              <w:rPr>
                <w:sz w:val="20"/>
                <w:szCs w:val="20"/>
              </w:rPr>
            </w:pPr>
            <w:r w:rsidRPr="00481E1D">
              <w:rPr>
                <w:sz w:val="20"/>
                <w:szCs w:val="20"/>
              </w:rPr>
              <w:t>Approved Indication</w:t>
            </w:r>
          </w:p>
        </w:tc>
      </w:tr>
      <w:tr w:rsidR="00757684" w:rsidRPr="00481E1D" w:rsidTr="002516EC">
        <w:tc>
          <w:tcPr>
            <w:tcW w:w="1526" w:type="dxa"/>
          </w:tcPr>
          <w:p w:rsidR="00757684" w:rsidRPr="00481E1D" w:rsidRDefault="00757684" w:rsidP="00481E1D">
            <w:pPr>
              <w:rPr>
                <w:b/>
                <w:sz w:val="20"/>
                <w:szCs w:val="20"/>
              </w:rPr>
            </w:pPr>
            <w:r w:rsidRPr="00481E1D">
              <w:rPr>
                <w:b/>
                <w:sz w:val="20"/>
                <w:szCs w:val="20"/>
              </w:rPr>
              <w:t>European</w:t>
            </w:r>
          </w:p>
          <w:p w:rsidR="00757684" w:rsidRPr="00481E1D" w:rsidRDefault="00757684" w:rsidP="00481E1D">
            <w:pPr>
              <w:rPr>
                <w:sz w:val="20"/>
                <w:szCs w:val="20"/>
              </w:rPr>
            </w:pPr>
            <w:r w:rsidRPr="00481E1D">
              <w:rPr>
                <w:b/>
                <w:sz w:val="20"/>
                <w:szCs w:val="20"/>
              </w:rPr>
              <w:t>Union</w:t>
            </w:r>
          </w:p>
        </w:tc>
        <w:tc>
          <w:tcPr>
            <w:tcW w:w="1417" w:type="dxa"/>
          </w:tcPr>
          <w:p w:rsidR="00757684" w:rsidRPr="00481E1D" w:rsidRDefault="00757684" w:rsidP="00481E1D">
            <w:pPr>
              <w:rPr>
                <w:sz w:val="20"/>
                <w:szCs w:val="20"/>
              </w:rPr>
            </w:pPr>
            <w:r w:rsidRPr="00481E1D">
              <w:rPr>
                <w:sz w:val="20"/>
                <w:szCs w:val="20"/>
              </w:rPr>
              <w:t>Approved</w:t>
            </w:r>
          </w:p>
        </w:tc>
        <w:tc>
          <w:tcPr>
            <w:tcW w:w="2410" w:type="dxa"/>
          </w:tcPr>
          <w:p w:rsidR="00757684" w:rsidRPr="00481E1D" w:rsidRDefault="00757684" w:rsidP="00481E1D">
            <w:pPr>
              <w:rPr>
                <w:sz w:val="20"/>
                <w:szCs w:val="20"/>
              </w:rPr>
            </w:pPr>
            <w:r w:rsidRPr="00481E1D">
              <w:rPr>
                <w:sz w:val="20"/>
                <w:szCs w:val="20"/>
              </w:rPr>
              <w:t>06 May 2016</w:t>
            </w:r>
          </w:p>
        </w:tc>
        <w:tc>
          <w:tcPr>
            <w:tcW w:w="3367" w:type="dxa"/>
          </w:tcPr>
          <w:p w:rsidR="00757684" w:rsidRPr="00481E1D" w:rsidRDefault="00757684" w:rsidP="00481E1D">
            <w:pPr>
              <w:rPr>
                <w:sz w:val="20"/>
                <w:szCs w:val="20"/>
              </w:rPr>
            </w:pPr>
            <w:proofErr w:type="spellStart"/>
            <w:r w:rsidRPr="00481E1D">
              <w:rPr>
                <w:sz w:val="20"/>
                <w:szCs w:val="20"/>
              </w:rPr>
              <w:t>Halaven</w:t>
            </w:r>
            <w:proofErr w:type="spellEnd"/>
            <w:r w:rsidRPr="00481E1D">
              <w:rPr>
                <w:sz w:val="20"/>
                <w:szCs w:val="20"/>
              </w:rPr>
              <w:t xml:space="preserve"> is indicated for the treatment of adult patients with </w:t>
            </w:r>
            <w:proofErr w:type="spellStart"/>
            <w:r w:rsidRPr="00481E1D">
              <w:rPr>
                <w:sz w:val="20"/>
                <w:szCs w:val="20"/>
              </w:rPr>
              <w:t>unresectable</w:t>
            </w:r>
            <w:proofErr w:type="spellEnd"/>
            <w:r w:rsidRPr="00481E1D">
              <w:rPr>
                <w:sz w:val="20"/>
                <w:szCs w:val="20"/>
              </w:rPr>
              <w:t xml:space="preserve"> </w:t>
            </w:r>
            <w:proofErr w:type="spellStart"/>
            <w:r w:rsidRPr="00481E1D">
              <w:rPr>
                <w:sz w:val="20"/>
                <w:szCs w:val="20"/>
              </w:rPr>
              <w:t>liposarcoma</w:t>
            </w:r>
            <w:proofErr w:type="spellEnd"/>
            <w:r w:rsidRPr="00481E1D">
              <w:rPr>
                <w:sz w:val="20"/>
                <w:szCs w:val="20"/>
              </w:rPr>
              <w:t xml:space="preserve"> who have received prior anthracycline containing therapy (unless unsuitable) for advanced or metastatic disease.</w:t>
            </w:r>
          </w:p>
        </w:tc>
      </w:tr>
      <w:tr w:rsidR="00757684" w:rsidRPr="00481E1D" w:rsidTr="002516EC">
        <w:tc>
          <w:tcPr>
            <w:tcW w:w="1526" w:type="dxa"/>
          </w:tcPr>
          <w:p w:rsidR="00757684" w:rsidRPr="00481E1D" w:rsidRDefault="00481E1D" w:rsidP="00481E1D">
            <w:pPr>
              <w:rPr>
                <w:sz w:val="20"/>
                <w:szCs w:val="20"/>
              </w:rPr>
            </w:pPr>
            <w:r>
              <w:rPr>
                <w:b/>
                <w:sz w:val="20"/>
                <w:szCs w:val="20"/>
              </w:rPr>
              <w:t>USA</w:t>
            </w:r>
          </w:p>
        </w:tc>
        <w:tc>
          <w:tcPr>
            <w:tcW w:w="1417" w:type="dxa"/>
          </w:tcPr>
          <w:p w:rsidR="00757684" w:rsidRPr="00481E1D" w:rsidRDefault="00757684" w:rsidP="00481E1D">
            <w:pPr>
              <w:rPr>
                <w:sz w:val="20"/>
                <w:szCs w:val="20"/>
              </w:rPr>
            </w:pPr>
            <w:r w:rsidRPr="00481E1D">
              <w:rPr>
                <w:sz w:val="20"/>
                <w:szCs w:val="20"/>
              </w:rPr>
              <w:t>Approved</w:t>
            </w:r>
          </w:p>
        </w:tc>
        <w:tc>
          <w:tcPr>
            <w:tcW w:w="2410" w:type="dxa"/>
          </w:tcPr>
          <w:p w:rsidR="00757684" w:rsidRPr="00481E1D" w:rsidRDefault="00757684" w:rsidP="00481E1D">
            <w:pPr>
              <w:rPr>
                <w:sz w:val="20"/>
                <w:szCs w:val="20"/>
              </w:rPr>
            </w:pPr>
            <w:r w:rsidRPr="00481E1D">
              <w:rPr>
                <w:sz w:val="20"/>
                <w:szCs w:val="20"/>
              </w:rPr>
              <w:t>28 January 2016</w:t>
            </w:r>
          </w:p>
        </w:tc>
        <w:tc>
          <w:tcPr>
            <w:tcW w:w="3367" w:type="dxa"/>
          </w:tcPr>
          <w:p w:rsidR="00757684" w:rsidRPr="00481E1D" w:rsidRDefault="00757684" w:rsidP="00481E1D">
            <w:pPr>
              <w:rPr>
                <w:sz w:val="20"/>
                <w:szCs w:val="20"/>
              </w:rPr>
            </w:pPr>
            <w:proofErr w:type="spellStart"/>
            <w:r w:rsidRPr="00481E1D">
              <w:rPr>
                <w:sz w:val="20"/>
                <w:szCs w:val="20"/>
              </w:rPr>
              <w:t>Halaven</w:t>
            </w:r>
            <w:proofErr w:type="spellEnd"/>
            <w:r w:rsidRPr="00481E1D">
              <w:rPr>
                <w:sz w:val="20"/>
                <w:szCs w:val="20"/>
              </w:rPr>
              <w:t xml:space="preserve"> is indicated for the treatment of </w:t>
            </w:r>
            <w:r w:rsidRPr="00CF72E5">
              <w:rPr>
                <w:sz w:val="20"/>
                <w:szCs w:val="20"/>
              </w:rPr>
              <w:t xml:space="preserve">patients with </w:t>
            </w:r>
            <w:proofErr w:type="spellStart"/>
            <w:r w:rsidRPr="00CF72E5">
              <w:rPr>
                <w:sz w:val="20"/>
                <w:szCs w:val="20"/>
              </w:rPr>
              <w:t>unresectable</w:t>
            </w:r>
            <w:proofErr w:type="spellEnd"/>
            <w:r w:rsidRPr="00CF72E5">
              <w:rPr>
                <w:sz w:val="20"/>
                <w:szCs w:val="20"/>
              </w:rPr>
              <w:t xml:space="preserve"> or metastatic </w:t>
            </w:r>
            <w:proofErr w:type="spellStart"/>
            <w:r w:rsidRPr="00CF72E5">
              <w:rPr>
                <w:sz w:val="20"/>
                <w:szCs w:val="20"/>
              </w:rPr>
              <w:t>liposarcoma</w:t>
            </w:r>
            <w:proofErr w:type="spellEnd"/>
            <w:r w:rsidRPr="00CF72E5">
              <w:rPr>
                <w:sz w:val="20"/>
                <w:szCs w:val="20"/>
              </w:rPr>
              <w:t xml:space="preserve"> who have received a prior</w:t>
            </w:r>
            <w:r w:rsidR="00CF72E5" w:rsidRPr="00CF72E5">
              <w:rPr>
                <w:sz w:val="20"/>
                <w:szCs w:val="20"/>
              </w:rPr>
              <w:t xml:space="preserve"> anthracycline-containing treatment.</w:t>
            </w:r>
          </w:p>
        </w:tc>
      </w:tr>
      <w:tr w:rsidR="00757684" w:rsidRPr="00481E1D" w:rsidTr="002516EC">
        <w:tc>
          <w:tcPr>
            <w:tcW w:w="1526" w:type="dxa"/>
          </w:tcPr>
          <w:p w:rsidR="00757684" w:rsidRPr="00481E1D" w:rsidRDefault="00757684" w:rsidP="00481E1D">
            <w:pPr>
              <w:rPr>
                <w:sz w:val="20"/>
                <w:szCs w:val="20"/>
              </w:rPr>
            </w:pPr>
            <w:r w:rsidRPr="00481E1D">
              <w:rPr>
                <w:b/>
                <w:sz w:val="20"/>
                <w:szCs w:val="20"/>
              </w:rPr>
              <w:t>Russia</w:t>
            </w:r>
          </w:p>
        </w:tc>
        <w:tc>
          <w:tcPr>
            <w:tcW w:w="1417" w:type="dxa"/>
          </w:tcPr>
          <w:p w:rsidR="00757684" w:rsidRPr="00481E1D" w:rsidRDefault="00757684" w:rsidP="00481E1D">
            <w:pPr>
              <w:rPr>
                <w:sz w:val="20"/>
                <w:szCs w:val="20"/>
              </w:rPr>
            </w:pPr>
            <w:r w:rsidRPr="00481E1D">
              <w:rPr>
                <w:sz w:val="20"/>
                <w:szCs w:val="20"/>
              </w:rPr>
              <w:t>Approved</w:t>
            </w:r>
          </w:p>
        </w:tc>
        <w:tc>
          <w:tcPr>
            <w:tcW w:w="2410" w:type="dxa"/>
          </w:tcPr>
          <w:p w:rsidR="00757684" w:rsidRPr="00481E1D" w:rsidRDefault="00757684" w:rsidP="00481E1D">
            <w:pPr>
              <w:rPr>
                <w:sz w:val="20"/>
                <w:szCs w:val="20"/>
              </w:rPr>
            </w:pPr>
            <w:r w:rsidRPr="00481E1D">
              <w:rPr>
                <w:sz w:val="20"/>
                <w:szCs w:val="20"/>
              </w:rPr>
              <w:t>15 May</w:t>
            </w:r>
            <w:r w:rsidR="002516EC">
              <w:rPr>
                <w:sz w:val="20"/>
                <w:szCs w:val="20"/>
              </w:rPr>
              <w:t xml:space="preserve"> </w:t>
            </w:r>
            <w:r w:rsidRPr="00481E1D">
              <w:rPr>
                <w:sz w:val="20"/>
                <w:szCs w:val="20"/>
              </w:rPr>
              <w:t>2016</w:t>
            </w:r>
          </w:p>
        </w:tc>
        <w:tc>
          <w:tcPr>
            <w:tcW w:w="3367" w:type="dxa"/>
          </w:tcPr>
          <w:p w:rsidR="00757684" w:rsidRPr="00481E1D" w:rsidRDefault="00757684" w:rsidP="00481E1D">
            <w:pPr>
              <w:rPr>
                <w:sz w:val="20"/>
                <w:szCs w:val="20"/>
              </w:rPr>
            </w:pPr>
            <w:proofErr w:type="spellStart"/>
            <w:r w:rsidRPr="00481E1D">
              <w:rPr>
                <w:sz w:val="20"/>
                <w:szCs w:val="20"/>
              </w:rPr>
              <w:t>Halaven</w:t>
            </w:r>
            <w:proofErr w:type="spellEnd"/>
            <w:r w:rsidRPr="00481E1D">
              <w:rPr>
                <w:sz w:val="20"/>
                <w:szCs w:val="20"/>
              </w:rPr>
              <w:t xml:space="preserve"> is indicated for the treatment of patients with </w:t>
            </w:r>
            <w:proofErr w:type="spellStart"/>
            <w:r w:rsidRPr="00481E1D">
              <w:rPr>
                <w:sz w:val="20"/>
                <w:szCs w:val="20"/>
              </w:rPr>
              <w:t>unresectable</w:t>
            </w:r>
            <w:proofErr w:type="spellEnd"/>
            <w:r w:rsidRPr="00481E1D">
              <w:rPr>
                <w:sz w:val="20"/>
                <w:szCs w:val="20"/>
              </w:rPr>
              <w:t xml:space="preserve"> </w:t>
            </w:r>
            <w:proofErr w:type="spellStart"/>
            <w:r w:rsidRPr="00481E1D">
              <w:rPr>
                <w:sz w:val="20"/>
                <w:szCs w:val="20"/>
              </w:rPr>
              <w:t>liposarcoma</w:t>
            </w:r>
            <w:proofErr w:type="spellEnd"/>
            <w:r w:rsidRPr="00481E1D">
              <w:rPr>
                <w:sz w:val="20"/>
                <w:szCs w:val="20"/>
              </w:rPr>
              <w:t xml:space="preserve"> who have received prior anthracycline containing therapy (unless unsuitable) for advanced or metastatic disease</w:t>
            </w:r>
          </w:p>
        </w:tc>
      </w:tr>
      <w:tr w:rsidR="00757684" w:rsidRPr="00481E1D" w:rsidTr="002516EC">
        <w:tc>
          <w:tcPr>
            <w:tcW w:w="1526" w:type="dxa"/>
          </w:tcPr>
          <w:p w:rsidR="00757684" w:rsidRPr="00481E1D" w:rsidRDefault="00757684" w:rsidP="00481E1D">
            <w:pPr>
              <w:rPr>
                <w:sz w:val="20"/>
                <w:szCs w:val="20"/>
              </w:rPr>
            </w:pPr>
            <w:r w:rsidRPr="00481E1D">
              <w:rPr>
                <w:b/>
                <w:sz w:val="20"/>
                <w:szCs w:val="20"/>
              </w:rPr>
              <w:t>Japan</w:t>
            </w:r>
          </w:p>
        </w:tc>
        <w:tc>
          <w:tcPr>
            <w:tcW w:w="1417" w:type="dxa"/>
          </w:tcPr>
          <w:p w:rsidR="00757684" w:rsidRPr="00481E1D" w:rsidRDefault="00757684" w:rsidP="00481E1D">
            <w:pPr>
              <w:rPr>
                <w:sz w:val="20"/>
                <w:szCs w:val="20"/>
              </w:rPr>
            </w:pPr>
            <w:r w:rsidRPr="00481E1D">
              <w:rPr>
                <w:sz w:val="20"/>
                <w:szCs w:val="20"/>
              </w:rPr>
              <w:t>Approved</w:t>
            </w:r>
          </w:p>
        </w:tc>
        <w:tc>
          <w:tcPr>
            <w:tcW w:w="2410" w:type="dxa"/>
          </w:tcPr>
          <w:p w:rsidR="00757684" w:rsidRPr="00481E1D" w:rsidRDefault="00757684" w:rsidP="00481E1D">
            <w:pPr>
              <w:rPr>
                <w:sz w:val="20"/>
                <w:szCs w:val="20"/>
              </w:rPr>
            </w:pPr>
            <w:r w:rsidRPr="00481E1D">
              <w:rPr>
                <w:sz w:val="20"/>
                <w:szCs w:val="20"/>
              </w:rPr>
              <w:t>29 February</w:t>
            </w:r>
            <w:r w:rsidR="002516EC">
              <w:rPr>
                <w:sz w:val="20"/>
                <w:szCs w:val="20"/>
              </w:rPr>
              <w:t xml:space="preserve"> </w:t>
            </w:r>
            <w:r w:rsidRPr="00481E1D">
              <w:rPr>
                <w:sz w:val="20"/>
                <w:szCs w:val="20"/>
              </w:rPr>
              <w:t>2016</w:t>
            </w:r>
          </w:p>
        </w:tc>
        <w:tc>
          <w:tcPr>
            <w:tcW w:w="3367" w:type="dxa"/>
          </w:tcPr>
          <w:p w:rsidR="00757684" w:rsidRPr="00481E1D" w:rsidRDefault="00757684" w:rsidP="00F404B7">
            <w:pPr>
              <w:rPr>
                <w:sz w:val="20"/>
                <w:szCs w:val="20"/>
              </w:rPr>
            </w:pPr>
            <w:r w:rsidRPr="00481E1D">
              <w:rPr>
                <w:sz w:val="20"/>
                <w:szCs w:val="20"/>
              </w:rPr>
              <w:t>Soft tissue sarcoma</w:t>
            </w:r>
          </w:p>
        </w:tc>
      </w:tr>
    </w:tbl>
    <w:p w:rsidR="00816128" w:rsidRPr="00CF72E5" w:rsidRDefault="00816128" w:rsidP="00816128">
      <w:r w:rsidRPr="00CF72E5">
        <w:t>T</w:t>
      </w:r>
      <w:r w:rsidR="00CF72E5" w:rsidRPr="00CF72E5">
        <w:t>he complete i</w:t>
      </w:r>
      <w:r w:rsidRPr="00CF72E5">
        <w:t xml:space="preserve">ndications </w:t>
      </w:r>
      <w:r w:rsidR="00CF72E5" w:rsidRPr="00CF72E5">
        <w:t xml:space="preserve">in the USA </w:t>
      </w:r>
      <w:r w:rsidRPr="00CF72E5">
        <w:t>are:</w:t>
      </w:r>
    </w:p>
    <w:p w:rsidR="00816128" w:rsidRPr="00CF72E5" w:rsidRDefault="00816128" w:rsidP="0019387B">
      <w:pPr>
        <w:pStyle w:val="Heading4"/>
      </w:pPr>
      <w:r w:rsidRPr="00CF72E5">
        <w:lastRenderedPageBreak/>
        <w:t>Metastatic Breast Cancer</w:t>
      </w:r>
    </w:p>
    <w:p w:rsidR="00816128" w:rsidRPr="00CF72E5" w:rsidRDefault="00757684" w:rsidP="00CF72E5">
      <w:pPr>
        <w:ind w:left="720"/>
        <w:rPr>
          <w:i/>
        </w:rPr>
      </w:pPr>
      <w:proofErr w:type="spellStart"/>
      <w:r w:rsidRPr="00CF72E5">
        <w:rPr>
          <w:i/>
        </w:rPr>
        <w:t>Halaven</w:t>
      </w:r>
      <w:proofErr w:type="spellEnd"/>
      <w:r w:rsidR="00816128" w:rsidRPr="00CF72E5">
        <w:rPr>
          <w:i/>
        </w:rPr>
        <w:t xml:space="preserve"> is indicated for the treatment of patients with metastatic breast cancer who have previously received at least two chemotherapeutic regimens for the treatment of metastatic disease. Prior therapy should have included an anthracycline and a </w:t>
      </w:r>
      <w:proofErr w:type="spellStart"/>
      <w:r w:rsidR="00816128" w:rsidRPr="00CF72E5">
        <w:rPr>
          <w:i/>
        </w:rPr>
        <w:t>taxane</w:t>
      </w:r>
      <w:proofErr w:type="spellEnd"/>
      <w:r w:rsidR="00816128" w:rsidRPr="00CF72E5">
        <w:rPr>
          <w:i/>
        </w:rPr>
        <w:t xml:space="preserve"> in either the adjuvant or metastatic setting [see Clinical Studies (14.1)].</w:t>
      </w:r>
    </w:p>
    <w:p w:rsidR="00816128" w:rsidRPr="00CF72E5" w:rsidRDefault="00816128" w:rsidP="0019387B">
      <w:pPr>
        <w:pStyle w:val="Heading4"/>
      </w:pPr>
      <w:proofErr w:type="spellStart"/>
      <w:r w:rsidRPr="00CF72E5">
        <w:t>Liposarcoma</w:t>
      </w:r>
      <w:proofErr w:type="spellEnd"/>
    </w:p>
    <w:p w:rsidR="00816128" w:rsidRPr="00CF72E5" w:rsidRDefault="00757684" w:rsidP="00CF72E5">
      <w:pPr>
        <w:ind w:left="720"/>
        <w:rPr>
          <w:i/>
          <w:highlight w:val="yellow"/>
        </w:rPr>
      </w:pPr>
      <w:proofErr w:type="spellStart"/>
      <w:r w:rsidRPr="00CF72E5">
        <w:rPr>
          <w:i/>
        </w:rPr>
        <w:t>Halaven</w:t>
      </w:r>
      <w:proofErr w:type="spellEnd"/>
      <w:r w:rsidR="00816128" w:rsidRPr="00CF72E5">
        <w:rPr>
          <w:i/>
        </w:rPr>
        <w:t xml:space="preserve"> is indicated for the treatment of patients with </w:t>
      </w:r>
      <w:proofErr w:type="spellStart"/>
      <w:r w:rsidR="00816128" w:rsidRPr="00CF72E5">
        <w:rPr>
          <w:i/>
        </w:rPr>
        <w:t>unresectable</w:t>
      </w:r>
      <w:proofErr w:type="spellEnd"/>
      <w:r w:rsidR="00816128" w:rsidRPr="00CF72E5">
        <w:rPr>
          <w:i/>
        </w:rPr>
        <w:t xml:space="preserve"> or metastatic </w:t>
      </w:r>
      <w:proofErr w:type="spellStart"/>
      <w:r w:rsidR="00816128" w:rsidRPr="00CF72E5">
        <w:rPr>
          <w:i/>
        </w:rPr>
        <w:t>liposarcoma</w:t>
      </w:r>
      <w:proofErr w:type="spellEnd"/>
      <w:r w:rsidR="00816128" w:rsidRPr="00CF72E5">
        <w:rPr>
          <w:i/>
        </w:rPr>
        <w:t xml:space="preserve"> who have received a prior anthracycline-containing regimen</w:t>
      </w:r>
      <w:r w:rsidR="00CF72E5">
        <w:rPr>
          <w:i/>
        </w:rPr>
        <w:t xml:space="preserve"> [see Clinical Studies (14.2)].</w:t>
      </w:r>
    </w:p>
    <w:p w:rsidR="00816128" w:rsidRPr="00CF72E5" w:rsidRDefault="00CF72E5" w:rsidP="00816128">
      <w:r w:rsidRPr="00CF72E5">
        <w:t>The full i</w:t>
      </w:r>
      <w:r w:rsidR="00816128" w:rsidRPr="00CF72E5">
        <w:t xml:space="preserve">ndications </w:t>
      </w:r>
      <w:r w:rsidRPr="00CF72E5">
        <w:t xml:space="preserve">in the EU </w:t>
      </w:r>
      <w:r w:rsidR="00816128" w:rsidRPr="00CF72E5">
        <w:t>are:</w:t>
      </w:r>
    </w:p>
    <w:p w:rsidR="00816128" w:rsidRPr="00CF72E5" w:rsidRDefault="00816128" w:rsidP="00CF72E5">
      <w:pPr>
        <w:ind w:left="720"/>
        <w:rPr>
          <w:i/>
        </w:rPr>
      </w:pPr>
      <w:proofErr w:type="spellStart"/>
      <w:r w:rsidRPr="00CF72E5">
        <w:rPr>
          <w:i/>
        </w:rPr>
        <w:t>Halaven</w:t>
      </w:r>
      <w:proofErr w:type="spellEnd"/>
      <w:r w:rsidRPr="00CF72E5">
        <w:rPr>
          <w:i/>
        </w:rPr>
        <w:t xml:space="preserve"> is indicated for the treatment of adult patients with locally advanced or metastatic breast cancer who have progressed after at least one chemotherapeutic regimen for advanced disease (see section 5.1). Prior therapy should have included an anthracycline and a </w:t>
      </w:r>
      <w:proofErr w:type="spellStart"/>
      <w:r w:rsidRPr="00CF72E5">
        <w:rPr>
          <w:i/>
        </w:rPr>
        <w:t>taxane</w:t>
      </w:r>
      <w:proofErr w:type="spellEnd"/>
      <w:r w:rsidRPr="00CF72E5">
        <w:rPr>
          <w:i/>
        </w:rPr>
        <w:t xml:space="preserve"> in either the adjuvant or metastatic setting unless patients were not suitable for these treatments.</w:t>
      </w:r>
    </w:p>
    <w:p w:rsidR="00816128" w:rsidRPr="00CF72E5" w:rsidRDefault="00816128" w:rsidP="00CF72E5">
      <w:pPr>
        <w:ind w:left="720"/>
        <w:rPr>
          <w:i/>
        </w:rPr>
      </w:pPr>
      <w:proofErr w:type="spellStart"/>
      <w:r w:rsidRPr="00CF72E5">
        <w:rPr>
          <w:i/>
        </w:rPr>
        <w:t>Halaven</w:t>
      </w:r>
      <w:proofErr w:type="spellEnd"/>
      <w:r w:rsidRPr="00CF72E5">
        <w:rPr>
          <w:i/>
        </w:rPr>
        <w:t xml:space="preserve"> is indicated for the treatment of adult patients with </w:t>
      </w:r>
      <w:proofErr w:type="spellStart"/>
      <w:r w:rsidRPr="00CF72E5">
        <w:rPr>
          <w:i/>
        </w:rPr>
        <w:t>unresectable</w:t>
      </w:r>
      <w:proofErr w:type="spellEnd"/>
      <w:r w:rsidRPr="00CF72E5">
        <w:rPr>
          <w:i/>
        </w:rPr>
        <w:t xml:space="preserve"> </w:t>
      </w:r>
      <w:proofErr w:type="spellStart"/>
      <w:r w:rsidRPr="00CF72E5">
        <w:rPr>
          <w:i/>
        </w:rPr>
        <w:t>liposarcoma</w:t>
      </w:r>
      <w:proofErr w:type="spellEnd"/>
      <w:r w:rsidRPr="00CF72E5">
        <w:rPr>
          <w:i/>
        </w:rPr>
        <w:t xml:space="preserve"> who have received prior anthracycline containing therapy (unless unsuitable) for advanced or metast</w:t>
      </w:r>
      <w:r w:rsidR="00CF72E5">
        <w:rPr>
          <w:i/>
        </w:rPr>
        <w:t>atic disease (see section 5.1).</w:t>
      </w:r>
    </w:p>
    <w:p w:rsidR="006D76DE" w:rsidRDefault="00816128" w:rsidP="00816128">
      <w:r>
        <w:t>Thus</w:t>
      </w:r>
      <w:r w:rsidR="00F71F3B">
        <w:t xml:space="preserve"> FDA and EMA have approved the i</w:t>
      </w:r>
      <w:r>
        <w:t xml:space="preserve">ndication for patients with </w:t>
      </w:r>
      <w:proofErr w:type="spellStart"/>
      <w:r>
        <w:t>unresectable</w:t>
      </w:r>
      <w:proofErr w:type="spellEnd"/>
      <w:r>
        <w:t xml:space="preserve"> </w:t>
      </w:r>
      <w:proofErr w:type="spellStart"/>
      <w:r>
        <w:t>liposarcoma</w:t>
      </w:r>
      <w:proofErr w:type="spellEnd"/>
      <w:r>
        <w:t xml:space="preserve"> in patients who have received a prior anthracycline-containing regimen. The FDA and EMA</w:t>
      </w:r>
      <w:r w:rsidR="00F71F3B">
        <w:t xml:space="preserve"> approved i</w:t>
      </w:r>
      <w:r>
        <w:t>ndications include second-line therapy.</w:t>
      </w:r>
    </w:p>
    <w:p w:rsidR="008E7846" w:rsidRDefault="008E7846" w:rsidP="00940A89">
      <w:pPr>
        <w:pStyle w:val="Heading3"/>
      </w:pPr>
      <w:bookmarkStart w:id="22" w:name="_Toc497233769"/>
      <w:r>
        <w:t>Product Information</w:t>
      </w:r>
      <w:bookmarkEnd w:id="19"/>
      <w:bookmarkEnd w:id="20"/>
      <w:bookmarkEnd w:id="22"/>
    </w:p>
    <w:p w:rsidR="00940A89" w:rsidRDefault="006136D7" w:rsidP="00940A89">
      <w:pPr>
        <w:rPr>
          <w:b/>
          <w:bCs/>
        </w:rPr>
      </w:pPr>
      <w:bookmarkStart w:id="23" w:name="_Toc247691506"/>
      <w:bookmarkStart w:id="24"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rsidR="008E7846" w:rsidRPr="003602A9" w:rsidRDefault="008E7846" w:rsidP="008E7846">
      <w:pPr>
        <w:pStyle w:val="Heading2"/>
        <w:ind w:left="-11"/>
      </w:pPr>
      <w:bookmarkStart w:id="25" w:name="_Toc497233770"/>
      <w:r>
        <w:t>II. Quality</w:t>
      </w:r>
      <w:bookmarkEnd w:id="2"/>
      <w:r>
        <w:t xml:space="preserve"> findings</w:t>
      </w:r>
      <w:bookmarkEnd w:id="23"/>
      <w:bookmarkEnd w:id="24"/>
      <w:bookmarkEnd w:id="25"/>
    </w:p>
    <w:p w:rsidR="00940A89" w:rsidRPr="00940A89" w:rsidRDefault="00940A89" w:rsidP="00940A89">
      <w:bookmarkStart w:id="26" w:name="_Toc247691507"/>
      <w:bookmarkStart w:id="27" w:name="_Toc314842488"/>
      <w:r w:rsidRPr="00940A89">
        <w:t>There was no requirement for a quality evaluation in a submission of this type.</w:t>
      </w:r>
    </w:p>
    <w:p w:rsidR="008E7846" w:rsidRDefault="008E7846" w:rsidP="008E7846">
      <w:pPr>
        <w:pStyle w:val="Heading2"/>
      </w:pPr>
      <w:bookmarkStart w:id="28" w:name="_Toc196046439"/>
      <w:bookmarkStart w:id="29" w:name="_Toc247691510"/>
      <w:bookmarkStart w:id="30" w:name="_Toc314842494"/>
      <w:bookmarkStart w:id="31" w:name="_Toc497233771"/>
      <w:bookmarkEnd w:id="26"/>
      <w:bookmarkEnd w:id="27"/>
      <w:r>
        <w:t>III. Nonclinical</w:t>
      </w:r>
      <w:bookmarkEnd w:id="28"/>
      <w:r>
        <w:t xml:space="preserve"> findings</w:t>
      </w:r>
      <w:bookmarkEnd w:id="29"/>
      <w:bookmarkEnd w:id="30"/>
      <w:bookmarkEnd w:id="31"/>
    </w:p>
    <w:p w:rsidR="008E7846" w:rsidRDefault="008E7846" w:rsidP="00940A89">
      <w:pPr>
        <w:pStyle w:val="Heading3"/>
      </w:pPr>
      <w:bookmarkStart w:id="32" w:name="_Toc247691511"/>
      <w:bookmarkStart w:id="33" w:name="_Toc314842495"/>
      <w:bookmarkStart w:id="34" w:name="_Toc497233772"/>
      <w:r>
        <w:t>Introduction</w:t>
      </w:r>
      <w:bookmarkEnd w:id="32"/>
      <w:bookmarkEnd w:id="33"/>
      <w:bookmarkEnd w:id="34"/>
    </w:p>
    <w:p w:rsidR="004334C7" w:rsidRPr="004334C7" w:rsidRDefault="00F71F3B" w:rsidP="00CF766F">
      <w:r>
        <w:t>The nonclinical</w:t>
      </w:r>
      <w:r w:rsidR="00CF766F">
        <w:t xml:space="preserve"> studies </w:t>
      </w:r>
      <w:r>
        <w:t xml:space="preserve">submitted by the sponsor </w:t>
      </w:r>
      <w:r w:rsidR="00CF766F">
        <w:t xml:space="preserve">comprised only pharmacology and in vitro pharmacokinetic drug interaction studies (CYP 450 inhibition/induction and transporter interaction studies). The sponsor did not submit any new nonclinical data concerning the secondary pharmacology or toxicity of </w:t>
      </w:r>
      <w:proofErr w:type="spellStart"/>
      <w:r w:rsidR="00CF766F">
        <w:t>eribulin</w:t>
      </w:r>
      <w:proofErr w:type="spellEnd"/>
      <w:r w:rsidR="00CF766F">
        <w:t>.</w:t>
      </w:r>
    </w:p>
    <w:p w:rsidR="008E7846" w:rsidRDefault="008E7846" w:rsidP="008E7846">
      <w:pPr>
        <w:pStyle w:val="Heading3"/>
      </w:pPr>
      <w:bookmarkStart w:id="35" w:name="_Toc247691512"/>
      <w:bookmarkStart w:id="36" w:name="_Toc314842496"/>
      <w:bookmarkStart w:id="37" w:name="_Toc497233773"/>
      <w:r w:rsidRPr="00020030">
        <w:t>Pharmacology</w:t>
      </w:r>
      <w:bookmarkEnd w:id="35"/>
      <w:bookmarkEnd w:id="36"/>
      <w:bookmarkEnd w:id="37"/>
    </w:p>
    <w:p w:rsidR="0019387B" w:rsidRDefault="00CF766F" w:rsidP="00CF766F">
      <w:r>
        <w:t xml:space="preserve">In vitro studies showed that </w:t>
      </w:r>
      <w:proofErr w:type="spellStart"/>
      <w:r>
        <w:t>eribulin</w:t>
      </w:r>
      <w:proofErr w:type="spellEnd"/>
      <w:r>
        <w:t xml:space="preserve"> was active against the proliferation of soft tissue sarcoma (</w:t>
      </w:r>
      <w:proofErr w:type="spellStart"/>
      <w:r>
        <w:t>rhabdoid</w:t>
      </w:r>
      <w:proofErr w:type="spellEnd"/>
      <w:r>
        <w:t xml:space="preserve">, rhabdomyosarcoma and Ewing’s sarcoma) cell lines from paediatric patients (relative </w:t>
      </w:r>
      <w:r w:rsidR="00F71F3B">
        <w:t>50% inhibitory concentration (</w:t>
      </w:r>
      <w:r>
        <w:t>IC50</w:t>
      </w:r>
      <w:r w:rsidR="00F71F3B">
        <w:t>)</w:t>
      </w:r>
      <w:r>
        <w:t xml:space="preserve"> &lt; 1 </w:t>
      </w:r>
      <w:proofErr w:type="spellStart"/>
      <w:r>
        <w:t>nM</w:t>
      </w:r>
      <w:proofErr w:type="spellEnd"/>
      <w:r>
        <w:t xml:space="preserve">). In previously evaluated studies provided in the original submission, </w:t>
      </w:r>
      <w:proofErr w:type="spellStart"/>
      <w:r>
        <w:t>eribulin</w:t>
      </w:r>
      <w:proofErr w:type="spellEnd"/>
      <w:r>
        <w:t xml:space="preserve"> inhibited the proliferation of a uterine sarcoma cell line from adult patients (IC50 1.99 </w:t>
      </w:r>
      <w:proofErr w:type="spellStart"/>
      <w:r>
        <w:t>nM</w:t>
      </w:r>
      <w:proofErr w:type="spellEnd"/>
      <w:r>
        <w:t xml:space="preserve">) but it was not effective in the </w:t>
      </w:r>
      <w:r>
        <w:lastRenderedPageBreak/>
        <w:t>inhibition of a multi-drug resistant uterine sarcoma cell line (with P-</w:t>
      </w:r>
      <w:proofErr w:type="spellStart"/>
      <w:r>
        <w:t>gp</w:t>
      </w:r>
      <w:proofErr w:type="spellEnd"/>
      <w:r>
        <w:t xml:space="preserve"> overexpression) (IC50 5.2 </w:t>
      </w:r>
      <w:proofErr w:type="spellStart"/>
      <w:r>
        <w:t>μM</w:t>
      </w:r>
      <w:proofErr w:type="spellEnd"/>
      <w:r>
        <w:t>)</w:t>
      </w:r>
      <w:r w:rsidR="0019387B">
        <w:t>.</w:t>
      </w:r>
    </w:p>
    <w:p w:rsidR="0019387B" w:rsidRDefault="00CF766F" w:rsidP="00CF766F">
      <w:r>
        <w:t xml:space="preserve">In animal xenograft models in </w:t>
      </w:r>
      <w:proofErr w:type="spellStart"/>
      <w:r>
        <w:t>athymic</w:t>
      </w:r>
      <w:proofErr w:type="spellEnd"/>
      <w:r>
        <w:t xml:space="preserve"> immunosuppressed mice, </w:t>
      </w:r>
      <w:proofErr w:type="spellStart"/>
      <w:r>
        <w:t>eribulin</w:t>
      </w:r>
      <w:proofErr w:type="spellEnd"/>
      <w:r>
        <w:t xml:space="preserve"> significantly inhibited human adult and paediatric soft tissue sarcoma tumour growth. Complete or almost complete tumour regression was observed in mice with xenografts of some </w:t>
      </w:r>
      <w:proofErr w:type="spellStart"/>
      <w:r>
        <w:t>rhabdoid</w:t>
      </w:r>
      <w:proofErr w:type="spellEnd"/>
      <w:r>
        <w:t xml:space="preserve">, rhabdomyosarcoma and Ewing’s sarcoma cell lines and tumour growth inhibition against </w:t>
      </w:r>
      <w:proofErr w:type="spellStart"/>
      <w:r>
        <w:t>leiomyosarcoma</w:t>
      </w:r>
      <w:proofErr w:type="spellEnd"/>
      <w:r>
        <w:t xml:space="preserve">. The tumour inhibitory effect was observed at </w:t>
      </w:r>
      <w:r w:rsidR="00F71F3B">
        <w:t>approximately</w:t>
      </w:r>
      <w:r>
        <w:t xml:space="preserve"> 1 mg/kg (3 mg/m</w:t>
      </w:r>
      <w:r w:rsidRPr="00F71F3B">
        <w:rPr>
          <w:vertAlign w:val="superscript"/>
        </w:rPr>
        <w:t>2</w:t>
      </w:r>
      <w:r>
        <w:t>, IV weekly or IP every 4 days), slightly above the clinical dose (1.4 mg/m</w:t>
      </w:r>
      <w:r w:rsidRPr="00F71F3B">
        <w:rPr>
          <w:vertAlign w:val="superscript"/>
        </w:rPr>
        <w:t>2</w:t>
      </w:r>
      <w:r>
        <w:t>). Treatment was generally well tolerated with usually no mortality or remarkable body weight loss</w:t>
      </w:r>
      <w:r w:rsidR="0019387B">
        <w:t>.</w:t>
      </w:r>
    </w:p>
    <w:p w:rsidR="004334C7" w:rsidRPr="004334C7" w:rsidRDefault="00CF766F" w:rsidP="00CF766F">
      <w:r>
        <w:t>The proposed new indication is supported by nonclinical data.</w:t>
      </w:r>
    </w:p>
    <w:p w:rsidR="008E7846" w:rsidRDefault="008E7846" w:rsidP="008E7846">
      <w:pPr>
        <w:pStyle w:val="Heading3"/>
      </w:pPr>
      <w:bookmarkStart w:id="38" w:name="_Toc247691513"/>
      <w:bookmarkStart w:id="39" w:name="_Toc314842497"/>
      <w:bookmarkStart w:id="40" w:name="_Toc497233774"/>
      <w:r>
        <w:t>Pharmacokinetics</w:t>
      </w:r>
      <w:bookmarkEnd w:id="38"/>
      <w:bookmarkEnd w:id="39"/>
      <w:bookmarkEnd w:id="40"/>
    </w:p>
    <w:p w:rsidR="00CF766F" w:rsidRDefault="00CF766F" w:rsidP="00D62997">
      <w:pPr>
        <w:pStyle w:val="Heading4"/>
      </w:pPr>
      <w:bookmarkStart w:id="41" w:name="_Toc247691514"/>
      <w:bookmarkStart w:id="42" w:name="_Toc314842498"/>
      <w:r>
        <w:t>Protein binding</w:t>
      </w:r>
    </w:p>
    <w:p w:rsidR="00CF766F" w:rsidRDefault="00CF766F" w:rsidP="00CF766F">
      <w:r>
        <w:t xml:space="preserve">One new protein binding study showed that </w:t>
      </w:r>
      <w:proofErr w:type="spellStart"/>
      <w:r>
        <w:t>eribulin</w:t>
      </w:r>
      <w:proofErr w:type="spellEnd"/>
      <w:r>
        <w:t xml:space="preserve"> </w:t>
      </w:r>
      <w:proofErr w:type="spellStart"/>
      <w:r>
        <w:t>mesilate</w:t>
      </w:r>
      <w:proofErr w:type="spellEnd"/>
      <w:r>
        <w:t xml:space="preserve"> was moderately bound to human plasma proteins </w:t>
      </w:r>
      <w:r w:rsidR="00F71F3B" w:rsidRPr="00F71F3B">
        <w:t xml:space="preserve">approximately </w:t>
      </w:r>
      <w:r>
        <w:t xml:space="preserve">64%) independent of drug concentration </w:t>
      </w:r>
      <w:proofErr w:type="gramStart"/>
      <w:r>
        <w:t xml:space="preserve">(5 </w:t>
      </w:r>
      <w:r w:rsidR="00F71F3B">
        <w:t>to</w:t>
      </w:r>
      <w:r>
        <w:t xml:space="preserve"> 500 ng/mL)</w:t>
      </w:r>
      <w:proofErr w:type="gramEnd"/>
      <w:r>
        <w:t xml:space="preserve">. This finding is consistent with the reported protein binding values of </w:t>
      </w:r>
      <w:r w:rsidR="00F71F3B" w:rsidRPr="00F71F3B">
        <w:t xml:space="preserve">approximately </w:t>
      </w:r>
      <w:r>
        <w:t>49</w:t>
      </w:r>
      <w:r w:rsidR="00F71F3B">
        <w:t xml:space="preserve"> to </w:t>
      </w:r>
      <w:r>
        <w:t xml:space="preserve">65% (range tested, </w:t>
      </w:r>
      <w:proofErr w:type="gramStart"/>
      <w:r>
        <w:t xml:space="preserve">100 </w:t>
      </w:r>
      <w:r w:rsidR="00F71F3B">
        <w:t>to</w:t>
      </w:r>
      <w:r>
        <w:t xml:space="preserve"> 1000 ng/mL</w:t>
      </w:r>
      <w:proofErr w:type="gramEnd"/>
      <w:r>
        <w:t xml:space="preserve">) in human plasma in the original application for </w:t>
      </w:r>
      <w:proofErr w:type="spellStart"/>
      <w:r>
        <w:t>eribulin</w:t>
      </w:r>
      <w:proofErr w:type="spellEnd"/>
      <w:r>
        <w:t xml:space="preserve"> </w:t>
      </w:r>
      <w:proofErr w:type="spellStart"/>
      <w:r>
        <w:t>mesilate</w:t>
      </w:r>
      <w:proofErr w:type="spellEnd"/>
      <w:r>
        <w:t>.</w:t>
      </w:r>
    </w:p>
    <w:p w:rsidR="00CF766F" w:rsidRDefault="00CF766F" w:rsidP="00D62997">
      <w:pPr>
        <w:pStyle w:val="Heading4"/>
      </w:pPr>
      <w:r>
        <w:t>Pharmacokinetic Drug interactions</w:t>
      </w:r>
    </w:p>
    <w:p w:rsidR="00CF766F" w:rsidRDefault="00CF766F" w:rsidP="00CF766F">
      <w:r>
        <w:t>In vitro studies were conducted to evaluate potential pharmacokinetic drug interactions.</w:t>
      </w:r>
    </w:p>
    <w:p w:rsidR="0019387B" w:rsidRDefault="00CF766F" w:rsidP="00CF766F">
      <w:proofErr w:type="spellStart"/>
      <w:r>
        <w:t>Eribulin</w:t>
      </w:r>
      <w:proofErr w:type="spellEnd"/>
      <w:r>
        <w:t xml:space="preserve"> was not an inhibitor of human liver microsomal </w:t>
      </w:r>
      <w:r w:rsidR="00F71F3B">
        <w:t>cytochrome P450 (</w:t>
      </w:r>
      <w:r>
        <w:t>CYP</w:t>
      </w:r>
      <w:r w:rsidR="00F71F3B">
        <w:t>) isozymes CYP</w:t>
      </w:r>
      <w:r>
        <w:t xml:space="preserve">1A2, CYP2B6, CYP2C8, CYP2C9, CYP2C19, CYP2D6 and CYP2E1 (&lt;46% inhibition and IC50&gt; 200 µM). It inhibited CYP3A activity, with IC50 of 50 µM </w:t>
      </w:r>
      <w:proofErr w:type="gramStart"/>
      <w:r>
        <w:t xml:space="preserve">(36.5 </w:t>
      </w:r>
      <w:proofErr w:type="spellStart"/>
      <w:r>
        <w:t>μg</w:t>
      </w:r>
      <w:proofErr w:type="spellEnd"/>
      <w:r>
        <w:t>/mL)</w:t>
      </w:r>
      <w:proofErr w:type="gramEnd"/>
      <w:r>
        <w:t xml:space="preserve"> for 6β hydroxylation of testosterone, 3 µM (2.2 </w:t>
      </w:r>
      <w:proofErr w:type="spellStart"/>
      <w:r>
        <w:t>μg</w:t>
      </w:r>
      <w:proofErr w:type="spellEnd"/>
      <w:r>
        <w:t xml:space="preserve">/mL) for midazolam 1′ hydroxylation and 2 µM (1.46 </w:t>
      </w:r>
      <w:proofErr w:type="spellStart"/>
      <w:r>
        <w:t>μg</w:t>
      </w:r>
      <w:proofErr w:type="spellEnd"/>
      <w:r>
        <w:t xml:space="preserve">/mL) for oxidation of </w:t>
      </w:r>
      <w:proofErr w:type="spellStart"/>
      <w:r>
        <w:t>nifedipine</w:t>
      </w:r>
      <w:proofErr w:type="spellEnd"/>
      <w:r>
        <w:t>. The findings are consistent with two previously evaluated studies, which also showed no inhibition of CYP1A2, CYP2C9, CYP2C19 and CYP2D6 but significant inhibition of CYP3A4.</w:t>
      </w:r>
      <w:r w:rsidR="00F13CF2">
        <w:t xml:space="preserve"> </w:t>
      </w:r>
      <w:r>
        <w:t>The apparent Ki against CYP3A4 was approximately 3</w:t>
      </w:r>
      <w:r w:rsidR="00F71F3B">
        <w:t xml:space="preserve"> to </w:t>
      </w:r>
      <w:r>
        <w:t xml:space="preserve">6 </w:t>
      </w:r>
      <w:proofErr w:type="spellStart"/>
      <w:r>
        <w:t>μM</w:t>
      </w:r>
      <w:proofErr w:type="spellEnd"/>
      <w:r>
        <w:t xml:space="preserve"> for R-warfarin 10-hydroxylation, 5</w:t>
      </w:r>
      <w:r w:rsidR="00F71F3B">
        <w:t xml:space="preserve"> to </w:t>
      </w:r>
      <w:r>
        <w:t xml:space="preserve">17 </w:t>
      </w:r>
      <w:proofErr w:type="spellStart"/>
      <w:r>
        <w:t>μM</w:t>
      </w:r>
      <w:proofErr w:type="spellEnd"/>
      <w:r>
        <w:t xml:space="preserve"> for testosterone 6β-hydroxylation, and 3</w:t>
      </w:r>
      <w:r w:rsidR="00F71F3B">
        <w:t xml:space="preserve"> to </w:t>
      </w:r>
      <w:r>
        <w:t xml:space="preserve">11 µM for </w:t>
      </w:r>
      <w:proofErr w:type="spellStart"/>
      <w:r>
        <w:t>nifedipine</w:t>
      </w:r>
      <w:proofErr w:type="spellEnd"/>
      <w:r>
        <w:t xml:space="preserve"> dehydration. The IC50 and Ki values were 7</w:t>
      </w:r>
      <w:r w:rsidR="00F71F3B">
        <w:t xml:space="preserve"> to </w:t>
      </w:r>
      <w:r>
        <w:t xml:space="preserve">182 fold higher than the free fraction clinical </w:t>
      </w:r>
      <w:r w:rsidR="00F71F3B">
        <w:t>peak plasma concentration (</w:t>
      </w:r>
      <w:proofErr w:type="spellStart"/>
      <w:r w:rsidR="00657C65">
        <w:t>C</w:t>
      </w:r>
      <w:r w:rsidR="00657C65" w:rsidRPr="00F71F3B">
        <w:rPr>
          <w:vertAlign w:val="subscript"/>
        </w:rPr>
        <w:t>max</w:t>
      </w:r>
      <w:proofErr w:type="spellEnd"/>
      <w:r w:rsidR="00F71F3B">
        <w:t>)</w:t>
      </w:r>
      <w:r>
        <w:t xml:space="preserve"> (</w:t>
      </w:r>
      <w:proofErr w:type="gramStart"/>
      <w:r w:rsidR="00F71F3B" w:rsidRPr="00F71F3B">
        <w:t xml:space="preserve">approximately </w:t>
      </w:r>
      <w:r>
        <w:t xml:space="preserve">0.2 </w:t>
      </w:r>
      <w:proofErr w:type="spellStart"/>
      <w:r>
        <w:t>μg</w:t>
      </w:r>
      <w:proofErr w:type="spellEnd"/>
      <w:r>
        <w:t>/mL</w:t>
      </w:r>
      <w:proofErr w:type="gramEnd"/>
      <w:r>
        <w:t xml:space="preserve"> based on the total </w:t>
      </w:r>
      <w:proofErr w:type="spellStart"/>
      <w:r w:rsidR="00657C65">
        <w:t>C</w:t>
      </w:r>
      <w:r w:rsidR="00657C65" w:rsidRPr="00F71F3B">
        <w:rPr>
          <w:vertAlign w:val="subscript"/>
        </w:rPr>
        <w:t>max</w:t>
      </w:r>
      <w:proofErr w:type="spellEnd"/>
      <w:r>
        <w:t xml:space="preserve"> of 0.52 </w:t>
      </w:r>
      <w:proofErr w:type="spellStart"/>
      <w:r>
        <w:t>μg</w:t>
      </w:r>
      <w:proofErr w:type="spellEnd"/>
      <w:r>
        <w:t xml:space="preserve">/mL and protein binding of ~60%). Based on the in vitro study results, </w:t>
      </w:r>
      <w:proofErr w:type="spellStart"/>
      <w:r>
        <w:t>eribulin</w:t>
      </w:r>
      <w:proofErr w:type="spellEnd"/>
      <w:r>
        <w:t xml:space="preserve"> may be considered as a weak to moderate CYP3A4 inhibitor. It may increase the plasma concentration of drugs that are predominantly metabolised by CYP3A4</w:t>
      </w:r>
      <w:r w:rsidR="0019387B">
        <w:t>.</w:t>
      </w:r>
    </w:p>
    <w:p w:rsidR="00527BA1" w:rsidRDefault="00CF766F" w:rsidP="00D62997">
      <w:proofErr w:type="spellStart"/>
      <w:r>
        <w:t>Eribulin</w:t>
      </w:r>
      <w:proofErr w:type="spellEnd"/>
      <w:r>
        <w:t xml:space="preserve"> did not induce CYP1A2, CYP2B6, CYP2C9 and CYP3A4 in cultured human hepatocytes exposed to </w:t>
      </w:r>
      <w:proofErr w:type="spellStart"/>
      <w:r>
        <w:t>eribulin</w:t>
      </w:r>
      <w:proofErr w:type="spellEnd"/>
      <w:r>
        <w:t xml:space="preserve"> for 3 days at concentrations of 1 to 10 </w:t>
      </w:r>
      <w:proofErr w:type="spellStart"/>
      <w:r>
        <w:t>μM</w:t>
      </w:r>
      <w:proofErr w:type="spellEnd"/>
      <w:r>
        <w:t xml:space="preserve"> (0.73 to 7.3 </w:t>
      </w:r>
      <w:proofErr w:type="spellStart"/>
      <w:r>
        <w:t>μg</w:t>
      </w:r>
      <w:proofErr w:type="spellEnd"/>
      <w:r>
        <w:t xml:space="preserve">/mL corresponding to 3.7-37-fold the free fraction clinical </w:t>
      </w:r>
      <w:proofErr w:type="spellStart"/>
      <w:r w:rsidR="00657C65">
        <w:t>C</w:t>
      </w:r>
      <w:r w:rsidR="00657C65" w:rsidRPr="00F71F3B">
        <w:rPr>
          <w:vertAlign w:val="subscript"/>
        </w:rPr>
        <w:t>max</w:t>
      </w:r>
      <w:proofErr w:type="spellEnd"/>
      <w:r>
        <w:t>). Instead, the activity of CYP1A2 (up to 70%), CYP2B6 (up to 56%), CYP2C9 (up to 78% in 2/3 donors) and CYP3A4 activity (up to 80 %) was reduced, with corresponding decreases in mRNA expression, suggesting that the decreased enzyme activity was likely due to down-regulation of mRNA expression of these enzymes. The most significant mRNA down-regulation was CYP2B6 (by 52</w:t>
      </w:r>
      <w:r w:rsidR="00657C65">
        <w:t xml:space="preserve"> to </w:t>
      </w:r>
      <w:r>
        <w:t xml:space="preserve">85% at 1 </w:t>
      </w:r>
      <w:proofErr w:type="spellStart"/>
      <w:r>
        <w:t>μM</w:t>
      </w:r>
      <w:proofErr w:type="spellEnd"/>
      <w:r>
        <w:t xml:space="preserve"> and </w:t>
      </w:r>
      <w:r w:rsidR="00657C65" w:rsidRPr="00657C65">
        <w:t xml:space="preserve">approximately </w:t>
      </w:r>
      <w:r>
        <w:t xml:space="preserve">95% at 5 and 10 </w:t>
      </w:r>
      <w:proofErr w:type="spellStart"/>
      <w:r>
        <w:t>μM</w:t>
      </w:r>
      <w:proofErr w:type="spellEnd"/>
      <w:r>
        <w:t>) and to a lesser extent, CYP1A2 (by 48</w:t>
      </w:r>
      <w:r w:rsidR="00657C65">
        <w:t xml:space="preserve"> to </w:t>
      </w:r>
      <w:r>
        <w:t xml:space="preserve">62% at 1 </w:t>
      </w:r>
      <w:proofErr w:type="spellStart"/>
      <w:r>
        <w:t>μM</w:t>
      </w:r>
      <w:proofErr w:type="spellEnd"/>
      <w:r>
        <w:t>, 75</w:t>
      </w:r>
      <w:r w:rsidR="00657C65">
        <w:t xml:space="preserve"> to </w:t>
      </w:r>
      <w:r>
        <w:t xml:space="preserve">89% at 5 </w:t>
      </w:r>
      <w:proofErr w:type="spellStart"/>
      <w:r>
        <w:t>μM</w:t>
      </w:r>
      <w:proofErr w:type="spellEnd"/>
      <w:r>
        <w:t xml:space="preserve"> and 74</w:t>
      </w:r>
      <w:r w:rsidR="00657C65">
        <w:t xml:space="preserve"> to </w:t>
      </w:r>
      <w:r>
        <w:t xml:space="preserve">91% at 10 </w:t>
      </w:r>
      <w:proofErr w:type="spellStart"/>
      <w:r>
        <w:t>μM</w:t>
      </w:r>
      <w:proofErr w:type="spellEnd"/>
      <w:r>
        <w:t xml:space="preserve">). Whilst the sponsor considers that it is unlikely that the down-regulation of </w:t>
      </w:r>
      <w:r w:rsidR="00657C65" w:rsidRPr="00657C65">
        <w:t>Messenger Ribonucleic Acid</w:t>
      </w:r>
      <w:r w:rsidR="00F13CF2">
        <w:t xml:space="preserve"> </w:t>
      </w:r>
      <w:r w:rsidR="00657C65">
        <w:t>(</w:t>
      </w:r>
      <w:r>
        <w:t>mRNA</w:t>
      </w:r>
      <w:r w:rsidR="00657C65">
        <w:t>)</w:t>
      </w:r>
      <w:r>
        <w:t xml:space="preserve"> expression is clinically relevant based on low therapeutic doses used in the clinic, the testing concentration of 1 </w:t>
      </w:r>
      <w:proofErr w:type="spellStart"/>
      <w:r>
        <w:t>μM</w:t>
      </w:r>
      <w:proofErr w:type="spellEnd"/>
      <w:r>
        <w:t xml:space="preserve"> (0.73 </w:t>
      </w:r>
      <w:proofErr w:type="spellStart"/>
      <w:r>
        <w:t>μg</w:t>
      </w:r>
      <w:proofErr w:type="spellEnd"/>
      <w:r>
        <w:t>/mL) is in fact only 3.7</w:t>
      </w:r>
      <w:r w:rsidR="00657C65">
        <w:t xml:space="preserve"> </w:t>
      </w:r>
      <w:r>
        <w:t xml:space="preserve">fold the free fraction clinical </w:t>
      </w:r>
      <w:proofErr w:type="spellStart"/>
      <w:r w:rsidR="00657C65">
        <w:t>C</w:t>
      </w:r>
      <w:r w:rsidR="00657C65" w:rsidRPr="00F71F3B">
        <w:rPr>
          <w:vertAlign w:val="subscript"/>
        </w:rPr>
        <w:t>max</w:t>
      </w:r>
      <w:proofErr w:type="spellEnd"/>
      <w:r w:rsidR="00657C65">
        <w:t xml:space="preserve"> (</w:t>
      </w:r>
      <w:r w:rsidR="00657C65" w:rsidRPr="00657C65">
        <w:t xml:space="preserve">approximately </w:t>
      </w:r>
      <w:r>
        <w:t xml:space="preserve">0.2 </w:t>
      </w:r>
      <w:proofErr w:type="spellStart"/>
      <w:r>
        <w:t>μg</w:t>
      </w:r>
      <w:proofErr w:type="spellEnd"/>
      <w:r>
        <w:t xml:space="preserve">/mL). Despite the absence of significant inhibition of CYP1A2 and CYP2B6 in the in vitro hepatic </w:t>
      </w:r>
      <w:proofErr w:type="spellStart"/>
      <w:r>
        <w:t>microsome</w:t>
      </w:r>
      <w:proofErr w:type="spellEnd"/>
      <w:r>
        <w:t xml:space="preserve"> </w:t>
      </w:r>
      <w:r>
        <w:lastRenderedPageBreak/>
        <w:t>assays, down-regulation of the expression of these enzymes may be clinically relevant. The down-regulation of CYP1A2 and CYP2B6 and potential clinical effects in terms of pharmacokinetic drug interactions should be further investigated</w:t>
      </w:r>
      <w:r w:rsidR="00527BA1">
        <w:t>.</w:t>
      </w:r>
    </w:p>
    <w:p w:rsidR="004334C7" w:rsidRDefault="00CF766F" w:rsidP="00CF766F">
      <w:r>
        <w:t xml:space="preserve">In vitro transporter studies showed that </w:t>
      </w:r>
      <w:proofErr w:type="spellStart"/>
      <w:r>
        <w:t>eribulin</w:t>
      </w:r>
      <w:proofErr w:type="spellEnd"/>
      <w:r>
        <w:t xml:space="preserve"> was not a substrate of uptake (</w:t>
      </w:r>
      <w:r w:rsidR="00657C65" w:rsidRPr="00657C65">
        <w:t xml:space="preserve">organic </w:t>
      </w:r>
      <w:r w:rsidR="00657C65">
        <w:t>cation</w:t>
      </w:r>
      <w:r w:rsidR="00657C65" w:rsidRPr="00657C65">
        <w:t xml:space="preserve"> transporter </w:t>
      </w:r>
      <w:r w:rsidR="00657C65">
        <w:t xml:space="preserve">(OCT) </w:t>
      </w:r>
      <w:r>
        <w:t xml:space="preserve">1, OCT2, </w:t>
      </w:r>
      <w:r w:rsidR="00657C65" w:rsidRPr="00657C65">
        <w:t xml:space="preserve">organic anion transporter </w:t>
      </w:r>
      <w:r w:rsidR="00657C65">
        <w:t>(OAT1)</w:t>
      </w:r>
      <w:r>
        <w:t>, OAT3, OATP1B1, OATP1B3) or efflux (</w:t>
      </w:r>
      <w:r w:rsidR="00657C65" w:rsidRPr="00657C65">
        <w:t>breast cancer resistance protein transporter</w:t>
      </w:r>
      <w:r w:rsidR="00657C65">
        <w:t xml:space="preserve"> (</w:t>
      </w:r>
      <w:r>
        <w:t>BCRP</w:t>
      </w:r>
      <w:r w:rsidR="00657C65">
        <w:t>)</w:t>
      </w:r>
      <w:r>
        <w:t xml:space="preserve">, </w:t>
      </w:r>
      <w:r w:rsidR="005177BE" w:rsidRPr="005177BE">
        <w:t>Bile Salt Export Pump</w:t>
      </w:r>
      <w:r w:rsidR="005177BE">
        <w:t xml:space="preserve"> (</w:t>
      </w:r>
      <w:r>
        <w:t>BSEP</w:t>
      </w:r>
      <w:r w:rsidR="005177BE">
        <w:t>)</w:t>
      </w:r>
      <w:r>
        <w:t xml:space="preserve">, </w:t>
      </w:r>
      <w:r w:rsidR="00657C65" w:rsidRPr="00657C65">
        <w:t>Multidrug resistance-associated protein 2</w:t>
      </w:r>
      <w:r w:rsidR="00657C65">
        <w:t xml:space="preserve"> (</w:t>
      </w:r>
      <w:r>
        <w:t>MRP</w:t>
      </w:r>
      <w:r w:rsidR="00657C65">
        <w:t>)</w:t>
      </w:r>
      <w:r w:rsidR="005177BE">
        <w:t xml:space="preserve"> and</w:t>
      </w:r>
      <w:r>
        <w:t xml:space="preserve"> MRP4) transporters. Similarly, </w:t>
      </w:r>
      <w:proofErr w:type="spellStart"/>
      <w:r>
        <w:t>eribulin</w:t>
      </w:r>
      <w:proofErr w:type="spellEnd"/>
      <w:r>
        <w:t xml:space="preserve"> was not an inhibitor of the above transporters and </w:t>
      </w:r>
      <w:r w:rsidR="005177BE" w:rsidRPr="005177BE">
        <w:t>Multidrug and toxin extrusion protein 1</w:t>
      </w:r>
      <w:r w:rsidR="005177BE">
        <w:t xml:space="preserve"> (</w:t>
      </w:r>
      <w:r>
        <w:t>MATE1</w:t>
      </w:r>
      <w:r w:rsidR="005177BE">
        <w:t>)</w:t>
      </w:r>
      <w:r>
        <w:t xml:space="preserve">. It displayed only weak inhibition of OATP1B1 and OATP1B3 (&lt;30% at 10 </w:t>
      </w:r>
      <w:proofErr w:type="spellStart"/>
      <w:r>
        <w:t>μM</w:t>
      </w:r>
      <w:proofErr w:type="spellEnd"/>
      <w:r>
        <w:t xml:space="preserve">), which is not considered clinically relevant. A previously evaluated study indicated that </w:t>
      </w:r>
      <w:proofErr w:type="spellStart"/>
      <w:r w:rsidR="005177BE">
        <w:t>eribulin</w:t>
      </w:r>
      <w:proofErr w:type="spellEnd"/>
      <w:r w:rsidR="005177BE">
        <w:t xml:space="preserve"> is a substrate of P-</w:t>
      </w:r>
      <w:proofErr w:type="spellStart"/>
      <w:r w:rsidR="005177BE">
        <w:t>gp</w:t>
      </w:r>
      <w:proofErr w:type="spellEnd"/>
      <w:r>
        <w:t xml:space="preserve"> but not an inhibitor at clinically relevant concentrations.</w:t>
      </w:r>
    </w:p>
    <w:p w:rsidR="008E7846" w:rsidRDefault="008E7846" w:rsidP="008E7846">
      <w:pPr>
        <w:pStyle w:val="Heading3"/>
      </w:pPr>
      <w:bookmarkStart w:id="43" w:name="_Toc247691515"/>
      <w:bookmarkStart w:id="44" w:name="_Toc314842499"/>
      <w:bookmarkStart w:id="45" w:name="_Toc497233775"/>
      <w:bookmarkEnd w:id="41"/>
      <w:bookmarkEnd w:id="42"/>
      <w:r>
        <w:t>Nonclinical summary and conclusions</w:t>
      </w:r>
      <w:bookmarkEnd w:id="43"/>
      <w:bookmarkEnd w:id="44"/>
      <w:bookmarkEnd w:id="45"/>
    </w:p>
    <w:p w:rsidR="0019387B" w:rsidRDefault="00CF766F" w:rsidP="003E0F55">
      <w:pPr>
        <w:pStyle w:val="ListBullet"/>
      </w:pPr>
      <w:r>
        <w:t>Only nonclinical pharmacology and in vitro pharmacokinetic drug interaction studies</w:t>
      </w:r>
      <w:r w:rsidR="003E0F55">
        <w:t xml:space="preserve"> </w:t>
      </w:r>
      <w:r>
        <w:t xml:space="preserve">(CYP 450 inhibition/induction and transporter interaction studies) were </w:t>
      </w:r>
      <w:r w:rsidR="005177BE">
        <w:t>submitted</w:t>
      </w:r>
      <w:r w:rsidR="0019387B">
        <w:t>.</w:t>
      </w:r>
    </w:p>
    <w:p w:rsidR="0019387B" w:rsidRDefault="00CF766F" w:rsidP="003E0F55">
      <w:pPr>
        <w:pStyle w:val="ListBullet"/>
      </w:pPr>
      <w:r>
        <w:t xml:space="preserve">Primary pharmacology studies demonstrated anti-proliferative activity (cytotoxicity) against cancer cell lines (including STS) in vitro at therapeutically relevant concentrations and STS tumour growth inhibition in </w:t>
      </w:r>
      <w:proofErr w:type="spellStart"/>
      <w:r>
        <w:t>athymic</w:t>
      </w:r>
      <w:proofErr w:type="spellEnd"/>
      <w:r>
        <w:t xml:space="preserve"> mice bearing human </w:t>
      </w:r>
      <w:proofErr w:type="spellStart"/>
      <w:r>
        <w:t>rhabdoid</w:t>
      </w:r>
      <w:proofErr w:type="spellEnd"/>
      <w:r>
        <w:t xml:space="preserve">, rhabdomyosarcoma, </w:t>
      </w:r>
      <w:proofErr w:type="spellStart"/>
      <w:r>
        <w:t>leiomyosarcoma</w:t>
      </w:r>
      <w:proofErr w:type="spellEnd"/>
      <w:r>
        <w:t>, and Ewing’s sarcoma xenografts</w:t>
      </w:r>
      <w:r w:rsidR="0019387B">
        <w:t>.</w:t>
      </w:r>
    </w:p>
    <w:p w:rsidR="0019387B" w:rsidRDefault="00CF766F" w:rsidP="003E0F55">
      <w:pPr>
        <w:pStyle w:val="ListBullet"/>
      </w:pPr>
      <w:proofErr w:type="spellStart"/>
      <w:r>
        <w:t>Eribulin</w:t>
      </w:r>
      <w:proofErr w:type="spellEnd"/>
      <w:r>
        <w:t xml:space="preserve"> was not an inhibitor of human liver microsomal CYP1A2, CYP2B6, CYP2C8, CYP2C9, CYP2C19, CYP2D6 and CYP2E1. It caused weak to moderate inhibition of the human CYP3A4 CYP450 isozyme at concentrations 7 to 182</w:t>
      </w:r>
      <w:r w:rsidR="005177BE">
        <w:t xml:space="preserve"> </w:t>
      </w:r>
      <w:r>
        <w:t xml:space="preserve">fold the free fraction clinical </w:t>
      </w:r>
      <w:proofErr w:type="spellStart"/>
      <w:r w:rsidR="00657C65">
        <w:t>C</w:t>
      </w:r>
      <w:r w:rsidR="00657C65" w:rsidRPr="00F71F3B">
        <w:rPr>
          <w:vertAlign w:val="subscript"/>
        </w:rPr>
        <w:t>max</w:t>
      </w:r>
      <w:proofErr w:type="spellEnd"/>
      <w:r>
        <w:t xml:space="preserve"> in human liver </w:t>
      </w:r>
      <w:proofErr w:type="spellStart"/>
      <w:r>
        <w:t>microsomes</w:t>
      </w:r>
      <w:proofErr w:type="spellEnd"/>
      <w:r>
        <w:t xml:space="preserve"> in vitro. A precautionary statement on potential effects on the metabolism of CYP3A4 substrates is suggested in the Product Information</w:t>
      </w:r>
      <w:r w:rsidR="0019387B">
        <w:t>.</w:t>
      </w:r>
    </w:p>
    <w:p w:rsidR="0019387B" w:rsidRDefault="00CF766F" w:rsidP="003E0F55">
      <w:pPr>
        <w:pStyle w:val="ListBullet"/>
      </w:pPr>
      <w:proofErr w:type="spellStart"/>
      <w:r>
        <w:t>Eribulin</w:t>
      </w:r>
      <w:proofErr w:type="spellEnd"/>
      <w:r>
        <w:t xml:space="preserve"> did not induce CYP1A2, CYP2B6, CYP2C9 and CYP3A4 in human hepatocytes at concentrations up to 10 </w:t>
      </w:r>
      <w:proofErr w:type="spellStart"/>
      <w:r>
        <w:t>μM</w:t>
      </w:r>
      <w:proofErr w:type="spellEnd"/>
      <w:r>
        <w:t xml:space="preserve"> (37 fold the free fraction clinical </w:t>
      </w:r>
      <w:proofErr w:type="spellStart"/>
      <w:r w:rsidR="00657C65">
        <w:t>C</w:t>
      </w:r>
      <w:r w:rsidR="00657C65" w:rsidRPr="00F71F3B">
        <w:rPr>
          <w:vertAlign w:val="subscript"/>
        </w:rPr>
        <w:t>max</w:t>
      </w:r>
      <w:proofErr w:type="spellEnd"/>
      <w:r>
        <w:t>). Instead, it slightly reduced the activity of these enzymes, associated with down-regulation of mRNA expression (significant down-regulation of CYP1A2 and CYP2B6)</w:t>
      </w:r>
      <w:r w:rsidR="0019387B">
        <w:t>.</w:t>
      </w:r>
    </w:p>
    <w:p w:rsidR="00527BA1" w:rsidRDefault="00CF766F" w:rsidP="003E0F55">
      <w:pPr>
        <w:pStyle w:val="ListBullet"/>
      </w:pPr>
      <w:proofErr w:type="spellStart"/>
      <w:r>
        <w:t>Eribulin</w:t>
      </w:r>
      <w:proofErr w:type="spellEnd"/>
      <w:r>
        <w:t xml:space="preserve"> is not a substrate of the uptake transporters BCRP, OAT1, OAT3, OATP1B1, </w:t>
      </w:r>
      <w:proofErr w:type="gramStart"/>
      <w:r>
        <w:t>OATP1B3</w:t>
      </w:r>
      <w:proofErr w:type="gramEnd"/>
      <w:r>
        <w:t>, OCT1 and OCT2 or the efflux transporter pumps MRP2, MRP4 and BSEP</w:t>
      </w:r>
      <w:r w:rsidR="00527BA1">
        <w:t>.</w:t>
      </w:r>
    </w:p>
    <w:p w:rsidR="0019387B" w:rsidRDefault="00CF766F" w:rsidP="003E0F55">
      <w:pPr>
        <w:pStyle w:val="ListBullet"/>
      </w:pPr>
      <w:proofErr w:type="spellStart"/>
      <w:r>
        <w:t>Eribulin</w:t>
      </w:r>
      <w:proofErr w:type="spellEnd"/>
      <w:r>
        <w:t xml:space="preserve"> is not an inhibitor of the uptake transporters BCRP, OCT1, OCT2, </w:t>
      </w:r>
      <w:proofErr w:type="gramStart"/>
      <w:r>
        <w:t>OAT1</w:t>
      </w:r>
      <w:proofErr w:type="gramEnd"/>
      <w:r>
        <w:t>, OAT3 or the efflux transporters: MRP2, MRP4, BSEP and MATE1.</w:t>
      </w:r>
      <w:r w:rsidR="00F13CF2">
        <w:t xml:space="preserve"> </w:t>
      </w:r>
      <w:proofErr w:type="spellStart"/>
      <w:r>
        <w:t>Eribulin</w:t>
      </w:r>
      <w:proofErr w:type="spellEnd"/>
      <w:r>
        <w:t xml:space="preserve"> resulted in only slight inhibition of OATP1B1 and OATP1B3 at high concentrations</w:t>
      </w:r>
      <w:r w:rsidR="0019387B">
        <w:t>.</w:t>
      </w:r>
    </w:p>
    <w:p w:rsidR="00CF766F" w:rsidRDefault="00CF766F" w:rsidP="003E0F55">
      <w:pPr>
        <w:pStyle w:val="ListBullet"/>
      </w:pPr>
      <w:r>
        <w:t xml:space="preserve">There are no nonclinical objections to the proposed extension of indications for </w:t>
      </w:r>
      <w:proofErr w:type="spellStart"/>
      <w:r>
        <w:t>eribulin</w:t>
      </w:r>
      <w:proofErr w:type="spellEnd"/>
      <w:r>
        <w:t xml:space="preserve"> </w:t>
      </w:r>
      <w:proofErr w:type="spellStart"/>
      <w:r>
        <w:t>mesilate</w:t>
      </w:r>
      <w:proofErr w:type="spellEnd"/>
      <w:r>
        <w:t xml:space="preserve"> (</w:t>
      </w:r>
      <w:proofErr w:type="spellStart"/>
      <w:r w:rsidR="00757684">
        <w:t>Halaven</w:t>
      </w:r>
      <w:proofErr w:type="spellEnd"/>
      <w:r>
        <w:t>). It is recommended that the down-regulation of CYP1A2 and CYP2B6 and potential clinical effects in terms of pharmacokinetic drug interactions should be further investigated.</w:t>
      </w:r>
    </w:p>
    <w:p w:rsidR="0019387B" w:rsidRDefault="00CF766F" w:rsidP="003E0F55">
      <w:pPr>
        <w:pStyle w:val="ListBullet"/>
      </w:pPr>
      <w:r>
        <w:t>The draft Product Information should be amended as directed</w:t>
      </w:r>
      <w:r w:rsidR="005177BE">
        <w:t xml:space="preserve"> (details of these are beyond the scope of this </w:t>
      </w:r>
      <w:proofErr w:type="spellStart"/>
      <w:r w:rsidR="005177BE">
        <w:t>AusPAR</w:t>
      </w:r>
      <w:proofErr w:type="spellEnd"/>
      <w:r w:rsidR="005177BE">
        <w:t>)</w:t>
      </w:r>
      <w:r w:rsidR="0019387B">
        <w:t>.</w:t>
      </w:r>
    </w:p>
    <w:p w:rsidR="008E7846" w:rsidRPr="00254787" w:rsidRDefault="008E7846" w:rsidP="008E7846">
      <w:pPr>
        <w:pStyle w:val="Heading2"/>
      </w:pPr>
      <w:bookmarkStart w:id="46" w:name="_Toc196046462"/>
      <w:bookmarkStart w:id="47" w:name="_Toc247691516"/>
      <w:bookmarkStart w:id="48" w:name="_Toc314842500"/>
      <w:bookmarkStart w:id="49" w:name="_Toc163441353"/>
      <w:bookmarkStart w:id="50" w:name="_Toc163441348"/>
      <w:bookmarkStart w:id="51" w:name="_Toc497233776"/>
      <w:r>
        <w:t xml:space="preserve">IV. </w:t>
      </w:r>
      <w:r w:rsidRPr="00254787">
        <w:t>Clinical</w:t>
      </w:r>
      <w:bookmarkEnd w:id="46"/>
      <w:r>
        <w:t xml:space="preserve"> </w:t>
      </w:r>
      <w:r w:rsidR="003A7F6C">
        <w:t>f</w:t>
      </w:r>
      <w:r>
        <w:t>indings</w:t>
      </w:r>
      <w:bookmarkEnd w:id="47"/>
      <w:bookmarkEnd w:id="48"/>
      <w:bookmarkEnd w:id="51"/>
    </w:p>
    <w:p w:rsidR="00C80137" w:rsidRDefault="00C80137" w:rsidP="00D425BB">
      <w:bookmarkStart w:id="52"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53" w:name="_Toc247691517"/>
      <w:bookmarkStart w:id="54" w:name="_Toc314842501"/>
      <w:bookmarkStart w:id="55" w:name="_Toc497233777"/>
      <w:r w:rsidRPr="00254787">
        <w:lastRenderedPageBreak/>
        <w:t>Introduction</w:t>
      </w:r>
      <w:bookmarkEnd w:id="52"/>
      <w:bookmarkEnd w:id="53"/>
      <w:bookmarkEnd w:id="54"/>
      <w:bookmarkEnd w:id="55"/>
    </w:p>
    <w:p w:rsidR="00605AD4" w:rsidRDefault="00605AD4" w:rsidP="00605AD4">
      <w:pPr>
        <w:pStyle w:val="Heading4"/>
      </w:pPr>
      <w:bookmarkStart w:id="56" w:name="_Toc196046464"/>
      <w:bookmarkStart w:id="57" w:name="_Toc247691518"/>
      <w:bookmarkStart w:id="58" w:name="_Toc314842502"/>
      <w:r w:rsidRPr="00605AD4">
        <w:t xml:space="preserve">Clinical </w:t>
      </w:r>
      <w:r w:rsidR="00EF59DC">
        <w:t>r</w:t>
      </w:r>
      <w:r w:rsidRPr="00605AD4">
        <w:t>ationale</w:t>
      </w:r>
    </w:p>
    <w:p w:rsidR="000A6BCB" w:rsidRDefault="000A6BCB" w:rsidP="000A6BCB">
      <w:r>
        <w:t>STS are a heterogeneous group of malignant tumours arising in tissues derived from the embryonic mesoderm (</w:t>
      </w:r>
      <w:r w:rsidR="005177BE">
        <w:t xml:space="preserve">for example, </w:t>
      </w:r>
      <w:r>
        <w:t>skeletal muscle, smooth muscle, adipose tissue</w:t>
      </w:r>
      <w:r w:rsidR="005177BE">
        <w:t xml:space="preserve"> and</w:t>
      </w:r>
      <w:r>
        <w:t xml:space="preserve"> blood vessels</w:t>
      </w:r>
      <w:r w:rsidR="00574838">
        <w:t>). The 2002 World Health Organiz</w:t>
      </w:r>
      <w:r>
        <w:t>ation (WHO) classification of soft tissue tumours (both benign and malignant)</w:t>
      </w:r>
      <w:r w:rsidR="00F214AD">
        <w:t xml:space="preserve"> </w:t>
      </w:r>
      <w:r>
        <w:t xml:space="preserve">lists over 50 separate soft tissue malignancies. The most common of these subtypes in adults are undifferentiated pleomorphic sarcoma, </w:t>
      </w:r>
      <w:proofErr w:type="spellStart"/>
      <w:r>
        <w:t>liposarcoma</w:t>
      </w:r>
      <w:proofErr w:type="spellEnd"/>
      <w:r>
        <w:t xml:space="preserve">, </w:t>
      </w:r>
      <w:proofErr w:type="spellStart"/>
      <w:r>
        <w:t>leiomyosarcoma</w:t>
      </w:r>
      <w:proofErr w:type="spellEnd"/>
      <w:r>
        <w:t xml:space="preserve"> and synovial sarcoma.</w:t>
      </w:r>
      <w:bookmarkStart w:id="59" w:name="_Ref488157085"/>
      <w:r w:rsidR="00F13CF2">
        <w:rPr>
          <w:rStyle w:val="FootnoteReference"/>
        </w:rPr>
        <w:footnoteReference w:id="2"/>
      </w:r>
      <w:bookmarkEnd w:id="59"/>
    </w:p>
    <w:p w:rsidR="000A6BCB" w:rsidRDefault="000A6BCB" w:rsidP="000A6BCB">
      <w:r>
        <w:t xml:space="preserve">The WHO classification system was revised in 2013. However, the 2002 system would have been current at the time the studies in this submission were </w:t>
      </w:r>
      <w:r w:rsidR="00F214AD">
        <w:t>conducted</w:t>
      </w:r>
      <w:r>
        <w:t>.</w:t>
      </w:r>
    </w:p>
    <w:p w:rsidR="000A6BCB" w:rsidRPr="00F13CF2" w:rsidRDefault="000A6BCB" w:rsidP="000A6BCB">
      <w:r>
        <w:t>STS can develop anywhere in the body but most commonly occurs in the limbs and limb girdles and in the abdomen. They are rare, comprising about 1% of all malignancies in adults and 7</w:t>
      </w:r>
      <w:r w:rsidR="00F214AD">
        <w:t xml:space="preserve"> to </w:t>
      </w:r>
      <w:r>
        <w:t>10% of paediatric cancers. The tumours usually present as a painless slowly enlarging mass</w:t>
      </w:r>
      <w:r w:rsidR="00F13CF2">
        <w:t>.</w:t>
      </w:r>
      <w:bookmarkStart w:id="60" w:name="_Ref488157244"/>
      <w:r w:rsidR="00F13CF2">
        <w:rPr>
          <w:rStyle w:val="FootnoteReference"/>
        </w:rPr>
        <w:footnoteReference w:id="3"/>
      </w:r>
      <w:bookmarkEnd w:id="60"/>
      <w:proofErr w:type="gramStart"/>
      <w:r w:rsidR="00F13CF2" w:rsidRPr="00F13CF2">
        <w:rPr>
          <w:vertAlign w:val="superscript"/>
        </w:rPr>
        <w:t>,</w:t>
      </w:r>
      <w:bookmarkStart w:id="61" w:name="_Ref488157096"/>
      <w:proofErr w:type="gramEnd"/>
      <w:r w:rsidR="00F13CF2">
        <w:rPr>
          <w:rStyle w:val="FootnoteReference"/>
        </w:rPr>
        <w:footnoteReference w:id="4"/>
      </w:r>
      <w:bookmarkEnd w:id="61"/>
      <w:r>
        <w:t xml:space="preserve">There are various systems used for the grading and staging of STS. A commonly used one is that produced by the American Joint Committee on Cancer (AJCC). The AJCC system used for the pivotal study in this submission is shown in </w:t>
      </w:r>
      <w:r w:rsidR="00702B90">
        <w:fldChar w:fldCharType="begin"/>
      </w:r>
      <w:r w:rsidR="00702B90">
        <w:instrText xml:space="preserve"> REF _Ref322191051 \h </w:instrText>
      </w:r>
      <w:r w:rsidR="00702B90">
        <w:fldChar w:fldCharType="separate"/>
      </w:r>
      <w:r w:rsidR="00702B90">
        <w:t xml:space="preserve">Table </w:t>
      </w:r>
      <w:r w:rsidR="00702B90">
        <w:rPr>
          <w:noProof/>
        </w:rPr>
        <w:t>3</w:t>
      </w:r>
      <w:r w:rsidR="00702B90">
        <w:fldChar w:fldCharType="end"/>
      </w:r>
      <w:r>
        <w:t xml:space="preserve">. Peripheral STS most commonly </w:t>
      </w:r>
      <w:r w:rsidRPr="00F13CF2">
        <w:t>metastasize to the lungs while those arising in the abdomen commonly spread to the liver and peritoneum.</w:t>
      </w:r>
      <w:r w:rsidR="00F13CF2" w:rsidRPr="00F13CF2">
        <w:rPr>
          <w:vertAlign w:val="superscript"/>
        </w:rPr>
        <w:fldChar w:fldCharType="begin"/>
      </w:r>
      <w:r w:rsidR="00F13CF2" w:rsidRPr="00F13CF2">
        <w:rPr>
          <w:vertAlign w:val="superscript"/>
        </w:rPr>
        <w:instrText xml:space="preserve"> NOTEREF _Ref488157085 \h  \* MERGEFORMAT </w:instrText>
      </w:r>
      <w:r w:rsidR="00F13CF2" w:rsidRPr="00F13CF2">
        <w:rPr>
          <w:vertAlign w:val="superscript"/>
        </w:rPr>
      </w:r>
      <w:r w:rsidR="00F13CF2" w:rsidRPr="00F13CF2">
        <w:rPr>
          <w:vertAlign w:val="superscript"/>
        </w:rPr>
        <w:fldChar w:fldCharType="separate"/>
      </w:r>
      <w:r w:rsidR="002506E0">
        <w:rPr>
          <w:vertAlign w:val="superscript"/>
        </w:rPr>
        <w:t>2</w:t>
      </w:r>
      <w:r w:rsidR="00F13CF2" w:rsidRPr="00F13CF2">
        <w:rPr>
          <w:vertAlign w:val="superscript"/>
        </w:rPr>
        <w:fldChar w:fldCharType="end"/>
      </w:r>
    </w:p>
    <w:p w:rsidR="000A6BCB" w:rsidRDefault="000A6BCB" w:rsidP="000A6BCB">
      <w:r w:rsidRPr="00F13CF2">
        <w:t>Adverse prognostic factors in subjects with STS include large tumour size, high grade, advanced stage, older age and histological subtype.</w:t>
      </w:r>
      <w:r w:rsidR="00F13CF2" w:rsidRPr="00F13CF2">
        <w:rPr>
          <w:vertAlign w:val="superscript"/>
        </w:rPr>
        <w:fldChar w:fldCharType="begin"/>
      </w:r>
      <w:r w:rsidR="00F13CF2" w:rsidRPr="00F13CF2">
        <w:rPr>
          <w:vertAlign w:val="superscript"/>
        </w:rPr>
        <w:instrText xml:space="preserve"> NOTEREF _Ref488157096 \h  \* MERGEFORMAT </w:instrText>
      </w:r>
      <w:r w:rsidR="00F13CF2" w:rsidRPr="00F13CF2">
        <w:rPr>
          <w:vertAlign w:val="superscript"/>
        </w:rPr>
      </w:r>
      <w:r w:rsidR="00F13CF2" w:rsidRPr="00F13CF2">
        <w:rPr>
          <w:vertAlign w:val="superscript"/>
        </w:rPr>
        <w:fldChar w:fldCharType="separate"/>
      </w:r>
      <w:r w:rsidR="002506E0">
        <w:rPr>
          <w:vertAlign w:val="superscript"/>
        </w:rPr>
        <w:t>4</w:t>
      </w:r>
      <w:r w:rsidR="00F13CF2" w:rsidRPr="00F13CF2">
        <w:rPr>
          <w:vertAlign w:val="superscript"/>
        </w:rPr>
        <w:fldChar w:fldCharType="end"/>
      </w:r>
    </w:p>
    <w:p w:rsidR="00F214AD" w:rsidRDefault="00702B90" w:rsidP="00702B90">
      <w:pPr>
        <w:pStyle w:val="Caption"/>
      </w:pPr>
      <w:bookmarkStart w:id="62" w:name="_Ref322191051"/>
      <w:bookmarkStart w:id="63" w:name="_Toc324194015"/>
      <w:r>
        <w:t xml:space="preserve">Table </w:t>
      </w:r>
      <w:fldSimple w:instr=" SEQ Table \* ARABIC ">
        <w:r w:rsidR="00457A51">
          <w:rPr>
            <w:noProof/>
          </w:rPr>
          <w:t>3</w:t>
        </w:r>
      </w:fldSimple>
      <w:bookmarkEnd w:id="62"/>
      <w:r>
        <w:t>:</w:t>
      </w:r>
      <w:r w:rsidR="00F214AD">
        <w:t xml:space="preserve"> American Joint Committee on Cancer Staging of Soft Tissue Sarcoma</w:t>
      </w:r>
      <w:bookmarkEnd w:id="63"/>
    </w:p>
    <w:tbl>
      <w:tblPr>
        <w:tblStyle w:val="TableTGAblue"/>
        <w:tblW w:w="8755" w:type="dxa"/>
        <w:tblLayout w:type="fixed"/>
        <w:tblLook w:val="04A0" w:firstRow="1" w:lastRow="0" w:firstColumn="1" w:lastColumn="0" w:noHBand="0" w:noVBand="1"/>
        <w:tblDescription w:val="Table 1 is a list of the American Joint Committee on Cancer Staging of Soft Tissue Sarcoma"/>
      </w:tblPr>
      <w:tblGrid>
        <w:gridCol w:w="1013"/>
        <w:gridCol w:w="902"/>
        <w:gridCol w:w="360"/>
        <w:gridCol w:w="986"/>
        <w:gridCol w:w="1842"/>
        <w:gridCol w:w="1843"/>
        <w:gridCol w:w="1809"/>
      </w:tblGrid>
      <w:tr w:rsidR="00F214AD" w:rsidTr="00DC2ADF">
        <w:trPr>
          <w:cnfStyle w:val="100000000000" w:firstRow="1" w:lastRow="0" w:firstColumn="0" w:lastColumn="0" w:oddVBand="0" w:evenVBand="0" w:oddHBand="0" w:evenHBand="0" w:firstRowFirstColumn="0" w:firstRowLastColumn="0" w:lastRowFirstColumn="0" w:lastRowLastColumn="0"/>
          <w:cantSplit/>
          <w:trHeight w:hRule="exact" w:val="322"/>
        </w:trPr>
        <w:tc>
          <w:tcPr>
            <w:tcW w:w="8755" w:type="dxa"/>
            <w:gridSpan w:val="7"/>
          </w:tcPr>
          <w:p w:rsidR="00F214AD" w:rsidRDefault="00F214AD" w:rsidP="00451B75">
            <w:pPr>
              <w:spacing w:before="61" w:after="35" w:line="225" w:lineRule="exact"/>
              <w:ind w:right="4011"/>
              <w:textAlignment w:val="baseline"/>
              <w:rPr>
                <w:b w:val="0"/>
                <w:color w:val="000000"/>
                <w:sz w:val="20"/>
              </w:rPr>
            </w:pPr>
            <w:r w:rsidRPr="00F214AD">
              <w:rPr>
                <w:sz w:val="20"/>
              </w:rPr>
              <w:t>Tumour Grade (G)</w:t>
            </w:r>
          </w:p>
        </w:tc>
      </w:tr>
      <w:tr w:rsidR="00F214AD" w:rsidTr="00765B7B">
        <w:trPr>
          <w:trHeight w:hRule="exact" w:val="321"/>
        </w:trPr>
        <w:tc>
          <w:tcPr>
            <w:tcW w:w="1013" w:type="dxa"/>
          </w:tcPr>
          <w:p w:rsidR="00F214AD" w:rsidRDefault="00F214AD" w:rsidP="004A22A6">
            <w:pPr>
              <w:spacing w:before="61" w:after="30" w:line="225" w:lineRule="exact"/>
              <w:ind w:left="115"/>
              <w:textAlignment w:val="baseline"/>
              <w:rPr>
                <w:b/>
                <w:color w:val="000000"/>
                <w:sz w:val="20"/>
              </w:rPr>
            </w:pPr>
            <w:r>
              <w:rPr>
                <w:b/>
                <w:color w:val="000000"/>
                <w:sz w:val="20"/>
              </w:rPr>
              <w:t>GX</w:t>
            </w:r>
          </w:p>
        </w:tc>
        <w:tc>
          <w:tcPr>
            <w:tcW w:w="7742" w:type="dxa"/>
            <w:gridSpan w:val="6"/>
          </w:tcPr>
          <w:p w:rsidR="00F214AD" w:rsidRDefault="00F214AD" w:rsidP="004A22A6">
            <w:pPr>
              <w:spacing w:before="56" w:after="35" w:line="225" w:lineRule="exact"/>
              <w:ind w:left="105"/>
              <w:textAlignment w:val="baseline"/>
              <w:rPr>
                <w:color w:val="000000"/>
                <w:sz w:val="20"/>
              </w:rPr>
            </w:pPr>
            <w:r>
              <w:rPr>
                <w:color w:val="000000"/>
                <w:sz w:val="20"/>
              </w:rPr>
              <w:t>Grade cannot be assessed</w:t>
            </w:r>
          </w:p>
        </w:tc>
      </w:tr>
      <w:tr w:rsidR="00F214AD" w:rsidTr="00765B7B">
        <w:trPr>
          <w:trHeight w:hRule="exact" w:val="322"/>
        </w:trPr>
        <w:tc>
          <w:tcPr>
            <w:tcW w:w="1013" w:type="dxa"/>
          </w:tcPr>
          <w:p w:rsidR="00F214AD" w:rsidRDefault="00F214AD" w:rsidP="004A22A6">
            <w:pPr>
              <w:spacing w:before="61" w:after="26" w:line="225" w:lineRule="exact"/>
              <w:ind w:left="115"/>
              <w:textAlignment w:val="baseline"/>
              <w:rPr>
                <w:b/>
                <w:color w:val="000000"/>
                <w:sz w:val="20"/>
              </w:rPr>
            </w:pPr>
            <w:r>
              <w:rPr>
                <w:b/>
                <w:color w:val="000000"/>
                <w:sz w:val="20"/>
              </w:rPr>
              <w:t>G1</w:t>
            </w:r>
          </w:p>
        </w:tc>
        <w:tc>
          <w:tcPr>
            <w:tcW w:w="7742" w:type="dxa"/>
            <w:gridSpan w:val="6"/>
          </w:tcPr>
          <w:p w:rsidR="00F214AD" w:rsidRDefault="00F214AD" w:rsidP="004A22A6">
            <w:pPr>
              <w:spacing w:before="57" w:after="30" w:line="225" w:lineRule="exact"/>
              <w:ind w:left="105"/>
              <w:textAlignment w:val="baseline"/>
              <w:rPr>
                <w:color w:val="000000"/>
                <w:sz w:val="20"/>
              </w:rPr>
            </w:pPr>
            <w:r>
              <w:rPr>
                <w:color w:val="000000"/>
                <w:sz w:val="20"/>
              </w:rPr>
              <w:t>Well differentiated</w:t>
            </w:r>
          </w:p>
        </w:tc>
      </w:tr>
      <w:tr w:rsidR="00F214AD" w:rsidTr="00765B7B">
        <w:trPr>
          <w:trHeight w:hRule="exact" w:val="317"/>
        </w:trPr>
        <w:tc>
          <w:tcPr>
            <w:tcW w:w="1013" w:type="dxa"/>
          </w:tcPr>
          <w:p w:rsidR="00F214AD" w:rsidRDefault="00F214AD" w:rsidP="004A22A6">
            <w:pPr>
              <w:spacing w:before="56" w:after="26" w:line="225" w:lineRule="exact"/>
              <w:ind w:left="115"/>
              <w:textAlignment w:val="baseline"/>
              <w:rPr>
                <w:b/>
                <w:color w:val="000000"/>
                <w:sz w:val="20"/>
              </w:rPr>
            </w:pPr>
            <w:r>
              <w:rPr>
                <w:b/>
                <w:color w:val="000000"/>
                <w:sz w:val="20"/>
              </w:rPr>
              <w:t>G2</w:t>
            </w:r>
          </w:p>
        </w:tc>
        <w:tc>
          <w:tcPr>
            <w:tcW w:w="7742" w:type="dxa"/>
            <w:gridSpan w:val="6"/>
          </w:tcPr>
          <w:p w:rsidR="00F214AD" w:rsidRDefault="00F214AD" w:rsidP="004A22A6">
            <w:pPr>
              <w:spacing w:before="51" w:after="31" w:line="225" w:lineRule="exact"/>
              <w:ind w:left="105"/>
              <w:textAlignment w:val="baseline"/>
              <w:rPr>
                <w:color w:val="000000"/>
                <w:sz w:val="20"/>
              </w:rPr>
            </w:pPr>
            <w:r>
              <w:rPr>
                <w:color w:val="000000"/>
                <w:sz w:val="20"/>
              </w:rPr>
              <w:t>Moderately differentiated</w:t>
            </w:r>
          </w:p>
        </w:tc>
      </w:tr>
      <w:tr w:rsidR="00F214AD" w:rsidTr="00765B7B">
        <w:trPr>
          <w:trHeight w:hRule="exact" w:val="321"/>
        </w:trPr>
        <w:tc>
          <w:tcPr>
            <w:tcW w:w="1013" w:type="dxa"/>
          </w:tcPr>
          <w:p w:rsidR="00F214AD" w:rsidRDefault="00F214AD" w:rsidP="004A22A6">
            <w:pPr>
              <w:spacing w:before="61" w:after="20" w:line="225" w:lineRule="exact"/>
              <w:ind w:left="115"/>
              <w:textAlignment w:val="baseline"/>
              <w:rPr>
                <w:b/>
                <w:color w:val="000000"/>
                <w:sz w:val="20"/>
              </w:rPr>
            </w:pPr>
            <w:r>
              <w:rPr>
                <w:b/>
                <w:color w:val="000000"/>
                <w:sz w:val="20"/>
              </w:rPr>
              <w:t>G3</w:t>
            </w:r>
          </w:p>
        </w:tc>
        <w:tc>
          <w:tcPr>
            <w:tcW w:w="7742" w:type="dxa"/>
            <w:gridSpan w:val="6"/>
          </w:tcPr>
          <w:p w:rsidR="00F214AD" w:rsidRDefault="00F214AD" w:rsidP="004A22A6">
            <w:pPr>
              <w:spacing w:before="56" w:after="25" w:line="225" w:lineRule="exact"/>
              <w:ind w:left="105"/>
              <w:textAlignment w:val="baseline"/>
              <w:rPr>
                <w:color w:val="000000"/>
                <w:sz w:val="20"/>
              </w:rPr>
            </w:pPr>
            <w:r>
              <w:rPr>
                <w:color w:val="000000"/>
                <w:sz w:val="20"/>
              </w:rPr>
              <w:t>Poorly differentiated</w:t>
            </w:r>
          </w:p>
        </w:tc>
      </w:tr>
      <w:tr w:rsidR="00F214AD" w:rsidTr="00765B7B">
        <w:trPr>
          <w:trHeight w:hRule="exact" w:val="322"/>
        </w:trPr>
        <w:tc>
          <w:tcPr>
            <w:tcW w:w="1013" w:type="dxa"/>
          </w:tcPr>
          <w:p w:rsidR="00F214AD" w:rsidRDefault="00F214AD" w:rsidP="004A22A6">
            <w:pPr>
              <w:spacing w:before="61" w:after="31" w:line="225" w:lineRule="exact"/>
              <w:ind w:left="115"/>
              <w:textAlignment w:val="baseline"/>
              <w:rPr>
                <w:b/>
                <w:color w:val="000000"/>
                <w:sz w:val="20"/>
              </w:rPr>
            </w:pPr>
            <w:r>
              <w:rPr>
                <w:b/>
                <w:color w:val="000000"/>
                <w:sz w:val="20"/>
              </w:rPr>
              <w:t>G4</w:t>
            </w:r>
          </w:p>
        </w:tc>
        <w:tc>
          <w:tcPr>
            <w:tcW w:w="7742" w:type="dxa"/>
            <w:gridSpan w:val="6"/>
          </w:tcPr>
          <w:p w:rsidR="00F214AD" w:rsidRDefault="00F214AD" w:rsidP="004A22A6">
            <w:pPr>
              <w:spacing w:before="57" w:after="35" w:line="225" w:lineRule="exact"/>
              <w:ind w:left="105"/>
              <w:textAlignment w:val="baseline"/>
              <w:rPr>
                <w:color w:val="000000"/>
                <w:sz w:val="20"/>
              </w:rPr>
            </w:pPr>
            <w:r>
              <w:rPr>
                <w:color w:val="000000"/>
                <w:sz w:val="20"/>
              </w:rPr>
              <w:t>Poorly differentiated or undifferentiated</w:t>
            </w:r>
          </w:p>
        </w:tc>
      </w:tr>
      <w:tr w:rsidR="00F214AD" w:rsidTr="00765B7B">
        <w:trPr>
          <w:trHeight w:hRule="exact" w:val="317"/>
        </w:trPr>
        <w:tc>
          <w:tcPr>
            <w:tcW w:w="8755" w:type="dxa"/>
            <w:gridSpan w:val="7"/>
          </w:tcPr>
          <w:p w:rsidR="00F214AD" w:rsidRDefault="00F214AD" w:rsidP="00F214AD">
            <w:pPr>
              <w:spacing w:before="56" w:after="30" w:line="225" w:lineRule="exact"/>
              <w:ind w:right="3921"/>
              <w:textAlignment w:val="baseline"/>
              <w:rPr>
                <w:b/>
                <w:color w:val="000000"/>
                <w:sz w:val="20"/>
              </w:rPr>
            </w:pPr>
            <w:r>
              <w:rPr>
                <w:b/>
                <w:color w:val="000000"/>
                <w:sz w:val="20"/>
              </w:rPr>
              <w:t>Primary Tumour (T)</w:t>
            </w:r>
          </w:p>
        </w:tc>
      </w:tr>
      <w:tr w:rsidR="00F214AD" w:rsidTr="00765B7B">
        <w:trPr>
          <w:trHeight w:hRule="exact" w:val="321"/>
        </w:trPr>
        <w:tc>
          <w:tcPr>
            <w:tcW w:w="1013" w:type="dxa"/>
          </w:tcPr>
          <w:p w:rsidR="00F214AD" w:rsidRDefault="00F214AD" w:rsidP="004A22A6">
            <w:pPr>
              <w:spacing w:before="61" w:after="25" w:line="225" w:lineRule="exact"/>
              <w:ind w:left="115"/>
              <w:textAlignment w:val="baseline"/>
              <w:rPr>
                <w:b/>
                <w:color w:val="000000"/>
                <w:sz w:val="20"/>
              </w:rPr>
            </w:pPr>
            <w:r>
              <w:rPr>
                <w:b/>
                <w:color w:val="000000"/>
                <w:sz w:val="20"/>
              </w:rPr>
              <w:t>TX</w:t>
            </w:r>
          </w:p>
        </w:tc>
        <w:tc>
          <w:tcPr>
            <w:tcW w:w="7742" w:type="dxa"/>
            <w:gridSpan w:val="6"/>
          </w:tcPr>
          <w:p w:rsidR="00F214AD" w:rsidRDefault="00F214AD" w:rsidP="004A22A6">
            <w:pPr>
              <w:spacing w:before="56" w:after="30" w:line="225" w:lineRule="exact"/>
              <w:ind w:left="105"/>
              <w:textAlignment w:val="baseline"/>
              <w:rPr>
                <w:color w:val="000000"/>
                <w:sz w:val="20"/>
              </w:rPr>
            </w:pPr>
            <w:r>
              <w:rPr>
                <w:color w:val="000000"/>
                <w:sz w:val="20"/>
              </w:rPr>
              <w:t>Primary tumour cannot be assessed</w:t>
            </w:r>
          </w:p>
        </w:tc>
      </w:tr>
      <w:tr w:rsidR="00F214AD" w:rsidTr="00765B7B">
        <w:trPr>
          <w:trHeight w:hRule="exact" w:val="322"/>
        </w:trPr>
        <w:tc>
          <w:tcPr>
            <w:tcW w:w="1013" w:type="dxa"/>
          </w:tcPr>
          <w:p w:rsidR="00F214AD" w:rsidRDefault="00F214AD" w:rsidP="004A22A6">
            <w:pPr>
              <w:spacing w:before="61" w:after="35" w:line="225" w:lineRule="exact"/>
              <w:ind w:left="115"/>
              <w:textAlignment w:val="baseline"/>
              <w:rPr>
                <w:b/>
                <w:color w:val="000000"/>
                <w:sz w:val="20"/>
              </w:rPr>
            </w:pPr>
            <w:r>
              <w:rPr>
                <w:b/>
                <w:color w:val="000000"/>
                <w:sz w:val="20"/>
              </w:rPr>
              <w:t>T0</w:t>
            </w:r>
          </w:p>
        </w:tc>
        <w:tc>
          <w:tcPr>
            <w:tcW w:w="7742" w:type="dxa"/>
            <w:gridSpan w:val="6"/>
          </w:tcPr>
          <w:p w:rsidR="00F214AD" w:rsidRDefault="00F214AD" w:rsidP="004A22A6">
            <w:pPr>
              <w:spacing w:before="57" w:after="39" w:line="225" w:lineRule="exact"/>
              <w:ind w:left="105"/>
              <w:textAlignment w:val="baseline"/>
              <w:rPr>
                <w:color w:val="000000"/>
                <w:sz w:val="20"/>
              </w:rPr>
            </w:pPr>
            <w:r>
              <w:rPr>
                <w:color w:val="000000"/>
                <w:sz w:val="20"/>
              </w:rPr>
              <w:t>No evidence of primary tumour</w:t>
            </w:r>
          </w:p>
        </w:tc>
      </w:tr>
      <w:tr w:rsidR="00F214AD" w:rsidTr="00765B7B">
        <w:trPr>
          <w:trHeight w:hRule="exact" w:val="317"/>
        </w:trPr>
        <w:tc>
          <w:tcPr>
            <w:tcW w:w="1013" w:type="dxa"/>
            <w:vMerge w:val="restart"/>
          </w:tcPr>
          <w:p w:rsidR="00F214AD" w:rsidRDefault="00F214AD" w:rsidP="004A22A6">
            <w:pPr>
              <w:spacing w:before="56" w:after="669" w:line="225" w:lineRule="exact"/>
              <w:ind w:left="115"/>
              <w:textAlignment w:val="baseline"/>
              <w:rPr>
                <w:b/>
                <w:color w:val="000000"/>
                <w:sz w:val="20"/>
              </w:rPr>
            </w:pPr>
            <w:r>
              <w:rPr>
                <w:b/>
                <w:color w:val="000000"/>
                <w:sz w:val="20"/>
              </w:rPr>
              <w:t>T1</w:t>
            </w:r>
          </w:p>
        </w:tc>
        <w:tc>
          <w:tcPr>
            <w:tcW w:w="7742" w:type="dxa"/>
            <w:gridSpan w:val="6"/>
          </w:tcPr>
          <w:p w:rsidR="00F214AD" w:rsidRDefault="00F214AD" w:rsidP="004A22A6">
            <w:pPr>
              <w:spacing w:before="51" w:after="40" w:line="225" w:lineRule="exact"/>
              <w:ind w:left="105"/>
              <w:textAlignment w:val="baseline"/>
              <w:rPr>
                <w:color w:val="000000"/>
                <w:sz w:val="20"/>
              </w:rPr>
            </w:pPr>
            <w:r>
              <w:rPr>
                <w:color w:val="000000"/>
                <w:sz w:val="20"/>
              </w:rPr>
              <w:t>Tumour 5 cm or less in greatest dimension</w:t>
            </w:r>
          </w:p>
        </w:tc>
      </w:tr>
      <w:tr w:rsidR="00F214AD" w:rsidTr="00765B7B">
        <w:trPr>
          <w:trHeight w:hRule="exact" w:val="321"/>
        </w:trPr>
        <w:tc>
          <w:tcPr>
            <w:tcW w:w="1013" w:type="dxa"/>
            <w:vMerge/>
          </w:tcPr>
          <w:p w:rsidR="00F214AD" w:rsidRDefault="00F214AD" w:rsidP="004A22A6"/>
        </w:tc>
        <w:tc>
          <w:tcPr>
            <w:tcW w:w="1262" w:type="dxa"/>
            <w:gridSpan w:val="2"/>
          </w:tcPr>
          <w:p w:rsidR="00F214AD" w:rsidRDefault="00F214AD" w:rsidP="004A22A6">
            <w:pPr>
              <w:spacing w:before="56" w:after="35" w:line="225" w:lineRule="exact"/>
              <w:ind w:left="105"/>
              <w:textAlignment w:val="baseline"/>
              <w:rPr>
                <w:color w:val="000000"/>
                <w:sz w:val="20"/>
              </w:rPr>
            </w:pPr>
            <w:r>
              <w:rPr>
                <w:color w:val="000000"/>
                <w:sz w:val="20"/>
              </w:rPr>
              <w:t>T1a</w:t>
            </w:r>
          </w:p>
        </w:tc>
        <w:tc>
          <w:tcPr>
            <w:tcW w:w="6480" w:type="dxa"/>
            <w:gridSpan w:val="4"/>
          </w:tcPr>
          <w:p w:rsidR="00F214AD" w:rsidRDefault="00F214AD" w:rsidP="004A22A6">
            <w:pPr>
              <w:spacing w:before="56" w:after="35" w:line="225" w:lineRule="exact"/>
              <w:ind w:left="110"/>
              <w:textAlignment w:val="baseline"/>
              <w:rPr>
                <w:color w:val="000000"/>
                <w:sz w:val="20"/>
              </w:rPr>
            </w:pPr>
            <w:r>
              <w:rPr>
                <w:color w:val="000000"/>
                <w:sz w:val="20"/>
              </w:rPr>
              <w:t>Superficial tumour</w:t>
            </w:r>
          </w:p>
        </w:tc>
      </w:tr>
      <w:tr w:rsidR="00F214AD" w:rsidTr="00765B7B">
        <w:trPr>
          <w:trHeight w:hRule="exact" w:val="322"/>
        </w:trPr>
        <w:tc>
          <w:tcPr>
            <w:tcW w:w="1013" w:type="dxa"/>
            <w:vMerge/>
          </w:tcPr>
          <w:p w:rsidR="00F214AD" w:rsidRDefault="00F214AD" w:rsidP="004A22A6"/>
        </w:tc>
        <w:tc>
          <w:tcPr>
            <w:tcW w:w="1262" w:type="dxa"/>
            <w:gridSpan w:val="2"/>
          </w:tcPr>
          <w:p w:rsidR="00F214AD" w:rsidRDefault="00F214AD" w:rsidP="004A22A6">
            <w:pPr>
              <w:spacing w:before="57" w:after="30" w:line="225" w:lineRule="exact"/>
              <w:ind w:left="105"/>
              <w:textAlignment w:val="baseline"/>
              <w:rPr>
                <w:color w:val="000000"/>
                <w:sz w:val="20"/>
              </w:rPr>
            </w:pPr>
            <w:r>
              <w:rPr>
                <w:color w:val="000000"/>
                <w:sz w:val="20"/>
              </w:rPr>
              <w:t>T1b</w:t>
            </w:r>
          </w:p>
        </w:tc>
        <w:tc>
          <w:tcPr>
            <w:tcW w:w="6480" w:type="dxa"/>
            <w:gridSpan w:val="4"/>
          </w:tcPr>
          <w:p w:rsidR="00F214AD" w:rsidRDefault="00F214AD" w:rsidP="004A22A6">
            <w:pPr>
              <w:spacing w:before="57" w:after="30" w:line="225" w:lineRule="exact"/>
              <w:ind w:left="110"/>
              <w:textAlignment w:val="baseline"/>
              <w:rPr>
                <w:color w:val="000000"/>
                <w:sz w:val="20"/>
              </w:rPr>
            </w:pPr>
            <w:r>
              <w:rPr>
                <w:color w:val="000000"/>
                <w:sz w:val="20"/>
              </w:rPr>
              <w:t>Deep tumour</w:t>
            </w:r>
          </w:p>
        </w:tc>
      </w:tr>
      <w:tr w:rsidR="00F214AD" w:rsidTr="00765B7B">
        <w:trPr>
          <w:trHeight w:hRule="exact" w:val="317"/>
        </w:trPr>
        <w:tc>
          <w:tcPr>
            <w:tcW w:w="1013" w:type="dxa"/>
            <w:vMerge w:val="restart"/>
          </w:tcPr>
          <w:p w:rsidR="00F214AD" w:rsidRDefault="00F214AD" w:rsidP="004A22A6">
            <w:pPr>
              <w:spacing w:before="56" w:after="674" w:line="225" w:lineRule="exact"/>
              <w:ind w:left="115"/>
              <w:textAlignment w:val="baseline"/>
              <w:rPr>
                <w:b/>
                <w:color w:val="000000"/>
                <w:sz w:val="20"/>
              </w:rPr>
            </w:pPr>
            <w:r>
              <w:rPr>
                <w:b/>
                <w:color w:val="000000"/>
                <w:sz w:val="20"/>
              </w:rPr>
              <w:t>T2</w:t>
            </w:r>
          </w:p>
        </w:tc>
        <w:tc>
          <w:tcPr>
            <w:tcW w:w="7742" w:type="dxa"/>
            <w:gridSpan w:val="6"/>
          </w:tcPr>
          <w:p w:rsidR="00F214AD" w:rsidRDefault="00F214AD" w:rsidP="004A22A6">
            <w:pPr>
              <w:spacing w:before="51" w:after="31" w:line="225" w:lineRule="exact"/>
              <w:ind w:left="105"/>
              <w:textAlignment w:val="baseline"/>
              <w:rPr>
                <w:color w:val="000000"/>
                <w:sz w:val="20"/>
              </w:rPr>
            </w:pPr>
            <w:r>
              <w:rPr>
                <w:color w:val="000000"/>
                <w:sz w:val="20"/>
              </w:rPr>
              <w:t>Tumour 5 cm or larger in greatest dimension</w:t>
            </w:r>
          </w:p>
        </w:tc>
      </w:tr>
      <w:tr w:rsidR="00F214AD" w:rsidTr="00765B7B">
        <w:trPr>
          <w:trHeight w:hRule="exact" w:val="321"/>
        </w:trPr>
        <w:tc>
          <w:tcPr>
            <w:tcW w:w="1013" w:type="dxa"/>
            <w:vMerge/>
          </w:tcPr>
          <w:p w:rsidR="00F214AD" w:rsidRDefault="00F214AD" w:rsidP="004A22A6"/>
        </w:tc>
        <w:tc>
          <w:tcPr>
            <w:tcW w:w="1262" w:type="dxa"/>
            <w:gridSpan w:val="2"/>
          </w:tcPr>
          <w:p w:rsidR="00F214AD" w:rsidRDefault="00F214AD" w:rsidP="004A22A6">
            <w:pPr>
              <w:spacing w:before="56" w:after="25" w:line="225" w:lineRule="exact"/>
              <w:ind w:left="105"/>
              <w:textAlignment w:val="baseline"/>
              <w:rPr>
                <w:color w:val="000000"/>
                <w:sz w:val="20"/>
              </w:rPr>
            </w:pPr>
            <w:r>
              <w:rPr>
                <w:color w:val="000000"/>
                <w:sz w:val="20"/>
              </w:rPr>
              <w:t>T2a</w:t>
            </w:r>
          </w:p>
        </w:tc>
        <w:tc>
          <w:tcPr>
            <w:tcW w:w="6480" w:type="dxa"/>
            <w:gridSpan w:val="4"/>
          </w:tcPr>
          <w:p w:rsidR="00F214AD" w:rsidRDefault="00F214AD" w:rsidP="004A22A6">
            <w:pPr>
              <w:spacing w:before="56" w:after="25" w:line="225" w:lineRule="exact"/>
              <w:ind w:left="110"/>
              <w:textAlignment w:val="baseline"/>
              <w:rPr>
                <w:color w:val="000000"/>
                <w:sz w:val="20"/>
              </w:rPr>
            </w:pPr>
            <w:r>
              <w:rPr>
                <w:color w:val="000000"/>
                <w:sz w:val="20"/>
              </w:rPr>
              <w:t>Superficial tumour</w:t>
            </w:r>
          </w:p>
        </w:tc>
      </w:tr>
      <w:tr w:rsidR="00F214AD" w:rsidTr="00765B7B">
        <w:trPr>
          <w:trHeight w:hRule="exact" w:val="322"/>
        </w:trPr>
        <w:tc>
          <w:tcPr>
            <w:tcW w:w="1013" w:type="dxa"/>
            <w:vMerge/>
          </w:tcPr>
          <w:p w:rsidR="00F214AD" w:rsidRDefault="00F214AD" w:rsidP="004A22A6"/>
        </w:tc>
        <w:tc>
          <w:tcPr>
            <w:tcW w:w="1262" w:type="dxa"/>
            <w:gridSpan w:val="2"/>
          </w:tcPr>
          <w:p w:rsidR="00F214AD" w:rsidRDefault="00F214AD" w:rsidP="004A22A6">
            <w:pPr>
              <w:spacing w:before="57" w:after="35" w:line="225" w:lineRule="exact"/>
              <w:ind w:left="105"/>
              <w:textAlignment w:val="baseline"/>
              <w:rPr>
                <w:color w:val="000000"/>
                <w:sz w:val="20"/>
              </w:rPr>
            </w:pPr>
            <w:r>
              <w:rPr>
                <w:color w:val="000000"/>
                <w:sz w:val="20"/>
              </w:rPr>
              <w:t>T2b</w:t>
            </w:r>
          </w:p>
        </w:tc>
        <w:tc>
          <w:tcPr>
            <w:tcW w:w="6480" w:type="dxa"/>
            <w:gridSpan w:val="4"/>
          </w:tcPr>
          <w:p w:rsidR="00F214AD" w:rsidRDefault="00F214AD" w:rsidP="004A22A6">
            <w:pPr>
              <w:spacing w:before="57" w:after="35" w:line="225" w:lineRule="exact"/>
              <w:ind w:left="110"/>
              <w:textAlignment w:val="baseline"/>
              <w:rPr>
                <w:color w:val="000000"/>
                <w:sz w:val="20"/>
              </w:rPr>
            </w:pPr>
            <w:r>
              <w:rPr>
                <w:color w:val="000000"/>
                <w:sz w:val="20"/>
              </w:rPr>
              <w:t>Deep tumour</w:t>
            </w:r>
          </w:p>
        </w:tc>
      </w:tr>
      <w:tr w:rsidR="00F214AD" w:rsidTr="00765B7B">
        <w:trPr>
          <w:trHeight w:hRule="exact" w:val="1008"/>
        </w:trPr>
        <w:tc>
          <w:tcPr>
            <w:tcW w:w="8755" w:type="dxa"/>
            <w:gridSpan w:val="7"/>
          </w:tcPr>
          <w:p w:rsidR="00F214AD" w:rsidRDefault="00F214AD" w:rsidP="004A22A6">
            <w:pPr>
              <w:spacing w:before="48" w:after="35" w:line="230" w:lineRule="exact"/>
              <w:ind w:left="144" w:right="324"/>
              <w:textAlignment w:val="baseline"/>
              <w:rPr>
                <w:color w:val="000000"/>
                <w:sz w:val="20"/>
              </w:rPr>
            </w:pPr>
            <w:r>
              <w:rPr>
                <w:color w:val="000000"/>
                <w:sz w:val="20"/>
              </w:rPr>
              <w:t>[Note: Superficial tumour is located exclusively above the superficial fascia without invasion of the fascia; deep tumour is located either exclusively beneath the superficial fascia, or superficial to the fascia with invasion of or through the fascia, or both superficial yet beneath the fascia. Retroperitoneal, mediastinal, and pelvic sarcomas are classified as deep tumours.]</w:t>
            </w:r>
          </w:p>
        </w:tc>
      </w:tr>
      <w:tr w:rsidR="00F214AD" w:rsidTr="00765B7B">
        <w:trPr>
          <w:trHeight w:hRule="exact" w:val="321"/>
        </w:trPr>
        <w:tc>
          <w:tcPr>
            <w:tcW w:w="8755" w:type="dxa"/>
            <w:gridSpan w:val="7"/>
          </w:tcPr>
          <w:p w:rsidR="00F214AD" w:rsidRDefault="00F214AD" w:rsidP="00F214AD">
            <w:pPr>
              <w:spacing w:before="61" w:after="25" w:line="225" w:lineRule="exact"/>
              <w:ind w:right="3561"/>
              <w:textAlignment w:val="baseline"/>
              <w:rPr>
                <w:b/>
                <w:color w:val="000000"/>
                <w:sz w:val="20"/>
              </w:rPr>
            </w:pPr>
            <w:r>
              <w:rPr>
                <w:b/>
                <w:color w:val="000000"/>
                <w:sz w:val="20"/>
              </w:rPr>
              <w:t>Regional lymph nodes (N)*</w:t>
            </w:r>
          </w:p>
        </w:tc>
      </w:tr>
      <w:tr w:rsidR="00F214AD" w:rsidTr="00765B7B">
        <w:trPr>
          <w:trHeight w:hRule="exact" w:val="317"/>
        </w:trPr>
        <w:tc>
          <w:tcPr>
            <w:tcW w:w="1013" w:type="dxa"/>
          </w:tcPr>
          <w:p w:rsidR="00F214AD" w:rsidRDefault="00F214AD" w:rsidP="004A22A6">
            <w:pPr>
              <w:spacing w:before="57" w:after="25" w:line="225" w:lineRule="exact"/>
              <w:ind w:left="115"/>
              <w:textAlignment w:val="baseline"/>
              <w:rPr>
                <w:b/>
                <w:color w:val="000000"/>
                <w:sz w:val="20"/>
              </w:rPr>
            </w:pPr>
            <w:r>
              <w:rPr>
                <w:b/>
                <w:color w:val="000000"/>
                <w:sz w:val="20"/>
              </w:rPr>
              <w:t>NX</w:t>
            </w:r>
          </w:p>
        </w:tc>
        <w:tc>
          <w:tcPr>
            <w:tcW w:w="7742" w:type="dxa"/>
            <w:gridSpan w:val="6"/>
          </w:tcPr>
          <w:p w:rsidR="00F214AD" w:rsidRDefault="00F214AD" w:rsidP="004A22A6">
            <w:pPr>
              <w:spacing w:before="52" w:after="30" w:line="225" w:lineRule="exact"/>
              <w:ind w:left="105"/>
              <w:textAlignment w:val="baseline"/>
              <w:rPr>
                <w:color w:val="000000"/>
                <w:sz w:val="20"/>
              </w:rPr>
            </w:pPr>
            <w:r>
              <w:rPr>
                <w:color w:val="000000"/>
                <w:sz w:val="20"/>
              </w:rPr>
              <w:t>Regional lymph nodes cannot be assessed</w:t>
            </w:r>
          </w:p>
        </w:tc>
      </w:tr>
      <w:tr w:rsidR="00F214AD" w:rsidTr="00765B7B">
        <w:trPr>
          <w:trHeight w:hRule="exact" w:val="322"/>
        </w:trPr>
        <w:tc>
          <w:tcPr>
            <w:tcW w:w="1013" w:type="dxa"/>
          </w:tcPr>
          <w:p w:rsidR="00F214AD" w:rsidRDefault="00F214AD" w:rsidP="004A22A6">
            <w:pPr>
              <w:spacing w:before="61" w:after="35" w:line="225" w:lineRule="exact"/>
              <w:ind w:left="115"/>
              <w:textAlignment w:val="baseline"/>
              <w:rPr>
                <w:b/>
                <w:color w:val="000000"/>
                <w:sz w:val="20"/>
              </w:rPr>
            </w:pPr>
            <w:r>
              <w:rPr>
                <w:b/>
                <w:color w:val="000000"/>
                <w:sz w:val="20"/>
              </w:rPr>
              <w:lastRenderedPageBreak/>
              <w:t>N0</w:t>
            </w:r>
          </w:p>
        </w:tc>
        <w:tc>
          <w:tcPr>
            <w:tcW w:w="7742" w:type="dxa"/>
            <w:gridSpan w:val="6"/>
          </w:tcPr>
          <w:p w:rsidR="00F214AD" w:rsidRDefault="00F214AD" w:rsidP="004A22A6">
            <w:pPr>
              <w:spacing w:before="57" w:after="39" w:line="225" w:lineRule="exact"/>
              <w:ind w:left="105"/>
              <w:textAlignment w:val="baseline"/>
              <w:rPr>
                <w:color w:val="000000"/>
                <w:sz w:val="20"/>
              </w:rPr>
            </w:pPr>
            <w:r>
              <w:rPr>
                <w:color w:val="000000"/>
                <w:sz w:val="20"/>
              </w:rPr>
              <w:t>No regional lymph node metastases</w:t>
            </w:r>
          </w:p>
        </w:tc>
      </w:tr>
      <w:tr w:rsidR="00F214AD" w:rsidTr="00765B7B">
        <w:trPr>
          <w:trHeight w:hRule="exact" w:val="590"/>
        </w:trPr>
        <w:tc>
          <w:tcPr>
            <w:tcW w:w="1013" w:type="dxa"/>
          </w:tcPr>
          <w:p w:rsidR="00F214AD" w:rsidRDefault="00F214AD" w:rsidP="004A22A6">
            <w:pPr>
              <w:spacing w:before="61" w:after="289" w:line="225" w:lineRule="exact"/>
              <w:ind w:left="115"/>
              <w:textAlignment w:val="baseline"/>
              <w:rPr>
                <w:b/>
                <w:color w:val="000000"/>
                <w:sz w:val="20"/>
              </w:rPr>
            </w:pPr>
            <w:r>
              <w:rPr>
                <w:b/>
                <w:color w:val="000000"/>
                <w:sz w:val="20"/>
              </w:rPr>
              <w:t>N1</w:t>
            </w:r>
          </w:p>
        </w:tc>
        <w:tc>
          <w:tcPr>
            <w:tcW w:w="7742" w:type="dxa"/>
            <w:gridSpan w:val="6"/>
          </w:tcPr>
          <w:p w:rsidR="00F214AD" w:rsidRDefault="00F214AD" w:rsidP="004A22A6">
            <w:pPr>
              <w:spacing w:before="56" w:line="225" w:lineRule="exact"/>
              <w:ind w:left="72"/>
              <w:textAlignment w:val="baseline"/>
              <w:rPr>
                <w:color w:val="000000"/>
                <w:sz w:val="20"/>
              </w:rPr>
            </w:pPr>
            <w:r>
              <w:rPr>
                <w:color w:val="000000"/>
                <w:sz w:val="20"/>
              </w:rPr>
              <w:t>Regional lymph node metastasis</w:t>
            </w:r>
          </w:p>
          <w:p w:rsidR="00F214AD" w:rsidRDefault="00F214AD" w:rsidP="004A22A6">
            <w:pPr>
              <w:spacing w:before="44" w:after="25" w:line="225" w:lineRule="exact"/>
              <w:ind w:left="72"/>
              <w:textAlignment w:val="baseline"/>
              <w:rPr>
                <w:color w:val="000000"/>
                <w:sz w:val="20"/>
              </w:rPr>
            </w:pPr>
            <w:r>
              <w:rPr>
                <w:color w:val="000000"/>
                <w:sz w:val="20"/>
              </w:rPr>
              <w:t>[Note: Presence of positive nodes (N1) is considered stage IV.]</w:t>
            </w:r>
          </w:p>
        </w:tc>
      </w:tr>
      <w:tr w:rsidR="00F214AD" w:rsidTr="00765B7B">
        <w:trPr>
          <w:trHeight w:hRule="exact" w:val="322"/>
        </w:trPr>
        <w:tc>
          <w:tcPr>
            <w:tcW w:w="8755" w:type="dxa"/>
            <w:gridSpan w:val="7"/>
          </w:tcPr>
          <w:p w:rsidR="00F214AD" w:rsidRDefault="00F214AD" w:rsidP="00F214AD">
            <w:pPr>
              <w:spacing w:before="61" w:after="31" w:line="225" w:lineRule="exact"/>
              <w:ind w:right="3741"/>
              <w:textAlignment w:val="baseline"/>
              <w:rPr>
                <w:b/>
                <w:color w:val="000000"/>
                <w:sz w:val="20"/>
              </w:rPr>
            </w:pPr>
            <w:r>
              <w:rPr>
                <w:b/>
                <w:color w:val="000000"/>
                <w:sz w:val="20"/>
              </w:rPr>
              <w:t>Distant Metastasis (M)</w:t>
            </w:r>
          </w:p>
        </w:tc>
      </w:tr>
      <w:tr w:rsidR="00F214AD" w:rsidTr="00765B7B">
        <w:trPr>
          <w:trHeight w:hRule="exact" w:val="317"/>
        </w:trPr>
        <w:tc>
          <w:tcPr>
            <w:tcW w:w="1013" w:type="dxa"/>
          </w:tcPr>
          <w:p w:rsidR="00F214AD" w:rsidRDefault="00F214AD" w:rsidP="004A22A6">
            <w:pPr>
              <w:spacing w:before="56" w:after="30" w:line="225" w:lineRule="exact"/>
              <w:ind w:left="115"/>
              <w:textAlignment w:val="baseline"/>
              <w:rPr>
                <w:b/>
                <w:color w:val="000000"/>
                <w:sz w:val="20"/>
              </w:rPr>
            </w:pPr>
            <w:r>
              <w:rPr>
                <w:b/>
                <w:color w:val="000000"/>
                <w:sz w:val="20"/>
              </w:rPr>
              <w:t>MX</w:t>
            </w:r>
          </w:p>
        </w:tc>
        <w:tc>
          <w:tcPr>
            <w:tcW w:w="7742" w:type="dxa"/>
            <w:gridSpan w:val="6"/>
          </w:tcPr>
          <w:p w:rsidR="00F214AD" w:rsidRDefault="00F214AD" w:rsidP="004A22A6">
            <w:pPr>
              <w:spacing w:before="51" w:after="35" w:line="225" w:lineRule="exact"/>
              <w:ind w:left="105"/>
              <w:textAlignment w:val="baseline"/>
              <w:rPr>
                <w:color w:val="000000"/>
                <w:sz w:val="20"/>
              </w:rPr>
            </w:pPr>
            <w:r>
              <w:rPr>
                <w:color w:val="000000"/>
                <w:sz w:val="20"/>
              </w:rPr>
              <w:t>Distant metastasis cannot be assessed</w:t>
            </w:r>
          </w:p>
        </w:tc>
      </w:tr>
      <w:tr w:rsidR="00F214AD" w:rsidTr="00765B7B">
        <w:trPr>
          <w:trHeight w:hRule="exact" w:val="321"/>
        </w:trPr>
        <w:tc>
          <w:tcPr>
            <w:tcW w:w="1013" w:type="dxa"/>
          </w:tcPr>
          <w:p w:rsidR="00F214AD" w:rsidRDefault="00F214AD" w:rsidP="004A22A6">
            <w:pPr>
              <w:spacing w:before="61" w:after="25" w:line="225" w:lineRule="exact"/>
              <w:ind w:left="115"/>
              <w:textAlignment w:val="baseline"/>
              <w:rPr>
                <w:b/>
                <w:color w:val="000000"/>
                <w:sz w:val="20"/>
              </w:rPr>
            </w:pPr>
            <w:r>
              <w:rPr>
                <w:b/>
                <w:color w:val="000000"/>
                <w:sz w:val="20"/>
              </w:rPr>
              <w:t>M0</w:t>
            </w:r>
          </w:p>
        </w:tc>
        <w:tc>
          <w:tcPr>
            <w:tcW w:w="7742" w:type="dxa"/>
            <w:gridSpan w:val="6"/>
          </w:tcPr>
          <w:p w:rsidR="00F214AD" w:rsidRDefault="00F214AD" w:rsidP="004A22A6">
            <w:pPr>
              <w:spacing w:before="56" w:after="30" w:line="225" w:lineRule="exact"/>
              <w:ind w:left="105"/>
              <w:textAlignment w:val="baseline"/>
              <w:rPr>
                <w:color w:val="000000"/>
                <w:sz w:val="20"/>
              </w:rPr>
            </w:pPr>
            <w:r>
              <w:rPr>
                <w:color w:val="000000"/>
                <w:sz w:val="20"/>
              </w:rPr>
              <w:t>No distant metastasis</w:t>
            </w:r>
          </w:p>
        </w:tc>
      </w:tr>
      <w:tr w:rsidR="00F214AD" w:rsidTr="00765B7B">
        <w:trPr>
          <w:trHeight w:hRule="exact" w:val="322"/>
        </w:trPr>
        <w:tc>
          <w:tcPr>
            <w:tcW w:w="1013" w:type="dxa"/>
          </w:tcPr>
          <w:p w:rsidR="00F214AD" w:rsidRDefault="00F214AD" w:rsidP="004A22A6">
            <w:pPr>
              <w:spacing w:before="61" w:after="35" w:line="225" w:lineRule="exact"/>
              <w:ind w:left="115"/>
              <w:textAlignment w:val="baseline"/>
              <w:rPr>
                <w:b/>
                <w:color w:val="000000"/>
                <w:sz w:val="20"/>
              </w:rPr>
            </w:pPr>
            <w:r>
              <w:rPr>
                <w:b/>
                <w:color w:val="000000"/>
                <w:sz w:val="20"/>
              </w:rPr>
              <w:t>M1</w:t>
            </w:r>
          </w:p>
        </w:tc>
        <w:tc>
          <w:tcPr>
            <w:tcW w:w="7742" w:type="dxa"/>
            <w:gridSpan w:val="6"/>
          </w:tcPr>
          <w:p w:rsidR="00F214AD" w:rsidRDefault="00F214AD" w:rsidP="004A22A6">
            <w:pPr>
              <w:spacing w:before="57" w:after="39" w:line="225" w:lineRule="exact"/>
              <w:ind w:left="105"/>
              <w:textAlignment w:val="baseline"/>
              <w:rPr>
                <w:color w:val="000000"/>
                <w:sz w:val="20"/>
              </w:rPr>
            </w:pPr>
            <w:r>
              <w:rPr>
                <w:color w:val="000000"/>
                <w:sz w:val="20"/>
              </w:rPr>
              <w:t>Distant metastasis</w:t>
            </w:r>
          </w:p>
        </w:tc>
      </w:tr>
      <w:tr w:rsidR="00F214AD" w:rsidTr="00591511">
        <w:trPr>
          <w:trHeight w:hRule="exact" w:val="317"/>
        </w:trPr>
        <w:tc>
          <w:tcPr>
            <w:tcW w:w="8755" w:type="dxa"/>
            <w:gridSpan w:val="7"/>
            <w:shd w:val="clear" w:color="auto" w:fill="013E75"/>
          </w:tcPr>
          <w:p w:rsidR="00F214AD" w:rsidRDefault="00F214AD" w:rsidP="00591511">
            <w:pPr>
              <w:tabs>
                <w:tab w:val="left" w:pos="2745"/>
              </w:tabs>
              <w:spacing w:before="56" w:after="35" w:line="225" w:lineRule="exact"/>
              <w:textAlignment w:val="baseline"/>
              <w:rPr>
                <w:b/>
                <w:color w:val="000000"/>
                <w:sz w:val="20"/>
              </w:rPr>
            </w:pPr>
            <w:r w:rsidRPr="00591511">
              <w:rPr>
                <w:b/>
                <w:color w:val="FFFFFF" w:themeColor="background1"/>
                <w:sz w:val="20"/>
              </w:rPr>
              <w:t>AJCC Stage Groupings</w:t>
            </w:r>
          </w:p>
        </w:tc>
      </w:tr>
      <w:tr w:rsidR="00F214AD" w:rsidTr="00765B7B">
        <w:trPr>
          <w:trHeight w:hRule="exact" w:val="321"/>
        </w:trPr>
        <w:tc>
          <w:tcPr>
            <w:tcW w:w="1915" w:type="dxa"/>
            <w:gridSpan w:val="2"/>
            <w:vMerge w:val="restart"/>
          </w:tcPr>
          <w:p w:rsidR="00F214AD" w:rsidRDefault="00F214AD" w:rsidP="004A22A6">
            <w:pPr>
              <w:spacing w:before="61" w:after="2276" w:line="225" w:lineRule="exact"/>
              <w:ind w:left="115"/>
              <w:textAlignment w:val="baseline"/>
              <w:rPr>
                <w:b/>
                <w:color w:val="000000"/>
                <w:sz w:val="20"/>
              </w:rPr>
            </w:pPr>
            <w:r>
              <w:rPr>
                <w:b/>
                <w:color w:val="000000"/>
                <w:sz w:val="20"/>
              </w:rPr>
              <w:t>Stage I</w:t>
            </w:r>
          </w:p>
        </w:tc>
        <w:tc>
          <w:tcPr>
            <w:tcW w:w="1346" w:type="dxa"/>
            <w:gridSpan w:val="2"/>
          </w:tcPr>
          <w:p w:rsidR="00F214AD" w:rsidRDefault="00F214AD" w:rsidP="004A22A6">
            <w:pPr>
              <w:spacing w:before="56" w:after="35" w:line="225" w:lineRule="exact"/>
              <w:jc w:val="center"/>
              <w:textAlignment w:val="baseline"/>
              <w:rPr>
                <w:color w:val="000000"/>
                <w:sz w:val="20"/>
              </w:rPr>
            </w:pPr>
            <w:r>
              <w:rPr>
                <w:color w:val="000000"/>
                <w:sz w:val="20"/>
              </w:rPr>
              <w:t>G1</w:t>
            </w:r>
          </w:p>
        </w:tc>
        <w:tc>
          <w:tcPr>
            <w:tcW w:w="1842" w:type="dxa"/>
          </w:tcPr>
          <w:p w:rsidR="00F214AD" w:rsidRDefault="00F214AD" w:rsidP="004A22A6">
            <w:pPr>
              <w:spacing w:before="56" w:after="35" w:line="225" w:lineRule="exact"/>
              <w:jc w:val="center"/>
              <w:textAlignment w:val="baseline"/>
              <w:rPr>
                <w:color w:val="000000"/>
                <w:sz w:val="20"/>
              </w:rPr>
            </w:pPr>
            <w:r>
              <w:rPr>
                <w:color w:val="000000"/>
                <w:sz w:val="20"/>
              </w:rPr>
              <w:t>T1a</w:t>
            </w:r>
          </w:p>
        </w:tc>
        <w:tc>
          <w:tcPr>
            <w:tcW w:w="1843" w:type="dxa"/>
          </w:tcPr>
          <w:p w:rsidR="00F214AD" w:rsidRDefault="00F214AD" w:rsidP="004A22A6">
            <w:pPr>
              <w:spacing w:before="56" w:after="35" w:line="225" w:lineRule="exact"/>
              <w:jc w:val="center"/>
              <w:textAlignment w:val="baseline"/>
              <w:rPr>
                <w:color w:val="000000"/>
                <w:sz w:val="20"/>
              </w:rPr>
            </w:pPr>
            <w:r>
              <w:rPr>
                <w:color w:val="000000"/>
                <w:sz w:val="20"/>
              </w:rPr>
              <w:t>N0</w:t>
            </w:r>
          </w:p>
        </w:tc>
        <w:tc>
          <w:tcPr>
            <w:tcW w:w="1809" w:type="dxa"/>
          </w:tcPr>
          <w:p w:rsidR="00F214AD" w:rsidRDefault="00F214AD" w:rsidP="004A22A6">
            <w:pPr>
              <w:spacing w:before="56" w:after="35" w:line="225" w:lineRule="exact"/>
              <w:jc w:val="center"/>
              <w:textAlignment w:val="baseline"/>
              <w:rPr>
                <w:color w:val="000000"/>
                <w:sz w:val="20"/>
              </w:rPr>
            </w:pPr>
            <w:r>
              <w:rPr>
                <w:color w:val="000000"/>
                <w:sz w:val="20"/>
              </w:rPr>
              <w:t>M0</w:t>
            </w:r>
          </w:p>
        </w:tc>
      </w:tr>
      <w:tr w:rsidR="00F214AD" w:rsidTr="00765B7B">
        <w:trPr>
          <w:trHeight w:hRule="exact" w:val="322"/>
        </w:trPr>
        <w:tc>
          <w:tcPr>
            <w:tcW w:w="1915" w:type="dxa"/>
            <w:gridSpan w:val="2"/>
            <w:vMerge/>
          </w:tcPr>
          <w:p w:rsidR="00F214AD" w:rsidRDefault="00F214AD" w:rsidP="004A22A6"/>
        </w:tc>
        <w:tc>
          <w:tcPr>
            <w:tcW w:w="1346" w:type="dxa"/>
            <w:gridSpan w:val="2"/>
          </w:tcPr>
          <w:p w:rsidR="00F214AD" w:rsidRDefault="00F214AD" w:rsidP="004A22A6">
            <w:pPr>
              <w:spacing w:before="56" w:after="35" w:line="225" w:lineRule="exact"/>
              <w:jc w:val="center"/>
              <w:textAlignment w:val="baseline"/>
              <w:rPr>
                <w:color w:val="000000"/>
                <w:sz w:val="20"/>
              </w:rPr>
            </w:pPr>
            <w:r>
              <w:rPr>
                <w:color w:val="000000"/>
                <w:sz w:val="20"/>
              </w:rPr>
              <w:t>G1</w:t>
            </w:r>
          </w:p>
        </w:tc>
        <w:tc>
          <w:tcPr>
            <w:tcW w:w="1842" w:type="dxa"/>
          </w:tcPr>
          <w:p w:rsidR="00F214AD" w:rsidRDefault="00F214AD" w:rsidP="004A22A6">
            <w:pPr>
              <w:spacing w:before="56" w:after="35" w:line="225" w:lineRule="exact"/>
              <w:jc w:val="center"/>
              <w:textAlignment w:val="baseline"/>
              <w:rPr>
                <w:color w:val="000000"/>
                <w:sz w:val="20"/>
              </w:rPr>
            </w:pPr>
            <w:r>
              <w:rPr>
                <w:color w:val="000000"/>
                <w:sz w:val="20"/>
              </w:rPr>
              <w:t>T1b</w:t>
            </w:r>
          </w:p>
        </w:tc>
        <w:tc>
          <w:tcPr>
            <w:tcW w:w="1843" w:type="dxa"/>
          </w:tcPr>
          <w:p w:rsidR="00F214AD" w:rsidRDefault="00F214AD" w:rsidP="004A22A6">
            <w:pPr>
              <w:spacing w:before="56" w:after="35" w:line="225" w:lineRule="exact"/>
              <w:jc w:val="center"/>
              <w:textAlignment w:val="baseline"/>
              <w:rPr>
                <w:color w:val="000000"/>
                <w:sz w:val="20"/>
              </w:rPr>
            </w:pPr>
            <w:r>
              <w:rPr>
                <w:color w:val="000000"/>
                <w:sz w:val="20"/>
              </w:rPr>
              <w:t>N0</w:t>
            </w:r>
          </w:p>
        </w:tc>
        <w:tc>
          <w:tcPr>
            <w:tcW w:w="1809" w:type="dxa"/>
          </w:tcPr>
          <w:p w:rsidR="00F214AD" w:rsidRDefault="00F214AD" w:rsidP="004A22A6">
            <w:pPr>
              <w:spacing w:before="56" w:after="35" w:line="225" w:lineRule="exact"/>
              <w:jc w:val="center"/>
              <w:textAlignment w:val="baseline"/>
              <w:rPr>
                <w:color w:val="000000"/>
                <w:sz w:val="20"/>
              </w:rPr>
            </w:pPr>
            <w:r>
              <w:rPr>
                <w:color w:val="000000"/>
                <w:sz w:val="20"/>
              </w:rPr>
              <w:t>M0</w:t>
            </w:r>
          </w:p>
        </w:tc>
      </w:tr>
      <w:tr w:rsidR="00F214AD" w:rsidTr="00765B7B">
        <w:trPr>
          <w:trHeight w:hRule="exact" w:val="317"/>
        </w:trPr>
        <w:tc>
          <w:tcPr>
            <w:tcW w:w="1915" w:type="dxa"/>
            <w:gridSpan w:val="2"/>
            <w:vMerge/>
          </w:tcPr>
          <w:p w:rsidR="00F214AD" w:rsidRDefault="00F214AD" w:rsidP="004A22A6"/>
        </w:tc>
        <w:tc>
          <w:tcPr>
            <w:tcW w:w="1346" w:type="dxa"/>
            <w:gridSpan w:val="2"/>
          </w:tcPr>
          <w:p w:rsidR="00F214AD" w:rsidRDefault="00F214AD" w:rsidP="004A22A6">
            <w:pPr>
              <w:spacing w:before="56" w:after="35" w:line="225" w:lineRule="exact"/>
              <w:jc w:val="center"/>
              <w:textAlignment w:val="baseline"/>
              <w:rPr>
                <w:color w:val="000000"/>
                <w:sz w:val="20"/>
              </w:rPr>
            </w:pPr>
            <w:r>
              <w:rPr>
                <w:color w:val="000000"/>
                <w:sz w:val="20"/>
              </w:rPr>
              <w:t>G1</w:t>
            </w:r>
          </w:p>
        </w:tc>
        <w:tc>
          <w:tcPr>
            <w:tcW w:w="1842" w:type="dxa"/>
          </w:tcPr>
          <w:p w:rsidR="00F214AD" w:rsidRDefault="00F214AD" w:rsidP="004A22A6">
            <w:pPr>
              <w:spacing w:before="56" w:after="35" w:line="225" w:lineRule="exact"/>
              <w:jc w:val="center"/>
              <w:textAlignment w:val="baseline"/>
              <w:rPr>
                <w:color w:val="000000"/>
                <w:sz w:val="20"/>
              </w:rPr>
            </w:pPr>
            <w:r>
              <w:rPr>
                <w:color w:val="000000"/>
                <w:sz w:val="20"/>
              </w:rPr>
              <w:t>T2a</w:t>
            </w:r>
          </w:p>
        </w:tc>
        <w:tc>
          <w:tcPr>
            <w:tcW w:w="1843" w:type="dxa"/>
          </w:tcPr>
          <w:p w:rsidR="00F214AD" w:rsidRDefault="00F214AD" w:rsidP="004A22A6">
            <w:pPr>
              <w:spacing w:before="56" w:after="35" w:line="225" w:lineRule="exact"/>
              <w:jc w:val="center"/>
              <w:textAlignment w:val="baseline"/>
              <w:rPr>
                <w:color w:val="000000"/>
                <w:sz w:val="20"/>
              </w:rPr>
            </w:pPr>
            <w:r>
              <w:rPr>
                <w:color w:val="000000"/>
                <w:sz w:val="20"/>
              </w:rPr>
              <w:t>N0</w:t>
            </w:r>
          </w:p>
        </w:tc>
        <w:tc>
          <w:tcPr>
            <w:tcW w:w="1809" w:type="dxa"/>
          </w:tcPr>
          <w:p w:rsidR="00F214AD" w:rsidRDefault="00F214AD" w:rsidP="004A22A6">
            <w:pPr>
              <w:spacing w:before="56" w:after="35" w:line="225" w:lineRule="exact"/>
              <w:jc w:val="center"/>
              <w:textAlignment w:val="baseline"/>
              <w:rPr>
                <w:color w:val="000000"/>
                <w:sz w:val="20"/>
              </w:rPr>
            </w:pPr>
            <w:r>
              <w:rPr>
                <w:color w:val="000000"/>
                <w:sz w:val="20"/>
              </w:rPr>
              <w:t>M0</w:t>
            </w:r>
          </w:p>
        </w:tc>
      </w:tr>
      <w:tr w:rsidR="00F214AD" w:rsidTr="00765B7B">
        <w:trPr>
          <w:trHeight w:hRule="exact" w:val="321"/>
        </w:trPr>
        <w:tc>
          <w:tcPr>
            <w:tcW w:w="1915" w:type="dxa"/>
            <w:gridSpan w:val="2"/>
            <w:vMerge/>
          </w:tcPr>
          <w:p w:rsidR="00F214AD" w:rsidRDefault="00F214AD" w:rsidP="004A22A6"/>
        </w:tc>
        <w:tc>
          <w:tcPr>
            <w:tcW w:w="1346" w:type="dxa"/>
            <w:gridSpan w:val="2"/>
          </w:tcPr>
          <w:p w:rsidR="00F214AD" w:rsidRDefault="00F214AD" w:rsidP="004A22A6">
            <w:pPr>
              <w:spacing w:before="56" w:after="35" w:line="225" w:lineRule="exact"/>
              <w:jc w:val="center"/>
              <w:textAlignment w:val="baseline"/>
              <w:rPr>
                <w:color w:val="000000"/>
                <w:sz w:val="20"/>
              </w:rPr>
            </w:pPr>
            <w:r>
              <w:rPr>
                <w:color w:val="000000"/>
                <w:sz w:val="20"/>
              </w:rPr>
              <w:t>G1</w:t>
            </w:r>
          </w:p>
        </w:tc>
        <w:tc>
          <w:tcPr>
            <w:tcW w:w="1842" w:type="dxa"/>
          </w:tcPr>
          <w:p w:rsidR="00F214AD" w:rsidRDefault="00F214AD" w:rsidP="004A22A6">
            <w:pPr>
              <w:spacing w:before="56" w:after="35" w:line="225" w:lineRule="exact"/>
              <w:jc w:val="center"/>
              <w:textAlignment w:val="baseline"/>
              <w:rPr>
                <w:color w:val="000000"/>
                <w:sz w:val="20"/>
              </w:rPr>
            </w:pPr>
            <w:r>
              <w:rPr>
                <w:color w:val="000000"/>
                <w:sz w:val="20"/>
              </w:rPr>
              <w:t>T2b</w:t>
            </w:r>
          </w:p>
        </w:tc>
        <w:tc>
          <w:tcPr>
            <w:tcW w:w="1843" w:type="dxa"/>
          </w:tcPr>
          <w:p w:rsidR="00F214AD" w:rsidRDefault="00F214AD" w:rsidP="004A22A6">
            <w:pPr>
              <w:spacing w:before="56" w:after="35" w:line="225" w:lineRule="exact"/>
              <w:jc w:val="center"/>
              <w:textAlignment w:val="baseline"/>
              <w:rPr>
                <w:color w:val="000000"/>
                <w:sz w:val="20"/>
              </w:rPr>
            </w:pPr>
            <w:r>
              <w:rPr>
                <w:color w:val="000000"/>
                <w:sz w:val="20"/>
              </w:rPr>
              <w:t>N0</w:t>
            </w:r>
          </w:p>
        </w:tc>
        <w:tc>
          <w:tcPr>
            <w:tcW w:w="1809" w:type="dxa"/>
          </w:tcPr>
          <w:p w:rsidR="00F214AD" w:rsidRDefault="00F214AD" w:rsidP="004A22A6">
            <w:pPr>
              <w:spacing w:before="56" w:after="35" w:line="225" w:lineRule="exact"/>
              <w:jc w:val="center"/>
              <w:textAlignment w:val="baseline"/>
              <w:rPr>
                <w:color w:val="000000"/>
                <w:sz w:val="20"/>
              </w:rPr>
            </w:pPr>
            <w:r>
              <w:rPr>
                <w:color w:val="000000"/>
                <w:sz w:val="20"/>
              </w:rPr>
              <w:t>M0</w:t>
            </w:r>
          </w:p>
        </w:tc>
      </w:tr>
      <w:tr w:rsidR="00F214AD" w:rsidTr="00765B7B">
        <w:trPr>
          <w:trHeight w:hRule="exact" w:val="322"/>
        </w:trPr>
        <w:tc>
          <w:tcPr>
            <w:tcW w:w="1915" w:type="dxa"/>
            <w:gridSpan w:val="2"/>
            <w:vMerge/>
          </w:tcPr>
          <w:p w:rsidR="00F214AD" w:rsidRDefault="00F214AD" w:rsidP="004A22A6"/>
        </w:tc>
        <w:tc>
          <w:tcPr>
            <w:tcW w:w="1346" w:type="dxa"/>
            <w:gridSpan w:val="2"/>
          </w:tcPr>
          <w:p w:rsidR="00F214AD" w:rsidRDefault="00F214AD" w:rsidP="004A22A6">
            <w:pPr>
              <w:spacing w:before="56" w:after="35" w:line="225" w:lineRule="exact"/>
              <w:jc w:val="center"/>
              <w:textAlignment w:val="baseline"/>
              <w:rPr>
                <w:color w:val="000000"/>
                <w:sz w:val="20"/>
              </w:rPr>
            </w:pPr>
            <w:r>
              <w:rPr>
                <w:color w:val="000000"/>
                <w:sz w:val="20"/>
              </w:rPr>
              <w:t>G2</w:t>
            </w:r>
          </w:p>
        </w:tc>
        <w:tc>
          <w:tcPr>
            <w:tcW w:w="1842" w:type="dxa"/>
          </w:tcPr>
          <w:p w:rsidR="00F214AD" w:rsidRDefault="00F214AD" w:rsidP="004A22A6">
            <w:pPr>
              <w:spacing w:before="56" w:after="35" w:line="225" w:lineRule="exact"/>
              <w:jc w:val="center"/>
              <w:textAlignment w:val="baseline"/>
              <w:rPr>
                <w:color w:val="000000"/>
                <w:sz w:val="20"/>
              </w:rPr>
            </w:pPr>
            <w:r>
              <w:rPr>
                <w:color w:val="000000"/>
                <w:sz w:val="20"/>
              </w:rPr>
              <w:t>T1a</w:t>
            </w:r>
          </w:p>
        </w:tc>
        <w:tc>
          <w:tcPr>
            <w:tcW w:w="1843" w:type="dxa"/>
          </w:tcPr>
          <w:p w:rsidR="00F214AD" w:rsidRDefault="00F214AD" w:rsidP="004A22A6">
            <w:pPr>
              <w:spacing w:before="56" w:after="35" w:line="225" w:lineRule="exact"/>
              <w:jc w:val="center"/>
              <w:textAlignment w:val="baseline"/>
              <w:rPr>
                <w:color w:val="000000"/>
                <w:sz w:val="20"/>
              </w:rPr>
            </w:pPr>
            <w:r>
              <w:rPr>
                <w:color w:val="000000"/>
                <w:sz w:val="20"/>
              </w:rPr>
              <w:t>N0</w:t>
            </w:r>
          </w:p>
        </w:tc>
        <w:tc>
          <w:tcPr>
            <w:tcW w:w="1809" w:type="dxa"/>
          </w:tcPr>
          <w:p w:rsidR="00F214AD" w:rsidRDefault="00F214AD" w:rsidP="004A22A6">
            <w:pPr>
              <w:spacing w:before="56" w:after="35" w:line="225" w:lineRule="exact"/>
              <w:jc w:val="center"/>
              <w:textAlignment w:val="baseline"/>
              <w:rPr>
                <w:color w:val="000000"/>
                <w:sz w:val="20"/>
              </w:rPr>
            </w:pPr>
            <w:r>
              <w:rPr>
                <w:color w:val="000000"/>
                <w:sz w:val="20"/>
              </w:rPr>
              <w:t>M0</w:t>
            </w:r>
          </w:p>
        </w:tc>
      </w:tr>
      <w:tr w:rsidR="00F214AD" w:rsidTr="00765B7B">
        <w:trPr>
          <w:trHeight w:hRule="exact" w:val="317"/>
        </w:trPr>
        <w:tc>
          <w:tcPr>
            <w:tcW w:w="1915" w:type="dxa"/>
            <w:gridSpan w:val="2"/>
            <w:vMerge/>
          </w:tcPr>
          <w:p w:rsidR="00F214AD" w:rsidRDefault="00F214AD" w:rsidP="004A22A6"/>
        </w:tc>
        <w:tc>
          <w:tcPr>
            <w:tcW w:w="1346" w:type="dxa"/>
            <w:gridSpan w:val="2"/>
          </w:tcPr>
          <w:p w:rsidR="00F214AD" w:rsidRDefault="00F214AD" w:rsidP="004A22A6">
            <w:pPr>
              <w:spacing w:before="56" w:after="35" w:line="225" w:lineRule="exact"/>
              <w:jc w:val="center"/>
              <w:textAlignment w:val="baseline"/>
              <w:rPr>
                <w:color w:val="000000"/>
                <w:sz w:val="20"/>
              </w:rPr>
            </w:pPr>
            <w:r>
              <w:rPr>
                <w:color w:val="000000"/>
                <w:sz w:val="20"/>
              </w:rPr>
              <w:t>G2</w:t>
            </w:r>
          </w:p>
        </w:tc>
        <w:tc>
          <w:tcPr>
            <w:tcW w:w="1842" w:type="dxa"/>
          </w:tcPr>
          <w:p w:rsidR="00F214AD" w:rsidRDefault="00F214AD" w:rsidP="004A22A6">
            <w:pPr>
              <w:spacing w:before="56" w:after="35" w:line="225" w:lineRule="exact"/>
              <w:jc w:val="center"/>
              <w:textAlignment w:val="baseline"/>
              <w:rPr>
                <w:color w:val="000000"/>
                <w:sz w:val="20"/>
              </w:rPr>
            </w:pPr>
            <w:r>
              <w:rPr>
                <w:color w:val="000000"/>
                <w:sz w:val="20"/>
              </w:rPr>
              <w:t>T1b</w:t>
            </w:r>
          </w:p>
        </w:tc>
        <w:tc>
          <w:tcPr>
            <w:tcW w:w="1843" w:type="dxa"/>
          </w:tcPr>
          <w:p w:rsidR="00F214AD" w:rsidRDefault="00F214AD" w:rsidP="004A22A6">
            <w:pPr>
              <w:spacing w:before="56" w:after="35" w:line="225" w:lineRule="exact"/>
              <w:jc w:val="center"/>
              <w:textAlignment w:val="baseline"/>
              <w:rPr>
                <w:color w:val="000000"/>
                <w:sz w:val="20"/>
              </w:rPr>
            </w:pPr>
            <w:r>
              <w:rPr>
                <w:color w:val="000000"/>
                <w:sz w:val="20"/>
              </w:rPr>
              <w:t>N0</w:t>
            </w:r>
          </w:p>
        </w:tc>
        <w:tc>
          <w:tcPr>
            <w:tcW w:w="1809" w:type="dxa"/>
          </w:tcPr>
          <w:p w:rsidR="00F214AD" w:rsidRDefault="00F214AD" w:rsidP="004A22A6">
            <w:pPr>
              <w:spacing w:before="56" w:after="35" w:line="225" w:lineRule="exact"/>
              <w:jc w:val="center"/>
              <w:textAlignment w:val="baseline"/>
              <w:rPr>
                <w:color w:val="000000"/>
                <w:sz w:val="20"/>
              </w:rPr>
            </w:pPr>
            <w:r>
              <w:rPr>
                <w:color w:val="000000"/>
                <w:sz w:val="20"/>
              </w:rPr>
              <w:t>M0</w:t>
            </w:r>
          </w:p>
        </w:tc>
      </w:tr>
      <w:tr w:rsidR="00F214AD" w:rsidTr="00765B7B">
        <w:trPr>
          <w:trHeight w:hRule="exact" w:val="321"/>
        </w:trPr>
        <w:tc>
          <w:tcPr>
            <w:tcW w:w="1915" w:type="dxa"/>
            <w:gridSpan w:val="2"/>
            <w:vMerge/>
          </w:tcPr>
          <w:p w:rsidR="00F214AD" w:rsidRDefault="00F214AD" w:rsidP="004A22A6"/>
        </w:tc>
        <w:tc>
          <w:tcPr>
            <w:tcW w:w="1346" w:type="dxa"/>
            <w:gridSpan w:val="2"/>
          </w:tcPr>
          <w:p w:rsidR="00F214AD" w:rsidRDefault="00F214AD" w:rsidP="004A22A6">
            <w:pPr>
              <w:spacing w:before="56" w:after="35" w:line="225" w:lineRule="exact"/>
              <w:jc w:val="center"/>
              <w:textAlignment w:val="baseline"/>
              <w:rPr>
                <w:color w:val="000000"/>
                <w:sz w:val="20"/>
              </w:rPr>
            </w:pPr>
            <w:r>
              <w:rPr>
                <w:color w:val="000000"/>
                <w:sz w:val="20"/>
              </w:rPr>
              <w:t>G2</w:t>
            </w:r>
          </w:p>
        </w:tc>
        <w:tc>
          <w:tcPr>
            <w:tcW w:w="1842" w:type="dxa"/>
          </w:tcPr>
          <w:p w:rsidR="00F214AD" w:rsidRDefault="00F214AD" w:rsidP="004A22A6">
            <w:pPr>
              <w:spacing w:before="56" w:after="35" w:line="225" w:lineRule="exact"/>
              <w:jc w:val="center"/>
              <w:textAlignment w:val="baseline"/>
              <w:rPr>
                <w:color w:val="000000"/>
                <w:sz w:val="20"/>
              </w:rPr>
            </w:pPr>
            <w:r>
              <w:rPr>
                <w:color w:val="000000"/>
                <w:sz w:val="20"/>
              </w:rPr>
              <w:t>T2a</w:t>
            </w:r>
          </w:p>
        </w:tc>
        <w:tc>
          <w:tcPr>
            <w:tcW w:w="1843" w:type="dxa"/>
          </w:tcPr>
          <w:p w:rsidR="00F214AD" w:rsidRDefault="00F214AD" w:rsidP="004A22A6">
            <w:pPr>
              <w:spacing w:before="56" w:after="35" w:line="225" w:lineRule="exact"/>
              <w:jc w:val="center"/>
              <w:textAlignment w:val="baseline"/>
              <w:rPr>
                <w:color w:val="000000"/>
                <w:sz w:val="20"/>
              </w:rPr>
            </w:pPr>
            <w:r>
              <w:rPr>
                <w:color w:val="000000"/>
                <w:sz w:val="20"/>
              </w:rPr>
              <w:t>N0</w:t>
            </w:r>
          </w:p>
        </w:tc>
        <w:tc>
          <w:tcPr>
            <w:tcW w:w="1809" w:type="dxa"/>
          </w:tcPr>
          <w:p w:rsidR="00F214AD" w:rsidRDefault="00F214AD" w:rsidP="004A22A6">
            <w:pPr>
              <w:spacing w:before="56" w:after="35" w:line="225" w:lineRule="exact"/>
              <w:jc w:val="center"/>
              <w:textAlignment w:val="baseline"/>
              <w:rPr>
                <w:color w:val="000000"/>
                <w:sz w:val="20"/>
              </w:rPr>
            </w:pPr>
            <w:r>
              <w:rPr>
                <w:color w:val="000000"/>
                <w:sz w:val="20"/>
              </w:rPr>
              <w:t>M0</w:t>
            </w:r>
          </w:p>
        </w:tc>
      </w:tr>
      <w:tr w:rsidR="00F214AD" w:rsidTr="00765B7B">
        <w:trPr>
          <w:trHeight w:hRule="exact" w:val="322"/>
        </w:trPr>
        <w:tc>
          <w:tcPr>
            <w:tcW w:w="1915" w:type="dxa"/>
            <w:gridSpan w:val="2"/>
            <w:vMerge/>
          </w:tcPr>
          <w:p w:rsidR="00F214AD" w:rsidRDefault="00F214AD" w:rsidP="004A22A6"/>
        </w:tc>
        <w:tc>
          <w:tcPr>
            <w:tcW w:w="1346" w:type="dxa"/>
            <w:gridSpan w:val="2"/>
          </w:tcPr>
          <w:p w:rsidR="00F214AD" w:rsidRDefault="00F214AD" w:rsidP="004A22A6">
            <w:pPr>
              <w:spacing w:before="56" w:after="35" w:line="225" w:lineRule="exact"/>
              <w:jc w:val="center"/>
              <w:textAlignment w:val="baseline"/>
              <w:rPr>
                <w:color w:val="000000"/>
                <w:sz w:val="20"/>
              </w:rPr>
            </w:pPr>
            <w:r>
              <w:rPr>
                <w:color w:val="000000"/>
                <w:sz w:val="20"/>
              </w:rPr>
              <w:t>G2</w:t>
            </w:r>
          </w:p>
        </w:tc>
        <w:tc>
          <w:tcPr>
            <w:tcW w:w="1842" w:type="dxa"/>
          </w:tcPr>
          <w:p w:rsidR="00F214AD" w:rsidRDefault="00F214AD" w:rsidP="004A22A6">
            <w:pPr>
              <w:spacing w:before="56" w:after="35" w:line="225" w:lineRule="exact"/>
              <w:jc w:val="center"/>
              <w:textAlignment w:val="baseline"/>
              <w:rPr>
                <w:color w:val="000000"/>
                <w:sz w:val="20"/>
              </w:rPr>
            </w:pPr>
            <w:r>
              <w:rPr>
                <w:color w:val="000000"/>
                <w:sz w:val="20"/>
              </w:rPr>
              <w:t>T2b</w:t>
            </w:r>
          </w:p>
        </w:tc>
        <w:tc>
          <w:tcPr>
            <w:tcW w:w="1843" w:type="dxa"/>
          </w:tcPr>
          <w:p w:rsidR="00F214AD" w:rsidRDefault="00F214AD" w:rsidP="004A22A6">
            <w:pPr>
              <w:spacing w:before="56" w:after="35" w:line="225" w:lineRule="exact"/>
              <w:jc w:val="center"/>
              <w:textAlignment w:val="baseline"/>
              <w:rPr>
                <w:color w:val="000000"/>
                <w:sz w:val="20"/>
              </w:rPr>
            </w:pPr>
            <w:r>
              <w:rPr>
                <w:color w:val="000000"/>
                <w:sz w:val="20"/>
              </w:rPr>
              <w:t>N0</w:t>
            </w:r>
          </w:p>
        </w:tc>
        <w:tc>
          <w:tcPr>
            <w:tcW w:w="1809" w:type="dxa"/>
          </w:tcPr>
          <w:p w:rsidR="00F214AD" w:rsidRDefault="00F214AD" w:rsidP="004A22A6">
            <w:pPr>
              <w:spacing w:before="56" w:after="35" w:line="225" w:lineRule="exact"/>
              <w:jc w:val="center"/>
              <w:textAlignment w:val="baseline"/>
              <w:rPr>
                <w:color w:val="000000"/>
                <w:sz w:val="20"/>
              </w:rPr>
            </w:pPr>
            <w:r>
              <w:rPr>
                <w:color w:val="000000"/>
                <w:sz w:val="20"/>
              </w:rPr>
              <w:t>M0</w:t>
            </w:r>
          </w:p>
        </w:tc>
      </w:tr>
      <w:tr w:rsidR="00F214AD" w:rsidTr="00765B7B">
        <w:trPr>
          <w:trHeight w:hRule="exact" w:val="317"/>
        </w:trPr>
        <w:tc>
          <w:tcPr>
            <w:tcW w:w="1915" w:type="dxa"/>
            <w:gridSpan w:val="2"/>
            <w:vMerge w:val="restart"/>
          </w:tcPr>
          <w:p w:rsidR="00F214AD" w:rsidRDefault="00F214AD" w:rsidP="004A22A6">
            <w:pPr>
              <w:spacing w:before="56" w:after="352" w:line="225" w:lineRule="exact"/>
              <w:ind w:left="115"/>
              <w:textAlignment w:val="baseline"/>
              <w:rPr>
                <w:b/>
                <w:color w:val="000000"/>
                <w:sz w:val="20"/>
              </w:rPr>
            </w:pPr>
            <w:r>
              <w:rPr>
                <w:b/>
                <w:color w:val="000000"/>
                <w:sz w:val="20"/>
              </w:rPr>
              <w:t>Stage II</w:t>
            </w:r>
          </w:p>
        </w:tc>
        <w:tc>
          <w:tcPr>
            <w:tcW w:w="1346" w:type="dxa"/>
            <w:gridSpan w:val="2"/>
          </w:tcPr>
          <w:p w:rsidR="00F214AD" w:rsidRDefault="00F214AD" w:rsidP="004A22A6">
            <w:pPr>
              <w:spacing w:before="56" w:after="35" w:line="225" w:lineRule="exact"/>
              <w:jc w:val="center"/>
              <w:textAlignment w:val="baseline"/>
              <w:rPr>
                <w:color w:val="000000"/>
                <w:sz w:val="20"/>
              </w:rPr>
            </w:pPr>
            <w:r>
              <w:rPr>
                <w:color w:val="000000"/>
                <w:sz w:val="20"/>
              </w:rPr>
              <w:t>G3</w:t>
            </w:r>
          </w:p>
        </w:tc>
        <w:tc>
          <w:tcPr>
            <w:tcW w:w="1842" w:type="dxa"/>
          </w:tcPr>
          <w:p w:rsidR="00F214AD" w:rsidRDefault="00F214AD" w:rsidP="004A22A6">
            <w:pPr>
              <w:spacing w:before="56" w:after="35" w:line="225" w:lineRule="exact"/>
              <w:jc w:val="center"/>
              <w:textAlignment w:val="baseline"/>
              <w:rPr>
                <w:color w:val="000000"/>
                <w:sz w:val="20"/>
              </w:rPr>
            </w:pPr>
            <w:r>
              <w:rPr>
                <w:color w:val="000000"/>
                <w:sz w:val="20"/>
              </w:rPr>
              <w:t>T1a</w:t>
            </w:r>
          </w:p>
        </w:tc>
        <w:tc>
          <w:tcPr>
            <w:tcW w:w="1843" w:type="dxa"/>
          </w:tcPr>
          <w:p w:rsidR="00F214AD" w:rsidRDefault="00F214AD" w:rsidP="004A22A6">
            <w:pPr>
              <w:spacing w:before="56" w:after="35" w:line="225" w:lineRule="exact"/>
              <w:jc w:val="center"/>
              <w:textAlignment w:val="baseline"/>
              <w:rPr>
                <w:color w:val="000000"/>
                <w:sz w:val="20"/>
              </w:rPr>
            </w:pPr>
            <w:r>
              <w:rPr>
                <w:color w:val="000000"/>
                <w:sz w:val="20"/>
              </w:rPr>
              <w:t>N0</w:t>
            </w:r>
          </w:p>
        </w:tc>
        <w:tc>
          <w:tcPr>
            <w:tcW w:w="1809" w:type="dxa"/>
          </w:tcPr>
          <w:p w:rsidR="00F214AD" w:rsidRDefault="00F214AD" w:rsidP="004A22A6">
            <w:pPr>
              <w:spacing w:before="56" w:after="35" w:line="225" w:lineRule="exact"/>
              <w:jc w:val="center"/>
              <w:textAlignment w:val="baseline"/>
              <w:rPr>
                <w:color w:val="000000"/>
                <w:sz w:val="20"/>
              </w:rPr>
            </w:pPr>
            <w:r>
              <w:rPr>
                <w:color w:val="000000"/>
                <w:sz w:val="20"/>
              </w:rPr>
              <w:t>M0</w:t>
            </w:r>
          </w:p>
        </w:tc>
      </w:tr>
      <w:tr w:rsidR="00F214AD" w:rsidTr="00765B7B">
        <w:trPr>
          <w:trHeight w:hRule="exact" w:val="326"/>
        </w:trPr>
        <w:tc>
          <w:tcPr>
            <w:tcW w:w="1915" w:type="dxa"/>
            <w:gridSpan w:val="2"/>
            <w:vMerge/>
          </w:tcPr>
          <w:p w:rsidR="00F214AD" w:rsidRDefault="00F214AD" w:rsidP="004A22A6"/>
        </w:tc>
        <w:tc>
          <w:tcPr>
            <w:tcW w:w="1346" w:type="dxa"/>
            <w:gridSpan w:val="2"/>
          </w:tcPr>
          <w:p w:rsidR="00F214AD" w:rsidRDefault="00F214AD" w:rsidP="004A22A6">
            <w:pPr>
              <w:spacing w:before="56" w:after="35" w:line="225" w:lineRule="exact"/>
              <w:jc w:val="center"/>
              <w:textAlignment w:val="baseline"/>
              <w:rPr>
                <w:color w:val="000000"/>
                <w:sz w:val="20"/>
              </w:rPr>
            </w:pPr>
            <w:r>
              <w:rPr>
                <w:color w:val="000000"/>
                <w:sz w:val="20"/>
              </w:rPr>
              <w:t>G3</w:t>
            </w:r>
          </w:p>
        </w:tc>
        <w:tc>
          <w:tcPr>
            <w:tcW w:w="1842" w:type="dxa"/>
          </w:tcPr>
          <w:p w:rsidR="00F214AD" w:rsidRDefault="00F214AD" w:rsidP="004A22A6">
            <w:pPr>
              <w:spacing w:before="56" w:after="35" w:line="225" w:lineRule="exact"/>
              <w:jc w:val="center"/>
              <w:textAlignment w:val="baseline"/>
              <w:rPr>
                <w:color w:val="000000"/>
                <w:sz w:val="20"/>
              </w:rPr>
            </w:pPr>
            <w:r>
              <w:rPr>
                <w:color w:val="000000"/>
                <w:sz w:val="20"/>
              </w:rPr>
              <w:t>T1b</w:t>
            </w:r>
          </w:p>
        </w:tc>
        <w:tc>
          <w:tcPr>
            <w:tcW w:w="1843" w:type="dxa"/>
          </w:tcPr>
          <w:p w:rsidR="00F214AD" w:rsidRDefault="00F214AD" w:rsidP="004A22A6">
            <w:pPr>
              <w:spacing w:before="56" w:after="35" w:line="225" w:lineRule="exact"/>
              <w:jc w:val="center"/>
              <w:textAlignment w:val="baseline"/>
              <w:rPr>
                <w:color w:val="000000"/>
                <w:sz w:val="20"/>
              </w:rPr>
            </w:pPr>
            <w:r>
              <w:rPr>
                <w:color w:val="000000"/>
                <w:sz w:val="20"/>
              </w:rPr>
              <w:t>N0</w:t>
            </w:r>
          </w:p>
        </w:tc>
        <w:tc>
          <w:tcPr>
            <w:tcW w:w="1809" w:type="dxa"/>
          </w:tcPr>
          <w:p w:rsidR="00F214AD" w:rsidRDefault="00F214AD" w:rsidP="004A22A6">
            <w:pPr>
              <w:spacing w:before="56" w:after="35" w:line="225" w:lineRule="exact"/>
              <w:jc w:val="center"/>
              <w:textAlignment w:val="baseline"/>
              <w:rPr>
                <w:color w:val="000000"/>
                <w:sz w:val="20"/>
              </w:rPr>
            </w:pPr>
            <w:r>
              <w:rPr>
                <w:color w:val="000000"/>
                <w:sz w:val="20"/>
              </w:rPr>
              <w:t>M0</w:t>
            </w:r>
          </w:p>
        </w:tc>
      </w:tr>
      <w:tr w:rsidR="00F214AD" w:rsidTr="00765B7B">
        <w:trPr>
          <w:trHeight w:hRule="exact" w:val="322"/>
        </w:trPr>
        <w:tc>
          <w:tcPr>
            <w:tcW w:w="1915" w:type="dxa"/>
            <w:gridSpan w:val="2"/>
            <w:vMerge/>
          </w:tcPr>
          <w:p w:rsidR="00F214AD" w:rsidRDefault="00F214AD" w:rsidP="004A22A6">
            <w:pPr>
              <w:spacing w:before="249" w:after="496" w:line="268" w:lineRule="exact"/>
              <w:ind w:left="108"/>
              <w:textAlignment w:val="baseline"/>
              <w:rPr>
                <w:b/>
                <w:color w:val="000000"/>
                <w:sz w:val="20"/>
              </w:rPr>
            </w:pPr>
          </w:p>
        </w:tc>
        <w:tc>
          <w:tcPr>
            <w:tcW w:w="1346" w:type="dxa"/>
            <w:gridSpan w:val="2"/>
          </w:tcPr>
          <w:p w:rsidR="00F214AD" w:rsidRDefault="00F214AD" w:rsidP="004A22A6">
            <w:pPr>
              <w:spacing w:before="56" w:after="35" w:line="225" w:lineRule="exact"/>
              <w:jc w:val="center"/>
              <w:textAlignment w:val="baseline"/>
              <w:rPr>
                <w:color w:val="000000"/>
                <w:sz w:val="20"/>
              </w:rPr>
            </w:pPr>
            <w:r>
              <w:rPr>
                <w:color w:val="000000"/>
                <w:sz w:val="20"/>
              </w:rPr>
              <w:t>G3</w:t>
            </w:r>
          </w:p>
        </w:tc>
        <w:tc>
          <w:tcPr>
            <w:tcW w:w="1842" w:type="dxa"/>
          </w:tcPr>
          <w:p w:rsidR="00F214AD" w:rsidRDefault="00F214AD" w:rsidP="004A22A6">
            <w:pPr>
              <w:spacing w:before="56" w:after="35" w:line="225" w:lineRule="exact"/>
              <w:jc w:val="center"/>
              <w:textAlignment w:val="baseline"/>
              <w:rPr>
                <w:color w:val="000000"/>
                <w:sz w:val="20"/>
              </w:rPr>
            </w:pPr>
            <w:r>
              <w:rPr>
                <w:color w:val="000000"/>
                <w:sz w:val="20"/>
              </w:rPr>
              <w:t>T2a</w:t>
            </w:r>
          </w:p>
        </w:tc>
        <w:tc>
          <w:tcPr>
            <w:tcW w:w="1843" w:type="dxa"/>
          </w:tcPr>
          <w:p w:rsidR="00F214AD" w:rsidRDefault="00F214AD" w:rsidP="004A22A6">
            <w:pPr>
              <w:spacing w:before="56" w:after="35" w:line="225" w:lineRule="exact"/>
              <w:jc w:val="center"/>
              <w:textAlignment w:val="baseline"/>
              <w:rPr>
                <w:color w:val="000000"/>
                <w:sz w:val="20"/>
              </w:rPr>
            </w:pPr>
            <w:r>
              <w:rPr>
                <w:color w:val="000000"/>
                <w:sz w:val="20"/>
              </w:rPr>
              <w:t>N0</w:t>
            </w:r>
          </w:p>
        </w:tc>
        <w:tc>
          <w:tcPr>
            <w:tcW w:w="1809" w:type="dxa"/>
          </w:tcPr>
          <w:p w:rsidR="00F214AD" w:rsidRDefault="00F214AD" w:rsidP="004A22A6">
            <w:pPr>
              <w:spacing w:before="56" w:after="35" w:line="225" w:lineRule="exact"/>
              <w:jc w:val="center"/>
              <w:textAlignment w:val="baseline"/>
              <w:rPr>
                <w:color w:val="000000"/>
                <w:sz w:val="20"/>
              </w:rPr>
            </w:pPr>
            <w:r>
              <w:rPr>
                <w:color w:val="000000"/>
                <w:sz w:val="20"/>
              </w:rPr>
              <w:t>M0</w:t>
            </w:r>
          </w:p>
        </w:tc>
      </w:tr>
      <w:tr w:rsidR="00F214AD" w:rsidTr="00765B7B">
        <w:trPr>
          <w:trHeight w:hRule="exact" w:val="321"/>
        </w:trPr>
        <w:tc>
          <w:tcPr>
            <w:tcW w:w="1915" w:type="dxa"/>
            <w:gridSpan w:val="2"/>
            <w:vMerge/>
          </w:tcPr>
          <w:p w:rsidR="00F214AD" w:rsidRDefault="00F214AD" w:rsidP="004A22A6"/>
        </w:tc>
        <w:tc>
          <w:tcPr>
            <w:tcW w:w="1346" w:type="dxa"/>
            <w:gridSpan w:val="2"/>
          </w:tcPr>
          <w:p w:rsidR="00F214AD" w:rsidRDefault="00F214AD" w:rsidP="004A22A6">
            <w:pPr>
              <w:spacing w:before="56" w:after="35" w:line="225" w:lineRule="exact"/>
              <w:jc w:val="center"/>
              <w:textAlignment w:val="baseline"/>
              <w:rPr>
                <w:color w:val="000000"/>
                <w:sz w:val="20"/>
              </w:rPr>
            </w:pPr>
            <w:r>
              <w:rPr>
                <w:color w:val="000000"/>
                <w:sz w:val="20"/>
              </w:rPr>
              <w:t>G4</w:t>
            </w:r>
          </w:p>
        </w:tc>
        <w:tc>
          <w:tcPr>
            <w:tcW w:w="1842" w:type="dxa"/>
          </w:tcPr>
          <w:p w:rsidR="00F214AD" w:rsidRDefault="00F214AD" w:rsidP="004A22A6">
            <w:pPr>
              <w:spacing w:before="56" w:after="35" w:line="225" w:lineRule="exact"/>
              <w:jc w:val="center"/>
              <w:textAlignment w:val="baseline"/>
              <w:rPr>
                <w:color w:val="000000"/>
                <w:sz w:val="20"/>
              </w:rPr>
            </w:pPr>
            <w:r>
              <w:rPr>
                <w:color w:val="000000"/>
                <w:sz w:val="20"/>
              </w:rPr>
              <w:t>T1a</w:t>
            </w:r>
          </w:p>
        </w:tc>
        <w:tc>
          <w:tcPr>
            <w:tcW w:w="1843" w:type="dxa"/>
          </w:tcPr>
          <w:p w:rsidR="00F214AD" w:rsidRDefault="00F214AD" w:rsidP="004A22A6">
            <w:pPr>
              <w:spacing w:before="56" w:after="35" w:line="225" w:lineRule="exact"/>
              <w:jc w:val="center"/>
              <w:textAlignment w:val="baseline"/>
              <w:rPr>
                <w:color w:val="000000"/>
                <w:sz w:val="20"/>
              </w:rPr>
            </w:pPr>
            <w:r>
              <w:rPr>
                <w:color w:val="000000"/>
                <w:sz w:val="20"/>
              </w:rPr>
              <w:t>N0</w:t>
            </w:r>
          </w:p>
        </w:tc>
        <w:tc>
          <w:tcPr>
            <w:tcW w:w="1809" w:type="dxa"/>
          </w:tcPr>
          <w:p w:rsidR="00F214AD" w:rsidRDefault="00F214AD" w:rsidP="004A22A6">
            <w:pPr>
              <w:spacing w:before="56" w:after="35" w:line="225" w:lineRule="exact"/>
              <w:jc w:val="center"/>
              <w:textAlignment w:val="baseline"/>
              <w:rPr>
                <w:color w:val="000000"/>
                <w:sz w:val="20"/>
              </w:rPr>
            </w:pPr>
            <w:r>
              <w:rPr>
                <w:color w:val="000000"/>
                <w:sz w:val="20"/>
              </w:rPr>
              <w:t>M0</w:t>
            </w:r>
          </w:p>
        </w:tc>
      </w:tr>
      <w:tr w:rsidR="00F214AD" w:rsidTr="00765B7B">
        <w:trPr>
          <w:trHeight w:hRule="exact" w:val="322"/>
        </w:trPr>
        <w:tc>
          <w:tcPr>
            <w:tcW w:w="1915" w:type="dxa"/>
            <w:gridSpan w:val="2"/>
            <w:vMerge/>
          </w:tcPr>
          <w:p w:rsidR="00F214AD" w:rsidRDefault="00F214AD" w:rsidP="004A22A6"/>
        </w:tc>
        <w:tc>
          <w:tcPr>
            <w:tcW w:w="1346" w:type="dxa"/>
            <w:gridSpan w:val="2"/>
          </w:tcPr>
          <w:p w:rsidR="00F214AD" w:rsidRDefault="00F214AD" w:rsidP="004A22A6">
            <w:pPr>
              <w:spacing w:before="56" w:after="35" w:line="225" w:lineRule="exact"/>
              <w:jc w:val="center"/>
              <w:textAlignment w:val="baseline"/>
              <w:rPr>
                <w:color w:val="000000"/>
                <w:sz w:val="20"/>
              </w:rPr>
            </w:pPr>
            <w:r>
              <w:rPr>
                <w:color w:val="000000"/>
                <w:sz w:val="20"/>
              </w:rPr>
              <w:t>G4</w:t>
            </w:r>
          </w:p>
        </w:tc>
        <w:tc>
          <w:tcPr>
            <w:tcW w:w="1842" w:type="dxa"/>
          </w:tcPr>
          <w:p w:rsidR="00F214AD" w:rsidRDefault="00F214AD" w:rsidP="004A22A6">
            <w:pPr>
              <w:spacing w:before="56" w:after="35" w:line="225" w:lineRule="exact"/>
              <w:jc w:val="center"/>
              <w:textAlignment w:val="baseline"/>
              <w:rPr>
                <w:color w:val="000000"/>
                <w:sz w:val="20"/>
              </w:rPr>
            </w:pPr>
            <w:r>
              <w:rPr>
                <w:color w:val="000000"/>
                <w:sz w:val="20"/>
              </w:rPr>
              <w:t>T1b</w:t>
            </w:r>
          </w:p>
        </w:tc>
        <w:tc>
          <w:tcPr>
            <w:tcW w:w="1843" w:type="dxa"/>
          </w:tcPr>
          <w:p w:rsidR="00F214AD" w:rsidRDefault="00F214AD" w:rsidP="004A22A6">
            <w:pPr>
              <w:spacing w:before="56" w:after="35" w:line="225" w:lineRule="exact"/>
              <w:jc w:val="center"/>
              <w:textAlignment w:val="baseline"/>
              <w:rPr>
                <w:color w:val="000000"/>
                <w:sz w:val="20"/>
              </w:rPr>
            </w:pPr>
            <w:r>
              <w:rPr>
                <w:color w:val="000000"/>
                <w:sz w:val="20"/>
              </w:rPr>
              <w:t>N0</w:t>
            </w:r>
          </w:p>
        </w:tc>
        <w:tc>
          <w:tcPr>
            <w:tcW w:w="1809" w:type="dxa"/>
          </w:tcPr>
          <w:p w:rsidR="00F214AD" w:rsidRDefault="00F214AD" w:rsidP="004A22A6">
            <w:pPr>
              <w:spacing w:before="56" w:after="35" w:line="225" w:lineRule="exact"/>
              <w:jc w:val="center"/>
              <w:textAlignment w:val="baseline"/>
              <w:rPr>
                <w:color w:val="000000"/>
                <w:sz w:val="20"/>
              </w:rPr>
            </w:pPr>
            <w:r>
              <w:rPr>
                <w:color w:val="000000"/>
                <w:sz w:val="20"/>
              </w:rPr>
              <w:t>M0</w:t>
            </w:r>
          </w:p>
        </w:tc>
      </w:tr>
      <w:tr w:rsidR="00F214AD" w:rsidTr="00765B7B">
        <w:trPr>
          <w:trHeight w:hRule="exact" w:val="317"/>
        </w:trPr>
        <w:tc>
          <w:tcPr>
            <w:tcW w:w="1915" w:type="dxa"/>
            <w:gridSpan w:val="2"/>
            <w:vMerge/>
          </w:tcPr>
          <w:p w:rsidR="00F214AD" w:rsidRDefault="00F214AD" w:rsidP="004A22A6"/>
        </w:tc>
        <w:tc>
          <w:tcPr>
            <w:tcW w:w="1346" w:type="dxa"/>
            <w:gridSpan w:val="2"/>
          </w:tcPr>
          <w:p w:rsidR="00F214AD" w:rsidRDefault="00F214AD" w:rsidP="004A22A6">
            <w:pPr>
              <w:spacing w:before="56" w:after="35" w:line="225" w:lineRule="exact"/>
              <w:jc w:val="center"/>
              <w:textAlignment w:val="baseline"/>
              <w:rPr>
                <w:color w:val="000000"/>
                <w:sz w:val="20"/>
              </w:rPr>
            </w:pPr>
            <w:r>
              <w:rPr>
                <w:color w:val="000000"/>
                <w:sz w:val="20"/>
              </w:rPr>
              <w:t>G4</w:t>
            </w:r>
          </w:p>
        </w:tc>
        <w:tc>
          <w:tcPr>
            <w:tcW w:w="1842" w:type="dxa"/>
          </w:tcPr>
          <w:p w:rsidR="00F214AD" w:rsidRDefault="00F214AD" w:rsidP="004A22A6">
            <w:pPr>
              <w:spacing w:before="56" w:after="35" w:line="225" w:lineRule="exact"/>
              <w:jc w:val="center"/>
              <w:textAlignment w:val="baseline"/>
              <w:rPr>
                <w:color w:val="000000"/>
                <w:sz w:val="20"/>
              </w:rPr>
            </w:pPr>
            <w:r>
              <w:rPr>
                <w:color w:val="000000"/>
                <w:sz w:val="20"/>
              </w:rPr>
              <w:t>T2a</w:t>
            </w:r>
          </w:p>
        </w:tc>
        <w:tc>
          <w:tcPr>
            <w:tcW w:w="1843" w:type="dxa"/>
          </w:tcPr>
          <w:p w:rsidR="00F214AD" w:rsidRDefault="00F214AD" w:rsidP="004A22A6">
            <w:pPr>
              <w:spacing w:before="56" w:after="35" w:line="225" w:lineRule="exact"/>
              <w:jc w:val="center"/>
              <w:textAlignment w:val="baseline"/>
              <w:rPr>
                <w:color w:val="000000"/>
                <w:sz w:val="20"/>
              </w:rPr>
            </w:pPr>
            <w:r>
              <w:rPr>
                <w:color w:val="000000"/>
                <w:sz w:val="20"/>
              </w:rPr>
              <w:t>N0</w:t>
            </w:r>
          </w:p>
        </w:tc>
        <w:tc>
          <w:tcPr>
            <w:tcW w:w="1809" w:type="dxa"/>
          </w:tcPr>
          <w:p w:rsidR="00F214AD" w:rsidRDefault="00F214AD" w:rsidP="004A22A6">
            <w:pPr>
              <w:spacing w:before="56" w:after="35" w:line="225" w:lineRule="exact"/>
              <w:jc w:val="center"/>
              <w:textAlignment w:val="baseline"/>
              <w:rPr>
                <w:color w:val="000000"/>
                <w:sz w:val="20"/>
              </w:rPr>
            </w:pPr>
            <w:r>
              <w:rPr>
                <w:color w:val="000000"/>
                <w:sz w:val="20"/>
              </w:rPr>
              <w:t>M0</w:t>
            </w:r>
          </w:p>
        </w:tc>
      </w:tr>
      <w:tr w:rsidR="00F214AD" w:rsidTr="00765B7B">
        <w:trPr>
          <w:trHeight w:hRule="exact" w:val="321"/>
        </w:trPr>
        <w:tc>
          <w:tcPr>
            <w:tcW w:w="1915" w:type="dxa"/>
            <w:gridSpan w:val="2"/>
            <w:vMerge w:val="restart"/>
          </w:tcPr>
          <w:p w:rsidR="00F214AD" w:rsidRDefault="00F214AD" w:rsidP="004A22A6">
            <w:pPr>
              <w:spacing w:before="71" w:after="347" w:line="215" w:lineRule="exact"/>
              <w:ind w:left="115"/>
              <w:textAlignment w:val="baseline"/>
              <w:rPr>
                <w:b/>
                <w:color w:val="000000"/>
                <w:sz w:val="20"/>
              </w:rPr>
            </w:pPr>
            <w:r>
              <w:rPr>
                <w:b/>
                <w:color w:val="000000"/>
                <w:sz w:val="20"/>
              </w:rPr>
              <w:t>Stage III</w:t>
            </w:r>
          </w:p>
        </w:tc>
        <w:tc>
          <w:tcPr>
            <w:tcW w:w="1346" w:type="dxa"/>
            <w:gridSpan w:val="2"/>
          </w:tcPr>
          <w:p w:rsidR="00F214AD" w:rsidRDefault="00F214AD" w:rsidP="004A22A6">
            <w:pPr>
              <w:spacing w:before="56" w:after="35" w:line="225" w:lineRule="exact"/>
              <w:jc w:val="center"/>
              <w:textAlignment w:val="baseline"/>
              <w:rPr>
                <w:color w:val="000000"/>
                <w:sz w:val="20"/>
              </w:rPr>
            </w:pPr>
            <w:r>
              <w:rPr>
                <w:color w:val="000000"/>
                <w:sz w:val="20"/>
              </w:rPr>
              <w:t>G3</w:t>
            </w:r>
          </w:p>
        </w:tc>
        <w:tc>
          <w:tcPr>
            <w:tcW w:w="1842" w:type="dxa"/>
          </w:tcPr>
          <w:p w:rsidR="00F214AD" w:rsidRDefault="00F214AD" w:rsidP="004A22A6">
            <w:pPr>
              <w:spacing w:before="56" w:after="35" w:line="225" w:lineRule="exact"/>
              <w:jc w:val="center"/>
              <w:textAlignment w:val="baseline"/>
              <w:rPr>
                <w:color w:val="000000"/>
                <w:sz w:val="20"/>
              </w:rPr>
            </w:pPr>
            <w:r>
              <w:rPr>
                <w:color w:val="000000"/>
                <w:sz w:val="20"/>
              </w:rPr>
              <w:t>T2b</w:t>
            </w:r>
          </w:p>
        </w:tc>
        <w:tc>
          <w:tcPr>
            <w:tcW w:w="1843" w:type="dxa"/>
          </w:tcPr>
          <w:p w:rsidR="00F214AD" w:rsidRDefault="00F214AD" w:rsidP="004A22A6">
            <w:pPr>
              <w:spacing w:before="56" w:after="35" w:line="225" w:lineRule="exact"/>
              <w:jc w:val="center"/>
              <w:textAlignment w:val="baseline"/>
              <w:rPr>
                <w:color w:val="000000"/>
                <w:sz w:val="20"/>
              </w:rPr>
            </w:pPr>
            <w:r>
              <w:rPr>
                <w:color w:val="000000"/>
                <w:sz w:val="20"/>
              </w:rPr>
              <w:t>N0</w:t>
            </w:r>
          </w:p>
        </w:tc>
        <w:tc>
          <w:tcPr>
            <w:tcW w:w="1809" w:type="dxa"/>
          </w:tcPr>
          <w:p w:rsidR="00F214AD" w:rsidRDefault="00F214AD" w:rsidP="004A22A6">
            <w:pPr>
              <w:spacing w:before="56" w:after="35" w:line="225" w:lineRule="exact"/>
              <w:jc w:val="center"/>
              <w:textAlignment w:val="baseline"/>
              <w:rPr>
                <w:color w:val="000000"/>
                <w:sz w:val="20"/>
              </w:rPr>
            </w:pPr>
            <w:r>
              <w:rPr>
                <w:color w:val="000000"/>
                <w:sz w:val="20"/>
              </w:rPr>
              <w:t>M0</w:t>
            </w:r>
          </w:p>
        </w:tc>
      </w:tr>
      <w:tr w:rsidR="00F214AD" w:rsidTr="00765B7B">
        <w:trPr>
          <w:trHeight w:hRule="exact" w:val="322"/>
        </w:trPr>
        <w:tc>
          <w:tcPr>
            <w:tcW w:w="1915" w:type="dxa"/>
            <w:gridSpan w:val="2"/>
            <w:vMerge/>
          </w:tcPr>
          <w:p w:rsidR="00F214AD" w:rsidRDefault="00F214AD" w:rsidP="004A22A6"/>
        </w:tc>
        <w:tc>
          <w:tcPr>
            <w:tcW w:w="1346" w:type="dxa"/>
            <w:gridSpan w:val="2"/>
          </w:tcPr>
          <w:p w:rsidR="00F214AD" w:rsidRDefault="00F214AD" w:rsidP="004A22A6">
            <w:pPr>
              <w:spacing w:before="56" w:after="35" w:line="225" w:lineRule="exact"/>
              <w:jc w:val="center"/>
              <w:textAlignment w:val="baseline"/>
              <w:rPr>
                <w:color w:val="000000"/>
                <w:sz w:val="20"/>
              </w:rPr>
            </w:pPr>
            <w:r>
              <w:rPr>
                <w:color w:val="000000"/>
                <w:sz w:val="20"/>
              </w:rPr>
              <w:t>G4</w:t>
            </w:r>
          </w:p>
        </w:tc>
        <w:tc>
          <w:tcPr>
            <w:tcW w:w="1842" w:type="dxa"/>
          </w:tcPr>
          <w:p w:rsidR="00F214AD" w:rsidRDefault="00F214AD" w:rsidP="004A22A6">
            <w:pPr>
              <w:spacing w:before="56" w:after="35" w:line="225" w:lineRule="exact"/>
              <w:jc w:val="center"/>
              <w:textAlignment w:val="baseline"/>
              <w:rPr>
                <w:color w:val="000000"/>
                <w:sz w:val="20"/>
              </w:rPr>
            </w:pPr>
            <w:r>
              <w:rPr>
                <w:color w:val="000000"/>
                <w:sz w:val="20"/>
              </w:rPr>
              <w:t>T2b</w:t>
            </w:r>
          </w:p>
        </w:tc>
        <w:tc>
          <w:tcPr>
            <w:tcW w:w="1843" w:type="dxa"/>
          </w:tcPr>
          <w:p w:rsidR="00F214AD" w:rsidRDefault="00F214AD" w:rsidP="004A22A6">
            <w:pPr>
              <w:spacing w:before="56" w:after="35" w:line="225" w:lineRule="exact"/>
              <w:jc w:val="center"/>
              <w:textAlignment w:val="baseline"/>
              <w:rPr>
                <w:color w:val="000000"/>
                <w:sz w:val="20"/>
              </w:rPr>
            </w:pPr>
            <w:r>
              <w:rPr>
                <w:color w:val="000000"/>
                <w:sz w:val="20"/>
              </w:rPr>
              <w:t>N0</w:t>
            </w:r>
          </w:p>
        </w:tc>
        <w:tc>
          <w:tcPr>
            <w:tcW w:w="1809" w:type="dxa"/>
          </w:tcPr>
          <w:p w:rsidR="00F214AD" w:rsidRDefault="00F214AD" w:rsidP="004A22A6">
            <w:pPr>
              <w:spacing w:before="56" w:after="35" w:line="225" w:lineRule="exact"/>
              <w:jc w:val="center"/>
              <w:textAlignment w:val="baseline"/>
              <w:rPr>
                <w:color w:val="000000"/>
                <w:sz w:val="20"/>
              </w:rPr>
            </w:pPr>
            <w:r>
              <w:rPr>
                <w:color w:val="000000"/>
                <w:sz w:val="20"/>
              </w:rPr>
              <w:t>M0</w:t>
            </w:r>
          </w:p>
        </w:tc>
      </w:tr>
      <w:tr w:rsidR="00F214AD" w:rsidTr="00765B7B">
        <w:trPr>
          <w:trHeight w:hRule="exact" w:val="317"/>
        </w:trPr>
        <w:tc>
          <w:tcPr>
            <w:tcW w:w="1915" w:type="dxa"/>
            <w:gridSpan w:val="2"/>
            <w:vMerge w:val="restart"/>
          </w:tcPr>
          <w:p w:rsidR="00F214AD" w:rsidRDefault="00F214AD" w:rsidP="004A22A6">
            <w:pPr>
              <w:spacing w:before="66" w:after="342" w:line="215" w:lineRule="exact"/>
              <w:ind w:left="115"/>
              <w:textAlignment w:val="baseline"/>
              <w:rPr>
                <w:b/>
                <w:color w:val="000000"/>
                <w:sz w:val="20"/>
              </w:rPr>
            </w:pPr>
            <w:r>
              <w:rPr>
                <w:b/>
                <w:color w:val="000000"/>
                <w:sz w:val="20"/>
              </w:rPr>
              <w:t>Stage IV</w:t>
            </w:r>
          </w:p>
        </w:tc>
        <w:tc>
          <w:tcPr>
            <w:tcW w:w="1346" w:type="dxa"/>
            <w:gridSpan w:val="2"/>
          </w:tcPr>
          <w:p w:rsidR="00F214AD" w:rsidRDefault="00F214AD" w:rsidP="004A22A6">
            <w:pPr>
              <w:spacing w:before="56" w:after="35" w:line="225" w:lineRule="exact"/>
              <w:jc w:val="center"/>
              <w:textAlignment w:val="baseline"/>
              <w:rPr>
                <w:color w:val="000000"/>
                <w:sz w:val="20"/>
              </w:rPr>
            </w:pPr>
            <w:r>
              <w:rPr>
                <w:color w:val="000000"/>
                <w:sz w:val="20"/>
              </w:rPr>
              <w:t>Any G</w:t>
            </w:r>
          </w:p>
        </w:tc>
        <w:tc>
          <w:tcPr>
            <w:tcW w:w="1842" w:type="dxa"/>
          </w:tcPr>
          <w:p w:rsidR="00F214AD" w:rsidRDefault="00F214AD" w:rsidP="004A22A6">
            <w:pPr>
              <w:spacing w:before="56" w:after="35" w:line="225" w:lineRule="exact"/>
              <w:jc w:val="center"/>
              <w:textAlignment w:val="baseline"/>
              <w:rPr>
                <w:color w:val="000000"/>
                <w:sz w:val="20"/>
              </w:rPr>
            </w:pPr>
            <w:r>
              <w:rPr>
                <w:color w:val="000000"/>
                <w:sz w:val="20"/>
              </w:rPr>
              <w:t>Any T</w:t>
            </w:r>
          </w:p>
        </w:tc>
        <w:tc>
          <w:tcPr>
            <w:tcW w:w="1843" w:type="dxa"/>
          </w:tcPr>
          <w:p w:rsidR="00F214AD" w:rsidRDefault="00F214AD" w:rsidP="004A22A6">
            <w:pPr>
              <w:spacing w:before="56" w:after="35" w:line="225" w:lineRule="exact"/>
              <w:jc w:val="center"/>
              <w:textAlignment w:val="baseline"/>
              <w:rPr>
                <w:color w:val="000000"/>
                <w:sz w:val="20"/>
              </w:rPr>
            </w:pPr>
            <w:r>
              <w:rPr>
                <w:color w:val="000000"/>
                <w:sz w:val="20"/>
              </w:rPr>
              <w:t>N1</w:t>
            </w:r>
          </w:p>
        </w:tc>
        <w:tc>
          <w:tcPr>
            <w:tcW w:w="1809" w:type="dxa"/>
          </w:tcPr>
          <w:p w:rsidR="00F214AD" w:rsidRDefault="00F214AD" w:rsidP="004A22A6">
            <w:pPr>
              <w:spacing w:before="56" w:after="35" w:line="225" w:lineRule="exact"/>
              <w:jc w:val="center"/>
              <w:textAlignment w:val="baseline"/>
              <w:rPr>
                <w:color w:val="000000"/>
                <w:sz w:val="20"/>
              </w:rPr>
            </w:pPr>
            <w:r>
              <w:rPr>
                <w:color w:val="000000"/>
                <w:sz w:val="20"/>
              </w:rPr>
              <w:t>M0</w:t>
            </w:r>
          </w:p>
        </w:tc>
      </w:tr>
      <w:tr w:rsidR="00F214AD" w:rsidTr="00765B7B">
        <w:trPr>
          <w:trHeight w:hRule="exact" w:val="321"/>
        </w:trPr>
        <w:tc>
          <w:tcPr>
            <w:tcW w:w="1915" w:type="dxa"/>
            <w:gridSpan w:val="2"/>
            <w:vMerge/>
          </w:tcPr>
          <w:p w:rsidR="00F214AD" w:rsidRDefault="00F214AD" w:rsidP="004A22A6"/>
        </w:tc>
        <w:tc>
          <w:tcPr>
            <w:tcW w:w="1346" w:type="dxa"/>
            <w:gridSpan w:val="2"/>
          </w:tcPr>
          <w:p w:rsidR="00F214AD" w:rsidRDefault="00F214AD" w:rsidP="004A22A6">
            <w:pPr>
              <w:spacing w:before="56" w:after="35" w:line="225" w:lineRule="exact"/>
              <w:jc w:val="center"/>
              <w:textAlignment w:val="baseline"/>
              <w:rPr>
                <w:color w:val="000000"/>
                <w:sz w:val="20"/>
              </w:rPr>
            </w:pPr>
            <w:r>
              <w:rPr>
                <w:color w:val="000000"/>
                <w:sz w:val="20"/>
              </w:rPr>
              <w:t>Any G</w:t>
            </w:r>
          </w:p>
        </w:tc>
        <w:tc>
          <w:tcPr>
            <w:tcW w:w="1842" w:type="dxa"/>
          </w:tcPr>
          <w:p w:rsidR="00F214AD" w:rsidRDefault="00F214AD" w:rsidP="004A22A6">
            <w:pPr>
              <w:spacing w:before="56" w:after="35" w:line="225" w:lineRule="exact"/>
              <w:jc w:val="center"/>
              <w:textAlignment w:val="baseline"/>
              <w:rPr>
                <w:color w:val="000000"/>
                <w:sz w:val="20"/>
              </w:rPr>
            </w:pPr>
            <w:r>
              <w:rPr>
                <w:color w:val="000000"/>
                <w:sz w:val="20"/>
              </w:rPr>
              <w:t>Any T</w:t>
            </w:r>
          </w:p>
        </w:tc>
        <w:tc>
          <w:tcPr>
            <w:tcW w:w="1843" w:type="dxa"/>
          </w:tcPr>
          <w:p w:rsidR="00F214AD" w:rsidRDefault="00F214AD" w:rsidP="004A22A6">
            <w:pPr>
              <w:spacing w:before="56" w:after="35" w:line="225" w:lineRule="exact"/>
              <w:jc w:val="center"/>
              <w:textAlignment w:val="baseline"/>
              <w:rPr>
                <w:color w:val="000000"/>
                <w:sz w:val="20"/>
              </w:rPr>
            </w:pPr>
            <w:r>
              <w:rPr>
                <w:color w:val="000000"/>
                <w:sz w:val="20"/>
              </w:rPr>
              <w:t>N0</w:t>
            </w:r>
          </w:p>
        </w:tc>
        <w:tc>
          <w:tcPr>
            <w:tcW w:w="1809" w:type="dxa"/>
          </w:tcPr>
          <w:p w:rsidR="00F214AD" w:rsidRDefault="00F214AD" w:rsidP="004A22A6">
            <w:pPr>
              <w:spacing w:before="56" w:after="35" w:line="225" w:lineRule="exact"/>
              <w:jc w:val="center"/>
              <w:textAlignment w:val="baseline"/>
              <w:rPr>
                <w:color w:val="000000"/>
                <w:sz w:val="20"/>
              </w:rPr>
            </w:pPr>
            <w:r>
              <w:rPr>
                <w:color w:val="000000"/>
                <w:sz w:val="20"/>
              </w:rPr>
              <w:t>M1</w:t>
            </w:r>
          </w:p>
        </w:tc>
      </w:tr>
      <w:tr w:rsidR="00F214AD" w:rsidTr="0089748D">
        <w:trPr>
          <w:trHeight w:hRule="exact" w:val="1116"/>
        </w:trPr>
        <w:tc>
          <w:tcPr>
            <w:tcW w:w="8755" w:type="dxa"/>
            <w:gridSpan w:val="7"/>
          </w:tcPr>
          <w:p w:rsidR="00F214AD" w:rsidRDefault="00F214AD" w:rsidP="004A22A6">
            <w:pPr>
              <w:spacing w:before="57" w:line="225" w:lineRule="exact"/>
              <w:ind w:left="142"/>
              <w:textAlignment w:val="baseline"/>
              <w:rPr>
                <w:color w:val="000000"/>
                <w:sz w:val="20"/>
              </w:rPr>
            </w:pPr>
            <w:r>
              <w:rPr>
                <w:color w:val="000000"/>
                <w:sz w:val="20"/>
              </w:rPr>
              <w:t>AJCC, American Joint Committee on Cancer; TNM, tumour node metastasis.</w:t>
            </w:r>
          </w:p>
          <w:p w:rsidR="00F214AD" w:rsidRDefault="00F214AD" w:rsidP="0089748D">
            <w:pPr>
              <w:spacing w:before="36" w:line="240" w:lineRule="exact"/>
              <w:ind w:left="142" w:right="249"/>
              <w:textAlignment w:val="baseline"/>
              <w:rPr>
                <w:i/>
                <w:color w:val="000000"/>
                <w:sz w:val="20"/>
              </w:rPr>
            </w:pPr>
            <w:r>
              <w:rPr>
                <w:i/>
                <w:color w:val="000000"/>
                <w:sz w:val="20"/>
              </w:rPr>
              <w:t>*Laterality does not affect the N classification. If a lymph node dissection is performed, then pathologic evaluation would ordinarily include at least eight nodes.</w:t>
            </w:r>
          </w:p>
        </w:tc>
      </w:tr>
    </w:tbl>
    <w:p w:rsidR="00F214AD" w:rsidRDefault="00F214AD" w:rsidP="00F214AD">
      <w:pPr>
        <w:pStyle w:val="TableDescription"/>
      </w:pPr>
      <w:proofErr w:type="gramStart"/>
      <w:r w:rsidRPr="00DC5BF9">
        <w:t>Soft tissue sarcoma.</w:t>
      </w:r>
      <w:proofErr w:type="gramEnd"/>
      <w:r w:rsidRPr="00DC5BF9">
        <w:t xml:space="preserve"> In: American Joint Committee on Cancer: AJCC Cancer Staging Manual. </w:t>
      </w:r>
      <w:proofErr w:type="gramStart"/>
      <w:r w:rsidRPr="00DC5BF9">
        <w:t xml:space="preserve">6th </w:t>
      </w:r>
      <w:r w:rsidR="00472069" w:rsidRPr="00DC5BF9">
        <w:t>Ed</w:t>
      </w:r>
      <w:r w:rsidRPr="00DC5BF9">
        <w:t>.</w:t>
      </w:r>
      <w:proofErr w:type="gramEnd"/>
      <w:r w:rsidRPr="00DC5BF9">
        <w:t xml:space="preserve"> New York, NY: Springer, 2002, pp 193-197.</w:t>
      </w:r>
    </w:p>
    <w:p w:rsidR="000A6BCB" w:rsidRDefault="000A6BCB" w:rsidP="00D62997">
      <w:pPr>
        <w:pStyle w:val="Heading5"/>
      </w:pPr>
      <w:r>
        <w:t>Treatment</w:t>
      </w:r>
    </w:p>
    <w:p w:rsidR="000A6BCB" w:rsidRDefault="000A6BCB" w:rsidP="000A6BCB">
      <w:r>
        <w:t>A number of current clinical practice guidelines provide evidence-based recommendations regarding appropriate treatment of STS in adults. These include guidelines produced by:</w:t>
      </w:r>
    </w:p>
    <w:p w:rsidR="000A6BCB" w:rsidRDefault="000A6BCB" w:rsidP="00D62997">
      <w:pPr>
        <w:pStyle w:val="ListBullet"/>
      </w:pPr>
      <w:r>
        <w:t>The National Comprehensive Cancer Network (NCCN) in the United States (2016)</w:t>
      </w:r>
      <w:r w:rsidR="007341A2" w:rsidRPr="007341A2">
        <w:rPr>
          <w:vertAlign w:val="superscript"/>
        </w:rPr>
        <w:fldChar w:fldCharType="begin"/>
      </w:r>
      <w:r w:rsidR="007341A2" w:rsidRPr="007341A2">
        <w:rPr>
          <w:vertAlign w:val="superscript"/>
        </w:rPr>
        <w:instrText xml:space="preserve"> NOTEREF _Ref488157085 \h  \* MERGEFORMAT </w:instrText>
      </w:r>
      <w:r w:rsidR="007341A2" w:rsidRPr="007341A2">
        <w:rPr>
          <w:vertAlign w:val="superscript"/>
        </w:rPr>
      </w:r>
      <w:r w:rsidR="007341A2" w:rsidRPr="007341A2">
        <w:rPr>
          <w:vertAlign w:val="superscript"/>
        </w:rPr>
        <w:fldChar w:fldCharType="separate"/>
      </w:r>
      <w:r w:rsidR="002506E0">
        <w:rPr>
          <w:vertAlign w:val="superscript"/>
        </w:rPr>
        <w:t>2</w:t>
      </w:r>
      <w:r w:rsidR="007341A2" w:rsidRPr="007341A2">
        <w:rPr>
          <w:vertAlign w:val="superscript"/>
        </w:rPr>
        <w:fldChar w:fldCharType="end"/>
      </w:r>
      <w:r w:rsidR="007341A2" w:rsidRPr="007341A2">
        <w:t>;</w:t>
      </w:r>
    </w:p>
    <w:p w:rsidR="000A6BCB" w:rsidRPr="007341A2" w:rsidRDefault="000A6BCB" w:rsidP="00D62997">
      <w:pPr>
        <w:pStyle w:val="ListBullet"/>
      </w:pPr>
      <w:r>
        <w:t>The Cancer Council of Australia in collaboration with the Australasian Sarcoma Study Group (2014</w:t>
      </w:r>
      <w:r w:rsidRPr="007341A2">
        <w:t>)</w:t>
      </w:r>
      <w:r w:rsidR="007341A2" w:rsidRPr="007341A2">
        <w:rPr>
          <w:rStyle w:val="FootnoteReference"/>
        </w:rPr>
        <w:footnoteReference w:id="5"/>
      </w:r>
      <w:r w:rsidRPr="007341A2">
        <w:t>.</w:t>
      </w:r>
    </w:p>
    <w:p w:rsidR="000A6BCB" w:rsidRDefault="000A6BCB" w:rsidP="00D62997">
      <w:pPr>
        <w:pStyle w:val="ListBullet"/>
      </w:pPr>
      <w:r>
        <w:t>The European Society of Medical Oncology (2014)</w:t>
      </w:r>
      <w:r w:rsidR="007341A2">
        <w:rPr>
          <w:rStyle w:val="FootnoteReference"/>
        </w:rPr>
        <w:footnoteReference w:id="6"/>
      </w:r>
      <w:r w:rsidR="007341A2">
        <w:t>;</w:t>
      </w:r>
    </w:p>
    <w:p w:rsidR="0019387B" w:rsidRDefault="000A6BCB" w:rsidP="000A6BCB">
      <w:r>
        <w:lastRenderedPageBreak/>
        <w:t xml:space="preserve">The mainstay of treatment for STS is surgery. Radiotherapy improves local control in subjects with </w:t>
      </w:r>
      <w:proofErr w:type="spellStart"/>
      <w:r>
        <w:t>resectable</w:t>
      </w:r>
      <w:proofErr w:type="spellEnd"/>
      <w:r>
        <w:t xml:space="preserve"> disease and can be used alone in subjects in whom surgery is considered inappropriate</w:t>
      </w:r>
      <w:r w:rsidR="007341A2" w:rsidRPr="007341A2">
        <w:rPr>
          <w:vertAlign w:val="superscript"/>
        </w:rPr>
        <w:fldChar w:fldCharType="begin"/>
      </w:r>
      <w:r w:rsidR="007341A2" w:rsidRPr="007341A2">
        <w:rPr>
          <w:vertAlign w:val="superscript"/>
        </w:rPr>
        <w:instrText xml:space="preserve"> NOTEREF _Ref488157244 \h </w:instrText>
      </w:r>
      <w:r w:rsidR="007341A2">
        <w:rPr>
          <w:vertAlign w:val="superscript"/>
        </w:rPr>
        <w:instrText xml:space="preserve"> \* MERGEFORMAT </w:instrText>
      </w:r>
      <w:r w:rsidR="007341A2" w:rsidRPr="007341A2">
        <w:rPr>
          <w:vertAlign w:val="superscript"/>
        </w:rPr>
      </w:r>
      <w:r w:rsidR="007341A2" w:rsidRPr="007341A2">
        <w:rPr>
          <w:vertAlign w:val="superscript"/>
        </w:rPr>
        <w:fldChar w:fldCharType="separate"/>
      </w:r>
      <w:r w:rsidR="002506E0">
        <w:rPr>
          <w:vertAlign w:val="superscript"/>
        </w:rPr>
        <w:t>3</w:t>
      </w:r>
      <w:r w:rsidR="007341A2" w:rsidRPr="007341A2">
        <w:rPr>
          <w:vertAlign w:val="superscript"/>
        </w:rPr>
        <w:fldChar w:fldCharType="end"/>
      </w:r>
      <w:proofErr w:type="gramStart"/>
      <w:r w:rsidR="007341A2" w:rsidRPr="007341A2">
        <w:rPr>
          <w:vertAlign w:val="superscript"/>
        </w:rPr>
        <w:t>,</w:t>
      </w:r>
      <w:proofErr w:type="gramEnd"/>
      <w:r w:rsidR="007341A2" w:rsidRPr="007341A2">
        <w:rPr>
          <w:vertAlign w:val="superscript"/>
        </w:rPr>
        <w:fldChar w:fldCharType="begin"/>
      </w:r>
      <w:r w:rsidR="007341A2" w:rsidRPr="007341A2">
        <w:rPr>
          <w:vertAlign w:val="superscript"/>
        </w:rPr>
        <w:instrText xml:space="preserve"> NOTEREF _Ref488157096 \h </w:instrText>
      </w:r>
      <w:r w:rsidR="007341A2">
        <w:rPr>
          <w:vertAlign w:val="superscript"/>
        </w:rPr>
        <w:instrText xml:space="preserve"> \* MERGEFORMAT </w:instrText>
      </w:r>
      <w:r w:rsidR="007341A2" w:rsidRPr="007341A2">
        <w:rPr>
          <w:vertAlign w:val="superscript"/>
        </w:rPr>
      </w:r>
      <w:r w:rsidR="007341A2" w:rsidRPr="007341A2">
        <w:rPr>
          <w:vertAlign w:val="superscript"/>
        </w:rPr>
        <w:fldChar w:fldCharType="separate"/>
      </w:r>
      <w:r w:rsidR="002506E0">
        <w:rPr>
          <w:vertAlign w:val="superscript"/>
        </w:rPr>
        <w:t>4</w:t>
      </w:r>
      <w:r w:rsidR="007341A2" w:rsidRPr="007341A2">
        <w:rPr>
          <w:vertAlign w:val="superscript"/>
        </w:rPr>
        <w:fldChar w:fldCharType="end"/>
      </w:r>
      <w:r w:rsidR="007341A2">
        <w:t>.</w:t>
      </w:r>
      <w:r>
        <w:t xml:space="preserve"> Systemic chemotherapy is used in subjects with </w:t>
      </w:r>
      <w:proofErr w:type="spellStart"/>
      <w:r>
        <w:t>unresectable</w:t>
      </w:r>
      <w:proofErr w:type="spellEnd"/>
      <w:r>
        <w:t xml:space="preserve"> disease</w:t>
      </w:r>
      <w:r w:rsidR="0019387B">
        <w:t>.</w:t>
      </w:r>
    </w:p>
    <w:p w:rsidR="000A6BCB" w:rsidRDefault="000A6BCB" w:rsidP="000A6BCB">
      <w:r>
        <w:t>The current clinical practice guidelines generally recommend anthracycline</w:t>
      </w:r>
      <w:r w:rsidR="00CB7159">
        <w:t xml:space="preserve"> </w:t>
      </w:r>
      <w:r>
        <w:t xml:space="preserve">based chemotherapy as first-line treatment for </w:t>
      </w:r>
      <w:proofErr w:type="spellStart"/>
      <w:r>
        <w:t>unresectable</w:t>
      </w:r>
      <w:proofErr w:type="spellEnd"/>
      <w:r>
        <w:t xml:space="preserve">/ metastatic STS. The Australian guideline recommends doxorubicin, either alone or in combination with </w:t>
      </w:r>
      <w:proofErr w:type="spellStart"/>
      <w:r>
        <w:t>ifosfamide</w:t>
      </w:r>
      <w:proofErr w:type="spellEnd"/>
      <w:r>
        <w:t xml:space="preserve">. There is no standard second or later line treatment. The various guidelines refer to a large number of agents that can be considered for second or later-line therapy. These include </w:t>
      </w:r>
      <w:proofErr w:type="spellStart"/>
      <w:r>
        <w:t>ifosfamide</w:t>
      </w:r>
      <w:proofErr w:type="spellEnd"/>
      <w:r>
        <w:t xml:space="preserve"> (if not used in first line), </w:t>
      </w:r>
      <w:proofErr w:type="spellStart"/>
      <w:r>
        <w:t>trabectedin</w:t>
      </w:r>
      <w:proofErr w:type="spellEnd"/>
      <w:r>
        <w:t xml:space="preserve"> (not registered in Australia), gemcitabine, </w:t>
      </w:r>
      <w:proofErr w:type="spellStart"/>
      <w:r>
        <w:t>dacarbazine</w:t>
      </w:r>
      <w:proofErr w:type="spellEnd"/>
      <w:r>
        <w:t xml:space="preserve"> and </w:t>
      </w:r>
      <w:proofErr w:type="spellStart"/>
      <w:r>
        <w:t>pazopanib</w:t>
      </w:r>
      <w:proofErr w:type="spellEnd"/>
      <w:r>
        <w:t xml:space="preserve"> (excluding subjects with </w:t>
      </w:r>
      <w:proofErr w:type="spellStart"/>
      <w:r>
        <w:t>adipocytic</w:t>
      </w:r>
      <w:proofErr w:type="spellEnd"/>
      <w:r>
        <w:t xml:space="preserve"> sarcomas). The Australian guidelines recommend </w:t>
      </w:r>
      <w:proofErr w:type="spellStart"/>
      <w:r>
        <w:t>ifosfamide</w:t>
      </w:r>
      <w:proofErr w:type="spellEnd"/>
      <w:r>
        <w:t xml:space="preserve"> (if not used in first-line) and then </w:t>
      </w:r>
      <w:proofErr w:type="spellStart"/>
      <w:r>
        <w:t>dacarbazine</w:t>
      </w:r>
      <w:proofErr w:type="spellEnd"/>
      <w:r>
        <w:t>.</w:t>
      </w:r>
    </w:p>
    <w:p w:rsidR="000A6BCB" w:rsidRDefault="000A6BCB" w:rsidP="000A6BCB">
      <w:r>
        <w:t xml:space="preserve">In Australia, agents registered for the treatment of STS include various grandfathered agents such as doxorubicin, </w:t>
      </w:r>
      <w:proofErr w:type="spellStart"/>
      <w:r>
        <w:t>epirubicin</w:t>
      </w:r>
      <w:proofErr w:type="spellEnd"/>
      <w:r>
        <w:t xml:space="preserve">, </w:t>
      </w:r>
      <w:proofErr w:type="spellStart"/>
      <w:r>
        <w:t>ifosfamide</w:t>
      </w:r>
      <w:proofErr w:type="spellEnd"/>
      <w:r>
        <w:t xml:space="preserve"> and </w:t>
      </w:r>
      <w:proofErr w:type="spellStart"/>
      <w:r>
        <w:t>dacarbazine</w:t>
      </w:r>
      <w:proofErr w:type="spellEnd"/>
      <w:r>
        <w:t xml:space="preserve">. These agents all have a broad STS indication, not restricted by line of therapy or histological subtype. The tyrosine kinase inhibitor </w:t>
      </w:r>
      <w:proofErr w:type="spellStart"/>
      <w:r>
        <w:t>pazopanib</w:t>
      </w:r>
      <w:proofErr w:type="spellEnd"/>
      <w:r>
        <w:t xml:space="preserve"> is registered for use as second or later line therapy of STS, excluding </w:t>
      </w:r>
      <w:proofErr w:type="gramStart"/>
      <w:r w:rsidR="00CB7159" w:rsidRPr="00CB7159">
        <w:t>Gastrointestinal</w:t>
      </w:r>
      <w:proofErr w:type="gramEnd"/>
      <w:r w:rsidR="00CB7159" w:rsidRPr="00CB7159">
        <w:t xml:space="preserve"> stromal </w:t>
      </w:r>
      <w:proofErr w:type="spellStart"/>
      <w:r w:rsidR="00CB7159" w:rsidRPr="00CB7159">
        <w:t>tumors</w:t>
      </w:r>
      <w:proofErr w:type="spellEnd"/>
      <w:r w:rsidR="00CB7159" w:rsidRPr="00CB7159">
        <w:t xml:space="preserve"> </w:t>
      </w:r>
      <w:r w:rsidR="00CB7159">
        <w:t>(</w:t>
      </w:r>
      <w:r>
        <w:t>GIST</w:t>
      </w:r>
      <w:r w:rsidR="00CB7159">
        <w:t>)</w:t>
      </w:r>
      <w:r>
        <w:t xml:space="preserve"> and </w:t>
      </w:r>
      <w:proofErr w:type="spellStart"/>
      <w:r>
        <w:t>adipocytic</w:t>
      </w:r>
      <w:proofErr w:type="spellEnd"/>
      <w:r>
        <w:t xml:space="preserve"> sarcomas.</w:t>
      </w:r>
    </w:p>
    <w:p w:rsidR="000A6BCB" w:rsidRPr="000A6BCB" w:rsidRDefault="000A6BCB" w:rsidP="000A6BCB">
      <w:r>
        <w:t>The rationale for the submission is based on the lack of established therapies for STS after failure of first line therapy.</w:t>
      </w:r>
    </w:p>
    <w:p w:rsidR="00605AD4" w:rsidRDefault="00605AD4" w:rsidP="00605AD4">
      <w:pPr>
        <w:pStyle w:val="Heading4"/>
      </w:pPr>
      <w:r w:rsidRPr="00605AD4">
        <w:t>Guidance</w:t>
      </w:r>
    </w:p>
    <w:p w:rsidR="003F4934" w:rsidRDefault="003F4934" w:rsidP="003F4934">
      <w:r>
        <w:t>The following EMA guidelines which have been adopted by the TGA are considered relevant to the current submission:</w:t>
      </w:r>
    </w:p>
    <w:p w:rsidR="003F4934" w:rsidRPr="007341A2" w:rsidRDefault="003F4934" w:rsidP="003F4934">
      <w:pPr>
        <w:pStyle w:val="ListBullet"/>
      </w:pPr>
      <w:r>
        <w:t xml:space="preserve">Guideline on the evaluation of anticancer </w:t>
      </w:r>
      <w:r w:rsidRPr="007341A2">
        <w:t>medicinal products</w:t>
      </w:r>
      <w:bookmarkStart w:id="64" w:name="_Ref488157383"/>
      <w:r w:rsidR="007341A2" w:rsidRPr="007341A2">
        <w:rPr>
          <w:rStyle w:val="FootnoteReference"/>
        </w:rPr>
        <w:footnoteReference w:id="7"/>
      </w:r>
      <w:bookmarkEnd w:id="64"/>
      <w:r w:rsidRPr="007341A2">
        <w:t>;</w:t>
      </w:r>
    </w:p>
    <w:p w:rsidR="003F4934" w:rsidRPr="007341A2" w:rsidRDefault="003F4934" w:rsidP="003F4934">
      <w:pPr>
        <w:pStyle w:val="ListBullet"/>
      </w:pPr>
      <w:r w:rsidRPr="007341A2">
        <w:t>Points to consider on application with 1. Meta-analyses; 2. One pivotal study</w:t>
      </w:r>
      <w:r w:rsidR="007341A2" w:rsidRPr="007341A2">
        <w:rPr>
          <w:rStyle w:val="FootnoteReference"/>
        </w:rPr>
        <w:footnoteReference w:id="8"/>
      </w:r>
      <w:r w:rsidRPr="007341A2">
        <w:t>.</w:t>
      </w:r>
    </w:p>
    <w:p w:rsidR="003F4934" w:rsidRDefault="003F4934" w:rsidP="003F4934">
      <w:r>
        <w:t>Compliance with these guidelines will be considered in the relevant sections of this report.</w:t>
      </w:r>
    </w:p>
    <w:p w:rsidR="00605AD4" w:rsidRDefault="00605AD4" w:rsidP="00605AD4">
      <w:pPr>
        <w:pStyle w:val="Heading4"/>
      </w:pPr>
      <w:r w:rsidRPr="00605AD4">
        <w:t>Contents of the clinical dossier</w:t>
      </w:r>
    </w:p>
    <w:p w:rsidR="000A6BCB" w:rsidRDefault="000A6BCB" w:rsidP="003F4934">
      <w:pPr>
        <w:pStyle w:val="Heading5"/>
      </w:pPr>
      <w:r>
        <w:t>Scope of the clinical dossier</w:t>
      </w:r>
    </w:p>
    <w:p w:rsidR="000A6BCB" w:rsidRDefault="000A6BCB" w:rsidP="000A6BCB">
      <w:r>
        <w:t>The submission contained the following clinical information:</w:t>
      </w:r>
    </w:p>
    <w:p w:rsidR="000A6BCB" w:rsidRDefault="008C4F68" w:rsidP="003F4934">
      <w:pPr>
        <w:pStyle w:val="ListBullet"/>
      </w:pPr>
      <w:r>
        <w:t>One pivotal P</w:t>
      </w:r>
      <w:r w:rsidR="000A6BCB">
        <w:t xml:space="preserve">hase </w:t>
      </w:r>
      <w:r>
        <w:t>III</w:t>
      </w:r>
      <w:r w:rsidR="000A6BCB">
        <w:t xml:space="preserve"> randomised controlled trial in subjects with STS (</w:t>
      </w:r>
      <w:r>
        <w:t>S</w:t>
      </w:r>
      <w:r w:rsidR="000A6BCB">
        <w:t>tudy 309);</w:t>
      </w:r>
    </w:p>
    <w:p w:rsidR="000A6BCB" w:rsidRDefault="008C4F68" w:rsidP="003F4934">
      <w:pPr>
        <w:pStyle w:val="ListBullet"/>
      </w:pPr>
      <w:r>
        <w:t>Two single-arm P</w:t>
      </w:r>
      <w:r w:rsidR="000A6BCB">
        <w:t xml:space="preserve">hase </w:t>
      </w:r>
      <w:r>
        <w:t>II studies in subjects with STS (S</w:t>
      </w:r>
      <w:r w:rsidR="000A6BCB">
        <w:t>tudies 207 and 217);</w:t>
      </w:r>
    </w:p>
    <w:p w:rsidR="000A6BCB" w:rsidRDefault="008C4F68" w:rsidP="003F4934">
      <w:pPr>
        <w:pStyle w:val="ListBullet"/>
      </w:pPr>
      <w:r>
        <w:t>One single-arm P</w:t>
      </w:r>
      <w:r w:rsidR="000A6BCB">
        <w:t xml:space="preserve">hase </w:t>
      </w:r>
      <w:r>
        <w:t>II</w:t>
      </w:r>
      <w:r w:rsidR="000A6BCB">
        <w:t xml:space="preserve"> study i</w:t>
      </w:r>
      <w:r>
        <w:t>n subjects with breast cancer (S</w:t>
      </w:r>
      <w:r w:rsidR="000A6BCB">
        <w:t>tudy 206). This study contained safety data not previously reviewed by the TGA.</w:t>
      </w:r>
    </w:p>
    <w:p w:rsidR="000A6BCB" w:rsidRDefault="000A6BCB" w:rsidP="003F4934">
      <w:pPr>
        <w:pStyle w:val="ListBullet"/>
      </w:pPr>
      <w:r>
        <w:t>Two population pharmacokinetic analyses.</w:t>
      </w:r>
    </w:p>
    <w:p w:rsidR="000A6BCB" w:rsidRPr="000A6BCB" w:rsidRDefault="000A6BCB" w:rsidP="003F4934">
      <w:pPr>
        <w:pStyle w:val="ListBullet"/>
      </w:pPr>
      <w:r>
        <w:t>Literature references.</w:t>
      </w:r>
    </w:p>
    <w:p w:rsidR="00605AD4" w:rsidRDefault="00605AD4" w:rsidP="00605AD4">
      <w:pPr>
        <w:pStyle w:val="Heading4"/>
      </w:pPr>
      <w:r w:rsidRPr="00605AD4">
        <w:t>Paediatric data</w:t>
      </w:r>
    </w:p>
    <w:p w:rsidR="000A6BCB" w:rsidRDefault="000A6BCB" w:rsidP="000A6BCB">
      <w:r>
        <w:t xml:space="preserve">The submission did not include paediatric data. The sponsor has a paediatric investigation plan (PIP) agreed with the EMA which involves the conduct of three clinical studies in </w:t>
      </w:r>
      <w:r>
        <w:lastRenderedPageBreak/>
        <w:t xml:space="preserve">children with STS. The plan is due to be completed </w:t>
      </w:r>
      <w:r w:rsidRPr="007341A2">
        <w:t>by 2029</w:t>
      </w:r>
      <w:r w:rsidR="007341A2" w:rsidRPr="007341A2">
        <w:rPr>
          <w:rStyle w:val="FootnoteReference"/>
        </w:rPr>
        <w:footnoteReference w:id="9"/>
      </w:r>
      <w:r w:rsidRPr="007341A2">
        <w:t>.</w:t>
      </w:r>
      <w:r>
        <w:t xml:space="preserve"> According to the TGA submission, an initial report is due to be submitted by September 2017.</w:t>
      </w:r>
    </w:p>
    <w:p w:rsidR="000A6BCB" w:rsidRPr="000A6BCB" w:rsidRDefault="000A6BCB" w:rsidP="000A6BCB">
      <w:r>
        <w:t xml:space="preserve">In the United States, the sponsor has a waiver from the FDA for paediatric data. The waiver was granted on the grounds that the FDA has designated </w:t>
      </w:r>
      <w:proofErr w:type="spellStart"/>
      <w:r>
        <w:t>eribulin</w:t>
      </w:r>
      <w:proofErr w:type="spellEnd"/>
      <w:r>
        <w:t xml:space="preserve"> as an orphan drug for the treatment of STS.</w:t>
      </w:r>
    </w:p>
    <w:p w:rsidR="00605AD4" w:rsidRDefault="00605AD4" w:rsidP="00605AD4">
      <w:pPr>
        <w:pStyle w:val="Heading4"/>
      </w:pPr>
      <w:r w:rsidRPr="00605AD4">
        <w:t>Good clinical practice</w:t>
      </w:r>
    </w:p>
    <w:p w:rsidR="000A6BCB" w:rsidRPr="000A6BCB" w:rsidRDefault="000A6BCB" w:rsidP="000A6BCB">
      <w:r>
        <w:t>The clinical study reports included in the submission all included an assurance that the studies were conducted in compliance with the</w:t>
      </w:r>
      <w:r w:rsidR="00CB7159" w:rsidRPr="00CB7159">
        <w:t xml:space="preserve"> International Council for Harmonisation of Technical Requirements for Pharmaceuticals for Human Use (ICH)</w:t>
      </w:r>
      <w:r>
        <w:t xml:space="preserve"> E6 Guideline for Good Clinical Practice and the principles of the Declaration of Helsinki.</w:t>
      </w:r>
    </w:p>
    <w:p w:rsidR="008E7846" w:rsidRDefault="008E7846" w:rsidP="00605AD4">
      <w:pPr>
        <w:pStyle w:val="Heading3"/>
      </w:pPr>
      <w:bookmarkStart w:id="65" w:name="_Toc497233778"/>
      <w:r w:rsidRPr="00254787">
        <w:t>Pharmacokinetics</w:t>
      </w:r>
      <w:bookmarkEnd w:id="49"/>
      <w:bookmarkEnd w:id="56"/>
      <w:bookmarkEnd w:id="57"/>
      <w:bookmarkEnd w:id="58"/>
      <w:bookmarkEnd w:id="65"/>
    </w:p>
    <w:p w:rsidR="0089748D" w:rsidRDefault="00605AD4" w:rsidP="00605AD4">
      <w:pPr>
        <w:pStyle w:val="Heading4"/>
      </w:pPr>
      <w:r>
        <w:t>Studies providing pharmacokinetic data</w:t>
      </w:r>
    </w:p>
    <w:p w:rsidR="000A6BCB" w:rsidRDefault="000A6BCB" w:rsidP="007E7993">
      <w:r>
        <w:t>The submission included three clinical studies in STS</w:t>
      </w:r>
      <w:r w:rsidR="00CB7159">
        <w:t>: Studies</w:t>
      </w:r>
      <w:r>
        <w:t xml:space="preserve"> 207, 217 and 309. In each of these studies sparse PK sampling was performed as follows:</w:t>
      </w:r>
    </w:p>
    <w:p w:rsidR="000A6BCB" w:rsidRDefault="000A6BCB" w:rsidP="007E7993">
      <w:pPr>
        <w:pStyle w:val="ListBullet"/>
      </w:pPr>
      <w:r>
        <w:t>Study 207</w:t>
      </w:r>
      <w:r w:rsidR="00CB7159">
        <w:t>:</w:t>
      </w:r>
      <w:r>
        <w:t xml:space="preserve"> a total of 7 samples were collected from each subject in Cycle 1 only. Time points for collection were: prior to </w:t>
      </w:r>
      <w:proofErr w:type="spellStart"/>
      <w:r>
        <w:t>eribulin</w:t>
      </w:r>
      <w:proofErr w:type="spellEnd"/>
      <w:r>
        <w:t xml:space="preserve"> administration, and then at any time within each of the following time windows after the end </w:t>
      </w:r>
      <w:proofErr w:type="spellStart"/>
      <w:r>
        <w:t>eribulin</w:t>
      </w:r>
      <w:proofErr w:type="spellEnd"/>
      <w:r>
        <w:t xml:space="preserve"> administration</w:t>
      </w:r>
      <w:r w:rsidR="00CB7159">
        <w:t xml:space="preserve">; </w:t>
      </w:r>
      <w:r>
        <w:t>5</w:t>
      </w:r>
      <w:r w:rsidR="00CB7159">
        <w:t xml:space="preserve"> to</w:t>
      </w:r>
      <w:r>
        <w:t>-10 minutes, 15</w:t>
      </w:r>
      <w:r w:rsidR="00CB7159">
        <w:t xml:space="preserve"> to </w:t>
      </w:r>
      <w:r>
        <w:t>90 minutes, 2</w:t>
      </w:r>
      <w:r w:rsidR="00CB7159">
        <w:t xml:space="preserve"> to </w:t>
      </w:r>
      <w:r>
        <w:t>4 hours, 4</w:t>
      </w:r>
      <w:r w:rsidR="00CB7159">
        <w:t xml:space="preserve"> to 7 hours, 7 to </w:t>
      </w:r>
      <w:r>
        <w:t>14 hours and 16</w:t>
      </w:r>
      <w:r w:rsidR="00CB7159">
        <w:t xml:space="preserve"> to </w:t>
      </w:r>
      <w:r>
        <w:t>50 hours.</w:t>
      </w:r>
    </w:p>
    <w:p w:rsidR="000A6BCB" w:rsidRDefault="000A6BCB" w:rsidP="007E7993">
      <w:pPr>
        <w:pStyle w:val="ListBullet"/>
      </w:pPr>
      <w:r>
        <w:t>Study 217</w:t>
      </w:r>
      <w:r w:rsidR="00CB7159">
        <w:t>:</w:t>
      </w:r>
      <w:r>
        <w:t xml:space="preserve"> trough samples were collected prior</w:t>
      </w:r>
      <w:r w:rsidR="00CB7159">
        <w:t xml:space="preserve"> to </w:t>
      </w:r>
      <w:proofErr w:type="spellStart"/>
      <w:r w:rsidR="00CB7159">
        <w:t>eribulin</w:t>
      </w:r>
      <w:proofErr w:type="spellEnd"/>
      <w:r w:rsidR="00CB7159">
        <w:t xml:space="preserve"> administration on Days 1 and 8 of C</w:t>
      </w:r>
      <w:r>
        <w:t>ycles 1 and 2.</w:t>
      </w:r>
    </w:p>
    <w:p w:rsidR="000A6BCB" w:rsidRDefault="000A6BCB" w:rsidP="007E7993">
      <w:pPr>
        <w:pStyle w:val="ListBullet"/>
      </w:pPr>
      <w:r>
        <w:t>Study 309 (</w:t>
      </w:r>
      <w:proofErr w:type="spellStart"/>
      <w:r>
        <w:t>eribulin</w:t>
      </w:r>
      <w:proofErr w:type="spellEnd"/>
      <w:r>
        <w:t xml:space="preserve"> arm only)</w:t>
      </w:r>
      <w:r w:rsidR="00CB7159">
        <w:t>:</w:t>
      </w:r>
      <w:r>
        <w:t xml:space="preserve"> samples were collected on Cycle 1/day 1 (end of infusion, and at 0.5</w:t>
      </w:r>
      <w:r w:rsidR="00CB7159">
        <w:t xml:space="preserve"> to </w:t>
      </w:r>
      <w:r>
        <w:t>6 hours and 24</w:t>
      </w:r>
      <w:r w:rsidR="00CB7159">
        <w:t xml:space="preserve"> to </w:t>
      </w:r>
      <w:r>
        <w:t>120 hours after the</w:t>
      </w:r>
      <w:r w:rsidR="00CB7159">
        <w:t xml:space="preserve"> end of the infusion), Cycle 1/D</w:t>
      </w:r>
      <w:r>
        <w:t>ay 8 (pre-dose and at the</w:t>
      </w:r>
      <w:r w:rsidR="00CB7159">
        <w:t xml:space="preserve"> end of the infusion), Cycle 2/D</w:t>
      </w:r>
      <w:r>
        <w:t>ay 1 (end of infusion, and at 0.5</w:t>
      </w:r>
      <w:r w:rsidR="00CB7159">
        <w:t xml:space="preserve"> to </w:t>
      </w:r>
      <w:r>
        <w:t>6 hours and 24</w:t>
      </w:r>
      <w:r w:rsidR="00CB7159">
        <w:t xml:space="preserve"> to </w:t>
      </w:r>
      <w:r>
        <w:t>120 hours after the end of</w:t>
      </w:r>
      <w:r w:rsidR="00CB7159">
        <w:t xml:space="preserve"> the infusion), and Cycle 2/D</w:t>
      </w:r>
      <w:r>
        <w:t>ay 8 (pre-dose and at the end of the infusion).</w:t>
      </w:r>
    </w:p>
    <w:p w:rsidR="000A6BCB" w:rsidRDefault="000A6BCB" w:rsidP="007E7993">
      <w:proofErr w:type="spellStart"/>
      <w:r>
        <w:t>Eribulin</w:t>
      </w:r>
      <w:proofErr w:type="spellEnd"/>
      <w:r>
        <w:t xml:space="preserve"> was quantified using a validated liquid chromatography/tandem mass spectrometry (LC/MS/MS) method.</w:t>
      </w:r>
    </w:p>
    <w:p w:rsidR="000A6BCB" w:rsidRDefault="000A6BCB" w:rsidP="007E7993">
      <w:r>
        <w:t>The PK data collected were used in two population PK and PK/PD analyses:</w:t>
      </w:r>
    </w:p>
    <w:p w:rsidR="0019387B" w:rsidRDefault="000A6BCB" w:rsidP="007E7993">
      <w:pPr>
        <w:pStyle w:val="ListBullet"/>
      </w:pPr>
      <w:r>
        <w:t xml:space="preserve">Report No CPMS-E7389-003R (dated 17 </w:t>
      </w:r>
      <w:r w:rsidR="00366814">
        <w:t>April 2013) combined data from S</w:t>
      </w:r>
      <w:r>
        <w:t>tudy 207 with data f</w:t>
      </w:r>
      <w:r w:rsidR="00366814">
        <w:t>rom eight previously evaluated P</w:t>
      </w:r>
      <w:r>
        <w:t xml:space="preserve">hase </w:t>
      </w:r>
      <w:r w:rsidR="00366814">
        <w:t>I and II</w:t>
      </w:r>
      <w:r>
        <w:t xml:space="preserve"> studies</w:t>
      </w:r>
      <w:r w:rsidR="0019387B">
        <w:t>.</w:t>
      </w:r>
    </w:p>
    <w:p w:rsidR="0019387B" w:rsidRDefault="000A6BCB" w:rsidP="007E7993">
      <w:pPr>
        <w:pStyle w:val="ListBullet"/>
      </w:pPr>
      <w:r>
        <w:t xml:space="preserve">Report No CPMS-E7389-005R (dated 18 June 2015) combined data from </w:t>
      </w:r>
      <w:r w:rsidR="00366814">
        <w:t>S</w:t>
      </w:r>
      <w:r>
        <w:t>tudies 207, 217 and 309 with data from se</w:t>
      </w:r>
      <w:r w:rsidR="00472069">
        <w:t xml:space="preserve">ven other previously evaluated </w:t>
      </w:r>
      <w:r w:rsidR="00366814">
        <w:t>Phase I and II</w:t>
      </w:r>
      <w:r w:rsidR="00472069">
        <w:t xml:space="preserve"> </w:t>
      </w:r>
      <w:r>
        <w:t>studies</w:t>
      </w:r>
      <w:r w:rsidR="0019387B">
        <w:t>.</w:t>
      </w:r>
    </w:p>
    <w:p w:rsidR="00605AD4" w:rsidRDefault="00605AD4" w:rsidP="00605AD4">
      <w:pPr>
        <w:pStyle w:val="Heading4"/>
      </w:pPr>
      <w:r>
        <w:t>Evaluator’s conclusions on pharmacokinetics</w:t>
      </w:r>
    </w:p>
    <w:p w:rsidR="000A6BCB" w:rsidRDefault="000A6BCB" w:rsidP="000A6BCB">
      <w:r>
        <w:t xml:space="preserve">The PK properties of </w:t>
      </w:r>
      <w:proofErr w:type="spellStart"/>
      <w:r>
        <w:t>eribulin</w:t>
      </w:r>
      <w:proofErr w:type="spellEnd"/>
      <w:r>
        <w:t xml:space="preserve"> as described by the population PK analyses were consistent with those previously determined. Findings included the following:</w:t>
      </w:r>
    </w:p>
    <w:p w:rsidR="000A6BCB" w:rsidRDefault="000A6BCB" w:rsidP="007E7993">
      <w:pPr>
        <w:pStyle w:val="ListBullet"/>
      </w:pPr>
      <w:r>
        <w:t>Typical clearance was estimated to be approximately 2.8 L/hour.</w:t>
      </w:r>
    </w:p>
    <w:p w:rsidR="000A6BCB" w:rsidRDefault="000A6BCB" w:rsidP="007E7993">
      <w:pPr>
        <w:pStyle w:val="ListBullet"/>
      </w:pPr>
      <w:r>
        <w:t xml:space="preserve">Markers of impaired hepatic function (decreased albumin, increased </w:t>
      </w:r>
      <w:r w:rsidR="00366814">
        <w:t>liver function tests (</w:t>
      </w:r>
      <w:r>
        <w:t>LFTs</w:t>
      </w:r>
      <w:r w:rsidR="00366814">
        <w:t>)</w:t>
      </w:r>
      <w:r>
        <w:t xml:space="preserve">) were associated with increased exposure to </w:t>
      </w:r>
      <w:proofErr w:type="spellStart"/>
      <w:r>
        <w:t>eribulin</w:t>
      </w:r>
      <w:proofErr w:type="spellEnd"/>
      <w:r>
        <w:t>.</w:t>
      </w:r>
    </w:p>
    <w:p w:rsidR="000A6BCB" w:rsidRDefault="000A6BCB" w:rsidP="007E7993">
      <w:pPr>
        <w:pStyle w:val="ListBullet"/>
      </w:pPr>
      <w:r>
        <w:lastRenderedPageBreak/>
        <w:t>Tumour type (sarcoma v</w:t>
      </w:r>
      <w:r w:rsidR="00366814">
        <w:t>ersus</w:t>
      </w:r>
      <w:r>
        <w:t xml:space="preserve"> other tumours) or type of sarcoma did not affect </w:t>
      </w:r>
      <w:proofErr w:type="spellStart"/>
      <w:r>
        <w:t>eribulin</w:t>
      </w:r>
      <w:proofErr w:type="spellEnd"/>
      <w:r>
        <w:t xml:space="preserve"> PK.</w:t>
      </w:r>
    </w:p>
    <w:p w:rsidR="000A6BCB" w:rsidRDefault="000A6BCB" w:rsidP="00366814">
      <w:pPr>
        <w:pStyle w:val="ListBullet"/>
      </w:pPr>
      <w:proofErr w:type="spellStart"/>
      <w:r>
        <w:t>Eribulin</w:t>
      </w:r>
      <w:proofErr w:type="spellEnd"/>
      <w:r>
        <w:t xml:space="preserve"> PK was not affected by age, gender, race, </w:t>
      </w:r>
      <w:proofErr w:type="gramStart"/>
      <w:r w:rsidR="00366814" w:rsidRPr="00366814">
        <w:t xml:space="preserve">Eastern Cooperative Oncology Group </w:t>
      </w:r>
      <w:r w:rsidR="00366814">
        <w:t>(</w:t>
      </w:r>
      <w:r>
        <w:t>ECOG</w:t>
      </w:r>
      <w:r w:rsidR="00366814">
        <w:t>)</w:t>
      </w:r>
      <w:r>
        <w:t xml:space="preserve"> status</w:t>
      </w:r>
      <w:r w:rsidR="00DD31CA">
        <w:rPr>
          <w:rStyle w:val="FootnoteReference"/>
        </w:rPr>
        <w:footnoteReference w:id="10"/>
      </w:r>
      <w:proofErr w:type="gramEnd"/>
      <w:r>
        <w:t xml:space="preserve"> or creatinine clearance.</w:t>
      </w:r>
    </w:p>
    <w:p w:rsidR="000A6BCB" w:rsidRDefault="000A6BCB" w:rsidP="000A6BCB">
      <w:r>
        <w:t>A number of population PK/PD analyses were also undertaken. Findings of these analyses included the following:</w:t>
      </w:r>
    </w:p>
    <w:p w:rsidR="000A6BCB" w:rsidRDefault="000A6BCB" w:rsidP="007E7993">
      <w:pPr>
        <w:pStyle w:val="ListBullet"/>
      </w:pPr>
      <w:r>
        <w:t xml:space="preserve">No relationship was identified between </w:t>
      </w:r>
      <w:proofErr w:type="spellStart"/>
      <w:r>
        <w:t>eribulin</w:t>
      </w:r>
      <w:proofErr w:type="spellEnd"/>
      <w:r>
        <w:t xml:space="preserve"> exposure and efficacy endpoints (</w:t>
      </w:r>
      <w:r w:rsidR="00366814">
        <w:t>progression free survival (</w:t>
      </w:r>
      <w:r>
        <w:t>PFS</w:t>
      </w:r>
      <w:r w:rsidR="00366814">
        <w:t>)</w:t>
      </w:r>
      <w:r>
        <w:t>, overall survival, overall response or reduction in tumour size);</w:t>
      </w:r>
    </w:p>
    <w:p w:rsidR="000A6BCB" w:rsidRDefault="000A6BCB" w:rsidP="007E7993">
      <w:pPr>
        <w:pStyle w:val="ListBullet"/>
      </w:pPr>
      <w:r>
        <w:t xml:space="preserve">Subjects who developed certain </w:t>
      </w:r>
      <w:r w:rsidR="00366814">
        <w:t>adverse events (</w:t>
      </w:r>
      <w:r>
        <w:t>AEs</w:t>
      </w:r>
      <w:r w:rsidR="00366814">
        <w:t>)</w:t>
      </w:r>
      <w:r>
        <w:t xml:space="preserve"> (neuropathy, fatigue) had higher </w:t>
      </w:r>
      <w:proofErr w:type="spellStart"/>
      <w:r>
        <w:t>eribulin</w:t>
      </w:r>
      <w:proofErr w:type="spellEnd"/>
      <w:r>
        <w:t xml:space="preserve"> exposure compared to other subjects;</w:t>
      </w:r>
    </w:p>
    <w:p w:rsidR="000A6BCB" w:rsidRDefault="000A6BCB" w:rsidP="007E7993">
      <w:pPr>
        <w:pStyle w:val="ListBullet"/>
      </w:pPr>
      <w:r>
        <w:t xml:space="preserve">A model was developed that adequately described the effect of </w:t>
      </w:r>
      <w:proofErr w:type="spellStart"/>
      <w:r>
        <w:t>eribulin</w:t>
      </w:r>
      <w:proofErr w:type="spellEnd"/>
      <w:r>
        <w:t xml:space="preserve"> on absolute neutrophil count. Inhibition of neutrophil proliferation by </w:t>
      </w:r>
      <w:proofErr w:type="spellStart"/>
      <w:r>
        <w:t>eribulin</w:t>
      </w:r>
      <w:proofErr w:type="spellEnd"/>
      <w:r>
        <w:t xml:space="preserve"> was higher in Japanese subjects and in subjects receiving </w:t>
      </w:r>
      <w:r w:rsidR="00366814">
        <w:t>granulocyte colony stimulating factor (</w:t>
      </w:r>
      <w:r>
        <w:t>G-CSF</w:t>
      </w:r>
      <w:r w:rsidR="00366814">
        <w:t>)</w:t>
      </w:r>
      <w:r>
        <w:t xml:space="preserve"> treatment.</w:t>
      </w:r>
    </w:p>
    <w:p w:rsidR="000A6BCB" w:rsidRPr="000A6BCB" w:rsidRDefault="000A6BCB" w:rsidP="007E7993">
      <w:pPr>
        <w:pStyle w:val="ListBullet"/>
      </w:pPr>
      <w:r>
        <w:t xml:space="preserve">No relationship was identified between </w:t>
      </w:r>
      <w:proofErr w:type="spellStart"/>
      <w:r>
        <w:t>eribulin</w:t>
      </w:r>
      <w:proofErr w:type="spellEnd"/>
      <w:r>
        <w:t xml:space="preserve"> exposure and QT interval</w:t>
      </w:r>
      <w:r w:rsidR="00366814">
        <w:rPr>
          <w:rStyle w:val="FootnoteReference"/>
        </w:rPr>
        <w:footnoteReference w:id="11"/>
      </w:r>
      <w:r>
        <w:t>.</w:t>
      </w:r>
    </w:p>
    <w:p w:rsidR="008E7846" w:rsidRDefault="008E7846" w:rsidP="008E7846">
      <w:pPr>
        <w:pStyle w:val="Heading3"/>
      </w:pPr>
      <w:bookmarkStart w:id="66" w:name="_Toc196046481"/>
      <w:bookmarkStart w:id="67" w:name="_Toc247691520"/>
      <w:bookmarkStart w:id="68" w:name="_Toc314842503"/>
      <w:bookmarkStart w:id="69" w:name="_Toc497233779"/>
      <w:r w:rsidRPr="00254787">
        <w:t>Pharmacodynamics</w:t>
      </w:r>
      <w:bookmarkEnd w:id="50"/>
      <w:bookmarkEnd w:id="66"/>
      <w:bookmarkEnd w:id="67"/>
      <w:bookmarkEnd w:id="68"/>
      <w:bookmarkEnd w:id="69"/>
    </w:p>
    <w:p w:rsidR="00605AD4" w:rsidRDefault="00605AD4" w:rsidP="00605AD4">
      <w:pPr>
        <w:pStyle w:val="Heading4"/>
      </w:pPr>
      <w:r>
        <w:t xml:space="preserve">Studies providing </w:t>
      </w:r>
      <w:proofErr w:type="spellStart"/>
      <w:r>
        <w:t>pharmacodynamic</w:t>
      </w:r>
      <w:proofErr w:type="spellEnd"/>
      <w:r>
        <w:t xml:space="preserve"> data</w:t>
      </w:r>
    </w:p>
    <w:p w:rsidR="000A6BCB" w:rsidRPr="000A6BCB" w:rsidRDefault="000A6BCB" w:rsidP="000A6BCB">
      <w:r>
        <w:t xml:space="preserve">Apart from the PK/PD analyses described </w:t>
      </w:r>
      <w:r w:rsidR="00C13F96">
        <w:t>above and in Attachment 2</w:t>
      </w:r>
      <w:r>
        <w:t xml:space="preserve">, no new clinical </w:t>
      </w:r>
      <w:proofErr w:type="spellStart"/>
      <w:r>
        <w:t>pharmacodynamic</w:t>
      </w:r>
      <w:proofErr w:type="spellEnd"/>
      <w:r>
        <w:t xml:space="preserve"> data were included in the submission.</w:t>
      </w:r>
    </w:p>
    <w:p w:rsidR="008E7846" w:rsidRDefault="00605AD4" w:rsidP="00605AD4">
      <w:pPr>
        <w:pStyle w:val="Heading3"/>
      </w:pPr>
      <w:bookmarkStart w:id="70" w:name="_Toc497233780"/>
      <w:r>
        <w:t>Dosage selection for the pivotal studies</w:t>
      </w:r>
      <w:bookmarkEnd w:id="70"/>
    </w:p>
    <w:p w:rsidR="007E7993" w:rsidRDefault="007E7993" w:rsidP="007E7993">
      <w:r>
        <w:t xml:space="preserve">The dose of </w:t>
      </w:r>
      <w:proofErr w:type="spellStart"/>
      <w:r>
        <w:t>eribulin</w:t>
      </w:r>
      <w:proofErr w:type="spellEnd"/>
      <w:r>
        <w:t xml:space="preserve"> selected for all the STS studies was 1.4 mg/m</w:t>
      </w:r>
      <w:r w:rsidRPr="00C13F96">
        <w:rPr>
          <w:vertAlign w:val="superscript"/>
        </w:rPr>
        <w:t>2</w:t>
      </w:r>
      <w:r w:rsidR="00C13F96">
        <w:t xml:space="preserve"> IV over 2 to 5 minutes on D</w:t>
      </w:r>
      <w:r>
        <w:t>ays 1 and 8 of a 21</w:t>
      </w:r>
      <w:r w:rsidR="00C13F96">
        <w:t xml:space="preserve"> </w:t>
      </w:r>
      <w:r>
        <w:t>day cycle.</w:t>
      </w:r>
    </w:p>
    <w:p w:rsidR="000A6BCB" w:rsidRPr="000A6BCB" w:rsidRDefault="007E7993" w:rsidP="007E7993">
      <w:r>
        <w:t xml:space="preserve">The choice was based on findings of </w:t>
      </w:r>
      <w:r w:rsidR="00C13F96">
        <w:t>P</w:t>
      </w:r>
      <w:r>
        <w:t xml:space="preserve">hase </w:t>
      </w:r>
      <w:r w:rsidR="00C13F96">
        <w:t>I</w:t>
      </w:r>
      <w:r>
        <w:t xml:space="preserve"> and </w:t>
      </w:r>
      <w:r w:rsidR="00C13F96">
        <w:t>II</w:t>
      </w:r>
      <w:r>
        <w:t xml:space="preserve"> studies conducted prior to the STS studies. The maximum tolerated dose (MTD) of </w:t>
      </w:r>
      <w:proofErr w:type="spellStart"/>
      <w:r>
        <w:t>eribulin</w:t>
      </w:r>
      <w:proofErr w:type="spellEnd"/>
      <w:r>
        <w:t xml:space="preserve"> was determined to be 1.4 mg/m</w:t>
      </w:r>
      <w:r w:rsidRPr="00C13F96">
        <w:rPr>
          <w:vertAlign w:val="superscript"/>
        </w:rPr>
        <w:t>2</w:t>
      </w:r>
      <w:r>
        <w:t xml:space="preserve"> when administered as a bolus on Days 1, 8, and 15 of a 28</w:t>
      </w:r>
      <w:r w:rsidR="00C13F96">
        <w:t xml:space="preserve"> </w:t>
      </w:r>
      <w:r>
        <w:t xml:space="preserve">day cycle. However, in subsequent Phase </w:t>
      </w:r>
      <w:r w:rsidR="00C13F96">
        <w:t>II</w:t>
      </w:r>
      <w:r>
        <w:t xml:space="preserve"> studies, the Day 15 dose in the 28</w:t>
      </w:r>
      <w:r w:rsidR="00C13F96">
        <w:t xml:space="preserve"> </w:t>
      </w:r>
      <w:r>
        <w:t>day cycle had to be omitted in more than 50% of cases due to hematologic toxicity. Efficacy was not affected by skipping the Day 15 dose. It was therefore concluded that 1.4 mg/m</w:t>
      </w:r>
      <w:r w:rsidRPr="00C13F96">
        <w:rPr>
          <w:vertAlign w:val="superscript"/>
        </w:rPr>
        <w:t>2</w:t>
      </w:r>
      <w:r w:rsidR="00C13F96">
        <w:t xml:space="preserve"> on Days 1 and 8 of a 21 </w:t>
      </w:r>
      <w:r>
        <w:t>day cycle was likely to be the optimal dose and schedule. This was the dosage regimen approved for use in breast cancer.</w:t>
      </w:r>
    </w:p>
    <w:p w:rsidR="008E7846" w:rsidRPr="00254787" w:rsidRDefault="008E7846" w:rsidP="008E7846">
      <w:pPr>
        <w:pStyle w:val="Heading3"/>
      </w:pPr>
      <w:bookmarkStart w:id="71" w:name="_Toc163441372"/>
      <w:bookmarkStart w:id="72" w:name="_Toc196046485"/>
      <w:bookmarkStart w:id="73" w:name="_Toc247691521"/>
      <w:bookmarkStart w:id="74" w:name="_Toc314842504"/>
      <w:bookmarkStart w:id="75" w:name="_Toc497233781"/>
      <w:r w:rsidRPr="00254787">
        <w:lastRenderedPageBreak/>
        <w:t>Efficacy</w:t>
      </w:r>
      <w:bookmarkEnd w:id="71"/>
      <w:bookmarkEnd w:id="72"/>
      <w:bookmarkEnd w:id="73"/>
      <w:bookmarkEnd w:id="74"/>
      <w:bookmarkEnd w:id="75"/>
    </w:p>
    <w:p w:rsidR="00605AD4" w:rsidRDefault="00605AD4" w:rsidP="00605AD4">
      <w:pPr>
        <w:pStyle w:val="Heading4"/>
      </w:pPr>
      <w:bookmarkStart w:id="76" w:name="_Toc184439992"/>
      <w:bookmarkStart w:id="77" w:name="_Toc184440279"/>
      <w:bookmarkStart w:id="78" w:name="_Toc184444657"/>
      <w:bookmarkStart w:id="79" w:name="_Toc196046487"/>
      <w:r>
        <w:t>Studies providing efficacy data</w:t>
      </w:r>
    </w:p>
    <w:p w:rsidR="007E7993" w:rsidRPr="007E7993" w:rsidRDefault="008C4F68" w:rsidP="008C4F68">
      <w:r w:rsidRPr="008C4F68">
        <w:t>The p</w:t>
      </w:r>
      <w:r w:rsidR="007E7993" w:rsidRPr="008C4F68">
        <w:t xml:space="preserve">ivotal efficacy study </w:t>
      </w:r>
      <w:r w:rsidRPr="008C4F68">
        <w:t xml:space="preserve">was </w:t>
      </w:r>
      <w:r w:rsidR="007E7993" w:rsidRPr="008C4F68">
        <w:t>Study 309</w:t>
      </w:r>
      <w:r w:rsidRPr="008C4F68">
        <w:t>. Two single-arm Phase II studies in subjects with STS (Studies 207 and 217) were also submitted.</w:t>
      </w:r>
    </w:p>
    <w:p w:rsidR="008E7846" w:rsidRDefault="00605AD4" w:rsidP="00605AD4">
      <w:pPr>
        <w:pStyle w:val="Heading4"/>
      </w:pPr>
      <w:r>
        <w:t>Evaluator’s conclusions on efficacy</w:t>
      </w:r>
      <w:r w:rsidR="007E7993" w:rsidRPr="007E7993">
        <w:t xml:space="preserve"> </w:t>
      </w:r>
      <w:r w:rsidR="007E7993">
        <w:t>for STS</w:t>
      </w:r>
    </w:p>
    <w:p w:rsidR="007E7993" w:rsidRDefault="007E7993" w:rsidP="007E7993">
      <w:r>
        <w:t>The pivotal study in the submission was well designed and well executed. The design complied with the recommendations of the EMA guideline on anticancer agents</w:t>
      </w:r>
      <w:r w:rsidR="007341A2" w:rsidRPr="007341A2">
        <w:rPr>
          <w:vertAlign w:val="superscript"/>
        </w:rPr>
        <w:fldChar w:fldCharType="begin"/>
      </w:r>
      <w:r w:rsidR="007341A2" w:rsidRPr="007341A2">
        <w:rPr>
          <w:vertAlign w:val="superscript"/>
        </w:rPr>
        <w:instrText xml:space="preserve"> NOTEREF _Ref488157383 \h </w:instrText>
      </w:r>
      <w:r w:rsidR="007341A2">
        <w:rPr>
          <w:vertAlign w:val="superscript"/>
        </w:rPr>
        <w:instrText xml:space="preserve"> \* MERGEFORMAT </w:instrText>
      </w:r>
      <w:r w:rsidR="007341A2" w:rsidRPr="007341A2">
        <w:rPr>
          <w:vertAlign w:val="superscript"/>
        </w:rPr>
      </w:r>
      <w:r w:rsidR="007341A2" w:rsidRPr="007341A2">
        <w:rPr>
          <w:vertAlign w:val="superscript"/>
        </w:rPr>
        <w:fldChar w:fldCharType="separate"/>
      </w:r>
      <w:r w:rsidR="002506E0">
        <w:rPr>
          <w:vertAlign w:val="superscript"/>
        </w:rPr>
        <w:t>7</w:t>
      </w:r>
      <w:r w:rsidR="007341A2" w:rsidRPr="007341A2">
        <w:rPr>
          <w:vertAlign w:val="superscript"/>
        </w:rPr>
        <w:fldChar w:fldCharType="end"/>
      </w:r>
      <w:r>
        <w:t xml:space="preserve"> that has been adopted by the TGA. The choice of </w:t>
      </w:r>
      <w:proofErr w:type="spellStart"/>
      <w:r>
        <w:t>dacarbazine</w:t>
      </w:r>
      <w:proofErr w:type="spellEnd"/>
      <w:r>
        <w:t xml:space="preserve"> as the comparator agent was reasonable.</w:t>
      </w:r>
    </w:p>
    <w:p w:rsidR="007E7993" w:rsidRDefault="007E7993" w:rsidP="007E7993">
      <w:r>
        <w:t xml:space="preserve">The study demonstrated a statistically significant increase in survival with </w:t>
      </w:r>
      <w:proofErr w:type="spellStart"/>
      <w:r>
        <w:t>eribulin</w:t>
      </w:r>
      <w:proofErr w:type="spellEnd"/>
      <w:r>
        <w:t xml:space="preserve"> compared to </w:t>
      </w:r>
      <w:proofErr w:type="spellStart"/>
      <w:r>
        <w:t>dacarbazine</w:t>
      </w:r>
      <w:proofErr w:type="spellEnd"/>
      <w:r>
        <w:t xml:space="preserve"> (</w:t>
      </w:r>
      <w:r w:rsidR="00E50E5A">
        <w:t>hazard ratio (</w:t>
      </w:r>
      <w:r>
        <w:t>HR</w:t>
      </w:r>
      <w:r w:rsidR="00E50E5A">
        <w:t>)</w:t>
      </w:r>
      <w:r>
        <w:t xml:space="preserve"> = 0.768 [95%</w:t>
      </w:r>
      <w:r w:rsidR="00E50E5A">
        <w:t xml:space="preserve"> confidence interval (</w:t>
      </w:r>
      <w:r>
        <w:t>CI</w:t>
      </w:r>
      <w:r w:rsidR="00E50E5A">
        <w:t>)</w:t>
      </w:r>
      <w:r>
        <w:t xml:space="preserve">: 0.618 – 0.954]; p = 0.0169). Median survival was increased by approximately 2 months. The magnitude of the survival benefit is clinically significant. The TGA has in recent years approved </w:t>
      </w:r>
      <w:proofErr w:type="spellStart"/>
      <w:r>
        <w:t>pazopanib</w:t>
      </w:r>
      <w:proofErr w:type="spellEnd"/>
      <w:r>
        <w:t xml:space="preserve"> for advanced STS and the pivotal study for this drug demonstrated a prolongation of PFS by approximately 3 months compared with placebo, with no demonstrated improvement in overall survival.</w:t>
      </w:r>
    </w:p>
    <w:p w:rsidR="007E7993" w:rsidRDefault="007E7993" w:rsidP="007E7993">
      <w:proofErr w:type="spellStart"/>
      <w:r>
        <w:t>Eribulin</w:t>
      </w:r>
      <w:proofErr w:type="spellEnd"/>
      <w:r>
        <w:t xml:space="preserve"> was not associated with significant benefits on the other efficacy endpoints studied such as PFS or response rates. These endpoints are generally considered to be surrogates for the gold standard of overall survival. In the presence of a demonstrated overall survival benefit, the absence of a demonstrated effect of </w:t>
      </w:r>
      <w:proofErr w:type="spellStart"/>
      <w:r>
        <w:t>eribulin</w:t>
      </w:r>
      <w:proofErr w:type="spellEnd"/>
      <w:r>
        <w:t xml:space="preserve"> on these endpoints is not considered important. </w:t>
      </w:r>
      <w:proofErr w:type="spellStart"/>
      <w:r>
        <w:t>Eribulin</w:t>
      </w:r>
      <w:proofErr w:type="spellEnd"/>
      <w:r>
        <w:t xml:space="preserve"> treatment was not associated with any improvement or impairment of </w:t>
      </w:r>
      <w:r w:rsidR="00E50E5A">
        <w:t>Quality of Life (</w:t>
      </w:r>
      <w:proofErr w:type="spellStart"/>
      <w:r>
        <w:t>QoL</w:t>
      </w:r>
      <w:proofErr w:type="spellEnd"/>
      <w:r w:rsidR="00E50E5A">
        <w:t>)</w:t>
      </w:r>
      <w:r>
        <w:t xml:space="preserve"> compared to </w:t>
      </w:r>
      <w:proofErr w:type="spellStart"/>
      <w:r>
        <w:t>dacarbazine</w:t>
      </w:r>
      <w:proofErr w:type="spellEnd"/>
      <w:r>
        <w:t>.</w:t>
      </w:r>
    </w:p>
    <w:p w:rsidR="007E7993" w:rsidRDefault="007E7993" w:rsidP="007E7993">
      <w:r>
        <w:t xml:space="preserve">The indication proposed by the sponsor would permit use of </w:t>
      </w:r>
      <w:proofErr w:type="spellStart"/>
      <w:r>
        <w:t>eribulin</w:t>
      </w:r>
      <w:proofErr w:type="spellEnd"/>
      <w:r>
        <w:t xml:space="preserve"> in all forms of STS. Enrolment in the pivotal study was restricted to subjects with </w:t>
      </w:r>
      <w:proofErr w:type="spellStart"/>
      <w:r>
        <w:t>liposar</w:t>
      </w:r>
      <w:r w:rsidR="00E50E5A">
        <w:t>coma</w:t>
      </w:r>
      <w:proofErr w:type="spellEnd"/>
      <w:r w:rsidR="00E50E5A">
        <w:t xml:space="preserve"> or </w:t>
      </w:r>
      <w:proofErr w:type="spellStart"/>
      <w:r w:rsidR="00E50E5A">
        <w:t>leiomyosarcoma</w:t>
      </w:r>
      <w:proofErr w:type="spellEnd"/>
      <w:r w:rsidR="00E50E5A">
        <w:t>, as the P</w:t>
      </w:r>
      <w:r>
        <w:t xml:space="preserve">hase </w:t>
      </w:r>
      <w:r w:rsidR="00E50E5A">
        <w:t>II</w:t>
      </w:r>
      <w:r>
        <w:t xml:space="preserve"> study did not demonstrate convincing evidence of activity for </w:t>
      </w:r>
      <w:proofErr w:type="spellStart"/>
      <w:r>
        <w:t>eribulin</w:t>
      </w:r>
      <w:proofErr w:type="spellEnd"/>
      <w:r>
        <w:t xml:space="preserve"> in other histological subtypes. There is therefore no adequate evidence to support use of </w:t>
      </w:r>
      <w:proofErr w:type="spellStart"/>
      <w:r>
        <w:t>eribulin</w:t>
      </w:r>
      <w:proofErr w:type="spellEnd"/>
      <w:r>
        <w:t xml:space="preserve"> in histological subtypes other than </w:t>
      </w:r>
      <w:proofErr w:type="spellStart"/>
      <w:r>
        <w:t>liposarcoma</w:t>
      </w:r>
      <w:proofErr w:type="spellEnd"/>
      <w:r>
        <w:t xml:space="preserve"> or </w:t>
      </w:r>
      <w:proofErr w:type="spellStart"/>
      <w:r>
        <w:t>leiomyosarcoma</w:t>
      </w:r>
      <w:proofErr w:type="spellEnd"/>
      <w:r>
        <w:t>. If a new STS indication is to be approved the other subtypes should be excluded.</w:t>
      </w:r>
    </w:p>
    <w:p w:rsidR="007E7993" w:rsidRDefault="007E7993" w:rsidP="007E7993">
      <w:r>
        <w:t xml:space="preserve">Although a statistically significant effect on overall survival was demonstrated in the pivotal study, subgroup analysis indicated that there was a notable difference between the two STS subtypes. The overall survival benefit was driven by a marked survival benefit in the </w:t>
      </w:r>
      <w:proofErr w:type="spellStart"/>
      <w:r>
        <w:t>liposarcoma</w:t>
      </w:r>
      <w:proofErr w:type="spellEnd"/>
      <w:r>
        <w:t xml:space="preserve"> subgroup (HR = 0.511 [95%CI: 0.346 – 0.753]). In this subgroup median survival was prolonged by approximately 7 months (15.6 v</w:t>
      </w:r>
      <w:r w:rsidR="00E50E5A">
        <w:t>ersus</w:t>
      </w:r>
      <w:r>
        <w:t xml:space="preserve"> 8.4 months). In contrast, the HR in the </w:t>
      </w:r>
      <w:proofErr w:type="spellStart"/>
      <w:r>
        <w:t>leiomyosarcoma</w:t>
      </w:r>
      <w:proofErr w:type="spellEnd"/>
      <w:r>
        <w:t xml:space="preserve"> subgroup was 0.927 (95%CI: 0.714 </w:t>
      </w:r>
      <w:r w:rsidR="00E50E5A">
        <w:t>to</w:t>
      </w:r>
      <w:r>
        <w:t xml:space="preserve"> 1.203), with no increase in median survival. However, the study was not powered to demonstrate a significant effect on survival in the </w:t>
      </w:r>
      <w:proofErr w:type="spellStart"/>
      <w:r>
        <w:t>leiomyosarcoma</w:t>
      </w:r>
      <w:proofErr w:type="spellEnd"/>
      <w:r>
        <w:t xml:space="preserve"> subgroup. It might be concluded that the efficacy of </w:t>
      </w:r>
      <w:proofErr w:type="spellStart"/>
      <w:r>
        <w:t>eribulin</w:t>
      </w:r>
      <w:proofErr w:type="spellEnd"/>
      <w:r>
        <w:t xml:space="preserve"> in </w:t>
      </w:r>
      <w:proofErr w:type="spellStart"/>
      <w:r>
        <w:t>leiomyosarcoma</w:t>
      </w:r>
      <w:proofErr w:type="spellEnd"/>
      <w:r>
        <w:t xml:space="preserve"> is approximately comparable to that of </w:t>
      </w:r>
      <w:proofErr w:type="spellStart"/>
      <w:r>
        <w:t>dacarbazine</w:t>
      </w:r>
      <w:proofErr w:type="spellEnd"/>
      <w:r>
        <w:t xml:space="preserve">. However, </w:t>
      </w:r>
      <w:proofErr w:type="spellStart"/>
      <w:r>
        <w:t>dacarbazine</w:t>
      </w:r>
      <w:proofErr w:type="spellEnd"/>
      <w:r>
        <w:t xml:space="preserve"> has not been demonstrated to produce a survival benefit in STS. Evidence of efficacy in </w:t>
      </w:r>
      <w:proofErr w:type="spellStart"/>
      <w:r>
        <w:t>liposarcoma</w:t>
      </w:r>
      <w:proofErr w:type="spellEnd"/>
      <w:r>
        <w:t xml:space="preserve"> is therefore convincing, while evidence for efficacy in </w:t>
      </w:r>
      <w:proofErr w:type="spellStart"/>
      <w:r>
        <w:t>leiomyosarcoma</w:t>
      </w:r>
      <w:proofErr w:type="spellEnd"/>
      <w:r>
        <w:t xml:space="preserve"> is uncertain.</w:t>
      </w:r>
    </w:p>
    <w:p w:rsidR="007E7993" w:rsidRDefault="00E50E5A" w:rsidP="007E7993">
      <w:r>
        <w:t>The two P</w:t>
      </w:r>
      <w:r w:rsidR="007E7993">
        <w:t xml:space="preserve">hase II studies used the novel endpoint of </w:t>
      </w:r>
      <w:r w:rsidRPr="00E50E5A">
        <w:t>progression-free rate at 12 w</w:t>
      </w:r>
      <w:r w:rsidR="00472069">
        <w:t>ee</w:t>
      </w:r>
      <w:r w:rsidRPr="00E50E5A">
        <w:t xml:space="preserve">ks </w:t>
      </w:r>
      <w:r>
        <w:t>(</w:t>
      </w:r>
      <w:r w:rsidR="007E7993">
        <w:t>PFR12wks</w:t>
      </w:r>
      <w:r>
        <w:t>)</w:t>
      </w:r>
      <w:r w:rsidR="007E7993">
        <w:t xml:space="preserve"> and were single-arm, non-comparative studies. In both studies PFR12wks was higher among </w:t>
      </w:r>
      <w:proofErr w:type="spellStart"/>
      <w:r w:rsidR="007E7993">
        <w:t>liposarcoma</w:t>
      </w:r>
      <w:proofErr w:type="spellEnd"/>
      <w:r w:rsidR="007E7993">
        <w:t xml:space="preserve"> subjects than among </w:t>
      </w:r>
      <w:proofErr w:type="spellStart"/>
      <w:r w:rsidR="007E7993">
        <w:t>leiomyosarcoma</w:t>
      </w:r>
      <w:proofErr w:type="spellEnd"/>
      <w:r w:rsidR="007E7993">
        <w:t xml:space="preserve"> subjects, a finding that is consistent with the efficacy results of the pivotal study. According to the </w:t>
      </w:r>
      <w:r w:rsidRPr="00E50E5A">
        <w:t xml:space="preserve">European Organisation for Research and Treatment of Cancer </w:t>
      </w:r>
      <w:r>
        <w:t>(</w:t>
      </w:r>
      <w:r w:rsidR="007E7993">
        <w:t>EORTC</w:t>
      </w:r>
      <w:r>
        <w:t>)</w:t>
      </w:r>
      <w:r w:rsidR="007E7993">
        <w:t xml:space="preserve"> Sarcoma group a PFR12wks &gt; 40% indicates activity of a drug in the </w:t>
      </w:r>
      <w:r>
        <w:t>second</w:t>
      </w:r>
      <w:r w:rsidR="007E7993">
        <w:t xml:space="preserve"> line STS setting. Using this criterion, activity in </w:t>
      </w:r>
      <w:proofErr w:type="spellStart"/>
      <w:r w:rsidR="007E7993">
        <w:t>liposarcoma</w:t>
      </w:r>
      <w:proofErr w:type="spellEnd"/>
      <w:r w:rsidR="007E7993">
        <w:t xml:space="preserve"> was demonstrated in both studies (46.9% in </w:t>
      </w:r>
      <w:r>
        <w:t>Study 20</w:t>
      </w:r>
      <w:r w:rsidR="007E7993">
        <w:t xml:space="preserve">7 and 81.3% in </w:t>
      </w:r>
      <w:r>
        <w:t>Study 21</w:t>
      </w:r>
      <w:r w:rsidR="007E7993">
        <w:t xml:space="preserve">7) and activity in </w:t>
      </w:r>
      <w:proofErr w:type="spellStart"/>
      <w:r w:rsidR="007E7993">
        <w:t>leiomyosarcoma</w:t>
      </w:r>
      <w:proofErr w:type="spellEnd"/>
      <w:r w:rsidR="007E7993">
        <w:t xml:space="preserve"> was demonstrated in one of the studies </w:t>
      </w:r>
      <w:r w:rsidR="007E7993">
        <w:lastRenderedPageBreak/>
        <w:t xml:space="preserve">(31.6% in </w:t>
      </w:r>
      <w:r>
        <w:t>Study 20</w:t>
      </w:r>
      <w:r w:rsidR="007E7993">
        <w:t xml:space="preserve">7 and 42.1% in </w:t>
      </w:r>
      <w:r>
        <w:t>Study 21</w:t>
      </w:r>
      <w:r w:rsidR="007E7993">
        <w:t xml:space="preserve">7). It should be noted that most subjects in these studies were receiving </w:t>
      </w:r>
      <w:proofErr w:type="spellStart"/>
      <w:r w:rsidR="007E7993">
        <w:t>eribulin</w:t>
      </w:r>
      <w:proofErr w:type="spellEnd"/>
      <w:r w:rsidR="007E7993">
        <w:t xml:space="preserve"> as </w:t>
      </w:r>
      <w:r w:rsidR="005617A6">
        <w:t>third</w:t>
      </w:r>
      <w:r w:rsidR="007E7993">
        <w:t xml:space="preserve"> or later line therapy and therefore the cut-off of 40% may not be applicable.</w:t>
      </w:r>
    </w:p>
    <w:p w:rsidR="007E7993" w:rsidRDefault="007E7993" w:rsidP="007E7993">
      <w:r>
        <w:t xml:space="preserve">The indication proposed by the sponsor would permit use of </w:t>
      </w:r>
      <w:proofErr w:type="spellStart"/>
      <w:r>
        <w:t>eribulin</w:t>
      </w:r>
      <w:proofErr w:type="spellEnd"/>
      <w:r>
        <w:t xml:space="preserve"> as </w:t>
      </w:r>
      <w:r w:rsidR="005617A6">
        <w:t>second</w:t>
      </w:r>
      <w:r>
        <w:t xml:space="preserve"> or later line therapy. In the pivotal study only 9.2% of </w:t>
      </w:r>
      <w:proofErr w:type="spellStart"/>
      <w:r>
        <w:t>eribulin</w:t>
      </w:r>
      <w:proofErr w:type="spellEnd"/>
      <w:r>
        <w:t xml:space="preserve">-treated subjects had received only one line of prior treatment for their advanced disease. In </w:t>
      </w:r>
      <w:r w:rsidR="00E50E5A">
        <w:t>Study 20</w:t>
      </w:r>
      <w:r>
        <w:t xml:space="preserve">7 the proportion was 30.7% and in </w:t>
      </w:r>
      <w:r w:rsidR="00E50E5A">
        <w:t>Study 21</w:t>
      </w:r>
      <w:r>
        <w:t xml:space="preserve">7 it was 35.3%. Therefore the majority of patients in the clinical trial program received </w:t>
      </w:r>
      <w:proofErr w:type="spellStart"/>
      <w:r>
        <w:t>eribulin</w:t>
      </w:r>
      <w:proofErr w:type="spellEnd"/>
      <w:r>
        <w:t xml:space="preserve"> as </w:t>
      </w:r>
      <w:r w:rsidR="005617A6">
        <w:t>third</w:t>
      </w:r>
      <w:r>
        <w:t xml:space="preserve"> or later line therapy, and it could be argued that the proposed indication should be revised to reflect this. However, this </w:t>
      </w:r>
      <w:r w:rsidR="005617A6">
        <w:t>evaluator</w:t>
      </w:r>
      <w:r>
        <w:t xml:space="preserve"> would support an indication that does not exclude </w:t>
      </w:r>
      <w:r w:rsidR="005617A6">
        <w:t>second</w:t>
      </w:r>
      <w:r>
        <w:t xml:space="preserve"> line use for the following reasons:</w:t>
      </w:r>
    </w:p>
    <w:p w:rsidR="007E7993" w:rsidRDefault="007E7993" w:rsidP="007E7993">
      <w:pPr>
        <w:pStyle w:val="ListBullet"/>
      </w:pPr>
      <w:r>
        <w:t xml:space="preserve">There is no generally agreed standard for </w:t>
      </w:r>
      <w:r w:rsidR="005617A6">
        <w:t>second</w:t>
      </w:r>
      <w:r>
        <w:t xml:space="preserve"> line therapy of STS;</w:t>
      </w:r>
    </w:p>
    <w:p w:rsidR="007E7993" w:rsidRDefault="007E7993" w:rsidP="007E7993">
      <w:pPr>
        <w:pStyle w:val="ListBullet"/>
      </w:pPr>
      <w:r>
        <w:t xml:space="preserve">The current Australian clinical practice guideline for STS (4) recommends the use of </w:t>
      </w:r>
      <w:proofErr w:type="spellStart"/>
      <w:r>
        <w:t>dacarbazine</w:t>
      </w:r>
      <w:proofErr w:type="spellEnd"/>
      <w:r>
        <w:t xml:space="preserve"> after failure of doxorubicin and </w:t>
      </w:r>
      <w:proofErr w:type="spellStart"/>
      <w:r>
        <w:t>ifosfamide</w:t>
      </w:r>
      <w:proofErr w:type="spellEnd"/>
      <w:r>
        <w:t xml:space="preserve">. Doxorubicin and </w:t>
      </w:r>
      <w:proofErr w:type="spellStart"/>
      <w:r>
        <w:t>ifosfamide</w:t>
      </w:r>
      <w:proofErr w:type="spellEnd"/>
      <w:r>
        <w:t xml:space="preserve"> are often used in combination as first-line therapy, and in this scenario </w:t>
      </w:r>
      <w:proofErr w:type="spellStart"/>
      <w:r>
        <w:t>dacarbazine</w:t>
      </w:r>
      <w:proofErr w:type="spellEnd"/>
      <w:r>
        <w:t xml:space="preserve"> would be recommended as </w:t>
      </w:r>
      <w:r w:rsidR="005617A6">
        <w:t>second</w:t>
      </w:r>
      <w:r>
        <w:t xml:space="preserve"> line therapy. The pivotal study would suggest that </w:t>
      </w:r>
      <w:proofErr w:type="spellStart"/>
      <w:r>
        <w:t>eribulin</w:t>
      </w:r>
      <w:proofErr w:type="spellEnd"/>
      <w:r>
        <w:t xml:space="preserve"> is clearly superior to </w:t>
      </w:r>
      <w:proofErr w:type="spellStart"/>
      <w:r>
        <w:t>dacarbazine</w:t>
      </w:r>
      <w:proofErr w:type="spellEnd"/>
      <w:r>
        <w:t xml:space="preserve">, at least for </w:t>
      </w:r>
      <w:proofErr w:type="spellStart"/>
      <w:r>
        <w:t>liposarcoma</w:t>
      </w:r>
      <w:proofErr w:type="spellEnd"/>
      <w:r>
        <w:t>;</w:t>
      </w:r>
    </w:p>
    <w:p w:rsidR="007E7993" w:rsidRDefault="007E7993" w:rsidP="007E7993">
      <w:pPr>
        <w:pStyle w:val="ListBullet"/>
      </w:pPr>
      <w:r>
        <w:t>Cytotoxic agents generally have greater efficacy in less heavily pre-treated subjects.</w:t>
      </w:r>
    </w:p>
    <w:p w:rsidR="0019387B" w:rsidRDefault="007E7993" w:rsidP="007E7993">
      <w:r>
        <w:t>The submission for the new indication is based on a single pivotal study and the TGA has adopted an EMA guideline that deals with this situation.</w:t>
      </w:r>
      <w:r w:rsidR="007341A2">
        <w:rPr>
          <w:rStyle w:val="FootnoteReference"/>
        </w:rPr>
        <w:footnoteReference w:id="12"/>
      </w:r>
      <w:r>
        <w:t xml:space="preserve"> This guideline sets out certain ‘prerequisites’ that must be met for approval of such a submission. In the opinion of this </w:t>
      </w:r>
      <w:r w:rsidR="00472069">
        <w:t>evaluator</w:t>
      </w:r>
      <w:r>
        <w:t xml:space="preserve">, the design and results of the pivotal study allow the conclusion that these prerequisites have been met, at least for </w:t>
      </w:r>
      <w:proofErr w:type="spellStart"/>
      <w:r>
        <w:t>liposarcoma</w:t>
      </w:r>
      <w:proofErr w:type="spellEnd"/>
      <w:r w:rsidR="0019387B">
        <w:t>.</w:t>
      </w:r>
    </w:p>
    <w:p w:rsidR="007E7993" w:rsidRPr="007E7993" w:rsidRDefault="007E7993" w:rsidP="007E7993">
      <w:r>
        <w:t xml:space="preserve">Overall the evidence submitted to support the efficacy of </w:t>
      </w:r>
      <w:proofErr w:type="spellStart"/>
      <w:r>
        <w:t>eribulin</w:t>
      </w:r>
      <w:proofErr w:type="spellEnd"/>
      <w:r>
        <w:t xml:space="preserve"> for </w:t>
      </w:r>
      <w:proofErr w:type="spellStart"/>
      <w:r>
        <w:t>liposarcoma</w:t>
      </w:r>
      <w:proofErr w:type="spellEnd"/>
      <w:r>
        <w:t xml:space="preserve"> is considered acceptable. Evidence for efficacy in </w:t>
      </w:r>
      <w:proofErr w:type="spellStart"/>
      <w:r>
        <w:t>leiomyosarcoma</w:t>
      </w:r>
      <w:proofErr w:type="spellEnd"/>
      <w:r>
        <w:t xml:space="preserve"> is uncertain. There is no adequate evidence for efficacy in other histological subtypes.</w:t>
      </w:r>
    </w:p>
    <w:p w:rsidR="008E7846" w:rsidRPr="002E238E" w:rsidRDefault="008E7846" w:rsidP="008E7846">
      <w:pPr>
        <w:pStyle w:val="Heading3"/>
      </w:pPr>
      <w:bookmarkStart w:id="80" w:name="_Toc163441378"/>
      <w:bookmarkStart w:id="81" w:name="_Toc196046495"/>
      <w:bookmarkStart w:id="82" w:name="_Toc247691522"/>
      <w:bookmarkStart w:id="83" w:name="_Toc314842505"/>
      <w:bookmarkStart w:id="84" w:name="_Toc497233782"/>
      <w:bookmarkEnd w:id="76"/>
      <w:bookmarkEnd w:id="77"/>
      <w:bookmarkEnd w:id="78"/>
      <w:bookmarkEnd w:id="79"/>
      <w:r w:rsidRPr="002E238E">
        <w:t>Safety</w:t>
      </w:r>
      <w:bookmarkEnd w:id="80"/>
      <w:bookmarkEnd w:id="81"/>
      <w:bookmarkEnd w:id="82"/>
      <w:bookmarkEnd w:id="83"/>
      <w:bookmarkEnd w:id="84"/>
    </w:p>
    <w:p w:rsidR="00605AD4" w:rsidRDefault="00605AD4" w:rsidP="00605AD4">
      <w:pPr>
        <w:pStyle w:val="Heading4"/>
      </w:pPr>
      <w:bookmarkStart w:id="85" w:name="_Toc247691524"/>
      <w:bookmarkStart w:id="86" w:name="_Toc314842508"/>
      <w:bookmarkStart w:id="87" w:name="_Toc196046504"/>
      <w:bookmarkStart w:id="88" w:name="_Toc163441390"/>
      <w:r w:rsidRPr="00605AD4">
        <w:t>Studies providing safety data</w:t>
      </w:r>
    </w:p>
    <w:p w:rsidR="007E7993" w:rsidRDefault="007E7993" w:rsidP="007E7993">
      <w:proofErr w:type="spellStart"/>
      <w:r>
        <w:t>Eribulin</w:t>
      </w:r>
      <w:proofErr w:type="spellEnd"/>
      <w:r>
        <w:t xml:space="preserve"> is known to be associated with the following toxicities, as described in the current PI:</w:t>
      </w:r>
    </w:p>
    <w:p w:rsidR="007E7993" w:rsidRDefault="007E7993" w:rsidP="007E7993">
      <w:pPr>
        <w:pStyle w:val="ListBullet"/>
      </w:pPr>
      <w:r>
        <w:t xml:space="preserve">Myelosuppression, mainly manifesting as </w:t>
      </w:r>
      <w:proofErr w:type="spellStart"/>
      <w:r>
        <w:t>neutropaenia</w:t>
      </w:r>
      <w:proofErr w:type="spellEnd"/>
      <w:r>
        <w:t xml:space="preserve"> but also including anaemia, </w:t>
      </w:r>
      <w:proofErr w:type="spellStart"/>
      <w:r>
        <w:t>thrombocytopaenia</w:t>
      </w:r>
      <w:proofErr w:type="spellEnd"/>
      <w:r>
        <w:t xml:space="preserve"> and febrile </w:t>
      </w:r>
      <w:proofErr w:type="spellStart"/>
      <w:r>
        <w:t>neutropaenia</w:t>
      </w:r>
      <w:proofErr w:type="spellEnd"/>
      <w:r>
        <w:t>;</w:t>
      </w:r>
    </w:p>
    <w:p w:rsidR="007E7993" w:rsidRDefault="007E7993" w:rsidP="007E7993">
      <w:pPr>
        <w:pStyle w:val="ListBullet"/>
      </w:pPr>
      <w:r>
        <w:t>Peripheral neuropathy;</w:t>
      </w:r>
    </w:p>
    <w:p w:rsidR="007E7993" w:rsidRDefault="007E7993" w:rsidP="007E7993">
      <w:pPr>
        <w:pStyle w:val="ListBullet"/>
      </w:pPr>
      <w:r>
        <w:t>QT prolongation;</w:t>
      </w:r>
    </w:p>
    <w:p w:rsidR="007E7993" w:rsidRDefault="007E7993" w:rsidP="007E7993">
      <w:pPr>
        <w:pStyle w:val="ListBullet"/>
      </w:pPr>
      <w:r>
        <w:t>Gastrointestinal toxicity including anorexia, nausea, vomiting, diarrhoea, constipation, and stomatitis;</w:t>
      </w:r>
    </w:p>
    <w:p w:rsidR="007E7993" w:rsidRDefault="007E7993" w:rsidP="007E7993">
      <w:pPr>
        <w:pStyle w:val="ListBullet"/>
      </w:pPr>
      <w:r>
        <w:t>Liver function test abnormalities;</w:t>
      </w:r>
    </w:p>
    <w:p w:rsidR="007E7993" w:rsidRDefault="007E7993" w:rsidP="007E7993">
      <w:pPr>
        <w:pStyle w:val="ListBullet"/>
      </w:pPr>
      <w:r>
        <w:t>Fatigue, alopecia and musculoskeletal pain.</w:t>
      </w:r>
    </w:p>
    <w:p w:rsidR="007E7993" w:rsidRDefault="007E7993" w:rsidP="007E7993">
      <w:pPr>
        <w:pStyle w:val="Heading4"/>
      </w:pPr>
      <w:r>
        <w:t>Studies providing evaluable safety data</w:t>
      </w:r>
    </w:p>
    <w:p w:rsidR="007E7993" w:rsidRDefault="007E7993" w:rsidP="007E7993">
      <w:r>
        <w:t>The following studies provided evaluable safety data:</w:t>
      </w:r>
    </w:p>
    <w:p w:rsidR="007E7993" w:rsidRDefault="005617A6" w:rsidP="00D62997">
      <w:pPr>
        <w:pStyle w:val="Heading5"/>
      </w:pPr>
      <w:r>
        <w:lastRenderedPageBreak/>
        <w:t>Pivotal efficacy study (S</w:t>
      </w:r>
      <w:r w:rsidR="007E7993">
        <w:t>tudy 309)</w:t>
      </w:r>
    </w:p>
    <w:p w:rsidR="007E7993" w:rsidRDefault="007E7993" w:rsidP="007E7993">
      <w:r>
        <w:t>In the pivotal efficacy study, the following safety data were collected:</w:t>
      </w:r>
    </w:p>
    <w:p w:rsidR="007E7993" w:rsidRDefault="007E7993" w:rsidP="007E7993">
      <w:pPr>
        <w:pStyle w:val="ListBullet"/>
      </w:pPr>
      <w:r>
        <w:t>General adverse events (AEs) were recorded throughout the study. AEs were coded into standardized terminology using the Medical Dictionary for Regulatory Activities (</w:t>
      </w:r>
      <w:proofErr w:type="spellStart"/>
      <w:r>
        <w:t>MedDRA</w:t>
      </w:r>
      <w:proofErr w:type="spellEnd"/>
      <w:r>
        <w:t>) and were graded according to the Common Terminology Criteria for Adverse Events (CTCAE) version 4.</w:t>
      </w:r>
    </w:p>
    <w:p w:rsidR="007E7993" w:rsidRDefault="007E7993" w:rsidP="007E7993">
      <w:pPr>
        <w:pStyle w:val="ListBullet"/>
      </w:pPr>
      <w:r>
        <w:t xml:space="preserve">Comprehensive physical examinations </w:t>
      </w:r>
      <w:r w:rsidR="005617A6">
        <w:t>were conducted at baseline, on D</w:t>
      </w:r>
      <w:r>
        <w:t>ay 1 of each cycle and at the off-treatment visit. Symptom-directed examinations were conducted at other study visits.</w:t>
      </w:r>
    </w:p>
    <w:p w:rsidR="007E7993" w:rsidRDefault="007E7993" w:rsidP="007E7993">
      <w:pPr>
        <w:pStyle w:val="ListBullet"/>
      </w:pPr>
      <w:r>
        <w:t>Laboratory tes</w:t>
      </w:r>
      <w:r w:rsidR="005617A6">
        <w:t>ts were performed at baseline, D</w:t>
      </w:r>
      <w:r>
        <w:t>ays 8 and 1</w:t>
      </w:r>
      <w:r w:rsidR="005617A6">
        <w:t>5 of Cycle 1, Days 1, 8 and 15 of Cycle 2, D</w:t>
      </w:r>
      <w:r>
        <w:t>ays 1 and 8 of subsequent cycles and at the off-treatment visit. Parameters tested were:</w:t>
      </w:r>
    </w:p>
    <w:p w:rsidR="007E7993" w:rsidRDefault="007E7993" w:rsidP="005617A6">
      <w:pPr>
        <w:pStyle w:val="ListBullet2"/>
      </w:pPr>
      <w:r>
        <w:t xml:space="preserve">Haematology: haematocrit, haemoglobin, </w:t>
      </w:r>
      <w:r w:rsidR="005617A6">
        <w:t>red blood cells (</w:t>
      </w:r>
      <w:r>
        <w:t>RBC</w:t>
      </w:r>
      <w:r w:rsidR="005617A6">
        <w:t>)</w:t>
      </w:r>
      <w:r>
        <w:t xml:space="preserve">, platelet count, </w:t>
      </w:r>
      <w:r w:rsidR="005617A6">
        <w:t>white blood cells (</w:t>
      </w:r>
      <w:r>
        <w:t>WBC</w:t>
      </w:r>
      <w:r w:rsidR="005617A6">
        <w:t>)</w:t>
      </w:r>
      <w:r>
        <w:t xml:space="preserve"> with differential count (bands, basophils, eosinophils, lymphocytes, monocytes, neutrophils, [ANC]), </w:t>
      </w:r>
      <w:r w:rsidR="00472069" w:rsidRPr="005617A6">
        <w:t>Haemoglobin</w:t>
      </w:r>
      <w:r w:rsidR="005617A6" w:rsidRPr="005617A6">
        <w:t xml:space="preserve"> amount per red blood cell </w:t>
      </w:r>
      <w:r w:rsidR="005617A6">
        <w:t>(MCH)</w:t>
      </w:r>
      <w:r>
        <w:t xml:space="preserve">, </w:t>
      </w:r>
      <w:r w:rsidR="005617A6" w:rsidRPr="005617A6">
        <w:t>amount of h</w:t>
      </w:r>
      <w:r w:rsidR="004A22A6">
        <w:t>a</w:t>
      </w:r>
      <w:r w:rsidR="005617A6" w:rsidRPr="005617A6">
        <w:t>emoglobin rel</w:t>
      </w:r>
      <w:r w:rsidR="005617A6">
        <w:t>ative to the size of the cell (</w:t>
      </w:r>
      <w:r>
        <w:t>MCHC</w:t>
      </w:r>
      <w:r w:rsidR="004A22A6">
        <w:t>)</w:t>
      </w:r>
      <w:r>
        <w:t xml:space="preserve"> and </w:t>
      </w:r>
      <w:r w:rsidR="005617A6" w:rsidRPr="005617A6">
        <w:t xml:space="preserve">red blood cell size </w:t>
      </w:r>
      <w:r w:rsidR="005617A6">
        <w:t>(</w:t>
      </w:r>
      <w:r>
        <w:t>MCV</w:t>
      </w:r>
      <w:r w:rsidR="005617A6">
        <w:t>)</w:t>
      </w:r>
      <w:r>
        <w:t>.</w:t>
      </w:r>
    </w:p>
    <w:p w:rsidR="007E7993" w:rsidRDefault="007E7993" w:rsidP="005617A6">
      <w:pPr>
        <w:pStyle w:val="ListBullet2"/>
      </w:pPr>
      <w:r>
        <w:t xml:space="preserve">Biochemistry: chloride, potassium, sodium, </w:t>
      </w:r>
      <w:r w:rsidR="005617A6" w:rsidRPr="005617A6">
        <w:t xml:space="preserve">blood urea nitrogen </w:t>
      </w:r>
      <w:r w:rsidR="005617A6">
        <w:t>(</w:t>
      </w:r>
      <w:r>
        <w:t>BUN</w:t>
      </w:r>
      <w:r w:rsidR="005617A6">
        <w:t>)</w:t>
      </w:r>
      <w:r>
        <w:t xml:space="preserve"> or urea, serum creatinine, magnesium, phosphorus, calcium, albumin, total protein, </w:t>
      </w:r>
      <w:r w:rsidR="005617A6">
        <w:t>alkaline phosphatase (</w:t>
      </w:r>
      <w:r>
        <w:t>ALP</w:t>
      </w:r>
      <w:r w:rsidR="005617A6">
        <w:t>)</w:t>
      </w:r>
      <w:r>
        <w:t xml:space="preserve">, </w:t>
      </w:r>
      <w:r w:rsidR="005617A6">
        <w:t>alanine aminotransferase (</w:t>
      </w:r>
      <w:r>
        <w:t>ALT</w:t>
      </w:r>
      <w:r w:rsidR="005617A6">
        <w:t>)</w:t>
      </w:r>
      <w:r>
        <w:t xml:space="preserve">, </w:t>
      </w:r>
      <w:r w:rsidR="005617A6">
        <w:t>aspartate aminotransferase (</w:t>
      </w:r>
      <w:r>
        <w:t>AST</w:t>
      </w:r>
      <w:r w:rsidR="005617A6">
        <w:t>)</w:t>
      </w:r>
      <w:r>
        <w:t xml:space="preserve">, conjugated (direct) and total bilirubin, </w:t>
      </w:r>
      <w:r w:rsidR="005617A6">
        <w:t>lactate dehydrogenase (</w:t>
      </w:r>
      <w:r>
        <w:t>LDH</w:t>
      </w:r>
      <w:r w:rsidR="005617A6">
        <w:t>)</w:t>
      </w:r>
      <w:r>
        <w:t>.</w:t>
      </w:r>
    </w:p>
    <w:p w:rsidR="007E7993" w:rsidRDefault="007E7993" w:rsidP="007E7993">
      <w:pPr>
        <w:pStyle w:val="ListBullet"/>
      </w:pPr>
      <w:r>
        <w:t>Urinalysis (glucose, haemoglobin (or blood), ketones, pH, protein and specific gravity) was performed on day 1 of each cycle.</w:t>
      </w:r>
    </w:p>
    <w:p w:rsidR="007E7993" w:rsidRDefault="007E7993" w:rsidP="007E7993">
      <w:pPr>
        <w:pStyle w:val="ListBullet"/>
      </w:pPr>
      <w:r>
        <w:t>ECGs were collected at baseline, Cycle 1/Day 1 pre-dose and end of infusion (Arm A and Arm B), Cycle 1/ Day 8 pre-dose and end of infusion (Arm A only), Cycle 2/Day 1 pre-dose and end of infusion (Arm A and Arm B), Cycle 2/Day 8 pre-dose and end of infusion (Arm A only), Cycle 3 and all subsequent cycles on Day 1 pre-dose (Arm A and Arm B), and Day 8 pre-dose (Arm A only) and at the off-treatment Visit (Arm A and Arm B).</w:t>
      </w:r>
    </w:p>
    <w:p w:rsidR="007E7993" w:rsidRDefault="007E7993" w:rsidP="00D62997">
      <w:pPr>
        <w:pStyle w:val="Heading5"/>
      </w:pPr>
      <w:r>
        <w:t>Phase II efficacy studies (studies 207 and 217)</w:t>
      </w:r>
    </w:p>
    <w:p w:rsidR="007E7993" w:rsidRDefault="007E7993" w:rsidP="007E7993">
      <w:r>
        <w:t xml:space="preserve">Safety data collected in the two </w:t>
      </w:r>
      <w:r w:rsidR="004A22A6">
        <w:t>Phase II</w:t>
      </w:r>
      <w:r>
        <w:t xml:space="preserve"> studies was similar in nature and extent to that collected in the pivotal study.</w:t>
      </w:r>
    </w:p>
    <w:p w:rsidR="007E7993" w:rsidRDefault="007E7993" w:rsidP="00D62997">
      <w:pPr>
        <w:pStyle w:val="Heading5"/>
      </w:pPr>
      <w:r>
        <w:t>Other safety data</w:t>
      </w:r>
    </w:p>
    <w:p w:rsidR="007E7993" w:rsidRDefault="007E7993" w:rsidP="007E7993">
      <w:r>
        <w:t xml:space="preserve">The </w:t>
      </w:r>
      <w:r w:rsidR="004A22A6">
        <w:t xml:space="preserve">sponsor’s </w:t>
      </w:r>
      <w:r>
        <w:t>Summary of Clinical Safety (SCS) presented safety data for the following populations:</w:t>
      </w:r>
    </w:p>
    <w:p w:rsidR="007E7993" w:rsidRDefault="007E7993" w:rsidP="007E7993">
      <w:pPr>
        <w:pStyle w:val="ListBullet"/>
      </w:pPr>
      <w:r>
        <w:t>The pivotal study (</w:t>
      </w:r>
      <w:r w:rsidR="004A22A6">
        <w:t>S</w:t>
      </w:r>
      <w:r>
        <w:t>tudy 309</w:t>
      </w:r>
      <w:r w:rsidR="004A22A6">
        <w:t>:</w:t>
      </w:r>
      <w:r>
        <w:t xml:space="preserve"> </w:t>
      </w:r>
      <w:proofErr w:type="spellStart"/>
      <w:r>
        <w:t>eribulin</w:t>
      </w:r>
      <w:proofErr w:type="spellEnd"/>
      <w:r>
        <w:t xml:space="preserve"> v</w:t>
      </w:r>
      <w:r w:rsidR="004A22A6">
        <w:t>ersus</w:t>
      </w:r>
      <w:r>
        <w:t xml:space="preserve"> </w:t>
      </w:r>
      <w:proofErr w:type="spellStart"/>
      <w:r>
        <w:t>dacarbazine</w:t>
      </w:r>
      <w:proofErr w:type="spellEnd"/>
      <w:r>
        <w:t>);</w:t>
      </w:r>
    </w:p>
    <w:p w:rsidR="007E7993" w:rsidRDefault="007E7993" w:rsidP="007E7993">
      <w:pPr>
        <w:pStyle w:val="ListBullet"/>
      </w:pPr>
      <w:r>
        <w:t xml:space="preserve">A pooled population of sarcoma patients who received </w:t>
      </w:r>
      <w:proofErr w:type="spellStart"/>
      <w:r>
        <w:t>eribulin</w:t>
      </w:r>
      <w:proofErr w:type="spellEnd"/>
      <w:r>
        <w:t xml:space="preserve"> in </w:t>
      </w:r>
      <w:r w:rsidR="004A22A6">
        <w:t>S</w:t>
      </w:r>
      <w:r>
        <w:t>tudies 207, 217 and 309 (n=404);</w:t>
      </w:r>
    </w:p>
    <w:p w:rsidR="007E7993" w:rsidRDefault="007E7993" w:rsidP="007E7993">
      <w:pPr>
        <w:pStyle w:val="ListBullet"/>
      </w:pPr>
      <w:r>
        <w:t xml:space="preserve">A pooled population of metastatic breast cancer (MBC) patients who had received </w:t>
      </w:r>
      <w:proofErr w:type="spellStart"/>
      <w:r>
        <w:t>eribulin</w:t>
      </w:r>
      <w:proofErr w:type="spellEnd"/>
      <w:r>
        <w:t xml:space="preserve"> (n=1559). Most of these patients had participated in studies previously evaluated by the TGA. However the population included 56 subjects who h</w:t>
      </w:r>
      <w:r w:rsidR="004A22A6">
        <w:t>ad participated in a single-</w:t>
      </w:r>
      <w:r w:rsidR="00472069">
        <w:t>arm Phase</w:t>
      </w:r>
      <w:r>
        <w:t xml:space="preserve"> </w:t>
      </w:r>
      <w:r w:rsidR="004A22A6">
        <w:t>II</w:t>
      </w:r>
      <w:r>
        <w:t xml:space="preserve"> study (</w:t>
      </w:r>
      <w:r w:rsidR="00E50E5A">
        <w:t>Study 20</w:t>
      </w:r>
      <w:r>
        <w:t xml:space="preserve">6) that had not been reviewed previously by the TGA. The safety findings from this study are reviewed in </w:t>
      </w:r>
      <w:r w:rsidR="004A22A6">
        <w:t xml:space="preserve">Attachment 2 under </w:t>
      </w:r>
      <w:r w:rsidR="004A22A6" w:rsidRPr="004A22A6">
        <w:rPr>
          <w:i/>
        </w:rPr>
        <w:t>Safety</w:t>
      </w:r>
      <w:r w:rsidR="004A22A6">
        <w:t>.</w:t>
      </w:r>
    </w:p>
    <w:p w:rsidR="007E7993" w:rsidRDefault="007E7993" w:rsidP="007E7993">
      <w:pPr>
        <w:pStyle w:val="ListBullet"/>
      </w:pPr>
      <w:r>
        <w:t>A pooled population of sarcoma and MBC subjects (n=1963).</w:t>
      </w:r>
    </w:p>
    <w:p w:rsidR="007E7993" w:rsidRPr="007E7993" w:rsidRDefault="007E7993" w:rsidP="007E7993">
      <w:r>
        <w:lastRenderedPageBreak/>
        <w:t>The data presented in the SCS has been used for the review of safety in this report. The SCS also analysed a collection of adverse events of special interest</w:t>
      </w:r>
      <w:r w:rsidR="004A22A6">
        <w:t xml:space="preserve"> (AESI), based on </w:t>
      </w:r>
      <w:proofErr w:type="spellStart"/>
      <w:r w:rsidR="004A22A6">
        <w:t>MedDRA</w:t>
      </w:r>
      <w:proofErr w:type="spellEnd"/>
      <w:r w:rsidR="004A22A6">
        <w:t xml:space="preserve"> terms.</w:t>
      </w:r>
    </w:p>
    <w:p w:rsidR="00605AD4" w:rsidRDefault="00605AD4" w:rsidP="00605AD4">
      <w:pPr>
        <w:pStyle w:val="Heading4"/>
      </w:pPr>
      <w:r w:rsidRPr="00605AD4">
        <w:t>Patient exposure</w:t>
      </w:r>
    </w:p>
    <w:p w:rsidR="007E7993" w:rsidRDefault="007E7993" w:rsidP="007E7993">
      <w:r>
        <w:t xml:space="preserve">Patient exposure is summarised in </w:t>
      </w:r>
      <w:r w:rsidR="00702B90">
        <w:fldChar w:fldCharType="begin"/>
      </w:r>
      <w:r w:rsidR="00702B90">
        <w:instrText xml:space="preserve"> REF _Ref495914197 \h </w:instrText>
      </w:r>
      <w:r w:rsidR="00702B90">
        <w:fldChar w:fldCharType="separate"/>
      </w:r>
      <w:r w:rsidR="00702B90">
        <w:t xml:space="preserve">Table </w:t>
      </w:r>
      <w:r w:rsidR="00702B90">
        <w:rPr>
          <w:noProof/>
        </w:rPr>
        <w:t>4</w:t>
      </w:r>
      <w:r w:rsidR="00702B90">
        <w:fldChar w:fldCharType="end"/>
      </w:r>
      <w:r>
        <w:t xml:space="preserve">. A total of 404 subjects with STS were treated with </w:t>
      </w:r>
      <w:proofErr w:type="spellStart"/>
      <w:r>
        <w:t>eribulin</w:t>
      </w:r>
      <w:proofErr w:type="spellEnd"/>
      <w:r>
        <w:t xml:space="preserve"> in the submitted studies. The median duration of exposure was 12 weeks or 4 cycles. Median relative dose intensity was 93.4% of the planned dose. 40.8% of subjects require a dose delay and 25.7% required a dose reduction.</w:t>
      </w:r>
    </w:p>
    <w:p w:rsidR="004A22A6" w:rsidRDefault="00702B90" w:rsidP="00FB5C14">
      <w:pPr>
        <w:pStyle w:val="Caption"/>
      </w:pPr>
      <w:bookmarkStart w:id="89" w:name="_Ref495914197"/>
      <w:r>
        <w:t xml:space="preserve">Table </w:t>
      </w:r>
      <w:fldSimple w:instr=" SEQ Table \* ARABIC ">
        <w:r w:rsidR="00457A51">
          <w:rPr>
            <w:noProof/>
          </w:rPr>
          <w:t>4</w:t>
        </w:r>
      </w:fldSimple>
      <w:bookmarkEnd w:id="89"/>
      <w:r w:rsidR="004A22A6">
        <w:t>: Patient exposure</w:t>
      </w:r>
    </w:p>
    <w:p w:rsidR="004A22A6" w:rsidRDefault="00F009D1" w:rsidP="007E7993">
      <w:r>
        <w:rPr>
          <w:noProof/>
          <w:lang w:eastAsia="en-AU"/>
        </w:rPr>
        <w:drawing>
          <wp:inline distT="0" distB="0" distL="0" distR="0" wp14:anchorId="5B39033D" wp14:editId="353E1DEB">
            <wp:extent cx="5010150" cy="5710823"/>
            <wp:effectExtent l="0" t="0" r="0" b="4445"/>
            <wp:docPr id="2" name="Picture 2" descr="Table 4 is an image of the Patient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010150" cy="5710823"/>
                    </a:xfrm>
                    <a:prstGeom prst="rect">
                      <a:avLst/>
                    </a:prstGeom>
                  </pic:spPr>
                </pic:pic>
              </a:graphicData>
            </a:graphic>
          </wp:inline>
        </w:drawing>
      </w:r>
    </w:p>
    <w:p w:rsidR="00605AD4" w:rsidRDefault="00605AD4" w:rsidP="00605AD4">
      <w:pPr>
        <w:pStyle w:val="Heading4"/>
      </w:pPr>
      <w:r w:rsidRPr="00605AD4">
        <w:t>Safety issues with the potential for major regulatory impact</w:t>
      </w:r>
    </w:p>
    <w:p w:rsidR="007E7993" w:rsidRDefault="007E7993" w:rsidP="007E7993">
      <w:pPr>
        <w:pStyle w:val="Heading5"/>
      </w:pPr>
      <w:r>
        <w:t>Liver toxicity</w:t>
      </w:r>
    </w:p>
    <w:p w:rsidR="007E7993" w:rsidRDefault="007E7993" w:rsidP="007E7993">
      <w:proofErr w:type="spellStart"/>
      <w:r>
        <w:t>Eribulin</w:t>
      </w:r>
      <w:proofErr w:type="spellEnd"/>
      <w:r>
        <w:t xml:space="preserve"> is known to be associated with hepatic toxicity. In the pivotal study the incidence of LFT abnormalities was comparable to that observed with </w:t>
      </w:r>
      <w:proofErr w:type="spellStart"/>
      <w:r>
        <w:t>dacarbazine</w:t>
      </w:r>
      <w:proofErr w:type="spellEnd"/>
      <w:r>
        <w:t xml:space="preserve">, another agent known to be associated with hepatotoxicity. In the STS studies there were no cases meeting the criteria for </w:t>
      </w:r>
      <w:proofErr w:type="spellStart"/>
      <w:r>
        <w:t>Hy’s</w:t>
      </w:r>
      <w:proofErr w:type="spellEnd"/>
      <w:r>
        <w:t xml:space="preserve"> law, which is predictive of severe drug</w:t>
      </w:r>
      <w:r w:rsidR="004A22A6">
        <w:t xml:space="preserve"> </w:t>
      </w:r>
      <w:r>
        <w:t xml:space="preserve">induced liver injury. </w:t>
      </w:r>
      <w:r>
        <w:lastRenderedPageBreak/>
        <w:t xml:space="preserve">There was one case of serious hepatotoxicity in the </w:t>
      </w:r>
      <w:proofErr w:type="spellStart"/>
      <w:r>
        <w:t>eribulin</w:t>
      </w:r>
      <w:proofErr w:type="spellEnd"/>
      <w:r>
        <w:t xml:space="preserve"> arm of the pivotal study. This was found to be due to disease progression with biliary obstruction and was assessed as unrelated to study drug. There were no serious hepatic AEs in </w:t>
      </w:r>
      <w:r w:rsidR="00E50E5A">
        <w:t>Study 20</w:t>
      </w:r>
      <w:r>
        <w:t>6.</w:t>
      </w:r>
    </w:p>
    <w:p w:rsidR="007E7993" w:rsidRDefault="007E7993" w:rsidP="007E7993">
      <w:pPr>
        <w:pStyle w:val="Heading5"/>
      </w:pPr>
      <w:r>
        <w:t>Haematological toxicity</w:t>
      </w:r>
    </w:p>
    <w:p w:rsidR="007E7993" w:rsidRDefault="007E7993" w:rsidP="007E7993">
      <w:r>
        <w:t xml:space="preserve">Bone marrow suppression is a known adverse reaction with </w:t>
      </w:r>
      <w:proofErr w:type="spellStart"/>
      <w:r>
        <w:t>eribulin</w:t>
      </w:r>
      <w:proofErr w:type="spellEnd"/>
      <w:r>
        <w:t xml:space="preserve"> and was very common in the STS studies and </w:t>
      </w:r>
      <w:r w:rsidR="00E50E5A">
        <w:t>Study 20</w:t>
      </w:r>
      <w:r>
        <w:t xml:space="preserve">6. There were no cases of serious </w:t>
      </w:r>
      <w:proofErr w:type="spellStart"/>
      <w:r>
        <w:t>pancytopaenia</w:t>
      </w:r>
      <w:proofErr w:type="spellEnd"/>
      <w:r>
        <w:t xml:space="preserve"> reported in the STS studies or </w:t>
      </w:r>
      <w:r w:rsidR="00E50E5A">
        <w:t>Study 20</w:t>
      </w:r>
      <w:r>
        <w:t>6.</w:t>
      </w:r>
    </w:p>
    <w:p w:rsidR="007E7993" w:rsidRDefault="007E7993" w:rsidP="007E7993">
      <w:pPr>
        <w:pStyle w:val="Heading5"/>
      </w:pPr>
      <w:r>
        <w:t>Serious skin reactions</w:t>
      </w:r>
    </w:p>
    <w:p w:rsidR="007E7993" w:rsidRDefault="007E7993" w:rsidP="007E7993">
      <w:r>
        <w:t xml:space="preserve">The current PI for </w:t>
      </w:r>
      <w:proofErr w:type="spellStart"/>
      <w:r>
        <w:t>eribulin</w:t>
      </w:r>
      <w:proofErr w:type="spellEnd"/>
      <w:r>
        <w:t xml:space="preserve"> lists Stevens-Johnson syndrome and toxic epidermal necrolysis (TEN) as adverse reactions that have been observed with </w:t>
      </w:r>
      <w:proofErr w:type="spellStart"/>
      <w:r>
        <w:t>eribulin</w:t>
      </w:r>
      <w:proofErr w:type="spellEnd"/>
      <w:r>
        <w:t xml:space="preserve"> in the post-market setting. There </w:t>
      </w:r>
      <w:r w:rsidR="00472069">
        <w:t>was</w:t>
      </w:r>
      <w:r>
        <w:t xml:space="preserve"> no serious skin AEs reported in the STS studies or in </w:t>
      </w:r>
      <w:r w:rsidR="00E50E5A">
        <w:t>Study 20</w:t>
      </w:r>
      <w:r>
        <w:t>6.</w:t>
      </w:r>
    </w:p>
    <w:p w:rsidR="007E7993" w:rsidRDefault="007E7993" w:rsidP="007E7993">
      <w:pPr>
        <w:pStyle w:val="Heading5"/>
      </w:pPr>
      <w:r>
        <w:t>Cardiovascular safety</w:t>
      </w:r>
    </w:p>
    <w:p w:rsidR="0019387B" w:rsidRDefault="007E7993" w:rsidP="007E7993">
      <w:r>
        <w:t xml:space="preserve">The current PI for </w:t>
      </w:r>
      <w:proofErr w:type="spellStart"/>
      <w:r>
        <w:t>eribulin</w:t>
      </w:r>
      <w:proofErr w:type="spellEnd"/>
      <w:r>
        <w:t xml:space="preserve"> lists QT prolongation, tachycardia, hot flushes, deep venous thrombosis and pulmonary embolism as cardiovascular adverse reactions associated with </w:t>
      </w:r>
      <w:proofErr w:type="spellStart"/>
      <w:r>
        <w:t>eribulin</w:t>
      </w:r>
      <w:proofErr w:type="spellEnd"/>
      <w:r w:rsidR="0019387B">
        <w:t>.</w:t>
      </w:r>
    </w:p>
    <w:p w:rsidR="007E7993" w:rsidRDefault="007E7993" w:rsidP="007E7993">
      <w:r>
        <w:t xml:space="preserve">Data from the STS studies on QT prolongation are described in </w:t>
      </w:r>
      <w:r w:rsidR="00FD6285">
        <w:t>Attachment 2</w:t>
      </w:r>
      <w:r>
        <w:t xml:space="preserve">. In the pivotal study serious cardiac disorders occurred in 0.9% of subjects in both arms. Serious cardiac events in the </w:t>
      </w:r>
      <w:proofErr w:type="spellStart"/>
      <w:r>
        <w:t>eribulin</w:t>
      </w:r>
      <w:proofErr w:type="spellEnd"/>
      <w:r>
        <w:t xml:space="preserve"> arm were atrial fibrillation (1) and pericardial effusion (1). In the </w:t>
      </w:r>
      <w:r w:rsidR="00FD6285">
        <w:t>P</w:t>
      </w:r>
      <w:r>
        <w:t xml:space="preserve">hase </w:t>
      </w:r>
      <w:r w:rsidR="00FD6285">
        <w:t>II</w:t>
      </w:r>
      <w:r>
        <w:t xml:space="preserve"> studies there was one additional report of serious pericardial effusion and one of serious cardiac failure.</w:t>
      </w:r>
    </w:p>
    <w:p w:rsidR="007E7993" w:rsidRPr="007E7993" w:rsidRDefault="007E7993" w:rsidP="007E7993">
      <w:r>
        <w:t xml:space="preserve">Serious vascular disorders were more common with </w:t>
      </w:r>
      <w:proofErr w:type="spellStart"/>
      <w:r>
        <w:t>dacarbazine</w:t>
      </w:r>
      <w:proofErr w:type="spellEnd"/>
      <w:r>
        <w:t xml:space="preserve"> (2.2% v</w:t>
      </w:r>
      <w:r w:rsidR="00FD6285">
        <w:t>ersu</w:t>
      </w:r>
      <w:r>
        <w:t xml:space="preserve">s 0.9%). Serious vascular events in the </w:t>
      </w:r>
      <w:proofErr w:type="spellStart"/>
      <w:r>
        <w:t>eribulin</w:t>
      </w:r>
      <w:proofErr w:type="spellEnd"/>
      <w:r>
        <w:t xml:space="preserve"> arm were superior vena cava syndrome (1) and vena cava thrombosis (1). In the phase 2 studies there were two additional serious AEs of thrombosis.</w:t>
      </w:r>
    </w:p>
    <w:p w:rsidR="00605AD4" w:rsidRDefault="00605AD4" w:rsidP="00605AD4">
      <w:pPr>
        <w:pStyle w:val="Heading4"/>
      </w:pPr>
      <w:proofErr w:type="spellStart"/>
      <w:r w:rsidRPr="00605AD4">
        <w:t>Postmarketing</w:t>
      </w:r>
      <w:proofErr w:type="spellEnd"/>
      <w:r w:rsidRPr="00605AD4">
        <w:t xml:space="preserve"> data</w:t>
      </w:r>
    </w:p>
    <w:p w:rsidR="007E7993" w:rsidRPr="007E7993" w:rsidRDefault="007E7993" w:rsidP="007E7993">
      <w:r>
        <w:t>No post-marketing data were included in the submission.</w:t>
      </w:r>
    </w:p>
    <w:p w:rsidR="00605AD4" w:rsidRPr="00605AD4" w:rsidRDefault="00605AD4" w:rsidP="00605AD4">
      <w:pPr>
        <w:pStyle w:val="Heading4"/>
      </w:pPr>
      <w:r w:rsidRPr="00605AD4">
        <w:t>Evaluator’s conclusions on safety</w:t>
      </w:r>
    </w:p>
    <w:p w:rsidR="0019387B" w:rsidRDefault="007E7993" w:rsidP="007E7993">
      <w:r>
        <w:t xml:space="preserve">In STS subjects, the toxicity profile of </w:t>
      </w:r>
      <w:proofErr w:type="spellStart"/>
      <w:r>
        <w:t>eribulin</w:t>
      </w:r>
      <w:proofErr w:type="spellEnd"/>
      <w:r>
        <w:t xml:space="preserve"> was consistent with that previously documented in breast cancer subjects. No new safety issues were identified in the STS studies. Common adverse events observed in STS subjects treated with </w:t>
      </w:r>
      <w:proofErr w:type="spellStart"/>
      <w:r>
        <w:t>eribulin</w:t>
      </w:r>
      <w:proofErr w:type="spellEnd"/>
      <w:r>
        <w:t xml:space="preserve"> were haematological toxicities (especially </w:t>
      </w:r>
      <w:proofErr w:type="spellStart"/>
      <w:r>
        <w:t>neutropaenia</w:t>
      </w:r>
      <w:proofErr w:type="spellEnd"/>
      <w:r>
        <w:t>), peripheral neuropathy, GIT events, fatigue and alopecia</w:t>
      </w:r>
      <w:r w:rsidR="0019387B">
        <w:t>.</w:t>
      </w:r>
    </w:p>
    <w:p w:rsidR="007E7993" w:rsidRDefault="007E7993" w:rsidP="007E7993">
      <w:r>
        <w:t xml:space="preserve">The drug was moderately more toxic than </w:t>
      </w:r>
      <w:proofErr w:type="spellStart"/>
      <w:r>
        <w:t>dacarbazine</w:t>
      </w:r>
      <w:proofErr w:type="spellEnd"/>
      <w:r>
        <w:t xml:space="preserve"> with a higher incidence of grade ≥</w:t>
      </w:r>
      <w:r w:rsidR="00FD6285">
        <w:t> </w:t>
      </w:r>
      <w:r>
        <w:t>3 AEs (67.3% v</w:t>
      </w:r>
      <w:r w:rsidR="00FD6285">
        <w:t>ersu</w:t>
      </w:r>
      <w:r>
        <w:t>s 56.3%) and AEs leading to withdrawal (7.5% v</w:t>
      </w:r>
      <w:r w:rsidR="00FD6285">
        <w:t>ersu</w:t>
      </w:r>
      <w:r>
        <w:t xml:space="preserve">s 4.9%). Also, there were 2 deaths in the pivotal study that appeared to be related to </w:t>
      </w:r>
      <w:proofErr w:type="spellStart"/>
      <w:r>
        <w:t>eribulin</w:t>
      </w:r>
      <w:proofErr w:type="spellEnd"/>
      <w:r>
        <w:t xml:space="preserve">, compared to none related to </w:t>
      </w:r>
      <w:proofErr w:type="spellStart"/>
      <w:r>
        <w:t>dacarbazine</w:t>
      </w:r>
      <w:proofErr w:type="spellEnd"/>
      <w:r>
        <w:t xml:space="preserve">. Both deaths followed the development of severe </w:t>
      </w:r>
      <w:proofErr w:type="spellStart"/>
      <w:r>
        <w:t>neutropaenia</w:t>
      </w:r>
      <w:proofErr w:type="spellEnd"/>
      <w:r>
        <w:t xml:space="preserve">. However, the overall effect of </w:t>
      </w:r>
      <w:proofErr w:type="spellStart"/>
      <w:r>
        <w:t>eribulin</w:t>
      </w:r>
      <w:proofErr w:type="spellEnd"/>
      <w:r>
        <w:t xml:space="preserve"> on mortality is favourable compared to </w:t>
      </w:r>
      <w:proofErr w:type="spellStart"/>
      <w:r>
        <w:t>dacarbazine</w:t>
      </w:r>
      <w:proofErr w:type="spellEnd"/>
      <w:r>
        <w:t xml:space="preserve">, at least in the subpopulation of patients with </w:t>
      </w:r>
      <w:proofErr w:type="spellStart"/>
      <w:r>
        <w:t>liposarcoma</w:t>
      </w:r>
      <w:proofErr w:type="spellEnd"/>
      <w:r>
        <w:t>.</w:t>
      </w:r>
    </w:p>
    <w:p w:rsidR="007E7993" w:rsidRDefault="007E7993" w:rsidP="007E7993">
      <w:r>
        <w:t xml:space="preserve">The relatively low incidence of discontinuation due to AEs (7.5%) suggests that the toxicity of </w:t>
      </w:r>
      <w:proofErr w:type="spellStart"/>
      <w:r>
        <w:t>eribulin</w:t>
      </w:r>
      <w:proofErr w:type="spellEnd"/>
      <w:r>
        <w:t xml:space="preserve"> was manageable.</w:t>
      </w:r>
    </w:p>
    <w:p w:rsidR="00605AD4" w:rsidRPr="00605AD4" w:rsidRDefault="007E7993" w:rsidP="007E7993">
      <w:r>
        <w:t xml:space="preserve">Previously treated </w:t>
      </w:r>
      <w:proofErr w:type="spellStart"/>
      <w:r>
        <w:t>unresectable</w:t>
      </w:r>
      <w:proofErr w:type="spellEnd"/>
      <w:r>
        <w:t xml:space="preserve"> STS is a serious, life-threatening condition, as evidenced by a median survival of only 11.5 months with </w:t>
      </w:r>
      <w:proofErr w:type="spellStart"/>
      <w:r>
        <w:t>dacarbazine</w:t>
      </w:r>
      <w:proofErr w:type="spellEnd"/>
      <w:r>
        <w:t xml:space="preserve"> treatment in the pivotal study. For such a patient group the toxicity of </w:t>
      </w:r>
      <w:proofErr w:type="spellStart"/>
      <w:r>
        <w:t>eribulin</w:t>
      </w:r>
      <w:proofErr w:type="spellEnd"/>
      <w:r>
        <w:t>, as described above, is considered acceptable.</w:t>
      </w:r>
    </w:p>
    <w:p w:rsidR="00605AD4" w:rsidRPr="00605AD4" w:rsidRDefault="00605AD4" w:rsidP="00605AD4">
      <w:pPr>
        <w:pStyle w:val="Heading3"/>
        <w:rPr>
          <w:rFonts w:eastAsia="Cambria"/>
        </w:rPr>
      </w:pPr>
      <w:bookmarkStart w:id="90" w:name="_Toc497233783"/>
      <w:r w:rsidRPr="00605AD4">
        <w:rPr>
          <w:rFonts w:eastAsia="Cambria"/>
        </w:rPr>
        <w:lastRenderedPageBreak/>
        <w:t>First Round Benefit-Risk Assessment</w:t>
      </w:r>
      <w:bookmarkEnd w:id="90"/>
    </w:p>
    <w:p w:rsidR="007E7993" w:rsidRPr="007E7993" w:rsidRDefault="007E7993" w:rsidP="001B7296">
      <w:pPr>
        <w:pStyle w:val="Heading4"/>
      </w:pPr>
      <w:r w:rsidRPr="007E7993">
        <w:t>First round assessment of benefits</w:t>
      </w:r>
    </w:p>
    <w:p w:rsidR="007E7993" w:rsidRPr="007E7993" w:rsidRDefault="007E7993" w:rsidP="007E7993">
      <w:r w:rsidRPr="007E7993">
        <w:t xml:space="preserve">The benefits of </w:t>
      </w:r>
      <w:proofErr w:type="spellStart"/>
      <w:r w:rsidRPr="007E7993">
        <w:t>eribulin</w:t>
      </w:r>
      <w:proofErr w:type="spellEnd"/>
      <w:r w:rsidRPr="007E7993">
        <w:t xml:space="preserve"> in subjects with </w:t>
      </w:r>
      <w:proofErr w:type="spellStart"/>
      <w:r w:rsidRPr="007E7993">
        <w:t>liposarcoma</w:t>
      </w:r>
      <w:proofErr w:type="spellEnd"/>
      <w:r w:rsidRPr="007E7993">
        <w:t xml:space="preserve"> are:</w:t>
      </w:r>
    </w:p>
    <w:p w:rsidR="007E7993" w:rsidRPr="007E7993" w:rsidRDefault="007E7993" w:rsidP="007E7993">
      <w:pPr>
        <w:pStyle w:val="ListBullet"/>
      </w:pPr>
      <w:r w:rsidRPr="007E7993">
        <w:t xml:space="preserve">A statistically and clinically significant reduction in the risk of death, with a </w:t>
      </w:r>
      <w:r w:rsidR="00FD6285">
        <w:t>HR</w:t>
      </w:r>
      <w:r w:rsidRPr="007E7993">
        <w:t xml:space="preserve"> of 0.511 (95%CI: 0.346 – 0.753) and a prolongation of median survival by approximately 7 months (15.6 v</w:t>
      </w:r>
      <w:r w:rsidR="00FD6285">
        <w:t>ersu</w:t>
      </w:r>
      <w:r w:rsidRPr="007E7993">
        <w:t xml:space="preserve">s 8.4 months), compared to </w:t>
      </w:r>
      <w:proofErr w:type="spellStart"/>
      <w:r w:rsidRPr="007E7993">
        <w:t>dacarbazine</w:t>
      </w:r>
      <w:proofErr w:type="spellEnd"/>
      <w:r w:rsidRPr="007E7993">
        <w:t xml:space="preserve"> treatment.</w:t>
      </w:r>
    </w:p>
    <w:p w:rsidR="007E7993" w:rsidRPr="007E7993" w:rsidRDefault="007E7993" w:rsidP="007E7993">
      <w:r w:rsidRPr="007E7993">
        <w:t xml:space="preserve">The benefits of </w:t>
      </w:r>
      <w:proofErr w:type="spellStart"/>
      <w:r w:rsidRPr="007E7993">
        <w:t>eribulin</w:t>
      </w:r>
      <w:proofErr w:type="spellEnd"/>
      <w:r w:rsidRPr="007E7993">
        <w:t xml:space="preserve"> in subjects with </w:t>
      </w:r>
      <w:proofErr w:type="spellStart"/>
      <w:r w:rsidRPr="007E7993">
        <w:t>leiomyosarcoma</w:t>
      </w:r>
      <w:proofErr w:type="spellEnd"/>
      <w:r w:rsidRPr="007E7993">
        <w:t xml:space="preserve"> are uncertain. The evidence to support a beneficial effect of </w:t>
      </w:r>
      <w:proofErr w:type="spellStart"/>
      <w:r w:rsidRPr="007E7993">
        <w:t>eribulin</w:t>
      </w:r>
      <w:proofErr w:type="spellEnd"/>
      <w:r w:rsidRPr="007E7993">
        <w:t xml:space="preserve"> in other histological subtypes of STS, compared to </w:t>
      </w:r>
      <w:proofErr w:type="spellStart"/>
      <w:r w:rsidRPr="007E7993">
        <w:t>dacarbazine</w:t>
      </w:r>
      <w:proofErr w:type="spellEnd"/>
      <w:r w:rsidRPr="007E7993">
        <w:t>, is inadequate.</w:t>
      </w:r>
    </w:p>
    <w:p w:rsidR="007E7993" w:rsidRPr="007E7993" w:rsidRDefault="007E7993" w:rsidP="007E7993">
      <w:proofErr w:type="spellStart"/>
      <w:r w:rsidRPr="007E7993">
        <w:t>Eribulin</w:t>
      </w:r>
      <w:proofErr w:type="spellEnd"/>
      <w:r w:rsidRPr="007E7993">
        <w:t xml:space="preserve"> is not associated with significant quality of life benefits compared to </w:t>
      </w:r>
      <w:proofErr w:type="spellStart"/>
      <w:r w:rsidRPr="007E7993">
        <w:t>dacarbazine</w:t>
      </w:r>
      <w:proofErr w:type="spellEnd"/>
      <w:r w:rsidRPr="007E7993">
        <w:t>.</w:t>
      </w:r>
    </w:p>
    <w:p w:rsidR="007E7993" w:rsidRPr="007E7993" w:rsidRDefault="007E7993" w:rsidP="001B7296">
      <w:pPr>
        <w:pStyle w:val="Heading4"/>
      </w:pPr>
      <w:r w:rsidRPr="007E7993">
        <w:t>First round assessment of risks</w:t>
      </w:r>
    </w:p>
    <w:p w:rsidR="007E7993" w:rsidRPr="007E7993" w:rsidRDefault="007E7993" w:rsidP="007E7993">
      <w:r w:rsidRPr="007E7993">
        <w:t xml:space="preserve">The risks of </w:t>
      </w:r>
      <w:proofErr w:type="spellStart"/>
      <w:r w:rsidRPr="007E7993">
        <w:t>eribulin</w:t>
      </w:r>
      <w:proofErr w:type="spellEnd"/>
      <w:r w:rsidRPr="007E7993">
        <w:t xml:space="preserve"> in the treatment of soft tissue sarcoma are:</w:t>
      </w:r>
    </w:p>
    <w:p w:rsidR="007E7993" w:rsidRPr="007E7993" w:rsidRDefault="007E7993" w:rsidP="007E7993">
      <w:pPr>
        <w:pStyle w:val="ListBullet"/>
      </w:pPr>
      <w:r w:rsidRPr="007E7993">
        <w:t>Various risks previously documented with use of the drug. These include haematological toxicities, peripheral neuropathy, GIT events, fatigue and alopecia.</w:t>
      </w:r>
    </w:p>
    <w:p w:rsidR="007E7993" w:rsidRPr="001B7296" w:rsidRDefault="007E7993" w:rsidP="001B7296">
      <w:pPr>
        <w:pStyle w:val="ListBullet"/>
        <w:numPr>
          <w:ilvl w:val="0"/>
          <w:numId w:val="0"/>
        </w:numPr>
      </w:pPr>
      <w:r w:rsidRPr="007E7993">
        <w:t xml:space="preserve">The overall risks with </w:t>
      </w:r>
      <w:proofErr w:type="spellStart"/>
      <w:r w:rsidRPr="007E7993">
        <w:t>eribulin</w:t>
      </w:r>
      <w:proofErr w:type="spellEnd"/>
      <w:r w:rsidRPr="007E7993">
        <w:t xml:space="preserve"> treatment for STS are moderately grea</w:t>
      </w:r>
      <w:r w:rsidR="001B7296">
        <w:t xml:space="preserve">ter than those for </w:t>
      </w:r>
      <w:proofErr w:type="spellStart"/>
      <w:r w:rsidR="001B7296">
        <w:t>dacarbazine</w:t>
      </w:r>
      <w:proofErr w:type="spellEnd"/>
      <w:r w:rsidR="001B7296">
        <w:t>.</w:t>
      </w:r>
    </w:p>
    <w:p w:rsidR="007E7993" w:rsidRPr="007E7993" w:rsidRDefault="007E7993" w:rsidP="001B7296">
      <w:pPr>
        <w:pStyle w:val="Heading4"/>
      </w:pPr>
      <w:r w:rsidRPr="007E7993">
        <w:t>First round assessment of benefit-risk balance</w:t>
      </w:r>
    </w:p>
    <w:p w:rsidR="00605AD4" w:rsidRPr="00605AD4" w:rsidRDefault="007E7993" w:rsidP="007E7993">
      <w:r w:rsidRPr="007E7993">
        <w:t xml:space="preserve">The benefit-risk balance of </w:t>
      </w:r>
      <w:proofErr w:type="spellStart"/>
      <w:r w:rsidRPr="007E7993">
        <w:t>eribulin</w:t>
      </w:r>
      <w:proofErr w:type="spellEnd"/>
      <w:r w:rsidRPr="007E7993">
        <w:t xml:space="preserve"> in the treatment of </w:t>
      </w:r>
      <w:proofErr w:type="spellStart"/>
      <w:r w:rsidRPr="007E7993">
        <w:t>liposarcoma</w:t>
      </w:r>
      <w:proofErr w:type="spellEnd"/>
      <w:r w:rsidRPr="007E7993">
        <w:t xml:space="preserve"> is favourable. Given the uncertainty of the drug’s efficacy in </w:t>
      </w:r>
      <w:proofErr w:type="spellStart"/>
      <w:r w:rsidRPr="007E7993">
        <w:t>leiomyosarcoma</w:t>
      </w:r>
      <w:proofErr w:type="spellEnd"/>
      <w:r w:rsidRPr="007E7993">
        <w:t xml:space="preserve">, a favourable benefit-risk balance for this indication cannot be concluded. The benefit-risk balance of </w:t>
      </w:r>
      <w:proofErr w:type="spellStart"/>
      <w:r w:rsidRPr="007E7993">
        <w:t>eribulin</w:t>
      </w:r>
      <w:proofErr w:type="spellEnd"/>
      <w:r w:rsidRPr="007E7993">
        <w:t xml:space="preserve"> for other subtypes of STS is unfavourable</w:t>
      </w:r>
      <w:r w:rsidRPr="007E7993">
        <w:rPr>
          <w:b/>
          <w:bCs/>
          <w:szCs w:val="21"/>
        </w:rPr>
        <w:t>.</w:t>
      </w:r>
    </w:p>
    <w:p w:rsidR="00605AD4" w:rsidRPr="00605AD4" w:rsidRDefault="00605AD4" w:rsidP="00605AD4">
      <w:pPr>
        <w:pStyle w:val="Heading3"/>
        <w:rPr>
          <w:rFonts w:eastAsia="Cambria"/>
        </w:rPr>
      </w:pPr>
      <w:bookmarkStart w:id="91" w:name="_Toc497233784"/>
      <w:r w:rsidRPr="00605AD4">
        <w:rPr>
          <w:rFonts w:eastAsia="Cambria"/>
        </w:rPr>
        <w:t>First Round Recommendation Regarding Authorisation</w:t>
      </w:r>
      <w:bookmarkEnd w:id="91"/>
    </w:p>
    <w:p w:rsidR="0089748D" w:rsidRDefault="007E7993" w:rsidP="007E7993">
      <w:r>
        <w:t xml:space="preserve">It is recommended that </w:t>
      </w:r>
      <w:proofErr w:type="spellStart"/>
      <w:r>
        <w:t>eribulin</w:t>
      </w:r>
      <w:proofErr w:type="spellEnd"/>
      <w:r>
        <w:t xml:space="preserve"> be approved for the following indication only:</w:t>
      </w:r>
    </w:p>
    <w:p w:rsidR="00605AD4" w:rsidRPr="00FD6285" w:rsidRDefault="007E7993" w:rsidP="00FD6285">
      <w:pPr>
        <w:ind w:left="720"/>
        <w:rPr>
          <w:i/>
        </w:rPr>
      </w:pPr>
      <w:r w:rsidRPr="00FD6285">
        <w:rPr>
          <w:i/>
        </w:rPr>
        <w:t xml:space="preserve">For the treatment of patients with </w:t>
      </w:r>
      <w:proofErr w:type="spellStart"/>
      <w:r w:rsidRPr="00FD6285">
        <w:rPr>
          <w:i/>
        </w:rPr>
        <w:t>unresectable</w:t>
      </w:r>
      <w:proofErr w:type="spellEnd"/>
      <w:r w:rsidRPr="00FD6285">
        <w:rPr>
          <w:i/>
        </w:rPr>
        <w:t xml:space="preserve"> </w:t>
      </w:r>
      <w:proofErr w:type="spellStart"/>
      <w:r w:rsidRPr="00FD6285">
        <w:rPr>
          <w:i/>
        </w:rPr>
        <w:t>liposarcoma</w:t>
      </w:r>
      <w:proofErr w:type="spellEnd"/>
      <w:r w:rsidRPr="00FD6285">
        <w:rPr>
          <w:i/>
        </w:rPr>
        <w:t xml:space="preserve">, who have received prior chemotherapy for advanced or metastatic </w:t>
      </w:r>
      <w:proofErr w:type="gramStart"/>
      <w:r w:rsidRPr="00FD6285">
        <w:rPr>
          <w:i/>
        </w:rPr>
        <w:t>disease.</w:t>
      </w:r>
      <w:proofErr w:type="gramEnd"/>
    </w:p>
    <w:p w:rsidR="00605AD4" w:rsidRPr="00605AD4" w:rsidRDefault="00605AD4" w:rsidP="00605AD4">
      <w:pPr>
        <w:pStyle w:val="Heading3"/>
        <w:rPr>
          <w:rFonts w:eastAsia="Cambria"/>
        </w:rPr>
      </w:pPr>
      <w:bookmarkStart w:id="92" w:name="_Toc497233785"/>
      <w:r w:rsidRPr="00605AD4">
        <w:rPr>
          <w:rFonts w:eastAsia="Cambria"/>
        </w:rPr>
        <w:t>Clinical Questions</w:t>
      </w:r>
      <w:bookmarkEnd w:id="92"/>
    </w:p>
    <w:p w:rsidR="0019387B" w:rsidRDefault="00595B49" w:rsidP="007E7993">
      <w:r>
        <w:t xml:space="preserve">Only one </w:t>
      </w:r>
      <w:r w:rsidR="007E7993">
        <w:t>clinical question w</w:t>
      </w:r>
      <w:r>
        <w:t>as</w:t>
      </w:r>
      <w:r w:rsidR="007E7993">
        <w:t xml:space="preserve"> raised</w:t>
      </w:r>
      <w:r w:rsidR="00B16DB0">
        <w:t xml:space="preserve"> (see Attachment 2)</w:t>
      </w:r>
      <w:r w:rsidR="007E7993">
        <w:t xml:space="preserve"> and no </w:t>
      </w:r>
      <w:r w:rsidR="00FD6285">
        <w:t>second r</w:t>
      </w:r>
      <w:r w:rsidR="00605AD4" w:rsidRPr="00605AD4">
        <w:t xml:space="preserve">ound </w:t>
      </w:r>
      <w:r w:rsidR="00FD6285">
        <w:t>clinical e</w:t>
      </w:r>
      <w:r w:rsidR="00605AD4" w:rsidRPr="00605AD4">
        <w:t xml:space="preserve">valuation </w:t>
      </w:r>
      <w:r w:rsidR="007E7993">
        <w:t>was conducted</w:t>
      </w:r>
      <w:r w:rsidR="0019387B">
        <w:t>.</w:t>
      </w:r>
    </w:p>
    <w:p w:rsidR="008E7846" w:rsidRPr="00E41208" w:rsidRDefault="008E7846" w:rsidP="00546154">
      <w:pPr>
        <w:pStyle w:val="Heading2"/>
      </w:pPr>
      <w:bookmarkStart w:id="93" w:name="_Toc497233786"/>
      <w:r w:rsidRPr="00E41208">
        <w:t xml:space="preserve">V. Pharmacovigilance </w:t>
      </w:r>
      <w:r>
        <w:t>f</w:t>
      </w:r>
      <w:r w:rsidRPr="00E41208">
        <w:t>indings</w:t>
      </w:r>
      <w:bookmarkEnd w:id="85"/>
      <w:bookmarkEnd w:id="86"/>
      <w:bookmarkEnd w:id="93"/>
    </w:p>
    <w:p w:rsidR="008E7846" w:rsidRDefault="00386150" w:rsidP="008E7846">
      <w:pPr>
        <w:pStyle w:val="Heading3"/>
        <w:rPr>
          <w:lang w:eastAsia="en-AU"/>
        </w:rPr>
      </w:pPr>
      <w:bookmarkStart w:id="94" w:name="_Toc247691526"/>
      <w:bookmarkStart w:id="95" w:name="_Toc314842509"/>
      <w:bookmarkStart w:id="96" w:name="_Toc497233787"/>
      <w:r>
        <w:rPr>
          <w:lang w:eastAsia="en-AU"/>
        </w:rPr>
        <w:t>Risk m</w:t>
      </w:r>
      <w:r w:rsidR="008E7846">
        <w:rPr>
          <w:lang w:eastAsia="en-AU"/>
        </w:rPr>
        <w:t xml:space="preserve">anagement </w:t>
      </w:r>
      <w:r>
        <w:rPr>
          <w:lang w:eastAsia="en-AU"/>
        </w:rPr>
        <w:t>p</w:t>
      </w:r>
      <w:r w:rsidR="008E7846">
        <w:rPr>
          <w:lang w:eastAsia="en-AU"/>
        </w:rPr>
        <w:t>lan</w:t>
      </w:r>
      <w:bookmarkEnd w:id="94"/>
      <w:bookmarkEnd w:id="95"/>
      <w:bookmarkEnd w:id="96"/>
    </w:p>
    <w:p w:rsidR="0089748D" w:rsidRDefault="00CF766F" w:rsidP="001B7296">
      <w:pPr>
        <w:pStyle w:val="Heading4"/>
      </w:pPr>
      <w:bookmarkStart w:id="97" w:name="_Toc460408188"/>
      <w:r>
        <w:t>Summary</w:t>
      </w:r>
      <w:bookmarkEnd w:id="97"/>
    </w:p>
    <w:p w:rsidR="0019387B" w:rsidRDefault="00FD6285" w:rsidP="001B7296">
      <w:pPr>
        <w:pStyle w:val="ListBullet"/>
      </w:pPr>
      <w:r>
        <w:t>The sponsor</w:t>
      </w:r>
      <w:r w:rsidR="00CF766F" w:rsidRPr="00135D41">
        <w:t xml:space="preserve"> has submitted EU-RMP version 4.0 (dated 15 July 2015; DLP 14 May 2015) and ASA version 1.0 (November 2015) in support of the extended indications in this application.</w:t>
      </w:r>
      <w:r w:rsidR="00F13CF2">
        <w:t xml:space="preserve"> </w:t>
      </w:r>
      <w:r w:rsidR="00CF766F" w:rsidRPr="00135D41">
        <w:t>The most recently evaluated RMP was EU RMP version 1.0 (D</w:t>
      </w:r>
      <w:r>
        <w:t xml:space="preserve">ata </w:t>
      </w:r>
      <w:r w:rsidR="00CF766F" w:rsidRPr="00135D41">
        <w:t>L</w:t>
      </w:r>
      <w:r>
        <w:t xml:space="preserve">ock </w:t>
      </w:r>
      <w:r w:rsidR="00CF766F" w:rsidRPr="00135D41">
        <w:t>P</w:t>
      </w:r>
      <w:r>
        <w:t>oint (DLP)</w:t>
      </w:r>
      <w:r w:rsidR="00CF766F" w:rsidRPr="00135D41">
        <w:t xml:space="preserve"> 12 May 2009) in the initial application for registration. Subsequently EU-RMP version 3.0 (dated 2 January 2014, DLP 14 November 2013) and ASA (no version, dated 29 Septembe</w:t>
      </w:r>
      <w:r>
        <w:t>r 2014) were received from the s</w:t>
      </w:r>
      <w:r w:rsidR="00CF766F" w:rsidRPr="00135D41">
        <w:t>ponsor</w:t>
      </w:r>
      <w:r w:rsidR="0019387B">
        <w:t>.</w:t>
      </w:r>
    </w:p>
    <w:p w:rsidR="0019387B" w:rsidRDefault="00CF766F" w:rsidP="001B7296">
      <w:pPr>
        <w:pStyle w:val="ListBullet"/>
      </w:pPr>
      <w:r w:rsidRPr="00135D41">
        <w:lastRenderedPageBreak/>
        <w:t xml:space="preserve">The proposed Summary of Safety Concerns and their associated risk monitoring and mitigation </w:t>
      </w:r>
      <w:r w:rsidR="00FD6285">
        <w:t>strategies are summarised below in Table 5</w:t>
      </w:r>
      <w:r w:rsidR="0019387B">
        <w:t>.</w:t>
      </w:r>
    </w:p>
    <w:p w:rsidR="0001789D" w:rsidRDefault="0001789D" w:rsidP="001B7296">
      <w:pPr>
        <w:pStyle w:val="ListBullet"/>
      </w:pPr>
      <w:r>
        <w:t>Peripheral neuropathy is being investigated in a Phase III clinical trial.</w:t>
      </w:r>
    </w:p>
    <w:p w:rsidR="00CF766F" w:rsidRDefault="00457A51" w:rsidP="00457A51">
      <w:pPr>
        <w:pStyle w:val="Caption"/>
      </w:pPr>
      <w:r>
        <w:t xml:space="preserve">Table </w:t>
      </w:r>
      <w:fldSimple w:instr=" SEQ Table \* ARABIC ">
        <w:r>
          <w:rPr>
            <w:noProof/>
          </w:rPr>
          <w:t>5</w:t>
        </w:r>
      </w:fldSimple>
      <w:r w:rsidR="00FD6285">
        <w:t>: Summary of safety concerns</w:t>
      </w:r>
    </w:p>
    <w:p w:rsidR="00765B7B" w:rsidRDefault="00765B7B" w:rsidP="00765B7B">
      <w:pPr>
        <w:pStyle w:val="TableDescription"/>
      </w:pPr>
      <w:r>
        <w:t>R=Routine and A=Additional</w:t>
      </w:r>
    </w:p>
    <w:tbl>
      <w:tblPr>
        <w:tblStyle w:val="TableTGAblue"/>
        <w:tblW w:w="8897" w:type="dxa"/>
        <w:tblLayout w:type="fixed"/>
        <w:tblLook w:val="04A0" w:firstRow="1" w:lastRow="0" w:firstColumn="1" w:lastColumn="0" w:noHBand="0" w:noVBand="1"/>
        <w:tblDescription w:val="Table 5 is a summary list of safety concerns"/>
      </w:tblPr>
      <w:tblGrid>
        <w:gridCol w:w="1809"/>
        <w:gridCol w:w="2835"/>
        <w:gridCol w:w="1134"/>
        <w:gridCol w:w="1276"/>
        <w:gridCol w:w="992"/>
        <w:gridCol w:w="851"/>
      </w:tblGrid>
      <w:tr w:rsidR="00CF766F" w:rsidRPr="00FD6285" w:rsidTr="00765B7B">
        <w:trPr>
          <w:cnfStyle w:val="100000000000" w:firstRow="1" w:lastRow="0" w:firstColumn="0" w:lastColumn="0" w:oddVBand="0" w:evenVBand="0" w:oddHBand="0" w:evenHBand="0" w:firstRowFirstColumn="0" w:firstRowLastColumn="0" w:lastRowFirstColumn="0" w:lastRowLastColumn="0"/>
          <w:cantSplit/>
          <w:trHeight w:val="131"/>
        </w:trPr>
        <w:tc>
          <w:tcPr>
            <w:tcW w:w="4644" w:type="dxa"/>
            <w:gridSpan w:val="2"/>
            <w:vMerge w:val="restart"/>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Summary of safety concerns</w:t>
            </w:r>
          </w:p>
        </w:tc>
        <w:tc>
          <w:tcPr>
            <w:tcW w:w="2410" w:type="dxa"/>
            <w:gridSpan w:val="2"/>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Pharmacovigilance</w:t>
            </w:r>
          </w:p>
        </w:tc>
        <w:tc>
          <w:tcPr>
            <w:tcW w:w="1843" w:type="dxa"/>
            <w:gridSpan w:val="2"/>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Risk Minimisation</w:t>
            </w:r>
          </w:p>
        </w:tc>
      </w:tr>
      <w:tr w:rsidR="00CF766F" w:rsidRPr="00FD6285" w:rsidTr="00765B7B">
        <w:trPr>
          <w:cantSplit/>
          <w:trHeight w:val="150"/>
        </w:trPr>
        <w:tc>
          <w:tcPr>
            <w:tcW w:w="4644" w:type="dxa"/>
            <w:gridSpan w:val="2"/>
            <w:vMerge/>
          </w:tcPr>
          <w:p w:rsidR="00CF766F" w:rsidRPr="00FD6285" w:rsidRDefault="00CF766F" w:rsidP="00816128">
            <w:pPr>
              <w:pStyle w:val="Tabletext"/>
              <w:rPr>
                <w:rFonts w:asciiTheme="minorHAnsi" w:hAnsiTheme="minorHAnsi"/>
                <w:sz w:val="20"/>
                <w:szCs w:val="20"/>
              </w:rPr>
            </w:pPr>
          </w:p>
        </w:tc>
        <w:tc>
          <w:tcPr>
            <w:tcW w:w="1134" w:type="dxa"/>
          </w:tcPr>
          <w:p w:rsidR="00CF766F" w:rsidRPr="00FD6285" w:rsidRDefault="00CF766F" w:rsidP="0001789D">
            <w:pPr>
              <w:pStyle w:val="Tabletext"/>
              <w:rPr>
                <w:rFonts w:asciiTheme="minorHAnsi" w:hAnsiTheme="minorHAnsi"/>
                <w:sz w:val="20"/>
                <w:szCs w:val="20"/>
              </w:rPr>
            </w:pPr>
            <w:r w:rsidRPr="00FD6285">
              <w:rPr>
                <w:rFonts w:asciiTheme="minorHAnsi" w:hAnsiTheme="minorHAnsi"/>
                <w:sz w:val="20"/>
                <w:szCs w:val="20"/>
              </w:rPr>
              <w:t>R</w:t>
            </w:r>
          </w:p>
        </w:tc>
        <w:tc>
          <w:tcPr>
            <w:tcW w:w="1276" w:type="dxa"/>
          </w:tcPr>
          <w:p w:rsidR="00CF766F" w:rsidRPr="00FD6285" w:rsidRDefault="00CF766F" w:rsidP="0001789D">
            <w:pPr>
              <w:pStyle w:val="Tabletext"/>
              <w:rPr>
                <w:rFonts w:asciiTheme="minorHAnsi" w:hAnsiTheme="minorHAnsi"/>
                <w:sz w:val="20"/>
                <w:szCs w:val="20"/>
              </w:rPr>
            </w:pPr>
            <w:r w:rsidRPr="00FD6285">
              <w:rPr>
                <w:rFonts w:asciiTheme="minorHAnsi" w:hAnsiTheme="minorHAnsi"/>
                <w:sz w:val="20"/>
                <w:szCs w:val="20"/>
              </w:rPr>
              <w:t>A</w:t>
            </w:r>
          </w:p>
        </w:tc>
        <w:tc>
          <w:tcPr>
            <w:tcW w:w="992" w:type="dxa"/>
          </w:tcPr>
          <w:p w:rsidR="00CF766F" w:rsidRPr="00FD6285" w:rsidRDefault="0001789D" w:rsidP="0001789D">
            <w:pPr>
              <w:pStyle w:val="Tabletext"/>
              <w:rPr>
                <w:rFonts w:asciiTheme="minorHAnsi" w:hAnsiTheme="minorHAnsi"/>
                <w:sz w:val="20"/>
                <w:szCs w:val="20"/>
              </w:rPr>
            </w:pPr>
            <w:r>
              <w:rPr>
                <w:rFonts w:asciiTheme="minorHAnsi" w:hAnsiTheme="minorHAnsi"/>
                <w:sz w:val="20"/>
                <w:szCs w:val="20"/>
              </w:rPr>
              <w:t>R</w:t>
            </w:r>
          </w:p>
        </w:tc>
        <w:tc>
          <w:tcPr>
            <w:tcW w:w="851" w:type="dxa"/>
          </w:tcPr>
          <w:p w:rsidR="00CF766F" w:rsidRPr="00FD6285" w:rsidRDefault="00CF766F" w:rsidP="0001789D">
            <w:pPr>
              <w:pStyle w:val="Tabletext"/>
              <w:rPr>
                <w:rFonts w:asciiTheme="minorHAnsi" w:hAnsiTheme="minorHAnsi"/>
                <w:sz w:val="20"/>
                <w:szCs w:val="20"/>
              </w:rPr>
            </w:pPr>
            <w:r w:rsidRPr="00FD6285">
              <w:rPr>
                <w:rFonts w:asciiTheme="minorHAnsi" w:hAnsiTheme="minorHAnsi"/>
                <w:sz w:val="20"/>
                <w:szCs w:val="20"/>
              </w:rPr>
              <w:t>A</w:t>
            </w:r>
          </w:p>
        </w:tc>
      </w:tr>
      <w:tr w:rsidR="00CF766F" w:rsidRPr="00FD6285" w:rsidTr="00765B7B">
        <w:trPr>
          <w:trHeight w:val="137"/>
        </w:trPr>
        <w:tc>
          <w:tcPr>
            <w:tcW w:w="1809" w:type="dxa"/>
            <w:vMerge w:val="restart"/>
          </w:tcPr>
          <w:p w:rsidR="00CF766F" w:rsidRPr="00FD6285" w:rsidRDefault="00CF766F" w:rsidP="00816128">
            <w:pPr>
              <w:pStyle w:val="Tabletext"/>
              <w:rPr>
                <w:rFonts w:asciiTheme="minorHAnsi" w:hAnsiTheme="minorHAnsi"/>
                <w:b/>
                <w:sz w:val="20"/>
                <w:szCs w:val="20"/>
              </w:rPr>
            </w:pPr>
            <w:r w:rsidRPr="00FD6285">
              <w:rPr>
                <w:rFonts w:asciiTheme="minorHAnsi" w:hAnsiTheme="minorHAnsi"/>
                <w:b/>
                <w:sz w:val="20"/>
                <w:szCs w:val="20"/>
              </w:rPr>
              <w:t>Important identified risks</w:t>
            </w:r>
          </w:p>
        </w:tc>
        <w:tc>
          <w:tcPr>
            <w:tcW w:w="2835" w:type="dxa"/>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Myelosuppression and associated infections</w:t>
            </w:r>
          </w:p>
        </w:tc>
        <w:tc>
          <w:tcPr>
            <w:tcW w:w="1134"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1276"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c>
          <w:tcPr>
            <w:tcW w:w="992"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851"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r>
      <w:tr w:rsidR="00CF766F" w:rsidRPr="00FD6285" w:rsidTr="00765B7B">
        <w:trPr>
          <w:trHeight w:val="137"/>
        </w:trPr>
        <w:tc>
          <w:tcPr>
            <w:tcW w:w="1809" w:type="dxa"/>
            <w:vMerge/>
          </w:tcPr>
          <w:p w:rsidR="00CF766F" w:rsidRPr="00FD6285" w:rsidRDefault="00CF766F" w:rsidP="00816128">
            <w:pPr>
              <w:pStyle w:val="Tabletext"/>
              <w:rPr>
                <w:rFonts w:asciiTheme="minorHAnsi" w:hAnsiTheme="minorHAnsi"/>
                <w:b/>
                <w:sz w:val="20"/>
                <w:szCs w:val="20"/>
              </w:rPr>
            </w:pPr>
          </w:p>
        </w:tc>
        <w:tc>
          <w:tcPr>
            <w:tcW w:w="2835" w:type="dxa"/>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Peripheral neuropathy</w:t>
            </w:r>
          </w:p>
        </w:tc>
        <w:tc>
          <w:tcPr>
            <w:tcW w:w="1134"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1276"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992"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851"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r>
      <w:tr w:rsidR="00CF766F" w:rsidRPr="00FD6285" w:rsidTr="00765B7B">
        <w:trPr>
          <w:trHeight w:val="137"/>
        </w:trPr>
        <w:tc>
          <w:tcPr>
            <w:tcW w:w="1809" w:type="dxa"/>
            <w:vMerge/>
          </w:tcPr>
          <w:p w:rsidR="00CF766F" w:rsidRPr="00FD6285" w:rsidRDefault="00CF766F" w:rsidP="00816128">
            <w:pPr>
              <w:pStyle w:val="Tabletext"/>
              <w:rPr>
                <w:rFonts w:asciiTheme="minorHAnsi" w:hAnsiTheme="minorHAnsi"/>
                <w:b/>
                <w:sz w:val="20"/>
                <w:szCs w:val="20"/>
              </w:rPr>
            </w:pPr>
          </w:p>
        </w:tc>
        <w:tc>
          <w:tcPr>
            <w:tcW w:w="2835" w:type="dxa"/>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Nausea/Vomiting</w:t>
            </w:r>
          </w:p>
        </w:tc>
        <w:tc>
          <w:tcPr>
            <w:tcW w:w="1134"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1276"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c>
          <w:tcPr>
            <w:tcW w:w="992"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851"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r>
      <w:tr w:rsidR="00CF766F" w:rsidRPr="00FD6285" w:rsidTr="00765B7B">
        <w:trPr>
          <w:trHeight w:val="137"/>
        </w:trPr>
        <w:tc>
          <w:tcPr>
            <w:tcW w:w="1809" w:type="dxa"/>
            <w:vMerge/>
          </w:tcPr>
          <w:p w:rsidR="00CF766F" w:rsidRPr="00FD6285" w:rsidRDefault="00CF766F" w:rsidP="00816128">
            <w:pPr>
              <w:pStyle w:val="Tabletext"/>
              <w:rPr>
                <w:rFonts w:asciiTheme="minorHAnsi" w:hAnsiTheme="minorHAnsi"/>
                <w:b/>
                <w:sz w:val="20"/>
                <w:szCs w:val="20"/>
              </w:rPr>
            </w:pPr>
          </w:p>
        </w:tc>
        <w:tc>
          <w:tcPr>
            <w:tcW w:w="2835" w:type="dxa"/>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Depression &amp; Insomnia</w:t>
            </w:r>
          </w:p>
        </w:tc>
        <w:tc>
          <w:tcPr>
            <w:tcW w:w="1134"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1276"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c>
          <w:tcPr>
            <w:tcW w:w="992"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851"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r>
      <w:tr w:rsidR="00CF766F" w:rsidRPr="00FD6285" w:rsidTr="00765B7B">
        <w:trPr>
          <w:trHeight w:val="94"/>
        </w:trPr>
        <w:tc>
          <w:tcPr>
            <w:tcW w:w="1809" w:type="dxa"/>
            <w:vMerge/>
          </w:tcPr>
          <w:p w:rsidR="00CF766F" w:rsidRPr="00FD6285" w:rsidRDefault="00CF766F" w:rsidP="00816128">
            <w:pPr>
              <w:pStyle w:val="Tabletext"/>
              <w:rPr>
                <w:rFonts w:asciiTheme="minorHAnsi" w:hAnsiTheme="minorHAnsi"/>
                <w:b/>
                <w:sz w:val="20"/>
                <w:szCs w:val="20"/>
              </w:rPr>
            </w:pPr>
          </w:p>
        </w:tc>
        <w:tc>
          <w:tcPr>
            <w:tcW w:w="2835" w:type="dxa"/>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Tachycardia</w:t>
            </w:r>
          </w:p>
        </w:tc>
        <w:tc>
          <w:tcPr>
            <w:tcW w:w="1134"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1276"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c>
          <w:tcPr>
            <w:tcW w:w="992"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851"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r>
      <w:tr w:rsidR="00CF766F" w:rsidRPr="00FD6285" w:rsidTr="00765B7B">
        <w:trPr>
          <w:trHeight w:val="187"/>
        </w:trPr>
        <w:tc>
          <w:tcPr>
            <w:tcW w:w="1809" w:type="dxa"/>
            <w:vMerge/>
          </w:tcPr>
          <w:p w:rsidR="00CF766F" w:rsidRPr="00FD6285" w:rsidRDefault="00CF766F" w:rsidP="00816128">
            <w:pPr>
              <w:pStyle w:val="Tabletext"/>
              <w:rPr>
                <w:rFonts w:asciiTheme="minorHAnsi" w:hAnsiTheme="minorHAnsi"/>
                <w:b/>
                <w:sz w:val="20"/>
                <w:szCs w:val="20"/>
              </w:rPr>
            </w:pPr>
          </w:p>
        </w:tc>
        <w:tc>
          <w:tcPr>
            <w:tcW w:w="2835" w:type="dxa"/>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Disseminated intravascular coagulation</w:t>
            </w:r>
          </w:p>
        </w:tc>
        <w:tc>
          <w:tcPr>
            <w:tcW w:w="1134"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1276"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c>
          <w:tcPr>
            <w:tcW w:w="992"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851"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r>
      <w:tr w:rsidR="00CF766F" w:rsidRPr="00FD6285" w:rsidTr="00765B7B">
        <w:trPr>
          <w:trHeight w:val="159"/>
        </w:trPr>
        <w:tc>
          <w:tcPr>
            <w:tcW w:w="1809" w:type="dxa"/>
            <w:vMerge w:val="restart"/>
          </w:tcPr>
          <w:p w:rsidR="00CF766F" w:rsidRPr="00FD6285" w:rsidRDefault="00CF766F" w:rsidP="00816128">
            <w:pPr>
              <w:pStyle w:val="Tabletext"/>
              <w:rPr>
                <w:rFonts w:asciiTheme="minorHAnsi" w:hAnsiTheme="minorHAnsi"/>
                <w:b/>
                <w:sz w:val="20"/>
                <w:szCs w:val="20"/>
              </w:rPr>
            </w:pPr>
            <w:r w:rsidRPr="00FD6285">
              <w:rPr>
                <w:rFonts w:asciiTheme="minorHAnsi" w:hAnsiTheme="minorHAnsi"/>
                <w:b/>
                <w:sz w:val="20"/>
                <w:szCs w:val="20"/>
              </w:rPr>
              <w:t>Important potential risks</w:t>
            </w:r>
          </w:p>
        </w:tc>
        <w:tc>
          <w:tcPr>
            <w:tcW w:w="2835" w:type="dxa"/>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Adverse Pregnancy Outcomes</w:t>
            </w:r>
          </w:p>
        </w:tc>
        <w:tc>
          <w:tcPr>
            <w:tcW w:w="1134"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1276"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c>
          <w:tcPr>
            <w:tcW w:w="992"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851"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r>
      <w:tr w:rsidR="00CF766F" w:rsidRPr="00FD6285" w:rsidTr="00765B7B">
        <w:trPr>
          <w:trHeight w:val="122"/>
        </w:trPr>
        <w:tc>
          <w:tcPr>
            <w:tcW w:w="1809" w:type="dxa"/>
            <w:vMerge/>
          </w:tcPr>
          <w:p w:rsidR="00CF766F" w:rsidRPr="00FD6285" w:rsidRDefault="00CF766F" w:rsidP="00816128">
            <w:pPr>
              <w:pStyle w:val="Tabletext"/>
              <w:rPr>
                <w:rFonts w:asciiTheme="minorHAnsi" w:hAnsiTheme="minorHAnsi"/>
                <w:b/>
                <w:sz w:val="20"/>
                <w:szCs w:val="20"/>
              </w:rPr>
            </w:pPr>
          </w:p>
        </w:tc>
        <w:tc>
          <w:tcPr>
            <w:tcW w:w="2835" w:type="dxa"/>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Male infertility</w:t>
            </w:r>
          </w:p>
        </w:tc>
        <w:tc>
          <w:tcPr>
            <w:tcW w:w="1134"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1276"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c>
          <w:tcPr>
            <w:tcW w:w="992"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851"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r>
      <w:tr w:rsidR="00CF766F" w:rsidRPr="00FD6285" w:rsidTr="00765B7B">
        <w:trPr>
          <w:trHeight w:val="112"/>
        </w:trPr>
        <w:tc>
          <w:tcPr>
            <w:tcW w:w="1809" w:type="dxa"/>
            <w:vMerge/>
          </w:tcPr>
          <w:p w:rsidR="00CF766F" w:rsidRPr="00FD6285" w:rsidRDefault="00CF766F" w:rsidP="00816128">
            <w:pPr>
              <w:pStyle w:val="Tabletext"/>
              <w:rPr>
                <w:rFonts w:asciiTheme="minorHAnsi" w:hAnsiTheme="minorHAnsi"/>
                <w:b/>
                <w:sz w:val="20"/>
                <w:szCs w:val="20"/>
              </w:rPr>
            </w:pPr>
          </w:p>
        </w:tc>
        <w:tc>
          <w:tcPr>
            <w:tcW w:w="2835" w:type="dxa"/>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Gastrointestinal perforation</w:t>
            </w:r>
          </w:p>
        </w:tc>
        <w:tc>
          <w:tcPr>
            <w:tcW w:w="1134"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1276"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c>
          <w:tcPr>
            <w:tcW w:w="992"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851"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r>
      <w:tr w:rsidR="00CF766F" w:rsidRPr="00FD6285" w:rsidTr="00765B7B">
        <w:trPr>
          <w:trHeight w:val="112"/>
        </w:trPr>
        <w:tc>
          <w:tcPr>
            <w:tcW w:w="1809" w:type="dxa"/>
            <w:vMerge/>
          </w:tcPr>
          <w:p w:rsidR="00CF766F" w:rsidRPr="00FD6285" w:rsidRDefault="00CF766F" w:rsidP="00816128">
            <w:pPr>
              <w:pStyle w:val="Tabletext"/>
              <w:rPr>
                <w:rFonts w:asciiTheme="minorHAnsi" w:hAnsiTheme="minorHAnsi"/>
                <w:b/>
                <w:sz w:val="20"/>
                <w:szCs w:val="20"/>
              </w:rPr>
            </w:pPr>
          </w:p>
        </w:tc>
        <w:tc>
          <w:tcPr>
            <w:tcW w:w="2835" w:type="dxa"/>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Pancreatitis</w:t>
            </w:r>
          </w:p>
        </w:tc>
        <w:tc>
          <w:tcPr>
            <w:tcW w:w="1134"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1276"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c>
          <w:tcPr>
            <w:tcW w:w="992"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851"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r>
      <w:tr w:rsidR="00CF766F" w:rsidRPr="00FD6285" w:rsidTr="00765B7B">
        <w:trPr>
          <w:trHeight w:val="178"/>
        </w:trPr>
        <w:tc>
          <w:tcPr>
            <w:tcW w:w="1809" w:type="dxa"/>
            <w:vMerge w:val="restart"/>
          </w:tcPr>
          <w:p w:rsidR="00CF766F" w:rsidRPr="00FD6285" w:rsidRDefault="00CF766F" w:rsidP="00816128">
            <w:pPr>
              <w:pStyle w:val="Tabletext"/>
              <w:rPr>
                <w:rFonts w:asciiTheme="minorHAnsi" w:hAnsiTheme="minorHAnsi"/>
                <w:b/>
                <w:sz w:val="20"/>
                <w:szCs w:val="20"/>
              </w:rPr>
            </w:pPr>
            <w:r w:rsidRPr="00FD6285">
              <w:rPr>
                <w:rFonts w:asciiTheme="minorHAnsi" w:hAnsiTheme="minorHAnsi"/>
                <w:b/>
                <w:sz w:val="20"/>
                <w:szCs w:val="20"/>
              </w:rPr>
              <w:t>Missing information</w:t>
            </w:r>
          </w:p>
        </w:tc>
        <w:tc>
          <w:tcPr>
            <w:tcW w:w="2835" w:type="dxa"/>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Use in patients with hepatic impairment</w:t>
            </w:r>
          </w:p>
        </w:tc>
        <w:tc>
          <w:tcPr>
            <w:tcW w:w="1134"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1276"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c>
          <w:tcPr>
            <w:tcW w:w="992"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851"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r>
      <w:tr w:rsidR="00CF766F" w:rsidRPr="00FD6285" w:rsidTr="00765B7B">
        <w:trPr>
          <w:trHeight w:val="103"/>
        </w:trPr>
        <w:tc>
          <w:tcPr>
            <w:tcW w:w="1809" w:type="dxa"/>
            <w:vMerge/>
          </w:tcPr>
          <w:p w:rsidR="00CF766F" w:rsidRPr="00FD6285" w:rsidRDefault="00CF766F" w:rsidP="00816128">
            <w:pPr>
              <w:pStyle w:val="Tabletext"/>
              <w:rPr>
                <w:rFonts w:asciiTheme="minorHAnsi" w:hAnsiTheme="minorHAnsi"/>
                <w:sz w:val="20"/>
                <w:szCs w:val="20"/>
              </w:rPr>
            </w:pPr>
          </w:p>
        </w:tc>
        <w:tc>
          <w:tcPr>
            <w:tcW w:w="2835" w:type="dxa"/>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Use in patients with renal impairment</w:t>
            </w:r>
          </w:p>
        </w:tc>
        <w:tc>
          <w:tcPr>
            <w:tcW w:w="1134"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1276"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c>
          <w:tcPr>
            <w:tcW w:w="992"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851"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r>
      <w:tr w:rsidR="00CF766F" w:rsidRPr="00FD6285" w:rsidTr="00765B7B">
        <w:trPr>
          <w:trHeight w:val="140"/>
        </w:trPr>
        <w:tc>
          <w:tcPr>
            <w:tcW w:w="1809" w:type="dxa"/>
            <w:vMerge/>
          </w:tcPr>
          <w:p w:rsidR="00CF766F" w:rsidRPr="00FD6285" w:rsidRDefault="00CF766F" w:rsidP="00816128">
            <w:pPr>
              <w:pStyle w:val="Tabletext"/>
              <w:rPr>
                <w:rFonts w:asciiTheme="minorHAnsi" w:hAnsiTheme="minorHAnsi"/>
                <w:sz w:val="20"/>
                <w:szCs w:val="20"/>
              </w:rPr>
            </w:pPr>
          </w:p>
        </w:tc>
        <w:tc>
          <w:tcPr>
            <w:tcW w:w="2835" w:type="dxa"/>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Use in patients with cardiovascular impairment</w:t>
            </w:r>
          </w:p>
        </w:tc>
        <w:tc>
          <w:tcPr>
            <w:tcW w:w="1134"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1276"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c>
          <w:tcPr>
            <w:tcW w:w="992"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851"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r>
      <w:tr w:rsidR="00CF766F" w:rsidRPr="00FD6285" w:rsidTr="00765B7B">
        <w:trPr>
          <w:trHeight w:val="140"/>
        </w:trPr>
        <w:tc>
          <w:tcPr>
            <w:tcW w:w="1809" w:type="dxa"/>
            <w:vMerge/>
          </w:tcPr>
          <w:p w:rsidR="00CF766F" w:rsidRPr="00FD6285" w:rsidRDefault="00CF766F" w:rsidP="00816128">
            <w:pPr>
              <w:pStyle w:val="Tabletext"/>
              <w:rPr>
                <w:rFonts w:asciiTheme="minorHAnsi" w:hAnsiTheme="minorHAnsi"/>
                <w:sz w:val="20"/>
                <w:szCs w:val="20"/>
              </w:rPr>
            </w:pPr>
          </w:p>
        </w:tc>
        <w:tc>
          <w:tcPr>
            <w:tcW w:w="2835" w:type="dxa"/>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Use in the elderly</w:t>
            </w:r>
          </w:p>
        </w:tc>
        <w:tc>
          <w:tcPr>
            <w:tcW w:w="1134"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1276"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c>
          <w:tcPr>
            <w:tcW w:w="992"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851"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r>
      <w:tr w:rsidR="00CF766F" w:rsidRPr="00FD6285" w:rsidTr="00765B7B">
        <w:trPr>
          <w:trHeight w:val="140"/>
        </w:trPr>
        <w:tc>
          <w:tcPr>
            <w:tcW w:w="1809" w:type="dxa"/>
            <w:vMerge/>
          </w:tcPr>
          <w:p w:rsidR="00CF766F" w:rsidRPr="00FD6285" w:rsidRDefault="00CF766F" w:rsidP="00816128">
            <w:pPr>
              <w:pStyle w:val="Tabletext"/>
              <w:rPr>
                <w:rFonts w:asciiTheme="minorHAnsi" w:hAnsiTheme="minorHAnsi"/>
                <w:sz w:val="20"/>
                <w:szCs w:val="20"/>
              </w:rPr>
            </w:pPr>
          </w:p>
        </w:tc>
        <w:tc>
          <w:tcPr>
            <w:tcW w:w="2835" w:type="dxa"/>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Use in male patients</w:t>
            </w:r>
          </w:p>
        </w:tc>
        <w:tc>
          <w:tcPr>
            <w:tcW w:w="1134"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1276"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c>
          <w:tcPr>
            <w:tcW w:w="992"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851"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r>
      <w:tr w:rsidR="00CF766F" w:rsidRPr="00FD6285" w:rsidTr="00765B7B">
        <w:trPr>
          <w:trHeight w:val="140"/>
        </w:trPr>
        <w:tc>
          <w:tcPr>
            <w:tcW w:w="1809" w:type="dxa"/>
            <w:vMerge/>
          </w:tcPr>
          <w:p w:rsidR="00CF766F" w:rsidRPr="00FD6285" w:rsidRDefault="00CF766F" w:rsidP="00816128">
            <w:pPr>
              <w:pStyle w:val="Tabletext"/>
              <w:rPr>
                <w:rFonts w:asciiTheme="minorHAnsi" w:hAnsiTheme="minorHAnsi"/>
                <w:sz w:val="20"/>
                <w:szCs w:val="20"/>
              </w:rPr>
            </w:pPr>
          </w:p>
        </w:tc>
        <w:tc>
          <w:tcPr>
            <w:tcW w:w="2835" w:type="dxa"/>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Use in pregnant women</w:t>
            </w:r>
          </w:p>
        </w:tc>
        <w:tc>
          <w:tcPr>
            <w:tcW w:w="1134"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1276"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c>
          <w:tcPr>
            <w:tcW w:w="992"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851"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r>
      <w:tr w:rsidR="00CF766F" w:rsidRPr="00FD6285" w:rsidTr="00765B7B">
        <w:trPr>
          <w:trHeight w:val="140"/>
        </w:trPr>
        <w:tc>
          <w:tcPr>
            <w:tcW w:w="1809" w:type="dxa"/>
            <w:vMerge/>
          </w:tcPr>
          <w:p w:rsidR="00CF766F" w:rsidRPr="00FD6285" w:rsidRDefault="00CF766F" w:rsidP="00816128">
            <w:pPr>
              <w:pStyle w:val="Tabletext"/>
              <w:rPr>
                <w:rFonts w:asciiTheme="minorHAnsi" w:hAnsiTheme="minorHAnsi"/>
                <w:sz w:val="20"/>
                <w:szCs w:val="20"/>
              </w:rPr>
            </w:pPr>
          </w:p>
        </w:tc>
        <w:tc>
          <w:tcPr>
            <w:tcW w:w="2835" w:type="dxa"/>
          </w:tcPr>
          <w:p w:rsidR="00CF766F" w:rsidRPr="00FD6285" w:rsidRDefault="00CF766F" w:rsidP="00816128">
            <w:pPr>
              <w:pStyle w:val="Tabletext"/>
              <w:rPr>
                <w:rFonts w:asciiTheme="minorHAnsi" w:hAnsiTheme="minorHAnsi"/>
                <w:sz w:val="20"/>
                <w:szCs w:val="20"/>
              </w:rPr>
            </w:pPr>
            <w:r w:rsidRPr="00FD6285">
              <w:rPr>
                <w:rFonts w:asciiTheme="minorHAnsi" w:hAnsiTheme="minorHAnsi"/>
                <w:sz w:val="20"/>
                <w:szCs w:val="20"/>
              </w:rPr>
              <w:t>Use in paediatric and adolescent population</w:t>
            </w:r>
          </w:p>
        </w:tc>
        <w:tc>
          <w:tcPr>
            <w:tcW w:w="1134"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1276"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c>
          <w:tcPr>
            <w:tcW w:w="992"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sym w:font="Wingdings" w:char="F0FC"/>
            </w:r>
          </w:p>
        </w:tc>
        <w:tc>
          <w:tcPr>
            <w:tcW w:w="851" w:type="dxa"/>
          </w:tcPr>
          <w:p w:rsidR="00CF766F" w:rsidRPr="00FD6285" w:rsidRDefault="00CF766F" w:rsidP="00816128">
            <w:pPr>
              <w:pStyle w:val="Tabletext"/>
              <w:jc w:val="center"/>
              <w:rPr>
                <w:rFonts w:asciiTheme="minorHAnsi" w:hAnsiTheme="minorHAnsi"/>
                <w:sz w:val="20"/>
                <w:szCs w:val="20"/>
              </w:rPr>
            </w:pPr>
            <w:r w:rsidRPr="00FD6285">
              <w:rPr>
                <w:rFonts w:asciiTheme="minorHAnsi" w:hAnsiTheme="minorHAnsi"/>
                <w:sz w:val="20"/>
                <w:szCs w:val="20"/>
              </w:rPr>
              <w:t>–</w:t>
            </w:r>
          </w:p>
        </w:tc>
      </w:tr>
    </w:tbl>
    <w:p w:rsidR="00CF766F" w:rsidRDefault="00CF766F" w:rsidP="001B7296">
      <w:pPr>
        <w:pStyle w:val="Heading5"/>
      </w:pPr>
      <w:bookmarkStart w:id="98" w:name="_Toc460408189"/>
      <w:r>
        <w:t>Recommendation</w:t>
      </w:r>
      <w:bookmarkEnd w:id="98"/>
      <w:r>
        <w:t>s</w:t>
      </w:r>
    </w:p>
    <w:p w:rsidR="00CF766F" w:rsidRPr="00F91814" w:rsidRDefault="00CF766F" w:rsidP="001B7296">
      <w:r>
        <w:t>There are no outstanding issues.</w:t>
      </w:r>
    </w:p>
    <w:p w:rsidR="00CF766F" w:rsidRPr="009178FA" w:rsidRDefault="00CF766F" w:rsidP="001B7296">
      <w:pPr>
        <w:pStyle w:val="Heading6"/>
      </w:pPr>
      <w:bookmarkStart w:id="99" w:name="_Toc460408190"/>
      <w:r w:rsidRPr="009178FA">
        <w:lastRenderedPageBreak/>
        <w:t>Wording for conditions of registration</w:t>
      </w:r>
      <w:bookmarkEnd w:id="99"/>
    </w:p>
    <w:p w:rsidR="0019387B" w:rsidRDefault="00CF766F" w:rsidP="001B7296">
      <w:r w:rsidRPr="009178FA">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19387B">
        <w:t>.</w:t>
      </w:r>
    </w:p>
    <w:p w:rsidR="0089748D" w:rsidRDefault="00CF766F" w:rsidP="001B7296">
      <w:r w:rsidRPr="009178FA">
        <w:t>The suggested wording is:</w:t>
      </w:r>
    </w:p>
    <w:p w:rsidR="0019387B" w:rsidRDefault="00CF766F" w:rsidP="001B7296">
      <w:r w:rsidRPr="009178FA">
        <w:t xml:space="preserve">The EU-RMP version 4.0 (dated 15 July 2015; DLP 14 May 2015) and ASA version 1.0 (November 2015), </w:t>
      </w:r>
      <w:r>
        <w:t>submitted with application PM-2015-04001-1-4</w:t>
      </w:r>
      <w:r w:rsidRPr="009178FA">
        <w:t>, must be implemented</w:t>
      </w:r>
      <w:r w:rsidR="0019387B">
        <w:t>.</w:t>
      </w:r>
    </w:p>
    <w:p w:rsidR="008E7846" w:rsidRPr="00792A32" w:rsidRDefault="008E7846" w:rsidP="008E7846">
      <w:pPr>
        <w:pStyle w:val="Heading2"/>
      </w:pPr>
      <w:bookmarkStart w:id="100" w:name="_Toc247691527"/>
      <w:bookmarkStart w:id="101" w:name="_Toc314842510"/>
      <w:bookmarkStart w:id="102" w:name="_Toc49723378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7"/>
      <w:bookmarkEnd w:id="100"/>
      <w:bookmarkEnd w:id="101"/>
      <w:bookmarkEnd w:id="102"/>
    </w:p>
    <w:p w:rsidR="008E7846" w:rsidRDefault="008E7846" w:rsidP="008E7846">
      <w:bookmarkStart w:id="103"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04" w:name="_Toc314842511"/>
      <w:bookmarkStart w:id="105" w:name="_Toc497233789"/>
      <w:r>
        <w:t>Quality</w:t>
      </w:r>
      <w:bookmarkEnd w:id="103"/>
      <w:bookmarkEnd w:id="104"/>
      <w:bookmarkEnd w:id="105"/>
    </w:p>
    <w:p w:rsidR="006D76DE" w:rsidRDefault="006D76DE" w:rsidP="006D76DE">
      <w:r>
        <w:t>No new quality data were provided with this submission. There was no change to the registered formulation.</w:t>
      </w:r>
    </w:p>
    <w:p w:rsidR="008E7846" w:rsidRDefault="008E7846" w:rsidP="008E7846">
      <w:pPr>
        <w:pStyle w:val="Heading3"/>
      </w:pPr>
      <w:bookmarkStart w:id="106" w:name="_Toc314842512"/>
      <w:bookmarkStart w:id="107" w:name="_Toc497233790"/>
      <w:r>
        <w:t>Nonclinical</w:t>
      </w:r>
      <w:bookmarkEnd w:id="106"/>
      <w:bookmarkEnd w:id="107"/>
    </w:p>
    <w:p w:rsidR="0019387B" w:rsidRDefault="006D76DE" w:rsidP="001B7296">
      <w:r>
        <w:t>Nonclinical pharmacology and in vitro pharmacokinetic drug interaction studies (CYP 450 inhibition/induction and transporter interaction studies) were submitted</w:t>
      </w:r>
      <w:r w:rsidR="0019387B">
        <w:t>.</w:t>
      </w:r>
    </w:p>
    <w:p w:rsidR="006D76DE" w:rsidRDefault="006D76DE" w:rsidP="001B7296">
      <w:r>
        <w:t xml:space="preserve">Primary pharmacology studies demonstrated anti-proliferative activity (cytotoxicity) against cancer cell lines (including STS) in vitro at therapeutically relevant concentrations and STS tumour growth inhibition in </w:t>
      </w:r>
      <w:proofErr w:type="spellStart"/>
      <w:r>
        <w:t>athymic</w:t>
      </w:r>
      <w:proofErr w:type="spellEnd"/>
      <w:r>
        <w:t xml:space="preserve"> mice bearing human </w:t>
      </w:r>
      <w:proofErr w:type="spellStart"/>
      <w:r>
        <w:t>rhabdoid</w:t>
      </w:r>
      <w:proofErr w:type="spellEnd"/>
      <w:r>
        <w:t xml:space="preserve">, rhabdomyosarcoma, </w:t>
      </w:r>
      <w:proofErr w:type="spellStart"/>
      <w:r>
        <w:t>leiomyosarcoma</w:t>
      </w:r>
      <w:proofErr w:type="spellEnd"/>
      <w:r>
        <w:t>, and Ewing’s sarcoma xenografts.</w:t>
      </w:r>
    </w:p>
    <w:p w:rsidR="006D76DE" w:rsidRDefault="006D76DE" w:rsidP="001B7296">
      <w:proofErr w:type="spellStart"/>
      <w:r>
        <w:t>Eribulin</w:t>
      </w:r>
      <w:proofErr w:type="spellEnd"/>
      <w:r>
        <w:t xml:space="preserve"> caused weak to moderate inhibition of the human CYP3A4 CYP450 isozyme at concentrations 7 to 182</w:t>
      </w:r>
      <w:r w:rsidR="0001789D">
        <w:t xml:space="preserve"> </w:t>
      </w:r>
      <w:r>
        <w:t xml:space="preserve">fold the free fraction clinical </w:t>
      </w:r>
      <w:proofErr w:type="spellStart"/>
      <w:r w:rsidR="00657C65">
        <w:t>C</w:t>
      </w:r>
      <w:r w:rsidR="00657C65" w:rsidRPr="00F71F3B">
        <w:rPr>
          <w:vertAlign w:val="subscript"/>
        </w:rPr>
        <w:t>max</w:t>
      </w:r>
      <w:proofErr w:type="spellEnd"/>
      <w:r>
        <w:t xml:space="preserve"> in human liver </w:t>
      </w:r>
      <w:proofErr w:type="spellStart"/>
      <w:r>
        <w:t>microsomes</w:t>
      </w:r>
      <w:proofErr w:type="spellEnd"/>
      <w:r>
        <w:t xml:space="preserve"> in vitro. A precautionary statement on potential effects on the metabolism of CYP3A4 substrates was suggested in the </w:t>
      </w:r>
      <w:r w:rsidR="0001789D">
        <w:t>draft PI</w:t>
      </w:r>
      <w:r>
        <w:t>.</w:t>
      </w:r>
    </w:p>
    <w:p w:rsidR="0019387B" w:rsidRDefault="006D76DE" w:rsidP="001B7296">
      <w:proofErr w:type="spellStart"/>
      <w:r>
        <w:t>Eribulin</w:t>
      </w:r>
      <w:proofErr w:type="spellEnd"/>
      <w:r>
        <w:t xml:space="preserve"> was associated with significant down-regulation of CYP1A2 and CYP2B6. It was recommended that this down-regulation and potential clinical effects in terms of PK drug interactions be further investigated</w:t>
      </w:r>
      <w:r w:rsidR="0019387B">
        <w:t>.</w:t>
      </w:r>
    </w:p>
    <w:p w:rsidR="0019387B" w:rsidRDefault="006D76DE" w:rsidP="001B7296">
      <w:r>
        <w:t>Recommendations for amending the draft PI were made. The amended PI included in the response to requests incorporated the changes to ‘Interactions with other medicines’ as recommended</w:t>
      </w:r>
      <w:r w:rsidR="0019387B">
        <w:t>.</w:t>
      </w:r>
    </w:p>
    <w:p w:rsidR="0019387B" w:rsidRDefault="006D76DE" w:rsidP="0001789D">
      <w:r>
        <w:t>Use in Pregnancy</w:t>
      </w:r>
      <w:r w:rsidR="0001789D">
        <w:t xml:space="preserve">: </w:t>
      </w:r>
      <w:r>
        <w:t>Category D (no change</w:t>
      </w:r>
      <w:r w:rsidR="0001789D">
        <w:t xml:space="preserve"> to current registration</w:t>
      </w:r>
      <w:r>
        <w:t>)</w:t>
      </w:r>
      <w:r w:rsidR="0019387B">
        <w:t>.</w:t>
      </w:r>
    </w:p>
    <w:p w:rsidR="006D76DE" w:rsidRPr="006D76DE" w:rsidRDefault="006D76DE" w:rsidP="001B7296">
      <w:r>
        <w:t xml:space="preserve">There were no nonclinical objections to the proposed extension of indications for </w:t>
      </w:r>
      <w:proofErr w:type="spellStart"/>
      <w:r>
        <w:t>eribulin</w:t>
      </w:r>
      <w:proofErr w:type="spellEnd"/>
      <w:r>
        <w:t xml:space="preserve"> </w:t>
      </w:r>
      <w:proofErr w:type="spellStart"/>
      <w:r>
        <w:t>mesilate</w:t>
      </w:r>
      <w:proofErr w:type="spellEnd"/>
      <w:r>
        <w:t>.</w:t>
      </w:r>
    </w:p>
    <w:p w:rsidR="008E7846" w:rsidRDefault="008E7846" w:rsidP="008E7846">
      <w:pPr>
        <w:pStyle w:val="Heading3"/>
      </w:pPr>
      <w:bookmarkStart w:id="108" w:name="_Toc247691530"/>
      <w:bookmarkStart w:id="109" w:name="_Toc314842513"/>
      <w:bookmarkStart w:id="110" w:name="_Toc497233791"/>
      <w:r>
        <w:t>Clinical</w:t>
      </w:r>
      <w:bookmarkEnd w:id="108"/>
      <w:bookmarkEnd w:id="109"/>
      <w:bookmarkEnd w:id="110"/>
    </w:p>
    <w:p w:rsidR="0089748D" w:rsidRDefault="006D76DE" w:rsidP="001B7296">
      <w:bookmarkStart w:id="111" w:name="_Toc314842514"/>
      <w:r w:rsidRPr="006D76DE">
        <w:t xml:space="preserve">The </w:t>
      </w:r>
      <w:r w:rsidR="00106E4B">
        <w:t>clinical e</w:t>
      </w:r>
      <w:r w:rsidRPr="006D76DE">
        <w:t xml:space="preserve">valuator recommended that </w:t>
      </w:r>
      <w:proofErr w:type="spellStart"/>
      <w:r w:rsidRPr="006D76DE">
        <w:t>eribulin</w:t>
      </w:r>
      <w:proofErr w:type="spellEnd"/>
      <w:r w:rsidRPr="006D76DE">
        <w:t xml:space="preserve"> be approved for the following indication only:</w:t>
      </w:r>
    </w:p>
    <w:p w:rsidR="00106E4B" w:rsidRPr="00106E4B" w:rsidRDefault="006D76DE" w:rsidP="00106E4B">
      <w:pPr>
        <w:ind w:left="720"/>
        <w:rPr>
          <w:i/>
        </w:rPr>
      </w:pPr>
      <w:r w:rsidRPr="00106E4B">
        <w:rPr>
          <w:i/>
        </w:rPr>
        <w:t xml:space="preserve">For the treatment of patients with </w:t>
      </w:r>
      <w:proofErr w:type="spellStart"/>
      <w:r w:rsidRPr="00106E4B">
        <w:rPr>
          <w:i/>
        </w:rPr>
        <w:t>unresectable</w:t>
      </w:r>
      <w:proofErr w:type="spellEnd"/>
      <w:r w:rsidRPr="00106E4B">
        <w:rPr>
          <w:i/>
        </w:rPr>
        <w:t xml:space="preserve"> </w:t>
      </w:r>
      <w:proofErr w:type="spellStart"/>
      <w:r w:rsidRPr="00106E4B">
        <w:rPr>
          <w:i/>
        </w:rPr>
        <w:t>liposarcoma</w:t>
      </w:r>
      <w:proofErr w:type="spellEnd"/>
      <w:r w:rsidRPr="00106E4B">
        <w:rPr>
          <w:i/>
        </w:rPr>
        <w:t xml:space="preserve">, who have received prior chemotherapy for advanced or metastatic </w:t>
      </w:r>
      <w:proofErr w:type="gramStart"/>
      <w:r w:rsidRPr="00106E4B">
        <w:rPr>
          <w:i/>
        </w:rPr>
        <w:t>dise</w:t>
      </w:r>
      <w:r w:rsidR="00106E4B" w:rsidRPr="00106E4B">
        <w:rPr>
          <w:i/>
        </w:rPr>
        <w:t>ase.</w:t>
      </w:r>
      <w:proofErr w:type="gramEnd"/>
    </w:p>
    <w:p w:rsidR="006D76DE" w:rsidRPr="006D76DE" w:rsidRDefault="00106E4B" w:rsidP="001B7296">
      <w:r>
        <w:lastRenderedPageBreak/>
        <w:t>The clinical d</w:t>
      </w:r>
      <w:r w:rsidR="006D76DE" w:rsidRPr="006D76DE">
        <w:t xml:space="preserve">ossier consisted of a clinical overview and summaries, a pivotal </w:t>
      </w:r>
      <w:r>
        <w:t>P</w:t>
      </w:r>
      <w:r w:rsidR="006D76DE" w:rsidRPr="006D76DE">
        <w:t>hase III clinical trial and two Phase II trials in STS and a breast cancer Phase II study containing safety data not previously evaluated by TGA. There were also two population PK analyses.</w:t>
      </w:r>
    </w:p>
    <w:p w:rsidR="006D76DE" w:rsidRPr="006D76DE" w:rsidRDefault="006D76DE" w:rsidP="0019387B">
      <w:pPr>
        <w:pStyle w:val="Heading4"/>
      </w:pPr>
      <w:r w:rsidRPr="006D76DE">
        <w:t>Pharmacology</w:t>
      </w:r>
    </w:p>
    <w:p w:rsidR="006D76DE" w:rsidRPr="006D76DE" w:rsidRDefault="006D76DE" w:rsidP="001B7296">
      <w:r w:rsidRPr="006D76DE">
        <w:t xml:space="preserve">PK data were collected in 3 clinical studies </w:t>
      </w:r>
      <w:r w:rsidR="00106E4B">
        <w:t>(</w:t>
      </w:r>
      <w:r w:rsidRPr="006D76DE">
        <w:t>207, 217 and 309</w:t>
      </w:r>
      <w:r w:rsidR="00106E4B">
        <w:t>)</w:t>
      </w:r>
      <w:r w:rsidRPr="006D76DE">
        <w:t xml:space="preserve"> and used in Population PK and PK/PD analyses.</w:t>
      </w:r>
      <w:r w:rsidR="00F13CF2">
        <w:t xml:space="preserve"> </w:t>
      </w:r>
      <w:r w:rsidRPr="006D76DE">
        <w:t xml:space="preserve">The evaluator considered the design, conduct, and analyses of the studies were satisfactory. The PK properties of </w:t>
      </w:r>
      <w:proofErr w:type="spellStart"/>
      <w:r w:rsidRPr="006D76DE">
        <w:t>eribulin</w:t>
      </w:r>
      <w:proofErr w:type="spellEnd"/>
      <w:r w:rsidRPr="006D76DE">
        <w:t xml:space="preserve"> were consistent w</w:t>
      </w:r>
      <w:r w:rsidR="00106E4B">
        <w:t>ith those previously determined</w:t>
      </w:r>
      <w:r w:rsidRPr="006D76DE">
        <w:t xml:space="preserve">. Impaired hepatic function, as indicated by decreased albumin and increased LFTs, was associated with increased </w:t>
      </w:r>
      <w:proofErr w:type="spellStart"/>
      <w:r w:rsidRPr="006D76DE">
        <w:t>eribulin</w:t>
      </w:r>
      <w:proofErr w:type="spellEnd"/>
      <w:r w:rsidRPr="006D76DE">
        <w:t xml:space="preserve"> exposure.</w:t>
      </w:r>
    </w:p>
    <w:p w:rsidR="0019387B" w:rsidRDefault="006D76DE" w:rsidP="001B7296">
      <w:r w:rsidRPr="006D76DE">
        <w:t xml:space="preserve">Findings from population PK/PD analyses included: no relationship between </w:t>
      </w:r>
      <w:proofErr w:type="spellStart"/>
      <w:r w:rsidRPr="006D76DE">
        <w:t>eribulin</w:t>
      </w:r>
      <w:proofErr w:type="spellEnd"/>
      <w:r w:rsidRPr="006D76DE">
        <w:t xml:space="preserve"> exposure and efficacy endpoints or between </w:t>
      </w:r>
      <w:proofErr w:type="spellStart"/>
      <w:r w:rsidRPr="006D76DE">
        <w:t>eribulin</w:t>
      </w:r>
      <w:proofErr w:type="spellEnd"/>
      <w:r w:rsidRPr="006D76DE">
        <w:t xml:space="preserve"> exposure and QT interval; subjects who developed neuropathy and fatigue had higher exposure compared to other subjects; inhibition of neutrophil proliferation by </w:t>
      </w:r>
      <w:proofErr w:type="spellStart"/>
      <w:r w:rsidRPr="006D76DE">
        <w:t>eribulin</w:t>
      </w:r>
      <w:proofErr w:type="spellEnd"/>
      <w:r w:rsidRPr="006D76DE">
        <w:t xml:space="preserve"> was higher in Japanese subjects and subjects receiving G-CSF treatment</w:t>
      </w:r>
      <w:r w:rsidR="0019387B">
        <w:t>.</w:t>
      </w:r>
    </w:p>
    <w:p w:rsidR="006D76DE" w:rsidRPr="006D76DE" w:rsidRDefault="006D76DE" w:rsidP="0019387B">
      <w:pPr>
        <w:pStyle w:val="Heading4"/>
      </w:pPr>
      <w:r w:rsidRPr="006D76DE">
        <w:t>Drug-drug interactions</w:t>
      </w:r>
    </w:p>
    <w:p w:rsidR="006D76DE" w:rsidRPr="006D76DE" w:rsidRDefault="006D76DE" w:rsidP="001B7296">
      <w:r w:rsidRPr="006D76DE">
        <w:t>No clinical information was provided; see above for Nonclinical evaluation.</w:t>
      </w:r>
    </w:p>
    <w:p w:rsidR="006D76DE" w:rsidRPr="006D76DE" w:rsidRDefault="006D76DE" w:rsidP="0019387B">
      <w:pPr>
        <w:pStyle w:val="Heading4"/>
      </w:pPr>
      <w:r w:rsidRPr="006D76DE">
        <w:t>Efficacy</w:t>
      </w:r>
    </w:p>
    <w:p w:rsidR="006D76DE" w:rsidRDefault="006D76DE" w:rsidP="001B7296">
      <w:r w:rsidRPr="001B7296">
        <w:t xml:space="preserve">Study 309 was the pivotal efficacy Phase </w:t>
      </w:r>
      <w:r w:rsidR="00106E4B">
        <w:t>III</w:t>
      </w:r>
      <w:r w:rsidRPr="001B7296">
        <w:t xml:space="preserve"> study comparing </w:t>
      </w:r>
      <w:proofErr w:type="spellStart"/>
      <w:r w:rsidRPr="001B7296">
        <w:t>eribulin</w:t>
      </w:r>
      <w:proofErr w:type="spellEnd"/>
      <w:r w:rsidRPr="001B7296">
        <w:t xml:space="preserve"> treatment with </w:t>
      </w:r>
      <w:proofErr w:type="spellStart"/>
      <w:r w:rsidRPr="001B7296">
        <w:t>dacarbazine</w:t>
      </w:r>
      <w:proofErr w:type="spellEnd"/>
      <w:r w:rsidRPr="001B7296">
        <w:t xml:space="preserve"> in patients with advanced soft-tissue sarcoma (</w:t>
      </w:r>
      <w:proofErr w:type="spellStart"/>
      <w:r w:rsidRPr="001B7296">
        <w:t>adipocytic</w:t>
      </w:r>
      <w:proofErr w:type="spellEnd"/>
      <w:r w:rsidRPr="001B7296">
        <w:t xml:space="preserve"> or </w:t>
      </w:r>
      <w:proofErr w:type="spellStart"/>
      <w:r w:rsidRPr="001B7296">
        <w:t>leiomyosarcoma</w:t>
      </w:r>
      <w:proofErr w:type="spellEnd"/>
      <w:r w:rsidRPr="001B7296">
        <w:t xml:space="preserve">). The submission also included Phase </w:t>
      </w:r>
      <w:r w:rsidR="00106E4B">
        <w:t>II</w:t>
      </w:r>
      <w:r w:rsidRPr="001B7296">
        <w:t xml:space="preserve"> open label </w:t>
      </w:r>
      <w:r w:rsidR="00106E4B">
        <w:t>S</w:t>
      </w:r>
      <w:r w:rsidRPr="001B7296">
        <w:t>tudies 207 and 217 which included</w:t>
      </w:r>
      <w:r w:rsidRPr="006D76DE">
        <w:t xml:space="preserve"> additional types of </w:t>
      </w:r>
      <w:r w:rsidRPr="001E1F67">
        <w:t xml:space="preserve">STS. See </w:t>
      </w:r>
      <w:r w:rsidR="00457A51">
        <w:fldChar w:fldCharType="begin"/>
      </w:r>
      <w:r w:rsidR="00457A51">
        <w:instrText xml:space="preserve"> REF _Ref495914302 \h </w:instrText>
      </w:r>
      <w:r w:rsidR="00457A51">
        <w:fldChar w:fldCharType="separate"/>
      </w:r>
      <w:r w:rsidR="00457A51">
        <w:t xml:space="preserve">Table </w:t>
      </w:r>
      <w:r w:rsidR="00457A51">
        <w:rPr>
          <w:noProof/>
        </w:rPr>
        <w:t>6</w:t>
      </w:r>
      <w:r w:rsidR="00457A51">
        <w:fldChar w:fldCharType="end"/>
      </w:r>
      <w:r w:rsidRPr="001E1F67">
        <w:t>for summar</w:t>
      </w:r>
      <w:r w:rsidR="001E1F67" w:rsidRPr="001E1F67">
        <w:t>ies</w:t>
      </w:r>
      <w:r w:rsidRPr="001E1F67">
        <w:t xml:space="preserve"> </w:t>
      </w:r>
      <w:r w:rsidR="001E1F67" w:rsidRPr="001E1F67">
        <w:t>of the studies</w:t>
      </w:r>
      <w:r w:rsidRPr="001E1F67">
        <w:t>.</w:t>
      </w:r>
    </w:p>
    <w:p w:rsidR="001E1F67" w:rsidRDefault="00457A51" w:rsidP="00457A51">
      <w:pPr>
        <w:pStyle w:val="Caption"/>
      </w:pPr>
      <w:bookmarkStart w:id="112" w:name="_Ref495914302"/>
      <w:r>
        <w:t xml:space="preserve">Table </w:t>
      </w:r>
      <w:fldSimple w:instr=" SEQ Table \* ARABIC ">
        <w:r>
          <w:rPr>
            <w:noProof/>
          </w:rPr>
          <w:t>6</w:t>
        </w:r>
      </w:fldSimple>
      <w:bookmarkEnd w:id="112"/>
      <w:r w:rsidR="001E1F67">
        <w:t xml:space="preserve">: Summaries of populations, key features and results from Studies 309 and 207 </w:t>
      </w:r>
    </w:p>
    <w:tbl>
      <w:tblPr>
        <w:tblStyle w:val="TableTGAblue"/>
        <w:tblW w:w="0" w:type="auto"/>
        <w:tblLook w:val="04A0" w:firstRow="1" w:lastRow="0" w:firstColumn="1" w:lastColumn="0" w:noHBand="0" w:noVBand="1"/>
        <w:tblDescription w:val="Table 6 is a summary of populations, key features and results from Studies 309 and 207."/>
      </w:tblPr>
      <w:tblGrid>
        <w:gridCol w:w="2435"/>
        <w:gridCol w:w="3230"/>
        <w:gridCol w:w="3055"/>
      </w:tblGrid>
      <w:tr w:rsidR="001E1F67" w:rsidRPr="007D3B92" w:rsidTr="001E1F67">
        <w:trPr>
          <w:cnfStyle w:val="100000000000" w:firstRow="1" w:lastRow="0" w:firstColumn="0" w:lastColumn="0" w:oddVBand="0" w:evenVBand="0" w:oddHBand="0" w:evenHBand="0" w:firstRowFirstColumn="0" w:firstRowLastColumn="0" w:lastRowFirstColumn="0" w:lastRowLastColumn="0"/>
        </w:trPr>
        <w:tc>
          <w:tcPr>
            <w:tcW w:w="2235" w:type="dxa"/>
          </w:tcPr>
          <w:p w:rsidR="001E1F67" w:rsidRPr="007D3B92" w:rsidRDefault="001E1F67" w:rsidP="00472069">
            <w:pPr>
              <w:spacing w:before="40" w:after="40" w:line="240" w:lineRule="auto"/>
              <w:rPr>
                <w:rFonts w:asciiTheme="minorHAnsi" w:hAnsiTheme="minorHAnsi"/>
                <w:sz w:val="20"/>
              </w:rPr>
            </w:pPr>
            <w:r w:rsidRPr="007D3B92">
              <w:rPr>
                <w:rFonts w:asciiTheme="minorHAnsi" w:hAnsiTheme="minorHAnsi"/>
                <w:sz w:val="20"/>
              </w:rPr>
              <w:t>Study ID</w:t>
            </w:r>
            <w:r>
              <w:rPr>
                <w:rFonts w:asciiTheme="minorHAnsi" w:hAnsiTheme="minorHAnsi"/>
                <w:sz w:val="20"/>
              </w:rPr>
              <w:t>, population</w:t>
            </w:r>
          </w:p>
        </w:tc>
        <w:tc>
          <w:tcPr>
            <w:tcW w:w="3827" w:type="dxa"/>
          </w:tcPr>
          <w:p w:rsidR="001E1F67" w:rsidRPr="007D3B92" w:rsidRDefault="001E1F67" w:rsidP="00472069">
            <w:pPr>
              <w:spacing w:before="40" w:after="40" w:line="240" w:lineRule="auto"/>
              <w:rPr>
                <w:rFonts w:asciiTheme="minorHAnsi" w:hAnsiTheme="minorHAnsi"/>
                <w:sz w:val="20"/>
              </w:rPr>
            </w:pPr>
            <w:r>
              <w:rPr>
                <w:rFonts w:asciiTheme="minorHAnsi" w:hAnsiTheme="minorHAnsi"/>
                <w:sz w:val="20"/>
              </w:rPr>
              <w:t>K</w:t>
            </w:r>
            <w:r w:rsidRPr="007D3B92">
              <w:rPr>
                <w:rFonts w:asciiTheme="minorHAnsi" w:hAnsiTheme="minorHAnsi"/>
                <w:sz w:val="20"/>
              </w:rPr>
              <w:t>ey feature</w:t>
            </w:r>
            <w:r>
              <w:rPr>
                <w:rFonts w:asciiTheme="minorHAnsi" w:hAnsiTheme="minorHAnsi"/>
                <w:sz w:val="20"/>
              </w:rPr>
              <w:t>s</w:t>
            </w:r>
          </w:p>
        </w:tc>
        <w:tc>
          <w:tcPr>
            <w:tcW w:w="3544" w:type="dxa"/>
          </w:tcPr>
          <w:p w:rsidR="001E1F67" w:rsidRPr="007D3B92" w:rsidRDefault="001E1F67" w:rsidP="00472069">
            <w:pPr>
              <w:spacing w:before="40" w:after="40" w:line="240" w:lineRule="auto"/>
              <w:rPr>
                <w:rFonts w:asciiTheme="minorHAnsi" w:hAnsiTheme="minorHAnsi"/>
                <w:sz w:val="20"/>
              </w:rPr>
            </w:pPr>
            <w:r w:rsidRPr="007D3B92">
              <w:rPr>
                <w:rFonts w:asciiTheme="minorHAnsi" w:hAnsiTheme="minorHAnsi"/>
                <w:sz w:val="20"/>
              </w:rPr>
              <w:t>Comment</w:t>
            </w:r>
          </w:p>
        </w:tc>
      </w:tr>
      <w:tr w:rsidR="001E1F67" w:rsidRPr="007D3B92" w:rsidTr="001E1F67">
        <w:tc>
          <w:tcPr>
            <w:tcW w:w="9606" w:type="dxa"/>
            <w:gridSpan w:val="3"/>
          </w:tcPr>
          <w:p w:rsidR="001E1F67" w:rsidRPr="001E1F67" w:rsidRDefault="001E1F67" w:rsidP="00472069">
            <w:pPr>
              <w:spacing w:before="40" w:after="40" w:line="240" w:lineRule="auto"/>
              <w:rPr>
                <w:rFonts w:asciiTheme="minorHAnsi" w:hAnsiTheme="minorHAnsi"/>
                <w:b/>
                <w:sz w:val="20"/>
              </w:rPr>
            </w:pPr>
            <w:r w:rsidRPr="001E1F67">
              <w:rPr>
                <w:rFonts w:asciiTheme="minorHAnsi" w:hAnsiTheme="minorHAnsi"/>
                <w:b/>
                <w:sz w:val="20"/>
              </w:rPr>
              <w:t>Phase III</w:t>
            </w:r>
          </w:p>
        </w:tc>
      </w:tr>
      <w:tr w:rsidR="001E1F67" w:rsidRPr="007D3B92" w:rsidTr="001E1F67">
        <w:tc>
          <w:tcPr>
            <w:tcW w:w="2235" w:type="dxa"/>
          </w:tcPr>
          <w:p w:rsidR="001E1F67" w:rsidRPr="007D3B92" w:rsidRDefault="001E1F67" w:rsidP="00472069">
            <w:pPr>
              <w:spacing w:before="40" w:after="40" w:line="240" w:lineRule="auto"/>
              <w:rPr>
                <w:rFonts w:asciiTheme="minorHAnsi" w:hAnsiTheme="minorHAnsi"/>
                <w:sz w:val="20"/>
              </w:rPr>
            </w:pPr>
            <w:r w:rsidRPr="00A362EF">
              <w:rPr>
                <w:rFonts w:asciiTheme="minorHAnsi" w:hAnsiTheme="minorHAnsi"/>
                <w:b/>
                <w:sz w:val="20"/>
              </w:rPr>
              <w:t>Study 309</w:t>
            </w:r>
            <w:r>
              <w:rPr>
                <w:rFonts w:asciiTheme="minorHAnsi" w:hAnsiTheme="minorHAnsi"/>
                <w:sz w:val="20"/>
              </w:rPr>
              <w:t xml:space="preserve"> Randomised open label parallel groups </w:t>
            </w:r>
            <w:proofErr w:type="spellStart"/>
            <w:r>
              <w:rPr>
                <w:rFonts w:asciiTheme="minorHAnsi" w:hAnsiTheme="minorHAnsi"/>
                <w:sz w:val="20"/>
              </w:rPr>
              <w:t>eribulin</w:t>
            </w:r>
            <w:proofErr w:type="spellEnd"/>
            <w:r>
              <w:rPr>
                <w:rFonts w:asciiTheme="minorHAnsi" w:hAnsiTheme="minorHAnsi"/>
                <w:sz w:val="20"/>
              </w:rPr>
              <w:t xml:space="preserve"> versus </w:t>
            </w:r>
            <w:proofErr w:type="spellStart"/>
            <w:r>
              <w:rPr>
                <w:rFonts w:asciiTheme="minorHAnsi" w:hAnsiTheme="minorHAnsi"/>
                <w:sz w:val="20"/>
              </w:rPr>
              <w:t>dacarbazine</w:t>
            </w:r>
            <w:proofErr w:type="spellEnd"/>
            <w:r>
              <w:rPr>
                <w:rFonts w:asciiTheme="minorHAnsi" w:hAnsiTheme="minorHAnsi"/>
                <w:sz w:val="20"/>
              </w:rPr>
              <w:t xml:space="preserve"> </w:t>
            </w:r>
          </w:p>
        </w:tc>
        <w:tc>
          <w:tcPr>
            <w:tcW w:w="3827" w:type="dxa"/>
          </w:tcPr>
          <w:p w:rsidR="0089748D" w:rsidRDefault="001E1F67" w:rsidP="00472069">
            <w:pPr>
              <w:spacing w:before="40" w:after="40" w:line="240" w:lineRule="auto"/>
              <w:rPr>
                <w:rFonts w:asciiTheme="minorHAnsi" w:hAnsiTheme="minorHAnsi"/>
                <w:sz w:val="20"/>
              </w:rPr>
            </w:pPr>
            <w:r w:rsidRPr="00202DB0">
              <w:rPr>
                <w:rFonts w:asciiTheme="minorHAnsi" w:hAnsiTheme="minorHAnsi"/>
                <w:sz w:val="20"/>
                <w:u w:val="single"/>
              </w:rPr>
              <w:t>Arm A</w:t>
            </w:r>
            <w:r>
              <w:rPr>
                <w:rFonts w:asciiTheme="minorHAnsi" w:hAnsiTheme="minorHAnsi"/>
                <w:sz w:val="20"/>
              </w:rPr>
              <w:t xml:space="preserve"> </w:t>
            </w:r>
            <w:proofErr w:type="spellStart"/>
            <w:r>
              <w:rPr>
                <w:rFonts w:asciiTheme="minorHAnsi" w:hAnsiTheme="minorHAnsi"/>
                <w:sz w:val="20"/>
              </w:rPr>
              <w:t>Eribulin</w:t>
            </w:r>
            <w:proofErr w:type="spellEnd"/>
            <w:r>
              <w:rPr>
                <w:rFonts w:asciiTheme="minorHAnsi" w:hAnsiTheme="minorHAnsi"/>
                <w:sz w:val="20"/>
              </w:rPr>
              <w:t xml:space="preserve"> days 1and 8 of 21 day cycle n = 228</w:t>
            </w:r>
          </w:p>
          <w:p w:rsidR="0089748D" w:rsidRDefault="001E1F67" w:rsidP="00472069">
            <w:pPr>
              <w:spacing w:before="40" w:after="40" w:line="240" w:lineRule="auto"/>
              <w:rPr>
                <w:rFonts w:asciiTheme="minorHAnsi" w:hAnsiTheme="minorHAnsi"/>
                <w:sz w:val="20"/>
              </w:rPr>
            </w:pPr>
            <w:r w:rsidRPr="00202DB0">
              <w:rPr>
                <w:rFonts w:asciiTheme="minorHAnsi" w:hAnsiTheme="minorHAnsi"/>
                <w:sz w:val="20"/>
                <w:u w:val="single"/>
              </w:rPr>
              <w:t>Arm B</w:t>
            </w:r>
            <w:r>
              <w:rPr>
                <w:rFonts w:asciiTheme="minorHAnsi" w:hAnsiTheme="minorHAnsi"/>
                <w:sz w:val="20"/>
              </w:rPr>
              <w:t xml:space="preserve"> </w:t>
            </w:r>
            <w:proofErr w:type="spellStart"/>
            <w:r>
              <w:rPr>
                <w:rFonts w:asciiTheme="minorHAnsi" w:hAnsiTheme="minorHAnsi"/>
                <w:sz w:val="20"/>
              </w:rPr>
              <w:t>dacarbazine</w:t>
            </w:r>
            <w:proofErr w:type="spellEnd"/>
            <w:r>
              <w:rPr>
                <w:rFonts w:asciiTheme="minorHAnsi" w:hAnsiTheme="minorHAnsi"/>
                <w:sz w:val="20"/>
              </w:rPr>
              <w:t xml:space="preserve"> day 1 of 21 day cycle</w:t>
            </w:r>
          </w:p>
          <w:p w:rsidR="001E1F67" w:rsidRPr="007D3B92" w:rsidRDefault="001E1F67" w:rsidP="00472069">
            <w:pPr>
              <w:spacing w:before="40" w:after="40" w:line="240" w:lineRule="auto"/>
              <w:rPr>
                <w:rFonts w:asciiTheme="minorHAnsi" w:hAnsiTheme="minorHAnsi"/>
                <w:sz w:val="20"/>
              </w:rPr>
            </w:pPr>
            <w:r>
              <w:rPr>
                <w:rFonts w:asciiTheme="minorHAnsi" w:hAnsiTheme="minorHAnsi"/>
                <w:sz w:val="20"/>
              </w:rPr>
              <w:t>n =224</w:t>
            </w:r>
          </w:p>
        </w:tc>
        <w:tc>
          <w:tcPr>
            <w:tcW w:w="3544" w:type="dxa"/>
          </w:tcPr>
          <w:p w:rsidR="001E1F67" w:rsidRDefault="001E1F67" w:rsidP="00472069">
            <w:pPr>
              <w:spacing w:before="40" w:after="40" w:line="240" w:lineRule="auto"/>
              <w:rPr>
                <w:rFonts w:asciiTheme="minorHAnsi" w:hAnsiTheme="minorHAnsi"/>
                <w:sz w:val="20"/>
              </w:rPr>
            </w:pPr>
            <w:r>
              <w:rPr>
                <w:rFonts w:asciiTheme="minorHAnsi" w:hAnsiTheme="minorHAnsi"/>
                <w:sz w:val="20"/>
              </w:rPr>
              <w:t>No difference in overall progression-free survival (months); Median (95% CI) 2.6(1.9, 2.8) versus 2.6(1.8, 2.7).</w:t>
            </w:r>
          </w:p>
          <w:p w:rsidR="001E1F67" w:rsidRPr="007D3B92" w:rsidRDefault="001E1F67" w:rsidP="00472069">
            <w:pPr>
              <w:spacing w:before="40" w:after="40" w:line="240" w:lineRule="auto"/>
              <w:rPr>
                <w:rFonts w:asciiTheme="minorHAnsi" w:hAnsiTheme="minorHAnsi"/>
                <w:sz w:val="20"/>
              </w:rPr>
            </w:pPr>
          </w:p>
        </w:tc>
      </w:tr>
      <w:tr w:rsidR="001E1F67" w:rsidRPr="007D3B92" w:rsidTr="001E1F67">
        <w:tc>
          <w:tcPr>
            <w:tcW w:w="2235" w:type="dxa"/>
          </w:tcPr>
          <w:p w:rsidR="001E1F67" w:rsidRPr="007D3B92" w:rsidRDefault="001E1F67" w:rsidP="00472069">
            <w:pPr>
              <w:spacing w:before="40" w:after="40" w:line="240" w:lineRule="auto"/>
              <w:rPr>
                <w:rFonts w:asciiTheme="minorHAnsi" w:hAnsiTheme="minorHAnsi"/>
                <w:sz w:val="20"/>
              </w:rPr>
            </w:pPr>
            <w:r>
              <w:rPr>
                <w:rFonts w:asciiTheme="minorHAnsi" w:hAnsiTheme="minorHAnsi"/>
                <w:sz w:val="20"/>
              </w:rPr>
              <w:t>Subjects had at least 2 prior lines of therapy and advanced disease incurable by surgery/radiotherapy</w:t>
            </w:r>
          </w:p>
        </w:tc>
        <w:tc>
          <w:tcPr>
            <w:tcW w:w="3827" w:type="dxa"/>
          </w:tcPr>
          <w:p w:rsidR="001E1F67" w:rsidRPr="007D3B92" w:rsidRDefault="001E1F67" w:rsidP="00472069">
            <w:pPr>
              <w:spacing w:before="40" w:after="40" w:line="240" w:lineRule="auto"/>
              <w:rPr>
                <w:rFonts w:asciiTheme="minorHAnsi" w:hAnsiTheme="minorHAnsi"/>
                <w:sz w:val="20"/>
              </w:rPr>
            </w:pPr>
            <w:r>
              <w:rPr>
                <w:rFonts w:asciiTheme="minorHAnsi" w:hAnsiTheme="minorHAnsi"/>
                <w:sz w:val="20"/>
              </w:rPr>
              <w:t xml:space="preserve">Primary efficacy outcome OS; deaths </w:t>
            </w:r>
            <w:proofErr w:type="spellStart"/>
            <w:r>
              <w:rPr>
                <w:rFonts w:asciiTheme="minorHAnsi" w:hAnsiTheme="minorHAnsi"/>
                <w:sz w:val="20"/>
              </w:rPr>
              <w:t>eribulin</w:t>
            </w:r>
            <w:proofErr w:type="spellEnd"/>
            <w:r>
              <w:rPr>
                <w:rFonts w:asciiTheme="minorHAnsi" w:hAnsiTheme="minorHAnsi"/>
                <w:sz w:val="20"/>
              </w:rPr>
              <w:t xml:space="preserve"> 176 versus </w:t>
            </w:r>
            <w:proofErr w:type="spellStart"/>
            <w:r>
              <w:rPr>
                <w:rFonts w:asciiTheme="minorHAnsi" w:hAnsiTheme="minorHAnsi"/>
                <w:sz w:val="20"/>
              </w:rPr>
              <w:t>dacarbazine</w:t>
            </w:r>
            <w:proofErr w:type="spellEnd"/>
            <w:r>
              <w:rPr>
                <w:rFonts w:asciiTheme="minorHAnsi" w:hAnsiTheme="minorHAnsi"/>
                <w:sz w:val="20"/>
              </w:rPr>
              <w:t xml:space="preserve"> 181, HR 0.768 (95% CI 0.618-0.954); median OS months (95% CI) 13.5 (10.9, 15.6) versus 11.5 (9.6, 13.0).</w:t>
            </w:r>
          </w:p>
        </w:tc>
        <w:tc>
          <w:tcPr>
            <w:tcW w:w="3544" w:type="dxa"/>
          </w:tcPr>
          <w:p w:rsidR="001E1F67" w:rsidRDefault="001E1F67" w:rsidP="00472069">
            <w:pPr>
              <w:spacing w:before="40" w:after="40" w:line="240" w:lineRule="auto"/>
              <w:rPr>
                <w:rFonts w:asciiTheme="minorHAnsi" w:hAnsiTheme="minorHAnsi"/>
                <w:sz w:val="20"/>
              </w:rPr>
            </w:pPr>
            <w:r>
              <w:rPr>
                <w:rFonts w:asciiTheme="minorHAnsi" w:hAnsiTheme="minorHAnsi"/>
                <w:sz w:val="20"/>
              </w:rPr>
              <w:t>OS median (months) by histology:</w:t>
            </w:r>
          </w:p>
          <w:p w:rsidR="001E1F67" w:rsidRDefault="001E1F67" w:rsidP="00472069">
            <w:pPr>
              <w:spacing w:before="40" w:after="40" w:line="240" w:lineRule="auto"/>
              <w:rPr>
                <w:rFonts w:asciiTheme="minorHAnsi" w:hAnsiTheme="minorHAnsi"/>
                <w:sz w:val="20"/>
              </w:rPr>
            </w:pPr>
            <w:r>
              <w:rPr>
                <w:rFonts w:asciiTheme="minorHAnsi" w:hAnsiTheme="minorHAnsi"/>
                <w:sz w:val="20"/>
              </w:rPr>
              <w:t xml:space="preserve">ADI </w:t>
            </w:r>
            <w:proofErr w:type="spellStart"/>
            <w:r>
              <w:rPr>
                <w:rFonts w:asciiTheme="minorHAnsi" w:hAnsiTheme="minorHAnsi"/>
                <w:sz w:val="20"/>
              </w:rPr>
              <w:t>eribulin</w:t>
            </w:r>
            <w:proofErr w:type="spellEnd"/>
            <w:r>
              <w:rPr>
                <w:rFonts w:asciiTheme="minorHAnsi" w:hAnsiTheme="minorHAnsi"/>
                <w:sz w:val="20"/>
              </w:rPr>
              <w:t xml:space="preserve"> 15.6 versus </w:t>
            </w:r>
            <w:proofErr w:type="spellStart"/>
            <w:r>
              <w:rPr>
                <w:rFonts w:asciiTheme="minorHAnsi" w:hAnsiTheme="minorHAnsi"/>
                <w:sz w:val="20"/>
              </w:rPr>
              <w:t>dacarbazine</w:t>
            </w:r>
            <w:proofErr w:type="spellEnd"/>
            <w:r>
              <w:rPr>
                <w:rFonts w:asciiTheme="minorHAnsi" w:hAnsiTheme="minorHAnsi"/>
                <w:sz w:val="20"/>
              </w:rPr>
              <w:t xml:space="preserve"> 8.4</w:t>
            </w:r>
          </w:p>
          <w:p w:rsidR="001E1F67" w:rsidRPr="007D3B92" w:rsidRDefault="001E1F67" w:rsidP="00472069">
            <w:pPr>
              <w:spacing w:before="40" w:after="40" w:line="240" w:lineRule="auto"/>
              <w:rPr>
                <w:rFonts w:asciiTheme="minorHAnsi" w:hAnsiTheme="minorHAnsi"/>
                <w:sz w:val="20"/>
              </w:rPr>
            </w:pPr>
            <w:r>
              <w:rPr>
                <w:rFonts w:asciiTheme="minorHAnsi" w:hAnsiTheme="minorHAnsi"/>
                <w:sz w:val="20"/>
              </w:rPr>
              <w:t xml:space="preserve">LMS </w:t>
            </w:r>
            <w:proofErr w:type="spellStart"/>
            <w:r>
              <w:rPr>
                <w:rFonts w:asciiTheme="minorHAnsi" w:hAnsiTheme="minorHAnsi"/>
                <w:sz w:val="20"/>
              </w:rPr>
              <w:t>eribulin</w:t>
            </w:r>
            <w:proofErr w:type="spellEnd"/>
            <w:r>
              <w:rPr>
                <w:rFonts w:asciiTheme="minorHAnsi" w:hAnsiTheme="minorHAnsi"/>
                <w:sz w:val="20"/>
              </w:rPr>
              <w:t xml:space="preserve"> 12.7 versus </w:t>
            </w:r>
            <w:proofErr w:type="spellStart"/>
            <w:r>
              <w:rPr>
                <w:rFonts w:asciiTheme="minorHAnsi" w:hAnsiTheme="minorHAnsi"/>
                <w:sz w:val="20"/>
              </w:rPr>
              <w:t>dacarbazine</w:t>
            </w:r>
            <w:proofErr w:type="spellEnd"/>
            <w:r>
              <w:rPr>
                <w:rFonts w:asciiTheme="minorHAnsi" w:hAnsiTheme="minorHAnsi"/>
                <w:sz w:val="20"/>
              </w:rPr>
              <w:t xml:space="preserve"> 13</w:t>
            </w:r>
          </w:p>
        </w:tc>
      </w:tr>
      <w:tr w:rsidR="001E1F67" w:rsidRPr="007D3B92" w:rsidTr="001E1F67">
        <w:tc>
          <w:tcPr>
            <w:tcW w:w="9606" w:type="dxa"/>
            <w:gridSpan w:val="3"/>
          </w:tcPr>
          <w:p w:rsidR="001E1F67" w:rsidRPr="001E1F67" w:rsidRDefault="001E1F67" w:rsidP="00472069">
            <w:pPr>
              <w:spacing w:before="40" w:after="40" w:line="240" w:lineRule="auto"/>
              <w:rPr>
                <w:rFonts w:asciiTheme="minorHAnsi" w:hAnsiTheme="minorHAnsi"/>
                <w:b/>
                <w:sz w:val="20"/>
              </w:rPr>
            </w:pPr>
            <w:r w:rsidRPr="001E1F67">
              <w:rPr>
                <w:rFonts w:asciiTheme="minorHAnsi" w:hAnsiTheme="minorHAnsi"/>
                <w:b/>
                <w:sz w:val="20"/>
              </w:rPr>
              <w:t>Phase II</w:t>
            </w:r>
          </w:p>
        </w:tc>
      </w:tr>
      <w:tr w:rsidR="001E1F67" w:rsidRPr="007D3B92" w:rsidTr="001E1F67">
        <w:tc>
          <w:tcPr>
            <w:tcW w:w="2235" w:type="dxa"/>
          </w:tcPr>
          <w:p w:rsidR="001E1F67" w:rsidRPr="007D3B92" w:rsidRDefault="001E1F67" w:rsidP="00472069">
            <w:pPr>
              <w:spacing w:before="40" w:after="40" w:line="240" w:lineRule="auto"/>
              <w:rPr>
                <w:rFonts w:asciiTheme="minorHAnsi" w:hAnsiTheme="minorHAnsi"/>
                <w:sz w:val="20"/>
              </w:rPr>
            </w:pPr>
            <w:r w:rsidRPr="00A362EF">
              <w:rPr>
                <w:rFonts w:asciiTheme="minorHAnsi" w:hAnsiTheme="minorHAnsi"/>
                <w:b/>
                <w:sz w:val="20"/>
              </w:rPr>
              <w:t>Study 207</w:t>
            </w:r>
            <w:r>
              <w:rPr>
                <w:rFonts w:asciiTheme="minorHAnsi" w:hAnsiTheme="minorHAnsi"/>
                <w:sz w:val="20"/>
              </w:rPr>
              <w:t xml:space="preserve"> open label single arm</w:t>
            </w:r>
          </w:p>
        </w:tc>
        <w:tc>
          <w:tcPr>
            <w:tcW w:w="3827" w:type="dxa"/>
          </w:tcPr>
          <w:p w:rsidR="0089748D" w:rsidRDefault="001E1F67" w:rsidP="00472069">
            <w:pPr>
              <w:spacing w:before="40" w:after="40" w:line="240" w:lineRule="auto"/>
              <w:rPr>
                <w:rFonts w:asciiTheme="minorHAnsi" w:hAnsiTheme="minorHAnsi"/>
                <w:sz w:val="20"/>
              </w:rPr>
            </w:pPr>
            <w:proofErr w:type="spellStart"/>
            <w:r>
              <w:rPr>
                <w:rFonts w:asciiTheme="minorHAnsi" w:hAnsiTheme="minorHAnsi"/>
                <w:sz w:val="20"/>
              </w:rPr>
              <w:t>Eribulin</w:t>
            </w:r>
            <w:proofErr w:type="spellEnd"/>
            <w:r>
              <w:rPr>
                <w:rFonts w:asciiTheme="minorHAnsi" w:hAnsiTheme="minorHAnsi"/>
                <w:sz w:val="20"/>
              </w:rPr>
              <w:t xml:space="preserve"> Days 1and 8 of 21 day cycle</w:t>
            </w:r>
          </w:p>
          <w:p w:rsidR="001E1F67" w:rsidRPr="007D3B92" w:rsidRDefault="001E1F67" w:rsidP="00472069">
            <w:pPr>
              <w:spacing w:before="40" w:after="40" w:line="240" w:lineRule="auto"/>
              <w:rPr>
                <w:rFonts w:asciiTheme="minorHAnsi" w:hAnsiTheme="minorHAnsi"/>
                <w:sz w:val="20"/>
              </w:rPr>
            </w:pPr>
            <w:r>
              <w:rPr>
                <w:rFonts w:asciiTheme="minorHAnsi" w:hAnsiTheme="minorHAnsi"/>
                <w:sz w:val="20"/>
              </w:rPr>
              <w:t>n =127; 115 evaluable for efficacy</w:t>
            </w:r>
          </w:p>
        </w:tc>
        <w:tc>
          <w:tcPr>
            <w:tcW w:w="3544" w:type="dxa"/>
          </w:tcPr>
          <w:p w:rsidR="001E1F67" w:rsidRPr="007D3B92" w:rsidRDefault="001E1F67" w:rsidP="00472069">
            <w:pPr>
              <w:spacing w:before="40" w:after="40" w:line="240" w:lineRule="auto"/>
              <w:rPr>
                <w:rFonts w:asciiTheme="minorHAnsi" w:hAnsiTheme="minorHAnsi"/>
                <w:sz w:val="20"/>
              </w:rPr>
            </w:pPr>
          </w:p>
        </w:tc>
      </w:tr>
      <w:tr w:rsidR="001E1F67" w:rsidRPr="007D3B92" w:rsidTr="001E1F67">
        <w:tc>
          <w:tcPr>
            <w:tcW w:w="2235" w:type="dxa"/>
          </w:tcPr>
          <w:p w:rsidR="001E1F67" w:rsidRPr="007A3FF1" w:rsidRDefault="001E1F67" w:rsidP="00472069">
            <w:pPr>
              <w:spacing w:before="40" w:after="40" w:line="240" w:lineRule="auto"/>
              <w:rPr>
                <w:rFonts w:asciiTheme="minorHAnsi" w:hAnsiTheme="minorHAnsi"/>
                <w:sz w:val="20"/>
              </w:rPr>
            </w:pPr>
            <w:r>
              <w:rPr>
                <w:rFonts w:asciiTheme="minorHAnsi" w:hAnsiTheme="minorHAnsi"/>
                <w:sz w:val="20"/>
              </w:rPr>
              <w:t>S</w:t>
            </w:r>
            <w:r w:rsidRPr="007A3FF1">
              <w:rPr>
                <w:rFonts w:asciiTheme="minorHAnsi" w:hAnsiTheme="minorHAnsi"/>
                <w:sz w:val="20"/>
              </w:rPr>
              <w:t xml:space="preserve">ubjects </w:t>
            </w:r>
            <w:r>
              <w:rPr>
                <w:rFonts w:asciiTheme="minorHAnsi" w:hAnsiTheme="minorHAnsi"/>
                <w:sz w:val="20"/>
              </w:rPr>
              <w:t xml:space="preserve">had </w:t>
            </w:r>
            <w:r w:rsidRPr="007A3FF1">
              <w:rPr>
                <w:rFonts w:asciiTheme="minorHAnsi" w:hAnsiTheme="minorHAnsi"/>
                <w:sz w:val="20"/>
              </w:rPr>
              <w:t>advanced or metastatic STS, disease progression in previous 6 months</w:t>
            </w:r>
            <w:r>
              <w:rPr>
                <w:rFonts w:asciiTheme="minorHAnsi" w:hAnsiTheme="minorHAnsi"/>
                <w:sz w:val="20"/>
              </w:rPr>
              <w:t xml:space="preserve">; </w:t>
            </w:r>
            <w:r>
              <w:rPr>
                <w:rFonts w:asciiTheme="minorHAnsi" w:hAnsiTheme="minorHAnsi"/>
                <w:sz w:val="20"/>
              </w:rPr>
              <w:lastRenderedPageBreak/>
              <w:t>LMS, ADI, synovial, ‘other’.</w:t>
            </w:r>
          </w:p>
        </w:tc>
        <w:tc>
          <w:tcPr>
            <w:tcW w:w="3827" w:type="dxa"/>
          </w:tcPr>
          <w:p w:rsidR="001E1F67" w:rsidRPr="007A3FF1" w:rsidRDefault="001E1F67" w:rsidP="00472069">
            <w:pPr>
              <w:spacing w:before="40" w:after="40" w:line="240" w:lineRule="auto"/>
              <w:rPr>
                <w:rFonts w:asciiTheme="minorHAnsi" w:hAnsiTheme="minorHAnsi"/>
                <w:sz w:val="20"/>
              </w:rPr>
            </w:pPr>
            <w:r>
              <w:rPr>
                <w:rFonts w:asciiTheme="minorHAnsi" w:hAnsiTheme="minorHAnsi"/>
                <w:sz w:val="20"/>
              </w:rPr>
              <w:lastRenderedPageBreak/>
              <w:t xml:space="preserve">Primary outcome progression-free survival at 12 weeks (PFR12wks) using RECIST version 1.0 criteria; ADI 46.9%, LMS 31.6%, lower in other two </w:t>
            </w:r>
            <w:r>
              <w:rPr>
                <w:rFonts w:asciiTheme="minorHAnsi" w:hAnsiTheme="minorHAnsi"/>
                <w:sz w:val="20"/>
              </w:rPr>
              <w:lastRenderedPageBreak/>
              <w:t>strata.</w:t>
            </w:r>
          </w:p>
        </w:tc>
        <w:tc>
          <w:tcPr>
            <w:tcW w:w="3544" w:type="dxa"/>
          </w:tcPr>
          <w:p w:rsidR="001E1F67" w:rsidRPr="00A362EF" w:rsidRDefault="001E1F67" w:rsidP="00472069">
            <w:pPr>
              <w:spacing w:before="40" w:after="40" w:line="240" w:lineRule="auto"/>
              <w:rPr>
                <w:rFonts w:asciiTheme="minorHAnsi" w:hAnsiTheme="minorHAnsi"/>
                <w:sz w:val="20"/>
              </w:rPr>
            </w:pPr>
            <w:r w:rsidRPr="00A362EF">
              <w:rPr>
                <w:rFonts w:asciiTheme="minorHAnsi" w:hAnsiTheme="minorHAnsi"/>
                <w:sz w:val="20"/>
              </w:rPr>
              <w:lastRenderedPageBreak/>
              <w:t xml:space="preserve">Predefined efficacy rate of &gt; 30% reached only in </w:t>
            </w:r>
            <w:proofErr w:type="spellStart"/>
            <w:r w:rsidRPr="00A362EF">
              <w:rPr>
                <w:rFonts w:asciiTheme="minorHAnsi" w:hAnsiTheme="minorHAnsi"/>
                <w:sz w:val="20"/>
              </w:rPr>
              <w:t>adipocytic</w:t>
            </w:r>
            <w:proofErr w:type="spellEnd"/>
            <w:r w:rsidRPr="00A362EF">
              <w:rPr>
                <w:rFonts w:asciiTheme="minorHAnsi" w:hAnsiTheme="minorHAnsi"/>
                <w:sz w:val="20"/>
              </w:rPr>
              <w:t xml:space="preserve"> sarcoma (</w:t>
            </w:r>
            <w:proofErr w:type="spellStart"/>
            <w:r w:rsidRPr="00A362EF">
              <w:rPr>
                <w:rFonts w:asciiTheme="minorHAnsi" w:hAnsiTheme="minorHAnsi"/>
                <w:sz w:val="20"/>
              </w:rPr>
              <w:t>liposarcoma</w:t>
            </w:r>
            <w:proofErr w:type="spellEnd"/>
            <w:r w:rsidRPr="00A362EF">
              <w:rPr>
                <w:rFonts w:asciiTheme="minorHAnsi" w:hAnsiTheme="minorHAnsi"/>
                <w:sz w:val="20"/>
              </w:rPr>
              <w:t>) and LMS strata.</w:t>
            </w:r>
          </w:p>
        </w:tc>
      </w:tr>
      <w:tr w:rsidR="001E1F67" w:rsidRPr="007D3B92" w:rsidTr="001E1F67">
        <w:tc>
          <w:tcPr>
            <w:tcW w:w="2235" w:type="dxa"/>
          </w:tcPr>
          <w:p w:rsidR="001E1F67" w:rsidRPr="00A362EF" w:rsidRDefault="001E1F67" w:rsidP="00472069">
            <w:pPr>
              <w:spacing w:before="40" w:after="40" w:line="240" w:lineRule="auto"/>
              <w:rPr>
                <w:rFonts w:asciiTheme="minorHAnsi" w:hAnsiTheme="minorHAnsi"/>
                <w:sz w:val="20"/>
              </w:rPr>
            </w:pPr>
            <w:r w:rsidRPr="00A362EF">
              <w:rPr>
                <w:rFonts w:asciiTheme="minorHAnsi" w:hAnsiTheme="minorHAnsi"/>
                <w:b/>
                <w:sz w:val="20"/>
              </w:rPr>
              <w:lastRenderedPageBreak/>
              <w:t>Study 217</w:t>
            </w:r>
            <w:r>
              <w:rPr>
                <w:rFonts w:asciiTheme="minorHAnsi" w:hAnsiTheme="minorHAnsi"/>
                <w:sz w:val="20"/>
              </w:rPr>
              <w:t xml:space="preserve"> </w:t>
            </w:r>
            <w:r w:rsidRPr="00A362EF">
              <w:rPr>
                <w:rFonts w:asciiTheme="minorHAnsi" w:hAnsiTheme="minorHAnsi"/>
                <w:sz w:val="20"/>
              </w:rPr>
              <w:t>open label single arm</w:t>
            </w:r>
          </w:p>
        </w:tc>
        <w:tc>
          <w:tcPr>
            <w:tcW w:w="3827" w:type="dxa"/>
          </w:tcPr>
          <w:p w:rsidR="0089748D" w:rsidRDefault="001E1F67" w:rsidP="00472069">
            <w:pPr>
              <w:spacing w:before="40" w:after="40" w:line="240" w:lineRule="auto"/>
              <w:rPr>
                <w:rFonts w:asciiTheme="minorHAnsi" w:hAnsiTheme="minorHAnsi"/>
                <w:sz w:val="20"/>
              </w:rPr>
            </w:pPr>
            <w:proofErr w:type="spellStart"/>
            <w:r w:rsidRPr="00A362EF">
              <w:rPr>
                <w:rFonts w:asciiTheme="minorHAnsi" w:hAnsiTheme="minorHAnsi"/>
                <w:sz w:val="20"/>
              </w:rPr>
              <w:t>Eribulin</w:t>
            </w:r>
            <w:proofErr w:type="spellEnd"/>
            <w:r w:rsidRPr="00A362EF">
              <w:rPr>
                <w:rFonts w:asciiTheme="minorHAnsi" w:hAnsiTheme="minorHAnsi"/>
                <w:sz w:val="20"/>
              </w:rPr>
              <w:t xml:space="preserve"> Days 1and 8 of 21 day cycle</w:t>
            </w:r>
          </w:p>
          <w:p w:rsidR="001E1F67" w:rsidRPr="00A362EF" w:rsidRDefault="001E1F67" w:rsidP="00472069">
            <w:pPr>
              <w:spacing w:before="40" w:after="40" w:line="240" w:lineRule="auto"/>
              <w:rPr>
                <w:rFonts w:asciiTheme="minorHAnsi" w:hAnsiTheme="minorHAnsi"/>
                <w:sz w:val="20"/>
              </w:rPr>
            </w:pPr>
            <w:r w:rsidRPr="00A362EF">
              <w:rPr>
                <w:rFonts w:asciiTheme="minorHAnsi" w:hAnsiTheme="minorHAnsi"/>
                <w:sz w:val="20"/>
              </w:rPr>
              <w:t>n =</w:t>
            </w:r>
            <w:r>
              <w:rPr>
                <w:rFonts w:asciiTheme="minorHAnsi" w:hAnsiTheme="minorHAnsi"/>
                <w:sz w:val="20"/>
              </w:rPr>
              <w:t>5</w:t>
            </w:r>
            <w:r w:rsidRPr="00A362EF">
              <w:rPr>
                <w:rFonts w:asciiTheme="minorHAnsi" w:hAnsiTheme="minorHAnsi"/>
                <w:sz w:val="20"/>
              </w:rPr>
              <w:t xml:space="preserve">1; </w:t>
            </w:r>
          </w:p>
        </w:tc>
        <w:tc>
          <w:tcPr>
            <w:tcW w:w="3544" w:type="dxa"/>
          </w:tcPr>
          <w:p w:rsidR="001E1F67" w:rsidRPr="007D3B92" w:rsidRDefault="001E1F67" w:rsidP="00472069">
            <w:pPr>
              <w:spacing w:before="40" w:after="40" w:line="240" w:lineRule="auto"/>
              <w:rPr>
                <w:rFonts w:asciiTheme="minorHAnsi" w:hAnsiTheme="minorHAnsi"/>
                <w:i/>
                <w:sz w:val="20"/>
                <w:highlight w:val="cyan"/>
              </w:rPr>
            </w:pPr>
          </w:p>
        </w:tc>
      </w:tr>
      <w:tr w:rsidR="001E1F67" w:rsidRPr="007D3B92" w:rsidTr="001E1F67">
        <w:tc>
          <w:tcPr>
            <w:tcW w:w="2235" w:type="dxa"/>
          </w:tcPr>
          <w:p w:rsidR="001E1F67" w:rsidRPr="00A362EF" w:rsidRDefault="001E1F67" w:rsidP="00472069">
            <w:pPr>
              <w:spacing w:before="40" w:after="40" w:line="240" w:lineRule="auto"/>
              <w:rPr>
                <w:rFonts w:asciiTheme="minorHAnsi" w:hAnsiTheme="minorHAnsi"/>
                <w:sz w:val="20"/>
              </w:rPr>
            </w:pPr>
            <w:r w:rsidRPr="00A362EF">
              <w:rPr>
                <w:rFonts w:asciiTheme="minorHAnsi" w:hAnsiTheme="minorHAnsi"/>
                <w:sz w:val="20"/>
              </w:rPr>
              <w:t xml:space="preserve">As for 207; LMS/ADI </w:t>
            </w:r>
            <w:r>
              <w:rPr>
                <w:rFonts w:asciiTheme="minorHAnsi" w:hAnsiTheme="minorHAnsi"/>
                <w:sz w:val="20"/>
              </w:rPr>
              <w:t xml:space="preserve">n = 35 </w:t>
            </w:r>
            <w:r w:rsidRPr="00A362EF">
              <w:rPr>
                <w:rFonts w:asciiTheme="minorHAnsi" w:hAnsiTheme="minorHAnsi"/>
                <w:sz w:val="20"/>
              </w:rPr>
              <w:t>or ‘other’</w:t>
            </w:r>
            <w:r>
              <w:rPr>
                <w:rFonts w:asciiTheme="minorHAnsi" w:hAnsiTheme="minorHAnsi"/>
                <w:sz w:val="20"/>
              </w:rPr>
              <w:t xml:space="preserve"> n = 16</w:t>
            </w:r>
          </w:p>
        </w:tc>
        <w:tc>
          <w:tcPr>
            <w:tcW w:w="3827" w:type="dxa"/>
          </w:tcPr>
          <w:p w:rsidR="001E1F67" w:rsidRPr="00A362EF" w:rsidRDefault="00472069" w:rsidP="00472069">
            <w:pPr>
              <w:spacing w:before="40" w:after="40" w:line="240" w:lineRule="auto"/>
              <w:rPr>
                <w:rFonts w:asciiTheme="minorHAnsi" w:hAnsiTheme="minorHAnsi"/>
                <w:sz w:val="20"/>
              </w:rPr>
            </w:pPr>
            <w:r>
              <w:rPr>
                <w:rFonts w:asciiTheme="minorHAnsi" w:hAnsiTheme="minorHAnsi"/>
                <w:sz w:val="20"/>
              </w:rPr>
              <w:t>PFR12</w:t>
            </w:r>
            <w:r w:rsidR="001E1F67">
              <w:rPr>
                <w:rFonts w:asciiTheme="minorHAnsi" w:hAnsiTheme="minorHAnsi"/>
                <w:sz w:val="20"/>
              </w:rPr>
              <w:t>wks</w:t>
            </w:r>
            <w:r w:rsidR="0019387B">
              <w:rPr>
                <w:rFonts w:asciiTheme="minorHAnsi" w:hAnsiTheme="minorHAnsi"/>
                <w:sz w:val="20"/>
              </w:rPr>
              <w:t xml:space="preserve"> </w:t>
            </w:r>
            <w:r w:rsidR="001E1F67">
              <w:rPr>
                <w:rFonts w:asciiTheme="minorHAnsi" w:hAnsiTheme="minorHAnsi"/>
                <w:sz w:val="20"/>
              </w:rPr>
              <w:t>81.3%% for ADI, 42% LMS, 31.3% for ‘other’ sarcoma type s</w:t>
            </w:r>
          </w:p>
        </w:tc>
        <w:tc>
          <w:tcPr>
            <w:tcW w:w="3544" w:type="dxa"/>
          </w:tcPr>
          <w:p w:rsidR="001E1F67" w:rsidRPr="00A362EF" w:rsidRDefault="001E1F67" w:rsidP="00472069">
            <w:pPr>
              <w:spacing w:before="40" w:after="40" w:line="240" w:lineRule="auto"/>
              <w:rPr>
                <w:rFonts w:asciiTheme="minorHAnsi" w:hAnsiTheme="minorHAnsi"/>
                <w:sz w:val="20"/>
                <w:highlight w:val="cyan"/>
              </w:rPr>
            </w:pPr>
            <w:r w:rsidRPr="00A362EF">
              <w:rPr>
                <w:rFonts w:asciiTheme="minorHAnsi" w:hAnsiTheme="minorHAnsi"/>
                <w:sz w:val="20"/>
              </w:rPr>
              <w:t>Median PFS for whole efficacy population 4.07 months.</w:t>
            </w:r>
          </w:p>
        </w:tc>
      </w:tr>
      <w:tr w:rsidR="001E1F67" w:rsidRPr="007D3B92" w:rsidTr="001E1F67">
        <w:tc>
          <w:tcPr>
            <w:tcW w:w="9606" w:type="dxa"/>
            <w:gridSpan w:val="3"/>
          </w:tcPr>
          <w:p w:rsidR="001E1F67" w:rsidRPr="001E1F67" w:rsidRDefault="001E1F67" w:rsidP="00472069">
            <w:pPr>
              <w:spacing w:before="40" w:after="40" w:line="240" w:lineRule="auto"/>
              <w:rPr>
                <w:rFonts w:asciiTheme="minorHAnsi" w:hAnsiTheme="minorHAnsi"/>
                <w:b/>
                <w:sz w:val="20"/>
              </w:rPr>
            </w:pPr>
            <w:r w:rsidRPr="001E1F67">
              <w:rPr>
                <w:rFonts w:asciiTheme="minorHAnsi" w:hAnsiTheme="minorHAnsi"/>
                <w:b/>
                <w:sz w:val="20"/>
              </w:rPr>
              <w:t>Pop PK/PD</w:t>
            </w:r>
          </w:p>
        </w:tc>
      </w:tr>
      <w:tr w:rsidR="001E1F67" w:rsidRPr="007D3B92" w:rsidTr="001E1F67">
        <w:tc>
          <w:tcPr>
            <w:tcW w:w="2235" w:type="dxa"/>
          </w:tcPr>
          <w:p w:rsidR="001E1F67" w:rsidRPr="007D3B92" w:rsidRDefault="001E1F67" w:rsidP="00472069">
            <w:pPr>
              <w:spacing w:before="40" w:after="40" w:line="240" w:lineRule="auto"/>
              <w:rPr>
                <w:rFonts w:asciiTheme="minorHAnsi" w:hAnsiTheme="minorHAnsi"/>
                <w:sz w:val="20"/>
              </w:rPr>
            </w:pPr>
            <w:r>
              <w:rPr>
                <w:rFonts w:asciiTheme="minorHAnsi" w:hAnsiTheme="minorHAnsi"/>
                <w:sz w:val="20"/>
              </w:rPr>
              <w:t>Data from above studies analysed</w:t>
            </w:r>
          </w:p>
        </w:tc>
        <w:tc>
          <w:tcPr>
            <w:tcW w:w="3827" w:type="dxa"/>
          </w:tcPr>
          <w:p w:rsidR="001E1F67" w:rsidRPr="007D3B92" w:rsidRDefault="001E1F67" w:rsidP="00472069">
            <w:pPr>
              <w:spacing w:before="40" w:after="40" w:line="240" w:lineRule="auto"/>
              <w:rPr>
                <w:rFonts w:asciiTheme="minorHAnsi" w:hAnsiTheme="minorHAnsi"/>
                <w:sz w:val="20"/>
              </w:rPr>
            </w:pPr>
            <w:r w:rsidRPr="00062618">
              <w:rPr>
                <w:rFonts w:asciiTheme="minorHAnsi" w:hAnsiTheme="minorHAnsi"/>
                <w:sz w:val="20"/>
              </w:rPr>
              <w:t>Hepatic impairment associated with increased exposure</w:t>
            </w:r>
          </w:p>
        </w:tc>
        <w:tc>
          <w:tcPr>
            <w:tcW w:w="3544" w:type="dxa"/>
          </w:tcPr>
          <w:p w:rsidR="001E1F67" w:rsidRPr="007D3B92" w:rsidRDefault="001E1F67" w:rsidP="00472069">
            <w:pPr>
              <w:spacing w:before="40" w:after="40" w:line="240" w:lineRule="auto"/>
              <w:rPr>
                <w:rFonts w:asciiTheme="minorHAnsi" w:hAnsiTheme="minorHAnsi"/>
                <w:sz w:val="20"/>
              </w:rPr>
            </w:pPr>
            <w:r>
              <w:rPr>
                <w:rFonts w:asciiTheme="minorHAnsi" w:hAnsiTheme="minorHAnsi"/>
                <w:sz w:val="20"/>
              </w:rPr>
              <w:t>Findings consistent with known profile;</w:t>
            </w:r>
            <w:r>
              <w:t xml:space="preserve"> </w:t>
            </w:r>
            <w:r w:rsidRPr="00062618">
              <w:rPr>
                <w:rFonts w:asciiTheme="minorHAnsi" w:hAnsiTheme="minorHAnsi"/>
                <w:sz w:val="20"/>
              </w:rPr>
              <w:t>; subjects who developed neuropathy and fatigue had higher exposure compared to other subjects;</w:t>
            </w:r>
          </w:p>
        </w:tc>
      </w:tr>
    </w:tbl>
    <w:p w:rsidR="006D76DE" w:rsidRPr="006D76DE" w:rsidRDefault="006D76DE" w:rsidP="0019387B">
      <w:pPr>
        <w:pStyle w:val="Heading4"/>
      </w:pPr>
      <w:r w:rsidRPr="006D76DE">
        <w:t>Pivotal efficacy study</w:t>
      </w:r>
    </w:p>
    <w:p w:rsidR="006D76DE" w:rsidRDefault="006D76DE" w:rsidP="001B7296">
      <w:r w:rsidRPr="006D76DE">
        <w:t xml:space="preserve">Study 309 was a randomised, open-label, Phase </w:t>
      </w:r>
      <w:r w:rsidR="00106E4B">
        <w:t>III</w:t>
      </w:r>
      <w:r w:rsidRPr="006D76DE">
        <w:t xml:space="preserve"> trial with two parallel groups, </w:t>
      </w:r>
      <w:proofErr w:type="spellStart"/>
      <w:r w:rsidRPr="006D76DE">
        <w:t>eribulin</w:t>
      </w:r>
      <w:proofErr w:type="spellEnd"/>
      <w:r w:rsidRPr="006D76DE">
        <w:t xml:space="preserve"> (Arm A, n =228) v</w:t>
      </w:r>
      <w:r w:rsidR="00DD31CA">
        <w:t>ersus</w:t>
      </w:r>
      <w:r w:rsidRPr="006D76DE">
        <w:t xml:space="preserve"> </w:t>
      </w:r>
      <w:proofErr w:type="spellStart"/>
      <w:r w:rsidRPr="006D76DE">
        <w:t>dacarbazine</w:t>
      </w:r>
      <w:proofErr w:type="spellEnd"/>
      <w:r w:rsidRPr="006D76DE">
        <w:t xml:space="preserve"> (Arm B, n = 224). See study schema at Figure 1 </w:t>
      </w:r>
      <w:r w:rsidR="00106E4B">
        <w:t>below</w:t>
      </w:r>
      <w:r w:rsidRPr="006D76DE">
        <w:t>. The study was conducted at 110 centres in 22 countries. The primary objective was to compare overall survival. Following screening and baseline visits subjects entered a randomisation phase receiving treatment in 21 day cycles until disease progression or unacceptable t</w:t>
      </w:r>
      <w:r w:rsidR="00106E4B">
        <w:t>oxicity, with clinic visits at D</w:t>
      </w:r>
      <w:r w:rsidRPr="006D76DE">
        <w:t>ays 1, 8, and 15 of the cycle.</w:t>
      </w:r>
    </w:p>
    <w:p w:rsidR="00106E4B" w:rsidRDefault="00457A51" w:rsidP="00457A51">
      <w:pPr>
        <w:pStyle w:val="Caption"/>
      </w:pPr>
      <w:bookmarkStart w:id="113" w:name="_Ref322256100"/>
      <w:bookmarkStart w:id="114" w:name="_Toc324193800"/>
      <w:r>
        <w:t xml:space="preserve">Figure </w:t>
      </w:r>
      <w:fldSimple w:instr=" SEQ Figure \* ARABIC ">
        <w:r>
          <w:rPr>
            <w:noProof/>
          </w:rPr>
          <w:t>1</w:t>
        </w:r>
      </w:fldSimple>
      <w:bookmarkEnd w:id="113"/>
      <w:r w:rsidR="00106E4B">
        <w:t>: Study 309 Study schema</w:t>
      </w:r>
      <w:bookmarkEnd w:id="114"/>
    </w:p>
    <w:p w:rsidR="00106E4B" w:rsidRDefault="00106E4B" w:rsidP="00106E4B">
      <w:pPr>
        <w:pStyle w:val="FigureTitle"/>
      </w:pPr>
      <w:r>
        <w:rPr>
          <w:noProof/>
          <w:lang w:eastAsia="en-AU"/>
        </w:rPr>
        <w:drawing>
          <wp:inline distT="0" distB="0" distL="0" distR="0" wp14:anchorId="240CBB1E" wp14:editId="177343C5">
            <wp:extent cx="5400040" cy="2373479"/>
            <wp:effectExtent l="0" t="0" r="0" b="8255"/>
            <wp:docPr id="1" name="Picture 1" descr="Figure 1: Study 309 Study schema&#10;Following screening and baseline visits subjects entered a randomisation phase receiving treatment in 21 day cycles until disease progression or unacceptable toxicity, with clinic visits at Days 1, 8, and 15 of the cycle.Two parallel groups, eribulin (Arm A, n =228) versus dacarbazine (Arm B, n =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2373479"/>
                    </a:xfrm>
                    <a:prstGeom prst="rect">
                      <a:avLst/>
                    </a:prstGeom>
                  </pic:spPr>
                </pic:pic>
              </a:graphicData>
            </a:graphic>
          </wp:inline>
        </w:drawing>
      </w:r>
    </w:p>
    <w:p w:rsidR="006D76DE" w:rsidRPr="006D76DE" w:rsidRDefault="006D76DE" w:rsidP="0019387B">
      <w:pPr>
        <w:pStyle w:val="Heading4"/>
      </w:pPr>
      <w:r w:rsidRPr="006D76DE">
        <w:t>Inclusion and exclusion criteria</w:t>
      </w:r>
    </w:p>
    <w:p w:rsidR="006D76DE" w:rsidRPr="006D76DE" w:rsidRDefault="006D76DE" w:rsidP="001B7296">
      <w:r w:rsidRPr="006D76DE">
        <w:t xml:space="preserve">Subjects had to have histologically confirmed diagnosis of advanced soft tissue sarcoma of high or intermediate grade, either </w:t>
      </w:r>
      <w:proofErr w:type="spellStart"/>
      <w:r w:rsidRPr="006D76DE">
        <w:t>adipocytic</w:t>
      </w:r>
      <w:proofErr w:type="spellEnd"/>
      <w:r w:rsidRPr="006D76DE">
        <w:t xml:space="preserve"> sarcoma or </w:t>
      </w:r>
      <w:proofErr w:type="spellStart"/>
      <w:r w:rsidRPr="006D76DE">
        <w:t>leiomyosarcoma</w:t>
      </w:r>
      <w:proofErr w:type="spellEnd"/>
      <w:r w:rsidRPr="006D76DE">
        <w:t>, incurable by surgery or radiotherapy and having received at least 2 standard systemic regimens (one including anthracycline unless contra-indicated) for advanced STS. Measurable disease and radiographic evidence of disease progression by RECIST criteria</w:t>
      </w:r>
      <w:r w:rsidR="00DD31CA">
        <w:rPr>
          <w:rStyle w:val="FootnoteReference"/>
        </w:rPr>
        <w:footnoteReference w:id="13"/>
      </w:r>
      <w:r w:rsidRPr="006D76DE">
        <w:t xml:space="preserve"> were specified.</w:t>
      </w:r>
    </w:p>
    <w:p w:rsidR="006D76DE" w:rsidRPr="006D76DE" w:rsidRDefault="006D76DE" w:rsidP="0019387B">
      <w:pPr>
        <w:pStyle w:val="Heading4"/>
      </w:pPr>
      <w:r w:rsidRPr="006D76DE">
        <w:lastRenderedPageBreak/>
        <w:t>Randomisation and interventions</w:t>
      </w:r>
    </w:p>
    <w:p w:rsidR="006D76DE" w:rsidRPr="006D76DE" w:rsidRDefault="006D76DE" w:rsidP="001B7296">
      <w:r w:rsidRPr="006D76DE">
        <w:t xml:space="preserve">Subjects were randomised 1:1 to receive </w:t>
      </w:r>
      <w:proofErr w:type="spellStart"/>
      <w:r w:rsidRPr="006D76DE">
        <w:t>Eribulin</w:t>
      </w:r>
      <w:proofErr w:type="spellEnd"/>
      <w:r w:rsidRPr="006D76DE">
        <w:t xml:space="preserve"> 1.4 mg/m</w:t>
      </w:r>
      <w:r w:rsidRPr="00DD31CA">
        <w:rPr>
          <w:vertAlign w:val="superscript"/>
        </w:rPr>
        <w:t>2</w:t>
      </w:r>
      <w:r w:rsidRPr="006D76DE">
        <w:t xml:space="preserve"> IV over 2</w:t>
      </w:r>
      <w:r w:rsidR="00DD31CA">
        <w:t xml:space="preserve"> to 5 minutes on D</w:t>
      </w:r>
      <w:r w:rsidRPr="006D76DE">
        <w:t xml:space="preserve">ays 1 and 8 of a 21 day cycle (n = 228), or </w:t>
      </w:r>
      <w:proofErr w:type="spellStart"/>
      <w:r w:rsidRPr="006D76DE">
        <w:t>Dacarbazine</w:t>
      </w:r>
      <w:proofErr w:type="spellEnd"/>
      <w:r w:rsidRPr="006D76DE">
        <w:t xml:space="preserve"> 850, 1000 or 1200 mg/m</w:t>
      </w:r>
      <w:r w:rsidRPr="00DD31CA">
        <w:rPr>
          <w:vertAlign w:val="superscript"/>
        </w:rPr>
        <w:t>2</w:t>
      </w:r>
      <w:r w:rsidR="00DD31CA">
        <w:t xml:space="preserve"> IV over 15 to 60 minutes on D</w:t>
      </w:r>
      <w:r w:rsidRPr="006D76DE">
        <w:t>ay 1 of 21 day cycle (n = 224). Doses could be delayed or reduced as pre-specified. Randomisation was stratified by histology, geographical region and number of prior regimens, 2 or &gt;2.</w:t>
      </w:r>
    </w:p>
    <w:p w:rsidR="0019387B" w:rsidRDefault="006D76DE" w:rsidP="001B7296">
      <w:r w:rsidRPr="006D76DE">
        <w:t xml:space="preserve">The evaluator considered the choice of </w:t>
      </w:r>
      <w:proofErr w:type="spellStart"/>
      <w:r w:rsidRPr="006D76DE">
        <w:t>dacarbazine</w:t>
      </w:r>
      <w:proofErr w:type="spellEnd"/>
      <w:r w:rsidRPr="006D76DE">
        <w:t xml:space="preserve"> as comparator was acceptable in view of registration status and the Australian guidelines</w:t>
      </w:r>
      <w:r w:rsidR="0019387B">
        <w:t>.</w:t>
      </w:r>
    </w:p>
    <w:p w:rsidR="006D76DE" w:rsidRPr="006D76DE" w:rsidRDefault="006D76DE" w:rsidP="0019387B">
      <w:pPr>
        <w:pStyle w:val="Heading4"/>
      </w:pPr>
      <w:r w:rsidRPr="006D76DE">
        <w:t>Demographic and baseline characteristics</w:t>
      </w:r>
    </w:p>
    <w:p w:rsidR="0019387B" w:rsidRDefault="006D76DE" w:rsidP="001B7296">
      <w:r w:rsidRPr="006D76DE">
        <w:t xml:space="preserve">The two groups were similar overall; mean age 55.7 years, 21% aged 65 or over, 73% </w:t>
      </w:r>
      <w:r w:rsidR="00DD31CA">
        <w:t>W</w:t>
      </w:r>
      <w:r w:rsidRPr="006D76DE">
        <w:t xml:space="preserve">hite, mean </w:t>
      </w:r>
      <w:r w:rsidR="00DD31CA">
        <w:t>body weight (</w:t>
      </w:r>
      <w:r w:rsidRPr="006D76DE">
        <w:t>BW</w:t>
      </w:r>
      <w:r w:rsidR="00DD31CA">
        <w:t>)</w:t>
      </w:r>
      <w:r w:rsidRPr="006D76DE">
        <w:t xml:space="preserve"> 75 kg. In the </w:t>
      </w:r>
      <w:proofErr w:type="spellStart"/>
      <w:r w:rsidRPr="006D76DE">
        <w:t>eribulin</w:t>
      </w:r>
      <w:proofErr w:type="spellEnd"/>
      <w:r w:rsidRPr="006D76DE">
        <w:t xml:space="preserve"> group 70% were female v</w:t>
      </w:r>
      <w:r w:rsidR="00DD31CA">
        <w:t>ersu</w:t>
      </w:r>
      <w:r w:rsidRPr="006D76DE">
        <w:t xml:space="preserve">s 63% for </w:t>
      </w:r>
      <w:proofErr w:type="spellStart"/>
      <w:r w:rsidRPr="006D76DE">
        <w:t>dacarbazine</w:t>
      </w:r>
      <w:proofErr w:type="spellEnd"/>
      <w:r w:rsidRPr="006D76DE">
        <w:t xml:space="preserve">. Overall about 34% had </w:t>
      </w:r>
      <w:proofErr w:type="spellStart"/>
      <w:r w:rsidRPr="006D76DE">
        <w:t>adipocytic</w:t>
      </w:r>
      <w:proofErr w:type="spellEnd"/>
      <w:r w:rsidRPr="006D76DE">
        <w:t xml:space="preserve"> sarcoma and 66% had </w:t>
      </w:r>
      <w:proofErr w:type="spellStart"/>
      <w:r w:rsidRPr="006D76DE">
        <w:t>leiomyosarcoma</w:t>
      </w:r>
      <w:proofErr w:type="spellEnd"/>
      <w:r w:rsidRPr="006D76DE">
        <w:t xml:space="preserve">. Baseline disease characteristics and prior treatments were similar; the </w:t>
      </w:r>
      <w:proofErr w:type="spellStart"/>
      <w:r w:rsidRPr="006D76DE">
        <w:t>eribulin</w:t>
      </w:r>
      <w:proofErr w:type="spellEnd"/>
      <w:r w:rsidRPr="006D76DE">
        <w:t xml:space="preserve"> group had slightly better ECOG performance status at baseline but overall the two arms were well balanced</w:t>
      </w:r>
      <w:r w:rsidR="0019387B">
        <w:t>.</w:t>
      </w:r>
    </w:p>
    <w:p w:rsidR="0089748D" w:rsidRDefault="006D76DE" w:rsidP="0019387B">
      <w:pPr>
        <w:pStyle w:val="Heading4"/>
      </w:pPr>
      <w:r w:rsidRPr="006D76DE">
        <w:t>Efficacy assessment methodology</w:t>
      </w:r>
    </w:p>
    <w:p w:rsidR="0089748D" w:rsidRDefault="006D76DE" w:rsidP="001B7296">
      <w:r w:rsidRPr="006D76DE">
        <w:t xml:space="preserve">The primary analysis set was </w:t>
      </w:r>
      <w:r w:rsidR="00DD31CA">
        <w:t>intent-to-treat (</w:t>
      </w:r>
      <w:r w:rsidRPr="006D76DE">
        <w:t>ITT</w:t>
      </w:r>
      <w:r w:rsidR="00DD31CA">
        <w:t>)</w:t>
      </w:r>
      <w:r w:rsidRPr="006D76DE">
        <w:t>, all subjects randomised. The primary efficacy outcome was overall survival (OS), measured from the date of randomisation until the date of death from any cause. Secondary outcomes were</w:t>
      </w:r>
      <w:r w:rsidR="00952588">
        <w:t>:</w:t>
      </w:r>
    </w:p>
    <w:p w:rsidR="006D76DE" w:rsidRPr="006D76DE" w:rsidRDefault="006D76DE" w:rsidP="001B7296">
      <w:pPr>
        <w:pStyle w:val="ListBullet"/>
      </w:pPr>
      <w:r w:rsidRPr="006D76DE">
        <w:t>progression-free survival</w:t>
      </w:r>
    </w:p>
    <w:p w:rsidR="006D76DE" w:rsidRPr="006D76DE" w:rsidRDefault="00472069" w:rsidP="001B7296">
      <w:pPr>
        <w:pStyle w:val="ListBullet"/>
      </w:pPr>
      <w:r>
        <w:t>PFR12</w:t>
      </w:r>
      <w:r w:rsidR="006D76DE" w:rsidRPr="006D76DE">
        <w:t>wks</w:t>
      </w:r>
      <w:r w:rsidR="00952588">
        <w:t>;</w:t>
      </w:r>
      <w:r w:rsidR="006D76DE" w:rsidRPr="006D76DE">
        <w:t xml:space="preserve"> the proportion of subjects still alive without disease progression 12 weeks from randomisation. Subjects were considered to be progression-free if the tumour assessment performed during week 12 indicated stable disease (SD), partial response (PR) or complete response (CR).</w:t>
      </w:r>
    </w:p>
    <w:p w:rsidR="006D76DE" w:rsidRPr="006D76DE" w:rsidRDefault="006D76DE" w:rsidP="001B7296">
      <w:pPr>
        <w:pStyle w:val="ListBullet"/>
      </w:pPr>
      <w:r w:rsidRPr="006D76DE">
        <w:t>clinical benefit rate (‘CBR’ the proportion of subjects with best overall response of</w:t>
      </w:r>
      <w:r w:rsidR="00F13CF2">
        <w:t xml:space="preserve"> </w:t>
      </w:r>
      <w:r w:rsidRPr="006D76DE">
        <w:t xml:space="preserve">CR or PR or durable SD </w:t>
      </w:r>
      <w:r w:rsidR="00952588">
        <w:t>that is,</w:t>
      </w:r>
      <w:r w:rsidRPr="006D76DE">
        <w:t xml:space="preserve"> SD ≥ 11 weeks)</w:t>
      </w:r>
    </w:p>
    <w:p w:rsidR="006D76DE" w:rsidRPr="006D76DE" w:rsidRDefault="006D76DE" w:rsidP="001B7296">
      <w:r w:rsidRPr="006D76DE">
        <w:t>Disease progression and response were assessed by the investigators using RECIST v 1.1. Tumour assessments (</w:t>
      </w:r>
      <w:r w:rsidR="00952588" w:rsidRPr="00952588">
        <w:t xml:space="preserve">computed tomography </w:t>
      </w:r>
      <w:r w:rsidR="00952588">
        <w:t>(</w:t>
      </w:r>
      <w:r w:rsidRPr="006D76DE">
        <w:t>CT</w:t>
      </w:r>
      <w:r w:rsidR="00952588">
        <w:t>)</w:t>
      </w:r>
      <w:r w:rsidRPr="006D76DE">
        <w:t>/</w:t>
      </w:r>
      <w:r w:rsidR="00952588" w:rsidRPr="00952588">
        <w:t xml:space="preserve"> Magnetic resonance imaging </w:t>
      </w:r>
      <w:r w:rsidR="00952588">
        <w:t>(</w:t>
      </w:r>
      <w:r w:rsidRPr="006D76DE">
        <w:t>MRI</w:t>
      </w:r>
      <w:r w:rsidR="00952588">
        <w:t>)</w:t>
      </w:r>
      <w:r w:rsidRPr="006D76DE">
        <w:t xml:space="preserve"> of chest/abdomen/pelvis/other areas of known disease plus areas of newly suspected disease) were performed at 6 and 12 weeks then every 9 weeks, sooner if clinically indicated, until disease progression was confirmed. Subjects who discontinued without disease progression were assessed by the same schedule, until disease progression or commencement of another anticancer therapy. Subjects were followed up for survival every 12 weeks after the off-treatment visit.</w:t>
      </w:r>
    </w:p>
    <w:p w:rsidR="006D76DE" w:rsidRPr="006D76DE" w:rsidRDefault="006D76DE" w:rsidP="001B7296">
      <w:r w:rsidRPr="006D76DE">
        <w:t xml:space="preserve">The evaluator noted that PFR12wks was intended for use in Phase II studies to identify activity in new drugs. It was used as a primary endpoint in the Phase II studies of </w:t>
      </w:r>
      <w:proofErr w:type="spellStart"/>
      <w:r w:rsidRPr="006D76DE">
        <w:t>eribulin</w:t>
      </w:r>
      <w:proofErr w:type="spellEnd"/>
      <w:r w:rsidRPr="006D76DE">
        <w:t xml:space="preserve"> included in the submission.</w:t>
      </w:r>
    </w:p>
    <w:p w:rsidR="006D76DE" w:rsidRPr="006D76DE" w:rsidRDefault="006D76DE" w:rsidP="0019387B">
      <w:pPr>
        <w:pStyle w:val="Heading4"/>
      </w:pPr>
      <w:r w:rsidRPr="006D76DE">
        <w:t>Efficacy outcomes</w:t>
      </w:r>
    </w:p>
    <w:p w:rsidR="006D76DE" w:rsidRPr="006D76DE" w:rsidRDefault="006D76DE" w:rsidP="001B7296">
      <w:r w:rsidRPr="006D76DE">
        <w:t>The final analysis was conducted after a total of 357 deaths had occurred.</w:t>
      </w:r>
    </w:p>
    <w:p w:rsidR="006D76DE" w:rsidRPr="006D76DE" w:rsidRDefault="006D76DE" w:rsidP="0019387B">
      <w:pPr>
        <w:pStyle w:val="Heading4"/>
      </w:pPr>
      <w:r w:rsidRPr="006D76DE">
        <w:t>Overall survival</w:t>
      </w:r>
    </w:p>
    <w:p w:rsidR="006D76DE" w:rsidRDefault="006D76DE" w:rsidP="001B7296">
      <w:r w:rsidRPr="006D76DE">
        <w:t xml:space="preserve">Results are summarised in </w:t>
      </w:r>
      <w:r w:rsidR="00457A51">
        <w:fldChar w:fldCharType="begin"/>
      </w:r>
      <w:r w:rsidR="00457A51">
        <w:instrText xml:space="preserve"> REF _Ref495914344 \h </w:instrText>
      </w:r>
      <w:r w:rsidR="00457A51">
        <w:fldChar w:fldCharType="separate"/>
      </w:r>
      <w:r w:rsidR="00457A51">
        <w:t xml:space="preserve">Table </w:t>
      </w:r>
      <w:r w:rsidR="00457A51">
        <w:rPr>
          <w:noProof/>
        </w:rPr>
        <w:t>7</w:t>
      </w:r>
      <w:r w:rsidR="00457A51">
        <w:fldChar w:fldCharType="end"/>
      </w:r>
      <w:r w:rsidRPr="006D76DE">
        <w:t xml:space="preserve">and </w:t>
      </w:r>
      <w:r w:rsidR="00457A51">
        <w:fldChar w:fldCharType="begin"/>
      </w:r>
      <w:r w:rsidR="00457A51">
        <w:instrText xml:space="preserve"> REF _Ref322674908 \h </w:instrText>
      </w:r>
      <w:r w:rsidR="00457A51">
        <w:fldChar w:fldCharType="separate"/>
      </w:r>
      <w:r w:rsidR="00457A51">
        <w:t xml:space="preserve">Figure </w:t>
      </w:r>
      <w:r w:rsidR="00457A51">
        <w:rPr>
          <w:noProof/>
        </w:rPr>
        <w:t>2</w:t>
      </w:r>
      <w:r w:rsidR="00457A51">
        <w:fldChar w:fldCharType="end"/>
      </w:r>
      <w:r w:rsidRPr="006D76DE">
        <w:t xml:space="preserve">. Treatment with </w:t>
      </w:r>
      <w:proofErr w:type="spellStart"/>
      <w:r w:rsidRPr="006D76DE">
        <w:t>eribulin</w:t>
      </w:r>
      <w:proofErr w:type="spellEnd"/>
      <w:r w:rsidRPr="006D76DE">
        <w:t xml:space="preserve"> was associated with a statistically significant improvement in overall survival compared with </w:t>
      </w:r>
      <w:proofErr w:type="spellStart"/>
      <w:r w:rsidRPr="006D76DE">
        <w:t>dacarbazine</w:t>
      </w:r>
      <w:proofErr w:type="spellEnd"/>
      <w:r w:rsidRPr="006D76DE">
        <w:t xml:space="preserve"> treatment (Hazard Ratio, HR = 0.768 [95% CI: 0.618 – 0.954]; p = 0.0169).</w:t>
      </w:r>
      <w:r w:rsidR="00F13CF2">
        <w:t xml:space="preserve"> </w:t>
      </w:r>
      <w:r w:rsidRPr="006D76DE">
        <w:t>Median OS was improved by approximately 2 months (13.5</w:t>
      </w:r>
      <w:r w:rsidR="00627F25">
        <w:t xml:space="preserve"> versus </w:t>
      </w:r>
      <w:r w:rsidRPr="006D76DE">
        <w:t xml:space="preserve">11.5 months). The estimated </w:t>
      </w:r>
      <w:r w:rsidRPr="006D76DE">
        <w:lastRenderedPageBreak/>
        <w:t xml:space="preserve">proportion of subjects alive after 12 months was 54.8% </w:t>
      </w:r>
      <w:proofErr w:type="spellStart"/>
      <w:r w:rsidRPr="006D76DE">
        <w:t>eribulin</w:t>
      </w:r>
      <w:proofErr w:type="spellEnd"/>
      <w:r w:rsidR="00627F25">
        <w:t xml:space="preserve"> versus </w:t>
      </w:r>
      <w:r w:rsidRPr="006D76DE">
        <w:t xml:space="preserve">47.5% </w:t>
      </w:r>
      <w:proofErr w:type="spellStart"/>
      <w:r w:rsidRPr="006D76DE">
        <w:t>dacarbazine</w:t>
      </w:r>
      <w:proofErr w:type="spellEnd"/>
      <w:r w:rsidRPr="006D76DE">
        <w:t>.</w:t>
      </w:r>
    </w:p>
    <w:p w:rsidR="00952588" w:rsidRDefault="00457A51" w:rsidP="00457A51">
      <w:pPr>
        <w:pStyle w:val="Caption"/>
      </w:pPr>
      <w:bookmarkStart w:id="115" w:name="_Ref495914344"/>
      <w:r>
        <w:t xml:space="preserve">Table </w:t>
      </w:r>
      <w:fldSimple w:instr=" SEQ Table \* ARABIC ">
        <w:r>
          <w:rPr>
            <w:noProof/>
          </w:rPr>
          <w:t>7</w:t>
        </w:r>
      </w:fldSimple>
      <w:bookmarkEnd w:id="115"/>
      <w:r w:rsidR="00952588">
        <w:t>: Overall survival (primary endpoint)</w:t>
      </w:r>
    </w:p>
    <w:p w:rsidR="00952588" w:rsidRDefault="00952588" w:rsidP="001B7296">
      <w:r>
        <w:rPr>
          <w:noProof/>
          <w:lang w:eastAsia="en-AU"/>
        </w:rPr>
        <w:drawing>
          <wp:inline distT="0" distB="0" distL="0" distR="0" wp14:anchorId="3BFB9630" wp14:editId="3DBD7D10">
            <wp:extent cx="4664641" cy="3429000"/>
            <wp:effectExtent l="0" t="0" r="3175" b="0"/>
            <wp:docPr id="26" name="Picture 1" descr="Table 7 is an illustration of the overall survival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0324" cy="3433178"/>
                    </a:xfrm>
                    <a:prstGeom prst="rect">
                      <a:avLst/>
                    </a:prstGeom>
                    <a:noFill/>
                    <a:ln>
                      <a:noFill/>
                    </a:ln>
                  </pic:spPr>
                </pic:pic>
              </a:graphicData>
            </a:graphic>
          </wp:inline>
        </w:drawing>
      </w:r>
    </w:p>
    <w:p w:rsidR="00952588" w:rsidRDefault="00457A51" w:rsidP="00457A51">
      <w:pPr>
        <w:pStyle w:val="Caption"/>
      </w:pPr>
      <w:bookmarkStart w:id="116" w:name="_Ref322674908"/>
      <w:bookmarkStart w:id="117" w:name="_Toc324193801"/>
      <w:r>
        <w:t xml:space="preserve">Figure </w:t>
      </w:r>
      <w:fldSimple w:instr=" SEQ Figure \* ARABIC ">
        <w:r>
          <w:rPr>
            <w:noProof/>
          </w:rPr>
          <w:t>2</w:t>
        </w:r>
      </w:fldSimple>
      <w:bookmarkEnd w:id="116"/>
      <w:r w:rsidR="004A40D1">
        <w:rPr>
          <w:noProof/>
        </w:rPr>
        <w:t>:</w:t>
      </w:r>
      <w:r w:rsidR="00952588">
        <w:t xml:space="preserve"> Study 309 - Overall survival (primary endpoint)</w:t>
      </w:r>
      <w:bookmarkEnd w:id="117"/>
    </w:p>
    <w:p w:rsidR="004A40D1" w:rsidRPr="006D76DE" w:rsidRDefault="004A40D1" w:rsidP="00457A51">
      <w:pPr>
        <w:pStyle w:val="FigureTitle"/>
        <w:keepNext w:val="0"/>
        <w:keepLines w:val="0"/>
      </w:pPr>
      <w:r>
        <w:rPr>
          <w:noProof/>
          <w:lang w:eastAsia="en-AU"/>
        </w:rPr>
        <w:drawing>
          <wp:inline distT="0" distB="0" distL="0" distR="0" wp14:anchorId="2973AF8C" wp14:editId="56225471">
            <wp:extent cx="5337492" cy="3600450"/>
            <wp:effectExtent l="0" t="0" r="0" b="0"/>
            <wp:docPr id="4" name="Picture 4" descr="Figure 2 is a line graph illustrating the study 309 - Overall survival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6572"/>
                    <a:stretch/>
                  </pic:blipFill>
                  <pic:spPr bwMode="auto">
                    <a:xfrm>
                      <a:off x="0" y="0"/>
                      <a:ext cx="5338556" cy="3601168"/>
                    </a:xfrm>
                    <a:prstGeom prst="rect">
                      <a:avLst/>
                    </a:prstGeom>
                    <a:ln>
                      <a:noFill/>
                    </a:ln>
                    <a:extLst>
                      <a:ext uri="{53640926-AAD7-44D8-BBD7-CCE9431645EC}">
                        <a14:shadowObscured xmlns:a14="http://schemas.microsoft.com/office/drawing/2010/main"/>
                      </a:ext>
                    </a:extLst>
                  </pic:spPr>
                </pic:pic>
              </a:graphicData>
            </a:graphic>
          </wp:inline>
        </w:drawing>
      </w:r>
    </w:p>
    <w:p w:rsidR="006D76DE" w:rsidRDefault="006D76DE" w:rsidP="001B7296">
      <w:r w:rsidRPr="006D76DE">
        <w:t xml:space="preserve">The pivotal trial enrolled only subjects with </w:t>
      </w:r>
      <w:proofErr w:type="spellStart"/>
      <w:r w:rsidRPr="006D76DE">
        <w:t>liposarcoma</w:t>
      </w:r>
      <w:proofErr w:type="spellEnd"/>
      <w:r w:rsidRPr="006D76DE">
        <w:t xml:space="preserve"> or </w:t>
      </w:r>
      <w:proofErr w:type="spellStart"/>
      <w:r w:rsidRPr="006D76DE">
        <w:t>leiomyosarcoma</w:t>
      </w:r>
      <w:proofErr w:type="spellEnd"/>
      <w:r w:rsidRPr="006D76DE">
        <w:t>. Results of pre-planned subgroup analyses performed for descriptive purposes are shown in Figure 3.</w:t>
      </w:r>
    </w:p>
    <w:p w:rsidR="004A40D1" w:rsidRDefault="00457A51" w:rsidP="00457A51">
      <w:pPr>
        <w:pStyle w:val="Caption"/>
      </w:pPr>
      <w:bookmarkStart w:id="118" w:name="_Ref322683891"/>
      <w:bookmarkStart w:id="119" w:name="_Toc324193802"/>
      <w:r>
        <w:lastRenderedPageBreak/>
        <w:t xml:space="preserve">Figure </w:t>
      </w:r>
      <w:fldSimple w:instr=" SEQ Figure \* ARABIC ">
        <w:r>
          <w:rPr>
            <w:noProof/>
          </w:rPr>
          <w:t>3</w:t>
        </w:r>
      </w:fldSimple>
      <w:bookmarkEnd w:id="118"/>
      <w:r w:rsidR="004A40D1">
        <w:t>: Study 309 Subgroup analyses of overall survival</w:t>
      </w:r>
      <w:bookmarkEnd w:id="119"/>
    </w:p>
    <w:p w:rsidR="00F009D1" w:rsidRDefault="00F009D1" w:rsidP="00457A51">
      <w:pPr>
        <w:pStyle w:val="FigureTitle"/>
        <w:keepNext w:val="0"/>
        <w:keepLines w:val="0"/>
      </w:pPr>
      <w:r>
        <w:rPr>
          <w:noProof/>
          <w:lang w:eastAsia="en-AU"/>
        </w:rPr>
        <w:drawing>
          <wp:inline distT="0" distB="0" distL="0" distR="0" wp14:anchorId="7E0E50EF" wp14:editId="0643D185">
            <wp:extent cx="5314950" cy="7124700"/>
            <wp:effectExtent l="0" t="0" r="0" b="0"/>
            <wp:docPr id="3" name="Picture 3" descr="Figure 3 is a illustration of study 309 Subgroup analyses of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5314950" cy="7124700"/>
                    </a:xfrm>
                    <a:prstGeom prst="rect">
                      <a:avLst/>
                    </a:prstGeom>
                  </pic:spPr>
                </pic:pic>
              </a:graphicData>
            </a:graphic>
          </wp:inline>
        </w:drawing>
      </w:r>
    </w:p>
    <w:p w:rsidR="0019387B" w:rsidRDefault="006D76DE" w:rsidP="001B7296">
      <w:r w:rsidRPr="006D76DE">
        <w:t xml:space="preserve">This included analysis of overall survival for </w:t>
      </w:r>
      <w:proofErr w:type="spellStart"/>
      <w:r w:rsidRPr="006D76DE">
        <w:t>liposarcoma</w:t>
      </w:r>
      <w:proofErr w:type="spellEnd"/>
      <w:r w:rsidRPr="006D76DE">
        <w:t xml:space="preserve"> (</w:t>
      </w:r>
      <w:proofErr w:type="spellStart"/>
      <w:r w:rsidRPr="006D76DE">
        <w:t>adipocytic</w:t>
      </w:r>
      <w:proofErr w:type="spellEnd"/>
      <w:r w:rsidRPr="006D76DE">
        <w:t xml:space="preserve">, ADI) and </w:t>
      </w:r>
      <w:proofErr w:type="spellStart"/>
      <w:r w:rsidRPr="006D76DE">
        <w:t>leiomyosarcoma</w:t>
      </w:r>
      <w:proofErr w:type="spellEnd"/>
      <w:r w:rsidRPr="006D76DE">
        <w:t xml:space="preserve"> (LMS) histology subgroups, showing median survival</w:t>
      </w:r>
      <w:r w:rsidR="00156B82">
        <w:t xml:space="preserve"> of 15.6 months for </w:t>
      </w:r>
      <w:proofErr w:type="spellStart"/>
      <w:r w:rsidR="00156B82">
        <w:t>eribulin</w:t>
      </w:r>
      <w:proofErr w:type="spellEnd"/>
      <w:r w:rsidR="00156B82">
        <w:t xml:space="preserve"> versus</w:t>
      </w:r>
      <w:r w:rsidRPr="006D76DE">
        <w:t xml:space="preserve"> 8.4 months for </w:t>
      </w:r>
      <w:proofErr w:type="spellStart"/>
      <w:r w:rsidRPr="006D76DE">
        <w:t>dacarbazine</w:t>
      </w:r>
      <w:proofErr w:type="spellEnd"/>
      <w:r w:rsidRPr="006D76DE">
        <w:t xml:space="preserve"> for </w:t>
      </w:r>
      <w:proofErr w:type="spellStart"/>
      <w:r w:rsidRPr="006D76DE">
        <w:t>liposarcoma</w:t>
      </w:r>
      <w:proofErr w:type="spellEnd"/>
      <w:r w:rsidRPr="006D76DE">
        <w:t xml:space="preserve">, and 12.7 months for </w:t>
      </w:r>
      <w:proofErr w:type="spellStart"/>
      <w:r w:rsidRPr="006D76DE">
        <w:t>eribulin</w:t>
      </w:r>
      <w:proofErr w:type="spellEnd"/>
      <w:r w:rsidRPr="006D76DE">
        <w:t xml:space="preserve"> v</w:t>
      </w:r>
      <w:r w:rsidR="00156B82">
        <w:t>ersus</w:t>
      </w:r>
      <w:r w:rsidRPr="006D76DE">
        <w:t xml:space="preserve"> 13 months </w:t>
      </w:r>
      <w:proofErr w:type="spellStart"/>
      <w:r w:rsidRPr="006D76DE">
        <w:t>dacarbazine</w:t>
      </w:r>
      <w:proofErr w:type="spellEnd"/>
      <w:r w:rsidRPr="006D76DE">
        <w:t xml:space="preserve"> for </w:t>
      </w:r>
      <w:proofErr w:type="spellStart"/>
      <w:r w:rsidRPr="006D76DE">
        <w:t>leiomyosarcoma</w:t>
      </w:r>
      <w:proofErr w:type="spellEnd"/>
      <w:r w:rsidRPr="006D76DE">
        <w:t>. This subgroup analysis suggested there was a notable difference between the two STS subtypes</w:t>
      </w:r>
      <w:r w:rsidR="0019387B">
        <w:t>.</w:t>
      </w:r>
    </w:p>
    <w:p w:rsidR="006D76DE" w:rsidRPr="006D76DE" w:rsidRDefault="006D76DE" w:rsidP="0019387B">
      <w:pPr>
        <w:pStyle w:val="Heading4"/>
      </w:pPr>
      <w:r w:rsidRPr="006D76DE">
        <w:t>Progression-free survival</w:t>
      </w:r>
    </w:p>
    <w:p w:rsidR="006D76DE" w:rsidRPr="006D76DE" w:rsidRDefault="006D76DE" w:rsidP="001B7296">
      <w:r w:rsidRPr="006D76DE">
        <w:t xml:space="preserve">There were no significant differences between the two treatments. Analysis by histology subgroups suggested an effect or </w:t>
      </w:r>
      <w:proofErr w:type="spellStart"/>
      <w:r w:rsidRPr="006D76DE">
        <w:t>eribulin</w:t>
      </w:r>
      <w:proofErr w:type="spellEnd"/>
      <w:r w:rsidRPr="006D76DE">
        <w:t xml:space="preserve"> treatment in </w:t>
      </w:r>
      <w:proofErr w:type="spellStart"/>
      <w:r w:rsidRPr="006D76DE">
        <w:t>liposarcoma</w:t>
      </w:r>
      <w:proofErr w:type="spellEnd"/>
      <w:r w:rsidRPr="006D76DE">
        <w:t xml:space="preserve"> subjects, but not in </w:t>
      </w:r>
      <w:proofErr w:type="spellStart"/>
      <w:r w:rsidRPr="006D76DE">
        <w:lastRenderedPageBreak/>
        <w:t>leiomyosarcoma</w:t>
      </w:r>
      <w:proofErr w:type="spellEnd"/>
      <w:r w:rsidRPr="006D76DE">
        <w:t xml:space="preserve"> subjects. PFR 12wks was 33.3% in </w:t>
      </w:r>
      <w:proofErr w:type="spellStart"/>
      <w:r w:rsidRPr="006D76DE">
        <w:t>eribulin</w:t>
      </w:r>
      <w:proofErr w:type="spellEnd"/>
      <w:r w:rsidRPr="006D76DE">
        <w:t xml:space="preserve"> group and 28.6% for </w:t>
      </w:r>
      <w:proofErr w:type="spellStart"/>
      <w:r w:rsidRPr="006D76DE">
        <w:t>dacarbazine</w:t>
      </w:r>
      <w:proofErr w:type="spellEnd"/>
      <w:r w:rsidRPr="006D76DE">
        <w:t>. The CBR was 46.1% v</w:t>
      </w:r>
      <w:r w:rsidR="00156B82">
        <w:t>ersu</w:t>
      </w:r>
      <w:r w:rsidRPr="006D76DE">
        <w:t>s 47.8%.</w:t>
      </w:r>
    </w:p>
    <w:p w:rsidR="006D76DE" w:rsidRPr="006D76DE" w:rsidRDefault="006D76DE" w:rsidP="0019387B">
      <w:pPr>
        <w:pStyle w:val="Heading4"/>
      </w:pPr>
      <w:r w:rsidRPr="006D76DE">
        <w:t>Objective response rate</w:t>
      </w:r>
    </w:p>
    <w:p w:rsidR="0019387B" w:rsidRDefault="006D76DE" w:rsidP="001B7296">
      <w:r w:rsidRPr="006D76DE">
        <w:t xml:space="preserve">This was an exploratory outcome (proportion with CR or PR). Objective response rates were low in both groups (3.9% with </w:t>
      </w:r>
      <w:proofErr w:type="spellStart"/>
      <w:r w:rsidRPr="006D76DE">
        <w:t>eribulin</w:t>
      </w:r>
      <w:proofErr w:type="spellEnd"/>
      <w:r w:rsidRPr="006D76DE">
        <w:t xml:space="preserve"> and 4.9% with </w:t>
      </w:r>
      <w:proofErr w:type="spellStart"/>
      <w:r w:rsidRPr="006D76DE">
        <w:t>dacarbazine</w:t>
      </w:r>
      <w:proofErr w:type="spellEnd"/>
      <w:r w:rsidRPr="006D76DE">
        <w:t>). All responses were partial responses</w:t>
      </w:r>
      <w:r w:rsidR="0019387B">
        <w:t>.</w:t>
      </w:r>
    </w:p>
    <w:p w:rsidR="006D76DE" w:rsidRPr="006D76DE" w:rsidRDefault="006D76DE" w:rsidP="0019387B">
      <w:pPr>
        <w:pStyle w:val="Heading4"/>
      </w:pPr>
      <w:r w:rsidRPr="006D76DE">
        <w:t>Quality of life</w:t>
      </w:r>
    </w:p>
    <w:p w:rsidR="006D76DE" w:rsidRPr="006D76DE" w:rsidRDefault="00156B82" w:rsidP="001B7296">
      <w:r>
        <w:t>The s</w:t>
      </w:r>
      <w:r w:rsidR="006D76DE" w:rsidRPr="006D76DE">
        <w:t xml:space="preserve">ponsor provided a separate report on the </w:t>
      </w:r>
      <w:proofErr w:type="spellStart"/>
      <w:r w:rsidR="006D76DE" w:rsidRPr="006D76DE">
        <w:t>QoL</w:t>
      </w:r>
      <w:proofErr w:type="spellEnd"/>
      <w:r w:rsidR="006D76DE" w:rsidRPr="006D76DE">
        <w:t xml:space="preserve"> variables, which contained a large number of analyses. Compliance rates were high with &gt; 80% of subjects completing questionnaires during the first 9 cycles. No consistent differences were demonstrated between the treatment groups.</w:t>
      </w:r>
    </w:p>
    <w:p w:rsidR="006D76DE" w:rsidRPr="006D76DE" w:rsidRDefault="006D76DE" w:rsidP="0019387B">
      <w:pPr>
        <w:pStyle w:val="Heading4"/>
      </w:pPr>
      <w:r w:rsidRPr="006D76DE">
        <w:t>Evaluator’s assessment</w:t>
      </w:r>
    </w:p>
    <w:p w:rsidR="006D76DE" w:rsidRPr="006D76DE" w:rsidRDefault="006D76DE" w:rsidP="001B7296">
      <w:r w:rsidRPr="006D76DE">
        <w:t>Overall the clinical evaluator considered that the pivotal study was well designed and executed and consistent with the TGA adopted EMA guideline on anti-cancer drugs.</w:t>
      </w:r>
      <w:r w:rsidR="00F13CF2">
        <w:t xml:space="preserve"> </w:t>
      </w:r>
      <w:r w:rsidRPr="006D76DE">
        <w:t>The evaluator considered that the magnitude of the OS improvement was clinically significant.</w:t>
      </w:r>
    </w:p>
    <w:p w:rsidR="006D76DE" w:rsidRPr="006D76DE" w:rsidRDefault="006D76DE" w:rsidP="001B7296">
      <w:r w:rsidRPr="006D76DE">
        <w:t>The evaluator asked ‘</w:t>
      </w:r>
      <w:r w:rsidRPr="00156B82">
        <w:rPr>
          <w:i/>
        </w:rPr>
        <w:t xml:space="preserve">In </w:t>
      </w:r>
      <w:r w:rsidR="00156B82" w:rsidRPr="00156B82">
        <w:rPr>
          <w:i/>
        </w:rPr>
        <w:t>S</w:t>
      </w:r>
      <w:r w:rsidRPr="00156B82">
        <w:rPr>
          <w:i/>
        </w:rPr>
        <w:t xml:space="preserve">tudy 309, what was the PFS rate at 12 weeks for the two histological groups included in the trial (for both </w:t>
      </w:r>
      <w:proofErr w:type="spellStart"/>
      <w:r w:rsidRPr="00156B82">
        <w:rPr>
          <w:i/>
        </w:rPr>
        <w:t>eribulin</w:t>
      </w:r>
      <w:proofErr w:type="spellEnd"/>
      <w:r w:rsidRPr="00156B82">
        <w:rPr>
          <w:i/>
        </w:rPr>
        <w:t xml:space="preserve"> and </w:t>
      </w:r>
      <w:proofErr w:type="spellStart"/>
      <w:r w:rsidRPr="00156B82">
        <w:rPr>
          <w:i/>
        </w:rPr>
        <w:t>dacarbazine</w:t>
      </w:r>
      <w:proofErr w:type="spellEnd"/>
      <w:r w:rsidRPr="00156B82">
        <w:rPr>
          <w:i/>
        </w:rPr>
        <w:t>)?</w:t>
      </w:r>
      <w:r w:rsidRPr="006D76DE">
        <w:t>’</w:t>
      </w:r>
    </w:p>
    <w:p w:rsidR="0089748D" w:rsidRDefault="006D76DE" w:rsidP="00EA004E">
      <w:r w:rsidRPr="006D76DE">
        <w:t>The following information was provided</w:t>
      </w:r>
      <w:r w:rsidR="00156B82">
        <w:t>:</w:t>
      </w:r>
    </w:p>
    <w:p w:rsidR="006D76DE" w:rsidRPr="006D76DE" w:rsidRDefault="006D76DE" w:rsidP="00EA004E">
      <w:r w:rsidRPr="006D76DE">
        <w:t xml:space="preserve">In Study 309, the PFR12wks overall was 33.3% (27.2-39.9; 95%CI) and 28.6% (22.8-35.0; 95%CI) for </w:t>
      </w:r>
      <w:proofErr w:type="spellStart"/>
      <w:r w:rsidRPr="006D76DE">
        <w:t>eribulin</w:t>
      </w:r>
      <w:proofErr w:type="spellEnd"/>
      <w:r w:rsidRPr="006D76DE">
        <w:t xml:space="preserve"> and </w:t>
      </w:r>
      <w:proofErr w:type="spellStart"/>
      <w:r w:rsidRPr="006D76DE">
        <w:t>dacarbazine</w:t>
      </w:r>
      <w:proofErr w:type="spellEnd"/>
      <w:r w:rsidRPr="006D76DE">
        <w:t>, respectively.</w:t>
      </w:r>
    </w:p>
    <w:p w:rsidR="006D76DE" w:rsidRPr="006D76DE" w:rsidRDefault="006D76DE" w:rsidP="00EA004E">
      <w:r w:rsidRPr="006D76DE">
        <w:t>Study 309 CSR an</w:t>
      </w:r>
      <w:r w:rsidR="00A703A7">
        <w:t>d D90Q7-1 were provided by the s</w:t>
      </w:r>
      <w:r w:rsidRPr="006D76DE">
        <w:t>ponsor.</w:t>
      </w:r>
    </w:p>
    <w:p w:rsidR="006D76DE" w:rsidRPr="006D76DE" w:rsidRDefault="006D76DE" w:rsidP="00EA004E">
      <w:r w:rsidRPr="006D76DE">
        <w:t xml:space="preserve">The PFS rates at 12 weeks for histology and histology subcategory groups were lower in the </w:t>
      </w:r>
      <w:proofErr w:type="spellStart"/>
      <w:r w:rsidRPr="006D76DE">
        <w:t>leiomyosarcoma</w:t>
      </w:r>
      <w:proofErr w:type="spellEnd"/>
      <w:r w:rsidRPr="006D76DE">
        <w:t xml:space="preserve"> group. In the LMS uterine histology subgroup the PFR12 weeks was 16.2% v</w:t>
      </w:r>
      <w:r w:rsidR="00156B82">
        <w:t>ersus</w:t>
      </w:r>
      <w:r w:rsidRPr="006D76DE">
        <w:t xml:space="preserve"> 34.9% for </w:t>
      </w:r>
      <w:proofErr w:type="spellStart"/>
      <w:r w:rsidRPr="006D76DE">
        <w:t>eribulin</w:t>
      </w:r>
      <w:proofErr w:type="spellEnd"/>
      <w:r w:rsidRPr="006D76DE">
        <w:t xml:space="preserve"> v</w:t>
      </w:r>
      <w:r w:rsidR="00156B82">
        <w:t>ersus</w:t>
      </w:r>
      <w:r w:rsidRPr="006D76DE">
        <w:t xml:space="preserve"> </w:t>
      </w:r>
      <w:proofErr w:type="spellStart"/>
      <w:r w:rsidRPr="006D76DE">
        <w:t>dacarbazine</w:t>
      </w:r>
      <w:proofErr w:type="spellEnd"/>
      <w:r w:rsidRPr="006D76DE">
        <w:t>. In general the findings for the endpoint PFR12 week</w:t>
      </w:r>
      <w:r w:rsidR="00156B82">
        <w:t>s were consistent with the two P</w:t>
      </w:r>
      <w:r w:rsidRPr="006D76DE">
        <w:t>hase II studies as shown below.</w:t>
      </w:r>
    </w:p>
    <w:p w:rsidR="006D76DE" w:rsidRPr="006D76DE" w:rsidRDefault="006D76DE" w:rsidP="0019387B">
      <w:pPr>
        <w:pStyle w:val="Heading4"/>
      </w:pPr>
      <w:r w:rsidRPr="006D76DE">
        <w:t>Other studies</w:t>
      </w:r>
    </w:p>
    <w:p w:rsidR="0019387B" w:rsidRDefault="006D76DE" w:rsidP="00EA004E">
      <w:r w:rsidRPr="006D76DE">
        <w:t xml:space="preserve">Study 207 </w:t>
      </w:r>
      <w:r w:rsidR="00156B82">
        <w:t>was an open-label, single-arm, P</w:t>
      </w:r>
      <w:r w:rsidRPr="006D76DE">
        <w:t xml:space="preserve">hase </w:t>
      </w:r>
      <w:r w:rsidR="00156B82">
        <w:t>II</w:t>
      </w:r>
      <w:r w:rsidRPr="006D76DE">
        <w:t xml:space="preserve"> trial (n = 128 enrolled) in patients with histologically confirmed advanced or metastatic STS (</w:t>
      </w:r>
      <w:proofErr w:type="spellStart"/>
      <w:r w:rsidRPr="006D76DE">
        <w:t>leiomyosarcoma</w:t>
      </w:r>
      <w:proofErr w:type="spellEnd"/>
      <w:r w:rsidRPr="006D76DE">
        <w:t xml:space="preserve">, </w:t>
      </w:r>
      <w:proofErr w:type="spellStart"/>
      <w:r w:rsidRPr="006D76DE">
        <w:t>adipocytic</w:t>
      </w:r>
      <w:proofErr w:type="spellEnd"/>
      <w:r w:rsidRPr="006D76DE">
        <w:t xml:space="preserve"> sarcoma, synovial sarcoma and ‘other’) and evidence of disease progression in the previous 6 months. Subjects could have received only one prior combination regimen or two single agent cytotoxic drugs for metastatic disease. Mean age was 56 years, 52% were female and 56% had received 2 prior anti-cancer regimens</w:t>
      </w:r>
      <w:r w:rsidR="0019387B">
        <w:t>.</w:t>
      </w:r>
    </w:p>
    <w:p w:rsidR="0019387B" w:rsidRDefault="006D76DE" w:rsidP="00EA004E">
      <w:r w:rsidRPr="006D76DE">
        <w:t>The primary endpoint was PFR12</w:t>
      </w:r>
      <w:r w:rsidR="00627F25">
        <w:t>wks</w:t>
      </w:r>
      <w:r w:rsidRPr="006D76DE">
        <w:t xml:space="preserve">; there were 115 subjects evaluable for efficacy. The predefined efficacy rate of &gt;30% was reached in the </w:t>
      </w:r>
      <w:proofErr w:type="spellStart"/>
      <w:r w:rsidRPr="006D76DE">
        <w:t>adipocytic</w:t>
      </w:r>
      <w:proofErr w:type="spellEnd"/>
      <w:r w:rsidRPr="006D76DE">
        <w:t xml:space="preserve"> sarcoma (46.9%) and </w:t>
      </w:r>
      <w:proofErr w:type="spellStart"/>
      <w:r w:rsidRPr="006D76DE">
        <w:t>leiomyosarcoma</w:t>
      </w:r>
      <w:proofErr w:type="spellEnd"/>
      <w:r w:rsidRPr="006D76DE">
        <w:t xml:space="preserve"> (31.6%) strata. PFS rate was lower in the other two strata with low numbers of subjects.</w:t>
      </w:r>
      <w:r w:rsidR="00F13CF2">
        <w:t xml:space="preserve"> </w:t>
      </w:r>
      <w:r w:rsidRPr="006D76DE">
        <w:t>Median PFS for the whole efficacy population was 2.7 months and median OS was 11.8 months</w:t>
      </w:r>
      <w:r w:rsidR="0019387B">
        <w:t>.</w:t>
      </w:r>
    </w:p>
    <w:p w:rsidR="006D76DE" w:rsidRPr="006D76DE" w:rsidRDefault="006D76DE" w:rsidP="00EA004E">
      <w:r w:rsidRPr="006D76DE">
        <w:t xml:space="preserve">Study 217 was an open-label, single-arm, phase 2 trial (n = 51 enrolled) in subjects with advanced STS (2 strata; </w:t>
      </w:r>
      <w:proofErr w:type="spellStart"/>
      <w:r w:rsidRPr="006D76DE">
        <w:t>leiomyosarcoma</w:t>
      </w:r>
      <w:proofErr w:type="spellEnd"/>
      <w:r w:rsidRPr="006D76DE">
        <w:t xml:space="preserve"> n = 19/ </w:t>
      </w:r>
      <w:proofErr w:type="spellStart"/>
      <w:r w:rsidRPr="006D76DE">
        <w:t>adipocytic</w:t>
      </w:r>
      <w:proofErr w:type="spellEnd"/>
      <w:r w:rsidRPr="006D76DE">
        <w:t xml:space="preserve"> n =16 or ‘other’ n = 16) previously treated with chemotherapy. Overall median age was 52 years and 54.9% were female; 66.7% had received 2 prior anticancer regimens and 33.3% had received more than 2.</w:t>
      </w:r>
    </w:p>
    <w:p w:rsidR="006D76DE" w:rsidRPr="006D76DE" w:rsidRDefault="006D76DE" w:rsidP="00EA004E">
      <w:r w:rsidRPr="006D76DE">
        <w:t xml:space="preserve">PFR12wks was 81.3% for </w:t>
      </w:r>
      <w:proofErr w:type="spellStart"/>
      <w:r w:rsidRPr="006D76DE">
        <w:t>adipocytic</w:t>
      </w:r>
      <w:proofErr w:type="spellEnd"/>
      <w:r w:rsidRPr="006D76DE">
        <w:t xml:space="preserve"> sarcoma, 42.1% for </w:t>
      </w:r>
      <w:proofErr w:type="spellStart"/>
      <w:r w:rsidRPr="006D76DE">
        <w:t>leiomyosarcoma</w:t>
      </w:r>
      <w:proofErr w:type="spellEnd"/>
      <w:r w:rsidRPr="006D76DE">
        <w:t xml:space="preserve"> and 31.3% for other sarcomas. Median PFS for the whole efficacy population was 4.07 months. Patients </w:t>
      </w:r>
      <w:r w:rsidRPr="006D76DE">
        <w:lastRenderedPageBreak/>
        <w:t xml:space="preserve">with </w:t>
      </w:r>
      <w:proofErr w:type="spellStart"/>
      <w:r w:rsidRPr="006D76DE">
        <w:t>leiomyosarcoma</w:t>
      </w:r>
      <w:proofErr w:type="spellEnd"/>
      <w:r w:rsidRPr="006D76DE">
        <w:t xml:space="preserve"> or </w:t>
      </w:r>
      <w:proofErr w:type="spellStart"/>
      <w:r w:rsidRPr="006D76DE">
        <w:t>adipocytic</w:t>
      </w:r>
      <w:proofErr w:type="spellEnd"/>
      <w:r w:rsidRPr="006D76DE">
        <w:t xml:space="preserve"> sarcoma had longer PFS than those with other sarcomas. Median OS for the whole population was 13.17 months.</w:t>
      </w:r>
    </w:p>
    <w:p w:rsidR="006D76DE" w:rsidRPr="006D76DE" w:rsidRDefault="006D76DE" w:rsidP="0019387B">
      <w:pPr>
        <w:pStyle w:val="Heading4"/>
      </w:pPr>
      <w:r w:rsidRPr="006D76DE">
        <w:t>Efficacy evaluation conclusion</w:t>
      </w:r>
    </w:p>
    <w:p w:rsidR="0019387B" w:rsidRDefault="006D76DE" w:rsidP="00EA004E">
      <w:r w:rsidRPr="006D76DE">
        <w:t xml:space="preserve">Treatment with </w:t>
      </w:r>
      <w:proofErr w:type="spellStart"/>
      <w:r w:rsidRPr="006D76DE">
        <w:t>eribulin</w:t>
      </w:r>
      <w:proofErr w:type="spellEnd"/>
      <w:r w:rsidRPr="006D76DE">
        <w:t xml:space="preserve"> was associated with a statistically significant improvement in overall survival compared with </w:t>
      </w:r>
      <w:proofErr w:type="spellStart"/>
      <w:r w:rsidRPr="006D76DE">
        <w:t>dacarbazine</w:t>
      </w:r>
      <w:proofErr w:type="spellEnd"/>
      <w:r w:rsidRPr="006D76DE">
        <w:t xml:space="preserve"> treatment (Hazard Ratio [HR] = 0.768 [95%CI: 0.618 – 0.954]; p = 0.0169).</w:t>
      </w:r>
      <w:r w:rsidR="00F13CF2">
        <w:t xml:space="preserve"> </w:t>
      </w:r>
      <w:r w:rsidRPr="006D76DE">
        <w:t>Median OS was improved by approximately 2 months (13.5 v</w:t>
      </w:r>
      <w:r w:rsidR="00156B82">
        <w:t>ersu</w:t>
      </w:r>
      <w:r w:rsidRPr="006D76DE">
        <w:t>s 11.5 months). The evaluator considered that the magnitude of the OS improvement was clinically significant</w:t>
      </w:r>
      <w:r w:rsidR="0019387B">
        <w:t>.</w:t>
      </w:r>
    </w:p>
    <w:p w:rsidR="006D76DE" w:rsidRPr="006D76DE" w:rsidRDefault="006D76DE" w:rsidP="0019387B">
      <w:pPr>
        <w:pStyle w:val="Heading4"/>
      </w:pPr>
      <w:r w:rsidRPr="006D76DE">
        <w:t xml:space="preserve">Efficacy in </w:t>
      </w:r>
      <w:proofErr w:type="spellStart"/>
      <w:r w:rsidRPr="006D76DE">
        <w:t>liposarcoma</w:t>
      </w:r>
      <w:proofErr w:type="spellEnd"/>
    </w:p>
    <w:p w:rsidR="006D76DE" w:rsidRPr="006D76DE" w:rsidRDefault="006D76DE" w:rsidP="00EA004E">
      <w:r w:rsidRPr="006D76DE">
        <w:t xml:space="preserve">The pivotal trial enrolled subjects with </w:t>
      </w:r>
      <w:proofErr w:type="spellStart"/>
      <w:r w:rsidRPr="006D76DE">
        <w:t>liposarcoma</w:t>
      </w:r>
      <w:proofErr w:type="spellEnd"/>
      <w:r w:rsidRPr="006D76DE">
        <w:t xml:space="preserve"> or </w:t>
      </w:r>
      <w:proofErr w:type="spellStart"/>
      <w:r w:rsidRPr="006D76DE">
        <w:t>leiomyosarcoma</w:t>
      </w:r>
      <w:proofErr w:type="spellEnd"/>
      <w:r w:rsidRPr="006D76DE">
        <w:t xml:space="preserve">; there was no evidence to support use in other sarcoma subtypes. Subgroup analysis indicated that there was a notable difference between the two STS histology subtypes. Median survival in the </w:t>
      </w:r>
      <w:proofErr w:type="spellStart"/>
      <w:r w:rsidRPr="006D76DE">
        <w:t>liposarcoma</w:t>
      </w:r>
      <w:proofErr w:type="spellEnd"/>
      <w:r w:rsidRPr="006D76DE">
        <w:t xml:space="preserve"> (</w:t>
      </w:r>
      <w:proofErr w:type="spellStart"/>
      <w:r w:rsidRPr="006D76DE">
        <w:t>adipocytic</w:t>
      </w:r>
      <w:proofErr w:type="spellEnd"/>
      <w:r w:rsidRPr="006D76DE">
        <w:t xml:space="preserve">, ADI) subgroup was 15.6 months for </w:t>
      </w:r>
      <w:proofErr w:type="spellStart"/>
      <w:r w:rsidRPr="006D76DE">
        <w:t>eribulin</w:t>
      </w:r>
      <w:proofErr w:type="spellEnd"/>
      <w:r w:rsidRPr="006D76DE">
        <w:t xml:space="preserve"> v</w:t>
      </w:r>
      <w:r w:rsidR="00156B82">
        <w:t>ersu</w:t>
      </w:r>
      <w:r w:rsidRPr="006D76DE">
        <w:t xml:space="preserve">s 8.4 months for </w:t>
      </w:r>
      <w:proofErr w:type="spellStart"/>
      <w:r w:rsidRPr="006D76DE">
        <w:t>dacarbazine</w:t>
      </w:r>
      <w:proofErr w:type="spellEnd"/>
      <w:r w:rsidRPr="006D76DE">
        <w:t xml:space="preserve"> while in the</w:t>
      </w:r>
      <w:r w:rsidR="00F13CF2">
        <w:t xml:space="preserve"> </w:t>
      </w:r>
      <w:proofErr w:type="spellStart"/>
      <w:r w:rsidRPr="006D76DE">
        <w:t>leiomyosarcoma</w:t>
      </w:r>
      <w:proofErr w:type="spellEnd"/>
      <w:r w:rsidRPr="006D76DE">
        <w:t xml:space="preserve"> (LMS) subgroup median survival was 12.7 months for </w:t>
      </w:r>
      <w:proofErr w:type="spellStart"/>
      <w:r w:rsidRPr="006D76DE">
        <w:t>eribulin</w:t>
      </w:r>
      <w:proofErr w:type="spellEnd"/>
      <w:r w:rsidRPr="006D76DE">
        <w:t xml:space="preserve"> v</w:t>
      </w:r>
      <w:r w:rsidR="00156B82">
        <w:t>ersus</w:t>
      </w:r>
      <w:r w:rsidRPr="006D76DE">
        <w:t xml:space="preserve"> 13 months </w:t>
      </w:r>
      <w:proofErr w:type="spellStart"/>
      <w:r w:rsidRPr="006D76DE">
        <w:t>dacarbazine</w:t>
      </w:r>
      <w:proofErr w:type="spellEnd"/>
      <w:r w:rsidRPr="006D76DE">
        <w:t>. The evaluator commented ‘</w:t>
      </w:r>
      <w:r w:rsidRPr="00156B82">
        <w:rPr>
          <w:i/>
        </w:rPr>
        <w:t xml:space="preserve">Even though the study was not powered to detect significant differences in subgroups, a significant effect was demonstrated for the subgroup of subjects with </w:t>
      </w:r>
      <w:proofErr w:type="spellStart"/>
      <w:r w:rsidRPr="00156B82">
        <w:rPr>
          <w:i/>
        </w:rPr>
        <w:t>adipocytic</w:t>
      </w:r>
      <w:proofErr w:type="spellEnd"/>
      <w:r w:rsidRPr="00156B82">
        <w:rPr>
          <w:i/>
        </w:rPr>
        <w:t xml:space="preserve"> sarcoma (HR = 0.511 [95%CI: 0.346 – 0.753]). In this subgroup median survival was prolonged by approximately 7 months (15.6</w:t>
      </w:r>
      <w:r w:rsidR="00627F25">
        <w:rPr>
          <w:i/>
        </w:rPr>
        <w:t xml:space="preserve"> versus </w:t>
      </w:r>
      <w:r w:rsidRPr="00156B82">
        <w:rPr>
          <w:i/>
        </w:rPr>
        <w:t xml:space="preserve">8.4 months). In contrast, the HR in the </w:t>
      </w:r>
      <w:proofErr w:type="spellStart"/>
      <w:r w:rsidRPr="00156B82">
        <w:rPr>
          <w:i/>
        </w:rPr>
        <w:t>leiomyosarcoma</w:t>
      </w:r>
      <w:proofErr w:type="spellEnd"/>
      <w:r w:rsidRPr="00156B82">
        <w:rPr>
          <w:i/>
        </w:rPr>
        <w:t xml:space="preserve"> subgroup was 0.927 (95%CI: 0.714 – 1.203), with no increase in median survival</w:t>
      </w:r>
      <w:r w:rsidRPr="006D76DE">
        <w:t>.’</w:t>
      </w:r>
    </w:p>
    <w:p w:rsidR="0019387B" w:rsidRDefault="006D76DE" w:rsidP="00EA004E">
      <w:r w:rsidRPr="006D76DE">
        <w:t xml:space="preserve">Therefore it appears the increase in median overall survival was driven by outcomes in the </w:t>
      </w:r>
      <w:proofErr w:type="spellStart"/>
      <w:r w:rsidRPr="006D76DE">
        <w:t>liposarcoma</w:t>
      </w:r>
      <w:proofErr w:type="spellEnd"/>
      <w:r w:rsidRPr="006D76DE">
        <w:t xml:space="preserve"> subgroup. For treatment of the </w:t>
      </w:r>
      <w:proofErr w:type="spellStart"/>
      <w:r w:rsidRPr="006D76DE">
        <w:t>leiomyosarcoma</w:t>
      </w:r>
      <w:proofErr w:type="spellEnd"/>
      <w:r w:rsidRPr="006D76DE">
        <w:t xml:space="preserve"> histological type of STS the evidence for efficacy was uncertain</w:t>
      </w:r>
      <w:r w:rsidR="0019387B">
        <w:t>.</w:t>
      </w:r>
    </w:p>
    <w:p w:rsidR="006D76DE" w:rsidRPr="006D76DE" w:rsidRDefault="00627F25" w:rsidP="0019387B">
      <w:pPr>
        <w:pStyle w:val="Heading4"/>
      </w:pPr>
      <w:r>
        <w:t xml:space="preserve">Second </w:t>
      </w:r>
      <w:r w:rsidR="006D76DE" w:rsidRPr="006D76DE">
        <w:t>line treatment</w:t>
      </w:r>
    </w:p>
    <w:p w:rsidR="006D76DE" w:rsidRPr="006D76DE" w:rsidRDefault="006D76DE" w:rsidP="00EA004E">
      <w:r w:rsidRPr="006D76DE">
        <w:t xml:space="preserve">The evaluator supported the extension of indication for </w:t>
      </w:r>
      <w:proofErr w:type="spellStart"/>
      <w:r w:rsidRPr="006D76DE">
        <w:t>eribulin</w:t>
      </w:r>
      <w:proofErr w:type="spellEnd"/>
      <w:r w:rsidRPr="006D76DE">
        <w:t xml:space="preserve"> for second-line or later treatment for </w:t>
      </w:r>
      <w:proofErr w:type="spellStart"/>
      <w:r w:rsidRPr="006D76DE">
        <w:t>liposarcoma</w:t>
      </w:r>
      <w:proofErr w:type="spellEnd"/>
      <w:r w:rsidRPr="006D76DE">
        <w:t>, setting out reasons</w:t>
      </w:r>
      <w:r w:rsidR="00627F25">
        <w:t xml:space="preserve"> (see </w:t>
      </w:r>
      <w:r w:rsidR="00627F25" w:rsidRPr="00627F25">
        <w:rPr>
          <w:i/>
        </w:rPr>
        <w:t>Evaluator’s conclusions on effi</w:t>
      </w:r>
      <w:r w:rsidR="00627F25">
        <w:t>cacy)</w:t>
      </w:r>
      <w:r w:rsidRPr="006D76DE">
        <w:t>.</w:t>
      </w:r>
    </w:p>
    <w:p w:rsidR="0019387B" w:rsidRDefault="006D76DE" w:rsidP="00EA004E">
      <w:r w:rsidRPr="006D76DE">
        <w:t>In the pivotal study</w:t>
      </w:r>
      <w:r w:rsidR="00627F25">
        <w:t>,</w:t>
      </w:r>
      <w:r w:rsidRPr="006D76DE">
        <w:t xml:space="preserve"> 9.2% of </w:t>
      </w:r>
      <w:proofErr w:type="spellStart"/>
      <w:r w:rsidRPr="006D76DE">
        <w:t>eribulin</w:t>
      </w:r>
      <w:proofErr w:type="spellEnd"/>
      <w:r w:rsidRPr="006D76DE">
        <w:t>-treated subjects had received only one line of prior treatment for advanced disease</w:t>
      </w:r>
      <w:r w:rsidR="0019387B">
        <w:t>.</w:t>
      </w:r>
    </w:p>
    <w:p w:rsidR="006D76DE" w:rsidRPr="006D76DE" w:rsidRDefault="006D76DE" w:rsidP="00EA004E">
      <w:r w:rsidRPr="006D76DE">
        <w:t>In Australia it appears that there is no generally agreed standard second line therapy for STS. The current Australian clinical practice guideline for STS</w:t>
      </w:r>
      <w:r w:rsidR="00A703A7">
        <w:rPr>
          <w:rStyle w:val="FootnoteReference"/>
        </w:rPr>
        <w:footnoteReference w:id="14"/>
      </w:r>
      <w:r w:rsidRPr="006D76DE">
        <w:t xml:space="preserve"> recommends </w:t>
      </w:r>
      <w:proofErr w:type="spellStart"/>
      <w:r w:rsidRPr="006D76DE">
        <w:t>dacarbazine</w:t>
      </w:r>
      <w:proofErr w:type="spellEnd"/>
      <w:r w:rsidRPr="006D76DE">
        <w:t xml:space="preserve"> after failure of doxorubicin and </w:t>
      </w:r>
      <w:proofErr w:type="spellStart"/>
      <w:r w:rsidRPr="006D76DE">
        <w:t>ifosfamide</w:t>
      </w:r>
      <w:proofErr w:type="spellEnd"/>
      <w:r w:rsidRPr="006D76DE">
        <w:t xml:space="preserve">. Doxorubicin and </w:t>
      </w:r>
      <w:proofErr w:type="spellStart"/>
      <w:r w:rsidRPr="006D76DE">
        <w:t>ifosfamide</w:t>
      </w:r>
      <w:proofErr w:type="spellEnd"/>
      <w:r w:rsidRPr="006D76DE">
        <w:t xml:space="preserve"> are often used in combination as first-line therapy and in this scenario </w:t>
      </w:r>
      <w:proofErr w:type="spellStart"/>
      <w:r w:rsidRPr="006D76DE">
        <w:t>dacarbazine</w:t>
      </w:r>
      <w:proofErr w:type="spellEnd"/>
      <w:r w:rsidRPr="006D76DE">
        <w:t xml:space="preserve"> would be recommended as second line therapy. The evaluator noted that the pivotal study suggests </w:t>
      </w:r>
      <w:proofErr w:type="spellStart"/>
      <w:r w:rsidRPr="006D76DE">
        <w:t>eribulin</w:t>
      </w:r>
      <w:proofErr w:type="spellEnd"/>
      <w:r w:rsidRPr="006D76DE">
        <w:t xml:space="preserve"> is superior to </w:t>
      </w:r>
      <w:proofErr w:type="spellStart"/>
      <w:r w:rsidRPr="006D76DE">
        <w:t>dacarbazine</w:t>
      </w:r>
      <w:proofErr w:type="spellEnd"/>
      <w:r w:rsidRPr="006D76DE">
        <w:t xml:space="preserve">, at least for </w:t>
      </w:r>
      <w:proofErr w:type="spellStart"/>
      <w:r w:rsidRPr="006D76DE">
        <w:t>liposarcoma</w:t>
      </w:r>
      <w:proofErr w:type="spellEnd"/>
      <w:r w:rsidRPr="006D76DE">
        <w:t>, and that cytotoxic agents generally have greater efficacy in less heavily pre-treated subjects.</w:t>
      </w:r>
    </w:p>
    <w:p w:rsidR="006D76DE" w:rsidRPr="006D76DE" w:rsidRDefault="00627F25" w:rsidP="00EA004E">
      <w:r>
        <w:t>In summary, the clinical e</w:t>
      </w:r>
      <w:r w:rsidR="006D76DE" w:rsidRPr="006D76DE">
        <w:t>valuator recommended that t</w:t>
      </w:r>
      <w:r>
        <w:t>he proposed additional i</w:t>
      </w:r>
      <w:r w:rsidR="006D76DE" w:rsidRPr="006D76DE">
        <w:t xml:space="preserve">ndication should be narrowed to patients with </w:t>
      </w:r>
      <w:proofErr w:type="spellStart"/>
      <w:r w:rsidR="006D76DE" w:rsidRPr="006D76DE">
        <w:t>unresectable</w:t>
      </w:r>
      <w:proofErr w:type="spellEnd"/>
      <w:r w:rsidR="006D76DE" w:rsidRPr="006D76DE">
        <w:t xml:space="preserve"> </w:t>
      </w:r>
      <w:proofErr w:type="spellStart"/>
      <w:r w:rsidR="006D76DE" w:rsidRPr="006D76DE">
        <w:t>liposarcoma</w:t>
      </w:r>
      <w:proofErr w:type="spellEnd"/>
      <w:r w:rsidR="006D76DE" w:rsidRPr="006D76DE">
        <w:t xml:space="preserve"> who have received prior chemotherapy for advanced or metastatic disease.</w:t>
      </w:r>
    </w:p>
    <w:p w:rsidR="006D76DE" w:rsidRPr="006D76DE" w:rsidRDefault="006D76DE" w:rsidP="00EA004E">
      <w:r w:rsidRPr="006D76DE">
        <w:t>T</w:t>
      </w:r>
      <w:r w:rsidR="00627F25">
        <w:t>he sponsor provided an amended i</w:t>
      </w:r>
      <w:r w:rsidRPr="006D76DE">
        <w:t>ndication and PI, maki</w:t>
      </w:r>
      <w:r w:rsidR="00627F25">
        <w:t>ng changes as requested by the c</w:t>
      </w:r>
      <w:r w:rsidRPr="006D76DE">
        <w:t>l</w:t>
      </w:r>
      <w:r w:rsidR="00627F25">
        <w:t>inical e</w:t>
      </w:r>
      <w:r w:rsidRPr="006D76DE">
        <w:t xml:space="preserve">valuator. In addition the Clinical Trials section was focused on the </w:t>
      </w:r>
      <w:proofErr w:type="spellStart"/>
      <w:r w:rsidRPr="006D76DE">
        <w:t>liposarcoma</w:t>
      </w:r>
      <w:proofErr w:type="spellEnd"/>
      <w:r w:rsidRPr="006D76DE">
        <w:t xml:space="preserve"> subgroup results for pivotal </w:t>
      </w:r>
      <w:r w:rsidR="00627F25">
        <w:t>Study</w:t>
      </w:r>
      <w:r w:rsidRPr="006D76DE">
        <w:t xml:space="preserve"> 309.</w:t>
      </w:r>
    </w:p>
    <w:p w:rsidR="006D76DE" w:rsidRPr="006D76DE" w:rsidRDefault="00EA004E" w:rsidP="00EA004E">
      <w:r>
        <w:t>T</w:t>
      </w:r>
      <w:r w:rsidR="006D76DE" w:rsidRPr="006D76DE">
        <w:t>he Delegate agr</w:t>
      </w:r>
      <w:r w:rsidR="00627F25">
        <w:t>ees with the c</w:t>
      </w:r>
      <w:r w:rsidR="006D76DE" w:rsidRPr="006D76DE">
        <w:t xml:space="preserve">linical </w:t>
      </w:r>
      <w:r w:rsidR="00627F25">
        <w:t>evaluator’s overall conclusions.</w:t>
      </w:r>
    </w:p>
    <w:p w:rsidR="006D76DE" w:rsidRPr="006D76DE" w:rsidRDefault="006D76DE" w:rsidP="00EA004E">
      <w:pPr>
        <w:pStyle w:val="Heading4"/>
      </w:pPr>
      <w:r w:rsidRPr="006D76DE">
        <w:lastRenderedPageBreak/>
        <w:t>Safety</w:t>
      </w:r>
    </w:p>
    <w:p w:rsidR="006D76DE" w:rsidRPr="006D76DE" w:rsidRDefault="006D76DE" w:rsidP="00EA004E">
      <w:pPr>
        <w:pStyle w:val="Heading5"/>
        <w:rPr>
          <w:rFonts w:eastAsia="Cambria"/>
        </w:rPr>
      </w:pPr>
      <w:r w:rsidRPr="006D76DE">
        <w:rPr>
          <w:rFonts w:eastAsia="Cambria"/>
        </w:rPr>
        <w:t>Exposure</w:t>
      </w:r>
    </w:p>
    <w:p w:rsidR="006D76DE" w:rsidRPr="006D76DE" w:rsidRDefault="006D76DE" w:rsidP="00EA004E">
      <w:r w:rsidRPr="006D76DE">
        <w:t xml:space="preserve">A total of 404 subjects with STS were treated with </w:t>
      </w:r>
      <w:proofErr w:type="spellStart"/>
      <w:r w:rsidRPr="006D76DE">
        <w:t>eribulin</w:t>
      </w:r>
      <w:proofErr w:type="spellEnd"/>
      <w:r w:rsidRPr="006D76DE">
        <w:t xml:space="preserve"> in the submitted studies. The median duration of exposure was 12 weeks or 4 cycles, about 40% requiring dose delay and 25% dose reduction.</w:t>
      </w:r>
    </w:p>
    <w:p w:rsidR="0089748D" w:rsidRDefault="006D76DE" w:rsidP="00EA004E">
      <w:pPr>
        <w:pStyle w:val="Heading5"/>
        <w:rPr>
          <w:rFonts w:eastAsia="Cambria"/>
        </w:rPr>
      </w:pPr>
      <w:r w:rsidRPr="006D76DE">
        <w:rPr>
          <w:rFonts w:eastAsia="Cambria"/>
        </w:rPr>
        <w:t>Study 309</w:t>
      </w:r>
    </w:p>
    <w:p w:rsidR="0019387B" w:rsidRDefault="006D76DE" w:rsidP="00EA004E">
      <w:r w:rsidRPr="006D76DE">
        <w:t xml:space="preserve">AEs that were notably more common in the </w:t>
      </w:r>
      <w:proofErr w:type="spellStart"/>
      <w:r w:rsidRPr="006D76DE">
        <w:t>eribulin</w:t>
      </w:r>
      <w:proofErr w:type="spellEnd"/>
      <w:r w:rsidRPr="006D76DE">
        <w:t xml:space="preserve"> arm included </w:t>
      </w:r>
      <w:proofErr w:type="spellStart"/>
      <w:r w:rsidRPr="006D76DE">
        <w:t>neutropaenia</w:t>
      </w:r>
      <w:proofErr w:type="spellEnd"/>
      <w:r w:rsidRPr="006D76DE">
        <w:t xml:space="preserve"> (43.8%</w:t>
      </w:r>
      <w:r w:rsidR="00627F25">
        <w:t xml:space="preserve"> versus </w:t>
      </w:r>
      <w:r w:rsidRPr="006D76DE">
        <w:t>23.7%), peripheral neuropathy (36.7%</w:t>
      </w:r>
      <w:r w:rsidR="00627F25">
        <w:t xml:space="preserve"> versus </w:t>
      </w:r>
      <w:r w:rsidRPr="006D76DE">
        <w:t>15.2%), alopecia (35.0%</w:t>
      </w:r>
      <w:r w:rsidR="00627F25">
        <w:t xml:space="preserve"> versus </w:t>
      </w:r>
      <w:r w:rsidRPr="006D76DE">
        <w:t>2.7%), pyrexia (27.9%</w:t>
      </w:r>
      <w:r w:rsidR="00627F25">
        <w:t xml:space="preserve"> versus </w:t>
      </w:r>
      <w:r w:rsidRPr="006D76DE">
        <w:t>13.8%), stomatitis (13.7%</w:t>
      </w:r>
      <w:r w:rsidR="00627F25">
        <w:t xml:space="preserve"> versus </w:t>
      </w:r>
      <w:r w:rsidRPr="006D76DE">
        <w:t>4.9%) and headache (18.1%</w:t>
      </w:r>
      <w:r w:rsidR="00627F25">
        <w:t xml:space="preserve"> versus </w:t>
      </w:r>
      <w:r w:rsidRPr="006D76DE">
        <w:t xml:space="preserve">9.4%). </w:t>
      </w:r>
      <w:proofErr w:type="spellStart"/>
      <w:r w:rsidRPr="006D76DE">
        <w:t>Thrombocytopaenia</w:t>
      </w:r>
      <w:proofErr w:type="spellEnd"/>
      <w:r w:rsidRPr="006D76DE">
        <w:t xml:space="preserve"> was notably more common with </w:t>
      </w:r>
      <w:proofErr w:type="spellStart"/>
      <w:r w:rsidRPr="006D76DE">
        <w:t>dacarbazine</w:t>
      </w:r>
      <w:proofErr w:type="spellEnd"/>
      <w:r w:rsidRPr="006D76DE">
        <w:t xml:space="preserve"> treatment (27.7%</w:t>
      </w:r>
      <w:r w:rsidR="00627F25">
        <w:t xml:space="preserve"> versus </w:t>
      </w:r>
      <w:r w:rsidRPr="006D76DE">
        <w:t>5.8%)</w:t>
      </w:r>
      <w:r w:rsidR="0019387B">
        <w:t>.</w:t>
      </w:r>
    </w:p>
    <w:p w:rsidR="006D76DE" w:rsidRPr="006D76DE" w:rsidRDefault="006D76DE" w:rsidP="00EA004E">
      <w:r w:rsidRPr="006D76DE">
        <w:t>The pattern of treatment-related AEs was very similar to that observed for all AEs.</w:t>
      </w:r>
      <w:r w:rsidR="00F13CF2">
        <w:t xml:space="preserve"> </w:t>
      </w:r>
      <w:r w:rsidRPr="006D76DE">
        <w:t>Two possibly treatment-related deaths i</w:t>
      </w:r>
      <w:r w:rsidR="00627F25">
        <w:t xml:space="preserve">n the </w:t>
      </w:r>
      <w:proofErr w:type="spellStart"/>
      <w:r w:rsidR="00627F25">
        <w:t>eribulin</w:t>
      </w:r>
      <w:proofErr w:type="spellEnd"/>
      <w:r w:rsidR="00627F25">
        <w:t xml:space="preserve"> arm were due to G</w:t>
      </w:r>
      <w:r w:rsidRPr="006D76DE">
        <w:t xml:space="preserve">rade 4 neutropenia and sepsis; none were assessed as related in the </w:t>
      </w:r>
      <w:proofErr w:type="spellStart"/>
      <w:r w:rsidRPr="006D76DE">
        <w:t>dacarbazine</w:t>
      </w:r>
      <w:proofErr w:type="spellEnd"/>
      <w:r w:rsidRPr="006D76DE">
        <w:t xml:space="preserve"> arm. Decreased calcium, decreased potassium and hyperglycaemia occurred more commonly in the </w:t>
      </w:r>
      <w:proofErr w:type="spellStart"/>
      <w:r w:rsidRPr="006D76DE">
        <w:t>eribulin</w:t>
      </w:r>
      <w:proofErr w:type="spellEnd"/>
      <w:r w:rsidRPr="006D76DE">
        <w:t xml:space="preserve"> arm.</w:t>
      </w:r>
    </w:p>
    <w:p w:rsidR="006D76DE" w:rsidRPr="006D76DE" w:rsidRDefault="006D76DE" w:rsidP="00EA004E">
      <w:r w:rsidRPr="006D76DE">
        <w:t>In pooled study data the patterns were similar to the pivotal study.</w:t>
      </w:r>
    </w:p>
    <w:p w:rsidR="006D76DE" w:rsidRPr="006D76DE" w:rsidRDefault="006D76DE" w:rsidP="00EA004E">
      <w:pPr>
        <w:pStyle w:val="Heading5"/>
        <w:rPr>
          <w:rFonts w:eastAsia="Cambria"/>
        </w:rPr>
      </w:pPr>
      <w:r w:rsidRPr="006D76DE">
        <w:rPr>
          <w:rFonts w:eastAsia="Cambria"/>
        </w:rPr>
        <w:t>Issues</w:t>
      </w:r>
    </w:p>
    <w:p w:rsidR="006D76DE" w:rsidRPr="006D76DE" w:rsidRDefault="006D76DE" w:rsidP="00EA004E">
      <w:r w:rsidRPr="006D76DE">
        <w:t xml:space="preserve">In Study 309 neutropenia overall was more common with </w:t>
      </w:r>
      <w:proofErr w:type="spellStart"/>
      <w:r w:rsidRPr="006D76DE">
        <w:t>eribulin</w:t>
      </w:r>
      <w:proofErr w:type="spellEnd"/>
      <w:r w:rsidRPr="006D76DE">
        <w:t xml:space="preserve"> than </w:t>
      </w:r>
      <w:proofErr w:type="spellStart"/>
      <w:r w:rsidRPr="006D76DE">
        <w:t>dacarbazine</w:t>
      </w:r>
      <w:proofErr w:type="spellEnd"/>
      <w:r w:rsidRPr="006D76DE">
        <w:t>; ≥</w:t>
      </w:r>
      <w:r w:rsidR="00627F25">
        <w:t xml:space="preserve"> </w:t>
      </w:r>
      <w:r w:rsidRPr="006D76DE">
        <w:t xml:space="preserve">Grade 3 severity 80/226 (35.4%) for </w:t>
      </w:r>
      <w:proofErr w:type="spellStart"/>
      <w:r w:rsidRPr="006D76DE">
        <w:t>eribulin</w:t>
      </w:r>
      <w:proofErr w:type="spellEnd"/>
      <w:r w:rsidR="00627F25">
        <w:t xml:space="preserve"> versus </w:t>
      </w:r>
      <w:r w:rsidRPr="006D76DE">
        <w:t xml:space="preserve">35/224 (15.6%) for </w:t>
      </w:r>
      <w:proofErr w:type="spellStart"/>
      <w:r w:rsidRPr="006D76DE">
        <w:t>dacarbazine</w:t>
      </w:r>
      <w:proofErr w:type="spellEnd"/>
      <w:r w:rsidRPr="006D76DE">
        <w:t>. The incidence of febrile neutropenia was 2 cases in both arms.</w:t>
      </w:r>
    </w:p>
    <w:p w:rsidR="0019387B" w:rsidRDefault="006D76DE" w:rsidP="00EA004E">
      <w:r w:rsidRPr="006D76DE">
        <w:t>Grade 3 or higher neutropenia was more common in Asian/Pacific Is</w:t>
      </w:r>
      <w:r w:rsidR="00627F25">
        <w:t>lander subjects (n=70) than in W</w:t>
      </w:r>
      <w:r w:rsidRPr="006D76DE">
        <w:t>hite subjects (n=161), 81.4%</w:t>
      </w:r>
      <w:r w:rsidR="00627F25">
        <w:t xml:space="preserve"> versus </w:t>
      </w:r>
      <w:r w:rsidRPr="006D76DE">
        <w:t>41.0%</w:t>
      </w:r>
      <w:r w:rsidR="0019387B">
        <w:t>.</w:t>
      </w:r>
    </w:p>
    <w:p w:rsidR="006D76DE" w:rsidRPr="006D76DE" w:rsidRDefault="006D76DE" w:rsidP="00EA004E">
      <w:r w:rsidRPr="006D76DE">
        <w:t xml:space="preserve">Peripheral neuropathy treatment-related events occurred in 75/226 (33.2%) for </w:t>
      </w:r>
      <w:proofErr w:type="spellStart"/>
      <w:r w:rsidRPr="006D76DE">
        <w:t>eribulin</w:t>
      </w:r>
      <w:proofErr w:type="spellEnd"/>
      <w:r w:rsidR="00627F25">
        <w:t xml:space="preserve"> versus </w:t>
      </w:r>
      <w:r w:rsidRPr="006D76DE">
        <w:t xml:space="preserve">19/224 (8.5%) for </w:t>
      </w:r>
      <w:proofErr w:type="spellStart"/>
      <w:r w:rsidRPr="006D76DE">
        <w:t>dacarbazine</w:t>
      </w:r>
      <w:proofErr w:type="spellEnd"/>
      <w:r w:rsidRPr="006D76DE">
        <w:t>.</w:t>
      </w:r>
    </w:p>
    <w:p w:rsidR="006D76DE" w:rsidRPr="006D76DE" w:rsidRDefault="006D76DE" w:rsidP="00EA004E">
      <w:r w:rsidRPr="006D76DE">
        <w:t xml:space="preserve">Liver toxicity is known as a risk for </w:t>
      </w:r>
      <w:proofErr w:type="spellStart"/>
      <w:r w:rsidRPr="006D76DE">
        <w:t>eribulin</w:t>
      </w:r>
      <w:proofErr w:type="spellEnd"/>
      <w:r w:rsidRPr="006D76DE">
        <w:t xml:space="preserve">. In pooled data provided no AEs met </w:t>
      </w:r>
      <w:proofErr w:type="spellStart"/>
      <w:r w:rsidRPr="006D76DE">
        <w:t>Hy’s</w:t>
      </w:r>
      <w:proofErr w:type="spellEnd"/>
      <w:r w:rsidRPr="006D76DE">
        <w:t xml:space="preserve"> law criteria; one case of serious hepatotoxicity in the </w:t>
      </w:r>
      <w:proofErr w:type="spellStart"/>
      <w:r w:rsidRPr="006D76DE">
        <w:t>eribulin</w:t>
      </w:r>
      <w:proofErr w:type="spellEnd"/>
      <w:r w:rsidRPr="006D76DE">
        <w:t xml:space="preserve"> arm of the pivotal study was found to be due to disease progression with biliary obstruction and assessed as unrelated to study drug.</w:t>
      </w:r>
    </w:p>
    <w:p w:rsidR="006D76DE" w:rsidRPr="006D76DE" w:rsidRDefault="006D76DE" w:rsidP="00EA004E">
      <w:r w:rsidRPr="006D76DE">
        <w:t>Hypocalcaemia was observed in the pivotal study but was not initially included in the PI.</w:t>
      </w:r>
    </w:p>
    <w:p w:rsidR="0089748D" w:rsidRDefault="006D76DE" w:rsidP="00EA004E">
      <w:r w:rsidRPr="006D76DE">
        <w:t xml:space="preserve">The evaluator noted that </w:t>
      </w:r>
      <w:proofErr w:type="spellStart"/>
      <w:r w:rsidRPr="006D76DE">
        <w:t>eribulin</w:t>
      </w:r>
      <w:proofErr w:type="spellEnd"/>
      <w:r w:rsidRPr="006D76DE">
        <w:t xml:space="preserve"> was </w:t>
      </w:r>
      <w:r w:rsidRPr="00627F25">
        <w:rPr>
          <w:i/>
        </w:rPr>
        <w:t xml:space="preserve">‘moderately more toxic than </w:t>
      </w:r>
      <w:proofErr w:type="spellStart"/>
      <w:r w:rsidRPr="00627F25">
        <w:rPr>
          <w:i/>
        </w:rPr>
        <w:t>dacarbazine</w:t>
      </w:r>
      <w:proofErr w:type="spellEnd"/>
      <w:r w:rsidRPr="00627F25">
        <w:rPr>
          <w:i/>
        </w:rPr>
        <w:t xml:space="preserve"> with a higher incidence of grade ≥ 3 AEs (67.3%</w:t>
      </w:r>
      <w:r w:rsidR="00627F25" w:rsidRPr="00627F25">
        <w:rPr>
          <w:i/>
        </w:rPr>
        <w:t xml:space="preserve"> versus </w:t>
      </w:r>
      <w:r w:rsidRPr="00627F25">
        <w:rPr>
          <w:i/>
        </w:rPr>
        <w:t>56.3%) and AEs leading to withdrawal (7.5%</w:t>
      </w:r>
      <w:r w:rsidR="00627F25" w:rsidRPr="00627F25">
        <w:rPr>
          <w:i/>
        </w:rPr>
        <w:t xml:space="preserve"> versus </w:t>
      </w:r>
      <w:r w:rsidRPr="00627F25">
        <w:rPr>
          <w:i/>
        </w:rPr>
        <w:t>4.9%)</w:t>
      </w:r>
      <w:proofErr w:type="gramStart"/>
      <w:r w:rsidRPr="006D76DE">
        <w:t>.‘</w:t>
      </w:r>
      <w:proofErr w:type="gramEnd"/>
    </w:p>
    <w:p w:rsidR="006D76DE" w:rsidRPr="006D76DE" w:rsidRDefault="006D76DE" w:rsidP="00EA004E">
      <w:pPr>
        <w:pStyle w:val="Heading5"/>
        <w:rPr>
          <w:rFonts w:eastAsia="Cambria"/>
        </w:rPr>
      </w:pPr>
      <w:r w:rsidRPr="006D76DE">
        <w:rPr>
          <w:rFonts w:eastAsia="Cambria"/>
        </w:rPr>
        <w:t>Safety evaluation conclusion</w:t>
      </w:r>
    </w:p>
    <w:p w:rsidR="006D76DE" w:rsidRPr="006D76DE" w:rsidRDefault="006D76DE" w:rsidP="00EA004E">
      <w:r w:rsidRPr="006D76DE">
        <w:t xml:space="preserve">Overall the evaluator considered the toxicity of </w:t>
      </w:r>
      <w:proofErr w:type="spellStart"/>
      <w:r w:rsidRPr="006D76DE">
        <w:t>eribulin</w:t>
      </w:r>
      <w:proofErr w:type="spellEnd"/>
      <w:r w:rsidRPr="006D76DE">
        <w:t xml:space="preserve"> was acceptable in the context of treatment of </w:t>
      </w:r>
      <w:proofErr w:type="spellStart"/>
      <w:r w:rsidRPr="006D76DE">
        <w:t>unresectab</w:t>
      </w:r>
      <w:r w:rsidR="00627F25">
        <w:t>le</w:t>
      </w:r>
      <w:proofErr w:type="spellEnd"/>
      <w:r w:rsidR="00627F25">
        <w:t xml:space="preserve"> previously treated STS. The s</w:t>
      </w:r>
      <w:r w:rsidRPr="006D76DE">
        <w:t>ponsor added increased risk of neutropenia in Asian/Pacific Islander subjects to Precautions and ‘Hypocalcaemia’ to Adverse Effects.</w:t>
      </w:r>
    </w:p>
    <w:p w:rsidR="006D76DE" w:rsidRDefault="006D76DE" w:rsidP="00EA004E">
      <w:pPr>
        <w:pStyle w:val="ListBullet"/>
      </w:pPr>
      <w:r w:rsidRPr="006D76DE">
        <w:t xml:space="preserve">The Delegate considers that relevant Adverse Events from Study 309 for </w:t>
      </w:r>
      <w:proofErr w:type="spellStart"/>
      <w:r w:rsidRPr="006D76DE">
        <w:t>eribulin</w:t>
      </w:r>
      <w:proofErr w:type="spellEnd"/>
      <w:r w:rsidRPr="006D76DE">
        <w:t xml:space="preserve"> with </w:t>
      </w:r>
      <w:proofErr w:type="spellStart"/>
      <w:r w:rsidRPr="006D76DE">
        <w:t>dacarbazine</w:t>
      </w:r>
      <w:proofErr w:type="spellEnd"/>
      <w:r w:rsidRPr="006D76DE">
        <w:t xml:space="preserve"> as comparator should be included separately.</w:t>
      </w:r>
    </w:p>
    <w:p w:rsidR="008E7846" w:rsidRDefault="00386150" w:rsidP="006D76DE">
      <w:pPr>
        <w:pStyle w:val="Heading3"/>
        <w:rPr>
          <w:lang w:eastAsia="en-AU"/>
        </w:rPr>
      </w:pPr>
      <w:bookmarkStart w:id="120" w:name="_Toc497233792"/>
      <w:r>
        <w:rPr>
          <w:lang w:eastAsia="en-AU"/>
        </w:rPr>
        <w:t>Risk m</w:t>
      </w:r>
      <w:r w:rsidR="008E7846">
        <w:rPr>
          <w:lang w:eastAsia="en-AU"/>
        </w:rPr>
        <w:t xml:space="preserve">anagement </w:t>
      </w:r>
      <w:r>
        <w:rPr>
          <w:lang w:eastAsia="en-AU"/>
        </w:rPr>
        <w:t>p</w:t>
      </w:r>
      <w:r w:rsidR="008E7846">
        <w:rPr>
          <w:lang w:eastAsia="en-AU"/>
        </w:rPr>
        <w:t>lan</w:t>
      </w:r>
      <w:bookmarkEnd w:id="111"/>
      <w:bookmarkEnd w:id="120"/>
    </w:p>
    <w:p w:rsidR="006D76DE" w:rsidRDefault="006D76DE" w:rsidP="006D76DE">
      <w:pPr>
        <w:rPr>
          <w:lang w:eastAsia="en-AU"/>
        </w:rPr>
      </w:pPr>
      <w:r>
        <w:rPr>
          <w:lang w:eastAsia="en-AU"/>
        </w:rPr>
        <w:t>The EU-RMP and ASA were al</w:t>
      </w:r>
      <w:r w:rsidR="00627F25">
        <w:rPr>
          <w:lang w:eastAsia="en-AU"/>
        </w:rPr>
        <w:t xml:space="preserve">igned except for the Australian </w:t>
      </w:r>
      <w:r>
        <w:rPr>
          <w:lang w:eastAsia="en-AU"/>
        </w:rPr>
        <w:t>specific additional important potential risk ‘</w:t>
      </w:r>
      <w:proofErr w:type="gramStart"/>
      <w:r>
        <w:rPr>
          <w:lang w:eastAsia="en-AU"/>
        </w:rPr>
        <w:t>pancreatitis’</w:t>
      </w:r>
      <w:proofErr w:type="gramEnd"/>
      <w:r>
        <w:rPr>
          <w:lang w:eastAsia="en-AU"/>
        </w:rPr>
        <w:t>.</w:t>
      </w:r>
      <w:r w:rsidR="00F13CF2">
        <w:rPr>
          <w:lang w:eastAsia="en-AU"/>
        </w:rPr>
        <w:t xml:space="preserve"> </w:t>
      </w:r>
      <w:r>
        <w:rPr>
          <w:lang w:eastAsia="en-AU"/>
        </w:rPr>
        <w:t>An additional pharmacovigilance activity is ongoing for the identified risk ‘peripheral neuropathy’.</w:t>
      </w:r>
    </w:p>
    <w:p w:rsidR="0019387B" w:rsidRDefault="006D76DE" w:rsidP="006D76DE">
      <w:pPr>
        <w:rPr>
          <w:lang w:eastAsia="en-AU"/>
        </w:rPr>
      </w:pPr>
      <w:r>
        <w:rPr>
          <w:lang w:eastAsia="en-AU"/>
        </w:rPr>
        <w:t xml:space="preserve">The </w:t>
      </w:r>
      <w:r w:rsidR="00627F25">
        <w:rPr>
          <w:lang w:eastAsia="en-AU"/>
        </w:rPr>
        <w:t>c</w:t>
      </w:r>
      <w:r>
        <w:rPr>
          <w:lang w:eastAsia="en-AU"/>
        </w:rPr>
        <w:t xml:space="preserve">linical </w:t>
      </w:r>
      <w:r w:rsidR="00627F25">
        <w:rPr>
          <w:lang w:eastAsia="en-AU"/>
        </w:rPr>
        <w:t>e</w:t>
      </w:r>
      <w:r>
        <w:rPr>
          <w:lang w:eastAsia="en-AU"/>
        </w:rPr>
        <w:t xml:space="preserve">valuation report identified safety aspects in the PI that are not included in the RMP, specifically QT prolongation and hepatotoxicity. These aspects were addressed in the </w:t>
      </w:r>
      <w:r>
        <w:rPr>
          <w:lang w:eastAsia="en-AU"/>
        </w:rPr>
        <w:lastRenderedPageBreak/>
        <w:t>RMP</w:t>
      </w:r>
      <w:r w:rsidR="00627F25">
        <w:rPr>
          <w:lang w:eastAsia="en-AU"/>
        </w:rPr>
        <w:t xml:space="preserve"> evaluation report</w:t>
      </w:r>
      <w:r>
        <w:rPr>
          <w:lang w:eastAsia="en-AU"/>
        </w:rPr>
        <w:t>.</w:t>
      </w:r>
      <w:r w:rsidR="00F13CF2">
        <w:rPr>
          <w:lang w:eastAsia="en-AU"/>
        </w:rPr>
        <w:t xml:space="preserve"> </w:t>
      </w:r>
      <w:r>
        <w:rPr>
          <w:lang w:eastAsia="en-AU"/>
        </w:rPr>
        <w:t xml:space="preserve">The RMP evaluator reviewed the data on QT prolongation and concluded that while the evidence indicates that </w:t>
      </w:r>
      <w:proofErr w:type="spellStart"/>
      <w:r>
        <w:rPr>
          <w:lang w:eastAsia="en-AU"/>
        </w:rPr>
        <w:t>eribulin</w:t>
      </w:r>
      <w:proofErr w:type="spellEnd"/>
      <w:r>
        <w:rPr>
          <w:lang w:eastAsia="en-AU"/>
        </w:rPr>
        <w:t xml:space="preserve"> is associated with QT prolongation, the PI recommendation for screening, monitoring and management of at-risk patients was adequate and no additional risk mitigation measures were required. Hepatotoxicity has a low incidence of severe reactions</w:t>
      </w:r>
      <w:r w:rsidR="0019387B">
        <w:rPr>
          <w:lang w:eastAsia="en-AU"/>
        </w:rPr>
        <w:t>.</w:t>
      </w:r>
    </w:p>
    <w:p w:rsidR="006D76DE" w:rsidRDefault="006D76DE" w:rsidP="006D76DE">
      <w:pPr>
        <w:rPr>
          <w:lang w:eastAsia="en-AU"/>
        </w:rPr>
      </w:pPr>
      <w:r>
        <w:rPr>
          <w:lang w:eastAsia="en-AU"/>
        </w:rPr>
        <w:t>Overall, the PI statements and pharmacovigilance measures were considered acceptable.</w:t>
      </w:r>
    </w:p>
    <w:p w:rsidR="006D76DE" w:rsidRDefault="006D76DE" w:rsidP="006D76DE">
      <w:pPr>
        <w:rPr>
          <w:lang w:eastAsia="en-AU"/>
        </w:rPr>
      </w:pPr>
      <w:r>
        <w:rPr>
          <w:lang w:eastAsia="en-AU"/>
        </w:rPr>
        <w:t>Recommended wording for conditions of registration</w:t>
      </w:r>
    </w:p>
    <w:p w:rsidR="006D76DE" w:rsidRPr="006D76DE" w:rsidRDefault="006D76DE" w:rsidP="006D76DE">
      <w:pPr>
        <w:rPr>
          <w:lang w:eastAsia="en-AU"/>
        </w:rPr>
      </w:pPr>
      <w:r>
        <w:rPr>
          <w:lang w:eastAsia="en-AU"/>
        </w:rPr>
        <w:t>The EU-RMP version 4.0 (dated 15 July 2015; DLP 14 May 2015) and ASA version 1.0 (November 2015), submitted with application PM-2015-</w:t>
      </w:r>
      <w:r w:rsidR="00627F25">
        <w:rPr>
          <w:lang w:eastAsia="en-AU"/>
        </w:rPr>
        <w:t>04001-1-4, must be implemented.</w:t>
      </w:r>
    </w:p>
    <w:p w:rsidR="008E7846" w:rsidRDefault="00AA0ED0" w:rsidP="008E7846">
      <w:pPr>
        <w:pStyle w:val="Heading3"/>
      </w:pPr>
      <w:bookmarkStart w:id="121" w:name="_Toc247691531"/>
      <w:bookmarkStart w:id="122" w:name="_Toc314842515"/>
      <w:bookmarkStart w:id="123" w:name="_Toc196046505"/>
      <w:bookmarkStart w:id="124" w:name="_Toc196046949"/>
      <w:bookmarkStart w:id="125" w:name="_Toc497233793"/>
      <w:r>
        <w:t>Risk-benefit a</w:t>
      </w:r>
      <w:r w:rsidR="008E7846">
        <w:t>nalysis</w:t>
      </w:r>
      <w:bookmarkEnd w:id="121"/>
      <w:bookmarkEnd w:id="122"/>
      <w:bookmarkEnd w:id="125"/>
    </w:p>
    <w:p w:rsidR="0089748D" w:rsidRDefault="00D23139" w:rsidP="00D23139">
      <w:pPr>
        <w:pStyle w:val="Heading4"/>
      </w:pPr>
      <w:r w:rsidRPr="00D23139">
        <w:t>Delegate’s considerations</w:t>
      </w:r>
    </w:p>
    <w:p w:rsidR="006D76DE" w:rsidRDefault="006D76DE" w:rsidP="00627F25">
      <w:pPr>
        <w:pStyle w:val="Heading5"/>
      </w:pPr>
      <w:r>
        <w:t>Efficacy</w:t>
      </w:r>
    </w:p>
    <w:p w:rsidR="006D76DE" w:rsidRDefault="006D76DE" w:rsidP="00EA004E">
      <w:r>
        <w:t xml:space="preserve">The data were from patients with advanced (locally recurrent, locally advanced and/or metastatic) </w:t>
      </w:r>
      <w:proofErr w:type="spellStart"/>
      <w:r>
        <w:t>adipocytic</w:t>
      </w:r>
      <w:proofErr w:type="spellEnd"/>
      <w:r>
        <w:t xml:space="preserve"> sarcoma (subtypes dedifferentiated, </w:t>
      </w:r>
      <w:proofErr w:type="spellStart"/>
      <w:r>
        <w:t>myxoid</w:t>
      </w:r>
      <w:proofErr w:type="spellEnd"/>
      <w:r>
        <w:t xml:space="preserve">, round cell, pleomorphic) or </w:t>
      </w:r>
      <w:proofErr w:type="spellStart"/>
      <w:r>
        <w:t>leiomyosarcoma</w:t>
      </w:r>
      <w:proofErr w:type="spellEnd"/>
      <w:r>
        <w:t>, incurable by surgery or radiotherapy, who had at least two prior systemic treatments.</w:t>
      </w:r>
    </w:p>
    <w:p w:rsidR="006D76DE" w:rsidRDefault="006D76DE" w:rsidP="00EA004E">
      <w:r>
        <w:t xml:space="preserve">The Delegate requests advice from the </w:t>
      </w:r>
      <w:r w:rsidR="00627F25">
        <w:t>advisory c</w:t>
      </w:r>
      <w:r>
        <w:t xml:space="preserve">ommittee as to whether the data are sufficient to characterise a population for whom the benefit-risk balance is positive for </w:t>
      </w:r>
      <w:proofErr w:type="spellStart"/>
      <w:r>
        <w:t>eribulin</w:t>
      </w:r>
      <w:proofErr w:type="spellEnd"/>
      <w:r>
        <w:t xml:space="preserve"> in the second-line treatment of sarcoma. If so, is this is adequately defined in the proposed additional Indication?</w:t>
      </w:r>
    </w:p>
    <w:p w:rsidR="0019387B" w:rsidRDefault="006D76DE" w:rsidP="00EA004E">
      <w:r>
        <w:t>Anthracyclines are considered standard first-line treatments in Australia for soft tissue sarcoma. Advice is sought about the clinical relevance in specifying in the indication the type of previous chemotherapy as including anthracycline</w:t>
      </w:r>
      <w:r w:rsidR="0019387B">
        <w:t>.</w:t>
      </w:r>
    </w:p>
    <w:p w:rsidR="006D76DE" w:rsidRDefault="006D76DE" w:rsidP="00627F25">
      <w:pPr>
        <w:pStyle w:val="Heading5"/>
      </w:pPr>
      <w:r>
        <w:t>Safety</w:t>
      </w:r>
    </w:p>
    <w:p w:rsidR="006D76DE" w:rsidRDefault="006D76DE" w:rsidP="00EA004E">
      <w:r>
        <w:t>The additi</w:t>
      </w:r>
      <w:r w:rsidR="00627F25">
        <w:t>onal i</w:t>
      </w:r>
      <w:r>
        <w:t xml:space="preserve">ndication for </w:t>
      </w:r>
      <w:proofErr w:type="spellStart"/>
      <w:r>
        <w:t>liposarcoma</w:t>
      </w:r>
      <w:proofErr w:type="spellEnd"/>
      <w:r>
        <w:t xml:space="preserve"> is supported by Study 309 comparing </w:t>
      </w:r>
      <w:proofErr w:type="spellStart"/>
      <w:r>
        <w:t>eribulin</w:t>
      </w:r>
      <w:proofErr w:type="spellEnd"/>
      <w:r>
        <w:t xml:space="preserve"> and </w:t>
      </w:r>
      <w:proofErr w:type="spellStart"/>
      <w:r>
        <w:t>dacarbazine</w:t>
      </w:r>
      <w:proofErr w:type="spellEnd"/>
      <w:r>
        <w:t xml:space="preserve">. </w:t>
      </w:r>
      <w:proofErr w:type="spellStart"/>
      <w:r>
        <w:t>Dacarbazine</w:t>
      </w:r>
      <w:proofErr w:type="spellEnd"/>
      <w:r>
        <w:t xml:space="preserve"> is a relevant comparator for treatment of </w:t>
      </w:r>
      <w:proofErr w:type="spellStart"/>
      <w:r>
        <w:t>liposarcoma</w:t>
      </w:r>
      <w:proofErr w:type="spellEnd"/>
      <w:r>
        <w:t>.</w:t>
      </w:r>
    </w:p>
    <w:p w:rsidR="006D76DE" w:rsidRDefault="006D76DE" w:rsidP="00EA004E">
      <w:r>
        <w:t xml:space="preserve">Although the overall toxicity profile was considered similar for </w:t>
      </w:r>
      <w:proofErr w:type="spellStart"/>
      <w:r>
        <w:t>eribulin</w:t>
      </w:r>
      <w:proofErr w:type="spellEnd"/>
      <w:r>
        <w:t xml:space="preserve"> in Study 309 compared to the breast cancer studies, some important AEs occurred with considerably greater frequency for </w:t>
      </w:r>
      <w:proofErr w:type="spellStart"/>
      <w:r>
        <w:t>eribulin</w:t>
      </w:r>
      <w:proofErr w:type="spellEnd"/>
      <w:r>
        <w:t xml:space="preserve"> than for </w:t>
      </w:r>
      <w:proofErr w:type="spellStart"/>
      <w:r>
        <w:t>dacarbazine</w:t>
      </w:r>
      <w:proofErr w:type="spellEnd"/>
      <w:r>
        <w:t>.</w:t>
      </w:r>
    </w:p>
    <w:p w:rsidR="006D76DE" w:rsidRDefault="006D76DE" w:rsidP="00EA004E">
      <w:r>
        <w:t>The Delegate requests advice about inclusion of such comparative information in the PI.</w:t>
      </w:r>
    </w:p>
    <w:p w:rsidR="006D76DE" w:rsidRDefault="006D76DE" w:rsidP="006D76DE">
      <w:pPr>
        <w:pStyle w:val="Heading4"/>
      </w:pPr>
      <w:r>
        <w:t>Su</w:t>
      </w:r>
      <w:r w:rsidR="00627F25">
        <w:t>mmary of i</w:t>
      </w:r>
      <w:r>
        <w:t>ssues</w:t>
      </w:r>
    </w:p>
    <w:p w:rsidR="006D76DE" w:rsidRDefault="006D76DE" w:rsidP="006D76DE">
      <w:r>
        <w:t>The initial proposal submitted with this application was for extension of indications to STS</w:t>
      </w:r>
      <w:r w:rsidR="00627F25">
        <w:t xml:space="preserve"> in general; the initial i</w:t>
      </w:r>
      <w:r>
        <w:t>ndication sought was:</w:t>
      </w:r>
    </w:p>
    <w:p w:rsidR="006D76DE" w:rsidRPr="00F13CF2" w:rsidRDefault="006D76DE" w:rsidP="006D76DE">
      <w:r>
        <w:t>‘</w:t>
      </w:r>
      <w:r w:rsidRPr="00627F25">
        <w:rPr>
          <w:i/>
        </w:rPr>
        <w:t xml:space="preserve">For the treatment of patients with </w:t>
      </w:r>
      <w:proofErr w:type="spellStart"/>
      <w:r w:rsidRPr="00627F25">
        <w:rPr>
          <w:i/>
        </w:rPr>
        <w:t>unresectable</w:t>
      </w:r>
      <w:proofErr w:type="spellEnd"/>
      <w:r w:rsidRPr="00627F25">
        <w:rPr>
          <w:i/>
        </w:rPr>
        <w:t xml:space="preserve"> soft tissue sarcoma (STS), who have received prior chemotherapy for advanced or metastatic </w:t>
      </w:r>
      <w:proofErr w:type="gramStart"/>
      <w:r w:rsidRPr="00627F25">
        <w:rPr>
          <w:i/>
        </w:rPr>
        <w:t>disease.</w:t>
      </w:r>
      <w:proofErr w:type="gramEnd"/>
      <w:r w:rsidRPr="00627F25">
        <w:rPr>
          <w:i/>
        </w:rPr>
        <w:t xml:space="preserve"> Efficacy and safety have been </w:t>
      </w:r>
      <w:r w:rsidRPr="00F13CF2">
        <w:rPr>
          <w:i/>
        </w:rPr>
        <w:t xml:space="preserve">established primarily in patients with </w:t>
      </w:r>
      <w:proofErr w:type="spellStart"/>
      <w:r w:rsidRPr="00F13CF2">
        <w:rPr>
          <w:i/>
        </w:rPr>
        <w:t>leiomyosarcoma</w:t>
      </w:r>
      <w:proofErr w:type="spellEnd"/>
      <w:r w:rsidRPr="00F13CF2">
        <w:rPr>
          <w:i/>
        </w:rPr>
        <w:t xml:space="preserve"> and </w:t>
      </w:r>
      <w:proofErr w:type="spellStart"/>
      <w:r w:rsidRPr="00F13CF2">
        <w:rPr>
          <w:i/>
        </w:rPr>
        <w:t>liposarcoma</w:t>
      </w:r>
      <w:proofErr w:type="spellEnd"/>
      <w:r w:rsidRPr="00F13CF2">
        <w:t>.’</w:t>
      </w:r>
    </w:p>
    <w:p w:rsidR="0019387B" w:rsidRDefault="006D76DE" w:rsidP="00EA004E">
      <w:pPr>
        <w:pStyle w:val="ListBullet"/>
      </w:pPr>
      <w:r w:rsidRPr="00F13CF2">
        <w:t xml:space="preserve">Pivotal Study 309 enrolled adult subjects with </w:t>
      </w:r>
      <w:proofErr w:type="spellStart"/>
      <w:r w:rsidRPr="00F13CF2">
        <w:t>liposarcoma</w:t>
      </w:r>
      <w:proofErr w:type="spellEnd"/>
      <w:r w:rsidRPr="00F13CF2">
        <w:t xml:space="preserve"> or </w:t>
      </w:r>
      <w:proofErr w:type="spellStart"/>
      <w:r w:rsidRPr="00F13CF2">
        <w:t>leiomyosarcoma</w:t>
      </w:r>
      <w:proofErr w:type="spellEnd"/>
      <w:r w:rsidRPr="00F13CF2">
        <w:t xml:space="preserve"> who had received at least two prior lines of therapy and had advanced disease incurable b</w:t>
      </w:r>
      <w:r w:rsidR="00627F25" w:rsidRPr="00F13CF2">
        <w:t>y surgery or radiotherapy. The clinical e</w:t>
      </w:r>
      <w:r w:rsidRPr="00F13CF2">
        <w:t xml:space="preserve">valuator recommended restricting the indication to second or later line treatment of </w:t>
      </w:r>
      <w:proofErr w:type="spellStart"/>
      <w:r w:rsidRPr="00F13CF2">
        <w:t>unresectable</w:t>
      </w:r>
      <w:proofErr w:type="spellEnd"/>
      <w:r w:rsidRPr="00F13CF2">
        <w:t xml:space="preserve"> </w:t>
      </w:r>
      <w:proofErr w:type="spellStart"/>
      <w:r w:rsidRPr="00F13CF2">
        <w:t>liposarcoma</w:t>
      </w:r>
      <w:proofErr w:type="spellEnd"/>
      <w:r w:rsidRPr="00F13CF2">
        <w:t>, based on subgroup a</w:t>
      </w:r>
      <w:r w:rsidR="00627F25" w:rsidRPr="00F13CF2">
        <w:t>nalyses in Study 309.</w:t>
      </w:r>
      <w:r w:rsidR="00F13CF2">
        <w:t xml:space="preserve"> </w:t>
      </w:r>
      <w:r w:rsidR="00627F25" w:rsidRPr="00F13CF2">
        <w:t>The sponsor amended the proposed i</w:t>
      </w:r>
      <w:r w:rsidRPr="00F13CF2">
        <w:t>ndication</w:t>
      </w:r>
      <w:r w:rsidR="0019387B">
        <w:t>.</w:t>
      </w:r>
    </w:p>
    <w:p w:rsidR="006D76DE" w:rsidRDefault="006D76DE" w:rsidP="006D76DE">
      <w:r>
        <w:t>The Clinical Trials section of the PI amended text is also largely in line with the latest EU S</w:t>
      </w:r>
      <w:r w:rsidR="00627F25">
        <w:t>ummary of Product Characteristics (</w:t>
      </w:r>
      <w:proofErr w:type="spellStart"/>
      <w:r w:rsidR="00627F25">
        <w:t>Sm</w:t>
      </w:r>
      <w:r>
        <w:t>PC</w:t>
      </w:r>
      <w:proofErr w:type="spellEnd"/>
      <w:r w:rsidR="00627F25">
        <w:t>)</w:t>
      </w:r>
      <w:r>
        <w:t>.</w:t>
      </w:r>
      <w:r w:rsidR="00F13CF2">
        <w:t xml:space="preserve"> </w:t>
      </w:r>
      <w:r>
        <w:t>Some changes to this section and Adverse Effects might provide relevant information to prescribers.</w:t>
      </w:r>
    </w:p>
    <w:p w:rsidR="006D76DE" w:rsidRDefault="006D76DE" w:rsidP="00EA004E">
      <w:pPr>
        <w:pStyle w:val="ListBullet"/>
      </w:pPr>
      <w:r>
        <w:lastRenderedPageBreak/>
        <w:t xml:space="preserve">AE information from Study 309 has not been included separately in the amended PI. Proposed changes to the Adverse Effects section include comparison between neutropenia rates in sarcoma and breast cancer. The proposed text does not reflect </w:t>
      </w:r>
      <w:proofErr w:type="spellStart"/>
      <w:r>
        <w:t>eribulin</w:t>
      </w:r>
      <w:proofErr w:type="spellEnd"/>
      <w:r>
        <w:t xml:space="preserve"> compared to </w:t>
      </w:r>
      <w:proofErr w:type="spellStart"/>
      <w:r>
        <w:t>dacarbazine</w:t>
      </w:r>
      <w:proofErr w:type="spellEnd"/>
      <w:r>
        <w:t>.</w:t>
      </w:r>
    </w:p>
    <w:p w:rsidR="00D23139" w:rsidRDefault="00D23139" w:rsidP="00D23139">
      <w:pPr>
        <w:pStyle w:val="Heading4"/>
      </w:pPr>
      <w:r w:rsidRPr="00D23139">
        <w:t>Proposed action</w:t>
      </w:r>
    </w:p>
    <w:p w:rsidR="006D76DE" w:rsidRPr="006D76DE" w:rsidRDefault="00627F25" w:rsidP="006D76DE">
      <w:r>
        <w:t>The Delegate</w:t>
      </w:r>
      <w:r w:rsidR="006D76DE" w:rsidRPr="006D76DE">
        <w:t xml:space="preserve"> ha</w:t>
      </w:r>
      <w:r>
        <w:t>d</w:t>
      </w:r>
      <w:r w:rsidR="006D76DE" w:rsidRPr="006D76DE">
        <w:t xml:space="preserve"> no reason to say, at this time, that the application for extension of indications for </w:t>
      </w:r>
      <w:proofErr w:type="spellStart"/>
      <w:r w:rsidR="006D76DE" w:rsidRPr="006D76DE">
        <w:t>eribulin</w:t>
      </w:r>
      <w:proofErr w:type="spellEnd"/>
      <w:r w:rsidR="006D76DE" w:rsidRPr="006D76DE">
        <w:t xml:space="preserve"> </w:t>
      </w:r>
      <w:proofErr w:type="spellStart"/>
      <w:r w:rsidR="006D76DE" w:rsidRPr="006D76DE">
        <w:t>mesilate</w:t>
      </w:r>
      <w:proofErr w:type="spellEnd"/>
      <w:r w:rsidR="006D76DE" w:rsidRPr="006D76DE">
        <w:t xml:space="preserve"> (</w:t>
      </w:r>
      <w:proofErr w:type="spellStart"/>
      <w:r w:rsidR="006D76DE" w:rsidRPr="006D76DE">
        <w:t>Halaven</w:t>
      </w:r>
      <w:proofErr w:type="spellEnd"/>
      <w:r w:rsidR="006D76DE" w:rsidRPr="006D76DE">
        <w:t xml:space="preserve">) for </w:t>
      </w:r>
      <w:r w:rsidR="006D76DE" w:rsidRPr="00627F25">
        <w:rPr>
          <w:i/>
        </w:rPr>
        <w:t xml:space="preserve">‘the treatment of patients with </w:t>
      </w:r>
      <w:proofErr w:type="spellStart"/>
      <w:r w:rsidR="006D76DE" w:rsidRPr="00627F25">
        <w:rPr>
          <w:i/>
        </w:rPr>
        <w:t>unresectable</w:t>
      </w:r>
      <w:proofErr w:type="spellEnd"/>
      <w:r w:rsidR="006D76DE" w:rsidRPr="00627F25">
        <w:rPr>
          <w:i/>
        </w:rPr>
        <w:t xml:space="preserve"> </w:t>
      </w:r>
      <w:proofErr w:type="spellStart"/>
      <w:r w:rsidR="006D76DE" w:rsidRPr="00627F25">
        <w:rPr>
          <w:i/>
        </w:rPr>
        <w:t>liposarcoma</w:t>
      </w:r>
      <w:proofErr w:type="spellEnd"/>
      <w:r w:rsidR="006D76DE" w:rsidRPr="00627F25">
        <w:rPr>
          <w:i/>
        </w:rPr>
        <w:t xml:space="preserve"> who have received prior chemotherapy for advanced or metastatic disease’</w:t>
      </w:r>
      <w:r w:rsidR="006D76DE" w:rsidRPr="006D76DE">
        <w:t xml:space="preserve"> should not be approved for registration.</w:t>
      </w:r>
    </w:p>
    <w:p w:rsidR="00D23139" w:rsidRDefault="00D23139" w:rsidP="00D23139">
      <w:pPr>
        <w:pStyle w:val="Heading4"/>
      </w:pPr>
      <w:r w:rsidRPr="00D23139">
        <w:t>Request for ACPM advice</w:t>
      </w:r>
    </w:p>
    <w:p w:rsidR="006D76DE" w:rsidRDefault="006D76DE" w:rsidP="006D76DE">
      <w:r>
        <w:t>The committee is requested to provide advice on the following issues:</w:t>
      </w:r>
    </w:p>
    <w:p w:rsidR="006D76DE" w:rsidRDefault="006D76DE" w:rsidP="00EA004E">
      <w:pPr>
        <w:pStyle w:val="Numberbullet0"/>
      </w:pPr>
      <w:r>
        <w:t xml:space="preserve">Please comment on whether the data are sufficient to characterise a population for which the benefit –risk balance is considered positive for </w:t>
      </w:r>
      <w:proofErr w:type="spellStart"/>
      <w:r>
        <w:t>eribulin</w:t>
      </w:r>
      <w:proofErr w:type="spellEnd"/>
      <w:r>
        <w:t xml:space="preserve"> in the treatment of sarcoma, and advise on whether this is adequately defined in the amended proposed additional </w:t>
      </w:r>
      <w:r w:rsidR="00627F25">
        <w:t>i</w:t>
      </w:r>
      <w:r>
        <w:t>ndication.</w:t>
      </w:r>
    </w:p>
    <w:p w:rsidR="006D76DE" w:rsidRDefault="006D76DE" w:rsidP="00EA004E">
      <w:pPr>
        <w:pStyle w:val="Numberbullet0"/>
      </w:pPr>
      <w:r>
        <w:t>Please comment on the adequacy of the proposed PI to provide relevant details on the outcomes of efficacy and safety from pivotal Study 309.</w:t>
      </w:r>
    </w:p>
    <w:p w:rsidR="006D76DE" w:rsidRPr="006D76DE" w:rsidRDefault="006D76DE" w:rsidP="006D76DE">
      <w:r>
        <w:t>The committee is also requested to provide advice on any other issues that it thinks may be relevant to a decision on whether or not to approve this application.</w:t>
      </w:r>
    </w:p>
    <w:p w:rsidR="0089748D" w:rsidRDefault="00627F25" w:rsidP="00D23139">
      <w:pPr>
        <w:pStyle w:val="Heading4"/>
      </w:pPr>
      <w:r>
        <w:t>Response from s</w:t>
      </w:r>
      <w:r w:rsidR="00D23139" w:rsidRPr="00D23139">
        <w:t>ponsor</w:t>
      </w:r>
    </w:p>
    <w:p w:rsidR="00627F25" w:rsidRDefault="00627F25" w:rsidP="00627F25">
      <w:pPr>
        <w:pStyle w:val="Heading5"/>
      </w:pPr>
      <w:r>
        <w:t>Delegate issue 1</w:t>
      </w:r>
    </w:p>
    <w:p w:rsidR="0043625C" w:rsidRPr="00EA004E" w:rsidRDefault="0043625C" w:rsidP="00627F25">
      <w:r w:rsidRPr="00EA004E">
        <w:t xml:space="preserve">Please comment on whether the data are sufficient to characterise a population for which the benefit –risk balance is considered positive for </w:t>
      </w:r>
      <w:proofErr w:type="spellStart"/>
      <w:r w:rsidRPr="00EA004E">
        <w:t>eribulin</w:t>
      </w:r>
      <w:proofErr w:type="spellEnd"/>
      <w:r w:rsidRPr="00EA004E">
        <w:t xml:space="preserve"> in the treatment of sarcoma, and advise on whether this is adequately defined in t</w:t>
      </w:r>
      <w:r w:rsidR="00627F25">
        <w:t>he amended proposed additional i</w:t>
      </w:r>
      <w:r w:rsidRPr="00EA004E">
        <w:t>ndication.</w:t>
      </w:r>
    </w:p>
    <w:p w:rsidR="0043625C" w:rsidRDefault="00627F25" w:rsidP="00EA004E">
      <w:pPr>
        <w:pStyle w:val="Heading5"/>
      </w:pPr>
      <w:r>
        <w:t>Response</w:t>
      </w:r>
    </w:p>
    <w:p w:rsidR="0043625C" w:rsidRDefault="0043625C" w:rsidP="00EA004E">
      <w:r>
        <w:t xml:space="preserve">The 309 study was a randomized, open-label, Phase </w:t>
      </w:r>
      <w:r w:rsidR="00627F25">
        <w:t>III</w:t>
      </w:r>
      <w:r>
        <w:t xml:space="preserve">, </w:t>
      </w:r>
      <w:proofErr w:type="spellStart"/>
      <w:r>
        <w:t>multicenter</w:t>
      </w:r>
      <w:proofErr w:type="spellEnd"/>
      <w:r>
        <w:t xml:space="preserve">, global study to compare overall survival of subjects with advanced sarcoma (one of two subtypes: </w:t>
      </w:r>
      <w:proofErr w:type="spellStart"/>
      <w:r>
        <w:t>adipocytic</w:t>
      </w:r>
      <w:proofErr w:type="spellEnd"/>
      <w:r>
        <w:t xml:space="preserve"> (ADI)</w:t>
      </w:r>
      <w:r w:rsidR="00F13CF2">
        <w:t xml:space="preserve"> </w:t>
      </w:r>
      <w:r>
        <w:t xml:space="preserve">(Note: </w:t>
      </w:r>
      <w:proofErr w:type="spellStart"/>
      <w:r>
        <w:t>adipocytic</w:t>
      </w:r>
      <w:proofErr w:type="spellEnd"/>
      <w:r>
        <w:t xml:space="preserve"> is now referred to as </w:t>
      </w:r>
      <w:proofErr w:type="spellStart"/>
      <w:r>
        <w:t>liposarcoma</w:t>
      </w:r>
      <w:proofErr w:type="spellEnd"/>
      <w:r>
        <w:t xml:space="preserve"> and the proposed indication reflect this current terminology) or </w:t>
      </w:r>
      <w:proofErr w:type="spellStart"/>
      <w:r>
        <w:t>leiomyosarcoma</w:t>
      </w:r>
      <w:proofErr w:type="spellEnd"/>
      <w:r>
        <w:t xml:space="preserve"> (LMS) treated with </w:t>
      </w:r>
      <w:proofErr w:type="spellStart"/>
      <w:r>
        <w:t>eribulin</w:t>
      </w:r>
      <w:proofErr w:type="spellEnd"/>
      <w:r>
        <w:t xml:space="preserve"> or </w:t>
      </w:r>
      <w:proofErr w:type="spellStart"/>
      <w:r>
        <w:t>dacarbazine</w:t>
      </w:r>
      <w:proofErr w:type="spellEnd"/>
      <w:r>
        <w:t>. Subjects had prior chemotherapy with at least 2 standard systemic regimens for advanced STS, one of which must have been an anthracycline (unless</w:t>
      </w:r>
      <w:r>
        <w:rPr>
          <w:spacing w:val="-8"/>
        </w:rPr>
        <w:t xml:space="preserve"> </w:t>
      </w:r>
      <w:r>
        <w:t>contraindicated).</w:t>
      </w:r>
    </w:p>
    <w:p w:rsidR="0043625C" w:rsidRDefault="0043625C" w:rsidP="00EA004E">
      <w:r>
        <w:t>A total of 452 subje</w:t>
      </w:r>
      <w:r w:rsidR="00627F25">
        <w:t>cts from 110 sites were randomis</w:t>
      </w:r>
      <w:r>
        <w:t>ed in a 1:1 ratio to one of 2 arms, Arm</w:t>
      </w:r>
      <w:r w:rsidR="00627F25">
        <w:t xml:space="preserve"> </w:t>
      </w:r>
      <w:r>
        <w:t xml:space="preserve">A: </w:t>
      </w:r>
      <w:proofErr w:type="spellStart"/>
      <w:r>
        <w:t>Eribulin</w:t>
      </w:r>
      <w:proofErr w:type="spellEnd"/>
      <w:r>
        <w:t xml:space="preserve"> </w:t>
      </w:r>
      <w:proofErr w:type="spellStart"/>
      <w:r>
        <w:t>mesilate</w:t>
      </w:r>
      <w:proofErr w:type="spellEnd"/>
      <w:r>
        <w:t>, administered at a dose of 1.4 mg/m</w:t>
      </w:r>
      <w:r w:rsidR="00627F25" w:rsidRPr="00627F25">
        <w:rPr>
          <w:vertAlign w:val="superscript"/>
        </w:rPr>
        <w:t>2</w:t>
      </w:r>
      <w:r>
        <w:rPr>
          <w:position w:val="11"/>
          <w:sz w:val="16"/>
          <w:szCs w:val="16"/>
        </w:rPr>
        <w:t xml:space="preserve"> </w:t>
      </w:r>
      <w:r>
        <w:t>intravenou</w:t>
      </w:r>
      <w:r w:rsidR="00627F25">
        <w:t xml:space="preserve">sly on Days 1 and 8 of every 21 </w:t>
      </w:r>
      <w:r>
        <w:t>day treatment cycle; or</w:t>
      </w:r>
      <w:r w:rsidR="00F13CF2">
        <w:t xml:space="preserve"> </w:t>
      </w:r>
      <w:r>
        <w:t xml:space="preserve">Arm B: </w:t>
      </w:r>
      <w:proofErr w:type="spellStart"/>
      <w:r>
        <w:t>Dacarbazine</w:t>
      </w:r>
      <w:proofErr w:type="spellEnd"/>
      <w:r>
        <w:t>,</w:t>
      </w:r>
      <w:r w:rsidR="00F13CF2">
        <w:t xml:space="preserve"> </w:t>
      </w:r>
      <w:r>
        <w:t>administered</w:t>
      </w:r>
      <w:r w:rsidR="00F13CF2">
        <w:t xml:space="preserve"> </w:t>
      </w:r>
      <w:r>
        <w:t>at</w:t>
      </w:r>
      <w:r w:rsidR="00F13CF2">
        <w:t xml:space="preserve"> </w:t>
      </w:r>
      <w:r>
        <w:t>a</w:t>
      </w:r>
      <w:r w:rsidR="00F13CF2">
        <w:t xml:space="preserve"> </w:t>
      </w:r>
      <w:r>
        <w:t>dose</w:t>
      </w:r>
      <w:r w:rsidR="00F13CF2">
        <w:t xml:space="preserve"> </w:t>
      </w:r>
      <w:r>
        <w:t>of</w:t>
      </w:r>
      <w:r w:rsidR="00F13CF2">
        <w:t xml:space="preserve"> </w:t>
      </w:r>
      <w:r>
        <w:t>850</w:t>
      </w:r>
      <w:r w:rsidR="00EA004E">
        <w:t xml:space="preserve"> </w:t>
      </w:r>
      <w:r>
        <w:t>mg/m</w:t>
      </w:r>
      <w:r w:rsidR="00627F25" w:rsidRPr="00627F25">
        <w:rPr>
          <w:vertAlign w:val="superscript"/>
        </w:rPr>
        <w:t>2</w:t>
      </w:r>
      <w:r>
        <w:t>,</w:t>
      </w:r>
      <w:r w:rsidR="00F13CF2">
        <w:t xml:space="preserve"> </w:t>
      </w:r>
      <w:r>
        <w:t>1,000 mg/m</w:t>
      </w:r>
      <w:r w:rsidR="00627F25" w:rsidRPr="00627F25">
        <w:rPr>
          <w:vertAlign w:val="superscript"/>
        </w:rPr>
        <w:t>2</w:t>
      </w:r>
      <w:r>
        <w:t>, or 1,200 mg/m</w:t>
      </w:r>
      <w:r w:rsidR="00627F25" w:rsidRPr="00627F25">
        <w:rPr>
          <w:vertAlign w:val="superscript"/>
        </w:rPr>
        <w:t>2</w:t>
      </w:r>
      <w:r>
        <w:rPr>
          <w:position w:val="11"/>
          <w:sz w:val="16"/>
          <w:szCs w:val="16"/>
        </w:rPr>
        <w:t xml:space="preserve"> </w:t>
      </w:r>
      <w:r>
        <w:t>(as selected by the treating physician)</w:t>
      </w:r>
      <w:r w:rsidR="00627F25">
        <w:t xml:space="preserve"> </w:t>
      </w:r>
      <w:r w:rsidR="00EA004E">
        <w:t>i</w:t>
      </w:r>
      <w:r>
        <w:t>ntravenously on Da</w:t>
      </w:r>
      <w:r w:rsidR="00627F25">
        <w:t xml:space="preserve">y 1 of every 21 </w:t>
      </w:r>
      <w:r>
        <w:t>day treatment</w:t>
      </w:r>
      <w:r>
        <w:rPr>
          <w:spacing w:val="-5"/>
        </w:rPr>
        <w:t xml:space="preserve"> </w:t>
      </w:r>
      <w:r>
        <w:t>cycle.</w:t>
      </w:r>
    </w:p>
    <w:p w:rsidR="0043625C" w:rsidRDefault="0043625C" w:rsidP="00EA004E">
      <w:r>
        <w:t>The primary efficacy endpoint was OS measured from the date of randomi</w:t>
      </w:r>
      <w:r w:rsidR="00627F25">
        <w:t>s</w:t>
      </w:r>
      <w:r>
        <w:t>ation until date of death from any cause. Secondary efficacy endpoints were: PFS, PFR</w:t>
      </w:r>
      <w:r w:rsidRPr="00627F25">
        <w:t>12wks</w:t>
      </w:r>
      <w:r>
        <w:t xml:space="preserve">, CBR (defined as the proportion of subjects who had best overall response of CR, PR or </w:t>
      </w:r>
      <w:r w:rsidR="00C76777" w:rsidRPr="00C76777">
        <w:t xml:space="preserve">Durable stable disease </w:t>
      </w:r>
      <w:r w:rsidR="00C76777">
        <w:t>(</w:t>
      </w:r>
      <w:proofErr w:type="spellStart"/>
      <w:r>
        <w:t>dSD</w:t>
      </w:r>
      <w:proofErr w:type="spellEnd"/>
      <w:r w:rsidR="00C76777">
        <w:t xml:space="preserve">), </w:t>
      </w:r>
      <w:r>
        <w:t xml:space="preserve">&gt; 11 weeks), safety and population PK profile of </w:t>
      </w:r>
      <w:proofErr w:type="spellStart"/>
      <w:r>
        <w:t>eribulin</w:t>
      </w:r>
      <w:proofErr w:type="spellEnd"/>
      <w:r>
        <w:t xml:space="preserve"> in the subjects with STS.</w:t>
      </w:r>
    </w:p>
    <w:p w:rsidR="0043625C" w:rsidRDefault="0043625C" w:rsidP="00C76777">
      <w:r>
        <w:t xml:space="preserve">The primary analysis was based on a stratified log-rank test. The randomisation for the study was stratified by histology (ADI or LMS), geographic region (Region 1: USA and </w:t>
      </w:r>
      <w:r>
        <w:lastRenderedPageBreak/>
        <w:t>Canada; or Region 2: Western Europe, Australasia and Israel; or Region 3: Eastern Europe, Latin America and Asia), and number of prior regimens for advanced STS (2 or &gt;2 prior regimens). It was pre- specified in the statistical plan that these strata variables (along with other groups) would be analysed and described in the study</w:t>
      </w:r>
      <w:r>
        <w:rPr>
          <w:spacing w:val="-5"/>
        </w:rPr>
        <w:t xml:space="preserve"> </w:t>
      </w:r>
      <w:r>
        <w:t>report.</w:t>
      </w:r>
    </w:p>
    <w:p w:rsidR="0043625C" w:rsidRDefault="0043625C" w:rsidP="00C76777">
      <w:pPr>
        <w:pStyle w:val="Heading6"/>
      </w:pPr>
      <w:r>
        <w:t>Efficacy results</w:t>
      </w:r>
    </w:p>
    <w:p w:rsidR="0043625C" w:rsidRDefault="0043625C" w:rsidP="00EA004E">
      <w:r>
        <w:t xml:space="preserve">The primary endpoint for the pivotal study (Study 309) was met, with a statistically significant increase in OS in the </w:t>
      </w:r>
      <w:proofErr w:type="spellStart"/>
      <w:r>
        <w:t>eribulin</w:t>
      </w:r>
      <w:proofErr w:type="spellEnd"/>
      <w:r>
        <w:t xml:space="preserve"> arm, compared with the </w:t>
      </w:r>
      <w:proofErr w:type="spellStart"/>
      <w:r>
        <w:t>dacarbazine</w:t>
      </w:r>
      <w:proofErr w:type="spellEnd"/>
      <w:r>
        <w:t xml:space="preserve"> arm. The median OS in the </w:t>
      </w:r>
      <w:proofErr w:type="spellStart"/>
      <w:r>
        <w:t>eribulin</w:t>
      </w:r>
      <w:proofErr w:type="spellEnd"/>
      <w:r>
        <w:t xml:space="preserve"> arm was 13.5 months compared with 11.5 months for the </w:t>
      </w:r>
      <w:proofErr w:type="spellStart"/>
      <w:r>
        <w:t>dacarbazine</w:t>
      </w:r>
      <w:proofErr w:type="spellEnd"/>
      <w:r>
        <w:t xml:space="preserve"> arm; the HR of OS in favo</w:t>
      </w:r>
      <w:r w:rsidR="00C76777">
        <w:t>u</w:t>
      </w:r>
      <w:r>
        <w:t xml:space="preserve">r of </w:t>
      </w:r>
      <w:proofErr w:type="spellStart"/>
      <w:r>
        <w:t>eribulin</w:t>
      </w:r>
      <w:proofErr w:type="spellEnd"/>
      <w:r>
        <w:t xml:space="preserve"> was 0.768 (95% CI 0.618, 0. 954), P=0.0169. This is impressive considering that this study compared </w:t>
      </w:r>
      <w:proofErr w:type="spellStart"/>
      <w:r>
        <w:t>eribulin</w:t>
      </w:r>
      <w:proofErr w:type="spellEnd"/>
      <w:r>
        <w:t xml:space="preserve"> with an active control, rather than a placebo.</w:t>
      </w:r>
    </w:p>
    <w:p w:rsidR="0043625C" w:rsidRDefault="0043625C" w:rsidP="00EA004E">
      <w:pPr>
        <w:rPr>
          <w:color w:val="000000"/>
        </w:rPr>
      </w:pPr>
      <w:r>
        <w:t xml:space="preserve">The significance of this result has to be judged in the context of the results obtained with other treatments for this disease. Doxorubicin is considered globally as the standard of care in first line treatment of metastatic sarcoma, however little progress has been achieved in this line of treatment over the past few decades. Overall survival rates of 8 to 14 months with </w:t>
      </w:r>
      <w:proofErr w:type="spellStart"/>
      <w:r>
        <w:t>doxorubin</w:t>
      </w:r>
      <w:proofErr w:type="spellEnd"/>
      <w:r w:rsidR="00C76777">
        <w:t xml:space="preserve"> </w:t>
      </w:r>
      <w:r>
        <w:t>have been reported in the literature</w:t>
      </w:r>
      <w:r w:rsidR="00C76777">
        <w:rPr>
          <w:color w:val="000000"/>
        </w:rPr>
        <w:t>.</w:t>
      </w:r>
      <w:r w:rsidR="001E1F67">
        <w:rPr>
          <w:rStyle w:val="FootnoteReference"/>
          <w:color w:val="000000"/>
        </w:rPr>
        <w:footnoteReference w:id="15"/>
      </w:r>
      <w:r w:rsidR="00C76777">
        <w:rPr>
          <w:color w:val="000000"/>
        </w:rPr>
        <w:t xml:space="preserve"> Multiple randomis</w:t>
      </w:r>
      <w:r>
        <w:rPr>
          <w:color w:val="000000"/>
        </w:rPr>
        <w:t xml:space="preserve">ed trials in the past three decades have examined the addition of other agents to doxorubicin as initial therapy for metastatic sarcoma. These agents included vincristine, cyclophosphamide, </w:t>
      </w:r>
      <w:proofErr w:type="spellStart"/>
      <w:r>
        <w:rPr>
          <w:color w:val="000000"/>
        </w:rPr>
        <w:t>actinomycin</w:t>
      </w:r>
      <w:proofErr w:type="spellEnd"/>
      <w:r>
        <w:rPr>
          <w:color w:val="000000"/>
        </w:rPr>
        <w:t xml:space="preserve"> D, </w:t>
      </w:r>
      <w:proofErr w:type="spellStart"/>
      <w:r>
        <w:rPr>
          <w:color w:val="000000"/>
        </w:rPr>
        <w:t>dacarbazine</w:t>
      </w:r>
      <w:proofErr w:type="spellEnd"/>
      <w:r>
        <w:rPr>
          <w:color w:val="000000"/>
        </w:rPr>
        <w:t xml:space="preserve">, </w:t>
      </w:r>
      <w:proofErr w:type="spellStart"/>
      <w:r>
        <w:rPr>
          <w:color w:val="000000"/>
        </w:rPr>
        <w:t>mitomycin</w:t>
      </w:r>
      <w:proofErr w:type="spellEnd"/>
      <w:r>
        <w:rPr>
          <w:color w:val="000000"/>
        </w:rPr>
        <w:t xml:space="preserve"> C, cisplatin and </w:t>
      </w:r>
      <w:proofErr w:type="spellStart"/>
      <w:r>
        <w:rPr>
          <w:color w:val="000000"/>
        </w:rPr>
        <w:t>ifosfamide</w:t>
      </w:r>
      <w:proofErr w:type="spellEnd"/>
      <w:r w:rsidR="00122D4D">
        <w:rPr>
          <w:rStyle w:val="FootnoteReference"/>
          <w:color w:val="000000"/>
        </w:rPr>
        <w:footnoteReference w:id="16"/>
      </w:r>
      <w:r>
        <w:rPr>
          <w:color w:val="000000"/>
        </w:rPr>
        <w:t xml:space="preserve">. Several trials </w:t>
      </w:r>
      <w:r w:rsidR="00C76777">
        <w:rPr>
          <w:color w:val="000000"/>
        </w:rPr>
        <w:t xml:space="preserve">have </w:t>
      </w:r>
      <w:r>
        <w:rPr>
          <w:color w:val="000000"/>
        </w:rPr>
        <w:t xml:space="preserve">demonstrated improved ORR or PFS </w:t>
      </w:r>
      <w:r w:rsidR="00C76777">
        <w:rPr>
          <w:color w:val="000000"/>
        </w:rPr>
        <w:t xml:space="preserve">but not improved OS </w:t>
      </w:r>
      <w:r>
        <w:rPr>
          <w:color w:val="000000"/>
        </w:rPr>
        <w:t xml:space="preserve">compared with doxorubicin as a single agent nor have head-to-head studies of liposomal doxorubicin, </w:t>
      </w:r>
      <w:proofErr w:type="spellStart"/>
      <w:r>
        <w:rPr>
          <w:color w:val="000000"/>
        </w:rPr>
        <w:t>ifosfamide</w:t>
      </w:r>
      <w:proofErr w:type="spellEnd"/>
      <w:r>
        <w:rPr>
          <w:color w:val="000000"/>
        </w:rPr>
        <w:t xml:space="preserve"> or docetaxel against doxorubicin demonst</w:t>
      </w:r>
      <w:r w:rsidR="00C76777">
        <w:rPr>
          <w:color w:val="000000"/>
        </w:rPr>
        <w:t>r</w:t>
      </w:r>
      <w:r>
        <w:rPr>
          <w:color w:val="000000"/>
        </w:rPr>
        <w:t>ated superiority.</w:t>
      </w:r>
      <w:r w:rsidR="00122D4D">
        <w:rPr>
          <w:rStyle w:val="FootnoteReference"/>
          <w:color w:val="000000"/>
        </w:rPr>
        <w:footnoteReference w:id="17"/>
      </w:r>
    </w:p>
    <w:p w:rsidR="0043625C" w:rsidRDefault="0043625C" w:rsidP="00EA004E">
      <w:r>
        <w:t>In th</w:t>
      </w:r>
      <w:r w:rsidR="00C76777">
        <w:t>e past several years, 4 randomis</w:t>
      </w:r>
      <w:r>
        <w:t xml:space="preserve">ed trials have been completed in second or later line of therapy. Two trials, </w:t>
      </w:r>
      <w:proofErr w:type="spellStart"/>
      <w:r>
        <w:t>pazopanib</w:t>
      </w:r>
      <w:proofErr w:type="spellEnd"/>
      <w:r>
        <w:t xml:space="preserve"> and </w:t>
      </w:r>
      <w:proofErr w:type="spellStart"/>
      <w:r>
        <w:t>ridaforolimus</w:t>
      </w:r>
      <w:proofErr w:type="spellEnd"/>
      <w:r>
        <w:t xml:space="preserve"> were placebo </w:t>
      </w:r>
      <w:r w:rsidRPr="00BD223F">
        <w:t>controlled</w:t>
      </w:r>
      <w:r w:rsidR="00BD223F" w:rsidRPr="00BD223F">
        <w:rPr>
          <w:vertAlign w:val="superscript"/>
        </w:rPr>
        <w:fldChar w:fldCharType="begin"/>
      </w:r>
      <w:r w:rsidR="00BD223F" w:rsidRPr="00BD223F">
        <w:rPr>
          <w:vertAlign w:val="superscript"/>
        </w:rPr>
        <w:instrText xml:space="preserve"> NOTEREF _Ref495567404 \h  \* MERGEFORMAT </w:instrText>
      </w:r>
      <w:r w:rsidR="00BD223F" w:rsidRPr="00BD223F">
        <w:rPr>
          <w:vertAlign w:val="superscript"/>
        </w:rPr>
      </w:r>
      <w:r w:rsidR="00BD223F" w:rsidRPr="00BD223F">
        <w:rPr>
          <w:vertAlign w:val="superscript"/>
        </w:rPr>
        <w:fldChar w:fldCharType="separate"/>
      </w:r>
      <w:r w:rsidR="002506E0">
        <w:rPr>
          <w:vertAlign w:val="superscript"/>
        </w:rPr>
        <w:t>31</w:t>
      </w:r>
      <w:r w:rsidR="00BD223F" w:rsidRPr="00BD223F">
        <w:rPr>
          <w:vertAlign w:val="superscript"/>
        </w:rPr>
        <w:fldChar w:fldCharType="end"/>
      </w:r>
      <w:proofErr w:type="gramStart"/>
      <w:r w:rsidR="00BD223F" w:rsidRPr="00BD223F">
        <w:rPr>
          <w:vertAlign w:val="superscript"/>
        </w:rPr>
        <w:t>,</w:t>
      </w:r>
      <w:proofErr w:type="gramEnd"/>
      <w:r w:rsidR="00BD223F" w:rsidRPr="00BD223F">
        <w:rPr>
          <w:vertAlign w:val="superscript"/>
        </w:rPr>
        <w:fldChar w:fldCharType="begin"/>
      </w:r>
      <w:r w:rsidR="00BD223F" w:rsidRPr="00BD223F">
        <w:rPr>
          <w:vertAlign w:val="superscript"/>
        </w:rPr>
        <w:instrText xml:space="preserve"> NOTEREF _Ref495567420 \h  \* MERGEFORMAT </w:instrText>
      </w:r>
      <w:r w:rsidR="00BD223F" w:rsidRPr="00BD223F">
        <w:rPr>
          <w:vertAlign w:val="superscript"/>
        </w:rPr>
      </w:r>
      <w:r w:rsidR="00BD223F" w:rsidRPr="00BD223F">
        <w:rPr>
          <w:vertAlign w:val="superscript"/>
        </w:rPr>
        <w:fldChar w:fldCharType="separate"/>
      </w:r>
      <w:r w:rsidR="002506E0">
        <w:rPr>
          <w:vertAlign w:val="superscript"/>
        </w:rPr>
        <w:t>18</w:t>
      </w:r>
      <w:r w:rsidR="00BD223F" w:rsidRPr="00BD223F">
        <w:rPr>
          <w:vertAlign w:val="superscript"/>
        </w:rPr>
        <w:fldChar w:fldCharType="end"/>
      </w:r>
      <w:r w:rsidRPr="00BD223F">
        <w:t xml:space="preserve"> a</w:t>
      </w:r>
      <w:r>
        <w:t xml:space="preserve">nd two trials, </w:t>
      </w:r>
      <w:proofErr w:type="spellStart"/>
      <w:r>
        <w:t>trabectedin</w:t>
      </w:r>
      <w:proofErr w:type="spellEnd"/>
      <w:r>
        <w:t xml:space="preserve"> and </w:t>
      </w:r>
      <w:proofErr w:type="spellStart"/>
      <w:r>
        <w:t>eribulin</w:t>
      </w:r>
      <w:proofErr w:type="spellEnd"/>
      <w:r>
        <w:t xml:space="preserve"> (the study in this application) were compared with an active agent, </w:t>
      </w:r>
      <w:proofErr w:type="spellStart"/>
      <w:r>
        <w:t>dacarbazine</w:t>
      </w:r>
      <w:proofErr w:type="spellEnd"/>
      <w:r>
        <w:rPr>
          <w:color w:val="000000"/>
        </w:rPr>
        <w:t>.</w:t>
      </w:r>
      <w:bookmarkStart w:id="126" w:name="_Ref495567420"/>
      <w:r w:rsidR="003C479F">
        <w:rPr>
          <w:rStyle w:val="FootnoteReference"/>
          <w:color w:val="000000"/>
        </w:rPr>
        <w:footnoteReference w:id="18"/>
      </w:r>
      <w:bookmarkEnd w:id="126"/>
      <w:r>
        <w:rPr>
          <w:color w:val="000000"/>
        </w:rPr>
        <w:t xml:space="preserve"> Three of the four trials showed improved PFS for the </w:t>
      </w:r>
      <w:r>
        <w:rPr>
          <w:color w:val="000000"/>
        </w:rPr>
        <w:lastRenderedPageBreak/>
        <w:t>experimental arm– 3 months (4.6 v</w:t>
      </w:r>
      <w:r w:rsidR="00C76777">
        <w:rPr>
          <w:color w:val="000000"/>
        </w:rPr>
        <w:t>ersu</w:t>
      </w:r>
      <w:r>
        <w:rPr>
          <w:color w:val="000000"/>
        </w:rPr>
        <w:t xml:space="preserve">s 1.6 months) for </w:t>
      </w:r>
      <w:proofErr w:type="spellStart"/>
      <w:r>
        <w:rPr>
          <w:color w:val="000000"/>
        </w:rPr>
        <w:t>pazopanib</w:t>
      </w:r>
      <w:proofErr w:type="spellEnd"/>
      <w:r>
        <w:rPr>
          <w:color w:val="000000"/>
        </w:rPr>
        <w:t xml:space="preserve">, 2.7 months for </w:t>
      </w:r>
      <w:proofErr w:type="spellStart"/>
      <w:r>
        <w:rPr>
          <w:color w:val="000000"/>
        </w:rPr>
        <w:t>trabectedin</w:t>
      </w:r>
      <w:proofErr w:type="spellEnd"/>
      <w:r>
        <w:rPr>
          <w:color w:val="000000"/>
        </w:rPr>
        <w:t xml:space="preserve"> (4.2 v</w:t>
      </w:r>
      <w:r w:rsidR="00C76777">
        <w:rPr>
          <w:color w:val="000000"/>
        </w:rPr>
        <w:t>ersu</w:t>
      </w:r>
      <w:r>
        <w:rPr>
          <w:color w:val="000000"/>
        </w:rPr>
        <w:t>s 1.5 months), and 3 weeks (17.7 v</w:t>
      </w:r>
      <w:r w:rsidR="00C76777">
        <w:rPr>
          <w:color w:val="000000"/>
        </w:rPr>
        <w:t>ersu</w:t>
      </w:r>
      <w:r>
        <w:rPr>
          <w:color w:val="000000"/>
        </w:rPr>
        <w:t>s</w:t>
      </w:r>
      <w:r>
        <w:t xml:space="preserve">14.6 weeks) for </w:t>
      </w:r>
      <w:proofErr w:type="spellStart"/>
      <w:r>
        <w:t>ridaforolimus</w:t>
      </w:r>
      <w:proofErr w:type="spellEnd"/>
      <w:r>
        <w:t xml:space="preserve">, but none of those trials showed improvement in OS. Despite the absence of a survival benefit, these results were considered sufficient to lead to regulatory approval for </w:t>
      </w:r>
      <w:proofErr w:type="spellStart"/>
      <w:r>
        <w:t>pazopanib</w:t>
      </w:r>
      <w:proofErr w:type="spellEnd"/>
      <w:r>
        <w:t xml:space="preserve"> and </w:t>
      </w:r>
      <w:proofErr w:type="spellStart"/>
      <w:r>
        <w:t>trabectedin</w:t>
      </w:r>
      <w:proofErr w:type="spellEnd"/>
      <w:r>
        <w:t xml:space="preserve">, but not for </w:t>
      </w:r>
      <w:proofErr w:type="spellStart"/>
      <w:r>
        <w:t>ridaforolimus</w:t>
      </w:r>
      <w:proofErr w:type="spellEnd"/>
      <w:r>
        <w:t>.</w:t>
      </w:r>
    </w:p>
    <w:p w:rsidR="0043625C" w:rsidRDefault="0043625C" w:rsidP="00EA004E">
      <w:r>
        <w:t xml:space="preserve">In contrast to these data, the study of </w:t>
      </w:r>
      <w:proofErr w:type="spellStart"/>
      <w:r>
        <w:t>eribulin</w:t>
      </w:r>
      <w:proofErr w:type="spellEnd"/>
      <w:r>
        <w:t xml:space="preserve"> discussed herein, while not demonstrating an improvement in PFS, did convincingly improve OS by 2.0 months compared with </w:t>
      </w:r>
      <w:proofErr w:type="spellStart"/>
      <w:r>
        <w:t>dacarbazine</w:t>
      </w:r>
      <w:proofErr w:type="spellEnd"/>
      <w:r>
        <w:t xml:space="preserve">. </w:t>
      </w:r>
      <w:proofErr w:type="spellStart"/>
      <w:r>
        <w:t>Eribulin</w:t>
      </w:r>
      <w:proofErr w:type="spellEnd"/>
      <w:r>
        <w:t xml:space="preserve">, in this trial, therefore, is the only drug in later than first line treatment to demonstrate a survival advantage over the comparator. It is also noteworthy that this is an active-controlled trial. The trial presented in this submission of </w:t>
      </w:r>
      <w:proofErr w:type="spellStart"/>
      <w:r>
        <w:t>eribulin</w:t>
      </w:r>
      <w:proofErr w:type="spellEnd"/>
      <w:r>
        <w:t xml:space="preserve"> compared with </w:t>
      </w:r>
      <w:proofErr w:type="spellStart"/>
      <w:r>
        <w:t>dacarbazine</w:t>
      </w:r>
      <w:proofErr w:type="spellEnd"/>
      <w:r>
        <w:t xml:space="preserve"> is clinically significant and represents considerable therapeutic progress, as it is the first trial of one single agent compared with another (not placebo) to demonstrate improvement of the gold standard of efficacy,</w:t>
      </w:r>
      <w:r>
        <w:rPr>
          <w:spacing w:val="-3"/>
        </w:rPr>
        <w:t xml:space="preserve"> </w:t>
      </w:r>
      <w:r>
        <w:t>OS.</w:t>
      </w:r>
    </w:p>
    <w:p w:rsidR="0043625C" w:rsidRDefault="0043625C" w:rsidP="00EA004E">
      <w:r>
        <w:t xml:space="preserve">The observed discrepancy for OS and PFS in the overall population of Study 309 has been observed before with </w:t>
      </w:r>
      <w:proofErr w:type="spellStart"/>
      <w:r>
        <w:t>eribulin</w:t>
      </w:r>
      <w:proofErr w:type="spellEnd"/>
      <w:r>
        <w:t xml:space="preserve"> and is consistent with the results from previous studies of </w:t>
      </w:r>
      <w:proofErr w:type="spellStart"/>
      <w:r>
        <w:t>eribulin</w:t>
      </w:r>
      <w:proofErr w:type="spellEnd"/>
      <w:r>
        <w:t xml:space="preserve"> in metastatic breast cancer (MBC), which have shown greater effects in OS compared with PFS (Study E7389-G000-301 and Study E7389-G000-305). In Study 309, no significant difference in the median PFS was observed between the 2 study arms with a median of 2.6 months in both the </w:t>
      </w:r>
      <w:proofErr w:type="spellStart"/>
      <w:r>
        <w:t>eribulin</w:t>
      </w:r>
      <w:proofErr w:type="spellEnd"/>
      <w:r>
        <w:t xml:space="preserve"> arm and the </w:t>
      </w:r>
      <w:proofErr w:type="spellStart"/>
      <w:r>
        <w:t>dacarbazine</w:t>
      </w:r>
      <w:proofErr w:type="spellEnd"/>
      <w:r>
        <w:t xml:space="preserve"> arm although there was a numerical benefit in </w:t>
      </w:r>
      <w:r w:rsidR="00472069">
        <w:t>favour</w:t>
      </w:r>
      <w:r>
        <w:t xml:space="preserve"> of </w:t>
      </w:r>
      <w:proofErr w:type="spellStart"/>
      <w:r>
        <w:t>eribulin</w:t>
      </w:r>
      <w:proofErr w:type="spellEnd"/>
      <w:r>
        <w:t xml:space="preserve"> for the hazard ratio (HR=0.877; 95% CI=0.710, 1.085; </w:t>
      </w:r>
      <w:r>
        <w:rPr>
          <w:i/>
          <w:iCs/>
        </w:rPr>
        <w:t>P</w:t>
      </w:r>
      <w:r>
        <w:t xml:space="preserve">=0.2287 stratified log-rank test). These results, with greater effects on OS than on PFS, may be related to mechanisms of action of </w:t>
      </w:r>
      <w:proofErr w:type="spellStart"/>
      <w:r>
        <w:t>eribulin</w:t>
      </w:r>
      <w:proofErr w:type="spellEnd"/>
      <w:r>
        <w:t xml:space="preserve"> that cause changes in the </w:t>
      </w:r>
      <w:proofErr w:type="spellStart"/>
      <w:r>
        <w:t>tumor</w:t>
      </w:r>
      <w:proofErr w:type="spellEnd"/>
      <w:r>
        <w:t xml:space="preserve"> microenvironment with important effects on </w:t>
      </w:r>
      <w:proofErr w:type="spellStart"/>
      <w:r>
        <w:t>tumor</w:t>
      </w:r>
      <w:proofErr w:type="spellEnd"/>
      <w:r>
        <w:t xml:space="preserve"> biology and phenotype in both MBC and STS resulting in more differentiated, less aggressive residual </w:t>
      </w:r>
      <w:proofErr w:type="spellStart"/>
      <w:r>
        <w:t>tumors</w:t>
      </w:r>
      <w:proofErr w:type="spellEnd"/>
      <w:r>
        <w:t>.</w:t>
      </w:r>
    </w:p>
    <w:p w:rsidR="0043625C" w:rsidRDefault="0043625C" w:rsidP="00EA004E">
      <w:pPr>
        <w:rPr>
          <w:color w:val="000000"/>
        </w:rPr>
      </w:pPr>
      <w:r>
        <w:t xml:space="preserve">Overall survival and PFS benefits in favour of </w:t>
      </w:r>
      <w:proofErr w:type="spellStart"/>
      <w:r>
        <w:t>eribulin</w:t>
      </w:r>
      <w:proofErr w:type="spellEnd"/>
      <w:r>
        <w:t xml:space="preserve"> were observed consistently in all </w:t>
      </w:r>
      <w:proofErr w:type="spellStart"/>
      <w:r>
        <w:t>liposarcoma</w:t>
      </w:r>
      <w:proofErr w:type="spellEnd"/>
      <w:r>
        <w:t xml:space="preserve"> subgroups. The subgroup analyses for the </w:t>
      </w:r>
      <w:proofErr w:type="spellStart"/>
      <w:r>
        <w:t>liposarcoma</w:t>
      </w:r>
      <w:proofErr w:type="spellEnd"/>
      <w:r>
        <w:t xml:space="preserve"> histology and within the </w:t>
      </w:r>
      <w:proofErr w:type="spellStart"/>
      <w:r>
        <w:t>liposarcoma</w:t>
      </w:r>
      <w:proofErr w:type="spellEnd"/>
      <w:r>
        <w:t xml:space="preserve"> histology subtypes (dedifferentiated, pleomorphic, </w:t>
      </w:r>
      <w:proofErr w:type="spellStart"/>
      <w:r>
        <w:t>myxoid</w:t>
      </w:r>
      <w:proofErr w:type="spellEnd"/>
      <w:r>
        <w:t xml:space="preserve">/round cell </w:t>
      </w:r>
      <w:proofErr w:type="spellStart"/>
      <w:r>
        <w:t>liposarcoma</w:t>
      </w:r>
      <w:proofErr w:type="spellEnd"/>
      <w:r>
        <w:t xml:space="preserve">) are consistent with the observed effect in the overall </w:t>
      </w:r>
      <w:proofErr w:type="spellStart"/>
      <w:r>
        <w:t>liposarcoma</w:t>
      </w:r>
      <w:proofErr w:type="spellEnd"/>
      <w:r>
        <w:t xml:space="preserve"> population. Results with LMS were more heterogeneous with PFS and OS outcomes favo</w:t>
      </w:r>
      <w:r w:rsidR="00C76777">
        <w:t>u</w:t>
      </w:r>
      <w:r>
        <w:t xml:space="preserve">ring </w:t>
      </w:r>
      <w:proofErr w:type="spellStart"/>
      <w:r>
        <w:t>eribulin</w:t>
      </w:r>
      <w:proofErr w:type="spellEnd"/>
      <w:r>
        <w:t xml:space="preserve"> for subjects with non</w:t>
      </w:r>
      <w:r w:rsidR="00C76777">
        <w:t>-</w:t>
      </w:r>
      <w:r>
        <w:t xml:space="preserve">uterine LMS but PFS and OS favouring </w:t>
      </w:r>
      <w:proofErr w:type="spellStart"/>
      <w:r>
        <w:t>dacarbazine</w:t>
      </w:r>
      <w:proofErr w:type="spellEnd"/>
      <w:r>
        <w:t xml:space="preserve"> for subjects with uterine LMS. The heterogeneous results of LMS patients and subgroups of LMS patients are difficult to interpret in </w:t>
      </w:r>
      <w:r w:rsidR="00C76777">
        <w:t>the context of previous randomis</w:t>
      </w:r>
      <w:r>
        <w:t>ed sarcoma trials</w:t>
      </w:r>
      <w:r>
        <w:rPr>
          <w:color w:val="000000"/>
        </w:rPr>
        <w:t>.</w:t>
      </w:r>
      <w:r w:rsidR="003C479F">
        <w:rPr>
          <w:rStyle w:val="FootnoteReference"/>
          <w:color w:val="000000"/>
        </w:rPr>
        <w:footnoteReference w:id="19"/>
      </w:r>
      <w:r>
        <w:rPr>
          <w:color w:val="000000"/>
        </w:rPr>
        <w:t xml:space="preserve"> As such it is the </w:t>
      </w:r>
      <w:r w:rsidR="00C76777">
        <w:rPr>
          <w:color w:val="000000"/>
        </w:rPr>
        <w:t>sponsor’s</w:t>
      </w:r>
      <w:r>
        <w:rPr>
          <w:color w:val="000000"/>
        </w:rPr>
        <w:t xml:space="preserve"> opinion that the positive outcomes of </w:t>
      </w:r>
      <w:r w:rsidR="00A83D61">
        <w:rPr>
          <w:color w:val="000000"/>
        </w:rPr>
        <w:t>Study</w:t>
      </w:r>
      <w:r>
        <w:rPr>
          <w:color w:val="000000"/>
        </w:rPr>
        <w:t xml:space="preserve"> 309 apply to the entire </w:t>
      </w:r>
      <w:r w:rsidR="00A83D61">
        <w:rPr>
          <w:color w:val="000000"/>
        </w:rPr>
        <w:t>ITT</w:t>
      </w:r>
      <w:r>
        <w:rPr>
          <w:color w:val="000000"/>
        </w:rPr>
        <w:t xml:space="preserve"> population without regard to subgroups.</w:t>
      </w:r>
    </w:p>
    <w:p w:rsidR="0043625C" w:rsidRDefault="00A83D61" w:rsidP="00EA004E">
      <w:pPr>
        <w:rPr>
          <w:color w:val="000000"/>
        </w:rPr>
      </w:pPr>
      <w:r>
        <w:t>Individual published randomis</w:t>
      </w:r>
      <w:r w:rsidR="0043625C">
        <w:t>ed chemotherapy trials in sarcoma patients have</w:t>
      </w:r>
      <w:r w:rsidR="00F13CF2">
        <w:t xml:space="preserve"> </w:t>
      </w:r>
      <w:r w:rsidR="0043625C">
        <w:t xml:space="preserve">shown differences in response rates (RR) by histology to different chemotherapy regimens but no differences in OS. One trial of doxorubicin plus </w:t>
      </w:r>
      <w:proofErr w:type="spellStart"/>
      <w:r w:rsidR="0043625C">
        <w:t>dacarbazine</w:t>
      </w:r>
      <w:proofErr w:type="spellEnd"/>
      <w:r w:rsidR="0043625C">
        <w:t xml:space="preserve"> showed an increase in the </w:t>
      </w:r>
      <w:r w:rsidR="00574838">
        <w:t>relative risk (</w:t>
      </w:r>
      <w:r w:rsidR="0043625C">
        <w:t>RR</w:t>
      </w:r>
      <w:r w:rsidR="00574838">
        <w:t>)</w:t>
      </w:r>
      <w:r w:rsidR="0043625C">
        <w:t xml:space="preserve"> from 20% for single agent doxorubicin to 30% with the combination for all sarcoma patients, and to 45% for patients with </w:t>
      </w:r>
      <w:proofErr w:type="spellStart"/>
      <w:r w:rsidR="0043625C">
        <w:t>leiomyosarcoma</w:t>
      </w:r>
      <w:proofErr w:type="spellEnd"/>
      <w:r w:rsidR="0043625C">
        <w:rPr>
          <w:color w:val="000000"/>
        </w:rPr>
        <w:t>.</w:t>
      </w:r>
      <w:r w:rsidR="00CD079B">
        <w:rPr>
          <w:rStyle w:val="FootnoteReference"/>
          <w:color w:val="000000"/>
        </w:rPr>
        <w:footnoteReference w:id="20"/>
      </w:r>
      <w:r w:rsidR="0043625C">
        <w:rPr>
          <w:color w:val="000000"/>
        </w:rPr>
        <w:t xml:space="preserve"> This was one of the first trials to demonstrate that </w:t>
      </w:r>
      <w:proofErr w:type="spellStart"/>
      <w:r w:rsidR="0043625C">
        <w:rPr>
          <w:color w:val="000000"/>
        </w:rPr>
        <w:t>dacarbazine</w:t>
      </w:r>
      <w:proofErr w:type="spellEnd"/>
      <w:r w:rsidR="0043625C">
        <w:rPr>
          <w:color w:val="000000"/>
        </w:rPr>
        <w:t xml:space="preserve"> (or its oral equivalent, </w:t>
      </w:r>
      <w:proofErr w:type="spellStart"/>
      <w:r w:rsidR="0043625C">
        <w:rPr>
          <w:color w:val="000000"/>
        </w:rPr>
        <w:t>temozolomide</w:t>
      </w:r>
      <w:proofErr w:type="spellEnd"/>
      <w:r w:rsidR="0043625C">
        <w:rPr>
          <w:color w:val="000000"/>
        </w:rPr>
        <w:t xml:space="preserve">) appeared to be more active in LMS than in other sarcomas. This observation has been </w:t>
      </w:r>
      <w:r w:rsidR="0043625C">
        <w:rPr>
          <w:color w:val="000000"/>
        </w:rPr>
        <w:lastRenderedPageBreak/>
        <w:t>repr</w:t>
      </w:r>
      <w:r w:rsidR="00CD079B">
        <w:rPr>
          <w:color w:val="000000"/>
        </w:rPr>
        <w:t>oduced in several other trials</w:t>
      </w:r>
      <w:r w:rsidR="0043625C">
        <w:rPr>
          <w:color w:val="000000"/>
        </w:rPr>
        <w:t>.</w:t>
      </w:r>
      <w:r w:rsidR="00CD079B">
        <w:rPr>
          <w:rStyle w:val="FootnoteReference"/>
          <w:color w:val="000000"/>
        </w:rPr>
        <w:footnoteReference w:id="21"/>
      </w:r>
      <w:r w:rsidR="0043625C">
        <w:rPr>
          <w:color w:val="000000"/>
        </w:rPr>
        <w:t xml:space="preserve"> Another report showed a higher RR for patients with synovial sarcoma treated with doxorubicin and </w:t>
      </w:r>
      <w:proofErr w:type="spellStart"/>
      <w:r w:rsidR="0043625C">
        <w:rPr>
          <w:color w:val="000000"/>
        </w:rPr>
        <w:t>ifosfamide</w:t>
      </w:r>
      <w:proofErr w:type="spellEnd"/>
      <w:r w:rsidR="0043625C">
        <w:rPr>
          <w:color w:val="000000"/>
        </w:rPr>
        <w:t xml:space="preserve"> than for other </w:t>
      </w:r>
      <w:proofErr w:type="spellStart"/>
      <w:r w:rsidR="0043625C">
        <w:rPr>
          <w:color w:val="000000"/>
        </w:rPr>
        <w:t>histologies</w:t>
      </w:r>
      <w:proofErr w:type="spellEnd"/>
      <w:r w:rsidR="0043625C">
        <w:rPr>
          <w:color w:val="000000"/>
        </w:rPr>
        <w:t>.</w:t>
      </w:r>
      <w:r w:rsidR="00CD079B">
        <w:rPr>
          <w:rStyle w:val="FootnoteReference"/>
          <w:color w:val="000000"/>
        </w:rPr>
        <w:footnoteReference w:id="22"/>
      </w:r>
      <w:r w:rsidR="0043625C">
        <w:rPr>
          <w:color w:val="000000"/>
        </w:rPr>
        <w:t xml:space="preserve"> There is currently no data to support a biological rationale for a differential response effect of various chemotherapy agents by subtype</w:t>
      </w:r>
      <w:r>
        <w:rPr>
          <w:color w:val="000000"/>
        </w:rPr>
        <w:t>, for example</w:t>
      </w:r>
      <w:r w:rsidR="0043625C">
        <w:rPr>
          <w:color w:val="000000"/>
        </w:rPr>
        <w:t xml:space="preserve"> </w:t>
      </w:r>
      <w:proofErr w:type="spellStart"/>
      <w:r w:rsidR="0043625C">
        <w:rPr>
          <w:color w:val="000000"/>
        </w:rPr>
        <w:t>liposarcoma</w:t>
      </w:r>
      <w:proofErr w:type="spellEnd"/>
      <w:r w:rsidR="0043625C">
        <w:rPr>
          <w:color w:val="000000"/>
        </w:rPr>
        <w:t xml:space="preserve">, LMS or synovial sarcoma. Importantly, none of these combination trials has demonstrated a statistically significant improvement in OS in either of these </w:t>
      </w:r>
      <w:proofErr w:type="spellStart"/>
      <w:r w:rsidR="0043625C">
        <w:rPr>
          <w:color w:val="000000"/>
        </w:rPr>
        <w:t>histologies</w:t>
      </w:r>
      <w:proofErr w:type="spellEnd"/>
      <w:r w:rsidR="0043625C">
        <w:rPr>
          <w:color w:val="000000"/>
        </w:rPr>
        <w:t xml:space="preserve"> compared with</w:t>
      </w:r>
      <w:r w:rsidR="0043625C">
        <w:rPr>
          <w:color w:val="000000"/>
          <w:spacing w:val="-2"/>
        </w:rPr>
        <w:t xml:space="preserve"> </w:t>
      </w:r>
      <w:r w:rsidR="0043625C">
        <w:rPr>
          <w:color w:val="000000"/>
        </w:rPr>
        <w:t>doxorubicin.</w:t>
      </w:r>
    </w:p>
    <w:p w:rsidR="0043625C" w:rsidRDefault="0043625C" w:rsidP="00EA004E">
      <w:pPr>
        <w:rPr>
          <w:color w:val="000000"/>
        </w:rPr>
      </w:pPr>
      <w:r>
        <w:t xml:space="preserve">Up until about the year 2000 large sarcoma trials enrolled high grade sarcoma patients and did not stratify by separate </w:t>
      </w:r>
      <w:proofErr w:type="spellStart"/>
      <w:r>
        <w:t>histologies</w:t>
      </w:r>
      <w:proofErr w:type="spellEnd"/>
      <w:r>
        <w:t xml:space="preserve">. Around then it became clear that Gastrointestinal Stromal </w:t>
      </w:r>
      <w:proofErr w:type="spellStart"/>
      <w:r>
        <w:t>Tumor</w:t>
      </w:r>
      <w:proofErr w:type="spellEnd"/>
      <w:r>
        <w:t xml:space="preserve"> was a distinct sarcoma su</w:t>
      </w:r>
      <w:r w:rsidR="00A83D61">
        <w:t>btype characteris</w:t>
      </w:r>
      <w:r>
        <w:t xml:space="preserve">ed by mutation and overexpression of the CKIT tyrosine kinase. This property made GIST uniquely sensitive to therapy with </w:t>
      </w:r>
      <w:proofErr w:type="spellStart"/>
      <w:r>
        <w:t>imatinib</w:t>
      </w:r>
      <w:proofErr w:type="spellEnd"/>
      <w:r>
        <w:t>, a CKIT tyrosine kinase inhibitor</w:t>
      </w:r>
      <w:r>
        <w:rPr>
          <w:color w:val="000000"/>
        </w:rPr>
        <w:t>.</w:t>
      </w:r>
      <w:r w:rsidR="00CD079B">
        <w:rPr>
          <w:rStyle w:val="FootnoteReference"/>
          <w:color w:val="000000"/>
        </w:rPr>
        <w:footnoteReference w:id="23"/>
      </w:r>
      <w:r>
        <w:rPr>
          <w:color w:val="000000"/>
        </w:rPr>
        <w:t xml:space="preserve"> This success led to many more subtype specific therapy trials and multi arm trials to separately evaluate certain</w:t>
      </w:r>
      <w:r>
        <w:rPr>
          <w:color w:val="000000"/>
          <w:spacing w:val="-18"/>
        </w:rPr>
        <w:t xml:space="preserve"> </w:t>
      </w:r>
      <w:proofErr w:type="spellStart"/>
      <w:r>
        <w:rPr>
          <w:color w:val="000000"/>
        </w:rPr>
        <w:t>histologies</w:t>
      </w:r>
      <w:proofErr w:type="spellEnd"/>
      <w:r>
        <w:rPr>
          <w:color w:val="000000"/>
        </w:rPr>
        <w:t>.</w:t>
      </w:r>
    </w:p>
    <w:p w:rsidR="0043625C" w:rsidRDefault="0043625C" w:rsidP="00EA004E">
      <w:pPr>
        <w:rPr>
          <w:color w:val="000000"/>
        </w:rPr>
      </w:pPr>
      <w:r>
        <w:t>There have been some modest successes in very rare subtypes</w:t>
      </w:r>
      <w:r w:rsidR="00A83D61">
        <w:t xml:space="preserve">, </w:t>
      </w:r>
      <w:r>
        <w:t>use of angiogenesis inhibitors (</w:t>
      </w:r>
      <w:proofErr w:type="spellStart"/>
      <w:r>
        <w:t>sorafenib</w:t>
      </w:r>
      <w:proofErr w:type="spellEnd"/>
      <w:r w:rsidR="00472069">
        <w:t xml:space="preserve"> and</w:t>
      </w:r>
      <w:r>
        <w:t xml:space="preserve"> bevacizumab) for </w:t>
      </w:r>
      <w:proofErr w:type="spellStart"/>
      <w:r>
        <w:t>angiosarcomas</w:t>
      </w:r>
      <w:proofErr w:type="spellEnd"/>
      <w:r w:rsidR="00CD079B">
        <w:rPr>
          <w:rStyle w:val="FootnoteReference"/>
        </w:rPr>
        <w:footnoteReference w:id="24"/>
      </w:r>
      <w:r>
        <w:rPr>
          <w:color w:val="000000"/>
        </w:rPr>
        <w:t xml:space="preserve"> </w:t>
      </w:r>
      <w:proofErr w:type="spellStart"/>
      <w:r>
        <w:rPr>
          <w:color w:val="000000"/>
        </w:rPr>
        <w:t>imatinib</w:t>
      </w:r>
      <w:proofErr w:type="spellEnd"/>
      <w:r>
        <w:rPr>
          <w:color w:val="000000"/>
        </w:rPr>
        <w:t xml:space="preserve"> (also a PDGFR inhibitor) for dermatofibrosarcoma protuberans and </w:t>
      </w:r>
      <w:proofErr w:type="spellStart"/>
      <w:r>
        <w:rPr>
          <w:color w:val="000000"/>
        </w:rPr>
        <w:t>chordoma</w:t>
      </w:r>
      <w:proofErr w:type="spellEnd"/>
      <w:r w:rsidR="00CD079B">
        <w:rPr>
          <w:rStyle w:val="FootnoteReference"/>
          <w:color w:val="000000"/>
        </w:rPr>
        <w:footnoteReference w:id="25"/>
      </w:r>
      <w:r>
        <w:rPr>
          <w:color w:val="000000"/>
        </w:rPr>
        <w:t xml:space="preserve">, </w:t>
      </w:r>
      <w:proofErr w:type="spellStart"/>
      <w:r>
        <w:rPr>
          <w:color w:val="000000"/>
        </w:rPr>
        <w:t>mTOR</w:t>
      </w:r>
      <w:proofErr w:type="spellEnd"/>
      <w:r>
        <w:rPr>
          <w:color w:val="000000"/>
        </w:rPr>
        <w:t xml:space="preserve"> inhibitors for malignant perivascular epithelioid cell </w:t>
      </w:r>
      <w:proofErr w:type="spellStart"/>
      <w:r>
        <w:rPr>
          <w:color w:val="000000"/>
        </w:rPr>
        <w:t>tumors</w:t>
      </w:r>
      <w:proofErr w:type="spellEnd"/>
      <w:r>
        <w:rPr>
          <w:color w:val="000000"/>
        </w:rPr>
        <w:t xml:space="preserve"> (</w:t>
      </w:r>
      <w:proofErr w:type="spellStart"/>
      <w:r>
        <w:rPr>
          <w:color w:val="000000"/>
        </w:rPr>
        <w:t>PEComas</w:t>
      </w:r>
      <w:proofErr w:type="spellEnd"/>
      <w:r>
        <w:rPr>
          <w:color w:val="000000"/>
        </w:rPr>
        <w:t>)</w:t>
      </w:r>
      <w:r w:rsidR="00CD079B">
        <w:rPr>
          <w:rStyle w:val="FootnoteReference"/>
          <w:color w:val="000000"/>
        </w:rPr>
        <w:footnoteReference w:id="26"/>
      </w:r>
      <w:r>
        <w:rPr>
          <w:color w:val="000000"/>
        </w:rPr>
        <w:t xml:space="preserve"> and the RANK ligand agonist </w:t>
      </w:r>
      <w:proofErr w:type="spellStart"/>
      <w:r>
        <w:rPr>
          <w:color w:val="000000"/>
        </w:rPr>
        <w:t>denosumab</w:t>
      </w:r>
      <w:proofErr w:type="spellEnd"/>
      <w:r>
        <w:rPr>
          <w:color w:val="000000"/>
        </w:rPr>
        <w:t xml:space="preserve"> for giant cell </w:t>
      </w:r>
      <w:proofErr w:type="spellStart"/>
      <w:r>
        <w:rPr>
          <w:color w:val="000000"/>
        </w:rPr>
        <w:t>tumors</w:t>
      </w:r>
      <w:proofErr w:type="spellEnd"/>
      <w:r>
        <w:rPr>
          <w:color w:val="000000"/>
        </w:rPr>
        <w:t xml:space="preserve"> of bone</w:t>
      </w:r>
      <w:r w:rsidR="00CD079B">
        <w:rPr>
          <w:color w:val="000000"/>
        </w:rPr>
        <w:t>.</w:t>
      </w:r>
      <w:r w:rsidR="00CD079B">
        <w:rPr>
          <w:rStyle w:val="FootnoteReference"/>
          <w:color w:val="000000"/>
        </w:rPr>
        <w:footnoteReference w:id="27"/>
      </w:r>
    </w:p>
    <w:p w:rsidR="0043625C" w:rsidRDefault="0043625C" w:rsidP="00EA004E">
      <w:pPr>
        <w:rPr>
          <w:color w:val="000000"/>
        </w:rPr>
      </w:pPr>
      <w:r>
        <w:t xml:space="preserve">In the past decade multiple trials of both cytotoxic and targeted therapy have been conducted trying to establish meaningful differences between various subtypes of sarcoma. Such studies included </w:t>
      </w:r>
      <w:proofErr w:type="spellStart"/>
      <w:r>
        <w:t>pazopanib</w:t>
      </w:r>
      <w:proofErr w:type="spellEnd"/>
      <w:r>
        <w:t xml:space="preserve"> (</w:t>
      </w:r>
      <w:proofErr w:type="spellStart"/>
      <w:r>
        <w:t>leiomyosarcoma</w:t>
      </w:r>
      <w:proofErr w:type="spellEnd"/>
      <w:r>
        <w:t xml:space="preserve">, </w:t>
      </w:r>
      <w:proofErr w:type="spellStart"/>
      <w:r>
        <w:t>liposarcoma</w:t>
      </w:r>
      <w:proofErr w:type="spellEnd"/>
      <w:r>
        <w:t>, synovial sarcoma and other)</w:t>
      </w:r>
      <w:r w:rsidR="00CD079B">
        <w:rPr>
          <w:rStyle w:val="FootnoteReference"/>
        </w:rPr>
        <w:footnoteReference w:id="28"/>
      </w:r>
      <w:r>
        <w:rPr>
          <w:color w:val="000000"/>
        </w:rPr>
        <w:t xml:space="preserve">, </w:t>
      </w:r>
      <w:proofErr w:type="spellStart"/>
      <w:r>
        <w:rPr>
          <w:color w:val="000000"/>
        </w:rPr>
        <w:t>ridaforolimus</w:t>
      </w:r>
      <w:proofErr w:type="spellEnd"/>
      <w:r>
        <w:rPr>
          <w:color w:val="000000"/>
        </w:rPr>
        <w:t xml:space="preserve"> (bone sarcomas, </w:t>
      </w:r>
      <w:proofErr w:type="spellStart"/>
      <w:r>
        <w:rPr>
          <w:color w:val="000000"/>
        </w:rPr>
        <w:t>leiomyosarcoma</w:t>
      </w:r>
      <w:proofErr w:type="spellEnd"/>
      <w:r>
        <w:rPr>
          <w:color w:val="000000"/>
        </w:rPr>
        <w:t xml:space="preserve">, </w:t>
      </w:r>
      <w:proofErr w:type="spellStart"/>
      <w:r>
        <w:rPr>
          <w:color w:val="000000"/>
        </w:rPr>
        <w:t>liposarcoma</w:t>
      </w:r>
      <w:proofErr w:type="spellEnd"/>
      <w:r>
        <w:rPr>
          <w:color w:val="000000"/>
        </w:rPr>
        <w:t xml:space="preserve"> and other sarcoma)</w:t>
      </w:r>
      <w:r w:rsidR="00CD079B">
        <w:rPr>
          <w:rStyle w:val="FootnoteReference"/>
          <w:color w:val="000000"/>
        </w:rPr>
        <w:footnoteReference w:id="29"/>
      </w:r>
      <w:r>
        <w:rPr>
          <w:color w:val="000000"/>
        </w:rPr>
        <w:t xml:space="preserve"> and </w:t>
      </w:r>
      <w:proofErr w:type="spellStart"/>
      <w:r>
        <w:rPr>
          <w:color w:val="000000"/>
        </w:rPr>
        <w:t>eribulin</w:t>
      </w:r>
      <w:proofErr w:type="spellEnd"/>
      <w:r>
        <w:rPr>
          <w:color w:val="000000"/>
        </w:rPr>
        <w:t xml:space="preserve"> (</w:t>
      </w:r>
      <w:proofErr w:type="spellStart"/>
      <w:r>
        <w:rPr>
          <w:color w:val="000000"/>
        </w:rPr>
        <w:t>leiomyosarcoma</w:t>
      </w:r>
      <w:proofErr w:type="spellEnd"/>
      <w:r>
        <w:rPr>
          <w:color w:val="000000"/>
        </w:rPr>
        <w:t xml:space="preserve">, </w:t>
      </w:r>
      <w:proofErr w:type="spellStart"/>
      <w:r>
        <w:rPr>
          <w:color w:val="000000"/>
        </w:rPr>
        <w:t>liposarcoma</w:t>
      </w:r>
      <w:proofErr w:type="spellEnd"/>
      <w:r>
        <w:rPr>
          <w:color w:val="000000"/>
        </w:rPr>
        <w:t xml:space="preserve">, synovial sarcoma and </w:t>
      </w:r>
      <w:r>
        <w:rPr>
          <w:color w:val="000000"/>
        </w:rPr>
        <w:lastRenderedPageBreak/>
        <w:t>other)</w:t>
      </w:r>
      <w:r w:rsidR="00CD079B">
        <w:rPr>
          <w:rStyle w:val="FootnoteReference"/>
          <w:color w:val="000000"/>
        </w:rPr>
        <w:footnoteReference w:id="30"/>
      </w:r>
      <w:r>
        <w:rPr>
          <w:color w:val="000000"/>
        </w:rPr>
        <w:t>. Each of these non-randomized</w:t>
      </w:r>
      <w:r w:rsidR="00E77D03">
        <w:rPr>
          <w:color w:val="000000"/>
        </w:rPr>
        <w:t xml:space="preserve"> Phase II studies led to randomis</w:t>
      </w:r>
      <w:r>
        <w:rPr>
          <w:color w:val="000000"/>
        </w:rPr>
        <w:t>ed trials in histology subtypes deemed positive by PFR12w</w:t>
      </w:r>
      <w:r w:rsidR="00E77D03">
        <w:rPr>
          <w:color w:val="000000"/>
        </w:rPr>
        <w:t>ks</w:t>
      </w:r>
      <w:r>
        <w:rPr>
          <w:color w:val="000000"/>
        </w:rPr>
        <w:t xml:space="preserve"> or clinical benefit rate (CBR). Thus the </w:t>
      </w:r>
      <w:proofErr w:type="spellStart"/>
      <w:r>
        <w:rPr>
          <w:color w:val="000000"/>
        </w:rPr>
        <w:t>pazopanib</w:t>
      </w:r>
      <w:proofErr w:type="spellEnd"/>
      <w:r>
        <w:rPr>
          <w:color w:val="000000"/>
        </w:rPr>
        <w:t xml:space="preserve"> Phase </w:t>
      </w:r>
      <w:r w:rsidR="00E77D03">
        <w:rPr>
          <w:color w:val="000000"/>
        </w:rPr>
        <w:t>III</w:t>
      </w:r>
      <w:r>
        <w:rPr>
          <w:color w:val="000000"/>
        </w:rPr>
        <w:t xml:space="preserve"> trial was conducted in </w:t>
      </w:r>
      <w:proofErr w:type="spellStart"/>
      <w:r>
        <w:rPr>
          <w:color w:val="000000"/>
        </w:rPr>
        <w:t>leiomy</w:t>
      </w:r>
      <w:r w:rsidR="00E77D03">
        <w:rPr>
          <w:color w:val="000000"/>
        </w:rPr>
        <w:t>osarcoma</w:t>
      </w:r>
      <w:proofErr w:type="spellEnd"/>
      <w:r w:rsidR="00E77D03">
        <w:rPr>
          <w:color w:val="000000"/>
        </w:rPr>
        <w:t>, synovial sarcoma and ‘</w:t>
      </w:r>
      <w:r>
        <w:rPr>
          <w:color w:val="000000"/>
        </w:rPr>
        <w:t>other</w:t>
      </w:r>
      <w:r w:rsidR="00E77D03">
        <w:rPr>
          <w:color w:val="000000"/>
        </w:rPr>
        <w:t>’</w:t>
      </w:r>
      <w:r>
        <w:rPr>
          <w:color w:val="000000"/>
        </w:rPr>
        <w:t xml:space="preserve"> sarcoma patients and was positive for PFS but not for OS</w:t>
      </w:r>
      <w:hyperlink w:anchor="bookmark3" w:history="1"/>
      <w:r>
        <w:rPr>
          <w:color w:val="000000"/>
        </w:rPr>
        <w:t>.</w:t>
      </w:r>
      <w:bookmarkStart w:id="127" w:name="_Ref495567404"/>
      <w:r w:rsidR="00CD079B">
        <w:rPr>
          <w:rStyle w:val="FootnoteReference"/>
          <w:color w:val="000000"/>
        </w:rPr>
        <w:footnoteReference w:id="31"/>
      </w:r>
      <w:bookmarkEnd w:id="127"/>
      <w:r>
        <w:rPr>
          <w:color w:val="000000"/>
        </w:rPr>
        <w:t xml:space="preserve"> The </w:t>
      </w:r>
      <w:proofErr w:type="spellStart"/>
      <w:r>
        <w:rPr>
          <w:color w:val="000000"/>
        </w:rPr>
        <w:t>ridaforolimus</w:t>
      </w:r>
      <w:proofErr w:type="spellEnd"/>
      <w:r>
        <w:rPr>
          <w:color w:val="000000"/>
        </w:rPr>
        <w:t xml:space="preserve"> trial conducted in all 4 subgroups</w:t>
      </w:r>
      <w:r w:rsidR="00E77D03">
        <w:rPr>
          <w:color w:val="000000"/>
        </w:rPr>
        <w:t>,</w:t>
      </w:r>
      <w:r>
        <w:rPr>
          <w:color w:val="000000"/>
        </w:rPr>
        <w:t xml:space="preserve"> bone sarcomas, </w:t>
      </w:r>
      <w:proofErr w:type="spellStart"/>
      <w:r>
        <w:rPr>
          <w:color w:val="000000"/>
        </w:rPr>
        <w:t>leiomyosarcoma</w:t>
      </w:r>
      <w:proofErr w:type="spellEnd"/>
      <w:r>
        <w:rPr>
          <w:color w:val="000000"/>
        </w:rPr>
        <w:t xml:space="preserve">, </w:t>
      </w:r>
      <w:proofErr w:type="spellStart"/>
      <w:r>
        <w:rPr>
          <w:color w:val="000000"/>
        </w:rPr>
        <w:t>liposarcoma</w:t>
      </w:r>
      <w:proofErr w:type="spellEnd"/>
      <w:r>
        <w:rPr>
          <w:color w:val="000000"/>
        </w:rPr>
        <w:t xml:space="preserve"> and other</w:t>
      </w:r>
      <w:r w:rsidR="00E77D03">
        <w:rPr>
          <w:color w:val="000000"/>
        </w:rPr>
        <w:t>,</w:t>
      </w:r>
      <w:r>
        <w:rPr>
          <w:color w:val="000000"/>
        </w:rPr>
        <w:t xml:space="preserve"> was positive with a 3.1 week improvement in median PFS but without OS difference.</w:t>
      </w:r>
      <w:r w:rsidR="00CD079B">
        <w:rPr>
          <w:rStyle w:val="FootnoteReference"/>
          <w:color w:val="000000"/>
        </w:rPr>
        <w:footnoteReference w:id="32"/>
      </w:r>
      <w:r>
        <w:rPr>
          <w:color w:val="000000"/>
        </w:rPr>
        <w:t xml:space="preserve"> The </w:t>
      </w:r>
      <w:proofErr w:type="spellStart"/>
      <w:r>
        <w:rPr>
          <w:color w:val="000000"/>
        </w:rPr>
        <w:t>eribulin</w:t>
      </w:r>
      <w:proofErr w:type="spellEnd"/>
      <w:r>
        <w:rPr>
          <w:color w:val="000000"/>
        </w:rPr>
        <w:t xml:space="preserve"> trial presented here was positive for OS but not for PFS. Interestingly these subgroup specific</w:t>
      </w:r>
      <w:r w:rsidR="00E77D03">
        <w:rPr>
          <w:color w:val="000000"/>
        </w:rPr>
        <w:t xml:space="preserve"> or subgroup stratified randomis</w:t>
      </w:r>
      <w:r>
        <w:rPr>
          <w:color w:val="000000"/>
        </w:rPr>
        <w:t xml:space="preserve">ed trials did not identify significant differences in OS outcome by histology. The single exception to this was a trial of </w:t>
      </w:r>
      <w:proofErr w:type="spellStart"/>
      <w:r>
        <w:rPr>
          <w:color w:val="000000"/>
        </w:rPr>
        <w:t>dacarbazine</w:t>
      </w:r>
      <w:proofErr w:type="spellEnd"/>
      <w:r>
        <w:rPr>
          <w:color w:val="000000"/>
        </w:rPr>
        <w:t xml:space="preserve"> v</w:t>
      </w:r>
      <w:r w:rsidR="00E77D03">
        <w:rPr>
          <w:color w:val="000000"/>
        </w:rPr>
        <w:t>ersu</w:t>
      </w:r>
      <w:r>
        <w:rPr>
          <w:color w:val="000000"/>
        </w:rPr>
        <w:t xml:space="preserve">s gemcitabine plus </w:t>
      </w:r>
      <w:proofErr w:type="spellStart"/>
      <w:r>
        <w:rPr>
          <w:color w:val="000000"/>
        </w:rPr>
        <w:t>dacarbazine</w:t>
      </w:r>
      <w:proofErr w:type="spellEnd"/>
      <w:r>
        <w:rPr>
          <w:color w:val="000000"/>
        </w:rPr>
        <w:t xml:space="preserve">, where </w:t>
      </w:r>
      <w:proofErr w:type="spellStart"/>
      <w:r>
        <w:rPr>
          <w:color w:val="000000"/>
        </w:rPr>
        <w:t>leiomyosarcoma</w:t>
      </w:r>
      <w:proofErr w:type="spellEnd"/>
      <w:r>
        <w:rPr>
          <w:color w:val="000000"/>
        </w:rPr>
        <w:t xml:space="preserve"> patients experienced improved survival compared with non LMS patients. Median PFS and OS were 4.9 and 18.3 months, respectively for patients with </w:t>
      </w:r>
      <w:proofErr w:type="spellStart"/>
      <w:r>
        <w:rPr>
          <w:color w:val="000000"/>
        </w:rPr>
        <w:t>leiomyosarcoma</w:t>
      </w:r>
      <w:proofErr w:type="spellEnd"/>
      <w:r>
        <w:rPr>
          <w:color w:val="000000"/>
        </w:rPr>
        <w:t xml:space="preserve"> and 2.1 and 7.8 months respectively for non-</w:t>
      </w:r>
      <w:proofErr w:type="spellStart"/>
      <w:r>
        <w:rPr>
          <w:color w:val="000000"/>
        </w:rPr>
        <w:t>leiomyosarcoma</w:t>
      </w:r>
      <w:proofErr w:type="spellEnd"/>
      <w:r>
        <w:rPr>
          <w:color w:val="000000"/>
        </w:rPr>
        <w:t xml:space="preserve"> patients.</w:t>
      </w:r>
      <w:r w:rsidR="000349E5">
        <w:rPr>
          <w:rStyle w:val="FootnoteReference"/>
          <w:color w:val="000000"/>
        </w:rPr>
        <w:footnoteReference w:id="33"/>
      </w:r>
      <w:r>
        <w:rPr>
          <w:color w:val="000000"/>
        </w:rPr>
        <w:t xml:space="preserve"> Of note all patients on both arms of this trial received </w:t>
      </w:r>
      <w:proofErr w:type="spellStart"/>
      <w:r>
        <w:rPr>
          <w:color w:val="000000"/>
        </w:rPr>
        <w:t>dacarbazine</w:t>
      </w:r>
      <w:proofErr w:type="spellEnd"/>
      <w:r>
        <w:rPr>
          <w:color w:val="000000"/>
        </w:rPr>
        <w:t xml:space="preserve"> reinforcing the observation that </w:t>
      </w:r>
      <w:proofErr w:type="spellStart"/>
      <w:r>
        <w:rPr>
          <w:color w:val="000000"/>
        </w:rPr>
        <w:t>dacarbazine</w:t>
      </w:r>
      <w:proofErr w:type="spellEnd"/>
      <w:r>
        <w:rPr>
          <w:color w:val="000000"/>
        </w:rPr>
        <w:t xml:space="preserve"> has selective activity in</w:t>
      </w:r>
      <w:r>
        <w:rPr>
          <w:color w:val="000000"/>
          <w:spacing w:val="-1"/>
        </w:rPr>
        <w:t xml:space="preserve"> </w:t>
      </w:r>
      <w:r>
        <w:rPr>
          <w:color w:val="000000"/>
        </w:rPr>
        <w:t>LMS.</w:t>
      </w:r>
    </w:p>
    <w:p w:rsidR="0043625C" w:rsidRDefault="0043625C" w:rsidP="00EA004E">
      <w:r>
        <w:t xml:space="preserve">Study 309 was designed to evaluate efficacy of </w:t>
      </w:r>
      <w:proofErr w:type="spellStart"/>
      <w:r>
        <w:t>eribulin</w:t>
      </w:r>
      <w:proofErr w:type="spellEnd"/>
      <w:r>
        <w:t xml:space="preserve"> in subjects with soft tissue sarcomas of </w:t>
      </w:r>
      <w:proofErr w:type="spellStart"/>
      <w:r>
        <w:t>liposarcoma</w:t>
      </w:r>
      <w:proofErr w:type="spellEnd"/>
      <w:r>
        <w:t xml:space="preserve"> and LMS histology. The results demonstrated a clinically relevant, unprecedented and convincing improvement in OS for patients treated with </w:t>
      </w:r>
      <w:proofErr w:type="spellStart"/>
      <w:r>
        <w:t>eribulin</w:t>
      </w:r>
      <w:proofErr w:type="spellEnd"/>
      <w:r>
        <w:t xml:space="preserve"> compared to </w:t>
      </w:r>
      <w:proofErr w:type="spellStart"/>
      <w:r>
        <w:t>dacarbazine</w:t>
      </w:r>
      <w:proofErr w:type="spellEnd"/>
      <w:r>
        <w:t>. The outcomes observed in Study 309 with regards to the differential efficacy for OS v</w:t>
      </w:r>
      <w:r w:rsidR="00E77D03">
        <w:t>ersu</w:t>
      </w:r>
      <w:r>
        <w:t>s PFS are consistent with results previously reported in studies for metastat</w:t>
      </w:r>
      <w:r w:rsidR="00E77D03">
        <w:t xml:space="preserve">ic breast cancer, which led to </w:t>
      </w:r>
      <w:r>
        <w:t xml:space="preserve">the approval of the drug in this indication. These are possibly based on the specific mechanisms of action of the drug influencing multiple aspects of the </w:t>
      </w:r>
      <w:proofErr w:type="spellStart"/>
      <w:r>
        <w:t>tumor</w:t>
      </w:r>
      <w:proofErr w:type="spellEnd"/>
      <w:r>
        <w:rPr>
          <w:spacing w:val="-17"/>
        </w:rPr>
        <w:t xml:space="preserve"> </w:t>
      </w:r>
      <w:r>
        <w:t>microenvironment.</w:t>
      </w:r>
    </w:p>
    <w:p w:rsidR="0043625C" w:rsidRDefault="0043625C" w:rsidP="00EA004E">
      <w:r>
        <w:t xml:space="preserve">The subgroup analyses for the </w:t>
      </w:r>
      <w:proofErr w:type="spellStart"/>
      <w:r>
        <w:t>liposarcoma</w:t>
      </w:r>
      <w:proofErr w:type="spellEnd"/>
      <w:r>
        <w:t xml:space="preserve"> histology and within the </w:t>
      </w:r>
      <w:proofErr w:type="spellStart"/>
      <w:r>
        <w:t>liposarcoma</w:t>
      </w:r>
      <w:proofErr w:type="spellEnd"/>
      <w:r>
        <w:t xml:space="preserve"> histology subtypes are consistent with the observed effect in the overall </w:t>
      </w:r>
      <w:proofErr w:type="spellStart"/>
      <w:r>
        <w:t>liposarcoma</w:t>
      </w:r>
      <w:proofErr w:type="spellEnd"/>
      <w:r>
        <w:t xml:space="preserve"> population. The results for LMS histology are more heterogeneous, with some clinically defined subgroups showing more benefit than others. Further subgroup analyses, including for organ of origin (uterine v</w:t>
      </w:r>
      <w:r w:rsidR="00E77D03">
        <w:t>ersu</w:t>
      </w:r>
      <w:r>
        <w:t>s non</w:t>
      </w:r>
      <w:r w:rsidR="00E77D03">
        <w:t>-</w:t>
      </w:r>
      <w:r>
        <w:t xml:space="preserve">uterine) do not yield a consistent picture and are likely influenced by chance findings due to insufficient sample sizes. There are no clinical historical data reported for a differential survival efficacy of systemic therapies between </w:t>
      </w:r>
      <w:proofErr w:type="spellStart"/>
      <w:r>
        <w:t>liposarcoma</w:t>
      </w:r>
      <w:proofErr w:type="spellEnd"/>
      <w:r>
        <w:t xml:space="preserve"> and LMS histology and there is no evident explanation based on </w:t>
      </w:r>
      <w:proofErr w:type="spellStart"/>
      <w:r>
        <w:t>tumor</w:t>
      </w:r>
      <w:proofErr w:type="spellEnd"/>
      <w:r>
        <w:rPr>
          <w:spacing w:val="-9"/>
        </w:rPr>
        <w:t xml:space="preserve"> </w:t>
      </w:r>
      <w:r>
        <w:t>biology.</w:t>
      </w:r>
    </w:p>
    <w:p w:rsidR="0043625C" w:rsidRDefault="0043625C" w:rsidP="00EA004E">
      <w:r>
        <w:t xml:space="preserve">Therefore the </w:t>
      </w:r>
      <w:r w:rsidR="00E77D03">
        <w:t>sponsor</w:t>
      </w:r>
      <w:r>
        <w:t xml:space="preserve"> believes that </w:t>
      </w:r>
      <w:proofErr w:type="spellStart"/>
      <w:r>
        <w:t>eribulin</w:t>
      </w:r>
      <w:proofErr w:type="spellEnd"/>
      <w:r>
        <w:t xml:space="preserve"> should be indicated as in the Phase </w:t>
      </w:r>
      <w:r w:rsidR="00E77D03">
        <w:t>III</w:t>
      </w:r>
      <w:r>
        <w:t xml:space="preserve"> Study 309 and for the entire </w:t>
      </w:r>
      <w:r w:rsidR="00E77D03">
        <w:t>ITT</w:t>
      </w:r>
      <w:r>
        <w:rPr>
          <w:spacing w:val="-2"/>
        </w:rPr>
        <w:t xml:space="preserve"> </w:t>
      </w:r>
      <w:r>
        <w:t>population.</w:t>
      </w:r>
    </w:p>
    <w:p w:rsidR="0043625C" w:rsidRDefault="0043625C" w:rsidP="00EA004E">
      <w:r>
        <w:t xml:space="preserve">However, during the evaluation of the application, the clinical evaluator expressed concerns with the heterogeneity of the LMS population and proposed approval of only the </w:t>
      </w:r>
      <w:proofErr w:type="spellStart"/>
      <w:r>
        <w:t>liposarcoma</w:t>
      </w:r>
      <w:proofErr w:type="spellEnd"/>
      <w:r>
        <w:t xml:space="preserve"> population.</w:t>
      </w:r>
      <w:r w:rsidR="0019387B">
        <w:t xml:space="preserve"> </w:t>
      </w:r>
      <w:r w:rsidR="00472069">
        <w:t>The sponsor accepted this proposal and amended the proposed</w:t>
      </w:r>
      <w:r>
        <w:t xml:space="preserve"> indication accordingly. This also aligns the indication with the approved indications in the US</w:t>
      </w:r>
      <w:r w:rsidR="00E77D03">
        <w:t>A</w:t>
      </w:r>
      <w:r>
        <w:t xml:space="preserve"> and the EU. Given the unique survival advantage demonstrated by </w:t>
      </w:r>
      <w:proofErr w:type="spellStart"/>
      <w:r>
        <w:t>eribulin</w:t>
      </w:r>
      <w:proofErr w:type="spellEnd"/>
      <w:r>
        <w:t xml:space="preserve"> in the entire </w:t>
      </w:r>
      <w:r w:rsidR="00E77D03">
        <w:t>ITT</w:t>
      </w:r>
      <w:r>
        <w:t xml:space="preserve"> population, it is therefore reasonable that subjects with </w:t>
      </w:r>
      <w:proofErr w:type="spellStart"/>
      <w:r>
        <w:t>liposarcoma</w:t>
      </w:r>
      <w:proofErr w:type="spellEnd"/>
      <w:r>
        <w:t xml:space="preserve"> have access to </w:t>
      </w:r>
      <w:proofErr w:type="spellStart"/>
      <w:r>
        <w:t>eribulin</w:t>
      </w:r>
      <w:proofErr w:type="spellEnd"/>
      <w:r>
        <w:t xml:space="preserve"> in second or later lines, regardless of prior therapy.</w:t>
      </w:r>
    </w:p>
    <w:p w:rsidR="0043625C" w:rsidRDefault="0051230B" w:rsidP="00EA004E">
      <w:pPr>
        <w:pStyle w:val="Heading5"/>
      </w:pPr>
      <w:r>
        <w:lastRenderedPageBreak/>
        <w:t>Delegate issue 2:</w:t>
      </w:r>
    </w:p>
    <w:p w:rsidR="0043625C" w:rsidRPr="00EA004E" w:rsidRDefault="0043625C" w:rsidP="00EA004E">
      <w:pPr>
        <w:rPr>
          <w:i/>
        </w:rPr>
      </w:pPr>
      <w:r w:rsidRPr="00EA004E">
        <w:rPr>
          <w:i/>
        </w:rPr>
        <w:t>Please comment on the adequacy of the proposed PI to provide relevant details on the outcomes of efficacy and safety from pivotal Study 309.</w:t>
      </w:r>
    </w:p>
    <w:p w:rsidR="0043625C" w:rsidRDefault="0051230B" w:rsidP="00EA004E">
      <w:pPr>
        <w:pStyle w:val="Heading5"/>
      </w:pPr>
      <w:r>
        <w:t>Response</w:t>
      </w:r>
    </w:p>
    <w:p w:rsidR="0043625C" w:rsidRDefault="0043625C" w:rsidP="00EA004E">
      <w:r>
        <w:t xml:space="preserve">In terms of the safety profile of </w:t>
      </w:r>
      <w:proofErr w:type="spellStart"/>
      <w:r>
        <w:t>Halaven</w:t>
      </w:r>
      <w:proofErr w:type="spellEnd"/>
      <w:r>
        <w:t xml:space="preserve">, there were no significant differences in the soft tissue sarcoma population compared to the metastatic breast cancer population and the proposed PI is considered adequate. However, in order to be consistent with safety information provided for previous studies (Study 305 and Study 301) included in the PI, a table of very common AEs occurring in the </w:t>
      </w:r>
      <w:proofErr w:type="spellStart"/>
      <w:r>
        <w:t>Halaven</w:t>
      </w:r>
      <w:proofErr w:type="spellEnd"/>
      <w:r>
        <w:t xml:space="preserve"> and </w:t>
      </w:r>
      <w:proofErr w:type="spellStart"/>
      <w:r>
        <w:t>dacarbazine</w:t>
      </w:r>
      <w:proofErr w:type="spellEnd"/>
      <w:r>
        <w:t xml:space="preserve"> arms of Study 309 has been included.</w:t>
      </w:r>
    </w:p>
    <w:p w:rsidR="0043625C" w:rsidRDefault="0043625C" w:rsidP="00EA004E">
      <w:r>
        <w:t xml:space="preserve">In Study 309, the following very common AEs occurred at a significantly higher incidence in the </w:t>
      </w:r>
      <w:proofErr w:type="spellStart"/>
      <w:r>
        <w:t>eribulin</w:t>
      </w:r>
      <w:proofErr w:type="spellEnd"/>
      <w:r>
        <w:t xml:space="preserve"> group compared with the </w:t>
      </w:r>
      <w:proofErr w:type="spellStart"/>
      <w:r>
        <w:t>dacarbazine</w:t>
      </w:r>
      <w:proofErr w:type="spellEnd"/>
      <w:r>
        <w:t xml:space="preserve"> group: neutropenia (43.8% for </w:t>
      </w:r>
      <w:proofErr w:type="spellStart"/>
      <w:r>
        <w:t>eribulin</w:t>
      </w:r>
      <w:proofErr w:type="spellEnd"/>
      <w:r>
        <w:t xml:space="preserve"> versus 23.7% for </w:t>
      </w:r>
      <w:proofErr w:type="spellStart"/>
      <w:r>
        <w:t>dacarbazine</w:t>
      </w:r>
      <w:proofErr w:type="spellEnd"/>
      <w:r>
        <w:t>), peripheral neuropathy (combining the terms neuropathy peripheral, peripheral motor neuropathy, peripheral sensory neuropathy, peripheral sensorimotor</w:t>
      </w:r>
      <w:r w:rsidR="00F13CF2">
        <w:t xml:space="preserve"> </w:t>
      </w:r>
      <w:r>
        <w:t xml:space="preserve">neuropathy, polyneuropathy and paraesthesia, 33.1% versus 7.5%, respectively), alopecia (35.0% versus 2.7%, respectively), and pyrexia (27.9% versus 13.8%, respectively). Thrombocytopenia occurred at a significantly higher incidence in the in the </w:t>
      </w:r>
      <w:proofErr w:type="spellStart"/>
      <w:r>
        <w:t>dacarbazine</w:t>
      </w:r>
      <w:proofErr w:type="spellEnd"/>
      <w:r>
        <w:t xml:space="preserve"> group compared with the </w:t>
      </w:r>
      <w:proofErr w:type="spellStart"/>
      <w:r>
        <w:t>eribulin</w:t>
      </w:r>
      <w:proofErr w:type="spellEnd"/>
      <w:r>
        <w:t xml:space="preserve"> group (27.7% versus 5.8%, respectively). This is consistent with the known safety profile of each of these</w:t>
      </w:r>
      <w:r>
        <w:rPr>
          <w:spacing w:val="-21"/>
        </w:rPr>
        <w:t xml:space="preserve"> </w:t>
      </w:r>
      <w:r>
        <w:t>products.</w:t>
      </w:r>
    </w:p>
    <w:p w:rsidR="008E7846" w:rsidRDefault="008E7846" w:rsidP="008E7846">
      <w:pPr>
        <w:pStyle w:val="Heading4"/>
      </w:pPr>
      <w:r>
        <w:t>Advisory Committee Considerations</w:t>
      </w:r>
    </w:p>
    <w:p w:rsidR="004658CF" w:rsidRPr="00C11AF8" w:rsidRDefault="004658CF" w:rsidP="004658CF">
      <w:pPr>
        <w:rPr>
          <w:rFonts w:eastAsia="Times New Roman" w:cs="Arial"/>
          <w:lang w:eastAsia="en-AU"/>
        </w:rPr>
      </w:pPr>
      <w:r w:rsidRPr="00C11AF8">
        <w:rPr>
          <w:rFonts w:eastAsia="Times New Roman" w:cs="Arial"/>
          <w:lang w:eastAsia="en-AU"/>
        </w:rPr>
        <w:t xml:space="preserve">The ACPM </w:t>
      </w:r>
      <w:r w:rsidR="0051230B">
        <w:rPr>
          <w:rFonts w:eastAsia="Times New Roman" w:cs="Arial"/>
          <w:lang w:eastAsia="en-AU"/>
        </w:rPr>
        <w:t xml:space="preserve">(now called Advisory Committee on Medicines (ACM) </w:t>
      </w:r>
      <w:r w:rsidRPr="00C11AF8">
        <w:rPr>
          <w:rFonts w:eastAsia="Times New Roman" w:cs="Arial"/>
          <w:lang w:eastAsia="en-AU"/>
        </w:rPr>
        <w:t>re</w:t>
      </w:r>
      <w:r>
        <w:rPr>
          <w:rFonts w:eastAsia="Times New Roman" w:cs="Arial"/>
          <w:lang w:eastAsia="en-AU"/>
        </w:rPr>
        <w:t>solved to recommend to the TGA Delegate of the Secretary that:</w:t>
      </w:r>
    </w:p>
    <w:p w:rsidR="004658CF" w:rsidRPr="0051230B" w:rsidRDefault="004658CF" w:rsidP="004658CF">
      <w:pPr>
        <w:rPr>
          <w:rFonts w:cs="Calibri"/>
        </w:rPr>
      </w:pPr>
      <w:r w:rsidRPr="00F72352">
        <w:rPr>
          <w:rFonts w:cs="Calibri"/>
        </w:rPr>
        <w:t xml:space="preserve">The ACPM, taking into account the submitted evidence of efficacy, safety and quality, agreed with the delegate and considered </w:t>
      </w:r>
      <w:r w:rsidR="00757684">
        <w:rPr>
          <w:bCs/>
          <w:noProof/>
        </w:rPr>
        <w:t>Halaven</w:t>
      </w:r>
      <w:r w:rsidRPr="00F72352">
        <w:t xml:space="preserve"> </w:t>
      </w:r>
      <w:r w:rsidRPr="00F72352">
        <w:rPr>
          <w:bCs/>
          <w:noProof/>
        </w:rPr>
        <w:t>Solution for injection</w:t>
      </w:r>
      <w:r w:rsidRPr="00F72352">
        <w:rPr>
          <w:bCs/>
        </w:rPr>
        <w:t xml:space="preserve"> containing </w:t>
      </w:r>
      <w:r w:rsidRPr="00F72352">
        <w:rPr>
          <w:bCs/>
          <w:noProof/>
        </w:rPr>
        <w:t>1mg/2 mL</w:t>
      </w:r>
      <w:r w:rsidRPr="00F72352">
        <w:rPr>
          <w:bCs/>
        </w:rPr>
        <w:t xml:space="preserve"> of </w:t>
      </w:r>
      <w:r w:rsidRPr="00F72352">
        <w:rPr>
          <w:bCs/>
          <w:noProof/>
        </w:rPr>
        <w:t>Eribulin mesilate</w:t>
      </w:r>
      <w:r w:rsidRPr="00F72352">
        <w:rPr>
          <w:b/>
          <w:bCs/>
        </w:rPr>
        <w:t xml:space="preserve"> </w:t>
      </w:r>
      <w:r w:rsidRPr="00F72352">
        <w:rPr>
          <w:rFonts w:cs="Calibri"/>
        </w:rPr>
        <w:t xml:space="preserve">to have an overall positive benefit–risk profile for the </w:t>
      </w:r>
      <w:r>
        <w:rPr>
          <w:rFonts w:cs="Calibri"/>
        </w:rPr>
        <w:t xml:space="preserve">proposed </w:t>
      </w:r>
      <w:r w:rsidRPr="00F72352">
        <w:rPr>
          <w:rFonts w:cs="Calibri"/>
        </w:rPr>
        <w:t>indication</w:t>
      </w:r>
      <w:r w:rsidRPr="0051230B">
        <w:rPr>
          <w:rFonts w:cs="Calibri"/>
        </w:rPr>
        <w:t>;</w:t>
      </w:r>
    </w:p>
    <w:p w:rsidR="004658CF" w:rsidRPr="0051230B" w:rsidRDefault="00757684" w:rsidP="004658CF">
      <w:pPr>
        <w:ind w:left="567"/>
        <w:rPr>
          <w:rFonts w:cs="Calibri"/>
          <w:i/>
          <w:noProof/>
        </w:rPr>
      </w:pPr>
      <w:r w:rsidRPr="0051230B">
        <w:rPr>
          <w:rFonts w:cs="Calibri"/>
          <w:i/>
          <w:noProof/>
        </w:rPr>
        <w:t>Halaven</w:t>
      </w:r>
      <w:r w:rsidR="004658CF" w:rsidRPr="0051230B">
        <w:rPr>
          <w:rFonts w:cs="Calibri"/>
          <w:i/>
          <w:noProof/>
        </w:rPr>
        <w:t xml:space="preserve"> is indicated for the treatment of patients with unresectable liposarcoma who have received prior chemotherapy for advanced or metastatic disease.</w:t>
      </w:r>
    </w:p>
    <w:p w:rsidR="004658CF" w:rsidRPr="002848CC" w:rsidRDefault="004658CF" w:rsidP="004658CF">
      <w:pPr>
        <w:spacing w:after="0"/>
        <w:rPr>
          <w:bCs/>
          <w:iCs/>
        </w:rPr>
      </w:pPr>
      <w:r w:rsidRPr="002848CC">
        <w:rPr>
          <w:bCs/>
          <w:iCs/>
        </w:rPr>
        <w:t>In maki</w:t>
      </w:r>
      <w:r>
        <w:rPr>
          <w:bCs/>
          <w:iCs/>
        </w:rPr>
        <w:t>ng this recommendation the ACPM</w:t>
      </w:r>
    </w:p>
    <w:p w:rsidR="004658CF" w:rsidRDefault="004658CF" w:rsidP="004658CF">
      <w:pPr>
        <w:pStyle w:val="ListParagraph"/>
        <w:numPr>
          <w:ilvl w:val="0"/>
          <w:numId w:val="30"/>
        </w:numP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adjustRightInd w:val="0"/>
        <w:snapToGrid w:val="0"/>
        <w:spacing w:after="240"/>
        <w:ind w:left="567" w:hanging="283"/>
        <w:rPr>
          <w:bCs/>
          <w:iCs/>
          <w:szCs w:val="22"/>
        </w:rPr>
      </w:pPr>
      <w:proofErr w:type="gramStart"/>
      <w:r>
        <w:rPr>
          <w:bCs/>
          <w:iCs/>
          <w:szCs w:val="22"/>
        </w:rPr>
        <w:t>was</w:t>
      </w:r>
      <w:proofErr w:type="gramEnd"/>
      <w:r>
        <w:rPr>
          <w:bCs/>
          <w:iCs/>
          <w:szCs w:val="22"/>
        </w:rPr>
        <w:t xml:space="preserve"> of the view that</w:t>
      </w:r>
      <w:r w:rsidR="0051230B">
        <w:rPr>
          <w:bCs/>
          <w:iCs/>
          <w:szCs w:val="22"/>
        </w:rPr>
        <w:t xml:space="preserve"> based on information provided </w:t>
      </w:r>
      <w:proofErr w:type="spellStart"/>
      <w:r w:rsidR="0051230B">
        <w:rPr>
          <w:bCs/>
          <w:iCs/>
          <w:szCs w:val="22"/>
        </w:rPr>
        <w:t>e</w:t>
      </w:r>
      <w:r>
        <w:rPr>
          <w:bCs/>
          <w:iCs/>
          <w:szCs w:val="22"/>
        </w:rPr>
        <w:t>ribulin</w:t>
      </w:r>
      <w:proofErr w:type="spellEnd"/>
      <w:r>
        <w:rPr>
          <w:bCs/>
          <w:iCs/>
          <w:szCs w:val="22"/>
        </w:rPr>
        <w:t xml:space="preserve"> </w:t>
      </w:r>
      <w:proofErr w:type="spellStart"/>
      <w:r>
        <w:rPr>
          <w:bCs/>
          <w:iCs/>
          <w:szCs w:val="22"/>
        </w:rPr>
        <w:t>mesilate</w:t>
      </w:r>
      <w:proofErr w:type="spellEnd"/>
      <w:r>
        <w:rPr>
          <w:bCs/>
          <w:iCs/>
          <w:szCs w:val="22"/>
        </w:rPr>
        <w:t xml:space="preserve"> showed clinically significant improvement in overall and progression free survival compared to conventional </w:t>
      </w:r>
      <w:proofErr w:type="spellStart"/>
      <w:r>
        <w:rPr>
          <w:bCs/>
          <w:iCs/>
          <w:szCs w:val="22"/>
        </w:rPr>
        <w:t>dacarbazine</w:t>
      </w:r>
      <w:proofErr w:type="spellEnd"/>
      <w:r>
        <w:rPr>
          <w:bCs/>
          <w:iCs/>
          <w:szCs w:val="22"/>
        </w:rPr>
        <w:t xml:space="preserve"> treatment.</w:t>
      </w:r>
    </w:p>
    <w:p w:rsidR="004658CF" w:rsidRPr="00C24073" w:rsidRDefault="004658CF" w:rsidP="004658CF">
      <w:pPr>
        <w:pStyle w:val="ListParagraph"/>
        <w:numPr>
          <w:ilvl w:val="0"/>
          <w:numId w:val="30"/>
        </w:numP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adjustRightInd w:val="0"/>
        <w:snapToGrid w:val="0"/>
        <w:spacing w:after="240"/>
        <w:ind w:left="567" w:hanging="283"/>
        <w:rPr>
          <w:bCs/>
          <w:iCs/>
          <w:szCs w:val="22"/>
        </w:rPr>
      </w:pPr>
      <w:proofErr w:type="gramStart"/>
      <w:r w:rsidRPr="002848CC">
        <w:rPr>
          <w:bCs/>
          <w:iCs/>
          <w:szCs w:val="22"/>
        </w:rPr>
        <w:t>noted</w:t>
      </w:r>
      <w:proofErr w:type="gramEnd"/>
      <w:r w:rsidRPr="002848CC">
        <w:rPr>
          <w:bCs/>
          <w:iCs/>
          <w:szCs w:val="22"/>
        </w:rPr>
        <w:t xml:space="preserve"> </w:t>
      </w:r>
      <w:r>
        <w:rPr>
          <w:bCs/>
          <w:iCs/>
          <w:szCs w:val="22"/>
        </w:rPr>
        <w:t xml:space="preserve">that </w:t>
      </w:r>
      <w:proofErr w:type="spellStart"/>
      <w:r w:rsidR="00757684">
        <w:rPr>
          <w:bCs/>
          <w:iCs/>
          <w:szCs w:val="22"/>
        </w:rPr>
        <w:t>Halaven</w:t>
      </w:r>
      <w:proofErr w:type="spellEnd"/>
      <w:r>
        <w:rPr>
          <w:bCs/>
          <w:iCs/>
          <w:szCs w:val="22"/>
        </w:rPr>
        <w:t xml:space="preserve"> demonstrated reasonable efficacy for the proposed</w:t>
      </w:r>
      <w:r w:rsidRPr="002848CC">
        <w:rPr>
          <w:bCs/>
          <w:iCs/>
          <w:szCs w:val="22"/>
        </w:rPr>
        <w:t xml:space="preserve"> </w:t>
      </w:r>
      <w:r>
        <w:rPr>
          <w:bCs/>
          <w:iCs/>
          <w:szCs w:val="22"/>
        </w:rPr>
        <w:t>indication without significant new safety concerns.</w:t>
      </w:r>
    </w:p>
    <w:p w:rsidR="004658CF" w:rsidRPr="00D724FC" w:rsidRDefault="004658CF" w:rsidP="00642EAE">
      <w:pPr>
        <w:spacing w:after="0"/>
        <w:rPr>
          <w:b/>
          <w:bCs/>
          <w:i/>
        </w:rPr>
      </w:pPr>
      <w:r w:rsidRPr="00D724FC">
        <w:rPr>
          <w:b/>
          <w:bCs/>
          <w:i/>
        </w:rPr>
        <w:t>Proposed conditions of registration</w:t>
      </w:r>
    </w:p>
    <w:p w:rsidR="004658CF" w:rsidRPr="002848CC" w:rsidRDefault="004658CF" w:rsidP="004658CF">
      <w:pPr>
        <w:rPr>
          <w:bCs/>
        </w:rPr>
      </w:pPr>
      <w:r>
        <w:rPr>
          <w:bCs/>
        </w:rPr>
        <w:t>The ACPM agreed with the D</w:t>
      </w:r>
      <w:r w:rsidRPr="002848CC">
        <w:rPr>
          <w:bCs/>
        </w:rPr>
        <w:t>elegate on the propo</w:t>
      </w:r>
      <w:r>
        <w:rPr>
          <w:bCs/>
        </w:rPr>
        <w:t>sed conditions of registration.</w:t>
      </w:r>
    </w:p>
    <w:p w:rsidR="004658CF" w:rsidRPr="00D724FC" w:rsidRDefault="004658CF" w:rsidP="004658CF">
      <w:pPr>
        <w:spacing w:after="0"/>
        <w:rPr>
          <w:b/>
          <w:bCs/>
          <w:i/>
          <w:u w:val="single"/>
        </w:rPr>
      </w:pPr>
      <w:r w:rsidRPr="00D724FC">
        <w:rPr>
          <w:b/>
          <w:bCs/>
          <w:i/>
        </w:rPr>
        <w:t>Proposed Product Information (PI)/Consumer Medicine Information (CMI) amendments</w:t>
      </w:r>
    </w:p>
    <w:p w:rsidR="004658CF" w:rsidRPr="002848CC" w:rsidRDefault="004658CF" w:rsidP="004658CF">
      <w:pPr>
        <w:rPr>
          <w:bCs/>
        </w:rPr>
      </w:pPr>
      <w:r>
        <w:rPr>
          <w:bCs/>
        </w:rPr>
        <w:t>The ACPM agreed with the D</w:t>
      </w:r>
      <w:r w:rsidRPr="002848CC">
        <w:rPr>
          <w:bCs/>
        </w:rPr>
        <w:t xml:space="preserve">elegate </w:t>
      </w:r>
      <w:r>
        <w:rPr>
          <w:bCs/>
        </w:rPr>
        <w:t xml:space="preserve">regarding </w:t>
      </w:r>
      <w:r w:rsidRPr="002848CC">
        <w:rPr>
          <w:bCs/>
        </w:rPr>
        <w:t>proposed amendments to the Product Information (PI) and Consumer Medicine Information (CMI).</w:t>
      </w:r>
    </w:p>
    <w:p w:rsidR="004658CF" w:rsidRPr="00D724FC" w:rsidRDefault="004658CF" w:rsidP="00642EAE">
      <w:pPr>
        <w:pStyle w:val="ListParagraph"/>
        <w:pageBreakBefore/>
        <w:ind w:left="0"/>
        <w:contextualSpacing w:val="0"/>
        <w:rPr>
          <w:b/>
          <w:bCs/>
          <w:i/>
          <w:iCs/>
          <w:szCs w:val="22"/>
          <w:highlight w:val="yellow"/>
        </w:rPr>
      </w:pPr>
      <w:r w:rsidRPr="00D724FC">
        <w:rPr>
          <w:b/>
          <w:bCs/>
          <w:i/>
          <w:iCs/>
        </w:rPr>
        <w:lastRenderedPageBreak/>
        <w:t>Specific Advice</w:t>
      </w:r>
    </w:p>
    <w:p w:rsidR="004658CF" w:rsidRPr="005733AE" w:rsidRDefault="004658CF" w:rsidP="004658CF">
      <w:pPr>
        <w:rPr>
          <w:b/>
          <w:bCs/>
          <w:iCs/>
          <w:highlight w:val="yellow"/>
        </w:rPr>
      </w:pPr>
      <w:r w:rsidRPr="001E711E">
        <w:rPr>
          <w:rFonts w:cs="Arial"/>
        </w:rPr>
        <w:t>The ACPM advi</w:t>
      </w:r>
      <w:r>
        <w:rPr>
          <w:rFonts w:cs="Arial"/>
        </w:rPr>
        <w:t>s</w:t>
      </w:r>
      <w:r w:rsidRPr="001E711E">
        <w:rPr>
          <w:rFonts w:cs="Arial"/>
        </w:rPr>
        <w:t>ed the following</w:t>
      </w:r>
      <w:r>
        <w:rPr>
          <w:rFonts w:cs="Arial"/>
        </w:rPr>
        <w:t xml:space="preserve"> </w:t>
      </w:r>
      <w:r w:rsidRPr="001E711E">
        <w:rPr>
          <w:rFonts w:cs="Arial"/>
        </w:rPr>
        <w:t xml:space="preserve">in response to the </w:t>
      </w:r>
      <w:r>
        <w:rPr>
          <w:rFonts w:cs="Arial"/>
        </w:rPr>
        <w:t>D</w:t>
      </w:r>
      <w:r w:rsidRPr="001E711E">
        <w:rPr>
          <w:rFonts w:cs="Arial"/>
        </w:rPr>
        <w:t>elegate’s specific questions on this submission:</w:t>
      </w:r>
    </w:p>
    <w:p w:rsidR="004658CF" w:rsidRPr="00F72352" w:rsidRDefault="004658CF" w:rsidP="004658CF">
      <w:pPr>
        <w:rPr>
          <w:bCs/>
          <w:iCs/>
          <w:noProof/>
        </w:rPr>
      </w:pPr>
      <w:r w:rsidRPr="00F72352">
        <w:rPr>
          <w:bCs/>
          <w:iCs/>
          <w:noProof/>
        </w:rPr>
        <w:t>The committee is requested to provide advice on the following issues:</w:t>
      </w:r>
    </w:p>
    <w:p w:rsidR="004658CF" w:rsidRPr="0051230B" w:rsidRDefault="004658CF" w:rsidP="004658CF">
      <w:pPr>
        <w:pStyle w:val="ListParagraph"/>
        <w:numPr>
          <w:ilvl w:val="0"/>
          <w:numId w:val="31"/>
        </w:numP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adjustRightInd w:val="0"/>
        <w:snapToGrid w:val="0"/>
        <w:spacing w:after="240"/>
        <w:rPr>
          <w:bCs/>
          <w:i/>
          <w:iCs/>
          <w:noProof/>
          <w:szCs w:val="22"/>
        </w:rPr>
      </w:pPr>
      <w:r w:rsidRPr="0051230B">
        <w:rPr>
          <w:bCs/>
          <w:i/>
          <w:iCs/>
          <w:noProof/>
          <w:szCs w:val="22"/>
        </w:rPr>
        <w:t>Please comment on whether the data are sufficient to characterise a population for which the benefit –risk balance is considered positive for eribulin in the treatment of sarcoma, and advise on whether this is adequately defined in the amended proposed additional indication.</w:t>
      </w:r>
    </w:p>
    <w:p w:rsidR="004658CF" w:rsidRPr="00F72352" w:rsidRDefault="004658CF" w:rsidP="004658CF">
      <w:pPr>
        <w:rPr>
          <w:bCs/>
          <w:iCs/>
          <w:noProof/>
        </w:rPr>
      </w:pPr>
      <w:r>
        <w:rPr>
          <w:bCs/>
          <w:iCs/>
          <w:noProof/>
        </w:rPr>
        <w:t>The committee was of the view that provided clinical evidence showed a positive risk</w:t>
      </w:r>
      <w:r>
        <w:rPr>
          <w:bCs/>
          <w:iCs/>
          <w:noProof/>
        </w:rPr>
        <w:noBreakHyphen/>
        <w:t>benefit balance in the treatment of patients with unresectable liposarcoma and this has been adequately defined in the amended additional indication.</w:t>
      </w:r>
    </w:p>
    <w:p w:rsidR="004658CF" w:rsidRPr="0051230B" w:rsidRDefault="004658CF" w:rsidP="004658CF">
      <w:pPr>
        <w:pStyle w:val="ListParagraph"/>
        <w:numPr>
          <w:ilvl w:val="0"/>
          <w:numId w:val="31"/>
        </w:numP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adjustRightInd w:val="0"/>
        <w:snapToGrid w:val="0"/>
        <w:spacing w:after="240"/>
        <w:rPr>
          <w:bCs/>
          <w:i/>
          <w:iCs/>
          <w:noProof/>
          <w:szCs w:val="22"/>
        </w:rPr>
      </w:pPr>
      <w:r w:rsidRPr="0051230B">
        <w:rPr>
          <w:bCs/>
          <w:i/>
          <w:iCs/>
          <w:noProof/>
          <w:szCs w:val="22"/>
        </w:rPr>
        <w:t>Please comment on the adequacy of the proposed PI to provide relevant details on the outcomes of efficacy and safety from pivotal Study 309.</w:t>
      </w:r>
    </w:p>
    <w:p w:rsidR="004658CF" w:rsidRPr="00F72352" w:rsidRDefault="004658CF" w:rsidP="004658CF">
      <w:pPr>
        <w:rPr>
          <w:bCs/>
          <w:iCs/>
          <w:noProof/>
        </w:rPr>
      </w:pPr>
      <w:r>
        <w:rPr>
          <w:bCs/>
          <w:iCs/>
          <w:noProof/>
        </w:rPr>
        <w:t>The ACPM noted that information contained in the updated PI is well documented and it provides sufficient information in regards to safety and efficacy outcomes from pivotal study.</w:t>
      </w:r>
    </w:p>
    <w:p w:rsidR="004658CF" w:rsidRPr="0051230B" w:rsidRDefault="004658CF" w:rsidP="004658CF">
      <w:pPr>
        <w:pStyle w:val="ListParagraph"/>
        <w:rPr>
          <w:bCs/>
          <w:i/>
          <w:iCs/>
          <w:noProof/>
          <w:szCs w:val="22"/>
        </w:rPr>
      </w:pPr>
      <w:r w:rsidRPr="0051230B">
        <w:rPr>
          <w:bCs/>
          <w:i/>
          <w:iCs/>
          <w:noProof/>
          <w:szCs w:val="22"/>
        </w:rPr>
        <w:t>The committee is also requested to provide advice on any other issues that it thinks may be relevant to a decision on whether or not to approve this application.</w:t>
      </w:r>
    </w:p>
    <w:p w:rsidR="004658CF" w:rsidRPr="006E4BE8" w:rsidRDefault="004658CF" w:rsidP="004658CF">
      <w:pPr>
        <w:rPr>
          <w:bCs/>
          <w:iCs/>
          <w:noProof/>
        </w:rPr>
      </w:pPr>
      <w:r w:rsidRPr="006E4BE8">
        <w:rPr>
          <w:bCs/>
          <w:iCs/>
          <w:noProof/>
        </w:rPr>
        <w:t xml:space="preserve">The </w:t>
      </w:r>
      <w:r>
        <w:rPr>
          <w:bCs/>
          <w:iCs/>
          <w:noProof/>
        </w:rPr>
        <w:t>ACPM supported the proposed inclusion of additional information about neutropenia and septic shock in the Product Information documents.</w:t>
      </w:r>
    </w:p>
    <w:p w:rsidR="004658CF" w:rsidRPr="00A322B3" w:rsidRDefault="004658CF" w:rsidP="004658CF">
      <w:r w:rsidRPr="002848CC">
        <w:rPr>
          <w:bCs/>
        </w:rPr>
        <w:t xml:space="preserve">The ACPM advised that implementation by the sponsor of the recommendations outlined above to the satisfaction of the TGA, in addition to the evidence of efficacy and safety provided would support the safe and effective </w:t>
      </w:r>
      <w:r>
        <w:rPr>
          <w:bCs/>
        </w:rPr>
        <w:t>use of this product.</w:t>
      </w:r>
    </w:p>
    <w:p w:rsidR="008E7846" w:rsidRPr="002E238E" w:rsidRDefault="008E7846" w:rsidP="008E7846">
      <w:pPr>
        <w:pStyle w:val="Heading3"/>
      </w:pPr>
      <w:bookmarkStart w:id="128" w:name="_Toc247691532"/>
      <w:bookmarkStart w:id="129" w:name="_Toc314842516"/>
      <w:bookmarkStart w:id="130" w:name="_Toc497233794"/>
      <w:bookmarkEnd w:id="88"/>
      <w:bookmarkEnd w:id="123"/>
      <w:bookmarkEnd w:id="124"/>
      <w:r>
        <w:t>Outcome</w:t>
      </w:r>
      <w:bookmarkEnd w:id="128"/>
      <w:bookmarkEnd w:id="129"/>
      <w:bookmarkEnd w:id="130"/>
    </w:p>
    <w:p w:rsidR="0089748D" w:rsidRDefault="00D23139" w:rsidP="00117AE2">
      <w:bookmarkStart w:id="131" w:name="_Toc247691533"/>
      <w:bookmarkStart w:id="132" w:name="_Toc314842517"/>
      <w:r w:rsidRPr="00D23139">
        <w:t xml:space="preserve">Based on a review of quality, safety and efficacy, TGA approved the registration of </w:t>
      </w:r>
      <w:proofErr w:type="spellStart"/>
      <w:r w:rsidR="00EA004E">
        <w:t>Halaven</w:t>
      </w:r>
      <w:proofErr w:type="spellEnd"/>
      <w:r w:rsidR="00117AE2">
        <w:t xml:space="preserve"> containing </w:t>
      </w:r>
      <w:proofErr w:type="spellStart"/>
      <w:r w:rsidR="00117AE2">
        <w:t>eribulin</w:t>
      </w:r>
      <w:proofErr w:type="spellEnd"/>
      <w:r w:rsidR="00117AE2">
        <w:t xml:space="preserve"> </w:t>
      </w:r>
      <w:proofErr w:type="spellStart"/>
      <w:r w:rsidR="00117AE2">
        <w:t>mesilate</w:t>
      </w:r>
      <w:proofErr w:type="spellEnd"/>
      <w:r w:rsidR="00117AE2">
        <w:t xml:space="preserve"> 1</w:t>
      </w:r>
      <w:r w:rsidR="0051230B">
        <w:t xml:space="preserve"> </w:t>
      </w:r>
      <w:r w:rsidR="00117AE2">
        <w:t>mg/2</w:t>
      </w:r>
      <w:r w:rsidR="0051230B">
        <w:t xml:space="preserve"> </w:t>
      </w:r>
      <w:r w:rsidR="00117AE2">
        <w:t>mL solution for injection glass vial for the new indication:</w:t>
      </w:r>
    </w:p>
    <w:p w:rsidR="00D23139" w:rsidRPr="00D23139" w:rsidRDefault="00EA004E" w:rsidP="00117AE2">
      <w:pPr>
        <w:ind w:left="720"/>
      </w:pPr>
      <w:proofErr w:type="spellStart"/>
      <w:r>
        <w:rPr>
          <w:i/>
        </w:rPr>
        <w:t>Halaven</w:t>
      </w:r>
      <w:proofErr w:type="spellEnd"/>
      <w:r w:rsidR="00117AE2" w:rsidRPr="00117AE2">
        <w:rPr>
          <w:i/>
        </w:rPr>
        <w:t xml:space="preserve"> is indicated for the treatment of patients with </w:t>
      </w:r>
      <w:proofErr w:type="spellStart"/>
      <w:r w:rsidR="00117AE2" w:rsidRPr="00117AE2">
        <w:rPr>
          <w:i/>
        </w:rPr>
        <w:t>unresectable</w:t>
      </w:r>
      <w:proofErr w:type="spellEnd"/>
      <w:r w:rsidR="00117AE2" w:rsidRPr="00117AE2">
        <w:rPr>
          <w:i/>
        </w:rPr>
        <w:t xml:space="preserve"> </w:t>
      </w:r>
      <w:proofErr w:type="spellStart"/>
      <w:r w:rsidR="00117AE2" w:rsidRPr="00117AE2">
        <w:rPr>
          <w:i/>
        </w:rPr>
        <w:t>liposarcoma</w:t>
      </w:r>
      <w:proofErr w:type="spellEnd"/>
      <w:r w:rsidR="00117AE2" w:rsidRPr="00117AE2">
        <w:rPr>
          <w:i/>
        </w:rPr>
        <w:t xml:space="preserve"> who have received prior chemotherapy for advanced or metastatic disease</w:t>
      </w:r>
      <w:r w:rsidR="00117AE2">
        <w:t>.</w:t>
      </w:r>
    </w:p>
    <w:p w:rsidR="008E7846" w:rsidRDefault="00A80B5B" w:rsidP="00642EAE">
      <w:pPr>
        <w:pStyle w:val="Heading2"/>
        <w:spacing w:before="240"/>
      </w:pPr>
      <w:bookmarkStart w:id="133" w:name="_Toc497233795"/>
      <w:proofErr w:type="gramStart"/>
      <w:r>
        <w:t>Attachment 1.</w:t>
      </w:r>
      <w:proofErr w:type="gramEnd"/>
      <w:r>
        <w:t xml:space="preserve"> </w:t>
      </w:r>
      <w:r w:rsidR="008E7846">
        <w:t xml:space="preserve">Product </w:t>
      </w:r>
      <w:r w:rsidR="00AA0ED0">
        <w:t>I</w:t>
      </w:r>
      <w:r w:rsidR="008E7846">
        <w:t>nformation</w:t>
      </w:r>
      <w:bookmarkEnd w:id="131"/>
      <w:bookmarkEnd w:id="132"/>
      <w:bookmarkEnd w:id="133"/>
    </w:p>
    <w:p w:rsidR="0019387B" w:rsidRDefault="006136D7" w:rsidP="00C80137">
      <w:r w:rsidRPr="002B3624">
        <w:t xml:space="preserve">The </w:t>
      </w:r>
      <w:r>
        <w:t>PI</w:t>
      </w:r>
      <w:r w:rsidRPr="002B3624">
        <w:t xml:space="preserve"> for </w:t>
      </w:r>
      <w:proofErr w:type="spellStart"/>
      <w:r w:rsidR="004658CF">
        <w:t>Halaven</w:t>
      </w:r>
      <w:proofErr w:type="spellEnd"/>
      <w:r w:rsidRPr="002B3624">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22" w:history="1">
        <w:r w:rsidR="000349E5" w:rsidRPr="00581C8E">
          <w:rPr>
            <w:rStyle w:val="Hyperlink"/>
          </w:rPr>
          <w:t>https://www.tga.gov.au/product-information-pi</w:t>
        </w:r>
      </w:hyperlink>
      <w:r w:rsidR="007C6B9B" w:rsidRPr="007C6B9B">
        <w:t>&gt;</w:t>
      </w:r>
      <w:r w:rsidR="0019387B">
        <w:t>.</w:t>
      </w:r>
    </w:p>
    <w:p w:rsidR="0089748D" w:rsidRDefault="00C80137" w:rsidP="00642EAE">
      <w:pPr>
        <w:pStyle w:val="Heading2"/>
        <w:spacing w:before="240"/>
        <w:rPr>
          <w:lang w:eastAsia="ja-JP"/>
        </w:rPr>
      </w:pPr>
      <w:bookmarkStart w:id="134" w:name="_Toc497233796"/>
      <w:proofErr w:type="gramStart"/>
      <w:r>
        <w:rPr>
          <w:lang w:eastAsia="en-AU"/>
        </w:rPr>
        <w:t>Attachment 2.</w:t>
      </w:r>
      <w:proofErr w:type="gramEnd"/>
      <w:r w:rsidR="00A80B5B">
        <w:rPr>
          <w:lang w:eastAsia="en-AU"/>
        </w:rPr>
        <w:t xml:space="preserve"> </w:t>
      </w:r>
      <w:r>
        <w:rPr>
          <w:lang w:eastAsia="en-AU"/>
        </w:rPr>
        <w:t>Extract from the Clinical Evaluation Report</w:t>
      </w:r>
      <w:bookmarkEnd w:id="134"/>
    </w:p>
    <w:p w:rsidR="00291957" w:rsidRDefault="00291957" w:rsidP="00291957">
      <w:pPr>
        <w:rPr>
          <w:lang w:eastAsia="ja-JP"/>
        </w:rPr>
      </w:pPr>
    </w:p>
    <w:p w:rsidR="00C80137" w:rsidRPr="001D043B" w:rsidRDefault="00C80137" w:rsidP="003A7F6C">
      <w:pPr>
        <w:pStyle w:val="TableTitle"/>
        <w:sectPr w:rsidR="00C80137" w:rsidRPr="001D043B" w:rsidSect="00642EAE">
          <w:headerReference w:type="even" r:id="rId23"/>
          <w:headerReference w:type="default" r:id="rId24"/>
          <w:headerReference w:type="first" r:id="rId25"/>
          <w:footerReference w:type="first" r:id="rId26"/>
          <w:pgSz w:w="11906" w:h="16838" w:code="9"/>
          <w:pgMar w:top="834" w:right="1701" w:bottom="993"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7" w:history="1">
              <w:r w:rsidRPr="004C239D">
                <w:rPr>
                  <w:rStyle w:val="Hyperlink"/>
                </w:rPr>
                <w:t>info@tga.gov.au</w:t>
              </w:r>
            </w:hyperlink>
            <w:r w:rsidR="00F13CF2">
              <w:t xml:space="preserve"> </w:t>
            </w:r>
            <w:r w:rsidRPr="00487162">
              <w:t>Phone: 1800 020 653</w:t>
            </w:r>
            <w:r w:rsidR="00F13CF2">
              <w:t xml:space="preserve"> </w:t>
            </w:r>
            <w:r w:rsidRPr="00487162">
              <w:t>Fax: 02 6232 8605</w:t>
            </w:r>
          </w:p>
          <w:p w:rsidR="001C32CD" w:rsidRPr="004C239D" w:rsidRDefault="00970A75" w:rsidP="00A05FA4">
            <w:pPr>
              <w:pStyle w:val="Address"/>
              <w:spacing w:line="260" w:lineRule="atLeast"/>
              <w:rPr>
                <w:b/>
                <w:color w:val="0000FF"/>
                <w:u w:val="single"/>
              </w:rPr>
            </w:pPr>
            <w:hyperlink r:id="rId28"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29"/>
      <w:headerReference w:type="default" r:id="rId30"/>
      <w:footerReference w:type="default" r:id="rId31"/>
      <w:headerReference w:type="first" r:id="rId32"/>
      <w:footerReference w:type="first" r:id="rId3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A75" w:rsidRDefault="00970A75" w:rsidP="00C40A36">
      <w:pPr>
        <w:spacing w:after="0"/>
      </w:pPr>
      <w:r>
        <w:separator/>
      </w:r>
    </w:p>
  </w:endnote>
  <w:endnote w:type="continuationSeparator" w:id="0">
    <w:p w:rsidR="00970A75" w:rsidRDefault="00970A7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70A75" w:rsidRPr="00487162" w:rsidTr="00DB750B">
      <w:trPr>
        <w:trHeight w:val="269"/>
      </w:trPr>
      <w:tc>
        <w:tcPr>
          <w:tcW w:w="7371" w:type="dxa"/>
          <w:tcMar>
            <w:top w:w="142" w:type="dxa"/>
            <w:bottom w:w="0" w:type="dxa"/>
          </w:tcMar>
        </w:tcPr>
        <w:p w:rsidR="00970A75" w:rsidRPr="00487162" w:rsidRDefault="00970A75" w:rsidP="00BD223F">
          <w:pPr>
            <w:pStyle w:val="Footer"/>
          </w:pPr>
          <w:proofErr w:type="spellStart"/>
          <w:r w:rsidRPr="00487162">
            <w:t>AusPA</w:t>
          </w:r>
          <w:r>
            <w:t>R</w:t>
          </w:r>
          <w:proofErr w:type="spellEnd"/>
          <w:r>
            <w:t xml:space="preserve"> </w:t>
          </w:r>
          <w:proofErr w:type="spellStart"/>
          <w:r>
            <w:t>Halaven</w:t>
          </w:r>
          <w:proofErr w:type="spellEnd"/>
          <w:r>
            <w:t xml:space="preserve"> </w:t>
          </w:r>
          <w:proofErr w:type="spellStart"/>
          <w:r>
            <w:t>E</w:t>
          </w:r>
          <w:r w:rsidRPr="004658CF">
            <w:t>ribulin</w:t>
          </w:r>
          <w:proofErr w:type="spellEnd"/>
          <w:r w:rsidRPr="004658CF">
            <w:t xml:space="preserve"> </w:t>
          </w:r>
          <w:proofErr w:type="spellStart"/>
          <w:r w:rsidRPr="004658CF">
            <w:t>mesilate</w:t>
          </w:r>
          <w:proofErr w:type="spellEnd"/>
          <w:r w:rsidRPr="004658CF">
            <w:t xml:space="preserve"> </w:t>
          </w:r>
          <w:r>
            <w:t>Eisai Australia Pty Ltd PM-2015</w:t>
          </w:r>
          <w:r w:rsidRPr="00487162">
            <w:t>-</w:t>
          </w:r>
          <w:r>
            <w:t>04001</w:t>
          </w:r>
          <w:r w:rsidRPr="00487162">
            <w:t>-</w:t>
          </w:r>
          <w:r>
            <w:t>1-4</w:t>
          </w:r>
          <w:r>
            <w:br/>
            <w:t>Final 12 October 2017</w:t>
          </w:r>
        </w:p>
      </w:tc>
      <w:tc>
        <w:tcPr>
          <w:tcW w:w="1490" w:type="dxa"/>
          <w:tcMar>
            <w:top w:w="142" w:type="dxa"/>
            <w:bottom w:w="0" w:type="dxa"/>
          </w:tcMar>
        </w:tcPr>
        <w:p w:rsidR="00970A75" w:rsidRPr="00487162" w:rsidRDefault="00970A75" w:rsidP="00DB750B">
          <w:pPr>
            <w:pStyle w:val="Footer"/>
            <w:jc w:val="right"/>
          </w:pPr>
          <w:r w:rsidRPr="00487162">
            <w:t xml:space="preserve">Page </w:t>
          </w:r>
          <w:r>
            <w:fldChar w:fldCharType="begin"/>
          </w:r>
          <w:r>
            <w:instrText xml:space="preserve"> PAGE  \* Arabic </w:instrText>
          </w:r>
          <w:r>
            <w:fldChar w:fldCharType="separate"/>
          </w:r>
          <w:r w:rsidR="00FF173D">
            <w:rPr>
              <w:noProof/>
            </w:rPr>
            <w:t>2</w:t>
          </w:r>
          <w:r>
            <w:fldChar w:fldCharType="end"/>
          </w:r>
          <w:r w:rsidRPr="00487162">
            <w:t xml:space="preserve"> of </w:t>
          </w:r>
          <w:fldSimple w:instr=" NUMPAGES  \* Arabic ">
            <w:r w:rsidR="00FF173D">
              <w:rPr>
                <w:noProof/>
              </w:rPr>
              <w:t>43</w:t>
            </w:r>
          </w:fldSimple>
        </w:p>
      </w:tc>
    </w:tr>
  </w:tbl>
  <w:p w:rsidR="00970A75" w:rsidRDefault="00970A75"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70A75" w:rsidRPr="00487162" w:rsidTr="00E45619">
      <w:trPr>
        <w:trHeight w:val="269"/>
      </w:trPr>
      <w:tc>
        <w:tcPr>
          <w:tcW w:w="4519" w:type="dxa"/>
          <w:tcBorders>
            <w:top w:val="single" w:sz="4" w:space="0" w:color="auto"/>
          </w:tcBorders>
          <w:tcMar>
            <w:top w:w="142" w:type="dxa"/>
            <w:bottom w:w="0" w:type="dxa"/>
          </w:tcMar>
        </w:tcPr>
        <w:p w:rsidR="00970A75" w:rsidRPr="00487162" w:rsidRDefault="00970A75" w:rsidP="00FE1DEE">
          <w:pPr>
            <w:pStyle w:val="Footer"/>
          </w:pPr>
          <w:r w:rsidRPr="00487162">
            <w:t>Document title, Part #, Section # - Section title</w:t>
          </w:r>
        </w:p>
        <w:p w:rsidR="00970A75" w:rsidRPr="00487162" w:rsidRDefault="00970A75" w:rsidP="00FE1DEE">
          <w:pPr>
            <w:pStyle w:val="Footer"/>
          </w:pPr>
          <w:r w:rsidRPr="00487162">
            <w:t>V1.0 October 2010</w:t>
          </w:r>
        </w:p>
      </w:tc>
      <w:tc>
        <w:tcPr>
          <w:tcW w:w="4342" w:type="dxa"/>
          <w:tcBorders>
            <w:top w:val="single" w:sz="4" w:space="0" w:color="auto"/>
          </w:tcBorders>
          <w:tcMar>
            <w:top w:w="142" w:type="dxa"/>
            <w:bottom w:w="0" w:type="dxa"/>
          </w:tcMar>
        </w:tcPr>
        <w:p w:rsidR="00970A75" w:rsidRPr="00487162" w:rsidRDefault="00970A7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46</w:t>
            </w:r>
          </w:fldSimple>
        </w:p>
      </w:tc>
    </w:tr>
  </w:tbl>
  <w:p w:rsidR="00970A75" w:rsidRDefault="00970A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A75" w:rsidRPr="001C32CD" w:rsidRDefault="00970A75"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70A75" w:rsidTr="0010601F">
      <w:trPr>
        <w:trHeight w:val="108"/>
      </w:trPr>
      <w:tc>
        <w:tcPr>
          <w:tcW w:w="8875" w:type="dxa"/>
          <w:gridSpan w:val="2"/>
          <w:tcBorders>
            <w:bottom w:val="single" w:sz="4" w:space="0" w:color="auto"/>
          </w:tcBorders>
          <w:tcMar>
            <w:right w:w="284" w:type="dxa"/>
          </w:tcMar>
        </w:tcPr>
        <w:p w:rsidR="00970A75" w:rsidRDefault="00970A75" w:rsidP="006E08B3">
          <w:pPr>
            <w:pStyle w:val="Heading3"/>
          </w:pPr>
          <w:r>
            <w:t>Copyright</w:t>
          </w:r>
        </w:p>
        <w:p w:rsidR="00970A75" w:rsidRDefault="00970A75" w:rsidP="006E08B3">
          <w:r>
            <w:rPr>
              <w:rFonts w:cs="Arial"/>
            </w:rPr>
            <w:t>©</w:t>
          </w:r>
          <w:r>
            <w:t xml:space="preserve"> Commonwealth of Australia [add year]</w:t>
          </w:r>
        </w:p>
        <w:p w:rsidR="00970A75" w:rsidRDefault="00970A75" w:rsidP="006E08B3"/>
        <w:p w:rsidR="00970A75" w:rsidRDefault="00970A7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70A75" w:rsidRDefault="00970A75" w:rsidP="006E08B3"/>
        <w:p w:rsidR="00970A75" w:rsidRDefault="00970A75" w:rsidP="006E08B3">
          <w:pPr>
            <w:pStyle w:val="Heading3"/>
          </w:pPr>
          <w:r>
            <w:t>Confidentiality</w:t>
          </w:r>
        </w:p>
        <w:p w:rsidR="00970A75" w:rsidRDefault="00970A7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70A75" w:rsidRDefault="00970A75" w:rsidP="006E08B3"/>
        <w:p w:rsidR="00970A75" w:rsidRDefault="00970A75" w:rsidP="006E08B3">
          <w:r>
            <w:t>For submission made by individuals, all personal details, other than your name, will be removed from your submission before it is published on the TGA’s Internet site.</w:t>
          </w:r>
        </w:p>
        <w:p w:rsidR="00970A75" w:rsidRDefault="00970A75" w:rsidP="006E08B3"/>
        <w:p w:rsidR="00970A75" w:rsidRDefault="00970A7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70A75" w:rsidTr="0010601F">
      <w:trPr>
        <w:trHeight w:val="417"/>
      </w:trPr>
      <w:tc>
        <w:tcPr>
          <w:tcW w:w="4519" w:type="dxa"/>
          <w:tcBorders>
            <w:top w:val="single" w:sz="4" w:space="0" w:color="auto"/>
          </w:tcBorders>
          <w:tcMar>
            <w:top w:w="142" w:type="dxa"/>
            <w:bottom w:w="0" w:type="dxa"/>
          </w:tcMar>
        </w:tcPr>
        <w:p w:rsidR="00970A75" w:rsidRDefault="00970A75" w:rsidP="006E08B3">
          <w:r>
            <w:t>Document title, Part #, Section # - Section title</w:t>
          </w:r>
        </w:p>
        <w:p w:rsidR="00970A75" w:rsidRDefault="00970A75" w:rsidP="006E08B3">
          <w:r>
            <w:t>V1.0 October 2010</w:t>
          </w:r>
        </w:p>
      </w:tc>
      <w:tc>
        <w:tcPr>
          <w:tcW w:w="4356" w:type="dxa"/>
          <w:tcBorders>
            <w:top w:val="single" w:sz="4" w:space="0" w:color="auto"/>
          </w:tcBorders>
          <w:tcMar>
            <w:top w:w="142" w:type="dxa"/>
            <w:bottom w:w="0" w:type="dxa"/>
          </w:tcMar>
        </w:tcPr>
        <w:p w:rsidR="00970A75" w:rsidRDefault="00970A7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46</w:t>
            </w:r>
          </w:fldSimple>
          <w:r>
            <w:t xml:space="preserve"> </w:t>
          </w:r>
        </w:p>
      </w:tc>
    </w:tr>
  </w:tbl>
  <w:p w:rsidR="00970A75" w:rsidRDefault="00970A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A75" w:rsidRDefault="00970A75" w:rsidP="00C40A36">
      <w:pPr>
        <w:spacing w:after="0"/>
      </w:pPr>
      <w:r>
        <w:separator/>
      </w:r>
    </w:p>
  </w:footnote>
  <w:footnote w:type="continuationSeparator" w:id="0">
    <w:p w:rsidR="00970A75" w:rsidRDefault="00970A75" w:rsidP="00C40A36">
      <w:pPr>
        <w:spacing w:after="0"/>
      </w:pPr>
      <w:r>
        <w:continuationSeparator/>
      </w:r>
    </w:p>
  </w:footnote>
  <w:footnote w:id="1">
    <w:p w:rsidR="00970A75" w:rsidRPr="001963FD" w:rsidRDefault="00970A75" w:rsidP="003911CD">
      <w:pPr>
        <w:tabs>
          <w:tab w:val="right" w:pos="7088"/>
        </w:tabs>
        <w:adjustRightInd w:val="0"/>
        <w:snapToGrid w:val="0"/>
        <w:spacing w:before="0" w:after="0" w:line="240" w:lineRule="auto"/>
        <w:rPr>
          <w:rFonts w:asciiTheme="minorHAnsi" w:hAnsiTheme="minorHAnsi" w:cs="Calibri"/>
          <w:bCs/>
          <w:sz w:val="18"/>
          <w:szCs w:val="18"/>
        </w:rPr>
      </w:pPr>
      <w:r w:rsidRPr="001963FD">
        <w:rPr>
          <w:rStyle w:val="FootnoteReference"/>
          <w:sz w:val="18"/>
          <w:szCs w:val="18"/>
        </w:rPr>
        <w:footnoteRef/>
      </w:r>
      <w:r w:rsidRPr="001963FD">
        <w:rPr>
          <w:sz w:val="18"/>
          <w:szCs w:val="18"/>
        </w:rPr>
        <w:t xml:space="preserve"> </w:t>
      </w:r>
      <w:proofErr w:type="gramStart"/>
      <w:r w:rsidRPr="001963FD">
        <w:rPr>
          <w:rFonts w:asciiTheme="minorHAnsi" w:hAnsiTheme="minorHAnsi" w:cs="Calibri"/>
          <w:bCs/>
          <w:sz w:val="18"/>
          <w:szCs w:val="18"/>
        </w:rPr>
        <w:t>Cancer Council Australia Sarcoma Guidelines Working Party.</w:t>
      </w:r>
      <w:proofErr w:type="gramEnd"/>
      <w:r w:rsidRPr="001963FD">
        <w:rPr>
          <w:rFonts w:asciiTheme="minorHAnsi" w:hAnsiTheme="minorHAnsi" w:cs="Calibri"/>
          <w:bCs/>
          <w:sz w:val="18"/>
          <w:szCs w:val="18"/>
        </w:rPr>
        <w:t xml:space="preserve"> </w:t>
      </w:r>
      <w:proofErr w:type="gramStart"/>
      <w:r w:rsidRPr="001963FD">
        <w:rPr>
          <w:rFonts w:asciiTheme="minorHAnsi" w:hAnsiTheme="minorHAnsi" w:cs="Calibri"/>
          <w:bCs/>
          <w:sz w:val="18"/>
          <w:szCs w:val="18"/>
        </w:rPr>
        <w:t>Clinical practice guidelines for the management of adult onset sarcoma.</w:t>
      </w:r>
      <w:proofErr w:type="gramEnd"/>
      <w:r w:rsidRPr="001963FD">
        <w:rPr>
          <w:rFonts w:asciiTheme="minorHAnsi" w:hAnsiTheme="minorHAnsi" w:cs="Calibri"/>
          <w:bCs/>
          <w:sz w:val="18"/>
          <w:szCs w:val="18"/>
        </w:rPr>
        <w:t xml:space="preserve"> Sy</w:t>
      </w:r>
      <w:r>
        <w:rPr>
          <w:rFonts w:asciiTheme="minorHAnsi" w:hAnsiTheme="minorHAnsi" w:cs="Calibri"/>
          <w:bCs/>
          <w:sz w:val="18"/>
          <w:szCs w:val="18"/>
        </w:rPr>
        <w:t>dney: Cancer Council Australia.</w:t>
      </w:r>
    </w:p>
  </w:footnote>
  <w:footnote w:id="2">
    <w:p w:rsidR="00970A75" w:rsidRPr="00F13CF2" w:rsidRDefault="00970A75">
      <w:pPr>
        <w:pStyle w:val="FootnoteText"/>
        <w:rPr>
          <w:szCs w:val="18"/>
          <w:lang w:val="en-US"/>
        </w:rPr>
      </w:pPr>
      <w:r w:rsidRPr="00F13CF2">
        <w:rPr>
          <w:rStyle w:val="FootnoteReference"/>
          <w:szCs w:val="18"/>
        </w:rPr>
        <w:footnoteRef/>
      </w:r>
      <w:r w:rsidRPr="00F13CF2">
        <w:rPr>
          <w:szCs w:val="18"/>
        </w:rPr>
        <w:t xml:space="preserve"> National Comprehensive Cancer Network (NCCN). </w:t>
      </w:r>
      <w:proofErr w:type="gramStart"/>
      <w:r w:rsidRPr="00F13CF2">
        <w:rPr>
          <w:szCs w:val="18"/>
        </w:rPr>
        <w:t>NCCN Clinical Practice Guidelines in Oncology.</w:t>
      </w:r>
      <w:proofErr w:type="gramEnd"/>
      <w:r w:rsidRPr="00F13CF2">
        <w:rPr>
          <w:szCs w:val="18"/>
        </w:rPr>
        <w:t xml:space="preserve"> </w:t>
      </w:r>
      <w:proofErr w:type="gramStart"/>
      <w:r w:rsidRPr="00F13CF2">
        <w:rPr>
          <w:szCs w:val="18"/>
        </w:rPr>
        <w:t>Soft Tissue</w:t>
      </w:r>
      <w:r>
        <w:rPr>
          <w:szCs w:val="18"/>
        </w:rPr>
        <w:t xml:space="preserve"> Sarcoma.</w:t>
      </w:r>
      <w:proofErr w:type="gramEnd"/>
      <w:r>
        <w:rPr>
          <w:szCs w:val="18"/>
        </w:rPr>
        <w:t xml:space="preserve"> </w:t>
      </w:r>
      <w:proofErr w:type="gramStart"/>
      <w:r>
        <w:rPr>
          <w:szCs w:val="18"/>
        </w:rPr>
        <w:t>Version 2.2016; 2016.</w:t>
      </w:r>
      <w:proofErr w:type="gramEnd"/>
    </w:p>
  </w:footnote>
  <w:footnote w:id="3">
    <w:p w:rsidR="00970A75" w:rsidRPr="00F13CF2" w:rsidRDefault="00970A75">
      <w:pPr>
        <w:pStyle w:val="FootnoteText"/>
        <w:rPr>
          <w:szCs w:val="18"/>
          <w:lang w:val="en-US"/>
        </w:rPr>
      </w:pPr>
      <w:r w:rsidRPr="00F13CF2">
        <w:rPr>
          <w:rStyle w:val="FootnoteReference"/>
          <w:szCs w:val="18"/>
        </w:rPr>
        <w:footnoteRef/>
      </w:r>
      <w:proofErr w:type="gramStart"/>
      <w:r w:rsidRPr="00F13CF2">
        <w:rPr>
          <w:szCs w:val="18"/>
          <w:lang w:val="en-US"/>
        </w:rPr>
        <w:t>Clark MA, Fisher C, Judson I, Thomas JM.</w:t>
      </w:r>
      <w:proofErr w:type="gramEnd"/>
      <w:r w:rsidRPr="00F13CF2">
        <w:rPr>
          <w:szCs w:val="18"/>
          <w:lang w:val="en-US"/>
        </w:rPr>
        <w:t xml:space="preserve"> </w:t>
      </w:r>
      <w:proofErr w:type="gramStart"/>
      <w:r w:rsidRPr="00F13CF2">
        <w:rPr>
          <w:szCs w:val="18"/>
          <w:lang w:val="en-US"/>
        </w:rPr>
        <w:t>Soft-tissue sarcomas in adults.</w:t>
      </w:r>
      <w:proofErr w:type="gramEnd"/>
      <w:r w:rsidRPr="00F13CF2">
        <w:rPr>
          <w:szCs w:val="18"/>
          <w:lang w:val="en-US"/>
        </w:rPr>
        <w:t xml:space="preserve"> N </w:t>
      </w:r>
      <w:proofErr w:type="spellStart"/>
      <w:r w:rsidRPr="00F13CF2">
        <w:rPr>
          <w:szCs w:val="18"/>
          <w:lang w:val="en-US"/>
        </w:rPr>
        <w:t>Engl</w:t>
      </w:r>
      <w:proofErr w:type="spellEnd"/>
      <w:r w:rsidRPr="00F13CF2">
        <w:rPr>
          <w:szCs w:val="18"/>
          <w:lang w:val="en-US"/>
        </w:rPr>
        <w:t xml:space="preserve"> J Med. 2005; 353 (7): 701-11.</w:t>
      </w:r>
    </w:p>
  </w:footnote>
  <w:footnote w:id="4">
    <w:p w:rsidR="00970A75" w:rsidRPr="00F13CF2" w:rsidRDefault="00970A75">
      <w:pPr>
        <w:pStyle w:val="FootnoteText"/>
        <w:rPr>
          <w:lang w:val="en-US"/>
        </w:rPr>
      </w:pPr>
      <w:r w:rsidRPr="00F13CF2">
        <w:rPr>
          <w:rStyle w:val="FootnoteReference"/>
          <w:szCs w:val="18"/>
        </w:rPr>
        <w:footnoteRef/>
      </w:r>
      <w:r w:rsidRPr="00F13CF2">
        <w:rPr>
          <w:szCs w:val="18"/>
        </w:rPr>
        <w:t xml:space="preserve"> </w:t>
      </w:r>
      <w:proofErr w:type="spellStart"/>
      <w:r w:rsidRPr="00F13CF2">
        <w:rPr>
          <w:szCs w:val="18"/>
        </w:rPr>
        <w:t>Shiba</w:t>
      </w:r>
      <w:proofErr w:type="spellEnd"/>
      <w:r w:rsidRPr="00F13CF2">
        <w:rPr>
          <w:szCs w:val="18"/>
        </w:rPr>
        <w:t xml:space="preserve"> S, Peach A</w:t>
      </w:r>
      <w:r w:rsidRPr="00F13CF2">
        <w:t xml:space="preserve"> Howard S. Diagnosis and management of soft tissue sarcoma BMJ 2010; 341: c717</w:t>
      </w:r>
    </w:p>
  </w:footnote>
  <w:footnote w:id="5">
    <w:p w:rsidR="00970A75" w:rsidRPr="007341A2" w:rsidRDefault="00970A75">
      <w:pPr>
        <w:pStyle w:val="FootnoteText"/>
        <w:rPr>
          <w:lang w:val="en-US"/>
        </w:rPr>
      </w:pPr>
      <w:r>
        <w:rPr>
          <w:rStyle w:val="FootnoteReference"/>
        </w:rPr>
        <w:footnoteRef/>
      </w:r>
      <w:proofErr w:type="gramStart"/>
      <w:r w:rsidRPr="007341A2">
        <w:rPr>
          <w:lang w:val="en-US"/>
        </w:rPr>
        <w:t>Cancer Council Australia Sarcoma Guidelines Working Party.</w:t>
      </w:r>
      <w:proofErr w:type="gramEnd"/>
      <w:r w:rsidRPr="007341A2">
        <w:rPr>
          <w:lang w:val="en-US"/>
        </w:rPr>
        <w:t xml:space="preserve"> </w:t>
      </w:r>
      <w:proofErr w:type="gramStart"/>
      <w:r w:rsidRPr="007341A2">
        <w:rPr>
          <w:lang w:val="en-US"/>
        </w:rPr>
        <w:t>Clinical practice guidelines for the management of adult onset sarcoma.</w:t>
      </w:r>
      <w:proofErr w:type="gramEnd"/>
      <w:r w:rsidRPr="007341A2">
        <w:rPr>
          <w:lang w:val="en-US"/>
        </w:rPr>
        <w:t xml:space="preserve"> Sydney: Cancer Council Australia. [Version URL: http://wiki.cancer.org.au/australiawiki/index.php?oldid=106741, cited 2016 Apr 13].</w:t>
      </w:r>
    </w:p>
  </w:footnote>
  <w:footnote w:id="6">
    <w:p w:rsidR="00970A75" w:rsidRPr="007341A2" w:rsidRDefault="00970A75">
      <w:pPr>
        <w:pStyle w:val="FootnoteText"/>
        <w:rPr>
          <w:lang w:val="en-US"/>
        </w:rPr>
      </w:pPr>
      <w:r>
        <w:rPr>
          <w:rStyle w:val="FootnoteReference"/>
        </w:rPr>
        <w:footnoteRef/>
      </w:r>
      <w:r>
        <w:t xml:space="preserve"> </w:t>
      </w:r>
      <w:r w:rsidRPr="007341A2">
        <w:t xml:space="preserve">ESMO/European Sarcoma Network Working Group. Soft tissue and visceral sarcomas: ESMO Clinical Practice Guidelines for diagnosis, treatment and follow-up. Ann </w:t>
      </w:r>
      <w:proofErr w:type="spellStart"/>
      <w:r w:rsidRPr="007341A2">
        <w:t>Oncol</w:t>
      </w:r>
      <w:proofErr w:type="spellEnd"/>
      <w:r w:rsidRPr="007341A2">
        <w:t xml:space="preserve">. 2014; 25 </w:t>
      </w:r>
      <w:proofErr w:type="spellStart"/>
      <w:r w:rsidRPr="007341A2">
        <w:t>Suppl</w:t>
      </w:r>
      <w:proofErr w:type="spellEnd"/>
      <w:r w:rsidRPr="007341A2">
        <w:t xml:space="preserve"> 3: iii102-12</w:t>
      </w:r>
    </w:p>
  </w:footnote>
  <w:footnote w:id="7">
    <w:p w:rsidR="00970A75" w:rsidRPr="007341A2" w:rsidRDefault="00970A75">
      <w:pPr>
        <w:pStyle w:val="FootnoteText"/>
        <w:rPr>
          <w:lang w:val="en-US"/>
        </w:rPr>
      </w:pPr>
      <w:r>
        <w:rPr>
          <w:rStyle w:val="FootnoteReference"/>
        </w:rPr>
        <w:footnoteRef/>
      </w:r>
      <w:r>
        <w:t xml:space="preserve"> </w:t>
      </w:r>
      <w:proofErr w:type="gramStart"/>
      <w:r w:rsidRPr="007341A2">
        <w:t>European Medicines Agency.</w:t>
      </w:r>
      <w:proofErr w:type="gramEnd"/>
      <w:r w:rsidRPr="007341A2">
        <w:t xml:space="preserve"> </w:t>
      </w:r>
      <w:proofErr w:type="gramStart"/>
      <w:r w:rsidRPr="007341A2">
        <w:t>Guideline on the evaluation of anticancer medicinal products in man.</w:t>
      </w:r>
      <w:proofErr w:type="gramEnd"/>
      <w:r w:rsidRPr="007341A2">
        <w:t xml:space="preserve"> EMA/CHMP/205/95/Rev.4; (2012).</w:t>
      </w:r>
    </w:p>
  </w:footnote>
  <w:footnote w:id="8">
    <w:p w:rsidR="00970A75" w:rsidRPr="007341A2" w:rsidRDefault="00970A75">
      <w:pPr>
        <w:pStyle w:val="FootnoteText"/>
        <w:rPr>
          <w:lang w:val="en-US"/>
        </w:rPr>
      </w:pPr>
      <w:r>
        <w:rPr>
          <w:rStyle w:val="FootnoteReference"/>
        </w:rPr>
        <w:footnoteRef/>
      </w:r>
      <w:r>
        <w:t xml:space="preserve"> </w:t>
      </w:r>
      <w:proofErr w:type="gramStart"/>
      <w:r w:rsidRPr="007341A2">
        <w:t>European Medicines Agency.</w:t>
      </w:r>
      <w:proofErr w:type="gramEnd"/>
      <w:r>
        <w:t xml:space="preserve"> </w:t>
      </w:r>
      <w:proofErr w:type="gramStart"/>
      <w:r w:rsidRPr="007341A2">
        <w:t>Points to consider on application with 1.</w:t>
      </w:r>
      <w:proofErr w:type="gramEnd"/>
      <w:r w:rsidRPr="007341A2">
        <w:t xml:space="preserve"> </w:t>
      </w:r>
      <w:proofErr w:type="gramStart"/>
      <w:r w:rsidRPr="007341A2">
        <w:t>Meta-analyses; 2.</w:t>
      </w:r>
      <w:proofErr w:type="gramEnd"/>
      <w:r w:rsidRPr="007341A2">
        <w:t xml:space="preserve"> </w:t>
      </w:r>
      <w:proofErr w:type="gramStart"/>
      <w:r w:rsidRPr="007341A2">
        <w:t>One pivotal study; CPMP/EWP/2330/99 (2001).</w:t>
      </w:r>
      <w:proofErr w:type="gramEnd"/>
    </w:p>
  </w:footnote>
  <w:footnote w:id="9">
    <w:p w:rsidR="00970A75" w:rsidRPr="007341A2" w:rsidRDefault="00970A75">
      <w:pPr>
        <w:pStyle w:val="FootnoteText"/>
        <w:rPr>
          <w:lang w:val="en-US"/>
        </w:rPr>
      </w:pPr>
      <w:r>
        <w:rPr>
          <w:rStyle w:val="FootnoteReference"/>
        </w:rPr>
        <w:footnoteRef/>
      </w:r>
      <w:r>
        <w:t xml:space="preserve"> </w:t>
      </w:r>
      <w:proofErr w:type="gramStart"/>
      <w:r w:rsidRPr="007341A2">
        <w:t>European Medicines Agency.</w:t>
      </w:r>
      <w:proofErr w:type="gramEnd"/>
      <w:r w:rsidRPr="007341A2">
        <w:t xml:space="preserve"> EMA decision P/0136/2015. 15 June 2015</w:t>
      </w:r>
    </w:p>
  </w:footnote>
  <w:footnote w:id="10">
    <w:p w:rsidR="00970A75" w:rsidRDefault="00970A75">
      <w:pPr>
        <w:pStyle w:val="FootnoteText"/>
      </w:pPr>
      <w:r>
        <w:rPr>
          <w:rStyle w:val="FootnoteReference"/>
        </w:rPr>
        <w:footnoteRef/>
      </w:r>
      <w:r>
        <w:t>ECOG performance status:</w:t>
      </w:r>
    </w:p>
    <w:p w:rsidR="00970A75" w:rsidRPr="003911CD" w:rsidRDefault="00970A75">
      <w:pPr>
        <w:pStyle w:val="FootnoteText"/>
      </w:pPr>
      <w:r>
        <w:rPr>
          <w:noProof/>
          <w:lang w:eastAsia="en-AU"/>
        </w:rPr>
        <w:drawing>
          <wp:inline distT="0" distB="0" distL="0" distR="0" wp14:anchorId="71F6C6F8" wp14:editId="233C1CB8">
            <wp:extent cx="3706090" cy="1052946"/>
            <wp:effectExtent l="0" t="0" r="8890" b="0"/>
            <wp:docPr id="19" name="Picture 16" descr="&quot;&quot;"/>
            <wp:cNvGraphicFramePr/>
            <a:graphic xmlns:a="http://schemas.openxmlformats.org/drawingml/2006/main">
              <a:graphicData uri="http://schemas.openxmlformats.org/drawingml/2006/picture">
                <pic:pic xmlns:pic="http://schemas.openxmlformats.org/drawingml/2006/picture">
                  <pic:nvPicPr>
                    <pic:cNvPr id="19" name="Picture 1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6295" cy="1053004"/>
                    </a:xfrm>
                    <a:prstGeom prst="rect">
                      <a:avLst/>
                    </a:prstGeom>
                    <a:noFill/>
                    <a:ln>
                      <a:noFill/>
                    </a:ln>
                  </pic:spPr>
                </pic:pic>
              </a:graphicData>
            </a:graphic>
          </wp:inline>
        </w:drawing>
      </w:r>
    </w:p>
  </w:footnote>
  <w:footnote w:id="11">
    <w:p w:rsidR="00970A75" w:rsidRPr="00366814" w:rsidRDefault="00970A75">
      <w:pPr>
        <w:pStyle w:val="FootnoteText"/>
        <w:rPr>
          <w:lang w:val="en-US"/>
        </w:rPr>
      </w:pPr>
      <w:r>
        <w:rPr>
          <w:rStyle w:val="FootnoteReference"/>
        </w:rPr>
        <w:footnoteRef/>
      </w:r>
      <w:r w:rsidRPr="00366814">
        <w:rPr>
          <w:lang w:val="en-US"/>
        </w:rPr>
        <w:t xml:space="preserve">In cardiology, the QT interval is a measure of the time between the start of the Q wave and the end of the T wave in the heart's electrical cycle. The QT interval represents electrical </w:t>
      </w:r>
      <w:proofErr w:type="spellStart"/>
      <w:r>
        <w:rPr>
          <w:lang w:val="en-US"/>
        </w:rPr>
        <w:t>depolarisation</w:t>
      </w:r>
      <w:proofErr w:type="spellEnd"/>
      <w:r>
        <w:rPr>
          <w:lang w:val="en-US"/>
        </w:rPr>
        <w:t xml:space="preserve"> and </w:t>
      </w:r>
      <w:proofErr w:type="spellStart"/>
      <w:r>
        <w:rPr>
          <w:lang w:val="en-US"/>
        </w:rPr>
        <w:t>repolaris</w:t>
      </w:r>
      <w:r w:rsidRPr="00366814">
        <w:rPr>
          <w:lang w:val="en-US"/>
        </w:rPr>
        <w:t>ation</w:t>
      </w:r>
      <w:proofErr w:type="spellEnd"/>
      <w:r w:rsidRPr="00366814">
        <w:rPr>
          <w:lang w:val="en-US"/>
        </w:rPr>
        <w:t xml:space="preserve"> of the ventricles. A lengthened QT interval is a marker for the potential of ventricular </w:t>
      </w:r>
      <w:proofErr w:type="spellStart"/>
      <w:r w:rsidRPr="00366814">
        <w:rPr>
          <w:lang w:val="en-US"/>
        </w:rPr>
        <w:t>tachyarrhythmias</w:t>
      </w:r>
      <w:proofErr w:type="spellEnd"/>
      <w:r w:rsidRPr="00366814">
        <w:rPr>
          <w:lang w:val="en-US"/>
        </w:rPr>
        <w:t xml:space="preserve"> like </w:t>
      </w:r>
      <w:proofErr w:type="spellStart"/>
      <w:r w:rsidRPr="00366814">
        <w:rPr>
          <w:lang w:val="en-US"/>
        </w:rPr>
        <w:t>torsades</w:t>
      </w:r>
      <w:proofErr w:type="spellEnd"/>
      <w:r w:rsidRPr="00366814">
        <w:rPr>
          <w:lang w:val="en-US"/>
        </w:rPr>
        <w:t xml:space="preserve"> de pointes and a risk factor for sudden death.</w:t>
      </w:r>
    </w:p>
  </w:footnote>
  <w:footnote w:id="12">
    <w:p w:rsidR="00970A75" w:rsidRPr="007341A2" w:rsidRDefault="00970A75">
      <w:pPr>
        <w:pStyle w:val="FootnoteText"/>
        <w:rPr>
          <w:lang w:val="en-US"/>
        </w:rPr>
      </w:pPr>
      <w:r>
        <w:rPr>
          <w:rStyle w:val="FootnoteReference"/>
        </w:rPr>
        <w:footnoteRef/>
      </w:r>
      <w:r>
        <w:t xml:space="preserve"> </w:t>
      </w:r>
      <w:proofErr w:type="gramStart"/>
      <w:r w:rsidRPr="007341A2">
        <w:t>U.S. Food and Drug Administration.</w:t>
      </w:r>
      <w:proofErr w:type="gramEnd"/>
      <w:r w:rsidRPr="007341A2">
        <w:t xml:space="preserve"> </w:t>
      </w:r>
      <w:proofErr w:type="gramStart"/>
      <w:r w:rsidRPr="007341A2">
        <w:t>FDA News Release.</w:t>
      </w:r>
      <w:proofErr w:type="gramEnd"/>
      <w:r w:rsidRPr="007341A2">
        <w:t xml:space="preserve"> FDA approves first drug to show survival benefit in </w:t>
      </w:r>
      <w:proofErr w:type="spellStart"/>
      <w:r w:rsidRPr="007341A2">
        <w:t>liposarcoma</w:t>
      </w:r>
      <w:proofErr w:type="spellEnd"/>
      <w:r w:rsidRPr="007341A2">
        <w:t>. 28 January 2016.</w:t>
      </w:r>
    </w:p>
  </w:footnote>
  <w:footnote w:id="13">
    <w:p w:rsidR="00970A75" w:rsidRPr="00DD31CA" w:rsidRDefault="00970A75">
      <w:pPr>
        <w:pStyle w:val="FootnoteText"/>
        <w:rPr>
          <w:lang w:val="en-US"/>
        </w:rPr>
      </w:pPr>
      <w:r>
        <w:rPr>
          <w:rStyle w:val="FootnoteReference"/>
        </w:rPr>
        <w:footnoteRef/>
      </w:r>
      <w:r>
        <w:t xml:space="preserve"> </w:t>
      </w:r>
      <w:r w:rsidRPr="00DD31CA">
        <w:t xml:space="preserve">Response Evaluation Criteria In Solid </w:t>
      </w:r>
      <w:proofErr w:type="spellStart"/>
      <w:r w:rsidRPr="00DD31CA">
        <w:t>Tumors</w:t>
      </w:r>
      <w:proofErr w:type="spellEnd"/>
      <w:r w:rsidRPr="00DD31CA">
        <w:t xml:space="preserve"> (RECIST) is a set of published rules that define when </w:t>
      </w:r>
      <w:proofErr w:type="spellStart"/>
      <w:r w:rsidRPr="00DD31CA">
        <w:t>tumors</w:t>
      </w:r>
      <w:proofErr w:type="spellEnd"/>
      <w:r w:rsidRPr="00DD31CA">
        <w:t xml:space="preserve"> in cancer patients improve (</w:t>
      </w:r>
      <w:r>
        <w:t>‘</w:t>
      </w:r>
      <w:r w:rsidRPr="00DD31CA">
        <w:t>respond</w:t>
      </w:r>
      <w:r>
        <w:t>’</w:t>
      </w:r>
      <w:r w:rsidRPr="00DD31CA">
        <w:t>), stay the same (</w:t>
      </w:r>
      <w:r>
        <w:t>‘</w:t>
      </w:r>
      <w:r w:rsidRPr="00DD31CA">
        <w:t>stabilize</w:t>
      </w:r>
      <w:r>
        <w:t>’</w:t>
      </w:r>
      <w:r w:rsidRPr="00DD31CA">
        <w:t>), or worsen (</w:t>
      </w:r>
      <w:r>
        <w:t>‘</w:t>
      </w:r>
      <w:r w:rsidRPr="00DD31CA">
        <w:t>progress</w:t>
      </w:r>
      <w:r>
        <w:t>’</w:t>
      </w:r>
      <w:r w:rsidRPr="00DD31CA">
        <w:t>) during treatment.</w:t>
      </w:r>
    </w:p>
  </w:footnote>
  <w:footnote w:id="14">
    <w:p w:rsidR="00970A75" w:rsidRPr="00A703A7" w:rsidRDefault="00970A75">
      <w:pPr>
        <w:pStyle w:val="FootnoteText"/>
        <w:rPr>
          <w:lang w:val="en-US"/>
        </w:rPr>
      </w:pPr>
      <w:r>
        <w:rPr>
          <w:rStyle w:val="FootnoteReference"/>
        </w:rPr>
        <w:footnoteRef/>
      </w:r>
      <w:proofErr w:type="gramStart"/>
      <w:r w:rsidRPr="00A703A7">
        <w:t>Cancer Council Australia Sarcoma Guidelines Working Party.</w:t>
      </w:r>
      <w:proofErr w:type="gramEnd"/>
      <w:r w:rsidRPr="00A703A7">
        <w:t xml:space="preserve"> </w:t>
      </w:r>
      <w:proofErr w:type="gramStart"/>
      <w:r w:rsidRPr="00A703A7">
        <w:t>Clinical practice guidelines for the management of adult onset sarcoma.</w:t>
      </w:r>
      <w:proofErr w:type="gramEnd"/>
      <w:r w:rsidRPr="00A703A7">
        <w:t xml:space="preserve"> Sydney: Cancer Council Australia.</w:t>
      </w:r>
    </w:p>
  </w:footnote>
  <w:footnote w:id="15">
    <w:p w:rsidR="00970A75" w:rsidRPr="00807416" w:rsidRDefault="00970A75" w:rsidP="00122D4D">
      <w:pPr>
        <w:pStyle w:val="FootnoteText"/>
        <w:rPr>
          <w:lang w:val="en-US"/>
        </w:rPr>
      </w:pPr>
      <w:r w:rsidRPr="00807416">
        <w:rPr>
          <w:rStyle w:val="FootnoteReference"/>
        </w:rPr>
        <w:footnoteRef/>
      </w:r>
      <w:proofErr w:type="spellStart"/>
      <w:r w:rsidRPr="00807416">
        <w:rPr>
          <w:lang w:val="en-US"/>
        </w:rPr>
        <w:t>D’Adamo</w:t>
      </w:r>
      <w:proofErr w:type="spellEnd"/>
      <w:r w:rsidRPr="00807416">
        <w:rPr>
          <w:lang w:val="en-US"/>
        </w:rPr>
        <w:t xml:space="preserve"> DR. </w:t>
      </w:r>
      <w:proofErr w:type="gramStart"/>
      <w:r w:rsidRPr="00807416">
        <w:rPr>
          <w:lang w:val="en-US"/>
        </w:rPr>
        <w:t>Appraising</w:t>
      </w:r>
      <w:proofErr w:type="gramEnd"/>
      <w:r w:rsidRPr="00807416">
        <w:rPr>
          <w:lang w:val="en-US"/>
        </w:rPr>
        <w:t xml:space="preserve"> the current role of chemotherapy for the treatment of sarcoma. </w:t>
      </w:r>
      <w:proofErr w:type="spellStart"/>
      <w:r w:rsidRPr="00807416">
        <w:rPr>
          <w:lang w:val="en-US"/>
        </w:rPr>
        <w:t>Semin</w:t>
      </w:r>
      <w:proofErr w:type="spellEnd"/>
    </w:p>
    <w:p w:rsidR="00970A75" w:rsidRPr="00807416" w:rsidRDefault="00970A75" w:rsidP="002F04CF">
      <w:pPr>
        <w:pStyle w:val="FootnoteText"/>
        <w:rPr>
          <w:lang w:val="en-US"/>
        </w:rPr>
      </w:pPr>
      <w:proofErr w:type="spellStart"/>
      <w:r w:rsidRPr="00807416">
        <w:rPr>
          <w:lang w:val="en-US"/>
        </w:rPr>
        <w:t>Oncol</w:t>
      </w:r>
      <w:proofErr w:type="spellEnd"/>
      <w:r w:rsidRPr="00807416">
        <w:rPr>
          <w:lang w:val="en-US"/>
        </w:rPr>
        <w:t xml:space="preserve"> 2011</w:t>
      </w:r>
      <w:proofErr w:type="gramStart"/>
      <w:r w:rsidRPr="00807416">
        <w:rPr>
          <w:lang w:val="en-US"/>
        </w:rPr>
        <w:t>;38</w:t>
      </w:r>
      <w:proofErr w:type="gramEnd"/>
      <w:r w:rsidRPr="00807416">
        <w:rPr>
          <w:lang w:val="en-US"/>
        </w:rPr>
        <w:t>(</w:t>
      </w:r>
      <w:proofErr w:type="spellStart"/>
      <w:r w:rsidRPr="00807416">
        <w:rPr>
          <w:lang w:val="en-US"/>
        </w:rPr>
        <w:t>suppl</w:t>
      </w:r>
      <w:proofErr w:type="spellEnd"/>
      <w:r w:rsidRPr="00807416">
        <w:rPr>
          <w:lang w:val="en-US"/>
        </w:rPr>
        <w:t xml:space="preserve"> 3):S19-29.</w:t>
      </w:r>
    </w:p>
    <w:p w:rsidR="00970A75" w:rsidRPr="00807416" w:rsidRDefault="00970A75" w:rsidP="00122D4D">
      <w:pPr>
        <w:pStyle w:val="FootnoteText"/>
        <w:rPr>
          <w:lang w:val="en-US"/>
        </w:rPr>
      </w:pPr>
      <w:proofErr w:type="spellStart"/>
      <w:r w:rsidRPr="00807416">
        <w:rPr>
          <w:lang w:val="en-US"/>
        </w:rPr>
        <w:t>Skubitz</w:t>
      </w:r>
      <w:proofErr w:type="spellEnd"/>
      <w:r w:rsidRPr="00807416">
        <w:rPr>
          <w:lang w:val="en-US"/>
        </w:rPr>
        <w:t xml:space="preserve"> KM, </w:t>
      </w:r>
      <w:proofErr w:type="spellStart"/>
      <w:r w:rsidRPr="00807416">
        <w:rPr>
          <w:lang w:val="en-US"/>
        </w:rPr>
        <w:t>D’Adamo</w:t>
      </w:r>
      <w:proofErr w:type="spellEnd"/>
      <w:r w:rsidRPr="00807416">
        <w:rPr>
          <w:lang w:val="en-US"/>
        </w:rPr>
        <w:t xml:space="preserve"> DM. Sarcoma. Mayo </w:t>
      </w:r>
      <w:proofErr w:type="spellStart"/>
      <w:r w:rsidRPr="00807416">
        <w:rPr>
          <w:lang w:val="en-US"/>
        </w:rPr>
        <w:t>Clin</w:t>
      </w:r>
      <w:proofErr w:type="spellEnd"/>
      <w:r w:rsidRPr="00807416">
        <w:rPr>
          <w:lang w:val="en-US"/>
        </w:rPr>
        <w:t xml:space="preserve"> Proc 2007</w:t>
      </w:r>
      <w:proofErr w:type="gramStart"/>
      <w:r w:rsidRPr="00807416">
        <w:rPr>
          <w:lang w:val="en-US"/>
        </w:rPr>
        <w:t>;82</w:t>
      </w:r>
      <w:proofErr w:type="gramEnd"/>
      <w:r w:rsidRPr="00807416">
        <w:rPr>
          <w:lang w:val="en-US"/>
        </w:rPr>
        <w:t>(11):1409-32.</w:t>
      </w:r>
    </w:p>
  </w:footnote>
  <w:footnote w:id="16">
    <w:p w:rsidR="00970A75" w:rsidRDefault="00970A75" w:rsidP="00122D4D">
      <w:pPr>
        <w:pStyle w:val="FootnoteText"/>
        <w:ind w:left="142" w:hanging="142"/>
      </w:pPr>
      <w:r w:rsidRPr="00807416">
        <w:rPr>
          <w:rStyle w:val="FootnoteReference"/>
        </w:rPr>
        <w:footnoteRef/>
      </w:r>
      <w:r w:rsidRPr="00807416">
        <w:t xml:space="preserve">Santoro A, </w:t>
      </w:r>
      <w:proofErr w:type="spellStart"/>
      <w:r w:rsidRPr="00807416">
        <w:t>Tursz</w:t>
      </w:r>
      <w:proofErr w:type="spellEnd"/>
      <w:r w:rsidRPr="00807416">
        <w:t xml:space="preserve"> T, </w:t>
      </w:r>
      <w:proofErr w:type="spellStart"/>
      <w:r w:rsidRPr="00807416">
        <w:t>Mouridsen</w:t>
      </w:r>
      <w:proofErr w:type="spellEnd"/>
      <w:r w:rsidRPr="00807416">
        <w:t xml:space="preserve"> H, </w:t>
      </w:r>
      <w:proofErr w:type="spellStart"/>
      <w:r w:rsidRPr="00807416">
        <w:t>Verweij</w:t>
      </w:r>
      <w:proofErr w:type="spellEnd"/>
      <w:r w:rsidRPr="00807416">
        <w:t xml:space="preserve"> J, Steward W, Somers R, et al. Doxorubicin</w:t>
      </w:r>
      <w:r>
        <w:t xml:space="preserve"> versus CYVADIC versus doxorubicin plus </w:t>
      </w:r>
      <w:proofErr w:type="spellStart"/>
      <w:r>
        <w:t>ifosfamide</w:t>
      </w:r>
      <w:proofErr w:type="spellEnd"/>
      <w:r>
        <w:t xml:space="preserve"> in first-line treatment of advanced soft tissue sarcomas: a randomized study of the European Organization for Research and Treatment of Cancer Soft Tissue and Bone Sarcoma Group. J </w:t>
      </w:r>
      <w:proofErr w:type="spellStart"/>
      <w:r>
        <w:t>Clin</w:t>
      </w:r>
      <w:proofErr w:type="spellEnd"/>
      <w:r>
        <w:t xml:space="preserve"> </w:t>
      </w:r>
      <w:proofErr w:type="spellStart"/>
      <w:r>
        <w:t>Oncol</w:t>
      </w:r>
      <w:proofErr w:type="spellEnd"/>
      <w:r>
        <w:t xml:space="preserve"> 1995;13(7): 1537- 45</w:t>
      </w:r>
    </w:p>
    <w:p w:rsidR="00970A75" w:rsidRDefault="00970A75" w:rsidP="00122D4D">
      <w:pPr>
        <w:pStyle w:val="FootnoteText"/>
        <w:ind w:left="142" w:hanging="142"/>
      </w:pPr>
      <w:proofErr w:type="spellStart"/>
      <w:proofErr w:type="gramStart"/>
      <w:r>
        <w:t>Antman</w:t>
      </w:r>
      <w:proofErr w:type="spellEnd"/>
      <w:r>
        <w:t xml:space="preserve"> K, Crowley J, </w:t>
      </w:r>
      <w:proofErr w:type="spellStart"/>
      <w:r>
        <w:t>Balcerzak</w:t>
      </w:r>
      <w:proofErr w:type="spellEnd"/>
      <w:r>
        <w:t xml:space="preserve"> SP, </w:t>
      </w:r>
      <w:proofErr w:type="spellStart"/>
      <w:r>
        <w:t>Rivkin</w:t>
      </w:r>
      <w:proofErr w:type="spellEnd"/>
      <w:r>
        <w:t xml:space="preserve"> SE, Weiss GR, Elias A, et al.</w:t>
      </w:r>
      <w:proofErr w:type="gramEnd"/>
      <w:r>
        <w:t xml:space="preserve"> An intergroup phase III randomized study of doxorubicin and </w:t>
      </w:r>
      <w:proofErr w:type="spellStart"/>
      <w:r>
        <w:t>dacarbazine</w:t>
      </w:r>
      <w:proofErr w:type="spellEnd"/>
      <w:r>
        <w:t xml:space="preserve"> with or without </w:t>
      </w:r>
      <w:proofErr w:type="spellStart"/>
      <w:r>
        <w:t>ifosfamide</w:t>
      </w:r>
      <w:proofErr w:type="spellEnd"/>
      <w:r>
        <w:t xml:space="preserve"> and </w:t>
      </w:r>
      <w:proofErr w:type="spellStart"/>
      <w:r>
        <w:t>mesna</w:t>
      </w:r>
      <w:proofErr w:type="spellEnd"/>
      <w:r>
        <w:t xml:space="preserve"> in advanced soft tissue and bone sarcomas. J </w:t>
      </w:r>
      <w:proofErr w:type="spellStart"/>
      <w:r>
        <w:t>Clin</w:t>
      </w:r>
      <w:proofErr w:type="spellEnd"/>
      <w:r>
        <w:t xml:space="preserve"> </w:t>
      </w:r>
      <w:proofErr w:type="spellStart"/>
      <w:r>
        <w:t>Oncol</w:t>
      </w:r>
      <w:proofErr w:type="spellEnd"/>
      <w:r>
        <w:t xml:space="preserve"> 1993</w:t>
      </w:r>
      <w:proofErr w:type="gramStart"/>
      <w:r>
        <w:t>;11</w:t>
      </w:r>
      <w:proofErr w:type="gramEnd"/>
      <w:r>
        <w:t>(7):1276-85.</w:t>
      </w:r>
    </w:p>
    <w:p w:rsidR="00970A75" w:rsidRDefault="00970A75" w:rsidP="00122D4D">
      <w:pPr>
        <w:pStyle w:val="FootnoteText"/>
        <w:ind w:left="142" w:hanging="142"/>
        <w:rPr>
          <w:lang w:val="en-US"/>
        </w:rPr>
      </w:pPr>
      <w:r w:rsidRPr="00122D4D">
        <w:rPr>
          <w:lang w:val="en-US"/>
        </w:rPr>
        <w:t xml:space="preserve">Baker LH, Frank J, Fine G, </w:t>
      </w:r>
      <w:proofErr w:type="spellStart"/>
      <w:r w:rsidRPr="00122D4D">
        <w:rPr>
          <w:lang w:val="en-US"/>
        </w:rPr>
        <w:t>Balcerzak</w:t>
      </w:r>
      <w:proofErr w:type="spellEnd"/>
      <w:r w:rsidRPr="00122D4D">
        <w:rPr>
          <w:lang w:val="en-US"/>
        </w:rPr>
        <w:t xml:space="preserve"> SP, Stephens RL, Stuckey WJ, et al. </w:t>
      </w:r>
      <w:proofErr w:type="spellStart"/>
      <w:r w:rsidRPr="00122D4D">
        <w:rPr>
          <w:lang w:val="en-US"/>
        </w:rPr>
        <w:t>Combinationchemotherapy</w:t>
      </w:r>
      <w:proofErr w:type="spellEnd"/>
      <w:r w:rsidRPr="00122D4D">
        <w:rPr>
          <w:lang w:val="en-US"/>
        </w:rPr>
        <w:t xml:space="preserve"> using Adriamycin, DTIC, cyclophosphamide, and </w:t>
      </w:r>
      <w:proofErr w:type="spellStart"/>
      <w:r w:rsidRPr="00122D4D">
        <w:rPr>
          <w:lang w:val="en-US"/>
        </w:rPr>
        <w:t>actinomycin</w:t>
      </w:r>
      <w:proofErr w:type="spellEnd"/>
      <w:r w:rsidRPr="00122D4D">
        <w:rPr>
          <w:lang w:val="en-US"/>
        </w:rPr>
        <w:t xml:space="preserve"> D for </w:t>
      </w:r>
      <w:proofErr w:type="spellStart"/>
      <w:r w:rsidRPr="00122D4D">
        <w:rPr>
          <w:lang w:val="en-US"/>
        </w:rPr>
        <w:t>advancedsoft</w:t>
      </w:r>
      <w:proofErr w:type="spellEnd"/>
      <w:r w:rsidRPr="00122D4D">
        <w:rPr>
          <w:lang w:val="en-US"/>
        </w:rPr>
        <w:t xml:space="preserve"> tissue sarcomas: a randomized comparative trial. </w:t>
      </w:r>
      <w:proofErr w:type="gramStart"/>
      <w:r w:rsidRPr="00122D4D">
        <w:rPr>
          <w:lang w:val="en-US"/>
        </w:rPr>
        <w:t xml:space="preserve">A Phase III, Southwest Oncology </w:t>
      </w:r>
      <w:proofErr w:type="spellStart"/>
      <w:r w:rsidRPr="00122D4D">
        <w:rPr>
          <w:lang w:val="en-US"/>
        </w:rPr>
        <w:t>GroupStudy</w:t>
      </w:r>
      <w:proofErr w:type="spellEnd"/>
      <w:r w:rsidRPr="00122D4D">
        <w:rPr>
          <w:lang w:val="en-US"/>
        </w:rPr>
        <w:t xml:space="preserve"> (7613).</w:t>
      </w:r>
      <w:proofErr w:type="gramEnd"/>
      <w:r w:rsidRPr="00122D4D">
        <w:rPr>
          <w:lang w:val="en-US"/>
        </w:rPr>
        <w:t xml:space="preserve"> J </w:t>
      </w:r>
      <w:proofErr w:type="spellStart"/>
      <w:r w:rsidRPr="00122D4D">
        <w:rPr>
          <w:lang w:val="en-US"/>
        </w:rPr>
        <w:t>Clin</w:t>
      </w:r>
      <w:proofErr w:type="spellEnd"/>
      <w:r w:rsidRPr="00122D4D">
        <w:rPr>
          <w:lang w:val="en-US"/>
        </w:rPr>
        <w:t xml:space="preserve"> </w:t>
      </w:r>
      <w:proofErr w:type="spellStart"/>
      <w:r w:rsidRPr="00122D4D">
        <w:rPr>
          <w:lang w:val="en-US"/>
        </w:rPr>
        <w:t>Oncol</w:t>
      </w:r>
      <w:proofErr w:type="spellEnd"/>
      <w:r w:rsidRPr="00122D4D">
        <w:rPr>
          <w:lang w:val="en-US"/>
        </w:rPr>
        <w:t xml:space="preserve"> 1987</w:t>
      </w:r>
      <w:proofErr w:type="gramStart"/>
      <w:r w:rsidRPr="00122D4D">
        <w:rPr>
          <w:lang w:val="en-US"/>
        </w:rPr>
        <w:t>;5</w:t>
      </w:r>
      <w:proofErr w:type="gramEnd"/>
      <w:r w:rsidRPr="00122D4D">
        <w:rPr>
          <w:lang w:val="en-US"/>
        </w:rPr>
        <w:t>(1):86-91.</w:t>
      </w:r>
    </w:p>
    <w:p w:rsidR="00970A75" w:rsidRPr="00122D4D" w:rsidRDefault="00970A75" w:rsidP="00122D4D">
      <w:pPr>
        <w:pStyle w:val="FootnoteText"/>
        <w:ind w:left="142" w:hanging="142"/>
        <w:rPr>
          <w:lang w:val="en-US"/>
        </w:rPr>
      </w:pPr>
      <w:r w:rsidRPr="00122D4D">
        <w:rPr>
          <w:lang w:val="en-US"/>
        </w:rPr>
        <w:t xml:space="preserve">Edmonson JH, Ryan LM, Blum RH, Brooks JS, </w:t>
      </w:r>
      <w:proofErr w:type="spellStart"/>
      <w:r w:rsidRPr="00122D4D">
        <w:rPr>
          <w:lang w:val="en-US"/>
        </w:rPr>
        <w:t>Shiraki</w:t>
      </w:r>
      <w:proofErr w:type="spellEnd"/>
      <w:r w:rsidRPr="00122D4D">
        <w:rPr>
          <w:lang w:val="en-US"/>
        </w:rPr>
        <w:t xml:space="preserve"> M, </w:t>
      </w:r>
      <w:proofErr w:type="spellStart"/>
      <w:r w:rsidRPr="00122D4D">
        <w:rPr>
          <w:lang w:val="en-US"/>
        </w:rPr>
        <w:t>Frytak</w:t>
      </w:r>
      <w:proofErr w:type="spellEnd"/>
      <w:r w:rsidRPr="00122D4D">
        <w:rPr>
          <w:lang w:val="en-US"/>
        </w:rPr>
        <w:t xml:space="preserve"> S, et al. </w:t>
      </w:r>
      <w:proofErr w:type="spellStart"/>
      <w:r w:rsidRPr="00122D4D">
        <w:rPr>
          <w:lang w:val="en-US"/>
        </w:rPr>
        <w:t>Randomizedcomparison</w:t>
      </w:r>
      <w:proofErr w:type="spellEnd"/>
      <w:r w:rsidRPr="00122D4D">
        <w:rPr>
          <w:lang w:val="en-US"/>
        </w:rPr>
        <w:t xml:space="preserve"> of doxorubicin alone versus </w:t>
      </w:r>
      <w:proofErr w:type="spellStart"/>
      <w:r w:rsidRPr="00122D4D">
        <w:rPr>
          <w:lang w:val="en-US"/>
        </w:rPr>
        <w:t>ifosfamide</w:t>
      </w:r>
      <w:proofErr w:type="spellEnd"/>
      <w:r w:rsidRPr="00122D4D">
        <w:rPr>
          <w:lang w:val="en-US"/>
        </w:rPr>
        <w:t xml:space="preserve"> plus doxorubicin or </w:t>
      </w:r>
      <w:proofErr w:type="spellStart"/>
      <w:r w:rsidRPr="00122D4D">
        <w:rPr>
          <w:lang w:val="en-US"/>
        </w:rPr>
        <w:t>mitomycin</w:t>
      </w:r>
      <w:proofErr w:type="spellEnd"/>
      <w:r w:rsidRPr="00122D4D">
        <w:rPr>
          <w:lang w:val="en-US"/>
        </w:rPr>
        <w:t xml:space="preserve">, doxorubicin, and cisplatin against advanced soft tissue sarcomas. J </w:t>
      </w:r>
      <w:proofErr w:type="spellStart"/>
      <w:r w:rsidRPr="00122D4D">
        <w:rPr>
          <w:lang w:val="en-US"/>
        </w:rPr>
        <w:t>Clin</w:t>
      </w:r>
      <w:proofErr w:type="spellEnd"/>
      <w:r w:rsidRPr="00122D4D">
        <w:rPr>
          <w:lang w:val="en-US"/>
        </w:rPr>
        <w:t xml:space="preserve"> </w:t>
      </w:r>
      <w:proofErr w:type="spellStart"/>
      <w:r w:rsidRPr="00122D4D">
        <w:rPr>
          <w:lang w:val="en-US"/>
        </w:rPr>
        <w:t>Oncol</w:t>
      </w:r>
      <w:proofErr w:type="spellEnd"/>
      <w:r w:rsidRPr="00122D4D">
        <w:rPr>
          <w:lang w:val="en-US"/>
        </w:rPr>
        <w:t xml:space="preserve"> 1993</w:t>
      </w:r>
      <w:proofErr w:type="gramStart"/>
      <w:r w:rsidRPr="00122D4D">
        <w:rPr>
          <w:lang w:val="en-US"/>
        </w:rPr>
        <w:t>;11</w:t>
      </w:r>
      <w:proofErr w:type="gramEnd"/>
      <w:r w:rsidRPr="00122D4D">
        <w:rPr>
          <w:lang w:val="en-US"/>
        </w:rPr>
        <w:t>(7):1269/75.</w:t>
      </w:r>
    </w:p>
  </w:footnote>
  <w:footnote w:id="17">
    <w:p w:rsidR="00970A75" w:rsidRDefault="00970A75" w:rsidP="003C479F">
      <w:pPr>
        <w:pStyle w:val="FootnoteText"/>
        <w:ind w:left="142" w:hanging="142"/>
        <w:rPr>
          <w:lang w:val="en-US"/>
        </w:rPr>
      </w:pPr>
      <w:r>
        <w:rPr>
          <w:rStyle w:val="FootnoteReference"/>
        </w:rPr>
        <w:footnoteRef/>
      </w:r>
      <w:r w:rsidRPr="00122D4D">
        <w:rPr>
          <w:lang w:val="en-US"/>
        </w:rPr>
        <w:t xml:space="preserve">Judson I, Radford JA, Harris M, </w:t>
      </w:r>
      <w:proofErr w:type="spellStart"/>
      <w:r w:rsidRPr="00122D4D">
        <w:rPr>
          <w:lang w:val="en-US"/>
        </w:rPr>
        <w:t>Blay</w:t>
      </w:r>
      <w:proofErr w:type="spellEnd"/>
      <w:r w:rsidRPr="00122D4D">
        <w:rPr>
          <w:lang w:val="en-US"/>
        </w:rPr>
        <w:t xml:space="preserve"> JY, van </w:t>
      </w:r>
      <w:proofErr w:type="spellStart"/>
      <w:r w:rsidRPr="00122D4D">
        <w:rPr>
          <w:lang w:val="en-US"/>
        </w:rPr>
        <w:t>Hoesel</w:t>
      </w:r>
      <w:proofErr w:type="spellEnd"/>
      <w:r w:rsidRPr="00122D4D">
        <w:rPr>
          <w:lang w:val="en-US"/>
        </w:rPr>
        <w:t xml:space="preserve"> Q, Le </w:t>
      </w:r>
      <w:proofErr w:type="spellStart"/>
      <w:r w:rsidRPr="00122D4D">
        <w:rPr>
          <w:lang w:val="en-US"/>
        </w:rPr>
        <w:t>Cesne</w:t>
      </w:r>
      <w:proofErr w:type="spellEnd"/>
      <w:r w:rsidRPr="00122D4D">
        <w:rPr>
          <w:lang w:val="en-US"/>
        </w:rPr>
        <w:t xml:space="preserve"> A, et al. </w:t>
      </w:r>
      <w:proofErr w:type="spellStart"/>
      <w:r w:rsidRPr="00122D4D">
        <w:rPr>
          <w:lang w:val="en-US"/>
        </w:rPr>
        <w:t>Randomised</w:t>
      </w:r>
      <w:proofErr w:type="spellEnd"/>
      <w:r w:rsidRPr="00122D4D">
        <w:rPr>
          <w:lang w:val="en-US"/>
        </w:rPr>
        <w:t xml:space="preserve"> phase II</w:t>
      </w:r>
      <w:r>
        <w:rPr>
          <w:lang w:val="en-US"/>
        </w:rPr>
        <w:t xml:space="preserve"> </w:t>
      </w:r>
      <w:r w:rsidRPr="00122D4D">
        <w:rPr>
          <w:lang w:val="en-US"/>
        </w:rPr>
        <w:t xml:space="preserve">trial of </w:t>
      </w:r>
      <w:proofErr w:type="spellStart"/>
      <w:r w:rsidRPr="00122D4D">
        <w:rPr>
          <w:lang w:val="en-US"/>
        </w:rPr>
        <w:t>pegylated</w:t>
      </w:r>
      <w:proofErr w:type="spellEnd"/>
      <w:r w:rsidRPr="00122D4D">
        <w:rPr>
          <w:lang w:val="en-US"/>
        </w:rPr>
        <w:t xml:space="preserve"> liposomal doxorubicin (DOXIL/CAELYX) versus doxorubicin in the treatment</w:t>
      </w:r>
      <w:r>
        <w:rPr>
          <w:lang w:val="en-US"/>
        </w:rPr>
        <w:t xml:space="preserve"> </w:t>
      </w:r>
      <w:r w:rsidRPr="00122D4D">
        <w:rPr>
          <w:lang w:val="en-US"/>
        </w:rPr>
        <w:t>of advanced or metastatic soft tissue sarcoma: a study by the EORTC Soft Tissue and Bone</w:t>
      </w:r>
      <w:r>
        <w:rPr>
          <w:lang w:val="en-US"/>
        </w:rPr>
        <w:t xml:space="preserve"> </w:t>
      </w:r>
      <w:r w:rsidRPr="00122D4D">
        <w:rPr>
          <w:lang w:val="en-US"/>
        </w:rPr>
        <w:t xml:space="preserve">Sarcoma Group. </w:t>
      </w:r>
      <w:proofErr w:type="spellStart"/>
      <w:r w:rsidRPr="00122D4D">
        <w:rPr>
          <w:lang w:val="en-US"/>
        </w:rPr>
        <w:t>Eur</w:t>
      </w:r>
      <w:proofErr w:type="spellEnd"/>
      <w:r w:rsidRPr="00122D4D">
        <w:rPr>
          <w:lang w:val="en-US"/>
        </w:rPr>
        <w:t xml:space="preserve"> J Cancer 2001</w:t>
      </w:r>
      <w:proofErr w:type="gramStart"/>
      <w:r w:rsidRPr="00122D4D">
        <w:rPr>
          <w:lang w:val="en-US"/>
        </w:rPr>
        <w:t>;37</w:t>
      </w:r>
      <w:proofErr w:type="gramEnd"/>
      <w:r w:rsidRPr="00122D4D">
        <w:rPr>
          <w:lang w:val="en-US"/>
        </w:rPr>
        <w:t>(7):870-7.</w:t>
      </w:r>
    </w:p>
    <w:p w:rsidR="00970A75" w:rsidRDefault="00970A75" w:rsidP="003C479F">
      <w:pPr>
        <w:pStyle w:val="FootnoteText"/>
        <w:ind w:left="142" w:hanging="142"/>
        <w:rPr>
          <w:lang w:val="en-US"/>
        </w:rPr>
      </w:pPr>
      <w:proofErr w:type="spellStart"/>
      <w:r w:rsidRPr="003C479F">
        <w:rPr>
          <w:lang w:val="en-US"/>
        </w:rPr>
        <w:t>Lorigan</w:t>
      </w:r>
      <w:proofErr w:type="spellEnd"/>
      <w:r w:rsidRPr="003C479F">
        <w:rPr>
          <w:lang w:val="en-US"/>
        </w:rPr>
        <w:t xml:space="preserve"> P, </w:t>
      </w:r>
      <w:proofErr w:type="spellStart"/>
      <w:r w:rsidRPr="003C479F">
        <w:rPr>
          <w:lang w:val="en-US"/>
        </w:rPr>
        <w:t>Verweij</w:t>
      </w:r>
      <w:proofErr w:type="spellEnd"/>
      <w:r w:rsidRPr="003C479F">
        <w:rPr>
          <w:lang w:val="en-US"/>
        </w:rPr>
        <w:t xml:space="preserve"> J </w:t>
      </w:r>
      <w:proofErr w:type="spellStart"/>
      <w:r w:rsidRPr="003C479F">
        <w:rPr>
          <w:lang w:val="en-US"/>
        </w:rPr>
        <w:t>Papai</w:t>
      </w:r>
      <w:proofErr w:type="spellEnd"/>
      <w:r w:rsidRPr="003C479F">
        <w:rPr>
          <w:lang w:val="en-US"/>
        </w:rPr>
        <w:t xml:space="preserve"> Z, </w:t>
      </w:r>
      <w:proofErr w:type="spellStart"/>
      <w:r w:rsidRPr="003C479F">
        <w:rPr>
          <w:lang w:val="en-US"/>
        </w:rPr>
        <w:t>Rodenhuis</w:t>
      </w:r>
      <w:proofErr w:type="spellEnd"/>
      <w:r w:rsidRPr="003C479F">
        <w:rPr>
          <w:lang w:val="en-US"/>
        </w:rPr>
        <w:t xml:space="preserve"> S, Le </w:t>
      </w:r>
      <w:proofErr w:type="spellStart"/>
      <w:r w:rsidRPr="003C479F">
        <w:rPr>
          <w:lang w:val="en-US"/>
        </w:rPr>
        <w:t>Cesne</w:t>
      </w:r>
      <w:proofErr w:type="spellEnd"/>
      <w:r w:rsidRPr="003C479F">
        <w:rPr>
          <w:lang w:val="en-US"/>
        </w:rPr>
        <w:t xml:space="preserve"> A, Leahy MG, et al. Phase III trial of two</w:t>
      </w:r>
      <w:r>
        <w:rPr>
          <w:lang w:val="en-US"/>
        </w:rPr>
        <w:t xml:space="preserve"> </w:t>
      </w:r>
      <w:r w:rsidRPr="003C479F">
        <w:rPr>
          <w:lang w:val="en-US"/>
        </w:rPr>
        <w:t xml:space="preserve">investigational schedules of </w:t>
      </w:r>
      <w:proofErr w:type="spellStart"/>
      <w:r w:rsidRPr="003C479F">
        <w:rPr>
          <w:lang w:val="en-US"/>
        </w:rPr>
        <w:t>ifosfamide</w:t>
      </w:r>
      <w:proofErr w:type="spellEnd"/>
      <w:r w:rsidRPr="003C479F">
        <w:rPr>
          <w:lang w:val="en-US"/>
        </w:rPr>
        <w:t xml:space="preserve"> with standard-dose doxorubicin in advanced or metastatic</w:t>
      </w:r>
      <w:r>
        <w:rPr>
          <w:lang w:val="en-US"/>
        </w:rPr>
        <w:t xml:space="preserve"> </w:t>
      </w:r>
      <w:r w:rsidRPr="003C479F">
        <w:rPr>
          <w:lang w:val="en-US"/>
        </w:rPr>
        <w:t xml:space="preserve">soft tissue sarcoma: a European </w:t>
      </w:r>
      <w:proofErr w:type="spellStart"/>
      <w:r w:rsidRPr="003C479F">
        <w:rPr>
          <w:lang w:val="en-US"/>
        </w:rPr>
        <w:t>Organisation</w:t>
      </w:r>
      <w:proofErr w:type="spellEnd"/>
      <w:r w:rsidRPr="003C479F">
        <w:rPr>
          <w:lang w:val="en-US"/>
        </w:rPr>
        <w:t xml:space="preserve"> for Research and Treatment of Cancer Soft Tissue</w:t>
      </w:r>
      <w:r>
        <w:rPr>
          <w:lang w:val="en-US"/>
        </w:rPr>
        <w:t xml:space="preserve"> </w:t>
      </w:r>
      <w:r w:rsidRPr="003C479F">
        <w:rPr>
          <w:lang w:val="en-US"/>
        </w:rPr>
        <w:t>and Bone Sarcoma Group Study. J</w:t>
      </w:r>
      <w:r>
        <w:rPr>
          <w:lang w:val="en-US"/>
        </w:rPr>
        <w:t xml:space="preserve"> </w:t>
      </w:r>
      <w:proofErr w:type="spellStart"/>
      <w:r w:rsidRPr="003C479F">
        <w:rPr>
          <w:lang w:val="en-US"/>
        </w:rPr>
        <w:t>lin</w:t>
      </w:r>
      <w:proofErr w:type="spellEnd"/>
      <w:r w:rsidRPr="003C479F">
        <w:rPr>
          <w:lang w:val="en-US"/>
        </w:rPr>
        <w:t xml:space="preserve"> </w:t>
      </w:r>
      <w:proofErr w:type="spellStart"/>
      <w:r w:rsidRPr="003C479F">
        <w:rPr>
          <w:lang w:val="en-US"/>
        </w:rPr>
        <w:t>Oncol</w:t>
      </w:r>
      <w:proofErr w:type="spellEnd"/>
      <w:r w:rsidRPr="003C479F">
        <w:rPr>
          <w:lang w:val="en-US"/>
        </w:rPr>
        <w:t xml:space="preserve"> 2007</w:t>
      </w:r>
      <w:proofErr w:type="gramStart"/>
      <w:r w:rsidRPr="003C479F">
        <w:rPr>
          <w:lang w:val="en-US"/>
        </w:rPr>
        <w:t>;25</w:t>
      </w:r>
      <w:proofErr w:type="gramEnd"/>
      <w:r w:rsidRPr="003C479F">
        <w:rPr>
          <w:lang w:val="en-US"/>
        </w:rPr>
        <w:t>(21):3144-50.</w:t>
      </w:r>
    </w:p>
    <w:p w:rsidR="00970A75" w:rsidRPr="00122D4D" w:rsidRDefault="00970A75" w:rsidP="003C479F">
      <w:pPr>
        <w:pStyle w:val="FootnoteText"/>
        <w:ind w:left="142" w:hanging="142"/>
        <w:rPr>
          <w:lang w:val="en-US"/>
        </w:rPr>
      </w:pPr>
      <w:proofErr w:type="spellStart"/>
      <w:r w:rsidRPr="003C479F">
        <w:rPr>
          <w:lang w:val="en-US"/>
        </w:rPr>
        <w:t>Verweij</w:t>
      </w:r>
      <w:proofErr w:type="spellEnd"/>
      <w:r w:rsidRPr="003C479F">
        <w:rPr>
          <w:lang w:val="en-US"/>
        </w:rPr>
        <w:t xml:space="preserve"> J, Lee SM, </w:t>
      </w:r>
      <w:proofErr w:type="spellStart"/>
      <w:r w:rsidRPr="003C479F">
        <w:rPr>
          <w:lang w:val="en-US"/>
        </w:rPr>
        <w:t>Ruka</w:t>
      </w:r>
      <w:proofErr w:type="spellEnd"/>
      <w:r w:rsidRPr="003C479F">
        <w:rPr>
          <w:lang w:val="en-US"/>
        </w:rPr>
        <w:t xml:space="preserve"> W, </w:t>
      </w:r>
      <w:proofErr w:type="spellStart"/>
      <w:r w:rsidRPr="003C479F">
        <w:rPr>
          <w:lang w:val="en-US"/>
        </w:rPr>
        <w:t>Buesa</w:t>
      </w:r>
      <w:proofErr w:type="spellEnd"/>
      <w:r w:rsidRPr="003C479F">
        <w:rPr>
          <w:lang w:val="en-US"/>
        </w:rPr>
        <w:t xml:space="preserve"> J, Coleman R, van </w:t>
      </w:r>
      <w:proofErr w:type="spellStart"/>
      <w:r w:rsidRPr="003C479F">
        <w:rPr>
          <w:lang w:val="en-US"/>
        </w:rPr>
        <w:t>Hoesel</w:t>
      </w:r>
      <w:proofErr w:type="spellEnd"/>
      <w:r w:rsidRPr="003C479F">
        <w:rPr>
          <w:lang w:val="en-US"/>
        </w:rPr>
        <w:t xml:space="preserve"> R, et al. Randomized phase II study of docetaxel</w:t>
      </w:r>
      <w:r>
        <w:rPr>
          <w:lang w:val="en-US"/>
        </w:rPr>
        <w:t xml:space="preserve"> </w:t>
      </w:r>
      <w:r w:rsidRPr="003C479F">
        <w:rPr>
          <w:lang w:val="en-US"/>
        </w:rPr>
        <w:t>versus doxorubicin in first- and second-line chemotherapy for locally</w:t>
      </w:r>
      <w:r>
        <w:rPr>
          <w:lang w:val="en-US"/>
        </w:rPr>
        <w:t xml:space="preserve"> </w:t>
      </w:r>
      <w:r w:rsidRPr="003C479F">
        <w:rPr>
          <w:lang w:val="en-US"/>
        </w:rPr>
        <w:t>advanced or metastatic soft tissue</w:t>
      </w:r>
      <w:r>
        <w:rPr>
          <w:lang w:val="en-US"/>
        </w:rPr>
        <w:t xml:space="preserve"> </w:t>
      </w:r>
      <w:r w:rsidRPr="003C479F">
        <w:rPr>
          <w:lang w:val="en-US"/>
        </w:rPr>
        <w:t>sarcoma in adults: a study of the European organization for</w:t>
      </w:r>
      <w:r>
        <w:rPr>
          <w:lang w:val="en-US"/>
        </w:rPr>
        <w:t xml:space="preserve"> </w:t>
      </w:r>
      <w:r w:rsidRPr="003C479F">
        <w:rPr>
          <w:lang w:val="en-US"/>
        </w:rPr>
        <w:t>research and treatment of cancer soft tissue and</w:t>
      </w:r>
      <w:r>
        <w:rPr>
          <w:lang w:val="en-US"/>
        </w:rPr>
        <w:t xml:space="preserve"> </w:t>
      </w:r>
      <w:r w:rsidRPr="003C479F">
        <w:rPr>
          <w:lang w:val="en-US"/>
        </w:rPr>
        <w:t xml:space="preserve">bone sarcoma group. J </w:t>
      </w:r>
      <w:proofErr w:type="spellStart"/>
      <w:r w:rsidRPr="003C479F">
        <w:rPr>
          <w:lang w:val="en-US"/>
        </w:rPr>
        <w:t>Clin</w:t>
      </w:r>
      <w:proofErr w:type="spellEnd"/>
      <w:r w:rsidRPr="003C479F">
        <w:rPr>
          <w:lang w:val="en-US"/>
        </w:rPr>
        <w:t xml:space="preserve"> </w:t>
      </w:r>
      <w:proofErr w:type="spellStart"/>
      <w:r w:rsidRPr="003C479F">
        <w:rPr>
          <w:lang w:val="en-US"/>
        </w:rPr>
        <w:t>Oncol</w:t>
      </w:r>
      <w:proofErr w:type="spellEnd"/>
      <w:r>
        <w:rPr>
          <w:lang w:val="en-US"/>
        </w:rPr>
        <w:t xml:space="preserve"> </w:t>
      </w:r>
      <w:r w:rsidRPr="003C479F">
        <w:rPr>
          <w:lang w:val="en-US"/>
        </w:rPr>
        <w:t>2000</w:t>
      </w:r>
      <w:proofErr w:type="gramStart"/>
      <w:r w:rsidRPr="003C479F">
        <w:rPr>
          <w:lang w:val="en-US"/>
        </w:rPr>
        <w:t>;18</w:t>
      </w:r>
      <w:proofErr w:type="gramEnd"/>
      <w:r w:rsidRPr="003C479F">
        <w:rPr>
          <w:lang w:val="en-US"/>
        </w:rPr>
        <w:t>(10):2081-6.</w:t>
      </w:r>
    </w:p>
  </w:footnote>
  <w:footnote w:id="18">
    <w:p w:rsidR="00970A75" w:rsidRDefault="00970A75" w:rsidP="003C479F">
      <w:pPr>
        <w:pStyle w:val="FootnoteText"/>
        <w:ind w:left="142" w:hanging="142"/>
      </w:pPr>
      <w:r>
        <w:rPr>
          <w:rStyle w:val="FootnoteReference"/>
        </w:rPr>
        <w:footnoteRef/>
      </w:r>
      <w:r>
        <w:t>Demetri GD, Chawla SP, Ray-</w:t>
      </w:r>
      <w:proofErr w:type="spellStart"/>
      <w:r>
        <w:t>coquard</w:t>
      </w:r>
      <w:proofErr w:type="spellEnd"/>
      <w:r>
        <w:t xml:space="preserve"> I, Le </w:t>
      </w:r>
      <w:proofErr w:type="spellStart"/>
      <w:r>
        <w:t>Cesne</w:t>
      </w:r>
      <w:proofErr w:type="spellEnd"/>
      <w:r>
        <w:t xml:space="preserve"> A, Staddon AP, </w:t>
      </w:r>
      <w:proofErr w:type="spellStart"/>
      <w:r>
        <w:t>Milhem</w:t>
      </w:r>
      <w:proofErr w:type="spellEnd"/>
      <w:r>
        <w:t xml:space="preserve"> MM, et al. Results of an international randomized phase III trial of the mammalian target of rapamycin inhibitor </w:t>
      </w:r>
      <w:proofErr w:type="spellStart"/>
      <w:r>
        <w:t>ridaforolimus</w:t>
      </w:r>
      <w:proofErr w:type="spellEnd"/>
      <w:r>
        <w:t xml:space="preserve"> versus placebo to control metastatic sarcomas in patients after benefit from prior chemotherapy. J </w:t>
      </w:r>
      <w:proofErr w:type="spellStart"/>
      <w:r>
        <w:t>Clin</w:t>
      </w:r>
      <w:proofErr w:type="spellEnd"/>
      <w:r>
        <w:t xml:space="preserve"> </w:t>
      </w:r>
      <w:proofErr w:type="spellStart"/>
      <w:r>
        <w:t>Oncol</w:t>
      </w:r>
      <w:proofErr w:type="spellEnd"/>
      <w:r>
        <w:t xml:space="preserve"> </w:t>
      </w:r>
      <w:proofErr w:type="gramStart"/>
      <w:r>
        <w:t>2013;</w:t>
      </w:r>
      <w:proofErr w:type="gramEnd"/>
      <w:r>
        <w:t>(31(9):2485-92.</w:t>
      </w:r>
    </w:p>
    <w:p w:rsidR="00970A75" w:rsidRPr="003C479F" w:rsidRDefault="00970A75" w:rsidP="003C479F">
      <w:pPr>
        <w:pStyle w:val="FootnoteText"/>
        <w:ind w:left="142" w:hanging="142"/>
        <w:rPr>
          <w:lang w:val="en-US"/>
        </w:rPr>
      </w:pPr>
      <w:proofErr w:type="spellStart"/>
      <w:r w:rsidRPr="003C479F">
        <w:rPr>
          <w:lang w:val="en-US"/>
        </w:rPr>
        <w:t>Schöffski</w:t>
      </w:r>
      <w:proofErr w:type="spellEnd"/>
      <w:r w:rsidRPr="003C479F">
        <w:rPr>
          <w:lang w:val="en-US"/>
        </w:rPr>
        <w:t xml:space="preserve"> P, Maki</w:t>
      </w:r>
      <w:r>
        <w:rPr>
          <w:lang w:val="en-US"/>
        </w:rPr>
        <w:t xml:space="preserve"> </w:t>
      </w:r>
      <w:r w:rsidRPr="003C479F">
        <w:rPr>
          <w:lang w:val="en-US"/>
        </w:rPr>
        <w:t xml:space="preserve">PG, </w:t>
      </w:r>
      <w:proofErr w:type="spellStart"/>
      <w:r w:rsidRPr="003C479F">
        <w:rPr>
          <w:lang w:val="en-US"/>
        </w:rPr>
        <w:t>Italiano</w:t>
      </w:r>
      <w:proofErr w:type="spellEnd"/>
      <w:r w:rsidRPr="003C479F">
        <w:rPr>
          <w:lang w:val="en-US"/>
        </w:rPr>
        <w:t xml:space="preserve"> A, </w:t>
      </w:r>
      <w:proofErr w:type="spellStart"/>
      <w:r w:rsidRPr="003C479F">
        <w:rPr>
          <w:lang w:val="en-US"/>
        </w:rPr>
        <w:t>Gelderblom</w:t>
      </w:r>
      <w:proofErr w:type="spellEnd"/>
      <w:r w:rsidRPr="003C479F">
        <w:rPr>
          <w:lang w:val="en-US"/>
        </w:rPr>
        <w:t xml:space="preserve"> H, </w:t>
      </w:r>
      <w:proofErr w:type="spellStart"/>
      <w:r w:rsidRPr="003C479F">
        <w:rPr>
          <w:lang w:val="en-US"/>
        </w:rPr>
        <w:t>Grignani</w:t>
      </w:r>
      <w:proofErr w:type="spellEnd"/>
      <w:r w:rsidRPr="003C479F">
        <w:rPr>
          <w:lang w:val="en-US"/>
        </w:rPr>
        <w:t xml:space="preserve"> G, De Camargo VP, et al.</w:t>
      </w:r>
      <w:r>
        <w:rPr>
          <w:lang w:val="en-US"/>
        </w:rPr>
        <w:t xml:space="preserve"> </w:t>
      </w:r>
      <w:r w:rsidRPr="003C479F">
        <w:rPr>
          <w:lang w:val="en-US"/>
        </w:rPr>
        <w:t xml:space="preserve">Randomized, open-label, multicenter, phase III study of </w:t>
      </w:r>
      <w:proofErr w:type="spellStart"/>
      <w:r w:rsidRPr="003C479F">
        <w:rPr>
          <w:lang w:val="en-US"/>
        </w:rPr>
        <w:t>eribulin</w:t>
      </w:r>
      <w:proofErr w:type="spellEnd"/>
      <w:r w:rsidRPr="003C479F">
        <w:rPr>
          <w:lang w:val="en-US"/>
        </w:rPr>
        <w:t xml:space="preserve"> versus </w:t>
      </w:r>
      <w:proofErr w:type="spellStart"/>
      <w:r w:rsidRPr="003C479F">
        <w:rPr>
          <w:lang w:val="en-US"/>
        </w:rPr>
        <w:t>dacarbazine</w:t>
      </w:r>
      <w:proofErr w:type="spellEnd"/>
      <w:r w:rsidRPr="003C479F">
        <w:rPr>
          <w:lang w:val="en-US"/>
        </w:rPr>
        <w:t xml:space="preserve"> in patients</w:t>
      </w:r>
      <w:r>
        <w:rPr>
          <w:lang w:val="en-US"/>
        </w:rPr>
        <w:t xml:space="preserve"> </w:t>
      </w:r>
      <w:r w:rsidRPr="003C479F">
        <w:rPr>
          <w:lang w:val="en-US"/>
        </w:rPr>
        <w:t xml:space="preserve">(pts) with </w:t>
      </w:r>
      <w:proofErr w:type="spellStart"/>
      <w:r w:rsidRPr="003C479F">
        <w:rPr>
          <w:lang w:val="en-US"/>
        </w:rPr>
        <w:t>leiomyosarcoma</w:t>
      </w:r>
      <w:proofErr w:type="spellEnd"/>
      <w:r w:rsidRPr="003C479F">
        <w:rPr>
          <w:lang w:val="en-US"/>
        </w:rPr>
        <w:t xml:space="preserve"> (LMS) and</w:t>
      </w:r>
      <w:r>
        <w:rPr>
          <w:lang w:val="en-US"/>
        </w:rPr>
        <w:t xml:space="preserve"> </w:t>
      </w:r>
      <w:proofErr w:type="spellStart"/>
      <w:r w:rsidRPr="003C479F">
        <w:rPr>
          <w:lang w:val="en-US"/>
        </w:rPr>
        <w:t>adipoctytic</w:t>
      </w:r>
      <w:proofErr w:type="spellEnd"/>
      <w:r w:rsidRPr="003C479F">
        <w:rPr>
          <w:lang w:val="en-US"/>
        </w:rPr>
        <w:t xml:space="preserve"> sarcoma (ADI). J </w:t>
      </w:r>
      <w:proofErr w:type="spellStart"/>
      <w:r w:rsidRPr="003C479F">
        <w:rPr>
          <w:lang w:val="en-US"/>
        </w:rPr>
        <w:t>Clin</w:t>
      </w:r>
      <w:proofErr w:type="spellEnd"/>
      <w:r w:rsidRPr="003C479F">
        <w:rPr>
          <w:lang w:val="en-US"/>
        </w:rPr>
        <w:t xml:space="preserve"> </w:t>
      </w:r>
      <w:proofErr w:type="spellStart"/>
      <w:r w:rsidRPr="003C479F">
        <w:rPr>
          <w:lang w:val="en-US"/>
        </w:rPr>
        <w:t>Oncol</w:t>
      </w:r>
      <w:proofErr w:type="spellEnd"/>
      <w:r w:rsidRPr="003C479F">
        <w:rPr>
          <w:lang w:val="en-US"/>
        </w:rPr>
        <w:t xml:space="preserve"> 2015</w:t>
      </w:r>
      <w:proofErr w:type="gramStart"/>
      <w:r w:rsidRPr="003C479F">
        <w:rPr>
          <w:lang w:val="en-US"/>
        </w:rPr>
        <w:t>;33</w:t>
      </w:r>
      <w:proofErr w:type="gramEnd"/>
      <w:r w:rsidRPr="003C479F">
        <w:rPr>
          <w:lang w:val="en-US"/>
        </w:rPr>
        <w:t>(15</w:t>
      </w:r>
      <w:r>
        <w:rPr>
          <w:lang w:val="en-US"/>
        </w:rPr>
        <w:t xml:space="preserve"> </w:t>
      </w:r>
      <w:proofErr w:type="spellStart"/>
      <w:r w:rsidRPr="003C479F">
        <w:rPr>
          <w:lang w:val="en-US"/>
        </w:rPr>
        <w:t>Suppl</w:t>
      </w:r>
      <w:proofErr w:type="spellEnd"/>
      <w:r w:rsidRPr="003C479F">
        <w:rPr>
          <w:lang w:val="en-US"/>
        </w:rPr>
        <w:t xml:space="preserve">): abstract </w:t>
      </w:r>
      <w:proofErr w:type="spellStart"/>
      <w:r w:rsidRPr="003C479F">
        <w:rPr>
          <w:lang w:val="en-US"/>
        </w:rPr>
        <w:t>Abstract</w:t>
      </w:r>
      <w:proofErr w:type="spellEnd"/>
      <w:r w:rsidRPr="003C479F">
        <w:rPr>
          <w:lang w:val="en-US"/>
        </w:rPr>
        <w:t xml:space="preserve"> 10502.</w:t>
      </w:r>
    </w:p>
  </w:footnote>
  <w:footnote w:id="19">
    <w:p w:rsidR="00970A75" w:rsidRDefault="00970A75" w:rsidP="00CD079B">
      <w:pPr>
        <w:pStyle w:val="FootnoteText"/>
        <w:ind w:left="142" w:hanging="142"/>
        <w:rPr>
          <w:lang w:val="en-US"/>
        </w:rPr>
      </w:pPr>
      <w:r>
        <w:rPr>
          <w:rStyle w:val="FootnoteReference"/>
        </w:rPr>
        <w:footnoteRef/>
      </w:r>
      <w:r w:rsidRPr="00CD079B">
        <w:rPr>
          <w:lang w:val="en-US"/>
        </w:rPr>
        <w:t xml:space="preserve">Maki RG, </w:t>
      </w:r>
      <w:proofErr w:type="spellStart"/>
      <w:r w:rsidRPr="00CD079B">
        <w:rPr>
          <w:lang w:val="en-US"/>
        </w:rPr>
        <w:t>Wathen</w:t>
      </w:r>
      <w:proofErr w:type="spellEnd"/>
      <w:r w:rsidRPr="00CD079B">
        <w:rPr>
          <w:lang w:val="en-US"/>
        </w:rPr>
        <w:t xml:space="preserve"> JK, Patel SR, </w:t>
      </w:r>
      <w:proofErr w:type="spellStart"/>
      <w:r w:rsidRPr="00CD079B">
        <w:rPr>
          <w:lang w:val="en-US"/>
        </w:rPr>
        <w:t>Priebat</w:t>
      </w:r>
      <w:proofErr w:type="spellEnd"/>
      <w:r w:rsidRPr="00CD079B">
        <w:rPr>
          <w:lang w:val="en-US"/>
        </w:rPr>
        <w:t xml:space="preserve"> DA, </w:t>
      </w:r>
      <w:proofErr w:type="spellStart"/>
      <w:r w:rsidRPr="00CD079B">
        <w:rPr>
          <w:lang w:val="en-US"/>
        </w:rPr>
        <w:t>Okuno</w:t>
      </w:r>
      <w:proofErr w:type="spellEnd"/>
      <w:r w:rsidRPr="00CD079B">
        <w:rPr>
          <w:lang w:val="en-US"/>
        </w:rPr>
        <w:t xml:space="preserve"> SH, Samuels B, et al. Randomized phase II</w:t>
      </w:r>
      <w:r>
        <w:rPr>
          <w:lang w:val="en-US"/>
        </w:rPr>
        <w:t xml:space="preserve"> </w:t>
      </w:r>
      <w:r w:rsidRPr="00CD079B">
        <w:rPr>
          <w:lang w:val="en-US"/>
        </w:rPr>
        <w:t>study of gemcitabine and docetaxel compared with gemcitabine alone in patients with metastatic</w:t>
      </w:r>
      <w:r>
        <w:rPr>
          <w:lang w:val="en-US"/>
        </w:rPr>
        <w:t xml:space="preserve"> </w:t>
      </w:r>
      <w:r w:rsidRPr="00CD079B">
        <w:rPr>
          <w:lang w:val="en-US"/>
        </w:rPr>
        <w:t>soft tissue sarcomas: results of sarcoma alliance for research through collaboration study 002. J</w:t>
      </w:r>
      <w:r>
        <w:rPr>
          <w:lang w:val="en-US"/>
        </w:rPr>
        <w:t xml:space="preserve"> </w:t>
      </w:r>
      <w:proofErr w:type="spellStart"/>
      <w:r w:rsidRPr="00CD079B">
        <w:rPr>
          <w:lang w:val="en-US"/>
        </w:rPr>
        <w:t>Clin</w:t>
      </w:r>
      <w:proofErr w:type="spellEnd"/>
      <w:r w:rsidRPr="00CD079B">
        <w:rPr>
          <w:lang w:val="en-US"/>
        </w:rPr>
        <w:t xml:space="preserve"> </w:t>
      </w:r>
      <w:proofErr w:type="spellStart"/>
      <w:r w:rsidRPr="00CD079B">
        <w:rPr>
          <w:lang w:val="en-US"/>
        </w:rPr>
        <w:t>Oncol</w:t>
      </w:r>
      <w:proofErr w:type="spellEnd"/>
      <w:r w:rsidRPr="00CD079B">
        <w:rPr>
          <w:lang w:val="en-US"/>
        </w:rPr>
        <w:t xml:space="preserve"> 2007</w:t>
      </w:r>
      <w:proofErr w:type="gramStart"/>
      <w:r w:rsidRPr="00CD079B">
        <w:rPr>
          <w:lang w:val="en-US"/>
        </w:rPr>
        <w:t>;25</w:t>
      </w:r>
      <w:proofErr w:type="gramEnd"/>
      <w:r w:rsidRPr="00CD079B">
        <w:rPr>
          <w:lang w:val="en-US"/>
        </w:rPr>
        <w:t>(19):2755-63.</w:t>
      </w:r>
    </w:p>
    <w:p w:rsidR="00970A75" w:rsidRPr="003C479F" w:rsidRDefault="00970A75" w:rsidP="00CD079B">
      <w:pPr>
        <w:pStyle w:val="FootnoteText"/>
        <w:ind w:left="142" w:hanging="142"/>
        <w:rPr>
          <w:lang w:val="en-US"/>
        </w:rPr>
      </w:pPr>
      <w:r w:rsidRPr="00CD079B">
        <w:rPr>
          <w:lang w:val="en-US"/>
        </w:rPr>
        <w:t xml:space="preserve">Demetri GD, von </w:t>
      </w:r>
      <w:proofErr w:type="spellStart"/>
      <w:r w:rsidRPr="00CD079B">
        <w:rPr>
          <w:lang w:val="en-US"/>
        </w:rPr>
        <w:t>Mehren</w:t>
      </w:r>
      <w:proofErr w:type="spellEnd"/>
      <w:r w:rsidRPr="00CD079B">
        <w:rPr>
          <w:lang w:val="en-US"/>
        </w:rPr>
        <w:t xml:space="preserve"> M, Jones RL, </w:t>
      </w:r>
      <w:proofErr w:type="spellStart"/>
      <w:r w:rsidRPr="00CD079B">
        <w:rPr>
          <w:lang w:val="en-US"/>
        </w:rPr>
        <w:t>Hensely</w:t>
      </w:r>
      <w:proofErr w:type="spellEnd"/>
      <w:r w:rsidRPr="00CD079B">
        <w:rPr>
          <w:lang w:val="en-US"/>
        </w:rPr>
        <w:t xml:space="preserve"> ML, </w:t>
      </w:r>
      <w:proofErr w:type="spellStart"/>
      <w:r w:rsidRPr="00CD079B">
        <w:rPr>
          <w:lang w:val="en-US"/>
        </w:rPr>
        <w:t>Schuetze</w:t>
      </w:r>
      <w:proofErr w:type="spellEnd"/>
      <w:r w:rsidRPr="00CD079B">
        <w:rPr>
          <w:lang w:val="en-US"/>
        </w:rPr>
        <w:t xml:space="preserve"> S, Staddon AP, et al. A</w:t>
      </w:r>
      <w:r>
        <w:rPr>
          <w:lang w:val="en-US"/>
        </w:rPr>
        <w:t xml:space="preserve"> </w:t>
      </w:r>
      <w:r w:rsidRPr="00CD079B">
        <w:rPr>
          <w:lang w:val="en-US"/>
        </w:rPr>
        <w:t xml:space="preserve">randomized phase III study of </w:t>
      </w:r>
      <w:proofErr w:type="spellStart"/>
      <w:r w:rsidRPr="00CD079B">
        <w:rPr>
          <w:lang w:val="en-US"/>
        </w:rPr>
        <w:t>trabectidin</w:t>
      </w:r>
      <w:proofErr w:type="spellEnd"/>
      <w:r w:rsidRPr="00CD079B">
        <w:rPr>
          <w:lang w:val="en-US"/>
        </w:rPr>
        <w:t xml:space="preserve"> (T) or </w:t>
      </w:r>
      <w:proofErr w:type="spellStart"/>
      <w:r w:rsidRPr="00CD079B">
        <w:rPr>
          <w:lang w:val="en-US"/>
        </w:rPr>
        <w:t>dacarbazine</w:t>
      </w:r>
      <w:proofErr w:type="spellEnd"/>
      <w:r w:rsidRPr="00CD079B">
        <w:rPr>
          <w:lang w:val="en-US"/>
        </w:rPr>
        <w:t xml:space="preserve"> (D) for the treatment of patients</w:t>
      </w:r>
      <w:r>
        <w:rPr>
          <w:lang w:val="en-US"/>
        </w:rPr>
        <w:t xml:space="preserve"> </w:t>
      </w:r>
      <w:r w:rsidRPr="00CD079B">
        <w:rPr>
          <w:lang w:val="en-US"/>
        </w:rPr>
        <w:t xml:space="preserve">(pts) with advanced </w:t>
      </w:r>
      <w:proofErr w:type="spellStart"/>
      <w:r w:rsidRPr="00CD079B">
        <w:rPr>
          <w:lang w:val="en-US"/>
        </w:rPr>
        <w:t>liposarcoma</w:t>
      </w:r>
      <w:proofErr w:type="spellEnd"/>
      <w:r w:rsidRPr="00CD079B">
        <w:rPr>
          <w:lang w:val="en-US"/>
        </w:rPr>
        <w:t xml:space="preserve"> (LPS) or </w:t>
      </w:r>
      <w:proofErr w:type="spellStart"/>
      <w:r w:rsidRPr="00CD079B">
        <w:rPr>
          <w:lang w:val="en-US"/>
        </w:rPr>
        <w:t>leiomyosarcoma</w:t>
      </w:r>
      <w:proofErr w:type="spellEnd"/>
      <w:r w:rsidRPr="00CD079B">
        <w:rPr>
          <w:lang w:val="en-US"/>
        </w:rPr>
        <w:t xml:space="preserve"> (LMS). J </w:t>
      </w:r>
      <w:proofErr w:type="spellStart"/>
      <w:r w:rsidRPr="00CD079B">
        <w:rPr>
          <w:lang w:val="en-US"/>
        </w:rPr>
        <w:t>Clin</w:t>
      </w:r>
      <w:proofErr w:type="spellEnd"/>
      <w:r w:rsidRPr="00CD079B">
        <w:rPr>
          <w:lang w:val="en-US"/>
        </w:rPr>
        <w:t xml:space="preserve"> </w:t>
      </w:r>
      <w:proofErr w:type="spellStart"/>
      <w:r w:rsidRPr="00CD079B">
        <w:rPr>
          <w:lang w:val="en-US"/>
        </w:rPr>
        <w:t>Oncol</w:t>
      </w:r>
      <w:proofErr w:type="spellEnd"/>
      <w:r w:rsidRPr="00CD079B">
        <w:rPr>
          <w:lang w:val="en-US"/>
        </w:rPr>
        <w:t xml:space="preserve"> 2015</w:t>
      </w:r>
      <w:proofErr w:type="gramStart"/>
      <w:r w:rsidRPr="00CD079B">
        <w:rPr>
          <w:lang w:val="en-US"/>
        </w:rPr>
        <w:t>;33</w:t>
      </w:r>
      <w:proofErr w:type="gramEnd"/>
      <w:r w:rsidRPr="00CD079B">
        <w:rPr>
          <w:lang w:val="en-US"/>
        </w:rPr>
        <w:t>(15</w:t>
      </w:r>
      <w:r>
        <w:rPr>
          <w:lang w:val="en-US"/>
        </w:rPr>
        <w:t xml:space="preserve"> </w:t>
      </w:r>
      <w:proofErr w:type="spellStart"/>
      <w:r w:rsidRPr="00CD079B">
        <w:rPr>
          <w:lang w:val="en-US"/>
        </w:rPr>
        <w:t>Suppl</w:t>
      </w:r>
      <w:proofErr w:type="spellEnd"/>
      <w:r w:rsidRPr="00CD079B">
        <w:rPr>
          <w:lang w:val="en-US"/>
        </w:rPr>
        <w:t>): Abstract 10503.</w:t>
      </w:r>
    </w:p>
  </w:footnote>
  <w:footnote w:id="20">
    <w:p w:rsidR="00970A75" w:rsidRPr="00CD079B" w:rsidRDefault="00970A75" w:rsidP="00CD079B">
      <w:pPr>
        <w:pStyle w:val="FootnoteText"/>
        <w:ind w:left="142" w:hanging="142"/>
        <w:rPr>
          <w:lang w:val="en-US"/>
        </w:rPr>
      </w:pPr>
      <w:r>
        <w:rPr>
          <w:rStyle w:val="FootnoteReference"/>
        </w:rPr>
        <w:footnoteRef/>
      </w:r>
      <w:r w:rsidRPr="00CD079B">
        <w:rPr>
          <w:lang w:val="en-US"/>
        </w:rPr>
        <w:t xml:space="preserve">Borden EC, Amato DA, Rosenbaum C, </w:t>
      </w:r>
      <w:proofErr w:type="spellStart"/>
      <w:r w:rsidRPr="00CD079B">
        <w:rPr>
          <w:lang w:val="en-US"/>
        </w:rPr>
        <w:t>Enterline</w:t>
      </w:r>
      <w:proofErr w:type="spellEnd"/>
      <w:r w:rsidRPr="00CD079B">
        <w:rPr>
          <w:lang w:val="en-US"/>
        </w:rPr>
        <w:t xml:space="preserve"> </w:t>
      </w:r>
      <w:proofErr w:type="spellStart"/>
      <w:r w:rsidRPr="00CD079B">
        <w:rPr>
          <w:lang w:val="en-US"/>
        </w:rPr>
        <w:t>HT,Shiraki</w:t>
      </w:r>
      <w:proofErr w:type="spellEnd"/>
      <w:r w:rsidRPr="00CD079B">
        <w:rPr>
          <w:lang w:val="en-US"/>
        </w:rPr>
        <w:t xml:space="preserve"> MJ, Creech RH, et al. Randomized</w:t>
      </w:r>
      <w:r>
        <w:rPr>
          <w:lang w:val="en-US"/>
        </w:rPr>
        <w:t xml:space="preserve"> </w:t>
      </w:r>
      <w:r w:rsidRPr="00CD079B">
        <w:rPr>
          <w:lang w:val="en-US"/>
        </w:rPr>
        <w:t xml:space="preserve">comparison of three Adriamycin regimens for metastatic soft tissue sarcomas. J </w:t>
      </w:r>
      <w:proofErr w:type="spellStart"/>
      <w:r w:rsidRPr="00CD079B">
        <w:rPr>
          <w:lang w:val="en-US"/>
        </w:rPr>
        <w:t>Clin</w:t>
      </w:r>
      <w:proofErr w:type="spellEnd"/>
      <w:r w:rsidRPr="00CD079B">
        <w:rPr>
          <w:lang w:val="en-US"/>
        </w:rPr>
        <w:t xml:space="preserve"> </w:t>
      </w:r>
      <w:proofErr w:type="spellStart"/>
      <w:r w:rsidRPr="00CD079B">
        <w:rPr>
          <w:lang w:val="en-US"/>
        </w:rPr>
        <w:t>Oncol</w:t>
      </w:r>
      <w:proofErr w:type="spellEnd"/>
      <w:r>
        <w:rPr>
          <w:lang w:val="en-US"/>
        </w:rPr>
        <w:t xml:space="preserve"> </w:t>
      </w:r>
      <w:r w:rsidRPr="00CD079B">
        <w:rPr>
          <w:lang w:val="en-US"/>
        </w:rPr>
        <w:t>1987</w:t>
      </w:r>
      <w:proofErr w:type="gramStart"/>
      <w:r w:rsidRPr="00CD079B">
        <w:rPr>
          <w:lang w:val="en-US"/>
        </w:rPr>
        <w:t>;5</w:t>
      </w:r>
      <w:proofErr w:type="gramEnd"/>
      <w:r w:rsidRPr="00CD079B">
        <w:rPr>
          <w:lang w:val="en-US"/>
        </w:rPr>
        <w:t>(6):840-50.</w:t>
      </w:r>
    </w:p>
  </w:footnote>
  <w:footnote w:id="21">
    <w:p w:rsidR="00970A75" w:rsidRDefault="00970A75" w:rsidP="00CD079B">
      <w:pPr>
        <w:pStyle w:val="FootnoteText"/>
        <w:ind w:left="142" w:hanging="142"/>
      </w:pPr>
      <w:r>
        <w:rPr>
          <w:rStyle w:val="FootnoteReference"/>
        </w:rPr>
        <w:footnoteRef/>
      </w:r>
      <w:r>
        <w:t xml:space="preserve"> </w:t>
      </w:r>
      <w:proofErr w:type="spellStart"/>
      <w:r>
        <w:t>Omura</w:t>
      </w:r>
      <w:proofErr w:type="spellEnd"/>
      <w:r>
        <w:t xml:space="preserve"> GA, Major FD, Blessing JA, </w:t>
      </w:r>
      <w:proofErr w:type="spellStart"/>
      <w:r>
        <w:t>Sedlacek</w:t>
      </w:r>
      <w:proofErr w:type="spellEnd"/>
      <w:r>
        <w:t xml:space="preserve"> YV, Thigpen JT, </w:t>
      </w:r>
      <w:proofErr w:type="spellStart"/>
      <w:r>
        <w:t>Creasman</w:t>
      </w:r>
      <w:proofErr w:type="spellEnd"/>
      <w:r>
        <w:t xml:space="preserve"> MD, et al. A Randomized Study of Adriamycin </w:t>
      </w:r>
      <w:proofErr w:type="gramStart"/>
      <w:r>
        <w:t>With</w:t>
      </w:r>
      <w:proofErr w:type="gramEnd"/>
      <w:r>
        <w:t xml:space="preserve"> and Without Dimethyl </w:t>
      </w:r>
      <w:proofErr w:type="spellStart"/>
      <w:r>
        <w:t>Triazenoimdazole</w:t>
      </w:r>
      <w:proofErr w:type="spellEnd"/>
      <w:r>
        <w:t xml:space="preserve"> </w:t>
      </w:r>
      <w:proofErr w:type="spellStart"/>
      <w:r>
        <w:t>Carboxamide</w:t>
      </w:r>
      <w:proofErr w:type="spellEnd"/>
      <w:r>
        <w:t xml:space="preserve"> in Advanced Uterine Sarcomas. Cancer 1983</w:t>
      </w:r>
      <w:proofErr w:type="gramStart"/>
      <w:r>
        <w:t>;52</w:t>
      </w:r>
      <w:proofErr w:type="gramEnd"/>
      <w:r>
        <w:t>(4):626-32.</w:t>
      </w:r>
    </w:p>
    <w:p w:rsidR="00970A75" w:rsidRDefault="00970A75" w:rsidP="00CD079B">
      <w:pPr>
        <w:pStyle w:val="FootnoteText"/>
        <w:ind w:left="142" w:hanging="142"/>
        <w:rPr>
          <w:lang w:val="en-US"/>
        </w:rPr>
      </w:pPr>
      <w:proofErr w:type="spellStart"/>
      <w:proofErr w:type="gramStart"/>
      <w:r w:rsidRPr="00CD079B">
        <w:rPr>
          <w:lang w:val="en-US"/>
        </w:rPr>
        <w:t>Ferriss</w:t>
      </w:r>
      <w:proofErr w:type="spellEnd"/>
      <w:r w:rsidRPr="00CD079B">
        <w:rPr>
          <w:lang w:val="en-US"/>
        </w:rPr>
        <w:t xml:space="preserve"> JS, Atkins KA, </w:t>
      </w:r>
      <w:proofErr w:type="spellStart"/>
      <w:r w:rsidRPr="00CD079B">
        <w:rPr>
          <w:lang w:val="en-US"/>
        </w:rPr>
        <w:t>Lachance</w:t>
      </w:r>
      <w:proofErr w:type="spellEnd"/>
      <w:r w:rsidRPr="00CD079B">
        <w:rPr>
          <w:lang w:val="en-US"/>
        </w:rPr>
        <w:t xml:space="preserve"> JA, </w:t>
      </w:r>
      <w:proofErr w:type="spellStart"/>
      <w:r w:rsidRPr="00CD079B">
        <w:rPr>
          <w:lang w:val="en-US"/>
        </w:rPr>
        <w:t>Modesitt</w:t>
      </w:r>
      <w:proofErr w:type="spellEnd"/>
      <w:r w:rsidRPr="00CD079B">
        <w:rPr>
          <w:lang w:val="en-US"/>
        </w:rPr>
        <w:t xml:space="preserve"> SC, and </w:t>
      </w:r>
      <w:proofErr w:type="spellStart"/>
      <w:r w:rsidRPr="00CD079B">
        <w:rPr>
          <w:lang w:val="en-US"/>
        </w:rPr>
        <w:t>Jazaeri</w:t>
      </w:r>
      <w:proofErr w:type="spellEnd"/>
      <w:r w:rsidRPr="00CD079B">
        <w:rPr>
          <w:lang w:val="en-US"/>
        </w:rPr>
        <w:t xml:space="preserve"> AA.</w:t>
      </w:r>
      <w:proofErr w:type="gramEnd"/>
      <w:r w:rsidRPr="00CD079B">
        <w:rPr>
          <w:lang w:val="en-US"/>
        </w:rPr>
        <w:t xml:space="preserve"> </w:t>
      </w:r>
      <w:proofErr w:type="spellStart"/>
      <w:r w:rsidRPr="00CD079B">
        <w:rPr>
          <w:lang w:val="en-US"/>
        </w:rPr>
        <w:t>Temozolomide</w:t>
      </w:r>
      <w:proofErr w:type="spellEnd"/>
      <w:r w:rsidRPr="00CD079B">
        <w:rPr>
          <w:lang w:val="en-US"/>
        </w:rPr>
        <w:t xml:space="preserve"> in advanced</w:t>
      </w:r>
      <w:r>
        <w:rPr>
          <w:lang w:val="en-US"/>
        </w:rPr>
        <w:t xml:space="preserve"> </w:t>
      </w:r>
      <w:r w:rsidRPr="00CD079B">
        <w:rPr>
          <w:lang w:val="en-US"/>
        </w:rPr>
        <w:t xml:space="preserve">and recurrent uterine </w:t>
      </w:r>
      <w:proofErr w:type="spellStart"/>
      <w:r w:rsidRPr="00CD079B">
        <w:rPr>
          <w:lang w:val="en-US"/>
        </w:rPr>
        <w:t>leiomyosarcoma</w:t>
      </w:r>
      <w:proofErr w:type="spellEnd"/>
      <w:r w:rsidRPr="00CD079B">
        <w:rPr>
          <w:lang w:val="en-US"/>
        </w:rPr>
        <w:t xml:space="preserve"> and correlation with o6-methylguanine DNA</w:t>
      </w:r>
      <w:r>
        <w:rPr>
          <w:lang w:val="en-US"/>
        </w:rPr>
        <w:t xml:space="preserve"> </w:t>
      </w:r>
      <w:r w:rsidRPr="00CD079B">
        <w:rPr>
          <w:lang w:val="en-US"/>
        </w:rPr>
        <w:t xml:space="preserve">methyltransferase expression: a case series. </w:t>
      </w:r>
      <w:proofErr w:type="spellStart"/>
      <w:r w:rsidRPr="00CD079B">
        <w:rPr>
          <w:lang w:val="en-US"/>
        </w:rPr>
        <w:t>Int</w:t>
      </w:r>
      <w:proofErr w:type="spellEnd"/>
      <w:r w:rsidRPr="00CD079B">
        <w:rPr>
          <w:lang w:val="en-US"/>
        </w:rPr>
        <w:t xml:space="preserve"> J </w:t>
      </w:r>
      <w:proofErr w:type="spellStart"/>
      <w:r w:rsidRPr="00CD079B">
        <w:rPr>
          <w:lang w:val="en-US"/>
        </w:rPr>
        <w:t>Gynecol</w:t>
      </w:r>
      <w:proofErr w:type="spellEnd"/>
      <w:r w:rsidRPr="00CD079B">
        <w:rPr>
          <w:lang w:val="en-US"/>
        </w:rPr>
        <w:t xml:space="preserve"> Cancer 2010:20(1):120-5.</w:t>
      </w:r>
    </w:p>
    <w:p w:rsidR="00970A75" w:rsidRPr="00CD079B" w:rsidRDefault="00970A75" w:rsidP="00CD079B">
      <w:pPr>
        <w:pStyle w:val="FootnoteText"/>
        <w:ind w:left="142" w:hanging="142"/>
        <w:rPr>
          <w:lang w:val="en-US"/>
        </w:rPr>
      </w:pPr>
      <w:r w:rsidRPr="00CD079B">
        <w:rPr>
          <w:lang w:val="en-US"/>
        </w:rPr>
        <w:t xml:space="preserve">Garcia del </w:t>
      </w:r>
      <w:proofErr w:type="spellStart"/>
      <w:r w:rsidRPr="00CD079B">
        <w:rPr>
          <w:lang w:val="en-US"/>
        </w:rPr>
        <w:t>Muro</w:t>
      </w:r>
      <w:proofErr w:type="spellEnd"/>
      <w:r w:rsidRPr="00CD079B">
        <w:rPr>
          <w:lang w:val="en-US"/>
        </w:rPr>
        <w:t xml:space="preserve"> X, Lopez-</w:t>
      </w:r>
      <w:proofErr w:type="spellStart"/>
      <w:r w:rsidRPr="00CD079B">
        <w:rPr>
          <w:lang w:val="en-US"/>
        </w:rPr>
        <w:t>Pousa</w:t>
      </w:r>
      <w:proofErr w:type="spellEnd"/>
      <w:r w:rsidRPr="00CD079B">
        <w:rPr>
          <w:lang w:val="en-US"/>
        </w:rPr>
        <w:t xml:space="preserve"> A, Martin J, </w:t>
      </w:r>
      <w:proofErr w:type="spellStart"/>
      <w:r w:rsidRPr="00CD079B">
        <w:rPr>
          <w:lang w:val="en-US"/>
        </w:rPr>
        <w:t>Buesa</w:t>
      </w:r>
      <w:proofErr w:type="spellEnd"/>
      <w:r w:rsidRPr="00CD079B">
        <w:rPr>
          <w:lang w:val="en-US"/>
        </w:rPr>
        <w:t xml:space="preserve"> JM, Martinez-</w:t>
      </w:r>
      <w:proofErr w:type="spellStart"/>
      <w:r w:rsidRPr="00CD079B">
        <w:rPr>
          <w:lang w:val="en-US"/>
        </w:rPr>
        <w:t>TruferoJ</w:t>
      </w:r>
      <w:proofErr w:type="spellEnd"/>
      <w:r w:rsidRPr="00CD079B">
        <w:rPr>
          <w:lang w:val="en-US"/>
        </w:rPr>
        <w:t xml:space="preserve">, </w:t>
      </w:r>
      <w:proofErr w:type="spellStart"/>
      <w:r w:rsidRPr="00CD079B">
        <w:rPr>
          <w:lang w:val="en-US"/>
        </w:rPr>
        <w:t>Casado</w:t>
      </w:r>
      <w:proofErr w:type="spellEnd"/>
      <w:r w:rsidRPr="00CD079B">
        <w:rPr>
          <w:lang w:val="en-US"/>
        </w:rPr>
        <w:t xml:space="preserve"> A, et al. A</w:t>
      </w:r>
      <w:r>
        <w:rPr>
          <w:lang w:val="en-US"/>
        </w:rPr>
        <w:t xml:space="preserve"> </w:t>
      </w:r>
      <w:r w:rsidRPr="00CD079B">
        <w:rPr>
          <w:lang w:val="en-US"/>
        </w:rPr>
        <w:t xml:space="preserve">phase II trial of </w:t>
      </w:r>
      <w:proofErr w:type="spellStart"/>
      <w:r w:rsidRPr="00CD079B">
        <w:rPr>
          <w:lang w:val="en-US"/>
        </w:rPr>
        <w:t>temozolomide</w:t>
      </w:r>
      <w:proofErr w:type="spellEnd"/>
      <w:r w:rsidRPr="00CD079B">
        <w:rPr>
          <w:lang w:val="en-US"/>
        </w:rPr>
        <w:t xml:space="preserve"> as a 6-week, continuous, oral schedule in patients with advanced</w:t>
      </w:r>
      <w:r>
        <w:rPr>
          <w:lang w:val="en-US"/>
        </w:rPr>
        <w:t xml:space="preserve"> </w:t>
      </w:r>
      <w:r w:rsidRPr="00CD079B">
        <w:rPr>
          <w:lang w:val="en-US"/>
        </w:rPr>
        <w:t xml:space="preserve">soft tissue sarcoma: a study by the </w:t>
      </w:r>
      <w:proofErr w:type="spellStart"/>
      <w:r w:rsidRPr="00CD079B">
        <w:rPr>
          <w:lang w:val="en-US"/>
        </w:rPr>
        <w:t>Spanis</w:t>
      </w:r>
      <w:proofErr w:type="spellEnd"/>
      <w:r w:rsidRPr="00CD079B">
        <w:rPr>
          <w:lang w:val="en-US"/>
        </w:rPr>
        <w:t xml:space="preserve"> Group for Research on Sarcomas. Cancer</w:t>
      </w:r>
      <w:r>
        <w:rPr>
          <w:lang w:val="en-US"/>
        </w:rPr>
        <w:t xml:space="preserve"> </w:t>
      </w:r>
      <w:r w:rsidRPr="00CD079B">
        <w:rPr>
          <w:lang w:val="en-US"/>
        </w:rPr>
        <w:t>2005</w:t>
      </w:r>
      <w:proofErr w:type="gramStart"/>
      <w:r w:rsidRPr="00CD079B">
        <w:rPr>
          <w:lang w:val="en-US"/>
        </w:rPr>
        <w:t>;104</w:t>
      </w:r>
      <w:proofErr w:type="gramEnd"/>
      <w:r w:rsidRPr="00CD079B">
        <w:rPr>
          <w:lang w:val="en-US"/>
        </w:rPr>
        <w:t>(8):1706-12.</w:t>
      </w:r>
    </w:p>
  </w:footnote>
  <w:footnote w:id="22">
    <w:p w:rsidR="00970A75" w:rsidRPr="00CD079B" w:rsidRDefault="00970A75" w:rsidP="00CD079B">
      <w:pPr>
        <w:pStyle w:val="FootnoteText"/>
        <w:ind w:left="142" w:hanging="142"/>
        <w:rPr>
          <w:lang w:val="en-US"/>
        </w:rPr>
      </w:pPr>
      <w:r>
        <w:rPr>
          <w:rStyle w:val="FootnoteReference"/>
        </w:rPr>
        <w:footnoteRef/>
      </w:r>
      <w:r>
        <w:t xml:space="preserve"> </w:t>
      </w:r>
      <w:proofErr w:type="spellStart"/>
      <w:r>
        <w:t>Edmonson</w:t>
      </w:r>
      <w:proofErr w:type="spellEnd"/>
      <w:r>
        <w:t xml:space="preserve"> JH, Ryan LM, Blum RH, Brooks JS, </w:t>
      </w:r>
      <w:proofErr w:type="spellStart"/>
      <w:r>
        <w:t>Shiraki</w:t>
      </w:r>
      <w:proofErr w:type="spellEnd"/>
      <w:r>
        <w:t xml:space="preserve"> M, </w:t>
      </w:r>
      <w:proofErr w:type="spellStart"/>
      <w:r>
        <w:t>Frytak</w:t>
      </w:r>
      <w:proofErr w:type="spellEnd"/>
      <w:r>
        <w:t xml:space="preserve"> S, et al. Randomized comparison of doxorubicin alone versus </w:t>
      </w:r>
      <w:proofErr w:type="spellStart"/>
      <w:r>
        <w:t>ifosfamide</w:t>
      </w:r>
      <w:proofErr w:type="spellEnd"/>
      <w:r>
        <w:t xml:space="preserve"> plus doxorubicin or </w:t>
      </w:r>
      <w:proofErr w:type="spellStart"/>
      <w:r>
        <w:t>mitomycin</w:t>
      </w:r>
      <w:proofErr w:type="spellEnd"/>
      <w:r>
        <w:t xml:space="preserve">, doxorubicin, and cisplatin against advanced soft tissue sarcomas. J </w:t>
      </w:r>
      <w:proofErr w:type="spellStart"/>
      <w:r>
        <w:t>Clin</w:t>
      </w:r>
      <w:proofErr w:type="spellEnd"/>
      <w:r>
        <w:t xml:space="preserve"> </w:t>
      </w:r>
      <w:proofErr w:type="spellStart"/>
      <w:r>
        <w:t>Oncol</w:t>
      </w:r>
      <w:proofErr w:type="spellEnd"/>
      <w:r>
        <w:t xml:space="preserve"> 1993</w:t>
      </w:r>
      <w:proofErr w:type="gramStart"/>
      <w:r>
        <w:t>;11</w:t>
      </w:r>
      <w:proofErr w:type="gramEnd"/>
      <w:r>
        <w:t>(7):1269/75.</w:t>
      </w:r>
    </w:p>
  </w:footnote>
  <w:footnote w:id="23">
    <w:p w:rsidR="00970A75" w:rsidRPr="00CD079B" w:rsidRDefault="00970A75" w:rsidP="000349E5">
      <w:pPr>
        <w:pStyle w:val="FootnoteText"/>
        <w:ind w:left="142" w:hanging="142"/>
        <w:rPr>
          <w:lang w:val="en-US"/>
        </w:rPr>
      </w:pPr>
      <w:r>
        <w:rPr>
          <w:rStyle w:val="FootnoteReference"/>
        </w:rPr>
        <w:footnoteRef/>
      </w:r>
      <w:proofErr w:type="spellStart"/>
      <w:r w:rsidRPr="00CD079B">
        <w:rPr>
          <w:lang w:val="en-US"/>
        </w:rPr>
        <w:t>D’Adamo</w:t>
      </w:r>
      <w:proofErr w:type="spellEnd"/>
      <w:r w:rsidRPr="00CD079B">
        <w:rPr>
          <w:lang w:val="en-US"/>
        </w:rPr>
        <w:t xml:space="preserve"> D. Advance in the treatment of gastrointestinal stromal tumor. </w:t>
      </w:r>
      <w:proofErr w:type="spellStart"/>
      <w:r w:rsidRPr="00CD079B">
        <w:rPr>
          <w:lang w:val="en-US"/>
        </w:rPr>
        <w:t>Adv</w:t>
      </w:r>
      <w:proofErr w:type="spellEnd"/>
      <w:r w:rsidRPr="00CD079B">
        <w:rPr>
          <w:lang w:val="en-US"/>
        </w:rPr>
        <w:t xml:space="preserve"> </w:t>
      </w:r>
      <w:proofErr w:type="spellStart"/>
      <w:r w:rsidRPr="00CD079B">
        <w:rPr>
          <w:lang w:val="en-US"/>
        </w:rPr>
        <w:t>Ther</w:t>
      </w:r>
      <w:proofErr w:type="spellEnd"/>
      <w:r>
        <w:rPr>
          <w:lang w:val="en-US"/>
        </w:rPr>
        <w:t xml:space="preserve"> </w:t>
      </w:r>
      <w:r w:rsidRPr="00CD079B">
        <w:rPr>
          <w:lang w:val="en-US"/>
        </w:rPr>
        <w:t>2009</w:t>
      </w:r>
      <w:proofErr w:type="gramStart"/>
      <w:r w:rsidRPr="00CD079B">
        <w:rPr>
          <w:lang w:val="en-US"/>
        </w:rPr>
        <w:t>;26</w:t>
      </w:r>
      <w:proofErr w:type="gramEnd"/>
      <w:r w:rsidRPr="00CD079B">
        <w:rPr>
          <w:lang w:val="en-US"/>
        </w:rPr>
        <w:t>(9):826-37.</w:t>
      </w:r>
    </w:p>
  </w:footnote>
  <w:footnote w:id="24">
    <w:p w:rsidR="00970A75" w:rsidRPr="00CD079B" w:rsidRDefault="00970A75" w:rsidP="000349E5">
      <w:pPr>
        <w:pStyle w:val="FootnoteText"/>
        <w:ind w:left="142" w:hanging="142"/>
        <w:rPr>
          <w:lang w:val="en-US"/>
        </w:rPr>
      </w:pPr>
      <w:r>
        <w:rPr>
          <w:rStyle w:val="FootnoteReference"/>
        </w:rPr>
        <w:footnoteRef/>
      </w:r>
      <w:proofErr w:type="gramStart"/>
      <w:r w:rsidRPr="00CD079B">
        <w:rPr>
          <w:lang w:val="en-US"/>
        </w:rPr>
        <w:t xml:space="preserve">Maki RG, </w:t>
      </w:r>
      <w:proofErr w:type="spellStart"/>
      <w:r w:rsidRPr="00CD079B">
        <w:rPr>
          <w:lang w:val="en-US"/>
        </w:rPr>
        <w:t>D’Adamo</w:t>
      </w:r>
      <w:proofErr w:type="spellEnd"/>
      <w:r w:rsidRPr="00CD079B">
        <w:rPr>
          <w:lang w:val="en-US"/>
        </w:rPr>
        <w:t xml:space="preserve"> DR, </w:t>
      </w:r>
      <w:proofErr w:type="spellStart"/>
      <w:r w:rsidRPr="00CD079B">
        <w:rPr>
          <w:lang w:val="en-US"/>
        </w:rPr>
        <w:t>Keohan</w:t>
      </w:r>
      <w:proofErr w:type="spellEnd"/>
      <w:r w:rsidRPr="00CD079B">
        <w:rPr>
          <w:lang w:val="en-US"/>
        </w:rPr>
        <w:t xml:space="preserve"> ML, </w:t>
      </w:r>
      <w:proofErr w:type="spellStart"/>
      <w:r w:rsidRPr="00CD079B">
        <w:rPr>
          <w:lang w:val="en-US"/>
        </w:rPr>
        <w:t>Saulle</w:t>
      </w:r>
      <w:proofErr w:type="spellEnd"/>
      <w:r w:rsidRPr="00CD079B">
        <w:rPr>
          <w:lang w:val="en-US"/>
        </w:rPr>
        <w:t xml:space="preserve"> M, </w:t>
      </w:r>
      <w:proofErr w:type="spellStart"/>
      <w:r w:rsidRPr="00CD079B">
        <w:rPr>
          <w:lang w:val="en-US"/>
        </w:rPr>
        <w:t>Schuetze</w:t>
      </w:r>
      <w:proofErr w:type="spellEnd"/>
      <w:r w:rsidRPr="00CD079B">
        <w:rPr>
          <w:lang w:val="en-US"/>
        </w:rPr>
        <w:t xml:space="preserve"> SM, </w:t>
      </w:r>
      <w:proofErr w:type="spellStart"/>
      <w:r w:rsidRPr="00CD079B">
        <w:rPr>
          <w:lang w:val="en-US"/>
        </w:rPr>
        <w:t>Undevia</w:t>
      </w:r>
      <w:proofErr w:type="spellEnd"/>
      <w:r w:rsidRPr="00CD079B">
        <w:rPr>
          <w:lang w:val="en-US"/>
        </w:rPr>
        <w:t xml:space="preserve"> SM, et al. Phase II</w:t>
      </w:r>
      <w:r>
        <w:rPr>
          <w:lang w:val="en-US"/>
        </w:rPr>
        <w:t xml:space="preserve"> </w:t>
      </w:r>
      <w:r w:rsidRPr="00CD079B">
        <w:rPr>
          <w:lang w:val="en-US"/>
        </w:rPr>
        <w:t xml:space="preserve">study of </w:t>
      </w:r>
      <w:proofErr w:type="spellStart"/>
      <w:r w:rsidRPr="00CD079B">
        <w:rPr>
          <w:lang w:val="en-US"/>
        </w:rPr>
        <w:t>sorafenib</w:t>
      </w:r>
      <w:proofErr w:type="spellEnd"/>
      <w:r w:rsidRPr="00CD079B">
        <w:rPr>
          <w:lang w:val="en-US"/>
        </w:rPr>
        <w:t xml:space="preserve"> in patients with metastatic or recurrent sarcomas.</w:t>
      </w:r>
      <w:proofErr w:type="gramEnd"/>
      <w:r w:rsidRPr="00CD079B">
        <w:rPr>
          <w:lang w:val="en-US"/>
        </w:rPr>
        <w:t xml:space="preserve"> J </w:t>
      </w:r>
      <w:proofErr w:type="spellStart"/>
      <w:r w:rsidRPr="00CD079B">
        <w:rPr>
          <w:lang w:val="en-US"/>
        </w:rPr>
        <w:t>Clin</w:t>
      </w:r>
      <w:proofErr w:type="spellEnd"/>
      <w:r w:rsidRPr="00CD079B">
        <w:rPr>
          <w:lang w:val="en-US"/>
        </w:rPr>
        <w:t xml:space="preserve"> </w:t>
      </w:r>
      <w:proofErr w:type="spellStart"/>
      <w:r w:rsidRPr="00CD079B">
        <w:rPr>
          <w:lang w:val="en-US"/>
        </w:rPr>
        <w:t>Oncol</w:t>
      </w:r>
      <w:proofErr w:type="spellEnd"/>
      <w:r>
        <w:rPr>
          <w:lang w:val="en-US"/>
        </w:rPr>
        <w:t xml:space="preserve"> </w:t>
      </w:r>
      <w:r w:rsidRPr="00CD079B">
        <w:rPr>
          <w:lang w:val="en-US"/>
        </w:rPr>
        <w:t>2009</w:t>
      </w:r>
      <w:proofErr w:type="gramStart"/>
      <w:r w:rsidRPr="00CD079B">
        <w:rPr>
          <w:lang w:val="en-US"/>
        </w:rPr>
        <w:t>;27</w:t>
      </w:r>
      <w:proofErr w:type="gramEnd"/>
      <w:r w:rsidRPr="00CD079B">
        <w:rPr>
          <w:lang w:val="en-US"/>
        </w:rPr>
        <w:t>(19):3133-40.</w:t>
      </w:r>
    </w:p>
  </w:footnote>
  <w:footnote w:id="25">
    <w:p w:rsidR="00970A75" w:rsidRDefault="00970A75" w:rsidP="000349E5">
      <w:pPr>
        <w:pStyle w:val="FootnoteText"/>
        <w:ind w:left="142" w:hanging="142"/>
        <w:rPr>
          <w:lang w:val="en-US"/>
        </w:rPr>
      </w:pPr>
      <w:r>
        <w:rPr>
          <w:rStyle w:val="FootnoteReference"/>
        </w:rPr>
        <w:footnoteRef/>
      </w:r>
      <w:r w:rsidRPr="00CD079B">
        <w:rPr>
          <w:lang w:val="en-US"/>
        </w:rPr>
        <w:t xml:space="preserve">McArthur GA, Demetri GD, van </w:t>
      </w:r>
      <w:proofErr w:type="spellStart"/>
      <w:r w:rsidRPr="00CD079B">
        <w:rPr>
          <w:lang w:val="en-US"/>
        </w:rPr>
        <w:t>Oosterom</w:t>
      </w:r>
      <w:proofErr w:type="spellEnd"/>
      <w:r w:rsidRPr="00CD079B">
        <w:rPr>
          <w:lang w:val="en-US"/>
        </w:rPr>
        <w:t xml:space="preserve"> A, Heinrich MC, </w:t>
      </w:r>
      <w:proofErr w:type="spellStart"/>
      <w:r w:rsidRPr="00CD079B">
        <w:rPr>
          <w:lang w:val="en-US"/>
        </w:rPr>
        <w:t>Debiec-Rychter</w:t>
      </w:r>
      <w:proofErr w:type="spellEnd"/>
      <w:r w:rsidRPr="00CD079B">
        <w:rPr>
          <w:lang w:val="en-US"/>
        </w:rPr>
        <w:t xml:space="preserve"> M, </w:t>
      </w:r>
      <w:proofErr w:type="spellStart"/>
      <w:r w:rsidRPr="00CD079B">
        <w:rPr>
          <w:lang w:val="en-US"/>
        </w:rPr>
        <w:t>Corless</w:t>
      </w:r>
      <w:proofErr w:type="spellEnd"/>
      <w:r w:rsidRPr="00CD079B">
        <w:rPr>
          <w:lang w:val="en-US"/>
        </w:rPr>
        <w:t xml:space="preserve"> CL, et</w:t>
      </w:r>
      <w:r>
        <w:rPr>
          <w:lang w:val="en-US"/>
        </w:rPr>
        <w:t xml:space="preserve"> </w:t>
      </w:r>
      <w:r w:rsidRPr="00CD079B">
        <w:rPr>
          <w:lang w:val="en-US"/>
        </w:rPr>
        <w:t>al. Molecular and Clinical Analysis of Locally Advanced Dermatofibrosarcoma Protuberans</w:t>
      </w:r>
      <w:r>
        <w:rPr>
          <w:lang w:val="en-US"/>
        </w:rPr>
        <w:t xml:space="preserve"> </w:t>
      </w:r>
      <w:r w:rsidRPr="00CD079B">
        <w:rPr>
          <w:lang w:val="en-US"/>
        </w:rPr>
        <w:t xml:space="preserve">Treated With </w:t>
      </w:r>
      <w:proofErr w:type="spellStart"/>
      <w:r w:rsidRPr="00CD079B">
        <w:rPr>
          <w:lang w:val="en-US"/>
        </w:rPr>
        <w:t>Imatinib</w:t>
      </w:r>
      <w:proofErr w:type="spellEnd"/>
      <w:r w:rsidRPr="00CD079B">
        <w:rPr>
          <w:lang w:val="en-US"/>
        </w:rPr>
        <w:t xml:space="preserve">: </w:t>
      </w:r>
      <w:proofErr w:type="spellStart"/>
      <w:r w:rsidRPr="00CD079B">
        <w:rPr>
          <w:lang w:val="en-US"/>
        </w:rPr>
        <w:t>Imatinib</w:t>
      </w:r>
      <w:proofErr w:type="spellEnd"/>
      <w:r w:rsidRPr="00CD079B">
        <w:rPr>
          <w:lang w:val="en-US"/>
        </w:rPr>
        <w:t xml:space="preserve"> Target Exploration Consortium Study B2225. J </w:t>
      </w:r>
      <w:proofErr w:type="spellStart"/>
      <w:r w:rsidRPr="00CD079B">
        <w:rPr>
          <w:lang w:val="en-US"/>
        </w:rPr>
        <w:t>Clin</w:t>
      </w:r>
      <w:proofErr w:type="spellEnd"/>
      <w:r w:rsidRPr="00CD079B">
        <w:rPr>
          <w:lang w:val="en-US"/>
        </w:rPr>
        <w:t xml:space="preserve"> </w:t>
      </w:r>
      <w:proofErr w:type="spellStart"/>
      <w:r w:rsidRPr="00CD079B">
        <w:rPr>
          <w:lang w:val="en-US"/>
        </w:rPr>
        <w:t>Oncol</w:t>
      </w:r>
      <w:proofErr w:type="spellEnd"/>
      <w:r>
        <w:rPr>
          <w:lang w:val="en-US"/>
        </w:rPr>
        <w:t xml:space="preserve"> </w:t>
      </w:r>
      <w:r w:rsidRPr="00CD079B">
        <w:rPr>
          <w:lang w:val="en-US"/>
        </w:rPr>
        <w:t>2005</w:t>
      </w:r>
      <w:proofErr w:type="gramStart"/>
      <w:r w:rsidRPr="00CD079B">
        <w:rPr>
          <w:lang w:val="en-US"/>
        </w:rPr>
        <w:t>;23</w:t>
      </w:r>
      <w:proofErr w:type="gramEnd"/>
      <w:r w:rsidRPr="00CD079B">
        <w:rPr>
          <w:lang w:val="en-US"/>
        </w:rPr>
        <w:t>(4):866-73.</w:t>
      </w:r>
    </w:p>
    <w:p w:rsidR="00970A75" w:rsidRPr="00CD079B" w:rsidRDefault="00970A75" w:rsidP="000349E5">
      <w:pPr>
        <w:pStyle w:val="FootnoteText"/>
        <w:ind w:left="142" w:hanging="142"/>
        <w:rPr>
          <w:lang w:val="en-US"/>
        </w:rPr>
      </w:pPr>
      <w:proofErr w:type="spellStart"/>
      <w:r w:rsidRPr="00CD079B">
        <w:rPr>
          <w:lang w:val="en-US"/>
        </w:rPr>
        <w:t>Casali</w:t>
      </w:r>
      <w:proofErr w:type="spellEnd"/>
      <w:r w:rsidRPr="00CD079B">
        <w:rPr>
          <w:lang w:val="en-US"/>
        </w:rPr>
        <w:t xml:space="preserve"> PG, Messina A, </w:t>
      </w:r>
      <w:proofErr w:type="spellStart"/>
      <w:r w:rsidRPr="00CD079B">
        <w:rPr>
          <w:lang w:val="en-US"/>
        </w:rPr>
        <w:t>Stacchiotti</w:t>
      </w:r>
      <w:proofErr w:type="spellEnd"/>
      <w:r w:rsidRPr="00CD079B">
        <w:rPr>
          <w:lang w:val="en-US"/>
        </w:rPr>
        <w:t xml:space="preserve"> S, </w:t>
      </w:r>
      <w:proofErr w:type="spellStart"/>
      <w:r w:rsidRPr="00CD079B">
        <w:rPr>
          <w:lang w:val="en-US"/>
        </w:rPr>
        <w:t>Tamborini</w:t>
      </w:r>
      <w:proofErr w:type="spellEnd"/>
      <w:r w:rsidRPr="00CD079B">
        <w:rPr>
          <w:lang w:val="en-US"/>
        </w:rPr>
        <w:t xml:space="preserve"> E, </w:t>
      </w:r>
      <w:proofErr w:type="spellStart"/>
      <w:r w:rsidRPr="00CD079B">
        <w:rPr>
          <w:lang w:val="en-US"/>
        </w:rPr>
        <w:t>Crippa</w:t>
      </w:r>
      <w:proofErr w:type="spellEnd"/>
      <w:r w:rsidRPr="00CD079B">
        <w:rPr>
          <w:lang w:val="en-US"/>
        </w:rPr>
        <w:t xml:space="preserve"> F, </w:t>
      </w:r>
      <w:proofErr w:type="spellStart"/>
      <w:r w:rsidRPr="00CD079B">
        <w:rPr>
          <w:lang w:val="en-US"/>
        </w:rPr>
        <w:t>Gronchi</w:t>
      </w:r>
      <w:proofErr w:type="spellEnd"/>
      <w:r w:rsidRPr="00CD079B">
        <w:rPr>
          <w:lang w:val="en-US"/>
        </w:rPr>
        <w:t xml:space="preserve"> A, et al. </w:t>
      </w:r>
      <w:proofErr w:type="spellStart"/>
      <w:r w:rsidRPr="00CD079B">
        <w:rPr>
          <w:lang w:val="en-US"/>
        </w:rPr>
        <w:t>Imatinib</w:t>
      </w:r>
      <w:proofErr w:type="spellEnd"/>
      <w:r w:rsidRPr="00CD079B">
        <w:rPr>
          <w:lang w:val="en-US"/>
        </w:rPr>
        <w:t xml:space="preserve"> </w:t>
      </w:r>
      <w:proofErr w:type="spellStart"/>
      <w:r w:rsidRPr="00CD079B">
        <w:rPr>
          <w:lang w:val="en-US"/>
        </w:rPr>
        <w:t>mesylate</w:t>
      </w:r>
      <w:proofErr w:type="spellEnd"/>
      <w:r>
        <w:rPr>
          <w:lang w:val="en-US"/>
        </w:rPr>
        <w:t xml:space="preserve"> </w:t>
      </w:r>
      <w:r w:rsidRPr="00CD079B">
        <w:rPr>
          <w:lang w:val="en-US"/>
        </w:rPr>
        <w:t xml:space="preserve">in </w:t>
      </w:r>
      <w:proofErr w:type="spellStart"/>
      <w:r w:rsidRPr="00CD079B">
        <w:rPr>
          <w:lang w:val="en-US"/>
        </w:rPr>
        <w:t>chordoma</w:t>
      </w:r>
      <w:proofErr w:type="spellEnd"/>
      <w:r w:rsidRPr="00CD079B">
        <w:rPr>
          <w:lang w:val="en-US"/>
        </w:rPr>
        <w:t>. Cancer 2004</w:t>
      </w:r>
      <w:proofErr w:type="gramStart"/>
      <w:r w:rsidRPr="00CD079B">
        <w:rPr>
          <w:lang w:val="en-US"/>
        </w:rPr>
        <w:t>;101</w:t>
      </w:r>
      <w:proofErr w:type="gramEnd"/>
      <w:r w:rsidRPr="00CD079B">
        <w:rPr>
          <w:lang w:val="en-US"/>
        </w:rPr>
        <w:t>(9):2086-97.</w:t>
      </w:r>
    </w:p>
  </w:footnote>
  <w:footnote w:id="26">
    <w:p w:rsidR="00970A75" w:rsidRPr="00CD079B" w:rsidRDefault="00970A75" w:rsidP="000349E5">
      <w:pPr>
        <w:pStyle w:val="FootnoteText"/>
        <w:ind w:left="142" w:hanging="142"/>
        <w:rPr>
          <w:lang w:val="en-US"/>
        </w:rPr>
      </w:pPr>
      <w:r>
        <w:rPr>
          <w:rStyle w:val="FootnoteReference"/>
        </w:rPr>
        <w:footnoteRef/>
      </w:r>
      <w:r>
        <w:t xml:space="preserve"> Wagner AJ, </w:t>
      </w:r>
      <w:proofErr w:type="spellStart"/>
      <w:r>
        <w:t>Malinowska-Kolodziej</w:t>
      </w:r>
      <w:proofErr w:type="spellEnd"/>
      <w:r>
        <w:t xml:space="preserve"> I, Morgan JA, Qin W, Fletcher CD, </w:t>
      </w:r>
      <w:proofErr w:type="gramStart"/>
      <w:r>
        <w:t>Vena</w:t>
      </w:r>
      <w:proofErr w:type="gramEnd"/>
      <w:r>
        <w:t xml:space="preserve"> N, et al. Clinical activity of </w:t>
      </w:r>
      <w:proofErr w:type="spellStart"/>
      <w:r>
        <w:t>mTOR</w:t>
      </w:r>
      <w:proofErr w:type="spellEnd"/>
      <w:r>
        <w:t xml:space="preserve"> inhibition with </w:t>
      </w:r>
      <w:proofErr w:type="spellStart"/>
      <w:r>
        <w:t>sirolimus</w:t>
      </w:r>
      <w:proofErr w:type="spellEnd"/>
      <w:r>
        <w:t xml:space="preserve"> in malignant perivascular epithelioid cell </w:t>
      </w:r>
      <w:proofErr w:type="spellStart"/>
      <w:r>
        <w:t>tumors</w:t>
      </w:r>
      <w:proofErr w:type="spellEnd"/>
      <w:r>
        <w:t xml:space="preserve">: targeting the pathogenic activation of mTORC1 in </w:t>
      </w:r>
      <w:proofErr w:type="spellStart"/>
      <w:r>
        <w:t>tumors</w:t>
      </w:r>
      <w:proofErr w:type="spellEnd"/>
      <w:r>
        <w:t xml:space="preserve">. J </w:t>
      </w:r>
      <w:proofErr w:type="spellStart"/>
      <w:r>
        <w:t>Clin</w:t>
      </w:r>
      <w:proofErr w:type="spellEnd"/>
      <w:r>
        <w:t xml:space="preserve"> </w:t>
      </w:r>
      <w:proofErr w:type="spellStart"/>
      <w:r>
        <w:t>Oncol</w:t>
      </w:r>
      <w:proofErr w:type="spellEnd"/>
      <w:r>
        <w:t xml:space="preserve"> 2010</w:t>
      </w:r>
      <w:proofErr w:type="gramStart"/>
      <w:r>
        <w:t>;28</w:t>
      </w:r>
      <w:proofErr w:type="gramEnd"/>
      <w:r>
        <w:t>(5):835-40.</w:t>
      </w:r>
    </w:p>
  </w:footnote>
  <w:footnote w:id="27">
    <w:p w:rsidR="00970A75" w:rsidRPr="00CD079B" w:rsidRDefault="00970A75" w:rsidP="000349E5">
      <w:pPr>
        <w:pStyle w:val="FootnoteText"/>
        <w:ind w:left="142" w:hanging="142"/>
        <w:rPr>
          <w:lang w:val="en-US"/>
        </w:rPr>
      </w:pPr>
      <w:r>
        <w:rPr>
          <w:rStyle w:val="FootnoteReference"/>
        </w:rPr>
        <w:footnoteRef/>
      </w:r>
      <w:r w:rsidRPr="00CD079B">
        <w:rPr>
          <w:lang w:val="en-US"/>
        </w:rPr>
        <w:t>Thomas D, Henshaw R,</w:t>
      </w:r>
      <w:r>
        <w:rPr>
          <w:lang w:val="en-US"/>
        </w:rPr>
        <w:t xml:space="preserve"> </w:t>
      </w:r>
      <w:proofErr w:type="spellStart"/>
      <w:r>
        <w:rPr>
          <w:lang w:val="en-US"/>
        </w:rPr>
        <w:t>Skubitz</w:t>
      </w:r>
      <w:proofErr w:type="spellEnd"/>
      <w:r>
        <w:rPr>
          <w:lang w:val="en-US"/>
        </w:rPr>
        <w:t xml:space="preserve"> K, Chawla S, Staddon A</w:t>
      </w:r>
      <w:r w:rsidRPr="00CD079B">
        <w:rPr>
          <w:lang w:val="en-US"/>
        </w:rPr>
        <w:t xml:space="preserve">, </w:t>
      </w:r>
      <w:proofErr w:type="spellStart"/>
      <w:r w:rsidRPr="00CD079B">
        <w:rPr>
          <w:lang w:val="en-US"/>
        </w:rPr>
        <w:t>Blay</w:t>
      </w:r>
      <w:proofErr w:type="spellEnd"/>
      <w:r w:rsidRPr="00CD079B">
        <w:rPr>
          <w:lang w:val="en-US"/>
        </w:rPr>
        <w:t xml:space="preserve"> JY, et al. </w:t>
      </w:r>
      <w:proofErr w:type="spellStart"/>
      <w:r w:rsidRPr="00CD079B">
        <w:rPr>
          <w:lang w:val="en-US"/>
        </w:rPr>
        <w:t>Denosumab</w:t>
      </w:r>
      <w:proofErr w:type="spellEnd"/>
      <w:r w:rsidRPr="00CD079B">
        <w:rPr>
          <w:lang w:val="en-US"/>
        </w:rPr>
        <w:t xml:space="preserve"> in patients</w:t>
      </w:r>
      <w:r>
        <w:rPr>
          <w:lang w:val="en-US"/>
        </w:rPr>
        <w:t xml:space="preserve"> </w:t>
      </w:r>
      <w:r w:rsidRPr="00CD079B">
        <w:rPr>
          <w:lang w:val="en-US"/>
        </w:rPr>
        <w:t xml:space="preserve">with giant-cell </w:t>
      </w:r>
      <w:proofErr w:type="spellStart"/>
      <w:r w:rsidRPr="00CD079B">
        <w:rPr>
          <w:lang w:val="en-US"/>
        </w:rPr>
        <w:t>tumour</w:t>
      </w:r>
      <w:proofErr w:type="spellEnd"/>
      <w:r w:rsidRPr="00CD079B">
        <w:rPr>
          <w:lang w:val="en-US"/>
        </w:rPr>
        <w:t xml:space="preserve"> of bone: an open-label, phase 2 study. Lancet </w:t>
      </w:r>
      <w:proofErr w:type="spellStart"/>
      <w:r w:rsidRPr="00CD079B">
        <w:rPr>
          <w:lang w:val="en-US"/>
        </w:rPr>
        <w:t>Oncol</w:t>
      </w:r>
      <w:proofErr w:type="spellEnd"/>
      <w:r w:rsidRPr="00CD079B">
        <w:rPr>
          <w:lang w:val="en-US"/>
        </w:rPr>
        <w:t xml:space="preserve"> 2010</w:t>
      </w:r>
      <w:proofErr w:type="gramStart"/>
      <w:r w:rsidRPr="00CD079B">
        <w:rPr>
          <w:lang w:val="en-US"/>
        </w:rPr>
        <w:t>;11</w:t>
      </w:r>
      <w:proofErr w:type="gramEnd"/>
      <w:r w:rsidRPr="00CD079B">
        <w:rPr>
          <w:lang w:val="en-US"/>
        </w:rPr>
        <w:t>(3):275-80.</w:t>
      </w:r>
    </w:p>
  </w:footnote>
  <w:footnote w:id="28">
    <w:p w:rsidR="00970A75" w:rsidRPr="00CD079B" w:rsidRDefault="00970A75" w:rsidP="00E05ADE">
      <w:pPr>
        <w:pStyle w:val="FootnoteText"/>
        <w:ind w:left="142" w:hanging="142"/>
        <w:rPr>
          <w:lang w:val="en-US"/>
        </w:rPr>
      </w:pPr>
      <w:r>
        <w:rPr>
          <w:rStyle w:val="FootnoteReference"/>
        </w:rPr>
        <w:footnoteRef/>
      </w:r>
      <w:r>
        <w:t xml:space="preserve"> </w:t>
      </w:r>
      <w:proofErr w:type="spellStart"/>
      <w:r>
        <w:t>Sleijfer</w:t>
      </w:r>
      <w:proofErr w:type="spellEnd"/>
      <w:r>
        <w:t xml:space="preserve"> S, Ray-</w:t>
      </w:r>
      <w:proofErr w:type="spellStart"/>
      <w:r>
        <w:t>Coquard</w:t>
      </w:r>
      <w:proofErr w:type="spellEnd"/>
      <w:r>
        <w:t xml:space="preserve"> I, </w:t>
      </w:r>
      <w:proofErr w:type="spellStart"/>
      <w:r>
        <w:t>Papai</w:t>
      </w:r>
      <w:proofErr w:type="spellEnd"/>
      <w:r>
        <w:t xml:space="preserve"> Z, Le </w:t>
      </w:r>
      <w:proofErr w:type="spellStart"/>
      <w:r>
        <w:t>Cesne</w:t>
      </w:r>
      <w:proofErr w:type="spellEnd"/>
      <w:r>
        <w:t xml:space="preserve"> A, </w:t>
      </w:r>
      <w:proofErr w:type="spellStart"/>
      <w:r>
        <w:t>Scurr</w:t>
      </w:r>
      <w:proofErr w:type="spellEnd"/>
      <w:r>
        <w:t xml:space="preserve"> M, </w:t>
      </w:r>
      <w:proofErr w:type="spellStart"/>
      <w:r>
        <w:t>Schöffski</w:t>
      </w:r>
      <w:proofErr w:type="spellEnd"/>
      <w:r>
        <w:t xml:space="preserve"> P, et al. </w:t>
      </w:r>
      <w:proofErr w:type="spellStart"/>
      <w:r>
        <w:t>Pazopanib</w:t>
      </w:r>
      <w:proofErr w:type="spellEnd"/>
      <w:r>
        <w:t xml:space="preserve">, a </w:t>
      </w:r>
      <w:proofErr w:type="spellStart"/>
      <w:r>
        <w:t>multikinase</w:t>
      </w:r>
      <w:proofErr w:type="spellEnd"/>
      <w:r>
        <w:t xml:space="preserve"> angiogenesis inhibitor, in patients with relapsed or refractory advanced soft tissue sarcoma: a phase II study from the European organisation for research and treatment of </w:t>
      </w:r>
      <w:proofErr w:type="spellStart"/>
      <w:r>
        <w:t>cancersoft</w:t>
      </w:r>
      <w:proofErr w:type="spellEnd"/>
      <w:r>
        <w:t xml:space="preserve"> tissue and bone sarcoma group (EORTC study 62043). J </w:t>
      </w:r>
      <w:proofErr w:type="spellStart"/>
      <w:r>
        <w:t>clin</w:t>
      </w:r>
      <w:proofErr w:type="spellEnd"/>
      <w:r>
        <w:t xml:space="preserve"> </w:t>
      </w:r>
      <w:proofErr w:type="spellStart"/>
      <w:r>
        <w:t>Oncol</w:t>
      </w:r>
      <w:proofErr w:type="spellEnd"/>
      <w:r>
        <w:t xml:space="preserve"> 2009</w:t>
      </w:r>
      <w:proofErr w:type="gramStart"/>
      <w:r>
        <w:t>;27</w:t>
      </w:r>
      <w:proofErr w:type="gramEnd"/>
      <w:r>
        <w:t>(19):2126-32.</w:t>
      </w:r>
    </w:p>
  </w:footnote>
  <w:footnote w:id="29">
    <w:p w:rsidR="00970A75" w:rsidRPr="00CD079B" w:rsidRDefault="00970A75" w:rsidP="000349E5">
      <w:pPr>
        <w:pStyle w:val="FootnoteText"/>
        <w:ind w:left="142" w:hanging="142"/>
        <w:rPr>
          <w:lang w:val="en-US"/>
        </w:rPr>
      </w:pPr>
      <w:r>
        <w:rPr>
          <w:rStyle w:val="FootnoteReference"/>
        </w:rPr>
        <w:footnoteRef/>
      </w:r>
      <w:proofErr w:type="gramStart"/>
      <w:r w:rsidRPr="00CD079B">
        <w:rPr>
          <w:lang w:val="en-US"/>
        </w:rPr>
        <w:t xml:space="preserve">Chawla SP, Staddon AP, Baker LH, </w:t>
      </w:r>
      <w:proofErr w:type="spellStart"/>
      <w:r w:rsidRPr="00CD079B">
        <w:rPr>
          <w:lang w:val="en-US"/>
        </w:rPr>
        <w:t>Scheutze</w:t>
      </w:r>
      <w:proofErr w:type="spellEnd"/>
      <w:r w:rsidRPr="00CD079B">
        <w:rPr>
          <w:lang w:val="en-US"/>
        </w:rPr>
        <w:t xml:space="preserve"> SM, </w:t>
      </w:r>
      <w:proofErr w:type="spellStart"/>
      <w:r w:rsidRPr="00CD079B">
        <w:rPr>
          <w:lang w:val="en-US"/>
        </w:rPr>
        <w:t>Tolcher</w:t>
      </w:r>
      <w:proofErr w:type="spellEnd"/>
      <w:r w:rsidRPr="00CD079B">
        <w:rPr>
          <w:lang w:val="en-US"/>
        </w:rPr>
        <w:t xml:space="preserve"> AW, D’Amato GZ, et al. Phase II</w:t>
      </w:r>
      <w:r>
        <w:rPr>
          <w:lang w:val="en-US"/>
        </w:rPr>
        <w:t xml:space="preserve"> </w:t>
      </w:r>
      <w:r w:rsidRPr="00CD079B">
        <w:rPr>
          <w:lang w:val="en-US"/>
        </w:rPr>
        <w:t xml:space="preserve">study of the mammalian target of rapamycin inhibitor </w:t>
      </w:r>
      <w:proofErr w:type="spellStart"/>
      <w:r w:rsidRPr="00CD079B">
        <w:rPr>
          <w:lang w:val="en-US"/>
        </w:rPr>
        <w:t>ridaforolimus</w:t>
      </w:r>
      <w:proofErr w:type="spellEnd"/>
      <w:r w:rsidRPr="00CD079B">
        <w:rPr>
          <w:lang w:val="en-US"/>
        </w:rPr>
        <w:t xml:space="preserve"> in patients with advanced</w:t>
      </w:r>
      <w:r>
        <w:rPr>
          <w:lang w:val="en-US"/>
        </w:rPr>
        <w:t xml:space="preserve"> </w:t>
      </w:r>
      <w:r w:rsidRPr="00CD079B">
        <w:rPr>
          <w:lang w:val="en-US"/>
        </w:rPr>
        <w:t>bone and soft tissue sarcomas.</w:t>
      </w:r>
      <w:proofErr w:type="gramEnd"/>
      <w:r w:rsidRPr="00CD079B">
        <w:rPr>
          <w:lang w:val="en-US"/>
        </w:rPr>
        <w:t xml:space="preserve"> J </w:t>
      </w:r>
      <w:proofErr w:type="spellStart"/>
      <w:r w:rsidRPr="00CD079B">
        <w:rPr>
          <w:lang w:val="en-US"/>
        </w:rPr>
        <w:t>Clin</w:t>
      </w:r>
      <w:proofErr w:type="spellEnd"/>
      <w:r w:rsidRPr="00CD079B">
        <w:rPr>
          <w:lang w:val="en-US"/>
        </w:rPr>
        <w:t xml:space="preserve"> </w:t>
      </w:r>
      <w:proofErr w:type="spellStart"/>
      <w:r w:rsidRPr="00CD079B">
        <w:rPr>
          <w:lang w:val="en-US"/>
        </w:rPr>
        <w:t>Oncol</w:t>
      </w:r>
      <w:proofErr w:type="spellEnd"/>
      <w:r w:rsidRPr="00CD079B">
        <w:rPr>
          <w:lang w:val="en-US"/>
        </w:rPr>
        <w:t xml:space="preserve"> 2012</w:t>
      </w:r>
      <w:proofErr w:type="gramStart"/>
      <w:r w:rsidRPr="00CD079B">
        <w:rPr>
          <w:lang w:val="en-US"/>
        </w:rPr>
        <w:t>;30</w:t>
      </w:r>
      <w:proofErr w:type="gramEnd"/>
      <w:r w:rsidRPr="00CD079B">
        <w:rPr>
          <w:lang w:val="en-US"/>
        </w:rPr>
        <w:t>(1):78-84.</w:t>
      </w:r>
    </w:p>
  </w:footnote>
  <w:footnote w:id="30">
    <w:p w:rsidR="00970A75" w:rsidRPr="00CD079B" w:rsidRDefault="00970A75" w:rsidP="000349E5">
      <w:pPr>
        <w:pStyle w:val="FootnoteText"/>
        <w:ind w:left="142" w:hanging="142"/>
        <w:rPr>
          <w:lang w:val="en-US"/>
        </w:rPr>
      </w:pPr>
      <w:r>
        <w:rPr>
          <w:rStyle w:val="FootnoteReference"/>
        </w:rPr>
        <w:footnoteRef/>
      </w:r>
      <w:proofErr w:type="spellStart"/>
      <w:r>
        <w:rPr>
          <w:lang w:val="en-US"/>
        </w:rPr>
        <w:t>S</w:t>
      </w:r>
      <w:r w:rsidRPr="00CD079B">
        <w:rPr>
          <w:lang w:val="en-US"/>
        </w:rPr>
        <w:t>höffski</w:t>
      </w:r>
      <w:proofErr w:type="spellEnd"/>
      <w:r w:rsidRPr="00CD079B">
        <w:rPr>
          <w:lang w:val="en-US"/>
        </w:rPr>
        <w:t xml:space="preserve"> P, Ray</w:t>
      </w:r>
      <w:r>
        <w:rPr>
          <w:lang w:val="en-US"/>
        </w:rPr>
        <w:t>-</w:t>
      </w:r>
      <w:proofErr w:type="spellStart"/>
      <w:r>
        <w:rPr>
          <w:lang w:val="en-US"/>
        </w:rPr>
        <w:t>Coquard</w:t>
      </w:r>
      <w:proofErr w:type="spellEnd"/>
      <w:r>
        <w:rPr>
          <w:lang w:val="en-US"/>
        </w:rPr>
        <w:t xml:space="preserve"> IL, </w:t>
      </w:r>
      <w:proofErr w:type="spellStart"/>
      <w:r>
        <w:rPr>
          <w:lang w:val="en-US"/>
        </w:rPr>
        <w:t>Cioffi</w:t>
      </w:r>
      <w:proofErr w:type="spellEnd"/>
      <w:r>
        <w:rPr>
          <w:lang w:val="en-US"/>
        </w:rPr>
        <w:t xml:space="preserve"> A, Bui NB, B</w:t>
      </w:r>
      <w:r w:rsidRPr="00CD079B">
        <w:rPr>
          <w:lang w:val="en-US"/>
        </w:rPr>
        <w:t xml:space="preserve">auer S, Hartmann JT, et al. Activity of </w:t>
      </w:r>
      <w:proofErr w:type="spellStart"/>
      <w:r w:rsidRPr="00CD079B">
        <w:rPr>
          <w:lang w:val="en-US"/>
        </w:rPr>
        <w:t>eribulin</w:t>
      </w:r>
      <w:proofErr w:type="spellEnd"/>
      <w:r>
        <w:rPr>
          <w:lang w:val="en-US"/>
        </w:rPr>
        <w:t xml:space="preserve"> </w:t>
      </w:r>
      <w:proofErr w:type="spellStart"/>
      <w:r w:rsidRPr="00CD079B">
        <w:rPr>
          <w:lang w:val="en-US"/>
        </w:rPr>
        <w:t>mesylate</w:t>
      </w:r>
      <w:proofErr w:type="spellEnd"/>
      <w:r w:rsidRPr="00CD079B">
        <w:rPr>
          <w:lang w:val="en-US"/>
        </w:rPr>
        <w:t xml:space="preserve"> in</w:t>
      </w:r>
      <w:r>
        <w:rPr>
          <w:lang w:val="en-US"/>
        </w:rPr>
        <w:t xml:space="preserve"> </w:t>
      </w:r>
      <w:r w:rsidRPr="00CD079B">
        <w:rPr>
          <w:lang w:val="en-US"/>
        </w:rPr>
        <w:t>patients with soft-tissue sarcoma: a phase 2 study in four independent histological</w:t>
      </w:r>
      <w:r>
        <w:rPr>
          <w:lang w:val="en-US"/>
        </w:rPr>
        <w:t xml:space="preserve"> subtypes. Lancet </w:t>
      </w:r>
      <w:proofErr w:type="spellStart"/>
      <w:r>
        <w:rPr>
          <w:lang w:val="en-US"/>
        </w:rPr>
        <w:t>Oncol</w:t>
      </w:r>
      <w:proofErr w:type="spellEnd"/>
      <w:r>
        <w:rPr>
          <w:lang w:val="en-US"/>
        </w:rPr>
        <w:t xml:space="preserve"> </w:t>
      </w:r>
      <w:r w:rsidRPr="00CD079B">
        <w:rPr>
          <w:lang w:val="en-US"/>
        </w:rPr>
        <w:t>011</w:t>
      </w:r>
      <w:proofErr w:type="gramStart"/>
      <w:r w:rsidRPr="00CD079B">
        <w:rPr>
          <w:lang w:val="en-US"/>
        </w:rPr>
        <w:t>;12:1045</w:t>
      </w:r>
      <w:proofErr w:type="gramEnd"/>
      <w:r w:rsidRPr="00CD079B">
        <w:rPr>
          <w:lang w:val="en-US"/>
        </w:rPr>
        <w:t>-52.</w:t>
      </w:r>
    </w:p>
  </w:footnote>
  <w:footnote w:id="31">
    <w:p w:rsidR="00970A75" w:rsidRPr="00CD079B" w:rsidRDefault="00970A75" w:rsidP="000349E5">
      <w:pPr>
        <w:pStyle w:val="FootnoteText"/>
        <w:ind w:left="142" w:hanging="142"/>
        <w:rPr>
          <w:lang w:val="en-US"/>
        </w:rPr>
      </w:pPr>
      <w:r w:rsidRPr="00807416">
        <w:rPr>
          <w:rStyle w:val="FootnoteReference"/>
        </w:rPr>
        <w:footnoteRef/>
      </w:r>
      <w:proofErr w:type="gramStart"/>
      <w:r w:rsidRPr="00807416">
        <w:t>van</w:t>
      </w:r>
      <w:proofErr w:type="gramEnd"/>
      <w:r w:rsidRPr="00807416">
        <w:t xml:space="preserve"> der </w:t>
      </w:r>
      <w:proofErr w:type="spellStart"/>
      <w:r w:rsidRPr="00807416">
        <w:t>Graaf</w:t>
      </w:r>
      <w:proofErr w:type="spellEnd"/>
      <w:r>
        <w:t xml:space="preserve"> WTA</w:t>
      </w:r>
      <w:r w:rsidRPr="00807416">
        <w:t xml:space="preserve"> and </w:t>
      </w:r>
      <w:proofErr w:type="spellStart"/>
      <w:r w:rsidRPr="00807416">
        <w:t>Gelderblom</w:t>
      </w:r>
      <w:proofErr w:type="spellEnd"/>
      <w:r>
        <w:t xml:space="preserve"> H. (2012). </w:t>
      </w:r>
      <w:proofErr w:type="gramStart"/>
      <w:r w:rsidRPr="00807416">
        <w:t>New Systemic Therapy Options for Advanced Sarcomas</w:t>
      </w:r>
      <w:r>
        <w:t>.</w:t>
      </w:r>
      <w:proofErr w:type="gramEnd"/>
      <w:r>
        <w:t xml:space="preserve"> </w:t>
      </w:r>
      <w:proofErr w:type="spellStart"/>
      <w:proofErr w:type="gramStart"/>
      <w:r w:rsidRPr="00807416">
        <w:t>Curr</w:t>
      </w:r>
      <w:proofErr w:type="spellEnd"/>
      <w:r w:rsidRPr="00807416">
        <w:t xml:space="preserve"> Treat Options </w:t>
      </w:r>
      <w:proofErr w:type="spellStart"/>
      <w:r w:rsidRPr="00807416">
        <w:t>O</w:t>
      </w:r>
      <w:r>
        <w:t>ncol</w:t>
      </w:r>
      <w:proofErr w:type="spellEnd"/>
      <w:r>
        <w:t>.</w:t>
      </w:r>
      <w:proofErr w:type="gramEnd"/>
      <w:r>
        <w:t xml:space="preserve"> 2012 Sep; 13(3): 306–317.</w:t>
      </w:r>
    </w:p>
  </w:footnote>
  <w:footnote w:id="32">
    <w:p w:rsidR="00970A75" w:rsidRPr="00CD079B" w:rsidRDefault="00970A75" w:rsidP="000349E5">
      <w:pPr>
        <w:pStyle w:val="FootnoteText"/>
        <w:ind w:left="142" w:hanging="142"/>
        <w:rPr>
          <w:lang w:val="en-US"/>
        </w:rPr>
      </w:pPr>
      <w:r>
        <w:rPr>
          <w:rStyle w:val="FootnoteReference"/>
        </w:rPr>
        <w:footnoteRef/>
      </w:r>
      <w:r>
        <w:t xml:space="preserve"> Demetri GD, Chawla SP, Ray-</w:t>
      </w:r>
      <w:proofErr w:type="spellStart"/>
      <w:r>
        <w:t>coquard</w:t>
      </w:r>
      <w:proofErr w:type="spellEnd"/>
      <w:r>
        <w:t xml:space="preserve"> I, Le </w:t>
      </w:r>
      <w:proofErr w:type="spellStart"/>
      <w:r>
        <w:t>Cesne</w:t>
      </w:r>
      <w:proofErr w:type="spellEnd"/>
      <w:r>
        <w:t xml:space="preserve"> A, Staddon AP, </w:t>
      </w:r>
      <w:proofErr w:type="spellStart"/>
      <w:r>
        <w:t>Milhem</w:t>
      </w:r>
      <w:proofErr w:type="spellEnd"/>
      <w:r>
        <w:t xml:space="preserve"> MM, et al. Results of an international randomized phase III trial of the mammalian target of rapamycin inhibitor </w:t>
      </w:r>
      <w:proofErr w:type="spellStart"/>
      <w:r>
        <w:t>ridaforolimus</w:t>
      </w:r>
      <w:proofErr w:type="spellEnd"/>
      <w:r>
        <w:t xml:space="preserve"> versus placebo to control metastatic sarcomas in patients after benefit from prior chemotherapy. J </w:t>
      </w:r>
      <w:proofErr w:type="spellStart"/>
      <w:r>
        <w:t>Clin</w:t>
      </w:r>
      <w:proofErr w:type="spellEnd"/>
      <w:r>
        <w:t xml:space="preserve"> </w:t>
      </w:r>
      <w:proofErr w:type="spellStart"/>
      <w:r>
        <w:t>Oncol</w:t>
      </w:r>
      <w:proofErr w:type="spellEnd"/>
      <w:r>
        <w:t xml:space="preserve"> </w:t>
      </w:r>
      <w:proofErr w:type="gramStart"/>
      <w:r>
        <w:t>2013;</w:t>
      </w:r>
      <w:proofErr w:type="gramEnd"/>
      <w:r>
        <w:t>(31(9):2485- 92.</w:t>
      </w:r>
    </w:p>
  </w:footnote>
  <w:footnote w:id="33">
    <w:p w:rsidR="00970A75" w:rsidRPr="000349E5" w:rsidRDefault="00970A75" w:rsidP="00E05ADE">
      <w:pPr>
        <w:pStyle w:val="FootnoteText"/>
        <w:ind w:left="142" w:hanging="142"/>
        <w:rPr>
          <w:lang w:val="en-US"/>
        </w:rPr>
      </w:pPr>
      <w:r>
        <w:rPr>
          <w:rStyle w:val="FootnoteReference"/>
        </w:rPr>
        <w:footnoteRef/>
      </w:r>
      <w:r>
        <w:t xml:space="preserve"> Garcia del </w:t>
      </w:r>
      <w:proofErr w:type="spellStart"/>
      <w:r>
        <w:t>Muro</w:t>
      </w:r>
      <w:proofErr w:type="spellEnd"/>
      <w:r>
        <w:t xml:space="preserve"> X, </w:t>
      </w:r>
      <w:proofErr w:type="spellStart"/>
      <w:r>
        <w:t>López-Pousa</w:t>
      </w:r>
      <w:proofErr w:type="spellEnd"/>
      <w:r>
        <w:t xml:space="preserve"> A, </w:t>
      </w:r>
      <w:proofErr w:type="spellStart"/>
      <w:r>
        <w:t>Maurel</w:t>
      </w:r>
      <w:proofErr w:type="spellEnd"/>
      <w:r>
        <w:t xml:space="preserve"> J, Martin J, Martinez-</w:t>
      </w:r>
      <w:proofErr w:type="spellStart"/>
      <w:r>
        <w:t>Trufero</w:t>
      </w:r>
      <w:proofErr w:type="spellEnd"/>
      <w:r>
        <w:t xml:space="preserve"> J, </w:t>
      </w:r>
      <w:proofErr w:type="spellStart"/>
      <w:r>
        <w:t>casado</w:t>
      </w:r>
      <w:proofErr w:type="spellEnd"/>
      <w:r>
        <w:t xml:space="preserve"> A, et al. Randomized phase II study comparing gemcitabine plus </w:t>
      </w:r>
      <w:proofErr w:type="spellStart"/>
      <w:r>
        <w:t>dacarbazine</w:t>
      </w:r>
      <w:proofErr w:type="spellEnd"/>
      <w:r>
        <w:t xml:space="preserve"> versus </w:t>
      </w:r>
      <w:proofErr w:type="spellStart"/>
      <w:r>
        <w:t>dacarbazine</w:t>
      </w:r>
      <w:proofErr w:type="spellEnd"/>
      <w:r>
        <w:t xml:space="preserve"> alone in patients with previously treated soft tissue sarcoma: a Spanish Group for Research on Sarcomas study. J </w:t>
      </w:r>
      <w:proofErr w:type="spellStart"/>
      <w:r>
        <w:t>Clin</w:t>
      </w:r>
      <w:proofErr w:type="spellEnd"/>
      <w:r>
        <w:t xml:space="preserve"> </w:t>
      </w:r>
      <w:proofErr w:type="spellStart"/>
      <w:r>
        <w:t>Oncol</w:t>
      </w:r>
      <w:proofErr w:type="spellEnd"/>
      <w:r>
        <w:t xml:space="preserve"> 2011</w:t>
      </w:r>
      <w:proofErr w:type="gramStart"/>
      <w:r>
        <w:t>;29</w:t>
      </w:r>
      <w:proofErr w:type="gramEnd"/>
      <w:r>
        <w:t>(18):2528-33.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A75" w:rsidRDefault="00970A7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A75" w:rsidRDefault="00970A75" w:rsidP="00DC2ADF">
    <w:r w:rsidRPr="00347824">
      <w:rPr>
        <w:noProof/>
        <w:lang w:eastAsia="en-AU"/>
      </w:rPr>
      <w:drawing>
        <wp:anchor distT="0" distB="0" distL="114300" distR="114300" simplePos="0" relativeHeight="251659264" behindDoc="1" locked="0" layoutInCell="1" allowOverlap="1" wp14:anchorId="4A879A9B" wp14:editId="4F43070C">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A75" w:rsidRDefault="00970A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A75" w:rsidRDefault="00970A7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A75" w:rsidRDefault="00970A7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A75" w:rsidRDefault="00970A7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A75" w:rsidRDefault="00970A75"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A75" w:rsidRDefault="00970A75" w:rsidP="006E08B3">
    <w:r>
      <w:t>Therapeutic Goods Administration</w:t>
    </w:r>
  </w:p>
  <w:p w:rsidR="00970A75" w:rsidRDefault="00970A7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8ED861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000402"/>
    <w:multiLevelType w:val="multilevel"/>
    <w:tmpl w:val="00000885"/>
    <w:lvl w:ilvl="0">
      <w:start w:val="1"/>
      <w:numFmt w:val="decimal"/>
      <w:lvlText w:val="(%1)"/>
      <w:lvlJc w:val="left"/>
      <w:pPr>
        <w:ind w:left="105" w:hanging="334"/>
      </w:pPr>
      <w:rPr>
        <w:rFonts w:ascii="Times New Roman" w:hAnsi="Times New Roman" w:cs="Times New Roman"/>
        <w:b w:val="0"/>
        <w:bCs w:val="0"/>
        <w:w w:val="99"/>
        <w:sz w:val="20"/>
        <w:szCs w:val="20"/>
      </w:rPr>
    </w:lvl>
    <w:lvl w:ilvl="1">
      <w:numFmt w:val="bullet"/>
      <w:lvlText w:val="•"/>
      <w:lvlJc w:val="left"/>
      <w:pPr>
        <w:ind w:left="503" w:hanging="334"/>
      </w:pPr>
    </w:lvl>
    <w:lvl w:ilvl="2">
      <w:numFmt w:val="bullet"/>
      <w:lvlText w:val="•"/>
      <w:lvlJc w:val="left"/>
      <w:pPr>
        <w:ind w:left="907" w:hanging="334"/>
      </w:pPr>
    </w:lvl>
    <w:lvl w:ilvl="3">
      <w:numFmt w:val="bullet"/>
      <w:lvlText w:val="•"/>
      <w:lvlJc w:val="left"/>
      <w:pPr>
        <w:ind w:left="1310" w:hanging="334"/>
      </w:pPr>
    </w:lvl>
    <w:lvl w:ilvl="4">
      <w:numFmt w:val="bullet"/>
      <w:lvlText w:val="•"/>
      <w:lvlJc w:val="left"/>
      <w:pPr>
        <w:ind w:left="1714" w:hanging="334"/>
      </w:pPr>
    </w:lvl>
    <w:lvl w:ilvl="5">
      <w:numFmt w:val="bullet"/>
      <w:lvlText w:val="•"/>
      <w:lvlJc w:val="left"/>
      <w:pPr>
        <w:ind w:left="2117" w:hanging="334"/>
      </w:pPr>
    </w:lvl>
    <w:lvl w:ilvl="6">
      <w:numFmt w:val="bullet"/>
      <w:lvlText w:val="•"/>
      <w:lvlJc w:val="left"/>
      <w:pPr>
        <w:ind w:left="2521" w:hanging="334"/>
      </w:pPr>
    </w:lvl>
    <w:lvl w:ilvl="7">
      <w:numFmt w:val="bullet"/>
      <w:lvlText w:val="•"/>
      <w:lvlJc w:val="left"/>
      <w:pPr>
        <w:ind w:left="2924" w:hanging="334"/>
      </w:pPr>
    </w:lvl>
    <w:lvl w:ilvl="8">
      <w:numFmt w:val="bullet"/>
      <w:lvlText w:val="•"/>
      <w:lvlJc w:val="left"/>
      <w:pPr>
        <w:ind w:left="3328" w:hanging="334"/>
      </w:pPr>
    </w:lvl>
  </w:abstractNum>
  <w:abstractNum w:abstractNumId="5">
    <w:nsid w:val="04CF2516"/>
    <w:multiLevelType w:val="hybridMultilevel"/>
    <w:tmpl w:val="882218EC"/>
    <w:lvl w:ilvl="0" w:tplc="FA7867C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2A3734B2"/>
    <w:multiLevelType w:val="hybridMultilevel"/>
    <w:tmpl w:val="C624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954594D"/>
    <w:multiLevelType w:val="hybridMultilevel"/>
    <w:tmpl w:val="39D048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7"/>
  </w:num>
  <w:num w:numId="17">
    <w:abstractNumId w:val="7"/>
  </w:num>
  <w:num w:numId="18">
    <w:abstractNumId w:val="7"/>
  </w:num>
  <w:num w:numId="19">
    <w:abstractNumId w:val="8"/>
  </w:num>
  <w:num w:numId="20">
    <w:abstractNumId w:val="8"/>
  </w:num>
  <w:num w:numId="21">
    <w:abstractNumId w:val="8"/>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6"/>
  </w:num>
  <w:num w:numId="28">
    <w:abstractNumId w:val="9"/>
  </w:num>
  <w:num w:numId="29">
    <w:abstractNumId w:val="4"/>
  </w:num>
  <w:num w:numId="30">
    <w:abstractNumId w:val="10"/>
  </w:num>
  <w:num w:numId="31">
    <w:abstractNumId w:val="5"/>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26B"/>
    <w:rsid w:val="00002031"/>
    <w:rsid w:val="00004734"/>
    <w:rsid w:val="00006B22"/>
    <w:rsid w:val="0001276A"/>
    <w:rsid w:val="0001789D"/>
    <w:rsid w:val="000246AE"/>
    <w:rsid w:val="00025C67"/>
    <w:rsid w:val="000349E5"/>
    <w:rsid w:val="00044772"/>
    <w:rsid w:val="0005559E"/>
    <w:rsid w:val="000604D6"/>
    <w:rsid w:val="000734D8"/>
    <w:rsid w:val="000740EB"/>
    <w:rsid w:val="00077775"/>
    <w:rsid w:val="00090471"/>
    <w:rsid w:val="00096AA7"/>
    <w:rsid w:val="000A3AED"/>
    <w:rsid w:val="000A6BCB"/>
    <w:rsid w:val="000B3532"/>
    <w:rsid w:val="000B3A75"/>
    <w:rsid w:val="000C00C2"/>
    <w:rsid w:val="000C690F"/>
    <w:rsid w:val="000D1295"/>
    <w:rsid w:val="000D391B"/>
    <w:rsid w:val="000D3D6D"/>
    <w:rsid w:val="000D4FC7"/>
    <w:rsid w:val="000E6196"/>
    <w:rsid w:val="000F4869"/>
    <w:rsid w:val="000F5B42"/>
    <w:rsid w:val="000F6E6F"/>
    <w:rsid w:val="0010601F"/>
    <w:rsid w:val="00106E4B"/>
    <w:rsid w:val="0010788A"/>
    <w:rsid w:val="00107A31"/>
    <w:rsid w:val="00110EA5"/>
    <w:rsid w:val="00112F56"/>
    <w:rsid w:val="00117AE2"/>
    <w:rsid w:val="00122D4D"/>
    <w:rsid w:val="00125318"/>
    <w:rsid w:val="001305A2"/>
    <w:rsid w:val="00133238"/>
    <w:rsid w:val="00133A1B"/>
    <w:rsid w:val="0014197B"/>
    <w:rsid w:val="001447CD"/>
    <w:rsid w:val="001516B1"/>
    <w:rsid w:val="00154EBB"/>
    <w:rsid w:val="00156316"/>
    <w:rsid w:val="00156B82"/>
    <w:rsid w:val="00161181"/>
    <w:rsid w:val="00162D14"/>
    <w:rsid w:val="00165389"/>
    <w:rsid w:val="00167F38"/>
    <w:rsid w:val="0017693F"/>
    <w:rsid w:val="0018110E"/>
    <w:rsid w:val="00181684"/>
    <w:rsid w:val="001843C6"/>
    <w:rsid w:val="001850E0"/>
    <w:rsid w:val="0019387B"/>
    <w:rsid w:val="001963FD"/>
    <w:rsid w:val="001A2158"/>
    <w:rsid w:val="001A525F"/>
    <w:rsid w:val="001B09F9"/>
    <w:rsid w:val="001B5C90"/>
    <w:rsid w:val="001B6448"/>
    <w:rsid w:val="001B7296"/>
    <w:rsid w:val="001C32CD"/>
    <w:rsid w:val="001D2984"/>
    <w:rsid w:val="001E07CF"/>
    <w:rsid w:val="001E1F67"/>
    <w:rsid w:val="001E59F1"/>
    <w:rsid w:val="001F2CEE"/>
    <w:rsid w:val="001F49EB"/>
    <w:rsid w:val="001F6CBA"/>
    <w:rsid w:val="00201D4E"/>
    <w:rsid w:val="002076C9"/>
    <w:rsid w:val="00220B8A"/>
    <w:rsid w:val="002257F3"/>
    <w:rsid w:val="00233456"/>
    <w:rsid w:val="002339A5"/>
    <w:rsid w:val="002506E0"/>
    <w:rsid w:val="002516EC"/>
    <w:rsid w:val="00257848"/>
    <w:rsid w:val="0027084A"/>
    <w:rsid w:val="00286434"/>
    <w:rsid w:val="00286C59"/>
    <w:rsid w:val="00291957"/>
    <w:rsid w:val="002942D1"/>
    <w:rsid w:val="0029501A"/>
    <w:rsid w:val="002A3721"/>
    <w:rsid w:val="002B1638"/>
    <w:rsid w:val="002B3624"/>
    <w:rsid w:val="002D0952"/>
    <w:rsid w:val="002E40B3"/>
    <w:rsid w:val="002E4C9A"/>
    <w:rsid w:val="002F04CF"/>
    <w:rsid w:val="002F11F8"/>
    <w:rsid w:val="002F3F56"/>
    <w:rsid w:val="002F44B5"/>
    <w:rsid w:val="00311AC0"/>
    <w:rsid w:val="00316AE9"/>
    <w:rsid w:val="003176FC"/>
    <w:rsid w:val="0032583B"/>
    <w:rsid w:val="00327883"/>
    <w:rsid w:val="00335504"/>
    <w:rsid w:val="00340C18"/>
    <w:rsid w:val="003442FD"/>
    <w:rsid w:val="00347824"/>
    <w:rsid w:val="00350567"/>
    <w:rsid w:val="003521E8"/>
    <w:rsid w:val="00366814"/>
    <w:rsid w:val="00370CE3"/>
    <w:rsid w:val="003728F3"/>
    <w:rsid w:val="0037496E"/>
    <w:rsid w:val="00383221"/>
    <w:rsid w:val="00386150"/>
    <w:rsid w:val="003874CE"/>
    <w:rsid w:val="00390900"/>
    <w:rsid w:val="003911CD"/>
    <w:rsid w:val="003A7F6C"/>
    <w:rsid w:val="003B4D60"/>
    <w:rsid w:val="003B7E39"/>
    <w:rsid w:val="003C479F"/>
    <w:rsid w:val="003C58DC"/>
    <w:rsid w:val="003D1E62"/>
    <w:rsid w:val="003E0B99"/>
    <w:rsid w:val="003E0F55"/>
    <w:rsid w:val="003E2486"/>
    <w:rsid w:val="003E3208"/>
    <w:rsid w:val="003F0B04"/>
    <w:rsid w:val="003F4934"/>
    <w:rsid w:val="0040134E"/>
    <w:rsid w:val="004334C7"/>
    <w:rsid w:val="0043625C"/>
    <w:rsid w:val="00440A2D"/>
    <w:rsid w:val="00441C3F"/>
    <w:rsid w:val="00451B75"/>
    <w:rsid w:val="0045249C"/>
    <w:rsid w:val="004564A7"/>
    <w:rsid w:val="00457A51"/>
    <w:rsid w:val="004617BF"/>
    <w:rsid w:val="00463658"/>
    <w:rsid w:val="004637A0"/>
    <w:rsid w:val="004658CF"/>
    <w:rsid w:val="00472069"/>
    <w:rsid w:val="004722CC"/>
    <w:rsid w:val="00481E1D"/>
    <w:rsid w:val="004936E4"/>
    <w:rsid w:val="00494E60"/>
    <w:rsid w:val="00497487"/>
    <w:rsid w:val="004A22A6"/>
    <w:rsid w:val="004A40D1"/>
    <w:rsid w:val="004A6189"/>
    <w:rsid w:val="004A7390"/>
    <w:rsid w:val="004B7B76"/>
    <w:rsid w:val="004C239D"/>
    <w:rsid w:val="004C2DCA"/>
    <w:rsid w:val="004C61D2"/>
    <w:rsid w:val="004F0C4A"/>
    <w:rsid w:val="004F0F38"/>
    <w:rsid w:val="004F47D6"/>
    <w:rsid w:val="00501921"/>
    <w:rsid w:val="0050300E"/>
    <w:rsid w:val="0051230B"/>
    <w:rsid w:val="005177BE"/>
    <w:rsid w:val="00527BA1"/>
    <w:rsid w:val="00530354"/>
    <w:rsid w:val="0053625B"/>
    <w:rsid w:val="005434C6"/>
    <w:rsid w:val="00543B39"/>
    <w:rsid w:val="00546154"/>
    <w:rsid w:val="00550096"/>
    <w:rsid w:val="00555280"/>
    <w:rsid w:val="00557FF9"/>
    <w:rsid w:val="005617A6"/>
    <w:rsid w:val="00562327"/>
    <w:rsid w:val="005711D5"/>
    <w:rsid w:val="00571282"/>
    <w:rsid w:val="00574838"/>
    <w:rsid w:val="00576378"/>
    <w:rsid w:val="00577130"/>
    <w:rsid w:val="00577945"/>
    <w:rsid w:val="00577E38"/>
    <w:rsid w:val="00585322"/>
    <w:rsid w:val="005857C6"/>
    <w:rsid w:val="00591511"/>
    <w:rsid w:val="00592F6E"/>
    <w:rsid w:val="00593AD1"/>
    <w:rsid w:val="00595B49"/>
    <w:rsid w:val="005A68B6"/>
    <w:rsid w:val="005C5570"/>
    <w:rsid w:val="005C79A4"/>
    <w:rsid w:val="005D5442"/>
    <w:rsid w:val="00603F32"/>
    <w:rsid w:val="00605AD4"/>
    <w:rsid w:val="006136D7"/>
    <w:rsid w:val="00625A6E"/>
    <w:rsid w:val="00627F25"/>
    <w:rsid w:val="00632398"/>
    <w:rsid w:val="00640FC3"/>
    <w:rsid w:val="00642020"/>
    <w:rsid w:val="00642EAE"/>
    <w:rsid w:val="0065337B"/>
    <w:rsid w:val="0065419D"/>
    <w:rsid w:val="0065759F"/>
    <w:rsid w:val="00657C65"/>
    <w:rsid w:val="006604D8"/>
    <w:rsid w:val="00664A5B"/>
    <w:rsid w:val="0066735C"/>
    <w:rsid w:val="006763D2"/>
    <w:rsid w:val="00680C08"/>
    <w:rsid w:val="006916A0"/>
    <w:rsid w:val="006931B1"/>
    <w:rsid w:val="006A15C0"/>
    <w:rsid w:val="006C3E2A"/>
    <w:rsid w:val="006C642F"/>
    <w:rsid w:val="006D03E5"/>
    <w:rsid w:val="006D5D3E"/>
    <w:rsid w:val="006D76DE"/>
    <w:rsid w:val="006E08B3"/>
    <w:rsid w:val="006F17AC"/>
    <w:rsid w:val="006F25B8"/>
    <w:rsid w:val="006F572E"/>
    <w:rsid w:val="00702B90"/>
    <w:rsid w:val="007046D6"/>
    <w:rsid w:val="00705DB0"/>
    <w:rsid w:val="00722B57"/>
    <w:rsid w:val="00730F8A"/>
    <w:rsid w:val="007341A2"/>
    <w:rsid w:val="00735A8C"/>
    <w:rsid w:val="0074253D"/>
    <w:rsid w:val="0074429B"/>
    <w:rsid w:val="00757684"/>
    <w:rsid w:val="007615BC"/>
    <w:rsid w:val="00762F05"/>
    <w:rsid w:val="007652FF"/>
    <w:rsid w:val="00765B7B"/>
    <w:rsid w:val="00770CAC"/>
    <w:rsid w:val="00770EF1"/>
    <w:rsid w:val="00773EF7"/>
    <w:rsid w:val="00774E1D"/>
    <w:rsid w:val="007765D8"/>
    <w:rsid w:val="0077675A"/>
    <w:rsid w:val="00780355"/>
    <w:rsid w:val="007819FD"/>
    <w:rsid w:val="00785717"/>
    <w:rsid w:val="00785721"/>
    <w:rsid w:val="00793A59"/>
    <w:rsid w:val="007B6132"/>
    <w:rsid w:val="007B6E9F"/>
    <w:rsid w:val="007B7DC7"/>
    <w:rsid w:val="007C1216"/>
    <w:rsid w:val="007C1AF7"/>
    <w:rsid w:val="007C6B9B"/>
    <w:rsid w:val="007E7993"/>
    <w:rsid w:val="00805D27"/>
    <w:rsid w:val="00806DCB"/>
    <w:rsid w:val="00807416"/>
    <w:rsid w:val="00816128"/>
    <w:rsid w:val="00821776"/>
    <w:rsid w:val="008321F5"/>
    <w:rsid w:val="00832369"/>
    <w:rsid w:val="00834660"/>
    <w:rsid w:val="00836BC2"/>
    <w:rsid w:val="0085156D"/>
    <w:rsid w:val="0085641B"/>
    <w:rsid w:val="00857136"/>
    <w:rsid w:val="00875A6B"/>
    <w:rsid w:val="00885B11"/>
    <w:rsid w:val="00886D15"/>
    <w:rsid w:val="00887DD8"/>
    <w:rsid w:val="00891BA9"/>
    <w:rsid w:val="00896018"/>
    <w:rsid w:val="008960DD"/>
    <w:rsid w:val="0089635C"/>
    <w:rsid w:val="0089748D"/>
    <w:rsid w:val="008A2B9D"/>
    <w:rsid w:val="008A3D9F"/>
    <w:rsid w:val="008A5E0B"/>
    <w:rsid w:val="008A6D59"/>
    <w:rsid w:val="008B4B03"/>
    <w:rsid w:val="008B596F"/>
    <w:rsid w:val="008C159F"/>
    <w:rsid w:val="008C1623"/>
    <w:rsid w:val="008C1850"/>
    <w:rsid w:val="008C4F68"/>
    <w:rsid w:val="008C51A9"/>
    <w:rsid w:val="008E7846"/>
    <w:rsid w:val="008F02E5"/>
    <w:rsid w:val="008F1CCC"/>
    <w:rsid w:val="008F2967"/>
    <w:rsid w:val="008F6943"/>
    <w:rsid w:val="00902A21"/>
    <w:rsid w:val="00920330"/>
    <w:rsid w:val="009219D7"/>
    <w:rsid w:val="00922D53"/>
    <w:rsid w:val="00923B70"/>
    <w:rsid w:val="00924482"/>
    <w:rsid w:val="00926DF0"/>
    <w:rsid w:val="00930237"/>
    <w:rsid w:val="00937C17"/>
    <w:rsid w:val="00940A89"/>
    <w:rsid w:val="00946EA5"/>
    <w:rsid w:val="00952588"/>
    <w:rsid w:val="00956B2F"/>
    <w:rsid w:val="00963C08"/>
    <w:rsid w:val="00970A75"/>
    <w:rsid w:val="009752A5"/>
    <w:rsid w:val="0098585A"/>
    <w:rsid w:val="009A4CED"/>
    <w:rsid w:val="009A690D"/>
    <w:rsid w:val="009B1D12"/>
    <w:rsid w:val="009B416B"/>
    <w:rsid w:val="009C1625"/>
    <w:rsid w:val="009C4BD5"/>
    <w:rsid w:val="009D4982"/>
    <w:rsid w:val="009D7B77"/>
    <w:rsid w:val="009E0BB0"/>
    <w:rsid w:val="009E3FBB"/>
    <w:rsid w:val="009F7353"/>
    <w:rsid w:val="00A04F85"/>
    <w:rsid w:val="00A05FA4"/>
    <w:rsid w:val="00A102E4"/>
    <w:rsid w:val="00A12C42"/>
    <w:rsid w:val="00A14DF7"/>
    <w:rsid w:val="00A3246D"/>
    <w:rsid w:val="00A36FA7"/>
    <w:rsid w:val="00A44DDB"/>
    <w:rsid w:val="00A475B7"/>
    <w:rsid w:val="00A47AF7"/>
    <w:rsid w:val="00A47C3E"/>
    <w:rsid w:val="00A50226"/>
    <w:rsid w:val="00A60BAD"/>
    <w:rsid w:val="00A703A7"/>
    <w:rsid w:val="00A80B5B"/>
    <w:rsid w:val="00A82C70"/>
    <w:rsid w:val="00A83D61"/>
    <w:rsid w:val="00A84E36"/>
    <w:rsid w:val="00A964D1"/>
    <w:rsid w:val="00AA0ED0"/>
    <w:rsid w:val="00AC2B40"/>
    <w:rsid w:val="00AC2BB2"/>
    <w:rsid w:val="00AC2C3C"/>
    <w:rsid w:val="00AC512D"/>
    <w:rsid w:val="00AD0083"/>
    <w:rsid w:val="00AD3935"/>
    <w:rsid w:val="00AE65EB"/>
    <w:rsid w:val="00AE67A7"/>
    <w:rsid w:val="00AF1D94"/>
    <w:rsid w:val="00AF60C5"/>
    <w:rsid w:val="00B009C6"/>
    <w:rsid w:val="00B01548"/>
    <w:rsid w:val="00B13EBD"/>
    <w:rsid w:val="00B16DB0"/>
    <w:rsid w:val="00B21D29"/>
    <w:rsid w:val="00B25034"/>
    <w:rsid w:val="00B33588"/>
    <w:rsid w:val="00B33863"/>
    <w:rsid w:val="00B37D17"/>
    <w:rsid w:val="00B4175E"/>
    <w:rsid w:val="00B452CE"/>
    <w:rsid w:val="00B54C25"/>
    <w:rsid w:val="00B76B91"/>
    <w:rsid w:val="00B77EB1"/>
    <w:rsid w:val="00B811C6"/>
    <w:rsid w:val="00B8472E"/>
    <w:rsid w:val="00B855B0"/>
    <w:rsid w:val="00B92E08"/>
    <w:rsid w:val="00BC622A"/>
    <w:rsid w:val="00BD223F"/>
    <w:rsid w:val="00BE0A78"/>
    <w:rsid w:val="00BE79F0"/>
    <w:rsid w:val="00BF046D"/>
    <w:rsid w:val="00BF1190"/>
    <w:rsid w:val="00BF5D04"/>
    <w:rsid w:val="00C009AA"/>
    <w:rsid w:val="00C1164D"/>
    <w:rsid w:val="00C13F96"/>
    <w:rsid w:val="00C16861"/>
    <w:rsid w:val="00C346AB"/>
    <w:rsid w:val="00C404A6"/>
    <w:rsid w:val="00C40A36"/>
    <w:rsid w:val="00C44419"/>
    <w:rsid w:val="00C45E7B"/>
    <w:rsid w:val="00C471B1"/>
    <w:rsid w:val="00C6316B"/>
    <w:rsid w:val="00C634A9"/>
    <w:rsid w:val="00C64586"/>
    <w:rsid w:val="00C70D53"/>
    <w:rsid w:val="00C73D0B"/>
    <w:rsid w:val="00C741C8"/>
    <w:rsid w:val="00C76777"/>
    <w:rsid w:val="00C772FF"/>
    <w:rsid w:val="00C80137"/>
    <w:rsid w:val="00C801AF"/>
    <w:rsid w:val="00C80256"/>
    <w:rsid w:val="00C94CD4"/>
    <w:rsid w:val="00C9631E"/>
    <w:rsid w:val="00C9747E"/>
    <w:rsid w:val="00CB6BC0"/>
    <w:rsid w:val="00CB7159"/>
    <w:rsid w:val="00CC1B7C"/>
    <w:rsid w:val="00CC529C"/>
    <w:rsid w:val="00CC727F"/>
    <w:rsid w:val="00CD079B"/>
    <w:rsid w:val="00CF15C3"/>
    <w:rsid w:val="00CF2B6F"/>
    <w:rsid w:val="00CF2F3E"/>
    <w:rsid w:val="00CF58B6"/>
    <w:rsid w:val="00CF72E5"/>
    <w:rsid w:val="00CF766F"/>
    <w:rsid w:val="00D0062D"/>
    <w:rsid w:val="00D017ED"/>
    <w:rsid w:val="00D040D3"/>
    <w:rsid w:val="00D04C65"/>
    <w:rsid w:val="00D201D2"/>
    <w:rsid w:val="00D224FE"/>
    <w:rsid w:val="00D23139"/>
    <w:rsid w:val="00D425BB"/>
    <w:rsid w:val="00D62997"/>
    <w:rsid w:val="00D6493E"/>
    <w:rsid w:val="00D7195D"/>
    <w:rsid w:val="00D7301E"/>
    <w:rsid w:val="00D83AE1"/>
    <w:rsid w:val="00D855D4"/>
    <w:rsid w:val="00D902C9"/>
    <w:rsid w:val="00D93466"/>
    <w:rsid w:val="00DA1124"/>
    <w:rsid w:val="00DB6124"/>
    <w:rsid w:val="00DB750B"/>
    <w:rsid w:val="00DB75B7"/>
    <w:rsid w:val="00DC2ADF"/>
    <w:rsid w:val="00DC6E02"/>
    <w:rsid w:val="00DD28CD"/>
    <w:rsid w:val="00DD31CA"/>
    <w:rsid w:val="00DE02AE"/>
    <w:rsid w:val="00DF1D7F"/>
    <w:rsid w:val="00DF4BE4"/>
    <w:rsid w:val="00E02FB4"/>
    <w:rsid w:val="00E05ADE"/>
    <w:rsid w:val="00E13FC7"/>
    <w:rsid w:val="00E20571"/>
    <w:rsid w:val="00E235F7"/>
    <w:rsid w:val="00E23659"/>
    <w:rsid w:val="00E239D4"/>
    <w:rsid w:val="00E26130"/>
    <w:rsid w:val="00E40B22"/>
    <w:rsid w:val="00E44ED1"/>
    <w:rsid w:val="00E45619"/>
    <w:rsid w:val="00E4588F"/>
    <w:rsid w:val="00E46DA3"/>
    <w:rsid w:val="00E50E5A"/>
    <w:rsid w:val="00E51BB1"/>
    <w:rsid w:val="00E624A5"/>
    <w:rsid w:val="00E64BA4"/>
    <w:rsid w:val="00E7344E"/>
    <w:rsid w:val="00E77D03"/>
    <w:rsid w:val="00E82665"/>
    <w:rsid w:val="00EA004E"/>
    <w:rsid w:val="00EB0798"/>
    <w:rsid w:val="00EB40AD"/>
    <w:rsid w:val="00EB586E"/>
    <w:rsid w:val="00EB5FC8"/>
    <w:rsid w:val="00EC463D"/>
    <w:rsid w:val="00EC7A85"/>
    <w:rsid w:val="00ED2922"/>
    <w:rsid w:val="00ED3CAD"/>
    <w:rsid w:val="00ED5A41"/>
    <w:rsid w:val="00EE1DE8"/>
    <w:rsid w:val="00EE27C2"/>
    <w:rsid w:val="00EF4BAD"/>
    <w:rsid w:val="00EF59DC"/>
    <w:rsid w:val="00F009D1"/>
    <w:rsid w:val="00F033EC"/>
    <w:rsid w:val="00F04F68"/>
    <w:rsid w:val="00F12670"/>
    <w:rsid w:val="00F13CF2"/>
    <w:rsid w:val="00F14B27"/>
    <w:rsid w:val="00F214AD"/>
    <w:rsid w:val="00F3148D"/>
    <w:rsid w:val="00F325C5"/>
    <w:rsid w:val="00F32FE0"/>
    <w:rsid w:val="00F35298"/>
    <w:rsid w:val="00F404B7"/>
    <w:rsid w:val="00F47333"/>
    <w:rsid w:val="00F47E37"/>
    <w:rsid w:val="00F53C07"/>
    <w:rsid w:val="00F54B65"/>
    <w:rsid w:val="00F640B6"/>
    <w:rsid w:val="00F66DF2"/>
    <w:rsid w:val="00F71F3B"/>
    <w:rsid w:val="00F80E40"/>
    <w:rsid w:val="00F848D9"/>
    <w:rsid w:val="00F8526B"/>
    <w:rsid w:val="00FA5B82"/>
    <w:rsid w:val="00FA639E"/>
    <w:rsid w:val="00FB5C14"/>
    <w:rsid w:val="00FC1FCA"/>
    <w:rsid w:val="00FC25E4"/>
    <w:rsid w:val="00FC4EF7"/>
    <w:rsid w:val="00FD0824"/>
    <w:rsid w:val="00FD119B"/>
    <w:rsid w:val="00FD1EDC"/>
    <w:rsid w:val="00FD2D03"/>
    <w:rsid w:val="00FD6285"/>
    <w:rsid w:val="00FD6FDC"/>
    <w:rsid w:val="00FE1DEE"/>
    <w:rsid w:val="00FF173D"/>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57A51"/>
    <w:pPr>
      <w:keepNext/>
      <w:keepLines/>
      <w:spacing w:before="36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7E799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457A51"/>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FB5C14"/>
    <w:pPr>
      <w:keepNext/>
      <w:spacing w:before="0"/>
    </w:pPr>
    <w:rPr>
      <w:b/>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rsid w:val="000E6196"/>
    <w:rPr>
      <w:rFonts w:ascii="Cambria" w:eastAsia="Cambria" w:hAnsi="Cambria" w:cs="Times New Roman"/>
      <w:sz w:val="20"/>
      <w:szCs w:val="20"/>
    </w:rPr>
  </w:style>
  <w:style w:type="character" w:styleId="EndnoteReference">
    <w:name w:val="endnote reference"/>
    <w:basedOn w:val="DefaultParagraphFont"/>
    <w:uiPriority w:val="99"/>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CF766F"/>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CF766F"/>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CF766F"/>
    <w:pPr>
      <w:numPr>
        <w:numId w:val="27"/>
      </w:numPr>
      <w:spacing w:after="180"/>
      <w:ind w:left="426" w:hanging="284"/>
    </w:pPr>
    <w:rPr>
      <w:kern w:val="2"/>
    </w:rPr>
  </w:style>
  <w:style w:type="character" w:customStyle="1" w:styleId="TabletextChar">
    <w:name w:val="Table text Char"/>
    <w:basedOn w:val="StandardChar"/>
    <w:link w:val="Tabletext"/>
    <w:rsid w:val="00CF766F"/>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CF766F"/>
    <w:rPr>
      <w:rFonts w:ascii="Cambria" w:eastAsia="Times New Roman" w:hAnsi="Cambria" w:cs="Times New Roman"/>
      <w:snapToGrid w:val="0"/>
      <w:kern w:val="2"/>
      <w:sz w:val="23"/>
      <w:szCs w:val="24"/>
    </w:rPr>
  </w:style>
  <w:style w:type="paragraph" w:customStyle="1" w:styleId="Abbreviations">
    <w:name w:val="Abbreviations"/>
    <w:basedOn w:val="Normal"/>
    <w:rsid w:val="003E0F5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customStyle="1" w:styleId="Heading8Char">
    <w:name w:val="Heading 8 Char"/>
    <w:basedOn w:val="DefaultParagraphFont"/>
    <w:link w:val="Heading8"/>
    <w:uiPriority w:val="9"/>
    <w:semiHidden/>
    <w:rsid w:val="007E7993"/>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3F49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BodyText">
    <w:name w:val="Body Text"/>
    <w:basedOn w:val="Normal"/>
    <w:link w:val="BodyTextChar"/>
    <w:uiPriority w:val="1"/>
    <w:qFormat/>
    <w:rsid w:val="0043625C"/>
    <w:pPr>
      <w:widowControl w:val="0"/>
      <w:autoSpaceDE w:val="0"/>
      <w:autoSpaceDN w:val="0"/>
      <w:adjustRightInd w:val="0"/>
      <w:spacing w:before="0" w:after="0" w:line="240" w:lineRule="auto"/>
    </w:pPr>
    <w:rPr>
      <w:rFonts w:ascii="Times New Roman" w:eastAsiaTheme="minorEastAsia" w:hAnsi="Times New Roman"/>
      <w:sz w:val="24"/>
      <w:szCs w:val="24"/>
      <w:lang w:eastAsia="en-AU"/>
    </w:rPr>
  </w:style>
  <w:style w:type="character" w:customStyle="1" w:styleId="BodyTextChar">
    <w:name w:val="Body Text Char"/>
    <w:basedOn w:val="DefaultParagraphFont"/>
    <w:link w:val="BodyText"/>
    <w:uiPriority w:val="1"/>
    <w:rsid w:val="0043625C"/>
    <w:rPr>
      <w:rFonts w:ascii="Times New Roman" w:eastAsiaTheme="minorEastAsia" w:hAnsi="Times New Roman" w:cs="Times New Roman"/>
      <w:sz w:val="24"/>
      <w:szCs w:val="24"/>
      <w:lang w:eastAsia="en-AU"/>
    </w:rPr>
  </w:style>
  <w:style w:type="paragraph" w:customStyle="1" w:styleId="TableParagraph">
    <w:name w:val="Table Paragraph"/>
    <w:basedOn w:val="Normal"/>
    <w:uiPriority w:val="1"/>
    <w:qFormat/>
    <w:rsid w:val="004658CF"/>
    <w:pPr>
      <w:widowControl w:val="0"/>
      <w:autoSpaceDE w:val="0"/>
      <w:autoSpaceDN w:val="0"/>
      <w:adjustRightInd w:val="0"/>
      <w:spacing w:before="0" w:after="0" w:line="240" w:lineRule="auto"/>
      <w:ind w:left="105"/>
    </w:pPr>
    <w:rPr>
      <w:rFonts w:ascii="Times New Roman" w:eastAsiaTheme="minorEastAsia"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57A51"/>
    <w:pPr>
      <w:keepNext/>
      <w:keepLines/>
      <w:spacing w:before="36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7E799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457A51"/>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FB5C14"/>
    <w:pPr>
      <w:keepNext/>
      <w:spacing w:before="0"/>
    </w:pPr>
    <w:rPr>
      <w:b/>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rsid w:val="000E6196"/>
    <w:rPr>
      <w:rFonts w:ascii="Cambria" w:eastAsia="Cambria" w:hAnsi="Cambria" w:cs="Times New Roman"/>
      <w:sz w:val="20"/>
      <w:szCs w:val="20"/>
    </w:rPr>
  </w:style>
  <w:style w:type="character" w:styleId="EndnoteReference">
    <w:name w:val="endnote reference"/>
    <w:basedOn w:val="DefaultParagraphFont"/>
    <w:uiPriority w:val="99"/>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CF766F"/>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CF766F"/>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CF766F"/>
    <w:pPr>
      <w:numPr>
        <w:numId w:val="27"/>
      </w:numPr>
      <w:spacing w:after="180"/>
      <w:ind w:left="426" w:hanging="284"/>
    </w:pPr>
    <w:rPr>
      <w:kern w:val="2"/>
    </w:rPr>
  </w:style>
  <w:style w:type="character" w:customStyle="1" w:styleId="TabletextChar">
    <w:name w:val="Table text Char"/>
    <w:basedOn w:val="StandardChar"/>
    <w:link w:val="Tabletext"/>
    <w:rsid w:val="00CF766F"/>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CF766F"/>
    <w:rPr>
      <w:rFonts w:ascii="Cambria" w:eastAsia="Times New Roman" w:hAnsi="Cambria" w:cs="Times New Roman"/>
      <w:snapToGrid w:val="0"/>
      <w:kern w:val="2"/>
      <w:sz w:val="23"/>
      <w:szCs w:val="24"/>
    </w:rPr>
  </w:style>
  <w:style w:type="paragraph" w:customStyle="1" w:styleId="Abbreviations">
    <w:name w:val="Abbreviations"/>
    <w:basedOn w:val="Normal"/>
    <w:rsid w:val="003E0F5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customStyle="1" w:styleId="Heading8Char">
    <w:name w:val="Heading 8 Char"/>
    <w:basedOn w:val="DefaultParagraphFont"/>
    <w:link w:val="Heading8"/>
    <w:uiPriority w:val="9"/>
    <w:semiHidden/>
    <w:rsid w:val="007E7993"/>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3F49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BodyText">
    <w:name w:val="Body Text"/>
    <w:basedOn w:val="Normal"/>
    <w:link w:val="BodyTextChar"/>
    <w:uiPriority w:val="1"/>
    <w:qFormat/>
    <w:rsid w:val="0043625C"/>
    <w:pPr>
      <w:widowControl w:val="0"/>
      <w:autoSpaceDE w:val="0"/>
      <w:autoSpaceDN w:val="0"/>
      <w:adjustRightInd w:val="0"/>
      <w:spacing w:before="0" w:after="0" w:line="240" w:lineRule="auto"/>
    </w:pPr>
    <w:rPr>
      <w:rFonts w:ascii="Times New Roman" w:eastAsiaTheme="minorEastAsia" w:hAnsi="Times New Roman"/>
      <w:sz w:val="24"/>
      <w:szCs w:val="24"/>
      <w:lang w:eastAsia="en-AU"/>
    </w:rPr>
  </w:style>
  <w:style w:type="character" w:customStyle="1" w:styleId="BodyTextChar">
    <w:name w:val="Body Text Char"/>
    <w:basedOn w:val="DefaultParagraphFont"/>
    <w:link w:val="BodyText"/>
    <w:uiPriority w:val="1"/>
    <w:rsid w:val="0043625C"/>
    <w:rPr>
      <w:rFonts w:ascii="Times New Roman" w:eastAsiaTheme="minorEastAsia" w:hAnsi="Times New Roman" w:cs="Times New Roman"/>
      <w:sz w:val="24"/>
      <w:szCs w:val="24"/>
      <w:lang w:eastAsia="en-AU"/>
    </w:rPr>
  </w:style>
  <w:style w:type="paragraph" w:customStyle="1" w:styleId="TableParagraph">
    <w:name w:val="Table Paragraph"/>
    <w:basedOn w:val="Normal"/>
    <w:uiPriority w:val="1"/>
    <w:qFormat/>
    <w:rsid w:val="004658CF"/>
    <w:pPr>
      <w:widowControl w:val="0"/>
      <w:autoSpaceDE w:val="0"/>
      <w:autoSpaceDN w:val="0"/>
      <w:adjustRightInd w:val="0"/>
      <w:spacing w:before="0" w:after="0" w:line="240" w:lineRule="auto"/>
      <w:ind w:left="105"/>
    </w:pPr>
    <w:rPr>
      <w:rFonts w:ascii="Times New Roman" w:eastAsiaTheme="minorEastAsia"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67280">
      <w:bodyDiv w:val="1"/>
      <w:marLeft w:val="0"/>
      <w:marRight w:val="0"/>
      <w:marTop w:val="0"/>
      <w:marBottom w:val="0"/>
      <w:divBdr>
        <w:top w:val="none" w:sz="0" w:space="0" w:color="auto"/>
        <w:left w:val="none" w:sz="0" w:space="0" w:color="auto"/>
        <w:bottom w:val="none" w:sz="0" w:space="0" w:color="auto"/>
        <w:right w:val="none" w:sz="0" w:space="0" w:color="auto"/>
      </w:divBdr>
    </w:div>
    <w:div w:id="37166281">
      <w:bodyDiv w:val="1"/>
      <w:marLeft w:val="0"/>
      <w:marRight w:val="0"/>
      <w:marTop w:val="0"/>
      <w:marBottom w:val="0"/>
      <w:divBdr>
        <w:top w:val="none" w:sz="0" w:space="0" w:color="auto"/>
        <w:left w:val="none" w:sz="0" w:space="0" w:color="auto"/>
        <w:bottom w:val="none" w:sz="0" w:space="0" w:color="auto"/>
        <w:right w:val="none" w:sz="0" w:space="0" w:color="auto"/>
      </w:divBdr>
    </w:div>
    <w:div w:id="44254626">
      <w:bodyDiv w:val="1"/>
      <w:marLeft w:val="0"/>
      <w:marRight w:val="0"/>
      <w:marTop w:val="0"/>
      <w:marBottom w:val="0"/>
      <w:divBdr>
        <w:top w:val="none" w:sz="0" w:space="0" w:color="auto"/>
        <w:left w:val="none" w:sz="0" w:space="0" w:color="auto"/>
        <w:bottom w:val="none" w:sz="0" w:space="0" w:color="auto"/>
        <w:right w:val="none" w:sz="0" w:space="0" w:color="auto"/>
      </w:divBdr>
    </w:div>
    <w:div w:id="53509376">
      <w:bodyDiv w:val="1"/>
      <w:marLeft w:val="0"/>
      <w:marRight w:val="0"/>
      <w:marTop w:val="0"/>
      <w:marBottom w:val="0"/>
      <w:divBdr>
        <w:top w:val="none" w:sz="0" w:space="0" w:color="auto"/>
        <w:left w:val="none" w:sz="0" w:space="0" w:color="auto"/>
        <w:bottom w:val="none" w:sz="0" w:space="0" w:color="auto"/>
        <w:right w:val="none" w:sz="0" w:space="0" w:color="auto"/>
      </w:divBdr>
    </w:div>
    <w:div w:id="105589993">
      <w:bodyDiv w:val="1"/>
      <w:marLeft w:val="0"/>
      <w:marRight w:val="0"/>
      <w:marTop w:val="0"/>
      <w:marBottom w:val="0"/>
      <w:divBdr>
        <w:top w:val="none" w:sz="0" w:space="0" w:color="auto"/>
        <w:left w:val="none" w:sz="0" w:space="0" w:color="auto"/>
        <w:bottom w:val="none" w:sz="0" w:space="0" w:color="auto"/>
        <w:right w:val="none" w:sz="0" w:space="0" w:color="auto"/>
      </w:divBdr>
    </w:div>
    <w:div w:id="117380775">
      <w:bodyDiv w:val="1"/>
      <w:marLeft w:val="0"/>
      <w:marRight w:val="0"/>
      <w:marTop w:val="0"/>
      <w:marBottom w:val="0"/>
      <w:divBdr>
        <w:top w:val="none" w:sz="0" w:space="0" w:color="auto"/>
        <w:left w:val="none" w:sz="0" w:space="0" w:color="auto"/>
        <w:bottom w:val="none" w:sz="0" w:space="0" w:color="auto"/>
        <w:right w:val="none" w:sz="0" w:space="0" w:color="auto"/>
      </w:divBdr>
    </w:div>
    <w:div w:id="176117906">
      <w:bodyDiv w:val="1"/>
      <w:marLeft w:val="0"/>
      <w:marRight w:val="0"/>
      <w:marTop w:val="0"/>
      <w:marBottom w:val="0"/>
      <w:divBdr>
        <w:top w:val="none" w:sz="0" w:space="0" w:color="auto"/>
        <w:left w:val="none" w:sz="0" w:space="0" w:color="auto"/>
        <w:bottom w:val="none" w:sz="0" w:space="0" w:color="auto"/>
        <w:right w:val="none" w:sz="0" w:space="0" w:color="auto"/>
      </w:divBdr>
    </w:div>
    <w:div w:id="191307773">
      <w:bodyDiv w:val="1"/>
      <w:marLeft w:val="0"/>
      <w:marRight w:val="0"/>
      <w:marTop w:val="0"/>
      <w:marBottom w:val="0"/>
      <w:divBdr>
        <w:top w:val="none" w:sz="0" w:space="0" w:color="auto"/>
        <w:left w:val="none" w:sz="0" w:space="0" w:color="auto"/>
        <w:bottom w:val="none" w:sz="0" w:space="0" w:color="auto"/>
        <w:right w:val="none" w:sz="0" w:space="0" w:color="auto"/>
      </w:divBdr>
    </w:div>
    <w:div w:id="464549444">
      <w:bodyDiv w:val="1"/>
      <w:marLeft w:val="0"/>
      <w:marRight w:val="0"/>
      <w:marTop w:val="0"/>
      <w:marBottom w:val="0"/>
      <w:divBdr>
        <w:top w:val="none" w:sz="0" w:space="0" w:color="auto"/>
        <w:left w:val="none" w:sz="0" w:space="0" w:color="auto"/>
        <w:bottom w:val="none" w:sz="0" w:space="0" w:color="auto"/>
        <w:right w:val="none" w:sz="0" w:space="0" w:color="auto"/>
      </w:divBdr>
    </w:div>
    <w:div w:id="500777206">
      <w:bodyDiv w:val="1"/>
      <w:marLeft w:val="0"/>
      <w:marRight w:val="0"/>
      <w:marTop w:val="0"/>
      <w:marBottom w:val="0"/>
      <w:divBdr>
        <w:top w:val="none" w:sz="0" w:space="0" w:color="auto"/>
        <w:left w:val="none" w:sz="0" w:space="0" w:color="auto"/>
        <w:bottom w:val="none" w:sz="0" w:space="0" w:color="auto"/>
        <w:right w:val="none" w:sz="0" w:space="0" w:color="auto"/>
      </w:divBdr>
    </w:div>
    <w:div w:id="506336347">
      <w:bodyDiv w:val="1"/>
      <w:marLeft w:val="0"/>
      <w:marRight w:val="0"/>
      <w:marTop w:val="0"/>
      <w:marBottom w:val="0"/>
      <w:divBdr>
        <w:top w:val="none" w:sz="0" w:space="0" w:color="auto"/>
        <w:left w:val="none" w:sz="0" w:space="0" w:color="auto"/>
        <w:bottom w:val="none" w:sz="0" w:space="0" w:color="auto"/>
        <w:right w:val="none" w:sz="0" w:space="0" w:color="auto"/>
      </w:divBdr>
    </w:div>
    <w:div w:id="581764598">
      <w:bodyDiv w:val="1"/>
      <w:marLeft w:val="0"/>
      <w:marRight w:val="0"/>
      <w:marTop w:val="0"/>
      <w:marBottom w:val="0"/>
      <w:divBdr>
        <w:top w:val="none" w:sz="0" w:space="0" w:color="auto"/>
        <w:left w:val="none" w:sz="0" w:space="0" w:color="auto"/>
        <w:bottom w:val="none" w:sz="0" w:space="0" w:color="auto"/>
        <w:right w:val="none" w:sz="0" w:space="0" w:color="auto"/>
      </w:divBdr>
    </w:div>
    <w:div w:id="618488509">
      <w:bodyDiv w:val="1"/>
      <w:marLeft w:val="0"/>
      <w:marRight w:val="0"/>
      <w:marTop w:val="0"/>
      <w:marBottom w:val="0"/>
      <w:divBdr>
        <w:top w:val="none" w:sz="0" w:space="0" w:color="auto"/>
        <w:left w:val="none" w:sz="0" w:space="0" w:color="auto"/>
        <w:bottom w:val="none" w:sz="0" w:space="0" w:color="auto"/>
        <w:right w:val="none" w:sz="0" w:space="0" w:color="auto"/>
      </w:divBdr>
    </w:div>
    <w:div w:id="647975806">
      <w:bodyDiv w:val="1"/>
      <w:marLeft w:val="0"/>
      <w:marRight w:val="0"/>
      <w:marTop w:val="0"/>
      <w:marBottom w:val="0"/>
      <w:divBdr>
        <w:top w:val="none" w:sz="0" w:space="0" w:color="auto"/>
        <w:left w:val="none" w:sz="0" w:space="0" w:color="auto"/>
        <w:bottom w:val="none" w:sz="0" w:space="0" w:color="auto"/>
        <w:right w:val="none" w:sz="0" w:space="0" w:color="auto"/>
      </w:divBdr>
    </w:div>
    <w:div w:id="677073481">
      <w:bodyDiv w:val="1"/>
      <w:marLeft w:val="0"/>
      <w:marRight w:val="0"/>
      <w:marTop w:val="0"/>
      <w:marBottom w:val="0"/>
      <w:divBdr>
        <w:top w:val="none" w:sz="0" w:space="0" w:color="auto"/>
        <w:left w:val="none" w:sz="0" w:space="0" w:color="auto"/>
        <w:bottom w:val="none" w:sz="0" w:space="0" w:color="auto"/>
        <w:right w:val="none" w:sz="0" w:space="0" w:color="auto"/>
      </w:divBdr>
    </w:div>
    <w:div w:id="684788597">
      <w:bodyDiv w:val="1"/>
      <w:marLeft w:val="0"/>
      <w:marRight w:val="0"/>
      <w:marTop w:val="0"/>
      <w:marBottom w:val="0"/>
      <w:divBdr>
        <w:top w:val="none" w:sz="0" w:space="0" w:color="auto"/>
        <w:left w:val="none" w:sz="0" w:space="0" w:color="auto"/>
        <w:bottom w:val="none" w:sz="0" w:space="0" w:color="auto"/>
        <w:right w:val="none" w:sz="0" w:space="0" w:color="auto"/>
      </w:divBdr>
    </w:div>
    <w:div w:id="776366630">
      <w:bodyDiv w:val="1"/>
      <w:marLeft w:val="0"/>
      <w:marRight w:val="0"/>
      <w:marTop w:val="0"/>
      <w:marBottom w:val="0"/>
      <w:divBdr>
        <w:top w:val="none" w:sz="0" w:space="0" w:color="auto"/>
        <w:left w:val="none" w:sz="0" w:space="0" w:color="auto"/>
        <w:bottom w:val="none" w:sz="0" w:space="0" w:color="auto"/>
        <w:right w:val="none" w:sz="0" w:space="0" w:color="auto"/>
      </w:divBdr>
    </w:div>
    <w:div w:id="785199237">
      <w:bodyDiv w:val="1"/>
      <w:marLeft w:val="0"/>
      <w:marRight w:val="0"/>
      <w:marTop w:val="0"/>
      <w:marBottom w:val="0"/>
      <w:divBdr>
        <w:top w:val="none" w:sz="0" w:space="0" w:color="auto"/>
        <w:left w:val="none" w:sz="0" w:space="0" w:color="auto"/>
        <w:bottom w:val="none" w:sz="0" w:space="0" w:color="auto"/>
        <w:right w:val="none" w:sz="0" w:space="0" w:color="auto"/>
      </w:divBdr>
    </w:div>
    <w:div w:id="801384292">
      <w:bodyDiv w:val="1"/>
      <w:marLeft w:val="0"/>
      <w:marRight w:val="0"/>
      <w:marTop w:val="0"/>
      <w:marBottom w:val="0"/>
      <w:divBdr>
        <w:top w:val="none" w:sz="0" w:space="0" w:color="auto"/>
        <w:left w:val="none" w:sz="0" w:space="0" w:color="auto"/>
        <w:bottom w:val="none" w:sz="0" w:space="0" w:color="auto"/>
        <w:right w:val="none" w:sz="0" w:space="0" w:color="auto"/>
      </w:divBdr>
    </w:div>
    <w:div w:id="808744431">
      <w:bodyDiv w:val="1"/>
      <w:marLeft w:val="0"/>
      <w:marRight w:val="0"/>
      <w:marTop w:val="0"/>
      <w:marBottom w:val="0"/>
      <w:divBdr>
        <w:top w:val="none" w:sz="0" w:space="0" w:color="auto"/>
        <w:left w:val="none" w:sz="0" w:space="0" w:color="auto"/>
        <w:bottom w:val="none" w:sz="0" w:space="0" w:color="auto"/>
        <w:right w:val="none" w:sz="0" w:space="0" w:color="auto"/>
      </w:divBdr>
    </w:div>
    <w:div w:id="875970942">
      <w:bodyDiv w:val="1"/>
      <w:marLeft w:val="0"/>
      <w:marRight w:val="0"/>
      <w:marTop w:val="0"/>
      <w:marBottom w:val="0"/>
      <w:divBdr>
        <w:top w:val="none" w:sz="0" w:space="0" w:color="auto"/>
        <w:left w:val="none" w:sz="0" w:space="0" w:color="auto"/>
        <w:bottom w:val="none" w:sz="0" w:space="0" w:color="auto"/>
        <w:right w:val="none" w:sz="0" w:space="0" w:color="auto"/>
      </w:divBdr>
    </w:div>
    <w:div w:id="883372448">
      <w:bodyDiv w:val="1"/>
      <w:marLeft w:val="0"/>
      <w:marRight w:val="0"/>
      <w:marTop w:val="0"/>
      <w:marBottom w:val="0"/>
      <w:divBdr>
        <w:top w:val="none" w:sz="0" w:space="0" w:color="auto"/>
        <w:left w:val="none" w:sz="0" w:space="0" w:color="auto"/>
        <w:bottom w:val="none" w:sz="0" w:space="0" w:color="auto"/>
        <w:right w:val="none" w:sz="0" w:space="0" w:color="auto"/>
      </w:divBdr>
    </w:div>
    <w:div w:id="967860475">
      <w:bodyDiv w:val="1"/>
      <w:marLeft w:val="0"/>
      <w:marRight w:val="0"/>
      <w:marTop w:val="0"/>
      <w:marBottom w:val="0"/>
      <w:divBdr>
        <w:top w:val="none" w:sz="0" w:space="0" w:color="auto"/>
        <w:left w:val="none" w:sz="0" w:space="0" w:color="auto"/>
        <w:bottom w:val="none" w:sz="0" w:space="0" w:color="auto"/>
        <w:right w:val="none" w:sz="0" w:space="0" w:color="auto"/>
      </w:divBdr>
    </w:div>
    <w:div w:id="1016157247">
      <w:bodyDiv w:val="1"/>
      <w:marLeft w:val="0"/>
      <w:marRight w:val="0"/>
      <w:marTop w:val="0"/>
      <w:marBottom w:val="0"/>
      <w:divBdr>
        <w:top w:val="none" w:sz="0" w:space="0" w:color="auto"/>
        <w:left w:val="none" w:sz="0" w:space="0" w:color="auto"/>
        <w:bottom w:val="none" w:sz="0" w:space="0" w:color="auto"/>
        <w:right w:val="none" w:sz="0" w:space="0" w:color="auto"/>
      </w:divBdr>
    </w:div>
    <w:div w:id="1070467171">
      <w:bodyDiv w:val="1"/>
      <w:marLeft w:val="0"/>
      <w:marRight w:val="0"/>
      <w:marTop w:val="0"/>
      <w:marBottom w:val="0"/>
      <w:divBdr>
        <w:top w:val="none" w:sz="0" w:space="0" w:color="auto"/>
        <w:left w:val="none" w:sz="0" w:space="0" w:color="auto"/>
        <w:bottom w:val="none" w:sz="0" w:space="0" w:color="auto"/>
        <w:right w:val="none" w:sz="0" w:space="0" w:color="auto"/>
      </w:divBdr>
    </w:div>
    <w:div w:id="1113011411">
      <w:bodyDiv w:val="1"/>
      <w:marLeft w:val="0"/>
      <w:marRight w:val="0"/>
      <w:marTop w:val="0"/>
      <w:marBottom w:val="0"/>
      <w:divBdr>
        <w:top w:val="none" w:sz="0" w:space="0" w:color="auto"/>
        <w:left w:val="none" w:sz="0" w:space="0" w:color="auto"/>
        <w:bottom w:val="none" w:sz="0" w:space="0" w:color="auto"/>
        <w:right w:val="none" w:sz="0" w:space="0" w:color="auto"/>
      </w:divBdr>
    </w:div>
    <w:div w:id="1332490513">
      <w:bodyDiv w:val="1"/>
      <w:marLeft w:val="0"/>
      <w:marRight w:val="0"/>
      <w:marTop w:val="0"/>
      <w:marBottom w:val="0"/>
      <w:divBdr>
        <w:top w:val="none" w:sz="0" w:space="0" w:color="auto"/>
        <w:left w:val="none" w:sz="0" w:space="0" w:color="auto"/>
        <w:bottom w:val="none" w:sz="0" w:space="0" w:color="auto"/>
        <w:right w:val="none" w:sz="0" w:space="0" w:color="auto"/>
      </w:divBdr>
    </w:div>
    <w:div w:id="1397164388">
      <w:bodyDiv w:val="1"/>
      <w:marLeft w:val="0"/>
      <w:marRight w:val="0"/>
      <w:marTop w:val="0"/>
      <w:marBottom w:val="0"/>
      <w:divBdr>
        <w:top w:val="none" w:sz="0" w:space="0" w:color="auto"/>
        <w:left w:val="none" w:sz="0" w:space="0" w:color="auto"/>
        <w:bottom w:val="none" w:sz="0" w:space="0" w:color="auto"/>
        <w:right w:val="none" w:sz="0" w:space="0" w:color="auto"/>
      </w:divBdr>
    </w:div>
    <w:div w:id="1500347162">
      <w:bodyDiv w:val="1"/>
      <w:marLeft w:val="0"/>
      <w:marRight w:val="0"/>
      <w:marTop w:val="0"/>
      <w:marBottom w:val="0"/>
      <w:divBdr>
        <w:top w:val="none" w:sz="0" w:space="0" w:color="auto"/>
        <w:left w:val="none" w:sz="0" w:space="0" w:color="auto"/>
        <w:bottom w:val="none" w:sz="0" w:space="0" w:color="auto"/>
        <w:right w:val="none" w:sz="0" w:space="0" w:color="auto"/>
      </w:divBdr>
    </w:div>
    <w:div w:id="1571891324">
      <w:bodyDiv w:val="1"/>
      <w:marLeft w:val="0"/>
      <w:marRight w:val="0"/>
      <w:marTop w:val="0"/>
      <w:marBottom w:val="0"/>
      <w:divBdr>
        <w:top w:val="none" w:sz="0" w:space="0" w:color="auto"/>
        <w:left w:val="none" w:sz="0" w:space="0" w:color="auto"/>
        <w:bottom w:val="none" w:sz="0" w:space="0" w:color="auto"/>
        <w:right w:val="none" w:sz="0" w:space="0" w:color="auto"/>
      </w:divBdr>
    </w:div>
    <w:div w:id="1587810294">
      <w:bodyDiv w:val="1"/>
      <w:marLeft w:val="0"/>
      <w:marRight w:val="0"/>
      <w:marTop w:val="0"/>
      <w:marBottom w:val="0"/>
      <w:divBdr>
        <w:top w:val="none" w:sz="0" w:space="0" w:color="auto"/>
        <w:left w:val="none" w:sz="0" w:space="0" w:color="auto"/>
        <w:bottom w:val="none" w:sz="0" w:space="0" w:color="auto"/>
        <w:right w:val="none" w:sz="0" w:space="0" w:color="auto"/>
      </w:divBdr>
    </w:div>
    <w:div w:id="1673144671">
      <w:bodyDiv w:val="1"/>
      <w:marLeft w:val="0"/>
      <w:marRight w:val="0"/>
      <w:marTop w:val="0"/>
      <w:marBottom w:val="0"/>
      <w:divBdr>
        <w:top w:val="none" w:sz="0" w:space="0" w:color="auto"/>
        <w:left w:val="none" w:sz="0" w:space="0" w:color="auto"/>
        <w:bottom w:val="none" w:sz="0" w:space="0" w:color="auto"/>
        <w:right w:val="none" w:sz="0" w:space="0" w:color="auto"/>
      </w:divBdr>
    </w:div>
    <w:div w:id="1694189643">
      <w:bodyDiv w:val="1"/>
      <w:marLeft w:val="0"/>
      <w:marRight w:val="0"/>
      <w:marTop w:val="0"/>
      <w:marBottom w:val="0"/>
      <w:divBdr>
        <w:top w:val="none" w:sz="0" w:space="0" w:color="auto"/>
        <w:left w:val="none" w:sz="0" w:space="0" w:color="auto"/>
        <w:bottom w:val="none" w:sz="0" w:space="0" w:color="auto"/>
        <w:right w:val="none" w:sz="0" w:space="0" w:color="auto"/>
      </w:divBdr>
    </w:div>
    <w:div w:id="1711605975">
      <w:bodyDiv w:val="1"/>
      <w:marLeft w:val="0"/>
      <w:marRight w:val="0"/>
      <w:marTop w:val="0"/>
      <w:marBottom w:val="0"/>
      <w:divBdr>
        <w:top w:val="none" w:sz="0" w:space="0" w:color="auto"/>
        <w:left w:val="none" w:sz="0" w:space="0" w:color="auto"/>
        <w:bottom w:val="none" w:sz="0" w:space="0" w:color="auto"/>
        <w:right w:val="none" w:sz="0" w:space="0" w:color="auto"/>
      </w:divBdr>
    </w:div>
    <w:div w:id="1820880947">
      <w:bodyDiv w:val="1"/>
      <w:marLeft w:val="0"/>
      <w:marRight w:val="0"/>
      <w:marTop w:val="0"/>
      <w:marBottom w:val="0"/>
      <w:divBdr>
        <w:top w:val="none" w:sz="0" w:space="0" w:color="auto"/>
        <w:left w:val="none" w:sz="0" w:space="0" w:color="auto"/>
        <w:bottom w:val="none" w:sz="0" w:space="0" w:color="auto"/>
        <w:right w:val="none" w:sz="0" w:space="0" w:color="auto"/>
      </w:divBdr>
    </w:div>
    <w:div w:id="1830518742">
      <w:bodyDiv w:val="1"/>
      <w:marLeft w:val="0"/>
      <w:marRight w:val="0"/>
      <w:marTop w:val="0"/>
      <w:marBottom w:val="0"/>
      <w:divBdr>
        <w:top w:val="none" w:sz="0" w:space="0" w:color="auto"/>
        <w:left w:val="none" w:sz="0" w:space="0" w:color="auto"/>
        <w:bottom w:val="none" w:sz="0" w:space="0" w:color="auto"/>
        <w:right w:val="none" w:sz="0" w:space="0" w:color="auto"/>
      </w:divBdr>
    </w:div>
    <w:div w:id="1838769985">
      <w:bodyDiv w:val="1"/>
      <w:marLeft w:val="0"/>
      <w:marRight w:val="0"/>
      <w:marTop w:val="0"/>
      <w:marBottom w:val="0"/>
      <w:divBdr>
        <w:top w:val="none" w:sz="0" w:space="0" w:color="auto"/>
        <w:left w:val="none" w:sz="0" w:space="0" w:color="auto"/>
        <w:bottom w:val="none" w:sz="0" w:space="0" w:color="auto"/>
        <w:right w:val="none" w:sz="0" w:space="0" w:color="auto"/>
      </w:divBdr>
    </w:div>
    <w:div w:id="1892883841">
      <w:bodyDiv w:val="1"/>
      <w:marLeft w:val="0"/>
      <w:marRight w:val="0"/>
      <w:marTop w:val="0"/>
      <w:marBottom w:val="0"/>
      <w:divBdr>
        <w:top w:val="none" w:sz="0" w:space="0" w:color="auto"/>
        <w:left w:val="none" w:sz="0" w:space="0" w:color="auto"/>
        <w:bottom w:val="none" w:sz="0" w:space="0" w:color="auto"/>
        <w:right w:val="none" w:sz="0" w:space="0" w:color="auto"/>
      </w:divBdr>
    </w:div>
    <w:div w:id="1922132424">
      <w:bodyDiv w:val="1"/>
      <w:marLeft w:val="0"/>
      <w:marRight w:val="0"/>
      <w:marTop w:val="0"/>
      <w:marBottom w:val="0"/>
      <w:divBdr>
        <w:top w:val="none" w:sz="0" w:space="0" w:color="auto"/>
        <w:left w:val="none" w:sz="0" w:space="0" w:color="auto"/>
        <w:bottom w:val="none" w:sz="0" w:space="0" w:color="auto"/>
        <w:right w:val="none" w:sz="0" w:space="0" w:color="auto"/>
      </w:divBdr>
    </w:div>
    <w:div w:id="1957520501">
      <w:bodyDiv w:val="1"/>
      <w:marLeft w:val="0"/>
      <w:marRight w:val="0"/>
      <w:marTop w:val="0"/>
      <w:marBottom w:val="0"/>
      <w:divBdr>
        <w:top w:val="none" w:sz="0" w:space="0" w:color="auto"/>
        <w:left w:val="none" w:sz="0" w:space="0" w:color="auto"/>
        <w:bottom w:val="none" w:sz="0" w:space="0" w:color="auto"/>
        <w:right w:val="none" w:sz="0" w:space="0" w:color="auto"/>
      </w:divBdr>
    </w:div>
    <w:div w:id="2026245970">
      <w:bodyDiv w:val="1"/>
      <w:marLeft w:val="0"/>
      <w:marRight w:val="0"/>
      <w:marTop w:val="0"/>
      <w:marBottom w:val="0"/>
      <w:divBdr>
        <w:top w:val="none" w:sz="0" w:space="0" w:color="auto"/>
        <w:left w:val="none" w:sz="0" w:space="0" w:color="auto"/>
        <w:bottom w:val="none" w:sz="0" w:space="0" w:color="auto"/>
        <w:right w:val="none" w:sz="0" w:space="0" w:color="auto"/>
      </w:divBdr>
    </w:div>
    <w:div w:id="2037579800">
      <w:bodyDiv w:val="1"/>
      <w:marLeft w:val="0"/>
      <w:marRight w:val="0"/>
      <w:marTop w:val="0"/>
      <w:marBottom w:val="0"/>
      <w:divBdr>
        <w:top w:val="none" w:sz="0" w:space="0" w:color="auto"/>
        <w:left w:val="none" w:sz="0" w:space="0" w:color="auto"/>
        <w:bottom w:val="none" w:sz="0" w:space="0" w:color="auto"/>
        <w:right w:val="none" w:sz="0" w:space="0" w:color="auto"/>
      </w:divBdr>
    </w:div>
    <w:div w:id="2116486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5.xml"/><Relationship Id="rId33"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https://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yperlink" Target="https://www.tga.gov.au/product-information-pi" TargetMode="External"/><Relationship Id="rId27" Type="http://schemas.openxmlformats.org/officeDocument/2006/relationships/hyperlink" Target="mailto:info@tga.gov.au" TargetMode="External"/><Relationship Id="rId30" Type="http://schemas.openxmlformats.org/officeDocument/2006/relationships/header" Target="header7.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7216\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74AA7-F993-4616-AF8A-5DBD08F39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template.DOTX</Template>
  <TotalTime>44</TotalTime>
  <Pages>43</Pages>
  <Words>14312</Words>
  <Characters>81584</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Australian Public Assessment Report for Eribulin mesilate</vt:lpstr>
    </vt:vector>
  </TitlesOfParts>
  <Company>Department of Health</Company>
  <LinksUpToDate>false</LinksUpToDate>
  <CharactersWithSpaces>95705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Eribulin mesilate</dc:title>
  <dc:subject>prescription medicines</dc:subject>
  <dc:creator>Therapeutic Goods Administration (TGA)</dc:creator>
  <cp:keywords>AusPARs</cp:keywords>
  <cp:lastModifiedBy>Therapeutic Goods Administration (TGA) </cp:lastModifiedBy>
  <cp:revision>17</cp:revision>
  <cp:lastPrinted>2015-09-22T23:39:00Z</cp:lastPrinted>
  <dcterms:created xsi:type="dcterms:W3CDTF">2017-10-12T00:17:00Z</dcterms:created>
  <dcterms:modified xsi:type="dcterms:W3CDTF">2017-10-31T06:21:00Z</dcterms:modified>
</cp:coreProperties>
</file>